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FD376" w14:textId="5546F111" w:rsidR="00892B22" w:rsidRDefault="000859C8" w:rsidP="000859C8">
      <w:pPr>
        <w:spacing w:line="480" w:lineRule="auto"/>
        <w:contextualSpacing/>
        <w:jc w:val="center"/>
        <w:rPr>
          <w:sz w:val="24"/>
          <w:szCs w:val="24"/>
        </w:rPr>
      </w:pPr>
      <w:r w:rsidRPr="002305F3">
        <w:rPr>
          <w:sz w:val="24"/>
          <w:szCs w:val="24"/>
        </w:rPr>
        <w:t xml:space="preserve">Some </w:t>
      </w:r>
      <w:r w:rsidR="002D0C6D" w:rsidRPr="002305F3">
        <w:rPr>
          <w:sz w:val="24"/>
          <w:szCs w:val="24"/>
        </w:rPr>
        <w:t>Ways of Reading Augustine</w:t>
      </w:r>
      <w:r w:rsidR="00402275">
        <w:rPr>
          <w:sz w:val="24"/>
          <w:szCs w:val="24"/>
        </w:rPr>
        <w:t>:</w:t>
      </w:r>
    </w:p>
    <w:p w14:paraId="1D9AFDF5" w14:textId="75D4EB5A" w:rsidR="00402275" w:rsidRPr="002305F3" w:rsidRDefault="00402275" w:rsidP="000859C8">
      <w:pPr>
        <w:spacing w:line="480" w:lineRule="auto"/>
        <w:contextualSpacing/>
        <w:jc w:val="center"/>
        <w:rPr>
          <w:sz w:val="24"/>
          <w:szCs w:val="24"/>
        </w:rPr>
      </w:pPr>
      <w:r>
        <w:rPr>
          <w:sz w:val="24"/>
          <w:szCs w:val="24"/>
        </w:rPr>
        <w:t>An Introduction to Augustine Scholarship</w:t>
      </w:r>
    </w:p>
    <w:p w14:paraId="05F6D470" w14:textId="36156D62" w:rsidR="00000303" w:rsidRPr="002305F3" w:rsidRDefault="00BA29E1" w:rsidP="001A5DB0">
      <w:pPr>
        <w:spacing w:line="480" w:lineRule="auto"/>
        <w:ind w:firstLine="720"/>
        <w:contextualSpacing/>
        <w:rPr>
          <w:sz w:val="24"/>
          <w:szCs w:val="24"/>
        </w:rPr>
      </w:pPr>
      <w:r w:rsidRPr="002305F3">
        <w:rPr>
          <w:sz w:val="24"/>
          <w:szCs w:val="24"/>
        </w:rPr>
        <w:t xml:space="preserve">A good deal of Augustine scholarship has focused on his relationship to neo-Platonism. </w:t>
      </w:r>
      <w:r w:rsidR="023C52A9" w:rsidRPr="002305F3">
        <w:rPr>
          <w:sz w:val="24"/>
          <w:szCs w:val="24"/>
        </w:rPr>
        <w:t xml:space="preserve">Generalizing somewhat, four </w:t>
      </w:r>
      <w:r w:rsidR="001A5DB0" w:rsidRPr="002305F3">
        <w:rPr>
          <w:sz w:val="24"/>
          <w:szCs w:val="24"/>
        </w:rPr>
        <w:t>ways of reading Augustine</w:t>
      </w:r>
      <w:r w:rsidR="0053722D" w:rsidRPr="002305F3">
        <w:rPr>
          <w:sz w:val="24"/>
          <w:szCs w:val="24"/>
        </w:rPr>
        <w:t xml:space="preserve"> ha</w:t>
      </w:r>
      <w:r w:rsidR="00DD7721" w:rsidRPr="002305F3">
        <w:rPr>
          <w:sz w:val="24"/>
          <w:szCs w:val="24"/>
        </w:rPr>
        <w:t>ve dominated scholarly debate</w:t>
      </w:r>
      <w:r w:rsidRPr="002305F3">
        <w:rPr>
          <w:sz w:val="24"/>
          <w:szCs w:val="24"/>
        </w:rPr>
        <w:t xml:space="preserve"> on this issue</w:t>
      </w:r>
      <w:r w:rsidR="00DD7721" w:rsidRPr="002305F3">
        <w:rPr>
          <w:sz w:val="24"/>
          <w:szCs w:val="24"/>
        </w:rPr>
        <w:t xml:space="preserve">. </w:t>
      </w:r>
      <w:r w:rsidR="0053722D" w:rsidRPr="002305F3">
        <w:rPr>
          <w:sz w:val="24"/>
          <w:szCs w:val="24"/>
        </w:rPr>
        <w:t xml:space="preserve">Augustine </w:t>
      </w:r>
      <w:r w:rsidR="00DD7721" w:rsidRPr="002305F3">
        <w:rPr>
          <w:sz w:val="24"/>
          <w:szCs w:val="24"/>
        </w:rPr>
        <w:t xml:space="preserve">is read as </w:t>
      </w:r>
      <w:r w:rsidR="0053722D" w:rsidRPr="002305F3">
        <w:rPr>
          <w:sz w:val="24"/>
          <w:szCs w:val="24"/>
        </w:rPr>
        <w:t>initially</w:t>
      </w:r>
      <w:r w:rsidR="00514474" w:rsidRPr="002305F3">
        <w:rPr>
          <w:sz w:val="24"/>
          <w:szCs w:val="24"/>
        </w:rPr>
        <w:t xml:space="preserve"> a</w:t>
      </w:r>
      <w:r w:rsidR="023C52A9" w:rsidRPr="002305F3">
        <w:rPr>
          <w:sz w:val="24"/>
          <w:szCs w:val="24"/>
        </w:rPr>
        <w:t xml:space="preserve"> neo-Platonist and </w:t>
      </w:r>
      <w:r w:rsidR="0023591A" w:rsidRPr="002305F3">
        <w:rPr>
          <w:sz w:val="24"/>
          <w:szCs w:val="24"/>
        </w:rPr>
        <w:t xml:space="preserve">then </w:t>
      </w:r>
      <w:r w:rsidR="00514474" w:rsidRPr="002305F3">
        <w:rPr>
          <w:sz w:val="24"/>
          <w:szCs w:val="24"/>
        </w:rPr>
        <w:t>later</w:t>
      </w:r>
      <w:r w:rsidR="023C52A9" w:rsidRPr="002305F3">
        <w:rPr>
          <w:sz w:val="24"/>
          <w:szCs w:val="24"/>
        </w:rPr>
        <w:t xml:space="preserve"> a</w:t>
      </w:r>
      <w:r w:rsidR="00B97FB9" w:rsidRPr="002305F3">
        <w:rPr>
          <w:sz w:val="24"/>
          <w:szCs w:val="24"/>
        </w:rPr>
        <w:t xml:space="preserve"> more consisten</w:t>
      </w:r>
      <w:r w:rsidR="002D0C6D" w:rsidRPr="002305F3">
        <w:rPr>
          <w:sz w:val="24"/>
          <w:szCs w:val="24"/>
        </w:rPr>
        <w:t>t</w:t>
      </w:r>
      <w:r w:rsidR="023C52A9" w:rsidRPr="002305F3">
        <w:rPr>
          <w:sz w:val="24"/>
          <w:szCs w:val="24"/>
        </w:rPr>
        <w:t xml:space="preserve"> Christian, </w:t>
      </w:r>
      <w:r w:rsidR="0023591A" w:rsidRPr="002305F3">
        <w:rPr>
          <w:sz w:val="24"/>
          <w:szCs w:val="24"/>
        </w:rPr>
        <w:t>as</w:t>
      </w:r>
      <w:r w:rsidR="023C52A9" w:rsidRPr="002305F3">
        <w:rPr>
          <w:sz w:val="24"/>
          <w:szCs w:val="24"/>
        </w:rPr>
        <w:t xml:space="preserve"> fully both, </w:t>
      </w:r>
      <w:r w:rsidR="0023591A" w:rsidRPr="002305F3">
        <w:rPr>
          <w:sz w:val="24"/>
          <w:szCs w:val="24"/>
        </w:rPr>
        <w:t>as</w:t>
      </w:r>
      <w:r w:rsidR="023C52A9" w:rsidRPr="002305F3">
        <w:rPr>
          <w:sz w:val="24"/>
          <w:szCs w:val="24"/>
        </w:rPr>
        <w:t xml:space="preserve"> a Christian and </w:t>
      </w:r>
      <w:r w:rsidR="023C52A9" w:rsidRPr="002305F3">
        <w:rPr>
          <w:i/>
          <w:sz w:val="24"/>
          <w:szCs w:val="24"/>
        </w:rPr>
        <w:t>not</w:t>
      </w:r>
      <w:r w:rsidR="023C52A9" w:rsidRPr="002305F3">
        <w:rPr>
          <w:sz w:val="24"/>
          <w:szCs w:val="24"/>
        </w:rPr>
        <w:t xml:space="preserve"> a neo-Platonist, and </w:t>
      </w:r>
      <w:r w:rsidR="0023591A" w:rsidRPr="002305F3">
        <w:rPr>
          <w:sz w:val="24"/>
          <w:szCs w:val="24"/>
        </w:rPr>
        <w:t>as</w:t>
      </w:r>
      <w:r w:rsidR="023C52A9" w:rsidRPr="002305F3">
        <w:rPr>
          <w:sz w:val="24"/>
          <w:szCs w:val="24"/>
        </w:rPr>
        <w:t xml:space="preserve"> fully a Christian and only a neo-Platonist to the extent that he finds it useful for understanding Christian theology.</w:t>
      </w:r>
      <w:r w:rsidR="001A5DB0" w:rsidRPr="002305F3">
        <w:rPr>
          <w:sz w:val="24"/>
          <w:szCs w:val="24"/>
        </w:rPr>
        <w:t xml:space="preserve">  </w:t>
      </w:r>
      <w:bookmarkStart w:id="0" w:name="_Hlk515467897"/>
      <w:r w:rsidR="00125602" w:rsidRPr="002305F3">
        <w:rPr>
          <w:sz w:val="24"/>
          <w:szCs w:val="24"/>
        </w:rPr>
        <w:t>T</w:t>
      </w:r>
      <w:r w:rsidR="002045C5" w:rsidRPr="002305F3">
        <w:rPr>
          <w:sz w:val="24"/>
          <w:szCs w:val="24"/>
        </w:rPr>
        <w:t>he first</w:t>
      </w:r>
      <w:r w:rsidR="023C52A9" w:rsidRPr="002305F3">
        <w:rPr>
          <w:sz w:val="24"/>
          <w:szCs w:val="24"/>
        </w:rPr>
        <w:t xml:space="preserve"> interpretation</w:t>
      </w:r>
      <w:r w:rsidR="00125602" w:rsidRPr="002305F3">
        <w:rPr>
          <w:sz w:val="24"/>
          <w:szCs w:val="24"/>
        </w:rPr>
        <w:t xml:space="preserve"> sometimes</w:t>
      </w:r>
      <w:r w:rsidR="023C52A9" w:rsidRPr="002305F3">
        <w:rPr>
          <w:sz w:val="24"/>
          <w:szCs w:val="24"/>
        </w:rPr>
        <w:t xml:space="preserve"> </w:t>
      </w:r>
      <w:bookmarkEnd w:id="0"/>
      <w:r w:rsidR="00DD7721" w:rsidRPr="002305F3">
        <w:rPr>
          <w:sz w:val="24"/>
          <w:szCs w:val="24"/>
        </w:rPr>
        <w:t>involves suspicion that</w:t>
      </w:r>
      <w:r w:rsidR="023C52A9" w:rsidRPr="002305F3">
        <w:rPr>
          <w:sz w:val="24"/>
          <w:szCs w:val="24"/>
        </w:rPr>
        <w:t xml:space="preserve"> </w:t>
      </w:r>
      <w:r w:rsidR="023C52A9" w:rsidRPr="002305F3">
        <w:rPr>
          <w:i/>
          <w:iCs/>
          <w:sz w:val="24"/>
          <w:szCs w:val="24"/>
        </w:rPr>
        <w:t>Confessions</w:t>
      </w:r>
      <w:r w:rsidR="023C52A9" w:rsidRPr="002305F3">
        <w:rPr>
          <w:sz w:val="24"/>
          <w:szCs w:val="24"/>
        </w:rPr>
        <w:t xml:space="preserve"> </w:t>
      </w:r>
      <w:r w:rsidR="00DD7721" w:rsidRPr="002305F3">
        <w:rPr>
          <w:sz w:val="24"/>
          <w:szCs w:val="24"/>
        </w:rPr>
        <w:t>is not fully honest</w:t>
      </w:r>
      <w:r w:rsidR="023C52A9" w:rsidRPr="002305F3">
        <w:rPr>
          <w:sz w:val="24"/>
          <w:szCs w:val="24"/>
        </w:rPr>
        <w:t xml:space="preserve"> </w:t>
      </w:r>
      <w:r w:rsidR="00C07081" w:rsidRPr="002305F3">
        <w:rPr>
          <w:sz w:val="24"/>
          <w:szCs w:val="24"/>
        </w:rPr>
        <w:t xml:space="preserve">about </w:t>
      </w:r>
      <w:r w:rsidR="005242AF" w:rsidRPr="002305F3">
        <w:rPr>
          <w:sz w:val="24"/>
          <w:szCs w:val="24"/>
        </w:rPr>
        <w:t>his</w:t>
      </w:r>
      <w:r w:rsidR="023C52A9" w:rsidRPr="002305F3">
        <w:rPr>
          <w:sz w:val="24"/>
          <w:szCs w:val="24"/>
        </w:rPr>
        <w:t xml:space="preserve"> 386 A. D. commitment to Christ </w:t>
      </w:r>
      <w:r w:rsidR="00181B5A" w:rsidRPr="002305F3">
        <w:rPr>
          <w:sz w:val="24"/>
          <w:szCs w:val="24"/>
        </w:rPr>
        <w:t xml:space="preserve">and </w:t>
      </w:r>
      <w:r w:rsidR="0053722D" w:rsidRPr="002305F3">
        <w:rPr>
          <w:sz w:val="24"/>
          <w:szCs w:val="24"/>
        </w:rPr>
        <w:t>its aftermath</w:t>
      </w:r>
      <w:r w:rsidR="023C52A9" w:rsidRPr="002305F3">
        <w:rPr>
          <w:sz w:val="24"/>
          <w:szCs w:val="24"/>
        </w:rPr>
        <w:t xml:space="preserve">.  In less dramatic </w:t>
      </w:r>
      <w:r w:rsidR="002045C5" w:rsidRPr="002305F3">
        <w:rPr>
          <w:sz w:val="24"/>
          <w:szCs w:val="24"/>
        </w:rPr>
        <w:t>versions</w:t>
      </w:r>
      <w:r w:rsidR="023C52A9" w:rsidRPr="002305F3">
        <w:rPr>
          <w:sz w:val="24"/>
          <w:szCs w:val="24"/>
        </w:rPr>
        <w:t xml:space="preserve">, </w:t>
      </w:r>
      <w:r w:rsidR="00DD7721" w:rsidRPr="002305F3">
        <w:rPr>
          <w:sz w:val="24"/>
          <w:szCs w:val="24"/>
        </w:rPr>
        <w:t>Augustine</w:t>
      </w:r>
      <w:r w:rsidR="023C52A9" w:rsidRPr="002305F3">
        <w:rPr>
          <w:sz w:val="24"/>
          <w:szCs w:val="24"/>
        </w:rPr>
        <w:t xml:space="preserve"> began as an honest Christian rather enthusiastic about reason and argumentation as ways to get to God, and later became a more informed—and less philosophical—Christian.</w:t>
      </w:r>
    </w:p>
    <w:p w14:paraId="0EE98435" w14:textId="42AF2A39" w:rsidR="00266AE3" w:rsidRPr="002305F3" w:rsidRDefault="00DD7721" w:rsidP="001A5DB0">
      <w:pPr>
        <w:spacing w:line="480" w:lineRule="auto"/>
        <w:ind w:firstLine="720"/>
        <w:contextualSpacing/>
        <w:rPr>
          <w:b/>
          <w:bCs/>
          <w:sz w:val="24"/>
          <w:szCs w:val="24"/>
        </w:rPr>
      </w:pPr>
      <w:r w:rsidRPr="002305F3">
        <w:rPr>
          <w:sz w:val="24"/>
          <w:szCs w:val="24"/>
        </w:rPr>
        <w:t>The long debate</w:t>
      </w:r>
      <w:r w:rsidR="00266AE3" w:rsidRPr="002305F3">
        <w:rPr>
          <w:sz w:val="24"/>
          <w:szCs w:val="24"/>
        </w:rPr>
        <w:t xml:space="preserve"> has provided very strong support for </w:t>
      </w:r>
      <w:r w:rsidR="00000303" w:rsidRPr="002305F3">
        <w:rPr>
          <w:sz w:val="24"/>
          <w:szCs w:val="24"/>
        </w:rPr>
        <w:t xml:space="preserve">the idea that </w:t>
      </w:r>
      <w:r w:rsidR="00266AE3" w:rsidRPr="002305F3">
        <w:rPr>
          <w:sz w:val="24"/>
          <w:szCs w:val="24"/>
        </w:rPr>
        <w:t xml:space="preserve">Augustine </w:t>
      </w:r>
      <w:r w:rsidR="00310309" w:rsidRPr="002305F3">
        <w:rPr>
          <w:sz w:val="24"/>
          <w:szCs w:val="24"/>
        </w:rPr>
        <w:t xml:space="preserve">consistently </w:t>
      </w:r>
      <w:r w:rsidR="00000303" w:rsidRPr="002305F3">
        <w:rPr>
          <w:sz w:val="24"/>
          <w:szCs w:val="24"/>
        </w:rPr>
        <w:t>takes</w:t>
      </w:r>
      <w:r w:rsidR="00266AE3" w:rsidRPr="002305F3">
        <w:rPr>
          <w:sz w:val="24"/>
          <w:szCs w:val="24"/>
        </w:rPr>
        <w:t xml:space="preserve"> seriously neo-Platonic insights </w:t>
      </w:r>
      <w:r w:rsidR="00000303" w:rsidRPr="002305F3">
        <w:rPr>
          <w:sz w:val="24"/>
          <w:szCs w:val="24"/>
        </w:rPr>
        <w:t>while being</w:t>
      </w:r>
      <w:r w:rsidR="00310309" w:rsidRPr="002305F3">
        <w:rPr>
          <w:sz w:val="24"/>
          <w:szCs w:val="24"/>
        </w:rPr>
        <w:t xml:space="preserve"> committed to </w:t>
      </w:r>
      <w:r w:rsidR="00266AE3" w:rsidRPr="002305F3">
        <w:rPr>
          <w:sz w:val="24"/>
          <w:szCs w:val="24"/>
        </w:rPr>
        <w:t>Christian theology.  Howeve</w:t>
      </w:r>
      <w:r w:rsidR="00C67E12" w:rsidRPr="002305F3">
        <w:rPr>
          <w:sz w:val="24"/>
          <w:szCs w:val="24"/>
        </w:rPr>
        <w:t xml:space="preserve">r, it is possible that the </w:t>
      </w:r>
      <w:r w:rsidR="00266AE3" w:rsidRPr="002305F3">
        <w:rPr>
          <w:sz w:val="24"/>
          <w:szCs w:val="24"/>
        </w:rPr>
        <w:t>whole debate as we have known it will be eclipsed in future scholarship</w:t>
      </w:r>
      <w:r w:rsidR="00000303" w:rsidRPr="002305F3">
        <w:rPr>
          <w:sz w:val="24"/>
          <w:szCs w:val="24"/>
        </w:rPr>
        <w:t xml:space="preserve"> by</w:t>
      </w:r>
      <w:r w:rsidR="00266AE3" w:rsidRPr="002305F3">
        <w:rPr>
          <w:sz w:val="24"/>
          <w:szCs w:val="24"/>
        </w:rPr>
        <w:t xml:space="preserve"> </w:t>
      </w:r>
      <w:r w:rsidR="00000303" w:rsidRPr="002305F3">
        <w:rPr>
          <w:sz w:val="24"/>
          <w:szCs w:val="24"/>
        </w:rPr>
        <w:t xml:space="preserve">interpretations </w:t>
      </w:r>
      <w:r w:rsidR="00226DAD" w:rsidRPr="002305F3">
        <w:rPr>
          <w:sz w:val="24"/>
          <w:szCs w:val="24"/>
        </w:rPr>
        <w:t xml:space="preserve">largely </w:t>
      </w:r>
      <w:r w:rsidR="00000303" w:rsidRPr="002305F3">
        <w:rPr>
          <w:sz w:val="24"/>
          <w:szCs w:val="24"/>
        </w:rPr>
        <w:t xml:space="preserve">independent of </w:t>
      </w:r>
      <w:r w:rsidR="00862A7F" w:rsidRPr="002305F3">
        <w:rPr>
          <w:sz w:val="24"/>
          <w:szCs w:val="24"/>
        </w:rPr>
        <w:t>the</w:t>
      </w:r>
      <w:r w:rsidR="00000303" w:rsidRPr="002305F3">
        <w:rPr>
          <w:sz w:val="24"/>
          <w:szCs w:val="24"/>
        </w:rPr>
        <w:t xml:space="preserve"> debate</w:t>
      </w:r>
      <w:r w:rsidR="00266AE3" w:rsidRPr="002305F3">
        <w:rPr>
          <w:sz w:val="24"/>
          <w:szCs w:val="24"/>
        </w:rPr>
        <w:t xml:space="preserve"> and </w:t>
      </w:r>
      <w:r w:rsidR="00000303" w:rsidRPr="002305F3">
        <w:rPr>
          <w:sz w:val="24"/>
          <w:szCs w:val="24"/>
        </w:rPr>
        <w:t xml:space="preserve">frequently </w:t>
      </w:r>
      <w:r w:rsidR="00266AE3" w:rsidRPr="002305F3">
        <w:rPr>
          <w:sz w:val="24"/>
          <w:szCs w:val="24"/>
        </w:rPr>
        <w:t>explor</w:t>
      </w:r>
      <w:r w:rsidR="00000303" w:rsidRPr="002305F3">
        <w:rPr>
          <w:sz w:val="24"/>
          <w:szCs w:val="24"/>
        </w:rPr>
        <w:t xml:space="preserve">ing </w:t>
      </w:r>
      <w:r w:rsidR="00266AE3" w:rsidRPr="002305F3">
        <w:rPr>
          <w:sz w:val="24"/>
          <w:szCs w:val="24"/>
        </w:rPr>
        <w:t>new territory, especially the letters and sermons.</w:t>
      </w:r>
    </w:p>
    <w:p w14:paraId="49C96EF7" w14:textId="680D60E4" w:rsidR="00350876" w:rsidRPr="002305F3" w:rsidRDefault="00350876" w:rsidP="00350876">
      <w:pPr>
        <w:spacing w:line="480" w:lineRule="auto"/>
        <w:ind w:firstLine="720"/>
        <w:contextualSpacing/>
        <w:rPr>
          <w:color w:val="000000" w:themeColor="text1"/>
          <w:sz w:val="24"/>
          <w:szCs w:val="24"/>
        </w:rPr>
      </w:pPr>
      <w:r w:rsidRPr="002305F3">
        <w:rPr>
          <w:sz w:val="24"/>
          <w:szCs w:val="24"/>
        </w:rPr>
        <w:t>A brief glance at a text predating this debate</w:t>
      </w:r>
      <w:r w:rsidR="00226DAD" w:rsidRPr="002305F3">
        <w:rPr>
          <w:sz w:val="24"/>
          <w:szCs w:val="24"/>
        </w:rPr>
        <w:t xml:space="preserve"> sets the stage</w:t>
      </w:r>
      <w:r w:rsidRPr="002305F3">
        <w:rPr>
          <w:sz w:val="24"/>
          <w:szCs w:val="24"/>
        </w:rPr>
        <w:t>.  Phillip Schaff in his</w:t>
      </w:r>
      <w:r w:rsidR="00226DAD" w:rsidRPr="002305F3">
        <w:rPr>
          <w:sz w:val="24"/>
          <w:szCs w:val="24"/>
        </w:rPr>
        <w:t xml:space="preserve"> 1800s</w:t>
      </w:r>
      <w:r w:rsidRPr="002305F3">
        <w:rPr>
          <w:sz w:val="24"/>
          <w:szCs w:val="24"/>
        </w:rPr>
        <w:t xml:space="preserve"> </w:t>
      </w:r>
      <w:r w:rsidRPr="002305F3">
        <w:rPr>
          <w:i/>
          <w:iCs/>
          <w:sz w:val="24"/>
          <w:szCs w:val="24"/>
        </w:rPr>
        <w:t>History of the Christian Church</w:t>
      </w:r>
      <w:r w:rsidRPr="002305F3">
        <w:rPr>
          <w:sz w:val="24"/>
          <w:szCs w:val="24"/>
        </w:rPr>
        <w:t xml:space="preserve"> </w:t>
      </w:r>
      <w:r w:rsidR="005E4AFA" w:rsidRPr="002305F3">
        <w:rPr>
          <w:sz w:val="24"/>
          <w:szCs w:val="24"/>
        </w:rPr>
        <w:t>states that</w:t>
      </w:r>
      <w:r w:rsidRPr="002305F3">
        <w:rPr>
          <w:sz w:val="24"/>
          <w:szCs w:val="24"/>
        </w:rPr>
        <w:t xml:space="preserve"> the Cassiciacum dialogues and </w:t>
      </w:r>
      <w:r w:rsidRPr="002305F3">
        <w:rPr>
          <w:i/>
          <w:iCs/>
          <w:sz w:val="24"/>
          <w:szCs w:val="24"/>
        </w:rPr>
        <w:t>De magistro</w:t>
      </w:r>
      <w:r w:rsidRPr="002305F3">
        <w:rPr>
          <w:sz w:val="24"/>
          <w:szCs w:val="24"/>
        </w:rPr>
        <w:t xml:space="preserve"> </w:t>
      </w:r>
      <w:r w:rsidR="00953A44">
        <w:rPr>
          <w:sz w:val="24"/>
          <w:szCs w:val="24"/>
        </w:rPr>
        <w:t>‘e</w:t>
      </w:r>
      <w:r w:rsidRPr="002305F3">
        <w:rPr>
          <w:color w:val="000000"/>
          <w:sz w:val="24"/>
          <w:szCs w:val="24"/>
        </w:rPr>
        <w:t xml:space="preserve">xhibit </w:t>
      </w:r>
      <w:r w:rsidR="00226DAD" w:rsidRPr="002305F3">
        <w:rPr>
          <w:color w:val="000000"/>
          <w:sz w:val="24"/>
          <w:szCs w:val="24"/>
        </w:rPr>
        <w:t>. . .</w:t>
      </w:r>
      <w:r w:rsidRPr="002305F3">
        <w:rPr>
          <w:color w:val="000000"/>
          <w:sz w:val="24"/>
          <w:szCs w:val="24"/>
        </w:rPr>
        <w:t xml:space="preserve"> a Platonism seized and consecrated by the spirit of Christianity . . . .</w:t>
      </w:r>
      <w:r w:rsidR="00785C14">
        <w:rPr>
          <w:color w:val="000000"/>
          <w:sz w:val="24"/>
          <w:szCs w:val="24"/>
        </w:rPr>
        <w:t>’</w:t>
      </w:r>
      <w:r w:rsidRPr="002305F3">
        <w:rPr>
          <w:rStyle w:val="FootnoteReference"/>
          <w:sz w:val="24"/>
          <w:szCs w:val="24"/>
        </w:rPr>
        <w:footnoteReference w:id="1"/>
      </w:r>
      <w:r w:rsidRPr="002305F3">
        <w:rPr>
          <w:sz w:val="24"/>
          <w:szCs w:val="24"/>
        </w:rPr>
        <w:t xml:space="preserve">  He claims that </w:t>
      </w:r>
      <w:r w:rsidR="0026323A">
        <w:rPr>
          <w:sz w:val="24"/>
          <w:szCs w:val="24"/>
        </w:rPr>
        <w:t>‘</w:t>
      </w:r>
      <w:r w:rsidRPr="002305F3">
        <w:rPr>
          <w:color w:val="000000"/>
          <w:sz w:val="24"/>
          <w:szCs w:val="24"/>
        </w:rPr>
        <w:t>The philosopher in him afterwards yielded more and more to the theologian . . . .</w:t>
      </w:r>
      <w:r w:rsidR="00953A44">
        <w:rPr>
          <w:color w:val="000000"/>
          <w:sz w:val="24"/>
          <w:szCs w:val="24"/>
        </w:rPr>
        <w:t xml:space="preserve">’ </w:t>
      </w:r>
      <w:r w:rsidR="00DD7721" w:rsidRPr="002305F3">
        <w:rPr>
          <w:color w:val="000000"/>
          <w:sz w:val="24"/>
          <w:szCs w:val="24"/>
        </w:rPr>
        <w:t xml:space="preserve">Yet </w:t>
      </w:r>
      <w:r w:rsidR="00953A44">
        <w:rPr>
          <w:color w:val="000000"/>
          <w:sz w:val="24"/>
          <w:szCs w:val="24"/>
        </w:rPr>
        <w:t>‘</w:t>
      </w:r>
      <w:r w:rsidRPr="002305F3">
        <w:rPr>
          <w:color w:val="000000"/>
          <w:sz w:val="24"/>
          <w:szCs w:val="24"/>
        </w:rPr>
        <w:t>he could never cease to philosophize.</w:t>
      </w:r>
      <w:r w:rsidR="00953A44">
        <w:rPr>
          <w:color w:val="000000"/>
          <w:sz w:val="24"/>
          <w:szCs w:val="24"/>
        </w:rPr>
        <w:t>’</w:t>
      </w:r>
      <w:r w:rsidRPr="002305F3">
        <w:rPr>
          <w:color w:val="000000"/>
          <w:sz w:val="24"/>
          <w:szCs w:val="24"/>
        </w:rPr>
        <w:t xml:space="preserve"> Schaff alleges that Augustine reall</w:t>
      </w:r>
      <w:r w:rsidR="00DD7721" w:rsidRPr="002305F3">
        <w:rPr>
          <w:color w:val="000000"/>
          <w:sz w:val="24"/>
          <w:szCs w:val="24"/>
        </w:rPr>
        <w:t>y did follow Platonic philosophy, but after becoming a Christian he</w:t>
      </w:r>
    </w:p>
    <w:p w14:paraId="4FB2D6B7" w14:textId="77777777" w:rsidR="00350876" w:rsidRPr="002305F3" w:rsidRDefault="00350876" w:rsidP="00350876">
      <w:pPr>
        <w:spacing w:line="480" w:lineRule="auto"/>
        <w:ind w:left="720"/>
        <w:contextualSpacing/>
        <w:rPr>
          <w:sz w:val="24"/>
          <w:szCs w:val="24"/>
        </w:rPr>
      </w:pPr>
      <w:r w:rsidRPr="002305F3">
        <w:rPr>
          <w:color w:val="000000" w:themeColor="text1"/>
          <w:sz w:val="24"/>
          <w:szCs w:val="24"/>
        </w:rPr>
        <w:lastRenderedPageBreak/>
        <w:t>. . . embraced the Christian philosophy, which is based on the divine revelation of the Scriptures, and is the handmaid of theology and religion; but at the same time he prepared the way for the catholic ecclesiastical philosophy, which rests on the authority of the church, and became complete in the scholasticism of the middle age.</w:t>
      </w:r>
    </w:p>
    <w:p w14:paraId="467EC085" w14:textId="444F7619" w:rsidR="00F46197" w:rsidRPr="002305F3" w:rsidRDefault="00350876" w:rsidP="004B63FC">
      <w:pPr>
        <w:spacing w:line="480" w:lineRule="auto"/>
        <w:contextualSpacing/>
        <w:rPr>
          <w:sz w:val="24"/>
          <w:szCs w:val="24"/>
        </w:rPr>
      </w:pPr>
      <w:r w:rsidRPr="002305F3">
        <w:rPr>
          <w:sz w:val="24"/>
          <w:szCs w:val="24"/>
        </w:rPr>
        <w:t xml:space="preserve">A debate was to emerge over </w:t>
      </w:r>
      <w:r w:rsidR="00BA29E1" w:rsidRPr="002305F3">
        <w:rPr>
          <w:sz w:val="24"/>
          <w:szCs w:val="24"/>
        </w:rPr>
        <w:t>how to explain and relate</w:t>
      </w:r>
      <w:r w:rsidR="00DD7721" w:rsidRPr="002305F3">
        <w:rPr>
          <w:sz w:val="24"/>
          <w:szCs w:val="24"/>
        </w:rPr>
        <w:t xml:space="preserve"> this </w:t>
      </w:r>
      <w:r w:rsidR="00BA29E1" w:rsidRPr="002305F3">
        <w:rPr>
          <w:sz w:val="24"/>
          <w:szCs w:val="24"/>
        </w:rPr>
        <w:t xml:space="preserve">reason and authority, this </w:t>
      </w:r>
      <w:r w:rsidR="00DD7721" w:rsidRPr="002305F3">
        <w:rPr>
          <w:sz w:val="24"/>
          <w:szCs w:val="24"/>
        </w:rPr>
        <w:t xml:space="preserve">Christianity and </w:t>
      </w:r>
      <w:r w:rsidR="00540747" w:rsidRPr="002305F3">
        <w:rPr>
          <w:sz w:val="24"/>
          <w:szCs w:val="24"/>
        </w:rPr>
        <w:t>philosophy</w:t>
      </w:r>
      <w:r w:rsidRPr="002305F3">
        <w:rPr>
          <w:sz w:val="24"/>
          <w:szCs w:val="24"/>
        </w:rPr>
        <w:t>.</w:t>
      </w:r>
      <w:r w:rsidR="004B63FC" w:rsidRPr="002305F3">
        <w:rPr>
          <w:sz w:val="24"/>
          <w:szCs w:val="24"/>
        </w:rPr>
        <w:t xml:space="preserve"> L</w:t>
      </w:r>
      <w:r w:rsidR="023C52A9" w:rsidRPr="002305F3">
        <w:rPr>
          <w:sz w:val="24"/>
          <w:szCs w:val="24"/>
        </w:rPr>
        <w:t xml:space="preserve">et us </w:t>
      </w:r>
      <w:r w:rsidR="00266AE3" w:rsidRPr="002305F3">
        <w:rPr>
          <w:sz w:val="24"/>
          <w:szCs w:val="24"/>
        </w:rPr>
        <w:t>overview</w:t>
      </w:r>
      <w:r w:rsidR="023C52A9" w:rsidRPr="002305F3">
        <w:rPr>
          <w:sz w:val="24"/>
          <w:szCs w:val="24"/>
        </w:rPr>
        <w:t xml:space="preserve"> some of the contours of the modern debate.  After that, </w:t>
      </w:r>
      <w:r w:rsidR="00553B30" w:rsidRPr="002305F3">
        <w:rPr>
          <w:sz w:val="24"/>
          <w:szCs w:val="24"/>
        </w:rPr>
        <w:t>we will look at</w:t>
      </w:r>
      <w:r w:rsidR="023C52A9" w:rsidRPr="002305F3">
        <w:rPr>
          <w:sz w:val="24"/>
          <w:szCs w:val="24"/>
        </w:rPr>
        <w:t xml:space="preserve"> some other fine work in reading Augustine which </w:t>
      </w:r>
      <w:r w:rsidR="00F833A6" w:rsidRPr="002305F3">
        <w:rPr>
          <w:sz w:val="24"/>
          <w:szCs w:val="24"/>
        </w:rPr>
        <w:t>is not so deeply involved with that</w:t>
      </w:r>
      <w:r w:rsidR="023C52A9" w:rsidRPr="002305F3">
        <w:rPr>
          <w:sz w:val="24"/>
          <w:szCs w:val="24"/>
        </w:rPr>
        <w:t xml:space="preserve"> debate</w:t>
      </w:r>
      <w:r w:rsidR="002045C5" w:rsidRPr="002305F3">
        <w:rPr>
          <w:sz w:val="24"/>
          <w:szCs w:val="24"/>
        </w:rPr>
        <w:t xml:space="preserve"> </w:t>
      </w:r>
      <w:r w:rsidR="00DC564E" w:rsidRPr="002305F3">
        <w:rPr>
          <w:sz w:val="24"/>
          <w:szCs w:val="24"/>
        </w:rPr>
        <w:t>before</w:t>
      </w:r>
      <w:r w:rsidR="002045C5" w:rsidRPr="002305F3">
        <w:rPr>
          <w:sz w:val="24"/>
          <w:szCs w:val="24"/>
        </w:rPr>
        <w:t xml:space="preserve"> </w:t>
      </w:r>
      <w:r w:rsidR="00F5432F" w:rsidRPr="002305F3">
        <w:rPr>
          <w:sz w:val="24"/>
          <w:szCs w:val="24"/>
        </w:rPr>
        <w:t>considering the current and future state of Augustine scholarship</w:t>
      </w:r>
      <w:r w:rsidR="002045C5" w:rsidRPr="002305F3">
        <w:rPr>
          <w:sz w:val="24"/>
          <w:szCs w:val="24"/>
        </w:rPr>
        <w:t>.</w:t>
      </w:r>
    </w:p>
    <w:p w14:paraId="558B25C1" w14:textId="300F1BF6" w:rsidR="00AF5251" w:rsidRPr="002305F3" w:rsidRDefault="002D0C6D" w:rsidP="023C52A9">
      <w:pPr>
        <w:spacing w:line="480" w:lineRule="auto"/>
        <w:contextualSpacing/>
        <w:jc w:val="center"/>
        <w:rPr>
          <w:sz w:val="24"/>
          <w:szCs w:val="24"/>
        </w:rPr>
      </w:pPr>
      <w:r w:rsidRPr="002305F3">
        <w:rPr>
          <w:sz w:val="24"/>
          <w:szCs w:val="24"/>
        </w:rPr>
        <w:t>I</w:t>
      </w:r>
      <w:r w:rsidR="023C52A9" w:rsidRPr="002305F3">
        <w:rPr>
          <w:sz w:val="24"/>
          <w:szCs w:val="24"/>
        </w:rPr>
        <w:t>. The Modern Debate</w:t>
      </w:r>
    </w:p>
    <w:p w14:paraId="66316F25" w14:textId="5FAB8ABC" w:rsidR="00A24A5C" w:rsidRPr="002305F3" w:rsidRDefault="00AD0E02" w:rsidP="00307FB5">
      <w:pPr>
        <w:spacing w:line="480" w:lineRule="auto"/>
        <w:ind w:firstLine="720"/>
        <w:rPr>
          <w:sz w:val="24"/>
          <w:szCs w:val="24"/>
        </w:rPr>
      </w:pPr>
      <w:r w:rsidRPr="002305F3">
        <w:rPr>
          <w:sz w:val="24"/>
          <w:szCs w:val="24"/>
        </w:rPr>
        <w:t>O’Donnell</w:t>
      </w:r>
      <w:r w:rsidR="00652EF9" w:rsidRPr="002305F3">
        <w:rPr>
          <w:sz w:val="24"/>
          <w:szCs w:val="24"/>
        </w:rPr>
        <w:t xml:space="preserve"> introduces </w:t>
      </w:r>
      <w:r w:rsidR="00652EF9" w:rsidRPr="002305F3">
        <w:rPr>
          <w:i/>
          <w:sz w:val="24"/>
          <w:szCs w:val="24"/>
        </w:rPr>
        <w:t>two</w:t>
      </w:r>
      <w:r w:rsidR="00652EF9" w:rsidRPr="002305F3">
        <w:rPr>
          <w:sz w:val="24"/>
          <w:szCs w:val="24"/>
        </w:rPr>
        <w:t xml:space="preserve"> sides of the debate</w:t>
      </w:r>
      <w:r w:rsidRPr="002305F3">
        <w:rPr>
          <w:sz w:val="24"/>
          <w:szCs w:val="24"/>
        </w:rPr>
        <w:t>:</w:t>
      </w:r>
    </w:p>
    <w:p w14:paraId="4851989B" w14:textId="0A9DBBA8" w:rsidR="00862A7F" w:rsidRPr="002305F3" w:rsidRDefault="00AD0E02" w:rsidP="00226DAD">
      <w:pPr>
        <w:spacing w:line="480" w:lineRule="auto"/>
        <w:ind w:left="720"/>
        <w:rPr>
          <w:sz w:val="24"/>
          <w:szCs w:val="24"/>
        </w:rPr>
      </w:pPr>
      <w:r w:rsidRPr="002305F3">
        <w:rPr>
          <w:sz w:val="24"/>
          <w:szCs w:val="24"/>
        </w:rPr>
        <w:t>The place of ‘Platonism’ in Augustine has been looming larger for forty-odd years, since Courcelle’s first book at least. There is no comprehensive reassessment of the debate and of the underlying material. O’Connell stands for one position, Goulven Madec (whose book on Augustine and philosophy has been spoken of with eager anticipation for some years) will stand for another. There is opportunity for a fresh approach, one that I am not entirely confident I can adumbrate.</w:t>
      </w:r>
      <w:r w:rsidRPr="002305F3">
        <w:rPr>
          <w:rStyle w:val="FootnoteReference"/>
          <w:sz w:val="24"/>
          <w:szCs w:val="24"/>
        </w:rPr>
        <w:footnoteReference w:id="2"/>
      </w:r>
    </w:p>
    <w:p w14:paraId="75EAEA97" w14:textId="6F45B92B" w:rsidR="00714B6E" w:rsidRPr="002305F3" w:rsidRDefault="00714B6E" w:rsidP="005E4AFA">
      <w:pPr>
        <w:spacing w:line="480" w:lineRule="auto"/>
        <w:contextualSpacing/>
        <w:rPr>
          <w:sz w:val="24"/>
          <w:szCs w:val="24"/>
        </w:rPr>
      </w:pPr>
      <w:r w:rsidRPr="002305F3">
        <w:rPr>
          <w:sz w:val="24"/>
          <w:szCs w:val="24"/>
        </w:rPr>
        <w:lastRenderedPageBreak/>
        <w:t xml:space="preserve">McEvoy overviews </w:t>
      </w:r>
      <w:r w:rsidRPr="002305F3">
        <w:rPr>
          <w:i/>
          <w:sz w:val="24"/>
          <w:szCs w:val="24"/>
        </w:rPr>
        <w:t>three</w:t>
      </w:r>
      <w:r w:rsidRPr="002305F3">
        <w:rPr>
          <w:sz w:val="24"/>
          <w:szCs w:val="24"/>
        </w:rPr>
        <w:t xml:space="preserve"> dominant paradigms for interpreting</w:t>
      </w:r>
      <w:r w:rsidR="00DD7721" w:rsidRPr="002305F3">
        <w:rPr>
          <w:sz w:val="24"/>
          <w:szCs w:val="24"/>
        </w:rPr>
        <w:t xml:space="preserve"> the relation of</w:t>
      </w:r>
      <w:r w:rsidRPr="002305F3">
        <w:rPr>
          <w:sz w:val="24"/>
          <w:szCs w:val="24"/>
        </w:rPr>
        <w:t xml:space="preserve"> church </w:t>
      </w:r>
      <w:r w:rsidR="00DD7721" w:rsidRPr="002305F3">
        <w:rPr>
          <w:sz w:val="24"/>
          <w:szCs w:val="24"/>
        </w:rPr>
        <w:t>fathers</w:t>
      </w:r>
      <w:r w:rsidRPr="002305F3">
        <w:rPr>
          <w:sz w:val="24"/>
          <w:szCs w:val="24"/>
        </w:rPr>
        <w:t xml:space="preserve"> to neo-Platonism.</w:t>
      </w:r>
      <w:r w:rsidRPr="002305F3">
        <w:rPr>
          <w:rStyle w:val="FootnoteReference"/>
          <w:sz w:val="24"/>
          <w:szCs w:val="24"/>
        </w:rPr>
        <w:footnoteReference w:id="3"/>
      </w:r>
      <w:r w:rsidRPr="002305F3">
        <w:rPr>
          <w:sz w:val="24"/>
          <w:szCs w:val="24"/>
        </w:rPr>
        <w:t xml:space="preserve">  There is the </w:t>
      </w:r>
      <w:r w:rsidR="0026323A">
        <w:rPr>
          <w:sz w:val="24"/>
          <w:szCs w:val="24"/>
        </w:rPr>
        <w:t>‘</w:t>
      </w:r>
      <w:r w:rsidRPr="002305F3">
        <w:rPr>
          <w:sz w:val="24"/>
          <w:szCs w:val="24"/>
        </w:rPr>
        <w:t>influence</w:t>
      </w:r>
      <w:r w:rsidR="0026323A">
        <w:rPr>
          <w:sz w:val="24"/>
          <w:szCs w:val="24"/>
        </w:rPr>
        <w:t>’</w:t>
      </w:r>
      <w:r w:rsidRPr="002305F3">
        <w:rPr>
          <w:sz w:val="24"/>
          <w:szCs w:val="24"/>
        </w:rPr>
        <w:t xml:space="preserve"> or </w:t>
      </w:r>
      <w:r w:rsidR="0026323A">
        <w:rPr>
          <w:sz w:val="24"/>
          <w:szCs w:val="24"/>
        </w:rPr>
        <w:t>‘</w:t>
      </w:r>
      <w:r w:rsidRPr="002305F3">
        <w:rPr>
          <w:sz w:val="24"/>
          <w:szCs w:val="24"/>
        </w:rPr>
        <w:t>evolutionist</w:t>
      </w:r>
      <w:r w:rsidR="0026323A">
        <w:rPr>
          <w:sz w:val="24"/>
          <w:szCs w:val="24"/>
        </w:rPr>
        <w:t>’</w:t>
      </w:r>
      <w:r w:rsidRPr="002305F3">
        <w:rPr>
          <w:sz w:val="24"/>
          <w:szCs w:val="24"/>
        </w:rPr>
        <w:t xml:space="preserve"> paradigm—the dramatic development thesis.  There is the </w:t>
      </w:r>
      <w:r w:rsidR="00785C14">
        <w:rPr>
          <w:sz w:val="24"/>
          <w:szCs w:val="24"/>
        </w:rPr>
        <w:t>‘</w:t>
      </w:r>
      <w:r w:rsidRPr="002305F3">
        <w:rPr>
          <w:sz w:val="24"/>
          <w:szCs w:val="24"/>
        </w:rPr>
        <w:t>syncretism</w:t>
      </w:r>
      <w:r w:rsidR="00785C14">
        <w:rPr>
          <w:sz w:val="24"/>
          <w:szCs w:val="24"/>
        </w:rPr>
        <w:t>’</w:t>
      </w:r>
      <w:r w:rsidRPr="002305F3">
        <w:rPr>
          <w:sz w:val="24"/>
          <w:szCs w:val="24"/>
        </w:rPr>
        <w:t xml:space="preserve"> paradigm—the Christian neo-</w:t>
      </w:r>
      <w:r w:rsidR="004320D1" w:rsidRPr="002305F3">
        <w:rPr>
          <w:sz w:val="24"/>
          <w:szCs w:val="24"/>
        </w:rPr>
        <w:t>Platonism</w:t>
      </w:r>
      <w:r w:rsidRPr="002305F3">
        <w:rPr>
          <w:sz w:val="24"/>
          <w:szCs w:val="24"/>
        </w:rPr>
        <w:t xml:space="preserve"> thesis.  </w:t>
      </w:r>
      <w:r w:rsidR="00DD7721" w:rsidRPr="002305F3">
        <w:rPr>
          <w:sz w:val="24"/>
          <w:szCs w:val="24"/>
        </w:rPr>
        <w:t xml:space="preserve">McEvoy endorses </w:t>
      </w:r>
      <w:r w:rsidRPr="002305F3">
        <w:rPr>
          <w:sz w:val="24"/>
          <w:szCs w:val="24"/>
        </w:rPr>
        <w:t xml:space="preserve">the </w:t>
      </w:r>
      <w:r w:rsidR="00785C14">
        <w:rPr>
          <w:sz w:val="24"/>
          <w:szCs w:val="24"/>
        </w:rPr>
        <w:t>‘</w:t>
      </w:r>
      <w:r w:rsidRPr="002305F3">
        <w:rPr>
          <w:sz w:val="24"/>
          <w:szCs w:val="24"/>
        </w:rPr>
        <w:t>discernment</w:t>
      </w:r>
      <w:r w:rsidR="00785C14">
        <w:rPr>
          <w:sz w:val="24"/>
          <w:szCs w:val="24"/>
        </w:rPr>
        <w:t xml:space="preserve">’ </w:t>
      </w:r>
      <w:r w:rsidRPr="002305F3">
        <w:rPr>
          <w:sz w:val="24"/>
          <w:szCs w:val="24"/>
        </w:rPr>
        <w:t>thesis—</w:t>
      </w:r>
      <w:r w:rsidR="00DD7721" w:rsidRPr="002305F3">
        <w:rPr>
          <w:sz w:val="24"/>
          <w:szCs w:val="24"/>
        </w:rPr>
        <w:t xml:space="preserve">the </w:t>
      </w:r>
      <w:r w:rsidRPr="002305F3">
        <w:rPr>
          <w:sz w:val="24"/>
          <w:szCs w:val="24"/>
        </w:rPr>
        <w:t xml:space="preserve">Platonically informed </w:t>
      </w:r>
      <w:r w:rsidR="004320D1" w:rsidRPr="002305F3">
        <w:rPr>
          <w:sz w:val="24"/>
          <w:szCs w:val="24"/>
        </w:rPr>
        <w:t>Christianity</w:t>
      </w:r>
      <w:r w:rsidR="00DD7721" w:rsidRPr="002305F3">
        <w:rPr>
          <w:sz w:val="24"/>
          <w:szCs w:val="24"/>
        </w:rPr>
        <w:t xml:space="preserve"> thesis.</w:t>
      </w:r>
      <w:r w:rsidRPr="002305F3">
        <w:rPr>
          <w:rStyle w:val="FootnoteReference"/>
          <w:sz w:val="24"/>
          <w:szCs w:val="24"/>
        </w:rPr>
        <w:footnoteReference w:id="4"/>
      </w:r>
    </w:p>
    <w:p w14:paraId="691DEEF1" w14:textId="2386D23D" w:rsidR="00AD0E02" w:rsidRPr="002305F3" w:rsidRDefault="00AD0E02" w:rsidP="00307FB5">
      <w:pPr>
        <w:spacing w:line="480" w:lineRule="auto"/>
        <w:ind w:firstLine="720"/>
        <w:rPr>
          <w:sz w:val="24"/>
          <w:szCs w:val="24"/>
        </w:rPr>
      </w:pPr>
      <w:r w:rsidRPr="002305F3">
        <w:rPr>
          <w:sz w:val="24"/>
          <w:szCs w:val="24"/>
        </w:rPr>
        <w:t>Van Fleteren</w:t>
      </w:r>
      <w:r w:rsidR="00652EF9" w:rsidRPr="002305F3">
        <w:rPr>
          <w:sz w:val="24"/>
          <w:szCs w:val="24"/>
        </w:rPr>
        <w:t xml:space="preserve"> introduces </w:t>
      </w:r>
      <w:r w:rsidR="00652EF9" w:rsidRPr="002305F3">
        <w:rPr>
          <w:i/>
          <w:sz w:val="24"/>
          <w:szCs w:val="24"/>
        </w:rPr>
        <w:t>four</w:t>
      </w:r>
      <w:r w:rsidR="00652EF9" w:rsidRPr="002305F3">
        <w:rPr>
          <w:sz w:val="24"/>
          <w:szCs w:val="24"/>
        </w:rPr>
        <w:t xml:space="preserve"> sides of the debate</w:t>
      </w:r>
      <w:r w:rsidR="00714B6E" w:rsidRPr="002305F3">
        <w:rPr>
          <w:sz w:val="24"/>
          <w:szCs w:val="24"/>
        </w:rPr>
        <w:t xml:space="preserve">.  </w:t>
      </w:r>
      <w:r w:rsidRPr="002305F3">
        <w:rPr>
          <w:sz w:val="24"/>
          <w:szCs w:val="24"/>
        </w:rPr>
        <w:t>Courcelle</w:t>
      </w:r>
      <w:r w:rsidR="00714B6E" w:rsidRPr="002305F3">
        <w:rPr>
          <w:sz w:val="24"/>
          <w:szCs w:val="24"/>
        </w:rPr>
        <w:t xml:space="preserve"> had earlier</w:t>
      </w:r>
      <w:r w:rsidRPr="002305F3">
        <w:rPr>
          <w:sz w:val="24"/>
          <w:szCs w:val="24"/>
        </w:rPr>
        <w:t xml:space="preserve"> show</w:t>
      </w:r>
      <w:r w:rsidR="00714B6E" w:rsidRPr="002305F3">
        <w:rPr>
          <w:sz w:val="24"/>
          <w:szCs w:val="24"/>
        </w:rPr>
        <w:t>n</w:t>
      </w:r>
      <w:r w:rsidR="00DD7721" w:rsidRPr="002305F3">
        <w:rPr>
          <w:sz w:val="24"/>
          <w:szCs w:val="24"/>
        </w:rPr>
        <w:t xml:space="preserve"> that a simple choice between </w:t>
      </w:r>
      <w:r w:rsidR="00785C14">
        <w:rPr>
          <w:sz w:val="24"/>
          <w:szCs w:val="24"/>
        </w:rPr>
        <w:t>‘</w:t>
      </w:r>
      <w:r w:rsidR="00DD7721" w:rsidRPr="002305F3">
        <w:rPr>
          <w:sz w:val="24"/>
          <w:szCs w:val="24"/>
        </w:rPr>
        <w:t>Neoplatonism or Christianity</w:t>
      </w:r>
      <w:r w:rsidR="00785C14">
        <w:rPr>
          <w:sz w:val="24"/>
          <w:szCs w:val="24"/>
        </w:rPr>
        <w:t xml:space="preserve">’ </w:t>
      </w:r>
      <w:r w:rsidR="00DD7721" w:rsidRPr="002305F3">
        <w:rPr>
          <w:sz w:val="24"/>
          <w:szCs w:val="24"/>
        </w:rPr>
        <w:t>is</w:t>
      </w:r>
      <w:r w:rsidRPr="002305F3">
        <w:rPr>
          <w:sz w:val="24"/>
          <w:szCs w:val="24"/>
        </w:rPr>
        <w:t xml:space="preserve"> a false dichotomy.</w:t>
      </w:r>
      <w:r w:rsidR="00DD7721" w:rsidRPr="002305F3">
        <w:rPr>
          <w:rStyle w:val="FootnoteReference"/>
          <w:sz w:val="24"/>
          <w:szCs w:val="24"/>
        </w:rPr>
        <w:footnoteReference w:id="5"/>
      </w:r>
      <w:r w:rsidRPr="002305F3">
        <w:rPr>
          <w:sz w:val="24"/>
          <w:szCs w:val="24"/>
        </w:rPr>
        <w:t xml:space="preserve">  Van Fleteren mentions three </w:t>
      </w:r>
      <w:r w:rsidR="005E4AFA" w:rsidRPr="002305F3">
        <w:rPr>
          <w:sz w:val="24"/>
          <w:szCs w:val="24"/>
        </w:rPr>
        <w:t>mistaken interpretations</w:t>
      </w:r>
      <w:r w:rsidRPr="002305F3">
        <w:rPr>
          <w:sz w:val="24"/>
          <w:szCs w:val="24"/>
        </w:rPr>
        <w:t>:</w:t>
      </w:r>
    </w:p>
    <w:p w14:paraId="3C648478" w14:textId="77777777" w:rsidR="00AD0E02" w:rsidRPr="002305F3" w:rsidRDefault="00AD0E02" w:rsidP="00307FB5">
      <w:pPr>
        <w:spacing w:line="480" w:lineRule="auto"/>
        <w:ind w:left="720"/>
        <w:rPr>
          <w:sz w:val="24"/>
          <w:szCs w:val="24"/>
        </w:rPr>
      </w:pPr>
      <w:r w:rsidRPr="002305F3">
        <w:rPr>
          <w:sz w:val="24"/>
          <w:szCs w:val="24"/>
        </w:rPr>
        <w:t>(1) Augustine is purely a theologian; (2) Augustine is a Christian thinker acquainted with philosophy; (3) Augustine possesses a philosophy not only distinct, but actually separate from theology.</w:t>
      </w:r>
      <w:r w:rsidRPr="002305F3">
        <w:rPr>
          <w:rStyle w:val="FootnoteReference"/>
          <w:sz w:val="24"/>
          <w:szCs w:val="24"/>
        </w:rPr>
        <w:footnoteReference w:id="6"/>
      </w:r>
    </w:p>
    <w:p w14:paraId="44887801" w14:textId="4B196CCD" w:rsidR="00AD0E02" w:rsidRPr="002305F3" w:rsidRDefault="00AD0E02" w:rsidP="008A1AD2">
      <w:pPr>
        <w:spacing w:line="480" w:lineRule="auto"/>
        <w:rPr>
          <w:sz w:val="24"/>
          <w:szCs w:val="24"/>
        </w:rPr>
      </w:pPr>
      <w:r w:rsidRPr="002305F3">
        <w:rPr>
          <w:sz w:val="24"/>
          <w:szCs w:val="24"/>
        </w:rPr>
        <w:t>He recommends a fourth option, in which philosophy and theology are neither separate nor distinct in Augustine’s thought</w:t>
      </w:r>
      <w:r w:rsidRPr="002305F3">
        <w:rPr>
          <w:rStyle w:val="FootnoteReference"/>
          <w:sz w:val="24"/>
          <w:szCs w:val="24"/>
        </w:rPr>
        <w:footnoteReference w:id="7"/>
      </w:r>
      <w:r w:rsidRPr="002305F3">
        <w:rPr>
          <w:sz w:val="24"/>
          <w:szCs w:val="24"/>
        </w:rPr>
        <w:t xml:space="preserve"> and in which</w:t>
      </w:r>
      <w:r w:rsidR="00714B6E" w:rsidRPr="002305F3">
        <w:rPr>
          <w:sz w:val="24"/>
          <w:szCs w:val="24"/>
        </w:rPr>
        <w:t xml:space="preserve"> </w:t>
      </w:r>
      <w:r w:rsidR="00DE7752" w:rsidRPr="002305F3">
        <w:rPr>
          <w:sz w:val="24"/>
          <w:szCs w:val="24"/>
        </w:rPr>
        <w:t>neo-Pl</w:t>
      </w:r>
      <w:r w:rsidRPr="002305F3">
        <w:rPr>
          <w:sz w:val="24"/>
          <w:szCs w:val="24"/>
        </w:rPr>
        <w:t>atonism and Christianity mutually interpret one another.</w:t>
      </w:r>
      <w:r w:rsidRPr="002305F3">
        <w:rPr>
          <w:rStyle w:val="FootnoteReference"/>
          <w:sz w:val="24"/>
          <w:szCs w:val="24"/>
        </w:rPr>
        <w:footnoteReference w:id="8"/>
      </w:r>
    </w:p>
    <w:p w14:paraId="2BC53416" w14:textId="4CF30B40" w:rsidR="00AD0E02" w:rsidRPr="002305F3" w:rsidRDefault="004F683B" w:rsidP="023C52A9">
      <w:pPr>
        <w:spacing w:line="480" w:lineRule="auto"/>
        <w:ind w:firstLine="720"/>
        <w:contextualSpacing/>
        <w:rPr>
          <w:sz w:val="24"/>
          <w:szCs w:val="24"/>
        </w:rPr>
      </w:pPr>
      <w:r w:rsidRPr="002305F3">
        <w:rPr>
          <w:sz w:val="24"/>
          <w:szCs w:val="24"/>
        </w:rPr>
        <w:t>Following</w:t>
      </w:r>
      <w:r w:rsidR="00714B6E" w:rsidRPr="002305F3">
        <w:rPr>
          <w:sz w:val="24"/>
          <w:szCs w:val="24"/>
        </w:rPr>
        <w:t xml:space="preserve"> Van Fleteren</w:t>
      </w:r>
      <w:r w:rsidRPr="002305F3">
        <w:rPr>
          <w:sz w:val="24"/>
          <w:szCs w:val="24"/>
        </w:rPr>
        <w:t>, I</w:t>
      </w:r>
      <w:r w:rsidR="00AD0E02" w:rsidRPr="002305F3">
        <w:rPr>
          <w:sz w:val="24"/>
          <w:szCs w:val="24"/>
        </w:rPr>
        <w:t xml:space="preserve"> distinguish </w:t>
      </w:r>
      <w:r w:rsidR="00AD0E02" w:rsidRPr="002305F3">
        <w:rPr>
          <w:i/>
          <w:sz w:val="24"/>
          <w:szCs w:val="24"/>
        </w:rPr>
        <w:t>four</w:t>
      </w:r>
      <w:r w:rsidR="00AD0E02" w:rsidRPr="002305F3">
        <w:rPr>
          <w:sz w:val="24"/>
          <w:szCs w:val="24"/>
        </w:rPr>
        <w:t xml:space="preserve"> ways of reading </w:t>
      </w:r>
      <w:r w:rsidR="0002311E" w:rsidRPr="002305F3">
        <w:rPr>
          <w:sz w:val="24"/>
          <w:szCs w:val="24"/>
        </w:rPr>
        <w:t>Augustine</w:t>
      </w:r>
      <w:r w:rsidR="0023591A" w:rsidRPr="002305F3">
        <w:rPr>
          <w:sz w:val="24"/>
          <w:szCs w:val="24"/>
        </w:rPr>
        <w:t>.</w:t>
      </w:r>
      <w:r w:rsidR="00AD0E02" w:rsidRPr="002305F3">
        <w:rPr>
          <w:sz w:val="24"/>
          <w:szCs w:val="24"/>
        </w:rPr>
        <w:t xml:space="preserve">  </w:t>
      </w:r>
      <w:r w:rsidR="005E4AFA" w:rsidRPr="002305F3">
        <w:rPr>
          <w:sz w:val="24"/>
          <w:szCs w:val="24"/>
        </w:rPr>
        <w:t xml:space="preserve">According to the </w:t>
      </w:r>
      <w:r w:rsidR="00AD0E02" w:rsidRPr="002305F3">
        <w:rPr>
          <w:sz w:val="24"/>
          <w:szCs w:val="24"/>
        </w:rPr>
        <w:t xml:space="preserve">dramatic development thesis, there are two Augustines, first the younger and more philosophical </w:t>
      </w:r>
      <w:r w:rsidR="00AD0E02" w:rsidRPr="002305F3">
        <w:rPr>
          <w:sz w:val="24"/>
          <w:szCs w:val="24"/>
        </w:rPr>
        <w:lastRenderedPageBreak/>
        <w:t xml:space="preserve">and then the older and more theological.  In some versions the development is radical: Augustine begins as a neo-Platonist and </w:t>
      </w:r>
      <w:r w:rsidR="00AD0E02" w:rsidRPr="002305F3">
        <w:rPr>
          <w:i/>
          <w:iCs/>
          <w:sz w:val="24"/>
          <w:szCs w:val="24"/>
        </w:rPr>
        <w:t>not</w:t>
      </w:r>
      <w:r w:rsidR="00AD0E02" w:rsidRPr="002305F3">
        <w:rPr>
          <w:sz w:val="24"/>
          <w:szCs w:val="24"/>
        </w:rPr>
        <w:t xml:space="preserve"> a Christian, then later becomes a Christian and abandons neo-Platonism.  In less radical versions, </w:t>
      </w:r>
      <w:r w:rsidR="00867BF9" w:rsidRPr="002305F3">
        <w:rPr>
          <w:sz w:val="24"/>
          <w:szCs w:val="24"/>
        </w:rPr>
        <w:t>he</w:t>
      </w:r>
      <w:r w:rsidR="00AD0E02" w:rsidRPr="002305F3">
        <w:rPr>
          <w:sz w:val="24"/>
          <w:szCs w:val="24"/>
        </w:rPr>
        <w:t xml:space="preserve"> begins as a Christian optimistic about reason</w:t>
      </w:r>
      <w:r w:rsidR="004B63FC" w:rsidRPr="002305F3">
        <w:rPr>
          <w:sz w:val="24"/>
          <w:szCs w:val="24"/>
        </w:rPr>
        <w:t>—</w:t>
      </w:r>
      <w:r w:rsidR="00AD0E02" w:rsidRPr="002305F3">
        <w:rPr>
          <w:sz w:val="24"/>
          <w:szCs w:val="24"/>
        </w:rPr>
        <w:t>more of a philosopher and less of a theologian than he would later become</w:t>
      </w:r>
      <w:r w:rsidR="004B63FC" w:rsidRPr="002305F3">
        <w:rPr>
          <w:sz w:val="24"/>
          <w:szCs w:val="24"/>
        </w:rPr>
        <w:t>—</w:t>
      </w:r>
      <w:r w:rsidR="00AD0E02" w:rsidRPr="002305F3">
        <w:rPr>
          <w:sz w:val="24"/>
          <w:szCs w:val="24"/>
        </w:rPr>
        <w:t xml:space="preserve">yet finishes </w:t>
      </w:r>
      <w:r w:rsidR="00AD0E02" w:rsidRPr="002305F3">
        <w:rPr>
          <w:i/>
          <w:sz w:val="24"/>
          <w:szCs w:val="24"/>
        </w:rPr>
        <w:t>still</w:t>
      </w:r>
      <w:r w:rsidR="00AD0E02" w:rsidRPr="002305F3">
        <w:rPr>
          <w:sz w:val="24"/>
          <w:szCs w:val="24"/>
        </w:rPr>
        <w:t xml:space="preserve"> a Christian and </w:t>
      </w:r>
      <w:r w:rsidR="00AD0E02" w:rsidRPr="002305F3">
        <w:rPr>
          <w:i/>
          <w:sz w:val="24"/>
          <w:szCs w:val="24"/>
        </w:rPr>
        <w:t>less</w:t>
      </w:r>
      <w:r w:rsidR="00AD0E02" w:rsidRPr="002305F3">
        <w:rPr>
          <w:sz w:val="24"/>
          <w:szCs w:val="24"/>
        </w:rPr>
        <w:t xml:space="preserve"> an optimistic philosopher.  Another way of reading Augustine is to view him as consistently both a Christian and a neo-Platonist.  A third way is to view him as a Christian who </w:t>
      </w:r>
      <w:r w:rsidR="00FD1E2D">
        <w:rPr>
          <w:sz w:val="24"/>
          <w:szCs w:val="24"/>
        </w:rPr>
        <w:t>is simply</w:t>
      </w:r>
      <w:r w:rsidR="00AD0E02" w:rsidRPr="002305F3">
        <w:rPr>
          <w:sz w:val="24"/>
          <w:szCs w:val="24"/>
        </w:rPr>
        <w:t xml:space="preserve"> </w:t>
      </w:r>
      <w:r w:rsidR="00FD1E2D">
        <w:rPr>
          <w:i/>
          <w:iCs/>
          <w:sz w:val="24"/>
          <w:szCs w:val="24"/>
        </w:rPr>
        <w:t>not</w:t>
      </w:r>
      <w:r w:rsidR="00FD1E2D">
        <w:rPr>
          <w:sz w:val="24"/>
          <w:szCs w:val="24"/>
        </w:rPr>
        <w:t xml:space="preserve"> a</w:t>
      </w:r>
      <w:r w:rsidR="00AD0E02" w:rsidRPr="002305F3">
        <w:rPr>
          <w:sz w:val="24"/>
          <w:szCs w:val="24"/>
        </w:rPr>
        <w:t xml:space="preserve"> neo-Platonism.  Finally, he is often read as a consistently Christian thinker who is informed by some neo-Platonic insights, yet without being simply or fully a neo-Platonist.</w:t>
      </w:r>
    </w:p>
    <w:p w14:paraId="5A69C147" w14:textId="0CBD6BFB" w:rsidR="00AD0E02" w:rsidRPr="002305F3" w:rsidRDefault="00AD0E02" w:rsidP="023C52A9">
      <w:pPr>
        <w:spacing w:line="480" w:lineRule="auto"/>
        <w:ind w:firstLine="720"/>
        <w:contextualSpacing/>
        <w:rPr>
          <w:sz w:val="24"/>
          <w:szCs w:val="24"/>
        </w:rPr>
      </w:pPr>
      <w:r w:rsidRPr="002305F3">
        <w:rPr>
          <w:sz w:val="24"/>
          <w:szCs w:val="24"/>
        </w:rPr>
        <w:t xml:space="preserve">The modern debate began in 1888 when Adolph von Harnack pioneered the thesis that Augustine actually began his career </w:t>
      </w:r>
      <w:r w:rsidR="004B63FC" w:rsidRPr="002305F3">
        <w:rPr>
          <w:sz w:val="24"/>
          <w:szCs w:val="24"/>
        </w:rPr>
        <w:t>in Christian writing</w:t>
      </w:r>
      <w:r w:rsidRPr="002305F3">
        <w:rPr>
          <w:sz w:val="24"/>
          <w:szCs w:val="24"/>
        </w:rPr>
        <w:t xml:space="preserve"> as . . . not really a Christian!</w:t>
      </w:r>
      <w:r w:rsidRPr="002305F3">
        <w:rPr>
          <w:rStyle w:val="FootnoteReference"/>
          <w:sz w:val="24"/>
          <w:szCs w:val="24"/>
        </w:rPr>
        <w:footnoteReference w:id="9"/>
      </w:r>
      <w:r w:rsidRPr="002305F3">
        <w:rPr>
          <w:sz w:val="24"/>
          <w:szCs w:val="24"/>
        </w:rPr>
        <w:t xml:space="preserve">  He was a neo-Platonist who</w:t>
      </w:r>
      <w:r w:rsidR="005E4AFA" w:rsidRPr="002305F3">
        <w:rPr>
          <w:sz w:val="24"/>
          <w:szCs w:val="24"/>
        </w:rPr>
        <w:t xml:space="preserve"> later</w:t>
      </w:r>
      <w:r w:rsidRPr="002305F3">
        <w:rPr>
          <w:sz w:val="24"/>
          <w:szCs w:val="24"/>
        </w:rPr>
        <w:t xml:space="preserve"> </w:t>
      </w:r>
      <w:r w:rsidR="005E4AFA" w:rsidRPr="002305F3">
        <w:rPr>
          <w:sz w:val="24"/>
          <w:szCs w:val="24"/>
        </w:rPr>
        <w:t>adopted</w:t>
      </w:r>
      <w:r w:rsidRPr="002305F3">
        <w:rPr>
          <w:sz w:val="24"/>
          <w:szCs w:val="24"/>
        </w:rPr>
        <w:t xml:space="preserve"> orthodox Christian theology.  This is the dramatic development thesis in its </w:t>
      </w:r>
      <w:r w:rsidR="004B63FC" w:rsidRPr="002305F3">
        <w:rPr>
          <w:sz w:val="24"/>
          <w:szCs w:val="24"/>
        </w:rPr>
        <w:t xml:space="preserve">more </w:t>
      </w:r>
      <w:r w:rsidRPr="002305F3">
        <w:rPr>
          <w:sz w:val="24"/>
          <w:szCs w:val="24"/>
        </w:rPr>
        <w:t>radical form.</w:t>
      </w:r>
      <w:r w:rsidRPr="002305F3">
        <w:rPr>
          <w:rStyle w:val="FootnoteReference"/>
          <w:sz w:val="24"/>
          <w:szCs w:val="24"/>
        </w:rPr>
        <w:footnoteReference w:id="10"/>
      </w:r>
      <w:r w:rsidRPr="002305F3">
        <w:rPr>
          <w:sz w:val="24"/>
          <w:szCs w:val="24"/>
        </w:rPr>
        <w:t xml:space="preserve">  Gaston Boissier in the same year contributed.</w:t>
      </w:r>
      <w:r w:rsidRPr="002305F3">
        <w:rPr>
          <w:rStyle w:val="FootnoteReference"/>
          <w:sz w:val="24"/>
          <w:szCs w:val="24"/>
        </w:rPr>
        <w:footnoteReference w:id="11"/>
      </w:r>
      <w:r w:rsidRPr="002305F3">
        <w:rPr>
          <w:sz w:val="24"/>
          <w:szCs w:val="24"/>
        </w:rPr>
        <w:t xml:space="preserve">  Later the name of Prosper Alfaric rose to prominence in this tradition.</w:t>
      </w:r>
      <w:r w:rsidRPr="002305F3">
        <w:rPr>
          <w:rStyle w:val="FootnoteReference"/>
          <w:sz w:val="24"/>
          <w:szCs w:val="24"/>
        </w:rPr>
        <w:footnoteReference w:id="12"/>
      </w:r>
      <w:r w:rsidRPr="002305F3">
        <w:rPr>
          <w:sz w:val="24"/>
          <w:szCs w:val="24"/>
        </w:rPr>
        <w:t xml:space="preserve"> Some continue to read Augustine in similar ways.</w:t>
      </w:r>
      <w:r w:rsidRPr="002305F3">
        <w:rPr>
          <w:rStyle w:val="FootnoteReference"/>
          <w:sz w:val="24"/>
          <w:szCs w:val="24"/>
        </w:rPr>
        <w:footnoteReference w:id="13"/>
      </w:r>
    </w:p>
    <w:p w14:paraId="7C0D461B" w14:textId="1AA64451" w:rsidR="00AD0E02" w:rsidRPr="002305F3" w:rsidRDefault="005E7965" w:rsidP="023C52A9">
      <w:pPr>
        <w:spacing w:line="480" w:lineRule="auto"/>
        <w:ind w:firstLine="720"/>
        <w:rPr>
          <w:sz w:val="24"/>
          <w:szCs w:val="24"/>
        </w:rPr>
      </w:pPr>
      <w:r w:rsidRPr="002305F3">
        <w:rPr>
          <w:sz w:val="24"/>
          <w:szCs w:val="24"/>
        </w:rPr>
        <w:lastRenderedPageBreak/>
        <w:t>H</w:t>
      </w:r>
      <w:r w:rsidR="00AD0E02" w:rsidRPr="002305F3">
        <w:rPr>
          <w:sz w:val="24"/>
          <w:szCs w:val="24"/>
        </w:rPr>
        <w:t>arrison comments credits Peter Brown, the great biographer of Augustine,</w:t>
      </w:r>
      <w:r w:rsidR="00AD0E02" w:rsidRPr="002305F3">
        <w:rPr>
          <w:rStyle w:val="FootnoteReference"/>
          <w:sz w:val="24"/>
          <w:szCs w:val="24"/>
        </w:rPr>
        <w:footnoteReference w:id="14"/>
      </w:r>
      <w:r w:rsidR="00AD0E02" w:rsidRPr="002305F3">
        <w:rPr>
          <w:sz w:val="24"/>
          <w:szCs w:val="24"/>
        </w:rPr>
        <w:t xml:space="preserve"> for popularizing </w:t>
      </w:r>
      <w:r w:rsidR="00896577" w:rsidRPr="002305F3">
        <w:rPr>
          <w:sz w:val="24"/>
          <w:szCs w:val="24"/>
        </w:rPr>
        <w:t>a less radical version of the dramatic development thesis</w:t>
      </w:r>
      <w:r w:rsidR="005E4AFA" w:rsidRPr="002305F3">
        <w:rPr>
          <w:sz w:val="24"/>
          <w:szCs w:val="24"/>
        </w:rPr>
        <w:t>. This is th</w:t>
      </w:r>
      <w:r w:rsidR="00AD0E02" w:rsidRPr="002305F3">
        <w:rPr>
          <w:sz w:val="24"/>
          <w:szCs w:val="24"/>
        </w:rPr>
        <w:t xml:space="preserve">e view that </w:t>
      </w:r>
      <w:r w:rsidR="00896577" w:rsidRPr="002305F3">
        <w:rPr>
          <w:sz w:val="24"/>
          <w:szCs w:val="24"/>
        </w:rPr>
        <w:t>Augustine</w:t>
      </w:r>
      <w:r w:rsidR="00AD0E02" w:rsidRPr="002305F3">
        <w:rPr>
          <w:sz w:val="24"/>
          <w:szCs w:val="24"/>
        </w:rPr>
        <w:t xml:space="preserve"> shifted from a philosophical optimism to a theological pessimism</w:t>
      </w:r>
      <w:r w:rsidR="005E4AFA" w:rsidRPr="002305F3">
        <w:rPr>
          <w:sz w:val="24"/>
          <w:szCs w:val="24"/>
        </w:rPr>
        <w:t>;</w:t>
      </w:r>
      <w:r w:rsidR="00AD0E02" w:rsidRPr="002305F3">
        <w:rPr>
          <w:sz w:val="24"/>
          <w:szCs w:val="24"/>
        </w:rPr>
        <w:t xml:space="preserve"> </w:t>
      </w:r>
      <w:r w:rsidR="0026323A">
        <w:rPr>
          <w:sz w:val="24"/>
          <w:szCs w:val="24"/>
        </w:rPr>
        <w:t>‘</w:t>
      </w:r>
      <w:r w:rsidR="00AD0E02" w:rsidRPr="002305F3">
        <w:rPr>
          <w:sz w:val="24"/>
          <w:szCs w:val="24"/>
        </w:rPr>
        <w:t>the young Augustine is seen as an optimistic devotee of a Christian philosophy which promises the attainment of perfection, moral purity and tranquility, and the contemplation of wisdom.</w:t>
      </w:r>
      <w:r w:rsidR="0026323A">
        <w:rPr>
          <w:sz w:val="24"/>
          <w:szCs w:val="24"/>
        </w:rPr>
        <w:t>’</w:t>
      </w:r>
      <w:r w:rsidR="00AD0E02" w:rsidRPr="002305F3">
        <w:rPr>
          <w:rStyle w:val="FootnoteReference"/>
          <w:sz w:val="24"/>
          <w:szCs w:val="24"/>
        </w:rPr>
        <w:footnoteReference w:id="15"/>
      </w:r>
      <w:r w:rsidR="00AD0E02" w:rsidRPr="002305F3">
        <w:rPr>
          <w:sz w:val="24"/>
          <w:szCs w:val="24"/>
        </w:rPr>
        <w:t xml:space="preserve">  </w:t>
      </w:r>
      <w:r w:rsidR="00896577" w:rsidRPr="002305F3">
        <w:rPr>
          <w:sz w:val="24"/>
          <w:szCs w:val="24"/>
        </w:rPr>
        <w:t>Harrison</w:t>
      </w:r>
      <w:r w:rsidR="00AD0E02" w:rsidRPr="002305F3">
        <w:rPr>
          <w:sz w:val="24"/>
          <w:szCs w:val="24"/>
        </w:rPr>
        <w:t xml:space="preserve"> notes that Brown himself later reconsidered,</w:t>
      </w:r>
      <w:r w:rsidR="00AD0E02" w:rsidRPr="002305F3">
        <w:rPr>
          <w:rStyle w:val="FootnoteReference"/>
          <w:sz w:val="24"/>
          <w:szCs w:val="24"/>
        </w:rPr>
        <w:footnoteReference w:id="16"/>
      </w:r>
      <w:r w:rsidR="00AD0E02" w:rsidRPr="002305F3">
        <w:rPr>
          <w:sz w:val="24"/>
          <w:szCs w:val="24"/>
        </w:rPr>
        <w:t xml:space="preserve"> although by that time many readers had adopted his interpretation.</w:t>
      </w:r>
    </w:p>
    <w:p w14:paraId="10BC25B5" w14:textId="4AFCD2F9" w:rsidR="00AD0E02" w:rsidRPr="002305F3" w:rsidRDefault="00AD0E02" w:rsidP="023C52A9">
      <w:pPr>
        <w:spacing w:line="480" w:lineRule="auto"/>
        <w:ind w:firstLine="720"/>
        <w:contextualSpacing/>
        <w:rPr>
          <w:sz w:val="24"/>
          <w:szCs w:val="24"/>
        </w:rPr>
      </w:pPr>
      <w:r w:rsidRPr="002305F3">
        <w:rPr>
          <w:sz w:val="24"/>
          <w:szCs w:val="24"/>
        </w:rPr>
        <w:t>The modern tradition of reading Augustine as a Christian neo-Platonist developed in part as a response to Alfaric.   Courcelle was a trailblazer.  He argued for the presence of Christian neo-Platonists in Milan in Augustine’s day— familiar names to Augustine scholars such as Ambrose and Theodorus.</w:t>
      </w:r>
      <w:r w:rsidRPr="002305F3">
        <w:rPr>
          <w:rStyle w:val="FootnoteReference"/>
          <w:sz w:val="24"/>
          <w:szCs w:val="24"/>
        </w:rPr>
        <w:footnoteReference w:id="17"/>
      </w:r>
      <w:r w:rsidRPr="002305F3">
        <w:rPr>
          <w:sz w:val="24"/>
          <w:szCs w:val="24"/>
        </w:rPr>
        <w:t xml:space="preserve">  Courcelle considers that Augustine himself was a neo-Platonist (and Christian) like they—although, interestingly, he follows Alfaric in treating the </w:t>
      </w:r>
      <w:r w:rsidRPr="002305F3">
        <w:rPr>
          <w:i/>
          <w:iCs/>
          <w:sz w:val="24"/>
          <w:szCs w:val="24"/>
        </w:rPr>
        <w:t>Confessions</w:t>
      </w:r>
      <w:r w:rsidRPr="002305F3">
        <w:rPr>
          <w:sz w:val="24"/>
          <w:szCs w:val="24"/>
        </w:rPr>
        <w:t xml:space="preserve"> as an inaccurate presentation of Augustine’s early theology.</w:t>
      </w:r>
      <w:r w:rsidRPr="002305F3">
        <w:rPr>
          <w:rStyle w:val="FootnoteReference"/>
          <w:sz w:val="24"/>
          <w:szCs w:val="24"/>
        </w:rPr>
        <w:footnoteReference w:id="18"/>
      </w:r>
    </w:p>
    <w:p w14:paraId="601A8BE5" w14:textId="6AB824E4" w:rsidR="00AD0E02" w:rsidRPr="002305F3" w:rsidRDefault="00896577" w:rsidP="00307FB5">
      <w:pPr>
        <w:spacing w:line="480" w:lineRule="auto"/>
        <w:ind w:firstLine="720"/>
        <w:rPr>
          <w:sz w:val="24"/>
          <w:szCs w:val="24"/>
        </w:rPr>
      </w:pPr>
      <w:r w:rsidRPr="002305F3">
        <w:rPr>
          <w:sz w:val="24"/>
          <w:szCs w:val="24"/>
        </w:rPr>
        <w:t>T</w:t>
      </w:r>
      <w:r w:rsidR="00AD0E02" w:rsidRPr="002305F3">
        <w:rPr>
          <w:sz w:val="24"/>
          <w:szCs w:val="24"/>
        </w:rPr>
        <w:t xml:space="preserve">he Courcelle tradition </w:t>
      </w:r>
      <w:r w:rsidRPr="002305F3">
        <w:rPr>
          <w:sz w:val="24"/>
          <w:szCs w:val="24"/>
        </w:rPr>
        <w:t>has it</w:t>
      </w:r>
      <w:r w:rsidR="00AD0E02" w:rsidRPr="002305F3">
        <w:rPr>
          <w:sz w:val="24"/>
          <w:szCs w:val="24"/>
        </w:rPr>
        <w:t xml:space="preserve"> that Augustine is a Christian neo-Platonist.  Courcelle is important, but </w:t>
      </w:r>
      <w:r w:rsidR="002D6ECF" w:rsidRPr="002305F3">
        <w:rPr>
          <w:sz w:val="24"/>
          <w:szCs w:val="24"/>
        </w:rPr>
        <w:t>O</w:t>
      </w:r>
      <w:r w:rsidR="00AD0E02" w:rsidRPr="002305F3">
        <w:rPr>
          <w:sz w:val="24"/>
          <w:szCs w:val="24"/>
        </w:rPr>
        <w:t>’Connell rivals him</w:t>
      </w:r>
      <w:r w:rsidR="00A92AFC" w:rsidRPr="002305F3">
        <w:rPr>
          <w:sz w:val="24"/>
          <w:szCs w:val="24"/>
        </w:rPr>
        <w:t>. O’Connell</w:t>
      </w:r>
      <w:r w:rsidR="00F833A6" w:rsidRPr="002305F3">
        <w:rPr>
          <w:sz w:val="24"/>
          <w:szCs w:val="24"/>
        </w:rPr>
        <w:t xml:space="preserve"> </w:t>
      </w:r>
      <w:r w:rsidR="00AD0E02" w:rsidRPr="002305F3">
        <w:rPr>
          <w:sz w:val="24"/>
          <w:szCs w:val="24"/>
        </w:rPr>
        <w:t xml:space="preserve">claims that the </w:t>
      </w:r>
      <w:r w:rsidR="0026323A">
        <w:rPr>
          <w:sz w:val="24"/>
          <w:szCs w:val="24"/>
        </w:rPr>
        <w:t>‘</w:t>
      </w:r>
      <w:r w:rsidR="00AD0E02" w:rsidRPr="002305F3">
        <w:rPr>
          <w:sz w:val="24"/>
          <w:szCs w:val="24"/>
        </w:rPr>
        <w:t xml:space="preserve">Incarnation, about which </w:t>
      </w:r>
      <w:r w:rsidR="00AD0E02" w:rsidRPr="002305F3">
        <w:rPr>
          <w:sz w:val="24"/>
          <w:szCs w:val="24"/>
        </w:rPr>
        <w:lastRenderedPageBreak/>
        <w:t>Plotinus himself may never have dreamt, Augustine fits neatly into the scheme of the Plotinian universe.</w:t>
      </w:r>
      <w:r w:rsidR="0026323A">
        <w:rPr>
          <w:sz w:val="24"/>
          <w:szCs w:val="24"/>
        </w:rPr>
        <w:t>’</w:t>
      </w:r>
      <w:r w:rsidR="00AD0E02" w:rsidRPr="002305F3">
        <w:rPr>
          <w:rStyle w:val="FootnoteReference"/>
          <w:sz w:val="24"/>
          <w:szCs w:val="24"/>
        </w:rPr>
        <w:footnoteReference w:id="19"/>
      </w:r>
      <w:r w:rsidR="00AD0E02" w:rsidRPr="002305F3">
        <w:rPr>
          <w:sz w:val="24"/>
          <w:szCs w:val="24"/>
        </w:rPr>
        <w:t xml:space="preserve">  Elsewhere </w:t>
      </w:r>
      <w:r w:rsidR="0053722D" w:rsidRPr="002305F3">
        <w:rPr>
          <w:sz w:val="24"/>
          <w:szCs w:val="24"/>
        </w:rPr>
        <w:t>he</w:t>
      </w:r>
      <w:r w:rsidR="00AD0E02" w:rsidRPr="002305F3">
        <w:rPr>
          <w:sz w:val="24"/>
          <w:szCs w:val="24"/>
        </w:rPr>
        <w:t xml:space="preserve"> notes that </w:t>
      </w:r>
      <w:r w:rsidR="0026323A">
        <w:rPr>
          <w:sz w:val="24"/>
          <w:szCs w:val="24"/>
        </w:rPr>
        <w:t>‘</w:t>
      </w:r>
      <w:r w:rsidR="00AD0E02" w:rsidRPr="002305F3">
        <w:rPr>
          <w:sz w:val="24"/>
          <w:szCs w:val="24"/>
        </w:rPr>
        <w:t xml:space="preserve">the </w:t>
      </w:r>
      <w:r w:rsidR="00AD0E02" w:rsidRPr="002305F3">
        <w:rPr>
          <w:i/>
          <w:iCs/>
          <w:sz w:val="24"/>
          <w:szCs w:val="24"/>
        </w:rPr>
        <w:t>Confessions</w:t>
      </w:r>
      <w:r w:rsidR="00AD0E02" w:rsidRPr="002305F3">
        <w:rPr>
          <w:sz w:val="24"/>
          <w:szCs w:val="24"/>
        </w:rPr>
        <w:t xml:space="preserve"> are far more </w:t>
      </w:r>
      <w:r w:rsidR="0026323A">
        <w:rPr>
          <w:sz w:val="24"/>
          <w:szCs w:val="24"/>
        </w:rPr>
        <w:t>“</w:t>
      </w:r>
      <w:r w:rsidR="00AD0E02" w:rsidRPr="002305F3">
        <w:rPr>
          <w:sz w:val="24"/>
          <w:szCs w:val="24"/>
        </w:rPr>
        <w:t>philosophical,</w:t>
      </w:r>
      <w:r w:rsidR="0026323A">
        <w:rPr>
          <w:sz w:val="24"/>
          <w:szCs w:val="24"/>
        </w:rPr>
        <w:t>”</w:t>
      </w:r>
      <w:r w:rsidR="00AD0E02" w:rsidRPr="002305F3">
        <w:rPr>
          <w:sz w:val="24"/>
          <w:szCs w:val="24"/>
        </w:rPr>
        <w:t xml:space="preserve"> and the early dialogues far more </w:t>
      </w:r>
      <w:r w:rsidR="0026323A">
        <w:rPr>
          <w:sz w:val="24"/>
          <w:szCs w:val="24"/>
        </w:rPr>
        <w:t>“</w:t>
      </w:r>
      <w:r w:rsidR="00AD0E02" w:rsidRPr="002305F3">
        <w:rPr>
          <w:sz w:val="24"/>
          <w:szCs w:val="24"/>
        </w:rPr>
        <w:t>Christian</w:t>
      </w:r>
      <w:r w:rsidR="0026323A">
        <w:rPr>
          <w:sz w:val="24"/>
          <w:szCs w:val="24"/>
        </w:rPr>
        <w:t>”</w:t>
      </w:r>
      <w:r w:rsidR="00AD0E02" w:rsidRPr="002305F3">
        <w:rPr>
          <w:sz w:val="24"/>
          <w:szCs w:val="24"/>
        </w:rPr>
        <w:t xml:space="preserve"> than tenants of the </w:t>
      </w:r>
      <w:r w:rsidR="0026323A">
        <w:rPr>
          <w:sz w:val="24"/>
          <w:szCs w:val="24"/>
        </w:rPr>
        <w:t>“</w:t>
      </w:r>
      <w:r w:rsidR="00AD0E02" w:rsidRPr="002305F3">
        <w:rPr>
          <w:sz w:val="24"/>
          <w:szCs w:val="24"/>
        </w:rPr>
        <w:t>two Augustines</w:t>
      </w:r>
      <w:r w:rsidR="0026323A">
        <w:rPr>
          <w:sz w:val="24"/>
          <w:szCs w:val="24"/>
        </w:rPr>
        <w:t>”</w:t>
      </w:r>
      <w:r w:rsidR="00AD0E02" w:rsidRPr="002305F3">
        <w:rPr>
          <w:sz w:val="24"/>
          <w:szCs w:val="24"/>
        </w:rPr>
        <w:t xml:space="preserve"> view ordinarily admit.</w:t>
      </w:r>
      <w:r w:rsidR="0026323A">
        <w:rPr>
          <w:sz w:val="24"/>
          <w:szCs w:val="24"/>
        </w:rPr>
        <w:t>’</w:t>
      </w:r>
      <w:r w:rsidR="00AD0E02" w:rsidRPr="002305F3">
        <w:rPr>
          <w:rStyle w:val="FootnoteReference"/>
          <w:sz w:val="24"/>
          <w:szCs w:val="24"/>
        </w:rPr>
        <w:footnoteReference w:id="20"/>
      </w:r>
      <w:r w:rsidR="00AD0E02" w:rsidRPr="002305F3">
        <w:rPr>
          <w:sz w:val="24"/>
          <w:szCs w:val="24"/>
        </w:rPr>
        <w:t xml:space="preserve">  O’Connell develops his thesis in an interesting direction by studying Augustine’s views of the fall of the soul, which he argues are much the same as Plotinus’—a theology involving a disembodied sinless life for the soul, a disembodied sin, and </w:t>
      </w:r>
      <w:r w:rsidRPr="002305F3">
        <w:rPr>
          <w:sz w:val="24"/>
          <w:szCs w:val="24"/>
        </w:rPr>
        <w:t xml:space="preserve">resulting </w:t>
      </w:r>
      <w:r w:rsidR="00AD0E02" w:rsidRPr="002305F3">
        <w:rPr>
          <w:sz w:val="24"/>
          <w:szCs w:val="24"/>
        </w:rPr>
        <w:t xml:space="preserve">embodiment.  This account entails that embodiment is an evil, that salvation involves escape from it, and that we should live accordingly.  The complication of </w:t>
      </w:r>
      <w:r w:rsidR="00E25488">
        <w:rPr>
          <w:sz w:val="24"/>
          <w:szCs w:val="24"/>
        </w:rPr>
        <w:t xml:space="preserve">some </w:t>
      </w:r>
      <w:r w:rsidR="00AD0E02" w:rsidRPr="002305F3">
        <w:rPr>
          <w:sz w:val="24"/>
          <w:szCs w:val="24"/>
        </w:rPr>
        <w:t>development in Augustine’s own thought (which every scholar recognizes) is doubled by some development in O’Connell’s thesis.  I can only recommend that the reader interested in more information consider reading some of the sources in the footnote at the end of this sentence.</w:t>
      </w:r>
      <w:r w:rsidR="00AD0E02" w:rsidRPr="002305F3">
        <w:rPr>
          <w:rStyle w:val="FootnoteReference"/>
          <w:sz w:val="24"/>
          <w:szCs w:val="24"/>
        </w:rPr>
        <w:footnoteReference w:id="21"/>
      </w:r>
      <w:r w:rsidR="00AD0E02" w:rsidRPr="002305F3">
        <w:rPr>
          <w:sz w:val="24"/>
          <w:szCs w:val="24"/>
        </w:rPr>
        <w:t xml:space="preserve">  In any case, O’Connell’s influence has been immense.</w:t>
      </w:r>
    </w:p>
    <w:p w14:paraId="2A0536AC" w14:textId="4927130C" w:rsidR="00AD0E02" w:rsidRPr="002305F3" w:rsidRDefault="00AD0E02" w:rsidP="023C52A9">
      <w:pPr>
        <w:spacing w:line="480" w:lineRule="auto"/>
        <w:ind w:firstLine="720"/>
        <w:rPr>
          <w:sz w:val="24"/>
          <w:szCs w:val="24"/>
        </w:rPr>
      </w:pPr>
      <w:r w:rsidRPr="002305F3">
        <w:rPr>
          <w:sz w:val="24"/>
          <w:szCs w:val="24"/>
        </w:rPr>
        <w:lastRenderedPageBreak/>
        <w:t>Others in this tradition include Van Fleteren, Teske, O’Meara, and De Vogel.</w:t>
      </w:r>
      <w:r w:rsidRPr="002305F3">
        <w:rPr>
          <w:rStyle w:val="FootnoteReference"/>
          <w:sz w:val="24"/>
          <w:szCs w:val="24"/>
        </w:rPr>
        <w:footnoteReference w:id="22"/>
      </w:r>
      <w:r w:rsidRPr="002305F3">
        <w:rPr>
          <w:sz w:val="24"/>
          <w:szCs w:val="24"/>
        </w:rPr>
        <w:t xml:space="preserve">  Let us take a closer look at two </w:t>
      </w:r>
      <w:r w:rsidR="00867BF9" w:rsidRPr="002305F3">
        <w:rPr>
          <w:sz w:val="24"/>
          <w:szCs w:val="24"/>
        </w:rPr>
        <w:t>more</w:t>
      </w:r>
      <w:r w:rsidR="00CF1E1C" w:rsidRPr="002305F3">
        <w:rPr>
          <w:sz w:val="24"/>
          <w:szCs w:val="24"/>
        </w:rPr>
        <w:t xml:space="preserve">.  Chadwick </w:t>
      </w:r>
      <w:r w:rsidRPr="002305F3">
        <w:rPr>
          <w:sz w:val="24"/>
          <w:szCs w:val="24"/>
        </w:rPr>
        <w:t xml:space="preserve">writes of the early Augustine: </w:t>
      </w:r>
      <w:r w:rsidR="0026323A">
        <w:rPr>
          <w:sz w:val="24"/>
          <w:szCs w:val="24"/>
        </w:rPr>
        <w:t>‘</w:t>
      </w:r>
      <w:r w:rsidRPr="002305F3">
        <w:rPr>
          <w:sz w:val="24"/>
          <w:szCs w:val="24"/>
        </w:rPr>
        <w:t>Ambrose has convinced him of the incorporeality of God, and preached so profound a fusion of Christianity with Platonic mysticism that Augustine thinks of Christ and Plato as different teachers converging in the same truths, complementary to each other.</w:t>
      </w:r>
      <w:r w:rsidR="0026323A">
        <w:rPr>
          <w:sz w:val="24"/>
          <w:szCs w:val="24"/>
        </w:rPr>
        <w:t>’</w:t>
      </w:r>
      <w:r w:rsidRPr="002305F3">
        <w:rPr>
          <w:rStyle w:val="FootnoteReference"/>
          <w:sz w:val="24"/>
          <w:szCs w:val="24"/>
        </w:rPr>
        <w:footnoteReference w:id="23"/>
      </w:r>
      <w:r w:rsidRPr="002305F3">
        <w:rPr>
          <w:sz w:val="24"/>
          <w:szCs w:val="24"/>
        </w:rPr>
        <w:t xml:space="preserve">  In his description of the famous </w:t>
      </w:r>
      <w:r w:rsidR="00CF1E1C" w:rsidRPr="002305F3">
        <w:rPr>
          <w:sz w:val="24"/>
          <w:szCs w:val="24"/>
        </w:rPr>
        <w:t>Milan garden scene</w:t>
      </w:r>
      <w:r w:rsidRPr="002305F3">
        <w:rPr>
          <w:sz w:val="24"/>
          <w:szCs w:val="24"/>
        </w:rPr>
        <w:t xml:space="preserve">, Chadwick shows some visible influence of Courcelle when he considers the </w:t>
      </w:r>
      <w:r w:rsidR="0026323A">
        <w:rPr>
          <w:sz w:val="24"/>
          <w:szCs w:val="24"/>
        </w:rPr>
        <w:t>‘</w:t>
      </w:r>
      <w:r w:rsidRPr="002305F3">
        <w:rPr>
          <w:sz w:val="24"/>
          <w:szCs w:val="24"/>
        </w:rPr>
        <w:t>Neoplatonic circle at Milan</w:t>
      </w:r>
      <w:r w:rsidR="0026323A">
        <w:rPr>
          <w:sz w:val="24"/>
          <w:szCs w:val="24"/>
        </w:rPr>
        <w:t>’</w:t>
      </w:r>
      <w:r w:rsidRPr="002305F3">
        <w:rPr>
          <w:sz w:val="24"/>
          <w:szCs w:val="24"/>
        </w:rPr>
        <w:t xml:space="preserve"> and their view that certain </w:t>
      </w:r>
      <w:r w:rsidR="00CF1E1C" w:rsidRPr="002305F3">
        <w:rPr>
          <w:sz w:val="24"/>
          <w:szCs w:val="24"/>
        </w:rPr>
        <w:t xml:space="preserve">New Testament </w:t>
      </w:r>
      <w:r w:rsidRPr="002305F3">
        <w:rPr>
          <w:sz w:val="24"/>
          <w:szCs w:val="24"/>
        </w:rPr>
        <w:t xml:space="preserve">passages </w:t>
      </w:r>
      <w:r w:rsidR="0026323A">
        <w:rPr>
          <w:sz w:val="24"/>
          <w:szCs w:val="24"/>
        </w:rPr>
        <w:t>‘</w:t>
      </w:r>
      <w:r w:rsidRPr="002305F3">
        <w:rPr>
          <w:sz w:val="24"/>
          <w:szCs w:val="24"/>
        </w:rPr>
        <w:t>offered a biblical foundation for a Christian Platonism.</w:t>
      </w:r>
      <w:r w:rsidR="0026323A">
        <w:rPr>
          <w:sz w:val="24"/>
          <w:szCs w:val="24"/>
        </w:rPr>
        <w:t>’</w:t>
      </w:r>
      <w:r w:rsidR="00C1798C">
        <w:rPr>
          <w:rStyle w:val="FootnoteReference"/>
          <w:sz w:val="24"/>
          <w:szCs w:val="24"/>
        </w:rPr>
        <w:footnoteReference w:id="24"/>
      </w:r>
      <w:r w:rsidRPr="002305F3">
        <w:rPr>
          <w:sz w:val="24"/>
          <w:szCs w:val="24"/>
        </w:rPr>
        <w:t xml:space="preserve"> He says, </w:t>
      </w:r>
      <w:r w:rsidR="0026323A">
        <w:rPr>
          <w:sz w:val="24"/>
          <w:szCs w:val="24"/>
        </w:rPr>
        <w:t>‘</w:t>
      </w:r>
      <w:r w:rsidRPr="002305F3">
        <w:rPr>
          <w:sz w:val="24"/>
          <w:szCs w:val="24"/>
        </w:rPr>
        <w:t xml:space="preserve">Soon Augustine was convinced that from Plato to Christ was hardly more than a short and simple step, and that the teaching of the Church was in effect </w:t>
      </w:r>
      <w:r w:rsidR="0026323A">
        <w:rPr>
          <w:sz w:val="24"/>
          <w:szCs w:val="24"/>
        </w:rPr>
        <w:t>“</w:t>
      </w:r>
      <w:r w:rsidRPr="002305F3">
        <w:rPr>
          <w:sz w:val="24"/>
          <w:szCs w:val="24"/>
        </w:rPr>
        <w:t>Platonism for the multitude,</w:t>
      </w:r>
      <w:r w:rsidR="0026323A">
        <w:rPr>
          <w:sz w:val="24"/>
          <w:szCs w:val="24"/>
        </w:rPr>
        <w:t>”</w:t>
      </w:r>
      <w:r w:rsidRPr="002305F3">
        <w:rPr>
          <w:sz w:val="24"/>
          <w:szCs w:val="24"/>
        </w:rPr>
        <w:t xml:space="preserve"> a pictorial and figurative way of addressing unphilosophical minds with the effect of making them rational at least in conduct.</w:t>
      </w:r>
      <w:r w:rsidR="0026323A">
        <w:rPr>
          <w:sz w:val="24"/>
          <w:szCs w:val="24"/>
        </w:rPr>
        <w:t>’</w:t>
      </w:r>
      <w:r w:rsidRPr="002305F3">
        <w:rPr>
          <w:rStyle w:val="FootnoteReference"/>
          <w:sz w:val="24"/>
          <w:szCs w:val="24"/>
        </w:rPr>
        <w:footnoteReference w:id="25"/>
      </w:r>
    </w:p>
    <w:p w14:paraId="2C547233" w14:textId="379BA120" w:rsidR="00AD0E02" w:rsidRPr="002305F3" w:rsidRDefault="00AD0E02" w:rsidP="023C52A9">
      <w:pPr>
        <w:spacing w:line="480" w:lineRule="auto"/>
        <w:ind w:firstLine="720"/>
        <w:rPr>
          <w:sz w:val="24"/>
          <w:szCs w:val="24"/>
        </w:rPr>
      </w:pPr>
      <w:r w:rsidRPr="002305F3">
        <w:rPr>
          <w:sz w:val="24"/>
          <w:szCs w:val="24"/>
        </w:rPr>
        <w:t xml:space="preserve">This </w:t>
      </w:r>
      <w:r w:rsidR="00CF1E1C" w:rsidRPr="002305F3">
        <w:rPr>
          <w:sz w:val="24"/>
          <w:szCs w:val="24"/>
        </w:rPr>
        <w:t>is a common theme in</w:t>
      </w:r>
      <w:r w:rsidRPr="002305F3">
        <w:rPr>
          <w:sz w:val="24"/>
          <w:szCs w:val="24"/>
        </w:rPr>
        <w:t xml:space="preserve"> th</w:t>
      </w:r>
      <w:r w:rsidR="00CF1E1C" w:rsidRPr="002305F3">
        <w:rPr>
          <w:sz w:val="24"/>
          <w:szCs w:val="24"/>
        </w:rPr>
        <w:t>e Courcelle-O’Connell tradition</w:t>
      </w:r>
      <w:r w:rsidR="00C62AC5" w:rsidRPr="002305F3">
        <w:rPr>
          <w:sz w:val="24"/>
          <w:szCs w:val="24"/>
        </w:rPr>
        <w:t xml:space="preserve">: Augustine </w:t>
      </w:r>
      <w:r w:rsidRPr="002305F3">
        <w:rPr>
          <w:sz w:val="24"/>
          <w:szCs w:val="24"/>
        </w:rPr>
        <w:t>thinks</w:t>
      </w:r>
      <w:r w:rsidR="00C62AC5" w:rsidRPr="002305F3">
        <w:rPr>
          <w:sz w:val="24"/>
          <w:szCs w:val="24"/>
        </w:rPr>
        <w:t xml:space="preserve"> that</w:t>
      </w:r>
      <w:r w:rsidRPr="002305F3">
        <w:rPr>
          <w:sz w:val="24"/>
          <w:szCs w:val="24"/>
        </w:rPr>
        <w:t xml:space="preserve"> neo-Platonism got its metaphysics and ethics</w:t>
      </w:r>
      <w:r w:rsidR="00CF1E1C" w:rsidRPr="002305F3">
        <w:rPr>
          <w:sz w:val="24"/>
          <w:szCs w:val="24"/>
        </w:rPr>
        <w:t xml:space="preserve"> more or less</w:t>
      </w:r>
      <w:r w:rsidRPr="002305F3">
        <w:rPr>
          <w:sz w:val="24"/>
          <w:szCs w:val="24"/>
        </w:rPr>
        <w:t xml:space="preserve"> right</w:t>
      </w:r>
      <w:r w:rsidR="00CF1E1C" w:rsidRPr="002305F3">
        <w:rPr>
          <w:sz w:val="24"/>
          <w:szCs w:val="24"/>
        </w:rPr>
        <w:t>, but that w</w:t>
      </w:r>
      <w:r w:rsidRPr="002305F3">
        <w:rPr>
          <w:sz w:val="24"/>
          <w:szCs w:val="24"/>
        </w:rPr>
        <w:t xml:space="preserve">e needed the Incarnation to bring the truth to minds poorly trained for understanding non-physical reality, and biblical commands to help them live according to the soul rather than for physical pleasures.  The neo-Platonists had the </w:t>
      </w:r>
      <w:r w:rsidR="007371F8" w:rsidRPr="002305F3">
        <w:rPr>
          <w:sz w:val="24"/>
          <w:szCs w:val="24"/>
        </w:rPr>
        <w:t>mental</w:t>
      </w:r>
      <w:r w:rsidRPr="002305F3">
        <w:rPr>
          <w:sz w:val="24"/>
          <w:szCs w:val="24"/>
        </w:rPr>
        <w:t xml:space="preserve"> furniture </w:t>
      </w:r>
      <w:r w:rsidR="007371F8" w:rsidRPr="002305F3">
        <w:rPr>
          <w:sz w:val="24"/>
          <w:szCs w:val="24"/>
        </w:rPr>
        <w:t xml:space="preserve">arranged, leaving a blank space on </w:t>
      </w:r>
      <w:r w:rsidR="00867BF9" w:rsidRPr="002305F3">
        <w:rPr>
          <w:sz w:val="24"/>
          <w:szCs w:val="24"/>
        </w:rPr>
        <w:t>the wall to hang the picture of Jesus</w:t>
      </w:r>
      <w:r w:rsidRPr="002305F3">
        <w:rPr>
          <w:sz w:val="24"/>
          <w:szCs w:val="24"/>
        </w:rPr>
        <w:t>.</w:t>
      </w:r>
    </w:p>
    <w:p w14:paraId="49EDCDD6" w14:textId="4B7B470E" w:rsidR="00AD0E02" w:rsidRPr="002305F3" w:rsidRDefault="00AD0E02" w:rsidP="023C52A9">
      <w:pPr>
        <w:spacing w:line="480" w:lineRule="auto"/>
        <w:ind w:firstLine="720"/>
        <w:rPr>
          <w:sz w:val="24"/>
          <w:szCs w:val="24"/>
        </w:rPr>
      </w:pPr>
      <w:r w:rsidRPr="002305F3">
        <w:rPr>
          <w:sz w:val="24"/>
          <w:szCs w:val="24"/>
        </w:rPr>
        <w:lastRenderedPageBreak/>
        <w:t>While O’Connell focuses on the idea of the fall of the soul, Cary focuses on the idea of the soul as having an inner space where one may meet with God.</w:t>
      </w:r>
      <w:r w:rsidR="00D96D7E" w:rsidRPr="002305F3">
        <w:rPr>
          <w:rStyle w:val="FootnoteReference"/>
          <w:sz w:val="24"/>
          <w:szCs w:val="24"/>
        </w:rPr>
        <w:footnoteReference w:id="26"/>
      </w:r>
      <w:r w:rsidRPr="002305F3">
        <w:rPr>
          <w:sz w:val="24"/>
          <w:szCs w:val="24"/>
        </w:rPr>
        <w:t xml:space="preserve"> In </w:t>
      </w:r>
      <w:r w:rsidRPr="002305F3">
        <w:rPr>
          <w:i/>
          <w:iCs/>
          <w:sz w:val="24"/>
          <w:szCs w:val="24"/>
        </w:rPr>
        <w:t>Augustine’s Invention of the Inner Self</w:t>
      </w:r>
      <w:r w:rsidRPr="002305F3">
        <w:rPr>
          <w:sz w:val="24"/>
          <w:szCs w:val="24"/>
        </w:rPr>
        <w:t xml:space="preserve">, he considers Augustine’s discovery of this </w:t>
      </w:r>
      <w:r w:rsidR="00D96D7E" w:rsidRPr="002305F3">
        <w:rPr>
          <w:sz w:val="24"/>
          <w:szCs w:val="24"/>
        </w:rPr>
        <w:t>idea</w:t>
      </w:r>
      <w:r w:rsidRPr="002305F3">
        <w:rPr>
          <w:sz w:val="24"/>
          <w:szCs w:val="24"/>
        </w:rPr>
        <w:t xml:space="preserve"> of the soul, a soul thought to be divine in the early writings.  (Teske also looks into th</w:t>
      </w:r>
      <w:r w:rsidR="00B03DFD">
        <w:rPr>
          <w:sz w:val="24"/>
          <w:szCs w:val="24"/>
        </w:rPr>
        <w:t>is theory</w:t>
      </w:r>
      <w:r w:rsidRPr="002305F3">
        <w:rPr>
          <w:sz w:val="24"/>
          <w:szCs w:val="24"/>
        </w:rPr>
        <w:t>.</w:t>
      </w:r>
      <w:r w:rsidRPr="002305F3">
        <w:rPr>
          <w:rStyle w:val="FootnoteReference"/>
          <w:sz w:val="24"/>
          <w:szCs w:val="24"/>
        </w:rPr>
        <w:footnoteReference w:id="27"/>
      </w:r>
      <w:r w:rsidRPr="002305F3">
        <w:rPr>
          <w:sz w:val="24"/>
          <w:szCs w:val="24"/>
        </w:rPr>
        <w:t xml:space="preserve">)  In </w:t>
      </w:r>
      <w:r w:rsidRPr="002305F3">
        <w:rPr>
          <w:i/>
          <w:iCs/>
          <w:sz w:val="24"/>
          <w:szCs w:val="24"/>
        </w:rPr>
        <w:t>Inner Grace: Augustine in the Traditions of Plato and Paul</w:t>
      </w:r>
      <w:r w:rsidRPr="002305F3">
        <w:rPr>
          <w:sz w:val="24"/>
          <w:szCs w:val="24"/>
        </w:rPr>
        <w:t xml:space="preserve">, Cary explains how Augustine’s developing doctrine of grace was not a shift away from neo-Platonism but </w:t>
      </w:r>
      <w:r w:rsidR="00B03DFD">
        <w:rPr>
          <w:sz w:val="24"/>
          <w:szCs w:val="24"/>
        </w:rPr>
        <w:t>resulted from</w:t>
      </w:r>
      <w:r w:rsidRPr="002305F3">
        <w:rPr>
          <w:sz w:val="24"/>
          <w:szCs w:val="24"/>
        </w:rPr>
        <w:t xml:space="preserve"> a better understanding </w:t>
      </w:r>
      <w:r w:rsidRPr="00BA0B6F">
        <w:rPr>
          <w:i/>
          <w:iCs/>
          <w:sz w:val="24"/>
          <w:szCs w:val="24"/>
        </w:rPr>
        <w:t>of</w:t>
      </w:r>
      <w:r w:rsidRPr="002305F3">
        <w:rPr>
          <w:sz w:val="24"/>
          <w:szCs w:val="24"/>
        </w:rPr>
        <w:t xml:space="preserve"> neo-Platonism—as well as of the Bible!  Moreover, he thinks of grace as an inward gift within the soul.  It does not come from or through any outward things.  Cary elaborates in </w:t>
      </w:r>
      <w:r w:rsidRPr="002305F3">
        <w:rPr>
          <w:i/>
          <w:iCs/>
          <w:sz w:val="24"/>
          <w:szCs w:val="24"/>
        </w:rPr>
        <w:t>Outward Signs: The Powerlessness of External Things in Augustine’s Thought</w:t>
      </w:r>
      <w:r w:rsidRPr="002305F3">
        <w:rPr>
          <w:sz w:val="24"/>
          <w:szCs w:val="24"/>
        </w:rPr>
        <w:t>, arguing that Augustine only knows of the inner grace within the soul, of which outer things, even sacraments, can only be signs.</w:t>
      </w:r>
    </w:p>
    <w:p w14:paraId="43258C9B" w14:textId="03FA4FBE" w:rsidR="00AD0E02" w:rsidRPr="002305F3" w:rsidRDefault="00D96D7E" w:rsidP="023C52A9">
      <w:pPr>
        <w:spacing w:line="480" w:lineRule="auto"/>
        <w:ind w:firstLine="720"/>
        <w:rPr>
          <w:sz w:val="24"/>
          <w:szCs w:val="24"/>
        </w:rPr>
      </w:pPr>
      <w:r w:rsidRPr="002305F3">
        <w:rPr>
          <w:sz w:val="24"/>
          <w:szCs w:val="24"/>
        </w:rPr>
        <w:t xml:space="preserve">One possible </w:t>
      </w:r>
      <w:r w:rsidR="00AD0E02" w:rsidRPr="002305F3">
        <w:rPr>
          <w:sz w:val="24"/>
          <w:szCs w:val="24"/>
        </w:rPr>
        <w:t xml:space="preserve">way of reading Augustine is to subtract the Platonism from the Courcelle-O’Connell reading.  This is </w:t>
      </w:r>
      <w:r w:rsidR="00867BF9" w:rsidRPr="002305F3">
        <w:rPr>
          <w:sz w:val="24"/>
          <w:szCs w:val="24"/>
        </w:rPr>
        <w:t>rare</w:t>
      </w:r>
      <w:r w:rsidR="008567E3" w:rsidRPr="002305F3">
        <w:rPr>
          <w:sz w:val="24"/>
          <w:szCs w:val="24"/>
        </w:rPr>
        <w:t>r</w:t>
      </w:r>
      <w:r w:rsidR="00AD0E02" w:rsidRPr="002305F3">
        <w:rPr>
          <w:sz w:val="24"/>
          <w:szCs w:val="24"/>
        </w:rPr>
        <w:t>.  Conybeare</w:t>
      </w:r>
      <w:r w:rsidR="00553B30" w:rsidRPr="002305F3">
        <w:rPr>
          <w:sz w:val="24"/>
          <w:szCs w:val="24"/>
        </w:rPr>
        <w:t xml:space="preserve">, as I understand her, </w:t>
      </w:r>
      <w:r w:rsidR="00AD0E02" w:rsidRPr="002305F3">
        <w:rPr>
          <w:sz w:val="24"/>
          <w:szCs w:val="24"/>
        </w:rPr>
        <w:t xml:space="preserve">has sometimes interpreted Augustine </w:t>
      </w:r>
      <w:r w:rsidR="00CF1E1C" w:rsidRPr="002305F3">
        <w:rPr>
          <w:sz w:val="24"/>
          <w:szCs w:val="24"/>
        </w:rPr>
        <w:t>thus</w:t>
      </w:r>
      <w:r w:rsidR="00AD0E02" w:rsidRPr="002305F3">
        <w:rPr>
          <w:sz w:val="24"/>
          <w:szCs w:val="24"/>
        </w:rPr>
        <w:t>, and others sometimes come close.</w:t>
      </w:r>
      <w:r w:rsidR="00AD0E02" w:rsidRPr="002305F3">
        <w:rPr>
          <w:rStyle w:val="FootnoteReference"/>
          <w:sz w:val="24"/>
          <w:szCs w:val="24"/>
        </w:rPr>
        <w:footnoteReference w:id="28"/>
      </w:r>
      <w:r w:rsidR="00AD0E02" w:rsidRPr="002305F3">
        <w:rPr>
          <w:sz w:val="24"/>
          <w:szCs w:val="24"/>
        </w:rPr>
        <w:t xml:space="preserve">  While O’Connell’s Augustine is something like an Enlightenment character, all reason and rationality, Conybeare’s Augustine is something like a postmodern character skeptical of reason.</w:t>
      </w:r>
      <w:r w:rsidR="00AD0E02" w:rsidRPr="002305F3">
        <w:rPr>
          <w:rStyle w:val="FootnoteReference"/>
          <w:sz w:val="24"/>
          <w:szCs w:val="24"/>
        </w:rPr>
        <w:footnoteReference w:id="29"/>
      </w:r>
      <w:r w:rsidR="00AD0E02" w:rsidRPr="002305F3">
        <w:rPr>
          <w:sz w:val="24"/>
          <w:szCs w:val="24"/>
        </w:rPr>
        <w:t xml:space="preserve">  In </w:t>
      </w:r>
      <w:r w:rsidR="00AD0E02" w:rsidRPr="002305F3">
        <w:rPr>
          <w:i/>
          <w:iCs/>
          <w:sz w:val="24"/>
          <w:szCs w:val="24"/>
        </w:rPr>
        <w:t>The Irrational Augustine</w:t>
      </w:r>
      <w:r w:rsidR="00AD0E02" w:rsidRPr="002305F3">
        <w:rPr>
          <w:sz w:val="24"/>
          <w:szCs w:val="24"/>
        </w:rPr>
        <w:t xml:space="preserve">, she argues that Augustine is less given to rationality as a means of knowing God and more interested in </w:t>
      </w:r>
      <w:r w:rsidR="00AD0E02" w:rsidRPr="002305F3">
        <w:rPr>
          <w:sz w:val="24"/>
          <w:szCs w:val="24"/>
        </w:rPr>
        <w:lastRenderedPageBreak/>
        <w:t>Christian thought and practice.</w:t>
      </w:r>
      <w:r w:rsidR="009C4C33" w:rsidRPr="002305F3">
        <w:rPr>
          <w:rStyle w:val="FootnoteReference"/>
          <w:sz w:val="24"/>
          <w:szCs w:val="24"/>
        </w:rPr>
        <w:footnoteReference w:id="30"/>
      </w:r>
      <w:r w:rsidR="00AD0E02" w:rsidRPr="002305F3">
        <w:rPr>
          <w:sz w:val="24"/>
          <w:szCs w:val="24"/>
        </w:rPr>
        <w:t xml:space="preserve">  This </w:t>
      </w:r>
      <w:r w:rsidR="000473F6" w:rsidRPr="002305F3">
        <w:rPr>
          <w:sz w:val="24"/>
          <w:szCs w:val="24"/>
        </w:rPr>
        <w:t xml:space="preserve">would seem to </w:t>
      </w:r>
      <w:r w:rsidR="00AD0E02" w:rsidRPr="002305F3">
        <w:rPr>
          <w:sz w:val="24"/>
          <w:szCs w:val="24"/>
        </w:rPr>
        <w:t xml:space="preserve">make Augustine rather like a Christian </w:t>
      </w:r>
      <w:r w:rsidR="00AD0E02" w:rsidRPr="002305F3">
        <w:rPr>
          <w:i/>
          <w:iCs/>
          <w:sz w:val="24"/>
          <w:szCs w:val="24"/>
        </w:rPr>
        <w:t>non</w:t>
      </w:r>
      <w:r w:rsidR="00AD0E02" w:rsidRPr="002305F3">
        <w:rPr>
          <w:sz w:val="24"/>
          <w:szCs w:val="24"/>
        </w:rPr>
        <w:t xml:space="preserve">-Platonist or </w:t>
      </w:r>
      <w:r w:rsidR="00AD0E02" w:rsidRPr="002305F3">
        <w:rPr>
          <w:i/>
          <w:iCs/>
          <w:sz w:val="24"/>
          <w:szCs w:val="24"/>
        </w:rPr>
        <w:t>anti</w:t>
      </w:r>
      <w:r w:rsidR="00AD0E02" w:rsidRPr="002305F3">
        <w:rPr>
          <w:sz w:val="24"/>
          <w:szCs w:val="24"/>
        </w:rPr>
        <w:t xml:space="preserve">-Platonist.  In </w:t>
      </w:r>
      <w:r w:rsidR="00AD0E02" w:rsidRPr="002305F3">
        <w:rPr>
          <w:i/>
          <w:iCs/>
          <w:sz w:val="24"/>
          <w:szCs w:val="24"/>
        </w:rPr>
        <w:t>The Routledge Guide to Augustine’s</w:t>
      </w:r>
      <w:r w:rsidR="00AD0E02" w:rsidRPr="002305F3">
        <w:rPr>
          <w:sz w:val="24"/>
          <w:szCs w:val="24"/>
        </w:rPr>
        <w:t xml:space="preserve"> Confessions, Conybeare seems to shift towards the fourth way of reading Augustine—as a Platonically informed </w:t>
      </w:r>
      <w:r w:rsidR="00112014" w:rsidRPr="002305F3">
        <w:rPr>
          <w:sz w:val="24"/>
          <w:szCs w:val="24"/>
        </w:rPr>
        <w:t>Christian</w:t>
      </w:r>
      <w:r w:rsidR="00AD0E02" w:rsidRPr="002305F3">
        <w:rPr>
          <w:sz w:val="24"/>
          <w:szCs w:val="24"/>
        </w:rPr>
        <w:t xml:space="preserve">.  She states that Augustine at Milan had </w:t>
      </w:r>
      <w:r w:rsidR="0026323A">
        <w:rPr>
          <w:sz w:val="24"/>
          <w:szCs w:val="24"/>
        </w:rPr>
        <w:t>‘</w:t>
      </w:r>
      <w:r w:rsidR="00AD0E02" w:rsidRPr="002305F3">
        <w:rPr>
          <w:sz w:val="24"/>
          <w:szCs w:val="24"/>
        </w:rPr>
        <w:t>moved gradually back towards a Christianity now flavoured with an intense Neoplatonism.</w:t>
      </w:r>
      <w:r w:rsidR="0026323A">
        <w:rPr>
          <w:sz w:val="24"/>
          <w:szCs w:val="24"/>
        </w:rPr>
        <w:t>’</w:t>
      </w:r>
      <w:r w:rsidR="00AD0E02" w:rsidRPr="002305F3">
        <w:rPr>
          <w:rStyle w:val="FootnoteReference"/>
          <w:sz w:val="24"/>
          <w:szCs w:val="24"/>
        </w:rPr>
        <w:footnoteReference w:id="31"/>
      </w:r>
      <w:r w:rsidR="00AD0E02" w:rsidRPr="002305F3">
        <w:rPr>
          <w:sz w:val="24"/>
          <w:szCs w:val="24"/>
        </w:rPr>
        <w:t xml:space="preserve">  There is still a </w:t>
      </w:r>
      <w:r w:rsidR="0026323A">
        <w:rPr>
          <w:sz w:val="24"/>
          <w:szCs w:val="24"/>
        </w:rPr>
        <w:t>‘</w:t>
      </w:r>
      <w:r w:rsidR="00AD0E02" w:rsidRPr="002305F3">
        <w:rPr>
          <w:sz w:val="24"/>
          <w:szCs w:val="24"/>
        </w:rPr>
        <w:t>Plotinian ascent</w:t>
      </w:r>
      <w:r w:rsidR="00C62AC5" w:rsidRPr="002305F3">
        <w:rPr>
          <w:sz w:val="24"/>
          <w:szCs w:val="24"/>
        </w:rPr>
        <w:t>.</w:t>
      </w:r>
      <w:r w:rsidR="0026323A">
        <w:rPr>
          <w:sz w:val="24"/>
          <w:szCs w:val="24"/>
        </w:rPr>
        <w:t>’</w:t>
      </w:r>
      <w:r w:rsidR="00AD0E02" w:rsidRPr="002305F3">
        <w:rPr>
          <w:rStyle w:val="FootnoteReference"/>
          <w:sz w:val="24"/>
          <w:szCs w:val="24"/>
        </w:rPr>
        <w:footnoteReference w:id="32"/>
      </w:r>
      <w:r w:rsidR="00AD0E02" w:rsidRPr="002305F3">
        <w:rPr>
          <w:sz w:val="24"/>
          <w:szCs w:val="24"/>
        </w:rPr>
        <w:t xml:space="preserve">  It shows him </w:t>
      </w:r>
      <w:r w:rsidR="0026323A">
        <w:rPr>
          <w:sz w:val="24"/>
          <w:szCs w:val="24"/>
        </w:rPr>
        <w:t>‘</w:t>
      </w:r>
      <w:r w:rsidR="00AD0E02" w:rsidRPr="002305F3">
        <w:rPr>
          <w:sz w:val="24"/>
          <w:szCs w:val="24"/>
        </w:rPr>
        <w:t>the ontological completeness of God</w:t>
      </w:r>
      <w:r w:rsidR="0026323A">
        <w:rPr>
          <w:sz w:val="24"/>
          <w:szCs w:val="24"/>
        </w:rPr>
        <w:t>’</w:t>
      </w:r>
      <w:r w:rsidR="00AD0E02" w:rsidRPr="002305F3">
        <w:rPr>
          <w:sz w:val="24"/>
          <w:szCs w:val="24"/>
        </w:rPr>
        <w:t xml:space="preserve"> and the truth that </w:t>
      </w:r>
      <w:r w:rsidR="0026323A">
        <w:rPr>
          <w:sz w:val="24"/>
          <w:szCs w:val="24"/>
        </w:rPr>
        <w:t>‘</w:t>
      </w:r>
      <w:r w:rsidR="00AD0E02" w:rsidRPr="002305F3">
        <w:rPr>
          <w:sz w:val="24"/>
          <w:szCs w:val="24"/>
        </w:rPr>
        <w:t>God is invisible, but God is a spiritual reality, both being itself and the source of all being.</w:t>
      </w:r>
      <w:r w:rsidR="0026323A">
        <w:rPr>
          <w:sz w:val="24"/>
          <w:szCs w:val="24"/>
        </w:rPr>
        <w:t>’</w:t>
      </w:r>
      <w:r w:rsidR="00AD0E02" w:rsidRPr="002305F3">
        <w:rPr>
          <w:rStyle w:val="FootnoteReference"/>
          <w:sz w:val="24"/>
          <w:szCs w:val="24"/>
        </w:rPr>
        <w:footnoteReference w:id="33"/>
      </w:r>
      <w:r w:rsidR="00AD0E02" w:rsidRPr="002305F3">
        <w:rPr>
          <w:sz w:val="24"/>
          <w:szCs w:val="24"/>
        </w:rPr>
        <w:t xml:space="preserve">  Yet even </w:t>
      </w:r>
      <w:r w:rsidR="00AD0E02" w:rsidRPr="002305F3">
        <w:rPr>
          <w:iCs/>
          <w:sz w:val="24"/>
          <w:szCs w:val="24"/>
        </w:rPr>
        <w:t>here</w:t>
      </w:r>
      <w:r w:rsidR="00AD0E02" w:rsidRPr="002305F3">
        <w:rPr>
          <w:i/>
          <w:iCs/>
          <w:sz w:val="24"/>
          <w:szCs w:val="24"/>
        </w:rPr>
        <w:t xml:space="preserve"> </w:t>
      </w:r>
      <w:r w:rsidR="00AD0E02" w:rsidRPr="002305F3">
        <w:rPr>
          <w:sz w:val="24"/>
          <w:szCs w:val="24"/>
        </w:rPr>
        <w:t xml:space="preserve">Conybeare reads Augustine as thinking in ways suggestive of a Christianity which rejects neo-Platonism.  She emphasizes his way of knowing God by </w:t>
      </w:r>
      <w:r w:rsidR="00AD0E02" w:rsidRPr="002305F3">
        <w:rPr>
          <w:i/>
          <w:iCs/>
          <w:sz w:val="24"/>
          <w:szCs w:val="24"/>
        </w:rPr>
        <w:t>questioning</w:t>
      </w:r>
      <w:r w:rsidR="00AD0E02" w:rsidRPr="002305F3">
        <w:rPr>
          <w:sz w:val="24"/>
          <w:szCs w:val="24"/>
        </w:rPr>
        <w:t>,</w:t>
      </w:r>
      <w:r w:rsidR="00AD0E02" w:rsidRPr="002305F3">
        <w:rPr>
          <w:rStyle w:val="FootnoteReference"/>
          <w:sz w:val="24"/>
          <w:szCs w:val="24"/>
        </w:rPr>
        <w:footnoteReference w:id="34"/>
      </w:r>
      <w:r w:rsidR="00AD0E02" w:rsidRPr="002305F3">
        <w:rPr>
          <w:sz w:val="24"/>
          <w:szCs w:val="24"/>
        </w:rPr>
        <w:t xml:space="preserve">  not by neo-Platonic contemplation.  More tellingly, she says that the passage in </w:t>
      </w:r>
      <w:r w:rsidR="00AD0E02" w:rsidRPr="002305F3">
        <w:rPr>
          <w:i/>
          <w:iCs/>
          <w:sz w:val="24"/>
          <w:szCs w:val="24"/>
        </w:rPr>
        <w:t>Confessions</w:t>
      </w:r>
      <w:r w:rsidR="00AD0E02" w:rsidRPr="002305F3">
        <w:rPr>
          <w:sz w:val="24"/>
          <w:szCs w:val="24"/>
        </w:rPr>
        <w:t xml:space="preserve"> VII in which Augustine recounts his reading of the neo-Platonists presents some Platonic notions </w:t>
      </w:r>
      <w:r w:rsidR="00CF1E1C" w:rsidRPr="002305F3">
        <w:rPr>
          <w:sz w:val="24"/>
          <w:szCs w:val="24"/>
        </w:rPr>
        <w:t>but</w:t>
      </w:r>
      <w:r w:rsidR="00AD0E02" w:rsidRPr="002305F3">
        <w:rPr>
          <w:sz w:val="24"/>
          <w:szCs w:val="24"/>
        </w:rPr>
        <w:t xml:space="preserve"> promptly rearranges them within Christianity.</w:t>
      </w:r>
      <w:r w:rsidR="00AD0E02" w:rsidRPr="002305F3">
        <w:rPr>
          <w:rStyle w:val="FootnoteReference"/>
          <w:sz w:val="24"/>
          <w:szCs w:val="24"/>
        </w:rPr>
        <w:footnoteReference w:id="35"/>
      </w:r>
      <w:r w:rsidR="00AD0E02" w:rsidRPr="002305F3">
        <w:rPr>
          <w:sz w:val="24"/>
          <w:szCs w:val="24"/>
        </w:rPr>
        <w:t xml:space="preserve">  In particular, to say that Christ the Word </w:t>
      </w:r>
      <w:r w:rsidR="00AD0E02" w:rsidRPr="002305F3">
        <w:rPr>
          <w:i/>
          <w:iCs/>
          <w:sz w:val="24"/>
          <w:szCs w:val="24"/>
        </w:rPr>
        <w:t>is</w:t>
      </w:r>
      <w:r w:rsidR="00AD0E02" w:rsidRPr="002305F3">
        <w:rPr>
          <w:sz w:val="24"/>
          <w:szCs w:val="24"/>
        </w:rPr>
        <w:t xml:space="preserve"> God the One </w:t>
      </w:r>
      <w:r w:rsidR="0026323A">
        <w:rPr>
          <w:sz w:val="24"/>
          <w:szCs w:val="24"/>
        </w:rPr>
        <w:t>‘</w:t>
      </w:r>
      <w:r w:rsidR="00AD0E02" w:rsidRPr="002305F3">
        <w:rPr>
          <w:sz w:val="24"/>
          <w:szCs w:val="24"/>
        </w:rPr>
        <w:t>is fundamentally to rearrange Plotinus’s thought.</w:t>
      </w:r>
      <w:r w:rsidR="0026323A">
        <w:rPr>
          <w:sz w:val="24"/>
          <w:szCs w:val="24"/>
        </w:rPr>
        <w:t>’</w:t>
      </w:r>
      <w:r w:rsidR="00AD0E02" w:rsidRPr="002305F3">
        <w:rPr>
          <w:rStyle w:val="FootnoteReference"/>
          <w:sz w:val="24"/>
          <w:szCs w:val="24"/>
        </w:rPr>
        <w:footnoteReference w:id="36"/>
      </w:r>
      <w:r w:rsidR="00AD0E02" w:rsidRPr="002305F3">
        <w:rPr>
          <w:sz w:val="24"/>
          <w:szCs w:val="24"/>
        </w:rPr>
        <w:t xml:space="preserve">  Moreover, the emphasis on the soul’s need for grace and mediation to return to God is </w:t>
      </w:r>
      <w:r w:rsidR="0026323A">
        <w:rPr>
          <w:sz w:val="24"/>
          <w:szCs w:val="24"/>
        </w:rPr>
        <w:t>‘</w:t>
      </w:r>
      <w:r w:rsidR="00AD0E02" w:rsidRPr="002305F3">
        <w:rPr>
          <w:sz w:val="24"/>
          <w:szCs w:val="24"/>
        </w:rPr>
        <w:t>most un-Plotinian.</w:t>
      </w:r>
      <w:r w:rsidR="0026323A">
        <w:rPr>
          <w:sz w:val="24"/>
          <w:szCs w:val="24"/>
        </w:rPr>
        <w:t>’</w:t>
      </w:r>
      <w:r w:rsidR="00AD0E02" w:rsidRPr="002305F3">
        <w:rPr>
          <w:rStyle w:val="FootnoteReference"/>
          <w:sz w:val="24"/>
          <w:szCs w:val="24"/>
        </w:rPr>
        <w:footnoteReference w:id="37"/>
      </w:r>
      <w:r w:rsidR="00AD0E02" w:rsidRPr="002305F3">
        <w:rPr>
          <w:sz w:val="24"/>
          <w:szCs w:val="24"/>
        </w:rPr>
        <w:t xml:space="preserve">  Likewise the idea of a communal ascent to </w:t>
      </w:r>
      <w:r w:rsidR="00AD0E02" w:rsidRPr="002305F3">
        <w:rPr>
          <w:sz w:val="24"/>
          <w:szCs w:val="24"/>
        </w:rPr>
        <w:lastRenderedPageBreak/>
        <w:t>God.</w:t>
      </w:r>
      <w:r w:rsidR="00AD0E02" w:rsidRPr="002305F3">
        <w:rPr>
          <w:rStyle w:val="FootnoteReference"/>
          <w:sz w:val="24"/>
          <w:szCs w:val="24"/>
        </w:rPr>
        <w:footnoteReference w:id="38"/>
      </w:r>
      <w:r w:rsidR="00AD0E02" w:rsidRPr="002305F3">
        <w:rPr>
          <w:sz w:val="24"/>
          <w:szCs w:val="24"/>
        </w:rPr>
        <w:t xml:space="preserve">  She </w:t>
      </w:r>
      <w:r w:rsidR="0053722D" w:rsidRPr="002305F3">
        <w:rPr>
          <w:sz w:val="24"/>
          <w:szCs w:val="24"/>
        </w:rPr>
        <w:t>observes</w:t>
      </w:r>
      <w:r w:rsidR="00AD0E02" w:rsidRPr="002305F3">
        <w:rPr>
          <w:sz w:val="24"/>
          <w:szCs w:val="24"/>
        </w:rPr>
        <w:t xml:space="preserve"> that </w:t>
      </w:r>
      <w:r w:rsidR="0026323A">
        <w:rPr>
          <w:sz w:val="24"/>
          <w:szCs w:val="24"/>
        </w:rPr>
        <w:t>‘</w:t>
      </w:r>
      <w:r w:rsidR="00AD0E02" w:rsidRPr="002305F3">
        <w:rPr>
          <w:sz w:val="24"/>
          <w:szCs w:val="24"/>
        </w:rPr>
        <w:t xml:space="preserve">The strange thing about the way Augustine’s </w:t>
      </w:r>
      <w:r w:rsidR="0026323A">
        <w:rPr>
          <w:sz w:val="24"/>
          <w:szCs w:val="24"/>
        </w:rPr>
        <w:t>“</w:t>
      </w:r>
      <w:r w:rsidR="00AD0E02" w:rsidRPr="002305F3">
        <w:rPr>
          <w:sz w:val="24"/>
          <w:szCs w:val="24"/>
        </w:rPr>
        <w:t>conversion</w:t>
      </w:r>
      <w:r w:rsidR="0026323A">
        <w:rPr>
          <w:sz w:val="24"/>
          <w:szCs w:val="24"/>
        </w:rPr>
        <w:t>”</w:t>
      </w:r>
      <w:r w:rsidR="00AD0E02" w:rsidRPr="002305F3">
        <w:rPr>
          <w:sz w:val="24"/>
          <w:szCs w:val="24"/>
        </w:rPr>
        <w:t xml:space="preserve"> to Platonism is narrated in the </w:t>
      </w:r>
      <w:r w:rsidR="00AD0E02" w:rsidRPr="002305F3">
        <w:rPr>
          <w:i/>
          <w:iCs/>
          <w:sz w:val="24"/>
          <w:szCs w:val="24"/>
        </w:rPr>
        <w:t>Confessions</w:t>
      </w:r>
      <w:r w:rsidR="00AD0E02" w:rsidRPr="002305F3">
        <w:rPr>
          <w:sz w:val="24"/>
          <w:szCs w:val="24"/>
        </w:rPr>
        <w:t xml:space="preserve"> is that we never quite get there.</w:t>
      </w:r>
      <w:r w:rsidR="0026323A">
        <w:rPr>
          <w:sz w:val="24"/>
          <w:szCs w:val="24"/>
        </w:rPr>
        <w:t>’</w:t>
      </w:r>
      <w:r w:rsidR="00AD0E02" w:rsidRPr="002305F3">
        <w:rPr>
          <w:rStyle w:val="FootnoteReference"/>
          <w:sz w:val="24"/>
          <w:szCs w:val="24"/>
        </w:rPr>
        <w:footnoteReference w:id="39"/>
      </w:r>
    </w:p>
    <w:p w14:paraId="5C2232DB" w14:textId="0465467F" w:rsidR="00AD0E02" w:rsidRPr="002305F3" w:rsidRDefault="00AD0E02" w:rsidP="023C52A9">
      <w:pPr>
        <w:spacing w:line="480" w:lineRule="auto"/>
        <w:ind w:firstLine="720"/>
        <w:rPr>
          <w:sz w:val="24"/>
          <w:szCs w:val="24"/>
        </w:rPr>
      </w:pPr>
      <w:r w:rsidRPr="002305F3">
        <w:rPr>
          <w:sz w:val="24"/>
          <w:szCs w:val="24"/>
        </w:rPr>
        <w:t>So is Conybeare’s Augustine a Christian who accepts some principles of neo-Platonism or a Christian who rejects neo-Platonism?  Maybe both.  Where should we place Conybeare—as a representative of the third or of the fourth way of reading Augustine?</w:t>
      </w:r>
      <w:r w:rsidRPr="002305F3">
        <w:rPr>
          <w:rStyle w:val="FootnoteReference"/>
          <w:sz w:val="24"/>
          <w:szCs w:val="24"/>
        </w:rPr>
        <w:footnoteReference w:id="40"/>
      </w:r>
      <w:r w:rsidRPr="002305F3">
        <w:rPr>
          <w:sz w:val="24"/>
          <w:szCs w:val="24"/>
        </w:rPr>
        <w:t xml:space="preserve">  Maybe neither.  A strong version of one reading is </w:t>
      </w:r>
      <w:r w:rsidR="005F4E1B" w:rsidRPr="002305F3">
        <w:rPr>
          <w:sz w:val="24"/>
          <w:szCs w:val="24"/>
        </w:rPr>
        <w:t>not so different</w:t>
      </w:r>
      <w:r w:rsidRPr="002305F3">
        <w:rPr>
          <w:sz w:val="24"/>
          <w:szCs w:val="24"/>
        </w:rPr>
        <w:t xml:space="preserve"> from a weak version of the other.  For that matter, </w:t>
      </w:r>
      <w:r w:rsidR="008567E3" w:rsidRPr="002305F3">
        <w:rPr>
          <w:sz w:val="24"/>
          <w:szCs w:val="24"/>
        </w:rPr>
        <w:t>Conybeare emphasizes the questioning and apophatic aspect of Augustine’s thought</w:t>
      </w:r>
      <w:r w:rsidRPr="002305F3">
        <w:rPr>
          <w:sz w:val="24"/>
          <w:szCs w:val="24"/>
        </w:rPr>
        <w:t xml:space="preserve">.  She thinks </w:t>
      </w:r>
      <w:r w:rsidRPr="002305F3">
        <w:rPr>
          <w:i/>
          <w:iCs/>
          <w:sz w:val="24"/>
          <w:szCs w:val="24"/>
        </w:rPr>
        <w:t>he</w:t>
      </w:r>
      <w:r w:rsidRPr="002305F3">
        <w:rPr>
          <w:sz w:val="24"/>
          <w:szCs w:val="24"/>
        </w:rPr>
        <w:t xml:space="preserve"> was not always committed to stacking ideas neatly in little boxes, and perhaps she would </w:t>
      </w:r>
      <w:r w:rsidR="008567E3" w:rsidRPr="002305F3">
        <w:rPr>
          <w:sz w:val="24"/>
          <w:szCs w:val="24"/>
        </w:rPr>
        <w:t>prefer not to</w:t>
      </w:r>
      <w:r w:rsidRPr="002305F3">
        <w:rPr>
          <w:sz w:val="24"/>
          <w:szCs w:val="24"/>
        </w:rPr>
        <w:t xml:space="preserve"> classify Augustine in the same way, </w:t>
      </w:r>
      <w:r w:rsidR="008567E3" w:rsidRPr="002305F3">
        <w:rPr>
          <w:sz w:val="24"/>
          <w:szCs w:val="24"/>
        </w:rPr>
        <w:t>or</w:t>
      </w:r>
      <w:r w:rsidRPr="002305F3">
        <w:rPr>
          <w:sz w:val="24"/>
          <w:szCs w:val="24"/>
        </w:rPr>
        <w:t xml:space="preserve"> so</w:t>
      </w:r>
      <w:r w:rsidR="005D0C65">
        <w:rPr>
          <w:sz w:val="24"/>
          <w:szCs w:val="24"/>
        </w:rPr>
        <w:t xml:space="preserve"> to be</w:t>
      </w:r>
      <w:r w:rsidRPr="002305F3">
        <w:rPr>
          <w:sz w:val="24"/>
          <w:szCs w:val="24"/>
        </w:rPr>
        <w:t xml:space="preserve"> classified herself.  Fair enough.  Indeed, this whole classification scheme can reasonably be challenged, as we shall consider shortly.</w:t>
      </w:r>
    </w:p>
    <w:p w14:paraId="7FBF8747" w14:textId="2A01826A" w:rsidR="00AD0E02" w:rsidRPr="002305F3" w:rsidRDefault="00AD0E02" w:rsidP="023C52A9">
      <w:pPr>
        <w:spacing w:line="480" w:lineRule="auto"/>
        <w:ind w:firstLine="720"/>
        <w:rPr>
          <w:sz w:val="24"/>
          <w:szCs w:val="24"/>
        </w:rPr>
      </w:pPr>
      <w:r w:rsidRPr="002305F3">
        <w:rPr>
          <w:sz w:val="24"/>
          <w:szCs w:val="24"/>
        </w:rPr>
        <w:t>But first we must take a look at another way of reading Augustine</w:t>
      </w:r>
      <w:r w:rsidR="0002311E" w:rsidRPr="002305F3">
        <w:rPr>
          <w:sz w:val="24"/>
          <w:szCs w:val="24"/>
        </w:rPr>
        <w:t>.</w:t>
      </w:r>
    </w:p>
    <w:p w14:paraId="78B4F064" w14:textId="5809EF1B" w:rsidR="00AD0E02" w:rsidRPr="002305F3" w:rsidRDefault="00AD0E02" w:rsidP="023C52A9">
      <w:pPr>
        <w:spacing w:line="480" w:lineRule="auto"/>
        <w:ind w:firstLine="720"/>
        <w:rPr>
          <w:sz w:val="24"/>
          <w:szCs w:val="24"/>
        </w:rPr>
      </w:pPr>
      <w:r w:rsidRPr="002305F3">
        <w:rPr>
          <w:sz w:val="24"/>
          <w:szCs w:val="24"/>
        </w:rPr>
        <w:t>The Platonically informed Christianity thesis has developed largely in response to the dramatic development and Christian neo-Platonism thes</w:t>
      </w:r>
      <w:r w:rsidR="00111872" w:rsidRPr="002305F3">
        <w:rPr>
          <w:sz w:val="24"/>
          <w:szCs w:val="24"/>
        </w:rPr>
        <w:t>e</w:t>
      </w:r>
      <w:r w:rsidRPr="002305F3">
        <w:rPr>
          <w:sz w:val="24"/>
          <w:szCs w:val="24"/>
        </w:rPr>
        <w:t>s.  The general idea here is that Augustine is</w:t>
      </w:r>
      <w:r w:rsidR="0002311E" w:rsidRPr="002305F3">
        <w:rPr>
          <w:sz w:val="24"/>
          <w:szCs w:val="24"/>
        </w:rPr>
        <w:t xml:space="preserve"> consistently</w:t>
      </w:r>
      <w:r w:rsidRPr="002305F3">
        <w:rPr>
          <w:sz w:val="24"/>
          <w:szCs w:val="24"/>
        </w:rPr>
        <w:t xml:space="preserve"> as much of a Christian as he knows how to be, and as much of a Platonist as he finds useful for understanding Christian truth.  For example, we might take his remark that no worldview lacking the name of Christ could hold his loyalty (</w:t>
      </w:r>
      <w:r w:rsidRPr="002305F3">
        <w:rPr>
          <w:i/>
          <w:iCs/>
          <w:sz w:val="24"/>
          <w:szCs w:val="24"/>
        </w:rPr>
        <w:t>Conf.</w:t>
      </w:r>
      <w:r w:rsidRPr="002305F3">
        <w:rPr>
          <w:sz w:val="24"/>
          <w:szCs w:val="24"/>
        </w:rPr>
        <w:t xml:space="preserve"> 3.4.8) as a North Star in our interpreting—a sign of his priorities even in the early writings.  When we read in </w:t>
      </w:r>
      <w:r w:rsidRPr="002305F3">
        <w:rPr>
          <w:i/>
          <w:iCs/>
          <w:sz w:val="24"/>
          <w:szCs w:val="24"/>
        </w:rPr>
        <w:t>Sol</w:t>
      </w:r>
      <w:r w:rsidRPr="002305F3">
        <w:rPr>
          <w:sz w:val="24"/>
          <w:szCs w:val="24"/>
        </w:rPr>
        <w:t>. 1.2.7 the one-sentence summary of his philosophical-theological project—</w:t>
      </w:r>
      <w:r w:rsidR="0026323A">
        <w:rPr>
          <w:sz w:val="24"/>
          <w:szCs w:val="24"/>
        </w:rPr>
        <w:t>‘</w:t>
      </w:r>
      <w:r w:rsidRPr="002305F3">
        <w:rPr>
          <w:sz w:val="24"/>
          <w:szCs w:val="24"/>
        </w:rPr>
        <w:t>I yearn to know God and the soul</w:t>
      </w:r>
      <w:r w:rsidR="0026323A">
        <w:rPr>
          <w:sz w:val="24"/>
          <w:szCs w:val="24"/>
        </w:rPr>
        <w:t>’</w:t>
      </w:r>
      <w:r w:rsidRPr="002305F3">
        <w:rPr>
          <w:sz w:val="24"/>
          <w:szCs w:val="24"/>
        </w:rPr>
        <w:t xml:space="preserve">—we may well think that his notion of God and the soul originated from </w:t>
      </w:r>
      <w:r w:rsidRPr="002305F3">
        <w:rPr>
          <w:sz w:val="24"/>
          <w:szCs w:val="24"/>
        </w:rPr>
        <w:lastRenderedPageBreak/>
        <w:t>church experience and from his Christian mother.  When we then consider the interest he takes in neo-Platonism, we may conclude that his goal is to understand Christianity better—particularly with respect to God and the soul and to answering the problem of evil.  (By contrast, an interpreter in the Courcelle-O’Connell tradition may begin by noticing some Platonic notion, or Augustine’s interest in Plotinus, and then interpret Augustine’s Christian</w:t>
      </w:r>
      <w:r w:rsidR="00111872" w:rsidRPr="002305F3">
        <w:rPr>
          <w:sz w:val="24"/>
          <w:szCs w:val="24"/>
        </w:rPr>
        <w:t>ity</w:t>
      </w:r>
      <w:r w:rsidRPr="002305F3">
        <w:rPr>
          <w:sz w:val="24"/>
          <w:szCs w:val="24"/>
        </w:rPr>
        <w:t xml:space="preserve"> in light of </w:t>
      </w:r>
      <w:r w:rsidRPr="002305F3">
        <w:rPr>
          <w:i/>
          <w:sz w:val="24"/>
          <w:szCs w:val="24"/>
        </w:rPr>
        <w:t>them</w:t>
      </w:r>
      <w:r w:rsidRPr="002305F3">
        <w:rPr>
          <w:sz w:val="24"/>
          <w:szCs w:val="24"/>
        </w:rPr>
        <w:t>.</w:t>
      </w:r>
      <w:r w:rsidRPr="002305F3">
        <w:rPr>
          <w:rStyle w:val="FootnoteReference"/>
          <w:sz w:val="24"/>
          <w:szCs w:val="24"/>
        </w:rPr>
        <w:footnoteReference w:id="41"/>
      </w:r>
      <w:r w:rsidRPr="002305F3">
        <w:rPr>
          <w:sz w:val="24"/>
          <w:szCs w:val="24"/>
        </w:rPr>
        <w:t>)</w:t>
      </w:r>
    </w:p>
    <w:p w14:paraId="76488052" w14:textId="3DE32002" w:rsidR="00AD0E02" w:rsidRPr="002305F3" w:rsidRDefault="00AD0E02" w:rsidP="00111872">
      <w:pPr>
        <w:spacing w:line="480" w:lineRule="auto"/>
        <w:ind w:firstLine="720"/>
        <w:rPr>
          <w:sz w:val="24"/>
          <w:szCs w:val="24"/>
        </w:rPr>
      </w:pPr>
      <w:r w:rsidRPr="002305F3">
        <w:rPr>
          <w:sz w:val="24"/>
          <w:szCs w:val="24"/>
        </w:rPr>
        <w:t>In any case, this way of interpreting Augustine rivals and</w:t>
      </w:r>
      <w:r w:rsidR="000F1D75" w:rsidRPr="002305F3">
        <w:rPr>
          <w:sz w:val="24"/>
          <w:szCs w:val="24"/>
        </w:rPr>
        <w:t xml:space="preserve"> apparently</w:t>
      </w:r>
      <w:r w:rsidRPr="002305F3">
        <w:rPr>
          <w:sz w:val="24"/>
          <w:szCs w:val="24"/>
        </w:rPr>
        <w:t xml:space="preserve"> overcomes</w:t>
      </w:r>
      <w:r w:rsidR="00EF74CC">
        <w:rPr>
          <w:sz w:val="24"/>
          <w:szCs w:val="24"/>
        </w:rPr>
        <w:t xml:space="preserve"> t</w:t>
      </w:r>
      <w:r w:rsidRPr="002305F3">
        <w:rPr>
          <w:sz w:val="24"/>
          <w:szCs w:val="24"/>
        </w:rPr>
        <w:t>he Christian neo-Platonism thesis in terms of the number of scholars who adhere to it.  I consider, to name only some, McEvoy, Bonner,</w:t>
      </w:r>
      <w:r w:rsidRPr="002305F3">
        <w:rPr>
          <w:rStyle w:val="FootnoteReference"/>
          <w:sz w:val="24"/>
          <w:szCs w:val="24"/>
        </w:rPr>
        <w:footnoteReference w:id="42"/>
      </w:r>
      <w:r w:rsidRPr="002305F3">
        <w:rPr>
          <w:sz w:val="24"/>
          <w:szCs w:val="24"/>
        </w:rPr>
        <w:t xml:space="preserve"> Mary Clark,</w:t>
      </w:r>
      <w:r w:rsidRPr="002305F3">
        <w:rPr>
          <w:rStyle w:val="FootnoteReference"/>
          <w:sz w:val="24"/>
          <w:szCs w:val="24"/>
        </w:rPr>
        <w:footnoteReference w:id="43"/>
      </w:r>
      <w:r w:rsidRPr="002305F3">
        <w:rPr>
          <w:sz w:val="24"/>
          <w:szCs w:val="24"/>
        </w:rPr>
        <w:t xml:space="preserve"> Fortin,</w:t>
      </w:r>
      <w:r w:rsidRPr="002305F3">
        <w:rPr>
          <w:rStyle w:val="FootnoteReference"/>
          <w:sz w:val="24"/>
          <w:szCs w:val="24"/>
        </w:rPr>
        <w:footnoteReference w:id="44"/>
      </w:r>
      <w:r w:rsidRPr="002305F3">
        <w:rPr>
          <w:sz w:val="24"/>
          <w:szCs w:val="24"/>
        </w:rPr>
        <w:t xml:space="preserve"> Stewart-Kroeker,</w:t>
      </w:r>
      <w:r w:rsidRPr="002305F3">
        <w:rPr>
          <w:rStyle w:val="FootnoteReference"/>
          <w:sz w:val="24"/>
          <w:szCs w:val="24"/>
        </w:rPr>
        <w:footnoteReference w:id="45"/>
      </w:r>
      <w:r w:rsidRPr="002305F3">
        <w:rPr>
          <w:sz w:val="24"/>
          <w:szCs w:val="24"/>
        </w:rPr>
        <w:t xml:space="preserve"> Rowan </w:t>
      </w:r>
      <w:r w:rsidRPr="002305F3">
        <w:rPr>
          <w:sz w:val="24"/>
          <w:szCs w:val="24"/>
        </w:rPr>
        <w:lastRenderedPageBreak/>
        <w:t>Williams,</w:t>
      </w:r>
      <w:r w:rsidRPr="002305F3">
        <w:rPr>
          <w:rStyle w:val="FootnoteReference"/>
          <w:sz w:val="24"/>
          <w:szCs w:val="24"/>
        </w:rPr>
        <w:footnoteReference w:id="46"/>
      </w:r>
      <w:r w:rsidRPr="002305F3">
        <w:rPr>
          <w:sz w:val="24"/>
          <w:szCs w:val="24"/>
        </w:rPr>
        <w:t xml:space="preserve"> Kevane,</w:t>
      </w:r>
      <w:r w:rsidRPr="002305F3">
        <w:rPr>
          <w:rStyle w:val="FootnoteReference"/>
          <w:sz w:val="24"/>
          <w:szCs w:val="24"/>
        </w:rPr>
        <w:footnoteReference w:id="47"/>
      </w:r>
      <w:r w:rsidRPr="002305F3">
        <w:rPr>
          <w:sz w:val="24"/>
          <w:szCs w:val="24"/>
        </w:rPr>
        <w:t xml:space="preserve"> Foley,</w:t>
      </w:r>
      <w:r w:rsidRPr="002305F3">
        <w:rPr>
          <w:rStyle w:val="FootnoteReference"/>
          <w:sz w:val="24"/>
          <w:szCs w:val="24"/>
        </w:rPr>
        <w:footnoteReference w:id="48"/>
      </w:r>
      <w:r w:rsidRPr="002305F3">
        <w:rPr>
          <w:sz w:val="24"/>
          <w:szCs w:val="24"/>
        </w:rPr>
        <w:t xml:space="preserve"> Gilson,</w:t>
      </w:r>
      <w:r w:rsidRPr="002305F3">
        <w:rPr>
          <w:rStyle w:val="FootnoteReference"/>
          <w:sz w:val="24"/>
          <w:szCs w:val="24"/>
        </w:rPr>
        <w:footnoteReference w:id="49"/>
      </w:r>
      <w:r w:rsidRPr="002305F3">
        <w:rPr>
          <w:sz w:val="24"/>
          <w:szCs w:val="24"/>
        </w:rPr>
        <w:t xml:space="preserve"> Levering,</w:t>
      </w:r>
      <w:r w:rsidRPr="002305F3">
        <w:rPr>
          <w:rStyle w:val="FootnoteReference"/>
          <w:sz w:val="24"/>
          <w:szCs w:val="24"/>
        </w:rPr>
        <w:footnoteReference w:id="50"/>
      </w:r>
      <w:r w:rsidRPr="002305F3">
        <w:rPr>
          <w:sz w:val="24"/>
          <w:szCs w:val="24"/>
        </w:rPr>
        <w:t xml:space="preserve"> McDermott,</w:t>
      </w:r>
      <w:r w:rsidRPr="002305F3">
        <w:rPr>
          <w:rStyle w:val="FootnoteReference"/>
          <w:sz w:val="24"/>
          <w:szCs w:val="24"/>
        </w:rPr>
        <w:footnoteReference w:id="51"/>
      </w:r>
      <w:r w:rsidRPr="002305F3">
        <w:rPr>
          <w:sz w:val="24"/>
          <w:szCs w:val="24"/>
        </w:rPr>
        <w:t xml:space="preserve"> Curley,</w:t>
      </w:r>
      <w:r w:rsidRPr="002305F3">
        <w:rPr>
          <w:rStyle w:val="FootnoteReference"/>
          <w:sz w:val="24"/>
          <w:szCs w:val="24"/>
        </w:rPr>
        <w:footnoteReference w:id="52"/>
      </w:r>
      <w:r w:rsidRPr="002305F3">
        <w:rPr>
          <w:sz w:val="24"/>
          <w:szCs w:val="24"/>
        </w:rPr>
        <w:t xml:space="preserve"> Vaught,</w:t>
      </w:r>
      <w:r w:rsidRPr="002305F3">
        <w:rPr>
          <w:rStyle w:val="FootnoteReference"/>
          <w:iCs/>
          <w:sz w:val="24"/>
          <w:szCs w:val="24"/>
        </w:rPr>
        <w:footnoteReference w:id="53"/>
      </w:r>
      <w:r w:rsidRPr="002305F3">
        <w:rPr>
          <w:sz w:val="24"/>
          <w:szCs w:val="24"/>
        </w:rPr>
        <w:t xml:space="preserve"> Kolbet</w:t>
      </w:r>
      <w:r w:rsidR="00ED7069" w:rsidRPr="002305F3">
        <w:rPr>
          <w:sz w:val="24"/>
          <w:szCs w:val="24"/>
        </w:rPr>
        <w:t>,</w:t>
      </w:r>
      <w:r w:rsidRPr="002305F3">
        <w:rPr>
          <w:rStyle w:val="FootnoteReference"/>
          <w:sz w:val="24"/>
          <w:szCs w:val="24"/>
        </w:rPr>
        <w:footnoteReference w:id="54"/>
      </w:r>
      <w:r w:rsidR="00ED7069" w:rsidRPr="002305F3">
        <w:rPr>
          <w:sz w:val="24"/>
          <w:szCs w:val="24"/>
        </w:rPr>
        <w:t xml:space="preserve"> and Ayres</w:t>
      </w:r>
      <w:r w:rsidR="00ED7069" w:rsidRPr="002305F3">
        <w:rPr>
          <w:rStyle w:val="FootnoteReference"/>
          <w:sz w:val="24"/>
          <w:szCs w:val="24"/>
        </w:rPr>
        <w:footnoteReference w:id="55"/>
      </w:r>
      <w:r w:rsidRPr="002305F3">
        <w:rPr>
          <w:sz w:val="24"/>
          <w:szCs w:val="24"/>
        </w:rPr>
        <w:t xml:space="preserve"> to be in this interpretive tradition.  We will take particular notice of</w:t>
      </w:r>
      <w:r w:rsidR="00111872" w:rsidRPr="002305F3">
        <w:rPr>
          <w:sz w:val="24"/>
          <w:szCs w:val="24"/>
        </w:rPr>
        <w:t xml:space="preserve"> Harrison, who we should note recognizes Madec as an influence.</w:t>
      </w:r>
      <w:r w:rsidR="00111872" w:rsidRPr="002305F3">
        <w:rPr>
          <w:rStyle w:val="FootnoteReference"/>
          <w:sz w:val="24"/>
          <w:szCs w:val="24"/>
        </w:rPr>
        <w:footnoteReference w:id="56"/>
      </w:r>
    </w:p>
    <w:p w14:paraId="6DC0E164" w14:textId="4601F966" w:rsidR="00AD0E02" w:rsidRPr="002305F3" w:rsidRDefault="00AD0E02" w:rsidP="023C52A9">
      <w:pPr>
        <w:spacing w:line="480" w:lineRule="auto"/>
        <w:ind w:firstLine="720"/>
        <w:rPr>
          <w:sz w:val="24"/>
          <w:szCs w:val="24"/>
        </w:rPr>
      </w:pPr>
      <w:r w:rsidRPr="002305F3">
        <w:rPr>
          <w:sz w:val="24"/>
          <w:szCs w:val="24"/>
        </w:rPr>
        <w:lastRenderedPageBreak/>
        <w:t>Harrison</w:t>
      </w:r>
      <w:r w:rsidR="00111872" w:rsidRPr="002305F3">
        <w:rPr>
          <w:sz w:val="24"/>
          <w:szCs w:val="24"/>
        </w:rPr>
        <w:t xml:space="preserve">’s </w:t>
      </w:r>
      <w:r w:rsidRPr="002305F3">
        <w:rPr>
          <w:i/>
          <w:iCs/>
          <w:sz w:val="24"/>
          <w:szCs w:val="24"/>
        </w:rPr>
        <w:t>Rethinking Augustine’s Early Theology: An Argument for Continuity</w:t>
      </w:r>
      <w:r w:rsidRPr="002305F3">
        <w:rPr>
          <w:rStyle w:val="FootnoteReference"/>
          <w:sz w:val="24"/>
          <w:szCs w:val="24"/>
        </w:rPr>
        <w:footnoteReference w:id="57"/>
      </w:r>
      <w:r w:rsidR="00111872" w:rsidRPr="002305F3">
        <w:rPr>
          <w:sz w:val="24"/>
          <w:szCs w:val="24"/>
        </w:rPr>
        <w:t xml:space="preserve"> argues</w:t>
      </w:r>
      <w:r w:rsidRPr="002305F3">
        <w:rPr>
          <w:sz w:val="24"/>
          <w:szCs w:val="24"/>
        </w:rPr>
        <w:t xml:space="preserve"> against the dramatic development thesis, which she critiques in its more moderate form articulated by Brown.  According to Harrison, there is only one Augustine, informed of </w:t>
      </w:r>
      <w:r w:rsidR="00111872" w:rsidRPr="002305F3">
        <w:rPr>
          <w:sz w:val="24"/>
          <w:szCs w:val="24"/>
        </w:rPr>
        <w:t xml:space="preserve">and accepting some </w:t>
      </w:r>
      <w:r w:rsidRPr="002305F3">
        <w:rPr>
          <w:sz w:val="24"/>
          <w:szCs w:val="24"/>
        </w:rPr>
        <w:t xml:space="preserve">neo-Platonic </w:t>
      </w:r>
      <w:r w:rsidR="00111872" w:rsidRPr="002305F3">
        <w:rPr>
          <w:sz w:val="24"/>
          <w:szCs w:val="24"/>
        </w:rPr>
        <w:t>insights</w:t>
      </w:r>
      <w:r w:rsidRPr="002305F3">
        <w:rPr>
          <w:sz w:val="24"/>
          <w:szCs w:val="24"/>
        </w:rPr>
        <w:t>.  Yet he is also a Christian and privileges Christian theology over pagan philosophy.  Neo-Platonism’s insight into immateriality is helpful in answering the problem of evil and in understanding Christian theology, which stands independently of neo-Platonism.</w:t>
      </w:r>
      <w:r w:rsidRPr="002305F3">
        <w:rPr>
          <w:rStyle w:val="FootnoteReference"/>
          <w:sz w:val="24"/>
          <w:szCs w:val="24"/>
        </w:rPr>
        <w:footnoteReference w:id="58"/>
      </w:r>
      <w:r w:rsidRPr="002305F3">
        <w:rPr>
          <w:sz w:val="24"/>
          <w:szCs w:val="24"/>
        </w:rPr>
        <w:t xml:space="preserve"> It is a theology of sin and grace, present in the early writings </w:t>
      </w:r>
      <w:r w:rsidR="005F4E1B" w:rsidRPr="002305F3">
        <w:rPr>
          <w:sz w:val="24"/>
          <w:szCs w:val="24"/>
        </w:rPr>
        <w:t>as well as in</w:t>
      </w:r>
      <w:r w:rsidRPr="002305F3">
        <w:rPr>
          <w:sz w:val="24"/>
          <w:szCs w:val="24"/>
        </w:rPr>
        <w:t xml:space="preserve"> the later. Although Augustine’s thoughts on this subject develop, this is </w:t>
      </w:r>
      <w:r w:rsidR="0026323A">
        <w:rPr>
          <w:sz w:val="24"/>
          <w:szCs w:val="24"/>
        </w:rPr>
        <w:t>‘</w:t>
      </w:r>
      <w:r w:rsidRPr="002305F3">
        <w:rPr>
          <w:sz w:val="24"/>
          <w:szCs w:val="24"/>
        </w:rPr>
        <w:t>less a revolution</w:t>
      </w:r>
      <w:r w:rsidR="0026323A">
        <w:rPr>
          <w:sz w:val="24"/>
          <w:szCs w:val="24"/>
        </w:rPr>
        <w:t>’</w:t>
      </w:r>
      <w:r w:rsidRPr="002305F3">
        <w:rPr>
          <w:sz w:val="24"/>
          <w:szCs w:val="24"/>
        </w:rPr>
        <w:t xml:space="preserve"> than a </w:t>
      </w:r>
      <w:r w:rsidR="0026323A">
        <w:rPr>
          <w:sz w:val="24"/>
          <w:szCs w:val="24"/>
        </w:rPr>
        <w:t>‘</w:t>
      </w:r>
      <w:r w:rsidRPr="002305F3">
        <w:rPr>
          <w:sz w:val="24"/>
          <w:szCs w:val="24"/>
        </w:rPr>
        <w:t>natural evolution.</w:t>
      </w:r>
      <w:r w:rsidR="0026323A">
        <w:rPr>
          <w:sz w:val="24"/>
          <w:szCs w:val="24"/>
        </w:rPr>
        <w:t>’</w:t>
      </w:r>
      <w:r w:rsidRPr="002305F3">
        <w:rPr>
          <w:rStyle w:val="FootnoteReference"/>
          <w:sz w:val="24"/>
          <w:szCs w:val="24"/>
        </w:rPr>
        <w:footnoteReference w:id="59"/>
      </w:r>
      <w:r w:rsidRPr="002305F3">
        <w:rPr>
          <w:sz w:val="24"/>
          <w:szCs w:val="24"/>
        </w:rPr>
        <w:t xml:space="preserve"> He is distinctively (</w:t>
      </w:r>
      <w:r w:rsidR="008E3E5C" w:rsidRPr="002305F3">
        <w:rPr>
          <w:sz w:val="24"/>
          <w:szCs w:val="24"/>
        </w:rPr>
        <w:t>though perhaps</w:t>
      </w:r>
      <w:r w:rsidRPr="002305F3">
        <w:rPr>
          <w:sz w:val="24"/>
          <w:szCs w:val="24"/>
        </w:rPr>
        <w:t xml:space="preserve"> not in all respects </w:t>
      </w:r>
      <w:r w:rsidRPr="002305F3">
        <w:rPr>
          <w:i/>
          <w:sz w:val="24"/>
          <w:szCs w:val="24"/>
        </w:rPr>
        <w:t>thoroughly</w:t>
      </w:r>
      <w:r w:rsidRPr="002305F3">
        <w:rPr>
          <w:sz w:val="24"/>
          <w:szCs w:val="24"/>
        </w:rPr>
        <w:t>) Christian.</w:t>
      </w:r>
    </w:p>
    <w:p w14:paraId="3DA69F70" w14:textId="6F149151" w:rsidR="00AD0E02" w:rsidRPr="002305F3" w:rsidRDefault="00AD0E02" w:rsidP="023C52A9">
      <w:pPr>
        <w:spacing w:line="480" w:lineRule="auto"/>
        <w:ind w:firstLine="720"/>
        <w:rPr>
          <w:sz w:val="24"/>
          <w:szCs w:val="24"/>
        </w:rPr>
      </w:pPr>
      <w:r w:rsidRPr="002305F3">
        <w:rPr>
          <w:sz w:val="24"/>
          <w:szCs w:val="24"/>
        </w:rPr>
        <w:t xml:space="preserve">As interesting as </w:t>
      </w:r>
      <w:r w:rsidR="00F833A6" w:rsidRPr="002305F3">
        <w:rPr>
          <w:sz w:val="24"/>
          <w:szCs w:val="24"/>
        </w:rPr>
        <w:t>this debate is</w:t>
      </w:r>
      <w:r w:rsidRPr="002305F3">
        <w:rPr>
          <w:sz w:val="24"/>
          <w:szCs w:val="24"/>
        </w:rPr>
        <w:t xml:space="preserve">, </w:t>
      </w:r>
      <w:r w:rsidR="00F833A6" w:rsidRPr="002305F3">
        <w:rPr>
          <w:sz w:val="24"/>
          <w:szCs w:val="24"/>
        </w:rPr>
        <w:t>could it</w:t>
      </w:r>
      <w:r w:rsidRPr="002305F3">
        <w:rPr>
          <w:sz w:val="24"/>
          <w:szCs w:val="24"/>
        </w:rPr>
        <w:t xml:space="preserve"> be a mistake?  </w:t>
      </w:r>
      <w:r w:rsidR="00111872" w:rsidRPr="002305F3">
        <w:rPr>
          <w:sz w:val="24"/>
          <w:szCs w:val="24"/>
        </w:rPr>
        <w:t>P</w:t>
      </w:r>
      <w:r w:rsidRPr="002305F3">
        <w:rPr>
          <w:sz w:val="24"/>
          <w:szCs w:val="24"/>
        </w:rPr>
        <w:t xml:space="preserve">ossibly, but probably not.  </w:t>
      </w:r>
      <w:r w:rsidR="009D410C">
        <w:rPr>
          <w:sz w:val="24"/>
          <w:szCs w:val="24"/>
        </w:rPr>
        <w:t>Of course, w</w:t>
      </w:r>
      <w:r w:rsidR="00EF74CC">
        <w:rPr>
          <w:sz w:val="24"/>
          <w:szCs w:val="24"/>
        </w:rPr>
        <w:t xml:space="preserve">e must keep in mind that classifying scholarly traditions in this manner </w:t>
      </w:r>
      <w:r w:rsidR="00911D9D">
        <w:rPr>
          <w:sz w:val="24"/>
          <w:szCs w:val="24"/>
        </w:rPr>
        <w:t>almost inevitably involves</w:t>
      </w:r>
      <w:r w:rsidR="00111872" w:rsidRPr="002305F3">
        <w:rPr>
          <w:sz w:val="24"/>
          <w:szCs w:val="24"/>
        </w:rPr>
        <w:t xml:space="preserve"> </w:t>
      </w:r>
      <w:r w:rsidR="00911D9D">
        <w:rPr>
          <w:sz w:val="24"/>
          <w:szCs w:val="24"/>
        </w:rPr>
        <w:t>some oversimplification. We are p</w:t>
      </w:r>
      <w:r w:rsidRPr="002305F3">
        <w:rPr>
          <w:sz w:val="24"/>
          <w:szCs w:val="24"/>
        </w:rPr>
        <w:t xml:space="preserve">ainting in broad strokes.   A scholar in the Courcelle-O’Connell tradition with a strong emphasis on Augustine’s Christianity might be virtually indistinguishable from someone in the Madec-Harrison tradition with a strong emphasis on neo-Platonism.  And a scholar from the latter tradition with a strong emphasis on Augustine’s differences from neo-Platonism might fall into something very much like the Christian </w:t>
      </w:r>
      <w:r w:rsidRPr="002305F3">
        <w:rPr>
          <w:i/>
          <w:sz w:val="24"/>
          <w:szCs w:val="24"/>
        </w:rPr>
        <w:t>non</w:t>
      </w:r>
      <w:r w:rsidRPr="002305F3">
        <w:rPr>
          <w:sz w:val="24"/>
          <w:szCs w:val="24"/>
        </w:rPr>
        <w:t>-Platonist reading.</w:t>
      </w:r>
    </w:p>
    <w:p w14:paraId="134C888D" w14:textId="5890FE81" w:rsidR="00AD0E02" w:rsidRPr="002305F3" w:rsidRDefault="00AD0E02" w:rsidP="00954463">
      <w:pPr>
        <w:spacing w:line="480" w:lineRule="auto"/>
        <w:ind w:firstLine="720"/>
        <w:rPr>
          <w:sz w:val="24"/>
          <w:szCs w:val="24"/>
        </w:rPr>
      </w:pPr>
      <w:r w:rsidRPr="002305F3">
        <w:rPr>
          <w:sz w:val="24"/>
          <w:szCs w:val="24"/>
        </w:rPr>
        <w:t xml:space="preserve">We might consider this debate in terms of two lists, one containing points of neo-Platonic </w:t>
      </w:r>
      <w:r w:rsidR="0053722D" w:rsidRPr="002305F3">
        <w:rPr>
          <w:sz w:val="24"/>
          <w:szCs w:val="24"/>
        </w:rPr>
        <w:t>philosophy</w:t>
      </w:r>
      <w:r w:rsidRPr="002305F3">
        <w:rPr>
          <w:sz w:val="24"/>
          <w:szCs w:val="24"/>
        </w:rPr>
        <w:t xml:space="preserve"> and the other orthodox Christian points of theology (with some points on both lists).  </w:t>
      </w:r>
      <w:r w:rsidRPr="002305F3">
        <w:rPr>
          <w:sz w:val="24"/>
          <w:szCs w:val="24"/>
        </w:rPr>
        <w:lastRenderedPageBreak/>
        <w:t xml:space="preserve">We could define the Christian neo-Platonism reading as the theory that Augustine accepts many points from the first list and lacks </w:t>
      </w:r>
      <w:r w:rsidR="009C4F68" w:rsidRPr="002305F3">
        <w:rPr>
          <w:sz w:val="24"/>
          <w:szCs w:val="24"/>
        </w:rPr>
        <w:t>a few</w:t>
      </w:r>
      <w:r w:rsidR="00806EAA" w:rsidRPr="002305F3">
        <w:rPr>
          <w:sz w:val="24"/>
          <w:szCs w:val="24"/>
        </w:rPr>
        <w:t xml:space="preserve"> from</w:t>
      </w:r>
      <w:r w:rsidRPr="002305F3">
        <w:rPr>
          <w:sz w:val="24"/>
          <w:szCs w:val="24"/>
        </w:rPr>
        <w:t xml:space="preserve"> the second.  We could define the Platonically informed Christianity reading as the theory that he accepts fewer points from the first list and a few more from the second.  We could define</w:t>
      </w:r>
      <w:r w:rsidR="009C4F68" w:rsidRPr="002305F3">
        <w:rPr>
          <w:sz w:val="24"/>
          <w:szCs w:val="24"/>
        </w:rPr>
        <w:t xml:space="preserve"> the Christian non-Platonism</w:t>
      </w:r>
      <w:r w:rsidRPr="002305F3">
        <w:rPr>
          <w:sz w:val="24"/>
          <w:szCs w:val="24"/>
        </w:rPr>
        <w:t xml:space="preserve"> reading as the theory that he accepts still fewer from the first and more from the second.  </w:t>
      </w:r>
      <w:r w:rsidR="00111872" w:rsidRPr="002305F3">
        <w:rPr>
          <w:sz w:val="24"/>
          <w:szCs w:val="24"/>
        </w:rPr>
        <w:t>T</w:t>
      </w:r>
      <w:r w:rsidRPr="002305F3">
        <w:rPr>
          <w:sz w:val="24"/>
          <w:szCs w:val="24"/>
        </w:rPr>
        <w:t xml:space="preserve">here would be some </w:t>
      </w:r>
      <w:r w:rsidR="0002311E" w:rsidRPr="002305F3">
        <w:rPr>
          <w:sz w:val="24"/>
          <w:szCs w:val="24"/>
        </w:rPr>
        <w:t>gray areas</w:t>
      </w:r>
      <w:r w:rsidRPr="002305F3">
        <w:rPr>
          <w:sz w:val="24"/>
          <w:szCs w:val="24"/>
        </w:rPr>
        <w:t xml:space="preserve"> in between.</w:t>
      </w:r>
    </w:p>
    <w:p w14:paraId="5F12D275" w14:textId="6F46865D" w:rsidR="00AD0E02" w:rsidRPr="002305F3" w:rsidRDefault="0002311E" w:rsidP="00954463">
      <w:pPr>
        <w:spacing w:line="480" w:lineRule="auto"/>
        <w:ind w:firstLine="720"/>
        <w:rPr>
          <w:sz w:val="24"/>
          <w:szCs w:val="24"/>
        </w:rPr>
      </w:pPr>
      <w:r w:rsidRPr="002305F3">
        <w:rPr>
          <w:sz w:val="24"/>
          <w:szCs w:val="24"/>
        </w:rPr>
        <w:t>W</w:t>
      </w:r>
      <w:r w:rsidR="00AD0E02" w:rsidRPr="002305F3">
        <w:rPr>
          <w:sz w:val="24"/>
          <w:szCs w:val="24"/>
        </w:rPr>
        <w:t>e might include in the first list the doctrine of immateriality (which all agree Augustine holds), the pre-existence of the soul, its divine aspect, a disembodied afterlife, and the idea that all created things are fallen things.  We might include in the second list the doctrines of the goodness of material creation, grace, the Trinity, the Incarnation, and creation</w:t>
      </w:r>
      <w:r w:rsidR="009C4F68" w:rsidRPr="002305F3">
        <w:rPr>
          <w:sz w:val="24"/>
          <w:szCs w:val="24"/>
        </w:rPr>
        <w:t xml:space="preserve"> </w:t>
      </w:r>
      <w:r w:rsidR="009C4F68" w:rsidRPr="002305F3">
        <w:rPr>
          <w:i/>
          <w:sz w:val="24"/>
          <w:szCs w:val="24"/>
        </w:rPr>
        <w:t>ex ni</w:t>
      </w:r>
      <w:r w:rsidR="00862A7F" w:rsidRPr="002305F3">
        <w:rPr>
          <w:i/>
          <w:sz w:val="24"/>
          <w:szCs w:val="24"/>
        </w:rPr>
        <w:t>h</w:t>
      </w:r>
      <w:r w:rsidR="009C4F68" w:rsidRPr="002305F3">
        <w:rPr>
          <w:i/>
          <w:sz w:val="24"/>
          <w:szCs w:val="24"/>
        </w:rPr>
        <w:t>ilo</w:t>
      </w:r>
      <w:r w:rsidR="009C4F68" w:rsidRPr="002305F3">
        <w:rPr>
          <w:sz w:val="24"/>
          <w:szCs w:val="24"/>
        </w:rPr>
        <w:t>.</w:t>
      </w:r>
      <w:r w:rsidR="00AD0E02" w:rsidRPr="002305F3">
        <w:rPr>
          <w:sz w:val="24"/>
          <w:szCs w:val="24"/>
        </w:rPr>
        <w:t xml:space="preserve"> </w:t>
      </w:r>
      <w:r w:rsidR="00111872" w:rsidRPr="002305F3">
        <w:rPr>
          <w:sz w:val="24"/>
          <w:szCs w:val="24"/>
        </w:rPr>
        <w:t>The challenge in</w:t>
      </w:r>
      <w:r w:rsidR="0053722D" w:rsidRPr="002305F3">
        <w:rPr>
          <w:sz w:val="24"/>
          <w:szCs w:val="24"/>
        </w:rPr>
        <w:t xml:space="preserve"> interpreting Augustine</w:t>
      </w:r>
      <w:r w:rsidR="00111872" w:rsidRPr="002305F3">
        <w:rPr>
          <w:sz w:val="24"/>
          <w:szCs w:val="24"/>
        </w:rPr>
        <w:t xml:space="preserve"> is not only that his own thought develops, opening up </w:t>
      </w:r>
      <w:r w:rsidR="009D410C">
        <w:rPr>
          <w:sz w:val="24"/>
          <w:szCs w:val="24"/>
        </w:rPr>
        <w:t xml:space="preserve">at least </w:t>
      </w:r>
      <w:r w:rsidR="00111872" w:rsidRPr="002305F3">
        <w:rPr>
          <w:sz w:val="24"/>
          <w:szCs w:val="24"/>
        </w:rPr>
        <w:t xml:space="preserve">a possibility of different lists for different stages of his career, </w:t>
      </w:r>
      <w:r w:rsidR="00195480" w:rsidRPr="002305F3">
        <w:rPr>
          <w:sz w:val="24"/>
          <w:szCs w:val="24"/>
        </w:rPr>
        <w:t>and not only that whether he accepts a particular point for one list at some era is sometimes disputed. The challenge is also that what doctrine goes on what list is debatable</w:t>
      </w:r>
      <w:r w:rsidR="008C1430" w:rsidRPr="002305F3">
        <w:rPr>
          <w:sz w:val="24"/>
          <w:szCs w:val="24"/>
        </w:rPr>
        <w:t>.</w:t>
      </w:r>
      <w:r w:rsidR="00AD0E02" w:rsidRPr="002305F3">
        <w:rPr>
          <w:sz w:val="24"/>
          <w:szCs w:val="24"/>
        </w:rPr>
        <w:t xml:space="preserve"> For example, Harrison emphasizes Augustine’s awareness of the importance of grace.</w:t>
      </w:r>
      <w:r w:rsidR="00AD0E02" w:rsidRPr="002305F3">
        <w:rPr>
          <w:rStyle w:val="FootnoteReference"/>
          <w:sz w:val="24"/>
          <w:szCs w:val="24"/>
        </w:rPr>
        <w:footnoteReference w:id="60"/>
      </w:r>
      <w:r w:rsidR="00AD0E02" w:rsidRPr="002305F3">
        <w:rPr>
          <w:sz w:val="24"/>
          <w:szCs w:val="24"/>
        </w:rPr>
        <w:t xml:space="preserve">  </w:t>
      </w:r>
      <w:r w:rsidR="00111872" w:rsidRPr="002305F3">
        <w:rPr>
          <w:sz w:val="24"/>
          <w:szCs w:val="24"/>
        </w:rPr>
        <w:t>S</w:t>
      </w:r>
      <w:r w:rsidR="00AD0E02" w:rsidRPr="002305F3">
        <w:rPr>
          <w:sz w:val="24"/>
          <w:szCs w:val="24"/>
        </w:rPr>
        <w:t xml:space="preserve">uppose one </w:t>
      </w:r>
      <w:r w:rsidR="00111872" w:rsidRPr="002305F3">
        <w:rPr>
          <w:sz w:val="24"/>
          <w:szCs w:val="24"/>
        </w:rPr>
        <w:t>follows Cary</w:t>
      </w:r>
      <w:r w:rsidR="00AD0E02" w:rsidRPr="002305F3">
        <w:rPr>
          <w:rStyle w:val="FootnoteReference"/>
          <w:sz w:val="24"/>
          <w:szCs w:val="24"/>
        </w:rPr>
        <w:footnoteReference w:id="61"/>
      </w:r>
      <w:r w:rsidR="00111872" w:rsidRPr="002305F3">
        <w:rPr>
          <w:sz w:val="24"/>
          <w:szCs w:val="24"/>
        </w:rPr>
        <w:t xml:space="preserve"> in thinking</w:t>
      </w:r>
      <w:r w:rsidR="00AD0E02" w:rsidRPr="002305F3">
        <w:rPr>
          <w:sz w:val="24"/>
          <w:szCs w:val="24"/>
        </w:rPr>
        <w:t xml:space="preserve"> neo-Platonism also has a notion of grace?  Would this force a reader of Harrison into the Courcelle-O’Connell tradition?  If the reader also follows Vaught in thinking that Augustine teaches that created things are not by definition fallen, does that move him back into the Madec-Harrison column?  One wonders whether dispensing with the idea of these traditions might be best.</w:t>
      </w:r>
    </w:p>
    <w:p w14:paraId="4A43DE70" w14:textId="20E75A8E" w:rsidR="00AD0E02" w:rsidRPr="002305F3" w:rsidRDefault="00AD0E02" w:rsidP="023C52A9">
      <w:pPr>
        <w:spacing w:line="480" w:lineRule="auto"/>
        <w:ind w:firstLine="720"/>
        <w:rPr>
          <w:sz w:val="24"/>
          <w:szCs w:val="24"/>
        </w:rPr>
      </w:pPr>
      <w:r w:rsidRPr="002305F3">
        <w:rPr>
          <w:sz w:val="24"/>
          <w:szCs w:val="24"/>
        </w:rPr>
        <w:t xml:space="preserve">For my part, I think not; I readily speak of the traditions myself, and tend to follow Vaught and Harrison (with great appreciation for Cary, Chadwick, Conybeare, and other </w:t>
      </w:r>
      <w:r w:rsidRPr="002305F3">
        <w:rPr>
          <w:sz w:val="24"/>
          <w:szCs w:val="24"/>
        </w:rPr>
        <w:lastRenderedPageBreak/>
        <w:t>disputants).</w:t>
      </w:r>
      <w:r w:rsidR="00A342E6">
        <w:rPr>
          <w:sz w:val="24"/>
          <w:szCs w:val="24"/>
        </w:rPr>
        <w:t xml:space="preserve"> There are some real differences not only in what </w:t>
      </w:r>
      <w:r w:rsidR="006921AE">
        <w:rPr>
          <w:sz w:val="24"/>
          <w:szCs w:val="24"/>
        </w:rPr>
        <w:t>conclusion scholars reach concerning Augustine, but also in how they reach these conclusions</w:t>
      </w:r>
      <w:r w:rsidR="00A342E6">
        <w:rPr>
          <w:sz w:val="24"/>
          <w:szCs w:val="24"/>
        </w:rPr>
        <w:t>.</w:t>
      </w:r>
      <w:r w:rsidRPr="002305F3">
        <w:rPr>
          <w:sz w:val="24"/>
          <w:szCs w:val="24"/>
        </w:rPr>
        <w:t xml:space="preserve"> Still, </w:t>
      </w:r>
      <w:r w:rsidR="00111872" w:rsidRPr="002305F3">
        <w:rPr>
          <w:sz w:val="24"/>
          <w:szCs w:val="24"/>
        </w:rPr>
        <w:t>we must keep</w:t>
      </w:r>
      <w:r w:rsidRPr="002305F3">
        <w:rPr>
          <w:sz w:val="24"/>
          <w:szCs w:val="24"/>
        </w:rPr>
        <w:t xml:space="preserve"> in mind that these distinctions are generalizations.  Moreover, a scholar might well read Augustine without choosing between these interpretive </w:t>
      </w:r>
      <w:r w:rsidR="0053722D" w:rsidRPr="002305F3">
        <w:rPr>
          <w:sz w:val="24"/>
          <w:szCs w:val="24"/>
        </w:rPr>
        <w:t>frameworks</w:t>
      </w:r>
      <w:r w:rsidRPr="002305F3">
        <w:rPr>
          <w:sz w:val="24"/>
          <w:szCs w:val="24"/>
        </w:rPr>
        <w:t>.  And there are other lenses for looking at Augustine</w:t>
      </w:r>
      <w:r w:rsidR="00E6543E" w:rsidRPr="002305F3">
        <w:rPr>
          <w:sz w:val="24"/>
          <w:szCs w:val="24"/>
        </w:rPr>
        <w:t xml:space="preserve"> which </w:t>
      </w:r>
      <w:r w:rsidRPr="002305F3">
        <w:rPr>
          <w:sz w:val="24"/>
          <w:szCs w:val="24"/>
        </w:rPr>
        <w:t>may be combined with or lead to the same conclusions as these interpretations</w:t>
      </w:r>
      <w:r w:rsidR="00E4143A" w:rsidRPr="002305F3">
        <w:rPr>
          <w:sz w:val="24"/>
          <w:szCs w:val="24"/>
        </w:rPr>
        <w:t>, o</w:t>
      </w:r>
      <w:r w:rsidRPr="002305F3">
        <w:rPr>
          <w:sz w:val="24"/>
          <w:szCs w:val="24"/>
        </w:rPr>
        <w:t xml:space="preserve">r might sidestep the issue altogether.  </w:t>
      </w:r>
      <w:r w:rsidR="00F43CD7" w:rsidRPr="002305F3">
        <w:rPr>
          <w:sz w:val="24"/>
          <w:szCs w:val="24"/>
        </w:rPr>
        <w:t>Let us look, accordingly, at some other lenses.</w:t>
      </w:r>
    </w:p>
    <w:p w14:paraId="2F96F6FA" w14:textId="5D9D110D" w:rsidR="00AD0E02" w:rsidRPr="002305F3" w:rsidRDefault="00AD0E02" w:rsidP="023C52A9">
      <w:pPr>
        <w:spacing w:line="480" w:lineRule="auto"/>
        <w:contextualSpacing/>
        <w:jc w:val="center"/>
        <w:rPr>
          <w:sz w:val="24"/>
          <w:szCs w:val="24"/>
        </w:rPr>
      </w:pPr>
      <w:r w:rsidRPr="002305F3">
        <w:rPr>
          <w:sz w:val="24"/>
          <w:szCs w:val="24"/>
        </w:rPr>
        <w:t>II. Other Lenses for Reading Augustine</w:t>
      </w:r>
    </w:p>
    <w:p w14:paraId="3379CCBD" w14:textId="26F13C86" w:rsidR="005C684C" w:rsidRDefault="00AD0E02" w:rsidP="00D24768">
      <w:pPr>
        <w:spacing w:line="480" w:lineRule="auto"/>
        <w:ind w:firstLine="720"/>
        <w:contextualSpacing/>
        <w:rPr>
          <w:sz w:val="24"/>
          <w:szCs w:val="24"/>
        </w:rPr>
      </w:pPr>
      <w:r w:rsidRPr="002305F3">
        <w:rPr>
          <w:sz w:val="24"/>
          <w:szCs w:val="24"/>
        </w:rPr>
        <w:t xml:space="preserve">The terms of </w:t>
      </w:r>
      <w:r w:rsidR="00F43CD7" w:rsidRPr="002305F3">
        <w:rPr>
          <w:sz w:val="24"/>
          <w:szCs w:val="24"/>
        </w:rPr>
        <w:t>this</w:t>
      </w:r>
      <w:r w:rsidRPr="002305F3">
        <w:rPr>
          <w:sz w:val="24"/>
          <w:szCs w:val="24"/>
        </w:rPr>
        <w:t xml:space="preserve"> debate are concepts prominent in Augustine’s intellectual milieu and in which he himself was very interested—the Trinity, the Incarnation, immateriality, reason, virtue, etc.  </w:t>
      </w:r>
      <w:r w:rsidR="00BD7D9C" w:rsidRPr="002305F3">
        <w:rPr>
          <w:sz w:val="24"/>
          <w:szCs w:val="24"/>
        </w:rPr>
        <w:t>So a</w:t>
      </w:r>
      <w:r w:rsidRPr="002305F3">
        <w:rPr>
          <w:sz w:val="24"/>
          <w:szCs w:val="24"/>
        </w:rPr>
        <w:t xml:space="preserve"> debate about how to relate these concepts puts us in close proximity to Augustine.  All the same, it can distract us from what he was thinking.  He was not in the habit of asking, </w:t>
      </w:r>
      <w:r w:rsidR="0026323A">
        <w:rPr>
          <w:sz w:val="24"/>
          <w:szCs w:val="24"/>
        </w:rPr>
        <w:t>‘</w:t>
      </w:r>
      <w:r w:rsidRPr="002305F3">
        <w:rPr>
          <w:sz w:val="24"/>
          <w:szCs w:val="24"/>
        </w:rPr>
        <w:t>Am I really a neo-Platonist or am I something else?</w:t>
      </w:r>
      <w:r w:rsidR="0026323A">
        <w:rPr>
          <w:sz w:val="24"/>
          <w:szCs w:val="24"/>
        </w:rPr>
        <w:t>’</w:t>
      </w:r>
      <w:r w:rsidRPr="002305F3">
        <w:rPr>
          <w:sz w:val="24"/>
          <w:szCs w:val="24"/>
        </w:rPr>
        <w:t xml:space="preserve">  He was thinking about other matters, such what is morally right and what makes us happy (which he did not see as</w:t>
      </w:r>
      <w:r w:rsidR="005C684C">
        <w:rPr>
          <w:sz w:val="24"/>
          <w:szCs w:val="24"/>
        </w:rPr>
        <w:t xml:space="preserve"> s</w:t>
      </w:r>
      <w:r w:rsidR="00E34371" w:rsidRPr="002305F3">
        <w:rPr>
          <w:sz w:val="24"/>
          <w:szCs w:val="24"/>
        </w:rPr>
        <w:t>eparate</w:t>
      </w:r>
      <w:r w:rsidR="005C684C">
        <w:rPr>
          <w:sz w:val="24"/>
          <w:szCs w:val="24"/>
        </w:rPr>
        <w:t xml:space="preserve"> or conflicting </w:t>
      </w:r>
      <w:r w:rsidRPr="002305F3">
        <w:rPr>
          <w:sz w:val="24"/>
          <w:szCs w:val="24"/>
        </w:rPr>
        <w:t xml:space="preserve">priorities).  Well-written were Fortin’s words about Augustine scholarship: </w:t>
      </w:r>
      <w:r w:rsidR="0026323A">
        <w:rPr>
          <w:sz w:val="24"/>
          <w:szCs w:val="24"/>
        </w:rPr>
        <w:t>‘</w:t>
      </w:r>
      <w:r w:rsidRPr="002305F3">
        <w:rPr>
          <w:sz w:val="24"/>
          <w:szCs w:val="24"/>
        </w:rPr>
        <w:t>Fascinating as many of these studies may be, they leave untouched and may even obscure some of the deeper layers of Augustine’s thought, inasmuch as the questions with which they approach his works are their own and not those of Augustine.</w:t>
      </w:r>
      <w:r w:rsidR="0026323A">
        <w:rPr>
          <w:sz w:val="24"/>
          <w:szCs w:val="24"/>
        </w:rPr>
        <w:t>’</w:t>
      </w:r>
      <w:r w:rsidRPr="002305F3">
        <w:rPr>
          <w:rStyle w:val="FootnoteReference"/>
          <w:sz w:val="24"/>
          <w:szCs w:val="24"/>
        </w:rPr>
        <w:footnoteReference w:id="62"/>
      </w:r>
    </w:p>
    <w:p w14:paraId="39B069F6" w14:textId="5382D127" w:rsidR="00D24768" w:rsidRPr="002305F3" w:rsidRDefault="005C684C" w:rsidP="00D24768">
      <w:pPr>
        <w:spacing w:line="480" w:lineRule="auto"/>
        <w:ind w:firstLine="720"/>
        <w:contextualSpacing/>
        <w:rPr>
          <w:sz w:val="24"/>
          <w:szCs w:val="24"/>
        </w:rPr>
      </w:pPr>
      <w:r>
        <w:rPr>
          <w:sz w:val="24"/>
          <w:szCs w:val="24"/>
        </w:rPr>
        <w:t>In short, g</w:t>
      </w:r>
      <w:r w:rsidR="00D24768" w:rsidRPr="002305F3">
        <w:rPr>
          <w:sz w:val="24"/>
          <w:szCs w:val="24"/>
        </w:rPr>
        <w:t xml:space="preserve">iving a reading of Augustine as part of this debate is a way of </w:t>
      </w:r>
      <w:r w:rsidR="001E49FD" w:rsidRPr="002305F3">
        <w:rPr>
          <w:sz w:val="24"/>
          <w:szCs w:val="24"/>
        </w:rPr>
        <w:t>r</w:t>
      </w:r>
      <w:r w:rsidR="00D24768" w:rsidRPr="002305F3">
        <w:rPr>
          <w:sz w:val="24"/>
          <w:szCs w:val="24"/>
        </w:rPr>
        <w:t>eading Augustine</w:t>
      </w:r>
      <w:r w:rsidR="001E49FD" w:rsidRPr="002305F3">
        <w:rPr>
          <w:sz w:val="24"/>
          <w:szCs w:val="24"/>
        </w:rPr>
        <w:t>,</w:t>
      </w:r>
      <w:r w:rsidR="00D24768" w:rsidRPr="002305F3">
        <w:rPr>
          <w:sz w:val="24"/>
          <w:szCs w:val="24"/>
        </w:rPr>
        <w:t xml:space="preserve"> and this debate has been </w:t>
      </w:r>
      <w:r w:rsidR="001E49FD" w:rsidRPr="002305F3">
        <w:rPr>
          <w:sz w:val="24"/>
          <w:szCs w:val="24"/>
        </w:rPr>
        <w:t>c</w:t>
      </w:r>
      <w:r w:rsidR="00D24768" w:rsidRPr="002305F3">
        <w:rPr>
          <w:sz w:val="24"/>
          <w:szCs w:val="24"/>
        </w:rPr>
        <w:t xml:space="preserve">entral to modern </w:t>
      </w:r>
      <w:r w:rsidR="001E49FD" w:rsidRPr="002305F3">
        <w:rPr>
          <w:sz w:val="24"/>
          <w:szCs w:val="24"/>
        </w:rPr>
        <w:t xml:space="preserve">Augustine </w:t>
      </w:r>
      <w:r w:rsidR="00494C19">
        <w:rPr>
          <w:sz w:val="24"/>
          <w:szCs w:val="24"/>
        </w:rPr>
        <w:t>scholarship; ho</w:t>
      </w:r>
      <w:r w:rsidR="00D24768" w:rsidRPr="002305F3">
        <w:rPr>
          <w:sz w:val="24"/>
          <w:szCs w:val="24"/>
        </w:rPr>
        <w:t>wever, getting involved in this debate i</w:t>
      </w:r>
      <w:r w:rsidR="001E49FD" w:rsidRPr="002305F3">
        <w:rPr>
          <w:sz w:val="24"/>
          <w:szCs w:val="24"/>
        </w:rPr>
        <w:t xml:space="preserve">s certainly </w:t>
      </w:r>
      <w:r w:rsidR="00D24768" w:rsidRPr="002305F3">
        <w:rPr>
          <w:sz w:val="24"/>
          <w:szCs w:val="24"/>
        </w:rPr>
        <w:t xml:space="preserve">not the </w:t>
      </w:r>
      <w:r w:rsidR="00D24768" w:rsidRPr="002305F3">
        <w:rPr>
          <w:i/>
          <w:iCs/>
          <w:sz w:val="24"/>
          <w:szCs w:val="24"/>
        </w:rPr>
        <w:t>only</w:t>
      </w:r>
      <w:r w:rsidR="00D24768" w:rsidRPr="002305F3">
        <w:rPr>
          <w:sz w:val="24"/>
          <w:szCs w:val="24"/>
        </w:rPr>
        <w:t xml:space="preserve"> way to read </w:t>
      </w:r>
      <w:r w:rsidR="001E49FD" w:rsidRPr="002305F3">
        <w:rPr>
          <w:sz w:val="24"/>
          <w:szCs w:val="24"/>
        </w:rPr>
        <w:t>Augustine</w:t>
      </w:r>
      <w:r w:rsidR="00D24768" w:rsidRPr="002305F3">
        <w:rPr>
          <w:sz w:val="24"/>
          <w:szCs w:val="24"/>
        </w:rPr>
        <w:t>.</w:t>
      </w:r>
    </w:p>
    <w:p w14:paraId="2AFFDE6F" w14:textId="50EE6EB9" w:rsidR="00AD0E02" w:rsidRPr="002305F3" w:rsidRDefault="00AD0E02" w:rsidP="023C52A9">
      <w:pPr>
        <w:spacing w:line="480" w:lineRule="auto"/>
        <w:ind w:firstLine="720"/>
        <w:contextualSpacing/>
        <w:rPr>
          <w:sz w:val="24"/>
          <w:szCs w:val="24"/>
        </w:rPr>
      </w:pPr>
      <w:r w:rsidRPr="002305F3">
        <w:rPr>
          <w:sz w:val="24"/>
          <w:szCs w:val="24"/>
        </w:rPr>
        <w:lastRenderedPageBreak/>
        <w:t xml:space="preserve">Thus it can be helpful to read Augustine through a different lens from time to time, especially those that get right to the heart of his own heart, that attend to his own conscious priorities. Let us take a quick look </w:t>
      </w:r>
      <w:r w:rsidR="00F43CD7" w:rsidRPr="002305F3">
        <w:rPr>
          <w:sz w:val="24"/>
          <w:szCs w:val="24"/>
        </w:rPr>
        <w:t>through</w:t>
      </w:r>
      <w:r w:rsidRPr="002305F3">
        <w:rPr>
          <w:sz w:val="24"/>
          <w:szCs w:val="24"/>
        </w:rPr>
        <w:t xml:space="preserve"> a few other lenses employed by </w:t>
      </w:r>
      <w:r w:rsidR="00350876" w:rsidRPr="002305F3">
        <w:rPr>
          <w:sz w:val="24"/>
          <w:szCs w:val="24"/>
        </w:rPr>
        <w:t>some</w:t>
      </w:r>
      <w:r w:rsidRPr="002305F3">
        <w:rPr>
          <w:sz w:val="24"/>
          <w:szCs w:val="24"/>
        </w:rPr>
        <w:t xml:space="preserve"> Augustine scholars</w:t>
      </w:r>
      <w:r w:rsidR="00494C19">
        <w:rPr>
          <w:sz w:val="24"/>
          <w:szCs w:val="24"/>
        </w:rPr>
        <w:t>, which are quite interesting whether or not they get directly involved in this debate.</w:t>
      </w:r>
    </w:p>
    <w:p w14:paraId="294B96CF" w14:textId="44C2EEDD" w:rsidR="00350876" w:rsidRPr="002305F3" w:rsidRDefault="00350876" w:rsidP="00350876">
      <w:pPr>
        <w:spacing w:line="480" w:lineRule="auto"/>
        <w:ind w:firstLine="720"/>
        <w:contextualSpacing/>
        <w:rPr>
          <w:sz w:val="24"/>
          <w:szCs w:val="24"/>
        </w:rPr>
      </w:pPr>
      <w:r w:rsidRPr="002305F3">
        <w:rPr>
          <w:sz w:val="24"/>
          <w:szCs w:val="24"/>
        </w:rPr>
        <w:t xml:space="preserve">Kevane’s </w:t>
      </w:r>
      <w:r w:rsidRPr="002305F3">
        <w:rPr>
          <w:i/>
          <w:iCs/>
          <w:sz w:val="24"/>
          <w:szCs w:val="24"/>
        </w:rPr>
        <w:t>Augustine the Educator</w:t>
      </w:r>
      <w:r w:rsidRPr="002305F3">
        <w:rPr>
          <w:sz w:val="24"/>
          <w:szCs w:val="24"/>
        </w:rPr>
        <w:t xml:space="preserve"> </w:t>
      </w:r>
      <w:r w:rsidR="00BD7D9C" w:rsidRPr="002305F3">
        <w:rPr>
          <w:sz w:val="24"/>
          <w:szCs w:val="24"/>
        </w:rPr>
        <w:t>is rarely read, but very good</w:t>
      </w:r>
      <w:r w:rsidRPr="002305F3">
        <w:rPr>
          <w:sz w:val="24"/>
          <w:szCs w:val="24"/>
        </w:rPr>
        <w:t xml:space="preserve">.  Kevane explains that education is a high priority for Augustine at each stage of his career, from Cassiciacum </w:t>
      </w:r>
      <w:r w:rsidR="0002311E" w:rsidRPr="002305F3">
        <w:rPr>
          <w:sz w:val="24"/>
          <w:szCs w:val="24"/>
        </w:rPr>
        <w:t>on</w:t>
      </w:r>
      <w:r w:rsidRPr="002305F3">
        <w:rPr>
          <w:sz w:val="24"/>
          <w:szCs w:val="24"/>
        </w:rPr>
        <w:t xml:space="preserve">.  When he gave up his post as a professor of rhetoric, he did not cease to be a teacher but became a </w:t>
      </w:r>
      <w:r w:rsidRPr="002305F3">
        <w:rPr>
          <w:i/>
          <w:sz w:val="24"/>
          <w:szCs w:val="24"/>
        </w:rPr>
        <w:t>Christian</w:t>
      </w:r>
      <w:r w:rsidRPr="002305F3">
        <w:rPr>
          <w:sz w:val="24"/>
          <w:szCs w:val="24"/>
        </w:rPr>
        <w:t xml:space="preserve"> one.  His educational priority was to impart a Christian worldview to the student and to transform classical education in the light of the Gospel.  </w:t>
      </w:r>
      <w:r w:rsidR="0002311E" w:rsidRPr="002305F3">
        <w:rPr>
          <w:sz w:val="24"/>
          <w:szCs w:val="24"/>
        </w:rPr>
        <w:t>Kevane’s</w:t>
      </w:r>
      <w:r w:rsidRPr="002305F3">
        <w:rPr>
          <w:sz w:val="24"/>
          <w:szCs w:val="24"/>
        </w:rPr>
        <w:t xml:space="preserve"> </w:t>
      </w:r>
      <w:r w:rsidR="00F43CD7" w:rsidRPr="002305F3">
        <w:rPr>
          <w:sz w:val="24"/>
          <w:szCs w:val="24"/>
        </w:rPr>
        <w:t>book is</w:t>
      </w:r>
      <w:r w:rsidRPr="002305F3">
        <w:rPr>
          <w:sz w:val="24"/>
          <w:szCs w:val="24"/>
        </w:rPr>
        <w:t xml:space="preserve"> delightfully written and very insightful.</w:t>
      </w:r>
    </w:p>
    <w:p w14:paraId="6B854621" w14:textId="1C4B4315" w:rsidR="00AD0E02" w:rsidRPr="002305F3" w:rsidRDefault="00AD0E02" w:rsidP="023C52A9">
      <w:pPr>
        <w:spacing w:line="480" w:lineRule="auto"/>
        <w:ind w:firstLine="720"/>
        <w:contextualSpacing/>
        <w:rPr>
          <w:sz w:val="24"/>
          <w:szCs w:val="24"/>
        </w:rPr>
      </w:pPr>
      <w:r w:rsidRPr="002305F3">
        <w:rPr>
          <w:sz w:val="24"/>
          <w:szCs w:val="24"/>
        </w:rPr>
        <w:t xml:space="preserve">Topping’s </w:t>
      </w:r>
      <w:r w:rsidRPr="002305F3">
        <w:rPr>
          <w:i/>
          <w:iCs/>
          <w:sz w:val="24"/>
          <w:szCs w:val="24"/>
        </w:rPr>
        <w:t>Happiness and Wisdom: Augustine’s Early Theology of Education</w:t>
      </w:r>
      <w:r w:rsidRPr="002305F3">
        <w:rPr>
          <w:sz w:val="24"/>
          <w:szCs w:val="24"/>
        </w:rPr>
        <w:t xml:space="preserve"> is a delightful and insightful </w:t>
      </w:r>
      <w:r w:rsidR="00A146E9" w:rsidRPr="002305F3">
        <w:rPr>
          <w:sz w:val="24"/>
          <w:szCs w:val="24"/>
        </w:rPr>
        <w:t>st</w:t>
      </w:r>
      <w:r w:rsidRPr="002305F3">
        <w:rPr>
          <w:sz w:val="24"/>
          <w:szCs w:val="24"/>
        </w:rPr>
        <w:t>udy of how Augustine was interested in (and contributed to) the transformation of classical education in the light of Christian theology.</w:t>
      </w:r>
    </w:p>
    <w:p w14:paraId="47DE8B6D" w14:textId="1BEEAFFC" w:rsidR="00AD0E02" w:rsidRPr="002305F3" w:rsidRDefault="00AD0E02" w:rsidP="023C52A9">
      <w:pPr>
        <w:spacing w:line="480" w:lineRule="auto"/>
        <w:ind w:firstLine="720"/>
        <w:contextualSpacing/>
        <w:rPr>
          <w:sz w:val="24"/>
          <w:szCs w:val="24"/>
        </w:rPr>
      </w:pPr>
      <w:r w:rsidRPr="002305F3">
        <w:rPr>
          <w:sz w:val="24"/>
          <w:szCs w:val="24"/>
        </w:rPr>
        <w:t xml:space="preserve">Kolbet’s </w:t>
      </w:r>
      <w:r w:rsidRPr="002305F3">
        <w:rPr>
          <w:i/>
          <w:iCs/>
          <w:sz w:val="24"/>
          <w:szCs w:val="24"/>
        </w:rPr>
        <w:t>Augustine and the Cure of Souls: Revising a Classical Ideal</w:t>
      </w:r>
      <w:r w:rsidRPr="002305F3">
        <w:rPr>
          <w:sz w:val="24"/>
          <w:szCs w:val="24"/>
        </w:rPr>
        <w:t xml:space="preserve"> is a very fine study of how Augustine</w:t>
      </w:r>
      <w:r w:rsidR="00BD7D9C" w:rsidRPr="002305F3">
        <w:rPr>
          <w:sz w:val="24"/>
          <w:szCs w:val="24"/>
        </w:rPr>
        <w:t xml:space="preserve"> </w:t>
      </w:r>
      <w:r w:rsidRPr="002305F3">
        <w:rPr>
          <w:sz w:val="24"/>
          <w:szCs w:val="24"/>
        </w:rPr>
        <w:t xml:space="preserve">transforms an ancient practice, </w:t>
      </w:r>
      <w:r w:rsidRPr="002305F3">
        <w:rPr>
          <w:i/>
          <w:iCs/>
          <w:sz w:val="24"/>
          <w:szCs w:val="24"/>
        </w:rPr>
        <w:t>psychagogy</w:t>
      </w:r>
      <w:r w:rsidRPr="002305F3">
        <w:rPr>
          <w:sz w:val="24"/>
          <w:szCs w:val="24"/>
        </w:rPr>
        <w:t>—</w:t>
      </w:r>
      <w:r w:rsidR="0026323A">
        <w:rPr>
          <w:sz w:val="24"/>
          <w:szCs w:val="24"/>
        </w:rPr>
        <w:t>‘</w:t>
      </w:r>
      <w:r w:rsidRPr="002305F3">
        <w:rPr>
          <w:sz w:val="24"/>
          <w:szCs w:val="24"/>
        </w:rPr>
        <w:t>philosophical therapy</w:t>
      </w:r>
      <w:r w:rsidR="0026323A">
        <w:rPr>
          <w:sz w:val="24"/>
          <w:szCs w:val="24"/>
        </w:rPr>
        <w:t>’</w:t>
      </w:r>
      <w:r w:rsidRPr="002305F3">
        <w:rPr>
          <w:sz w:val="24"/>
          <w:szCs w:val="24"/>
        </w:rPr>
        <w:t xml:space="preserve"> or the use of oratory to cure souls.</w:t>
      </w:r>
      <w:r w:rsidRPr="002305F3">
        <w:rPr>
          <w:rStyle w:val="FootnoteReference"/>
          <w:sz w:val="24"/>
          <w:szCs w:val="24"/>
        </w:rPr>
        <w:footnoteReference w:id="63"/>
      </w:r>
      <w:r w:rsidRPr="002305F3">
        <w:rPr>
          <w:sz w:val="24"/>
          <w:szCs w:val="24"/>
        </w:rPr>
        <w:t xml:space="preserve"> This book is </w:t>
      </w:r>
      <w:r w:rsidR="0002311E" w:rsidRPr="002305F3">
        <w:rPr>
          <w:sz w:val="24"/>
          <w:szCs w:val="24"/>
        </w:rPr>
        <w:t>nicely atentive</w:t>
      </w:r>
      <w:r w:rsidRPr="002305F3">
        <w:rPr>
          <w:sz w:val="24"/>
          <w:szCs w:val="24"/>
        </w:rPr>
        <w:t xml:space="preserve"> to Augustine’s use of rhetoric and</w:t>
      </w:r>
      <w:r w:rsidR="00F43CD7" w:rsidRPr="002305F3">
        <w:rPr>
          <w:sz w:val="24"/>
          <w:szCs w:val="24"/>
        </w:rPr>
        <w:t xml:space="preserve"> to</w:t>
      </w:r>
      <w:r w:rsidRPr="002305F3">
        <w:rPr>
          <w:sz w:val="24"/>
          <w:szCs w:val="24"/>
        </w:rPr>
        <w:t xml:space="preserve"> his sermons.</w:t>
      </w:r>
    </w:p>
    <w:p w14:paraId="2671F593" w14:textId="568D6824" w:rsidR="00350876" w:rsidRPr="002305F3" w:rsidRDefault="00350876" w:rsidP="00350876">
      <w:pPr>
        <w:spacing w:line="480" w:lineRule="auto"/>
        <w:ind w:firstLine="720"/>
        <w:contextualSpacing/>
        <w:rPr>
          <w:sz w:val="24"/>
          <w:szCs w:val="24"/>
        </w:rPr>
      </w:pPr>
      <w:r w:rsidRPr="002305F3">
        <w:rPr>
          <w:sz w:val="24"/>
          <w:szCs w:val="24"/>
        </w:rPr>
        <w:t>Vaught</w:t>
      </w:r>
      <w:r w:rsidR="00AD67E6" w:rsidRPr="002305F3">
        <w:rPr>
          <w:sz w:val="24"/>
          <w:szCs w:val="24"/>
        </w:rPr>
        <w:t xml:space="preserve"> </w:t>
      </w:r>
      <w:r w:rsidRPr="002305F3">
        <w:rPr>
          <w:sz w:val="24"/>
          <w:szCs w:val="24"/>
        </w:rPr>
        <w:t xml:space="preserve">has the rare distinction of being a philosopher skilled in Hegel and other Continental European philosophers, able to bring their ideas into dialogue with Augustine’s.  Vaught emphasizes </w:t>
      </w:r>
      <w:r w:rsidRPr="002305F3">
        <w:rPr>
          <w:i/>
          <w:iCs/>
          <w:sz w:val="24"/>
          <w:szCs w:val="24"/>
        </w:rPr>
        <w:t>place</w:t>
      </w:r>
      <w:r w:rsidRPr="002305F3">
        <w:rPr>
          <w:sz w:val="24"/>
          <w:szCs w:val="24"/>
        </w:rPr>
        <w:t xml:space="preserve">, which in this case is a non-physical concept such as may be seen in the philosophy of Leibniz.  This is an important idea in Augustinian thought, and turns up in </w:t>
      </w:r>
      <w:r w:rsidRPr="002305F3">
        <w:rPr>
          <w:sz w:val="24"/>
          <w:szCs w:val="24"/>
        </w:rPr>
        <w:lastRenderedPageBreak/>
        <w:t xml:space="preserve">other scholars.  (For example, Cary notes that Augustine’s concept of an inner space is </w:t>
      </w:r>
      <w:r w:rsidR="0026323A">
        <w:rPr>
          <w:sz w:val="24"/>
          <w:szCs w:val="24"/>
        </w:rPr>
        <w:t>‘</w:t>
      </w:r>
      <w:r w:rsidRPr="002305F3">
        <w:rPr>
          <w:sz w:val="24"/>
          <w:szCs w:val="24"/>
        </w:rPr>
        <w:t>something more than a metaphor.</w:t>
      </w:r>
      <w:r w:rsidR="0026323A">
        <w:rPr>
          <w:sz w:val="24"/>
          <w:szCs w:val="24"/>
        </w:rPr>
        <w:t>’</w:t>
      </w:r>
      <w:r w:rsidRPr="002305F3">
        <w:rPr>
          <w:rStyle w:val="FootnoteReference"/>
          <w:sz w:val="24"/>
          <w:szCs w:val="24"/>
        </w:rPr>
        <w:footnoteReference w:id="64"/>
      </w:r>
      <w:r w:rsidRPr="002305F3">
        <w:rPr>
          <w:sz w:val="24"/>
          <w:szCs w:val="24"/>
        </w:rPr>
        <w:t>)</w:t>
      </w:r>
      <w:r w:rsidR="00AD67E6" w:rsidRPr="002305F3">
        <w:rPr>
          <w:sz w:val="24"/>
          <w:szCs w:val="24"/>
        </w:rPr>
        <w:t xml:space="preserve"> </w:t>
      </w:r>
      <w:r w:rsidRPr="002305F3">
        <w:rPr>
          <w:sz w:val="24"/>
          <w:szCs w:val="24"/>
        </w:rPr>
        <w:t xml:space="preserve">Perhaps a brief word of explanation of the notion of a non-physical place might be in order. In physics, we can chart the location of an object in three-dimensional space, but we have learned from Einstein not to think of three-dimensional space as an absolute and independent reality.  </w:t>
      </w:r>
      <w:r w:rsidR="00EC012D">
        <w:rPr>
          <w:sz w:val="24"/>
          <w:szCs w:val="24"/>
        </w:rPr>
        <w:t>Rather, it</w:t>
      </w:r>
      <w:r w:rsidRPr="002305F3">
        <w:rPr>
          <w:sz w:val="24"/>
          <w:szCs w:val="24"/>
        </w:rPr>
        <w:t xml:space="preserve"> exists in relation to other realities.  So place is at least partially relative.  Well, in some immaterialistic accounts in metaphysics (particularly those of Plato, neo-Platonism, Augustine, and Leibniz)</w:t>
      </w:r>
      <w:r w:rsidR="0002311E" w:rsidRPr="002305F3">
        <w:rPr>
          <w:sz w:val="24"/>
          <w:szCs w:val="24"/>
        </w:rPr>
        <w:t>, p</w:t>
      </w:r>
      <w:r w:rsidRPr="002305F3">
        <w:rPr>
          <w:sz w:val="24"/>
          <w:szCs w:val="24"/>
        </w:rPr>
        <w:t xml:space="preserve">lace is relative to certain </w:t>
      </w:r>
      <w:r w:rsidRPr="002305F3">
        <w:rPr>
          <w:i/>
          <w:sz w:val="24"/>
          <w:szCs w:val="24"/>
        </w:rPr>
        <w:t>i</w:t>
      </w:r>
      <w:r w:rsidRPr="002305F3">
        <w:rPr>
          <w:i/>
          <w:iCs/>
          <w:sz w:val="24"/>
          <w:szCs w:val="24"/>
        </w:rPr>
        <w:t>mmaterial</w:t>
      </w:r>
      <w:r w:rsidRPr="002305F3">
        <w:rPr>
          <w:sz w:val="24"/>
          <w:szCs w:val="24"/>
        </w:rPr>
        <w:t xml:space="preserve"> realities, in relation to which a thing’s location may be charted.  Even what we think of as physical space itself may be relative to immaterial realities (as in Leibniz).</w:t>
      </w:r>
    </w:p>
    <w:p w14:paraId="7CE6CDA2" w14:textId="7A0E3AE0" w:rsidR="00350876" w:rsidRPr="002305F3" w:rsidRDefault="00350876" w:rsidP="00350876">
      <w:pPr>
        <w:spacing w:line="480" w:lineRule="auto"/>
        <w:ind w:firstLine="720"/>
        <w:contextualSpacing/>
        <w:rPr>
          <w:sz w:val="24"/>
          <w:szCs w:val="24"/>
        </w:rPr>
      </w:pPr>
      <w:r w:rsidRPr="002305F3">
        <w:rPr>
          <w:sz w:val="24"/>
          <w:szCs w:val="24"/>
        </w:rPr>
        <w:t xml:space="preserve">In his trilogy on the </w:t>
      </w:r>
      <w:r w:rsidRPr="002305F3">
        <w:rPr>
          <w:i/>
          <w:iCs/>
          <w:sz w:val="24"/>
          <w:szCs w:val="24"/>
        </w:rPr>
        <w:t>Confessions</w:t>
      </w:r>
      <w:r w:rsidRPr="002305F3">
        <w:rPr>
          <w:rStyle w:val="FootnoteReference"/>
          <w:iCs/>
          <w:sz w:val="24"/>
          <w:szCs w:val="24"/>
        </w:rPr>
        <w:footnoteReference w:id="65"/>
      </w:r>
      <w:r w:rsidRPr="002305F3">
        <w:rPr>
          <w:sz w:val="24"/>
          <w:szCs w:val="24"/>
        </w:rPr>
        <w:t xml:space="preserve"> Vaught gives a (mostly) non-physical account of place </w:t>
      </w:r>
      <w:r w:rsidR="00F43CD7" w:rsidRPr="002305F3">
        <w:rPr>
          <w:sz w:val="24"/>
          <w:szCs w:val="24"/>
        </w:rPr>
        <w:t>in</w:t>
      </w:r>
      <w:r w:rsidRPr="002305F3">
        <w:rPr>
          <w:sz w:val="24"/>
          <w:szCs w:val="24"/>
        </w:rPr>
        <w:t xml:space="preserve"> three dimensions.  The </w:t>
      </w:r>
      <w:r w:rsidRPr="002305F3">
        <w:rPr>
          <w:i/>
          <w:iCs/>
          <w:sz w:val="24"/>
          <w:szCs w:val="24"/>
        </w:rPr>
        <w:t>temporal</w:t>
      </w:r>
      <w:r w:rsidRPr="002305F3">
        <w:rPr>
          <w:sz w:val="24"/>
          <w:szCs w:val="24"/>
        </w:rPr>
        <w:t xml:space="preserve"> dimension is that of time.  The </w:t>
      </w:r>
      <w:r w:rsidRPr="002305F3">
        <w:rPr>
          <w:i/>
          <w:iCs/>
          <w:sz w:val="24"/>
          <w:szCs w:val="24"/>
        </w:rPr>
        <w:t>spatial</w:t>
      </w:r>
      <w:r w:rsidRPr="002305F3">
        <w:rPr>
          <w:sz w:val="24"/>
          <w:szCs w:val="24"/>
        </w:rPr>
        <w:t xml:space="preserve"> dimension includes both our location on earth and our relations to other humans.  The </w:t>
      </w:r>
      <w:r w:rsidRPr="002305F3">
        <w:rPr>
          <w:i/>
          <w:iCs/>
          <w:sz w:val="24"/>
          <w:szCs w:val="24"/>
        </w:rPr>
        <w:t>eternal</w:t>
      </w:r>
      <w:r w:rsidRPr="002305F3">
        <w:rPr>
          <w:sz w:val="24"/>
          <w:szCs w:val="24"/>
        </w:rPr>
        <w:t xml:space="preserve"> dimension is our relation to and distance from God.  Vaught explains Augustine’s travels in the </w:t>
      </w:r>
      <w:r w:rsidRPr="002305F3">
        <w:rPr>
          <w:i/>
          <w:iCs/>
          <w:sz w:val="24"/>
          <w:szCs w:val="24"/>
        </w:rPr>
        <w:t>Confessions</w:t>
      </w:r>
      <w:r w:rsidRPr="002305F3">
        <w:rPr>
          <w:sz w:val="24"/>
          <w:szCs w:val="24"/>
        </w:rPr>
        <w:t>, moving closer to God while traveling in all three dimensions.  These books are challenging</w:t>
      </w:r>
      <w:r w:rsidR="0002311E" w:rsidRPr="002305F3">
        <w:rPr>
          <w:sz w:val="24"/>
          <w:szCs w:val="24"/>
        </w:rPr>
        <w:t>, but they are insightful</w:t>
      </w:r>
      <w:r w:rsidRPr="002305F3">
        <w:rPr>
          <w:sz w:val="24"/>
          <w:szCs w:val="24"/>
        </w:rPr>
        <w:t xml:space="preserve"> and rewarding even to those who struggle to understand Vaught’s method.</w:t>
      </w:r>
    </w:p>
    <w:p w14:paraId="7EDF0314" w14:textId="6985C44C" w:rsidR="00AD0E02" w:rsidRPr="002305F3" w:rsidRDefault="00AD0E02" w:rsidP="004E76B2">
      <w:pPr>
        <w:spacing w:line="480" w:lineRule="auto"/>
        <w:ind w:firstLine="720"/>
        <w:contextualSpacing/>
        <w:rPr>
          <w:rFonts w:eastAsia="Times New Roman"/>
          <w:sz w:val="24"/>
          <w:szCs w:val="24"/>
        </w:rPr>
      </w:pPr>
      <w:r w:rsidRPr="002305F3">
        <w:rPr>
          <w:rFonts w:eastAsia="Times New Roman"/>
          <w:sz w:val="24"/>
          <w:szCs w:val="24"/>
        </w:rPr>
        <w:t xml:space="preserve">Stewart-Kroeker focuses on Augustine’s understanding of spiritual pilgrimage.  She argues that he develops the Plotinian notion of a journey towards God, which Plotinus himself could </w:t>
      </w:r>
      <w:r w:rsidRPr="002305F3">
        <w:rPr>
          <w:sz w:val="24"/>
          <w:szCs w:val="24"/>
        </w:rPr>
        <w:t>only</w:t>
      </w:r>
      <w:r w:rsidRPr="002305F3">
        <w:rPr>
          <w:rFonts w:eastAsia="Times New Roman"/>
          <w:sz w:val="24"/>
          <w:szCs w:val="24"/>
        </w:rPr>
        <w:t xml:space="preserve"> understand in a spiritual and immaterial sense, as literally </w:t>
      </w:r>
      <w:r w:rsidR="0026323A">
        <w:rPr>
          <w:rFonts w:eastAsia="Times New Roman"/>
          <w:sz w:val="24"/>
          <w:szCs w:val="24"/>
        </w:rPr>
        <w:t>‘</w:t>
      </w:r>
      <w:r w:rsidRPr="002305F3">
        <w:rPr>
          <w:rFonts w:eastAsia="Times New Roman"/>
          <w:sz w:val="24"/>
          <w:szCs w:val="24"/>
        </w:rPr>
        <w:t>a journey for the feet.</w:t>
      </w:r>
      <w:r w:rsidR="0026323A">
        <w:rPr>
          <w:rFonts w:eastAsia="Times New Roman"/>
          <w:sz w:val="24"/>
          <w:szCs w:val="24"/>
        </w:rPr>
        <w:t>’</w:t>
      </w:r>
      <w:r w:rsidRPr="002305F3">
        <w:rPr>
          <w:rStyle w:val="FootnoteReference"/>
          <w:rFonts w:eastAsia="Times New Roman"/>
          <w:sz w:val="24"/>
          <w:szCs w:val="24"/>
        </w:rPr>
        <w:footnoteReference w:id="66"/>
      </w:r>
      <w:r w:rsidRPr="002305F3">
        <w:rPr>
          <w:rFonts w:eastAsia="Times New Roman"/>
          <w:sz w:val="24"/>
          <w:szCs w:val="24"/>
        </w:rPr>
        <w:t xml:space="preserve">  This is, of course, </w:t>
      </w:r>
      <w:r w:rsidR="005F4E1B" w:rsidRPr="002305F3">
        <w:rPr>
          <w:rFonts w:eastAsia="Times New Roman"/>
          <w:sz w:val="24"/>
          <w:szCs w:val="24"/>
        </w:rPr>
        <w:t xml:space="preserve">because </w:t>
      </w:r>
      <w:r w:rsidRPr="002305F3">
        <w:rPr>
          <w:rFonts w:eastAsia="Times New Roman"/>
          <w:sz w:val="24"/>
          <w:szCs w:val="24"/>
        </w:rPr>
        <w:t xml:space="preserve">of the Incarnation.  In her recent book, she argues that the Augustinian journey towards God is thoroughly shaped by the Incarnation.  Christ unites heaven </w:t>
      </w:r>
      <w:r w:rsidRPr="002305F3">
        <w:rPr>
          <w:rFonts w:eastAsia="Times New Roman"/>
          <w:sz w:val="24"/>
          <w:szCs w:val="24"/>
        </w:rPr>
        <w:lastRenderedPageBreak/>
        <w:t xml:space="preserve">and earth, and the heavenly destination is not in conflict with the earthly way we travel—nor the love of God with </w:t>
      </w:r>
      <w:r w:rsidR="005F4E1B" w:rsidRPr="002305F3">
        <w:rPr>
          <w:rFonts w:eastAsia="Times New Roman"/>
          <w:sz w:val="24"/>
          <w:szCs w:val="24"/>
        </w:rPr>
        <w:t xml:space="preserve">the love of </w:t>
      </w:r>
      <w:r w:rsidRPr="002305F3">
        <w:rPr>
          <w:rFonts w:eastAsia="Times New Roman"/>
          <w:sz w:val="24"/>
          <w:szCs w:val="24"/>
        </w:rPr>
        <w:t>fellow human travelers.</w:t>
      </w:r>
      <w:r w:rsidRPr="002305F3">
        <w:rPr>
          <w:rStyle w:val="FootnoteReference"/>
          <w:rFonts w:eastAsia="Times New Roman"/>
          <w:sz w:val="24"/>
          <w:szCs w:val="24"/>
        </w:rPr>
        <w:footnoteReference w:id="67"/>
      </w:r>
    </w:p>
    <w:p w14:paraId="7D6E7789" w14:textId="69290910" w:rsidR="00AB6BD8" w:rsidRPr="002305F3" w:rsidRDefault="0096039A" w:rsidP="00AB6BD8">
      <w:pPr>
        <w:spacing w:line="480" w:lineRule="auto"/>
        <w:ind w:firstLine="720"/>
        <w:contextualSpacing/>
        <w:rPr>
          <w:sz w:val="24"/>
          <w:szCs w:val="24"/>
        </w:rPr>
      </w:pPr>
      <w:r w:rsidRPr="002305F3">
        <w:rPr>
          <w:rFonts w:eastAsia="Times New Roman"/>
          <w:sz w:val="24"/>
          <w:szCs w:val="24"/>
        </w:rPr>
        <w:t xml:space="preserve">Erik Kenyon’s </w:t>
      </w:r>
      <w:r w:rsidRPr="002305F3">
        <w:rPr>
          <w:rFonts w:eastAsia="Times New Roman"/>
          <w:i/>
          <w:sz w:val="24"/>
          <w:szCs w:val="24"/>
        </w:rPr>
        <w:t>Augustine and the Dialogue</w:t>
      </w:r>
      <w:r w:rsidRPr="002305F3">
        <w:rPr>
          <w:rFonts w:eastAsia="Times New Roman"/>
          <w:sz w:val="24"/>
          <w:szCs w:val="24"/>
        </w:rPr>
        <w:t xml:space="preserve"> might </w:t>
      </w:r>
      <w:r w:rsidR="00C56277" w:rsidRPr="002305F3">
        <w:rPr>
          <w:rFonts w:eastAsia="Times New Roman"/>
          <w:sz w:val="24"/>
          <w:szCs w:val="24"/>
        </w:rPr>
        <w:t xml:space="preserve">plausibly </w:t>
      </w:r>
      <w:r w:rsidRPr="002305F3">
        <w:rPr>
          <w:rFonts w:eastAsia="Times New Roman"/>
          <w:sz w:val="24"/>
          <w:szCs w:val="24"/>
        </w:rPr>
        <w:t>be classified alongside the developmentalist reading</w:t>
      </w:r>
      <w:r w:rsidR="00C56277" w:rsidRPr="002305F3">
        <w:rPr>
          <w:rFonts w:eastAsia="Times New Roman"/>
          <w:sz w:val="24"/>
          <w:szCs w:val="24"/>
        </w:rPr>
        <w:t>,</w:t>
      </w:r>
      <w:r w:rsidRPr="002305F3">
        <w:rPr>
          <w:rStyle w:val="FootnoteReference"/>
          <w:rFonts w:eastAsia="Times New Roman"/>
          <w:sz w:val="24"/>
          <w:szCs w:val="24"/>
        </w:rPr>
        <w:footnoteReference w:id="68"/>
      </w:r>
      <w:r w:rsidRPr="002305F3">
        <w:rPr>
          <w:rFonts w:eastAsia="Times New Roman"/>
          <w:sz w:val="24"/>
          <w:szCs w:val="24"/>
        </w:rPr>
        <w:t xml:space="preserve"> </w:t>
      </w:r>
      <w:r w:rsidR="00C56277" w:rsidRPr="002305F3">
        <w:rPr>
          <w:rFonts w:eastAsia="Times New Roman"/>
          <w:sz w:val="24"/>
          <w:szCs w:val="24"/>
        </w:rPr>
        <w:t>but his strategy is to sidestep</w:t>
      </w:r>
      <w:r w:rsidR="0048492C" w:rsidRPr="002305F3">
        <w:rPr>
          <w:rFonts w:eastAsia="Times New Roman"/>
          <w:sz w:val="24"/>
          <w:szCs w:val="24"/>
        </w:rPr>
        <w:t xml:space="preserve"> the debate and </w:t>
      </w:r>
      <w:r w:rsidR="0053722D" w:rsidRPr="002305F3">
        <w:rPr>
          <w:rFonts w:eastAsia="Times New Roman"/>
          <w:sz w:val="24"/>
          <w:szCs w:val="24"/>
        </w:rPr>
        <w:t>consider</w:t>
      </w:r>
      <w:r w:rsidR="0048492C" w:rsidRPr="002305F3">
        <w:rPr>
          <w:rFonts w:eastAsia="Times New Roman"/>
          <w:sz w:val="24"/>
          <w:szCs w:val="24"/>
        </w:rPr>
        <w:t xml:space="preserve"> Augustine’s </w:t>
      </w:r>
      <w:r w:rsidR="0053722D" w:rsidRPr="002305F3">
        <w:rPr>
          <w:rFonts w:eastAsia="Times New Roman"/>
          <w:sz w:val="24"/>
          <w:szCs w:val="24"/>
        </w:rPr>
        <w:t xml:space="preserve">early </w:t>
      </w:r>
      <w:r w:rsidR="0048492C" w:rsidRPr="002305F3">
        <w:rPr>
          <w:rFonts w:eastAsia="Times New Roman"/>
          <w:sz w:val="24"/>
          <w:szCs w:val="24"/>
        </w:rPr>
        <w:t xml:space="preserve">dialogues on their own terms.  He studies </w:t>
      </w:r>
      <w:r w:rsidR="0053722D" w:rsidRPr="002305F3">
        <w:rPr>
          <w:rFonts w:eastAsia="Times New Roman"/>
          <w:sz w:val="24"/>
          <w:szCs w:val="24"/>
        </w:rPr>
        <w:t>them</w:t>
      </w:r>
      <w:r w:rsidR="0048492C" w:rsidRPr="002305F3">
        <w:rPr>
          <w:rFonts w:eastAsia="Times New Roman"/>
          <w:sz w:val="24"/>
          <w:szCs w:val="24"/>
        </w:rPr>
        <w:t xml:space="preserve"> as coherent works, taking seriously the</w:t>
      </w:r>
      <w:r w:rsidR="00C56277" w:rsidRPr="002305F3">
        <w:rPr>
          <w:rFonts w:eastAsia="Times New Roman"/>
          <w:sz w:val="24"/>
          <w:szCs w:val="24"/>
        </w:rPr>
        <w:t>ir</w:t>
      </w:r>
      <w:r w:rsidR="0048492C" w:rsidRPr="002305F3">
        <w:rPr>
          <w:rFonts w:eastAsia="Times New Roman"/>
          <w:sz w:val="24"/>
          <w:szCs w:val="24"/>
        </w:rPr>
        <w:t xml:space="preserve"> dialogue form</w:t>
      </w:r>
      <w:r w:rsidR="00C56277" w:rsidRPr="002305F3">
        <w:rPr>
          <w:rFonts w:eastAsia="Times New Roman"/>
          <w:sz w:val="24"/>
          <w:szCs w:val="24"/>
        </w:rPr>
        <w:t xml:space="preserve"> and their</w:t>
      </w:r>
      <w:r w:rsidR="0048492C" w:rsidRPr="002305F3">
        <w:rPr>
          <w:rFonts w:eastAsia="Times New Roman"/>
          <w:sz w:val="24"/>
          <w:szCs w:val="24"/>
        </w:rPr>
        <w:t xml:space="preserve"> moral and pedagogical lessons.  Kenyon interprets them as passing through phases</w:t>
      </w:r>
      <w:r w:rsidR="00C56277" w:rsidRPr="002305F3">
        <w:rPr>
          <w:rFonts w:eastAsia="Times New Roman"/>
          <w:sz w:val="24"/>
          <w:szCs w:val="24"/>
        </w:rPr>
        <w:t xml:space="preserve"> of </w:t>
      </w:r>
      <w:r w:rsidR="0026323A">
        <w:rPr>
          <w:rFonts w:eastAsia="Times New Roman"/>
          <w:sz w:val="24"/>
          <w:szCs w:val="24"/>
        </w:rPr>
        <w:t>‘</w:t>
      </w:r>
      <w:r w:rsidR="00C56277" w:rsidRPr="002305F3">
        <w:rPr>
          <w:rFonts w:eastAsia="Times New Roman"/>
          <w:sz w:val="24"/>
          <w:szCs w:val="24"/>
        </w:rPr>
        <w:t>a</w:t>
      </w:r>
      <w:r w:rsidR="0048492C" w:rsidRPr="002305F3">
        <w:rPr>
          <w:sz w:val="24"/>
          <w:szCs w:val="24"/>
        </w:rPr>
        <w:t>poretic debate,</w:t>
      </w:r>
      <w:r w:rsidR="0026323A">
        <w:rPr>
          <w:sz w:val="24"/>
          <w:szCs w:val="24"/>
        </w:rPr>
        <w:t>’</w:t>
      </w:r>
      <w:r w:rsidR="00C56277" w:rsidRPr="002305F3">
        <w:rPr>
          <w:sz w:val="24"/>
          <w:szCs w:val="24"/>
        </w:rPr>
        <w:t xml:space="preserve"> </w:t>
      </w:r>
      <w:r w:rsidR="0026323A">
        <w:rPr>
          <w:sz w:val="24"/>
          <w:szCs w:val="24"/>
        </w:rPr>
        <w:t>‘</w:t>
      </w:r>
      <w:r w:rsidR="0048492C" w:rsidRPr="002305F3">
        <w:rPr>
          <w:sz w:val="24"/>
          <w:szCs w:val="24"/>
        </w:rPr>
        <w:t>reflection on the act of debating</w:t>
      </w:r>
      <w:r w:rsidR="00C56277" w:rsidRPr="002305F3">
        <w:rPr>
          <w:sz w:val="24"/>
          <w:szCs w:val="24"/>
        </w:rPr>
        <w:t>,</w:t>
      </w:r>
      <w:r w:rsidR="0026323A">
        <w:rPr>
          <w:sz w:val="24"/>
          <w:szCs w:val="24"/>
        </w:rPr>
        <w:t>’</w:t>
      </w:r>
      <w:r w:rsidR="00C56277" w:rsidRPr="002305F3">
        <w:rPr>
          <w:sz w:val="24"/>
          <w:szCs w:val="24"/>
        </w:rPr>
        <w:t xml:space="preserve"> and </w:t>
      </w:r>
      <w:r w:rsidR="0026323A">
        <w:rPr>
          <w:sz w:val="24"/>
          <w:szCs w:val="24"/>
        </w:rPr>
        <w:t>‘</w:t>
      </w:r>
      <w:r w:rsidR="00C56277" w:rsidRPr="002305F3">
        <w:rPr>
          <w:sz w:val="24"/>
          <w:szCs w:val="24"/>
        </w:rPr>
        <w:t xml:space="preserve">the </w:t>
      </w:r>
      <w:r w:rsidR="0048492C" w:rsidRPr="002305F3">
        <w:rPr>
          <w:sz w:val="24"/>
          <w:szCs w:val="24"/>
        </w:rPr>
        <w:t>revelation of a final plausible conclusion</w:t>
      </w:r>
      <w:r w:rsidR="0026323A">
        <w:rPr>
          <w:sz w:val="24"/>
          <w:szCs w:val="24"/>
        </w:rPr>
        <w:t>’</w:t>
      </w:r>
      <w:r w:rsidR="0048492C" w:rsidRPr="002305F3">
        <w:rPr>
          <w:rStyle w:val="FootnoteReference"/>
          <w:sz w:val="24"/>
          <w:szCs w:val="24"/>
        </w:rPr>
        <w:footnoteReference w:id="69"/>
      </w:r>
      <w:r w:rsidR="00C56277" w:rsidRPr="002305F3">
        <w:rPr>
          <w:sz w:val="24"/>
          <w:szCs w:val="24"/>
        </w:rPr>
        <w:t>—presenting the valuable lesson that</w:t>
      </w:r>
      <w:r w:rsidR="0048492C" w:rsidRPr="002305F3">
        <w:rPr>
          <w:sz w:val="24"/>
          <w:szCs w:val="24"/>
        </w:rPr>
        <w:t xml:space="preserve"> </w:t>
      </w:r>
      <w:r w:rsidR="00C56277" w:rsidRPr="002305F3">
        <w:rPr>
          <w:sz w:val="24"/>
          <w:szCs w:val="24"/>
        </w:rPr>
        <w:t>the pursuit of truth itself, even when unsuccessful, may</w:t>
      </w:r>
      <w:r w:rsidR="0048492C" w:rsidRPr="002305F3">
        <w:rPr>
          <w:sz w:val="24"/>
          <w:szCs w:val="24"/>
        </w:rPr>
        <w:t xml:space="preserve"> point to plausible views concerning the truth.</w:t>
      </w:r>
    </w:p>
    <w:p w14:paraId="4CB9E2DF" w14:textId="3210551B" w:rsidR="008E4A81" w:rsidRPr="002305F3" w:rsidRDefault="008E4A81" w:rsidP="00AB6BD8">
      <w:pPr>
        <w:spacing w:line="480" w:lineRule="auto"/>
        <w:ind w:firstLine="720"/>
        <w:contextualSpacing/>
        <w:rPr>
          <w:sz w:val="24"/>
          <w:szCs w:val="24"/>
        </w:rPr>
      </w:pPr>
      <w:r w:rsidRPr="002305F3">
        <w:rPr>
          <w:sz w:val="24"/>
          <w:szCs w:val="24"/>
        </w:rPr>
        <w:t xml:space="preserve">Mark Ellingsen’s </w:t>
      </w:r>
      <w:r w:rsidRPr="002305F3">
        <w:rPr>
          <w:i/>
          <w:sz w:val="24"/>
          <w:szCs w:val="24"/>
        </w:rPr>
        <w:t>The Richness of Augustine</w:t>
      </w:r>
      <w:r w:rsidR="0053722D" w:rsidRPr="002305F3">
        <w:rPr>
          <w:sz w:val="24"/>
          <w:szCs w:val="24"/>
        </w:rPr>
        <w:t xml:space="preserve"> is a</w:t>
      </w:r>
      <w:r w:rsidR="00A92AFC" w:rsidRPr="002305F3">
        <w:rPr>
          <w:sz w:val="24"/>
          <w:szCs w:val="24"/>
        </w:rPr>
        <w:t>n impressively</w:t>
      </w:r>
      <w:r w:rsidR="0053722D" w:rsidRPr="002305F3">
        <w:rPr>
          <w:sz w:val="24"/>
          <w:szCs w:val="24"/>
        </w:rPr>
        <w:t xml:space="preserve"> thorough</w:t>
      </w:r>
      <w:r w:rsidRPr="002305F3">
        <w:rPr>
          <w:sz w:val="24"/>
          <w:szCs w:val="24"/>
        </w:rPr>
        <w:t xml:space="preserve"> study of Augustine from the perspective of Christian theology.</w:t>
      </w:r>
      <w:r w:rsidRPr="002305F3">
        <w:rPr>
          <w:rStyle w:val="FootnoteReference"/>
          <w:sz w:val="24"/>
          <w:szCs w:val="24"/>
        </w:rPr>
        <w:footnoteReference w:id="70"/>
      </w:r>
      <w:r w:rsidRPr="002305F3">
        <w:rPr>
          <w:sz w:val="24"/>
          <w:szCs w:val="24"/>
        </w:rPr>
        <w:t xml:space="preserve">  </w:t>
      </w:r>
      <w:r w:rsidR="00A92AFC" w:rsidRPr="002305F3">
        <w:rPr>
          <w:sz w:val="24"/>
          <w:szCs w:val="24"/>
        </w:rPr>
        <w:t>He</w:t>
      </w:r>
      <w:r w:rsidRPr="002305F3">
        <w:rPr>
          <w:sz w:val="24"/>
          <w:szCs w:val="24"/>
        </w:rPr>
        <w:t xml:space="preserve"> explains that Augustinian inspiration and precedent exist for virtually every major stream of theological community, doctrinal tradition, and hermeneutical perspective within western Christianity.  He helpfully explains how these different aspects of theology </w:t>
      </w:r>
      <w:r w:rsidR="00A92AFC" w:rsidRPr="002305F3">
        <w:rPr>
          <w:sz w:val="24"/>
          <w:szCs w:val="24"/>
        </w:rPr>
        <w:t xml:space="preserve">all meet </w:t>
      </w:r>
      <w:r w:rsidRPr="002305F3">
        <w:rPr>
          <w:sz w:val="24"/>
          <w:szCs w:val="24"/>
        </w:rPr>
        <w:t>in Augustine</w:t>
      </w:r>
      <w:r w:rsidR="00A92AFC" w:rsidRPr="002305F3">
        <w:rPr>
          <w:sz w:val="24"/>
          <w:szCs w:val="24"/>
        </w:rPr>
        <w:t>—</w:t>
      </w:r>
      <w:r w:rsidRPr="002305F3">
        <w:rPr>
          <w:sz w:val="24"/>
          <w:szCs w:val="24"/>
        </w:rPr>
        <w:t>emphasized or expressed differently by Augustine in response to different theological, polemical, or pastoral situations.</w:t>
      </w:r>
    </w:p>
    <w:p w14:paraId="635B58FB" w14:textId="1724A529" w:rsidR="00A06856" w:rsidRPr="002305F3" w:rsidRDefault="00A06856" w:rsidP="00AB6BD8">
      <w:pPr>
        <w:spacing w:line="480" w:lineRule="auto"/>
        <w:ind w:firstLine="720"/>
        <w:contextualSpacing/>
        <w:rPr>
          <w:sz w:val="24"/>
          <w:szCs w:val="24"/>
        </w:rPr>
      </w:pPr>
      <w:r w:rsidRPr="002305F3">
        <w:rPr>
          <w:sz w:val="24"/>
          <w:szCs w:val="24"/>
        </w:rPr>
        <w:t xml:space="preserve">Joseph Clair’s </w:t>
      </w:r>
      <w:r w:rsidRPr="002305F3">
        <w:rPr>
          <w:i/>
          <w:sz w:val="24"/>
          <w:szCs w:val="24"/>
        </w:rPr>
        <w:t>Discerning the Good in the Letters and Sermons of Augustine</w:t>
      </w:r>
      <w:r w:rsidRPr="002305F3">
        <w:rPr>
          <w:rStyle w:val="FootnoteReference"/>
          <w:sz w:val="24"/>
          <w:szCs w:val="24"/>
        </w:rPr>
        <w:footnoteReference w:id="71"/>
      </w:r>
      <w:r w:rsidRPr="002305F3">
        <w:rPr>
          <w:sz w:val="24"/>
          <w:szCs w:val="24"/>
        </w:rPr>
        <w:t xml:space="preserve"> is a helpful look at </w:t>
      </w:r>
      <w:r w:rsidR="00000159" w:rsidRPr="002305F3">
        <w:rPr>
          <w:sz w:val="24"/>
          <w:szCs w:val="24"/>
        </w:rPr>
        <w:t xml:space="preserve">the Augustinian way </w:t>
      </w:r>
      <w:r w:rsidR="005E45AF" w:rsidRPr="002305F3">
        <w:rPr>
          <w:sz w:val="24"/>
          <w:szCs w:val="24"/>
        </w:rPr>
        <w:t xml:space="preserve">of applying moral principles in everyday life.  Clair’s analysis is </w:t>
      </w:r>
      <w:r w:rsidR="005E45AF" w:rsidRPr="002305F3">
        <w:rPr>
          <w:sz w:val="24"/>
          <w:szCs w:val="24"/>
        </w:rPr>
        <w:lastRenderedPageBreak/>
        <w:t xml:space="preserve">well informed of ancient philosophical discussions in ethics, such as the debates between Stoics and Aristotelians depicted in Cicero’s writings.  Clair studies the relatively neglected sermons and </w:t>
      </w:r>
      <w:r w:rsidR="00A92AFC" w:rsidRPr="002305F3">
        <w:rPr>
          <w:sz w:val="24"/>
          <w:szCs w:val="24"/>
        </w:rPr>
        <w:t>letters, showing</w:t>
      </w:r>
      <w:r w:rsidR="005E45AF" w:rsidRPr="002305F3">
        <w:rPr>
          <w:sz w:val="24"/>
          <w:szCs w:val="24"/>
        </w:rPr>
        <w:t xml:space="preserve"> how </w:t>
      </w:r>
      <w:r w:rsidR="005E45AF" w:rsidRPr="002305F3">
        <w:rPr>
          <w:rFonts w:eastAsia="Times New Roman"/>
          <w:sz w:val="24"/>
          <w:szCs w:val="24"/>
        </w:rPr>
        <w:t>Augustine weighs competing goods—ultimately develop</w:t>
      </w:r>
      <w:r w:rsidR="00A92AFC" w:rsidRPr="002305F3">
        <w:rPr>
          <w:rFonts w:eastAsia="Times New Roman"/>
          <w:sz w:val="24"/>
          <w:szCs w:val="24"/>
        </w:rPr>
        <w:t>ing</w:t>
      </w:r>
      <w:r w:rsidR="005E45AF" w:rsidRPr="002305F3">
        <w:rPr>
          <w:rFonts w:eastAsia="Times New Roman"/>
          <w:sz w:val="24"/>
          <w:szCs w:val="24"/>
        </w:rPr>
        <w:t xml:space="preserve"> an integrated account of goods</w:t>
      </w:r>
      <w:r w:rsidR="005E45AF" w:rsidRPr="002305F3">
        <w:rPr>
          <w:sz w:val="24"/>
          <w:szCs w:val="24"/>
        </w:rPr>
        <w:t>.</w:t>
      </w:r>
    </w:p>
    <w:p w14:paraId="28AEBF7C" w14:textId="31B97583" w:rsidR="00AB6BD8" w:rsidRPr="00DA147E" w:rsidRDefault="00AB6BD8" w:rsidP="00AB6BD8">
      <w:pPr>
        <w:spacing w:line="480" w:lineRule="auto"/>
        <w:ind w:firstLine="720"/>
        <w:contextualSpacing/>
        <w:rPr>
          <w:sz w:val="24"/>
          <w:szCs w:val="24"/>
        </w:rPr>
      </w:pPr>
      <w:r w:rsidRPr="002305F3">
        <w:rPr>
          <w:sz w:val="24"/>
          <w:szCs w:val="24"/>
        </w:rPr>
        <w:t xml:space="preserve">Jason Byassee’s </w:t>
      </w:r>
      <w:r w:rsidRPr="002305F3">
        <w:rPr>
          <w:i/>
          <w:sz w:val="24"/>
          <w:szCs w:val="24"/>
        </w:rPr>
        <w:t>Praise Seeking Understanding: Reading the Psalms with Augustine</w:t>
      </w:r>
      <w:r w:rsidRPr="002305F3">
        <w:rPr>
          <w:rStyle w:val="FootnoteReference"/>
          <w:sz w:val="24"/>
          <w:szCs w:val="24"/>
        </w:rPr>
        <w:footnoteReference w:id="72"/>
      </w:r>
      <w:r w:rsidR="0053722D" w:rsidRPr="002305F3">
        <w:rPr>
          <w:sz w:val="24"/>
          <w:szCs w:val="24"/>
        </w:rPr>
        <w:t xml:space="preserve"> </w:t>
      </w:r>
      <w:r w:rsidR="00A92AFC" w:rsidRPr="002305F3">
        <w:rPr>
          <w:sz w:val="24"/>
          <w:szCs w:val="24"/>
        </w:rPr>
        <w:t>aims</w:t>
      </w:r>
      <w:r w:rsidRPr="002305F3">
        <w:rPr>
          <w:sz w:val="24"/>
          <w:szCs w:val="24"/>
        </w:rPr>
        <w:t xml:space="preserve"> to reintroduce us to an old way of reading the Bible—Christologically and allegorically.  </w:t>
      </w:r>
      <w:r w:rsidR="00A92AFC" w:rsidRPr="002305F3">
        <w:rPr>
          <w:sz w:val="24"/>
          <w:szCs w:val="24"/>
        </w:rPr>
        <w:t>Byassee finds</w:t>
      </w:r>
      <w:r w:rsidRPr="002305F3">
        <w:rPr>
          <w:sz w:val="24"/>
          <w:szCs w:val="24"/>
        </w:rPr>
        <w:t xml:space="preserve"> Augustine’s interpretations of the Psalms a compelling model</w:t>
      </w:r>
      <w:r w:rsidR="00A92AFC" w:rsidRPr="002305F3">
        <w:rPr>
          <w:sz w:val="24"/>
          <w:szCs w:val="24"/>
        </w:rPr>
        <w:t>.</w:t>
      </w:r>
      <w:r w:rsidRPr="002305F3">
        <w:rPr>
          <w:sz w:val="24"/>
          <w:szCs w:val="24"/>
        </w:rPr>
        <w:t xml:space="preserve">  </w:t>
      </w:r>
      <w:r w:rsidR="00A92AFC" w:rsidRPr="002305F3">
        <w:rPr>
          <w:sz w:val="24"/>
          <w:szCs w:val="24"/>
        </w:rPr>
        <w:t xml:space="preserve">The book </w:t>
      </w:r>
      <w:r w:rsidRPr="002305F3">
        <w:rPr>
          <w:sz w:val="24"/>
          <w:szCs w:val="24"/>
        </w:rPr>
        <w:t xml:space="preserve">focuses on the </w:t>
      </w:r>
      <w:r w:rsidRPr="002305F3">
        <w:rPr>
          <w:i/>
          <w:sz w:val="24"/>
          <w:szCs w:val="24"/>
        </w:rPr>
        <w:t>Enarrationes</w:t>
      </w:r>
      <w:r w:rsidRPr="002305F3">
        <w:rPr>
          <w:sz w:val="24"/>
          <w:szCs w:val="24"/>
        </w:rPr>
        <w:t xml:space="preserve"> </w:t>
      </w:r>
      <w:r w:rsidRPr="002305F3">
        <w:rPr>
          <w:i/>
          <w:sz w:val="24"/>
          <w:szCs w:val="24"/>
        </w:rPr>
        <w:t>in Psalmos</w:t>
      </w:r>
      <w:r w:rsidRPr="002305F3">
        <w:rPr>
          <w:sz w:val="24"/>
          <w:szCs w:val="24"/>
        </w:rPr>
        <w:t xml:space="preserve"> and is a very helpful introduction t</w:t>
      </w:r>
      <w:r w:rsidR="00A92AFC" w:rsidRPr="002305F3">
        <w:rPr>
          <w:sz w:val="24"/>
          <w:szCs w:val="24"/>
        </w:rPr>
        <w:t>o them as well as t</w:t>
      </w:r>
      <w:r w:rsidRPr="002305F3">
        <w:rPr>
          <w:sz w:val="24"/>
          <w:szCs w:val="24"/>
        </w:rPr>
        <w:t>o the Christological and allegorical work of Augustine’s sermons</w:t>
      </w:r>
      <w:r w:rsidR="00A92AFC" w:rsidRPr="002305F3">
        <w:rPr>
          <w:sz w:val="24"/>
          <w:szCs w:val="24"/>
        </w:rPr>
        <w:t>.</w:t>
      </w:r>
      <w:r w:rsidR="00DA147E">
        <w:rPr>
          <w:sz w:val="24"/>
          <w:szCs w:val="24"/>
        </w:rPr>
        <w:t xml:space="preserve"> A word on the </w:t>
      </w:r>
      <w:r w:rsidR="00DA147E">
        <w:rPr>
          <w:i/>
          <w:iCs/>
          <w:sz w:val="24"/>
          <w:szCs w:val="24"/>
        </w:rPr>
        <w:t>Enarrationes</w:t>
      </w:r>
      <w:r w:rsidR="00DA147E">
        <w:rPr>
          <w:sz w:val="24"/>
          <w:szCs w:val="24"/>
        </w:rPr>
        <w:t xml:space="preserve">: Six volumes in translation from New City Press, the </w:t>
      </w:r>
      <w:r w:rsidR="00DA147E">
        <w:rPr>
          <w:i/>
          <w:iCs/>
          <w:sz w:val="24"/>
          <w:szCs w:val="24"/>
        </w:rPr>
        <w:t>Enarrationes</w:t>
      </w:r>
      <w:r w:rsidR="00DA147E">
        <w:rPr>
          <w:sz w:val="24"/>
          <w:szCs w:val="24"/>
        </w:rPr>
        <w:t xml:space="preserve"> are composed </w:t>
      </w:r>
      <w:r w:rsidR="00D1422C">
        <w:rPr>
          <w:sz w:val="24"/>
          <w:szCs w:val="24"/>
        </w:rPr>
        <w:t xml:space="preserve">entirely of </w:t>
      </w:r>
      <w:r w:rsidR="00DA147E">
        <w:rPr>
          <w:sz w:val="24"/>
          <w:szCs w:val="24"/>
        </w:rPr>
        <w:t>Augustine’s commentaries on the Psalms, and</w:t>
      </w:r>
      <w:r w:rsidR="00EC012D">
        <w:rPr>
          <w:sz w:val="24"/>
          <w:szCs w:val="24"/>
        </w:rPr>
        <w:t xml:space="preserve"> largely </w:t>
      </w:r>
      <w:r w:rsidR="00DA147E">
        <w:rPr>
          <w:sz w:val="24"/>
          <w:szCs w:val="24"/>
        </w:rPr>
        <w:t>of his sermons on the Psalms.</w:t>
      </w:r>
    </w:p>
    <w:p w14:paraId="7BD9841C" w14:textId="52C65F91" w:rsidR="00AE5E92" w:rsidRPr="002305F3" w:rsidRDefault="00AE5E92" w:rsidP="00AB6BD8">
      <w:pPr>
        <w:spacing w:line="480" w:lineRule="auto"/>
        <w:ind w:firstLine="720"/>
        <w:contextualSpacing/>
        <w:rPr>
          <w:sz w:val="24"/>
          <w:szCs w:val="24"/>
        </w:rPr>
      </w:pPr>
      <w:r w:rsidRPr="002305F3">
        <w:rPr>
          <w:sz w:val="24"/>
          <w:szCs w:val="24"/>
        </w:rPr>
        <w:t xml:space="preserve">And that brings us to </w:t>
      </w:r>
      <w:r w:rsidR="002305F3">
        <w:rPr>
          <w:sz w:val="24"/>
          <w:szCs w:val="24"/>
        </w:rPr>
        <w:t>Byassee’s</w:t>
      </w:r>
      <w:r w:rsidR="00EC012D">
        <w:rPr>
          <w:sz w:val="24"/>
          <w:szCs w:val="24"/>
        </w:rPr>
        <w:t xml:space="preserve"> scholarly</w:t>
      </w:r>
      <w:r w:rsidR="002305F3">
        <w:rPr>
          <w:sz w:val="24"/>
          <w:szCs w:val="24"/>
        </w:rPr>
        <w:t xml:space="preserve"> forbears. Michael Cameron and Michael Fiedrowicz have led the way in the study of Augustine’s </w:t>
      </w:r>
      <w:r w:rsidR="002305F3">
        <w:rPr>
          <w:i/>
          <w:iCs/>
          <w:sz w:val="24"/>
          <w:szCs w:val="24"/>
        </w:rPr>
        <w:t>Enarrationes</w:t>
      </w:r>
      <w:r w:rsidR="002305F3">
        <w:rPr>
          <w:sz w:val="24"/>
          <w:szCs w:val="24"/>
        </w:rPr>
        <w:t>.</w:t>
      </w:r>
      <w:r w:rsidR="00E6720D" w:rsidRPr="002305F3">
        <w:rPr>
          <w:rStyle w:val="FootnoteReference"/>
          <w:sz w:val="24"/>
          <w:szCs w:val="24"/>
        </w:rPr>
        <w:footnoteReference w:id="73"/>
      </w:r>
      <w:r w:rsidR="002305F3">
        <w:rPr>
          <w:sz w:val="24"/>
          <w:szCs w:val="24"/>
        </w:rPr>
        <w:t xml:space="preserve"> They have been particularly helpful in teaching us how Augustine reads the Psalms according to the idea of</w:t>
      </w:r>
      <w:r w:rsidR="00D1422C">
        <w:rPr>
          <w:sz w:val="24"/>
          <w:szCs w:val="24"/>
        </w:rPr>
        <w:t xml:space="preserve"> the</w:t>
      </w:r>
      <w:r w:rsidR="002305F3">
        <w:rPr>
          <w:sz w:val="24"/>
          <w:szCs w:val="24"/>
        </w:rPr>
        <w:t xml:space="preserve"> </w:t>
      </w:r>
      <w:r w:rsidR="002305F3">
        <w:rPr>
          <w:i/>
          <w:iCs/>
          <w:sz w:val="24"/>
          <w:szCs w:val="24"/>
        </w:rPr>
        <w:t>totus Christus</w:t>
      </w:r>
      <w:r w:rsidR="002305F3">
        <w:rPr>
          <w:sz w:val="24"/>
          <w:szCs w:val="24"/>
        </w:rPr>
        <w:t xml:space="preserve">, the whole Christ. As Cameron puts it, </w:t>
      </w:r>
      <w:r w:rsidR="0026323A">
        <w:rPr>
          <w:sz w:val="24"/>
          <w:szCs w:val="24"/>
        </w:rPr>
        <w:t>‘</w:t>
      </w:r>
      <w:r w:rsidR="002305F3" w:rsidRPr="0035029B">
        <w:rPr>
          <w:sz w:val="24"/>
          <w:szCs w:val="24"/>
        </w:rPr>
        <w:t xml:space="preserve">For Augustine the voice of the </w:t>
      </w:r>
      <w:r w:rsidR="002305F3" w:rsidRPr="0035029B">
        <w:rPr>
          <w:i/>
          <w:sz w:val="24"/>
          <w:szCs w:val="24"/>
        </w:rPr>
        <w:t>totus Christus</w:t>
      </w:r>
      <w:r w:rsidR="002305F3" w:rsidRPr="0035029B">
        <w:rPr>
          <w:sz w:val="24"/>
          <w:szCs w:val="24"/>
        </w:rPr>
        <w:t xml:space="preserve"> is the radiating hermeneutical center of the Psalms.</w:t>
      </w:r>
      <w:r w:rsidR="0026323A">
        <w:rPr>
          <w:sz w:val="24"/>
          <w:szCs w:val="24"/>
        </w:rPr>
        <w:t>’</w:t>
      </w:r>
      <w:r w:rsidR="002305F3" w:rsidRPr="0035029B">
        <w:rPr>
          <w:rStyle w:val="FootnoteReference"/>
          <w:sz w:val="24"/>
          <w:szCs w:val="24"/>
        </w:rPr>
        <w:footnoteReference w:id="74"/>
      </w:r>
      <w:r w:rsidR="002305F3" w:rsidRPr="0035029B">
        <w:rPr>
          <w:sz w:val="24"/>
          <w:szCs w:val="24"/>
        </w:rPr>
        <w:t xml:space="preserve"> </w:t>
      </w:r>
      <w:r w:rsidR="002305F3">
        <w:rPr>
          <w:sz w:val="24"/>
          <w:szCs w:val="24"/>
        </w:rPr>
        <w:t xml:space="preserve">This is the doctrine that the </w:t>
      </w:r>
      <w:r w:rsidR="002305F3">
        <w:rPr>
          <w:sz w:val="24"/>
          <w:szCs w:val="24"/>
        </w:rPr>
        <w:lastRenderedPageBreak/>
        <w:t xml:space="preserve">unified Christ—both the Head, Christ Jesus the messiah, and his body, the church—speak </w:t>
      </w:r>
      <w:r w:rsidR="002305F3" w:rsidRPr="0035029B">
        <w:rPr>
          <w:sz w:val="24"/>
          <w:szCs w:val="24"/>
        </w:rPr>
        <w:t>in</w:t>
      </w:r>
      <w:r w:rsidR="002305F3">
        <w:rPr>
          <w:sz w:val="24"/>
          <w:szCs w:val="24"/>
        </w:rPr>
        <w:t xml:space="preserve"> one voice in</w:t>
      </w:r>
      <w:r w:rsidR="002305F3" w:rsidRPr="0035029B">
        <w:rPr>
          <w:sz w:val="24"/>
          <w:szCs w:val="24"/>
        </w:rPr>
        <w:t xml:space="preserve"> the Psalms. </w:t>
      </w:r>
      <w:r w:rsidR="002305F3">
        <w:rPr>
          <w:sz w:val="24"/>
          <w:szCs w:val="24"/>
        </w:rPr>
        <w:t>Not only does the Psalmist speak the words of Christ, but Christ also gives utterance to the voice of the church.</w:t>
      </w:r>
      <w:r w:rsidR="002305F3" w:rsidRPr="0035029B">
        <w:rPr>
          <w:sz w:val="24"/>
          <w:szCs w:val="24"/>
        </w:rPr>
        <w:t xml:space="preserve"> </w:t>
      </w:r>
      <w:r w:rsidR="002305F3">
        <w:rPr>
          <w:sz w:val="24"/>
          <w:szCs w:val="24"/>
        </w:rPr>
        <w:t>The Psalms thus not only teach about Christ, but they also teach us how to understand the church’s identity in Christ.</w:t>
      </w:r>
    </w:p>
    <w:p w14:paraId="59AB819B" w14:textId="7BD05ADD" w:rsidR="00AD0E02" w:rsidRPr="002305F3" w:rsidRDefault="00AD0E02" w:rsidP="00B1187D">
      <w:pPr>
        <w:spacing w:line="480" w:lineRule="auto"/>
        <w:contextualSpacing/>
        <w:jc w:val="center"/>
        <w:rPr>
          <w:sz w:val="24"/>
          <w:szCs w:val="24"/>
        </w:rPr>
      </w:pPr>
      <w:r w:rsidRPr="002305F3">
        <w:rPr>
          <w:sz w:val="24"/>
          <w:szCs w:val="24"/>
        </w:rPr>
        <w:t>III. FUTURE PROSPECTS</w:t>
      </w:r>
    </w:p>
    <w:p w14:paraId="79B01BB9" w14:textId="62742239" w:rsidR="008A347B" w:rsidRPr="002305F3" w:rsidRDefault="00AD0E02" w:rsidP="00B1187D">
      <w:pPr>
        <w:spacing w:line="480" w:lineRule="auto"/>
        <w:ind w:firstLine="720"/>
        <w:contextualSpacing/>
        <w:rPr>
          <w:sz w:val="24"/>
          <w:szCs w:val="24"/>
        </w:rPr>
      </w:pPr>
      <w:r w:rsidRPr="002305F3">
        <w:rPr>
          <w:sz w:val="24"/>
          <w:szCs w:val="24"/>
        </w:rPr>
        <w:t>One certain conclusion</w:t>
      </w:r>
      <w:r w:rsidR="00A92AFC" w:rsidRPr="002305F3">
        <w:rPr>
          <w:sz w:val="24"/>
          <w:szCs w:val="24"/>
        </w:rPr>
        <w:t xml:space="preserve"> from all this</w:t>
      </w:r>
      <w:r w:rsidRPr="002305F3">
        <w:rPr>
          <w:sz w:val="24"/>
          <w:szCs w:val="24"/>
        </w:rPr>
        <w:t xml:space="preserve"> is that Augustine literature will continue to be interesting.  </w:t>
      </w:r>
      <w:r w:rsidR="009528FE" w:rsidRPr="002305F3">
        <w:rPr>
          <w:sz w:val="24"/>
          <w:szCs w:val="24"/>
        </w:rPr>
        <w:t xml:space="preserve">Debate will continue. </w:t>
      </w:r>
      <w:r w:rsidRPr="002305F3">
        <w:rPr>
          <w:sz w:val="24"/>
          <w:szCs w:val="24"/>
        </w:rPr>
        <w:t xml:space="preserve">Reconsiderations of old interpretations will continue, and </w:t>
      </w:r>
      <w:r w:rsidR="00E6543E" w:rsidRPr="002305F3">
        <w:rPr>
          <w:sz w:val="24"/>
          <w:szCs w:val="24"/>
        </w:rPr>
        <w:t>the field is</w:t>
      </w:r>
      <w:r w:rsidRPr="002305F3">
        <w:rPr>
          <w:sz w:val="24"/>
          <w:szCs w:val="24"/>
        </w:rPr>
        <w:t xml:space="preserve"> likely to undergo </w:t>
      </w:r>
      <w:r w:rsidR="00F82838" w:rsidRPr="002305F3">
        <w:rPr>
          <w:sz w:val="24"/>
          <w:szCs w:val="24"/>
        </w:rPr>
        <w:t xml:space="preserve">continual </w:t>
      </w:r>
      <w:r w:rsidRPr="002305F3">
        <w:rPr>
          <w:sz w:val="24"/>
          <w:szCs w:val="24"/>
        </w:rPr>
        <w:t>renewal and reformation.</w:t>
      </w:r>
    </w:p>
    <w:p w14:paraId="2384475A" w14:textId="2C6B57F3" w:rsidR="00AD0E02" w:rsidRPr="002305F3" w:rsidRDefault="008A347B" w:rsidP="00B1187D">
      <w:pPr>
        <w:spacing w:line="480" w:lineRule="auto"/>
        <w:ind w:firstLine="720"/>
        <w:contextualSpacing/>
        <w:rPr>
          <w:sz w:val="24"/>
          <w:szCs w:val="24"/>
        </w:rPr>
      </w:pPr>
      <w:r w:rsidRPr="002305F3">
        <w:rPr>
          <w:sz w:val="24"/>
          <w:szCs w:val="24"/>
        </w:rPr>
        <w:t>A</w:t>
      </w:r>
      <w:r w:rsidR="00AD0E02" w:rsidRPr="002305F3">
        <w:rPr>
          <w:sz w:val="24"/>
          <w:szCs w:val="24"/>
        </w:rPr>
        <w:t xml:space="preserve"> few</w:t>
      </w:r>
      <w:r w:rsidRPr="002305F3">
        <w:rPr>
          <w:sz w:val="24"/>
          <w:szCs w:val="24"/>
        </w:rPr>
        <w:t xml:space="preserve"> additional</w:t>
      </w:r>
      <w:r w:rsidR="00AD0E02" w:rsidRPr="002305F3">
        <w:rPr>
          <w:sz w:val="24"/>
          <w:szCs w:val="24"/>
        </w:rPr>
        <w:t xml:space="preserve"> conclusions and predictions </w:t>
      </w:r>
      <w:r w:rsidR="00D1422C">
        <w:rPr>
          <w:sz w:val="24"/>
          <w:szCs w:val="24"/>
        </w:rPr>
        <w:t>may</w:t>
      </w:r>
      <w:r w:rsidR="00E6543E" w:rsidRPr="002305F3">
        <w:rPr>
          <w:sz w:val="24"/>
          <w:szCs w:val="24"/>
        </w:rPr>
        <w:t xml:space="preserve"> be made</w:t>
      </w:r>
      <w:r w:rsidR="00AD0E02" w:rsidRPr="002305F3">
        <w:rPr>
          <w:sz w:val="24"/>
          <w:szCs w:val="24"/>
        </w:rPr>
        <w:t>.</w:t>
      </w:r>
    </w:p>
    <w:p w14:paraId="79D1E21E" w14:textId="3B9E17DF" w:rsidR="00AD0E02" w:rsidRPr="002305F3" w:rsidRDefault="00021831" w:rsidP="00B1187D">
      <w:pPr>
        <w:spacing w:line="480" w:lineRule="auto"/>
        <w:ind w:firstLine="720"/>
        <w:contextualSpacing/>
        <w:rPr>
          <w:sz w:val="24"/>
          <w:szCs w:val="24"/>
        </w:rPr>
      </w:pPr>
      <w:r w:rsidRPr="002305F3">
        <w:rPr>
          <w:sz w:val="24"/>
          <w:szCs w:val="24"/>
        </w:rPr>
        <w:t xml:space="preserve">First, we may note </w:t>
      </w:r>
      <w:r w:rsidR="00CB5EEE" w:rsidRPr="002305F3">
        <w:rPr>
          <w:sz w:val="24"/>
          <w:szCs w:val="24"/>
        </w:rPr>
        <w:t xml:space="preserve">that a central feature of both </w:t>
      </w:r>
      <w:r w:rsidRPr="002305F3">
        <w:rPr>
          <w:sz w:val="24"/>
          <w:szCs w:val="24"/>
        </w:rPr>
        <w:t>the Courcelle-O’Connell tradition and the Madec-Harrison tradition</w:t>
      </w:r>
      <w:r w:rsidR="00CB5EEE" w:rsidRPr="002305F3">
        <w:rPr>
          <w:sz w:val="24"/>
          <w:szCs w:val="24"/>
        </w:rPr>
        <w:t xml:space="preserve"> is that Augustine is held in all stages of his career to be serious about his Christianity, and at least neo-Platonic enough to accept certain insights and patterns of thought from neo-Platonism. A strong</w:t>
      </w:r>
      <w:r w:rsidRPr="002305F3">
        <w:rPr>
          <w:sz w:val="24"/>
          <w:szCs w:val="24"/>
        </w:rPr>
        <w:t xml:space="preserve"> majority of</w:t>
      </w:r>
      <w:r w:rsidR="00AD0E02" w:rsidRPr="002305F3">
        <w:rPr>
          <w:sz w:val="24"/>
          <w:szCs w:val="24"/>
        </w:rPr>
        <w:t xml:space="preserve"> </w:t>
      </w:r>
      <w:r w:rsidR="005F4E1B" w:rsidRPr="002305F3">
        <w:rPr>
          <w:sz w:val="24"/>
          <w:szCs w:val="24"/>
        </w:rPr>
        <w:t xml:space="preserve">scholars </w:t>
      </w:r>
      <w:r w:rsidRPr="002305F3">
        <w:rPr>
          <w:sz w:val="24"/>
          <w:szCs w:val="24"/>
        </w:rPr>
        <w:t xml:space="preserve">concur </w:t>
      </w:r>
      <w:r w:rsidR="00CB5EEE" w:rsidRPr="002305F3">
        <w:rPr>
          <w:sz w:val="24"/>
          <w:szCs w:val="24"/>
        </w:rPr>
        <w:t>on these points.</w:t>
      </w:r>
    </w:p>
    <w:p w14:paraId="0625103B" w14:textId="754CD0DC" w:rsidR="00AD0E02" w:rsidRPr="002305F3" w:rsidRDefault="00CB5EEE" w:rsidP="00B1187D">
      <w:pPr>
        <w:spacing w:line="480" w:lineRule="auto"/>
        <w:ind w:firstLine="720"/>
        <w:contextualSpacing/>
        <w:rPr>
          <w:sz w:val="24"/>
          <w:szCs w:val="24"/>
        </w:rPr>
      </w:pPr>
      <w:r w:rsidRPr="002305F3">
        <w:rPr>
          <w:sz w:val="24"/>
          <w:szCs w:val="24"/>
        </w:rPr>
        <w:t>Second</w:t>
      </w:r>
      <w:r w:rsidR="00AD0E02" w:rsidRPr="002305F3">
        <w:rPr>
          <w:sz w:val="24"/>
          <w:szCs w:val="24"/>
        </w:rPr>
        <w:t xml:space="preserve">, the Madec-Harrison tradition </w:t>
      </w:r>
      <w:r w:rsidR="00F82838" w:rsidRPr="002305F3">
        <w:rPr>
          <w:sz w:val="24"/>
          <w:szCs w:val="24"/>
        </w:rPr>
        <w:t>appear</w:t>
      </w:r>
      <w:r w:rsidR="00E6543E" w:rsidRPr="002305F3">
        <w:rPr>
          <w:sz w:val="24"/>
          <w:szCs w:val="24"/>
        </w:rPr>
        <w:t>s</w:t>
      </w:r>
      <w:r w:rsidR="00AD0E02" w:rsidRPr="002305F3">
        <w:rPr>
          <w:sz w:val="24"/>
          <w:szCs w:val="24"/>
        </w:rPr>
        <w:t xml:space="preserve"> to have an advantage </w:t>
      </w:r>
      <w:r w:rsidR="00C1308D" w:rsidRPr="002305F3">
        <w:rPr>
          <w:sz w:val="24"/>
          <w:szCs w:val="24"/>
        </w:rPr>
        <w:t xml:space="preserve">over the Courcelle-O’Connell tradition </w:t>
      </w:r>
      <w:r w:rsidR="00867BF9" w:rsidRPr="002305F3">
        <w:rPr>
          <w:sz w:val="24"/>
          <w:szCs w:val="24"/>
        </w:rPr>
        <w:t xml:space="preserve">at least </w:t>
      </w:r>
      <w:r w:rsidR="00AD0E02" w:rsidRPr="002305F3">
        <w:rPr>
          <w:sz w:val="24"/>
          <w:szCs w:val="24"/>
        </w:rPr>
        <w:t>in terms of the number of scholars who represent it.</w:t>
      </w:r>
    </w:p>
    <w:p w14:paraId="746CF115" w14:textId="3961F2CA" w:rsidR="00AD0E02" w:rsidRPr="002305F3" w:rsidRDefault="00CB5EEE" w:rsidP="00B1187D">
      <w:pPr>
        <w:spacing w:line="480" w:lineRule="auto"/>
        <w:ind w:firstLine="720"/>
        <w:contextualSpacing/>
        <w:rPr>
          <w:sz w:val="24"/>
          <w:szCs w:val="24"/>
        </w:rPr>
      </w:pPr>
      <w:r w:rsidRPr="002305F3">
        <w:rPr>
          <w:sz w:val="24"/>
          <w:szCs w:val="24"/>
        </w:rPr>
        <w:t>Third</w:t>
      </w:r>
      <w:r w:rsidR="00AD0E02" w:rsidRPr="002305F3">
        <w:rPr>
          <w:sz w:val="24"/>
          <w:szCs w:val="24"/>
        </w:rPr>
        <w:t xml:space="preserve">, however, </w:t>
      </w:r>
      <w:r w:rsidR="00F833A6" w:rsidRPr="002305F3">
        <w:rPr>
          <w:sz w:val="24"/>
          <w:szCs w:val="24"/>
        </w:rPr>
        <w:t>there is a good chance that</w:t>
      </w:r>
      <w:r w:rsidR="00AD0E02" w:rsidRPr="002305F3">
        <w:rPr>
          <w:sz w:val="24"/>
          <w:szCs w:val="24"/>
        </w:rPr>
        <w:t xml:space="preserve"> scholarship will move </w:t>
      </w:r>
      <w:r w:rsidR="000F1D75" w:rsidRPr="002305F3">
        <w:rPr>
          <w:sz w:val="24"/>
          <w:szCs w:val="24"/>
        </w:rPr>
        <w:t>some distance</w:t>
      </w:r>
      <w:r w:rsidR="00F82838" w:rsidRPr="002305F3">
        <w:rPr>
          <w:sz w:val="24"/>
          <w:szCs w:val="24"/>
        </w:rPr>
        <w:t xml:space="preserve"> away </w:t>
      </w:r>
      <w:r w:rsidR="00AD0E02" w:rsidRPr="002305F3">
        <w:rPr>
          <w:sz w:val="24"/>
          <w:szCs w:val="24"/>
        </w:rPr>
        <w:t>from this debate</w:t>
      </w:r>
      <w:r w:rsidR="00581189" w:rsidRPr="002305F3">
        <w:rPr>
          <w:sz w:val="24"/>
          <w:szCs w:val="24"/>
        </w:rPr>
        <w:t>.  Scholars will continue to f</w:t>
      </w:r>
      <w:r w:rsidR="00AD0E02" w:rsidRPr="002305F3">
        <w:rPr>
          <w:sz w:val="24"/>
          <w:szCs w:val="24"/>
        </w:rPr>
        <w:t>ind other ways of reading Augustine</w:t>
      </w:r>
      <w:r w:rsidR="00A92AFC" w:rsidRPr="002305F3">
        <w:rPr>
          <w:sz w:val="24"/>
          <w:szCs w:val="24"/>
        </w:rPr>
        <w:t>—</w:t>
      </w:r>
      <w:r w:rsidR="00581189" w:rsidRPr="002305F3">
        <w:rPr>
          <w:sz w:val="24"/>
          <w:szCs w:val="24"/>
        </w:rPr>
        <w:t>fresh perspective</w:t>
      </w:r>
      <w:r w:rsidR="00A92AFC" w:rsidRPr="002305F3">
        <w:rPr>
          <w:sz w:val="24"/>
          <w:szCs w:val="24"/>
        </w:rPr>
        <w:t xml:space="preserve">s, </w:t>
      </w:r>
      <w:r w:rsidR="00581189" w:rsidRPr="002305F3">
        <w:rPr>
          <w:sz w:val="24"/>
          <w:szCs w:val="24"/>
        </w:rPr>
        <w:t xml:space="preserve">or </w:t>
      </w:r>
      <w:r w:rsidR="00B46B69" w:rsidRPr="002305F3">
        <w:rPr>
          <w:sz w:val="24"/>
          <w:szCs w:val="24"/>
        </w:rPr>
        <w:t xml:space="preserve">perhaps </w:t>
      </w:r>
      <w:r w:rsidR="00581189" w:rsidRPr="002305F3">
        <w:rPr>
          <w:sz w:val="24"/>
          <w:szCs w:val="24"/>
        </w:rPr>
        <w:t xml:space="preserve">more ancient ones, but in </w:t>
      </w:r>
      <w:r w:rsidR="00B46B69" w:rsidRPr="002305F3">
        <w:rPr>
          <w:sz w:val="24"/>
          <w:szCs w:val="24"/>
        </w:rPr>
        <w:t>either</w:t>
      </w:r>
      <w:r w:rsidR="00581189" w:rsidRPr="002305F3">
        <w:rPr>
          <w:sz w:val="24"/>
          <w:szCs w:val="24"/>
        </w:rPr>
        <w:t xml:space="preserve"> </w:t>
      </w:r>
      <w:r w:rsidR="00B46B69" w:rsidRPr="002305F3">
        <w:rPr>
          <w:sz w:val="24"/>
          <w:szCs w:val="24"/>
        </w:rPr>
        <w:t xml:space="preserve">case </w:t>
      </w:r>
      <w:r w:rsidR="00AD0E02" w:rsidRPr="002305F3">
        <w:rPr>
          <w:sz w:val="24"/>
          <w:szCs w:val="24"/>
        </w:rPr>
        <w:t xml:space="preserve">independent of the </w:t>
      </w:r>
      <w:r w:rsidR="00581189" w:rsidRPr="002305F3">
        <w:rPr>
          <w:sz w:val="24"/>
          <w:szCs w:val="24"/>
        </w:rPr>
        <w:t xml:space="preserve">modern </w:t>
      </w:r>
      <w:r w:rsidR="00AD0E02" w:rsidRPr="002305F3">
        <w:rPr>
          <w:sz w:val="24"/>
          <w:szCs w:val="24"/>
        </w:rPr>
        <w:t>debate.</w:t>
      </w:r>
    </w:p>
    <w:p w14:paraId="641B4E69" w14:textId="350423FC" w:rsidR="000C0CF1" w:rsidRPr="002305F3" w:rsidRDefault="00B46B69" w:rsidP="000C0CF1">
      <w:pPr>
        <w:spacing w:line="480" w:lineRule="auto"/>
        <w:ind w:firstLine="720"/>
        <w:contextualSpacing/>
        <w:rPr>
          <w:sz w:val="24"/>
          <w:szCs w:val="24"/>
        </w:rPr>
      </w:pPr>
      <w:r w:rsidRPr="002305F3">
        <w:rPr>
          <w:sz w:val="24"/>
          <w:szCs w:val="24"/>
        </w:rPr>
        <w:t xml:space="preserve">Along the same lines, and </w:t>
      </w:r>
      <w:r w:rsidR="00CB5EEE" w:rsidRPr="002305F3">
        <w:rPr>
          <w:sz w:val="24"/>
          <w:szCs w:val="24"/>
        </w:rPr>
        <w:t>fourth</w:t>
      </w:r>
      <w:r w:rsidR="00AD0E02" w:rsidRPr="002305F3">
        <w:rPr>
          <w:sz w:val="24"/>
          <w:szCs w:val="24"/>
        </w:rPr>
        <w:t xml:space="preserve">, future scholarship is likely increasingly to explore less familiar Augustinian territory.  </w:t>
      </w:r>
      <w:r w:rsidR="000C0CF1" w:rsidRPr="002305F3">
        <w:rPr>
          <w:sz w:val="24"/>
          <w:szCs w:val="24"/>
        </w:rPr>
        <w:t>O’Donnel</w:t>
      </w:r>
      <w:r w:rsidR="00862A7F" w:rsidRPr="002305F3">
        <w:rPr>
          <w:sz w:val="24"/>
          <w:szCs w:val="24"/>
        </w:rPr>
        <w:t>l</w:t>
      </w:r>
      <w:r w:rsidR="000C0CF1" w:rsidRPr="002305F3">
        <w:rPr>
          <w:sz w:val="24"/>
          <w:szCs w:val="24"/>
        </w:rPr>
        <w:t xml:space="preserve"> wrote in 2001 that an undiscovered Augustine</w:t>
      </w:r>
    </w:p>
    <w:p w14:paraId="35F02E5A" w14:textId="5924A1AE" w:rsidR="000C0CF1" w:rsidRPr="002305F3" w:rsidRDefault="000C0CF1" w:rsidP="000C0CF1">
      <w:pPr>
        <w:spacing w:line="480" w:lineRule="auto"/>
        <w:ind w:left="720"/>
        <w:contextualSpacing/>
        <w:rPr>
          <w:sz w:val="24"/>
          <w:szCs w:val="24"/>
        </w:rPr>
      </w:pPr>
      <w:r w:rsidRPr="002305F3">
        <w:rPr>
          <w:sz w:val="24"/>
          <w:szCs w:val="24"/>
        </w:rPr>
        <w:t xml:space="preserve">may perhaps just be coming into view.  This is the Augustine who revealed himself at vast length in his letters and sermons, texts which constitute over 45% of the bulk of his surviving works.  These texts have been mined for facts that fit the pre-determined </w:t>
      </w:r>
      <w:r w:rsidRPr="002305F3">
        <w:rPr>
          <w:sz w:val="24"/>
          <w:szCs w:val="24"/>
        </w:rPr>
        <w:lastRenderedPageBreak/>
        <w:t>structure of biographical narrative, but have received far too little attention for their literary and philosophical content.</w:t>
      </w:r>
      <w:r w:rsidRPr="002305F3">
        <w:rPr>
          <w:rStyle w:val="FootnoteReference"/>
          <w:sz w:val="24"/>
          <w:szCs w:val="24"/>
        </w:rPr>
        <w:footnoteReference w:id="75"/>
      </w:r>
    </w:p>
    <w:p w14:paraId="301FE637" w14:textId="17A0F643" w:rsidR="002305F3" w:rsidRDefault="00AD0E02" w:rsidP="000C0CF1">
      <w:pPr>
        <w:spacing w:line="480" w:lineRule="auto"/>
        <w:contextualSpacing/>
        <w:rPr>
          <w:sz w:val="24"/>
          <w:szCs w:val="24"/>
        </w:rPr>
      </w:pPr>
      <w:r w:rsidRPr="002305F3">
        <w:rPr>
          <w:sz w:val="24"/>
          <w:szCs w:val="24"/>
        </w:rPr>
        <w:t>The letters and sermons will probably be the new wave of Augustinian scholarship</w:t>
      </w:r>
      <w:r w:rsidR="00581189" w:rsidRPr="002305F3">
        <w:rPr>
          <w:sz w:val="24"/>
          <w:szCs w:val="24"/>
        </w:rPr>
        <w:t>, aided by new</w:t>
      </w:r>
      <w:r w:rsidR="00906ABC">
        <w:rPr>
          <w:sz w:val="24"/>
          <w:szCs w:val="24"/>
        </w:rPr>
        <w:t xml:space="preserve"> English </w:t>
      </w:r>
      <w:r w:rsidR="00581189" w:rsidRPr="002305F3">
        <w:rPr>
          <w:sz w:val="24"/>
          <w:szCs w:val="24"/>
        </w:rPr>
        <w:t>translations</w:t>
      </w:r>
      <w:r w:rsidR="00867BF9" w:rsidRPr="002305F3">
        <w:rPr>
          <w:sz w:val="24"/>
          <w:szCs w:val="24"/>
        </w:rPr>
        <w:t xml:space="preserve"> from New City Press</w:t>
      </w:r>
      <w:r w:rsidRPr="002305F3">
        <w:rPr>
          <w:sz w:val="24"/>
          <w:szCs w:val="24"/>
        </w:rPr>
        <w:t xml:space="preserve">.  </w:t>
      </w:r>
      <w:r w:rsidR="00A06856" w:rsidRPr="002305F3">
        <w:rPr>
          <w:sz w:val="24"/>
          <w:szCs w:val="24"/>
        </w:rPr>
        <w:t>In addition to Clair</w:t>
      </w:r>
      <w:r w:rsidR="00DE3801" w:rsidRPr="002305F3">
        <w:rPr>
          <w:sz w:val="24"/>
          <w:szCs w:val="24"/>
        </w:rPr>
        <w:t>,</w:t>
      </w:r>
      <w:r w:rsidR="00A06856" w:rsidRPr="002305F3">
        <w:rPr>
          <w:sz w:val="24"/>
          <w:szCs w:val="24"/>
        </w:rPr>
        <w:t xml:space="preserve"> Byassee</w:t>
      </w:r>
      <w:r w:rsidR="00DE3801" w:rsidRPr="002305F3">
        <w:rPr>
          <w:sz w:val="24"/>
          <w:szCs w:val="24"/>
        </w:rPr>
        <w:t>,</w:t>
      </w:r>
      <w:r w:rsidR="00E6720D" w:rsidRPr="002305F3">
        <w:rPr>
          <w:sz w:val="24"/>
          <w:szCs w:val="24"/>
        </w:rPr>
        <w:t xml:space="preserve"> Cameron, and Fiedrowicz</w:t>
      </w:r>
      <w:r w:rsidR="00A06856" w:rsidRPr="002305F3">
        <w:rPr>
          <w:sz w:val="24"/>
          <w:szCs w:val="24"/>
        </w:rPr>
        <w:t>,</w:t>
      </w:r>
      <w:r w:rsidR="00AB6BD8" w:rsidRPr="002305F3">
        <w:rPr>
          <w:sz w:val="24"/>
          <w:szCs w:val="24"/>
        </w:rPr>
        <w:t xml:space="preserve"> r</w:t>
      </w:r>
      <w:r w:rsidRPr="002305F3">
        <w:rPr>
          <w:sz w:val="24"/>
          <w:szCs w:val="24"/>
        </w:rPr>
        <w:t xml:space="preserve">ecent </w:t>
      </w:r>
      <w:r w:rsidR="000B578F" w:rsidRPr="002305F3">
        <w:rPr>
          <w:sz w:val="24"/>
          <w:szCs w:val="24"/>
        </w:rPr>
        <w:t xml:space="preserve">work in this area by the likes of </w:t>
      </w:r>
      <w:r w:rsidR="00272E24" w:rsidRPr="002305F3">
        <w:rPr>
          <w:sz w:val="24"/>
          <w:szCs w:val="24"/>
        </w:rPr>
        <w:t>Byers,</w:t>
      </w:r>
      <w:r w:rsidR="000B578F" w:rsidRPr="002305F3">
        <w:rPr>
          <w:rStyle w:val="FootnoteReference"/>
          <w:sz w:val="24"/>
          <w:szCs w:val="24"/>
        </w:rPr>
        <w:footnoteReference w:id="76"/>
      </w:r>
      <w:r w:rsidR="00272E24" w:rsidRPr="002305F3">
        <w:rPr>
          <w:sz w:val="24"/>
          <w:szCs w:val="24"/>
        </w:rPr>
        <w:t xml:space="preserve"> </w:t>
      </w:r>
      <w:r w:rsidR="002305F3" w:rsidRPr="002305F3">
        <w:rPr>
          <w:sz w:val="24"/>
          <w:szCs w:val="24"/>
        </w:rPr>
        <w:t>Ployd,</w:t>
      </w:r>
      <w:r w:rsidR="002305F3" w:rsidRPr="002305F3">
        <w:rPr>
          <w:rStyle w:val="FootnoteReference"/>
          <w:sz w:val="24"/>
          <w:szCs w:val="24"/>
        </w:rPr>
        <w:footnoteReference w:id="77"/>
      </w:r>
      <w:r w:rsidR="002305F3" w:rsidRPr="002305F3">
        <w:rPr>
          <w:sz w:val="24"/>
          <w:szCs w:val="24"/>
        </w:rPr>
        <w:t xml:space="preserve"> </w:t>
      </w:r>
      <w:r w:rsidR="00272E24" w:rsidRPr="002305F3">
        <w:rPr>
          <w:sz w:val="24"/>
          <w:szCs w:val="24"/>
        </w:rPr>
        <w:t>McLarney</w:t>
      </w:r>
      <w:r w:rsidR="000B578F" w:rsidRPr="002305F3">
        <w:rPr>
          <w:sz w:val="24"/>
          <w:szCs w:val="24"/>
        </w:rPr>
        <w:t>,</w:t>
      </w:r>
      <w:r w:rsidR="000B578F" w:rsidRPr="002305F3">
        <w:rPr>
          <w:rStyle w:val="FootnoteReference"/>
          <w:sz w:val="24"/>
          <w:szCs w:val="24"/>
        </w:rPr>
        <w:footnoteReference w:id="78"/>
      </w:r>
      <w:r w:rsidR="000B578F" w:rsidRPr="002305F3">
        <w:rPr>
          <w:sz w:val="24"/>
          <w:szCs w:val="24"/>
        </w:rPr>
        <w:t xml:space="preserve"> and Kamimura</w:t>
      </w:r>
      <w:r w:rsidRPr="002305F3">
        <w:rPr>
          <w:rStyle w:val="FootnoteReference"/>
          <w:sz w:val="24"/>
          <w:szCs w:val="24"/>
        </w:rPr>
        <w:footnoteReference w:id="79"/>
      </w:r>
      <w:r w:rsidRPr="002305F3">
        <w:rPr>
          <w:sz w:val="24"/>
          <w:szCs w:val="24"/>
        </w:rPr>
        <w:t xml:space="preserve"> </w:t>
      </w:r>
      <w:r w:rsidR="000B578F" w:rsidRPr="002305F3">
        <w:rPr>
          <w:sz w:val="24"/>
          <w:szCs w:val="24"/>
        </w:rPr>
        <w:t>is</w:t>
      </w:r>
      <w:r w:rsidR="00D33DB9" w:rsidRPr="002305F3">
        <w:rPr>
          <w:sz w:val="24"/>
          <w:szCs w:val="24"/>
        </w:rPr>
        <w:t xml:space="preserve"> </w:t>
      </w:r>
      <w:r w:rsidR="007D725A" w:rsidRPr="002305F3">
        <w:rPr>
          <w:sz w:val="24"/>
          <w:szCs w:val="24"/>
        </w:rPr>
        <w:t>only the beginning.</w:t>
      </w:r>
      <w:r w:rsidR="00A06856" w:rsidRPr="002305F3">
        <w:rPr>
          <w:rStyle w:val="FootnoteReference"/>
          <w:sz w:val="24"/>
          <w:szCs w:val="24"/>
        </w:rPr>
        <w:footnoteReference w:id="80"/>
      </w:r>
    </w:p>
    <w:p w14:paraId="54340A3C" w14:textId="44C24774" w:rsidR="00BA0A70" w:rsidRPr="002305F3" w:rsidRDefault="002305F3" w:rsidP="002305F3">
      <w:pPr>
        <w:spacing w:line="480" w:lineRule="auto"/>
        <w:ind w:firstLine="720"/>
        <w:contextualSpacing/>
        <w:rPr>
          <w:sz w:val="24"/>
          <w:szCs w:val="24"/>
        </w:rPr>
      </w:pPr>
      <w:r>
        <w:rPr>
          <w:sz w:val="24"/>
          <w:szCs w:val="24"/>
        </w:rPr>
        <w:t>For my part, I am grateful for the old way</w:t>
      </w:r>
      <w:r w:rsidR="00D1422C">
        <w:rPr>
          <w:sz w:val="24"/>
          <w:szCs w:val="24"/>
        </w:rPr>
        <w:t xml:space="preserve">s </w:t>
      </w:r>
      <w:r>
        <w:rPr>
          <w:sz w:val="24"/>
          <w:szCs w:val="24"/>
        </w:rPr>
        <w:t xml:space="preserve">of reading Augustine, in which everyone reads bits of the standard canon—the </w:t>
      </w:r>
      <w:r>
        <w:rPr>
          <w:i/>
          <w:iCs/>
          <w:sz w:val="24"/>
          <w:szCs w:val="24"/>
        </w:rPr>
        <w:t>Confessions</w:t>
      </w:r>
      <w:r>
        <w:rPr>
          <w:sz w:val="24"/>
          <w:szCs w:val="24"/>
        </w:rPr>
        <w:t xml:space="preserve">, </w:t>
      </w:r>
      <w:r>
        <w:rPr>
          <w:i/>
          <w:iCs/>
          <w:sz w:val="24"/>
          <w:szCs w:val="24"/>
        </w:rPr>
        <w:t>Teaching Christianity</w:t>
      </w:r>
      <w:r w:rsidRPr="002305F3">
        <w:rPr>
          <w:sz w:val="24"/>
          <w:szCs w:val="24"/>
        </w:rPr>
        <w:t xml:space="preserve">, </w:t>
      </w:r>
      <w:r>
        <w:rPr>
          <w:i/>
          <w:iCs/>
          <w:sz w:val="24"/>
          <w:szCs w:val="24"/>
        </w:rPr>
        <w:t>On the Trinity</w:t>
      </w:r>
      <w:r>
        <w:rPr>
          <w:sz w:val="24"/>
          <w:szCs w:val="24"/>
        </w:rPr>
        <w:t xml:space="preserve">, and the </w:t>
      </w:r>
      <w:r>
        <w:rPr>
          <w:i/>
          <w:iCs/>
          <w:sz w:val="24"/>
          <w:szCs w:val="24"/>
        </w:rPr>
        <w:t>City of</w:t>
      </w:r>
      <w:r w:rsidRPr="002305F3">
        <w:rPr>
          <w:i/>
          <w:iCs/>
          <w:sz w:val="24"/>
          <w:szCs w:val="24"/>
        </w:rPr>
        <w:t xml:space="preserve"> God</w:t>
      </w:r>
      <w:r>
        <w:rPr>
          <w:sz w:val="24"/>
          <w:szCs w:val="24"/>
        </w:rPr>
        <w:t>—</w:t>
      </w:r>
      <w:r w:rsidR="00333331">
        <w:rPr>
          <w:sz w:val="24"/>
          <w:szCs w:val="24"/>
        </w:rPr>
        <w:t>i</w:t>
      </w:r>
      <w:r>
        <w:rPr>
          <w:sz w:val="24"/>
          <w:szCs w:val="24"/>
        </w:rPr>
        <w:t>n which</w:t>
      </w:r>
      <w:r w:rsidR="00DA147E">
        <w:rPr>
          <w:sz w:val="24"/>
          <w:szCs w:val="24"/>
        </w:rPr>
        <w:t xml:space="preserve"> familiarity with some of the m</w:t>
      </w:r>
      <w:r>
        <w:rPr>
          <w:sz w:val="24"/>
          <w:szCs w:val="24"/>
        </w:rPr>
        <w:t xml:space="preserve">ain ideas </w:t>
      </w:r>
      <w:r w:rsidR="00DA147E">
        <w:rPr>
          <w:sz w:val="24"/>
          <w:szCs w:val="24"/>
        </w:rPr>
        <w:t>from these books is a mark of the person educated in</w:t>
      </w:r>
      <w:r w:rsidR="002B14D2">
        <w:rPr>
          <w:sz w:val="24"/>
          <w:szCs w:val="24"/>
        </w:rPr>
        <w:t xml:space="preserve"> the</w:t>
      </w:r>
      <w:r w:rsidR="00DA147E">
        <w:rPr>
          <w:sz w:val="24"/>
          <w:szCs w:val="24"/>
        </w:rPr>
        <w:t xml:space="preserve"> western cultural heritage</w:t>
      </w:r>
      <w:r w:rsidR="00333331">
        <w:rPr>
          <w:sz w:val="24"/>
          <w:szCs w:val="24"/>
        </w:rPr>
        <w:t>, and in which debate over his Christianity and neo-Platonism are prominent.</w:t>
      </w:r>
      <w:r w:rsidR="00DA147E">
        <w:rPr>
          <w:sz w:val="24"/>
          <w:szCs w:val="24"/>
        </w:rPr>
        <w:t xml:space="preserve"> Things might have been different, however, had we spent recent decades and centuries with everyone reading from a </w:t>
      </w:r>
      <w:r w:rsidR="002B14D2">
        <w:rPr>
          <w:sz w:val="24"/>
          <w:szCs w:val="24"/>
        </w:rPr>
        <w:t xml:space="preserve">different </w:t>
      </w:r>
      <w:r w:rsidR="00DA147E">
        <w:rPr>
          <w:sz w:val="24"/>
          <w:szCs w:val="24"/>
        </w:rPr>
        <w:t>standard canon</w:t>
      </w:r>
      <w:r w:rsidR="002B14D2">
        <w:rPr>
          <w:sz w:val="24"/>
          <w:szCs w:val="24"/>
        </w:rPr>
        <w:t xml:space="preserve">. We would have known a different side of Augustine had the canon been </w:t>
      </w:r>
      <w:r w:rsidR="00DA147E">
        <w:rPr>
          <w:sz w:val="24"/>
          <w:szCs w:val="24"/>
        </w:rPr>
        <w:t xml:space="preserve">drawn from the pastoral writings, </w:t>
      </w:r>
      <w:r w:rsidR="00333331">
        <w:rPr>
          <w:sz w:val="24"/>
          <w:szCs w:val="24"/>
        </w:rPr>
        <w:t>had</w:t>
      </w:r>
      <w:r w:rsidR="00DA147E">
        <w:rPr>
          <w:sz w:val="24"/>
          <w:szCs w:val="24"/>
        </w:rPr>
        <w:t xml:space="preserve"> familiarity with ideas like the </w:t>
      </w:r>
      <w:r w:rsidR="00DA147E">
        <w:rPr>
          <w:i/>
          <w:iCs/>
          <w:sz w:val="24"/>
          <w:szCs w:val="24"/>
        </w:rPr>
        <w:t>totus Christus</w:t>
      </w:r>
      <w:r w:rsidR="002B14D2">
        <w:rPr>
          <w:sz w:val="24"/>
          <w:szCs w:val="24"/>
        </w:rPr>
        <w:t xml:space="preserve"> instead </w:t>
      </w:r>
      <w:r w:rsidR="00333331">
        <w:rPr>
          <w:sz w:val="24"/>
          <w:szCs w:val="24"/>
        </w:rPr>
        <w:t>been</w:t>
      </w:r>
      <w:r w:rsidR="002B14D2">
        <w:rPr>
          <w:sz w:val="24"/>
          <w:szCs w:val="24"/>
        </w:rPr>
        <w:t xml:space="preserve"> emphasized</w:t>
      </w:r>
      <w:r w:rsidR="00333331">
        <w:rPr>
          <w:sz w:val="24"/>
          <w:szCs w:val="24"/>
        </w:rPr>
        <w:t xml:space="preserve">, and had </w:t>
      </w:r>
      <w:r w:rsidR="00906ABC">
        <w:rPr>
          <w:sz w:val="24"/>
          <w:szCs w:val="24"/>
        </w:rPr>
        <w:t xml:space="preserve">debates more focused on such </w:t>
      </w:r>
      <w:r w:rsidR="00AE1FE7">
        <w:rPr>
          <w:sz w:val="24"/>
          <w:szCs w:val="24"/>
        </w:rPr>
        <w:t>ideas</w:t>
      </w:r>
      <w:r w:rsidR="00906ABC">
        <w:rPr>
          <w:sz w:val="24"/>
          <w:szCs w:val="24"/>
        </w:rPr>
        <w:t xml:space="preserve"> </w:t>
      </w:r>
      <w:r w:rsidR="007F482E">
        <w:rPr>
          <w:sz w:val="24"/>
          <w:szCs w:val="24"/>
        </w:rPr>
        <w:t>enjoyed</w:t>
      </w:r>
      <w:r w:rsidR="00906ABC">
        <w:rPr>
          <w:sz w:val="24"/>
          <w:szCs w:val="24"/>
        </w:rPr>
        <w:t xml:space="preserve"> greater prominence.</w:t>
      </w:r>
      <w:r w:rsidR="00DA147E">
        <w:rPr>
          <w:sz w:val="24"/>
          <w:szCs w:val="24"/>
        </w:rPr>
        <w:t xml:space="preserve"> </w:t>
      </w:r>
      <w:r w:rsidR="002B14D2">
        <w:rPr>
          <w:sz w:val="24"/>
          <w:szCs w:val="24"/>
        </w:rPr>
        <w:t xml:space="preserve"> Fortunately, prospects are good for knowing </w:t>
      </w:r>
      <w:r w:rsidR="002B14D2">
        <w:rPr>
          <w:sz w:val="24"/>
          <w:szCs w:val="24"/>
        </w:rPr>
        <w:lastRenderedPageBreak/>
        <w:t>Augustine better in the future with a greater awareness of a broader corpus.</w:t>
      </w:r>
      <w:r>
        <w:rPr>
          <w:sz w:val="24"/>
          <w:szCs w:val="24"/>
        </w:rPr>
        <w:t xml:space="preserve"> </w:t>
      </w:r>
      <w:r w:rsidR="007D725A" w:rsidRPr="002305F3">
        <w:rPr>
          <w:sz w:val="24"/>
          <w:szCs w:val="24"/>
        </w:rPr>
        <w:t>The</w:t>
      </w:r>
      <w:r w:rsidR="00F5432F" w:rsidRPr="002305F3">
        <w:rPr>
          <w:sz w:val="24"/>
          <w:szCs w:val="24"/>
        </w:rPr>
        <w:t xml:space="preserve">re is a bright future </w:t>
      </w:r>
      <w:r w:rsidR="007D725A" w:rsidRPr="002305F3">
        <w:rPr>
          <w:sz w:val="24"/>
          <w:szCs w:val="24"/>
        </w:rPr>
        <w:t>in which we get to know better</w:t>
      </w:r>
      <w:r w:rsidR="00F5432F" w:rsidRPr="002305F3">
        <w:rPr>
          <w:sz w:val="24"/>
          <w:szCs w:val="24"/>
        </w:rPr>
        <w:t xml:space="preserve"> not only </w:t>
      </w:r>
      <w:r w:rsidR="0053722D" w:rsidRPr="002305F3">
        <w:rPr>
          <w:sz w:val="24"/>
          <w:szCs w:val="24"/>
        </w:rPr>
        <w:t>Platonically inspired</w:t>
      </w:r>
      <w:r w:rsidR="00F5432F" w:rsidRPr="002305F3">
        <w:rPr>
          <w:sz w:val="24"/>
          <w:szCs w:val="24"/>
        </w:rPr>
        <w:t xml:space="preserve"> philosopher </w:t>
      </w:r>
      <w:r w:rsidR="00806EA6" w:rsidRPr="002305F3">
        <w:rPr>
          <w:sz w:val="24"/>
          <w:szCs w:val="24"/>
        </w:rPr>
        <w:t>and</w:t>
      </w:r>
      <w:r w:rsidR="00F5432F" w:rsidRPr="002305F3">
        <w:rPr>
          <w:sz w:val="24"/>
          <w:szCs w:val="24"/>
        </w:rPr>
        <w:t xml:space="preserve"> the polemical theologian but also</w:t>
      </w:r>
      <w:r w:rsidR="007D725A" w:rsidRPr="002305F3">
        <w:rPr>
          <w:sz w:val="24"/>
          <w:szCs w:val="24"/>
        </w:rPr>
        <w:t xml:space="preserve"> Augustine </w:t>
      </w:r>
      <w:r w:rsidR="00A92AFC" w:rsidRPr="002305F3">
        <w:rPr>
          <w:sz w:val="24"/>
          <w:szCs w:val="24"/>
        </w:rPr>
        <w:t xml:space="preserve">the friend, pastor, and </w:t>
      </w:r>
      <w:r w:rsidR="005A398C" w:rsidRPr="002305F3">
        <w:rPr>
          <w:sz w:val="24"/>
          <w:szCs w:val="24"/>
        </w:rPr>
        <w:t>shepherd.</w:t>
      </w:r>
    </w:p>
    <w:sectPr w:rsidR="00BA0A70" w:rsidRPr="002305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29309" w14:textId="77777777" w:rsidR="00A509AA" w:rsidRDefault="00A509AA" w:rsidP="005C2545">
      <w:r>
        <w:separator/>
      </w:r>
    </w:p>
  </w:endnote>
  <w:endnote w:type="continuationSeparator" w:id="0">
    <w:p w14:paraId="51A9562D" w14:textId="77777777" w:rsidR="00A509AA" w:rsidRDefault="00A509AA" w:rsidP="005C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B5EA7" w14:textId="77777777" w:rsidR="00A509AA" w:rsidRDefault="00A509AA" w:rsidP="005C2545">
      <w:r>
        <w:separator/>
      </w:r>
    </w:p>
  </w:footnote>
  <w:footnote w:type="continuationSeparator" w:id="0">
    <w:p w14:paraId="69C73680" w14:textId="77777777" w:rsidR="00A509AA" w:rsidRDefault="00A509AA" w:rsidP="005C2545">
      <w:r>
        <w:continuationSeparator/>
      </w:r>
    </w:p>
  </w:footnote>
  <w:footnote w:id="1">
    <w:p w14:paraId="3AEAD3EA" w14:textId="77777777" w:rsidR="00350876" w:rsidRPr="0022167B" w:rsidRDefault="00350876" w:rsidP="00C62AC5">
      <w:pPr>
        <w:pStyle w:val="FootnoteText"/>
        <w:spacing w:before="240"/>
        <w:ind w:firstLine="720"/>
      </w:pPr>
      <w:r w:rsidRPr="0022167B">
        <w:rPr>
          <w:rStyle w:val="FootnoteReference"/>
          <w:rFonts w:eastAsia="Times New Roman"/>
        </w:rPr>
        <w:footnoteRef/>
      </w:r>
      <w:r w:rsidRPr="0022167B">
        <w:rPr>
          <w:rFonts w:eastAsia="Times New Roman"/>
        </w:rPr>
        <w:t xml:space="preserve"> Schaff, </w:t>
      </w:r>
      <w:r w:rsidRPr="0022167B">
        <w:rPr>
          <w:rFonts w:eastAsia="Times New Roman"/>
          <w:i/>
          <w:iCs/>
        </w:rPr>
        <w:t>History of the Christian Church</w:t>
      </w:r>
      <w:r w:rsidRPr="0022167B">
        <w:rPr>
          <w:rFonts w:eastAsia="Times New Roman"/>
        </w:rPr>
        <w:t>, vol. 3, chapter 10.</w:t>
      </w:r>
    </w:p>
  </w:footnote>
  <w:footnote w:id="2">
    <w:p w14:paraId="32790362" w14:textId="38BB00FF" w:rsidR="00AD0E02" w:rsidRPr="0022167B" w:rsidRDefault="00AD0E02" w:rsidP="00C62AC5">
      <w:pPr>
        <w:pStyle w:val="FootnoteText"/>
        <w:spacing w:before="240"/>
        <w:ind w:firstLine="720"/>
      </w:pPr>
      <w:r w:rsidRPr="0022167B">
        <w:rPr>
          <w:rStyle w:val="FootnoteReference"/>
        </w:rPr>
        <w:footnoteRef/>
      </w:r>
      <w:r w:rsidRPr="0022167B">
        <w:t xml:space="preserve"> </w:t>
      </w:r>
      <w:r w:rsidR="0022167B" w:rsidRPr="0022167B">
        <w:t xml:space="preserve">James J. O’Donnell, </w:t>
      </w:r>
      <w:r w:rsidR="00484F48">
        <w:t>‘</w:t>
      </w:r>
      <w:r w:rsidR="0022167B" w:rsidRPr="0022167B">
        <w:t>To Make an End Is To Make a Beginning;</w:t>
      </w:r>
      <w:r w:rsidR="00484F48">
        <w:t xml:space="preserve">’ </w:t>
      </w:r>
      <w:r w:rsidR="0022167B" w:rsidRPr="0022167B">
        <w:rPr>
          <w:i/>
          <w:iCs/>
        </w:rPr>
        <w:t>Augustinian Studies</w:t>
      </w:r>
      <w:r w:rsidR="0022167B" w:rsidRPr="0022167B">
        <w:t xml:space="preserve"> 25 (1994),</w:t>
      </w:r>
      <w:r w:rsidRPr="0022167B">
        <w:t xml:space="preserve"> </w:t>
      </w:r>
      <w:r w:rsidR="0093593D">
        <w:t xml:space="preserve">p. </w:t>
      </w:r>
      <w:r w:rsidRPr="0022167B">
        <w:t>234.</w:t>
      </w:r>
      <w:r w:rsidR="00DD7721">
        <w:t xml:space="preserve"> </w:t>
      </w:r>
      <w:r w:rsidR="00DD7721" w:rsidRPr="0022167B">
        <w:t xml:space="preserve">The interested reader might also consult Kevane’s fine summary in Eugene Kevane, </w:t>
      </w:r>
      <w:r w:rsidR="00DD7721" w:rsidRPr="0022167B">
        <w:rPr>
          <w:i/>
          <w:iCs/>
        </w:rPr>
        <w:t>Augustine the Educator: A Study in the Fundamentals of Christian Formation</w:t>
      </w:r>
      <w:r w:rsidR="00DD7721" w:rsidRPr="0022167B">
        <w:t xml:space="preserve"> (Westminster, MD: Newman, 1954), </w:t>
      </w:r>
      <w:r w:rsidR="0093593D">
        <w:t xml:space="preserve">pp. </w:t>
      </w:r>
      <w:r w:rsidR="00DD7721" w:rsidRPr="0022167B">
        <w:t xml:space="preserve">347-380.  Also Robert Crouse, </w:t>
      </w:r>
      <w:r w:rsidR="00953A44">
        <w:t>‘</w:t>
      </w:r>
      <w:r w:rsidR="00DD7721" w:rsidRPr="0022167B">
        <w:rPr>
          <w:i/>
          <w:iCs/>
        </w:rPr>
        <w:t>Paucis Mutatis Verbis</w:t>
      </w:r>
      <w:r w:rsidR="00DD7721" w:rsidRPr="0022167B">
        <w:t>: St. Augustine’s Platonism;</w:t>
      </w:r>
      <w:r w:rsidR="00953A44">
        <w:t xml:space="preserve">’ </w:t>
      </w:r>
      <w:r w:rsidR="00DD7721" w:rsidRPr="0022167B">
        <w:t xml:space="preserve">in </w:t>
      </w:r>
      <w:r w:rsidR="00DD7721" w:rsidRPr="0022167B">
        <w:rPr>
          <w:i/>
          <w:iCs/>
        </w:rPr>
        <w:t>Augustine and His Critics: Essays in Honor of Gerald Bonner</w:t>
      </w:r>
      <w:r w:rsidR="00DD7721" w:rsidRPr="0022167B">
        <w:t xml:space="preserve">, ed. Robert Dodaro and George Lawless: 37-50 (New York: Routledge, 2000); </w:t>
      </w:r>
      <w:r w:rsidR="00741272" w:rsidRPr="0022167B">
        <w:t xml:space="preserve">Mark Boone, </w:t>
      </w:r>
      <w:r w:rsidR="00741272" w:rsidRPr="0022167B">
        <w:rPr>
          <w:i/>
          <w:iCs/>
        </w:rPr>
        <w:t>The Conversion and Therapy of Desire: Augustine’s Theology of Desire in the Cassiciacum Dialogues</w:t>
      </w:r>
      <w:r w:rsidR="00741272" w:rsidRPr="0022167B">
        <w:t xml:space="preserve"> (Eugene, OR: Pickwick, 2016), chapter 1; and Mark Boone, “The Role of Platonism in Augustine’s 386 Conversion to Christianity;” </w:t>
      </w:r>
      <w:r w:rsidR="00741272" w:rsidRPr="0022167B">
        <w:rPr>
          <w:i/>
          <w:iCs/>
        </w:rPr>
        <w:t>Religion Compass</w:t>
      </w:r>
      <w:r w:rsidR="00741272" w:rsidRPr="0022167B">
        <w:t xml:space="preserve"> 9.5 (May 2015), 151-</w:t>
      </w:r>
      <w:r w:rsidR="00741272">
        <w:t>1</w:t>
      </w:r>
      <w:r w:rsidR="00741272" w:rsidRPr="0022167B">
        <w:t>61</w:t>
      </w:r>
      <w:r w:rsidR="00741272">
        <w:t>.</w:t>
      </w:r>
      <w:r w:rsidR="00DD7721" w:rsidRPr="0022167B">
        <w:t xml:space="preserve"> Portions of this article involve a reconsideration of my own earlier summaries.</w:t>
      </w:r>
    </w:p>
  </w:footnote>
  <w:footnote w:id="3">
    <w:p w14:paraId="50368A68" w14:textId="5DB544BA" w:rsidR="00714B6E" w:rsidRPr="0022167B" w:rsidRDefault="00714B6E" w:rsidP="00C62AC5">
      <w:pPr>
        <w:pStyle w:val="FootnoteText"/>
        <w:spacing w:before="240"/>
        <w:ind w:firstLine="720"/>
      </w:pPr>
      <w:r w:rsidRPr="0022167B">
        <w:rPr>
          <w:rStyle w:val="FootnoteReference"/>
        </w:rPr>
        <w:footnoteRef/>
      </w:r>
      <w:r w:rsidRPr="0022167B">
        <w:t xml:space="preserve"> </w:t>
      </w:r>
      <w:r w:rsidR="00CF1B9C" w:rsidRPr="0022167B">
        <w:t xml:space="preserve">James J. McEvoy, </w:t>
      </w:r>
      <w:r w:rsidR="00953A44">
        <w:t>‘</w:t>
      </w:r>
      <w:r w:rsidR="00CF1B9C" w:rsidRPr="0022167B">
        <w:t>Neoplatonism and Christianity: Influence, Syncretism or Discernment?;</w:t>
      </w:r>
      <w:r w:rsidR="00953A44">
        <w:t>’</w:t>
      </w:r>
      <w:r w:rsidR="00CF1B9C" w:rsidRPr="0022167B">
        <w:rPr>
          <w:i/>
          <w:iCs/>
        </w:rPr>
        <w:t xml:space="preserve"> The Relationship between Neoplatonism and Christianity</w:t>
      </w:r>
      <w:r w:rsidR="00CF1B9C" w:rsidRPr="0022167B">
        <w:t>, ed. Thomas Flynn and Vincent Twomey:</w:t>
      </w:r>
      <w:r w:rsidR="009B0C83">
        <w:t xml:space="preserve"> pp.</w:t>
      </w:r>
      <w:r w:rsidR="00CF1B9C" w:rsidRPr="0022167B">
        <w:t xml:space="preserve"> 155-170 (Dublin: Four Courts Press, 1992).</w:t>
      </w:r>
    </w:p>
  </w:footnote>
  <w:footnote w:id="4">
    <w:p w14:paraId="576892D1" w14:textId="79F6984F" w:rsidR="00714B6E" w:rsidRPr="0022167B" w:rsidRDefault="00714B6E" w:rsidP="00C62AC5">
      <w:pPr>
        <w:pStyle w:val="FootnoteText"/>
        <w:spacing w:before="240"/>
        <w:ind w:firstLine="720"/>
      </w:pPr>
      <w:r w:rsidRPr="0022167B">
        <w:rPr>
          <w:rStyle w:val="FootnoteReference"/>
        </w:rPr>
        <w:footnoteRef/>
      </w:r>
      <w:r w:rsidRPr="0022167B">
        <w:t xml:space="preserve"> Ibid., </w:t>
      </w:r>
      <w:r w:rsidR="009B0C83">
        <w:t xml:space="preserve">p. </w:t>
      </w:r>
      <w:r w:rsidRPr="0022167B">
        <w:t>168.</w:t>
      </w:r>
    </w:p>
  </w:footnote>
  <w:footnote w:id="5">
    <w:p w14:paraId="448F5028" w14:textId="779C5919" w:rsidR="00DD7721" w:rsidRPr="0022167B" w:rsidRDefault="00DD7721" w:rsidP="00C62AC5">
      <w:pPr>
        <w:pStyle w:val="FootnoteText"/>
        <w:spacing w:before="240"/>
        <w:ind w:firstLine="720"/>
      </w:pPr>
      <w:r w:rsidRPr="0022167B">
        <w:rPr>
          <w:rStyle w:val="FootnoteReference"/>
        </w:rPr>
        <w:footnoteRef/>
      </w:r>
      <w:r w:rsidRPr="0022167B">
        <w:t xml:space="preserve"> Frederick E. Van Fleteren, </w:t>
      </w:r>
      <w:r w:rsidR="00953A44">
        <w:t>‘</w:t>
      </w:r>
      <w:r w:rsidRPr="0022167B">
        <w:t xml:space="preserve">Augustine and Philosophy: </w:t>
      </w:r>
      <w:r w:rsidRPr="0022167B">
        <w:rPr>
          <w:i/>
          <w:iCs/>
        </w:rPr>
        <w:t>Intellectus Fidei</w:t>
      </w:r>
      <w:r w:rsidRPr="0022167B">
        <w:t>;</w:t>
      </w:r>
      <w:r w:rsidR="00953A44">
        <w:t xml:space="preserve">’ </w:t>
      </w:r>
      <w:r w:rsidRPr="0022167B">
        <w:rPr>
          <w:i/>
          <w:iCs/>
        </w:rPr>
        <w:t>Augustine and Philosophy</w:t>
      </w:r>
      <w:r w:rsidRPr="0022167B">
        <w:t xml:space="preserve">, ed. Phillip Cary, John Doody, and Kim Paffenroth: </w:t>
      </w:r>
      <w:r w:rsidR="009B0C83">
        <w:t xml:space="preserve">pp. </w:t>
      </w:r>
      <w:r w:rsidRPr="0022167B">
        <w:t>23-40 (Lanham: Rowman &amp; Littlefield, 2010),</w:t>
      </w:r>
      <w:r w:rsidR="009B0C83">
        <w:t xml:space="preserve"> p.</w:t>
      </w:r>
      <w:r w:rsidRPr="0022167B">
        <w:rPr>
          <w:rFonts w:eastAsia="Times New Roman"/>
        </w:rPr>
        <w:t xml:space="preserve"> 23. Another helpful Van Fleteren article is </w:t>
      </w:r>
      <w:r w:rsidRPr="0022167B">
        <w:t xml:space="preserve">Frederick E. Van Fleteren, </w:t>
      </w:r>
      <w:r w:rsidR="00953A44">
        <w:t>‘</w:t>
      </w:r>
      <w:r w:rsidRPr="0022167B">
        <w:t>The Cassiciacum Dialogues and Augustine’s Ascents at Milan;</w:t>
      </w:r>
      <w:r w:rsidR="00953A44">
        <w:t>’</w:t>
      </w:r>
      <w:r w:rsidRPr="0022167B">
        <w:t xml:space="preserve"> </w:t>
      </w:r>
      <w:r w:rsidRPr="0022167B">
        <w:rPr>
          <w:i/>
          <w:iCs/>
        </w:rPr>
        <w:t>Mediaevalia</w:t>
      </w:r>
      <w:r w:rsidRPr="0022167B">
        <w:t xml:space="preserve"> 4 (1978), </w:t>
      </w:r>
      <w:r w:rsidR="009B0C83">
        <w:t xml:space="preserve">pp. </w:t>
      </w:r>
      <w:r w:rsidRPr="0022167B">
        <w:t>159–82.</w:t>
      </w:r>
    </w:p>
  </w:footnote>
  <w:footnote w:id="6">
    <w:p w14:paraId="4AD5FD14" w14:textId="095E63D4" w:rsidR="00AD0E02" w:rsidRPr="0022167B" w:rsidRDefault="00AD0E02" w:rsidP="005067FF">
      <w:pPr>
        <w:pStyle w:val="FootnoteText"/>
        <w:spacing w:before="240"/>
        <w:ind w:firstLine="720"/>
      </w:pPr>
      <w:r w:rsidRPr="0022167B">
        <w:rPr>
          <w:rStyle w:val="FootnoteReference"/>
        </w:rPr>
        <w:footnoteRef/>
      </w:r>
      <w:r w:rsidRPr="0022167B">
        <w:t xml:space="preserve"> Van Fleteren, </w:t>
      </w:r>
      <w:r w:rsidR="00953A44">
        <w:t>‘</w:t>
      </w:r>
      <w:r w:rsidRPr="0022167B">
        <w:t>Augustine and Philosophy,</w:t>
      </w:r>
      <w:r w:rsidR="00953A44">
        <w:t xml:space="preserve">’ </w:t>
      </w:r>
      <w:r w:rsidR="005067FF">
        <w:t>p.</w:t>
      </w:r>
      <w:r w:rsidRPr="0022167B">
        <w:t xml:space="preserve"> 35.</w:t>
      </w:r>
    </w:p>
  </w:footnote>
  <w:footnote w:id="7">
    <w:p w14:paraId="0E5AD6DD" w14:textId="77777777" w:rsidR="00AD0E02" w:rsidRPr="0022167B" w:rsidRDefault="00AD0E02" w:rsidP="00C62AC5">
      <w:pPr>
        <w:pStyle w:val="FootnoteText"/>
        <w:spacing w:before="240"/>
        <w:ind w:firstLine="720"/>
      </w:pPr>
      <w:r w:rsidRPr="0022167B">
        <w:rPr>
          <w:rStyle w:val="FootnoteReference"/>
        </w:rPr>
        <w:footnoteRef/>
      </w:r>
      <w:r w:rsidRPr="0022167B">
        <w:t xml:space="preserve"> Ibid.</w:t>
      </w:r>
    </w:p>
  </w:footnote>
  <w:footnote w:id="8">
    <w:p w14:paraId="4DF193A8" w14:textId="5940E6C0" w:rsidR="00AD0E02" w:rsidRPr="0022167B" w:rsidRDefault="00AD0E02" w:rsidP="00C62AC5">
      <w:pPr>
        <w:pStyle w:val="FootnoteText"/>
        <w:spacing w:before="240"/>
        <w:ind w:firstLine="720"/>
      </w:pPr>
      <w:r w:rsidRPr="0022167B">
        <w:rPr>
          <w:rStyle w:val="FootnoteReference"/>
        </w:rPr>
        <w:footnoteRef/>
      </w:r>
      <w:r w:rsidRPr="0022167B">
        <w:t xml:space="preserve"> Ibid., </w:t>
      </w:r>
      <w:r w:rsidR="001A48DF">
        <w:t xml:space="preserve">p. </w:t>
      </w:r>
      <w:r w:rsidRPr="0022167B">
        <w:t>30.</w:t>
      </w:r>
    </w:p>
  </w:footnote>
  <w:footnote w:id="9">
    <w:p w14:paraId="1D89F688" w14:textId="713656F2" w:rsidR="00AD0E02" w:rsidRPr="0022167B" w:rsidRDefault="00AD0E02" w:rsidP="00C62AC5">
      <w:pPr>
        <w:pStyle w:val="FootnoteText"/>
        <w:spacing w:before="240"/>
        <w:ind w:firstLine="720"/>
      </w:pPr>
      <w:r w:rsidRPr="0022167B">
        <w:rPr>
          <w:rStyle w:val="FootnoteReference"/>
          <w:rFonts w:eastAsia="Times New Roman"/>
        </w:rPr>
        <w:footnoteRef/>
      </w:r>
      <w:r w:rsidRPr="0022167B">
        <w:rPr>
          <w:rFonts w:eastAsia="Times New Roman"/>
        </w:rPr>
        <w:t xml:space="preserve"> </w:t>
      </w:r>
      <w:r w:rsidR="0022167B" w:rsidRPr="0022167B">
        <w:t xml:space="preserve">Adolph von Harnack, </w:t>
      </w:r>
      <w:r w:rsidR="0026323A">
        <w:t>‘</w:t>
      </w:r>
      <w:r w:rsidR="0022167B" w:rsidRPr="0022167B">
        <w:t>Augustins Konfessionen</w:t>
      </w:r>
      <w:r w:rsidR="0026323A">
        <w:t>’</w:t>
      </w:r>
      <w:r w:rsidR="0022167B" w:rsidRPr="0022167B">
        <w:t xml:space="preserve"> (Geissen: 1888).</w:t>
      </w:r>
      <w:r w:rsidRPr="0022167B">
        <w:rPr>
          <w:rFonts w:eastAsia="Times New Roman"/>
        </w:rPr>
        <w:t xml:space="preserve"> A helpful commentary in English appears in </w:t>
      </w:r>
      <w:r w:rsidR="00CF1B9C" w:rsidRPr="0022167B">
        <w:t xml:space="preserve">John O’Meara, </w:t>
      </w:r>
      <w:r w:rsidR="00CF1B9C" w:rsidRPr="004B63FC">
        <w:rPr>
          <w:i/>
          <w:iCs/>
        </w:rPr>
        <w:t>Studies</w:t>
      </w:r>
      <w:r w:rsidR="00CF1B9C" w:rsidRPr="0022167B">
        <w:rPr>
          <w:i/>
          <w:iCs/>
        </w:rPr>
        <w:t xml:space="preserve"> in Augustine and Eriguena</w:t>
      </w:r>
      <w:r w:rsidR="00CF1B9C" w:rsidRPr="0022167B">
        <w:t>, ed. Thomas Halton (Washington, D. C.: Catholic University of America Press, 1992)</w:t>
      </w:r>
      <w:r w:rsidRPr="0022167B">
        <w:rPr>
          <w:rFonts w:eastAsia="Times New Roman"/>
        </w:rPr>
        <w:t xml:space="preserve">, </w:t>
      </w:r>
      <w:r w:rsidR="001F54C6">
        <w:rPr>
          <w:rFonts w:eastAsia="Times New Roman"/>
        </w:rPr>
        <w:t xml:space="preserve">p. </w:t>
      </w:r>
      <w:r w:rsidRPr="0022167B">
        <w:rPr>
          <w:rFonts w:eastAsia="Times New Roman"/>
        </w:rPr>
        <w:t>146.</w:t>
      </w:r>
    </w:p>
  </w:footnote>
  <w:footnote w:id="10">
    <w:p w14:paraId="3F0B537A" w14:textId="597C8108" w:rsidR="00AD0E02" w:rsidRPr="0022167B" w:rsidRDefault="00AD0E02" w:rsidP="00C62AC5">
      <w:pPr>
        <w:pStyle w:val="FootnoteText"/>
        <w:spacing w:before="240"/>
        <w:ind w:firstLine="720"/>
      </w:pPr>
      <w:r w:rsidRPr="0022167B">
        <w:rPr>
          <w:rStyle w:val="FootnoteReference"/>
          <w:rFonts w:eastAsia="Times New Roman"/>
        </w:rPr>
        <w:footnoteRef/>
      </w:r>
      <w:r w:rsidRPr="0022167B">
        <w:rPr>
          <w:rFonts w:eastAsia="Times New Roman"/>
        </w:rPr>
        <w:t xml:space="preserve"> von Harnack argued that Augustine’s account in the </w:t>
      </w:r>
      <w:r w:rsidRPr="0022167B">
        <w:rPr>
          <w:rFonts w:eastAsia="Times New Roman"/>
          <w:i/>
          <w:iCs/>
        </w:rPr>
        <w:t>Confessions</w:t>
      </w:r>
      <w:r w:rsidRPr="0022167B">
        <w:rPr>
          <w:rFonts w:eastAsia="Times New Roman"/>
        </w:rPr>
        <w:t xml:space="preserve"> is intentionally inaccurate.</w:t>
      </w:r>
    </w:p>
  </w:footnote>
  <w:footnote w:id="11">
    <w:p w14:paraId="5F0A833A" w14:textId="753CA263" w:rsidR="00AD0E02" w:rsidRPr="0022167B" w:rsidRDefault="00AD0E02" w:rsidP="00C62AC5">
      <w:pPr>
        <w:pStyle w:val="FootnoteText"/>
        <w:spacing w:before="240"/>
        <w:ind w:firstLine="720"/>
      </w:pPr>
      <w:r w:rsidRPr="0022167B">
        <w:rPr>
          <w:rStyle w:val="FootnoteReference"/>
        </w:rPr>
        <w:footnoteRef/>
      </w:r>
      <w:r w:rsidRPr="0022167B">
        <w:t xml:space="preserve"> </w:t>
      </w:r>
      <w:r w:rsidR="00FB0E4E" w:rsidRPr="0022167B">
        <w:t xml:space="preserve">Gaston Boissier, </w:t>
      </w:r>
      <w:r w:rsidR="0026323A">
        <w:t>‘</w:t>
      </w:r>
      <w:r w:rsidR="00FB0E4E" w:rsidRPr="0022167B">
        <w:t>La Conversion de Saint Augustin;</w:t>
      </w:r>
      <w:r w:rsidR="0026323A">
        <w:t>’</w:t>
      </w:r>
      <w:r w:rsidR="00FB0E4E" w:rsidRPr="0022167B">
        <w:t xml:space="preserve"> </w:t>
      </w:r>
      <w:r w:rsidR="00FB0E4E" w:rsidRPr="0022167B">
        <w:rPr>
          <w:i/>
        </w:rPr>
        <w:t>Revue des Deux Mondes</w:t>
      </w:r>
      <w:r w:rsidR="00FB0E4E" w:rsidRPr="0022167B">
        <w:t xml:space="preserve"> 85 (1888),</w:t>
      </w:r>
      <w:r w:rsidR="00DF4D5B">
        <w:t xml:space="preserve"> pp.</w:t>
      </w:r>
      <w:r w:rsidR="00FB0E4E" w:rsidRPr="0022167B">
        <w:t xml:space="preserve"> 43–69.</w:t>
      </w:r>
      <w:r w:rsidRPr="0022167B">
        <w:rPr>
          <w:rFonts w:eastAsia="Times New Roman"/>
        </w:rPr>
        <w:t xml:space="preserve"> Boissier merely argued that there is a shift in Augustine’s theology between the early and the later writings.</w:t>
      </w:r>
    </w:p>
  </w:footnote>
  <w:footnote w:id="12">
    <w:p w14:paraId="4071451B" w14:textId="077AE585" w:rsidR="00AD0E02" w:rsidRPr="0022167B" w:rsidRDefault="00AD0E02" w:rsidP="00C62AC5">
      <w:pPr>
        <w:pStyle w:val="FootnoteText"/>
        <w:spacing w:before="240"/>
        <w:ind w:firstLine="720"/>
      </w:pPr>
      <w:r w:rsidRPr="0022167B">
        <w:rPr>
          <w:rStyle w:val="FootnoteReference"/>
          <w:rFonts w:eastAsia="Times New Roman"/>
        </w:rPr>
        <w:footnoteRef/>
      </w:r>
      <w:r w:rsidRPr="0022167B">
        <w:rPr>
          <w:rFonts w:eastAsia="Times New Roman"/>
        </w:rPr>
        <w:t xml:space="preserve"> </w:t>
      </w:r>
      <w:r w:rsidR="00FB0E4E" w:rsidRPr="0022167B">
        <w:t xml:space="preserve">Prosper Alfaric, </w:t>
      </w:r>
      <w:r w:rsidR="00FB0E4E" w:rsidRPr="0022167B">
        <w:rPr>
          <w:i/>
          <w:iCs/>
        </w:rPr>
        <w:t>L’</w:t>
      </w:r>
      <w:r w:rsidR="00FB0E4E" w:rsidRPr="0022167B">
        <w:t>é</w:t>
      </w:r>
      <w:r w:rsidR="00FB0E4E" w:rsidRPr="0022167B">
        <w:rPr>
          <w:i/>
          <w:iCs/>
        </w:rPr>
        <w:t>volution intellectuelle de saint Augustin</w:t>
      </w:r>
      <w:r w:rsidR="00FB0E4E" w:rsidRPr="0022167B">
        <w:t xml:space="preserve"> (Paris: Émile Nourry, 1918)</w:t>
      </w:r>
      <w:r w:rsidRPr="0022167B">
        <w:rPr>
          <w:rFonts w:eastAsia="Times New Roman"/>
        </w:rPr>
        <w:t xml:space="preserve">.  As the cupbearer said to the Pharaoh, </w:t>
      </w:r>
      <w:r w:rsidR="0026323A">
        <w:rPr>
          <w:rFonts w:eastAsia="Times New Roman"/>
        </w:rPr>
        <w:t>‘</w:t>
      </w:r>
      <w:r w:rsidRPr="0022167B">
        <w:rPr>
          <w:rFonts w:eastAsia="Times New Roman"/>
        </w:rPr>
        <w:t>I am reminded of my shortcomings</w:t>
      </w:r>
      <w:r w:rsidR="0026323A">
        <w:rPr>
          <w:rFonts w:eastAsia="Times New Roman"/>
        </w:rPr>
        <w:t>’</w:t>
      </w:r>
      <w:r w:rsidRPr="0022167B">
        <w:rPr>
          <w:rFonts w:eastAsia="Times New Roman"/>
        </w:rPr>
        <w:t xml:space="preserve"> (Gen. 41:9, NIV)</w:t>
      </w:r>
      <w:r w:rsidR="0002311E">
        <w:rPr>
          <w:rFonts w:eastAsia="Times New Roman"/>
        </w:rPr>
        <w:t>;</w:t>
      </w:r>
      <w:r w:rsidRPr="0022167B">
        <w:rPr>
          <w:rFonts w:eastAsia="Times New Roman"/>
        </w:rPr>
        <w:t xml:space="preserve"> I cannot read </w:t>
      </w:r>
      <w:r w:rsidR="006B78B3">
        <w:rPr>
          <w:rFonts w:eastAsia="Times New Roman"/>
        </w:rPr>
        <w:t xml:space="preserve">those scholarly writings </w:t>
      </w:r>
      <w:r w:rsidRPr="0022167B">
        <w:rPr>
          <w:rFonts w:eastAsia="Times New Roman"/>
        </w:rPr>
        <w:t>in French</w:t>
      </w:r>
      <w:r w:rsidR="006B78B3">
        <w:rPr>
          <w:rFonts w:eastAsia="Times New Roman"/>
        </w:rPr>
        <w:t xml:space="preserve"> or German.</w:t>
      </w:r>
      <w:r w:rsidRPr="0022167B">
        <w:rPr>
          <w:rFonts w:eastAsia="Times New Roman"/>
        </w:rPr>
        <w:t xml:space="preserve">  There is helpful information on Alfaric from English scholars, such as O’Meara, </w:t>
      </w:r>
      <w:r w:rsidRPr="0022167B">
        <w:rPr>
          <w:rFonts w:eastAsia="Times New Roman"/>
          <w:i/>
          <w:iCs/>
        </w:rPr>
        <w:t>Studies in Augustine and Eriguena</w:t>
      </w:r>
      <w:r w:rsidRPr="0022167B">
        <w:rPr>
          <w:rFonts w:eastAsia="Times New Roman"/>
        </w:rPr>
        <w:t>,</w:t>
      </w:r>
      <w:r w:rsidR="00DF4D5B">
        <w:rPr>
          <w:rFonts w:eastAsia="Times New Roman"/>
        </w:rPr>
        <w:t xml:space="preserve"> pp.</w:t>
      </w:r>
      <w:r w:rsidRPr="0022167B">
        <w:rPr>
          <w:rFonts w:eastAsia="Times New Roman"/>
        </w:rPr>
        <w:t xml:space="preserve"> 121–</w:t>
      </w:r>
      <w:r w:rsidR="009732B1">
        <w:rPr>
          <w:rFonts w:eastAsia="Times New Roman"/>
        </w:rPr>
        <w:t>12</w:t>
      </w:r>
      <w:r w:rsidRPr="0022167B">
        <w:rPr>
          <w:rFonts w:eastAsia="Times New Roman"/>
        </w:rPr>
        <w:t>2.</w:t>
      </w:r>
    </w:p>
  </w:footnote>
  <w:footnote w:id="13">
    <w:p w14:paraId="65E5C129" w14:textId="4BFDF95B" w:rsidR="00AD0E02" w:rsidRPr="0022167B" w:rsidRDefault="00AD0E02" w:rsidP="00C62AC5">
      <w:pPr>
        <w:pStyle w:val="FootnoteText"/>
        <w:spacing w:before="240"/>
        <w:ind w:firstLine="720"/>
      </w:pPr>
      <w:r w:rsidRPr="0022167B">
        <w:rPr>
          <w:rStyle w:val="FootnoteReference"/>
          <w:rFonts w:eastAsia="Times New Roman"/>
        </w:rPr>
        <w:footnoteRef/>
      </w:r>
      <w:r w:rsidRPr="0022167B">
        <w:rPr>
          <w:rFonts w:eastAsia="Times New Roman"/>
        </w:rPr>
        <w:t xml:space="preserve"> </w:t>
      </w:r>
      <w:r w:rsidR="003B140C" w:rsidRPr="0022167B">
        <w:t xml:space="preserve">Paula Fredrekson, </w:t>
      </w:r>
      <w:r w:rsidR="0026323A">
        <w:t>‘</w:t>
      </w:r>
      <w:r w:rsidR="003B140C" w:rsidRPr="0022167B">
        <w:t>Paul and Augustine: Conversion Narratives, Orthodox Tradition, and the Retrospective Self;</w:t>
      </w:r>
      <w:r w:rsidR="0026323A">
        <w:t>’</w:t>
      </w:r>
      <w:r w:rsidR="003B140C" w:rsidRPr="0022167B">
        <w:t xml:space="preserve"> </w:t>
      </w:r>
      <w:r w:rsidR="003B140C" w:rsidRPr="0022167B">
        <w:rPr>
          <w:i/>
          <w:iCs/>
        </w:rPr>
        <w:t>Journal of Theological Studies</w:t>
      </w:r>
      <w:r w:rsidR="003B140C" w:rsidRPr="0022167B">
        <w:t xml:space="preserve"> 37.1 (April 1986),</w:t>
      </w:r>
      <w:r w:rsidR="00B47E48">
        <w:t xml:space="preserve"> pp.</w:t>
      </w:r>
      <w:r w:rsidR="003B140C" w:rsidRPr="0022167B">
        <w:t xml:space="preserve"> 3–34; </w:t>
      </w:r>
      <w:r w:rsidR="005E6540" w:rsidRPr="0022167B">
        <w:t xml:space="preserve">Leo C. Ferrari, </w:t>
      </w:r>
      <w:r w:rsidR="005E6540" w:rsidRPr="0022167B">
        <w:rPr>
          <w:i/>
          <w:iCs/>
        </w:rPr>
        <w:t>The Conversions of Saint Augustine</w:t>
      </w:r>
      <w:r w:rsidR="005E6540" w:rsidRPr="0022167B">
        <w:t xml:space="preserve"> (Villanova, PA: Villanova University Press, 1984)</w:t>
      </w:r>
      <w:r w:rsidRPr="0022167B">
        <w:rPr>
          <w:rFonts w:eastAsia="Times New Roman"/>
        </w:rPr>
        <w:t xml:space="preserve">; </w:t>
      </w:r>
      <w:r w:rsidR="005E6540" w:rsidRPr="0022167B">
        <w:t xml:space="preserve">Leo C. Ferrari, </w:t>
      </w:r>
      <w:r w:rsidR="0026323A">
        <w:t>‘</w:t>
      </w:r>
      <w:r w:rsidR="005E6540" w:rsidRPr="0022167B">
        <w:t>Truth and Augustine’s Conversion Scene;</w:t>
      </w:r>
      <w:r w:rsidR="0026323A">
        <w:t>’</w:t>
      </w:r>
      <w:r w:rsidR="005E6540" w:rsidRPr="0022167B">
        <w:t xml:space="preserve"> in </w:t>
      </w:r>
      <w:r w:rsidR="005E6540" w:rsidRPr="0022167B">
        <w:rPr>
          <w:i/>
          <w:iCs/>
        </w:rPr>
        <w:t>Augustine: Second Founder of the Faith</w:t>
      </w:r>
      <w:r w:rsidR="005E6540" w:rsidRPr="0022167B">
        <w:t xml:space="preserve">.  Collectanea </w:t>
      </w:r>
      <w:r w:rsidR="005E6540" w:rsidRPr="0022167B">
        <w:rPr>
          <w:rFonts w:eastAsia="Times New Roman"/>
        </w:rPr>
        <w:t>Augustiniana</w:t>
      </w:r>
      <w:r w:rsidR="005E6540" w:rsidRPr="0022167B">
        <w:t xml:space="preserve"> 1, ed. J. Schnaubelt and Frederick Van Fleteren (New York: Peter Lang, 1990), </w:t>
      </w:r>
      <w:r w:rsidR="00A4648C">
        <w:t xml:space="preserve">pp. </w:t>
      </w:r>
      <w:r w:rsidR="005E6540" w:rsidRPr="0022167B">
        <w:t>9–19</w:t>
      </w:r>
      <w:r w:rsidR="00A4648C">
        <w:t>. L</w:t>
      </w:r>
      <w:r w:rsidR="005E6540" w:rsidRPr="0022167B">
        <w:t xml:space="preserve">eo C. Ferrari, </w:t>
      </w:r>
      <w:r w:rsidR="0026323A">
        <w:t>‘</w:t>
      </w:r>
      <w:r w:rsidR="005E6540" w:rsidRPr="0022167B">
        <w:t>Book Eight: Science and the Fictional Conversion Scene;</w:t>
      </w:r>
      <w:r w:rsidR="0026323A">
        <w:t>’</w:t>
      </w:r>
      <w:r w:rsidR="005E6540" w:rsidRPr="0022167B">
        <w:t xml:space="preserve"> in </w:t>
      </w:r>
      <w:r w:rsidR="005E6540" w:rsidRPr="0022167B">
        <w:rPr>
          <w:i/>
          <w:iCs/>
        </w:rPr>
        <w:t>A Reader’s Companion to Augustine’s Confessions</w:t>
      </w:r>
      <w:r w:rsidR="005E6540" w:rsidRPr="0022167B">
        <w:t>, ed. Kim Paffenroth and Robert P. Kennedy:</w:t>
      </w:r>
      <w:r w:rsidR="00A4648C">
        <w:t xml:space="preserve"> pp.</w:t>
      </w:r>
      <w:r w:rsidR="005E6540" w:rsidRPr="0022167B">
        <w:t xml:space="preserve"> 127-136 (Louisville: Westminster John Knox, 2003). Brian Dobell, </w:t>
      </w:r>
      <w:r w:rsidR="005E6540" w:rsidRPr="0022167B">
        <w:rPr>
          <w:i/>
          <w:iCs/>
        </w:rPr>
        <w:t>Augustine’s Intellectual Conversion: The Journey from Platonism to Christianity</w:t>
      </w:r>
      <w:r w:rsidR="005E6540" w:rsidRPr="0022167B">
        <w:t xml:space="preserve"> (Cambridge: Cambridge University Press, 2009)</w:t>
      </w:r>
      <w:r w:rsidR="0053722D" w:rsidRPr="0022167B">
        <w:rPr>
          <w:rFonts w:eastAsia="Times New Roman"/>
        </w:rPr>
        <w:t>; Dobell</w:t>
      </w:r>
      <w:r w:rsidRPr="0022167B">
        <w:rPr>
          <w:rFonts w:eastAsia="Times New Roman"/>
        </w:rPr>
        <w:t xml:space="preserve"> clears Augustine of the charge of deception in writing the </w:t>
      </w:r>
      <w:r w:rsidRPr="0022167B">
        <w:rPr>
          <w:rFonts w:eastAsia="Times New Roman"/>
          <w:i/>
          <w:iCs/>
        </w:rPr>
        <w:t>Confessions</w:t>
      </w:r>
      <w:r w:rsidRPr="0022167B">
        <w:rPr>
          <w:rFonts w:eastAsia="Times New Roman"/>
        </w:rPr>
        <w:t xml:space="preserve">; </w:t>
      </w:r>
      <w:r w:rsidR="005E6540" w:rsidRPr="0022167B">
        <w:rPr>
          <w:rFonts w:eastAsia="Times New Roman"/>
        </w:rPr>
        <w:t>Dobell,</w:t>
      </w:r>
      <w:r w:rsidR="00A4648C">
        <w:rPr>
          <w:rFonts w:eastAsia="Times New Roman"/>
        </w:rPr>
        <w:t xml:space="preserve"> pp.</w:t>
      </w:r>
      <w:r w:rsidRPr="0022167B">
        <w:rPr>
          <w:rFonts w:eastAsia="Times New Roman"/>
        </w:rPr>
        <w:t xml:space="preserve"> 25–6.</w:t>
      </w:r>
    </w:p>
  </w:footnote>
  <w:footnote w:id="14">
    <w:p w14:paraId="7B37ABBA" w14:textId="675FDC1D" w:rsidR="00AD0E02" w:rsidRPr="0022167B" w:rsidRDefault="00AD0E02" w:rsidP="00C62AC5">
      <w:pPr>
        <w:pStyle w:val="FootnoteText"/>
        <w:spacing w:before="240"/>
        <w:ind w:firstLine="720"/>
      </w:pPr>
      <w:r w:rsidRPr="0022167B">
        <w:rPr>
          <w:rStyle w:val="FootnoteReference"/>
          <w:rFonts w:eastAsia="Times New Roman"/>
        </w:rPr>
        <w:footnoteRef/>
      </w:r>
      <w:r w:rsidRPr="0022167B">
        <w:rPr>
          <w:rFonts w:eastAsia="Times New Roman"/>
        </w:rPr>
        <w:t xml:space="preserve"> </w:t>
      </w:r>
      <w:r w:rsidR="007F64D3" w:rsidRPr="0022167B">
        <w:t xml:space="preserve">Peter Brown, </w:t>
      </w:r>
      <w:r w:rsidR="007F64D3" w:rsidRPr="0022167B">
        <w:rPr>
          <w:i/>
          <w:iCs/>
        </w:rPr>
        <w:t>Augustine of Hippo</w:t>
      </w:r>
      <w:r w:rsidR="007F64D3" w:rsidRPr="0022167B">
        <w:t xml:space="preserve"> (new ed. Berkeley: University of California Press, 1967; New ed., 2000).</w:t>
      </w:r>
    </w:p>
  </w:footnote>
  <w:footnote w:id="15">
    <w:p w14:paraId="1EDF250F" w14:textId="20548DD1" w:rsidR="00AD0E02" w:rsidRPr="0022167B" w:rsidRDefault="00AD0E02" w:rsidP="00C62AC5">
      <w:pPr>
        <w:pStyle w:val="FootnoteText"/>
        <w:spacing w:before="240"/>
        <w:ind w:firstLine="720"/>
      </w:pPr>
      <w:r w:rsidRPr="0022167B">
        <w:rPr>
          <w:rStyle w:val="FootnoteReference"/>
          <w:rFonts w:eastAsia="Times New Roman"/>
        </w:rPr>
        <w:footnoteRef/>
      </w:r>
      <w:r w:rsidRPr="0022167B">
        <w:rPr>
          <w:rFonts w:eastAsia="Times New Roman"/>
        </w:rPr>
        <w:t xml:space="preserve"> </w:t>
      </w:r>
      <w:r w:rsidR="003B140C" w:rsidRPr="0022167B">
        <w:t xml:space="preserve">Carol Harrison, </w:t>
      </w:r>
      <w:r w:rsidR="003B140C" w:rsidRPr="0022167B">
        <w:rPr>
          <w:i/>
          <w:iCs/>
        </w:rPr>
        <w:t>Rethinking Augustine’s Early Theology: An Argument for Continuity</w:t>
      </w:r>
      <w:r w:rsidR="003B140C" w:rsidRPr="0022167B">
        <w:t xml:space="preserve"> (Oxford: Oxford University Press, 2008)</w:t>
      </w:r>
      <w:r w:rsidRPr="0022167B">
        <w:rPr>
          <w:rFonts w:eastAsia="Times New Roman"/>
        </w:rPr>
        <w:t xml:space="preserve">, </w:t>
      </w:r>
      <w:r w:rsidR="00FC1BED">
        <w:rPr>
          <w:rFonts w:eastAsia="Times New Roman"/>
        </w:rPr>
        <w:t xml:space="preserve">p. </w:t>
      </w:r>
      <w:r w:rsidRPr="0022167B">
        <w:rPr>
          <w:rFonts w:eastAsia="Times New Roman"/>
        </w:rPr>
        <w:t>16.</w:t>
      </w:r>
    </w:p>
  </w:footnote>
  <w:footnote w:id="16">
    <w:p w14:paraId="0FB4FA92" w14:textId="756A1CF4" w:rsidR="00AD0E02" w:rsidRPr="0022167B" w:rsidRDefault="00AD0E02" w:rsidP="00C62AC5">
      <w:pPr>
        <w:pStyle w:val="FootnoteText"/>
        <w:spacing w:before="240"/>
        <w:ind w:firstLine="720"/>
      </w:pPr>
      <w:r w:rsidRPr="0022167B">
        <w:rPr>
          <w:rStyle w:val="FootnoteReference"/>
          <w:rFonts w:eastAsia="Times New Roman"/>
        </w:rPr>
        <w:footnoteRef/>
      </w:r>
      <w:r w:rsidRPr="0022167B">
        <w:rPr>
          <w:rFonts w:eastAsia="Times New Roman"/>
        </w:rPr>
        <w:t xml:space="preserve"> Ibid., </w:t>
      </w:r>
      <w:r w:rsidRPr="0022167B">
        <w:rPr>
          <w:rFonts w:eastAsia="Times New Roman"/>
          <w:i/>
          <w:iCs/>
        </w:rPr>
        <w:t>Rethinking</w:t>
      </w:r>
      <w:r w:rsidRPr="0022167B">
        <w:rPr>
          <w:rFonts w:eastAsia="Times New Roman"/>
        </w:rPr>
        <w:t>,</w:t>
      </w:r>
      <w:r w:rsidR="00FC1BED">
        <w:rPr>
          <w:rFonts w:eastAsia="Times New Roman"/>
        </w:rPr>
        <w:t xml:space="preserve"> pp.</w:t>
      </w:r>
      <w:r w:rsidRPr="0022167B">
        <w:rPr>
          <w:rFonts w:eastAsia="Times New Roman"/>
        </w:rPr>
        <w:t xml:space="preserve"> 14–17.</w:t>
      </w:r>
    </w:p>
  </w:footnote>
  <w:footnote w:id="17">
    <w:p w14:paraId="0D81A561" w14:textId="6E977E5C" w:rsidR="00AD0E02" w:rsidRPr="0022167B" w:rsidRDefault="00AD0E02" w:rsidP="00C62AC5">
      <w:pPr>
        <w:pStyle w:val="FootnoteText"/>
        <w:spacing w:before="240"/>
        <w:ind w:firstLine="720"/>
      </w:pPr>
      <w:r w:rsidRPr="0022167B">
        <w:rPr>
          <w:rStyle w:val="FootnoteReference"/>
          <w:rFonts w:eastAsia="Times New Roman"/>
        </w:rPr>
        <w:footnoteRef/>
      </w:r>
      <w:r w:rsidRPr="0022167B">
        <w:rPr>
          <w:rFonts w:eastAsia="Times New Roman"/>
        </w:rPr>
        <w:t xml:space="preserve"> </w:t>
      </w:r>
      <w:r w:rsidR="009C4C33" w:rsidRPr="0022167B">
        <w:rPr>
          <w:rFonts w:eastAsia="Times New Roman"/>
        </w:rPr>
        <w:t>Pierre</w:t>
      </w:r>
      <w:r w:rsidR="009C4C33" w:rsidRPr="0022167B">
        <w:t xml:space="preserve"> Courcell, </w:t>
      </w:r>
      <w:r w:rsidR="009C4C33" w:rsidRPr="0022167B">
        <w:rPr>
          <w:i/>
          <w:iCs/>
        </w:rPr>
        <w:t>Recherches sur les</w:t>
      </w:r>
      <w:r w:rsidR="009C4C33" w:rsidRPr="0022167B">
        <w:t xml:space="preserve"> </w:t>
      </w:r>
      <w:r w:rsidR="009C4C33" w:rsidRPr="0022167B">
        <w:rPr>
          <w:i/>
          <w:iCs/>
        </w:rPr>
        <w:t>Confessions</w:t>
      </w:r>
      <w:r w:rsidR="009C4C33" w:rsidRPr="0022167B">
        <w:t xml:space="preserve"> (Paris: E. de Boccard, 1950) and Pierre Courcelle, </w:t>
      </w:r>
      <w:r w:rsidR="009C4C33" w:rsidRPr="0022167B">
        <w:rPr>
          <w:i/>
          <w:iCs/>
          <w:color w:val="000000"/>
          <w:shd w:val="clear" w:color="auto" w:fill="FFFFFF"/>
        </w:rPr>
        <w:t>Les Confessions de Saint Augustin dans la tradition littéraire</w:t>
      </w:r>
      <w:r w:rsidR="009C4C33" w:rsidRPr="0022167B">
        <w:rPr>
          <w:color w:val="000000"/>
          <w:shd w:val="clear" w:color="auto" w:fill="FFFFFF"/>
        </w:rPr>
        <w:t xml:space="preserve"> (</w:t>
      </w:r>
      <w:r w:rsidR="009C4C33" w:rsidRPr="0022167B">
        <w:t>Paris: Études Augustiennes, 1963)</w:t>
      </w:r>
      <w:r w:rsidRPr="0022167B">
        <w:rPr>
          <w:rFonts w:eastAsia="Times New Roman"/>
        </w:rPr>
        <w:t xml:space="preserve">. For English sources on Courcelle, consider O’Donnell, </w:t>
      </w:r>
      <w:r w:rsidRPr="0022167B">
        <w:rPr>
          <w:rFonts w:eastAsia="Times New Roman"/>
          <w:i/>
          <w:iCs/>
        </w:rPr>
        <w:t>The Confessions of Augustine: An Electronic Edition</w:t>
      </w:r>
      <w:r w:rsidRPr="0022167B">
        <w:rPr>
          <w:rFonts w:eastAsia="Times New Roman"/>
        </w:rPr>
        <w:t>, commentary on 8.12.28–29</w:t>
      </w:r>
      <w:r w:rsidR="00CC7CC7">
        <w:rPr>
          <w:rFonts w:eastAsia="Times New Roman"/>
        </w:rPr>
        <w:t xml:space="preserve">; </w:t>
      </w:r>
      <w:r w:rsidR="00FB0E4E" w:rsidRPr="0022167B">
        <w:t>online Edition by Anne Mahoney for The Stoa Consortium (1992); http://www.stoa.org/hippo/</w:t>
      </w:r>
      <w:r w:rsidR="00FB0E4E" w:rsidRPr="0022167B">
        <w:rPr>
          <w:rFonts w:eastAsia="Times New Roman"/>
          <w:color w:val="000000"/>
          <w:shd w:val="clear" w:color="auto" w:fill="FFFFFF"/>
        </w:rPr>
        <w:t xml:space="preserve">; </w:t>
      </w:r>
      <w:r w:rsidRPr="0022167B">
        <w:rPr>
          <w:rFonts w:eastAsia="Times New Roman"/>
        </w:rPr>
        <w:t>commentary on 8.12.29.</w:t>
      </w:r>
    </w:p>
  </w:footnote>
  <w:footnote w:id="18">
    <w:p w14:paraId="6CDD9F52" w14:textId="77777777" w:rsidR="00AD0E02" w:rsidRPr="0022167B" w:rsidRDefault="00AD0E02" w:rsidP="00C62AC5">
      <w:pPr>
        <w:pStyle w:val="FootnoteText"/>
        <w:spacing w:before="240"/>
        <w:ind w:firstLine="720"/>
      </w:pPr>
      <w:r w:rsidRPr="0022167B">
        <w:rPr>
          <w:rStyle w:val="FootnoteReference"/>
          <w:rFonts w:eastAsia="Times New Roman"/>
        </w:rPr>
        <w:footnoteRef/>
      </w:r>
      <w:r w:rsidRPr="0022167B">
        <w:rPr>
          <w:rFonts w:eastAsia="Times New Roman"/>
        </w:rPr>
        <w:t xml:space="preserve"> O’Donnell objects to Courcelle on this point; </w:t>
      </w:r>
      <w:r w:rsidRPr="0022167B">
        <w:rPr>
          <w:rFonts w:eastAsia="Times New Roman"/>
          <w:i/>
          <w:iCs/>
          <w:color w:val="000000"/>
          <w:shd w:val="clear" w:color="auto" w:fill="FFFFFF"/>
        </w:rPr>
        <w:t>Confessions . . . Electronic</w:t>
      </w:r>
      <w:r w:rsidRPr="0022167B">
        <w:rPr>
          <w:rFonts w:eastAsia="Times New Roman"/>
          <w:color w:val="000000"/>
          <w:shd w:val="clear" w:color="auto" w:fill="FFFFFF"/>
        </w:rPr>
        <w:t>,</w:t>
      </w:r>
      <w:r w:rsidRPr="0022167B">
        <w:rPr>
          <w:rFonts w:eastAsia="Times New Roman"/>
        </w:rPr>
        <w:t xml:space="preserve"> commentary on 8.12.29.</w:t>
      </w:r>
    </w:p>
  </w:footnote>
  <w:footnote w:id="19">
    <w:p w14:paraId="7DCBD7F0" w14:textId="4AE1AD3D" w:rsidR="00AD0E02" w:rsidRPr="0022167B" w:rsidRDefault="00AD0E02" w:rsidP="00C62AC5">
      <w:pPr>
        <w:pStyle w:val="FootnoteText"/>
        <w:spacing w:before="240"/>
        <w:ind w:firstLine="720"/>
      </w:pPr>
      <w:r w:rsidRPr="0022167B">
        <w:rPr>
          <w:rStyle w:val="FootnoteReference"/>
          <w:rFonts w:eastAsia="Times New Roman"/>
        </w:rPr>
        <w:footnoteRef/>
      </w:r>
      <w:r w:rsidRPr="0022167B">
        <w:rPr>
          <w:rFonts w:eastAsia="Times New Roman"/>
        </w:rPr>
        <w:t xml:space="preserve"> </w:t>
      </w:r>
      <w:r w:rsidR="007D5E90" w:rsidRPr="0022167B">
        <w:t xml:space="preserve">Robert J. O’Connell, </w:t>
      </w:r>
      <w:r w:rsidR="0026323A">
        <w:t>‘</w:t>
      </w:r>
      <w:r w:rsidR="007D5E90" w:rsidRPr="0022167B">
        <w:t>The Enneads and St. Augustine’s Image of Happiness.</w:t>
      </w:r>
      <w:r w:rsidR="0026323A">
        <w:t>’</w:t>
      </w:r>
      <w:r w:rsidR="007D5E90" w:rsidRPr="0022167B">
        <w:t xml:space="preserve"> </w:t>
      </w:r>
      <w:r w:rsidR="007D5E90" w:rsidRPr="0022167B">
        <w:rPr>
          <w:i/>
          <w:iCs/>
        </w:rPr>
        <w:t>Vigiliae Christianae</w:t>
      </w:r>
      <w:r w:rsidR="007D5E90" w:rsidRPr="0022167B">
        <w:t xml:space="preserve"> 17.3 (September 1994), </w:t>
      </w:r>
      <w:r w:rsidR="00FC1BED">
        <w:t xml:space="preserve">p. </w:t>
      </w:r>
      <w:r w:rsidR="007D5E90" w:rsidRPr="0022167B">
        <w:t>160.</w:t>
      </w:r>
    </w:p>
  </w:footnote>
  <w:footnote w:id="20">
    <w:p w14:paraId="23D1FDEB" w14:textId="51446ADE" w:rsidR="00AD0E02" w:rsidRPr="0022167B" w:rsidRDefault="00AD0E02" w:rsidP="00C62AC5">
      <w:pPr>
        <w:pStyle w:val="FootnoteText"/>
        <w:spacing w:before="240"/>
        <w:ind w:firstLine="720"/>
      </w:pPr>
      <w:r w:rsidRPr="0022167B">
        <w:rPr>
          <w:rStyle w:val="FootnoteReference"/>
          <w:rFonts w:eastAsia="Times New Roman"/>
        </w:rPr>
        <w:footnoteRef/>
      </w:r>
      <w:r w:rsidRPr="0022167B">
        <w:rPr>
          <w:rFonts w:eastAsia="Times New Roman"/>
        </w:rPr>
        <w:t xml:space="preserve"> </w:t>
      </w:r>
      <w:r w:rsidR="007D5E90" w:rsidRPr="0022167B">
        <w:t xml:space="preserve">Robert J. O’Connell, </w:t>
      </w:r>
      <w:r w:rsidR="0026323A">
        <w:t>‘</w:t>
      </w:r>
      <w:r w:rsidR="007D5E90" w:rsidRPr="0022167B">
        <w:t>The Visage of Philosophy at Cassiciacum;</w:t>
      </w:r>
      <w:r w:rsidR="0026323A">
        <w:t>’</w:t>
      </w:r>
      <w:r w:rsidR="007D5E90" w:rsidRPr="0022167B">
        <w:t xml:space="preserve"> </w:t>
      </w:r>
      <w:r w:rsidR="007D5E90" w:rsidRPr="0022167B">
        <w:rPr>
          <w:i/>
          <w:iCs/>
        </w:rPr>
        <w:t>Augustinian Studies</w:t>
      </w:r>
      <w:r w:rsidR="007D5E90" w:rsidRPr="0022167B">
        <w:t xml:space="preserve"> 25 (1994), </w:t>
      </w:r>
      <w:r w:rsidR="00FC1BED">
        <w:t>p. 6</w:t>
      </w:r>
      <w:r w:rsidRPr="0022167B">
        <w:rPr>
          <w:rFonts w:eastAsia="Times New Roman"/>
        </w:rPr>
        <w:t>8.</w:t>
      </w:r>
    </w:p>
  </w:footnote>
  <w:footnote w:id="21">
    <w:p w14:paraId="5DC3F627" w14:textId="3422635A" w:rsidR="00AD0E02" w:rsidRPr="0022167B" w:rsidRDefault="00AD0E02" w:rsidP="00C62AC5">
      <w:pPr>
        <w:pStyle w:val="FootnoteText"/>
        <w:spacing w:before="240"/>
        <w:ind w:firstLine="720"/>
      </w:pPr>
      <w:r w:rsidRPr="0022167B">
        <w:rPr>
          <w:rStyle w:val="FootnoteReference"/>
          <w:rFonts w:eastAsia="Times New Roman"/>
        </w:rPr>
        <w:footnoteRef/>
      </w:r>
      <w:r w:rsidRPr="0022167B">
        <w:rPr>
          <w:rFonts w:eastAsia="Times New Roman"/>
        </w:rPr>
        <w:t xml:space="preserve"> A good short introduction is </w:t>
      </w:r>
      <w:r w:rsidR="007D5E90" w:rsidRPr="0022167B">
        <w:t xml:space="preserve">Robert J. O’Connell, </w:t>
      </w:r>
      <w:r w:rsidR="0026323A">
        <w:t>‘</w:t>
      </w:r>
      <w:r w:rsidR="007D5E90" w:rsidRPr="0022167B">
        <w:t>Augustine’s Rejection of the Fall of the Soul;</w:t>
      </w:r>
      <w:r w:rsidR="0026323A">
        <w:t>’</w:t>
      </w:r>
      <w:r w:rsidR="007D5E90" w:rsidRPr="0022167B">
        <w:t xml:space="preserve"> </w:t>
      </w:r>
      <w:r w:rsidR="007D5E90" w:rsidRPr="0022167B">
        <w:rPr>
          <w:i/>
          <w:iCs/>
        </w:rPr>
        <w:t>Augustinian Studies</w:t>
      </w:r>
      <w:r w:rsidR="007D5E90" w:rsidRPr="0022167B">
        <w:t xml:space="preserve"> 4.0 (1973), </w:t>
      </w:r>
      <w:r w:rsidR="00FC1BED">
        <w:t xml:space="preserve">pp. </w:t>
      </w:r>
      <w:r w:rsidR="007D5E90" w:rsidRPr="0022167B">
        <w:t>1-32. A</w:t>
      </w:r>
      <w:r w:rsidRPr="0022167B">
        <w:rPr>
          <w:rFonts w:eastAsia="Times New Roman"/>
        </w:rPr>
        <w:t xml:space="preserve"> study of the early writings of Augustine and some ideas of Plotinus</w:t>
      </w:r>
      <w:r w:rsidR="007D5E90" w:rsidRPr="0022167B">
        <w:rPr>
          <w:rFonts w:eastAsia="Times New Roman"/>
        </w:rPr>
        <w:t xml:space="preserve"> is </w:t>
      </w:r>
      <w:r w:rsidR="007D5E90" w:rsidRPr="0022167B">
        <w:t xml:space="preserve">Robert J. O’Connell, </w:t>
      </w:r>
      <w:r w:rsidR="0026323A">
        <w:t>‘</w:t>
      </w:r>
      <w:r w:rsidR="007D5E90" w:rsidRPr="0022167B">
        <w:t>Enneads VI, 4–5, in the works of St. Augustine.</w:t>
      </w:r>
      <w:r w:rsidR="0026323A">
        <w:t>’</w:t>
      </w:r>
      <w:r w:rsidR="007D5E90" w:rsidRPr="0022167B">
        <w:t xml:space="preserve"> </w:t>
      </w:r>
      <w:r w:rsidR="007D5E90" w:rsidRPr="0022167B">
        <w:rPr>
          <w:i/>
          <w:iCs/>
        </w:rPr>
        <w:t>Revue des Études Augustiniennes</w:t>
      </w:r>
      <w:r w:rsidR="007D5E90" w:rsidRPr="0022167B">
        <w:t xml:space="preserve"> 9 (1963), </w:t>
      </w:r>
      <w:r w:rsidR="00FC1BED">
        <w:t xml:space="preserve">pp. </w:t>
      </w:r>
      <w:r w:rsidR="007D5E90" w:rsidRPr="0022167B">
        <w:t>1–39</w:t>
      </w:r>
      <w:r w:rsidRPr="0022167B">
        <w:rPr>
          <w:rFonts w:eastAsia="Times New Roman"/>
        </w:rPr>
        <w:t xml:space="preserve">. O’Connell refutes the Alfaric reading in O’Connell, </w:t>
      </w:r>
      <w:r w:rsidR="0026323A">
        <w:rPr>
          <w:rFonts w:eastAsia="Times New Roman"/>
        </w:rPr>
        <w:t>‘</w:t>
      </w:r>
      <w:r w:rsidRPr="0022167B">
        <w:rPr>
          <w:rFonts w:eastAsia="Times New Roman"/>
        </w:rPr>
        <w:t>The Visage of Philosophy.</w:t>
      </w:r>
      <w:r w:rsidR="0026323A">
        <w:rPr>
          <w:rFonts w:eastAsia="Times New Roman"/>
        </w:rPr>
        <w:t>’</w:t>
      </w:r>
      <w:r w:rsidRPr="0022167B">
        <w:rPr>
          <w:rFonts w:eastAsia="Times New Roman"/>
        </w:rPr>
        <w:t xml:space="preserve">  On the fall of the soul see O’Connell, </w:t>
      </w:r>
      <w:r w:rsidR="007D5E90" w:rsidRPr="0022167B">
        <w:t xml:space="preserve">Robert J. O’Connell, </w:t>
      </w:r>
      <w:r w:rsidR="007D5E90" w:rsidRPr="0022167B">
        <w:rPr>
          <w:i/>
          <w:iCs/>
        </w:rPr>
        <w:t>Saint Augustine’s Early Theory of Man, A.D. 386</w:t>
      </w:r>
      <w:r w:rsidR="007D5E90" w:rsidRPr="0022167B">
        <w:t>–</w:t>
      </w:r>
      <w:r w:rsidR="007D5E90" w:rsidRPr="0022167B">
        <w:rPr>
          <w:i/>
          <w:iCs/>
        </w:rPr>
        <w:t>391</w:t>
      </w:r>
      <w:r w:rsidR="007D5E90" w:rsidRPr="0022167B">
        <w:t xml:space="preserve"> (Cambridge, MA: Harvard University Press, 1968); </w:t>
      </w:r>
      <w:r w:rsidR="007D5E90" w:rsidRPr="0022167B">
        <w:rPr>
          <w:i/>
          <w:iCs/>
        </w:rPr>
        <w:t xml:space="preserve">St. Augustine’s </w:t>
      </w:r>
      <w:r w:rsidR="007D5E90" w:rsidRPr="0022167B">
        <w:t>Confessions</w:t>
      </w:r>
      <w:r w:rsidR="007D5E90" w:rsidRPr="0022167B">
        <w:rPr>
          <w:i/>
          <w:iCs/>
        </w:rPr>
        <w:t>: The Odyssey of Soul</w:t>
      </w:r>
      <w:r w:rsidR="007D5E90" w:rsidRPr="0022167B">
        <w:t xml:space="preserve"> (New York: Fordham, 1989); and </w:t>
      </w:r>
      <w:r w:rsidR="007D5E90" w:rsidRPr="0022167B">
        <w:rPr>
          <w:i/>
          <w:iCs/>
        </w:rPr>
        <w:t>The Origin of the Soul in St. Augustine’s Later Works</w:t>
      </w:r>
      <w:r w:rsidR="007D5E90" w:rsidRPr="0022167B">
        <w:t xml:space="preserve"> (New York: Fordham University Press, 1987)</w:t>
      </w:r>
      <w:r w:rsidRPr="0022167B">
        <w:rPr>
          <w:rFonts w:eastAsia="Times New Roman"/>
        </w:rPr>
        <w:t xml:space="preserve">. Mary Clark and O’Daly critique O’Connell in </w:t>
      </w:r>
      <w:r w:rsidR="009C4C33" w:rsidRPr="0022167B">
        <w:t xml:space="preserve">Mary T. Clark, Review of </w:t>
      </w:r>
      <w:r w:rsidR="009C4C33" w:rsidRPr="0022167B">
        <w:rPr>
          <w:i/>
          <w:iCs/>
        </w:rPr>
        <w:t>St. Augustine’s Early Theory of Man, A. D. 386</w:t>
      </w:r>
      <w:r w:rsidR="009C4C33" w:rsidRPr="0022167B">
        <w:t>–</w:t>
      </w:r>
      <w:r w:rsidR="009C4C33" w:rsidRPr="0022167B">
        <w:rPr>
          <w:i/>
          <w:iCs/>
        </w:rPr>
        <w:t>391</w:t>
      </w:r>
      <w:r w:rsidR="009C4C33" w:rsidRPr="0022167B">
        <w:t xml:space="preserve"> and </w:t>
      </w:r>
      <w:r w:rsidR="009C4C33" w:rsidRPr="0022167B">
        <w:rPr>
          <w:i/>
          <w:iCs/>
        </w:rPr>
        <w:t xml:space="preserve">St. Augustine’s </w:t>
      </w:r>
      <w:r w:rsidR="0026323A">
        <w:rPr>
          <w:i/>
          <w:iCs/>
        </w:rPr>
        <w:t>‘</w:t>
      </w:r>
      <w:r w:rsidR="009C4C33" w:rsidRPr="0022167B">
        <w:rPr>
          <w:i/>
          <w:iCs/>
        </w:rPr>
        <w:t>Confessions</w:t>
      </w:r>
      <w:r w:rsidR="0026323A">
        <w:rPr>
          <w:i/>
          <w:iCs/>
        </w:rPr>
        <w:t>’</w:t>
      </w:r>
      <w:r w:rsidR="009C4C33" w:rsidRPr="0022167B">
        <w:rPr>
          <w:i/>
          <w:iCs/>
        </w:rPr>
        <w:t>: The Odyssey of Soul</w:t>
      </w:r>
      <w:r w:rsidR="009C4C33" w:rsidRPr="0022167B">
        <w:t xml:space="preserve">, by Robert J. O’Connell. </w:t>
      </w:r>
      <w:r w:rsidR="009C4C33" w:rsidRPr="0022167B">
        <w:rPr>
          <w:i/>
          <w:iCs/>
        </w:rPr>
        <w:t>International Philosophical Quarterly</w:t>
      </w:r>
      <w:r w:rsidR="009C4C33" w:rsidRPr="0022167B">
        <w:t xml:space="preserve"> 11 (1971), </w:t>
      </w:r>
      <w:r w:rsidR="004007EC">
        <w:t xml:space="preserve">pp. </w:t>
      </w:r>
      <w:r w:rsidR="009C4C33" w:rsidRPr="0022167B">
        <w:t>427–39</w:t>
      </w:r>
      <w:r w:rsidRPr="0022167B">
        <w:rPr>
          <w:rFonts w:eastAsia="Times New Roman"/>
        </w:rPr>
        <w:t xml:space="preserve"> and </w:t>
      </w:r>
      <w:r w:rsidR="0022167B" w:rsidRPr="0022167B">
        <w:t xml:space="preserve">Gerard O’Daly, </w:t>
      </w:r>
      <w:r w:rsidR="0026323A">
        <w:t>‘</w:t>
      </w:r>
      <w:r w:rsidR="0022167B" w:rsidRPr="0022167B">
        <w:t>Did St. Augustine Ever Believe in the Soul’s Pre-existence?</w:t>
      </w:r>
      <w:r w:rsidR="0026323A">
        <w:t>’</w:t>
      </w:r>
      <w:r w:rsidR="0022167B" w:rsidRPr="0022167B">
        <w:t xml:space="preserve"> </w:t>
      </w:r>
      <w:r w:rsidR="0022167B" w:rsidRPr="0022167B">
        <w:rPr>
          <w:i/>
          <w:iCs/>
        </w:rPr>
        <w:t>Augustinian Studies</w:t>
      </w:r>
      <w:r w:rsidR="0022167B" w:rsidRPr="0022167B">
        <w:t xml:space="preserve"> 5 (1974), </w:t>
      </w:r>
      <w:r w:rsidR="004007EC">
        <w:t xml:space="preserve">pp. </w:t>
      </w:r>
      <w:r w:rsidR="0022167B" w:rsidRPr="0022167B">
        <w:t>227–35.</w:t>
      </w:r>
      <w:r w:rsidRPr="0022167B">
        <w:rPr>
          <w:rFonts w:eastAsia="Times New Roman"/>
        </w:rPr>
        <w:t xml:space="preserve">  Vaught critiques O’Connell in his trilogy on the </w:t>
      </w:r>
      <w:r w:rsidRPr="0022167B">
        <w:rPr>
          <w:rFonts w:eastAsia="Times New Roman"/>
          <w:i/>
          <w:iCs/>
        </w:rPr>
        <w:t>Confessions</w:t>
      </w:r>
      <w:r w:rsidRPr="0022167B">
        <w:rPr>
          <w:rFonts w:eastAsia="Times New Roman"/>
        </w:rPr>
        <w:t xml:space="preserve">; see </w:t>
      </w:r>
      <w:r w:rsidR="001333F8" w:rsidRPr="0022167B">
        <w:t xml:space="preserve">Carl J. Vaught, </w:t>
      </w:r>
      <w:r w:rsidR="001333F8" w:rsidRPr="0022167B">
        <w:rPr>
          <w:i/>
        </w:rPr>
        <w:t>Access to God in Augustine’s Confessions: Books X</w:t>
      </w:r>
      <w:r w:rsidR="001333F8" w:rsidRPr="0022167B">
        <w:t>–</w:t>
      </w:r>
      <w:r w:rsidR="001333F8" w:rsidRPr="0022167B">
        <w:rPr>
          <w:i/>
        </w:rPr>
        <w:t>XIII</w:t>
      </w:r>
      <w:r w:rsidR="001333F8" w:rsidRPr="0022167B">
        <w:t xml:space="preserve"> (Albany: State University of New York Press, 2005); </w:t>
      </w:r>
      <w:r w:rsidR="001333F8" w:rsidRPr="0022167B">
        <w:rPr>
          <w:i/>
        </w:rPr>
        <w:t>Encounters with God in Augustine’s Confessions: Books X</w:t>
      </w:r>
      <w:r w:rsidR="001333F8" w:rsidRPr="0022167B">
        <w:t>–</w:t>
      </w:r>
      <w:r w:rsidR="001333F8" w:rsidRPr="0022167B">
        <w:rPr>
          <w:i/>
        </w:rPr>
        <w:t>XIII</w:t>
      </w:r>
      <w:r w:rsidR="001333F8" w:rsidRPr="0022167B">
        <w:t xml:space="preserve"> (Albany: State University of New York Press, 2003); and </w:t>
      </w:r>
      <w:r w:rsidR="001333F8" w:rsidRPr="0022167B">
        <w:rPr>
          <w:i/>
        </w:rPr>
        <w:t>The Journey toward God in Augustine’s Confessions: Books X</w:t>
      </w:r>
      <w:r w:rsidR="001333F8" w:rsidRPr="0022167B">
        <w:t>–</w:t>
      </w:r>
      <w:r w:rsidR="001333F8" w:rsidRPr="0022167B">
        <w:rPr>
          <w:i/>
        </w:rPr>
        <w:t>XIII</w:t>
      </w:r>
      <w:r w:rsidR="001333F8" w:rsidRPr="0022167B">
        <w:t xml:space="preserve"> (Albany: State University of New York Press, 2003);</w:t>
      </w:r>
      <w:r w:rsidRPr="0022167B">
        <w:rPr>
          <w:rFonts w:eastAsia="Times New Roman"/>
        </w:rPr>
        <w:t xml:space="preserve"> for example, </w:t>
      </w:r>
      <w:r w:rsidRPr="0022167B">
        <w:rPr>
          <w:rFonts w:eastAsia="Times New Roman"/>
          <w:i/>
          <w:iCs/>
        </w:rPr>
        <w:t>Journey</w:t>
      </w:r>
      <w:r w:rsidRPr="0022167B">
        <w:rPr>
          <w:rFonts w:eastAsia="Times New Roman"/>
        </w:rPr>
        <w:t xml:space="preserve">, </w:t>
      </w:r>
      <w:r w:rsidR="004007EC">
        <w:rPr>
          <w:rFonts w:eastAsia="Times New Roman"/>
        </w:rPr>
        <w:t xml:space="preserve">pp. </w:t>
      </w:r>
      <w:r w:rsidRPr="0022167B">
        <w:rPr>
          <w:rFonts w:eastAsia="Times New Roman"/>
        </w:rPr>
        <w:t>33</w:t>
      </w:r>
      <w:r w:rsidR="004007EC">
        <w:rPr>
          <w:rFonts w:eastAsia="Times New Roman"/>
        </w:rPr>
        <w:t>-34.</w:t>
      </w:r>
      <w:r w:rsidRPr="0022167B">
        <w:rPr>
          <w:rFonts w:eastAsia="Times New Roman"/>
        </w:rPr>
        <w:t xml:space="preserve">  Rombs summarizes O’Connell’s work and its significance in the Introduction to his </w:t>
      </w:r>
      <w:r w:rsidRPr="0022167B">
        <w:rPr>
          <w:rFonts w:eastAsia="Times New Roman"/>
          <w:i/>
          <w:iCs/>
        </w:rPr>
        <w:t>Saint Augustine and the Fall</w:t>
      </w:r>
      <w:r w:rsidRPr="0022167B">
        <w:rPr>
          <w:rFonts w:eastAsia="Times New Roman"/>
        </w:rPr>
        <w:t xml:space="preserve">.  Rombs observes that under the influence of O’Connell scholars have tended towards a </w:t>
      </w:r>
      <w:r w:rsidR="0026323A">
        <w:rPr>
          <w:rFonts w:eastAsia="Times New Roman"/>
        </w:rPr>
        <w:t>‘</w:t>
      </w:r>
      <w:r w:rsidRPr="0022167B">
        <w:rPr>
          <w:rFonts w:eastAsia="Times New Roman"/>
        </w:rPr>
        <w:t>neglect of the context of Augustine’s assimilation of that Plotinian thought. Such Plotinian elements are found in Augustine’s early texts alongside competing or incompatible metaphysical principles;</w:t>
      </w:r>
      <w:r w:rsidR="0026323A">
        <w:rPr>
          <w:rFonts w:eastAsia="Times New Roman"/>
        </w:rPr>
        <w:t>’</w:t>
      </w:r>
      <w:r w:rsidRPr="0022167B">
        <w:rPr>
          <w:rFonts w:eastAsia="Times New Roman"/>
        </w:rPr>
        <w:t xml:space="preserve"> </w:t>
      </w:r>
      <w:r w:rsidR="00CF1B9C" w:rsidRPr="0022167B">
        <w:t xml:space="preserve">Ronnie Rombs, </w:t>
      </w:r>
      <w:r w:rsidR="00CF1B9C" w:rsidRPr="0022167B">
        <w:rPr>
          <w:i/>
          <w:iCs/>
        </w:rPr>
        <w:t>Saint Augustine and the Fall of the Soul: Beyond O’Connell and His Critics</w:t>
      </w:r>
      <w:r w:rsidR="00CF1B9C" w:rsidRPr="0022167B">
        <w:t xml:space="preserve"> (Washington, DC: Catholic University of America, 2006)</w:t>
      </w:r>
      <w:r w:rsidRPr="0022167B">
        <w:rPr>
          <w:rFonts w:eastAsia="Times New Roman"/>
        </w:rPr>
        <w:t xml:space="preserve">, </w:t>
      </w:r>
      <w:r w:rsidR="004007EC">
        <w:rPr>
          <w:rFonts w:eastAsia="Times New Roman"/>
        </w:rPr>
        <w:t xml:space="preserve">p. </w:t>
      </w:r>
      <w:r w:rsidRPr="0022167B">
        <w:rPr>
          <w:rFonts w:eastAsia="Times New Roman"/>
        </w:rPr>
        <w:t xml:space="preserve">xxiv.  Other O’Connell readings of interest are </w:t>
      </w:r>
      <w:r w:rsidR="007D5E90" w:rsidRPr="0022167B">
        <w:t xml:space="preserve">Robert J. O’Connell, </w:t>
      </w:r>
      <w:r w:rsidR="0026323A">
        <w:t>‘</w:t>
      </w:r>
      <w:r w:rsidR="007D5E90" w:rsidRPr="0022167B">
        <w:t xml:space="preserve">On Augustine’s </w:t>
      </w:r>
      <w:r w:rsidR="005262FD">
        <w:t>“</w:t>
      </w:r>
      <w:r w:rsidR="007D5E90" w:rsidRPr="0022167B">
        <w:t>First Conversion</w:t>
      </w:r>
      <w:r w:rsidR="005262FD">
        <w:t>”</w:t>
      </w:r>
      <w:r w:rsidR="007D5E90" w:rsidRPr="0022167B">
        <w:t>: factus erectior (</w:t>
      </w:r>
      <w:r w:rsidR="007D5E90" w:rsidRPr="0022167B">
        <w:rPr>
          <w:i/>
          <w:iCs/>
        </w:rPr>
        <w:t>de beata vita</w:t>
      </w:r>
      <w:r w:rsidR="007D5E90" w:rsidRPr="0022167B">
        <w:t xml:space="preserve"> 4);</w:t>
      </w:r>
      <w:r w:rsidR="0026323A">
        <w:t>’</w:t>
      </w:r>
      <w:r w:rsidR="007D5E90" w:rsidRPr="0022167B">
        <w:t xml:space="preserve"> </w:t>
      </w:r>
      <w:r w:rsidR="007D5E90" w:rsidRPr="0022167B">
        <w:rPr>
          <w:i/>
          <w:iCs/>
        </w:rPr>
        <w:t>Augustinian Studies</w:t>
      </w:r>
      <w:r w:rsidR="007D5E90" w:rsidRPr="0022167B">
        <w:t xml:space="preserve"> 17 (1986), 15–29 and </w:t>
      </w:r>
      <w:r w:rsidR="007D5E90" w:rsidRPr="0022167B">
        <w:rPr>
          <w:i/>
          <w:iCs/>
        </w:rPr>
        <w:t>Saint Augustine’s Platonism: The Saint Augustine Lecture, 1981</w:t>
      </w:r>
      <w:r w:rsidR="007D5E90" w:rsidRPr="0022167B">
        <w:t xml:space="preserve"> (Villanova: Villanova University Press, 1984)</w:t>
      </w:r>
      <w:r w:rsidRPr="0022167B">
        <w:rPr>
          <w:rFonts w:eastAsia="Times New Roman"/>
        </w:rPr>
        <w:t>.</w:t>
      </w:r>
    </w:p>
  </w:footnote>
  <w:footnote w:id="22">
    <w:p w14:paraId="2129E599" w14:textId="3578E730" w:rsidR="00AD0E02" w:rsidRPr="0022167B" w:rsidRDefault="00AD0E02" w:rsidP="00C62AC5">
      <w:pPr>
        <w:pStyle w:val="FootnoteText"/>
        <w:spacing w:before="240"/>
        <w:ind w:firstLine="720"/>
      </w:pPr>
      <w:r w:rsidRPr="0022167B">
        <w:rPr>
          <w:rStyle w:val="FootnoteReference"/>
          <w:rFonts w:eastAsia="Times New Roman"/>
        </w:rPr>
        <w:footnoteRef/>
      </w:r>
      <w:r w:rsidRPr="0022167B">
        <w:rPr>
          <w:rFonts w:eastAsia="Times New Roman"/>
        </w:rPr>
        <w:t xml:space="preserve"> </w:t>
      </w:r>
      <w:r w:rsidR="0022167B" w:rsidRPr="0022167B">
        <w:t xml:space="preserve">Roland Teske, </w:t>
      </w:r>
      <w:r w:rsidR="0022167B" w:rsidRPr="0022167B">
        <w:rPr>
          <w:i/>
          <w:iCs/>
        </w:rPr>
        <w:t>To Know God and the Soul: Essays on the Thought of Saint Augustine</w:t>
      </w:r>
      <w:r w:rsidR="0022167B" w:rsidRPr="0022167B">
        <w:t xml:space="preserve"> (Catholic University of America Press, 2008),</w:t>
      </w:r>
      <w:r w:rsidRPr="0022167B">
        <w:rPr>
          <w:rFonts w:eastAsia="Times New Roman"/>
        </w:rPr>
        <w:t xml:space="preserve"> </w:t>
      </w:r>
      <w:r w:rsidR="00C433BB">
        <w:rPr>
          <w:rFonts w:eastAsia="Times New Roman"/>
        </w:rPr>
        <w:t xml:space="preserve">p. </w:t>
      </w:r>
      <w:r w:rsidRPr="0022167B">
        <w:rPr>
          <w:rFonts w:eastAsia="Times New Roman"/>
        </w:rPr>
        <w:t xml:space="preserve">70.  O’Meara, </w:t>
      </w:r>
      <w:r w:rsidRPr="0022167B">
        <w:rPr>
          <w:rFonts w:eastAsia="Times New Roman"/>
          <w:i/>
          <w:iCs/>
        </w:rPr>
        <w:t>Studies in Augustine and Eriguena</w:t>
      </w:r>
      <w:r w:rsidRPr="0022167B">
        <w:rPr>
          <w:rFonts w:eastAsia="Times New Roman"/>
        </w:rPr>
        <w:t xml:space="preserve">, </w:t>
      </w:r>
      <w:r w:rsidR="00C433BB">
        <w:rPr>
          <w:rFonts w:eastAsia="Times New Roman"/>
        </w:rPr>
        <w:t xml:space="preserve">pp. </w:t>
      </w:r>
      <w:r w:rsidRPr="0022167B">
        <w:rPr>
          <w:rFonts w:eastAsia="Times New Roman"/>
        </w:rPr>
        <w:t>130–</w:t>
      </w:r>
      <w:r w:rsidR="009732B1">
        <w:rPr>
          <w:rFonts w:eastAsia="Times New Roman"/>
        </w:rPr>
        <w:t>13</w:t>
      </w:r>
      <w:r w:rsidRPr="0022167B">
        <w:rPr>
          <w:rFonts w:eastAsia="Times New Roman"/>
        </w:rPr>
        <w:t>1, 136–</w:t>
      </w:r>
      <w:r w:rsidR="009732B1">
        <w:rPr>
          <w:rFonts w:eastAsia="Times New Roman"/>
        </w:rPr>
        <w:t>13</w:t>
      </w:r>
      <w:r w:rsidRPr="0022167B">
        <w:rPr>
          <w:rFonts w:eastAsia="Times New Roman"/>
        </w:rPr>
        <w:t>8, 155–</w:t>
      </w:r>
      <w:r w:rsidR="009732B1">
        <w:rPr>
          <w:rFonts w:eastAsia="Times New Roman"/>
        </w:rPr>
        <w:t>15</w:t>
      </w:r>
      <w:r w:rsidRPr="0022167B">
        <w:rPr>
          <w:rFonts w:eastAsia="Times New Roman"/>
        </w:rPr>
        <w:t xml:space="preserve">6.  </w:t>
      </w:r>
      <w:r w:rsidR="005E6540" w:rsidRPr="0022167B">
        <w:t xml:space="preserve">Cornelia De Vogel, </w:t>
      </w:r>
      <w:r w:rsidR="0026323A">
        <w:t>‘</w:t>
      </w:r>
      <w:r w:rsidR="005E6540" w:rsidRPr="0022167B">
        <w:t>Platonism and Christianity: A Mere Antagonism or a Profound Common Ground?;</w:t>
      </w:r>
      <w:r w:rsidR="0026323A">
        <w:t>’</w:t>
      </w:r>
      <w:r w:rsidR="005E6540" w:rsidRPr="0022167B">
        <w:t xml:space="preserve"> </w:t>
      </w:r>
      <w:r w:rsidR="005E6540" w:rsidRPr="0022167B">
        <w:rPr>
          <w:i/>
          <w:iCs/>
        </w:rPr>
        <w:t>Vigiliae Christianae</w:t>
      </w:r>
      <w:r w:rsidR="005E6540" w:rsidRPr="0022167B">
        <w:t xml:space="preserve"> 39.1 (March 1985), </w:t>
      </w:r>
      <w:r w:rsidR="00C433BB">
        <w:t>pp. 1</w:t>
      </w:r>
      <w:r w:rsidR="005E6540" w:rsidRPr="0022167B">
        <w:t>-62.</w:t>
      </w:r>
    </w:p>
  </w:footnote>
  <w:footnote w:id="23">
    <w:p w14:paraId="7425405F" w14:textId="3DDEFF33" w:rsidR="00AD0E02" w:rsidRPr="0022167B" w:rsidRDefault="00AD0E02" w:rsidP="00C62AC5">
      <w:pPr>
        <w:pStyle w:val="FootnoteText"/>
        <w:spacing w:before="240"/>
        <w:ind w:firstLine="720"/>
      </w:pPr>
      <w:r w:rsidRPr="0022167B">
        <w:rPr>
          <w:rStyle w:val="FootnoteReference"/>
          <w:rFonts w:eastAsia="Times New Roman"/>
        </w:rPr>
        <w:footnoteRef/>
      </w:r>
      <w:r w:rsidRPr="0022167B">
        <w:rPr>
          <w:rFonts w:eastAsia="Times New Roman"/>
        </w:rPr>
        <w:t xml:space="preserve"> </w:t>
      </w:r>
      <w:bookmarkStart w:id="1" w:name="_Hlk22227495"/>
      <w:r w:rsidR="007F64D3" w:rsidRPr="0022167B">
        <w:t>Henry Chadwick</w:t>
      </w:r>
      <w:bookmarkEnd w:id="1"/>
      <w:r w:rsidR="007F64D3" w:rsidRPr="0022167B">
        <w:t xml:space="preserve">, </w:t>
      </w:r>
      <w:r w:rsidR="007F64D3" w:rsidRPr="0022167B">
        <w:rPr>
          <w:i/>
          <w:iCs/>
        </w:rPr>
        <w:t>Augustine of Hippo: A Life</w:t>
      </w:r>
      <w:r w:rsidR="007F64D3" w:rsidRPr="0022167B">
        <w:t xml:space="preserve"> (Oxford: Oxford University Press, 2009)</w:t>
      </w:r>
      <w:r w:rsidRPr="0022167B">
        <w:rPr>
          <w:rFonts w:eastAsia="Times New Roman"/>
        </w:rPr>
        <w:t xml:space="preserve">, </w:t>
      </w:r>
      <w:r w:rsidR="001A6A4F">
        <w:rPr>
          <w:rFonts w:eastAsia="Times New Roman"/>
        </w:rPr>
        <w:t xml:space="preserve">pp. </w:t>
      </w:r>
      <w:r w:rsidRPr="0022167B">
        <w:rPr>
          <w:rFonts w:eastAsia="Times New Roman"/>
        </w:rPr>
        <w:t>29–30.</w:t>
      </w:r>
    </w:p>
  </w:footnote>
  <w:footnote w:id="24">
    <w:p w14:paraId="1FC46F86" w14:textId="20B4B819" w:rsidR="00C1798C" w:rsidRDefault="00C1798C">
      <w:pPr>
        <w:pStyle w:val="FootnoteText"/>
      </w:pPr>
      <w:r>
        <w:rPr>
          <w:rStyle w:val="FootnoteReference"/>
        </w:rPr>
        <w:footnoteRef/>
      </w:r>
      <w:r>
        <w:t xml:space="preserve"> </w:t>
      </w:r>
      <w:r w:rsidRPr="0022167B">
        <w:t xml:space="preserve">Henry Chadwick, </w:t>
      </w:r>
      <w:r w:rsidRPr="0022167B">
        <w:rPr>
          <w:i/>
          <w:iCs/>
        </w:rPr>
        <w:t>Augustine: A Very Short Introduction</w:t>
      </w:r>
      <w:r w:rsidRPr="0022167B">
        <w:t xml:space="preserve"> (Oxford: Oxford University Press, 1986),</w:t>
      </w:r>
      <w:r w:rsidRPr="0022167B">
        <w:rPr>
          <w:rFonts w:eastAsia="Times New Roman"/>
        </w:rPr>
        <w:t xml:space="preserve"> </w:t>
      </w:r>
      <w:r w:rsidR="001A6A4F">
        <w:rPr>
          <w:rFonts w:eastAsia="Times New Roman"/>
        </w:rPr>
        <w:t>pp. 2</w:t>
      </w:r>
      <w:r w:rsidRPr="0022167B">
        <w:rPr>
          <w:rFonts w:eastAsia="Times New Roman"/>
        </w:rPr>
        <w:t>5-</w:t>
      </w:r>
      <w:r>
        <w:rPr>
          <w:rFonts w:eastAsia="Times New Roman"/>
        </w:rPr>
        <w:t>2</w:t>
      </w:r>
      <w:r w:rsidRPr="0022167B">
        <w:rPr>
          <w:rFonts w:eastAsia="Times New Roman"/>
        </w:rPr>
        <w:t>6</w:t>
      </w:r>
      <w:r>
        <w:rPr>
          <w:rFonts w:eastAsia="Times New Roman"/>
        </w:rPr>
        <w:t>.</w:t>
      </w:r>
    </w:p>
  </w:footnote>
  <w:footnote w:id="25">
    <w:p w14:paraId="6FA798D5" w14:textId="417C3A13" w:rsidR="00AD0E02" w:rsidRPr="0022167B" w:rsidRDefault="00AD0E02" w:rsidP="00C62AC5">
      <w:pPr>
        <w:pStyle w:val="FootnoteText"/>
        <w:spacing w:before="240"/>
        <w:ind w:firstLine="720"/>
      </w:pPr>
      <w:r w:rsidRPr="0022167B">
        <w:rPr>
          <w:rStyle w:val="FootnoteReference"/>
          <w:rFonts w:eastAsia="Times New Roman"/>
        </w:rPr>
        <w:footnoteRef/>
      </w:r>
      <w:r w:rsidRPr="0022167B">
        <w:rPr>
          <w:rFonts w:eastAsia="Times New Roman"/>
        </w:rPr>
        <w:t xml:space="preserve"> Ibid., </w:t>
      </w:r>
      <w:r w:rsidR="001A6A4F">
        <w:rPr>
          <w:rFonts w:eastAsia="Times New Roman"/>
        </w:rPr>
        <w:t xml:space="preserve">p. </w:t>
      </w:r>
      <w:r w:rsidRPr="0022167B">
        <w:rPr>
          <w:rFonts w:eastAsia="Times New Roman"/>
        </w:rPr>
        <w:t>26.</w:t>
      </w:r>
    </w:p>
  </w:footnote>
  <w:footnote w:id="26">
    <w:p w14:paraId="77CCE251" w14:textId="66FE00EC" w:rsidR="00D96D7E" w:rsidRPr="001A6A4F" w:rsidRDefault="00D96D7E" w:rsidP="001A6A4F">
      <w:pPr>
        <w:pStyle w:val="FootnoteText"/>
        <w:spacing w:before="240"/>
        <w:ind w:firstLine="720"/>
        <w:rPr>
          <w:rFonts w:eastAsia="Times New Roman"/>
        </w:rPr>
      </w:pPr>
      <w:r w:rsidRPr="0022167B">
        <w:rPr>
          <w:rStyle w:val="FootnoteReference"/>
          <w:rFonts w:eastAsia="Times New Roman"/>
        </w:rPr>
        <w:footnoteRef/>
      </w:r>
      <w:r w:rsidRPr="0022167B">
        <w:rPr>
          <w:rFonts w:eastAsia="Times New Roman"/>
        </w:rPr>
        <w:t xml:space="preserve"> </w:t>
      </w:r>
      <w:r w:rsidRPr="0022167B">
        <w:t xml:space="preserve">Phillip Cary, </w:t>
      </w:r>
      <w:r w:rsidRPr="0022167B">
        <w:rPr>
          <w:i/>
          <w:iCs/>
        </w:rPr>
        <w:t>Augustine’s Invention of the Inner Self: The Legacy of a Christian Platonist</w:t>
      </w:r>
      <w:r w:rsidRPr="0022167B">
        <w:t xml:space="preserve"> (Oxford: Oxford University Press, 2000); Phillip Cary, </w:t>
      </w:r>
      <w:r w:rsidRPr="0022167B">
        <w:rPr>
          <w:i/>
          <w:iCs/>
        </w:rPr>
        <w:t>Inner Grace: Augustine in the Traditions of Plato and Paul</w:t>
      </w:r>
      <w:r w:rsidRPr="0022167B">
        <w:t xml:space="preserve"> (Oxford: Oxford University Press, 2008); and Phillip Cary, </w:t>
      </w:r>
      <w:r w:rsidRPr="0022167B">
        <w:rPr>
          <w:i/>
          <w:iCs/>
        </w:rPr>
        <w:t>Outward Signs: The Powerlessness of External Things in Augustine’s Thought</w:t>
      </w:r>
      <w:r w:rsidRPr="0022167B">
        <w:t xml:space="preserve"> (Oxford: Oxford University Press, 2008)</w:t>
      </w:r>
      <w:r w:rsidRPr="0022167B">
        <w:rPr>
          <w:rFonts w:eastAsia="Times New Roman"/>
        </w:rPr>
        <w:t xml:space="preserve">. Cary explains that Augustine was in 386 converted to Platonist philosophy </w:t>
      </w:r>
      <w:r w:rsidRPr="0022167B">
        <w:rPr>
          <w:rFonts w:eastAsia="Times New Roman"/>
          <w:i/>
          <w:iCs/>
        </w:rPr>
        <w:t>and</w:t>
      </w:r>
      <w:r w:rsidRPr="0022167B">
        <w:rPr>
          <w:rFonts w:eastAsia="Times New Roman"/>
        </w:rPr>
        <w:t xml:space="preserve"> to orthodox Christianity; afterwards, his </w:t>
      </w:r>
      <w:r w:rsidR="0026323A">
        <w:rPr>
          <w:rFonts w:eastAsia="Times New Roman"/>
        </w:rPr>
        <w:t>‘</w:t>
      </w:r>
      <w:r w:rsidRPr="0022167B">
        <w:rPr>
          <w:rFonts w:eastAsia="Times New Roman"/>
        </w:rPr>
        <w:t>Platonism grew in tandem with his Christian orthodoxy;</w:t>
      </w:r>
      <w:r w:rsidR="0026323A">
        <w:rPr>
          <w:rFonts w:eastAsia="Times New Roman"/>
        </w:rPr>
        <w:t>’</w:t>
      </w:r>
      <w:r w:rsidRPr="0022167B">
        <w:rPr>
          <w:rFonts w:eastAsia="Times New Roman"/>
        </w:rPr>
        <w:t xml:space="preserve"> </w:t>
      </w:r>
      <w:r w:rsidRPr="0022167B">
        <w:rPr>
          <w:rFonts w:eastAsia="Times New Roman"/>
          <w:i/>
          <w:iCs/>
        </w:rPr>
        <w:t>Augustine’s Invention</w:t>
      </w:r>
      <w:r w:rsidRPr="0022167B">
        <w:rPr>
          <w:rFonts w:eastAsia="Times New Roman"/>
        </w:rPr>
        <w:t>,</w:t>
      </w:r>
      <w:r w:rsidR="001A6A4F">
        <w:rPr>
          <w:rFonts w:eastAsia="Times New Roman"/>
        </w:rPr>
        <w:t xml:space="preserve"> p.</w:t>
      </w:r>
      <w:r w:rsidRPr="0022167B">
        <w:rPr>
          <w:rFonts w:eastAsia="Times New Roman"/>
        </w:rPr>
        <w:t xml:space="preserve"> 35.</w:t>
      </w:r>
    </w:p>
  </w:footnote>
  <w:footnote w:id="27">
    <w:p w14:paraId="1CEB5DE5" w14:textId="70BF7C6B" w:rsidR="00AD0E02" w:rsidRPr="0022167B" w:rsidRDefault="00AD0E02" w:rsidP="00C62AC5">
      <w:pPr>
        <w:pStyle w:val="FootnoteText"/>
        <w:spacing w:before="240"/>
        <w:ind w:firstLine="720"/>
      </w:pPr>
      <w:r w:rsidRPr="0022167B">
        <w:rPr>
          <w:rStyle w:val="FootnoteReference"/>
          <w:rFonts w:eastAsia="Times New Roman"/>
        </w:rPr>
        <w:footnoteRef/>
      </w:r>
      <w:r w:rsidRPr="0022167B">
        <w:rPr>
          <w:rFonts w:eastAsia="Times New Roman"/>
        </w:rPr>
        <w:t xml:space="preserve"> </w:t>
      </w:r>
      <w:r w:rsidR="0022167B" w:rsidRPr="0022167B">
        <w:t xml:space="preserve">Roland Teske, </w:t>
      </w:r>
      <w:r w:rsidR="0026323A">
        <w:t>‘</w:t>
      </w:r>
      <w:r w:rsidR="0022167B" w:rsidRPr="0022167B">
        <w:t>Augustine’s Theory of Soul;</w:t>
      </w:r>
      <w:r w:rsidR="0026323A">
        <w:t>’</w:t>
      </w:r>
      <w:r w:rsidR="0022167B" w:rsidRPr="0022167B">
        <w:t xml:space="preserve"> in </w:t>
      </w:r>
      <w:r w:rsidR="0022167B" w:rsidRPr="0022167B">
        <w:rPr>
          <w:i/>
          <w:iCs/>
        </w:rPr>
        <w:t>The Cambridge Companion to Augustine</w:t>
      </w:r>
      <w:r w:rsidR="0022167B" w:rsidRPr="0022167B">
        <w:t xml:space="preserve">, ed. Eleonore Stump and Norman Krutzman: </w:t>
      </w:r>
      <w:r w:rsidR="001A6A4F">
        <w:t>pp. 1</w:t>
      </w:r>
      <w:r w:rsidR="0022167B" w:rsidRPr="0022167B">
        <w:t>16-123 (Cambridge: Cambridge University Press, 2001),</w:t>
      </w:r>
      <w:r w:rsidRPr="0022167B">
        <w:rPr>
          <w:rFonts w:eastAsia="Times New Roman"/>
        </w:rPr>
        <w:t xml:space="preserve"> </w:t>
      </w:r>
      <w:r w:rsidR="001A6A4F">
        <w:rPr>
          <w:rFonts w:eastAsia="Times New Roman"/>
        </w:rPr>
        <w:t xml:space="preserve">pp. </w:t>
      </w:r>
      <w:r w:rsidRPr="0022167B">
        <w:rPr>
          <w:rFonts w:eastAsia="Times New Roman"/>
        </w:rPr>
        <w:t>117-118.</w:t>
      </w:r>
    </w:p>
  </w:footnote>
  <w:footnote w:id="28">
    <w:p w14:paraId="57022797" w14:textId="6639B1A0" w:rsidR="00AD0E02" w:rsidRPr="0022167B" w:rsidRDefault="00AD0E02" w:rsidP="00C62AC5">
      <w:pPr>
        <w:pStyle w:val="FootnoteText"/>
        <w:spacing w:before="240"/>
        <w:ind w:firstLine="720"/>
      </w:pPr>
      <w:r w:rsidRPr="0022167B">
        <w:rPr>
          <w:rStyle w:val="FootnoteReference"/>
          <w:rFonts w:eastAsia="Times New Roman"/>
        </w:rPr>
        <w:footnoteRef/>
      </w:r>
      <w:r w:rsidRPr="0022167B">
        <w:rPr>
          <w:rFonts w:eastAsia="Times New Roman"/>
        </w:rPr>
        <w:t xml:space="preserve"> Such as, at least according to my </w:t>
      </w:r>
      <w:r w:rsidR="0053722D" w:rsidRPr="0022167B">
        <w:rPr>
          <w:rFonts w:eastAsia="Times New Roman"/>
        </w:rPr>
        <w:t>working understanding</w:t>
      </w:r>
      <w:r w:rsidRPr="0022167B">
        <w:rPr>
          <w:rFonts w:eastAsia="Times New Roman"/>
        </w:rPr>
        <w:t xml:space="preserve">, Stewart-Kroeker and </w:t>
      </w:r>
      <w:r w:rsidR="00CF1B9C" w:rsidRPr="0022167B">
        <w:rPr>
          <w:rFonts w:eastAsia="Times New Roman"/>
        </w:rPr>
        <w:t>Rowan Williams.</w:t>
      </w:r>
    </w:p>
  </w:footnote>
  <w:footnote w:id="29">
    <w:p w14:paraId="77EEF65E" w14:textId="08BF44BE" w:rsidR="00AD0E02" w:rsidRPr="0022167B" w:rsidRDefault="00AD0E02" w:rsidP="00C62AC5">
      <w:pPr>
        <w:pStyle w:val="FootnoteText"/>
        <w:spacing w:before="240"/>
        <w:ind w:firstLine="720"/>
      </w:pPr>
      <w:r w:rsidRPr="0022167B">
        <w:rPr>
          <w:rStyle w:val="FootnoteReference"/>
          <w:rFonts w:eastAsia="Times New Roman"/>
        </w:rPr>
        <w:footnoteRef/>
      </w:r>
      <w:r w:rsidRPr="0022167B">
        <w:rPr>
          <w:rFonts w:eastAsia="Times New Roman"/>
        </w:rPr>
        <w:t xml:space="preserve"> I was given this interesting observation from Michael P. Foley.</w:t>
      </w:r>
    </w:p>
  </w:footnote>
  <w:footnote w:id="30">
    <w:p w14:paraId="4160259D" w14:textId="74DAC734" w:rsidR="009C4C33" w:rsidRPr="0022167B" w:rsidRDefault="009C4C33" w:rsidP="00C62AC5">
      <w:pPr>
        <w:pStyle w:val="FootnoteText"/>
        <w:spacing w:before="240"/>
        <w:ind w:firstLine="720"/>
      </w:pPr>
      <w:r w:rsidRPr="0022167B">
        <w:rPr>
          <w:rStyle w:val="FootnoteReference"/>
        </w:rPr>
        <w:footnoteRef/>
      </w:r>
      <w:r w:rsidRPr="0022167B">
        <w:t xml:space="preserve"> Catherine Conybeare, </w:t>
      </w:r>
      <w:r w:rsidRPr="0022167B">
        <w:rPr>
          <w:i/>
          <w:iCs/>
        </w:rPr>
        <w:t>The Irrational Augustine</w:t>
      </w:r>
      <w:r w:rsidRPr="0022167B">
        <w:t xml:space="preserve"> (Oxford: Oxford University Press, 2006).</w:t>
      </w:r>
    </w:p>
  </w:footnote>
  <w:footnote w:id="31">
    <w:p w14:paraId="57F6712D" w14:textId="0E6A4F75" w:rsidR="00AD0E02" w:rsidRPr="0022167B" w:rsidRDefault="00AD0E02" w:rsidP="00C62AC5">
      <w:pPr>
        <w:pStyle w:val="FootnoteText"/>
        <w:spacing w:before="240"/>
        <w:ind w:firstLine="720"/>
      </w:pPr>
      <w:r w:rsidRPr="0022167B">
        <w:rPr>
          <w:rStyle w:val="FootnoteReference"/>
          <w:rFonts w:eastAsia="Times New Roman"/>
        </w:rPr>
        <w:footnoteRef/>
      </w:r>
      <w:r w:rsidRPr="0022167B">
        <w:rPr>
          <w:rFonts w:eastAsia="Times New Roman"/>
        </w:rPr>
        <w:t xml:space="preserve"> </w:t>
      </w:r>
      <w:r w:rsidR="009C4C33" w:rsidRPr="0022167B">
        <w:t xml:space="preserve">Catherine Conybeare, </w:t>
      </w:r>
      <w:r w:rsidR="009C4C33" w:rsidRPr="0022167B">
        <w:rPr>
          <w:i/>
          <w:iCs/>
        </w:rPr>
        <w:t xml:space="preserve">The Routledge Guidebook to Augustine’s </w:t>
      </w:r>
      <w:r w:rsidR="009C4C33" w:rsidRPr="0022167B">
        <w:t>Confessions (New York: Routledge, 2016),</w:t>
      </w:r>
      <w:r w:rsidR="001A6A4F">
        <w:t xml:space="preserve"> p.</w:t>
      </w:r>
      <w:r w:rsidRPr="0022167B">
        <w:rPr>
          <w:rFonts w:eastAsia="Times New Roman"/>
        </w:rPr>
        <w:t xml:space="preserve"> 5.</w:t>
      </w:r>
    </w:p>
  </w:footnote>
  <w:footnote w:id="32">
    <w:p w14:paraId="6DCA8B68" w14:textId="20DC8881" w:rsidR="00AD0E02" w:rsidRPr="0022167B" w:rsidRDefault="00AD0E02" w:rsidP="00C62AC5">
      <w:pPr>
        <w:pStyle w:val="FootnoteText"/>
        <w:spacing w:before="240"/>
        <w:ind w:firstLine="720"/>
      </w:pPr>
      <w:r w:rsidRPr="0022167B">
        <w:rPr>
          <w:rStyle w:val="FootnoteReference"/>
          <w:rFonts w:eastAsia="Times New Roman"/>
        </w:rPr>
        <w:footnoteRef/>
      </w:r>
      <w:r w:rsidRPr="0022167B">
        <w:rPr>
          <w:rFonts w:eastAsia="Times New Roman"/>
        </w:rPr>
        <w:t xml:space="preserve"> Ibid., </w:t>
      </w:r>
      <w:r w:rsidR="003639C5">
        <w:rPr>
          <w:rFonts w:eastAsia="Times New Roman"/>
        </w:rPr>
        <w:t xml:space="preserve">p. </w:t>
      </w:r>
      <w:r w:rsidRPr="0022167B">
        <w:rPr>
          <w:rFonts w:eastAsia="Times New Roman"/>
        </w:rPr>
        <w:t>85.</w:t>
      </w:r>
    </w:p>
  </w:footnote>
  <w:footnote w:id="33">
    <w:p w14:paraId="12601A3C" w14:textId="3CA0FD5B" w:rsidR="00AD0E02" w:rsidRPr="0022167B" w:rsidRDefault="00AD0E02" w:rsidP="00C62AC5">
      <w:pPr>
        <w:pStyle w:val="FootnoteText"/>
        <w:spacing w:before="240"/>
        <w:ind w:firstLine="720"/>
      </w:pPr>
      <w:r w:rsidRPr="0022167B">
        <w:rPr>
          <w:rStyle w:val="FootnoteReference"/>
          <w:rFonts w:eastAsia="Times New Roman"/>
        </w:rPr>
        <w:footnoteRef/>
      </w:r>
      <w:r w:rsidRPr="0022167B">
        <w:rPr>
          <w:rFonts w:eastAsia="Times New Roman"/>
        </w:rPr>
        <w:t xml:space="preserve"> Ibid., </w:t>
      </w:r>
      <w:r w:rsidR="003639C5">
        <w:rPr>
          <w:rFonts w:eastAsia="Times New Roman"/>
        </w:rPr>
        <w:t xml:space="preserve">p. </w:t>
      </w:r>
      <w:r w:rsidRPr="0022167B">
        <w:rPr>
          <w:rFonts w:eastAsia="Times New Roman"/>
        </w:rPr>
        <w:t>86.</w:t>
      </w:r>
    </w:p>
  </w:footnote>
  <w:footnote w:id="34">
    <w:p w14:paraId="33BD0DAD" w14:textId="7FBB00B3" w:rsidR="00AD0E02" w:rsidRPr="0022167B" w:rsidRDefault="00AD0E02" w:rsidP="00C62AC5">
      <w:pPr>
        <w:pStyle w:val="FootnoteText"/>
        <w:spacing w:before="240"/>
        <w:ind w:firstLine="720"/>
      </w:pPr>
      <w:r w:rsidRPr="0022167B">
        <w:rPr>
          <w:rStyle w:val="FootnoteReference"/>
          <w:rFonts w:eastAsia="Times New Roman"/>
        </w:rPr>
        <w:footnoteRef/>
      </w:r>
      <w:r w:rsidRPr="0022167B">
        <w:rPr>
          <w:rFonts w:eastAsia="Times New Roman"/>
        </w:rPr>
        <w:t xml:space="preserve"> Ibid.,</w:t>
      </w:r>
      <w:r w:rsidR="003639C5">
        <w:rPr>
          <w:rFonts w:eastAsia="Times New Roman"/>
        </w:rPr>
        <w:t xml:space="preserve"> pp.</w:t>
      </w:r>
      <w:r w:rsidRPr="0022167B">
        <w:rPr>
          <w:rFonts w:eastAsia="Times New Roman"/>
        </w:rPr>
        <w:t xml:space="preserve"> 37-38.</w:t>
      </w:r>
    </w:p>
  </w:footnote>
  <w:footnote w:id="35">
    <w:p w14:paraId="751A12E9" w14:textId="6DC1DFA0" w:rsidR="00AD0E02" w:rsidRPr="0022167B" w:rsidRDefault="00AD0E02" w:rsidP="00C62AC5">
      <w:pPr>
        <w:pStyle w:val="FootnoteText"/>
        <w:spacing w:before="240"/>
        <w:ind w:firstLine="720"/>
      </w:pPr>
      <w:r w:rsidRPr="0022167B">
        <w:rPr>
          <w:rStyle w:val="FootnoteReference"/>
          <w:rFonts w:eastAsia="Times New Roman"/>
        </w:rPr>
        <w:footnoteRef/>
      </w:r>
      <w:r w:rsidRPr="0022167B">
        <w:rPr>
          <w:rFonts w:eastAsia="Times New Roman"/>
        </w:rPr>
        <w:t xml:space="preserve"> Ibid., </w:t>
      </w:r>
      <w:r w:rsidR="003639C5">
        <w:rPr>
          <w:rFonts w:eastAsia="Times New Roman"/>
        </w:rPr>
        <w:t xml:space="preserve">pp. </w:t>
      </w:r>
      <w:r w:rsidRPr="0022167B">
        <w:rPr>
          <w:rFonts w:eastAsia="Times New Roman"/>
        </w:rPr>
        <w:t>84-88.</w:t>
      </w:r>
    </w:p>
  </w:footnote>
  <w:footnote w:id="36">
    <w:p w14:paraId="1BC9B7D7" w14:textId="77777777" w:rsidR="00AD0E02" w:rsidRPr="0022167B" w:rsidRDefault="00AD0E02" w:rsidP="00C62AC5">
      <w:pPr>
        <w:pStyle w:val="FootnoteText"/>
        <w:spacing w:before="240"/>
        <w:ind w:firstLine="720"/>
      </w:pPr>
      <w:r w:rsidRPr="0022167B">
        <w:rPr>
          <w:rStyle w:val="FootnoteReference"/>
          <w:rFonts w:eastAsia="Times New Roman"/>
        </w:rPr>
        <w:footnoteRef/>
      </w:r>
      <w:r w:rsidRPr="0022167B">
        <w:rPr>
          <w:rFonts w:eastAsia="Times New Roman"/>
        </w:rPr>
        <w:t xml:space="preserve"> Ibid.</w:t>
      </w:r>
    </w:p>
  </w:footnote>
  <w:footnote w:id="37">
    <w:p w14:paraId="510F5D3B" w14:textId="670EBE21" w:rsidR="00AD0E02" w:rsidRPr="0022167B" w:rsidRDefault="00AD0E02" w:rsidP="00C62AC5">
      <w:pPr>
        <w:pStyle w:val="FootnoteText"/>
        <w:spacing w:before="240"/>
        <w:ind w:firstLine="720"/>
      </w:pPr>
      <w:r w:rsidRPr="0022167B">
        <w:rPr>
          <w:rStyle w:val="FootnoteReference"/>
          <w:rFonts w:eastAsia="Times New Roman"/>
        </w:rPr>
        <w:footnoteRef/>
      </w:r>
      <w:r w:rsidRPr="0022167B">
        <w:rPr>
          <w:rFonts w:eastAsia="Times New Roman"/>
        </w:rPr>
        <w:t xml:space="preserve"> Ibid., </w:t>
      </w:r>
      <w:r w:rsidR="003639C5">
        <w:rPr>
          <w:rFonts w:eastAsia="Times New Roman"/>
        </w:rPr>
        <w:t xml:space="preserve">p. </w:t>
      </w:r>
      <w:r w:rsidRPr="0022167B">
        <w:rPr>
          <w:rFonts w:eastAsia="Times New Roman"/>
        </w:rPr>
        <w:t>89.</w:t>
      </w:r>
    </w:p>
  </w:footnote>
  <w:footnote w:id="38">
    <w:p w14:paraId="616BB798" w14:textId="698A837D" w:rsidR="00AD0E02" w:rsidRPr="0022167B" w:rsidRDefault="00AD0E02" w:rsidP="00C62AC5">
      <w:pPr>
        <w:pStyle w:val="FootnoteText"/>
        <w:spacing w:before="240"/>
        <w:ind w:firstLine="720"/>
      </w:pPr>
      <w:r w:rsidRPr="0022167B">
        <w:rPr>
          <w:rStyle w:val="FootnoteReference"/>
          <w:rFonts w:eastAsia="Times New Roman"/>
        </w:rPr>
        <w:footnoteRef/>
      </w:r>
      <w:r w:rsidRPr="0022167B">
        <w:rPr>
          <w:rFonts w:eastAsia="Times New Roman"/>
        </w:rPr>
        <w:t xml:space="preserve"> Ibid.,</w:t>
      </w:r>
      <w:r w:rsidR="003639C5">
        <w:rPr>
          <w:rFonts w:eastAsia="Times New Roman"/>
        </w:rPr>
        <w:t xml:space="preserve"> p.</w:t>
      </w:r>
      <w:r w:rsidRPr="0022167B">
        <w:rPr>
          <w:rFonts w:eastAsia="Times New Roman"/>
        </w:rPr>
        <w:t xml:space="preserve"> 107.  Also helpful on this theme are pages 99-103.</w:t>
      </w:r>
    </w:p>
  </w:footnote>
  <w:footnote w:id="39">
    <w:p w14:paraId="6F123D5C" w14:textId="77777777" w:rsidR="00AD0E02" w:rsidRPr="0022167B" w:rsidRDefault="00AD0E02" w:rsidP="00C62AC5">
      <w:pPr>
        <w:pStyle w:val="FootnoteText"/>
        <w:spacing w:before="240"/>
        <w:ind w:firstLine="720"/>
      </w:pPr>
      <w:r w:rsidRPr="0022167B">
        <w:rPr>
          <w:rStyle w:val="FootnoteReference"/>
          <w:rFonts w:eastAsia="Times New Roman"/>
        </w:rPr>
        <w:footnoteRef/>
      </w:r>
      <w:r w:rsidRPr="0022167B">
        <w:rPr>
          <w:rFonts w:eastAsia="Times New Roman"/>
        </w:rPr>
        <w:t xml:space="preserve"> Ibid.</w:t>
      </w:r>
    </w:p>
  </w:footnote>
  <w:footnote w:id="40">
    <w:p w14:paraId="10A01D32" w14:textId="69C1E017" w:rsidR="00AD0E02" w:rsidRPr="0022167B" w:rsidRDefault="00AD0E02" w:rsidP="00C62AC5">
      <w:pPr>
        <w:pStyle w:val="FootnoteText"/>
        <w:spacing w:before="240"/>
        <w:ind w:firstLine="720"/>
      </w:pPr>
      <w:r w:rsidRPr="0022167B">
        <w:rPr>
          <w:rStyle w:val="FootnoteReference"/>
          <w:rFonts w:eastAsia="Times New Roman"/>
        </w:rPr>
        <w:footnoteRef/>
      </w:r>
      <w:r w:rsidRPr="0022167B">
        <w:rPr>
          <w:rFonts w:eastAsia="Times New Roman"/>
        </w:rPr>
        <w:t xml:space="preserve"> I placed her as simply a representative of the third reading in </w:t>
      </w:r>
      <w:r w:rsidRPr="0022167B">
        <w:rPr>
          <w:rFonts w:eastAsia="Times New Roman"/>
          <w:i/>
          <w:iCs/>
        </w:rPr>
        <w:t>Conversion and Therapy</w:t>
      </w:r>
      <w:r w:rsidRPr="0022167B">
        <w:rPr>
          <w:rFonts w:eastAsia="Times New Roman"/>
        </w:rPr>
        <w:t>, but perhaps this was a mistake!</w:t>
      </w:r>
    </w:p>
  </w:footnote>
  <w:footnote w:id="41">
    <w:p w14:paraId="296184E8" w14:textId="285E15AE" w:rsidR="00AD0E02" w:rsidRPr="0022167B" w:rsidRDefault="00AD0E02" w:rsidP="00C62AC5">
      <w:pPr>
        <w:pStyle w:val="FootnoteText"/>
        <w:spacing w:before="240"/>
        <w:ind w:firstLine="720"/>
      </w:pPr>
      <w:r w:rsidRPr="0022167B">
        <w:rPr>
          <w:rStyle w:val="FootnoteReference"/>
        </w:rPr>
        <w:footnoteRef/>
      </w:r>
      <w:r w:rsidRPr="0022167B">
        <w:t xml:space="preserve"> And perhaps vice versa as well—as Van Fleteren advises. </w:t>
      </w:r>
    </w:p>
  </w:footnote>
  <w:footnote w:id="42">
    <w:p w14:paraId="61F5A01B" w14:textId="789CE372" w:rsidR="00AD0E02" w:rsidRPr="0022167B" w:rsidRDefault="00AD0E02" w:rsidP="00C62AC5">
      <w:pPr>
        <w:pStyle w:val="FootnoteText"/>
        <w:spacing w:before="240"/>
        <w:ind w:firstLine="720"/>
      </w:pPr>
      <w:r w:rsidRPr="0022167B">
        <w:rPr>
          <w:rStyle w:val="FootnoteReference"/>
        </w:rPr>
        <w:footnoteRef/>
      </w:r>
      <w:r w:rsidRPr="0022167B">
        <w:t xml:space="preserve"> </w:t>
      </w:r>
      <w:r w:rsidR="00FB0E4E" w:rsidRPr="0022167B">
        <w:t xml:space="preserve">Gerald Bonner, </w:t>
      </w:r>
      <w:r w:rsidR="00FB0E4E" w:rsidRPr="0022167B">
        <w:rPr>
          <w:i/>
          <w:iCs/>
        </w:rPr>
        <w:t>God’s Decree and Man’s Destiny: Studies on the Thought of Augustine of Hippo</w:t>
      </w:r>
      <w:r w:rsidR="00FB0E4E" w:rsidRPr="0022167B">
        <w:t xml:space="preserve"> (London: Variorum Reprints, 1987),</w:t>
      </w:r>
      <w:r w:rsidR="00677865">
        <w:t xml:space="preserve"> pp.</w:t>
      </w:r>
      <w:r w:rsidRPr="0022167B">
        <w:t xml:space="preserve"> 149-</w:t>
      </w:r>
      <w:r w:rsidR="009732B1">
        <w:t>1</w:t>
      </w:r>
      <w:r w:rsidRPr="0022167B">
        <w:t>50.</w:t>
      </w:r>
    </w:p>
  </w:footnote>
  <w:footnote w:id="43">
    <w:p w14:paraId="295C9402" w14:textId="4CBDC42A" w:rsidR="00AD0E02" w:rsidRPr="0022167B" w:rsidRDefault="00AD0E02" w:rsidP="00C62AC5">
      <w:pPr>
        <w:pStyle w:val="FootnoteText"/>
        <w:spacing w:before="240"/>
        <w:ind w:firstLine="720"/>
      </w:pPr>
      <w:r w:rsidRPr="0022167B">
        <w:rPr>
          <w:rStyle w:val="FootnoteReference"/>
          <w:rFonts w:eastAsia="Times New Roman"/>
        </w:rPr>
        <w:footnoteRef/>
      </w:r>
      <w:r w:rsidRPr="0022167B">
        <w:rPr>
          <w:rFonts w:eastAsia="Times New Roman"/>
        </w:rPr>
        <w:t xml:space="preserve"> Clark, Review, </w:t>
      </w:r>
      <w:r w:rsidR="00677865">
        <w:rPr>
          <w:rFonts w:eastAsia="Times New Roman"/>
        </w:rPr>
        <w:t xml:space="preserve">pp. </w:t>
      </w:r>
      <w:r w:rsidRPr="0022167B">
        <w:rPr>
          <w:rFonts w:eastAsia="Times New Roman"/>
        </w:rPr>
        <w:t>427-</w:t>
      </w:r>
      <w:r w:rsidR="009732B1">
        <w:rPr>
          <w:rFonts w:eastAsia="Times New Roman"/>
        </w:rPr>
        <w:t>4</w:t>
      </w:r>
      <w:r w:rsidRPr="0022167B">
        <w:rPr>
          <w:rFonts w:eastAsia="Times New Roman"/>
        </w:rPr>
        <w:t xml:space="preserve">39. Also numerous passages in </w:t>
      </w:r>
      <w:r w:rsidR="009C4C33" w:rsidRPr="0022167B">
        <w:t xml:space="preserve">Mary T. Clark, </w:t>
      </w:r>
      <w:r w:rsidR="009C4C33" w:rsidRPr="0022167B">
        <w:rPr>
          <w:i/>
          <w:iCs/>
        </w:rPr>
        <w:t>Augustine</w:t>
      </w:r>
      <w:r w:rsidR="009C4C33" w:rsidRPr="0022167B">
        <w:t xml:space="preserve"> (London: Continuum, 1994)</w:t>
      </w:r>
      <w:r w:rsidRPr="0022167B">
        <w:rPr>
          <w:rFonts w:eastAsia="Times New Roman"/>
        </w:rPr>
        <w:t>.</w:t>
      </w:r>
    </w:p>
  </w:footnote>
  <w:footnote w:id="44">
    <w:p w14:paraId="60373A3C" w14:textId="2BB07F73" w:rsidR="00AD0E02" w:rsidRPr="0022167B" w:rsidRDefault="00AD0E02" w:rsidP="00C62AC5">
      <w:pPr>
        <w:pStyle w:val="FootnoteText"/>
        <w:spacing w:before="240"/>
        <w:ind w:firstLine="720"/>
      </w:pPr>
      <w:r w:rsidRPr="0022167B">
        <w:rPr>
          <w:rStyle w:val="FootnoteReference"/>
          <w:rFonts w:eastAsia="Times New Roman"/>
        </w:rPr>
        <w:footnoteRef/>
      </w:r>
      <w:r w:rsidRPr="0022167B">
        <w:rPr>
          <w:rFonts w:eastAsia="Times New Roman"/>
        </w:rPr>
        <w:t xml:space="preserve"> </w:t>
      </w:r>
      <w:r w:rsidRPr="0022167B">
        <w:rPr>
          <w:rFonts w:eastAsia="Times New Roman"/>
          <w:i/>
          <w:iCs/>
        </w:rPr>
        <w:t>Contra</w:t>
      </w:r>
      <w:r w:rsidRPr="0022167B">
        <w:rPr>
          <w:rFonts w:eastAsia="Times New Roman"/>
        </w:rPr>
        <w:t xml:space="preserve"> O’Connell, see </w:t>
      </w:r>
      <w:r w:rsidR="005E6540" w:rsidRPr="0022167B">
        <w:t xml:space="preserve">Ernest L. Fortin, Review of </w:t>
      </w:r>
      <w:r w:rsidR="005E6540" w:rsidRPr="0022167B">
        <w:rPr>
          <w:i/>
          <w:iCs/>
        </w:rPr>
        <w:t>Saint Augustine’s Early Theory of Man, A.D. 386</w:t>
      </w:r>
      <w:r w:rsidR="005E6540" w:rsidRPr="0022167B">
        <w:t>–</w:t>
      </w:r>
      <w:r w:rsidR="005E6540" w:rsidRPr="0022167B">
        <w:rPr>
          <w:i/>
          <w:iCs/>
        </w:rPr>
        <w:t>391</w:t>
      </w:r>
      <w:r w:rsidR="005E6540" w:rsidRPr="0022167B">
        <w:t xml:space="preserve">, by Robert J. O’Connell; </w:t>
      </w:r>
      <w:r w:rsidR="005E6540" w:rsidRPr="0022167B">
        <w:rPr>
          <w:i/>
          <w:iCs/>
        </w:rPr>
        <w:t>The Birth of Philosophic Christianity: Studies in Early Christian and Medieval Thought</w:t>
      </w:r>
      <w:r w:rsidR="005E6540" w:rsidRPr="0022167B">
        <w:t xml:space="preserve">, ed. J. Brian Benestad: </w:t>
      </w:r>
      <w:r w:rsidR="00E96D68">
        <w:t xml:space="preserve">pp. </w:t>
      </w:r>
      <w:r w:rsidR="005E6540" w:rsidRPr="0022167B">
        <w:t>309-11; in Ernest Fortin: Collected Essays 1 (Lanham: Rowman and Littlefield, 1996)</w:t>
      </w:r>
      <w:r w:rsidRPr="0022167B">
        <w:rPr>
          <w:rFonts w:eastAsia="Times New Roman"/>
        </w:rPr>
        <w:t xml:space="preserve">.  </w:t>
      </w:r>
      <w:r w:rsidR="00CC7CC7">
        <w:rPr>
          <w:rFonts w:eastAsia="Times New Roman"/>
        </w:rPr>
        <w:t xml:space="preserve">Another good introduction to Fortin is </w:t>
      </w:r>
      <w:r w:rsidR="005E6540" w:rsidRPr="0022167B">
        <w:t xml:space="preserve">Ernest L. Fortin, </w:t>
      </w:r>
      <w:r w:rsidR="0026323A">
        <w:t>‘</w:t>
      </w:r>
      <w:r w:rsidR="005E6540" w:rsidRPr="0022167B">
        <w:t>Reflections on the Proper Way to Read Augustine the Theologian;</w:t>
      </w:r>
      <w:r w:rsidR="0026323A">
        <w:t>’</w:t>
      </w:r>
      <w:r w:rsidR="005E6540" w:rsidRPr="0022167B">
        <w:t xml:space="preserve"> </w:t>
      </w:r>
      <w:r w:rsidR="005E6540" w:rsidRPr="0022167B">
        <w:rPr>
          <w:i/>
          <w:iCs/>
        </w:rPr>
        <w:t>The Birth of Philosophic Christianity: Studies in Early Christian and Medieval Thought</w:t>
      </w:r>
      <w:r w:rsidR="005E6540" w:rsidRPr="0022167B">
        <w:t xml:space="preserve">, ed. J. Brian Benestad: </w:t>
      </w:r>
      <w:r w:rsidR="00677865">
        <w:t xml:space="preserve">pp. </w:t>
      </w:r>
      <w:r w:rsidR="005E6540" w:rsidRPr="0022167B">
        <w:t>95–114; in Ernest Fortin: Collected Essays 1 (Lanham: Rowman and Littlefield, 1996)</w:t>
      </w:r>
      <w:r w:rsidRPr="0022167B">
        <w:rPr>
          <w:rFonts w:eastAsia="Times New Roman"/>
        </w:rPr>
        <w:t>.</w:t>
      </w:r>
    </w:p>
  </w:footnote>
  <w:footnote w:id="45">
    <w:p w14:paraId="398A7609" w14:textId="40CA2C13" w:rsidR="00AD0E02" w:rsidRPr="0022167B" w:rsidRDefault="00AD0E02" w:rsidP="00C62AC5">
      <w:pPr>
        <w:pStyle w:val="FootnoteText"/>
        <w:spacing w:before="240"/>
        <w:ind w:firstLine="720"/>
      </w:pPr>
      <w:r w:rsidRPr="0022167B">
        <w:rPr>
          <w:rStyle w:val="FootnoteReference"/>
          <w:rFonts w:eastAsia="Times New Roman"/>
        </w:rPr>
        <w:footnoteRef/>
      </w:r>
      <w:r w:rsidRPr="0022167B">
        <w:rPr>
          <w:rFonts w:eastAsia="Times New Roman"/>
        </w:rPr>
        <w:t xml:space="preserve"> See below.</w:t>
      </w:r>
    </w:p>
  </w:footnote>
  <w:footnote w:id="46">
    <w:p w14:paraId="0FDEF936" w14:textId="45704070" w:rsidR="00AD0E02" w:rsidRPr="0022167B" w:rsidRDefault="00AD0E02" w:rsidP="00C62AC5">
      <w:pPr>
        <w:pStyle w:val="FootnoteText"/>
        <w:spacing w:before="240"/>
        <w:ind w:firstLine="720"/>
      </w:pPr>
      <w:r w:rsidRPr="0022167B">
        <w:rPr>
          <w:rStyle w:val="FootnoteReference"/>
          <w:rFonts w:eastAsia="Times New Roman"/>
        </w:rPr>
        <w:footnoteRef/>
      </w:r>
      <w:r w:rsidRPr="0022167B">
        <w:rPr>
          <w:rFonts w:eastAsia="Times New Roman"/>
        </w:rPr>
        <w:t xml:space="preserve"> </w:t>
      </w:r>
      <w:r w:rsidR="00CF1B9C" w:rsidRPr="0022167B">
        <w:t xml:space="preserve">Rowan Williams, </w:t>
      </w:r>
      <w:r w:rsidR="00CF1B9C" w:rsidRPr="0022167B">
        <w:rPr>
          <w:i/>
          <w:iCs/>
        </w:rPr>
        <w:t>On Augustine</w:t>
      </w:r>
      <w:r w:rsidR="00CF1B9C" w:rsidRPr="0022167B">
        <w:t xml:space="preserve"> (London: Bloomsbury, 2016)</w:t>
      </w:r>
      <w:r w:rsidRPr="0022167B">
        <w:rPr>
          <w:rFonts w:eastAsia="Times New Roman"/>
        </w:rPr>
        <w:t xml:space="preserve">.  For example, we cannot be converted to God by neo-Platonic vision, but need the love of God taught through the Incarnation; </w:t>
      </w:r>
      <w:r w:rsidRPr="0022167B">
        <w:rPr>
          <w:rFonts w:eastAsia="Times New Roman"/>
          <w:i/>
        </w:rPr>
        <w:t>On Augustine</w:t>
      </w:r>
      <w:r w:rsidRPr="0022167B">
        <w:rPr>
          <w:rFonts w:eastAsia="Times New Roman"/>
        </w:rPr>
        <w:t xml:space="preserve">, Kindle location 477-493.  Williams suggests that one lesson of the </w:t>
      </w:r>
      <w:r w:rsidRPr="0022167B">
        <w:rPr>
          <w:rFonts w:eastAsia="Times New Roman"/>
          <w:i/>
          <w:iCs/>
        </w:rPr>
        <w:t>Confessions</w:t>
      </w:r>
      <w:r w:rsidRPr="0022167B">
        <w:rPr>
          <w:rFonts w:eastAsia="Times New Roman"/>
        </w:rPr>
        <w:t xml:space="preserve"> is that neo-Platonism </w:t>
      </w:r>
      <w:r w:rsidR="0026323A">
        <w:rPr>
          <w:rFonts w:eastAsia="Times New Roman"/>
        </w:rPr>
        <w:t>‘</w:t>
      </w:r>
      <w:r w:rsidRPr="0022167B">
        <w:rPr>
          <w:rFonts w:eastAsia="Times New Roman"/>
        </w:rPr>
        <w:t>serves first to liberate desire</w:t>
      </w:r>
      <w:r w:rsidR="0026323A">
        <w:rPr>
          <w:rFonts w:eastAsia="Times New Roman"/>
        </w:rPr>
        <w:t>’</w:t>
      </w:r>
      <w:r w:rsidRPr="0022167B">
        <w:rPr>
          <w:rFonts w:eastAsia="Times New Roman"/>
        </w:rPr>
        <w:t xml:space="preserve"> from service to inferior objects, but does not accomplish a necessary </w:t>
      </w:r>
      <w:r w:rsidR="0026323A">
        <w:rPr>
          <w:rFonts w:eastAsia="Times New Roman"/>
        </w:rPr>
        <w:t>‘</w:t>
      </w:r>
      <w:r w:rsidRPr="0022167B">
        <w:rPr>
          <w:rFonts w:eastAsia="Times New Roman"/>
        </w:rPr>
        <w:t>second purification</w:t>
      </w:r>
      <w:r w:rsidR="0026323A">
        <w:rPr>
          <w:rFonts w:eastAsia="Times New Roman"/>
        </w:rPr>
        <w:t>’</w:t>
      </w:r>
      <w:r w:rsidRPr="0022167B">
        <w:rPr>
          <w:rFonts w:eastAsia="Times New Roman"/>
        </w:rPr>
        <w:t xml:space="preserve"> for the soul—its learning to love the right things.  This requires the life of the church; Kindle location 1318.</w:t>
      </w:r>
    </w:p>
  </w:footnote>
  <w:footnote w:id="47">
    <w:p w14:paraId="61C0B4BC" w14:textId="328DB8E8" w:rsidR="00AD0E02" w:rsidRPr="0022167B" w:rsidRDefault="00AD0E02" w:rsidP="00C62AC5">
      <w:pPr>
        <w:pStyle w:val="FootnoteText"/>
        <w:spacing w:before="240"/>
        <w:ind w:firstLine="720"/>
      </w:pPr>
      <w:r w:rsidRPr="0022167B">
        <w:rPr>
          <w:rStyle w:val="FootnoteReference"/>
          <w:rFonts w:eastAsia="Times New Roman"/>
        </w:rPr>
        <w:footnoteRef/>
      </w:r>
      <w:r w:rsidRPr="0022167B">
        <w:rPr>
          <w:rFonts w:eastAsia="Times New Roman"/>
        </w:rPr>
        <w:t xml:space="preserve"> </w:t>
      </w:r>
      <w:r w:rsidR="0026323A">
        <w:rPr>
          <w:rFonts w:eastAsia="Times New Roman"/>
        </w:rPr>
        <w:t>‘</w:t>
      </w:r>
      <w:r w:rsidRPr="0022167B">
        <w:rPr>
          <w:rFonts w:eastAsia="Times New Roman"/>
        </w:rPr>
        <w:t>Augustine’s philosophy, remaining philosophy, is a philosophizing within the biblical revelation, . . . .</w:t>
      </w:r>
      <w:r w:rsidR="0026323A">
        <w:rPr>
          <w:rFonts w:eastAsia="Times New Roman"/>
        </w:rPr>
        <w:t>’</w:t>
      </w:r>
      <w:r w:rsidRPr="0022167B">
        <w:rPr>
          <w:rFonts w:eastAsia="Times New Roman"/>
        </w:rPr>
        <w:t xml:space="preserve"> </w:t>
      </w:r>
      <w:r w:rsidR="00F1574D" w:rsidRPr="0022167B">
        <w:t xml:space="preserve">Eugene Kevane, </w:t>
      </w:r>
      <w:r w:rsidR="0026323A">
        <w:t>‘</w:t>
      </w:r>
      <w:r w:rsidR="00F1574D" w:rsidRPr="0022167B">
        <w:t>Christian Philosophy: The Intellectual Side of Augustine’s Conversion;</w:t>
      </w:r>
      <w:r w:rsidR="0026323A">
        <w:t>’</w:t>
      </w:r>
      <w:r w:rsidR="00F1574D" w:rsidRPr="0022167B">
        <w:t xml:space="preserve"> </w:t>
      </w:r>
      <w:r w:rsidR="00F1574D" w:rsidRPr="0022167B">
        <w:rPr>
          <w:i/>
          <w:iCs/>
        </w:rPr>
        <w:t>Augustinian Studies</w:t>
      </w:r>
      <w:r w:rsidR="00F1574D" w:rsidRPr="0022167B">
        <w:t xml:space="preserve"> 17 (1986), </w:t>
      </w:r>
      <w:r w:rsidR="00E96D68">
        <w:rPr>
          <w:rFonts w:eastAsia="Times New Roman"/>
        </w:rPr>
        <w:t>p. 6</w:t>
      </w:r>
      <w:r w:rsidRPr="0022167B">
        <w:rPr>
          <w:rFonts w:eastAsia="Times New Roman"/>
        </w:rPr>
        <w:t>4. Also</w:t>
      </w:r>
      <w:r w:rsidR="00F1574D" w:rsidRPr="0022167B">
        <w:rPr>
          <w:rFonts w:eastAsia="Times New Roman"/>
        </w:rPr>
        <w:t xml:space="preserve"> see</w:t>
      </w:r>
      <w:r w:rsidRPr="0022167B">
        <w:rPr>
          <w:rFonts w:eastAsia="Times New Roman"/>
        </w:rPr>
        <w:t xml:space="preserve"> Kevane, </w:t>
      </w:r>
      <w:r w:rsidRPr="0022167B">
        <w:rPr>
          <w:rFonts w:eastAsia="Times New Roman"/>
          <w:i/>
        </w:rPr>
        <w:t>Augustine the Educator</w:t>
      </w:r>
      <w:r w:rsidRPr="0022167B">
        <w:rPr>
          <w:rFonts w:eastAsia="Times New Roman"/>
        </w:rPr>
        <w:t>.</w:t>
      </w:r>
    </w:p>
  </w:footnote>
  <w:footnote w:id="48">
    <w:p w14:paraId="38E2809D" w14:textId="3F18F305" w:rsidR="00AD0E02" w:rsidRPr="0022167B" w:rsidRDefault="00AD0E02" w:rsidP="00C62AC5">
      <w:pPr>
        <w:pStyle w:val="FootnoteText"/>
        <w:spacing w:before="240"/>
        <w:ind w:firstLine="720"/>
      </w:pPr>
      <w:r w:rsidRPr="0022167B">
        <w:rPr>
          <w:rStyle w:val="FootnoteReference"/>
          <w:rFonts w:eastAsia="Times New Roman"/>
        </w:rPr>
        <w:footnoteRef/>
      </w:r>
      <w:r w:rsidRPr="0022167B">
        <w:rPr>
          <w:rFonts w:eastAsia="Times New Roman"/>
        </w:rPr>
        <w:t xml:space="preserve"> </w:t>
      </w:r>
      <w:r w:rsidR="005E6540" w:rsidRPr="0022167B">
        <w:t xml:space="preserve">Michael P. Foley, </w:t>
      </w:r>
      <w:r w:rsidR="0026323A">
        <w:t>‘</w:t>
      </w:r>
      <w:r w:rsidR="005E6540" w:rsidRPr="0022167B">
        <w:t>Cicero, Augustine, and the Philosophical Roots of the Cassiciacum Dialogues;</w:t>
      </w:r>
      <w:r w:rsidR="0026323A">
        <w:t>’</w:t>
      </w:r>
      <w:r w:rsidR="005E6540" w:rsidRPr="0022167B">
        <w:t xml:space="preserve"> </w:t>
      </w:r>
      <w:r w:rsidR="005E6540" w:rsidRPr="0022167B">
        <w:rPr>
          <w:i/>
          <w:iCs/>
        </w:rPr>
        <w:t>Revue des Études Augustiennes</w:t>
      </w:r>
      <w:r w:rsidR="005E6540" w:rsidRPr="0022167B">
        <w:t xml:space="preserve"> 45 (1999), </w:t>
      </w:r>
      <w:r w:rsidR="00603C03">
        <w:t xml:space="preserve">pp. </w:t>
      </w:r>
      <w:r w:rsidR="005E6540" w:rsidRPr="0022167B">
        <w:t xml:space="preserve">51–77; Michael P. Foley, </w:t>
      </w:r>
      <w:r w:rsidR="0026323A">
        <w:t>‘</w:t>
      </w:r>
      <w:r w:rsidR="005E6540" w:rsidRPr="0022167B">
        <w:t>The Other Happy Life: The Political Dimensions to St. Augustine’s Cassiciacum Dialogues;</w:t>
      </w:r>
      <w:r w:rsidR="0026323A">
        <w:t>’</w:t>
      </w:r>
      <w:r w:rsidR="005E6540" w:rsidRPr="0022167B">
        <w:t xml:space="preserve"> </w:t>
      </w:r>
      <w:r w:rsidR="005E6540" w:rsidRPr="0022167B">
        <w:rPr>
          <w:i/>
          <w:iCs/>
        </w:rPr>
        <w:t>The Review of Politics</w:t>
      </w:r>
      <w:r w:rsidR="005E6540" w:rsidRPr="0022167B">
        <w:t xml:space="preserve"> 65.2 (2003), </w:t>
      </w:r>
      <w:r w:rsidR="00603C03">
        <w:t xml:space="preserve">pp. </w:t>
      </w:r>
      <w:r w:rsidR="005E6540" w:rsidRPr="0022167B">
        <w:t>165–</w:t>
      </w:r>
      <w:r w:rsidR="009732B1">
        <w:t>1</w:t>
      </w:r>
      <w:r w:rsidR="005E6540" w:rsidRPr="0022167B">
        <w:t xml:space="preserve">83; and Michael P. Foley, </w:t>
      </w:r>
      <w:r w:rsidR="0026323A">
        <w:t>‘</w:t>
      </w:r>
      <w:r w:rsidR="005E6540" w:rsidRPr="0022167B">
        <w:t xml:space="preserve">The Sacramental Topography of the </w:t>
      </w:r>
      <w:r w:rsidR="005E6540" w:rsidRPr="0022167B">
        <w:rPr>
          <w:i/>
          <w:iCs/>
        </w:rPr>
        <w:t>Confessions</w:t>
      </w:r>
      <w:r w:rsidR="005E6540" w:rsidRPr="0022167B">
        <w:t>;</w:t>
      </w:r>
      <w:r w:rsidR="0026323A">
        <w:t>’</w:t>
      </w:r>
      <w:r w:rsidR="005E6540" w:rsidRPr="0022167B">
        <w:t xml:space="preserve"> </w:t>
      </w:r>
      <w:r w:rsidR="005E6540" w:rsidRPr="0022167B">
        <w:rPr>
          <w:i/>
          <w:iCs/>
        </w:rPr>
        <w:t>Antiphon</w:t>
      </w:r>
      <w:r w:rsidR="005E6540" w:rsidRPr="0022167B">
        <w:t xml:space="preserve"> 9:1 (Spring 2005),</w:t>
      </w:r>
      <w:r w:rsidR="00603C03">
        <w:t xml:space="preserve"> pp.</w:t>
      </w:r>
      <w:r w:rsidR="005E6540" w:rsidRPr="0022167B">
        <w:t xml:space="preserve"> 30-65.</w:t>
      </w:r>
    </w:p>
  </w:footnote>
  <w:footnote w:id="49">
    <w:p w14:paraId="16720468" w14:textId="3AC20639" w:rsidR="00AD0E02" w:rsidRPr="0022167B" w:rsidRDefault="00AD0E02" w:rsidP="00C62AC5">
      <w:pPr>
        <w:pStyle w:val="FootnoteText"/>
        <w:spacing w:before="240"/>
        <w:ind w:firstLine="720"/>
      </w:pPr>
      <w:r w:rsidRPr="0022167B">
        <w:rPr>
          <w:rStyle w:val="FootnoteReference"/>
          <w:rFonts w:eastAsia="Times New Roman"/>
        </w:rPr>
        <w:footnoteRef/>
      </w:r>
      <w:r w:rsidRPr="0022167B">
        <w:rPr>
          <w:rFonts w:eastAsia="Times New Roman"/>
        </w:rPr>
        <w:t xml:space="preserve"> </w:t>
      </w:r>
      <w:r w:rsidR="003B140C" w:rsidRPr="0022167B">
        <w:t xml:space="preserve">Etienne Gilson, </w:t>
      </w:r>
      <w:r w:rsidR="003B140C" w:rsidRPr="0022167B">
        <w:rPr>
          <w:i/>
          <w:iCs/>
        </w:rPr>
        <w:t>The Christian Philosophy of Saint Augustine</w:t>
      </w:r>
      <w:r w:rsidR="003B140C" w:rsidRPr="0022167B">
        <w:t>, trans. L. E. M. Lynch (New York: Random House, 1960).</w:t>
      </w:r>
    </w:p>
  </w:footnote>
  <w:footnote w:id="50">
    <w:p w14:paraId="6E6FB97F" w14:textId="0E27BC36" w:rsidR="00AD0E02" w:rsidRPr="0022167B" w:rsidRDefault="00AD0E02" w:rsidP="00C62AC5">
      <w:pPr>
        <w:pStyle w:val="FootnoteText"/>
        <w:spacing w:before="240"/>
        <w:ind w:firstLine="720"/>
      </w:pPr>
      <w:r w:rsidRPr="0022167B">
        <w:rPr>
          <w:rStyle w:val="FootnoteReference"/>
          <w:rFonts w:eastAsia="Times New Roman"/>
        </w:rPr>
        <w:footnoteRef/>
      </w:r>
      <w:r w:rsidRPr="0022167B">
        <w:rPr>
          <w:rFonts w:eastAsia="Times New Roman"/>
        </w:rPr>
        <w:t xml:space="preserve"> </w:t>
      </w:r>
      <w:r w:rsidR="00CF1B9C" w:rsidRPr="0022167B">
        <w:t xml:space="preserve">Matthew Levering, </w:t>
      </w:r>
      <w:r w:rsidR="00CF1B9C" w:rsidRPr="0022167B">
        <w:rPr>
          <w:i/>
          <w:iCs/>
        </w:rPr>
        <w:t>The Theology of Augustine: an Introductory Guide to His Most Important Works</w:t>
      </w:r>
      <w:r w:rsidR="00CF1B9C" w:rsidRPr="0022167B">
        <w:t xml:space="preserve"> (Grand Rapids: Baker, 2013).</w:t>
      </w:r>
    </w:p>
  </w:footnote>
  <w:footnote w:id="51">
    <w:p w14:paraId="4F2C2403" w14:textId="4AAC76CF" w:rsidR="00AD0E02" w:rsidRPr="0022167B" w:rsidRDefault="00AD0E02" w:rsidP="00C62AC5">
      <w:pPr>
        <w:pStyle w:val="FootnoteText"/>
        <w:spacing w:before="240"/>
        <w:ind w:firstLine="720"/>
      </w:pPr>
      <w:r w:rsidRPr="0022167B">
        <w:rPr>
          <w:rStyle w:val="FootnoteReference"/>
          <w:rFonts w:eastAsia="Times New Roman"/>
        </w:rPr>
        <w:footnoteRef/>
      </w:r>
      <w:r w:rsidRPr="0022167B">
        <w:rPr>
          <w:rFonts w:eastAsia="Times New Roman"/>
        </w:rPr>
        <w:t xml:space="preserve"> </w:t>
      </w:r>
      <w:r w:rsidR="00CF1B9C" w:rsidRPr="0022167B">
        <w:t xml:space="preserve">Gerald McDermott, </w:t>
      </w:r>
      <w:r w:rsidR="00CF1B9C" w:rsidRPr="0022167B">
        <w:rPr>
          <w:i/>
          <w:iCs/>
        </w:rPr>
        <w:t>The Great Theologians: A Brief Guide</w:t>
      </w:r>
      <w:r w:rsidR="00CF1B9C" w:rsidRPr="0022167B">
        <w:t xml:space="preserve"> (Downers Grove: InterVarsity, 2010)</w:t>
      </w:r>
      <w:r w:rsidRPr="0022167B">
        <w:rPr>
          <w:rFonts w:eastAsia="Times New Roman"/>
        </w:rPr>
        <w:t>, chapter 4.</w:t>
      </w:r>
    </w:p>
  </w:footnote>
  <w:footnote w:id="52">
    <w:p w14:paraId="6B6E7010" w14:textId="67F5A0E2" w:rsidR="00AD0E02" w:rsidRPr="0022167B" w:rsidRDefault="00AD0E02" w:rsidP="00C62AC5">
      <w:pPr>
        <w:pStyle w:val="FootnoteText"/>
        <w:spacing w:before="240"/>
        <w:ind w:firstLine="720"/>
      </w:pPr>
      <w:r w:rsidRPr="0022167B">
        <w:rPr>
          <w:rStyle w:val="FootnoteReference"/>
          <w:rFonts w:eastAsia="Times New Roman"/>
        </w:rPr>
        <w:footnoteRef/>
      </w:r>
      <w:r w:rsidRPr="0022167B">
        <w:rPr>
          <w:rFonts w:eastAsia="Times New Roman"/>
        </w:rPr>
        <w:t xml:space="preserve"> </w:t>
      </w:r>
      <w:r w:rsidR="005E6540" w:rsidRPr="0022167B">
        <w:t xml:space="preserve">Augustine J. Curley </w:t>
      </w:r>
      <w:r w:rsidR="005E6540" w:rsidRPr="0022167B">
        <w:rPr>
          <w:i/>
          <w:iCs/>
        </w:rPr>
        <w:t xml:space="preserve">Augustine’s Critique of Skepticism: A Study of </w:t>
      </w:r>
      <w:r w:rsidR="005E6540" w:rsidRPr="0022167B">
        <w:t>Contra</w:t>
      </w:r>
      <w:r w:rsidR="005E6540" w:rsidRPr="0022167B">
        <w:rPr>
          <w:i/>
          <w:iCs/>
        </w:rPr>
        <w:t xml:space="preserve"> </w:t>
      </w:r>
      <w:r w:rsidR="005E6540" w:rsidRPr="0022167B">
        <w:t>Academicos (New York: Peter Lang, 1996).</w:t>
      </w:r>
    </w:p>
  </w:footnote>
  <w:footnote w:id="53">
    <w:p w14:paraId="0A23BD9C" w14:textId="77777777" w:rsidR="00AD0E02" w:rsidRPr="0022167B" w:rsidRDefault="00AD0E02" w:rsidP="00C62AC5">
      <w:pPr>
        <w:pStyle w:val="FootnoteText"/>
        <w:spacing w:before="240"/>
        <w:ind w:firstLine="720"/>
      </w:pPr>
      <w:r w:rsidRPr="0022167B">
        <w:rPr>
          <w:rStyle w:val="FootnoteReference"/>
          <w:rFonts w:eastAsia="Times New Roman"/>
        </w:rPr>
        <w:footnoteRef/>
      </w:r>
      <w:r w:rsidRPr="0022167B">
        <w:rPr>
          <w:rFonts w:eastAsia="Times New Roman"/>
        </w:rPr>
        <w:t xml:space="preserve"> </w:t>
      </w:r>
      <w:r w:rsidRPr="0022167B">
        <w:rPr>
          <w:rFonts w:eastAsia="Times New Roman"/>
          <w:i/>
          <w:iCs/>
        </w:rPr>
        <w:t>Journey Toward God</w:t>
      </w:r>
      <w:r w:rsidRPr="0022167B">
        <w:rPr>
          <w:rFonts w:eastAsia="Times New Roman"/>
        </w:rPr>
        <w:t xml:space="preserve">, </w:t>
      </w:r>
      <w:r w:rsidRPr="0022167B">
        <w:rPr>
          <w:rFonts w:eastAsia="Times New Roman"/>
          <w:i/>
          <w:iCs/>
        </w:rPr>
        <w:t>Encounters with God</w:t>
      </w:r>
      <w:r w:rsidRPr="0022167B">
        <w:rPr>
          <w:rFonts w:eastAsia="Times New Roman"/>
        </w:rPr>
        <w:t xml:space="preserve">, and </w:t>
      </w:r>
      <w:r w:rsidRPr="0022167B">
        <w:rPr>
          <w:rFonts w:eastAsia="Times New Roman"/>
          <w:i/>
          <w:iCs/>
        </w:rPr>
        <w:t>Access to God</w:t>
      </w:r>
      <w:r w:rsidRPr="0022167B">
        <w:rPr>
          <w:rFonts w:eastAsia="Times New Roman"/>
        </w:rPr>
        <w:t>.</w:t>
      </w:r>
    </w:p>
  </w:footnote>
  <w:footnote w:id="54">
    <w:p w14:paraId="282FEBA8" w14:textId="77777777" w:rsidR="00AD0E02" w:rsidRPr="0022167B" w:rsidRDefault="00AD0E02" w:rsidP="00C62AC5">
      <w:pPr>
        <w:pStyle w:val="FootnoteText"/>
        <w:spacing w:before="240"/>
        <w:ind w:firstLine="720"/>
      </w:pPr>
      <w:r w:rsidRPr="0022167B">
        <w:rPr>
          <w:rStyle w:val="FootnoteReference"/>
          <w:rFonts w:eastAsia="Times New Roman"/>
        </w:rPr>
        <w:footnoteRef/>
      </w:r>
      <w:r w:rsidRPr="0022167B">
        <w:rPr>
          <w:rFonts w:eastAsia="Times New Roman"/>
        </w:rPr>
        <w:t xml:space="preserve"> See below.</w:t>
      </w:r>
    </w:p>
  </w:footnote>
  <w:footnote w:id="55">
    <w:p w14:paraId="076A98E7" w14:textId="36FFDFB7" w:rsidR="00ED7069" w:rsidRPr="0022167B" w:rsidRDefault="00ED7069" w:rsidP="00C62AC5">
      <w:pPr>
        <w:pStyle w:val="FootnoteText"/>
        <w:spacing w:before="240"/>
        <w:ind w:firstLine="720"/>
      </w:pPr>
      <w:r w:rsidRPr="0022167B">
        <w:rPr>
          <w:rStyle w:val="FootnoteReference"/>
        </w:rPr>
        <w:footnoteRef/>
      </w:r>
      <w:r w:rsidRPr="0022167B">
        <w:t xml:space="preserve"> </w:t>
      </w:r>
      <w:r w:rsidR="00FB0E4E" w:rsidRPr="0022167B">
        <w:t xml:space="preserve">Lewis Ayres, </w:t>
      </w:r>
      <w:r w:rsidR="00FB0E4E" w:rsidRPr="0022167B">
        <w:rPr>
          <w:i/>
        </w:rPr>
        <w:t>Augustine and the Trinity</w:t>
      </w:r>
      <w:r w:rsidR="00FB0E4E" w:rsidRPr="0022167B">
        <w:t xml:space="preserve"> (Cambridge: Cambridge University Press, 2014)</w:t>
      </w:r>
      <w:r w:rsidRPr="0022167B">
        <w:t xml:space="preserve">. For a helpful summary of the importance of Ayres’ work in context of other scholarship, see </w:t>
      </w:r>
      <w:r w:rsidR="007F64D3" w:rsidRPr="0022167B">
        <w:t xml:space="preserve">Jason Byassee, </w:t>
      </w:r>
      <w:r w:rsidR="007F64D3" w:rsidRPr="0022167B">
        <w:rPr>
          <w:i/>
        </w:rPr>
        <w:t>Praise Seeking Understanding: Reading the Psalms with Augustine</w:t>
      </w:r>
      <w:r w:rsidR="007F64D3" w:rsidRPr="0022167B">
        <w:t xml:space="preserve"> (Grand Rapids: Eerdmans, 2007), </w:t>
      </w:r>
      <w:r w:rsidR="003546B4">
        <w:t xml:space="preserve">pp. </w:t>
      </w:r>
      <w:r w:rsidRPr="0022167B">
        <w:t>63-68.</w:t>
      </w:r>
    </w:p>
  </w:footnote>
  <w:footnote w:id="56">
    <w:p w14:paraId="042C5262" w14:textId="22AB7D8F" w:rsidR="00111872" w:rsidRPr="0022167B" w:rsidRDefault="00111872" w:rsidP="00C62AC5">
      <w:pPr>
        <w:pStyle w:val="FootnoteText"/>
        <w:spacing w:before="240"/>
        <w:ind w:firstLine="720"/>
      </w:pPr>
      <w:r w:rsidRPr="0022167B">
        <w:rPr>
          <w:rStyle w:val="FootnoteReference"/>
          <w:rFonts w:eastAsia="Times New Roman"/>
        </w:rPr>
        <w:footnoteRef/>
      </w:r>
      <w:r w:rsidRPr="0022167B">
        <w:rPr>
          <w:rFonts w:eastAsia="Times New Roman"/>
        </w:rPr>
        <w:t xml:space="preserve"> The English reader may consult </w:t>
      </w:r>
      <w:r w:rsidRPr="0022167B">
        <w:t xml:space="preserve">Goulven Madec, </w:t>
      </w:r>
      <w:r w:rsidR="0026323A">
        <w:t>‘</w:t>
      </w:r>
      <w:r w:rsidRPr="0022167B">
        <w:t>The Notion of Philosophical Augustinianism: An Attempt at Clarification;</w:t>
      </w:r>
      <w:r w:rsidR="0026323A">
        <w:t>’</w:t>
      </w:r>
      <w:r w:rsidRPr="0022167B">
        <w:t xml:space="preserve"> </w:t>
      </w:r>
      <w:r w:rsidRPr="0022167B">
        <w:rPr>
          <w:i/>
          <w:iCs/>
        </w:rPr>
        <w:t>Mediaevalia</w:t>
      </w:r>
      <w:r w:rsidRPr="0022167B">
        <w:t xml:space="preserve"> 4 (1978), </w:t>
      </w:r>
      <w:r w:rsidRPr="0022167B">
        <w:rPr>
          <w:rFonts w:eastAsia="Times New Roman"/>
        </w:rPr>
        <w:t xml:space="preserve">such as page 126: </w:t>
      </w:r>
      <w:r w:rsidR="0026323A">
        <w:rPr>
          <w:rFonts w:eastAsia="Times New Roman"/>
        </w:rPr>
        <w:t>‘</w:t>
      </w:r>
      <w:r w:rsidRPr="0022167B">
        <w:rPr>
          <w:rFonts w:eastAsia="Times New Roman"/>
        </w:rPr>
        <w:t>. . . ideal Augustinianism is nothing other than Christianity. . . . His entire doctrinal activity consisted in a defense and illustration of Christian truth in its entirety.</w:t>
      </w:r>
      <w:r w:rsidR="0026323A">
        <w:rPr>
          <w:rFonts w:eastAsia="Times New Roman"/>
        </w:rPr>
        <w:t>’</w:t>
      </w:r>
      <w:r w:rsidRPr="0022167B">
        <w:rPr>
          <w:rFonts w:eastAsia="Times New Roman"/>
        </w:rPr>
        <w:t xml:space="preserve">  Other writings from Madec available in French include </w:t>
      </w:r>
      <w:r w:rsidRPr="0022167B">
        <w:t xml:space="preserve">Goulven Madec, </w:t>
      </w:r>
      <w:r w:rsidR="0026323A">
        <w:t>‘</w:t>
      </w:r>
      <w:r w:rsidRPr="0022167B">
        <w:t>Connaissance de Dieu et action de graces. Essai sur les citations de l’Epître aux Romains,</w:t>
      </w:r>
      <w:r w:rsidR="008306E1">
        <w:t xml:space="preserve"> pp.</w:t>
      </w:r>
      <w:r w:rsidRPr="0022167B">
        <w:t xml:space="preserve"> 1, 18–25;</w:t>
      </w:r>
      <w:r w:rsidR="0026323A">
        <w:t>’</w:t>
      </w:r>
      <w:r w:rsidRPr="0022167B">
        <w:t xml:space="preserve"> </w:t>
      </w:r>
      <w:r w:rsidRPr="0022167B">
        <w:rPr>
          <w:i/>
          <w:iCs/>
        </w:rPr>
        <w:t>Revue des Études Augustiniennes</w:t>
      </w:r>
      <w:r w:rsidRPr="0022167B">
        <w:t xml:space="preserve"> 2 (1962), </w:t>
      </w:r>
      <w:r w:rsidR="008306E1">
        <w:t xml:space="preserve">pp. </w:t>
      </w:r>
      <w:r w:rsidRPr="0022167B">
        <w:t xml:space="preserve">273–309; </w:t>
      </w:r>
      <w:r w:rsidRPr="0022167B">
        <w:rPr>
          <w:i/>
          <w:iCs/>
        </w:rPr>
        <w:t>Introduction aux ‘Révisions’ et à la lecture des Œuvres de saint Augustin</w:t>
      </w:r>
      <w:r w:rsidRPr="0022167B">
        <w:t xml:space="preserve"> (Paris: Études Augustiniennes, 1996); and </w:t>
      </w:r>
      <w:r w:rsidRPr="0022167B">
        <w:rPr>
          <w:i/>
          <w:iCs/>
        </w:rPr>
        <w:t>Saint Augustin et la philosophie</w:t>
      </w:r>
      <w:r w:rsidRPr="0022167B">
        <w:t xml:space="preserve"> (Paris: Études Augustiniennes, 1996).</w:t>
      </w:r>
    </w:p>
  </w:footnote>
  <w:footnote w:id="57">
    <w:p w14:paraId="3376A448" w14:textId="5A458A5D" w:rsidR="00AD0E02" w:rsidRPr="0022167B" w:rsidRDefault="00AD0E02" w:rsidP="00C62AC5">
      <w:pPr>
        <w:pStyle w:val="FootnoteText"/>
        <w:spacing w:before="240"/>
        <w:ind w:firstLine="720"/>
      </w:pPr>
      <w:r w:rsidRPr="0022167B">
        <w:rPr>
          <w:rStyle w:val="FootnoteReference"/>
          <w:rFonts w:eastAsia="Times New Roman"/>
        </w:rPr>
        <w:footnoteRef/>
      </w:r>
      <w:r w:rsidRPr="0022167B">
        <w:rPr>
          <w:rFonts w:eastAsia="Times New Roman"/>
        </w:rPr>
        <w:t xml:space="preserve"> Carol Harrison, </w:t>
      </w:r>
      <w:r w:rsidRPr="0022167B">
        <w:rPr>
          <w:rFonts w:eastAsia="Times New Roman"/>
          <w:i/>
          <w:iCs/>
        </w:rPr>
        <w:t>Rethinking Augustine’s Early Theology</w:t>
      </w:r>
      <w:r w:rsidRPr="0022167B">
        <w:rPr>
          <w:rFonts w:eastAsia="Times New Roman"/>
        </w:rPr>
        <w:t>.</w:t>
      </w:r>
    </w:p>
  </w:footnote>
  <w:footnote w:id="58">
    <w:p w14:paraId="227A4117" w14:textId="380EE7D6" w:rsidR="00AD0E02" w:rsidRPr="0022167B" w:rsidRDefault="00AD0E02" w:rsidP="00C62AC5">
      <w:pPr>
        <w:spacing w:before="240"/>
        <w:ind w:firstLine="720"/>
      </w:pPr>
      <w:r w:rsidRPr="0022167B">
        <w:rPr>
          <w:rStyle w:val="FootnoteReference"/>
          <w:rFonts w:eastAsia="Times New Roman"/>
        </w:rPr>
        <w:footnoteRef/>
      </w:r>
      <w:r w:rsidRPr="0022167B">
        <w:rPr>
          <w:rFonts w:eastAsia="Times New Roman"/>
        </w:rPr>
        <w:t xml:space="preserve"> Carol Harrison, </w:t>
      </w:r>
      <w:r w:rsidRPr="0022167B">
        <w:rPr>
          <w:rFonts w:eastAsia="Times New Roman"/>
          <w:i/>
          <w:iCs/>
        </w:rPr>
        <w:t>Rethinking</w:t>
      </w:r>
      <w:r w:rsidRPr="0022167B">
        <w:rPr>
          <w:rFonts w:eastAsia="Times New Roman"/>
        </w:rPr>
        <w:t>, chapters 3 and 4.</w:t>
      </w:r>
    </w:p>
  </w:footnote>
  <w:footnote w:id="59">
    <w:p w14:paraId="62271B45" w14:textId="4E49C46C" w:rsidR="00AD0E02" w:rsidRPr="0022167B" w:rsidRDefault="00AD0E02" w:rsidP="00C62AC5">
      <w:pPr>
        <w:pStyle w:val="FootnoteText"/>
        <w:spacing w:before="240"/>
        <w:ind w:firstLine="720"/>
      </w:pPr>
      <w:r w:rsidRPr="0022167B">
        <w:rPr>
          <w:rStyle w:val="FootnoteReference"/>
          <w:rFonts w:eastAsia="Times New Roman"/>
        </w:rPr>
        <w:footnoteRef/>
      </w:r>
      <w:r w:rsidRPr="0022167B">
        <w:rPr>
          <w:rFonts w:eastAsia="Times New Roman"/>
        </w:rPr>
        <w:t xml:space="preserve"> Ibid., </w:t>
      </w:r>
      <w:r w:rsidR="008306E1">
        <w:rPr>
          <w:rFonts w:eastAsia="Times New Roman"/>
        </w:rPr>
        <w:t xml:space="preserve">p. </w:t>
      </w:r>
      <w:r w:rsidRPr="0022167B">
        <w:rPr>
          <w:rFonts w:eastAsia="Times New Roman"/>
        </w:rPr>
        <w:t>151.</w:t>
      </w:r>
    </w:p>
  </w:footnote>
  <w:footnote w:id="60">
    <w:p w14:paraId="1D763AAF" w14:textId="77777777" w:rsidR="00AD0E02" w:rsidRPr="0022167B" w:rsidRDefault="00AD0E02" w:rsidP="00C62AC5">
      <w:pPr>
        <w:pStyle w:val="FootnoteText"/>
        <w:spacing w:before="240"/>
        <w:ind w:firstLine="720"/>
      </w:pPr>
      <w:r w:rsidRPr="0022167B">
        <w:rPr>
          <w:rStyle w:val="FootnoteReference"/>
          <w:rFonts w:eastAsia="Times New Roman"/>
        </w:rPr>
        <w:footnoteRef/>
      </w:r>
      <w:r w:rsidRPr="0022167B">
        <w:rPr>
          <w:rFonts w:eastAsia="Times New Roman"/>
        </w:rPr>
        <w:t xml:space="preserve"> </w:t>
      </w:r>
      <w:r w:rsidRPr="0022167B">
        <w:rPr>
          <w:rFonts w:eastAsia="Times New Roman"/>
          <w:i/>
          <w:iCs/>
        </w:rPr>
        <w:t>Rethinking Augustine’s Early Theology</w:t>
      </w:r>
      <w:r w:rsidRPr="0022167B">
        <w:rPr>
          <w:rFonts w:eastAsia="Times New Roman"/>
        </w:rPr>
        <w:t>.</w:t>
      </w:r>
    </w:p>
  </w:footnote>
  <w:footnote w:id="61">
    <w:p w14:paraId="723F31C4" w14:textId="77777777" w:rsidR="00AD0E02" w:rsidRPr="0022167B" w:rsidRDefault="00AD0E02" w:rsidP="00C62AC5">
      <w:pPr>
        <w:pStyle w:val="FootnoteText"/>
        <w:spacing w:before="240"/>
        <w:ind w:firstLine="720"/>
      </w:pPr>
      <w:r w:rsidRPr="0022167B">
        <w:rPr>
          <w:rStyle w:val="FootnoteReference"/>
          <w:rFonts w:eastAsia="Times New Roman"/>
        </w:rPr>
        <w:footnoteRef/>
      </w:r>
      <w:r w:rsidRPr="0022167B">
        <w:rPr>
          <w:rFonts w:eastAsia="Times New Roman"/>
        </w:rPr>
        <w:t xml:space="preserve"> </w:t>
      </w:r>
      <w:r w:rsidRPr="0022167B">
        <w:rPr>
          <w:rFonts w:eastAsia="Times New Roman"/>
          <w:i/>
          <w:iCs/>
        </w:rPr>
        <w:t>Inner Grace: Augustine in the Traditions of Plato and Paul</w:t>
      </w:r>
      <w:r w:rsidRPr="0022167B">
        <w:rPr>
          <w:rFonts w:eastAsia="Times New Roman"/>
        </w:rPr>
        <w:t>.</w:t>
      </w:r>
    </w:p>
  </w:footnote>
  <w:footnote w:id="62">
    <w:p w14:paraId="22F15EA0" w14:textId="25CBEE1F" w:rsidR="00AD0E02" w:rsidRPr="0022167B" w:rsidRDefault="00AD0E02" w:rsidP="00C62AC5">
      <w:pPr>
        <w:pStyle w:val="FootnoteText"/>
        <w:spacing w:before="240"/>
        <w:ind w:firstLine="720"/>
      </w:pPr>
      <w:r w:rsidRPr="0022167B">
        <w:rPr>
          <w:rStyle w:val="FootnoteReference"/>
          <w:rFonts w:eastAsia="Times New Roman"/>
        </w:rPr>
        <w:footnoteRef/>
      </w:r>
      <w:r w:rsidRPr="0022167B">
        <w:rPr>
          <w:rFonts w:eastAsia="Times New Roman"/>
        </w:rPr>
        <w:t xml:space="preserve"> </w:t>
      </w:r>
      <w:r w:rsidR="005E6540" w:rsidRPr="0022167B">
        <w:t xml:space="preserve">Ernest L. Fortin, Foreword to </w:t>
      </w:r>
      <w:r w:rsidR="005E6540" w:rsidRPr="0022167B">
        <w:rPr>
          <w:i/>
          <w:iCs/>
        </w:rPr>
        <w:t xml:space="preserve">Augustine’s </w:t>
      </w:r>
      <w:r w:rsidR="005E6540" w:rsidRPr="0022167B">
        <w:t>Contra Academicos</w:t>
      </w:r>
      <w:r w:rsidR="005E6540" w:rsidRPr="0022167B">
        <w:rPr>
          <w:i/>
          <w:iCs/>
        </w:rPr>
        <w:t>: A Study</w:t>
      </w:r>
      <w:r w:rsidR="005E6540" w:rsidRPr="0022167B">
        <w:t xml:space="preserve"> by Augustine J. Curley (New York: Peter Lang, 1996), </w:t>
      </w:r>
      <w:r w:rsidR="008306E1">
        <w:t xml:space="preserve">pp. </w:t>
      </w:r>
      <w:r w:rsidR="005E6540" w:rsidRPr="0022167B">
        <w:t>ix–xi.</w:t>
      </w:r>
    </w:p>
  </w:footnote>
  <w:footnote w:id="63">
    <w:p w14:paraId="2E2FFE43" w14:textId="15531457" w:rsidR="00AD0E02" w:rsidRPr="0022167B" w:rsidRDefault="00AD0E02" w:rsidP="00C62AC5">
      <w:pPr>
        <w:pStyle w:val="FootnoteText"/>
        <w:spacing w:before="240"/>
        <w:ind w:firstLine="720"/>
      </w:pPr>
      <w:r w:rsidRPr="0022167B">
        <w:rPr>
          <w:rStyle w:val="FootnoteReference"/>
          <w:rFonts w:eastAsia="Times New Roman"/>
        </w:rPr>
        <w:footnoteRef/>
      </w:r>
      <w:r w:rsidRPr="0022167B">
        <w:rPr>
          <w:rFonts w:eastAsia="Times New Roman"/>
        </w:rPr>
        <w:t xml:space="preserve"> </w:t>
      </w:r>
      <w:r w:rsidR="00F1574D" w:rsidRPr="0022167B">
        <w:t>Paul R. Kolbet,</w:t>
      </w:r>
      <w:r w:rsidR="00F1574D" w:rsidRPr="0022167B">
        <w:rPr>
          <w:i/>
          <w:iCs/>
        </w:rPr>
        <w:t xml:space="preserve"> Augustine and the Cure of Souls: Revising a Classical Ideal</w:t>
      </w:r>
      <w:r w:rsidR="00F1574D" w:rsidRPr="0022167B">
        <w:t xml:space="preserve"> (Notre Dame, IN: University of Notre Dame Press, 2010),</w:t>
      </w:r>
      <w:r w:rsidR="007D385B">
        <w:t xml:space="preserve"> pp.</w:t>
      </w:r>
      <w:r w:rsidRPr="0022167B">
        <w:rPr>
          <w:rFonts w:eastAsia="Times New Roman"/>
        </w:rPr>
        <w:t xml:space="preserve"> 7-9.</w:t>
      </w:r>
    </w:p>
  </w:footnote>
  <w:footnote w:id="64">
    <w:p w14:paraId="3D6BB9C3" w14:textId="7B4C7EA4" w:rsidR="00350876" w:rsidRPr="0022167B" w:rsidRDefault="00350876" w:rsidP="00C62AC5">
      <w:pPr>
        <w:pStyle w:val="FootnoteText"/>
        <w:spacing w:before="240"/>
        <w:ind w:firstLine="720"/>
      </w:pPr>
      <w:r w:rsidRPr="0022167B">
        <w:rPr>
          <w:rStyle w:val="FootnoteReference"/>
          <w:rFonts w:eastAsia="Times New Roman"/>
        </w:rPr>
        <w:footnoteRef/>
      </w:r>
      <w:r w:rsidRPr="0022167B">
        <w:rPr>
          <w:rFonts w:eastAsia="Times New Roman"/>
        </w:rPr>
        <w:t xml:space="preserve"> </w:t>
      </w:r>
      <w:r w:rsidRPr="0022167B">
        <w:rPr>
          <w:rFonts w:eastAsia="Times New Roman"/>
          <w:i/>
          <w:iCs/>
        </w:rPr>
        <w:t>Augustine’s Invention</w:t>
      </w:r>
      <w:r w:rsidRPr="0022167B">
        <w:rPr>
          <w:rFonts w:eastAsia="Times New Roman"/>
        </w:rPr>
        <w:t xml:space="preserve">, </w:t>
      </w:r>
      <w:r w:rsidR="007D385B">
        <w:rPr>
          <w:rFonts w:eastAsia="Times New Roman"/>
        </w:rPr>
        <w:t xml:space="preserve">p. </w:t>
      </w:r>
      <w:r w:rsidRPr="0022167B">
        <w:rPr>
          <w:rFonts w:eastAsia="Times New Roman"/>
        </w:rPr>
        <w:t>3.</w:t>
      </w:r>
    </w:p>
  </w:footnote>
  <w:footnote w:id="65">
    <w:p w14:paraId="68C235B2" w14:textId="77777777" w:rsidR="00350876" w:rsidRPr="0022167B" w:rsidRDefault="00350876" w:rsidP="00C62AC5">
      <w:pPr>
        <w:pStyle w:val="FootnoteText"/>
        <w:spacing w:before="240"/>
        <w:ind w:firstLine="720"/>
      </w:pPr>
      <w:r w:rsidRPr="0022167B">
        <w:rPr>
          <w:rStyle w:val="FootnoteReference"/>
          <w:rFonts w:eastAsia="Times New Roman"/>
        </w:rPr>
        <w:footnoteRef/>
      </w:r>
      <w:r w:rsidRPr="0022167B">
        <w:rPr>
          <w:rFonts w:eastAsia="Times New Roman"/>
        </w:rPr>
        <w:t xml:space="preserve"> </w:t>
      </w:r>
      <w:r w:rsidRPr="0022167B">
        <w:rPr>
          <w:rFonts w:eastAsia="Times New Roman"/>
          <w:i/>
          <w:iCs/>
        </w:rPr>
        <w:t>Journey Toward God</w:t>
      </w:r>
      <w:r w:rsidRPr="0022167B">
        <w:rPr>
          <w:rFonts w:eastAsia="Times New Roman"/>
        </w:rPr>
        <w:t xml:space="preserve">, </w:t>
      </w:r>
      <w:r w:rsidRPr="0022167B">
        <w:rPr>
          <w:rFonts w:eastAsia="Times New Roman"/>
          <w:i/>
          <w:iCs/>
        </w:rPr>
        <w:t>Encounters with God</w:t>
      </w:r>
      <w:r w:rsidRPr="0022167B">
        <w:rPr>
          <w:rFonts w:eastAsia="Times New Roman"/>
        </w:rPr>
        <w:t xml:space="preserve">, and </w:t>
      </w:r>
      <w:r w:rsidRPr="0022167B">
        <w:rPr>
          <w:rFonts w:eastAsia="Times New Roman"/>
          <w:i/>
          <w:iCs/>
        </w:rPr>
        <w:t>Access to God</w:t>
      </w:r>
      <w:r w:rsidRPr="0022167B">
        <w:rPr>
          <w:rFonts w:eastAsia="Times New Roman"/>
        </w:rPr>
        <w:t>.</w:t>
      </w:r>
    </w:p>
  </w:footnote>
  <w:footnote w:id="66">
    <w:p w14:paraId="671F225C" w14:textId="27EA70E6" w:rsidR="00AD0E02" w:rsidRPr="0022167B" w:rsidRDefault="00AD0E02" w:rsidP="00C62AC5">
      <w:pPr>
        <w:pStyle w:val="FootnoteText"/>
        <w:spacing w:before="240"/>
        <w:ind w:firstLine="720"/>
      </w:pPr>
      <w:r w:rsidRPr="0022167B">
        <w:rPr>
          <w:rStyle w:val="FootnoteReference"/>
        </w:rPr>
        <w:footnoteRef/>
      </w:r>
      <w:r w:rsidRPr="0022167B">
        <w:t xml:space="preserve"> </w:t>
      </w:r>
      <w:r w:rsidR="0022167B" w:rsidRPr="0022167B">
        <w:t xml:space="preserve">Sarah Stewart-Kroeker, </w:t>
      </w:r>
      <w:r w:rsidR="0026323A">
        <w:t>‘</w:t>
      </w:r>
      <w:r w:rsidR="0022167B" w:rsidRPr="0022167B">
        <w:t>Augustine’s Incarnational Appropriation of Plotinus: A Journey for the Feet;</w:t>
      </w:r>
      <w:r w:rsidR="0026323A">
        <w:t>’</w:t>
      </w:r>
      <w:r w:rsidR="0022167B" w:rsidRPr="0022167B">
        <w:t xml:space="preserve"> </w:t>
      </w:r>
      <w:r w:rsidR="0022167B" w:rsidRPr="0022167B">
        <w:rPr>
          <w:i/>
          <w:iCs/>
        </w:rPr>
        <w:t>Studia Patristica</w:t>
      </w:r>
      <w:r w:rsidR="0022167B" w:rsidRPr="0022167B">
        <w:t xml:space="preserve"> 63.11 (2013), </w:t>
      </w:r>
      <w:r w:rsidR="007D385B">
        <w:t xml:space="preserve">pp. </w:t>
      </w:r>
      <w:r w:rsidR="0022167B" w:rsidRPr="0022167B">
        <w:t>165-178.</w:t>
      </w:r>
    </w:p>
  </w:footnote>
  <w:footnote w:id="67">
    <w:p w14:paraId="2D041175" w14:textId="5935F24F" w:rsidR="00AD0E02" w:rsidRPr="0022167B" w:rsidRDefault="00AD0E02" w:rsidP="00C62AC5">
      <w:pPr>
        <w:pStyle w:val="FootnoteText"/>
        <w:spacing w:before="240"/>
        <w:ind w:firstLine="720"/>
      </w:pPr>
      <w:r w:rsidRPr="0022167B">
        <w:rPr>
          <w:rStyle w:val="FootnoteReference"/>
        </w:rPr>
        <w:footnoteRef/>
      </w:r>
      <w:r w:rsidRPr="0022167B">
        <w:t xml:space="preserve"> </w:t>
      </w:r>
      <w:r w:rsidR="0022167B" w:rsidRPr="0022167B">
        <w:t xml:space="preserve">Sarah Stewart-Kroeker, </w:t>
      </w:r>
      <w:r w:rsidR="0022167B" w:rsidRPr="0022167B">
        <w:rPr>
          <w:i/>
          <w:iCs/>
        </w:rPr>
        <w:t>Pilgrimage as Moral and Aesthetic Formation in Augustine’s Thought</w:t>
      </w:r>
      <w:r w:rsidR="0022167B" w:rsidRPr="0022167B">
        <w:t xml:space="preserve"> (New York: Oxford University Press, 2017).</w:t>
      </w:r>
    </w:p>
  </w:footnote>
  <w:footnote w:id="68">
    <w:p w14:paraId="4D597D56" w14:textId="1865A03C" w:rsidR="0096039A" w:rsidRPr="0022167B" w:rsidRDefault="0096039A" w:rsidP="00C62AC5">
      <w:pPr>
        <w:pStyle w:val="FootnoteText"/>
        <w:spacing w:before="240"/>
        <w:ind w:firstLine="720"/>
      </w:pPr>
      <w:r w:rsidRPr="0022167B">
        <w:rPr>
          <w:rStyle w:val="FootnoteReference"/>
        </w:rPr>
        <w:footnoteRef/>
      </w:r>
      <w:r w:rsidRPr="0022167B">
        <w:t xml:space="preserve"> </w:t>
      </w:r>
      <w:r w:rsidR="005F4E1B">
        <w:t xml:space="preserve">See </w:t>
      </w:r>
      <w:r w:rsidR="00F1574D" w:rsidRPr="0022167B">
        <w:t xml:space="preserve">Erik Kenyon, </w:t>
      </w:r>
      <w:r w:rsidR="00F1574D" w:rsidRPr="0022167B">
        <w:rPr>
          <w:i/>
        </w:rPr>
        <w:t>Augustine and the Dialogue</w:t>
      </w:r>
      <w:r w:rsidR="00F1574D" w:rsidRPr="0022167B">
        <w:rPr>
          <w:iCs/>
        </w:rPr>
        <w:t xml:space="preserve"> (</w:t>
      </w:r>
      <w:r w:rsidR="00F1574D" w:rsidRPr="0022167B">
        <w:t>Cambridge: Cambridge University Press, 2018),</w:t>
      </w:r>
      <w:r w:rsidR="007D385B">
        <w:t xml:space="preserve"> pp.</w:t>
      </w:r>
      <w:r w:rsidRPr="0022167B">
        <w:t xml:space="preserve"> 4-5.</w:t>
      </w:r>
    </w:p>
  </w:footnote>
  <w:footnote w:id="69">
    <w:p w14:paraId="63A779E4" w14:textId="0487BD94" w:rsidR="0048492C" w:rsidRPr="0022167B" w:rsidRDefault="0048492C" w:rsidP="00C62AC5">
      <w:pPr>
        <w:pStyle w:val="FootnoteText"/>
        <w:spacing w:before="240"/>
        <w:ind w:firstLine="720"/>
      </w:pPr>
      <w:r w:rsidRPr="0022167B">
        <w:rPr>
          <w:rStyle w:val="FootnoteReference"/>
        </w:rPr>
        <w:footnoteRef/>
      </w:r>
      <w:r w:rsidRPr="0022167B">
        <w:t xml:space="preserve"> Ibid., </w:t>
      </w:r>
      <w:r w:rsidR="007D385B">
        <w:t xml:space="preserve">p. </w:t>
      </w:r>
      <w:r w:rsidRPr="0022167B">
        <w:t>13.</w:t>
      </w:r>
    </w:p>
  </w:footnote>
  <w:footnote w:id="70">
    <w:p w14:paraId="114C2650" w14:textId="343813DD" w:rsidR="008E4A81" w:rsidRPr="0022167B" w:rsidRDefault="008E4A81" w:rsidP="00C62AC5">
      <w:pPr>
        <w:pStyle w:val="FootnoteText"/>
        <w:spacing w:before="240"/>
        <w:ind w:firstLine="720"/>
      </w:pPr>
      <w:r w:rsidRPr="0022167B">
        <w:rPr>
          <w:rStyle w:val="FootnoteReference"/>
        </w:rPr>
        <w:footnoteRef/>
      </w:r>
      <w:r w:rsidRPr="0022167B">
        <w:t xml:space="preserve"> </w:t>
      </w:r>
      <w:r w:rsidR="005E6540" w:rsidRPr="0022167B">
        <w:t xml:space="preserve">Mark Ellingsen, </w:t>
      </w:r>
      <w:r w:rsidR="005E6540" w:rsidRPr="0022167B">
        <w:rPr>
          <w:i/>
        </w:rPr>
        <w:t>The Richness of Augustine: His Contextual and Pastoral Theology</w:t>
      </w:r>
      <w:r w:rsidR="005E6540" w:rsidRPr="0022167B">
        <w:t xml:space="preserve"> (Louisville: Westminster John Knox, 2005).</w:t>
      </w:r>
    </w:p>
  </w:footnote>
  <w:footnote w:id="71">
    <w:p w14:paraId="63286537" w14:textId="346D1C39" w:rsidR="00A06856" w:rsidRPr="0022167B" w:rsidRDefault="00A06856" w:rsidP="00C62AC5">
      <w:pPr>
        <w:pStyle w:val="FootnoteText"/>
        <w:spacing w:before="240"/>
        <w:ind w:firstLine="720"/>
      </w:pPr>
      <w:r w:rsidRPr="0022167B">
        <w:rPr>
          <w:rStyle w:val="FootnoteReference"/>
        </w:rPr>
        <w:footnoteRef/>
      </w:r>
      <w:r w:rsidRPr="0022167B">
        <w:t xml:space="preserve"> </w:t>
      </w:r>
      <w:r w:rsidR="009C4C33" w:rsidRPr="0022167B">
        <w:t xml:space="preserve">Joseph Clair, </w:t>
      </w:r>
      <w:r w:rsidR="009C4C33" w:rsidRPr="0022167B">
        <w:rPr>
          <w:i/>
        </w:rPr>
        <w:t>Discerning the Good in the Letters and Sermons of Augustine</w:t>
      </w:r>
      <w:r w:rsidR="009C4C33" w:rsidRPr="0022167B">
        <w:t xml:space="preserve"> (New York: Oxford University Press, 2016).</w:t>
      </w:r>
    </w:p>
  </w:footnote>
  <w:footnote w:id="72">
    <w:p w14:paraId="1E508A64" w14:textId="0FB5F76F" w:rsidR="00AB6BD8" w:rsidRPr="0022167B" w:rsidRDefault="00AB6BD8" w:rsidP="00C62AC5">
      <w:pPr>
        <w:pStyle w:val="FootnoteText"/>
        <w:spacing w:before="240"/>
        <w:ind w:firstLine="720"/>
      </w:pPr>
      <w:r w:rsidRPr="0022167B">
        <w:rPr>
          <w:rStyle w:val="FootnoteReference"/>
        </w:rPr>
        <w:footnoteRef/>
      </w:r>
      <w:r w:rsidRPr="0022167B">
        <w:t xml:space="preserve"> Byassee, </w:t>
      </w:r>
      <w:r w:rsidRPr="0022167B">
        <w:rPr>
          <w:i/>
        </w:rPr>
        <w:t>Praise Seeking Understanding</w:t>
      </w:r>
      <w:r w:rsidRPr="0022167B">
        <w:t>.</w:t>
      </w:r>
    </w:p>
  </w:footnote>
  <w:footnote w:id="73">
    <w:p w14:paraId="62BC8B51" w14:textId="646726F5" w:rsidR="00E6720D" w:rsidRPr="0022167B" w:rsidRDefault="00E6720D" w:rsidP="00C62AC5">
      <w:pPr>
        <w:pStyle w:val="FootnoteText"/>
        <w:spacing w:before="240"/>
        <w:ind w:firstLine="720"/>
      </w:pPr>
      <w:r w:rsidRPr="0022167B">
        <w:rPr>
          <w:rStyle w:val="FootnoteReference"/>
        </w:rPr>
        <w:footnoteRef/>
      </w:r>
      <w:r w:rsidRPr="0022167B">
        <w:t xml:space="preserve"> Among other works, Michael Cameron, </w:t>
      </w:r>
      <w:r w:rsidR="0026323A">
        <w:t>‘</w:t>
      </w:r>
      <w:r w:rsidRPr="0022167B">
        <w:t>Enarrationes in Psalmos;</w:t>
      </w:r>
      <w:r w:rsidR="0026323A">
        <w:t>’</w:t>
      </w:r>
      <w:r w:rsidRPr="0022167B">
        <w:t xml:space="preserve"> in </w:t>
      </w:r>
      <w:r w:rsidRPr="0022167B">
        <w:rPr>
          <w:i/>
        </w:rPr>
        <w:t>Augustine Through the Ages: An Encyclopedia</w:t>
      </w:r>
      <w:r w:rsidRPr="0022167B">
        <w:t xml:space="preserve">, ed. Allan D. Fitzgerald (Grand Rapids, MI, 1999), </w:t>
      </w:r>
      <w:r w:rsidR="007D385B">
        <w:t xml:space="preserve">pp. </w:t>
      </w:r>
      <w:r w:rsidRPr="0022167B">
        <w:t>290-6</w:t>
      </w:r>
      <w:r w:rsidR="002305F3">
        <w:t xml:space="preserve">; </w:t>
      </w:r>
      <w:r w:rsidRPr="0022167B">
        <w:t xml:space="preserve"> </w:t>
      </w:r>
      <w:r w:rsidR="002305F3" w:rsidRPr="008B1C54">
        <w:t>Michael</w:t>
      </w:r>
      <w:r w:rsidR="002305F3">
        <w:t xml:space="preserve"> </w:t>
      </w:r>
      <w:r w:rsidR="002305F3" w:rsidRPr="008B1C54">
        <w:t xml:space="preserve">Cameron, </w:t>
      </w:r>
      <w:r w:rsidR="0026323A">
        <w:t>‘</w:t>
      </w:r>
      <w:r w:rsidR="002305F3" w:rsidRPr="009D6529">
        <w:t xml:space="preserve">The Christological Substructure of </w:t>
      </w:r>
      <w:r w:rsidR="002305F3">
        <w:t>Augustine’s Figurative Exegesis;</w:t>
      </w:r>
      <w:r w:rsidR="0026323A">
        <w:t>’</w:t>
      </w:r>
      <w:r w:rsidR="002305F3" w:rsidRPr="009D6529">
        <w:t xml:space="preserve"> </w:t>
      </w:r>
      <w:r w:rsidR="002305F3">
        <w:t>i</w:t>
      </w:r>
      <w:r w:rsidR="002305F3" w:rsidRPr="009D6529">
        <w:t xml:space="preserve">n </w:t>
      </w:r>
      <w:r w:rsidR="002305F3" w:rsidRPr="009F3D64">
        <w:rPr>
          <w:i/>
        </w:rPr>
        <w:t>Augustine and the Bible</w:t>
      </w:r>
      <w:r w:rsidR="002305F3">
        <w:t xml:space="preserve">, ed. Pamela Bright; vol. 2 of </w:t>
      </w:r>
      <w:r w:rsidR="002305F3">
        <w:rPr>
          <w:i/>
        </w:rPr>
        <w:t>The Bible Through the Ages</w:t>
      </w:r>
      <w:r w:rsidR="002305F3">
        <w:t>, ed. Charles Kannengiesser and Pamela Bright</w:t>
      </w:r>
      <w:r w:rsidR="002305F3" w:rsidRPr="009D6529">
        <w:t xml:space="preserve"> (Notre Dame: Univ</w:t>
      </w:r>
      <w:r w:rsidR="002305F3">
        <w:t>ersity of Notre Dame Press, 1999),</w:t>
      </w:r>
      <w:r w:rsidR="007D385B">
        <w:t xml:space="preserve"> pp.</w:t>
      </w:r>
      <w:r w:rsidR="002305F3">
        <w:t xml:space="preserve"> 74-103; </w:t>
      </w:r>
      <w:r w:rsidRPr="0022167B">
        <w:t xml:space="preserve">Michael Cameron, </w:t>
      </w:r>
      <w:r w:rsidR="0026323A">
        <w:t>‘</w:t>
      </w:r>
      <w:r w:rsidRPr="0022167B">
        <w:t xml:space="preserve">The Emergence of </w:t>
      </w:r>
      <w:r w:rsidRPr="0022167B">
        <w:rPr>
          <w:i/>
        </w:rPr>
        <w:t>Totus Christus</w:t>
      </w:r>
      <w:r w:rsidRPr="0022167B">
        <w:t xml:space="preserve"> as Hermeneutical Center in Augustine’s </w:t>
      </w:r>
      <w:r w:rsidRPr="0022167B">
        <w:rPr>
          <w:i/>
        </w:rPr>
        <w:t>Enarrationes in Psalmos</w:t>
      </w:r>
      <w:r w:rsidRPr="0022167B">
        <w:t>;</w:t>
      </w:r>
      <w:r w:rsidR="0026323A">
        <w:t>’</w:t>
      </w:r>
      <w:r w:rsidRPr="0022167B">
        <w:t xml:space="preserve"> in </w:t>
      </w:r>
      <w:r w:rsidRPr="0022167B">
        <w:rPr>
          <w:i/>
        </w:rPr>
        <w:t>The Harp of Prophecy: Early Christian Interpretation of the Psalms</w:t>
      </w:r>
      <w:r w:rsidRPr="0022167B">
        <w:t xml:space="preserve">, ed. Brian E. Daley and Paul R. Kolbet (Notre Dame, IN: University of Notre Dame Press, 2015), </w:t>
      </w:r>
      <w:r w:rsidR="0094169A">
        <w:t>pp. 2</w:t>
      </w:r>
      <w:r w:rsidRPr="0022167B">
        <w:t>05-26</w:t>
      </w:r>
      <w:r w:rsidR="002305F3">
        <w:t xml:space="preserve">; and Michael Fiedrowicz, </w:t>
      </w:r>
      <w:r w:rsidR="002305F3">
        <w:rPr>
          <w:i/>
        </w:rPr>
        <w:t>Psalmus Vox Totius</w:t>
      </w:r>
      <w:r w:rsidR="002305F3" w:rsidRPr="00BE17E5">
        <w:t xml:space="preserve"> </w:t>
      </w:r>
      <w:r w:rsidR="002305F3" w:rsidRPr="00BE17E5">
        <w:rPr>
          <w:i/>
        </w:rPr>
        <w:t>Christi: Studien zu Augustinus Enarrationes in Psalmos</w:t>
      </w:r>
      <w:r w:rsidR="002305F3">
        <w:t xml:space="preserve"> (Freiburg: Herder, 1997); and Michael Fiedrowicz, General Introduction to </w:t>
      </w:r>
      <w:r w:rsidR="002305F3">
        <w:rPr>
          <w:i/>
          <w:iCs/>
        </w:rPr>
        <w:t>Expositions of the Psalms: 1-32</w:t>
      </w:r>
      <w:r w:rsidR="002305F3">
        <w:t xml:space="preserve">, translation and notes by Mariah Boulding; in The Works of Saint Augustine: A Translation for the 21st Century, Part III, Vol. 15; edited by John E. Rotelle, Introduction by Michael Fiedrowicz (Hyde Park: New City Press, 2005), </w:t>
      </w:r>
      <w:r w:rsidR="0094169A">
        <w:t xml:space="preserve">pp. </w:t>
      </w:r>
      <w:r w:rsidR="002305F3">
        <w:t>13-66.</w:t>
      </w:r>
    </w:p>
  </w:footnote>
  <w:footnote w:id="74">
    <w:p w14:paraId="42B7FE73" w14:textId="4B838EF9" w:rsidR="002305F3" w:rsidRPr="00D73253" w:rsidRDefault="002305F3" w:rsidP="002305F3">
      <w:pPr>
        <w:pStyle w:val="FootnoteText"/>
        <w:spacing w:before="240"/>
        <w:ind w:firstLine="720"/>
      </w:pPr>
      <w:r w:rsidRPr="00513DEA">
        <w:rPr>
          <w:rStyle w:val="FootnoteReference"/>
        </w:rPr>
        <w:footnoteRef/>
      </w:r>
      <w:r w:rsidRPr="00513DEA">
        <w:t xml:space="preserve"> Cameron, </w:t>
      </w:r>
      <w:r w:rsidR="0026323A">
        <w:t>‘</w:t>
      </w:r>
      <w:r w:rsidRPr="00513DEA">
        <w:t>Enarrationes in Psalmos,</w:t>
      </w:r>
      <w:r w:rsidR="0026323A">
        <w:t>’</w:t>
      </w:r>
      <w:r w:rsidR="0094169A">
        <w:t xml:space="preserve"> p.</w:t>
      </w:r>
      <w:r w:rsidRPr="00513DEA">
        <w:t xml:space="preserve"> 293</w:t>
      </w:r>
      <w:r>
        <w:t>.</w:t>
      </w:r>
    </w:p>
  </w:footnote>
  <w:footnote w:id="75">
    <w:p w14:paraId="6D5B7091" w14:textId="3FE6997E" w:rsidR="000C0CF1" w:rsidRPr="0022167B" w:rsidRDefault="000C0CF1" w:rsidP="00C62AC5">
      <w:pPr>
        <w:pStyle w:val="FootnoteText"/>
        <w:spacing w:before="240"/>
        <w:ind w:firstLine="720"/>
      </w:pPr>
      <w:r w:rsidRPr="0022167B">
        <w:rPr>
          <w:rStyle w:val="FootnoteReference"/>
        </w:rPr>
        <w:footnoteRef/>
      </w:r>
      <w:r w:rsidRPr="0022167B">
        <w:t xml:space="preserve"> James J. O’Donnell, </w:t>
      </w:r>
      <w:r w:rsidR="0026323A">
        <w:t>‘</w:t>
      </w:r>
      <w:r w:rsidRPr="0022167B">
        <w:t>Augustine: His Time and Lives;</w:t>
      </w:r>
      <w:r w:rsidR="0026323A">
        <w:t>’</w:t>
      </w:r>
      <w:r w:rsidRPr="0022167B">
        <w:t xml:space="preserve"> </w:t>
      </w:r>
      <w:r w:rsidRPr="0022167B">
        <w:rPr>
          <w:i/>
        </w:rPr>
        <w:t>The Cambridge Companion to Augustine</w:t>
      </w:r>
      <w:r w:rsidRPr="0022167B">
        <w:t>, ed. Eleonore Stump and Norman Kretzmann</w:t>
      </w:r>
      <w:r w:rsidR="0022167B" w:rsidRPr="0022167B">
        <w:t>:</w:t>
      </w:r>
      <w:r w:rsidR="0094169A">
        <w:t xml:space="preserve"> pp.</w:t>
      </w:r>
      <w:r w:rsidR="0022167B" w:rsidRPr="0022167B">
        <w:t xml:space="preserve"> 8-25 </w:t>
      </w:r>
      <w:r w:rsidRPr="0022167B">
        <w:t xml:space="preserve">(Cambridge: Cambridge University Press, 2001), </w:t>
      </w:r>
      <w:r w:rsidR="0094169A">
        <w:t xml:space="preserve">p. </w:t>
      </w:r>
      <w:r w:rsidRPr="0022167B">
        <w:t>23.</w:t>
      </w:r>
    </w:p>
  </w:footnote>
  <w:footnote w:id="76">
    <w:p w14:paraId="3EDFE85F" w14:textId="4BAFDAE2" w:rsidR="000B578F" w:rsidRPr="0022167B" w:rsidRDefault="000B578F" w:rsidP="00C62AC5">
      <w:pPr>
        <w:pStyle w:val="FootnoteText"/>
        <w:spacing w:before="240"/>
        <w:ind w:firstLine="720"/>
      </w:pPr>
      <w:r w:rsidRPr="0022167B">
        <w:rPr>
          <w:rStyle w:val="FootnoteReference"/>
        </w:rPr>
        <w:footnoteRef/>
      </w:r>
      <w:r w:rsidRPr="0022167B">
        <w:t xml:space="preserve"> </w:t>
      </w:r>
      <w:r w:rsidR="007F64D3" w:rsidRPr="0022167B">
        <w:t xml:space="preserve">Sarah Catherine Byers, </w:t>
      </w:r>
      <w:r w:rsidR="007F64D3" w:rsidRPr="0022167B">
        <w:rPr>
          <w:i/>
        </w:rPr>
        <w:t>Perception, Sensibility, and Moral Motivation in Augustine: A Stoic-Platonic Synthesis</w:t>
      </w:r>
      <w:r w:rsidR="007F64D3" w:rsidRPr="0022167B">
        <w:t xml:space="preserve"> (Cambridge: Cambridge University Press, 2013).</w:t>
      </w:r>
    </w:p>
  </w:footnote>
  <w:footnote w:id="77">
    <w:p w14:paraId="54054796" w14:textId="38F19013" w:rsidR="002305F3" w:rsidRPr="002305F3" w:rsidRDefault="002305F3" w:rsidP="002305F3">
      <w:pPr>
        <w:pStyle w:val="FootnoteText"/>
        <w:spacing w:before="240"/>
        <w:ind w:firstLine="720"/>
      </w:pPr>
      <w:r>
        <w:rPr>
          <w:rStyle w:val="FootnoteReference"/>
        </w:rPr>
        <w:footnoteRef/>
      </w:r>
      <w:r>
        <w:t xml:space="preserve"> Adam Ployd, </w:t>
      </w:r>
      <w:r w:rsidRPr="002305F3">
        <w:rPr>
          <w:i/>
          <w:iCs/>
        </w:rPr>
        <w:t xml:space="preserve">Augustine, the Trinity, and the </w:t>
      </w:r>
      <w:r w:rsidRPr="002305F3">
        <w:rPr>
          <w:i/>
        </w:rPr>
        <w:t>Church</w:t>
      </w:r>
      <w:r w:rsidRPr="002305F3">
        <w:rPr>
          <w:i/>
          <w:iCs/>
        </w:rPr>
        <w:t xml:space="preserve"> A Reading of the Anti-Donatist Sermons</w:t>
      </w:r>
      <w:r>
        <w:t xml:space="preserve"> (Oxford: Oxford University Press, 2015).</w:t>
      </w:r>
    </w:p>
  </w:footnote>
  <w:footnote w:id="78">
    <w:p w14:paraId="4131782B" w14:textId="3E9A48D1" w:rsidR="000B578F" w:rsidRPr="0022167B" w:rsidRDefault="000B578F" w:rsidP="00C62AC5">
      <w:pPr>
        <w:pStyle w:val="FootnoteText"/>
        <w:spacing w:before="240"/>
        <w:ind w:firstLine="720"/>
      </w:pPr>
      <w:r w:rsidRPr="0022167B">
        <w:rPr>
          <w:rStyle w:val="FootnoteReference"/>
        </w:rPr>
        <w:footnoteRef/>
      </w:r>
      <w:r w:rsidRPr="0022167B">
        <w:t xml:space="preserve"> </w:t>
      </w:r>
      <w:r w:rsidR="00CF1B9C" w:rsidRPr="0022167B">
        <w:t xml:space="preserve">Gerard McLarney, </w:t>
      </w:r>
      <w:r w:rsidR="00CF1B9C" w:rsidRPr="0022167B">
        <w:rPr>
          <w:i/>
        </w:rPr>
        <w:t>St. Augustine’s Interpretation of the Psalms of Ascent</w:t>
      </w:r>
      <w:r w:rsidR="00CF1B9C" w:rsidRPr="0022167B">
        <w:t xml:space="preserve"> (Washington, D.C.: Catholic University of America Press, 2014).</w:t>
      </w:r>
    </w:p>
  </w:footnote>
  <w:footnote w:id="79">
    <w:p w14:paraId="2BFBD5D6" w14:textId="63FBB949" w:rsidR="00AD0E02" w:rsidRPr="0022167B" w:rsidRDefault="00AD0E02" w:rsidP="00C62AC5">
      <w:pPr>
        <w:spacing w:before="240"/>
        <w:ind w:firstLine="720"/>
      </w:pPr>
      <w:r w:rsidRPr="0022167B">
        <w:rPr>
          <w:rStyle w:val="FootnoteReference"/>
        </w:rPr>
        <w:footnoteRef/>
      </w:r>
      <w:r w:rsidR="00272E24" w:rsidRPr="0022167B">
        <w:t xml:space="preserve"> </w:t>
      </w:r>
      <w:r w:rsidR="00CF4C90" w:rsidRPr="0022167B">
        <w:t xml:space="preserve">Among other works, </w:t>
      </w:r>
      <w:r w:rsidR="00F1574D" w:rsidRPr="0022167B">
        <w:t xml:space="preserve">Naoki Kamimura, </w:t>
      </w:r>
      <w:r w:rsidR="0026323A">
        <w:t>‘</w:t>
      </w:r>
      <w:r w:rsidR="00F1574D" w:rsidRPr="0022167B">
        <w:t xml:space="preserve">Augustine’s </w:t>
      </w:r>
      <w:r w:rsidR="00F1574D" w:rsidRPr="0022167B">
        <w:rPr>
          <w:i/>
        </w:rPr>
        <w:t>Sermones ad Populum</w:t>
      </w:r>
      <w:r w:rsidR="00F1574D" w:rsidRPr="0022167B">
        <w:t xml:space="preserve"> and the Relationship Between Identity/ies and Spirituality in North African Christianity</w:t>
      </w:r>
      <w:r w:rsidR="0026323A">
        <w:t>’</w:t>
      </w:r>
      <w:r w:rsidR="00A92AFC">
        <w:t xml:space="preserve"> and</w:t>
      </w:r>
      <w:r w:rsidR="00F1574D" w:rsidRPr="0022167B">
        <w:t xml:space="preserve"> Praedicatio Patrum</w:t>
      </w:r>
      <w:r w:rsidR="00F1574D" w:rsidRPr="0022167B">
        <w:rPr>
          <w:i/>
        </w:rPr>
        <w:t>: Studies on Preaching in Late Antique North Africa</w:t>
      </w:r>
      <w:r w:rsidR="00F1574D" w:rsidRPr="0022167B">
        <w:t xml:space="preserve"> (Turnhout, Belgium: Brepols, 2017), </w:t>
      </w:r>
      <w:r w:rsidR="00664E75">
        <w:t xml:space="preserve">pp. </w:t>
      </w:r>
      <w:r w:rsidR="00F1574D" w:rsidRPr="0022167B">
        <w:t xml:space="preserve">429-460; </w:t>
      </w:r>
      <w:r w:rsidR="0026323A">
        <w:t>‘</w:t>
      </w:r>
      <w:r w:rsidR="00F1574D" w:rsidRPr="0022167B">
        <w:t>The Relation of the Identity of North African Christians to the Spiritual Training in the Letters of Augustine;</w:t>
      </w:r>
      <w:r w:rsidR="0026323A">
        <w:t>’</w:t>
      </w:r>
      <w:r w:rsidR="00F1574D" w:rsidRPr="0022167B">
        <w:t xml:space="preserve"> </w:t>
      </w:r>
      <w:r w:rsidR="00F1574D" w:rsidRPr="0022167B">
        <w:rPr>
          <w:i/>
        </w:rPr>
        <w:t>Studia Patristica</w:t>
      </w:r>
      <w:r w:rsidR="00F1574D" w:rsidRPr="0022167B">
        <w:t xml:space="preserve"> 98 (2017), </w:t>
      </w:r>
      <w:r w:rsidR="00664E75">
        <w:t xml:space="preserve">pp. </w:t>
      </w:r>
      <w:r w:rsidR="00F1574D" w:rsidRPr="0022167B">
        <w:t>221-238</w:t>
      </w:r>
      <w:r w:rsidR="00A92AFC">
        <w:t>.</w:t>
      </w:r>
    </w:p>
  </w:footnote>
  <w:footnote w:id="80">
    <w:p w14:paraId="04141F0C" w14:textId="6226F916" w:rsidR="00A06856" w:rsidRPr="0022167B" w:rsidRDefault="00A06856" w:rsidP="00C62AC5">
      <w:pPr>
        <w:spacing w:before="240"/>
        <w:ind w:firstLine="720"/>
      </w:pPr>
      <w:r w:rsidRPr="0022167B">
        <w:rPr>
          <w:rStyle w:val="FootnoteReference"/>
        </w:rPr>
        <w:footnoteRef/>
      </w:r>
      <w:r w:rsidRPr="0022167B">
        <w:t xml:space="preserve"> Clair overviews some of the relevant new literature in Clair, </w:t>
      </w:r>
      <w:r w:rsidRPr="0022167B">
        <w:rPr>
          <w:i/>
        </w:rPr>
        <w:t>Discerning the Good</w:t>
      </w:r>
      <w:r w:rsidRPr="0022167B">
        <w:t xml:space="preserve">, </w:t>
      </w:r>
      <w:r w:rsidR="00664E75">
        <w:t xml:space="preserve">pp. </w:t>
      </w:r>
      <w:r w:rsidRPr="0022167B">
        <w:t>3-4.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90584"/>
    <w:multiLevelType w:val="hybridMultilevel"/>
    <w:tmpl w:val="781656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C4E"/>
    <w:rsid w:val="00000159"/>
    <w:rsid w:val="00000303"/>
    <w:rsid w:val="000010C3"/>
    <w:rsid w:val="00001213"/>
    <w:rsid w:val="000057A5"/>
    <w:rsid w:val="00006DD1"/>
    <w:rsid w:val="00012D1F"/>
    <w:rsid w:val="000207E5"/>
    <w:rsid w:val="00021831"/>
    <w:rsid w:val="00022C22"/>
    <w:rsid w:val="0002311E"/>
    <w:rsid w:val="00023480"/>
    <w:rsid w:val="000246E2"/>
    <w:rsid w:val="000269BA"/>
    <w:rsid w:val="00027971"/>
    <w:rsid w:val="00030139"/>
    <w:rsid w:val="00030C56"/>
    <w:rsid w:val="00030EDD"/>
    <w:rsid w:val="00031669"/>
    <w:rsid w:val="00032106"/>
    <w:rsid w:val="00035D2D"/>
    <w:rsid w:val="00036BED"/>
    <w:rsid w:val="00041E03"/>
    <w:rsid w:val="000459B3"/>
    <w:rsid w:val="00046EDC"/>
    <w:rsid w:val="000473F6"/>
    <w:rsid w:val="00047A90"/>
    <w:rsid w:val="000507FB"/>
    <w:rsid w:val="0005499B"/>
    <w:rsid w:val="00054BE9"/>
    <w:rsid w:val="000565B4"/>
    <w:rsid w:val="00057280"/>
    <w:rsid w:val="00057E74"/>
    <w:rsid w:val="00062B0F"/>
    <w:rsid w:val="00063BB1"/>
    <w:rsid w:val="00064963"/>
    <w:rsid w:val="00064C62"/>
    <w:rsid w:val="00067C87"/>
    <w:rsid w:val="00071DE0"/>
    <w:rsid w:val="00072B8A"/>
    <w:rsid w:val="00073F61"/>
    <w:rsid w:val="000772D7"/>
    <w:rsid w:val="00080E9C"/>
    <w:rsid w:val="000815B3"/>
    <w:rsid w:val="00082769"/>
    <w:rsid w:val="000838CB"/>
    <w:rsid w:val="00085561"/>
    <w:rsid w:val="000859C8"/>
    <w:rsid w:val="00086736"/>
    <w:rsid w:val="00086BB8"/>
    <w:rsid w:val="00086D22"/>
    <w:rsid w:val="00086FDA"/>
    <w:rsid w:val="00092F3F"/>
    <w:rsid w:val="000941EE"/>
    <w:rsid w:val="00097F72"/>
    <w:rsid w:val="000A0DD8"/>
    <w:rsid w:val="000A1340"/>
    <w:rsid w:val="000A1EBB"/>
    <w:rsid w:val="000A5310"/>
    <w:rsid w:val="000B09B7"/>
    <w:rsid w:val="000B268B"/>
    <w:rsid w:val="000B2D3D"/>
    <w:rsid w:val="000B3034"/>
    <w:rsid w:val="000B3944"/>
    <w:rsid w:val="000B578F"/>
    <w:rsid w:val="000B6F63"/>
    <w:rsid w:val="000C0CF1"/>
    <w:rsid w:val="000C4159"/>
    <w:rsid w:val="000C48E6"/>
    <w:rsid w:val="000C5F4E"/>
    <w:rsid w:val="000C649B"/>
    <w:rsid w:val="000C7808"/>
    <w:rsid w:val="000D1F6D"/>
    <w:rsid w:val="000D295E"/>
    <w:rsid w:val="000D5B0F"/>
    <w:rsid w:val="000D625D"/>
    <w:rsid w:val="000E3B58"/>
    <w:rsid w:val="000F0727"/>
    <w:rsid w:val="000F1A29"/>
    <w:rsid w:val="000F1D75"/>
    <w:rsid w:val="000F485D"/>
    <w:rsid w:val="000F4B38"/>
    <w:rsid w:val="000F4ECD"/>
    <w:rsid w:val="000F64BC"/>
    <w:rsid w:val="000F7CCA"/>
    <w:rsid w:val="00100053"/>
    <w:rsid w:val="001005BE"/>
    <w:rsid w:val="00100C51"/>
    <w:rsid w:val="00100FDF"/>
    <w:rsid w:val="001020D2"/>
    <w:rsid w:val="00102511"/>
    <w:rsid w:val="00103505"/>
    <w:rsid w:val="00103623"/>
    <w:rsid w:val="0010374A"/>
    <w:rsid w:val="0010405B"/>
    <w:rsid w:val="00104CA3"/>
    <w:rsid w:val="00106DD9"/>
    <w:rsid w:val="00110512"/>
    <w:rsid w:val="00111872"/>
    <w:rsid w:val="00112014"/>
    <w:rsid w:val="00112283"/>
    <w:rsid w:val="00112743"/>
    <w:rsid w:val="00113109"/>
    <w:rsid w:val="0011387A"/>
    <w:rsid w:val="001139FF"/>
    <w:rsid w:val="00113E6B"/>
    <w:rsid w:val="001229CD"/>
    <w:rsid w:val="00125602"/>
    <w:rsid w:val="001267B9"/>
    <w:rsid w:val="00130015"/>
    <w:rsid w:val="001310EA"/>
    <w:rsid w:val="00132684"/>
    <w:rsid w:val="001333F8"/>
    <w:rsid w:val="001343F8"/>
    <w:rsid w:val="00134BF4"/>
    <w:rsid w:val="00141980"/>
    <w:rsid w:val="0014317F"/>
    <w:rsid w:val="0014341B"/>
    <w:rsid w:val="001513A4"/>
    <w:rsid w:val="001548F0"/>
    <w:rsid w:val="00155702"/>
    <w:rsid w:val="00157BE9"/>
    <w:rsid w:val="00160363"/>
    <w:rsid w:val="00163565"/>
    <w:rsid w:val="001645FF"/>
    <w:rsid w:val="0016746A"/>
    <w:rsid w:val="00167A7C"/>
    <w:rsid w:val="00172DAA"/>
    <w:rsid w:val="00173D46"/>
    <w:rsid w:val="00173F98"/>
    <w:rsid w:val="00174BF2"/>
    <w:rsid w:val="00174C8A"/>
    <w:rsid w:val="00176635"/>
    <w:rsid w:val="00181B5A"/>
    <w:rsid w:val="00182C89"/>
    <w:rsid w:val="001835E2"/>
    <w:rsid w:val="001838DF"/>
    <w:rsid w:val="00191B28"/>
    <w:rsid w:val="0019469C"/>
    <w:rsid w:val="0019482A"/>
    <w:rsid w:val="00194BAB"/>
    <w:rsid w:val="001951A3"/>
    <w:rsid w:val="00195480"/>
    <w:rsid w:val="00195E6B"/>
    <w:rsid w:val="00195FE2"/>
    <w:rsid w:val="001969E3"/>
    <w:rsid w:val="001976EC"/>
    <w:rsid w:val="001A014E"/>
    <w:rsid w:val="001A077A"/>
    <w:rsid w:val="001A3A37"/>
    <w:rsid w:val="001A48DF"/>
    <w:rsid w:val="001A5DB0"/>
    <w:rsid w:val="001A6A4F"/>
    <w:rsid w:val="001B2700"/>
    <w:rsid w:val="001B4FCE"/>
    <w:rsid w:val="001B63B8"/>
    <w:rsid w:val="001C1C44"/>
    <w:rsid w:val="001C5500"/>
    <w:rsid w:val="001D4956"/>
    <w:rsid w:val="001D4A1A"/>
    <w:rsid w:val="001D5AFD"/>
    <w:rsid w:val="001D5B10"/>
    <w:rsid w:val="001D699D"/>
    <w:rsid w:val="001D7E65"/>
    <w:rsid w:val="001E10AC"/>
    <w:rsid w:val="001E1FDD"/>
    <w:rsid w:val="001E4915"/>
    <w:rsid w:val="001E49FD"/>
    <w:rsid w:val="001E5638"/>
    <w:rsid w:val="001E67BD"/>
    <w:rsid w:val="001E6BD1"/>
    <w:rsid w:val="001E7C8C"/>
    <w:rsid w:val="001F0303"/>
    <w:rsid w:val="001F1D30"/>
    <w:rsid w:val="001F54C6"/>
    <w:rsid w:val="001F687A"/>
    <w:rsid w:val="00201386"/>
    <w:rsid w:val="002021B0"/>
    <w:rsid w:val="00203632"/>
    <w:rsid w:val="002045C5"/>
    <w:rsid w:val="002047CD"/>
    <w:rsid w:val="002054F1"/>
    <w:rsid w:val="00211CDB"/>
    <w:rsid w:val="00212B3D"/>
    <w:rsid w:val="002132A1"/>
    <w:rsid w:val="002135FB"/>
    <w:rsid w:val="00216B68"/>
    <w:rsid w:val="00220D6A"/>
    <w:rsid w:val="0022167B"/>
    <w:rsid w:val="00221B8C"/>
    <w:rsid w:val="0022439E"/>
    <w:rsid w:val="002252BB"/>
    <w:rsid w:val="002266B5"/>
    <w:rsid w:val="00226DAD"/>
    <w:rsid w:val="0022779A"/>
    <w:rsid w:val="002279E3"/>
    <w:rsid w:val="002305F3"/>
    <w:rsid w:val="002326F6"/>
    <w:rsid w:val="0023272B"/>
    <w:rsid w:val="0023385D"/>
    <w:rsid w:val="002348A0"/>
    <w:rsid w:val="00234FAF"/>
    <w:rsid w:val="0023591A"/>
    <w:rsid w:val="002375C1"/>
    <w:rsid w:val="00243172"/>
    <w:rsid w:val="0024343E"/>
    <w:rsid w:val="002477EE"/>
    <w:rsid w:val="002502C2"/>
    <w:rsid w:val="00250899"/>
    <w:rsid w:val="00250D41"/>
    <w:rsid w:val="0025170A"/>
    <w:rsid w:val="00254AA6"/>
    <w:rsid w:val="00254CC2"/>
    <w:rsid w:val="00254E23"/>
    <w:rsid w:val="00256AFC"/>
    <w:rsid w:val="00257B53"/>
    <w:rsid w:val="0026015F"/>
    <w:rsid w:val="002601A2"/>
    <w:rsid w:val="00261CD0"/>
    <w:rsid w:val="0026323A"/>
    <w:rsid w:val="00263DAC"/>
    <w:rsid w:val="00264672"/>
    <w:rsid w:val="00266AE3"/>
    <w:rsid w:val="002701AD"/>
    <w:rsid w:val="0027175F"/>
    <w:rsid w:val="00271D24"/>
    <w:rsid w:val="00271E24"/>
    <w:rsid w:val="00272CEE"/>
    <w:rsid w:val="00272E24"/>
    <w:rsid w:val="00274168"/>
    <w:rsid w:val="00275428"/>
    <w:rsid w:val="0028143D"/>
    <w:rsid w:val="00283026"/>
    <w:rsid w:val="002832EA"/>
    <w:rsid w:val="002833F1"/>
    <w:rsid w:val="00283F10"/>
    <w:rsid w:val="00284154"/>
    <w:rsid w:val="0028634C"/>
    <w:rsid w:val="0028662C"/>
    <w:rsid w:val="00290493"/>
    <w:rsid w:val="002935BF"/>
    <w:rsid w:val="00293D0C"/>
    <w:rsid w:val="002A0905"/>
    <w:rsid w:val="002A3767"/>
    <w:rsid w:val="002B14D2"/>
    <w:rsid w:val="002B184A"/>
    <w:rsid w:val="002B2276"/>
    <w:rsid w:val="002B63E5"/>
    <w:rsid w:val="002B7AF3"/>
    <w:rsid w:val="002C0270"/>
    <w:rsid w:val="002C0679"/>
    <w:rsid w:val="002C27C5"/>
    <w:rsid w:val="002C3A26"/>
    <w:rsid w:val="002C4460"/>
    <w:rsid w:val="002C48A6"/>
    <w:rsid w:val="002C5320"/>
    <w:rsid w:val="002C601F"/>
    <w:rsid w:val="002D0A66"/>
    <w:rsid w:val="002D0C6D"/>
    <w:rsid w:val="002D2BCD"/>
    <w:rsid w:val="002D6D4E"/>
    <w:rsid w:val="002D6ECF"/>
    <w:rsid w:val="002D7C08"/>
    <w:rsid w:val="002E0E4D"/>
    <w:rsid w:val="002E3324"/>
    <w:rsid w:val="002E3C96"/>
    <w:rsid w:val="002E50D8"/>
    <w:rsid w:val="002F15E4"/>
    <w:rsid w:val="002F16A9"/>
    <w:rsid w:val="002F1D11"/>
    <w:rsid w:val="002F3C97"/>
    <w:rsid w:val="002F52A5"/>
    <w:rsid w:val="002F7633"/>
    <w:rsid w:val="00301443"/>
    <w:rsid w:val="00301C46"/>
    <w:rsid w:val="00301E16"/>
    <w:rsid w:val="00304BCC"/>
    <w:rsid w:val="00307FB5"/>
    <w:rsid w:val="00310309"/>
    <w:rsid w:val="0031759E"/>
    <w:rsid w:val="003203C8"/>
    <w:rsid w:val="00323047"/>
    <w:rsid w:val="0032318F"/>
    <w:rsid w:val="00323C10"/>
    <w:rsid w:val="00326640"/>
    <w:rsid w:val="00327628"/>
    <w:rsid w:val="00330011"/>
    <w:rsid w:val="0033226E"/>
    <w:rsid w:val="003329FD"/>
    <w:rsid w:val="00333331"/>
    <w:rsid w:val="00333A07"/>
    <w:rsid w:val="00334AA9"/>
    <w:rsid w:val="00340AD7"/>
    <w:rsid w:val="00343471"/>
    <w:rsid w:val="003459D7"/>
    <w:rsid w:val="00345D9C"/>
    <w:rsid w:val="0034611B"/>
    <w:rsid w:val="00346B5C"/>
    <w:rsid w:val="003477E9"/>
    <w:rsid w:val="00350876"/>
    <w:rsid w:val="003546B4"/>
    <w:rsid w:val="003548C2"/>
    <w:rsid w:val="003570EA"/>
    <w:rsid w:val="00357B38"/>
    <w:rsid w:val="00362B22"/>
    <w:rsid w:val="003639C5"/>
    <w:rsid w:val="00364C05"/>
    <w:rsid w:val="0036700B"/>
    <w:rsid w:val="00371CD3"/>
    <w:rsid w:val="00371CF7"/>
    <w:rsid w:val="0037236A"/>
    <w:rsid w:val="00372A36"/>
    <w:rsid w:val="00373594"/>
    <w:rsid w:val="00374297"/>
    <w:rsid w:val="00374B32"/>
    <w:rsid w:val="00376248"/>
    <w:rsid w:val="00376C90"/>
    <w:rsid w:val="00380059"/>
    <w:rsid w:val="003800A4"/>
    <w:rsid w:val="00381886"/>
    <w:rsid w:val="00384ECF"/>
    <w:rsid w:val="0038613A"/>
    <w:rsid w:val="00392BF5"/>
    <w:rsid w:val="00392E8A"/>
    <w:rsid w:val="00392F2B"/>
    <w:rsid w:val="00393E1F"/>
    <w:rsid w:val="00396550"/>
    <w:rsid w:val="00396B50"/>
    <w:rsid w:val="003A0476"/>
    <w:rsid w:val="003A1CFA"/>
    <w:rsid w:val="003A355C"/>
    <w:rsid w:val="003A6691"/>
    <w:rsid w:val="003B08D6"/>
    <w:rsid w:val="003B140C"/>
    <w:rsid w:val="003B2519"/>
    <w:rsid w:val="003B7037"/>
    <w:rsid w:val="003C0289"/>
    <w:rsid w:val="003C0B9A"/>
    <w:rsid w:val="003C0CEE"/>
    <w:rsid w:val="003C2685"/>
    <w:rsid w:val="003C4D5B"/>
    <w:rsid w:val="003D29AD"/>
    <w:rsid w:val="003D37B9"/>
    <w:rsid w:val="003D68EE"/>
    <w:rsid w:val="003E2014"/>
    <w:rsid w:val="003E4B19"/>
    <w:rsid w:val="003F01ED"/>
    <w:rsid w:val="003F3A7C"/>
    <w:rsid w:val="003F49C4"/>
    <w:rsid w:val="003F70CA"/>
    <w:rsid w:val="004007EC"/>
    <w:rsid w:val="00400856"/>
    <w:rsid w:val="00402275"/>
    <w:rsid w:val="00404B95"/>
    <w:rsid w:val="00411DA8"/>
    <w:rsid w:val="00413BCF"/>
    <w:rsid w:val="004160EE"/>
    <w:rsid w:val="00420185"/>
    <w:rsid w:val="00421F47"/>
    <w:rsid w:val="00423280"/>
    <w:rsid w:val="00425AC9"/>
    <w:rsid w:val="004308B7"/>
    <w:rsid w:val="004320D1"/>
    <w:rsid w:val="00434A23"/>
    <w:rsid w:val="00435D1C"/>
    <w:rsid w:val="004369E9"/>
    <w:rsid w:val="00436C12"/>
    <w:rsid w:val="00440C10"/>
    <w:rsid w:val="004418F5"/>
    <w:rsid w:val="00443344"/>
    <w:rsid w:val="00443859"/>
    <w:rsid w:val="00446589"/>
    <w:rsid w:val="00447B0F"/>
    <w:rsid w:val="00451D4A"/>
    <w:rsid w:val="00461321"/>
    <w:rsid w:val="00461C41"/>
    <w:rsid w:val="00461F4B"/>
    <w:rsid w:val="00461FD0"/>
    <w:rsid w:val="00462CCD"/>
    <w:rsid w:val="00462D3D"/>
    <w:rsid w:val="00464754"/>
    <w:rsid w:val="0046572A"/>
    <w:rsid w:val="0046670C"/>
    <w:rsid w:val="0047259C"/>
    <w:rsid w:val="0047337A"/>
    <w:rsid w:val="00484131"/>
    <w:rsid w:val="00484767"/>
    <w:rsid w:val="0048492C"/>
    <w:rsid w:val="00484B04"/>
    <w:rsid w:val="00484F48"/>
    <w:rsid w:val="00485060"/>
    <w:rsid w:val="0048569B"/>
    <w:rsid w:val="004908E8"/>
    <w:rsid w:val="00493B51"/>
    <w:rsid w:val="00494C19"/>
    <w:rsid w:val="004965FF"/>
    <w:rsid w:val="004A0B24"/>
    <w:rsid w:val="004A195D"/>
    <w:rsid w:val="004B0B51"/>
    <w:rsid w:val="004B2629"/>
    <w:rsid w:val="004B5261"/>
    <w:rsid w:val="004B57D1"/>
    <w:rsid w:val="004B633B"/>
    <w:rsid w:val="004B63FC"/>
    <w:rsid w:val="004B75C8"/>
    <w:rsid w:val="004C13BB"/>
    <w:rsid w:val="004D26E1"/>
    <w:rsid w:val="004E0F36"/>
    <w:rsid w:val="004E1328"/>
    <w:rsid w:val="004E5648"/>
    <w:rsid w:val="004E676D"/>
    <w:rsid w:val="004E76B2"/>
    <w:rsid w:val="004E79C5"/>
    <w:rsid w:val="004F14D4"/>
    <w:rsid w:val="004F1E13"/>
    <w:rsid w:val="004F683B"/>
    <w:rsid w:val="004F6ABA"/>
    <w:rsid w:val="004F6AE9"/>
    <w:rsid w:val="004F7E01"/>
    <w:rsid w:val="00500318"/>
    <w:rsid w:val="00500DC2"/>
    <w:rsid w:val="005018DE"/>
    <w:rsid w:val="0050246E"/>
    <w:rsid w:val="00502B9D"/>
    <w:rsid w:val="005044F1"/>
    <w:rsid w:val="005067FF"/>
    <w:rsid w:val="005077AE"/>
    <w:rsid w:val="005077F4"/>
    <w:rsid w:val="00510184"/>
    <w:rsid w:val="00512B03"/>
    <w:rsid w:val="00514474"/>
    <w:rsid w:val="005164EC"/>
    <w:rsid w:val="00516FB5"/>
    <w:rsid w:val="00520E72"/>
    <w:rsid w:val="0052360D"/>
    <w:rsid w:val="00523C18"/>
    <w:rsid w:val="00523F7E"/>
    <w:rsid w:val="005242AF"/>
    <w:rsid w:val="005245CB"/>
    <w:rsid w:val="00524C1A"/>
    <w:rsid w:val="00524E8C"/>
    <w:rsid w:val="005254CB"/>
    <w:rsid w:val="005262FD"/>
    <w:rsid w:val="00526D8C"/>
    <w:rsid w:val="005310A1"/>
    <w:rsid w:val="0053722D"/>
    <w:rsid w:val="00540747"/>
    <w:rsid w:val="00540C39"/>
    <w:rsid w:val="005411AF"/>
    <w:rsid w:val="005435F4"/>
    <w:rsid w:val="00551753"/>
    <w:rsid w:val="00551A54"/>
    <w:rsid w:val="00552AA6"/>
    <w:rsid w:val="00553921"/>
    <w:rsid w:val="00553B30"/>
    <w:rsid w:val="005579C5"/>
    <w:rsid w:val="00557C31"/>
    <w:rsid w:val="00561846"/>
    <w:rsid w:val="005620C4"/>
    <w:rsid w:val="00563523"/>
    <w:rsid w:val="00564BC5"/>
    <w:rsid w:val="0056513C"/>
    <w:rsid w:val="005663C4"/>
    <w:rsid w:val="00567FD7"/>
    <w:rsid w:val="00571F29"/>
    <w:rsid w:val="0057239B"/>
    <w:rsid w:val="005748AF"/>
    <w:rsid w:val="00574AB1"/>
    <w:rsid w:val="00577147"/>
    <w:rsid w:val="005777DD"/>
    <w:rsid w:val="00577FC8"/>
    <w:rsid w:val="00581189"/>
    <w:rsid w:val="00587C26"/>
    <w:rsid w:val="00591689"/>
    <w:rsid w:val="005918CB"/>
    <w:rsid w:val="0059331C"/>
    <w:rsid w:val="005936A1"/>
    <w:rsid w:val="00597071"/>
    <w:rsid w:val="00597AFC"/>
    <w:rsid w:val="005A182A"/>
    <w:rsid w:val="005A1CD9"/>
    <w:rsid w:val="005A31DD"/>
    <w:rsid w:val="005A398C"/>
    <w:rsid w:val="005A4B32"/>
    <w:rsid w:val="005A5CBE"/>
    <w:rsid w:val="005A7104"/>
    <w:rsid w:val="005B094B"/>
    <w:rsid w:val="005B0AAA"/>
    <w:rsid w:val="005B1356"/>
    <w:rsid w:val="005B315C"/>
    <w:rsid w:val="005B3276"/>
    <w:rsid w:val="005B39A3"/>
    <w:rsid w:val="005B41ED"/>
    <w:rsid w:val="005C0F49"/>
    <w:rsid w:val="005C133C"/>
    <w:rsid w:val="005C2545"/>
    <w:rsid w:val="005C41CF"/>
    <w:rsid w:val="005C42F6"/>
    <w:rsid w:val="005C5DE9"/>
    <w:rsid w:val="005C684C"/>
    <w:rsid w:val="005D00D4"/>
    <w:rsid w:val="005D0C65"/>
    <w:rsid w:val="005D293C"/>
    <w:rsid w:val="005D2B4F"/>
    <w:rsid w:val="005D66DF"/>
    <w:rsid w:val="005D70DB"/>
    <w:rsid w:val="005E395E"/>
    <w:rsid w:val="005E4108"/>
    <w:rsid w:val="005E45AF"/>
    <w:rsid w:val="005E4AFA"/>
    <w:rsid w:val="005E506B"/>
    <w:rsid w:val="005E6540"/>
    <w:rsid w:val="005E7965"/>
    <w:rsid w:val="005F05E2"/>
    <w:rsid w:val="005F0692"/>
    <w:rsid w:val="005F2EB1"/>
    <w:rsid w:val="005F3BC7"/>
    <w:rsid w:val="005F3C87"/>
    <w:rsid w:val="005F4361"/>
    <w:rsid w:val="005F4E1B"/>
    <w:rsid w:val="005F51F1"/>
    <w:rsid w:val="00600825"/>
    <w:rsid w:val="0060201E"/>
    <w:rsid w:val="006036AA"/>
    <w:rsid w:val="00603C03"/>
    <w:rsid w:val="0060449E"/>
    <w:rsid w:val="006051FA"/>
    <w:rsid w:val="00614782"/>
    <w:rsid w:val="0061794F"/>
    <w:rsid w:val="00617ADA"/>
    <w:rsid w:val="00617FF2"/>
    <w:rsid w:val="00623B8E"/>
    <w:rsid w:val="00631633"/>
    <w:rsid w:val="00631F59"/>
    <w:rsid w:val="0063364E"/>
    <w:rsid w:val="006349DE"/>
    <w:rsid w:val="00637FDC"/>
    <w:rsid w:val="00641B0D"/>
    <w:rsid w:val="00643CE8"/>
    <w:rsid w:val="00644471"/>
    <w:rsid w:val="0064687D"/>
    <w:rsid w:val="006501F9"/>
    <w:rsid w:val="00650C69"/>
    <w:rsid w:val="006520D5"/>
    <w:rsid w:val="00652DAA"/>
    <w:rsid w:val="00652EF9"/>
    <w:rsid w:val="00653799"/>
    <w:rsid w:val="00654256"/>
    <w:rsid w:val="006576F7"/>
    <w:rsid w:val="00657C91"/>
    <w:rsid w:val="00660AF3"/>
    <w:rsid w:val="00661C39"/>
    <w:rsid w:val="00661FC5"/>
    <w:rsid w:val="0066207E"/>
    <w:rsid w:val="00663275"/>
    <w:rsid w:val="00664E75"/>
    <w:rsid w:val="00666014"/>
    <w:rsid w:val="00672317"/>
    <w:rsid w:val="00675330"/>
    <w:rsid w:val="00677865"/>
    <w:rsid w:val="00680344"/>
    <w:rsid w:val="006813FE"/>
    <w:rsid w:val="00683A79"/>
    <w:rsid w:val="00684529"/>
    <w:rsid w:val="00684CB4"/>
    <w:rsid w:val="00684D2F"/>
    <w:rsid w:val="00685317"/>
    <w:rsid w:val="006921AE"/>
    <w:rsid w:val="00692BD3"/>
    <w:rsid w:val="00692D93"/>
    <w:rsid w:val="00692DD4"/>
    <w:rsid w:val="006972C6"/>
    <w:rsid w:val="006A13ED"/>
    <w:rsid w:val="006A1838"/>
    <w:rsid w:val="006A32AF"/>
    <w:rsid w:val="006B27C1"/>
    <w:rsid w:val="006B3CC8"/>
    <w:rsid w:val="006B5623"/>
    <w:rsid w:val="006B56B6"/>
    <w:rsid w:val="006B731B"/>
    <w:rsid w:val="006B78B3"/>
    <w:rsid w:val="006C062F"/>
    <w:rsid w:val="006C0905"/>
    <w:rsid w:val="006C5F9A"/>
    <w:rsid w:val="006C65E1"/>
    <w:rsid w:val="006C6B8C"/>
    <w:rsid w:val="006D23AF"/>
    <w:rsid w:val="006D35A7"/>
    <w:rsid w:val="006D3F47"/>
    <w:rsid w:val="006D4ED2"/>
    <w:rsid w:val="006E7A49"/>
    <w:rsid w:val="006E7ED5"/>
    <w:rsid w:val="006F554D"/>
    <w:rsid w:val="006F5F1A"/>
    <w:rsid w:val="00700113"/>
    <w:rsid w:val="007030BC"/>
    <w:rsid w:val="00703910"/>
    <w:rsid w:val="007047D6"/>
    <w:rsid w:val="0070611C"/>
    <w:rsid w:val="00707F21"/>
    <w:rsid w:val="007130AB"/>
    <w:rsid w:val="00714B6E"/>
    <w:rsid w:val="007209A0"/>
    <w:rsid w:val="00721FC8"/>
    <w:rsid w:val="007226EA"/>
    <w:rsid w:val="00724A42"/>
    <w:rsid w:val="00725394"/>
    <w:rsid w:val="0072637E"/>
    <w:rsid w:val="00726FD7"/>
    <w:rsid w:val="00730194"/>
    <w:rsid w:val="0073152B"/>
    <w:rsid w:val="0073159C"/>
    <w:rsid w:val="00731D42"/>
    <w:rsid w:val="00732190"/>
    <w:rsid w:val="00733CE7"/>
    <w:rsid w:val="00734112"/>
    <w:rsid w:val="007371F8"/>
    <w:rsid w:val="00741272"/>
    <w:rsid w:val="0074310B"/>
    <w:rsid w:val="00743770"/>
    <w:rsid w:val="00744E3A"/>
    <w:rsid w:val="00745625"/>
    <w:rsid w:val="00746268"/>
    <w:rsid w:val="00747668"/>
    <w:rsid w:val="00751413"/>
    <w:rsid w:val="007530A3"/>
    <w:rsid w:val="00755C41"/>
    <w:rsid w:val="00756838"/>
    <w:rsid w:val="007608C2"/>
    <w:rsid w:val="007612E7"/>
    <w:rsid w:val="00761AAC"/>
    <w:rsid w:val="007651A4"/>
    <w:rsid w:val="00767789"/>
    <w:rsid w:val="007711C7"/>
    <w:rsid w:val="00772458"/>
    <w:rsid w:val="00774F46"/>
    <w:rsid w:val="0077718B"/>
    <w:rsid w:val="00781A8F"/>
    <w:rsid w:val="0078578A"/>
    <w:rsid w:val="00785C14"/>
    <w:rsid w:val="00785D81"/>
    <w:rsid w:val="00786679"/>
    <w:rsid w:val="0078719F"/>
    <w:rsid w:val="00790547"/>
    <w:rsid w:val="00790D5A"/>
    <w:rsid w:val="00793A9D"/>
    <w:rsid w:val="00794FEA"/>
    <w:rsid w:val="00795274"/>
    <w:rsid w:val="007975F1"/>
    <w:rsid w:val="007A1AD9"/>
    <w:rsid w:val="007A1E73"/>
    <w:rsid w:val="007A20ED"/>
    <w:rsid w:val="007A64EE"/>
    <w:rsid w:val="007B00FB"/>
    <w:rsid w:val="007B061F"/>
    <w:rsid w:val="007B79E7"/>
    <w:rsid w:val="007C02A6"/>
    <w:rsid w:val="007C1380"/>
    <w:rsid w:val="007C2954"/>
    <w:rsid w:val="007C5C66"/>
    <w:rsid w:val="007C5CD0"/>
    <w:rsid w:val="007C60EE"/>
    <w:rsid w:val="007C6CB3"/>
    <w:rsid w:val="007C6EF6"/>
    <w:rsid w:val="007D2482"/>
    <w:rsid w:val="007D2A91"/>
    <w:rsid w:val="007D385B"/>
    <w:rsid w:val="007D5B72"/>
    <w:rsid w:val="007D5E90"/>
    <w:rsid w:val="007D725A"/>
    <w:rsid w:val="007E214A"/>
    <w:rsid w:val="007E51D0"/>
    <w:rsid w:val="007F0953"/>
    <w:rsid w:val="007F0DB7"/>
    <w:rsid w:val="007F25B1"/>
    <w:rsid w:val="007F2F38"/>
    <w:rsid w:val="007F3EFE"/>
    <w:rsid w:val="007F482E"/>
    <w:rsid w:val="007F5910"/>
    <w:rsid w:val="007F61C6"/>
    <w:rsid w:val="007F64D3"/>
    <w:rsid w:val="0080307C"/>
    <w:rsid w:val="00804E07"/>
    <w:rsid w:val="00805B74"/>
    <w:rsid w:val="00806675"/>
    <w:rsid w:val="00806EA6"/>
    <w:rsid w:val="00806EAA"/>
    <w:rsid w:val="00810CCB"/>
    <w:rsid w:val="008154D2"/>
    <w:rsid w:val="00823A62"/>
    <w:rsid w:val="00826B20"/>
    <w:rsid w:val="008306E1"/>
    <w:rsid w:val="0083122F"/>
    <w:rsid w:val="00831DEA"/>
    <w:rsid w:val="008348A4"/>
    <w:rsid w:val="00837189"/>
    <w:rsid w:val="00837451"/>
    <w:rsid w:val="0084188C"/>
    <w:rsid w:val="008419CC"/>
    <w:rsid w:val="008419DE"/>
    <w:rsid w:val="0084202F"/>
    <w:rsid w:val="00842365"/>
    <w:rsid w:val="008430C5"/>
    <w:rsid w:val="00852B56"/>
    <w:rsid w:val="0085446E"/>
    <w:rsid w:val="0085484E"/>
    <w:rsid w:val="00854AD1"/>
    <w:rsid w:val="00855FA1"/>
    <w:rsid w:val="008567E3"/>
    <w:rsid w:val="00856819"/>
    <w:rsid w:val="00862A7F"/>
    <w:rsid w:val="0086623A"/>
    <w:rsid w:val="00866D06"/>
    <w:rsid w:val="00867946"/>
    <w:rsid w:val="00867BF9"/>
    <w:rsid w:val="0087362D"/>
    <w:rsid w:val="00874CFA"/>
    <w:rsid w:val="00874FA7"/>
    <w:rsid w:val="0088486D"/>
    <w:rsid w:val="00887775"/>
    <w:rsid w:val="0089057C"/>
    <w:rsid w:val="00890682"/>
    <w:rsid w:val="00891606"/>
    <w:rsid w:val="00892B22"/>
    <w:rsid w:val="00894C30"/>
    <w:rsid w:val="00895D59"/>
    <w:rsid w:val="00896577"/>
    <w:rsid w:val="00897060"/>
    <w:rsid w:val="008A1A49"/>
    <w:rsid w:val="008A1AD2"/>
    <w:rsid w:val="008A347B"/>
    <w:rsid w:val="008A3C0E"/>
    <w:rsid w:val="008A4D50"/>
    <w:rsid w:val="008B0518"/>
    <w:rsid w:val="008B10DC"/>
    <w:rsid w:val="008B4784"/>
    <w:rsid w:val="008C1430"/>
    <w:rsid w:val="008C143C"/>
    <w:rsid w:val="008C194C"/>
    <w:rsid w:val="008C1FB2"/>
    <w:rsid w:val="008C46A7"/>
    <w:rsid w:val="008C6D2C"/>
    <w:rsid w:val="008D0BC7"/>
    <w:rsid w:val="008D4B63"/>
    <w:rsid w:val="008D701A"/>
    <w:rsid w:val="008D739C"/>
    <w:rsid w:val="008D7618"/>
    <w:rsid w:val="008E1B0A"/>
    <w:rsid w:val="008E1CC9"/>
    <w:rsid w:val="008E3E5C"/>
    <w:rsid w:val="008E4A81"/>
    <w:rsid w:val="008E5BE4"/>
    <w:rsid w:val="008E5CE9"/>
    <w:rsid w:val="008E64E8"/>
    <w:rsid w:val="008F0E28"/>
    <w:rsid w:val="008F1462"/>
    <w:rsid w:val="008F14C9"/>
    <w:rsid w:val="008F14DC"/>
    <w:rsid w:val="008F1759"/>
    <w:rsid w:val="008F2B04"/>
    <w:rsid w:val="008F3F20"/>
    <w:rsid w:val="008F5C6F"/>
    <w:rsid w:val="008F69E3"/>
    <w:rsid w:val="009004DE"/>
    <w:rsid w:val="00901017"/>
    <w:rsid w:val="0090312C"/>
    <w:rsid w:val="00904DFA"/>
    <w:rsid w:val="0090571A"/>
    <w:rsid w:val="00906ABC"/>
    <w:rsid w:val="00906D68"/>
    <w:rsid w:val="00907120"/>
    <w:rsid w:val="00910375"/>
    <w:rsid w:val="00911509"/>
    <w:rsid w:val="00911D9D"/>
    <w:rsid w:val="00912722"/>
    <w:rsid w:val="00912B5E"/>
    <w:rsid w:val="009150A6"/>
    <w:rsid w:val="009162F2"/>
    <w:rsid w:val="00917EC9"/>
    <w:rsid w:val="00923C4A"/>
    <w:rsid w:val="00923D86"/>
    <w:rsid w:val="0092440C"/>
    <w:rsid w:val="00925AFF"/>
    <w:rsid w:val="009262EA"/>
    <w:rsid w:val="00926373"/>
    <w:rsid w:val="009307B4"/>
    <w:rsid w:val="0093331C"/>
    <w:rsid w:val="00935882"/>
    <w:rsid w:val="0093593D"/>
    <w:rsid w:val="00936712"/>
    <w:rsid w:val="00936B56"/>
    <w:rsid w:val="00936C7C"/>
    <w:rsid w:val="0093781E"/>
    <w:rsid w:val="0094169A"/>
    <w:rsid w:val="00942005"/>
    <w:rsid w:val="00944146"/>
    <w:rsid w:val="0094453E"/>
    <w:rsid w:val="00947859"/>
    <w:rsid w:val="00950B67"/>
    <w:rsid w:val="009528FE"/>
    <w:rsid w:val="00953A44"/>
    <w:rsid w:val="00954309"/>
    <w:rsid w:val="00954463"/>
    <w:rsid w:val="0095608A"/>
    <w:rsid w:val="0096039A"/>
    <w:rsid w:val="009617F8"/>
    <w:rsid w:val="009620BC"/>
    <w:rsid w:val="00963C46"/>
    <w:rsid w:val="0097012E"/>
    <w:rsid w:val="00970E86"/>
    <w:rsid w:val="009732B1"/>
    <w:rsid w:val="009745EA"/>
    <w:rsid w:val="00974CDD"/>
    <w:rsid w:val="00974E2E"/>
    <w:rsid w:val="00976010"/>
    <w:rsid w:val="00976AF3"/>
    <w:rsid w:val="009831E0"/>
    <w:rsid w:val="00984498"/>
    <w:rsid w:val="009875D4"/>
    <w:rsid w:val="00987FAF"/>
    <w:rsid w:val="0099081C"/>
    <w:rsid w:val="00992F00"/>
    <w:rsid w:val="0099400A"/>
    <w:rsid w:val="009945DF"/>
    <w:rsid w:val="00995633"/>
    <w:rsid w:val="009967D6"/>
    <w:rsid w:val="00997EA4"/>
    <w:rsid w:val="009A0676"/>
    <w:rsid w:val="009A2005"/>
    <w:rsid w:val="009A3A13"/>
    <w:rsid w:val="009A59C1"/>
    <w:rsid w:val="009A665E"/>
    <w:rsid w:val="009A755E"/>
    <w:rsid w:val="009A7747"/>
    <w:rsid w:val="009B0C83"/>
    <w:rsid w:val="009B4640"/>
    <w:rsid w:val="009C0FC1"/>
    <w:rsid w:val="009C2AC3"/>
    <w:rsid w:val="009C4C33"/>
    <w:rsid w:val="009C4F68"/>
    <w:rsid w:val="009C6900"/>
    <w:rsid w:val="009D0F87"/>
    <w:rsid w:val="009D31C5"/>
    <w:rsid w:val="009D410C"/>
    <w:rsid w:val="009D75AA"/>
    <w:rsid w:val="009D7B26"/>
    <w:rsid w:val="009D7EF0"/>
    <w:rsid w:val="009E0014"/>
    <w:rsid w:val="009E2153"/>
    <w:rsid w:val="009E2A9B"/>
    <w:rsid w:val="009E6AAE"/>
    <w:rsid w:val="009F0BDD"/>
    <w:rsid w:val="009F2B30"/>
    <w:rsid w:val="009F3102"/>
    <w:rsid w:val="009F3A64"/>
    <w:rsid w:val="009F4E45"/>
    <w:rsid w:val="009F7651"/>
    <w:rsid w:val="00A0119B"/>
    <w:rsid w:val="00A02B99"/>
    <w:rsid w:val="00A03102"/>
    <w:rsid w:val="00A03CFF"/>
    <w:rsid w:val="00A05B33"/>
    <w:rsid w:val="00A06856"/>
    <w:rsid w:val="00A10CF7"/>
    <w:rsid w:val="00A10EFA"/>
    <w:rsid w:val="00A11CE2"/>
    <w:rsid w:val="00A13553"/>
    <w:rsid w:val="00A139C5"/>
    <w:rsid w:val="00A146E9"/>
    <w:rsid w:val="00A24A5C"/>
    <w:rsid w:val="00A258B7"/>
    <w:rsid w:val="00A30E30"/>
    <w:rsid w:val="00A339B3"/>
    <w:rsid w:val="00A342E6"/>
    <w:rsid w:val="00A34F70"/>
    <w:rsid w:val="00A351E1"/>
    <w:rsid w:val="00A43816"/>
    <w:rsid w:val="00A44B8F"/>
    <w:rsid w:val="00A452C1"/>
    <w:rsid w:val="00A4648C"/>
    <w:rsid w:val="00A4656E"/>
    <w:rsid w:val="00A46870"/>
    <w:rsid w:val="00A4738B"/>
    <w:rsid w:val="00A47654"/>
    <w:rsid w:val="00A509AA"/>
    <w:rsid w:val="00A519AA"/>
    <w:rsid w:val="00A53644"/>
    <w:rsid w:val="00A5547C"/>
    <w:rsid w:val="00A601BC"/>
    <w:rsid w:val="00A62771"/>
    <w:rsid w:val="00A65150"/>
    <w:rsid w:val="00A65A7A"/>
    <w:rsid w:val="00A65D06"/>
    <w:rsid w:val="00A6663C"/>
    <w:rsid w:val="00A67782"/>
    <w:rsid w:val="00A70E54"/>
    <w:rsid w:val="00A7196B"/>
    <w:rsid w:val="00A73A32"/>
    <w:rsid w:val="00A75978"/>
    <w:rsid w:val="00A75D0F"/>
    <w:rsid w:val="00A77E2E"/>
    <w:rsid w:val="00A80BD8"/>
    <w:rsid w:val="00A828F0"/>
    <w:rsid w:val="00A85965"/>
    <w:rsid w:val="00A91E75"/>
    <w:rsid w:val="00A92AFC"/>
    <w:rsid w:val="00A93535"/>
    <w:rsid w:val="00A9553A"/>
    <w:rsid w:val="00A960AF"/>
    <w:rsid w:val="00AA0C68"/>
    <w:rsid w:val="00AA1653"/>
    <w:rsid w:val="00AA4F8A"/>
    <w:rsid w:val="00AA5E9C"/>
    <w:rsid w:val="00AB2E2A"/>
    <w:rsid w:val="00AB59D9"/>
    <w:rsid w:val="00AB5DF5"/>
    <w:rsid w:val="00AB632D"/>
    <w:rsid w:val="00AB6BD8"/>
    <w:rsid w:val="00AC01D2"/>
    <w:rsid w:val="00AC2828"/>
    <w:rsid w:val="00AC3C14"/>
    <w:rsid w:val="00AC6BCA"/>
    <w:rsid w:val="00AD0E02"/>
    <w:rsid w:val="00AD24E2"/>
    <w:rsid w:val="00AD2A20"/>
    <w:rsid w:val="00AD5647"/>
    <w:rsid w:val="00AD60DB"/>
    <w:rsid w:val="00AD67E6"/>
    <w:rsid w:val="00AD6C04"/>
    <w:rsid w:val="00AD798D"/>
    <w:rsid w:val="00AE006F"/>
    <w:rsid w:val="00AE040F"/>
    <w:rsid w:val="00AE0F6F"/>
    <w:rsid w:val="00AE1FE7"/>
    <w:rsid w:val="00AE2BCA"/>
    <w:rsid w:val="00AE4CE8"/>
    <w:rsid w:val="00AE5E92"/>
    <w:rsid w:val="00AE5F9B"/>
    <w:rsid w:val="00AE76B5"/>
    <w:rsid w:val="00AF01C6"/>
    <w:rsid w:val="00AF0D1C"/>
    <w:rsid w:val="00AF5251"/>
    <w:rsid w:val="00AF6405"/>
    <w:rsid w:val="00AF72E6"/>
    <w:rsid w:val="00B01E4D"/>
    <w:rsid w:val="00B0234F"/>
    <w:rsid w:val="00B03DFD"/>
    <w:rsid w:val="00B06E6C"/>
    <w:rsid w:val="00B105FA"/>
    <w:rsid w:val="00B10B3F"/>
    <w:rsid w:val="00B112D8"/>
    <w:rsid w:val="00B1187D"/>
    <w:rsid w:val="00B1669D"/>
    <w:rsid w:val="00B1763F"/>
    <w:rsid w:val="00B17FAB"/>
    <w:rsid w:val="00B20E25"/>
    <w:rsid w:val="00B233B7"/>
    <w:rsid w:val="00B23A37"/>
    <w:rsid w:val="00B26BCC"/>
    <w:rsid w:val="00B26F3F"/>
    <w:rsid w:val="00B27928"/>
    <w:rsid w:val="00B3331A"/>
    <w:rsid w:val="00B4074B"/>
    <w:rsid w:val="00B41AAA"/>
    <w:rsid w:val="00B46B69"/>
    <w:rsid w:val="00B46C79"/>
    <w:rsid w:val="00B47E48"/>
    <w:rsid w:val="00B50100"/>
    <w:rsid w:val="00B5437C"/>
    <w:rsid w:val="00B60CDD"/>
    <w:rsid w:val="00B61EDF"/>
    <w:rsid w:val="00B62007"/>
    <w:rsid w:val="00B6466A"/>
    <w:rsid w:val="00B67C1C"/>
    <w:rsid w:val="00B67F1B"/>
    <w:rsid w:val="00B7023B"/>
    <w:rsid w:val="00B72FD3"/>
    <w:rsid w:val="00B73840"/>
    <w:rsid w:val="00B74BD5"/>
    <w:rsid w:val="00B753A1"/>
    <w:rsid w:val="00B75A89"/>
    <w:rsid w:val="00B75CB5"/>
    <w:rsid w:val="00B771F6"/>
    <w:rsid w:val="00B772A6"/>
    <w:rsid w:val="00B81750"/>
    <w:rsid w:val="00B82CA2"/>
    <w:rsid w:val="00B831E8"/>
    <w:rsid w:val="00B862A4"/>
    <w:rsid w:val="00B96A51"/>
    <w:rsid w:val="00B97FB9"/>
    <w:rsid w:val="00BA0A70"/>
    <w:rsid w:val="00BA0B6F"/>
    <w:rsid w:val="00BA0F0B"/>
    <w:rsid w:val="00BA1F29"/>
    <w:rsid w:val="00BA2696"/>
    <w:rsid w:val="00BA29E1"/>
    <w:rsid w:val="00BA2FD7"/>
    <w:rsid w:val="00BA5189"/>
    <w:rsid w:val="00BA6C9E"/>
    <w:rsid w:val="00BA7801"/>
    <w:rsid w:val="00BB0065"/>
    <w:rsid w:val="00BB3DD1"/>
    <w:rsid w:val="00BB521C"/>
    <w:rsid w:val="00BC115A"/>
    <w:rsid w:val="00BC2434"/>
    <w:rsid w:val="00BC3CE7"/>
    <w:rsid w:val="00BC780E"/>
    <w:rsid w:val="00BD53C8"/>
    <w:rsid w:val="00BD7190"/>
    <w:rsid w:val="00BD7D9C"/>
    <w:rsid w:val="00BE05FF"/>
    <w:rsid w:val="00BE28D1"/>
    <w:rsid w:val="00BE5583"/>
    <w:rsid w:val="00BF292F"/>
    <w:rsid w:val="00BF6556"/>
    <w:rsid w:val="00BF6742"/>
    <w:rsid w:val="00BF753D"/>
    <w:rsid w:val="00C00B2F"/>
    <w:rsid w:val="00C00BDB"/>
    <w:rsid w:val="00C00FC2"/>
    <w:rsid w:val="00C0208F"/>
    <w:rsid w:val="00C02224"/>
    <w:rsid w:val="00C0283C"/>
    <w:rsid w:val="00C0291C"/>
    <w:rsid w:val="00C04630"/>
    <w:rsid w:val="00C04BB4"/>
    <w:rsid w:val="00C06065"/>
    <w:rsid w:val="00C0642F"/>
    <w:rsid w:val="00C07081"/>
    <w:rsid w:val="00C07179"/>
    <w:rsid w:val="00C07612"/>
    <w:rsid w:val="00C107C6"/>
    <w:rsid w:val="00C109F8"/>
    <w:rsid w:val="00C11504"/>
    <w:rsid w:val="00C1294F"/>
    <w:rsid w:val="00C1308D"/>
    <w:rsid w:val="00C13B5B"/>
    <w:rsid w:val="00C15F27"/>
    <w:rsid w:val="00C16B7C"/>
    <w:rsid w:val="00C1798C"/>
    <w:rsid w:val="00C20756"/>
    <w:rsid w:val="00C20C05"/>
    <w:rsid w:val="00C2234E"/>
    <w:rsid w:val="00C23240"/>
    <w:rsid w:val="00C2778A"/>
    <w:rsid w:val="00C27FCB"/>
    <w:rsid w:val="00C306D2"/>
    <w:rsid w:val="00C316AC"/>
    <w:rsid w:val="00C32D79"/>
    <w:rsid w:val="00C34304"/>
    <w:rsid w:val="00C349C6"/>
    <w:rsid w:val="00C36942"/>
    <w:rsid w:val="00C37A58"/>
    <w:rsid w:val="00C42331"/>
    <w:rsid w:val="00C433BB"/>
    <w:rsid w:val="00C44477"/>
    <w:rsid w:val="00C445F0"/>
    <w:rsid w:val="00C45083"/>
    <w:rsid w:val="00C46728"/>
    <w:rsid w:val="00C46C4F"/>
    <w:rsid w:val="00C538F1"/>
    <w:rsid w:val="00C56277"/>
    <w:rsid w:val="00C608F8"/>
    <w:rsid w:val="00C61E4A"/>
    <w:rsid w:val="00C620E1"/>
    <w:rsid w:val="00C62AC5"/>
    <w:rsid w:val="00C63DD3"/>
    <w:rsid w:val="00C67E12"/>
    <w:rsid w:val="00C7030D"/>
    <w:rsid w:val="00C708E0"/>
    <w:rsid w:val="00C70C4E"/>
    <w:rsid w:val="00C721BD"/>
    <w:rsid w:val="00C72CDD"/>
    <w:rsid w:val="00C755A1"/>
    <w:rsid w:val="00C80A9D"/>
    <w:rsid w:val="00C81782"/>
    <w:rsid w:val="00C81FDC"/>
    <w:rsid w:val="00C84F99"/>
    <w:rsid w:val="00C85423"/>
    <w:rsid w:val="00C86FF4"/>
    <w:rsid w:val="00C905ED"/>
    <w:rsid w:val="00C91FFC"/>
    <w:rsid w:val="00C92796"/>
    <w:rsid w:val="00C93E86"/>
    <w:rsid w:val="00C9584E"/>
    <w:rsid w:val="00C96842"/>
    <w:rsid w:val="00CA165D"/>
    <w:rsid w:val="00CA1F65"/>
    <w:rsid w:val="00CA23AC"/>
    <w:rsid w:val="00CA4B64"/>
    <w:rsid w:val="00CA5D0C"/>
    <w:rsid w:val="00CA6017"/>
    <w:rsid w:val="00CA76D1"/>
    <w:rsid w:val="00CB1247"/>
    <w:rsid w:val="00CB269B"/>
    <w:rsid w:val="00CB34B0"/>
    <w:rsid w:val="00CB5EEE"/>
    <w:rsid w:val="00CB75B2"/>
    <w:rsid w:val="00CC00C1"/>
    <w:rsid w:val="00CC11E2"/>
    <w:rsid w:val="00CC1EF4"/>
    <w:rsid w:val="00CC35B2"/>
    <w:rsid w:val="00CC3E60"/>
    <w:rsid w:val="00CC4732"/>
    <w:rsid w:val="00CC604B"/>
    <w:rsid w:val="00CC7CC7"/>
    <w:rsid w:val="00CD213B"/>
    <w:rsid w:val="00CD6371"/>
    <w:rsid w:val="00CD770A"/>
    <w:rsid w:val="00CD7D4F"/>
    <w:rsid w:val="00CE1DE7"/>
    <w:rsid w:val="00CE31C4"/>
    <w:rsid w:val="00CE5672"/>
    <w:rsid w:val="00CE58FC"/>
    <w:rsid w:val="00CE7036"/>
    <w:rsid w:val="00CF1B9C"/>
    <w:rsid w:val="00CF1E1C"/>
    <w:rsid w:val="00CF38C0"/>
    <w:rsid w:val="00CF4C90"/>
    <w:rsid w:val="00CF57F5"/>
    <w:rsid w:val="00CF627D"/>
    <w:rsid w:val="00CF7E39"/>
    <w:rsid w:val="00D0133B"/>
    <w:rsid w:val="00D01AA2"/>
    <w:rsid w:val="00D02AE2"/>
    <w:rsid w:val="00D07DF3"/>
    <w:rsid w:val="00D1047B"/>
    <w:rsid w:val="00D12256"/>
    <w:rsid w:val="00D138C2"/>
    <w:rsid w:val="00D1422C"/>
    <w:rsid w:val="00D15D6E"/>
    <w:rsid w:val="00D15E06"/>
    <w:rsid w:val="00D1651C"/>
    <w:rsid w:val="00D21165"/>
    <w:rsid w:val="00D22595"/>
    <w:rsid w:val="00D23BD2"/>
    <w:rsid w:val="00D24768"/>
    <w:rsid w:val="00D3224A"/>
    <w:rsid w:val="00D32DBB"/>
    <w:rsid w:val="00D333E0"/>
    <w:rsid w:val="00D33DB9"/>
    <w:rsid w:val="00D368DE"/>
    <w:rsid w:val="00D369B9"/>
    <w:rsid w:val="00D4151E"/>
    <w:rsid w:val="00D429D8"/>
    <w:rsid w:val="00D44E16"/>
    <w:rsid w:val="00D45F1B"/>
    <w:rsid w:val="00D47AA1"/>
    <w:rsid w:val="00D526B7"/>
    <w:rsid w:val="00D54320"/>
    <w:rsid w:val="00D54A06"/>
    <w:rsid w:val="00D553EE"/>
    <w:rsid w:val="00D55444"/>
    <w:rsid w:val="00D60153"/>
    <w:rsid w:val="00D60709"/>
    <w:rsid w:val="00D65CB3"/>
    <w:rsid w:val="00D66575"/>
    <w:rsid w:val="00D70104"/>
    <w:rsid w:val="00D70B32"/>
    <w:rsid w:val="00D71044"/>
    <w:rsid w:val="00D71D43"/>
    <w:rsid w:val="00D766F6"/>
    <w:rsid w:val="00D80CEE"/>
    <w:rsid w:val="00D81A0B"/>
    <w:rsid w:val="00D81B68"/>
    <w:rsid w:val="00D82A97"/>
    <w:rsid w:val="00D82FED"/>
    <w:rsid w:val="00D83504"/>
    <w:rsid w:val="00D84662"/>
    <w:rsid w:val="00D846C0"/>
    <w:rsid w:val="00D8560D"/>
    <w:rsid w:val="00D856BE"/>
    <w:rsid w:val="00D869D8"/>
    <w:rsid w:val="00D86D83"/>
    <w:rsid w:val="00D95180"/>
    <w:rsid w:val="00D96D7E"/>
    <w:rsid w:val="00D97953"/>
    <w:rsid w:val="00D97F59"/>
    <w:rsid w:val="00DA00CB"/>
    <w:rsid w:val="00DA0E30"/>
    <w:rsid w:val="00DA147E"/>
    <w:rsid w:val="00DA1F30"/>
    <w:rsid w:val="00DA62E6"/>
    <w:rsid w:val="00DA7EC2"/>
    <w:rsid w:val="00DB14FF"/>
    <w:rsid w:val="00DB39D3"/>
    <w:rsid w:val="00DB5A4A"/>
    <w:rsid w:val="00DB7BC3"/>
    <w:rsid w:val="00DC063F"/>
    <w:rsid w:val="00DC1E0E"/>
    <w:rsid w:val="00DC2A26"/>
    <w:rsid w:val="00DC2CE6"/>
    <w:rsid w:val="00DC433F"/>
    <w:rsid w:val="00DC43F0"/>
    <w:rsid w:val="00DC564E"/>
    <w:rsid w:val="00DC7A1E"/>
    <w:rsid w:val="00DD0DD7"/>
    <w:rsid w:val="00DD1A54"/>
    <w:rsid w:val="00DD64A7"/>
    <w:rsid w:val="00DD7637"/>
    <w:rsid w:val="00DD7721"/>
    <w:rsid w:val="00DE2E5A"/>
    <w:rsid w:val="00DE3706"/>
    <w:rsid w:val="00DE3801"/>
    <w:rsid w:val="00DE39C1"/>
    <w:rsid w:val="00DE3CE8"/>
    <w:rsid w:val="00DE4415"/>
    <w:rsid w:val="00DE5348"/>
    <w:rsid w:val="00DE5E50"/>
    <w:rsid w:val="00DE7752"/>
    <w:rsid w:val="00DF055C"/>
    <w:rsid w:val="00DF2335"/>
    <w:rsid w:val="00DF23EE"/>
    <w:rsid w:val="00DF3A37"/>
    <w:rsid w:val="00DF4B71"/>
    <w:rsid w:val="00DF4D5B"/>
    <w:rsid w:val="00DF5B57"/>
    <w:rsid w:val="00DF60FE"/>
    <w:rsid w:val="00DF7D40"/>
    <w:rsid w:val="00E00C4E"/>
    <w:rsid w:val="00E02078"/>
    <w:rsid w:val="00E0339A"/>
    <w:rsid w:val="00E03AEA"/>
    <w:rsid w:val="00E06051"/>
    <w:rsid w:val="00E06A20"/>
    <w:rsid w:val="00E07C37"/>
    <w:rsid w:val="00E10349"/>
    <w:rsid w:val="00E12B5A"/>
    <w:rsid w:val="00E13E74"/>
    <w:rsid w:val="00E23833"/>
    <w:rsid w:val="00E25488"/>
    <w:rsid w:val="00E2579E"/>
    <w:rsid w:val="00E27132"/>
    <w:rsid w:val="00E34371"/>
    <w:rsid w:val="00E36EBE"/>
    <w:rsid w:val="00E4143A"/>
    <w:rsid w:val="00E41FB2"/>
    <w:rsid w:val="00E42F42"/>
    <w:rsid w:val="00E4318E"/>
    <w:rsid w:val="00E432DF"/>
    <w:rsid w:val="00E46391"/>
    <w:rsid w:val="00E4715A"/>
    <w:rsid w:val="00E5133A"/>
    <w:rsid w:val="00E513E3"/>
    <w:rsid w:val="00E540C5"/>
    <w:rsid w:val="00E57D6C"/>
    <w:rsid w:val="00E60522"/>
    <w:rsid w:val="00E61A08"/>
    <w:rsid w:val="00E6403F"/>
    <w:rsid w:val="00E6543E"/>
    <w:rsid w:val="00E656AC"/>
    <w:rsid w:val="00E67088"/>
    <w:rsid w:val="00E67097"/>
    <w:rsid w:val="00E6720D"/>
    <w:rsid w:val="00E70699"/>
    <w:rsid w:val="00E761D9"/>
    <w:rsid w:val="00E808AE"/>
    <w:rsid w:val="00E8103C"/>
    <w:rsid w:val="00E83D26"/>
    <w:rsid w:val="00E84FC4"/>
    <w:rsid w:val="00E85083"/>
    <w:rsid w:val="00E90C0F"/>
    <w:rsid w:val="00E9508F"/>
    <w:rsid w:val="00E96D68"/>
    <w:rsid w:val="00EA4739"/>
    <w:rsid w:val="00EA49B5"/>
    <w:rsid w:val="00EA4F1C"/>
    <w:rsid w:val="00EA57F0"/>
    <w:rsid w:val="00EA581F"/>
    <w:rsid w:val="00EB06DC"/>
    <w:rsid w:val="00EB0E18"/>
    <w:rsid w:val="00EB2927"/>
    <w:rsid w:val="00EB3ED6"/>
    <w:rsid w:val="00EC012D"/>
    <w:rsid w:val="00EC1B50"/>
    <w:rsid w:val="00EC218F"/>
    <w:rsid w:val="00EC54FD"/>
    <w:rsid w:val="00EC6599"/>
    <w:rsid w:val="00EC6A34"/>
    <w:rsid w:val="00EC7125"/>
    <w:rsid w:val="00EC7AEE"/>
    <w:rsid w:val="00ED0457"/>
    <w:rsid w:val="00ED0625"/>
    <w:rsid w:val="00ED1F2E"/>
    <w:rsid w:val="00ED20DC"/>
    <w:rsid w:val="00ED2B1B"/>
    <w:rsid w:val="00ED3019"/>
    <w:rsid w:val="00ED40D9"/>
    <w:rsid w:val="00ED7069"/>
    <w:rsid w:val="00EE5106"/>
    <w:rsid w:val="00EE5DB2"/>
    <w:rsid w:val="00EF0735"/>
    <w:rsid w:val="00EF1B7D"/>
    <w:rsid w:val="00EF2ED0"/>
    <w:rsid w:val="00EF40AE"/>
    <w:rsid w:val="00EF42CB"/>
    <w:rsid w:val="00EF74CC"/>
    <w:rsid w:val="00EF7A12"/>
    <w:rsid w:val="00F00496"/>
    <w:rsid w:val="00F042A4"/>
    <w:rsid w:val="00F049EC"/>
    <w:rsid w:val="00F07C66"/>
    <w:rsid w:val="00F12676"/>
    <w:rsid w:val="00F13278"/>
    <w:rsid w:val="00F1574D"/>
    <w:rsid w:val="00F17393"/>
    <w:rsid w:val="00F179FC"/>
    <w:rsid w:val="00F17DD2"/>
    <w:rsid w:val="00F207A3"/>
    <w:rsid w:val="00F21249"/>
    <w:rsid w:val="00F213B8"/>
    <w:rsid w:val="00F23025"/>
    <w:rsid w:val="00F2341C"/>
    <w:rsid w:val="00F23D28"/>
    <w:rsid w:val="00F27964"/>
    <w:rsid w:val="00F30637"/>
    <w:rsid w:val="00F32F72"/>
    <w:rsid w:val="00F33A5A"/>
    <w:rsid w:val="00F362A7"/>
    <w:rsid w:val="00F37717"/>
    <w:rsid w:val="00F408B2"/>
    <w:rsid w:val="00F43CD7"/>
    <w:rsid w:val="00F44975"/>
    <w:rsid w:val="00F44E71"/>
    <w:rsid w:val="00F46197"/>
    <w:rsid w:val="00F47EA9"/>
    <w:rsid w:val="00F53AB0"/>
    <w:rsid w:val="00F541D7"/>
    <w:rsid w:val="00F5432F"/>
    <w:rsid w:val="00F56CAA"/>
    <w:rsid w:val="00F56FE2"/>
    <w:rsid w:val="00F60855"/>
    <w:rsid w:val="00F63699"/>
    <w:rsid w:val="00F6424D"/>
    <w:rsid w:val="00F66D04"/>
    <w:rsid w:val="00F67A7C"/>
    <w:rsid w:val="00F67BD8"/>
    <w:rsid w:val="00F71396"/>
    <w:rsid w:val="00F7491F"/>
    <w:rsid w:val="00F77D3B"/>
    <w:rsid w:val="00F8132B"/>
    <w:rsid w:val="00F813A8"/>
    <w:rsid w:val="00F823B9"/>
    <w:rsid w:val="00F82838"/>
    <w:rsid w:val="00F833A6"/>
    <w:rsid w:val="00F83A23"/>
    <w:rsid w:val="00F8567E"/>
    <w:rsid w:val="00F85F4D"/>
    <w:rsid w:val="00F87344"/>
    <w:rsid w:val="00F879EB"/>
    <w:rsid w:val="00F907A7"/>
    <w:rsid w:val="00F915B7"/>
    <w:rsid w:val="00F91897"/>
    <w:rsid w:val="00F92389"/>
    <w:rsid w:val="00F93105"/>
    <w:rsid w:val="00F97716"/>
    <w:rsid w:val="00FA02C1"/>
    <w:rsid w:val="00FA0F8D"/>
    <w:rsid w:val="00FA384D"/>
    <w:rsid w:val="00FA3FAD"/>
    <w:rsid w:val="00FA4141"/>
    <w:rsid w:val="00FA43D5"/>
    <w:rsid w:val="00FA5F74"/>
    <w:rsid w:val="00FB0737"/>
    <w:rsid w:val="00FB0CD4"/>
    <w:rsid w:val="00FB0E4E"/>
    <w:rsid w:val="00FB14AC"/>
    <w:rsid w:val="00FB19EC"/>
    <w:rsid w:val="00FB1A8E"/>
    <w:rsid w:val="00FB47BB"/>
    <w:rsid w:val="00FC00F9"/>
    <w:rsid w:val="00FC1BED"/>
    <w:rsid w:val="00FC3653"/>
    <w:rsid w:val="00FC3747"/>
    <w:rsid w:val="00FD03FD"/>
    <w:rsid w:val="00FD077E"/>
    <w:rsid w:val="00FD1E2D"/>
    <w:rsid w:val="00FD5084"/>
    <w:rsid w:val="00FD5BBB"/>
    <w:rsid w:val="00FD6DE7"/>
    <w:rsid w:val="00FE1091"/>
    <w:rsid w:val="00FE147E"/>
    <w:rsid w:val="00FE2318"/>
    <w:rsid w:val="00FE2369"/>
    <w:rsid w:val="00FE410F"/>
    <w:rsid w:val="00FF2CFD"/>
    <w:rsid w:val="023C52A9"/>
    <w:rsid w:val="19E15FA7"/>
    <w:rsid w:val="224F398F"/>
    <w:rsid w:val="31C9CFFD"/>
    <w:rsid w:val="376129C2"/>
    <w:rsid w:val="707D0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F63EB"/>
  <w15:chartTrackingRefBased/>
  <w15:docId w15:val="{A1D97095-1B5E-4A5E-B6AC-6D28A152F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5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C2545"/>
  </w:style>
  <w:style w:type="character" w:customStyle="1" w:styleId="FootnoteTextChar">
    <w:name w:val="Footnote Text Char"/>
    <w:basedOn w:val="DefaultParagraphFont"/>
    <w:link w:val="FootnoteText"/>
    <w:uiPriority w:val="99"/>
    <w:rsid w:val="005C2545"/>
  </w:style>
  <w:style w:type="character" w:styleId="FootnoteReference">
    <w:name w:val="footnote reference"/>
    <w:basedOn w:val="DefaultParagraphFont"/>
    <w:uiPriority w:val="99"/>
    <w:semiHidden/>
    <w:unhideWhenUsed/>
    <w:rsid w:val="005C2545"/>
    <w:rPr>
      <w:vertAlign w:val="superscript"/>
    </w:rPr>
  </w:style>
  <w:style w:type="character" w:styleId="Strong">
    <w:name w:val="Strong"/>
    <w:basedOn w:val="DefaultParagraphFont"/>
    <w:uiPriority w:val="22"/>
    <w:qFormat/>
    <w:rsid w:val="007209A0"/>
    <w:rPr>
      <w:b/>
      <w:bCs/>
    </w:rPr>
  </w:style>
  <w:style w:type="character" w:styleId="Emphasis">
    <w:name w:val="Emphasis"/>
    <w:basedOn w:val="DefaultParagraphFont"/>
    <w:uiPriority w:val="20"/>
    <w:qFormat/>
    <w:rsid w:val="007209A0"/>
    <w:rPr>
      <w:i/>
      <w:iCs/>
    </w:rPr>
  </w:style>
  <w:style w:type="character" w:styleId="Hyperlink">
    <w:name w:val="Hyperlink"/>
    <w:basedOn w:val="DefaultParagraphFont"/>
    <w:uiPriority w:val="99"/>
    <w:unhideWhenUsed/>
    <w:rsid w:val="00A10CF7"/>
    <w:rPr>
      <w:color w:val="0563C1" w:themeColor="hyperlink"/>
      <w:u w:val="single"/>
    </w:rPr>
  </w:style>
  <w:style w:type="character" w:customStyle="1" w:styleId="UnresolvedMention1">
    <w:name w:val="Unresolved Mention1"/>
    <w:basedOn w:val="DefaultParagraphFont"/>
    <w:uiPriority w:val="99"/>
    <w:semiHidden/>
    <w:unhideWhenUsed/>
    <w:rsid w:val="00A10CF7"/>
    <w:rPr>
      <w:color w:val="808080"/>
      <w:shd w:val="clear" w:color="auto" w:fill="E6E6E6"/>
    </w:rPr>
  </w:style>
  <w:style w:type="paragraph" w:styleId="Header">
    <w:name w:val="header"/>
    <w:basedOn w:val="Normal"/>
    <w:link w:val="HeaderChar"/>
    <w:uiPriority w:val="99"/>
    <w:unhideWhenUsed/>
    <w:rsid w:val="00D84662"/>
    <w:pPr>
      <w:tabs>
        <w:tab w:val="center" w:pos="4680"/>
        <w:tab w:val="right" w:pos="9360"/>
      </w:tabs>
    </w:pPr>
  </w:style>
  <w:style w:type="character" w:customStyle="1" w:styleId="HeaderChar">
    <w:name w:val="Header Char"/>
    <w:basedOn w:val="DefaultParagraphFont"/>
    <w:link w:val="Header"/>
    <w:uiPriority w:val="99"/>
    <w:rsid w:val="00D84662"/>
  </w:style>
  <w:style w:type="paragraph" w:styleId="Footer">
    <w:name w:val="footer"/>
    <w:basedOn w:val="Normal"/>
    <w:link w:val="FooterChar"/>
    <w:uiPriority w:val="99"/>
    <w:unhideWhenUsed/>
    <w:rsid w:val="00D84662"/>
    <w:pPr>
      <w:tabs>
        <w:tab w:val="center" w:pos="4680"/>
        <w:tab w:val="right" w:pos="9360"/>
      </w:tabs>
    </w:pPr>
  </w:style>
  <w:style w:type="character" w:customStyle="1" w:styleId="FooterChar">
    <w:name w:val="Footer Char"/>
    <w:basedOn w:val="DefaultParagraphFont"/>
    <w:link w:val="Footer"/>
    <w:uiPriority w:val="99"/>
    <w:rsid w:val="00D84662"/>
  </w:style>
  <w:style w:type="paragraph" w:styleId="ListParagraph">
    <w:name w:val="List Paragraph"/>
    <w:basedOn w:val="Normal"/>
    <w:uiPriority w:val="34"/>
    <w:qFormat/>
    <w:rsid w:val="005A182A"/>
    <w:pPr>
      <w:ind w:left="720"/>
      <w:contextualSpacing/>
    </w:pPr>
  </w:style>
  <w:style w:type="paragraph" w:styleId="NormalWeb">
    <w:name w:val="Normal (Web)"/>
    <w:basedOn w:val="Normal"/>
    <w:uiPriority w:val="99"/>
    <w:rsid w:val="00DC2A26"/>
    <w:pPr>
      <w:spacing w:before="100" w:beforeAutospacing="1" w:after="100" w:afterAutospacing="1"/>
    </w:pPr>
    <w:rPr>
      <w:rFonts w:eastAsia="Times New Roman"/>
      <w:sz w:val="24"/>
      <w:szCs w:val="24"/>
    </w:rPr>
  </w:style>
  <w:style w:type="character" w:customStyle="1" w:styleId="apple-converted-space">
    <w:name w:val="apple-converted-space"/>
    <w:rsid w:val="0060449E"/>
  </w:style>
  <w:style w:type="paragraph" w:styleId="EndnoteText">
    <w:name w:val="endnote text"/>
    <w:basedOn w:val="Normal"/>
    <w:link w:val="EndnoteTextChar"/>
    <w:uiPriority w:val="99"/>
    <w:unhideWhenUsed/>
    <w:rsid w:val="002348A0"/>
  </w:style>
  <w:style w:type="character" w:customStyle="1" w:styleId="EndnoteTextChar">
    <w:name w:val="Endnote Text Char"/>
    <w:basedOn w:val="DefaultParagraphFont"/>
    <w:link w:val="EndnoteText"/>
    <w:uiPriority w:val="99"/>
    <w:rsid w:val="002348A0"/>
  </w:style>
  <w:style w:type="character" w:styleId="EndnoteReference">
    <w:name w:val="endnote reference"/>
    <w:basedOn w:val="DefaultParagraphFont"/>
    <w:uiPriority w:val="99"/>
    <w:semiHidden/>
    <w:unhideWhenUsed/>
    <w:rsid w:val="002348A0"/>
    <w:rPr>
      <w:vertAlign w:val="superscript"/>
    </w:rPr>
  </w:style>
  <w:style w:type="character" w:customStyle="1" w:styleId="UnresolvedMention2">
    <w:name w:val="Unresolved Mention2"/>
    <w:basedOn w:val="DefaultParagraphFont"/>
    <w:uiPriority w:val="99"/>
    <w:semiHidden/>
    <w:unhideWhenUsed/>
    <w:rsid w:val="00FB0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34275">
      <w:bodyDiv w:val="1"/>
      <w:marLeft w:val="0"/>
      <w:marRight w:val="0"/>
      <w:marTop w:val="0"/>
      <w:marBottom w:val="0"/>
      <w:divBdr>
        <w:top w:val="none" w:sz="0" w:space="0" w:color="auto"/>
        <w:left w:val="none" w:sz="0" w:space="0" w:color="auto"/>
        <w:bottom w:val="none" w:sz="0" w:space="0" w:color="auto"/>
        <w:right w:val="none" w:sz="0" w:space="0" w:color="auto"/>
      </w:divBdr>
      <w:divsChild>
        <w:div w:id="436677013">
          <w:marLeft w:val="0"/>
          <w:marRight w:val="0"/>
          <w:marTop w:val="0"/>
          <w:marBottom w:val="0"/>
          <w:divBdr>
            <w:top w:val="none" w:sz="0" w:space="0" w:color="auto"/>
            <w:left w:val="none" w:sz="0" w:space="0" w:color="auto"/>
            <w:bottom w:val="none" w:sz="0" w:space="0" w:color="auto"/>
            <w:right w:val="none" w:sz="0" w:space="0" w:color="auto"/>
          </w:divBdr>
        </w:div>
        <w:div w:id="1208683509">
          <w:marLeft w:val="0"/>
          <w:marRight w:val="0"/>
          <w:marTop w:val="0"/>
          <w:marBottom w:val="0"/>
          <w:divBdr>
            <w:top w:val="none" w:sz="0" w:space="0" w:color="auto"/>
            <w:left w:val="none" w:sz="0" w:space="0" w:color="auto"/>
            <w:bottom w:val="none" w:sz="0" w:space="0" w:color="auto"/>
            <w:right w:val="none" w:sz="0" w:space="0" w:color="auto"/>
          </w:divBdr>
        </w:div>
        <w:div w:id="1092552672">
          <w:marLeft w:val="0"/>
          <w:marRight w:val="0"/>
          <w:marTop w:val="0"/>
          <w:marBottom w:val="0"/>
          <w:divBdr>
            <w:top w:val="none" w:sz="0" w:space="0" w:color="auto"/>
            <w:left w:val="none" w:sz="0" w:space="0" w:color="auto"/>
            <w:bottom w:val="none" w:sz="0" w:space="0" w:color="auto"/>
            <w:right w:val="none" w:sz="0" w:space="0" w:color="auto"/>
          </w:divBdr>
        </w:div>
        <w:div w:id="709720710">
          <w:marLeft w:val="0"/>
          <w:marRight w:val="0"/>
          <w:marTop w:val="0"/>
          <w:marBottom w:val="0"/>
          <w:divBdr>
            <w:top w:val="none" w:sz="0" w:space="0" w:color="auto"/>
            <w:left w:val="none" w:sz="0" w:space="0" w:color="auto"/>
            <w:bottom w:val="none" w:sz="0" w:space="0" w:color="auto"/>
            <w:right w:val="none" w:sz="0" w:space="0" w:color="auto"/>
          </w:divBdr>
        </w:div>
      </w:divsChild>
    </w:div>
    <w:div w:id="915477218">
      <w:bodyDiv w:val="1"/>
      <w:marLeft w:val="0"/>
      <w:marRight w:val="0"/>
      <w:marTop w:val="0"/>
      <w:marBottom w:val="0"/>
      <w:divBdr>
        <w:top w:val="none" w:sz="0" w:space="0" w:color="auto"/>
        <w:left w:val="none" w:sz="0" w:space="0" w:color="auto"/>
        <w:bottom w:val="none" w:sz="0" w:space="0" w:color="auto"/>
        <w:right w:val="none" w:sz="0" w:space="0" w:color="auto"/>
      </w:divBdr>
    </w:div>
    <w:div w:id="2003192468">
      <w:bodyDiv w:val="1"/>
      <w:marLeft w:val="0"/>
      <w:marRight w:val="0"/>
      <w:marTop w:val="0"/>
      <w:marBottom w:val="0"/>
      <w:divBdr>
        <w:top w:val="none" w:sz="0" w:space="0" w:color="auto"/>
        <w:left w:val="none" w:sz="0" w:space="0" w:color="auto"/>
        <w:bottom w:val="none" w:sz="0" w:space="0" w:color="auto"/>
        <w:right w:val="none" w:sz="0" w:space="0" w:color="auto"/>
      </w:divBdr>
      <w:divsChild>
        <w:div w:id="1992711584">
          <w:marLeft w:val="0"/>
          <w:marRight w:val="0"/>
          <w:marTop w:val="0"/>
          <w:marBottom w:val="0"/>
          <w:divBdr>
            <w:top w:val="none" w:sz="0" w:space="0" w:color="auto"/>
            <w:left w:val="none" w:sz="0" w:space="0" w:color="auto"/>
            <w:bottom w:val="none" w:sz="0" w:space="0" w:color="auto"/>
            <w:right w:val="none" w:sz="0" w:space="0" w:color="auto"/>
          </w:divBdr>
        </w:div>
        <w:div w:id="1469519176">
          <w:marLeft w:val="0"/>
          <w:marRight w:val="0"/>
          <w:marTop w:val="0"/>
          <w:marBottom w:val="0"/>
          <w:divBdr>
            <w:top w:val="none" w:sz="0" w:space="0" w:color="auto"/>
            <w:left w:val="none" w:sz="0" w:space="0" w:color="auto"/>
            <w:bottom w:val="none" w:sz="0" w:space="0" w:color="auto"/>
            <w:right w:val="none" w:sz="0" w:space="0" w:color="auto"/>
          </w:divBdr>
        </w:div>
        <w:div w:id="1823424098">
          <w:marLeft w:val="0"/>
          <w:marRight w:val="0"/>
          <w:marTop w:val="0"/>
          <w:marBottom w:val="0"/>
          <w:divBdr>
            <w:top w:val="none" w:sz="0" w:space="0" w:color="auto"/>
            <w:left w:val="none" w:sz="0" w:space="0" w:color="auto"/>
            <w:bottom w:val="none" w:sz="0" w:space="0" w:color="auto"/>
            <w:right w:val="none" w:sz="0" w:space="0" w:color="auto"/>
          </w:divBdr>
        </w:div>
        <w:div w:id="1647513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22</Pages>
  <Words>4481</Words>
  <Characters>25547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Boone</dc:creator>
  <cp:keywords/>
  <dc:description/>
  <cp:lastModifiedBy>Mark Boone</cp:lastModifiedBy>
  <cp:revision>69</cp:revision>
  <dcterms:created xsi:type="dcterms:W3CDTF">2020-02-14T07:47:00Z</dcterms:created>
  <dcterms:modified xsi:type="dcterms:W3CDTF">2021-05-27T02:30:00Z</dcterms:modified>
</cp:coreProperties>
</file>