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5476" w14:textId="77777777" w:rsidR="007C4519" w:rsidRDefault="007C4519" w:rsidP="007C4519">
      <w:pPr>
        <w:ind w:left="1440" w:firstLine="720"/>
        <w:rPr>
          <w:rFonts w:ascii="Times New Roman" w:hAnsi="Times New Roman" w:cs="Times New Roman"/>
          <w:b/>
          <w:bCs/>
          <w:sz w:val="28"/>
          <w:szCs w:val="28"/>
        </w:rPr>
      </w:pPr>
    </w:p>
    <w:p w14:paraId="5A760D01" w14:textId="77777777" w:rsidR="007C4519" w:rsidRDefault="007C4519" w:rsidP="007C4519">
      <w:pPr>
        <w:ind w:left="1440" w:firstLine="720"/>
        <w:rPr>
          <w:rFonts w:ascii="Times New Roman" w:hAnsi="Times New Roman" w:cs="Times New Roman"/>
          <w:b/>
          <w:bCs/>
          <w:sz w:val="28"/>
          <w:szCs w:val="28"/>
        </w:rPr>
      </w:pPr>
      <w:r>
        <w:rPr>
          <w:rFonts w:ascii="Times New Roman" w:hAnsi="Times New Roman" w:cs="Times New Roman"/>
          <w:b/>
          <w:bCs/>
          <w:sz w:val="28"/>
          <w:szCs w:val="28"/>
        </w:rPr>
        <w:t>Categories of Wrong Beliefs—A Proposal</w:t>
      </w:r>
    </w:p>
    <w:p w14:paraId="7DDDCCE8" w14:textId="77777777" w:rsidR="007C4519" w:rsidRDefault="007C4519" w:rsidP="007C4519">
      <w:pPr>
        <w:spacing w:after="0"/>
        <w:rPr>
          <w:rFonts w:ascii="Times New Roman" w:hAnsi="Times New Roman" w:cs="Times New Roman"/>
          <w:b/>
          <w:bCs/>
          <w:sz w:val="24"/>
          <w:szCs w:val="24"/>
        </w:rPr>
      </w:pPr>
    </w:p>
    <w:p w14:paraId="410ACF8D" w14:textId="77777777" w:rsidR="007C4519" w:rsidRDefault="007C4519" w:rsidP="007C4519">
      <w:pPr>
        <w:spacing w:after="0"/>
        <w:rPr>
          <w:rFonts w:ascii="Times New Roman" w:hAnsi="Times New Roman" w:cs="Times New Roman"/>
          <w:b/>
          <w:bCs/>
          <w:sz w:val="24"/>
          <w:szCs w:val="24"/>
        </w:rPr>
      </w:pPr>
      <w:r>
        <w:rPr>
          <w:rFonts w:ascii="Times New Roman" w:hAnsi="Times New Roman" w:cs="Times New Roman"/>
          <w:b/>
          <w:bCs/>
          <w:sz w:val="24"/>
          <w:szCs w:val="24"/>
        </w:rPr>
        <w:t>Abstract</w:t>
      </w:r>
    </w:p>
    <w:p w14:paraId="56C92405" w14:textId="77777777" w:rsidR="007C4519" w:rsidRDefault="007C4519" w:rsidP="007C4519">
      <w:pPr>
        <w:rPr>
          <w:rFonts w:ascii="Times New Roman" w:hAnsi="Times New Roman" w:cs="Times New Roman"/>
        </w:rPr>
      </w:pPr>
    </w:p>
    <w:p w14:paraId="7D77BED0" w14:textId="77777777" w:rsidR="007C4519" w:rsidRDefault="007C4519" w:rsidP="007C4519">
      <w:pPr>
        <w:rPr>
          <w:rFonts w:ascii="Times New Roman" w:hAnsi="Times New Roman" w:cs="Times New Roman"/>
        </w:rPr>
      </w:pPr>
      <w:r>
        <w:rPr>
          <w:rFonts w:ascii="Times New Roman" w:hAnsi="Times New Roman" w:cs="Times New Roman"/>
        </w:rPr>
        <w:t>Wrong beliefs, known by some as ‘alternative facts’, have proliferated lately in important areas of human life, including social, political, and public health domains. This can be and has been damaging. This brief article proposes an epistemological category classification of these wrong beliefs, with the following mappings: a) ‘No-Information’ marked by willful blindness produces ‘Empty Beliefs’; b) ‘Mis-Information’ yields ‘Mis(taken) Beliefs’; and c) ‘Dis-Information’ predicated on blatant distortions produces ‘Dis(</w:t>
      </w:r>
      <w:proofErr w:type="spellStart"/>
      <w:r>
        <w:rPr>
          <w:rFonts w:ascii="Times New Roman" w:hAnsi="Times New Roman" w:cs="Times New Roman"/>
        </w:rPr>
        <w:t>torted</w:t>
      </w:r>
      <w:proofErr w:type="spellEnd"/>
      <w:r>
        <w:rPr>
          <w:rFonts w:ascii="Times New Roman" w:hAnsi="Times New Roman" w:cs="Times New Roman"/>
        </w:rPr>
        <w:t xml:space="preserve">) Beliefs’.  This simple classification system, is perhaps epistemologically satisfying, and moreover could have positive policy implications. </w:t>
      </w:r>
    </w:p>
    <w:p w14:paraId="75E01A16" w14:textId="77777777" w:rsidR="007C4519" w:rsidRDefault="007C4519" w:rsidP="007C4519">
      <w:pPr>
        <w:rPr>
          <w:rFonts w:ascii="Times New Roman" w:hAnsi="Times New Roman" w:cs="Times New Roman"/>
          <w:b/>
          <w:bCs/>
          <w:sz w:val="24"/>
          <w:szCs w:val="24"/>
        </w:rPr>
      </w:pPr>
    </w:p>
    <w:p w14:paraId="3155A6D1" w14:textId="77777777" w:rsidR="007C4519" w:rsidRDefault="007C4519" w:rsidP="007C4519">
      <w:pPr>
        <w:rPr>
          <w:rFonts w:ascii="Times New Roman" w:hAnsi="Times New Roman" w:cs="Times New Roman"/>
          <w:b/>
          <w:bCs/>
          <w:sz w:val="24"/>
          <w:szCs w:val="24"/>
        </w:rPr>
      </w:pPr>
      <w:r>
        <w:rPr>
          <w:rFonts w:ascii="Times New Roman" w:hAnsi="Times New Roman" w:cs="Times New Roman"/>
          <w:b/>
          <w:bCs/>
          <w:sz w:val="24"/>
          <w:szCs w:val="24"/>
        </w:rPr>
        <w:t>1.Introduction</w:t>
      </w:r>
    </w:p>
    <w:p w14:paraId="3DED7E43" w14:textId="77777777" w:rsidR="007C4519" w:rsidRDefault="007C4519" w:rsidP="007C4519">
      <w:pPr>
        <w:ind w:firstLine="720"/>
        <w:rPr>
          <w:rFonts w:ascii="Times New Roman" w:hAnsi="Times New Roman" w:cs="Times New Roman"/>
        </w:rPr>
      </w:pPr>
      <w:r>
        <w:rPr>
          <w:rFonts w:ascii="Times New Roman" w:hAnsi="Times New Roman" w:cs="Times New Roman"/>
        </w:rPr>
        <w:t>Beliefs (more formally beliefs-proper) are cognitive propositional attitudes that aim at the truth. (Velleman, 2000, p.16).  Beliefs can be false and thereby believed falsely. However, since beliefs are regulated by their truth conditions—a function of reality tested evidence for or against them—once there is probative evidence that a belief is false, it must be no longer be believed (</w:t>
      </w:r>
      <w:proofErr w:type="spellStart"/>
      <w:r>
        <w:rPr>
          <w:rFonts w:ascii="Times New Roman" w:hAnsi="Times New Roman" w:cs="Times New Roman"/>
        </w:rPr>
        <w:t>Brakel</w:t>
      </w:r>
      <w:proofErr w:type="spellEnd"/>
      <w:r>
        <w:rPr>
          <w:rFonts w:ascii="Times New Roman" w:hAnsi="Times New Roman" w:cs="Times New Roman"/>
        </w:rPr>
        <w:t xml:space="preserve">, 2009, p. 105). Although the status of beliefs has not changed over the last decade, there has been a sea change: There is now a robust endorsement of believing false beliefs, evidence of their falseness notwithstanding. I shall call the false beliefs that are nonetheless believed ‘Wrong </w:t>
      </w:r>
      <w:proofErr w:type="gramStart"/>
      <w:r>
        <w:rPr>
          <w:rFonts w:ascii="Times New Roman" w:hAnsi="Times New Roman" w:cs="Times New Roman"/>
        </w:rPr>
        <w:t>beliefs’</w:t>
      </w:r>
      <w:proofErr w:type="gramEnd"/>
      <w:r>
        <w:rPr>
          <w:rFonts w:ascii="Times New Roman" w:hAnsi="Times New Roman" w:cs="Times New Roman"/>
        </w:rPr>
        <w:t xml:space="preserve">. </w:t>
      </w:r>
    </w:p>
    <w:p w14:paraId="5B119E1D" w14:textId="77777777" w:rsidR="007C4519" w:rsidRDefault="007C4519" w:rsidP="007C4519">
      <w:pPr>
        <w:ind w:firstLine="720"/>
        <w:rPr>
          <w:rFonts w:ascii="Times New Roman" w:hAnsi="Times New Roman" w:cs="Times New Roman"/>
        </w:rPr>
      </w:pPr>
      <w:r>
        <w:rPr>
          <w:rFonts w:ascii="Times New Roman" w:hAnsi="Times New Roman" w:cs="Times New Roman"/>
        </w:rPr>
        <w:t xml:space="preserve">Wrong beliefs, often termed ‘alternative facts’ by ardent proponents, have proliferated of late, arguably in greater profusion than was the case previously, and likely with more damaging effects. This </w:t>
      </w:r>
      <w:r>
        <w:rPr>
          <w:rFonts w:ascii="Times New Roman" w:hAnsi="Times New Roman" w:cs="Times New Roman"/>
        </w:rPr>
        <w:lastRenderedPageBreak/>
        <w:t xml:space="preserve">has been most notably the case with regard to vital issues, including those pertaining to social, political, and public health issues—the last contributing to unnecessary COVID-19 deaths. In this brief communication I will propose an epistemological classification of such wrong beliefs, differentiating among three types: Two are funded by different informational ‘knowledge’ bases, while the third owes to qualities residing in the information receiver. I shall further claim that the two with ‘knowledge’ bases give rise to faulty beliefs via potent </w:t>
      </w:r>
      <w:proofErr w:type="spellStart"/>
      <w:r>
        <w:rPr>
          <w:rFonts w:ascii="Times New Roman" w:hAnsi="Times New Roman" w:cs="Times New Roman"/>
        </w:rPr>
        <w:t>stigmergic</w:t>
      </w:r>
      <w:proofErr w:type="spellEnd"/>
      <w:r>
        <w:rPr>
          <w:rFonts w:ascii="Times New Roman" w:hAnsi="Times New Roman" w:cs="Times New Roman"/>
        </w:rPr>
        <w:t xml:space="preserve"> effects, more so than they do via direct person-to-person influences—this, turns out to be analogous to many biological phenomena. </w:t>
      </w:r>
    </w:p>
    <w:p w14:paraId="4DEBAD34" w14:textId="77777777" w:rsidR="007C4519" w:rsidRDefault="007C4519" w:rsidP="007C4519">
      <w:pPr>
        <w:ind w:firstLine="720"/>
        <w:rPr>
          <w:rFonts w:ascii="Times New Roman" w:hAnsi="Times New Roman" w:cs="Times New Roman"/>
        </w:rPr>
      </w:pPr>
      <w:r>
        <w:rPr>
          <w:rFonts w:ascii="Times New Roman" w:hAnsi="Times New Roman" w:cs="Times New Roman"/>
        </w:rPr>
        <w:t>The importance of such classification, beyond epistemological clarity, could lead to reasoned regulatory restraints on particularly malevolently-intended wrong information masquerading as knowledge.</w:t>
      </w:r>
    </w:p>
    <w:p w14:paraId="65608898" w14:textId="77777777" w:rsidR="007C4519" w:rsidRDefault="007C4519" w:rsidP="007C4519">
      <w:pPr>
        <w:rPr>
          <w:rFonts w:ascii="Times New Roman" w:hAnsi="Times New Roman" w:cs="Times New Roman"/>
          <w:b/>
          <w:bCs/>
          <w:sz w:val="24"/>
          <w:szCs w:val="24"/>
        </w:rPr>
      </w:pPr>
    </w:p>
    <w:p w14:paraId="43650DDA" w14:textId="77777777" w:rsidR="007C4519" w:rsidRDefault="007C4519" w:rsidP="007C4519">
      <w:pPr>
        <w:rPr>
          <w:rFonts w:ascii="Times New Roman" w:hAnsi="Times New Roman" w:cs="Times New Roman"/>
          <w:b/>
          <w:bCs/>
          <w:sz w:val="24"/>
          <w:szCs w:val="24"/>
        </w:rPr>
      </w:pPr>
      <w:r>
        <w:rPr>
          <w:rFonts w:ascii="Times New Roman" w:hAnsi="Times New Roman" w:cs="Times New Roman"/>
          <w:b/>
          <w:bCs/>
          <w:sz w:val="24"/>
          <w:szCs w:val="24"/>
        </w:rPr>
        <w:t xml:space="preserve">2.Stigmergy--Biological </w:t>
      </w:r>
    </w:p>
    <w:p w14:paraId="16D14DD9" w14:textId="77777777" w:rsidR="007C4519" w:rsidRDefault="007C4519" w:rsidP="007C4519">
      <w:pPr>
        <w:rPr>
          <w:rFonts w:ascii="Times New Roman" w:hAnsi="Times New Roman" w:cs="Times New Roman"/>
        </w:rPr>
      </w:pPr>
      <w:r>
        <w:rPr>
          <w:rFonts w:ascii="Times New Roman" w:hAnsi="Times New Roman" w:cs="Times New Roman"/>
        </w:rPr>
        <w:tab/>
        <w:t xml:space="preserve">Discussed initially with respect to social insects such as termites and their mound constructions, </w:t>
      </w:r>
      <w:proofErr w:type="spellStart"/>
      <w:r>
        <w:rPr>
          <w:rFonts w:ascii="Times New Roman" w:hAnsi="Times New Roman" w:cs="Times New Roman"/>
        </w:rPr>
        <w:t>stigmergy</w:t>
      </w:r>
      <w:proofErr w:type="spellEnd"/>
      <w:r>
        <w:rPr>
          <w:rFonts w:ascii="Times New Roman" w:hAnsi="Times New Roman" w:cs="Times New Roman"/>
        </w:rPr>
        <w:t xml:space="preserve"> pertains to the work-product of agents influencing the action of other agents. The experiencing agents react to this work-product, the work-product having far greater influence than does (and would) direct agent-to-agent influence. For example, and quite interestingly, if a bee produces a defective hive part, for any of a variety of environmental accidents or biological errors, subsequent serious errors in the final hive result. (See Gallo, Bridges, Woodgate, &amp; </w:t>
      </w:r>
      <w:proofErr w:type="spellStart"/>
      <w:r>
        <w:rPr>
          <w:rFonts w:ascii="Times New Roman" w:hAnsi="Times New Roman" w:cs="Times New Roman"/>
        </w:rPr>
        <w:t>Chittka</w:t>
      </w:r>
      <w:proofErr w:type="spellEnd"/>
      <w:r>
        <w:rPr>
          <w:rFonts w:ascii="Times New Roman" w:hAnsi="Times New Roman" w:cs="Times New Roman"/>
        </w:rPr>
        <w:t xml:space="preserve">, 2022.)     </w:t>
      </w:r>
    </w:p>
    <w:p w14:paraId="76A435A7" w14:textId="77777777" w:rsidR="007C4519" w:rsidRDefault="007C4519" w:rsidP="007C4519">
      <w:pPr>
        <w:rPr>
          <w:rFonts w:ascii="Times New Roman" w:hAnsi="Times New Roman" w:cs="Times New Roman"/>
        </w:rPr>
      </w:pPr>
      <w:r>
        <w:rPr>
          <w:rFonts w:ascii="Times New Roman" w:hAnsi="Times New Roman" w:cs="Times New Roman"/>
          <w:b/>
          <w:bCs/>
          <w:sz w:val="24"/>
          <w:szCs w:val="24"/>
        </w:rPr>
        <w:tab/>
      </w:r>
      <w:r>
        <w:rPr>
          <w:rFonts w:ascii="Times New Roman" w:hAnsi="Times New Roman" w:cs="Times New Roman"/>
        </w:rPr>
        <w:t xml:space="preserve">Of further biological importance, the steps necessary in the development of metastatic disease provide another clear example of </w:t>
      </w:r>
      <w:proofErr w:type="spellStart"/>
      <w:r>
        <w:rPr>
          <w:rFonts w:ascii="Times New Roman" w:hAnsi="Times New Roman" w:cs="Times New Roman"/>
        </w:rPr>
        <w:t>stigmergic</w:t>
      </w:r>
      <w:proofErr w:type="spellEnd"/>
      <w:r>
        <w:rPr>
          <w:rFonts w:ascii="Times New Roman" w:hAnsi="Times New Roman" w:cs="Times New Roman"/>
        </w:rPr>
        <w:t xml:space="preserve"> influence. At various stages of tumor growth, some number of cancer cells within the tumor produce specific proteins and other biochemicals—these products, rather than the tumor cells themselves—signal other cells (e.g., inflammatory, immune cells, and cells providing structural support) so as to promote cancer cell transformation toward increased immune-resistance, </w:t>
      </w:r>
      <w:r>
        <w:rPr>
          <w:rFonts w:ascii="Times New Roman" w:hAnsi="Times New Roman" w:cs="Times New Roman"/>
        </w:rPr>
        <w:lastRenderedPageBreak/>
        <w:t xml:space="preserve">migration, invasion, and colonization of other locations—in other words metastasis. (See Miller &amp; </w:t>
      </w:r>
      <w:proofErr w:type="spellStart"/>
      <w:r>
        <w:rPr>
          <w:rFonts w:ascii="Times New Roman" w:hAnsi="Times New Roman" w:cs="Times New Roman"/>
        </w:rPr>
        <w:t>Torday</w:t>
      </w:r>
      <w:proofErr w:type="spellEnd"/>
      <w:r>
        <w:rPr>
          <w:rFonts w:ascii="Times New Roman" w:hAnsi="Times New Roman" w:cs="Times New Roman"/>
        </w:rPr>
        <w:t xml:space="preserve">, 2017; Bergman &amp; </w:t>
      </w:r>
      <w:proofErr w:type="spellStart"/>
      <w:r>
        <w:rPr>
          <w:rFonts w:ascii="Times New Roman" w:hAnsi="Times New Roman" w:cs="Times New Roman"/>
        </w:rPr>
        <w:t>Gligorijevic</w:t>
      </w:r>
      <w:proofErr w:type="spellEnd"/>
      <w:r>
        <w:rPr>
          <w:rFonts w:ascii="Times New Roman" w:hAnsi="Times New Roman" w:cs="Times New Roman"/>
        </w:rPr>
        <w:t>, 2015; Mittal, 2018.)</w:t>
      </w:r>
    </w:p>
    <w:p w14:paraId="14AB2DE0" w14:textId="77777777" w:rsidR="007C4519" w:rsidRDefault="007C4519" w:rsidP="007C4519"/>
    <w:p w14:paraId="060B9490" w14:textId="77777777" w:rsidR="007C4519" w:rsidRDefault="007C4519" w:rsidP="007C4519">
      <w:pPr>
        <w:rPr>
          <w:rFonts w:ascii="Times New Roman" w:hAnsi="Times New Roman" w:cs="Times New Roman"/>
          <w:b/>
          <w:bCs/>
          <w:sz w:val="24"/>
          <w:szCs w:val="24"/>
        </w:rPr>
      </w:pPr>
      <w:r>
        <w:rPr>
          <w:rFonts w:ascii="Times New Roman" w:hAnsi="Times New Roman" w:cs="Times New Roman"/>
          <w:b/>
          <w:bCs/>
          <w:sz w:val="24"/>
          <w:szCs w:val="24"/>
        </w:rPr>
        <w:t>3.Stigmergy—Social, Media, Social-Media</w:t>
      </w:r>
    </w:p>
    <w:p w14:paraId="054F15E8" w14:textId="77777777" w:rsidR="007C4519" w:rsidRDefault="007C4519" w:rsidP="007C4519">
      <w:pPr>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Human beings, I am suggesting, although we are of course directly influenced by other people—experts, celebrities, and leaders from afar, and at close hand by family, friends, and acquaintances—we are even more effected in a </w:t>
      </w:r>
      <w:proofErr w:type="spellStart"/>
      <w:r>
        <w:rPr>
          <w:rFonts w:ascii="Times New Roman" w:hAnsi="Times New Roman" w:cs="Times New Roman"/>
        </w:rPr>
        <w:t>stigmergic</w:t>
      </w:r>
      <w:proofErr w:type="spellEnd"/>
      <w:r>
        <w:rPr>
          <w:rFonts w:ascii="Times New Roman" w:hAnsi="Times New Roman" w:cs="Times New Roman"/>
        </w:rPr>
        <w:t xml:space="preserve"> fashion by the media-products of other people. This influence comes from general media exposure, of which almost everyone is subject—although even here the content can vary depending on one’s general media source—and one’s own particular silo of social media, which can be very disparate indeed. </w:t>
      </w:r>
    </w:p>
    <w:p w14:paraId="46082498" w14:textId="77777777" w:rsidR="007C4519" w:rsidRDefault="007C4519" w:rsidP="007C4519">
      <w:pPr>
        <w:rPr>
          <w:rFonts w:ascii="Times New Roman" w:hAnsi="Times New Roman" w:cs="Times New Roman"/>
        </w:rPr>
      </w:pPr>
      <w:r>
        <w:rPr>
          <w:rFonts w:ascii="Times New Roman" w:hAnsi="Times New Roman" w:cs="Times New Roman"/>
        </w:rPr>
        <w:tab/>
        <w:t xml:space="preserve">Taking the case of COVID-19 vaccine refusal—a highly deleterious medical decision made by vastly too many—as a potent illustrative exemplar (See </w:t>
      </w:r>
      <w:proofErr w:type="spellStart"/>
      <w:r>
        <w:rPr>
          <w:rFonts w:ascii="Times New Roman" w:hAnsi="Times New Roman" w:cs="Times New Roman"/>
        </w:rPr>
        <w:t>Brakel</w:t>
      </w:r>
      <w:proofErr w:type="spellEnd"/>
      <w:r>
        <w:rPr>
          <w:rFonts w:ascii="Times New Roman" w:hAnsi="Times New Roman" w:cs="Times New Roman"/>
        </w:rPr>
        <w:t xml:space="preserve"> &amp; </w:t>
      </w:r>
      <w:proofErr w:type="spellStart"/>
      <w:r>
        <w:rPr>
          <w:rFonts w:ascii="Times New Roman" w:hAnsi="Times New Roman" w:cs="Times New Roman"/>
        </w:rPr>
        <w:t>Foxall</w:t>
      </w:r>
      <w:proofErr w:type="spellEnd"/>
      <w:r>
        <w:rPr>
          <w:rFonts w:ascii="Times New Roman" w:hAnsi="Times New Roman" w:cs="Times New Roman"/>
        </w:rPr>
        <w:t xml:space="preserve">, 2022), let me outline three pathological types of informational ‘knowledge’ problems, each predicated on the </w:t>
      </w:r>
      <w:proofErr w:type="spellStart"/>
      <w:r>
        <w:rPr>
          <w:rFonts w:ascii="Times New Roman" w:hAnsi="Times New Roman" w:cs="Times New Roman"/>
        </w:rPr>
        <w:t>stigmergic</w:t>
      </w:r>
      <w:proofErr w:type="spellEnd"/>
      <w:r>
        <w:rPr>
          <w:rFonts w:ascii="Times New Roman" w:hAnsi="Times New Roman" w:cs="Times New Roman"/>
        </w:rPr>
        <w:t xml:space="preserve"> product effects of media and especially social-media. </w:t>
      </w:r>
    </w:p>
    <w:p w14:paraId="4170C7B7" w14:textId="77777777" w:rsidR="007C4519" w:rsidRDefault="007C4519" w:rsidP="007C4519">
      <w:pPr>
        <w:rPr>
          <w:rFonts w:ascii="Times New Roman" w:hAnsi="Times New Roman" w:cs="Times New Roman"/>
        </w:rPr>
      </w:pPr>
    </w:p>
    <w:p w14:paraId="1EAA91EC" w14:textId="77777777" w:rsidR="007C4519" w:rsidRDefault="007C4519" w:rsidP="007C4519">
      <w:pPr>
        <w:pStyle w:val="ListParagraph"/>
        <w:numPr>
          <w:ilvl w:val="0"/>
          <w:numId w:val="1"/>
        </w:numPr>
        <w:rPr>
          <w:rFonts w:ascii="Times New Roman" w:hAnsi="Times New Roman" w:cs="Times New Roman"/>
        </w:rPr>
      </w:pPr>
      <w:r>
        <w:rPr>
          <w:rFonts w:ascii="Times New Roman" w:hAnsi="Times New Roman" w:cs="Times New Roman"/>
        </w:rPr>
        <w:t>First, there are persons who belong to the category ‘No-Information’. Despite all sorts of opportunities to avail themselves of well (and even poorly) vetted information, people in this group claim to know nothing about the approved COVID-19 vaccines.</w:t>
      </w:r>
    </w:p>
    <w:p w14:paraId="10ACC76E" w14:textId="77777777" w:rsidR="007C4519" w:rsidRDefault="007C4519" w:rsidP="007C4519">
      <w:pPr>
        <w:pStyle w:val="ListParagraph"/>
        <w:rPr>
          <w:rFonts w:ascii="Times New Roman" w:hAnsi="Times New Roman" w:cs="Times New Roman"/>
        </w:rPr>
      </w:pPr>
    </w:p>
    <w:p w14:paraId="4F6B7F62" w14:textId="77777777" w:rsidR="007C4519" w:rsidRDefault="007C4519" w:rsidP="007C4519">
      <w:pPr>
        <w:pStyle w:val="ListParagraph"/>
        <w:numPr>
          <w:ilvl w:val="0"/>
          <w:numId w:val="1"/>
        </w:numPr>
        <w:rPr>
          <w:rFonts w:ascii="Times New Roman" w:hAnsi="Times New Roman" w:cs="Times New Roman"/>
        </w:rPr>
      </w:pPr>
      <w:r>
        <w:rPr>
          <w:rFonts w:ascii="Times New Roman" w:hAnsi="Times New Roman" w:cs="Times New Roman"/>
        </w:rPr>
        <w:t>Second, there are persons who have been influenced by data that is wrong about the sanctioned COVID-19 vaccines. For example, information suggesting that the newer m-RNA vaccines are not sufficiently tested, or that the m-RNA vaccines along with the more standard vaccine types are not useful in preventing serious disease and hospitalization. This group can be categorized as those who have been subject to ‘Mis-Information’.</w:t>
      </w:r>
    </w:p>
    <w:p w14:paraId="6A02A3D2" w14:textId="77777777" w:rsidR="007C4519" w:rsidRDefault="007C4519" w:rsidP="007C4519">
      <w:pPr>
        <w:pStyle w:val="ListParagraph"/>
        <w:rPr>
          <w:rFonts w:ascii="Times New Roman" w:hAnsi="Times New Roman" w:cs="Times New Roman"/>
        </w:rPr>
      </w:pPr>
    </w:p>
    <w:p w14:paraId="0253AB99" w14:textId="77777777" w:rsidR="007C4519" w:rsidRDefault="007C4519" w:rsidP="007C4519">
      <w:pPr>
        <w:pStyle w:val="ListParagraph"/>
        <w:numPr>
          <w:ilvl w:val="0"/>
          <w:numId w:val="1"/>
        </w:numPr>
        <w:rPr>
          <w:rFonts w:ascii="Times New Roman" w:hAnsi="Times New Roman" w:cs="Times New Roman"/>
        </w:rPr>
      </w:pPr>
      <w:r>
        <w:rPr>
          <w:rFonts w:ascii="Times New Roman" w:hAnsi="Times New Roman" w:cs="Times New Roman"/>
        </w:rPr>
        <w:t xml:space="preserve">Finally, the third group has consumed media / social media about the approved COVID-19 vaccines aimed at spreading information that is not just wrong, but inflammatory and dangerous. For instance, people in this group have received ‘information’ suggesting that the m-RNA vaccines involve implanting a chip in which the vaccinated person can be surveilled; and/or that the vaccine, while promoted as life-saving, can really cause death. This group believes that alternatives, like the animal worming medication ivermectin, are helpful, while in reality these ‘alternative treatments’, particularly veterinary medications cause serious illnesses in human beings. This third group can be categorized as receivers of ‘Dis-Information’.       </w:t>
      </w:r>
    </w:p>
    <w:p w14:paraId="5EEACD2B" w14:textId="77777777" w:rsidR="007C4519" w:rsidRDefault="007C4519" w:rsidP="007C4519">
      <w:pPr>
        <w:pStyle w:val="ListParagraph"/>
        <w:rPr>
          <w:rFonts w:ascii="Times New Roman" w:hAnsi="Times New Roman" w:cs="Times New Roman"/>
        </w:rPr>
      </w:pPr>
    </w:p>
    <w:p w14:paraId="70CDDA7D" w14:textId="77777777" w:rsidR="007C4519" w:rsidRDefault="007C4519" w:rsidP="007C4519">
      <w:pPr>
        <w:rPr>
          <w:rFonts w:ascii="Times New Roman" w:hAnsi="Times New Roman" w:cs="Times New Roman"/>
          <w:b/>
          <w:bCs/>
          <w:sz w:val="24"/>
          <w:szCs w:val="24"/>
        </w:rPr>
      </w:pPr>
      <w:r>
        <w:rPr>
          <w:rFonts w:ascii="Times New Roman" w:hAnsi="Times New Roman" w:cs="Times New Roman"/>
          <w:b/>
          <w:bCs/>
          <w:sz w:val="24"/>
          <w:szCs w:val="24"/>
        </w:rPr>
        <w:t>4.Epistemological Mapping</w:t>
      </w:r>
    </w:p>
    <w:p w14:paraId="2443E586" w14:textId="77777777" w:rsidR="007C4519" w:rsidRDefault="007C4519" w:rsidP="007C4519">
      <w:pPr>
        <w:rPr>
          <w:rFonts w:ascii="Times New Roman" w:hAnsi="Times New Roman" w:cs="Times New Roman"/>
        </w:rPr>
      </w:pPr>
      <w:r>
        <w:rPr>
          <w:rFonts w:ascii="Times New Roman" w:hAnsi="Times New Roman" w:cs="Times New Roman"/>
        </w:rPr>
        <w:tab/>
        <w:t xml:space="preserve">The relevance for epistemology can be seen by mapping the above groups onto considerations concerning ‘beliefs’ in the following way: </w:t>
      </w:r>
    </w:p>
    <w:p w14:paraId="5BC8FFBF" w14:textId="77777777" w:rsidR="007C4519" w:rsidRDefault="007C4519" w:rsidP="007C4519">
      <w:pPr>
        <w:rPr>
          <w:rFonts w:ascii="Times New Roman" w:hAnsi="Times New Roman" w:cs="Times New Roman"/>
        </w:rPr>
      </w:pPr>
    </w:p>
    <w:p w14:paraId="490839D2" w14:textId="77777777" w:rsidR="007C4519" w:rsidRDefault="007C4519" w:rsidP="007C4519">
      <w:pPr>
        <w:pStyle w:val="ListParagraph"/>
        <w:numPr>
          <w:ilvl w:val="0"/>
          <w:numId w:val="2"/>
        </w:numPr>
        <w:rPr>
          <w:rFonts w:ascii="Times New Roman" w:hAnsi="Times New Roman" w:cs="Times New Roman"/>
        </w:rPr>
      </w:pPr>
      <w:r>
        <w:rPr>
          <w:rFonts w:ascii="Times New Roman" w:hAnsi="Times New Roman" w:cs="Times New Roman"/>
        </w:rPr>
        <w:t>The first group, those with ‘No-Information’, in this case about COVID-19 vaccines that have proved effective, seem to have adopted willful blindness to the prodigious amounts of media (</w:t>
      </w:r>
      <w:proofErr w:type="spellStart"/>
      <w:r>
        <w:rPr>
          <w:rFonts w:ascii="Times New Roman" w:hAnsi="Times New Roman" w:cs="Times New Roman"/>
        </w:rPr>
        <w:t>stigmergic</w:t>
      </w:r>
      <w:proofErr w:type="spellEnd"/>
      <w:r>
        <w:rPr>
          <w:rFonts w:ascii="Times New Roman" w:hAnsi="Times New Roman" w:cs="Times New Roman"/>
        </w:rPr>
        <w:t xml:space="preserve">) products on this topic. As such their beliefs about COVID-19 vaccines should be characterized as </w:t>
      </w:r>
      <w:r>
        <w:rPr>
          <w:rFonts w:ascii="Times New Roman" w:hAnsi="Times New Roman" w:cs="Times New Roman"/>
          <w:u w:val="single"/>
        </w:rPr>
        <w:t>‘Empty Beliefs’</w:t>
      </w:r>
      <w:r>
        <w:rPr>
          <w:rFonts w:ascii="Times New Roman" w:hAnsi="Times New Roman" w:cs="Times New Roman"/>
        </w:rPr>
        <w:t xml:space="preserve">. </w:t>
      </w:r>
    </w:p>
    <w:p w14:paraId="5B9F1BA8" w14:textId="77777777" w:rsidR="007C4519" w:rsidRDefault="007C4519" w:rsidP="007C4519">
      <w:pPr>
        <w:pStyle w:val="ListParagraph"/>
        <w:rPr>
          <w:rFonts w:ascii="Times New Roman" w:hAnsi="Times New Roman" w:cs="Times New Roman"/>
        </w:rPr>
      </w:pPr>
    </w:p>
    <w:p w14:paraId="01F4EB3B" w14:textId="77777777" w:rsidR="007C4519" w:rsidRDefault="007C4519" w:rsidP="007C4519">
      <w:pPr>
        <w:pStyle w:val="ListParagraph"/>
        <w:numPr>
          <w:ilvl w:val="0"/>
          <w:numId w:val="2"/>
        </w:numPr>
        <w:rPr>
          <w:rFonts w:ascii="Times New Roman" w:hAnsi="Times New Roman" w:cs="Times New Roman"/>
        </w:rPr>
      </w:pPr>
      <w:r>
        <w:rPr>
          <w:rFonts w:ascii="Times New Roman" w:hAnsi="Times New Roman" w:cs="Times New Roman"/>
        </w:rPr>
        <w:t xml:space="preserve">The second group with </w:t>
      </w:r>
      <w:proofErr w:type="spellStart"/>
      <w:r>
        <w:rPr>
          <w:rFonts w:ascii="Times New Roman" w:hAnsi="Times New Roman" w:cs="Times New Roman"/>
        </w:rPr>
        <w:t>stigmergic</w:t>
      </w:r>
      <w:proofErr w:type="spellEnd"/>
      <w:r>
        <w:rPr>
          <w:rFonts w:ascii="Times New Roman" w:hAnsi="Times New Roman" w:cs="Times New Roman"/>
        </w:rPr>
        <w:t xml:space="preserve"> ‘Mis-Information’ about the COVID-19 vaccines possess </w:t>
      </w:r>
      <w:r>
        <w:rPr>
          <w:rFonts w:ascii="Times New Roman" w:hAnsi="Times New Roman" w:cs="Times New Roman"/>
          <w:u w:val="single"/>
        </w:rPr>
        <w:t>‘Mis-Beliefs’</w:t>
      </w:r>
      <w:r>
        <w:rPr>
          <w:rFonts w:ascii="Times New Roman" w:hAnsi="Times New Roman" w:cs="Times New Roman"/>
        </w:rPr>
        <w:t xml:space="preserve"> –fully spelled out as, </w:t>
      </w:r>
      <w:r>
        <w:rPr>
          <w:rFonts w:ascii="Times New Roman" w:hAnsi="Times New Roman" w:cs="Times New Roman"/>
          <w:u w:val="single"/>
        </w:rPr>
        <w:t>‘Mis(taken) Beliefs’</w:t>
      </w:r>
      <w:r>
        <w:rPr>
          <w:rFonts w:ascii="Times New Roman" w:hAnsi="Times New Roman" w:cs="Times New Roman"/>
        </w:rPr>
        <w:t>. Here the harm is considerable, but not as inflammatory and contagious as will be seen in the next category. Mis-informed persons, in the case of COVID-19 vaccine refusal, might refrain from vaccination, but they would be unlikely to stir others to fear regularly scheduled vaccines, nor to promote dangerous far reaching conspiracy outcomes.</w:t>
      </w:r>
    </w:p>
    <w:p w14:paraId="2BF0D8D4" w14:textId="77777777" w:rsidR="007C4519" w:rsidRDefault="007C4519" w:rsidP="007C4519">
      <w:pPr>
        <w:pStyle w:val="ListParagraph"/>
        <w:rPr>
          <w:rFonts w:ascii="Times New Roman" w:hAnsi="Times New Roman" w:cs="Times New Roman"/>
        </w:rPr>
      </w:pPr>
    </w:p>
    <w:p w14:paraId="51BAFECE" w14:textId="77777777" w:rsidR="007C4519" w:rsidRDefault="007C4519" w:rsidP="007C4519">
      <w:pPr>
        <w:pStyle w:val="ListParagraph"/>
        <w:numPr>
          <w:ilvl w:val="0"/>
          <w:numId w:val="2"/>
        </w:numPr>
        <w:rPr>
          <w:rFonts w:ascii="Times New Roman" w:hAnsi="Times New Roman" w:cs="Times New Roman"/>
        </w:rPr>
      </w:pPr>
      <w:r>
        <w:rPr>
          <w:rFonts w:ascii="Times New Roman" w:hAnsi="Times New Roman" w:cs="Times New Roman"/>
        </w:rPr>
        <w:t xml:space="preserve">The third </w:t>
      </w:r>
      <w:proofErr w:type="spellStart"/>
      <w:r>
        <w:rPr>
          <w:rFonts w:ascii="Times New Roman" w:hAnsi="Times New Roman" w:cs="Times New Roman"/>
        </w:rPr>
        <w:t>stirmergically</w:t>
      </w:r>
      <w:proofErr w:type="spellEnd"/>
      <w:r>
        <w:rPr>
          <w:rFonts w:ascii="Times New Roman" w:hAnsi="Times New Roman" w:cs="Times New Roman"/>
        </w:rPr>
        <w:t xml:space="preserve"> influenced group can feel duty-bound to contribute further </w:t>
      </w:r>
      <w:proofErr w:type="spellStart"/>
      <w:r>
        <w:rPr>
          <w:rFonts w:ascii="Times New Roman" w:hAnsi="Times New Roman" w:cs="Times New Roman"/>
        </w:rPr>
        <w:t>stigmergic</w:t>
      </w:r>
      <w:proofErr w:type="spellEnd"/>
      <w:r>
        <w:rPr>
          <w:rFonts w:ascii="Times New Roman" w:hAnsi="Times New Roman" w:cs="Times New Roman"/>
        </w:rPr>
        <w:t xml:space="preserve"> ‘Dis-Information’. This is done by producing media and social-medial products targeted toward spreading highly disturbed and disturbing conspiracy-laced falsehoods, aimed not only at reaching other people, but seeking to enlarge the field of these harmful ‘alternative facts’ to encompass other related matters, such as the advisability of receiving other formerly standard vaccinations, and complying or even considering other public health recommendations. This third group is under the sway of ‘Dis-Information’ or to state this in a more fully realized fashion ‘Dis(</w:t>
      </w:r>
      <w:proofErr w:type="spellStart"/>
      <w:r>
        <w:rPr>
          <w:rFonts w:ascii="Times New Roman" w:hAnsi="Times New Roman" w:cs="Times New Roman"/>
        </w:rPr>
        <w:t>torted</w:t>
      </w:r>
      <w:proofErr w:type="spellEnd"/>
      <w:r>
        <w:rPr>
          <w:rFonts w:ascii="Times New Roman" w:hAnsi="Times New Roman" w:cs="Times New Roman"/>
        </w:rPr>
        <w:t xml:space="preserve">) Information’. As such, this group epistemologically holds </w:t>
      </w:r>
      <w:r>
        <w:rPr>
          <w:rFonts w:ascii="Times New Roman" w:hAnsi="Times New Roman" w:cs="Times New Roman"/>
          <w:u w:val="single"/>
        </w:rPr>
        <w:t>‘Distorted Beliefs’</w:t>
      </w:r>
      <w:r>
        <w:rPr>
          <w:rFonts w:ascii="Times New Roman" w:hAnsi="Times New Roman" w:cs="Times New Roman"/>
        </w:rPr>
        <w:t xml:space="preserve">  </w:t>
      </w:r>
    </w:p>
    <w:p w14:paraId="0DCE01C0" w14:textId="77777777" w:rsidR="007C4519" w:rsidRDefault="007C4519" w:rsidP="007C4519">
      <w:pPr>
        <w:rPr>
          <w:rFonts w:ascii="Times New Roman" w:hAnsi="Times New Roman" w:cs="Times New Roman"/>
          <w:b/>
          <w:bCs/>
          <w:sz w:val="24"/>
          <w:szCs w:val="24"/>
        </w:rPr>
      </w:pPr>
    </w:p>
    <w:p w14:paraId="3325DF38" w14:textId="77777777" w:rsidR="007C4519" w:rsidRDefault="007C4519" w:rsidP="007C4519">
      <w:pPr>
        <w:rPr>
          <w:rFonts w:ascii="Times New Roman" w:hAnsi="Times New Roman" w:cs="Times New Roman"/>
          <w:b/>
          <w:bCs/>
          <w:sz w:val="24"/>
          <w:szCs w:val="24"/>
        </w:rPr>
      </w:pPr>
      <w:r>
        <w:rPr>
          <w:rFonts w:ascii="Times New Roman" w:hAnsi="Times New Roman" w:cs="Times New Roman"/>
          <w:b/>
          <w:bCs/>
          <w:sz w:val="24"/>
          <w:szCs w:val="24"/>
        </w:rPr>
        <w:t xml:space="preserve">5. Conclusions—So What? </w:t>
      </w:r>
    </w:p>
    <w:p w14:paraId="4EF13139" w14:textId="77777777" w:rsidR="007C4519" w:rsidRDefault="007C4519" w:rsidP="007C4519">
      <w:pPr>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Can this mapping be useful?  While it can be intellectually pleasing to derive a spare classification scheme featuring a simple one-to-one pairing, one must wonder whether or not such an exercise has some pro-social use. At a time when the issues about regulating social media involve free speech, free press and other freedoms (mostly ‘freedoms-to’, rather than ‘freedoms-from’), this is a hard call. And yet, perhaps rather stringent regulations could be reasonably applied to those </w:t>
      </w:r>
      <w:proofErr w:type="spellStart"/>
      <w:r>
        <w:rPr>
          <w:rFonts w:ascii="Times New Roman" w:hAnsi="Times New Roman" w:cs="Times New Roman"/>
        </w:rPr>
        <w:t>stigmergic</w:t>
      </w:r>
      <w:proofErr w:type="spellEnd"/>
      <w:r>
        <w:rPr>
          <w:rFonts w:ascii="Times New Roman" w:hAnsi="Times New Roman" w:cs="Times New Roman"/>
        </w:rPr>
        <w:t xml:space="preserve"> products of media and social media output that are considered ‘Dis-Information’ leading to ‘Dis(</w:t>
      </w:r>
      <w:proofErr w:type="spellStart"/>
      <w:r>
        <w:rPr>
          <w:rFonts w:ascii="Times New Roman" w:hAnsi="Times New Roman" w:cs="Times New Roman"/>
        </w:rPr>
        <w:t>torted</w:t>
      </w:r>
      <w:proofErr w:type="spellEnd"/>
      <w:r>
        <w:rPr>
          <w:rFonts w:ascii="Times New Roman" w:hAnsi="Times New Roman" w:cs="Times New Roman"/>
        </w:rPr>
        <w:t xml:space="preserve">) Beliefs’; whereas sites of simple ‘Mis-Information’ could be handled more benignly, as the attendant ‘Mis(taken) Beliefs’ are indeed less malignant. And yet, these are political and ethical concerns, beyond my more modest epistemological aim, and in any case certainly way beyond my pay grade. </w:t>
      </w:r>
    </w:p>
    <w:p w14:paraId="15FA354C" w14:textId="77777777" w:rsidR="007C4519" w:rsidRDefault="007C4519" w:rsidP="007C4519">
      <w:pPr>
        <w:rPr>
          <w:rFonts w:ascii="Times New Roman" w:hAnsi="Times New Roman" w:cs="Times New Roman"/>
        </w:rPr>
      </w:pPr>
      <w:r>
        <w:rPr>
          <w:rFonts w:ascii="Times New Roman" w:hAnsi="Times New Roman" w:cs="Times New Roman"/>
          <w:kern w:val="0"/>
          <w14:ligatures w14:val="none"/>
        </w:rPr>
        <w:br w:type="page"/>
      </w:r>
    </w:p>
    <w:p w14:paraId="3ADB5311" w14:textId="77777777" w:rsidR="007C4519" w:rsidRDefault="007C4519" w:rsidP="007C4519">
      <w:pPr>
        <w:autoSpaceDE w:val="0"/>
        <w:autoSpaceDN w:val="0"/>
        <w:adjustRightInd w:val="0"/>
        <w:spacing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0B0E7E55" w14:textId="77777777" w:rsidR="007C4519" w:rsidRDefault="007C4519" w:rsidP="007C4519">
      <w:pPr>
        <w:autoSpaceDE w:val="0"/>
        <w:autoSpaceDN w:val="0"/>
        <w:adjustRightInd w:val="0"/>
        <w:spacing w:line="240" w:lineRule="auto"/>
        <w:ind w:left="720" w:hanging="720"/>
        <w:jc w:val="both"/>
        <w:rPr>
          <w:rFonts w:cs="Times New Roman"/>
          <w:b/>
          <w:bCs/>
          <w:sz w:val="24"/>
          <w:szCs w:val="24"/>
        </w:rPr>
      </w:pPr>
    </w:p>
    <w:p w14:paraId="46113D79" w14:textId="77777777" w:rsidR="007C4519" w:rsidRDefault="007C4519" w:rsidP="007C4519">
      <w:pPr>
        <w:spacing w:after="0" w:line="360" w:lineRule="auto"/>
        <w:rPr>
          <w:rFonts w:ascii="Times New Roman" w:hAnsi="Times New Roman" w:cs="Times New Roman"/>
        </w:rPr>
      </w:pPr>
      <w:r>
        <w:rPr>
          <w:rFonts w:ascii="Times New Roman" w:hAnsi="Times New Roman" w:cs="Times New Roman"/>
        </w:rPr>
        <w:t xml:space="preserve">Bergman, Aviv &amp; </w:t>
      </w:r>
      <w:proofErr w:type="spellStart"/>
      <w:r>
        <w:rPr>
          <w:rFonts w:ascii="Times New Roman" w:hAnsi="Times New Roman" w:cs="Times New Roman"/>
        </w:rPr>
        <w:t>Gligorijevic</w:t>
      </w:r>
      <w:proofErr w:type="spellEnd"/>
      <w:r>
        <w:rPr>
          <w:rFonts w:ascii="Times New Roman" w:hAnsi="Times New Roman" w:cs="Times New Roman"/>
        </w:rPr>
        <w:t xml:space="preserve">, Bojana, 2015, ‘Niche construction game cancer cells play’ in </w:t>
      </w:r>
    </w:p>
    <w:p w14:paraId="1E702672" w14:textId="77777777" w:rsidR="007C4519" w:rsidRDefault="007C4519" w:rsidP="007C4519">
      <w:pPr>
        <w:spacing w:after="0" w:line="360" w:lineRule="auto"/>
        <w:rPr>
          <w:rFonts w:ascii="Times New Roman" w:hAnsi="Times New Roman" w:cs="Times New Roman"/>
          <w:color w:val="000000" w:themeColor="text1"/>
        </w:rPr>
      </w:pPr>
      <w:r>
        <w:rPr>
          <w:rFonts w:ascii="Times New Roman" w:hAnsi="Times New Roman" w:cs="Times New Roman"/>
        </w:rPr>
        <w:tab/>
      </w:r>
      <w:r>
        <w:rPr>
          <w:rFonts w:ascii="Times New Roman" w:hAnsi="Times New Roman" w:cs="Times New Roman"/>
          <w:i/>
          <w:iCs/>
        </w:rPr>
        <w:t>European Physical Journal Plu</w:t>
      </w:r>
      <w:r>
        <w:rPr>
          <w:rFonts w:ascii="Times New Roman" w:hAnsi="Times New Roman" w:cs="Times New Roman"/>
        </w:rPr>
        <w:t xml:space="preserve">s, 130, 203-205,  </w:t>
      </w:r>
      <w:hyperlink r:id="rId5" w:history="1">
        <w:r>
          <w:rPr>
            <w:rStyle w:val="Hyperlink"/>
            <w:rFonts w:ascii="Times New Roman" w:hAnsi="Times New Roman" w:cs="Times New Roman"/>
            <w:color w:val="000000" w:themeColor="text1"/>
          </w:rPr>
          <w:t>https://doi.org/10.1140/epjp/i2015-15203-5</w:t>
        </w:r>
      </w:hyperlink>
    </w:p>
    <w:p w14:paraId="4F7FB4EF" w14:textId="77777777" w:rsidR="007C4519" w:rsidRDefault="007C4519" w:rsidP="007C4519">
      <w:pPr>
        <w:spacing w:after="0" w:line="360" w:lineRule="auto"/>
        <w:rPr>
          <w:rFonts w:ascii="Times New Roman" w:hAnsi="Times New Roman" w:cs="Times New Roman"/>
        </w:rPr>
      </w:pPr>
    </w:p>
    <w:p w14:paraId="714D26A3"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rPr>
      </w:pPr>
      <w:proofErr w:type="spellStart"/>
      <w:r>
        <w:rPr>
          <w:rFonts w:ascii="Times New Roman" w:hAnsi="Times New Roman" w:cs="Times New Roman"/>
        </w:rPr>
        <w:t>Brakel</w:t>
      </w:r>
      <w:proofErr w:type="spellEnd"/>
      <w:r>
        <w:rPr>
          <w:rFonts w:ascii="Times New Roman" w:hAnsi="Times New Roman" w:cs="Times New Roman"/>
        </w:rPr>
        <w:t xml:space="preserve">, L.A.W., 2009, </w:t>
      </w:r>
      <w:r>
        <w:rPr>
          <w:rFonts w:ascii="Times New Roman" w:hAnsi="Times New Roman" w:cs="Times New Roman"/>
          <w:i/>
          <w:iCs/>
        </w:rPr>
        <w:t xml:space="preserve">Philosophy, Psychology, and the A-Rational Mind </w:t>
      </w:r>
      <w:r>
        <w:rPr>
          <w:rFonts w:ascii="Times New Roman" w:hAnsi="Times New Roman" w:cs="Times New Roman"/>
        </w:rPr>
        <w:t xml:space="preserve">(Oxford: Oxford University Press) </w:t>
      </w:r>
    </w:p>
    <w:p w14:paraId="37D0380C"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rPr>
      </w:pPr>
    </w:p>
    <w:p w14:paraId="4A02EF83"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color w:val="000000" w:themeColor="text1"/>
        </w:rPr>
      </w:pPr>
      <w:proofErr w:type="spellStart"/>
      <w:r>
        <w:rPr>
          <w:rFonts w:ascii="Times New Roman" w:hAnsi="Times New Roman" w:cs="Times New Roman"/>
        </w:rPr>
        <w:t>Brakel</w:t>
      </w:r>
      <w:proofErr w:type="spellEnd"/>
      <w:r>
        <w:rPr>
          <w:rFonts w:ascii="Times New Roman" w:hAnsi="Times New Roman" w:cs="Times New Roman"/>
        </w:rPr>
        <w:t xml:space="preserve">, L.A.W &amp; </w:t>
      </w:r>
      <w:proofErr w:type="spellStart"/>
      <w:r>
        <w:rPr>
          <w:rFonts w:ascii="Times New Roman" w:hAnsi="Times New Roman" w:cs="Times New Roman"/>
        </w:rPr>
        <w:t>Foxall</w:t>
      </w:r>
      <w:proofErr w:type="spellEnd"/>
      <w:r>
        <w:rPr>
          <w:rFonts w:ascii="Times New Roman" w:hAnsi="Times New Roman" w:cs="Times New Roman"/>
        </w:rPr>
        <w:t xml:space="preserve">, Gordon, 2022, ‘Vaccine Refusal: A Preliminary Interdisciplinary </w:t>
      </w:r>
      <w:proofErr w:type="spellStart"/>
      <w:r>
        <w:rPr>
          <w:rFonts w:ascii="Times New Roman" w:hAnsi="Times New Roman" w:cs="Times New Roman"/>
        </w:rPr>
        <w:t>Investigation’in</w:t>
      </w:r>
      <w:proofErr w:type="spellEnd"/>
      <w:r>
        <w:rPr>
          <w:rFonts w:ascii="Times New Roman" w:hAnsi="Times New Roman" w:cs="Times New Roman"/>
        </w:rPr>
        <w:t xml:space="preserve"> </w:t>
      </w:r>
      <w:r>
        <w:rPr>
          <w:rFonts w:ascii="Times New Roman" w:hAnsi="Times New Roman" w:cs="Times New Roman"/>
          <w:i/>
          <w:iCs/>
        </w:rPr>
        <w:t xml:space="preserve">Frontiers in Public Health, </w:t>
      </w:r>
      <w:r>
        <w:rPr>
          <w:rFonts w:ascii="Times New Roman" w:hAnsi="Times New Roman" w:cs="Times New Roman"/>
        </w:rPr>
        <w:t>22 July 2022. Sec. Health Economics, 10,</w:t>
      </w:r>
      <w:r>
        <w:rPr>
          <w:rStyle w:val="volumeinfo"/>
          <w:rFonts w:ascii="Times New Roman" w:hAnsi="Times New Roman" w:cs="Times New Roman"/>
          <w:color w:val="282828"/>
        </w:rPr>
        <w:t xml:space="preserve"> </w:t>
      </w:r>
      <w:hyperlink r:id="rId6" w:history="1">
        <w:r>
          <w:rPr>
            <w:rStyle w:val="Hyperlink"/>
            <w:rFonts w:ascii="Times New Roman" w:hAnsi="Times New Roman" w:cs="Times New Roman"/>
            <w:color w:val="000000" w:themeColor="text1"/>
          </w:rPr>
          <w:t>https://doi.org/10.3389/fpubh.2022.917929</w:t>
        </w:r>
      </w:hyperlink>
      <w:r>
        <w:rPr>
          <w:rFonts w:ascii="Times New Roman" w:hAnsi="Times New Roman" w:cs="Times New Roman"/>
          <w:color w:val="000000" w:themeColor="text1"/>
        </w:rPr>
        <w:t xml:space="preserve">  </w:t>
      </w:r>
    </w:p>
    <w:p w14:paraId="6DAB558B"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color w:val="000000" w:themeColor="text1"/>
        </w:rPr>
      </w:pPr>
    </w:p>
    <w:p w14:paraId="60FDB758" w14:textId="77777777" w:rsidR="007C4519" w:rsidRDefault="007C4519" w:rsidP="007C4519">
      <w:pPr>
        <w:spacing w:after="0" w:line="360" w:lineRule="auto"/>
        <w:rPr>
          <w:rFonts w:ascii="Times New Roman" w:eastAsia="Times New Roman" w:hAnsi="Times New Roman" w:cs="Times New Roman"/>
          <w:kern w:val="36"/>
          <w14:ligatures w14:val="none"/>
        </w:rPr>
      </w:pPr>
      <w:r>
        <w:rPr>
          <w:rFonts w:ascii="Times New Roman" w:eastAsia="Times New Roman" w:hAnsi="Times New Roman" w:cs="Times New Roman"/>
          <w:kern w:val="0"/>
          <w14:ligatures w14:val="none"/>
        </w:rPr>
        <w:t xml:space="preserve">Gallo, Vincent, Bridges, Alice, Woodgate, Joseph, &amp; </w:t>
      </w:r>
      <w:proofErr w:type="spellStart"/>
      <w:r>
        <w:rPr>
          <w:rFonts w:ascii="Times New Roman" w:eastAsia="Times New Roman" w:hAnsi="Times New Roman" w:cs="Times New Roman"/>
          <w:kern w:val="0"/>
          <w14:ligatures w14:val="none"/>
        </w:rPr>
        <w:t>Chittka</w:t>
      </w:r>
      <w:proofErr w:type="spellEnd"/>
      <w:r>
        <w:rPr>
          <w:rFonts w:ascii="Times New Roman" w:eastAsia="Times New Roman" w:hAnsi="Times New Roman" w:cs="Times New Roman"/>
          <w:kern w:val="0"/>
          <w14:ligatures w14:val="none"/>
        </w:rPr>
        <w:t>, Lars, 2022, ‘</w:t>
      </w:r>
      <w:r>
        <w:rPr>
          <w:rFonts w:ascii="Times New Roman" w:eastAsia="Times New Roman" w:hAnsi="Times New Roman" w:cs="Times New Roman"/>
          <w:kern w:val="36"/>
          <w14:ligatures w14:val="none"/>
        </w:rPr>
        <w:t xml:space="preserve">Placement of new </w:t>
      </w:r>
    </w:p>
    <w:p w14:paraId="006FA2EF" w14:textId="77777777" w:rsidR="007C4519" w:rsidRDefault="007C4519" w:rsidP="007C4519">
      <w:pPr>
        <w:spacing w:after="0" w:line="360" w:lineRule="auto"/>
        <w:ind w:firstLine="720"/>
        <w:rPr>
          <w:rFonts w:ascii="Times New Roman" w:eastAsia="Times New Roman" w:hAnsi="Times New Roman" w:cs="Times New Roman"/>
          <w:kern w:val="36"/>
          <w14:ligatures w14:val="none"/>
        </w:rPr>
      </w:pPr>
      <w:r>
        <w:rPr>
          <w:rFonts w:ascii="Times New Roman" w:eastAsia="Times New Roman" w:hAnsi="Times New Roman" w:cs="Times New Roman"/>
          <w:kern w:val="36"/>
          <w14:ligatures w14:val="none"/>
        </w:rPr>
        <w:t xml:space="preserve">comb cells built by honeybees is guided by sub-cell scale features to align with the existing </w:t>
      </w:r>
    </w:p>
    <w:p w14:paraId="55CA56E2" w14:textId="77777777" w:rsidR="007C4519" w:rsidRDefault="007C4519" w:rsidP="007C4519">
      <w:pPr>
        <w:spacing w:after="0" w:line="360" w:lineRule="auto"/>
        <w:ind w:firstLine="720"/>
        <w:rPr>
          <w:rFonts w:ascii="Times New Roman" w:eastAsia="Times New Roman" w:hAnsi="Times New Roman" w:cs="Times New Roman"/>
          <w:color w:val="BC2635"/>
          <w:kern w:val="0"/>
          <w14:ligatures w14:val="none"/>
        </w:rPr>
      </w:pPr>
      <w:r>
        <w:rPr>
          <w:rFonts w:ascii="Times New Roman" w:eastAsia="Times New Roman" w:hAnsi="Times New Roman" w:cs="Times New Roman"/>
          <w:kern w:val="36"/>
          <w14:ligatures w14:val="none"/>
        </w:rPr>
        <w:t xml:space="preserve">layout’ in </w:t>
      </w:r>
      <w:r>
        <w:rPr>
          <w:rFonts w:ascii="Times New Roman" w:eastAsia="Times New Roman" w:hAnsi="Times New Roman" w:cs="Times New Roman"/>
          <w:i/>
          <w:iCs/>
          <w:color w:val="000000" w:themeColor="text1"/>
          <w:kern w:val="0"/>
          <w14:ligatures w14:val="none"/>
        </w:rPr>
        <w:t>Journal of Comparative Physiology A,</w:t>
      </w:r>
      <w:r>
        <w:rPr>
          <w:rFonts w:ascii="Times New Roman" w:eastAsia="Times New Roman" w:hAnsi="Times New Roman" w:cs="Times New Roman"/>
          <w:color w:val="000000" w:themeColor="text1"/>
          <w:kern w:val="0"/>
          <w14:ligatures w14:val="none"/>
        </w:rPr>
        <w:t xml:space="preserve"> </w:t>
      </w:r>
      <w:r>
        <w:rPr>
          <w:rFonts w:ascii="Times New Roman" w:eastAsia="Times New Roman" w:hAnsi="Times New Roman" w:cs="Times New Roman"/>
          <w:color w:val="000000" w:themeColor="text1"/>
          <w:kern w:val="0"/>
          <w:u w:val="single"/>
          <w14:ligatures w14:val="none"/>
        </w:rPr>
        <w:t>https//</w:t>
      </w:r>
      <w:proofErr w:type="spellStart"/>
      <w:r>
        <w:rPr>
          <w:rFonts w:ascii="Times New Roman" w:eastAsia="Times New Roman" w:hAnsi="Times New Roman" w:cs="Times New Roman"/>
          <w:color w:val="000000" w:themeColor="text1"/>
          <w:kern w:val="0"/>
          <w:u w:val="single"/>
          <w14:ligatures w14:val="none"/>
        </w:rPr>
        <w:t>doi</w:t>
      </w:r>
      <w:proofErr w:type="spellEnd"/>
      <w:r>
        <w:rPr>
          <w:rFonts w:ascii="Times New Roman" w:eastAsia="Times New Roman" w:hAnsi="Times New Roman" w:cs="Times New Roman"/>
          <w:color w:val="000000" w:themeColor="text1"/>
          <w:kern w:val="0"/>
          <w:u w:val="single"/>
          <w14:ligatures w14:val="none"/>
        </w:rPr>
        <w:t xml:space="preserve">: </w:t>
      </w:r>
      <w:hyperlink r:id="rId7" w:tgtFrame="_blank" w:history="1">
        <w:r>
          <w:rPr>
            <w:rStyle w:val="Hyperlink"/>
            <w:rFonts w:ascii="Times New Roman" w:eastAsia="Times New Roman" w:hAnsi="Times New Roman" w:cs="Times New Roman"/>
            <w:color w:val="000000" w:themeColor="text1"/>
            <w:kern w:val="0"/>
            <w14:ligatures w14:val="none"/>
          </w:rPr>
          <w:t>10.1007/s00359-023-01632-y</w:t>
        </w:r>
      </w:hyperlink>
    </w:p>
    <w:p w14:paraId="4E73EE73" w14:textId="77777777" w:rsidR="007C4519" w:rsidRDefault="007C4519" w:rsidP="007C4519">
      <w:pPr>
        <w:spacing w:after="0" w:line="360" w:lineRule="auto"/>
        <w:ind w:firstLine="720"/>
        <w:rPr>
          <w:rFonts w:ascii="Times New Roman" w:eastAsia="Times New Roman" w:hAnsi="Times New Roman" w:cs="Times New Roman"/>
          <w:kern w:val="0"/>
          <w14:ligatures w14:val="none"/>
        </w:rPr>
      </w:pPr>
    </w:p>
    <w:p w14:paraId="508F889E" w14:textId="77777777" w:rsidR="007C4519" w:rsidRDefault="007C4519" w:rsidP="007C4519">
      <w:pPr>
        <w:spacing w:after="0" w:line="360" w:lineRule="auto"/>
        <w:rPr>
          <w:rFonts w:ascii="Times New Roman" w:hAnsi="Times New Roman" w:cs="Times New Roman"/>
        </w:rPr>
      </w:pPr>
      <w:r>
        <w:rPr>
          <w:rFonts w:ascii="Times New Roman" w:hAnsi="Times New Roman" w:cs="Times New Roman"/>
        </w:rPr>
        <w:t xml:space="preserve">Miller, William B., Jr. and </w:t>
      </w:r>
      <w:proofErr w:type="spellStart"/>
      <w:r>
        <w:rPr>
          <w:rFonts w:ascii="Times New Roman" w:hAnsi="Times New Roman" w:cs="Times New Roman"/>
        </w:rPr>
        <w:t>Torday</w:t>
      </w:r>
      <w:proofErr w:type="spellEnd"/>
      <w:r>
        <w:rPr>
          <w:rFonts w:ascii="Times New Roman" w:hAnsi="Times New Roman" w:cs="Times New Roman"/>
        </w:rPr>
        <w:t xml:space="preserve">, John, 2017, ‘A Systematic Approach to Cancer: Evolution Beyond </w:t>
      </w:r>
    </w:p>
    <w:p w14:paraId="2D79033F" w14:textId="77777777" w:rsidR="007C4519" w:rsidRDefault="007C4519" w:rsidP="007C4519">
      <w:pPr>
        <w:spacing w:after="0" w:line="360" w:lineRule="auto"/>
        <w:ind w:firstLine="720"/>
        <w:rPr>
          <w:rFonts w:ascii="Times New Roman" w:hAnsi="Times New Roman" w:cs="Times New Roman"/>
          <w:u w:val="single"/>
        </w:rPr>
      </w:pPr>
      <w:r>
        <w:rPr>
          <w:rFonts w:ascii="Times New Roman" w:hAnsi="Times New Roman" w:cs="Times New Roman"/>
        </w:rPr>
        <w:t xml:space="preserve">Selection’ in </w:t>
      </w:r>
      <w:r>
        <w:rPr>
          <w:rFonts w:ascii="Times New Roman" w:hAnsi="Times New Roman" w:cs="Times New Roman"/>
          <w:i/>
          <w:iCs/>
        </w:rPr>
        <w:t xml:space="preserve">Clinical and </w:t>
      </w:r>
      <w:proofErr w:type="spellStart"/>
      <w:r>
        <w:rPr>
          <w:rFonts w:ascii="Times New Roman" w:hAnsi="Times New Roman" w:cs="Times New Roman"/>
          <w:i/>
          <w:iCs/>
        </w:rPr>
        <w:t>Tranlational</w:t>
      </w:r>
      <w:proofErr w:type="spellEnd"/>
      <w:r>
        <w:rPr>
          <w:rFonts w:ascii="Times New Roman" w:hAnsi="Times New Roman" w:cs="Times New Roman"/>
          <w:i/>
          <w:iCs/>
        </w:rPr>
        <w:t xml:space="preserve"> Medicine’,</w:t>
      </w:r>
      <w:r>
        <w:rPr>
          <w:rFonts w:ascii="Times New Roman" w:hAnsi="Times New Roman" w:cs="Times New Roman"/>
        </w:rPr>
        <w:t xml:space="preserve"> 6,</w:t>
      </w:r>
      <w:proofErr w:type="gramStart"/>
      <w:r>
        <w:rPr>
          <w:rFonts w:ascii="Times New Roman" w:hAnsi="Times New Roman" w:cs="Times New Roman"/>
        </w:rPr>
        <w:t xml:space="preserve">2,  </w:t>
      </w:r>
      <w:r>
        <w:rPr>
          <w:rFonts w:ascii="Times New Roman" w:hAnsi="Times New Roman" w:cs="Times New Roman"/>
          <w:u w:val="single"/>
        </w:rPr>
        <w:t>https</w:t>
      </w:r>
      <w:proofErr w:type="gramEnd"/>
      <w:r>
        <w:rPr>
          <w:rFonts w:ascii="Times New Roman" w:hAnsi="Times New Roman" w:cs="Times New Roman"/>
          <w:u w:val="single"/>
        </w:rPr>
        <w:t xml:space="preserve">//doi.10.1186/s40169-016-0131-4 </w:t>
      </w:r>
    </w:p>
    <w:p w14:paraId="167E464E" w14:textId="77777777" w:rsidR="007C4519" w:rsidRDefault="007C4519" w:rsidP="007C4519">
      <w:pPr>
        <w:spacing w:after="0" w:line="360" w:lineRule="auto"/>
        <w:rPr>
          <w:rFonts w:ascii="Times New Roman" w:eastAsia="Times New Roman" w:hAnsi="Times New Roman" w:cs="Times New Roman"/>
          <w:color w:val="BC2635"/>
          <w:kern w:val="0"/>
          <w14:ligatures w14:val="none"/>
        </w:rPr>
      </w:pPr>
    </w:p>
    <w:p w14:paraId="055BDD94" w14:textId="77777777" w:rsidR="007C4519" w:rsidRDefault="007C4519" w:rsidP="007C4519">
      <w:pPr>
        <w:spacing w:after="0" w:line="360" w:lineRule="auto"/>
        <w:rPr>
          <w:rFonts w:ascii="Times New Roman" w:hAnsi="Times New Roman" w:cs="Times New Roman"/>
          <w:i/>
          <w:iCs/>
        </w:rPr>
      </w:pPr>
      <w:r>
        <w:rPr>
          <w:rFonts w:ascii="Times New Roman" w:hAnsi="Times New Roman" w:cs="Times New Roman"/>
        </w:rPr>
        <w:t xml:space="preserve">Mittal, Vivek, 2018. ‘Epithelial Mesenchymal Transition in Tumor Metastasis’ in </w:t>
      </w:r>
      <w:r>
        <w:rPr>
          <w:rFonts w:ascii="Times New Roman" w:hAnsi="Times New Roman" w:cs="Times New Roman"/>
          <w:i/>
          <w:iCs/>
        </w:rPr>
        <w:t xml:space="preserve">Annual Review of </w:t>
      </w:r>
    </w:p>
    <w:p w14:paraId="305035EE" w14:textId="77777777" w:rsidR="007C4519" w:rsidRDefault="007C4519" w:rsidP="007C4519">
      <w:pPr>
        <w:spacing w:after="0" w:line="360" w:lineRule="auto"/>
        <w:ind w:firstLine="720"/>
        <w:rPr>
          <w:rFonts w:ascii="Times New Roman" w:hAnsi="Times New Roman" w:cs="Times New Roman"/>
        </w:rPr>
      </w:pPr>
      <w:r>
        <w:rPr>
          <w:rFonts w:ascii="Times New Roman" w:hAnsi="Times New Roman" w:cs="Times New Roman"/>
          <w:i/>
          <w:iCs/>
        </w:rPr>
        <w:t>Pathology: Mechanism of Disease</w:t>
      </w:r>
      <w:r>
        <w:rPr>
          <w:rFonts w:ascii="Times New Roman" w:hAnsi="Times New Roman" w:cs="Times New Roman"/>
        </w:rPr>
        <w:t xml:space="preserve">, 13, 395–412 </w:t>
      </w:r>
    </w:p>
    <w:p w14:paraId="1031CA06"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rPr>
      </w:pPr>
    </w:p>
    <w:p w14:paraId="6120047F" w14:textId="77777777" w:rsidR="007C4519" w:rsidRDefault="007C4519" w:rsidP="007C4519">
      <w:pPr>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 xml:space="preserve">Velleman, </w:t>
      </w:r>
      <w:proofErr w:type="spellStart"/>
      <w:proofErr w:type="gramStart"/>
      <w:r>
        <w:rPr>
          <w:rFonts w:ascii="Times New Roman" w:hAnsi="Times New Roman" w:cs="Times New Roman"/>
        </w:rPr>
        <w:t>J.David</w:t>
      </w:r>
      <w:proofErr w:type="spellEnd"/>
      <w:proofErr w:type="gramEnd"/>
      <w:r>
        <w:rPr>
          <w:rFonts w:ascii="Times New Roman" w:hAnsi="Times New Roman" w:cs="Times New Roman"/>
        </w:rPr>
        <w:t xml:space="preserve">, 2000, </w:t>
      </w:r>
      <w:r>
        <w:rPr>
          <w:rFonts w:ascii="Times New Roman" w:hAnsi="Times New Roman" w:cs="Times New Roman"/>
          <w:i/>
          <w:iCs/>
        </w:rPr>
        <w:t xml:space="preserve">The Possibility of Practical Reason </w:t>
      </w:r>
      <w:r>
        <w:rPr>
          <w:rFonts w:ascii="Times New Roman" w:hAnsi="Times New Roman" w:cs="Times New Roman"/>
        </w:rPr>
        <w:t>(Oxford, Oxford University Press)</w:t>
      </w:r>
    </w:p>
    <w:p w14:paraId="24595E72" w14:textId="77777777" w:rsidR="007C4519" w:rsidRDefault="007C4519" w:rsidP="007C4519">
      <w:pPr>
        <w:spacing w:after="0" w:line="360" w:lineRule="auto"/>
        <w:rPr>
          <w:rFonts w:ascii="Times New Roman" w:hAnsi="Times New Roman" w:cs="Times New Roman"/>
        </w:rPr>
      </w:pPr>
    </w:p>
    <w:p w14:paraId="2348EBA3" w14:textId="77777777" w:rsidR="00845CBD" w:rsidRDefault="00845CBD"/>
    <w:sectPr w:rsidR="00845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33B7"/>
    <w:multiLevelType w:val="hybridMultilevel"/>
    <w:tmpl w:val="AEB27D0E"/>
    <w:lvl w:ilvl="0" w:tplc="7B46AEF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3B22F4"/>
    <w:multiLevelType w:val="hybridMultilevel"/>
    <w:tmpl w:val="3D8A47C8"/>
    <w:lvl w:ilvl="0" w:tplc="A80083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26675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5644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BD"/>
    <w:rsid w:val="007C4519"/>
    <w:rsid w:val="0084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17169-ACD8-43AC-90AE-848021C2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19"/>
    <w:pPr>
      <w:spacing w:after="12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519"/>
    <w:rPr>
      <w:color w:val="0000FF"/>
      <w:u w:val="single"/>
    </w:rPr>
  </w:style>
  <w:style w:type="paragraph" w:styleId="ListParagraph">
    <w:name w:val="List Paragraph"/>
    <w:basedOn w:val="Normal"/>
    <w:uiPriority w:val="34"/>
    <w:qFormat/>
    <w:rsid w:val="007C4519"/>
    <w:pPr>
      <w:ind w:left="720"/>
      <w:contextualSpacing/>
    </w:pPr>
  </w:style>
  <w:style w:type="character" w:customStyle="1" w:styleId="volumeinfo">
    <w:name w:val="volumeinfo"/>
    <w:basedOn w:val="DefaultParagraphFont"/>
    <w:rsid w:val="007C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41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07/s00359-023-01632-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89/fpubh.2022.917929" TargetMode="External"/><Relationship Id="rId5" Type="http://schemas.openxmlformats.org/officeDocument/2006/relationships/hyperlink" Target="https://doi.org/10.1140/epjp/i2015-1520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8696</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2023-07-24T18:49:00Z</dcterms:created>
  <dcterms:modified xsi:type="dcterms:W3CDTF">2023-07-24T18:49:00Z</dcterms:modified>
</cp:coreProperties>
</file>