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341C0" w14:textId="77777777" w:rsidR="008D3E2F" w:rsidRDefault="008D3E2F" w:rsidP="008D3E2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42372775"/>
      <w:r w:rsidRPr="0082009D">
        <w:rPr>
          <w:rFonts w:ascii="Times New Roman" w:hAnsi="Times New Roman" w:cs="Times New Roman"/>
          <w:b/>
          <w:sz w:val="28"/>
          <w:szCs w:val="28"/>
        </w:rPr>
        <w:t>Reasons for the Method in Descartes</w:t>
      </w:r>
      <w:r>
        <w:rPr>
          <w:rFonts w:ascii="Times New Roman" w:hAnsi="Times New Roman" w:cs="Times New Roman"/>
          <w:b/>
          <w:sz w:val="28"/>
          <w:szCs w:val="28"/>
        </w:rPr>
        <w:t xml:space="preserve">’ </w:t>
      </w:r>
      <w:proofErr w:type="spellStart"/>
      <w:r w:rsidRPr="0082009D">
        <w:rPr>
          <w:rFonts w:ascii="Times New Roman" w:hAnsi="Times New Roman" w:cs="Times New Roman"/>
          <w:b/>
          <w:i/>
          <w:iCs/>
          <w:sz w:val="28"/>
          <w:szCs w:val="28"/>
        </w:rPr>
        <w:t>Discours</w:t>
      </w:r>
      <w:proofErr w:type="spellEnd"/>
    </w:p>
    <w:p w14:paraId="4A7E48E0" w14:textId="77777777" w:rsidR="008D3E2F" w:rsidRDefault="008D3E2F" w:rsidP="008D3E2F">
      <w:pPr>
        <w:rPr>
          <w:rFonts w:ascii="Times New Roman" w:hAnsi="Times New Roman" w:cs="Times New Roman"/>
          <w:b/>
          <w:sz w:val="28"/>
          <w:szCs w:val="28"/>
        </w:rPr>
      </w:pPr>
    </w:p>
    <w:p w14:paraId="69BEA951" w14:textId="77777777" w:rsidR="008D3E2F" w:rsidRDefault="008D3E2F" w:rsidP="008D3E2F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8033D">
        <w:rPr>
          <w:rFonts w:ascii="Times New Roman" w:hAnsi="Times New Roman" w:cs="Times New Roman"/>
          <w:bCs/>
        </w:rPr>
        <w:t xml:space="preserve">Patrick </w:t>
      </w:r>
      <w:proofErr w:type="spellStart"/>
      <w:r w:rsidRPr="0068033D">
        <w:rPr>
          <w:rFonts w:ascii="Times New Roman" w:hAnsi="Times New Roman" w:cs="Times New Roman"/>
          <w:bCs/>
        </w:rPr>
        <w:t>Brissey,</w:t>
      </w:r>
      <w:proofErr w:type="spellEnd"/>
      <w:r w:rsidRPr="0068033D">
        <w:rPr>
          <w:rFonts w:ascii="Times New Roman" w:hAnsi="Times New Roman" w:cs="Times New Roman"/>
          <w:bCs/>
        </w:rPr>
        <w:t xml:space="preserve"> Ph.D.</w:t>
      </w:r>
    </w:p>
    <w:p w14:paraId="52727080" w14:textId="77777777" w:rsidR="008D3E2F" w:rsidRPr="0068033D" w:rsidRDefault="008D3E2F" w:rsidP="008D3E2F">
      <w:pPr>
        <w:rPr>
          <w:rFonts w:ascii="Times New Roman" w:hAnsi="Times New Roman" w:cs="Times New Roman"/>
          <w:bCs/>
          <w:sz w:val="28"/>
          <w:szCs w:val="28"/>
        </w:rPr>
      </w:pPr>
      <w:r w:rsidRPr="0068033D">
        <w:rPr>
          <w:rFonts w:ascii="Times New Roman" w:hAnsi="Times New Roman" w:cs="Times New Roman"/>
          <w:bCs/>
          <w:szCs w:val="24"/>
        </w:rPr>
        <w:t>University of South Carolina</w:t>
      </w:r>
      <w:r w:rsidRPr="0068033D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</w:p>
    <w:p w14:paraId="0B52C3CE" w14:textId="77777777" w:rsidR="008D3E2F" w:rsidRDefault="008D3E2F" w:rsidP="008D3E2F">
      <w:pPr>
        <w:spacing w:line="480" w:lineRule="auto"/>
        <w:rPr>
          <w:rFonts w:ascii="Times New Roman" w:hAnsi="Times New Roman" w:cs="Times New Roman"/>
          <w:szCs w:val="24"/>
        </w:rPr>
      </w:pPr>
      <w:r w:rsidRPr="00D47572">
        <w:rPr>
          <w:rFonts w:ascii="Times New Roman" w:hAnsi="Times New Roman" w:cs="Times New Roman"/>
          <w:b/>
          <w:bCs/>
          <w:szCs w:val="24"/>
        </w:rPr>
        <w:t>Abstract</w:t>
      </w:r>
      <w:r>
        <w:rPr>
          <w:rFonts w:ascii="Times New Roman" w:hAnsi="Times New Roman" w:cs="Times New Roman"/>
          <w:szCs w:val="24"/>
        </w:rPr>
        <w:t>:</w:t>
      </w:r>
    </w:p>
    <w:p w14:paraId="012E7F7F" w14:textId="77777777" w:rsidR="008D3E2F" w:rsidRPr="0082009D" w:rsidRDefault="008D3E2F" w:rsidP="008D3E2F">
      <w:pPr>
        <w:spacing w:line="48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D2931">
        <w:rPr>
          <w:rFonts w:ascii="Times New Roman" w:hAnsi="Times New Roman" w:cs="Times New Roman"/>
          <w:szCs w:val="24"/>
        </w:rPr>
        <w:t>In the practical philosophy of the</w:t>
      </w:r>
      <w:r w:rsidRPr="001D2931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1D2931">
        <w:rPr>
          <w:rFonts w:ascii="Times New Roman" w:hAnsi="Times New Roman" w:cs="Times New Roman"/>
          <w:i/>
          <w:iCs/>
          <w:color w:val="000000" w:themeColor="text1"/>
          <w:szCs w:val="24"/>
        </w:rPr>
        <w:t>Discours</w:t>
      </w:r>
      <w:proofErr w:type="spellEnd"/>
      <w:r w:rsidRPr="001D2931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 de la </w:t>
      </w:r>
      <w:proofErr w:type="spellStart"/>
      <w:r w:rsidRPr="001D2931">
        <w:rPr>
          <w:rFonts w:ascii="Times New Roman" w:hAnsi="Times New Roman" w:cs="Times New Roman"/>
          <w:i/>
          <w:iCs/>
          <w:color w:val="000000" w:themeColor="text1"/>
          <w:szCs w:val="24"/>
        </w:rPr>
        <w:t>Méthode</w:t>
      </w:r>
      <w:proofErr w:type="spellEnd"/>
      <w:r w:rsidRPr="001D2931">
        <w:rPr>
          <w:rFonts w:ascii="Times New Roman" w:hAnsi="Times New Roman" w:cs="Times New Roman"/>
          <w:szCs w:val="24"/>
        </w:rPr>
        <w:t xml:space="preserve">, before the theoretical metaphysics of Part Four and the </w:t>
      </w:r>
      <w:proofErr w:type="spellStart"/>
      <w:r w:rsidRPr="001D2931">
        <w:rPr>
          <w:rFonts w:ascii="Times New Roman" w:hAnsi="Times New Roman" w:cs="Times New Roman"/>
          <w:i/>
          <w:iCs/>
          <w:szCs w:val="24"/>
        </w:rPr>
        <w:t>Meditationes</w:t>
      </w:r>
      <w:proofErr w:type="spellEnd"/>
      <w:r w:rsidRPr="001D2931">
        <w:rPr>
          <w:rFonts w:ascii="Times New Roman" w:hAnsi="Times New Roman" w:cs="Times New Roman"/>
          <w:szCs w:val="24"/>
        </w:rPr>
        <w:t>, Descartes gives us an inductive argument that his method, the procedure and cognitive psychology, is veracious at its inception. His evidence</w:t>
      </w:r>
      <w:r>
        <w:rPr>
          <w:rFonts w:ascii="Times New Roman" w:hAnsi="Times New Roman" w:cs="Times New Roman"/>
          <w:szCs w:val="24"/>
        </w:rPr>
        <w:t xml:space="preserve">, akin to his Scholastic predecessors, </w:t>
      </w:r>
      <w:r w:rsidRPr="001D2931">
        <w:rPr>
          <w:rFonts w:ascii="Times New Roman" w:hAnsi="Times New Roman" w:cs="Times New Roman"/>
          <w:szCs w:val="24"/>
        </w:rPr>
        <w:t>is God, a maximally perfect being, established an ontological foundation for knowledge such that reason and nature are isomorphic. Further, the method, he tells us, is a functional definition of human reason</w:t>
      </w:r>
      <w:r>
        <w:rPr>
          <w:rFonts w:ascii="Times New Roman" w:hAnsi="Times New Roman" w:cs="Times New Roman"/>
          <w:szCs w:val="24"/>
        </w:rPr>
        <w:t>; that is, like other rationalists during this period, he holds the structure of reason maps onto the world</w:t>
      </w:r>
      <w:r w:rsidRPr="001D2931">
        <w:rPr>
          <w:rFonts w:ascii="Times New Roman" w:hAnsi="Times New Roman" w:cs="Times New Roman"/>
          <w:szCs w:val="24"/>
        </w:rPr>
        <w:t xml:space="preserve">. The evidence for this thesis is given in what I call the groundwork to Descartes’ philosophical system, essentially the first half of the </w:t>
      </w:r>
      <w:proofErr w:type="spellStart"/>
      <w:r w:rsidRPr="001D2931">
        <w:rPr>
          <w:rFonts w:ascii="Times New Roman" w:hAnsi="Times New Roman" w:cs="Times New Roman"/>
          <w:i/>
          <w:iCs/>
          <w:szCs w:val="24"/>
        </w:rPr>
        <w:t>Discours</w:t>
      </w:r>
      <w:proofErr w:type="spellEnd"/>
      <w:r w:rsidRPr="001D2931">
        <w:rPr>
          <w:rFonts w:ascii="Times New Roman" w:hAnsi="Times New Roman" w:cs="Times New Roman"/>
          <w:szCs w:val="24"/>
        </w:rPr>
        <w:t>, where, through a series of examples in</w:t>
      </w:r>
      <w:r>
        <w:rPr>
          <w:rFonts w:ascii="Times New Roman" w:hAnsi="Times New Roman" w:cs="Times New Roman"/>
          <w:szCs w:val="24"/>
        </w:rPr>
        <w:t xml:space="preserve"> the preamble </w:t>
      </w:r>
      <w:proofErr w:type="spellStart"/>
      <w:r>
        <w:rPr>
          <w:rFonts w:ascii="Times New Roman" w:hAnsi="Times New Roman" w:cs="Times New Roman"/>
          <w:szCs w:val="24"/>
        </w:rPr>
        <w:t>ot</w:t>
      </w:r>
      <w:proofErr w:type="spellEnd"/>
      <w:r w:rsidRPr="001D2931">
        <w:rPr>
          <w:rFonts w:ascii="Times New Roman" w:hAnsi="Times New Roman" w:cs="Times New Roman"/>
          <w:szCs w:val="24"/>
        </w:rPr>
        <w:t xml:space="preserve"> Part Two, he, step-by-step, ascends from the perfection of artifacts through the imposition of reason (the Architect </w:t>
      </w:r>
      <w:r>
        <w:rPr>
          <w:rFonts w:ascii="Times New Roman" w:hAnsi="Times New Roman" w:cs="Times New Roman"/>
          <w:szCs w:val="24"/>
        </w:rPr>
        <w:t>E</w:t>
      </w:r>
      <w:r w:rsidRPr="001D2931">
        <w:rPr>
          <w:rFonts w:ascii="Times New Roman" w:hAnsi="Times New Roman" w:cs="Times New Roman"/>
          <w:szCs w:val="24"/>
        </w:rPr>
        <w:t xml:space="preserve">xample) to the perfection of a constituent’s use of her cognitive faculties (the Wise-Lawgiver </w:t>
      </w:r>
      <w:r>
        <w:rPr>
          <w:rFonts w:ascii="Times New Roman" w:hAnsi="Times New Roman" w:cs="Times New Roman"/>
          <w:szCs w:val="24"/>
        </w:rPr>
        <w:t>E</w:t>
      </w:r>
      <w:r w:rsidRPr="001D2931">
        <w:rPr>
          <w:rFonts w:ascii="Times New Roman" w:hAnsi="Times New Roman" w:cs="Times New Roman"/>
          <w:szCs w:val="24"/>
        </w:rPr>
        <w:t>xample)</w:t>
      </w:r>
      <w:r>
        <w:rPr>
          <w:rFonts w:ascii="Times New Roman" w:hAnsi="Times New Roman" w:cs="Times New Roman"/>
          <w:szCs w:val="24"/>
        </w:rPr>
        <w:t>,</w:t>
      </w:r>
      <w:r w:rsidRPr="001D2931">
        <w:rPr>
          <w:rFonts w:ascii="Times New Roman" w:hAnsi="Times New Roman" w:cs="Times New Roman"/>
          <w:szCs w:val="24"/>
        </w:rPr>
        <w:t xml:space="preserve"> to God perfecting and ordering reality (the Divine Artificer</w:t>
      </w:r>
      <w:r>
        <w:rPr>
          <w:rFonts w:ascii="Times New Roman" w:hAnsi="Times New Roman" w:cs="Times New Roman"/>
          <w:szCs w:val="24"/>
        </w:rPr>
        <w:t xml:space="preserve"> E</w:t>
      </w:r>
      <w:r w:rsidRPr="001D2931">
        <w:rPr>
          <w:rFonts w:ascii="Times New Roman" w:hAnsi="Times New Roman" w:cs="Times New Roman"/>
          <w:szCs w:val="24"/>
        </w:rPr>
        <w:t>xample). Finally, he</w:t>
      </w:r>
      <w:r>
        <w:rPr>
          <w:rFonts w:ascii="Times New Roman" w:hAnsi="Times New Roman" w:cs="Times New Roman"/>
          <w:szCs w:val="24"/>
        </w:rPr>
        <w:t xml:space="preserve"> descends,</w:t>
      </w:r>
      <w:r w:rsidRPr="001D2931">
        <w:rPr>
          <w:rFonts w:ascii="Times New Roman" w:hAnsi="Times New Roman" w:cs="Times New Roman"/>
          <w:szCs w:val="24"/>
        </w:rPr>
        <w:t xml:space="preserve"> establish</w:t>
      </w:r>
      <w:r>
        <w:rPr>
          <w:rFonts w:ascii="Times New Roman" w:hAnsi="Times New Roman" w:cs="Times New Roman"/>
          <w:szCs w:val="24"/>
        </w:rPr>
        <w:t>ing</w:t>
      </w:r>
      <w:r w:rsidRPr="001D2931">
        <w:rPr>
          <w:rFonts w:ascii="Times New Roman" w:hAnsi="Times New Roman" w:cs="Times New Roman"/>
          <w:szCs w:val="24"/>
        </w:rPr>
        <w:t xml:space="preserve"> the structure of human reason, which undergirds and entails the procedure of the method (the Laws of Sparta </w:t>
      </w:r>
      <w:r>
        <w:rPr>
          <w:rFonts w:ascii="Times New Roman" w:hAnsi="Times New Roman" w:cs="Times New Roman"/>
          <w:szCs w:val="24"/>
        </w:rPr>
        <w:t>Ex</w:t>
      </w:r>
      <w:r w:rsidRPr="001D2931">
        <w:rPr>
          <w:rFonts w:ascii="Times New Roman" w:hAnsi="Times New Roman" w:cs="Times New Roman"/>
          <w:szCs w:val="24"/>
        </w:rPr>
        <w:t xml:space="preserve">ample). </w:t>
      </w:r>
    </w:p>
    <w:p w14:paraId="6FDDCD74" w14:textId="77777777" w:rsidR="008D3E2F" w:rsidRPr="001D2931" w:rsidRDefault="008D3E2F" w:rsidP="008D3E2F">
      <w:pPr>
        <w:rPr>
          <w:rFonts w:ascii="Times New Roman" w:hAnsi="Times New Roman" w:cs="Times New Roman"/>
          <w:szCs w:val="24"/>
        </w:rPr>
      </w:pPr>
    </w:p>
    <w:p w14:paraId="2B1FBC53" w14:textId="77777777" w:rsidR="008D3E2F" w:rsidRPr="001D2931" w:rsidRDefault="008D3E2F" w:rsidP="008D3E2F">
      <w:pPr>
        <w:jc w:val="left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1D2931">
        <w:rPr>
          <w:rFonts w:ascii="Times New Roman" w:hAnsi="Times New Roman" w:cs="Times New Roman"/>
          <w:szCs w:val="24"/>
        </w:rPr>
        <w:t xml:space="preserve">Keywords: René Descartes, method, methodology, natural theology, </w:t>
      </w:r>
      <w:proofErr w:type="spellStart"/>
      <w:r w:rsidRPr="001D2931">
        <w:rPr>
          <w:rFonts w:ascii="Times New Roman" w:hAnsi="Times New Roman" w:cs="Times New Roman"/>
          <w:i/>
          <w:iCs/>
          <w:color w:val="000000" w:themeColor="text1"/>
          <w:szCs w:val="24"/>
        </w:rPr>
        <w:t>Discours</w:t>
      </w:r>
      <w:proofErr w:type="spellEnd"/>
      <w:r w:rsidRPr="001D2931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 de la                                </w:t>
      </w:r>
    </w:p>
    <w:p w14:paraId="7B8891CB" w14:textId="77777777" w:rsidR="008D3E2F" w:rsidRPr="001D2931" w:rsidRDefault="008D3E2F" w:rsidP="008D3E2F">
      <w:pPr>
        <w:jc w:val="left"/>
        <w:rPr>
          <w:rFonts w:ascii="Times New Roman" w:hAnsi="Times New Roman" w:cs="Times New Roman"/>
          <w:i/>
          <w:iCs/>
          <w:color w:val="000000" w:themeColor="text1"/>
          <w:szCs w:val="24"/>
        </w:rPr>
      </w:pPr>
      <w:r w:rsidRPr="001D2931">
        <w:rPr>
          <w:rFonts w:ascii="Times New Roman" w:hAnsi="Times New Roman" w:cs="Times New Roman"/>
          <w:i/>
          <w:iCs/>
          <w:color w:val="000000" w:themeColor="text1"/>
          <w:szCs w:val="24"/>
        </w:rPr>
        <w:t xml:space="preserve">                  </w:t>
      </w:r>
      <w:proofErr w:type="spellStart"/>
      <w:r w:rsidRPr="001D2931">
        <w:rPr>
          <w:rFonts w:ascii="Times New Roman" w:hAnsi="Times New Roman" w:cs="Times New Roman"/>
          <w:i/>
          <w:iCs/>
          <w:color w:val="000000" w:themeColor="text1"/>
          <w:szCs w:val="24"/>
        </w:rPr>
        <w:t>Méthode</w:t>
      </w:r>
      <w:bookmarkEnd w:id="0"/>
      <w:proofErr w:type="spellEnd"/>
    </w:p>
    <w:p w14:paraId="026C735F" w14:textId="77777777" w:rsidR="004E2C1C" w:rsidRDefault="004E2C1C" w:rsidP="008D3E2F">
      <w:pPr>
        <w:jc w:val="both"/>
      </w:pPr>
    </w:p>
    <w:sectPr w:rsidR="004E2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F"/>
    <w:rsid w:val="004E2C1C"/>
    <w:rsid w:val="008D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FFEC"/>
  <w15:chartTrackingRefBased/>
  <w15:docId w15:val="{4715FB09-50CE-4245-8821-E16499F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BRISSEY, PATRICK</dc:creator>
  <cp:keywords/>
  <dc:description/>
  <cp:lastModifiedBy>BRISSEY, PATRICK</cp:lastModifiedBy>
  <cp:revision>1</cp:revision>
  <dcterms:created xsi:type="dcterms:W3CDTF">2021-04-10T04:03:00Z</dcterms:created>
  <dcterms:modified xsi:type="dcterms:W3CDTF">2021-04-10T04:04:00Z</dcterms:modified>
</cp:coreProperties>
</file>