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8FEFA" w14:textId="48741D0B" w:rsidR="00800349" w:rsidRPr="00800349" w:rsidRDefault="00800349" w:rsidP="00800349">
      <w:pPr>
        <w:rPr>
          <w:rFonts w:ascii="Times New Roman" w:eastAsia="Times New Roman" w:hAnsi="Times New Roman" w:cs="Times New Roman"/>
          <w:sz w:val="21"/>
          <w:szCs w:val="21"/>
          <w:lang w:eastAsia="en-GB"/>
        </w:rPr>
      </w:pPr>
      <w:r w:rsidRPr="00800349">
        <w:rPr>
          <w:rFonts w:ascii="Times New Roman" w:eastAsia="Times New Roman" w:hAnsi="Times New Roman" w:cs="Times New Roman"/>
          <w:sz w:val="21"/>
          <w:szCs w:val="21"/>
          <w:lang w:eastAsia="en-GB"/>
        </w:rPr>
        <w:t xml:space="preserve">You can find the final version of this text published in the Journal </w:t>
      </w:r>
      <w:r w:rsidRPr="00800349">
        <w:rPr>
          <w:rFonts w:ascii="Times New Roman" w:eastAsia="Times New Roman" w:hAnsi="Times New Roman" w:cs="Times New Roman"/>
          <w:i/>
          <w:iCs/>
          <w:sz w:val="21"/>
          <w:szCs w:val="21"/>
          <w:lang w:eastAsia="en-GB"/>
        </w:rPr>
        <w:t>Analysis</w:t>
      </w:r>
      <w:r w:rsidRPr="00800349">
        <w:rPr>
          <w:rFonts w:ascii="Times New Roman" w:eastAsia="Times New Roman" w:hAnsi="Times New Roman" w:cs="Times New Roman"/>
          <w:sz w:val="21"/>
          <w:szCs w:val="21"/>
          <w:lang w:eastAsia="en-GB"/>
        </w:rPr>
        <w:t>:</w:t>
      </w:r>
    </w:p>
    <w:p w14:paraId="5963C6A6" w14:textId="77777777" w:rsidR="00B24DA7" w:rsidRDefault="00B24DA7" w:rsidP="00800349">
      <w:pPr>
        <w:spacing w:line="360" w:lineRule="auto"/>
        <w:rPr>
          <w:sz w:val="21"/>
          <w:szCs w:val="21"/>
        </w:rPr>
      </w:pPr>
      <w:hyperlink r:id="rId8" w:history="1">
        <w:r w:rsidRPr="00FE10F8">
          <w:rPr>
            <w:rStyle w:val="Hyperlink"/>
            <w:sz w:val="21"/>
            <w:szCs w:val="21"/>
          </w:rPr>
          <w:t>https://academic.oup.com/analysis/advance-article/doi/10.1093/analys/anac041/6650897</w:t>
        </w:r>
      </w:hyperlink>
      <w:r>
        <w:rPr>
          <w:sz w:val="21"/>
          <w:szCs w:val="21"/>
        </w:rPr>
        <w:t xml:space="preserve"> </w:t>
      </w:r>
    </w:p>
    <w:p w14:paraId="7A6DA51D" w14:textId="07296065" w:rsidR="00800349" w:rsidRDefault="00800349" w:rsidP="00800349">
      <w:pPr>
        <w:spacing w:line="360" w:lineRule="auto"/>
        <w:rPr>
          <w:sz w:val="21"/>
          <w:szCs w:val="21"/>
        </w:rPr>
      </w:pPr>
      <w:r w:rsidRPr="00800349">
        <w:rPr>
          <w:sz w:val="21"/>
          <w:szCs w:val="21"/>
        </w:rPr>
        <w:t>Published: 28 July 2022</w:t>
      </w:r>
    </w:p>
    <w:p w14:paraId="207876C7" w14:textId="77777777" w:rsidR="00800349" w:rsidRPr="00800349" w:rsidRDefault="00800349" w:rsidP="00800349">
      <w:pPr>
        <w:spacing w:line="360" w:lineRule="auto"/>
        <w:rPr>
          <w:sz w:val="21"/>
          <w:szCs w:val="21"/>
        </w:rPr>
      </w:pPr>
    </w:p>
    <w:p w14:paraId="712E498C" w14:textId="4871730E" w:rsidR="00800349" w:rsidRPr="00800349" w:rsidRDefault="00800349" w:rsidP="00800349">
      <w:pPr>
        <w:spacing w:line="360" w:lineRule="auto"/>
        <w:rPr>
          <w:sz w:val="21"/>
          <w:szCs w:val="21"/>
        </w:rPr>
      </w:pPr>
      <w:r w:rsidRPr="00800349">
        <w:rPr>
          <w:sz w:val="21"/>
          <w:szCs w:val="21"/>
        </w:rPr>
        <w:t xml:space="preserve">Please use the published version for citations. If you lack institutional access to Analysis and require access to the published version of this article for citation, please contact the author: </w:t>
      </w:r>
      <w:hyperlink r:id="rId9" w:history="1">
        <w:r w:rsidRPr="00800349">
          <w:rPr>
            <w:rStyle w:val="Hyperlink"/>
            <w:sz w:val="21"/>
            <w:szCs w:val="21"/>
          </w:rPr>
          <w:t>h.coverdale@ucl.ac.uk</w:t>
        </w:r>
      </w:hyperlink>
      <w:r w:rsidRPr="00800349">
        <w:rPr>
          <w:sz w:val="21"/>
          <w:szCs w:val="21"/>
        </w:rPr>
        <w:t xml:space="preserve"> </w:t>
      </w:r>
    </w:p>
    <w:p w14:paraId="7EC69B82" w14:textId="77777777" w:rsidR="00800349" w:rsidRPr="00800349" w:rsidRDefault="00800349" w:rsidP="00800349">
      <w:pPr>
        <w:spacing w:line="360" w:lineRule="auto"/>
      </w:pPr>
    </w:p>
    <w:p w14:paraId="53C1AB00" w14:textId="05B48C0E" w:rsidR="00712B15" w:rsidRPr="00800349" w:rsidRDefault="000567F8" w:rsidP="004137E0">
      <w:pPr>
        <w:spacing w:line="360" w:lineRule="auto"/>
        <w:rPr>
          <w:b/>
          <w:bCs/>
          <w:sz w:val="32"/>
          <w:szCs w:val="32"/>
        </w:rPr>
      </w:pPr>
      <w:r w:rsidRPr="00800349">
        <w:rPr>
          <w:b/>
          <w:bCs/>
          <w:sz w:val="32"/>
          <w:szCs w:val="32"/>
        </w:rPr>
        <w:t xml:space="preserve">Social </w:t>
      </w:r>
      <w:r w:rsidR="00A668C5" w:rsidRPr="00800349">
        <w:rPr>
          <w:b/>
          <w:bCs/>
          <w:sz w:val="32"/>
          <w:szCs w:val="32"/>
        </w:rPr>
        <w:t>c</w:t>
      </w:r>
      <w:r w:rsidRPr="00800349">
        <w:rPr>
          <w:b/>
          <w:bCs/>
          <w:sz w:val="32"/>
          <w:szCs w:val="32"/>
        </w:rPr>
        <w:t>onnection</w:t>
      </w:r>
      <w:r w:rsidR="0044765C" w:rsidRPr="00800349">
        <w:rPr>
          <w:b/>
          <w:bCs/>
          <w:sz w:val="32"/>
          <w:szCs w:val="32"/>
        </w:rPr>
        <w:t>, interdependence,</w:t>
      </w:r>
      <w:r w:rsidRPr="00800349">
        <w:rPr>
          <w:b/>
          <w:bCs/>
          <w:sz w:val="32"/>
          <w:szCs w:val="32"/>
        </w:rPr>
        <w:t xml:space="preserve"> and being sure of ourselves. </w:t>
      </w:r>
    </w:p>
    <w:p w14:paraId="33E4F450" w14:textId="717D75BB" w:rsidR="00A668C5" w:rsidRDefault="00A668C5" w:rsidP="004137E0">
      <w:pPr>
        <w:spacing w:line="360" w:lineRule="auto"/>
      </w:pPr>
    </w:p>
    <w:p w14:paraId="751A6A83" w14:textId="74F322D0" w:rsidR="00A668C5" w:rsidRPr="00564306" w:rsidRDefault="00A22C58" w:rsidP="004137E0">
      <w:pPr>
        <w:spacing w:line="360" w:lineRule="auto"/>
      </w:pPr>
      <w:r>
        <w:t>HELEN BROWN COVERDALE</w:t>
      </w:r>
    </w:p>
    <w:p w14:paraId="2E5893DE" w14:textId="77777777" w:rsidR="00712B15" w:rsidRPr="00564306" w:rsidRDefault="00712B15" w:rsidP="004137E0">
      <w:pPr>
        <w:spacing w:line="360" w:lineRule="auto"/>
      </w:pPr>
    </w:p>
    <w:p w14:paraId="2DAB724B" w14:textId="2155E832" w:rsidR="0031432E" w:rsidRPr="00A22C58" w:rsidRDefault="0031432E" w:rsidP="004137E0">
      <w:pPr>
        <w:spacing w:line="360" w:lineRule="auto"/>
        <w:rPr>
          <w:i/>
          <w:iCs/>
        </w:rPr>
      </w:pPr>
      <w:r w:rsidRPr="00A22C58">
        <w:rPr>
          <w:i/>
          <w:iCs/>
        </w:rPr>
        <w:t>1</w:t>
      </w:r>
      <w:r w:rsidR="00A22C58" w:rsidRPr="00A22C58">
        <w:rPr>
          <w:i/>
          <w:iCs/>
        </w:rPr>
        <w:t>.</w:t>
      </w:r>
      <w:r w:rsidRPr="00A22C58">
        <w:rPr>
          <w:i/>
          <w:iCs/>
        </w:rPr>
        <w:t xml:space="preserve"> Introduction </w:t>
      </w:r>
    </w:p>
    <w:p w14:paraId="6B034FEE" w14:textId="63C8C4D7" w:rsidR="004137E0" w:rsidRDefault="004137E0" w:rsidP="004137E0">
      <w:pPr>
        <w:spacing w:line="360" w:lineRule="auto"/>
      </w:pPr>
      <w:r w:rsidRPr="00564306">
        <w:rPr>
          <w:i/>
          <w:iCs/>
        </w:rPr>
        <w:t>Being sure of each other</w:t>
      </w:r>
      <w:r w:rsidRPr="00564306">
        <w:t xml:space="preserve"> is the blossoming of</w:t>
      </w:r>
      <w:r w:rsidR="00E46B38" w:rsidRPr="00564306">
        <w:t xml:space="preserve"> Kimberley</w:t>
      </w:r>
      <w:r w:rsidRPr="00564306">
        <w:t xml:space="preserve"> Brownlee’s earlier work on the intrinsic value and qualities of human connection </w:t>
      </w:r>
      <w:r w:rsidR="00CC24B4">
        <w:rPr>
          <w:noProof/>
        </w:rPr>
        <w:t>(2013, 2016c, 2016b)</w:t>
      </w:r>
      <w:r w:rsidR="00E46B38" w:rsidRPr="00564306">
        <w:t xml:space="preserve">, </w:t>
      </w:r>
      <w:r w:rsidR="00020595" w:rsidRPr="00564306">
        <w:t>opening</w:t>
      </w:r>
      <w:r w:rsidR="00716D30" w:rsidRPr="00564306">
        <w:t xml:space="preserve"> with a </w:t>
      </w:r>
      <w:r w:rsidR="00E46B38" w:rsidRPr="00564306">
        <w:t>scene</w:t>
      </w:r>
      <w:r w:rsidR="00716D30" w:rsidRPr="00564306">
        <w:t xml:space="preserve"> from A. A. Milne’s </w:t>
      </w:r>
      <w:r w:rsidR="00716D30" w:rsidRPr="00564306">
        <w:rPr>
          <w:i/>
          <w:iCs/>
        </w:rPr>
        <w:t>House at Pooh Corner</w:t>
      </w:r>
      <w:r w:rsidR="00716D30" w:rsidRPr="00564306">
        <w:t xml:space="preserve">: lost in the woods together, Piglet takes </w:t>
      </w:r>
      <w:proofErr w:type="spellStart"/>
      <w:r w:rsidR="00716D30" w:rsidRPr="00564306">
        <w:t>Pooh’s</w:t>
      </w:r>
      <w:proofErr w:type="spellEnd"/>
      <w:r w:rsidR="00716D30" w:rsidRPr="00564306">
        <w:t xml:space="preserve"> paw ‘just to be sure’ of his friend. </w:t>
      </w:r>
      <w:r w:rsidR="00C92772">
        <w:t>The importance of s</w:t>
      </w:r>
      <w:r w:rsidR="00716D30" w:rsidRPr="00564306">
        <w:t xml:space="preserve">ocial connection is </w:t>
      </w:r>
      <w:r w:rsidR="00C92772">
        <w:t>often overlooked because it is central to our lives, like breathable air</w:t>
      </w:r>
      <w:r w:rsidR="00716D30" w:rsidRPr="00564306">
        <w:t xml:space="preserve">. </w:t>
      </w:r>
      <w:r w:rsidR="00B25128" w:rsidRPr="00564306">
        <w:t>Brownlee</w:t>
      </w:r>
      <w:r w:rsidR="00256952">
        <w:t xml:space="preserve">’s work highlights the need </w:t>
      </w:r>
      <w:r w:rsidR="00761CC5">
        <w:t>for</w:t>
      </w:r>
      <w:r w:rsidR="00256952">
        <w:t xml:space="preserve"> social connection, as deserving of more philosophical attention and practical protection through rights. </w:t>
      </w:r>
      <w:r w:rsidR="001D0851">
        <w:t>But h</w:t>
      </w:r>
      <w:r w:rsidR="00256952">
        <w:t xml:space="preserve">er key insight is that receiving relational goods isn’t all that matters: </w:t>
      </w:r>
      <w:r w:rsidRPr="00564306">
        <w:t>be</w:t>
      </w:r>
      <w:r w:rsidR="00256952">
        <w:t>ing</w:t>
      </w:r>
      <w:r w:rsidRPr="00564306">
        <w:t xml:space="preserve"> able and permitted to provide relational goods to others</w:t>
      </w:r>
      <w:r w:rsidR="00E46B38" w:rsidRPr="00564306">
        <w:t xml:space="preserve">, as Piglet and Pooh </w:t>
      </w:r>
      <w:r w:rsidR="00DF72A2" w:rsidRPr="00564306">
        <w:t xml:space="preserve">receive </w:t>
      </w:r>
      <w:r w:rsidR="00DF72A2" w:rsidRPr="00564306">
        <w:rPr>
          <w:i/>
          <w:iCs/>
        </w:rPr>
        <w:t xml:space="preserve">and </w:t>
      </w:r>
      <w:r w:rsidR="00E46B38" w:rsidRPr="00564306">
        <w:rPr>
          <w:i/>
          <w:iCs/>
        </w:rPr>
        <w:t>offer</w:t>
      </w:r>
      <w:r w:rsidR="00E46B38" w:rsidRPr="00564306">
        <w:t xml:space="preserve"> each other reassurance</w:t>
      </w:r>
      <w:r w:rsidR="00256952">
        <w:t>, is just as</w:t>
      </w:r>
      <w:r w:rsidRPr="00564306">
        <w:t xml:space="preserve"> essential for our wellbeing</w:t>
      </w:r>
      <w:r w:rsidR="003B758D">
        <w:t xml:space="preserve">. </w:t>
      </w:r>
      <w:r w:rsidRPr="00564306">
        <w:t xml:space="preserve">Brownlee argues these interests are strong enough to ground </w:t>
      </w:r>
      <w:r w:rsidRPr="006E62BB">
        <w:t>right</w:t>
      </w:r>
      <w:r w:rsidR="003B758D" w:rsidRPr="006E62BB">
        <w:t>s</w:t>
      </w:r>
      <w:r w:rsidRPr="006E62BB">
        <w:t xml:space="preserve"> </w:t>
      </w:r>
      <w:r w:rsidR="00CC24B4">
        <w:rPr>
          <w:noProof/>
        </w:rPr>
        <w:t>(2016c:</w:t>
      </w:r>
      <w:r w:rsidR="007319A4">
        <w:rPr>
          <w:noProof/>
        </w:rPr>
        <w:t xml:space="preserve"> </w:t>
      </w:r>
      <w:r w:rsidR="00CC24B4">
        <w:rPr>
          <w:noProof/>
        </w:rPr>
        <w:t>28)</w:t>
      </w:r>
      <w:r w:rsidRPr="006E62BB">
        <w:t>.</w:t>
      </w:r>
      <w:r w:rsidRPr="00564306">
        <w:t xml:space="preserve"> </w:t>
      </w:r>
    </w:p>
    <w:p w14:paraId="4E41E038" w14:textId="6D3DB3E8" w:rsidR="0061154C" w:rsidRDefault="0061154C" w:rsidP="004137E0">
      <w:pPr>
        <w:spacing w:line="360" w:lineRule="auto"/>
      </w:pPr>
    </w:p>
    <w:p w14:paraId="79885B23" w14:textId="5BCB4D00" w:rsidR="0031432E" w:rsidRPr="00A22C58" w:rsidRDefault="0031432E" w:rsidP="008A41C8">
      <w:pPr>
        <w:spacing w:line="360" w:lineRule="auto"/>
        <w:rPr>
          <w:i/>
          <w:iCs/>
        </w:rPr>
      </w:pPr>
      <w:r w:rsidRPr="00A22C58">
        <w:rPr>
          <w:i/>
          <w:iCs/>
        </w:rPr>
        <w:t>2</w:t>
      </w:r>
      <w:r w:rsidR="00A22C58" w:rsidRPr="00A22C58">
        <w:rPr>
          <w:i/>
          <w:iCs/>
        </w:rPr>
        <w:t>.</w:t>
      </w:r>
      <w:r w:rsidRPr="00A22C58">
        <w:rPr>
          <w:i/>
          <w:iCs/>
        </w:rPr>
        <w:t xml:space="preserve"> Overview</w:t>
      </w:r>
    </w:p>
    <w:p w14:paraId="1FC49B80" w14:textId="1BDEDD39" w:rsidR="008A41C8" w:rsidRPr="001D0851" w:rsidRDefault="00EE0BBC" w:rsidP="008A41C8">
      <w:pPr>
        <w:spacing w:line="360" w:lineRule="auto"/>
        <w:rPr>
          <w:color w:val="0070C0"/>
        </w:rPr>
      </w:pPr>
      <w:r>
        <w:t xml:space="preserve">Most </w:t>
      </w:r>
      <w:r w:rsidR="00A35101">
        <w:t>of the book carefully establish</w:t>
      </w:r>
      <w:r>
        <w:t>es</w:t>
      </w:r>
      <w:r w:rsidR="00A35101">
        <w:t xml:space="preserve"> social connection as </w:t>
      </w:r>
      <w:r w:rsidR="00A35101" w:rsidRPr="00564306">
        <w:t>an important need for everyone, which Brownlee defends as a human right against social deprivation.</w:t>
      </w:r>
      <w:r w:rsidR="00A35101">
        <w:t xml:space="preserve"> The first chapter identifies social connection as </w:t>
      </w:r>
      <w:r w:rsidR="00A35101" w:rsidRPr="00B94B96">
        <w:t>a need of great importance for everyone</w:t>
      </w:r>
      <w:r w:rsidR="00A35101">
        <w:t>. We are identified as</w:t>
      </w:r>
      <w:r w:rsidR="00A35101" w:rsidRPr="00564306">
        <w:t xml:space="preserve"> mutually dependent social beings, with ‘non-contingent, fundamental social access needs and social-contribution needs that generate morally urgent demands’ </w:t>
      </w:r>
      <w:r w:rsidR="00CC24B4">
        <w:rPr>
          <w:noProof/>
        </w:rPr>
        <w:t>(Brownlee 2020:</w:t>
      </w:r>
      <w:r w:rsidR="007319A4">
        <w:rPr>
          <w:noProof/>
        </w:rPr>
        <w:t xml:space="preserve"> </w:t>
      </w:r>
      <w:r w:rsidR="00CC24B4">
        <w:rPr>
          <w:noProof/>
        </w:rPr>
        <w:t>38)</w:t>
      </w:r>
      <w:r w:rsidR="00A35101" w:rsidRPr="00564306">
        <w:t xml:space="preserve">. </w:t>
      </w:r>
      <w:r w:rsidR="00A35101">
        <w:t xml:space="preserve">The second chapter locates </w:t>
      </w:r>
      <w:r w:rsidR="00A35101" w:rsidRPr="00B94B96">
        <w:t>our social connection needs among our human rights</w:t>
      </w:r>
      <w:r w:rsidR="00022907">
        <w:t>, since other rights, such as rights to education and healthcare, depend on social connection</w:t>
      </w:r>
      <w:r w:rsidR="00A35101" w:rsidRPr="00B94B96">
        <w:t xml:space="preserve">. The </w:t>
      </w:r>
      <w:r w:rsidR="00A35101" w:rsidRPr="00B94B96">
        <w:lastRenderedPageBreak/>
        <w:t xml:space="preserve">third chapter explores the rights-grounding interests we have in social connection, including our need </w:t>
      </w:r>
      <w:r w:rsidR="008A255F">
        <w:t>for</w:t>
      </w:r>
      <w:r w:rsidR="00A35101" w:rsidRPr="00B94B96">
        <w:t xml:space="preserve"> being able to contribute to the survival and wellbeing of others, and chapter 4 offer</w:t>
      </w:r>
      <w:r w:rsidR="00761CC5">
        <w:t>s</w:t>
      </w:r>
      <w:r w:rsidR="00A35101" w:rsidRPr="00B94B96">
        <w:t xml:space="preserve"> a consideration of what happens to our freedoms of personal association</w:t>
      </w:r>
      <w:r w:rsidR="00565AC7">
        <w:t xml:space="preserve"> </w:t>
      </w:r>
      <w:r w:rsidR="00A35101" w:rsidRPr="00B94B96">
        <w:t xml:space="preserve">when these conflict with the rights of others to social connection. Chapter 5 offers a Kantian analysis of our freedom to associate (or disassociate), </w:t>
      </w:r>
      <w:r w:rsidR="00A35101">
        <w:t>methodically categorising cases and providing systematised examples</w:t>
      </w:r>
      <w:r w:rsidR="0031432E">
        <w:t xml:space="preserve"> to </w:t>
      </w:r>
      <w:r w:rsidR="0031432E" w:rsidRPr="0031432E">
        <w:t>argue</w:t>
      </w:r>
      <w:r w:rsidR="004B1E8C" w:rsidRPr="0031432E">
        <w:t xml:space="preserve"> that</w:t>
      </w:r>
      <w:r w:rsidR="0031432E" w:rsidRPr="0031432E">
        <w:t>,</w:t>
      </w:r>
      <w:r w:rsidR="004B1E8C" w:rsidRPr="0031432E">
        <w:t xml:space="preserve"> </w:t>
      </w:r>
      <w:r w:rsidR="00EE1038" w:rsidRPr="0031432E">
        <w:t>since we cannot</w:t>
      </w:r>
      <w:r w:rsidR="0031432E" w:rsidRPr="0031432E">
        <w:t xml:space="preserve"> universalise a position that might leave some without necessary access to social connection, we cannot have an individual permission to associate only as we please</w:t>
      </w:r>
      <w:r w:rsidR="00A35101" w:rsidRPr="0031432E">
        <w:t>. Chapter</w:t>
      </w:r>
      <w:r w:rsidR="00A35101" w:rsidRPr="00B94B96">
        <w:t xml:space="preserve"> 6 defends the claim that our freedom to </w:t>
      </w:r>
      <w:r w:rsidR="00A35101">
        <w:t>(dis)associate with</w:t>
      </w:r>
      <w:r w:rsidR="00A35101" w:rsidRPr="00B94B96">
        <w:t xml:space="preserve"> others is in at least some circumstances secondary</w:t>
      </w:r>
      <w:r w:rsidR="004B1E8C">
        <w:t xml:space="preserve"> to</w:t>
      </w:r>
      <w:r w:rsidR="00A35101" w:rsidRPr="00B94B96">
        <w:t xml:space="preserve"> the claim-rights of others to connection</w:t>
      </w:r>
      <w:r w:rsidR="00A35101">
        <w:t xml:space="preserve"> through some simple examples. Chapter 7 build</w:t>
      </w:r>
      <w:r w:rsidR="00761CC5">
        <w:t>s</w:t>
      </w:r>
      <w:r w:rsidR="00A35101">
        <w:t xml:space="preserve"> on the</w:t>
      </w:r>
      <w:r w:rsidR="00022907">
        <w:t>se</w:t>
      </w:r>
      <w:r w:rsidR="00A35101">
        <w:t xml:space="preserve"> examples with</w:t>
      </w:r>
      <w:r w:rsidR="00022907">
        <w:t xml:space="preserve"> more</w:t>
      </w:r>
      <w:r w:rsidR="00A35101">
        <w:t xml:space="preserve"> complex cases, illustrating the moral messiness possible (and probable) in real human lives, and showing the perverse outcomes </w:t>
      </w:r>
      <w:r w:rsidR="004B1E8C">
        <w:t xml:space="preserve">and incentives </w:t>
      </w:r>
      <w:r w:rsidR="00761CC5">
        <w:t xml:space="preserve">produced by approaches other than </w:t>
      </w:r>
      <w:r w:rsidR="004B1E8C">
        <w:t>Brownlee’s right against social deprivation</w:t>
      </w:r>
      <w:r w:rsidR="00A35101">
        <w:t>. Chapter 8 is applied</w:t>
      </w:r>
      <w:r w:rsidR="00A35101" w:rsidRPr="00564306">
        <w:t xml:space="preserve">, considering stigmatising language and segregating institutions such as hospitals and prisons. </w:t>
      </w:r>
      <w:r w:rsidR="00B25128" w:rsidRPr="00564306">
        <w:t>Most</w:t>
      </w:r>
      <w:r w:rsidR="004137E0" w:rsidRPr="00564306">
        <w:t xml:space="preserve"> of </w:t>
      </w:r>
      <w:r w:rsidR="0044765C">
        <w:t xml:space="preserve">her </w:t>
      </w:r>
      <w:r w:rsidR="004137E0" w:rsidRPr="00564306">
        <w:t>examples are persuasive</w:t>
      </w:r>
      <w:r w:rsidR="002D0A16">
        <w:t>.</w:t>
      </w:r>
      <w:r w:rsidR="004137E0" w:rsidRPr="00564306">
        <w:t xml:space="preserve"> </w:t>
      </w:r>
      <w:r w:rsidR="00A35101">
        <w:t>Yet, even w</w:t>
      </w:r>
      <w:r w:rsidR="00020595" w:rsidRPr="00564306">
        <w:t xml:space="preserve">here </w:t>
      </w:r>
      <w:r w:rsidR="00B25128" w:rsidRPr="00564306">
        <w:t xml:space="preserve">I do not share the intuition, </w:t>
      </w:r>
      <w:r w:rsidR="002D0A16">
        <w:t xml:space="preserve">I </w:t>
      </w:r>
      <w:r w:rsidR="00A35101">
        <w:t>will argue that</w:t>
      </w:r>
      <w:r w:rsidR="002D0A16">
        <w:t xml:space="preserve"> </w:t>
      </w:r>
      <w:r w:rsidR="00B25128" w:rsidRPr="00564306">
        <w:t xml:space="preserve">the examples </w:t>
      </w:r>
      <w:r w:rsidR="002D0A16">
        <w:t xml:space="preserve">go further than Brownlee suggests to illustrate </w:t>
      </w:r>
      <w:r w:rsidR="00B25128" w:rsidRPr="00564306">
        <w:t xml:space="preserve">the </w:t>
      </w:r>
      <w:r w:rsidR="002D0A16">
        <w:t>complexity</w:t>
      </w:r>
      <w:r w:rsidR="004B1E8C">
        <w:t>, and importance to us, of the</w:t>
      </w:r>
      <w:r w:rsidR="00B25128" w:rsidRPr="00564306">
        <w:t xml:space="preserve"> </w:t>
      </w:r>
      <w:r w:rsidR="00A35101">
        <w:t xml:space="preserve">social </w:t>
      </w:r>
      <w:r w:rsidR="00020595" w:rsidRPr="00564306">
        <w:t>connection</w:t>
      </w:r>
      <w:r w:rsidR="004B1E8C">
        <w:t xml:space="preserve"> that Brownlee </w:t>
      </w:r>
      <w:r w:rsidR="00CC6F56">
        <w:t>calls us to recognise</w:t>
      </w:r>
      <w:r w:rsidR="00A35101">
        <w:t>.</w:t>
      </w:r>
    </w:p>
    <w:p w14:paraId="226BE1DD" w14:textId="77777777" w:rsidR="008A41C8" w:rsidRPr="00564306" w:rsidRDefault="008A41C8" w:rsidP="004137E0">
      <w:pPr>
        <w:spacing w:line="360" w:lineRule="auto"/>
      </w:pPr>
    </w:p>
    <w:p w14:paraId="61E7645D" w14:textId="2601E8BD" w:rsidR="0044765C" w:rsidRDefault="001D0851" w:rsidP="008A41C8">
      <w:pPr>
        <w:tabs>
          <w:tab w:val="left" w:pos="1985"/>
        </w:tabs>
        <w:spacing w:line="360" w:lineRule="auto"/>
      </w:pPr>
      <w:r w:rsidRPr="00564306">
        <w:t xml:space="preserve">It is refreshing and encouraging to read about dependence from an influential liberal philosopher. </w:t>
      </w:r>
      <w:r w:rsidR="009D4813" w:rsidRPr="00564306">
        <w:t xml:space="preserve">Brownlee </w:t>
      </w:r>
      <w:r w:rsidR="008A41C8" w:rsidRPr="00564306">
        <w:t xml:space="preserve">acknowledges </w:t>
      </w:r>
      <w:r w:rsidR="006D297F" w:rsidRPr="00564306">
        <w:t xml:space="preserve">the contribution of </w:t>
      </w:r>
      <w:r w:rsidR="008A41C8" w:rsidRPr="00564306">
        <w:t>feminist care ethics</w:t>
      </w:r>
      <w:r w:rsidR="00AE16CD">
        <w:t xml:space="preserve"> </w:t>
      </w:r>
      <w:r w:rsidR="00CC24B4">
        <w:rPr>
          <w:noProof/>
        </w:rPr>
        <w:t>(2020:</w:t>
      </w:r>
      <w:r w:rsidR="007319A4">
        <w:rPr>
          <w:noProof/>
        </w:rPr>
        <w:t xml:space="preserve"> </w:t>
      </w:r>
      <w:r w:rsidR="00CC24B4">
        <w:rPr>
          <w:noProof/>
        </w:rPr>
        <w:t>14)</w:t>
      </w:r>
      <w:r w:rsidR="00B1709F">
        <w:t xml:space="preserve"> in</w:t>
      </w:r>
      <w:r w:rsidR="008A41C8" w:rsidRPr="00564306">
        <w:t xml:space="preserve"> </w:t>
      </w:r>
      <w:r w:rsidR="006D297F" w:rsidRPr="00564306">
        <w:t>developing</w:t>
      </w:r>
      <w:r w:rsidR="009D4813" w:rsidRPr="00564306">
        <w:t xml:space="preserve"> </w:t>
      </w:r>
      <w:r w:rsidR="008A41C8" w:rsidRPr="00564306">
        <w:t xml:space="preserve">dependence and vulnerability as the most plausible reading of the human subject </w:t>
      </w:r>
      <w:r w:rsidR="00CC24B4">
        <w:rPr>
          <w:noProof/>
        </w:rPr>
        <w:t>(Gilligan 1993; Tronto 1993; Sevenhuijsen 1998; Held 2005; Collins 2015)</w:t>
      </w:r>
      <w:r w:rsidR="008A41C8" w:rsidRPr="00564306">
        <w:t xml:space="preserve">. </w:t>
      </w:r>
      <w:r w:rsidR="002A4F05">
        <w:t xml:space="preserve">While a </w:t>
      </w:r>
      <w:r w:rsidR="002A4F05" w:rsidRPr="00564306">
        <w:t>care or relational ethics route could have been taken to Brownlee</w:t>
      </w:r>
      <w:r w:rsidR="0044765C">
        <w:t>’s</w:t>
      </w:r>
      <w:r w:rsidR="00F7691D">
        <w:t xml:space="preserve"> </w:t>
      </w:r>
      <w:r w:rsidR="002A4F05" w:rsidRPr="00564306">
        <w:t xml:space="preserve">destination, this is not her path. </w:t>
      </w:r>
      <w:r w:rsidR="00C643AB">
        <w:t xml:space="preserve">I am excited to see what </w:t>
      </w:r>
      <w:r w:rsidR="00EE0BBC">
        <w:t xml:space="preserve">will follow from </w:t>
      </w:r>
      <w:r w:rsidR="00C643AB">
        <w:t xml:space="preserve">discussions </w:t>
      </w:r>
      <w:r>
        <w:t xml:space="preserve">of </w:t>
      </w:r>
      <w:r w:rsidR="000D11B2">
        <w:t>Brownlee’s</w:t>
      </w:r>
      <w:r w:rsidR="00C643AB">
        <w:t xml:space="preserve"> </w:t>
      </w:r>
      <w:r>
        <w:t xml:space="preserve">work, since she </w:t>
      </w:r>
      <w:r w:rsidRPr="00564306">
        <w:t xml:space="preserve">provides </w:t>
      </w:r>
      <w:r>
        <w:t xml:space="preserve">further scope to conceptualise </w:t>
      </w:r>
      <w:r w:rsidRPr="00564306">
        <w:t>ourselves as interdependent</w:t>
      </w:r>
      <w:r w:rsidR="00B1709F">
        <w:t xml:space="preserve">. </w:t>
      </w:r>
    </w:p>
    <w:p w14:paraId="4164A4B0" w14:textId="77777777" w:rsidR="0044765C" w:rsidRDefault="0044765C" w:rsidP="008A41C8">
      <w:pPr>
        <w:tabs>
          <w:tab w:val="left" w:pos="1985"/>
        </w:tabs>
        <w:spacing w:line="360" w:lineRule="auto"/>
      </w:pPr>
    </w:p>
    <w:p w14:paraId="137CC038" w14:textId="757130D6" w:rsidR="0061154C" w:rsidRDefault="00B1709F" w:rsidP="008A41C8">
      <w:pPr>
        <w:tabs>
          <w:tab w:val="left" w:pos="1985"/>
        </w:tabs>
        <w:spacing w:line="360" w:lineRule="auto"/>
      </w:pPr>
      <w:r>
        <w:t>The i</w:t>
      </w:r>
      <w:r w:rsidR="00F7691D">
        <w:t>nterdependency</w:t>
      </w:r>
      <w:r w:rsidR="0061154C">
        <w:t xml:space="preserve"> of care and relational perspectives</w:t>
      </w:r>
      <w:r w:rsidR="00F7691D">
        <w:t xml:space="preserve"> </w:t>
      </w:r>
      <w:r w:rsidR="0044765C">
        <w:t xml:space="preserve">illustrates </w:t>
      </w:r>
      <w:r w:rsidR="00F7691D">
        <w:t xml:space="preserve">why </w:t>
      </w:r>
      <w:r w:rsidR="002D238F">
        <w:t>Brownlee’s</w:t>
      </w:r>
      <w:r w:rsidR="00F7691D">
        <w:t xml:space="preserve"> right </w:t>
      </w:r>
      <w:r w:rsidR="00F7691D" w:rsidRPr="007319A4">
        <w:t xml:space="preserve">against social deprivation is </w:t>
      </w:r>
      <w:r w:rsidRPr="007319A4">
        <w:t xml:space="preserve">as </w:t>
      </w:r>
      <w:r w:rsidR="00F7691D" w:rsidRPr="007319A4">
        <w:t>important as she argues</w:t>
      </w:r>
      <w:r w:rsidR="002920C8" w:rsidRPr="007319A4">
        <w:t xml:space="preserve">. </w:t>
      </w:r>
      <w:r w:rsidR="00A95C9E" w:rsidRPr="007319A4">
        <w:t>In sections</w:t>
      </w:r>
      <w:r w:rsidR="00520B8B" w:rsidRPr="007319A4">
        <w:t xml:space="preserve"> </w:t>
      </w:r>
      <w:r w:rsidR="00A22C58" w:rsidRPr="007319A4">
        <w:t>4</w:t>
      </w:r>
      <w:r w:rsidR="00520B8B" w:rsidRPr="007319A4">
        <w:t xml:space="preserve"> and </w:t>
      </w:r>
      <w:r w:rsidR="00A22C58" w:rsidRPr="007319A4">
        <w:t>5</w:t>
      </w:r>
      <w:r w:rsidR="00A95C9E" w:rsidRPr="007319A4">
        <w:t xml:space="preserve"> I suggest a care ethics-like approach might help us put Brownlee’s right into practice</w:t>
      </w:r>
      <w:r w:rsidR="00520B8B" w:rsidRPr="007319A4">
        <w:t>: what may count as connection, and how can we identify duty-bearers and duty-content in practice?</w:t>
      </w:r>
      <w:r w:rsidR="00D95309" w:rsidRPr="007319A4">
        <w:t xml:space="preserve"> </w:t>
      </w:r>
      <w:r w:rsidR="00520B8B" w:rsidRPr="007319A4">
        <w:t xml:space="preserve">Section </w:t>
      </w:r>
      <w:r w:rsidR="00A22C58" w:rsidRPr="007319A4">
        <w:t>6</w:t>
      </w:r>
      <w:r w:rsidR="00520B8B" w:rsidRPr="007319A4">
        <w:t xml:space="preserve"> considers segregation in the prison, care, and the role of connection in desisting from crime.</w:t>
      </w:r>
      <w:r w:rsidR="00520B8B">
        <w:t xml:space="preserve"> </w:t>
      </w:r>
      <w:r w:rsidR="001B72C2">
        <w:t>First</w:t>
      </w:r>
      <w:r w:rsidR="00520B8B">
        <w:t xml:space="preserve">, I </w:t>
      </w:r>
      <w:r w:rsidR="00DB73C5">
        <w:t xml:space="preserve">examine interdependence </w:t>
      </w:r>
      <w:r w:rsidR="00D95309">
        <w:t xml:space="preserve">and the overlaps with care and relational ethics </w:t>
      </w:r>
      <w:r w:rsidR="00DB73C5">
        <w:t xml:space="preserve">in more </w:t>
      </w:r>
      <w:r w:rsidR="00DB73C5">
        <w:lastRenderedPageBreak/>
        <w:t>depth to show how th</w:t>
      </w:r>
      <w:r w:rsidR="00D95309">
        <w:t>ese approaches</w:t>
      </w:r>
      <w:r w:rsidR="00DB73C5">
        <w:t xml:space="preserve"> </w:t>
      </w:r>
      <w:r w:rsidR="00CC6F56">
        <w:t>overlap</w:t>
      </w:r>
      <w:r w:rsidR="00DB73C5">
        <w:t xml:space="preserve"> with Brownlee’s right against social deprivation</w:t>
      </w:r>
      <w:r w:rsidR="00D95309">
        <w:t>, and hence why they might be a relevant source of practical guidance</w:t>
      </w:r>
      <w:r w:rsidR="00DB73C5">
        <w:t xml:space="preserve">. </w:t>
      </w:r>
    </w:p>
    <w:p w14:paraId="3C2B8B5B" w14:textId="56A369C1" w:rsidR="0061154C" w:rsidRDefault="0061154C" w:rsidP="008A41C8">
      <w:pPr>
        <w:tabs>
          <w:tab w:val="left" w:pos="1985"/>
        </w:tabs>
        <w:spacing w:line="360" w:lineRule="auto"/>
      </w:pPr>
    </w:p>
    <w:p w14:paraId="561CF72A" w14:textId="00446B0C" w:rsidR="00520B8B" w:rsidRPr="00A22C58" w:rsidRDefault="0031432E" w:rsidP="00520B8B">
      <w:pPr>
        <w:spacing w:line="360" w:lineRule="auto"/>
        <w:rPr>
          <w:i/>
          <w:iCs/>
        </w:rPr>
      </w:pPr>
      <w:r w:rsidRPr="00A22C58">
        <w:rPr>
          <w:i/>
          <w:iCs/>
        </w:rPr>
        <w:t>3</w:t>
      </w:r>
      <w:r w:rsidR="00A22C58" w:rsidRPr="00A22C58">
        <w:rPr>
          <w:i/>
          <w:iCs/>
        </w:rPr>
        <w:t>.</w:t>
      </w:r>
      <w:r w:rsidR="00520B8B" w:rsidRPr="00A22C58">
        <w:rPr>
          <w:i/>
          <w:iCs/>
        </w:rPr>
        <w:t xml:space="preserve"> Individuals as interdependent. </w:t>
      </w:r>
    </w:p>
    <w:p w14:paraId="34363F1B" w14:textId="22D522A8" w:rsidR="00E05586" w:rsidRDefault="008A41C8" w:rsidP="00A313B7">
      <w:pPr>
        <w:tabs>
          <w:tab w:val="left" w:pos="1985"/>
        </w:tabs>
        <w:spacing w:line="360" w:lineRule="auto"/>
      </w:pPr>
      <w:r w:rsidRPr="00564306">
        <w:t xml:space="preserve">Feminist care ethics focuses on the practices </w:t>
      </w:r>
      <w:r w:rsidR="002A4F05">
        <w:t xml:space="preserve">of </w:t>
      </w:r>
      <w:r w:rsidRPr="00564306">
        <w:t>meeting needs,</w:t>
      </w:r>
      <w:r w:rsidR="002D238F">
        <w:t xml:space="preserve"> and the needs-meeting responsibilities that</w:t>
      </w:r>
      <w:r w:rsidRPr="00564306">
        <w:t xml:space="preserve"> </w:t>
      </w:r>
      <w:r w:rsidR="009D4E0B" w:rsidRPr="00564306">
        <w:t>follow</w:t>
      </w:r>
      <w:r w:rsidR="002D238F">
        <w:t xml:space="preserve"> </w:t>
      </w:r>
      <w:r w:rsidR="009D4E0B" w:rsidRPr="00564306">
        <w:t xml:space="preserve">from </w:t>
      </w:r>
      <w:r w:rsidRPr="00564306">
        <w:t xml:space="preserve">our chosen and unchosen relationships. </w:t>
      </w:r>
      <w:r w:rsidR="009D4E0B" w:rsidRPr="00564306">
        <w:t xml:space="preserve">Hence, </w:t>
      </w:r>
      <w:r w:rsidRPr="00564306">
        <w:t>care ethics is ‘situated’</w:t>
      </w:r>
      <w:r w:rsidR="002D238F">
        <w:t>:</w:t>
      </w:r>
      <w:r w:rsidRPr="00564306">
        <w:t xml:space="preserve"> informed by the </w:t>
      </w:r>
      <w:r w:rsidR="009D4E0B" w:rsidRPr="00564306">
        <w:t xml:space="preserve">personal, social and practical </w:t>
      </w:r>
      <w:r w:rsidRPr="00564306">
        <w:t xml:space="preserve">context in which needs must be met. </w:t>
      </w:r>
      <w:r w:rsidR="00FF68C6" w:rsidRPr="00564306">
        <w:t>Caring aims to meet needs, build capabilities or avoid unwanted harms</w:t>
      </w:r>
      <w:r w:rsidR="00565AC7">
        <w:t xml:space="preserve"> </w:t>
      </w:r>
      <w:r w:rsidR="00CC24B4" w:rsidRPr="00CC24B4">
        <w:rPr>
          <w:rFonts w:ascii="Calibri" w:cs="Calibri"/>
        </w:rPr>
        <w:t>(Engster 2007:</w:t>
      </w:r>
      <w:r w:rsidR="007319A4">
        <w:rPr>
          <w:rFonts w:ascii="Calibri" w:cs="Calibri"/>
        </w:rPr>
        <w:t xml:space="preserve"> </w:t>
      </w:r>
      <w:r w:rsidR="00CC24B4" w:rsidRPr="00CC24B4">
        <w:rPr>
          <w:rFonts w:ascii="Calibri" w:cs="Calibri"/>
        </w:rPr>
        <w:t>75–76)</w:t>
      </w:r>
      <w:r w:rsidR="00FF68C6" w:rsidRPr="00564306">
        <w:t>, guided by values of attentiveness, responsibility, competence</w:t>
      </w:r>
      <w:r w:rsidR="008A255F">
        <w:t>,</w:t>
      </w:r>
      <w:r w:rsidR="00FF68C6" w:rsidRPr="00564306">
        <w:t xml:space="preserve"> and responsiveness </w:t>
      </w:r>
      <w:r w:rsidR="00CC24B4" w:rsidRPr="00CC24B4">
        <w:rPr>
          <w:rFonts w:ascii="Calibri" w:cs="Calibri"/>
        </w:rPr>
        <w:t>(Tronto 1993:</w:t>
      </w:r>
      <w:r w:rsidR="007319A4">
        <w:rPr>
          <w:rFonts w:ascii="Calibri" w:cs="Calibri"/>
        </w:rPr>
        <w:t xml:space="preserve"> </w:t>
      </w:r>
      <w:r w:rsidR="00CC24B4" w:rsidRPr="00CC24B4">
        <w:rPr>
          <w:rFonts w:ascii="Calibri" w:cs="Calibri"/>
        </w:rPr>
        <w:t>127–37)</w:t>
      </w:r>
      <w:r w:rsidR="00FF68C6" w:rsidRPr="00564306">
        <w:t xml:space="preserve">. </w:t>
      </w:r>
      <w:r w:rsidR="00A313B7" w:rsidRPr="00564306">
        <w:t xml:space="preserve">Caring practice consists of noticing needs, </w:t>
      </w:r>
      <w:r w:rsidR="003975EE">
        <w:t xml:space="preserve">making provisions </w:t>
      </w:r>
      <w:r w:rsidR="00A313B7" w:rsidRPr="00564306">
        <w:t>for needs</w:t>
      </w:r>
      <w:r w:rsidR="003975EE">
        <w:t>-meeting</w:t>
      </w:r>
      <w:r w:rsidR="00A313B7" w:rsidRPr="00564306">
        <w:t xml:space="preserve">, </w:t>
      </w:r>
      <w:r w:rsidR="003975EE">
        <w:t xml:space="preserve">giving </w:t>
      </w:r>
      <w:r w:rsidR="00A313B7" w:rsidRPr="00564306">
        <w:t xml:space="preserve">care, and receiving the responses of the person cared for </w:t>
      </w:r>
      <w:r w:rsidR="00CC24B4" w:rsidRPr="00CC24B4">
        <w:rPr>
          <w:rFonts w:ascii="Calibri" w:cs="Calibri"/>
        </w:rPr>
        <w:t>(1993:</w:t>
      </w:r>
      <w:r w:rsidR="007319A4">
        <w:rPr>
          <w:rFonts w:ascii="Calibri" w:cs="Calibri"/>
        </w:rPr>
        <w:t xml:space="preserve"> </w:t>
      </w:r>
      <w:r w:rsidR="00CC24B4" w:rsidRPr="00CC24B4">
        <w:rPr>
          <w:rFonts w:ascii="Calibri" w:cs="Calibri"/>
        </w:rPr>
        <w:t>105–7)</w:t>
      </w:r>
      <w:r w:rsidR="00FF68C6" w:rsidRPr="00564306">
        <w:t xml:space="preserve"> in a responsive, respectful and engaged manner </w:t>
      </w:r>
      <w:r w:rsidR="00CC24B4" w:rsidRPr="00CC24B4">
        <w:rPr>
          <w:rFonts w:ascii="Calibri" w:cs="Calibri"/>
        </w:rPr>
        <w:t>(Engster 2007:</w:t>
      </w:r>
      <w:r w:rsidR="007319A4">
        <w:rPr>
          <w:rFonts w:ascii="Calibri" w:cs="Calibri"/>
        </w:rPr>
        <w:t xml:space="preserve"> </w:t>
      </w:r>
      <w:r w:rsidR="00CC24B4" w:rsidRPr="00CC24B4">
        <w:rPr>
          <w:rFonts w:ascii="Calibri" w:cs="Calibri"/>
        </w:rPr>
        <w:t>37; Kittay 2002:</w:t>
      </w:r>
      <w:r w:rsidR="007319A4">
        <w:rPr>
          <w:rFonts w:ascii="Calibri" w:cs="Calibri"/>
        </w:rPr>
        <w:t xml:space="preserve"> </w:t>
      </w:r>
      <w:r w:rsidR="00CC24B4" w:rsidRPr="00CC24B4">
        <w:rPr>
          <w:rFonts w:ascii="Calibri" w:cs="Calibri"/>
        </w:rPr>
        <w:t>259–60)</w:t>
      </w:r>
      <w:r w:rsidR="00FF68C6" w:rsidRPr="00564306">
        <w:t xml:space="preserve">. </w:t>
      </w:r>
    </w:p>
    <w:p w14:paraId="79FD6C8A" w14:textId="77777777" w:rsidR="00E05586" w:rsidRDefault="00E05586" w:rsidP="00A313B7">
      <w:pPr>
        <w:tabs>
          <w:tab w:val="left" w:pos="1985"/>
        </w:tabs>
        <w:spacing w:line="360" w:lineRule="auto"/>
      </w:pPr>
    </w:p>
    <w:p w14:paraId="5D85B6AE" w14:textId="4B98FAF1" w:rsidR="00E87221" w:rsidRDefault="00AE16CD" w:rsidP="00D624AC">
      <w:pPr>
        <w:tabs>
          <w:tab w:val="left" w:pos="1985"/>
        </w:tabs>
        <w:spacing w:line="360" w:lineRule="auto"/>
      </w:pPr>
      <w:r>
        <w:t>Focusing on the</w:t>
      </w:r>
      <w:r w:rsidR="00A13D95">
        <w:t xml:space="preserve"> need for</w:t>
      </w:r>
      <w:r>
        <w:t xml:space="preserve"> giving </w:t>
      </w:r>
      <w:r w:rsidRPr="00EE0BBC">
        <w:rPr>
          <w:i/>
          <w:iCs/>
        </w:rPr>
        <w:t>and receiving</w:t>
      </w:r>
      <w:r>
        <w:t xml:space="preserve"> </w:t>
      </w:r>
      <w:r w:rsidRPr="00564306">
        <w:t>social connection</w:t>
      </w:r>
      <w:r>
        <w:t>, Brownlee argues that the</w:t>
      </w:r>
      <w:r w:rsidRPr="00564306">
        <w:t xml:space="preserve"> needs of </w:t>
      </w:r>
      <w:r w:rsidR="002D238F">
        <w:t xml:space="preserve">vulnerable </w:t>
      </w:r>
      <w:r w:rsidRPr="00564306">
        <w:t xml:space="preserve">others </w:t>
      </w:r>
      <w:r>
        <w:t>may</w:t>
      </w:r>
      <w:r w:rsidRPr="00564306">
        <w:t xml:space="preserve"> circumscribe our freedoms of association. </w:t>
      </w:r>
      <w:r w:rsidR="007437F7" w:rsidRPr="00564306">
        <w:t>The dependent self Brownlee identifies is distinct from mainstream liberal expectations of the independent, autonomous, self-sufficient individual</w:t>
      </w:r>
      <w:r w:rsidR="00565AC7">
        <w:t xml:space="preserve"> </w:t>
      </w:r>
      <w:r w:rsidR="00CC24B4" w:rsidRPr="00CC24B4">
        <w:rPr>
          <w:rFonts w:ascii="Calibri" w:cs="Calibri"/>
        </w:rPr>
        <w:t>(Code 1991:</w:t>
      </w:r>
      <w:r w:rsidR="007319A4">
        <w:rPr>
          <w:rFonts w:ascii="Calibri" w:cs="Calibri"/>
        </w:rPr>
        <w:t xml:space="preserve"> </w:t>
      </w:r>
      <w:r w:rsidR="00CC24B4" w:rsidRPr="00CC24B4">
        <w:rPr>
          <w:rFonts w:ascii="Calibri" w:cs="Calibri"/>
        </w:rPr>
        <w:t>77–78)</w:t>
      </w:r>
      <w:r w:rsidR="007437F7" w:rsidRPr="00564306">
        <w:t xml:space="preserve">, </w:t>
      </w:r>
      <w:r w:rsidR="007437F7" w:rsidRPr="00564306">
        <w:rPr>
          <w:i/>
          <w:iCs/>
        </w:rPr>
        <w:t>who never really existed</w:t>
      </w:r>
      <w:r w:rsidR="007437F7" w:rsidRPr="00564306">
        <w:t xml:space="preserve"> (since there was always someone else washing his (usually) socks, making his lunch, and raising his children in the background). Brownlee critiques this fictional individual, since ‘we cannot flourish … without one another’</w:t>
      </w:r>
      <w:r w:rsidR="00A13D95">
        <w:t xml:space="preserve"> </w:t>
      </w:r>
      <w:r w:rsidR="00CC24B4">
        <w:rPr>
          <w:noProof/>
        </w:rPr>
        <w:t>(Brownlee 2016d)</w:t>
      </w:r>
      <w:r w:rsidR="007437F7" w:rsidRPr="00564306">
        <w:t xml:space="preserve">. </w:t>
      </w:r>
      <w:r w:rsidR="00E05586" w:rsidRPr="00564306">
        <w:t xml:space="preserve">When we recognise ourselves as interdependent and our wellbeing as connected, </w:t>
      </w:r>
      <w:r w:rsidR="00E05586">
        <w:t xml:space="preserve">we flourish together or not at all. </w:t>
      </w:r>
      <w:r w:rsidR="007437F7" w:rsidRPr="00564306">
        <w:t xml:space="preserve">Relational ethics </w:t>
      </w:r>
      <w:r w:rsidR="00AE50D0">
        <w:t xml:space="preserve">is </w:t>
      </w:r>
      <w:r w:rsidR="007437F7" w:rsidRPr="00564306">
        <w:t xml:space="preserve">rooted in care ethics, but prioritises </w:t>
      </w:r>
      <w:r w:rsidR="007437F7" w:rsidRPr="000D6D7B">
        <w:t xml:space="preserve">connection rather than needs-meeting practices </w:t>
      </w:r>
      <w:r w:rsidR="00CC24B4">
        <w:rPr>
          <w:noProof/>
        </w:rPr>
        <w:t>(Koggel 1998; Llewellyn and Downie 2012; Sherwin 2012)</w:t>
      </w:r>
      <w:r w:rsidR="007437F7" w:rsidRPr="000D6D7B">
        <w:t>.</w:t>
      </w:r>
      <w:r w:rsidR="007437F7" w:rsidRPr="00564306">
        <w:t xml:space="preserve"> </w:t>
      </w:r>
      <w:r w:rsidR="007F75B4">
        <w:t>While</w:t>
      </w:r>
      <w:r w:rsidR="007F75B4" w:rsidRPr="00564306">
        <w:t xml:space="preserve"> the central insight of classical liberalism as the treatment of each person with equal concern and respect </w:t>
      </w:r>
      <w:r w:rsidR="00CC24B4">
        <w:rPr>
          <w:noProof/>
        </w:rPr>
        <w:t>(Koggel 1998:</w:t>
      </w:r>
      <w:r w:rsidR="007319A4">
        <w:rPr>
          <w:noProof/>
        </w:rPr>
        <w:t xml:space="preserve"> </w:t>
      </w:r>
      <w:r w:rsidR="00CC24B4">
        <w:rPr>
          <w:noProof/>
        </w:rPr>
        <w:t>46)</w:t>
      </w:r>
      <w:r w:rsidR="007F75B4">
        <w:t xml:space="preserve">, </w:t>
      </w:r>
      <w:r w:rsidR="007F75B4" w:rsidRPr="00564306">
        <w:t xml:space="preserve">mainstream liberalism </w:t>
      </w:r>
      <w:r w:rsidR="007F75B4">
        <w:t>r</w:t>
      </w:r>
      <w:r w:rsidR="007F75B4" w:rsidRPr="00564306">
        <w:t>ecognise</w:t>
      </w:r>
      <w:r w:rsidR="007F75B4">
        <w:t>s</w:t>
      </w:r>
      <w:r w:rsidR="007F75B4" w:rsidRPr="00564306">
        <w:t xml:space="preserve"> relationships as </w:t>
      </w:r>
      <w:r w:rsidR="007F75B4">
        <w:t xml:space="preserve">important for individuals, but not </w:t>
      </w:r>
      <w:r w:rsidR="007F75B4" w:rsidRPr="00564306">
        <w:t xml:space="preserve">central to understanding what it is to treat another with equal concern and respect </w:t>
      </w:r>
      <w:r w:rsidR="00CC24B4">
        <w:rPr>
          <w:noProof/>
        </w:rPr>
        <w:t>(Koggel 1998:</w:t>
      </w:r>
      <w:r w:rsidR="007319A4">
        <w:rPr>
          <w:noProof/>
        </w:rPr>
        <w:t xml:space="preserve"> </w:t>
      </w:r>
      <w:r w:rsidR="00CC24B4">
        <w:rPr>
          <w:noProof/>
        </w:rPr>
        <w:t>128)</w:t>
      </w:r>
      <w:r w:rsidR="007F75B4">
        <w:t>. Meanwhile,</w:t>
      </w:r>
      <w:r w:rsidR="00565AC7">
        <w:t xml:space="preserve"> </w:t>
      </w:r>
      <w:r w:rsidR="007F75B4">
        <w:t xml:space="preserve">a </w:t>
      </w:r>
      <w:r w:rsidR="007F75B4" w:rsidRPr="00564306">
        <w:t xml:space="preserve">relational reading of concern and respect demands recognition of our connection and interdependence in order to understand what equal concern and respect means in a particular context </w:t>
      </w:r>
      <w:r w:rsidR="00CC24B4">
        <w:rPr>
          <w:noProof/>
        </w:rPr>
        <w:t>(Llewellyn 2012)</w:t>
      </w:r>
      <w:r w:rsidR="007F75B4" w:rsidRPr="00564306">
        <w:t xml:space="preserve">. </w:t>
      </w:r>
      <w:r w:rsidR="002920C8">
        <w:t xml:space="preserve">When we understand ourselves as </w:t>
      </w:r>
      <w:r w:rsidR="002920C8" w:rsidRPr="00564306">
        <w:t>interdependent, vulnerable selves</w:t>
      </w:r>
      <w:r w:rsidR="002920C8">
        <w:t xml:space="preserve"> in connection, supporting each other</w:t>
      </w:r>
      <w:r w:rsidR="002920C8" w:rsidRPr="00564306">
        <w:t xml:space="preserve"> is a normal part of life</w:t>
      </w:r>
      <w:r w:rsidR="00BF5504">
        <w:t>, and o</w:t>
      </w:r>
      <w:r w:rsidR="008E589F">
        <w:t xml:space="preserve">ther’s needs as occasional limits to our choices become more readily intelligible. </w:t>
      </w:r>
    </w:p>
    <w:p w14:paraId="30A36D69" w14:textId="77777777" w:rsidR="00E87221" w:rsidRDefault="00E87221" w:rsidP="00D624AC">
      <w:pPr>
        <w:tabs>
          <w:tab w:val="left" w:pos="1985"/>
        </w:tabs>
        <w:spacing w:line="360" w:lineRule="auto"/>
      </w:pPr>
    </w:p>
    <w:p w14:paraId="3A75C60B" w14:textId="1A3B7F55" w:rsidR="00E05586" w:rsidRPr="00564306" w:rsidRDefault="003F6C56" w:rsidP="00D624AC">
      <w:pPr>
        <w:tabs>
          <w:tab w:val="left" w:pos="1985"/>
        </w:tabs>
        <w:spacing w:line="360" w:lineRule="auto"/>
      </w:pPr>
      <w:r>
        <w:t>To be sure of each other</w:t>
      </w:r>
      <w:r w:rsidR="000F71B2">
        <w:t>, to give and receive social goods,</w:t>
      </w:r>
      <w:r>
        <w:t xml:space="preserve"> as Brownlee </w:t>
      </w:r>
      <w:r w:rsidR="000A539D">
        <w:t>spotlights as an essential human need in her book</w:t>
      </w:r>
      <w:r>
        <w:t xml:space="preserve">, is </w:t>
      </w:r>
      <w:r w:rsidR="000A539D">
        <w:t xml:space="preserve">to </w:t>
      </w:r>
      <w:r w:rsidR="007F75B4">
        <w:t>recognise</w:t>
      </w:r>
      <w:r w:rsidR="000A539D">
        <w:t xml:space="preserve"> our</w:t>
      </w:r>
      <w:r w:rsidR="007F75B4">
        <w:t xml:space="preserve"> connection </w:t>
      </w:r>
      <w:r w:rsidR="000A539D">
        <w:t>to others and a broader group of which we are part. Th</w:t>
      </w:r>
      <w:r w:rsidR="00E87221">
        <w:t>at</w:t>
      </w:r>
      <w:r w:rsidR="000A539D">
        <w:t xml:space="preserve"> group might come in various </w:t>
      </w:r>
      <w:r w:rsidR="008E589F">
        <w:t>size</w:t>
      </w:r>
      <w:r w:rsidR="00E87221">
        <w:t>s</w:t>
      </w:r>
      <w:r w:rsidR="008E589F">
        <w:t xml:space="preserve"> with different salient </w:t>
      </w:r>
      <w:r w:rsidR="00F0657A">
        <w:t>connecting</w:t>
      </w:r>
      <w:r w:rsidR="008E589F">
        <w:t xml:space="preserve"> factors</w:t>
      </w:r>
      <w:r w:rsidR="000A539D">
        <w:t>: family</w:t>
      </w:r>
      <w:r w:rsidR="008E589F">
        <w:t xml:space="preserve"> members</w:t>
      </w:r>
      <w:r w:rsidR="000A539D">
        <w:t>, neighbourhood</w:t>
      </w:r>
      <w:r w:rsidR="008E589F">
        <w:t xml:space="preserve"> residents</w:t>
      </w:r>
      <w:r w:rsidR="000A539D">
        <w:t>, university</w:t>
      </w:r>
      <w:r w:rsidR="008E589F">
        <w:t xml:space="preserve"> communities</w:t>
      </w:r>
      <w:r w:rsidR="000A539D">
        <w:t xml:space="preserve">, </w:t>
      </w:r>
      <w:r w:rsidR="008E589F">
        <w:t xml:space="preserve">fellow citizens, fellow book-lovers, </w:t>
      </w:r>
      <w:r w:rsidR="000A539D">
        <w:t xml:space="preserve">international religious fellowship, </w:t>
      </w:r>
      <w:r w:rsidR="008E589F">
        <w:t xml:space="preserve">membership of a </w:t>
      </w:r>
      <w:r w:rsidR="000A539D">
        <w:t>nation in diaspora,</w:t>
      </w:r>
      <w:r w:rsidR="008E589F">
        <w:t xml:space="preserve"> right up to the</w:t>
      </w:r>
      <w:r w:rsidR="000A539D">
        <w:t xml:space="preserve"> global human family.</w:t>
      </w:r>
      <w:r w:rsidR="00E87221">
        <w:t xml:space="preserve"> Following Brownlee we flourish together.</w:t>
      </w:r>
      <w:r w:rsidR="000A539D">
        <w:t xml:space="preserve"> To be sure of each other, then, </w:t>
      </w:r>
      <w:r w:rsidR="007F75B4" w:rsidRPr="00564306">
        <w:t>is</w:t>
      </w:r>
      <w:r w:rsidR="007F75B4">
        <w:t xml:space="preserve"> </w:t>
      </w:r>
      <w:r w:rsidR="000F71B2">
        <w:t xml:space="preserve">also </w:t>
      </w:r>
      <w:r w:rsidR="00E87221">
        <w:t xml:space="preserve">to be </w:t>
      </w:r>
      <w:r w:rsidR="007F75B4" w:rsidRPr="00564306">
        <w:t xml:space="preserve">sure of </w:t>
      </w:r>
      <w:r w:rsidR="00C81D8E">
        <w:t>one another’s</w:t>
      </w:r>
      <w:r w:rsidR="00E87221">
        <w:t xml:space="preserve"> inclusion in an ‘us’, and part of being sure of </w:t>
      </w:r>
      <w:r w:rsidR="007F75B4" w:rsidRPr="00564306">
        <w:t>ourselves</w:t>
      </w:r>
      <w:r>
        <w:t>.</w:t>
      </w:r>
    </w:p>
    <w:p w14:paraId="617DDA2C" w14:textId="77777777" w:rsidR="0023101F" w:rsidRPr="00564306" w:rsidRDefault="0023101F" w:rsidP="00D624AC">
      <w:pPr>
        <w:tabs>
          <w:tab w:val="left" w:pos="1985"/>
        </w:tabs>
        <w:spacing w:line="360" w:lineRule="auto"/>
      </w:pPr>
    </w:p>
    <w:p w14:paraId="12830CF2" w14:textId="67CD40A9" w:rsidR="001A33E4" w:rsidRPr="00564306" w:rsidRDefault="000207CF" w:rsidP="001A33E4">
      <w:pPr>
        <w:tabs>
          <w:tab w:val="left" w:pos="1985"/>
        </w:tabs>
        <w:spacing w:line="360" w:lineRule="auto"/>
      </w:pPr>
      <w:r w:rsidRPr="00564306">
        <w:t xml:space="preserve">Brownlee </w:t>
      </w:r>
      <w:r w:rsidR="003C578C" w:rsidRPr="00564306">
        <w:t xml:space="preserve">offers four types of arguments for the moral urgency of </w:t>
      </w:r>
      <w:r w:rsidR="00D84093" w:rsidRPr="00564306">
        <w:t xml:space="preserve">social connection </w:t>
      </w:r>
      <w:r w:rsidR="003C578C" w:rsidRPr="00564306">
        <w:t>need</w:t>
      </w:r>
      <w:r w:rsidR="00D84093" w:rsidRPr="00564306">
        <w:t>s</w:t>
      </w:r>
      <w:r w:rsidR="003C578C" w:rsidRPr="00564306">
        <w:t>: empirical arguments (the role of connection in the socialisation and development of children); phenomenological arguments (our subjective, first-person comprehension of the world comes from our socialisation and our shared experiences of the world); respect-based arguments (following a Kantian duty to respect others as reasoning, feeling agents and as ends in themselves); and general arguments (</w:t>
      </w:r>
      <w:r w:rsidR="009C59D2" w:rsidRPr="00564306">
        <w:t>Aristotelian</w:t>
      </w:r>
      <w:r w:rsidR="003C578C" w:rsidRPr="00564306">
        <w:t xml:space="preserve"> friendship, Rawlsian self-respect, Buddhist cultivation of loving-kindness and compassion, and other non-Western perspectives). </w:t>
      </w:r>
      <w:r w:rsidR="002B0C33">
        <w:t>For Brownlee’s purposes, t</w:t>
      </w:r>
      <w:r w:rsidR="003C578C" w:rsidRPr="00564306">
        <w:t>hese</w:t>
      </w:r>
      <w:r w:rsidR="002B0C33">
        <w:t xml:space="preserve"> arguments show the importance of connection across many cultures, and applicability to several existing theoretical paradigms.</w:t>
      </w:r>
      <w:r w:rsidR="003C578C" w:rsidRPr="00564306">
        <w:t xml:space="preserve"> </w:t>
      </w:r>
      <w:r w:rsidR="002B0C33">
        <w:t>These approach</w:t>
      </w:r>
      <w:r w:rsidR="00AA2ABC">
        <w:t>es</w:t>
      </w:r>
      <w:r w:rsidR="002B0C33">
        <w:t xml:space="preserve"> </w:t>
      </w:r>
      <w:r w:rsidR="00AA2ABC">
        <w:t xml:space="preserve">further </w:t>
      </w:r>
      <w:r w:rsidR="0047583C">
        <w:t xml:space="preserve">overlaps </w:t>
      </w:r>
      <w:r w:rsidR="003C578C" w:rsidRPr="00564306">
        <w:t>with care ethics</w:t>
      </w:r>
      <w:r w:rsidR="002B0C33">
        <w:t xml:space="preserve">, showing how this perspective might also contribute to </w:t>
      </w:r>
      <w:r w:rsidR="00AA2ABC">
        <w:t>recognising</w:t>
      </w:r>
      <w:r w:rsidR="002B0C33">
        <w:t xml:space="preserve"> the importance of, and realising,</w:t>
      </w:r>
      <w:r w:rsidR="00BF5504">
        <w:t xml:space="preserve"> Brownlee’s</w:t>
      </w:r>
      <w:r w:rsidR="002B0C33">
        <w:t xml:space="preserve"> social connection</w:t>
      </w:r>
      <w:r w:rsidR="00BF5504">
        <w:t xml:space="preserve"> rights</w:t>
      </w:r>
      <w:r w:rsidR="003C578C" w:rsidRPr="00564306">
        <w:t xml:space="preserve">. </w:t>
      </w:r>
      <w:r w:rsidR="00945A1C" w:rsidRPr="00564306">
        <w:t>Her empirical and phenomenological arguments meet: c</w:t>
      </w:r>
      <w:r w:rsidR="003C578C" w:rsidRPr="00564306">
        <w:t xml:space="preserve">aring begins ‘at home’ </w:t>
      </w:r>
      <w:r w:rsidR="00CC24B4">
        <w:rPr>
          <w:noProof/>
        </w:rPr>
        <w:t>(Noddings 2002)</w:t>
      </w:r>
      <w:r w:rsidR="003C578C" w:rsidRPr="00564306">
        <w:t xml:space="preserve">, and expects interdependence and connection in our first unchosen relationships with our parents. </w:t>
      </w:r>
      <w:r w:rsidR="00636E13" w:rsidRPr="00564306">
        <w:t>Even</w:t>
      </w:r>
      <w:r w:rsidR="005A7D9D" w:rsidRPr="00564306">
        <w:t xml:space="preserve"> </w:t>
      </w:r>
      <w:r w:rsidR="005055EC">
        <w:t>very young children</w:t>
      </w:r>
      <w:r w:rsidR="00636E13" w:rsidRPr="00564306">
        <w:t xml:space="preserve"> attempt to </w:t>
      </w:r>
      <w:r w:rsidR="00501660" w:rsidRPr="00564306">
        <w:t xml:space="preserve">provide care </w:t>
      </w:r>
      <w:r w:rsidR="00636E13" w:rsidRPr="00564306">
        <w:t xml:space="preserve">to their caregivers </w:t>
      </w:r>
      <w:r w:rsidR="00CC24B4">
        <w:rPr>
          <w:noProof/>
        </w:rPr>
        <w:t>(Hollway 2006:</w:t>
      </w:r>
      <w:r w:rsidR="00C46176">
        <w:rPr>
          <w:noProof/>
        </w:rPr>
        <w:t xml:space="preserve"> </w:t>
      </w:r>
      <w:r w:rsidR="00CC24B4">
        <w:rPr>
          <w:noProof/>
        </w:rPr>
        <w:t>43, 60)</w:t>
      </w:r>
      <w:r w:rsidR="00636E13" w:rsidRPr="00564306">
        <w:t xml:space="preserve">. Appreciating relational connection and interdependency </w:t>
      </w:r>
      <w:r w:rsidR="003C578C" w:rsidRPr="00564306">
        <w:t xml:space="preserve">inform </w:t>
      </w:r>
      <w:r w:rsidR="00636E13" w:rsidRPr="00564306">
        <w:t>what constitutes respectful, dignified treatment</w:t>
      </w:r>
      <w:r w:rsidR="00AD7596">
        <w:t xml:space="preserve"> </w:t>
      </w:r>
      <w:r w:rsidR="00CC24B4">
        <w:rPr>
          <w:noProof/>
        </w:rPr>
        <w:t>(Koggel 1998:</w:t>
      </w:r>
      <w:r w:rsidR="00C46176">
        <w:rPr>
          <w:noProof/>
        </w:rPr>
        <w:t xml:space="preserve"> </w:t>
      </w:r>
      <w:r w:rsidR="00CC24B4">
        <w:rPr>
          <w:noProof/>
        </w:rPr>
        <w:t>128; Llewellyn 2012)</w:t>
      </w:r>
      <w:r w:rsidR="00636E13" w:rsidRPr="00564306">
        <w:t xml:space="preserve">. The interdependence of care ethics </w:t>
      </w:r>
      <w:r w:rsidR="00C643AB">
        <w:t xml:space="preserve">also </w:t>
      </w:r>
      <w:r w:rsidR="00501660" w:rsidRPr="00564306">
        <w:t>chimes</w:t>
      </w:r>
      <w:r w:rsidR="00636E13" w:rsidRPr="00564306">
        <w:t xml:space="preserve"> with several non-western perspectives, including Buddhism </w:t>
      </w:r>
      <w:r w:rsidR="00CC24B4">
        <w:rPr>
          <w:noProof/>
        </w:rPr>
        <w:t>(White 1999)</w:t>
      </w:r>
      <w:r w:rsidR="00636E13" w:rsidRPr="00564306">
        <w:t xml:space="preserve">, Confucianism </w:t>
      </w:r>
      <w:r w:rsidR="00CC24B4">
        <w:rPr>
          <w:noProof/>
        </w:rPr>
        <w:t>(Li 2002; Sander-Staudt 2015)</w:t>
      </w:r>
      <w:r w:rsidR="00636E13" w:rsidRPr="00564306">
        <w:t xml:space="preserve"> and Ubuntu </w:t>
      </w:r>
      <w:r w:rsidR="00CC24B4">
        <w:rPr>
          <w:noProof/>
        </w:rPr>
        <w:t>(Gouws and van Zyl 2015)</w:t>
      </w:r>
      <w:r w:rsidR="00636E13" w:rsidRPr="00564306">
        <w:t xml:space="preserve">. But this is perhaps not surprising: </w:t>
      </w:r>
      <w:r w:rsidR="00945A1C" w:rsidRPr="00564306">
        <w:t xml:space="preserve">most caring </w:t>
      </w:r>
      <w:r w:rsidR="00636E13" w:rsidRPr="00564306">
        <w:t xml:space="preserve">requires </w:t>
      </w:r>
      <w:r w:rsidR="0047583C">
        <w:t xml:space="preserve">Brownlee’s social connection. Brownlee further identifies that many of our basic rights can only be realised through social connection, to which I now turn. </w:t>
      </w:r>
    </w:p>
    <w:p w14:paraId="1F12667F" w14:textId="5DAFB4C3" w:rsidR="00DB6AED" w:rsidRPr="00564306" w:rsidRDefault="00DB6AED" w:rsidP="00636E13">
      <w:pPr>
        <w:tabs>
          <w:tab w:val="left" w:pos="1985"/>
        </w:tabs>
        <w:spacing w:line="360" w:lineRule="auto"/>
      </w:pPr>
    </w:p>
    <w:p w14:paraId="28996AEB" w14:textId="19197258" w:rsidR="00037AFC" w:rsidRPr="00A22C58" w:rsidRDefault="0031432E" w:rsidP="00037AFC">
      <w:pPr>
        <w:tabs>
          <w:tab w:val="left" w:pos="1985"/>
        </w:tabs>
        <w:spacing w:line="360" w:lineRule="auto"/>
        <w:rPr>
          <w:i/>
          <w:iCs/>
        </w:rPr>
      </w:pPr>
      <w:r w:rsidRPr="00A22C58">
        <w:rPr>
          <w:i/>
          <w:iCs/>
        </w:rPr>
        <w:lastRenderedPageBreak/>
        <w:t>4</w:t>
      </w:r>
      <w:r w:rsidR="00A22C58" w:rsidRPr="00A22C58">
        <w:rPr>
          <w:i/>
          <w:iCs/>
        </w:rPr>
        <w:t>.</w:t>
      </w:r>
      <w:r w:rsidR="00037AFC" w:rsidRPr="00A22C58">
        <w:rPr>
          <w:i/>
          <w:iCs/>
        </w:rPr>
        <w:t xml:space="preserve"> What counts as connection?</w:t>
      </w:r>
    </w:p>
    <w:p w14:paraId="06C06A09" w14:textId="092352E6" w:rsidR="00E678E9" w:rsidRPr="00564306" w:rsidRDefault="00E678E9" w:rsidP="00F0657A">
      <w:pPr>
        <w:autoSpaceDE w:val="0"/>
        <w:autoSpaceDN w:val="0"/>
        <w:adjustRightInd w:val="0"/>
        <w:spacing w:line="360" w:lineRule="auto"/>
      </w:pPr>
      <w:r w:rsidRPr="00564306">
        <w:t>Brownlee</w:t>
      </w:r>
      <w:r w:rsidR="00037AFC" w:rsidRPr="00564306">
        <w:t xml:space="preserve"> frames social connection as a </w:t>
      </w:r>
      <w:r w:rsidRPr="00564306">
        <w:t>secure</w:t>
      </w:r>
      <w:r w:rsidR="00037AFC" w:rsidRPr="00564306">
        <w:t xml:space="preserve"> claim-right against social deprivation with co</w:t>
      </w:r>
      <w:r w:rsidR="008A255F">
        <w:t>r</w:t>
      </w:r>
      <w:r w:rsidR="00037AFC" w:rsidRPr="00564306">
        <w:t>relative duties, that limit our freedoms of (dis)association</w:t>
      </w:r>
      <w:r w:rsidR="00501660" w:rsidRPr="00564306">
        <w:t xml:space="preserve">: </w:t>
      </w:r>
      <w:r w:rsidRPr="00564306">
        <w:t xml:space="preserve">parents may not permissibly use their freedom of association to deny connection to their own young child, ignoring the child’s bids for, and attempts to provide, social connection </w:t>
      </w:r>
      <w:r w:rsidR="00CC24B4">
        <w:rPr>
          <w:noProof/>
        </w:rPr>
        <w:t>(2020:</w:t>
      </w:r>
      <w:r w:rsidR="00C46176">
        <w:rPr>
          <w:noProof/>
        </w:rPr>
        <w:t xml:space="preserve"> </w:t>
      </w:r>
      <w:r w:rsidR="00CC24B4">
        <w:rPr>
          <w:noProof/>
        </w:rPr>
        <w:t>136)</w:t>
      </w:r>
      <w:r w:rsidRPr="00564306">
        <w:t xml:space="preserve">. </w:t>
      </w:r>
      <w:r w:rsidR="00501660" w:rsidRPr="00564306">
        <w:t>Further</w:t>
      </w:r>
      <w:r w:rsidR="000D11B2">
        <w:t>more</w:t>
      </w:r>
      <w:r w:rsidR="00501660" w:rsidRPr="00564306">
        <w:t>,</w:t>
      </w:r>
      <w:r w:rsidR="00C66403">
        <w:t xml:space="preserve"> </w:t>
      </w:r>
      <w:r w:rsidR="00F0657A">
        <w:t>she argues that r</w:t>
      </w:r>
      <w:r w:rsidR="00F0657A" w:rsidRPr="00564306">
        <w:t xml:space="preserve">ights against social deprivation cannot depend on ‘good behaviour or standing’ </w:t>
      </w:r>
      <w:r w:rsidR="00CC24B4">
        <w:rPr>
          <w:noProof/>
        </w:rPr>
        <w:t>(2020:</w:t>
      </w:r>
      <w:r w:rsidR="00C46176">
        <w:rPr>
          <w:noProof/>
        </w:rPr>
        <w:t xml:space="preserve"> </w:t>
      </w:r>
      <w:r w:rsidR="00CC24B4">
        <w:rPr>
          <w:noProof/>
        </w:rPr>
        <w:t>59)</w:t>
      </w:r>
      <w:r w:rsidR="00F0657A">
        <w:t xml:space="preserve">, since </w:t>
      </w:r>
      <w:r w:rsidR="00037AFC" w:rsidRPr="00564306">
        <w:t xml:space="preserve">other human rights </w:t>
      </w:r>
      <w:r w:rsidR="00F0657A">
        <w:t xml:space="preserve">presuppose </w:t>
      </w:r>
      <w:r w:rsidR="00037AFC" w:rsidRPr="00564306">
        <w:t xml:space="preserve">connection - ‘civil and political rights, subsistence rights, education rights, healthcare rights’ </w:t>
      </w:r>
      <w:r w:rsidR="00CC24B4">
        <w:rPr>
          <w:noProof/>
        </w:rPr>
        <w:t>(2020:</w:t>
      </w:r>
      <w:r w:rsidR="00C46176">
        <w:rPr>
          <w:noProof/>
        </w:rPr>
        <w:t xml:space="preserve"> </w:t>
      </w:r>
      <w:r w:rsidR="00CC24B4">
        <w:rPr>
          <w:noProof/>
        </w:rPr>
        <w:t>59)</w:t>
      </w:r>
      <w:r w:rsidR="00F0657A">
        <w:t>. There might be circumstances in which one’s political or civil rights are limited, for example, in the case of lawful criminal punishment. Imprisonment truncates liberty, and for at least some prisoners, many states suspend or permanently curtail voting rights. But rights to healthcare are universal</w:t>
      </w:r>
      <w:r w:rsidR="0053490B">
        <w:t xml:space="preserve">: even prisoners </w:t>
      </w:r>
      <w:r w:rsidR="00022907">
        <w:t xml:space="preserve">in the US and in England and Wales </w:t>
      </w:r>
      <w:r w:rsidR="0053490B">
        <w:t>receive healthcare</w:t>
      </w:r>
      <w:r w:rsidR="00F0657A">
        <w:t xml:space="preserve">. If these human rights are to be realised, then we first need to secure social connection for all. </w:t>
      </w:r>
    </w:p>
    <w:p w14:paraId="76D6E1C1" w14:textId="77777777" w:rsidR="00E678E9" w:rsidRPr="00564306" w:rsidRDefault="00E678E9" w:rsidP="00037AFC">
      <w:pPr>
        <w:spacing w:line="360" w:lineRule="auto"/>
      </w:pPr>
    </w:p>
    <w:p w14:paraId="1A40CCFD" w14:textId="59789FC5" w:rsidR="00300254" w:rsidRDefault="00037AFC" w:rsidP="00395341">
      <w:pPr>
        <w:spacing w:line="360" w:lineRule="auto"/>
      </w:pPr>
      <w:r w:rsidRPr="00564306">
        <w:t xml:space="preserve">Brownlee likens the right against social deprivation to </w:t>
      </w:r>
      <w:r w:rsidR="00F87D5C" w:rsidRPr="00564306">
        <w:t>the</w:t>
      </w:r>
      <w:r w:rsidRPr="00564306">
        <w:t xml:space="preserve"> right against hunger</w:t>
      </w:r>
      <w:r w:rsidR="000D11B2">
        <w:t xml:space="preserve">, which </w:t>
      </w:r>
      <w:r w:rsidR="000D11B2" w:rsidRPr="00564306">
        <w:t xml:space="preserve">protects against </w:t>
      </w:r>
      <w:r w:rsidR="000D11B2" w:rsidRPr="00564306">
        <w:rPr>
          <w:i/>
          <w:iCs/>
        </w:rPr>
        <w:t>involuntary</w:t>
      </w:r>
      <w:r w:rsidR="000D11B2" w:rsidRPr="00564306">
        <w:t xml:space="preserve"> hunger and the health problems this produces</w:t>
      </w:r>
      <w:r w:rsidR="000C3AAD">
        <w:t xml:space="preserve">. </w:t>
      </w:r>
      <w:r w:rsidR="00F87D5C" w:rsidRPr="00564306">
        <w:t>S</w:t>
      </w:r>
      <w:r w:rsidRPr="00564306">
        <w:t xml:space="preserve">ome individuals </w:t>
      </w:r>
      <w:r w:rsidRPr="00564306">
        <w:rPr>
          <w:i/>
          <w:iCs/>
        </w:rPr>
        <w:t>choose</w:t>
      </w:r>
      <w:r w:rsidRPr="00564306">
        <w:t xml:space="preserve"> hunger </w:t>
      </w:r>
      <w:r w:rsidR="00630D10" w:rsidRPr="00564306">
        <w:t>as religious observance</w:t>
      </w:r>
      <w:r w:rsidR="000F7548" w:rsidRPr="00564306">
        <w:t>,</w:t>
      </w:r>
      <w:r w:rsidR="00630D10" w:rsidRPr="00564306">
        <w:t xml:space="preserve"> or </w:t>
      </w:r>
      <w:r w:rsidRPr="00564306">
        <w:t>a means of protest</w:t>
      </w:r>
      <w:r w:rsidR="000F7548" w:rsidRPr="00564306">
        <w:t xml:space="preserve"> </w:t>
      </w:r>
      <w:r w:rsidR="00CC24B4">
        <w:rPr>
          <w:noProof/>
        </w:rPr>
        <w:t>(Delmas 2018:</w:t>
      </w:r>
      <w:r w:rsidR="00C46176">
        <w:rPr>
          <w:noProof/>
        </w:rPr>
        <w:t xml:space="preserve"> </w:t>
      </w:r>
      <w:r w:rsidR="00CC24B4">
        <w:rPr>
          <w:noProof/>
        </w:rPr>
        <w:t>38)</w:t>
      </w:r>
      <w:r w:rsidR="00B44A82">
        <w:t xml:space="preserve"> and do not assert their right against hunger</w:t>
      </w:r>
      <w:r w:rsidRPr="00564306">
        <w:t xml:space="preserve">. </w:t>
      </w:r>
      <w:r w:rsidR="00F87D5C" w:rsidRPr="00564306">
        <w:t>T</w:t>
      </w:r>
      <w:r w:rsidR="00630D10" w:rsidRPr="00564306">
        <w:t xml:space="preserve">he </w:t>
      </w:r>
      <w:r w:rsidR="000C3AAD">
        <w:t xml:space="preserve">unchosen </w:t>
      </w:r>
      <w:r w:rsidR="00630D10" w:rsidRPr="00564306">
        <w:t xml:space="preserve">absence of connection </w:t>
      </w:r>
      <w:r w:rsidR="00F87D5C" w:rsidRPr="00564306">
        <w:t xml:space="preserve">similarly </w:t>
      </w:r>
      <w:r w:rsidR="00D42AE0" w:rsidRPr="00564306">
        <w:t>damages our</w:t>
      </w:r>
      <w:r w:rsidR="00630D10" w:rsidRPr="00564306">
        <w:t xml:space="preserve"> wellbeing</w:t>
      </w:r>
      <w:r w:rsidR="009B0E31" w:rsidRPr="00564306">
        <w:t>, and Brownlee’s right against social deprivation</w:t>
      </w:r>
      <w:r w:rsidR="000D4D81">
        <w:t xml:space="preserve"> will help to </w:t>
      </w:r>
      <w:r w:rsidR="009B0E31" w:rsidRPr="00564306">
        <w:t xml:space="preserve">articulate some of the wrongs of </w:t>
      </w:r>
      <w:r w:rsidR="000D11B2">
        <w:t xml:space="preserve">prolonged </w:t>
      </w:r>
      <w:r w:rsidR="009B0E31" w:rsidRPr="00564306">
        <w:t>solitary confinement</w:t>
      </w:r>
      <w:r w:rsidR="00630D10" w:rsidRPr="00564306">
        <w:t xml:space="preserve">. </w:t>
      </w:r>
      <w:r w:rsidR="000D4D81">
        <w:t xml:space="preserve">Brownlee’s </w:t>
      </w:r>
      <w:r w:rsidR="000C3AAD">
        <w:t xml:space="preserve">parallel </w:t>
      </w:r>
      <w:r w:rsidR="000D4D81">
        <w:t>seeks</w:t>
      </w:r>
      <w:r w:rsidR="000C3AAD">
        <w:t xml:space="preserve"> to</w:t>
      </w:r>
      <w:r w:rsidR="00C66403">
        <w:t xml:space="preserve"> take</w:t>
      </w:r>
      <w:r w:rsidR="000C3AAD" w:rsidRPr="00564306">
        <w:t xml:space="preserve"> account of people choosing a solitary life, </w:t>
      </w:r>
      <w:r w:rsidR="000D11B2">
        <w:t xml:space="preserve">to mirror </w:t>
      </w:r>
      <w:r w:rsidR="000C3AAD" w:rsidRPr="00564306">
        <w:t>those who fast.</w:t>
      </w:r>
      <w:r w:rsidR="000C3AAD">
        <w:t xml:space="preserve"> But choosing </w:t>
      </w:r>
      <w:r w:rsidR="005C156F">
        <w:t>to withdraw</w:t>
      </w:r>
      <w:r w:rsidR="000C3AAD">
        <w:t xml:space="preserve"> need not be choosing disconnection, in</w:t>
      </w:r>
      <w:r w:rsidR="005C156F">
        <w:t xml:space="preserve"> the same</w:t>
      </w:r>
      <w:r w:rsidR="000C3AAD">
        <w:t xml:space="preserve"> way that</w:t>
      </w:r>
      <w:r w:rsidR="000D4D81">
        <w:t xml:space="preserve"> refusing food </w:t>
      </w:r>
      <w:r w:rsidR="005C156F">
        <w:t>is to choose hunger</w:t>
      </w:r>
      <w:r w:rsidR="000D6D7B">
        <w:t>, purposefully leaving a need unmet</w:t>
      </w:r>
      <w:r w:rsidR="000C3AAD">
        <w:t xml:space="preserve">. </w:t>
      </w:r>
      <w:r w:rsidR="00E14CEB">
        <w:t xml:space="preserve">For the fasting person or protestor, </w:t>
      </w:r>
      <w:r w:rsidR="00FE1846">
        <w:t xml:space="preserve">temporary </w:t>
      </w:r>
      <w:r w:rsidR="00E14CEB">
        <w:t>hunger</w:t>
      </w:r>
      <w:r w:rsidR="000D4D81">
        <w:t>, the opposite of a met need,</w:t>
      </w:r>
      <w:r w:rsidR="00E14CEB">
        <w:t xml:space="preserve"> has </w:t>
      </w:r>
      <w:r w:rsidR="006074EC">
        <w:t xml:space="preserve">purpose and </w:t>
      </w:r>
      <w:r w:rsidR="00E14CEB">
        <w:t>value.</w:t>
      </w:r>
      <w:r w:rsidR="006074EC">
        <w:t xml:space="preserve"> Turning away need not be rejection. </w:t>
      </w:r>
      <w:r w:rsidR="00E14CEB">
        <w:t xml:space="preserve">For at least some who </w:t>
      </w:r>
      <w:r w:rsidR="00FE1846">
        <w:t xml:space="preserve">permanently </w:t>
      </w:r>
      <w:r w:rsidR="00E14CEB">
        <w:t>withdraw, connection</w:t>
      </w:r>
      <w:r w:rsidR="000D4D81">
        <w:t xml:space="preserve"> may still be important, rather than </w:t>
      </w:r>
      <w:r w:rsidR="00AA2ABC">
        <w:t xml:space="preserve">a </w:t>
      </w:r>
      <w:r w:rsidR="000D4D81">
        <w:t xml:space="preserve">valuing </w:t>
      </w:r>
      <w:r w:rsidR="00AA2ABC">
        <w:t xml:space="preserve">of </w:t>
      </w:r>
      <w:r w:rsidR="000D4D81">
        <w:t>disconnection.</w:t>
      </w:r>
    </w:p>
    <w:p w14:paraId="275A1BDD" w14:textId="77777777" w:rsidR="00300254" w:rsidRDefault="00300254" w:rsidP="00395341">
      <w:pPr>
        <w:spacing w:line="360" w:lineRule="auto"/>
      </w:pPr>
    </w:p>
    <w:p w14:paraId="7C7CDC57" w14:textId="303293AF" w:rsidR="00395341" w:rsidRPr="00564306" w:rsidRDefault="000C3AAD" w:rsidP="00395341">
      <w:pPr>
        <w:spacing w:line="360" w:lineRule="auto"/>
      </w:pPr>
      <w:r>
        <w:t>S</w:t>
      </w:r>
      <w:r w:rsidR="00395341" w:rsidRPr="00564306">
        <w:t xml:space="preserve">ome seclusion might be best explained as </w:t>
      </w:r>
      <w:r>
        <w:t xml:space="preserve">a choice to connect differently: </w:t>
      </w:r>
      <w:r w:rsidR="00D42AE0" w:rsidRPr="00564306">
        <w:t>relinquish</w:t>
      </w:r>
      <w:r>
        <w:t>ing</w:t>
      </w:r>
      <w:r w:rsidR="00395341" w:rsidRPr="00564306">
        <w:t xml:space="preserve"> human connection</w:t>
      </w:r>
      <w:r w:rsidR="004D2A03" w:rsidRPr="00564306">
        <w:t>s</w:t>
      </w:r>
      <w:r w:rsidR="00395341" w:rsidRPr="00564306">
        <w:t xml:space="preserve"> to </w:t>
      </w:r>
      <w:r w:rsidR="009B0E31" w:rsidRPr="00564306">
        <w:t>deepen</w:t>
      </w:r>
      <w:r w:rsidR="00300254">
        <w:t xml:space="preserve"> other</w:t>
      </w:r>
      <w:r w:rsidR="009B0E31" w:rsidRPr="00564306">
        <w:t xml:space="preserve"> </w:t>
      </w:r>
      <w:r w:rsidR="00C45625" w:rsidRPr="00564306">
        <w:t>relationships</w:t>
      </w:r>
      <w:r w:rsidR="00B44A82">
        <w:t>, for example</w:t>
      </w:r>
      <w:r w:rsidR="00C45625" w:rsidRPr="00564306">
        <w:t xml:space="preserve"> </w:t>
      </w:r>
      <w:r w:rsidR="009B0E31" w:rsidRPr="00564306">
        <w:t xml:space="preserve">with </w:t>
      </w:r>
      <w:r w:rsidR="00395341" w:rsidRPr="00564306">
        <w:t>God</w:t>
      </w:r>
      <w:r w:rsidR="00C8553E" w:rsidRPr="00564306">
        <w:t xml:space="preserve"> (or with nature, or to oneself)</w:t>
      </w:r>
      <w:r w:rsidR="001D7BC8">
        <w:t xml:space="preserve">. </w:t>
      </w:r>
      <w:r w:rsidR="00D42AE0" w:rsidRPr="00564306">
        <w:t>M</w:t>
      </w:r>
      <w:r w:rsidR="00395341" w:rsidRPr="00564306">
        <w:t>y mother’s</w:t>
      </w:r>
      <w:r w:rsidR="00D42AE0" w:rsidRPr="00564306">
        <w:t xml:space="preserve"> friend</w:t>
      </w:r>
      <w:r w:rsidR="005C156F">
        <w:t>, previously a nurse and teacher</w:t>
      </w:r>
      <w:r w:rsidR="00F0657A">
        <w:softHyphen/>
      </w:r>
      <w:r w:rsidR="00A56E72">
        <w:t>—</w:t>
      </w:r>
      <w:r w:rsidR="005C156F">
        <w:t>roles exemplify</w:t>
      </w:r>
      <w:r w:rsidR="000D6D7B">
        <w:t>ing</w:t>
      </w:r>
      <w:r w:rsidR="005C156F">
        <w:t xml:space="preserve"> connection</w:t>
      </w:r>
      <w:r w:rsidR="00A56E72">
        <w:t>—</w:t>
      </w:r>
      <w:r w:rsidR="001850AF" w:rsidRPr="00564306">
        <w:t>became a cloistered</w:t>
      </w:r>
      <w:r w:rsidR="00395341" w:rsidRPr="00564306">
        <w:t xml:space="preserve"> Carm</w:t>
      </w:r>
      <w:r w:rsidR="0053490B">
        <w:t>e</w:t>
      </w:r>
      <w:r w:rsidR="00395341" w:rsidRPr="00564306">
        <w:t xml:space="preserve">lite </w:t>
      </w:r>
      <w:r w:rsidR="00C8553E" w:rsidRPr="00564306">
        <w:t>nun</w:t>
      </w:r>
      <w:r w:rsidR="00395341" w:rsidRPr="00564306">
        <w:t xml:space="preserve">. </w:t>
      </w:r>
      <w:r w:rsidR="00D84093" w:rsidRPr="00564306">
        <w:t>D</w:t>
      </w:r>
      <w:r w:rsidR="00395341" w:rsidRPr="00564306">
        <w:t>espite the social connection and care she share</w:t>
      </w:r>
      <w:r w:rsidR="00AA2ABC">
        <w:t>d</w:t>
      </w:r>
      <w:r w:rsidR="00395341" w:rsidRPr="00564306">
        <w:t xml:space="preserve"> with her Sisters, the purpose of seclusion is </w:t>
      </w:r>
      <w:r w:rsidR="00D42AE0" w:rsidRPr="00564306">
        <w:t xml:space="preserve">contemplative: to serve God and </w:t>
      </w:r>
      <w:r w:rsidR="000D6D7B">
        <w:t xml:space="preserve">the </w:t>
      </w:r>
      <w:r w:rsidR="000D6D7B">
        <w:lastRenderedPageBreak/>
        <w:t xml:space="preserve">human family </w:t>
      </w:r>
      <w:r w:rsidR="00D42AE0" w:rsidRPr="00564306">
        <w:t>through prayer</w:t>
      </w:r>
      <w:r w:rsidR="00D84093" w:rsidRPr="00564306">
        <w:t>. This</w:t>
      </w:r>
      <w:r w:rsidR="00B637C0" w:rsidRPr="00564306">
        <w:t xml:space="preserve"> </w:t>
      </w:r>
      <w:r w:rsidR="00967415" w:rsidRPr="00564306">
        <w:t xml:space="preserve">presumably includes </w:t>
      </w:r>
      <w:r w:rsidR="002C7F71" w:rsidRPr="00564306">
        <w:t xml:space="preserve">cultivating </w:t>
      </w:r>
      <w:r w:rsidR="00967415" w:rsidRPr="00564306">
        <w:t>connection</w:t>
      </w:r>
      <w:r w:rsidR="00B74D63" w:rsidRPr="00564306">
        <w:t>s</w:t>
      </w:r>
      <w:r w:rsidR="00967415" w:rsidRPr="00564306">
        <w:t xml:space="preserve"> with God</w:t>
      </w:r>
      <w:r w:rsidR="00B74D63" w:rsidRPr="00564306">
        <w:t xml:space="preserve">. </w:t>
      </w:r>
      <w:r w:rsidR="00C46176">
        <w:t>For the devoutly religious, p</w:t>
      </w:r>
      <w:r w:rsidR="00B74D63" w:rsidRPr="00564306">
        <w:t xml:space="preserve">raying for others might </w:t>
      </w:r>
      <w:r w:rsidR="00A56E72">
        <w:t xml:space="preserve">go some way to </w:t>
      </w:r>
      <w:r w:rsidR="00B74D63" w:rsidRPr="00564306">
        <w:t xml:space="preserve">meet </w:t>
      </w:r>
      <w:r w:rsidR="00A56E72">
        <w:t xml:space="preserve">our </w:t>
      </w:r>
      <w:r w:rsidR="00C46176">
        <w:t xml:space="preserve">own </w:t>
      </w:r>
      <w:r w:rsidR="00B74D63" w:rsidRPr="00564306">
        <w:t>need to offer support</w:t>
      </w:r>
      <w:r w:rsidR="00DB231B" w:rsidRPr="00564306">
        <w:t xml:space="preserve"> and contribute to </w:t>
      </w:r>
      <w:r w:rsidR="00C46176">
        <w:t>other’s</w:t>
      </w:r>
      <w:r w:rsidR="00DB231B" w:rsidRPr="00564306">
        <w:t xml:space="preserve"> wellbeing</w:t>
      </w:r>
      <w:r w:rsidR="00D42AE0" w:rsidRPr="00564306">
        <w:t xml:space="preserve">, albeit indirectly. </w:t>
      </w:r>
      <w:r w:rsidR="00E14CEB">
        <w:t xml:space="preserve">Although this is not Brownlee’s position, </w:t>
      </w:r>
      <w:r w:rsidR="005C156F">
        <w:t>w</w:t>
      </w:r>
      <w:r w:rsidR="00395341" w:rsidRPr="00564306">
        <w:t>ithdrawal from worldly society need not</w:t>
      </w:r>
      <w:r w:rsidR="00B44A82">
        <w:t xml:space="preserve"> always</w:t>
      </w:r>
      <w:r w:rsidR="00395341" w:rsidRPr="00564306">
        <w:t xml:space="preserve"> be a severing of connection when it is a choice to </w:t>
      </w:r>
      <w:r>
        <w:t>connect differently</w:t>
      </w:r>
      <w:r w:rsidR="00395341" w:rsidRPr="00564306">
        <w:t xml:space="preserve">. </w:t>
      </w:r>
      <w:r w:rsidR="000D4D81">
        <w:t>If I am right, this suggests</w:t>
      </w:r>
      <w:r w:rsidR="00AA2ABC">
        <w:t xml:space="preserve"> offering and receiving Brownlee’s </w:t>
      </w:r>
      <w:r w:rsidR="005C156F">
        <w:t>social connection</w:t>
      </w:r>
      <w:r w:rsidR="00AA2ABC">
        <w:t xml:space="preserve"> is still important for</w:t>
      </w:r>
      <w:r w:rsidR="00B44A82">
        <w:t xml:space="preserve"> some </w:t>
      </w:r>
      <w:r w:rsidR="004814D8">
        <w:t>of those</w:t>
      </w:r>
      <w:r w:rsidR="00B44A82">
        <w:t xml:space="preserve"> </w:t>
      </w:r>
      <w:r w:rsidR="000D6D7B">
        <w:t xml:space="preserve">who would choose </w:t>
      </w:r>
      <w:r w:rsidR="005C156F">
        <w:t xml:space="preserve">not to assert </w:t>
      </w:r>
      <w:r w:rsidR="00B01AED">
        <w:t>Brownlee’s</w:t>
      </w:r>
      <w:r w:rsidR="004A0ABB" w:rsidRPr="00564306">
        <w:t xml:space="preserve"> claim-right</w:t>
      </w:r>
      <w:r w:rsidR="001A2A88" w:rsidRPr="00564306">
        <w:t xml:space="preserve"> against social deprivation</w:t>
      </w:r>
      <w:r w:rsidR="00B44A82">
        <w:t>.</w:t>
      </w:r>
      <w:r w:rsidR="005C156F">
        <w:t xml:space="preserve"> </w:t>
      </w:r>
    </w:p>
    <w:p w14:paraId="0AA6A8FA" w14:textId="36AD3718" w:rsidR="009727CE" w:rsidRPr="00564306" w:rsidRDefault="009727CE" w:rsidP="00395341">
      <w:pPr>
        <w:spacing w:line="360" w:lineRule="auto"/>
      </w:pPr>
    </w:p>
    <w:p w14:paraId="5EA7182C" w14:textId="27781561" w:rsidR="00DC61B3" w:rsidRPr="00564306" w:rsidRDefault="004814D8" w:rsidP="00E35114">
      <w:pPr>
        <w:spacing w:line="360" w:lineRule="auto"/>
      </w:pPr>
      <w:r>
        <w:t xml:space="preserve">Brownlee considers objections </w:t>
      </w:r>
      <w:r w:rsidR="006074EC">
        <w:t>a</w:t>
      </w:r>
      <w:r w:rsidR="005C065B">
        <w:t>r</w:t>
      </w:r>
      <w:r w:rsidR="006074EC">
        <w:t>ound</w:t>
      </w:r>
      <w:r>
        <w:t xml:space="preserve"> </w:t>
      </w:r>
      <w:r w:rsidR="005B0CAD">
        <w:t>providing connection to</w:t>
      </w:r>
      <w:r w:rsidR="00364464">
        <w:t xml:space="preserve"> potentially</w:t>
      </w:r>
      <w:r w:rsidR="005B0CAD">
        <w:t xml:space="preserve"> ‘intolerable’ people with whom no-one wants to connect</w:t>
      </w:r>
      <w:r>
        <w:t>, and considers c</w:t>
      </w:r>
      <w:r w:rsidRPr="00564306">
        <w:t>onnection with non-human beings and online connections</w:t>
      </w:r>
      <w:r>
        <w:t xml:space="preserve"> for this purpose. S</w:t>
      </w:r>
      <w:r w:rsidR="005B0CAD">
        <w:t xml:space="preserve">he </w:t>
      </w:r>
      <w:r w:rsidR="00B01AED">
        <w:t>cautiously</w:t>
      </w:r>
      <w:r w:rsidR="005B0CAD">
        <w:t xml:space="preserve"> describes these </w:t>
      </w:r>
      <w:r w:rsidR="00FE1846">
        <w:t xml:space="preserve">as </w:t>
      </w:r>
      <w:r w:rsidR="00B946E2" w:rsidRPr="00564306">
        <w:t>‘imperfect’</w:t>
      </w:r>
      <w:r w:rsidR="00FE1846">
        <w:t xml:space="preserve"> forms of connection</w:t>
      </w:r>
      <w:r w:rsidR="00B637C0" w:rsidRPr="00564306">
        <w:t>,</w:t>
      </w:r>
      <w:r w:rsidR="001A2A88" w:rsidRPr="00564306">
        <w:t xml:space="preserve"> reliev</w:t>
      </w:r>
      <w:r w:rsidR="00B637C0" w:rsidRPr="00564306">
        <w:t>ing</w:t>
      </w:r>
      <w:r w:rsidR="001A2A88" w:rsidRPr="00564306">
        <w:t xml:space="preserve"> the pain of disassociation</w:t>
      </w:r>
      <w:r w:rsidR="00B637C0" w:rsidRPr="00564306">
        <w:t xml:space="preserve"> without meeting needs</w:t>
      </w:r>
      <w:r w:rsidR="0063300C">
        <w:t>, and leaves open whether these are acceptable ways of meeting core social needs</w:t>
      </w:r>
      <w:r w:rsidR="001A2A88" w:rsidRPr="00564306">
        <w:t xml:space="preserve"> </w:t>
      </w:r>
      <w:r w:rsidR="00CC24B4">
        <w:rPr>
          <w:noProof/>
        </w:rPr>
        <w:t>(Brownlee 2020:68)</w:t>
      </w:r>
      <w:r w:rsidR="001A2A88" w:rsidRPr="00564306">
        <w:t xml:space="preserve">. </w:t>
      </w:r>
      <w:r w:rsidR="005B0CAD">
        <w:t>B</w:t>
      </w:r>
      <w:r w:rsidR="00C45625" w:rsidRPr="00564306">
        <w:t>ut</w:t>
      </w:r>
      <w:r w:rsidR="005B0CAD">
        <w:t xml:space="preserve"> these</w:t>
      </w:r>
      <w:r w:rsidR="00C45625" w:rsidRPr="00564306">
        <w:t xml:space="preserve"> </w:t>
      </w:r>
      <w:r w:rsidR="002C7F71" w:rsidRPr="00564306">
        <w:t xml:space="preserve">are </w:t>
      </w:r>
      <w:r w:rsidR="00D20E9C" w:rsidRPr="00564306">
        <w:t>not necessarily poor relation</w:t>
      </w:r>
      <w:r w:rsidR="002C7F71" w:rsidRPr="00564306">
        <w:t>s</w:t>
      </w:r>
      <w:r w:rsidR="00D20E9C" w:rsidRPr="00564306">
        <w:t>, and may sometimes be preferable</w:t>
      </w:r>
      <w:r w:rsidR="0063300C">
        <w:t xml:space="preserve">, and not just </w:t>
      </w:r>
      <w:r>
        <w:t xml:space="preserve">for difficult </w:t>
      </w:r>
      <w:r w:rsidR="0063300C">
        <w:t xml:space="preserve">people. </w:t>
      </w:r>
      <w:r w:rsidR="00D20E9C" w:rsidRPr="00564306">
        <w:t>Disabled scholars have found seminars more accessible with remote attendance option</w:t>
      </w:r>
      <w:r w:rsidR="00A52C80" w:rsidRPr="00564306">
        <w:t>s</w:t>
      </w:r>
      <w:r w:rsidR="00E542C7" w:rsidRPr="00564306">
        <w:t xml:space="preserve"> during the pandemic</w:t>
      </w:r>
      <w:r w:rsidR="00D20E9C" w:rsidRPr="00564306">
        <w:t>, a flexibility which is denied when ‘going back to normal’ is fetishized above what serves human needs.</w:t>
      </w:r>
      <w:r w:rsidR="00364464" w:rsidRPr="00364464">
        <w:t xml:space="preserve"> </w:t>
      </w:r>
      <w:r w:rsidR="00364464">
        <w:t>Providing advice and support via a telephone helpline may help to reassure callers that their anonymity is protected (since the support worker cannot identify them), making the caller feel safe enough to receive the help they need.</w:t>
      </w:r>
      <w:r w:rsidR="00D20E9C" w:rsidRPr="00564306">
        <w:t xml:space="preserve"> </w:t>
      </w:r>
      <w:r w:rsidR="00CA7F7C">
        <w:t>Telemedicine</w:t>
      </w:r>
      <w:r>
        <w:t xml:space="preserve"> </w:t>
      </w:r>
      <w:r w:rsidR="004D2A03" w:rsidRPr="00564306">
        <w:t xml:space="preserve">can successfully provide healthcare in remote areas, or those for whom accessing medical facilities is difficult </w:t>
      </w:r>
      <w:r w:rsidR="00CC24B4">
        <w:rPr>
          <w:noProof/>
        </w:rPr>
        <w:t>(Barnes 2012:</w:t>
      </w:r>
      <w:r w:rsidR="00C46176">
        <w:rPr>
          <w:noProof/>
        </w:rPr>
        <w:t xml:space="preserve"> </w:t>
      </w:r>
      <w:r w:rsidR="00CC24B4">
        <w:rPr>
          <w:noProof/>
        </w:rPr>
        <w:t>120)</w:t>
      </w:r>
      <w:r w:rsidR="00CA7F7C">
        <w:t xml:space="preserve">, although technological limitations mean </w:t>
      </w:r>
      <w:r w:rsidR="00D17AD5">
        <w:t xml:space="preserve">this </w:t>
      </w:r>
      <w:r w:rsidR="00CA7F7C">
        <w:t>is not</w:t>
      </w:r>
      <w:r w:rsidR="006074EC">
        <w:t xml:space="preserve"> without drawbacks, and not</w:t>
      </w:r>
      <w:r w:rsidR="00CA7F7C">
        <w:t xml:space="preserve"> appropriate in all cases</w:t>
      </w:r>
      <w:r w:rsidR="004D2A03" w:rsidRPr="00564306">
        <w:t xml:space="preserve">. </w:t>
      </w:r>
      <w:r w:rsidR="00364464" w:rsidRPr="00564306">
        <w:t xml:space="preserve">Virtual relations </w:t>
      </w:r>
      <w:r w:rsidR="00364464">
        <w:t xml:space="preserve">cannot provide ‘direct, interpersonal human contact’ </w:t>
      </w:r>
      <w:r w:rsidR="00CC24B4">
        <w:rPr>
          <w:noProof/>
        </w:rPr>
        <w:t>(Brownlee 2020:</w:t>
      </w:r>
      <w:r w:rsidR="00C46176">
        <w:rPr>
          <w:noProof/>
        </w:rPr>
        <w:t xml:space="preserve"> </w:t>
      </w:r>
      <w:r w:rsidR="00CC24B4">
        <w:rPr>
          <w:noProof/>
        </w:rPr>
        <w:t>68)</w:t>
      </w:r>
      <w:r w:rsidR="006074EC">
        <w:t xml:space="preserve"> </w:t>
      </w:r>
      <w:r w:rsidR="00364464">
        <w:t>through touch, but w</w:t>
      </w:r>
      <w:r w:rsidR="00CA7F7C">
        <w:t xml:space="preserve">hat matters is choosing the right approach to meet the need </w:t>
      </w:r>
      <w:r w:rsidR="0004340D">
        <w:t>for connection in</w:t>
      </w:r>
      <w:r w:rsidR="00CA7F7C">
        <w:t xml:space="preserve"> context. Choosing different</w:t>
      </w:r>
      <w:r w:rsidR="00104CDB">
        <w:t>,</w:t>
      </w:r>
      <w:r w:rsidR="00CA7F7C">
        <w:t xml:space="preserve"> situation-appropriate means of connection </w:t>
      </w:r>
      <w:r w:rsidR="00051898">
        <w:t>emphasises</w:t>
      </w:r>
      <w:r w:rsidR="00CA7F7C">
        <w:t xml:space="preserve"> the</w:t>
      </w:r>
      <w:r w:rsidR="00051898">
        <w:t xml:space="preserve"> broad appeal </w:t>
      </w:r>
      <w:r w:rsidR="00CA7F7C">
        <w:t>of Brownlee’s need for social connection.</w:t>
      </w:r>
    </w:p>
    <w:p w14:paraId="6D78AC74" w14:textId="77777777" w:rsidR="00DC61B3" w:rsidRPr="00564306" w:rsidRDefault="00DC61B3" w:rsidP="00E35114">
      <w:pPr>
        <w:spacing w:line="360" w:lineRule="auto"/>
      </w:pPr>
    </w:p>
    <w:p w14:paraId="07C32309" w14:textId="1F5865F6" w:rsidR="00DC61B3" w:rsidRPr="00564306" w:rsidRDefault="00DC61B3" w:rsidP="00DC61B3">
      <w:pPr>
        <w:spacing w:line="360" w:lineRule="auto"/>
      </w:pPr>
      <w:r w:rsidRPr="00564306">
        <w:t>Mats Steen</w:t>
      </w:r>
      <w:r w:rsidR="005C3802" w:rsidRPr="00564306">
        <w:t xml:space="preserve">’s experience was documented </w:t>
      </w:r>
      <w:r w:rsidR="002C7F71" w:rsidRPr="00564306">
        <w:t>on</w:t>
      </w:r>
      <w:r w:rsidR="005C3802" w:rsidRPr="00564306">
        <w:t xml:space="preserve"> the BBC</w:t>
      </w:r>
      <w:r w:rsidR="002C7F71" w:rsidRPr="00564306">
        <w:t xml:space="preserve"> website</w:t>
      </w:r>
      <w:r w:rsidR="005C3802" w:rsidRPr="00564306">
        <w:t xml:space="preserve">. A </w:t>
      </w:r>
      <w:r w:rsidRPr="00564306">
        <w:t>wheelchair</w:t>
      </w:r>
      <w:r w:rsidR="005C3802" w:rsidRPr="00564306">
        <w:t xml:space="preserve"> user</w:t>
      </w:r>
      <w:r w:rsidRPr="00564306">
        <w:t xml:space="preserve"> </w:t>
      </w:r>
      <w:r w:rsidR="00C31C03" w:rsidRPr="00564306">
        <w:t xml:space="preserve">from an early age </w:t>
      </w:r>
      <w:r w:rsidRPr="00564306">
        <w:t>due to muscular dystrophy</w:t>
      </w:r>
      <w:r w:rsidR="00A73C64" w:rsidRPr="00564306">
        <w:t xml:space="preserve">, </w:t>
      </w:r>
      <w:r w:rsidR="005C3802" w:rsidRPr="00564306">
        <w:t xml:space="preserve">Mats </w:t>
      </w:r>
      <w:r w:rsidR="00A73C64" w:rsidRPr="00564306">
        <w:t>was</w:t>
      </w:r>
      <w:r w:rsidRPr="00564306">
        <w:t xml:space="preserve"> a keen player of the online game </w:t>
      </w:r>
      <w:r w:rsidRPr="00564306">
        <w:rPr>
          <w:i/>
          <w:iCs/>
        </w:rPr>
        <w:t>World of Warcraft</w:t>
      </w:r>
      <w:r w:rsidRPr="00564306">
        <w:t xml:space="preserve"> for at least 10 years prior to his death. His parents were sad that their </w:t>
      </w:r>
      <w:r w:rsidR="005C3802" w:rsidRPr="00564306">
        <w:t xml:space="preserve">adult </w:t>
      </w:r>
      <w:r w:rsidRPr="00564306">
        <w:t>son spent most of his time alone in his room. But when his father posted a</w:t>
      </w:r>
      <w:r w:rsidR="00AA4130" w:rsidRPr="00564306">
        <w:t>n</w:t>
      </w:r>
      <w:r w:rsidRPr="00564306">
        <w:t xml:space="preserve"> </w:t>
      </w:r>
      <w:r w:rsidR="006F17EA" w:rsidRPr="00564306">
        <w:t>announcement of</w:t>
      </w:r>
      <w:r w:rsidR="006D06F5" w:rsidRPr="00564306">
        <w:t xml:space="preserve"> </w:t>
      </w:r>
      <w:proofErr w:type="spellStart"/>
      <w:r w:rsidRPr="00564306">
        <w:lastRenderedPageBreak/>
        <w:t>Mats’s</w:t>
      </w:r>
      <w:proofErr w:type="spellEnd"/>
      <w:r w:rsidRPr="00564306">
        <w:t xml:space="preserve"> passing on his son’s blog, he receive</w:t>
      </w:r>
      <w:r w:rsidR="0053490B">
        <w:t>d</w:t>
      </w:r>
      <w:r w:rsidRPr="00564306">
        <w:t xml:space="preserve"> messages of condolence from across Europe</w:t>
      </w:r>
      <w:r w:rsidR="006F17EA" w:rsidRPr="00564306">
        <w:t xml:space="preserve">, as the community of friends he had not known his son had </w:t>
      </w:r>
      <w:r w:rsidR="00AF4579" w:rsidRPr="00564306">
        <w:t xml:space="preserve">reached out to </w:t>
      </w:r>
      <w:r w:rsidR="006F17EA" w:rsidRPr="00564306">
        <w:t>share his grief.</w:t>
      </w:r>
      <w:r w:rsidR="00565AC7">
        <w:t xml:space="preserve"> </w:t>
      </w:r>
    </w:p>
    <w:p w14:paraId="0E700192" w14:textId="64399A60" w:rsidR="00E35114" w:rsidRPr="00564306" w:rsidRDefault="00E35114" w:rsidP="00395341">
      <w:pPr>
        <w:spacing w:line="360" w:lineRule="auto"/>
      </w:pPr>
    </w:p>
    <w:p w14:paraId="065D02AD" w14:textId="425B8F33" w:rsidR="004513A3" w:rsidRDefault="006D06F5" w:rsidP="00E330D5">
      <w:pPr>
        <w:spacing w:line="360" w:lineRule="auto"/>
      </w:pPr>
      <w:r w:rsidRPr="00564306">
        <w:rPr>
          <w:i/>
          <w:iCs/>
        </w:rPr>
        <w:t xml:space="preserve">Warcraft </w:t>
      </w:r>
      <w:r w:rsidRPr="00564306">
        <w:t xml:space="preserve">guilds are social spaces, allowing players to come together </w:t>
      </w:r>
      <w:r w:rsidR="00051898">
        <w:t xml:space="preserve">to </w:t>
      </w:r>
      <w:r w:rsidRPr="00564306">
        <w:t>share the game: taking part in solving collective action problems, where every individual must play their part to ensure the wellbeing of others, in tasks that no single player could complete alone</w:t>
      </w:r>
      <w:r w:rsidR="008E1A8C">
        <w:t xml:space="preserve"> </w:t>
      </w:r>
      <w:r w:rsidR="00CC24B4">
        <w:rPr>
          <w:rFonts w:ascii="Calibri" w:cs="Calibri"/>
        </w:rPr>
        <w:t>(Williams et al. 2006)</w:t>
      </w:r>
      <w:r w:rsidR="006F17EA" w:rsidRPr="00564306">
        <w:t>.</w:t>
      </w:r>
      <w:r w:rsidRPr="00564306">
        <w:t xml:space="preserve"> This might involve uniting </w:t>
      </w:r>
      <w:r w:rsidR="00AA4130" w:rsidRPr="00564306">
        <w:t>against</w:t>
      </w:r>
      <w:r w:rsidRPr="00564306">
        <w:t xml:space="preserve"> powerful forces that threaten harm. It could equally involve fishing, picking flowers, and crafting items. Mats </w:t>
      </w:r>
      <w:r w:rsidR="006F17EA" w:rsidRPr="00564306">
        <w:t xml:space="preserve">had written of </w:t>
      </w:r>
      <w:r w:rsidRPr="00564306">
        <w:t>the ‘escape’ he felt in the game: ‘my handicap doesn't matter, my chains are broken and I can be whoever I want to be’</w:t>
      </w:r>
      <w:r w:rsidR="006F17EA" w:rsidRPr="00564306">
        <w:t xml:space="preserve"> </w:t>
      </w:r>
      <w:r w:rsidR="00CC24B4">
        <w:rPr>
          <w:noProof/>
        </w:rPr>
        <w:t>(Schaubert 2019)</w:t>
      </w:r>
      <w:r w:rsidRPr="00564306">
        <w:t>.</w:t>
      </w:r>
      <w:r w:rsidR="008E1A8C" w:rsidRPr="008E1A8C">
        <w:t xml:space="preserve"> </w:t>
      </w:r>
    </w:p>
    <w:p w14:paraId="5D72DC07" w14:textId="77777777" w:rsidR="004513A3" w:rsidRDefault="004513A3" w:rsidP="00E330D5">
      <w:pPr>
        <w:spacing w:line="360" w:lineRule="auto"/>
      </w:pPr>
    </w:p>
    <w:p w14:paraId="0FD1652E" w14:textId="60695C51" w:rsidR="006D06F5" w:rsidRPr="00564306" w:rsidRDefault="008E1A8C" w:rsidP="00E330D5">
      <w:pPr>
        <w:spacing w:line="360" w:lineRule="auto"/>
      </w:pPr>
      <w:r>
        <w:t>Through the social life of the guild, players of all ages and backgrounds across Europe came</w:t>
      </w:r>
      <w:r w:rsidRPr="00564306">
        <w:t xml:space="preserve"> to know and respect </w:t>
      </w:r>
      <w:proofErr w:type="spellStart"/>
      <w:r w:rsidRPr="00564306">
        <w:t>Mats’s</w:t>
      </w:r>
      <w:proofErr w:type="spellEnd"/>
      <w:r w:rsidRPr="00564306">
        <w:t xml:space="preserve"> chosen character, </w:t>
      </w:r>
      <w:proofErr w:type="spellStart"/>
      <w:r w:rsidRPr="00564306">
        <w:t>Ibelin</w:t>
      </w:r>
      <w:proofErr w:type="spellEnd"/>
      <w:r w:rsidRPr="00564306">
        <w:t xml:space="preserve">, </w:t>
      </w:r>
      <w:r>
        <w:t>giving and receiving connection and building</w:t>
      </w:r>
      <w:r w:rsidR="00B01AED">
        <w:t xml:space="preserve"> </w:t>
      </w:r>
      <w:r w:rsidR="00E330D5">
        <w:t>relationships.</w:t>
      </w:r>
      <w:r w:rsidR="001A416D" w:rsidRPr="00564306">
        <w:t xml:space="preserve"> </w:t>
      </w:r>
      <w:r w:rsidR="00E330D5">
        <w:t>F</w:t>
      </w:r>
      <w:r w:rsidR="001A416D" w:rsidRPr="00564306">
        <w:t>ellow players from the Netherlands, UK, Finland, and Denmark,</w:t>
      </w:r>
      <w:r w:rsidR="00E330D5">
        <w:t xml:space="preserve"> attended </w:t>
      </w:r>
      <w:proofErr w:type="spellStart"/>
      <w:r w:rsidR="00E330D5">
        <w:t>Mats’s</w:t>
      </w:r>
      <w:proofErr w:type="spellEnd"/>
      <w:r w:rsidR="00E330D5">
        <w:t xml:space="preserve"> funeral service in Oslo</w:t>
      </w:r>
      <w:r w:rsidR="001A416D" w:rsidRPr="00564306">
        <w:t xml:space="preserve"> after guild members pooled money to help those who could not afford travel</w:t>
      </w:r>
      <w:r w:rsidR="006D06F5" w:rsidRPr="00564306">
        <w:t xml:space="preserve">. </w:t>
      </w:r>
      <w:r w:rsidR="0004340D">
        <w:t>T</w:t>
      </w:r>
      <w:r w:rsidR="00B01AED">
        <w:t>hose who could not travel</w:t>
      </w:r>
      <w:r w:rsidR="0004340D">
        <w:t xml:space="preserve"> </w:t>
      </w:r>
      <w:r w:rsidR="00B01AED">
        <w:t xml:space="preserve">lit candles in his memory </w:t>
      </w:r>
      <w:r w:rsidR="00CC24B4">
        <w:rPr>
          <w:noProof/>
        </w:rPr>
        <w:t>(Schaubert 2019)</w:t>
      </w:r>
      <w:r w:rsidR="001850AF" w:rsidRPr="00564306">
        <w:t>.</w:t>
      </w:r>
    </w:p>
    <w:p w14:paraId="3F9384BF" w14:textId="19586B6E" w:rsidR="001850AF" w:rsidRPr="00564306" w:rsidRDefault="001850AF" w:rsidP="001850AF">
      <w:pPr>
        <w:spacing w:line="360" w:lineRule="auto"/>
      </w:pPr>
    </w:p>
    <w:p w14:paraId="4E923409" w14:textId="5B49ADE0" w:rsidR="001850AF" w:rsidRPr="00564306" w:rsidRDefault="001850AF" w:rsidP="001850AF">
      <w:pPr>
        <w:spacing w:line="360" w:lineRule="auto"/>
      </w:pPr>
      <w:r w:rsidRPr="00564306">
        <w:t xml:space="preserve">Online relationships can provide real social connection. In the same </w:t>
      </w:r>
      <w:r w:rsidR="00051898">
        <w:t xml:space="preserve">way </w:t>
      </w:r>
      <w:r w:rsidR="005B0CAD">
        <w:t xml:space="preserve">one may choose </w:t>
      </w:r>
      <w:r w:rsidRPr="00564306">
        <w:t>to withdraw from human community</w:t>
      </w:r>
      <w:r w:rsidR="00AA4130" w:rsidRPr="00564306">
        <w:t xml:space="preserve"> to meet </w:t>
      </w:r>
      <w:r w:rsidRPr="00564306">
        <w:t xml:space="preserve">a </w:t>
      </w:r>
      <w:r w:rsidR="00967415" w:rsidRPr="00564306">
        <w:t xml:space="preserve">need for </w:t>
      </w:r>
      <w:r w:rsidRPr="00564306">
        <w:t>specific</w:t>
      </w:r>
      <w:r w:rsidRPr="00564306">
        <w:rPr>
          <w:i/>
          <w:iCs/>
        </w:rPr>
        <w:t xml:space="preserve"> type</w:t>
      </w:r>
      <w:r w:rsidRPr="00564306">
        <w:t xml:space="preserve"> of connection (e</w:t>
      </w:r>
      <w:r w:rsidR="00062C5A">
        <w:t>.</w:t>
      </w:r>
      <w:r w:rsidRPr="00564306">
        <w:t>g</w:t>
      </w:r>
      <w:r w:rsidR="00062C5A">
        <w:t>.</w:t>
      </w:r>
      <w:r w:rsidRPr="00564306">
        <w:t xml:space="preserve">, with God), </w:t>
      </w:r>
      <w:r w:rsidR="00967415" w:rsidRPr="00564306">
        <w:t xml:space="preserve">we </w:t>
      </w:r>
      <w:r w:rsidRPr="00564306">
        <w:t xml:space="preserve">may choose </w:t>
      </w:r>
      <w:r w:rsidR="00AA4130" w:rsidRPr="00564306">
        <w:t xml:space="preserve">other </w:t>
      </w:r>
      <w:r w:rsidR="00AA4130" w:rsidRPr="00564306">
        <w:rPr>
          <w:i/>
          <w:iCs/>
        </w:rPr>
        <w:t>means</w:t>
      </w:r>
      <w:r w:rsidR="00AA4130" w:rsidRPr="00564306">
        <w:t xml:space="preserve"> of </w:t>
      </w:r>
      <w:r w:rsidRPr="00564306">
        <w:t xml:space="preserve">connections. A choice to interact online may be shaped by a disability that makes in-person connection difficult. A choice to build a closer connection with God may be shaped by the necessity of withdrawing from society. </w:t>
      </w:r>
      <w:r w:rsidR="00967415" w:rsidRPr="00564306">
        <w:t>B</w:t>
      </w:r>
      <w:r w:rsidR="00D620A9" w:rsidRPr="00564306">
        <w:t>ut b</w:t>
      </w:r>
      <w:r w:rsidR="00967415" w:rsidRPr="00564306">
        <w:t>oth choices recognise the importance of</w:t>
      </w:r>
      <w:r w:rsidR="0016206C" w:rsidRPr="00564306">
        <w:t xml:space="preserve"> </w:t>
      </w:r>
      <w:r w:rsidRPr="00564306">
        <w:t>the need to connect</w:t>
      </w:r>
      <w:r w:rsidR="00B01AED">
        <w:t xml:space="preserve"> that Brownlee seeks to protect</w:t>
      </w:r>
      <w:r w:rsidRPr="00564306">
        <w:t xml:space="preserve">. </w:t>
      </w:r>
      <w:r w:rsidR="005B0CAD">
        <w:t>At least some examples of apparent chosen isolation may be modified forms of connection</w:t>
      </w:r>
      <w:r w:rsidR="00537D37">
        <w:t xml:space="preserve">. While Brownlee does not mean to exclude these cases (only the possibility that chosen isolation </w:t>
      </w:r>
      <w:r w:rsidR="0004340D">
        <w:t xml:space="preserve">might </w:t>
      </w:r>
      <w:r w:rsidR="00537D37">
        <w:t>undermine h</w:t>
      </w:r>
      <w:r w:rsidR="0004340D">
        <w:t>e</w:t>
      </w:r>
      <w:r w:rsidR="00537D37">
        <w:t xml:space="preserve">r argument for a right against deprivation), these chosen cases of connecting differently add weight to her insight that connection is essential for most of us, most of the time. </w:t>
      </w:r>
    </w:p>
    <w:p w14:paraId="701E1ED8" w14:textId="77777777" w:rsidR="001850AF" w:rsidRPr="00564306" w:rsidRDefault="001850AF" w:rsidP="001850AF">
      <w:pPr>
        <w:spacing w:line="360" w:lineRule="auto"/>
      </w:pPr>
    </w:p>
    <w:p w14:paraId="1D85EBB2" w14:textId="44C6C8FD" w:rsidR="00430250" w:rsidRPr="00A22C58" w:rsidRDefault="0031432E" w:rsidP="00430250">
      <w:pPr>
        <w:tabs>
          <w:tab w:val="left" w:pos="1985"/>
        </w:tabs>
        <w:spacing w:line="360" w:lineRule="auto"/>
        <w:rPr>
          <w:i/>
          <w:iCs/>
        </w:rPr>
      </w:pPr>
      <w:r w:rsidRPr="00A22C58">
        <w:rPr>
          <w:i/>
          <w:iCs/>
        </w:rPr>
        <w:t>5</w:t>
      </w:r>
      <w:r w:rsidR="00A22C58" w:rsidRPr="00A22C58">
        <w:rPr>
          <w:i/>
          <w:iCs/>
        </w:rPr>
        <w:t>.</w:t>
      </w:r>
      <w:r w:rsidR="003D4A35" w:rsidRPr="00A22C58">
        <w:rPr>
          <w:i/>
          <w:iCs/>
        </w:rPr>
        <w:t xml:space="preserve"> </w:t>
      </w:r>
      <w:r w:rsidR="00025A2A" w:rsidRPr="00A22C58">
        <w:rPr>
          <w:i/>
          <w:iCs/>
        </w:rPr>
        <w:t>Identifying duty</w:t>
      </w:r>
      <w:r w:rsidR="004513A3" w:rsidRPr="00A22C58">
        <w:rPr>
          <w:i/>
          <w:iCs/>
        </w:rPr>
        <w:t>-</w:t>
      </w:r>
      <w:r w:rsidR="00025A2A" w:rsidRPr="00A22C58">
        <w:rPr>
          <w:i/>
          <w:iCs/>
        </w:rPr>
        <w:t>bearers and duty</w:t>
      </w:r>
      <w:r w:rsidR="004513A3" w:rsidRPr="00A22C58">
        <w:rPr>
          <w:i/>
          <w:iCs/>
        </w:rPr>
        <w:t>-</w:t>
      </w:r>
      <w:r w:rsidR="00025A2A" w:rsidRPr="00A22C58">
        <w:rPr>
          <w:i/>
          <w:iCs/>
        </w:rPr>
        <w:t>content</w:t>
      </w:r>
    </w:p>
    <w:p w14:paraId="67712E73" w14:textId="485452B3" w:rsidR="00475C4B" w:rsidRDefault="0016206C" w:rsidP="007E6426">
      <w:pPr>
        <w:tabs>
          <w:tab w:val="left" w:pos="1985"/>
        </w:tabs>
        <w:spacing w:line="360" w:lineRule="auto"/>
      </w:pPr>
      <w:r w:rsidRPr="00564306">
        <w:lastRenderedPageBreak/>
        <w:t>On Brownlee’s account, the</w:t>
      </w:r>
      <w:r w:rsidR="003D4A35" w:rsidRPr="00564306">
        <w:t xml:space="preserve"> social connection claim-rights of </w:t>
      </w:r>
      <w:r w:rsidR="00025A2A">
        <w:t xml:space="preserve">vulnerable </w:t>
      </w:r>
      <w:r w:rsidR="003D4A35" w:rsidRPr="00564306">
        <w:t>others can limit our freedom of association, when those connections are necessary to avoid social deprivation.</w:t>
      </w:r>
      <w:r w:rsidR="008D3733">
        <w:t xml:space="preserve"> </w:t>
      </w:r>
      <w:r w:rsidR="00430250" w:rsidRPr="00564306">
        <w:t>One potential challenge</w:t>
      </w:r>
      <w:r w:rsidR="00430250">
        <w:t xml:space="preserve"> that Brownlee considers is</w:t>
      </w:r>
      <w:r w:rsidR="00430250" w:rsidRPr="00564306">
        <w:t xml:space="preserve"> </w:t>
      </w:r>
      <w:proofErr w:type="spellStart"/>
      <w:r w:rsidR="00430250" w:rsidRPr="00564306">
        <w:t>Onora</w:t>
      </w:r>
      <w:proofErr w:type="spellEnd"/>
      <w:r w:rsidR="00430250" w:rsidRPr="00564306">
        <w:t xml:space="preserve"> O’Neil</w:t>
      </w:r>
      <w:r w:rsidR="00062C5A">
        <w:t>l</w:t>
      </w:r>
      <w:r w:rsidR="00430250" w:rsidRPr="00564306">
        <w:t xml:space="preserve">’s </w:t>
      </w:r>
      <w:r w:rsidR="00430250" w:rsidRPr="00F03EEC">
        <w:t>view</w:t>
      </w:r>
      <w:r w:rsidR="00430250">
        <w:t>, which</w:t>
      </w:r>
      <w:r w:rsidR="00430250" w:rsidRPr="00F03EEC">
        <w:t xml:space="preserve"> holds that a claim-right cannot be operationalised in the absence of identifiable duty-bearers who are under specific duties. </w:t>
      </w:r>
      <w:r w:rsidR="00430250" w:rsidRPr="00564306">
        <w:t>Drawing</w:t>
      </w:r>
      <w:r w:rsidR="00565AC7">
        <w:t xml:space="preserve"> </w:t>
      </w:r>
      <w:r w:rsidR="00430250" w:rsidRPr="00564306">
        <w:t xml:space="preserve">on John </w:t>
      </w:r>
      <w:proofErr w:type="spellStart"/>
      <w:r w:rsidR="00430250" w:rsidRPr="00564306">
        <w:t>Tasioulas’s</w:t>
      </w:r>
      <w:proofErr w:type="spellEnd"/>
      <w:r w:rsidR="00430250" w:rsidRPr="00564306">
        <w:t xml:space="preserve"> argument, Brownlee counters that on an interest-based account of rights, identifying particular duty</w:t>
      </w:r>
      <w:r w:rsidR="001B72C2">
        <w:t>-</w:t>
      </w:r>
      <w:r w:rsidR="00430250" w:rsidRPr="00564306">
        <w:t xml:space="preserve">bearers is a further step, not needed </w:t>
      </w:r>
      <w:r w:rsidR="00430250">
        <w:t>for</w:t>
      </w:r>
      <w:r w:rsidR="00430250" w:rsidRPr="00564306">
        <w:t xml:space="preserve"> </w:t>
      </w:r>
      <w:r w:rsidR="001B72C2" w:rsidRPr="00564306">
        <w:t>identif</w:t>
      </w:r>
      <w:r w:rsidR="001B72C2">
        <w:t>ying</w:t>
      </w:r>
      <w:r w:rsidR="00430250" w:rsidRPr="00564306">
        <w:t xml:space="preserve"> the right </w:t>
      </w:r>
      <w:r w:rsidR="00CC24B4" w:rsidRPr="00CC24B4">
        <w:rPr>
          <w:rFonts w:ascii="Calibri" w:cs="Calibri"/>
        </w:rPr>
        <w:t>(2020:</w:t>
      </w:r>
      <w:r w:rsidR="00C46176">
        <w:rPr>
          <w:rFonts w:ascii="Calibri" w:cs="Calibri"/>
        </w:rPr>
        <w:t xml:space="preserve"> </w:t>
      </w:r>
      <w:r w:rsidR="00CC24B4" w:rsidRPr="00CC24B4">
        <w:rPr>
          <w:rFonts w:ascii="Calibri" w:cs="Calibri"/>
        </w:rPr>
        <w:t>59–61)</w:t>
      </w:r>
      <w:r w:rsidR="00430250" w:rsidRPr="00564306">
        <w:t xml:space="preserve">. </w:t>
      </w:r>
    </w:p>
    <w:p w14:paraId="06F1A7D4" w14:textId="77777777" w:rsidR="00475C4B" w:rsidRDefault="00475C4B" w:rsidP="007E6426">
      <w:pPr>
        <w:tabs>
          <w:tab w:val="left" w:pos="1985"/>
        </w:tabs>
        <w:spacing w:line="360" w:lineRule="auto"/>
      </w:pPr>
    </w:p>
    <w:p w14:paraId="1F8C42AC" w14:textId="4529C7D4" w:rsidR="003D4A35" w:rsidRPr="00564306" w:rsidRDefault="00430250" w:rsidP="007E6426">
      <w:pPr>
        <w:tabs>
          <w:tab w:val="left" w:pos="1985"/>
        </w:tabs>
        <w:spacing w:line="360" w:lineRule="auto"/>
      </w:pPr>
      <w:r>
        <w:t>I</w:t>
      </w:r>
      <w:r w:rsidRPr="00564306">
        <w:t>n practice</w:t>
      </w:r>
      <w:r>
        <w:t xml:space="preserve"> we still need to know</w:t>
      </w:r>
      <w:r w:rsidRPr="00564306">
        <w:t xml:space="preserve"> how this duty may be fulfilled, by whom, and what counts as successful discharge of the duty</w:t>
      </w:r>
      <w:r w:rsidR="00475C4B">
        <w:t>, and I suggest that care ethics approaches may help us</w:t>
      </w:r>
      <w:r w:rsidRPr="00564306">
        <w:t xml:space="preserve">. </w:t>
      </w:r>
      <w:r w:rsidR="00475C4B" w:rsidRPr="00564306">
        <w:t>I consider some of Brownlee’s examples.</w:t>
      </w:r>
      <w:r w:rsidR="00475C4B">
        <w:t xml:space="preserve"> Existing relationships indicate primary duty-bearers, but ultimately vulnerability and proximity seem more important.</w:t>
      </w:r>
      <w:r w:rsidR="00475C4B" w:rsidRPr="00564306">
        <w:t xml:space="preserve"> </w:t>
      </w:r>
      <w:r w:rsidR="00DF3FB9">
        <w:t>Yet, e</w:t>
      </w:r>
      <w:r w:rsidR="00BA1C16" w:rsidRPr="00564306">
        <w:t xml:space="preserve">ven where I </w:t>
      </w:r>
      <w:r w:rsidR="00475C4B">
        <w:t>disagree with her discussion</w:t>
      </w:r>
      <w:r w:rsidR="003D4A35" w:rsidRPr="00564306">
        <w:t xml:space="preserve">, </w:t>
      </w:r>
      <w:r w:rsidR="00BA1C16" w:rsidRPr="00564306">
        <w:t xml:space="preserve">these </w:t>
      </w:r>
      <w:r w:rsidR="002209FA" w:rsidRPr="00564306">
        <w:t>cases</w:t>
      </w:r>
      <w:r w:rsidR="00BA1C16" w:rsidRPr="00564306">
        <w:t xml:space="preserve"> </w:t>
      </w:r>
      <w:r w:rsidR="004513A3">
        <w:t xml:space="preserve">illuminate </w:t>
      </w:r>
      <w:r w:rsidR="003D4A35" w:rsidRPr="00564306">
        <w:t xml:space="preserve">the </w:t>
      </w:r>
      <w:r w:rsidR="002209FA" w:rsidRPr="00564306">
        <w:t xml:space="preserve">importance </w:t>
      </w:r>
      <w:r w:rsidR="004513A3">
        <w:t xml:space="preserve">and complexity </w:t>
      </w:r>
      <w:r w:rsidR="002209FA" w:rsidRPr="00564306">
        <w:t>of</w:t>
      </w:r>
      <w:r w:rsidR="00DF3FB9">
        <w:t xml:space="preserve"> the </w:t>
      </w:r>
      <w:r w:rsidR="003D4A35" w:rsidRPr="00564306">
        <w:t xml:space="preserve">social </w:t>
      </w:r>
      <w:r w:rsidR="0031432E">
        <w:t xml:space="preserve">that </w:t>
      </w:r>
      <w:r w:rsidR="003D4A35" w:rsidRPr="0031432E">
        <w:t>connection</w:t>
      </w:r>
      <w:r w:rsidR="00DF3FB9" w:rsidRPr="0031432E">
        <w:t xml:space="preserve"> Brownlee articulates</w:t>
      </w:r>
      <w:r w:rsidR="003D4A35" w:rsidRPr="0031432E">
        <w:t xml:space="preserve">. </w:t>
      </w:r>
      <w:r w:rsidR="00FD78F3" w:rsidRPr="0031432E">
        <w:t>Brownlee considers that our duties to connect with some</w:t>
      </w:r>
      <w:r w:rsidR="00FD78F3">
        <w:t xml:space="preserve"> types of others persist even when the duty is </w:t>
      </w:r>
      <w:r w:rsidR="0053490B">
        <w:t>severely</w:t>
      </w:r>
      <w:r w:rsidR="00FD78F3">
        <w:t xml:space="preserve"> burdensome. </w:t>
      </w:r>
      <w:r w:rsidR="00DF3FB9">
        <w:t>For example:</w:t>
      </w:r>
    </w:p>
    <w:p w14:paraId="733D9D64" w14:textId="1DCBFA38" w:rsidR="008313AD" w:rsidRPr="00564306" w:rsidRDefault="008313AD" w:rsidP="003D4A35">
      <w:pPr>
        <w:autoSpaceDE w:val="0"/>
        <w:autoSpaceDN w:val="0"/>
        <w:adjustRightInd w:val="0"/>
        <w:spacing w:line="360" w:lineRule="auto"/>
      </w:pPr>
    </w:p>
    <w:p w14:paraId="1809D72B" w14:textId="7BD7EEC0" w:rsidR="008313AD" w:rsidRPr="00564306" w:rsidRDefault="008313AD" w:rsidP="008313AD">
      <w:pPr>
        <w:pStyle w:val="ListParagraph"/>
        <w:numPr>
          <w:ilvl w:val="0"/>
          <w:numId w:val="1"/>
        </w:numPr>
        <w:autoSpaceDE w:val="0"/>
        <w:autoSpaceDN w:val="0"/>
        <w:adjustRightInd w:val="0"/>
        <w:spacing w:line="360" w:lineRule="auto"/>
      </w:pPr>
      <w:r w:rsidRPr="00564306">
        <w:t xml:space="preserve">Parents may not deny connection to their child, even in the case that the child is </w:t>
      </w:r>
      <w:r w:rsidR="00FD78F3">
        <w:t>‘</w:t>
      </w:r>
      <w:r w:rsidRPr="00564306">
        <w:t>wanted by the police.</w:t>
      </w:r>
      <w:r w:rsidR="00FD78F3">
        <w:t>’</w:t>
      </w:r>
      <w:r w:rsidRPr="00564306">
        <w:t xml:space="preserve"> </w:t>
      </w:r>
    </w:p>
    <w:p w14:paraId="4C9048A3" w14:textId="1D5689B8" w:rsidR="008313AD" w:rsidRPr="00564306" w:rsidRDefault="00CC24B4" w:rsidP="008313AD">
      <w:pPr>
        <w:pStyle w:val="ListParagraph"/>
        <w:autoSpaceDE w:val="0"/>
        <w:autoSpaceDN w:val="0"/>
        <w:adjustRightInd w:val="0"/>
        <w:spacing w:line="360" w:lineRule="auto"/>
      </w:pPr>
      <w:r w:rsidRPr="00CC24B4">
        <w:rPr>
          <w:rFonts w:ascii="Calibri" w:cs="Calibri"/>
        </w:rPr>
        <w:t>(2020:</w:t>
      </w:r>
      <w:r w:rsidR="00C46176">
        <w:rPr>
          <w:rFonts w:ascii="Calibri" w:cs="Calibri"/>
        </w:rPr>
        <w:t xml:space="preserve"> </w:t>
      </w:r>
      <w:r w:rsidRPr="00CC24B4">
        <w:rPr>
          <w:rFonts w:ascii="Calibri" w:cs="Calibri"/>
        </w:rPr>
        <w:t>136–37)</w:t>
      </w:r>
    </w:p>
    <w:p w14:paraId="563F8202" w14:textId="77777777" w:rsidR="008313AD" w:rsidRPr="00564306" w:rsidRDefault="008313AD" w:rsidP="008313AD">
      <w:pPr>
        <w:tabs>
          <w:tab w:val="left" w:pos="1985"/>
        </w:tabs>
        <w:spacing w:line="360" w:lineRule="auto"/>
      </w:pPr>
    </w:p>
    <w:p w14:paraId="47BC4A5D" w14:textId="177E9610" w:rsidR="00032E6A" w:rsidRPr="00564306" w:rsidRDefault="00DF3FB9" w:rsidP="00032E6A">
      <w:pPr>
        <w:tabs>
          <w:tab w:val="left" w:pos="1985"/>
        </w:tabs>
        <w:spacing w:line="360" w:lineRule="auto"/>
      </w:pPr>
      <w:r>
        <w:t xml:space="preserve">Here, connection might be as simple as </w:t>
      </w:r>
      <w:r w:rsidR="00103616">
        <w:t>responding</w:t>
      </w:r>
      <w:r>
        <w:t xml:space="preserve"> </w:t>
      </w:r>
      <w:r w:rsidR="00103616">
        <w:t xml:space="preserve">to </w:t>
      </w:r>
      <w:r>
        <w:t>conversation</w:t>
      </w:r>
      <w:r w:rsidR="00103616">
        <w:t>al advances</w:t>
      </w:r>
      <w:r>
        <w:t>, talking over difficulties, providing empathy and reassurance or solution-seeking brainstorming</w:t>
      </w:r>
      <w:r w:rsidR="00103616">
        <w:t>, offering a hug</w:t>
      </w:r>
      <w:r>
        <w:t xml:space="preserve">. Brownlee does not specify. Nor are we told the </w:t>
      </w:r>
      <w:r w:rsidR="00103616">
        <w:t>age o</w:t>
      </w:r>
      <w:r w:rsidR="002E7943">
        <w:t>f</w:t>
      </w:r>
      <w:r w:rsidR="00103616">
        <w:t xml:space="preserve"> the </w:t>
      </w:r>
      <w:r>
        <w:t>child</w:t>
      </w:r>
      <w:r w:rsidR="00103616">
        <w:t>,</w:t>
      </w:r>
      <w:r>
        <w:t xml:space="preserve"> or the reason the</w:t>
      </w:r>
      <w:r w:rsidR="00103616">
        <w:t xml:space="preserve"> child is</w:t>
      </w:r>
      <w:r w:rsidR="00565AC7">
        <w:t xml:space="preserve"> </w:t>
      </w:r>
      <w:r>
        <w:t>‘wanted’</w:t>
      </w:r>
      <w:r w:rsidR="00103616">
        <w:t xml:space="preserve"> (presumably suspected criminal conduct)</w:t>
      </w:r>
      <w:r>
        <w:t xml:space="preserve">. </w:t>
      </w:r>
      <w:r w:rsidR="008313AD" w:rsidRPr="00564306">
        <w:t>We need more information about th</w:t>
      </w:r>
      <w:r w:rsidR="003819A0">
        <w:t>i</w:t>
      </w:r>
      <w:r w:rsidR="00E330D5">
        <w:t>s</w:t>
      </w:r>
      <w:r w:rsidR="008313AD" w:rsidRPr="00564306">
        <w:t xml:space="preserve"> particular situation. Generally, we should preserve parent-child relationships wherever possible, and in complex cases parents should have access to extensive support – but </w:t>
      </w:r>
      <w:r w:rsidR="0004340D">
        <w:t>preserving relationships</w:t>
      </w:r>
      <w:r w:rsidR="008313AD" w:rsidRPr="00564306">
        <w:t xml:space="preserve"> may not always </w:t>
      </w:r>
      <w:r w:rsidR="008313AD" w:rsidRPr="00564306">
        <w:rPr>
          <w:i/>
          <w:iCs/>
        </w:rPr>
        <w:t>be</w:t>
      </w:r>
      <w:r w:rsidR="008313AD" w:rsidRPr="00564306">
        <w:t xml:space="preserve"> possible. In England and Wales, the age of criminal responsibility is 10, and so very young children may be ‘wanted’</w:t>
      </w:r>
      <w:r w:rsidR="00D620A9" w:rsidRPr="00564306">
        <w:t>, who need connection with their parents</w:t>
      </w:r>
      <w:r w:rsidR="008313AD" w:rsidRPr="00564306">
        <w:t xml:space="preserve">. </w:t>
      </w:r>
      <w:r w:rsidR="004E226A" w:rsidRPr="00564306">
        <w:t>But, o</w:t>
      </w:r>
      <w:r w:rsidR="008313AD" w:rsidRPr="00564306">
        <w:t xml:space="preserve">n some occasions, it </w:t>
      </w:r>
      <w:r w:rsidR="00E330D5">
        <w:t xml:space="preserve">can be </w:t>
      </w:r>
      <w:r w:rsidR="008313AD" w:rsidRPr="00564306">
        <w:t xml:space="preserve">necessary for the wellbeing of at least one party to </w:t>
      </w:r>
      <w:r w:rsidR="008D3733">
        <w:t xml:space="preserve">suspend </w:t>
      </w:r>
      <w:r w:rsidR="008313AD" w:rsidRPr="00564306">
        <w:t xml:space="preserve">or end a relationship. </w:t>
      </w:r>
      <w:r w:rsidR="00BA1C16" w:rsidRPr="00564306">
        <w:t>Whe</w:t>
      </w:r>
      <w:r w:rsidR="00364464">
        <w:t>n</w:t>
      </w:r>
      <w:r w:rsidR="00BA1C16" w:rsidRPr="00564306">
        <w:t xml:space="preserve"> </w:t>
      </w:r>
      <w:r w:rsidR="008313AD" w:rsidRPr="00564306">
        <w:t>an older or adult child</w:t>
      </w:r>
      <w:r w:rsidR="00BA1C16" w:rsidRPr="00564306">
        <w:t xml:space="preserve"> is</w:t>
      </w:r>
      <w:r w:rsidR="008313AD" w:rsidRPr="00564306">
        <w:t xml:space="preserve"> ‘wanted’ in relation to a pattern of </w:t>
      </w:r>
      <w:r w:rsidR="00BA1C16" w:rsidRPr="00564306">
        <w:t xml:space="preserve">criminal </w:t>
      </w:r>
      <w:r w:rsidR="008313AD" w:rsidRPr="00564306">
        <w:t xml:space="preserve">behaviour that is abusive, violent, or otherwise dangerous, towards </w:t>
      </w:r>
      <w:r w:rsidR="00253A6F" w:rsidRPr="00564306">
        <w:t>e</w:t>
      </w:r>
      <w:r w:rsidR="00744772" w:rsidRPr="00564306">
        <w:t>ither</w:t>
      </w:r>
      <w:r w:rsidR="00253A6F" w:rsidRPr="00564306">
        <w:t xml:space="preserve"> the individual </w:t>
      </w:r>
      <w:r w:rsidR="008313AD" w:rsidRPr="00564306">
        <w:t xml:space="preserve">themselves, </w:t>
      </w:r>
      <w:r w:rsidR="00253A6F" w:rsidRPr="00564306">
        <w:t xml:space="preserve">or </w:t>
      </w:r>
      <w:r w:rsidR="008313AD" w:rsidRPr="00564306">
        <w:t>the parent</w:t>
      </w:r>
      <w:r w:rsidR="001B716F">
        <w:t xml:space="preserve">, or the parent’s </w:t>
      </w:r>
      <w:r w:rsidR="008313AD" w:rsidRPr="00564306">
        <w:t xml:space="preserve">other </w:t>
      </w:r>
      <w:r w:rsidR="008313AD" w:rsidRPr="00564306">
        <w:lastRenderedPageBreak/>
        <w:t>dependent</w:t>
      </w:r>
      <w:r w:rsidR="00253A6F" w:rsidRPr="00564306">
        <w:t>s</w:t>
      </w:r>
      <w:r w:rsidR="008313AD" w:rsidRPr="00564306">
        <w:t xml:space="preserve">; </w:t>
      </w:r>
      <w:r w:rsidR="00364464">
        <w:t>suspending or severing</w:t>
      </w:r>
      <w:r w:rsidR="00253A6F" w:rsidRPr="00564306">
        <w:t xml:space="preserve"> the relationship may be in the best interest of the parties</w:t>
      </w:r>
      <w:r w:rsidR="008313AD" w:rsidRPr="00564306">
        <w:t xml:space="preserve">. </w:t>
      </w:r>
      <w:r w:rsidR="00032E6A" w:rsidRPr="00564306">
        <w:t xml:space="preserve">Relationships matter, but they matter </w:t>
      </w:r>
      <w:r w:rsidR="00032E6A" w:rsidRPr="00564306">
        <w:rPr>
          <w:i/>
          <w:iCs/>
        </w:rPr>
        <w:t>for</w:t>
      </w:r>
      <w:r w:rsidR="00032E6A" w:rsidRPr="00564306">
        <w:t xml:space="preserve"> individuals. Bad relationships can be harmful.</w:t>
      </w:r>
    </w:p>
    <w:p w14:paraId="7555AE8D" w14:textId="77777777" w:rsidR="00032E6A" w:rsidRDefault="00032E6A" w:rsidP="0037080C">
      <w:pPr>
        <w:tabs>
          <w:tab w:val="left" w:pos="1985"/>
        </w:tabs>
        <w:spacing w:line="360" w:lineRule="auto"/>
      </w:pPr>
    </w:p>
    <w:p w14:paraId="23D68B44" w14:textId="5F301061" w:rsidR="00D26B1E" w:rsidRDefault="00F06DCA" w:rsidP="00E31994">
      <w:pPr>
        <w:tabs>
          <w:tab w:val="left" w:pos="1985"/>
        </w:tabs>
        <w:spacing w:line="360" w:lineRule="auto"/>
      </w:pPr>
      <w:r>
        <w:t>If things are this bad, th</w:t>
      </w:r>
      <w:r w:rsidR="008313AD" w:rsidRPr="00564306">
        <w:t xml:space="preserve">is might be indicative of broader systemic failings of support for the family, </w:t>
      </w:r>
      <w:r w:rsidR="00800F75">
        <w:t xml:space="preserve">and </w:t>
      </w:r>
      <w:r w:rsidR="00EE1038">
        <w:t xml:space="preserve">past </w:t>
      </w:r>
      <w:r w:rsidR="00800F75">
        <w:t>political decisions about how to</w:t>
      </w:r>
      <w:r w:rsidR="00EE1038">
        <w:t xml:space="preserve"> value,</w:t>
      </w:r>
      <w:r w:rsidR="00800F75">
        <w:t xml:space="preserve"> resource</w:t>
      </w:r>
      <w:r w:rsidR="00EE1038">
        <w:t>,</w:t>
      </w:r>
      <w:r w:rsidR="00800F75">
        <w:t xml:space="preserve"> and provide </w:t>
      </w:r>
      <w:r w:rsidR="00EE1038">
        <w:t>care. B</w:t>
      </w:r>
      <w:r w:rsidR="008313AD" w:rsidRPr="00564306">
        <w:t xml:space="preserve">ut protecting individuals </w:t>
      </w:r>
      <w:r w:rsidR="008D3733">
        <w:t xml:space="preserve">in the here and now </w:t>
      </w:r>
      <w:r w:rsidR="008313AD" w:rsidRPr="00564306">
        <w:t>is also important.</w:t>
      </w:r>
      <w:r w:rsidRPr="00F06DCA">
        <w:t xml:space="preserve"> </w:t>
      </w:r>
      <w:r>
        <w:t>The parent may do the right thing, all things considered</w:t>
      </w:r>
      <w:r w:rsidR="008D3733">
        <w:t>, withdrawing connection</w:t>
      </w:r>
      <w:r>
        <w:t xml:space="preserve"> to protect themselves and other dependents, but still breach a pro tanto duty to connect</w:t>
      </w:r>
      <w:r w:rsidR="003903FE">
        <w:t xml:space="preserve"> with </w:t>
      </w:r>
      <w:r w:rsidR="003903FE" w:rsidRPr="003903FE">
        <w:rPr>
          <w:i/>
          <w:iCs/>
        </w:rPr>
        <w:t>their</w:t>
      </w:r>
      <w:r w:rsidR="003903FE">
        <w:t xml:space="preserve"> child</w:t>
      </w:r>
      <w:r w:rsidR="00103616">
        <w:t>, acknowledging the pro tanto wrong in the failure to connect</w:t>
      </w:r>
      <w:r w:rsidR="00032E6A">
        <w:t xml:space="preserve">. </w:t>
      </w:r>
      <w:r>
        <w:t xml:space="preserve">Anyone concerned that Brownlee’s </w:t>
      </w:r>
      <w:r w:rsidR="00032E6A">
        <w:t>right against social de</w:t>
      </w:r>
      <w:r w:rsidR="001B716F">
        <w:t xml:space="preserve">privation is too demanding or </w:t>
      </w:r>
      <w:r w:rsidR="004513A3">
        <w:t xml:space="preserve">restrictive </w:t>
      </w:r>
      <w:r w:rsidR="001B716F">
        <w:t xml:space="preserve">of </w:t>
      </w:r>
      <w:r w:rsidR="00032E6A">
        <w:t>individual freedom</w:t>
      </w:r>
      <w:r w:rsidR="004513A3">
        <w:t>s</w:t>
      </w:r>
      <w:r w:rsidR="00032E6A">
        <w:t xml:space="preserve"> of association should be reassured. </w:t>
      </w:r>
      <w:r>
        <w:t xml:space="preserve">This all things considered permission </w:t>
      </w:r>
      <w:r w:rsidR="003903FE" w:rsidRPr="00FD78F3">
        <w:rPr>
          <w:i/>
          <w:iCs/>
        </w:rPr>
        <w:t>not</w:t>
      </w:r>
      <w:r w:rsidR="003903FE">
        <w:t xml:space="preserve"> to connect</w:t>
      </w:r>
      <w:r w:rsidR="00FD78F3">
        <w:t>,</w:t>
      </w:r>
      <w:r w:rsidR="003903FE">
        <w:t xml:space="preserve"> </w:t>
      </w:r>
      <w:r w:rsidR="004513A3">
        <w:t xml:space="preserve">hints at </w:t>
      </w:r>
      <w:r>
        <w:t xml:space="preserve">the extent to which even intimate others’ rights against social deprivation </w:t>
      </w:r>
      <w:r w:rsidR="001B716F">
        <w:t xml:space="preserve">may </w:t>
      </w:r>
      <w:r>
        <w:t>constrain our freedom of association</w:t>
      </w:r>
      <w:r w:rsidR="00103616">
        <w:t xml:space="preserve"> when they become severely burdensome</w:t>
      </w:r>
      <w:r>
        <w:t>.</w:t>
      </w:r>
      <w:r w:rsidR="008313AD" w:rsidRPr="00564306">
        <w:t xml:space="preserve"> </w:t>
      </w:r>
      <w:r w:rsidR="00032E6A">
        <w:t xml:space="preserve">Put another way, </w:t>
      </w:r>
      <w:r w:rsidR="003903FE">
        <w:t xml:space="preserve">our vulnerability matters as well </w:t>
      </w:r>
      <w:r w:rsidR="00D13A8B">
        <w:t xml:space="preserve">as </w:t>
      </w:r>
      <w:r w:rsidR="003903FE">
        <w:t>that of the person we connect with</w:t>
      </w:r>
      <w:r w:rsidR="009F52F2">
        <w:t>, and w</w:t>
      </w:r>
      <w:r w:rsidR="009F52F2" w:rsidRPr="00564306">
        <w:t xml:space="preserve">ithout attending to our own needs we </w:t>
      </w:r>
      <w:r w:rsidR="009F52F2">
        <w:t>cannot</w:t>
      </w:r>
      <w:r w:rsidR="009F52F2" w:rsidRPr="00564306">
        <w:t xml:space="preserve"> offer </w:t>
      </w:r>
      <w:r w:rsidR="009F52F2">
        <w:t xml:space="preserve">support </w:t>
      </w:r>
      <w:r w:rsidR="009F52F2" w:rsidRPr="00564306">
        <w:t>to others</w:t>
      </w:r>
      <w:r w:rsidR="00AF4579" w:rsidRPr="00564306">
        <w:t xml:space="preserve">. Needs-meeting which demands </w:t>
      </w:r>
      <w:r w:rsidR="00D620A9" w:rsidRPr="00564306">
        <w:t>sel</w:t>
      </w:r>
      <w:r w:rsidR="00744772" w:rsidRPr="00564306">
        <w:t>f</w:t>
      </w:r>
      <w:r w:rsidR="00AF4579" w:rsidRPr="00564306">
        <w:t xml:space="preserve">-sacrifice or erases the care-giver’s autonomy is distorted care </w:t>
      </w:r>
      <w:r w:rsidR="00CC24B4">
        <w:rPr>
          <w:noProof/>
        </w:rPr>
        <w:t>(Clement 1996:</w:t>
      </w:r>
      <w:r w:rsidR="00C46176">
        <w:rPr>
          <w:noProof/>
        </w:rPr>
        <w:t xml:space="preserve"> </w:t>
      </w:r>
      <w:r w:rsidR="00CC24B4">
        <w:rPr>
          <w:noProof/>
        </w:rPr>
        <w:t>43)</w:t>
      </w:r>
      <w:r w:rsidR="00744772" w:rsidRPr="00564306">
        <w:t>, whereas m</w:t>
      </w:r>
      <w:r w:rsidR="00B56140" w:rsidRPr="00564306">
        <w:t xml:space="preserve">ature care </w:t>
      </w:r>
      <w:r w:rsidR="00B25128" w:rsidRPr="00564306">
        <w:t>recognises</w:t>
      </w:r>
      <w:r w:rsidR="00B56140" w:rsidRPr="00564306">
        <w:t xml:space="preserve"> the needs of both parties </w:t>
      </w:r>
      <w:r w:rsidR="00CC24B4">
        <w:rPr>
          <w:noProof/>
        </w:rPr>
        <w:t>(Pettersen 2012)</w:t>
      </w:r>
      <w:r w:rsidR="00B56140" w:rsidRPr="00564306">
        <w:t xml:space="preserve">. </w:t>
      </w:r>
    </w:p>
    <w:p w14:paraId="15D00791" w14:textId="77777777" w:rsidR="00D26B1E" w:rsidRDefault="00D26B1E" w:rsidP="00E31994">
      <w:pPr>
        <w:tabs>
          <w:tab w:val="left" w:pos="1985"/>
        </w:tabs>
        <w:spacing w:line="360" w:lineRule="auto"/>
      </w:pPr>
    </w:p>
    <w:p w14:paraId="55381E41" w14:textId="78A9668C" w:rsidR="003D4A35" w:rsidRDefault="008C34D4" w:rsidP="00E31994">
      <w:pPr>
        <w:tabs>
          <w:tab w:val="left" w:pos="1985"/>
        </w:tabs>
        <w:spacing w:line="360" w:lineRule="auto"/>
      </w:pPr>
      <w:r w:rsidRPr="00564306">
        <w:t>The limits on our associative freedom are</w:t>
      </w:r>
      <w:r>
        <w:t xml:space="preserve"> then</w:t>
      </w:r>
      <w:r w:rsidRPr="00564306">
        <w:t xml:space="preserve"> less about the duties or ‘special nature’ of the parent-child relationship; and more about vulnerability and capacity to help. </w:t>
      </w:r>
      <w:r w:rsidR="003903FE">
        <w:t xml:space="preserve">Another of Brownlee’s examples helps clarify </w:t>
      </w:r>
      <w:r w:rsidR="00E31994">
        <w:t>this:</w:t>
      </w:r>
    </w:p>
    <w:p w14:paraId="20CE7AB9" w14:textId="77777777" w:rsidR="00E31994" w:rsidRPr="00564306" w:rsidRDefault="00E31994" w:rsidP="00E31994">
      <w:pPr>
        <w:tabs>
          <w:tab w:val="left" w:pos="1985"/>
        </w:tabs>
        <w:spacing w:line="360" w:lineRule="auto"/>
      </w:pPr>
    </w:p>
    <w:p w14:paraId="4C2D7AE4" w14:textId="5A7BF46B" w:rsidR="003D4A35" w:rsidRPr="00564306" w:rsidRDefault="003D4A35" w:rsidP="00F207AC">
      <w:pPr>
        <w:pStyle w:val="ListParagraph"/>
        <w:numPr>
          <w:ilvl w:val="0"/>
          <w:numId w:val="1"/>
        </w:numPr>
        <w:autoSpaceDE w:val="0"/>
        <w:autoSpaceDN w:val="0"/>
        <w:adjustRightInd w:val="0"/>
        <w:spacing w:line="360" w:lineRule="auto"/>
      </w:pPr>
      <w:r w:rsidRPr="00564306">
        <w:t xml:space="preserve">a small boy, </w:t>
      </w:r>
      <w:r w:rsidRPr="00564306">
        <w:rPr>
          <w:i/>
          <w:iCs/>
        </w:rPr>
        <w:t>Kevin</w:t>
      </w:r>
      <w:r w:rsidRPr="00564306">
        <w:t>, attempts to befriend his ‘grumpy, retired neighbour, Mr Gustafson,’ following him around while Kevin’s parents work long hours.</w:t>
      </w:r>
    </w:p>
    <w:p w14:paraId="57B190E9" w14:textId="15F8BD2E" w:rsidR="000837E0" w:rsidRPr="00564306" w:rsidRDefault="00CC24B4" w:rsidP="000837E0">
      <w:pPr>
        <w:pStyle w:val="ListParagraph"/>
        <w:autoSpaceDE w:val="0"/>
        <w:autoSpaceDN w:val="0"/>
        <w:adjustRightInd w:val="0"/>
        <w:spacing w:line="360" w:lineRule="auto"/>
      </w:pPr>
      <w:r w:rsidRPr="00CC24B4">
        <w:rPr>
          <w:rFonts w:ascii="Calibri" w:cs="Calibri"/>
        </w:rPr>
        <w:t>(2020:</w:t>
      </w:r>
      <w:r w:rsidR="00C46176">
        <w:rPr>
          <w:rFonts w:ascii="Calibri" w:cs="Calibri"/>
        </w:rPr>
        <w:t xml:space="preserve"> </w:t>
      </w:r>
      <w:r w:rsidRPr="00CC24B4">
        <w:rPr>
          <w:rFonts w:ascii="Calibri" w:cs="Calibri"/>
        </w:rPr>
        <w:t>136–37)</w:t>
      </w:r>
    </w:p>
    <w:p w14:paraId="3AFB8224" w14:textId="21DB863C" w:rsidR="003D4A35" w:rsidRPr="00564306" w:rsidRDefault="003D4A35" w:rsidP="003D4A35">
      <w:pPr>
        <w:autoSpaceDE w:val="0"/>
        <w:autoSpaceDN w:val="0"/>
        <w:adjustRightInd w:val="0"/>
        <w:spacing w:line="360" w:lineRule="auto"/>
      </w:pPr>
    </w:p>
    <w:p w14:paraId="2A5CF33F" w14:textId="41FEEFF2" w:rsidR="003903FE" w:rsidRDefault="003903FE" w:rsidP="0037080C">
      <w:pPr>
        <w:autoSpaceDE w:val="0"/>
        <w:autoSpaceDN w:val="0"/>
        <w:adjustRightInd w:val="0"/>
        <w:spacing w:line="360" w:lineRule="auto"/>
      </w:pPr>
      <w:r>
        <w:t xml:space="preserve">I share </w:t>
      </w:r>
      <w:r w:rsidR="00FE3710" w:rsidRPr="00564306">
        <w:t>Brownlee</w:t>
      </w:r>
      <w:r>
        <w:t>’s view that</w:t>
      </w:r>
      <w:r w:rsidR="00FE3710" w:rsidRPr="00564306">
        <w:t xml:space="preserve">, where parents </w:t>
      </w:r>
      <w:r w:rsidR="002209FA" w:rsidRPr="00564306">
        <w:t>fail</w:t>
      </w:r>
      <w:r w:rsidR="00E31994">
        <w:t xml:space="preserve"> to provide connection to their children</w:t>
      </w:r>
      <w:r w:rsidR="00D620A9" w:rsidRPr="00564306">
        <w:t>,</w:t>
      </w:r>
      <w:r w:rsidR="00FE3710" w:rsidRPr="00564306">
        <w:t xml:space="preserve"> </w:t>
      </w:r>
      <w:r w:rsidR="00F31D26" w:rsidRPr="00564306">
        <w:t>any</w:t>
      </w:r>
      <w:r w:rsidR="00FE3710" w:rsidRPr="00564306">
        <w:t xml:space="preserve"> adult that the child attempts to engage with </w:t>
      </w:r>
      <w:r w:rsidR="00F31D26" w:rsidRPr="00564306">
        <w:t>has</w:t>
      </w:r>
      <w:r w:rsidR="00FE3710" w:rsidRPr="00564306">
        <w:t xml:space="preserve"> a similar duty to accept </w:t>
      </w:r>
      <w:r w:rsidR="00F31D26" w:rsidRPr="00564306">
        <w:t xml:space="preserve">social </w:t>
      </w:r>
      <w:r w:rsidR="00FE3710" w:rsidRPr="00564306">
        <w:t>connect</w:t>
      </w:r>
      <w:r w:rsidR="00F31D26" w:rsidRPr="00564306">
        <w:t>ion</w:t>
      </w:r>
      <w:r w:rsidR="00FE3710" w:rsidRPr="00564306">
        <w:t xml:space="preserve">. </w:t>
      </w:r>
      <w:r w:rsidR="003D4A35" w:rsidRPr="00564306">
        <w:t xml:space="preserve">‘Mr Gustafson has some moral duty to associate with Kevin given both Kevin’s need … and Mr Gustafson’s proximity and awareness of Kevin’s situation’ </w:t>
      </w:r>
      <w:r w:rsidR="00CC24B4">
        <w:t>(2020:</w:t>
      </w:r>
      <w:r w:rsidR="00C46176">
        <w:t xml:space="preserve"> </w:t>
      </w:r>
      <w:r w:rsidR="00CC24B4">
        <w:t>137)</w:t>
      </w:r>
      <w:r w:rsidR="003D4A35" w:rsidRPr="00564306">
        <w:t xml:space="preserve">. </w:t>
      </w:r>
      <w:r w:rsidR="000E772E">
        <w:t>Moreover, w</w:t>
      </w:r>
      <w:r w:rsidR="003D4A35" w:rsidRPr="00564306">
        <w:t xml:space="preserve">hile accepting Kevin’s conversation is </w:t>
      </w:r>
      <w:r w:rsidR="00090359">
        <w:t>not burdensome</w:t>
      </w:r>
      <w:r w:rsidR="003D4A35" w:rsidRPr="00564306">
        <w:t>,</w:t>
      </w:r>
      <w:r w:rsidR="00090359">
        <w:t xml:space="preserve"> Brownlee argues that</w:t>
      </w:r>
      <w:r w:rsidR="003D4A35" w:rsidRPr="00564306">
        <w:t xml:space="preserve"> Mr Gustafson still </w:t>
      </w:r>
      <w:r w:rsidR="003D4A35" w:rsidRPr="00564306">
        <w:lastRenderedPageBreak/>
        <w:t>h</w:t>
      </w:r>
      <w:r w:rsidR="00557FA8" w:rsidRPr="00564306">
        <w:t>as</w:t>
      </w:r>
      <w:r w:rsidR="003D4A35" w:rsidRPr="00564306">
        <w:t xml:space="preserve"> this duty even if it bec</w:t>
      </w:r>
      <w:r w:rsidR="00557FA8" w:rsidRPr="00564306">
        <w:t>omes</w:t>
      </w:r>
      <w:r w:rsidR="003D4A35" w:rsidRPr="00564306">
        <w:t xml:space="preserve"> </w:t>
      </w:r>
      <w:r w:rsidR="00A94E11">
        <w:t>burdensome</w:t>
      </w:r>
      <w:r w:rsidR="003D4A35" w:rsidRPr="00564306">
        <w:t xml:space="preserve">, </w:t>
      </w:r>
      <w:r w:rsidR="00090359">
        <w:t xml:space="preserve">since </w:t>
      </w:r>
      <w:r w:rsidR="00034F49" w:rsidRPr="00564306">
        <w:t>he</w:t>
      </w:r>
      <w:r w:rsidR="003D4A35" w:rsidRPr="00564306">
        <w:t xml:space="preserve"> </w:t>
      </w:r>
      <w:r w:rsidR="00034F49" w:rsidRPr="00564306">
        <w:t xml:space="preserve">is able </w:t>
      </w:r>
      <w:r w:rsidR="003D4A35" w:rsidRPr="00564306">
        <w:t>to prevent the harm of Kevin’s neglect</w:t>
      </w:r>
      <w:r w:rsidR="00034F49" w:rsidRPr="00564306">
        <w:t xml:space="preserve"> </w:t>
      </w:r>
      <w:r w:rsidR="00CC24B4">
        <w:rPr>
          <w:noProof/>
        </w:rPr>
        <w:t>(2020:</w:t>
      </w:r>
      <w:r w:rsidR="00C46176">
        <w:rPr>
          <w:noProof/>
        </w:rPr>
        <w:t xml:space="preserve"> </w:t>
      </w:r>
      <w:r w:rsidR="00CC24B4">
        <w:rPr>
          <w:noProof/>
        </w:rPr>
        <w:t>137)</w:t>
      </w:r>
      <w:r w:rsidR="003D4A35" w:rsidRPr="00564306">
        <w:t>.</w:t>
      </w:r>
      <w:r w:rsidR="00E31994">
        <w:t xml:space="preserve"> </w:t>
      </w:r>
    </w:p>
    <w:p w14:paraId="6B4FBB69" w14:textId="77777777" w:rsidR="003903FE" w:rsidRDefault="003903FE" w:rsidP="0037080C">
      <w:pPr>
        <w:autoSpaceDE w:val="0"/>
        <w:autoSpaceDN w:val="0"/>
        <w:adjustRightInd w:val="0"/>
        <w:spacing w:line="360" w:lineRule="auto"/>
      </w:pPr>
    </w:p>
    <w:p w14:paraId="32AB55F6" w14:textId="6C47DFE5" w:rsidR="00E31994" w:rsidRDefault="00BA1C16" w:rsidP="00E31994">
      <w:pPr>
        <w:autoSpaceDE w:val="0"/>
        <w:autoSpaceDN w:val="0"/>
        <w:adjustRightInd w:val="0"/>
        <w:spacing w:line="360" w:lineRule="auto"/>
      </w:pPr>
      <w:r w:rsidRPr="00564306">
        <w:t>Mr Gustafson’s duty to offer and receive social connection with Kevin stems from Kevin’s</w:t>
      </w:r>
      <w:r w:rsidRPr="00564306">
        <w:rPr>
          <w:i/>
          <w:iCs/>
        </w:rPr>
        <w:t xml:space="preserve"> need</w:t>
      </w:r>
      <w:r w:rsidRPr="00564306">
        <w:t xml:space="preserve"> </w:t>
      </w:r>
      <w:r w:rsidR="00253A6F" w:rsidRPr="00564306">
        <w:t>and</w:t>
      </w:r>
      <w:r w:rsidRPr="00564306">
        <w:t xml:space="preserve"> </w:t>
      </w:r>
      <w:r w:rsidRPr="00564306">
        <w:rPr>
          <w:i/>
          <w:iCs/>
        </w:rPr>
        <w:t>vulnerability</w:t>
      </w:r>
      <w:r w:rsidRPr="00564306">
        <w:t xml:space="preserve">, and Mr Gustafson’s </w:t>
      </w:r>
      <w:r w:rsidRPr="00564306">
        <w:rPr>
          <w:i/>
          <w:iCs/>
        </w:rPr>
        <w:t>proximity</w:t>
      </w:r>
      <w:r w:rsidRPr="00564306">
        <w:t xml:space="preserve"> and </w:t>
      </w:r>
      <w:r w:rsidRPr="00564306">
        <w:rPr>
          <w:i/>
          <w:iCs/>
        </w:rPr>
        <w:t>capacit</w:t>
      </w:r>
      <w:r w:rsidRPr="00564306">
        <w:t>y to help</w:t>
      </w:r>
      <w:r w:rsidR="00744772" w:rsidRPr="00564306">
        <w:t>.</w:t>
      </w:r>
      <w:r w:rsidR="00090359">
        <w:t xml:space="preserve"> </w:t>
      </w:r>
      <w:r w:rsidR="00A94E11">
        <w:t xml:space="preserve">Our </w:t>
      </w:r>
      <w:r w:rsidR="00090359">
        <w:t>dut</w:t>
      </w:r>
      <w:r w:rsidR="008C34D4">
        <w:t>ies</w:t>
      </w:r>
      <w:r w:rsidR="00090359">
        <w:t xml:space="preserve"> </w:t>
      </w:r>
      <w:r w:rsidR="00A94E11">
        <w:t xml:space="preserve">to meet a right against social deprivation </w:t>
      </w:r>
      <w:r w:rsidR="00090359">
        <w:t xml:space="preserve">comes from our </w:t>
      </w:r>
      <w:r w:rsidR="00126EDA">
        <w:t xml:space="preserve">comparative </w:t>
      </w:r>
      <w:r w:rsidR="00090359">
        <w:t xml:space="preserve">ability to prevent harm, not </w:t>
      </w:r>
      <w:r w:rsidR="000E772E">
        <w:t xml:space="preserve">necessarily </w:t>
      </w:r>
      <w:r w:rsidR="00126EDA">
        <w:t>the relationships</w:t>
      </w:r>
      <w:r w:rsidR="00D26B1E">
        <w:t>. Kevin’s parents have the first responsibility, but when they fail, others must step in</w:t>
      </w:r>
      <w:r w:rsidR="00126EDA" w:rsidRPr="007E6426">
        <w:rPr>
          <w:color w:val="000000" w:themeColor="text1"/>
        </w:rPr>
        <w:t xml:space="preserve">. </w:t>
      </w:r>
      <w:r w:rsidR="00D56FEA">
        <w:rPr>
          <w:color w:val="000000" w:themeColor="text1"/>
        </w:rPr>
        <w:t xml:space="preserve">Robert </w:t>
      </w:r>
      <w:r w:rsidR="00126EDA" w:rsidRPr="007E6426">
        <w:rPr>
          <w:color w:val="000000" w:themeColor="text1"/>
        </w:rPr>
        <w:t xml:space="preserve">Goodin similarly suggests that relationships </w:t>
      </w:r>
      <w:r w:rsidR="00A94E11" w:rsidRPr="007E6426">
        <w:rPr>
          <w:color w:val="000000" w:themeColor="text1"/>
        </w:rPr>
        <w:t xml:space="preserve">and duties </w:t>
      </w:r>
      <w:r w:rsidR="00126EDA" w:rsidRPr="007E6426">
        <w:rPr>
          <w:color w:val="000000" w:themeColor="text1"/>
        </w:rPr>
        <w:t xml:space="preserve">within families are not </w:t>
      </w:r>
      <w:r w:rsidR="00A94E11" w:rsidRPr="007E6426">
        <w:rPr>
          <w:color w:val="000000" w:themeColor="text1"/>
        </w:rPr>
        <w:t>‘</w:t>
      </w:r>
      <w:r w:rsidR="00126EDA" w:rsidRPr="007E6426">
        <w:rPr>
          <w:color w:val="000000" w:themeColor="text1"/>
        </w:rPr>
        <w:t>special</w:t>
      </w:r>
      <w:r w:rsidR="00A94E11" w:rsidRPr="007E6426">
        <w:rPr>
          <w:color w:val="000000" w:themeColor="text1"/>
        </w:rPr>
        <w:t>’</w:t>
      </w:r>
      <w:r w:rsidR="00126EDA" w:rsidRPr="007E6426">
        <w:rPr>
          <w:color w:val="000000" w:themeColor="text1"/>
        </w:rPr>
        <w:t xml:space="preserve">, rather those closest to us are more vulnerable to our actions and decisions to withhold assistance. For Goodin, an imprudent skater who ignores warning signs and falls through thin ice </w:t>
      </w:r>
      <w:r w:rsidR="00D56FEA">
        <w:t>depends on</w:t>
      </w:r>
      <w:r w:rsidR="00126EDA">
        <w:t xml:space="preserve"> bystander</w:t>
      </w:r>
      <w:r w:rsidR="00D26B1E">
        <w:t>’</w:t>
      </w:r>
      <w:r w:rsidR="00126EDA">
        <w:t xml:space="preserve">s </w:t>
      </w:r>
      <w:r w:rsidR="00D26B1E">
        <w:t xml:space="preserve">willingness </w:t>
      </w:r>
      <w:r w:rsidR="00126EDA">
        <w:t xml:space="preserve">to help. Goodin argues that the bystanders have duties to help because </w:t>
      </w:r>
      <w:r w:rsidR="00A94E11">
        <w:t>of</w:t>
      </w:r>
      <w:r w:rsidR="00126EDA">
        <w:t xml:space="preserve"> their capacity to prevent serious harm</w:t>
      </w:r>
      <w:r w:rsidR="00027F2B">
        <w:t xml:space="preserve"> </w:t>
      </w:r>
      <w:r w:rsidR="00CC24B4">
        <w:rPr>
          <w:noProof/>
        </w:rPr>
        <w:t>(1985:</w:t>
      </w:r>
      <w:r w:rsidR="00C46176">
        <w:rPr>
          <w:noProof/>
        </w:rPr>
        <w:t xml:space="preserve"> </w:t>
      </w:r>
      <w:r w:rsidR="00CC24B4">
        <w:rPr>
          <w:noProof/>
        </w:rPr>
        <w:t>129)</w:t>
      </w:r>
      <w:r w:rsidR="00126EDA">
        <w:t>.</w:t>
      </w:r>
      <w:r w:rsidR="00E31994">
        <w:t xml:space="preserve"> </w:t>
      </w:r>
    </w:p>
    <w:p w14:paraId="3C35D3C4" w14:textId="77777777" w:rsidR="006E0ACA" w:rsidRPr="00564306" w:rsidRDefault="006E0ACA" w:rsidP="006E0ACA">
      <w:pPr>
        <w:autoSpaceDE w:val="0"/>
        <w:autoSpaceDN w:val="0"/>
        <w:adjustRightInd w:val="0"/>
        <w:spacing w:line="360" w:lineRule="auto"/>
      </w:pPr>
    </w:p>
    <w:p w14:paraId="7809DDA4" w14:textId="677D1E00" w:rsidR="006E0ACA" w:rsidRPr="00564306" w:rsidRDefault="006E0ACA" w:rsidP="006E0ACA">
      <w:pPr>
        <w:tabs>
          <w:tab w:val="left" w:pos="1985"/>
        </w:tabs>
        <w:spacing w:line="360" w:lineRule="auto"/>
      </w:pPr>
      <w:r w:rsidRPr="00564306">
        <w:t xml:space="preserve">But </w:t>
      </w:r>
      <w:r w:rsidR="004E226A" w:rsidRPr="00564306">
        <w:t xml:space="preserve">how </w:t>
      </w:r>
      <w:r w:rsidR="00F90D94" w:rsidRPr="00564306">
        <w:t>Mr Gustafson</w:t>
      </w:r>
      <w:r w:rsidR="00F90D94">
        <w:t>’s</w:t>
      </w:r>
      <w:r w:rsidR="00F90D94" w:rsidRPr="00564306">
        <w:t xml:space="preserve"> </w:t>
      </w:r>
      <w:r w:rsidR="00BA3C7F">
        <w:t>duty is fulfilled</w:t>
      </w:r>
      <w:r w:rsidR="00F90D94">
        <w:t>,</w:t>
      </w:r>
      <w:r w:rsidR="00BA3C7F">
        <w:t xml:space="preserve"> as </w:t>
      </w:r>
      <w:r w:rsidR="00F03EEC">
        <w:t>Kevin and Mr Gustafson</w:t>
      </w:r>
      <w:r w:rsidR="004E226A" w:rsidRPr="00564306">
        <w:t xml:space="preserve"> offer and receive connection</w:t>
      </w:r>
      <w:r w:rsidR="00F90D94">
        <w:t>,</w:t>
      </w:r>
      <w:r w:rsidR="004E226A" w:rsidRPr="00564306">
        <w:t xml:space="preserve"> </w:t>
      </w:r>
      <w:r w:rsidRPr="00564306">
        <w:t xml:space="preserve">must be informed by their individual preferences and resources. Suppose Kevin wants to play soccer, but Mr Gustafson is too infirm to do so. Suppose Mr Gustafson prefers to speak the language of his childhood, which Kevin does not understand. The content of the duty </w:t>
      </w:r>
      <w:r w:rsidR="00061A48" w:rsidRPr="00564306">
        <w:t xml:space="preserve">must </w:t>
      </w:r>
      <w:r w:rsidRPr="00564306">
        <w:t xml:space="preserve">be moulded to fit Kevin’s need and Mr Gustafson’s ability. </w:t>
      </w:r>
      <w:r w:rsidR="00BA1C16" w:rsidRPr="00564306">
        <w:t xml:space="preserve">Presumably, </w:t>
      </w:r>
      <w:r w:rsidR="00F03EEC">
        <w:t xml:space="preserve">although </w:t>
      </w:r>
      <w:r w:rsidR="00BA1C16" w:rsidRPr="00564306">
        <w:t>Brownlee specifies Mr Gustafson</w:t>
      </w:r>
      <w:r w:rsidR="00061A48" w:rsidRPr="00564306">
        <w:t xml:space="preserve">’s duty persists </w:t>
      </w:r>
      <w:r w:rsidR="00BA1C16" w:rsidRPr="00564306">
        <w:t xml:space="preserve">even when burdensome, there must be some point at which Mr Gustafson’s burden is too great: Kevin wants to talk, but Mr Gustafson </w:t>
      </w:r>
      <w:r w:rsidR="00F03EEC">
        <w:t xml:space="preserve">should </w:t>
      </w:r>
      <w:r w:rsidR="00BA1C16" w:rsidRPr="00564306">
        <w:t>visit a sick friend</w:t>
      </w:r>
      <w:r w:rsidR="00061A48" w:rsidRPr="00564306">
        <w:t xml:space="preserve"> (other</w:t>
      </w:r>
      <w:r w:rsidR="00747AD2">
        <w:t>-directed</w:t>
      </w:r>
      <w:r w:rsidR="00061A48" w:rsidRPr="00564306">
        <w:t xml:space="preserve"> care responsibilities)</w:t>
      </w:r>
      <w:r w:rsidR="00BA1C16" w:rsidRPr="00564306">
        <w:t>, or needs to rest</w:t>
      </w:r>
      <w:r w:rsidR="00F90D94">
        <w:t xml:space="preserve"> (self-care)</w:t>
      </w:r>
      <w:r w:rsidR="00BA1C16" w:rsidRPr="00564306">
        <w:t>.</w:t>
      </w:r>
      <w:r w:rsidR="00BA3C7F">
        <w:t xml:space="preserve"> Mr Gustafson’s wellbeing matters too, and shapes how he is required to fulfil the duty. </w:t>
      </w:r>
    </w:p>
    <w:p w14:paraId="2D88DBCF" w14:textId="77777777" w:rsidR="006E0ACA" w:rsidRPr="00564306" w:rsidRDefault="006E0ACA" w:rsidP="006E0ACA">
      <w:pPr>
        <w:tabs>
          <w:tab w:val="left" w:pos="1985"/>
        </w:tabs>
        <w:spacing w:line="360" w:lineRule="auto"/>
      </w:pPr>
    </w:p>
    <w:p w14:paraId="13CE2514" w14:textId="1C6541E4" w:rsidR="00747AD2" w:rsidRDefault="006E0ACA" w:rsidP="006E0ACA">
      <w:pPr>
        <w:tabs>
          <w:tab w:val="left" w:pos="1985"/>
        </w:tabs>
        <w:spacing w:line="360" w:lineRule="auto"/>
        <w:rPr>
          <w:sz w:val="23"/>
          <w:szCs w:val="23"/>
        </w:rPr>
      </w:pPr>
      <w:r w:rsidRPr="00564306">
        <w:t>Identifying who the proximate duty-bearer is, and what the content of</w:t>
      </w:r>
      <w:r w:rsidR="00747AD2">
        <w:t xml:space="preserve"> the</w:t>
      </w:r>
      <w:r w:rsidRPr="00564306">
        <w:t xml:space="preserve"> duty to provide social connection demands of us in practice, </w:t>
      </w:r>
      <w:r w:rsidR="00D56FEA">
        <w:t>requires</w:t>
      </w:r>
      <w:r w:rsidRPr="00564306">
        <w:t xml:space="preserve"> attention to the context and parties. This type of situated, context-sensitive, </w:t>
      </w:r>
      <w:r w:rsidR="00BA3C7F">
        <w:t>continuous</w:t>
      </w:r>
      <w:r w:rsidRPr="00564306">
        <w:t xml:space="preserve"> approach to identifying and refining what acts are required overlaps with the practices of care ethics. Care ethics can help us determine who bears a duty, and what that duty requires. </w:t>
      </w:r>
      <w:r w:rsidR="009F52F2">
        <w:t>The</w:t>
      </w:r>
      <w:r w:rsidRPr="00564306">
        <w:t xml:space="preserve"> situatedness and attention to context </w:t>
      </w:r>
      <w:r w:rsidR="009F52F2">
        <w:t xml:space="preserve">of care ethics </w:t>
      </w:r>
      <w:r w:rsidRPr="00564306">
        <w:t>prompts the gathering of contextual information</w:t>
      </w:r>
      <w:r w:rsidR="008C34D4">
        <w:t xml:space="preserve"> about needs, other responsibilities, and resources</w:t>
      </w:r>
      <w:r w:rsidRPr="00564306">
        <w:t xml:space="preserve">, to give a better understanding of </w:t>
      </w:r>
      <w:r w:rsidR="008C34D4">
        <w:t xml:space="preserve">the </w:t>
      </w:r>
      <w:r w:rsidRPr="00564306">
        <w:t>need</w:t>
      </w:r>
      <w:r w:rsidR="008C34D4">
        <w:t xml:space="preserve"> and appropriate </w:t>
      </w:r>
      <w:r w:rsidR="008C34D4">
        <w:lastRenderedPageBreak/>
        <w:t>available ways of meeting it</w:t>
      </w:r>
      <w:r w:rsidRPr="00564306">
        <w:t xml:space="preserve">. This additional information can help us to make more informed judgements </w:t>
      </w:r>
      <w:r w:rsidR="00025A2A">
        <w:t>about</w:t>
      </w:r>
      <w:r w:rsidRPr="00564306">
        <w:t xml:space="preserve"> who bears the duty, and how they may fulfil it. As </w:t>
      </w:r>
      <w:proofErr w:type="spellStart"/>
      <w:r w:rsidR="00D56FEA">
        <w:t>Seyla</w:t>
      </w:r>
      <w:proofErr w:type="spellEnd"/>
      <w:r w:rsidR="00D56FEA">
        <w:t xml:space="preserve"> </w:t>
      </w:r>
      <w:proofErr w:type="spellStart"/>
      <w:r w:rsidRPr="00564306">
        <w:t>Benhabib</w:t>
      </w:r>
      <w:proofErr w:type="spellEnd"/>
      <w:r w:rsidRPr="00564306">
        <w:t xml:space="preserve"> observes, </w:t>
      </w:r>
      <w:r w:rsidR="00673C37" w:rsidRPr="00564306">
        <w:rPr>
          <w:sz w:val="23"/>
          <w:szCs w:val="23"/>
        </w:rPr>
        <w:t xml:space="preserve">‘more knowledge rather than less contributes to a more rational and informed judgment’ </w:t>
      </w:r>
      <w:r w:rsidR="00CC24B4">
        <w:rPr>
          <w:noProof/>
          <w:sz w:val="23"/>
          <w:szCs w:val="23"/>
        </w:rPr>
        <w:t>(1986:</w:t>
      </w:r>
      <w:r w:rsidR="00C46176">
        <w:rPr>
          <w:noProof/>
          <w:sz w:val="23"/>
          <w:szCs w:val="23"/>
        </w:rPr>
        <w:t xml:space="preserve"> </w:t>
      </w:r>
      <w:r w:rsidR="00CC24B4">
        <w:rPr>
          <w:noProof/>
          <w:sz w:val="23"/>
          <w:szCs w:val="23"/>
        </w:rPr>
        <w:t>417)</w:t>
      </w:r>
      <w:r w:rsidR="00673C37" w:rsidRPr="00564306">
        <w:rPr>
          <w:sz w:val="23"/>
          <w:szCs w:val="23"/>
        </w:rPr>
        <w:t xml:space="preserve">. </w:t>
      </w:r>
    </w:p>
    <w:p w14:paraId="1EA2D41E" w14:textId="77777777" w:rsidR="00747AD2" w:rsidRDefault="00747AD2" w:rsidP="006E0ACA">
      <w:pPr>
        <w:tabs>
          <w:tab w:val="left" w:pos="1985"/>
        </w:tabs>
        <w:spacing w:line="360" w:lineRule="auto"/>
        <w:rPr>
          <w:sz w:val="23"/>
          <w:szCs w:val="23"/>
        </w:rPr>
      </w:pPr>
    </w:p>
    <w:p w14:paraId="1B3EBB67" w14:textId="5B48F073" w:rsidR="006E0ACA" w:rsidRPr="00564306" w:rsidRDefault="006E0ACA" w:rsidP="006E0ACA">
      <w:pPr>
        <w:tabs>
          <w:tab w:val="left" w:pos="1985"/>
        </w:tabs>
        <w:spacing w:line="360" w:lineRule="auto"/>
      </w:pPr>
      <w:r w:rsidRPr="00564306">
        <w:t xml:space="preserve">In addition, care ethics can also help us when we are not sure which set of principles to apply. </w:t>
      </w:r>
      <w:r w:rsidR="00D56FEA">
        <w:t xml:space="preserve">Grace </w:t>
      </w:r>
      <w:r w:rsidR="00673C37" w:rsidRPr="00564306">
        <w:t>Clement</w:t>
      </w:r>
      <w:r w:rsidRPr="00564306">
        <w:t xml:space="preserve"> </w:t>
      </w:r>
      <w:r w:rsidR="00673C37" w:rsidRPr="00564306">
        <w:t xml:space="preserve">argues </w:t>
      </w:r>
      <w:r w:rsidRPr="00564306">
        <w:t xml:space="preserve">care ethics </w:t>
      </w:r>
      <w:r w:rsidR="00673C37" w:rsidRPr="00564306">
        <w:t xml:space="preserve">provides </w:t>
      </w:r>
      <w:r w:rsidRPr="00564306">
        <w:t>a framework to guide ou</w:t>
      </w:r>
      <w:r w:rsidR="00673C37" w:rsidRPr="00564306">
        <w:t>r</w:t>
      </w:r>
      <w:r w:rsidRPr="00564306">
        <w:t xml:space="preserve"> choices when it is not clear what justice requires</w:t>
      </w:r>
      <w:r w:rsidR="008C34D4">
        <w:t xml:space="preserve"> in this context</w:t>
      </w:r>
      <w:r w:rsidRPr="00564306">
        <w:t xml:space="preserve">, or competing views of justice </w:t>
      </w:r>
      <w:r w:rsidR="00673C37" w:rsidRPr="00564306">
        <w:t xml:space="preserve">(sets of principles) </w:t>
      </w:r>
      <w:r w:rsidRPr="00564306">
        <w:t>diverge</w:t>
      </w:r>
      <w:r w:rsidR="000D4460" w:rsidRPr="00564306">
        <w:t xml:space="preserve"> </w:t>
      </w:r>
      <w:r w:rsidR="00CC24B4">
        <w:rPr>
          <w:noProof/>
        </w:rPr>
        <w:t>(1996:</w:t>
      </w:r>
      <w:r w:rsidR="00C46176">
        <w:rPr>
          <w:noProof/>
        </w:rPr>
        <w:t xml:space="preserve"> </w:t>
      </w:r>
      <w:r w:rsidR="00CC24B4">
        <w:rPr>
          <w:noProof/>
        </w:rPr>
        <w:t>103)</w:t>
      </w:r>
      <w:r w:rsidRPr="00564306">
        <w:t>. Even if we cannot immediately identify a duty-bearer for the right against social deprivation</w:t>
      </w:r>
      <w:r w:rsidR="008C34D4">
        <w:t xml:space="preserve"> in the abstract</w:t>
      </w:r>
      <w:r w:rsidRPr="00564306">
        <w:t>, care ethics provides a complement to rights that enables us</w:t>
      </w:r>
      <w:r w:rsidR="00C067CC">
        <w:t xml:space="preserve"> to </w:t>
      </w:r>
      <w:r w:rsidR="00747AD2">
        <w:t xml:space="preserve">puzzle </w:t>
      </w:r>
      <w:r w:rsidRPr="00564306">
        <w:t xml:space="preserve">this out in </w:t>
      </w:r>
      <w:r w:rsidR="00E90610">
        <w:t>practice</w:t>
      </w:r>
      <w:r w:rsidRPr="00564306">
        <w:t>.</w:t>
      </w:r>
      <w:r w:rsidR="00C067CC">
        <w:t xml:space="preserve"> </w:t>
      </w:r>
      <w:r w:rsidR="00747AD2">
        <w:t>Care is not a complete political theory, and</w:t>
      </w:r>
      <w:r w:rsidR="00D56FEA">
        <w:t xml:space="preserve"> Joan</w:t>
      </w:r>
      <w:r w:rsidR="00747AD2">
        <w:t xml:space="preserve"> </w:t>
      </w:r>
      <w:r w:rsidR="008159E0">
        <w:t xml:space="preserve">Tronto argues </w:t>
      </w:r>
      <w:r w:rsidR="00747AD2">
        <w:t xml:space="preserve">that </w:t>
      </w:r>
      <w:r w:rsidR="008159E0">
        <w:t xml:space="preserve">rights are </w:t>
      </w:r>
      <w:r w:rsidR="00747AD2">
        <w:t xml:space="preserve">an </w:t>
      </w:r>
      <w:r w:rsidR="008159E0">
        <w:t>essential</w:t>
      </w:r>
      <w:r w:rsidR="00747AD2">
        <w:t xml:space="preserve"> </w:t>
      </w:r>
      <w:r w:rsidR="00025BC0">
        <w:t>complement</w:t>
      </w:r>
      <w:r w:rsidR="008159E0">
        <w:t xml:space="preserve"> to</w:t>
      </w:r>
      <w:r w:rsidR="00747AD2">
        <w:t xml:space="preserve"> care</w:t>
      </w:r>
      <w:r w:rsidR="00025BC0">
        <w:t xml:space="preserve">. Rights </w:t>
      </w:r>
      <w:r w:rsidR="00747AD2">
        <w:t>can</w:t>
      </w:r>
      <w:r w:rsidR="008159E0">
        <w:t xml:space="preserve"> avoid needs being pitted against one another, particularly when</w:t>
      </w:r>
      <w:r w:rsidR="00565AC7">
        <w:t xml:space="preserve"> </w:t>
      </w:r>
      <w:r w:rsidR="008159E0">
        <w:t xml:space="preserve">publicly-funded care services face cuts </w:t>
      </w:r>
      <w:r w:rsidR="00CC24B4">
        <w:rPr>
          <w:noProof/>
        </w:rPr>
        <w:t>(2013:</w:t>
      </w:r>
      <w:r w:rsidR="00C46176">
        <w:rPr>
          <w:noProof/>
        </w:rPr>
        <w:t xml:space="preserve"> </w:t>
      </w:r>
      <w:r w:rsidR="00CC24B4">
        <w:rPr>
          <w:noProof/>
        </w:rPr>
        <w:t>153)</w:t>
      </w:r>
      <w:r w:rsidR="008159E0">
        <w:t>.</w:t>
      </w:r>
      <w:r w:rsidR="00565AC7">
        <w:t xml:space="preserve"> </w:t>
      </w:r>
      <w:r w:rsidR="00F51884">
        <w:t xml:space="preserve">In </w:t>
      </w:r>
      <w:r w:rsidR="00F51884" w:rsidRPr="00F51884">
        <w:rPr>
          <w:i/>
          <w:iCs/>
        </w:rPr>
        <w:t>Kevin’s</w:t>
      </w:r>
      <w:r w:rsidR="00F51884">
        <w:t xml:space="preserve"> case, Mr Gustafson is the duty</w:t>
      </w:r>
      <w:r w:rsidR="00F90D94">
        <w:t>-</w:t>
      </w:r>
      <w:r w:rsidR="00F51884">
        <w:t xml:space="preserve">bearer, but </w:t>
      </w:r>
      <w:r w:rsidR="00025A2A">
        <w:t>a care ethics reading provides</w:t>
      </w:r>
      <w:r w:rsidR="00F51884">
        <w:t xml:space="preserve"> space for Mr Gustafson to consider his own needs</w:t>
      </w:r>
      <w:r w:rsidR="00F90D94">
        <w:t xml:space="preserve">, </w:t>
      </w:r>
      <w:r w:rsidR="00C067CC">
        <w:t>responsibilities</w:t>
      </w:r>
      <w:r w:rsidR="00F51884">
        <w:t xml:space="preserve"> and preferences along with Kevin’s important need for connection. </w:t>
      </w:r>
    </w:p>
    <w:p w14:paraId="486459ED" w14:textId="4CDAB0D7" w:rsidR="003C3712" w:rsidRPr="00564306" w:rsidRDefault="003C3712" w:rsidP="006E0ACA">
      <w:pPr>
        <w:tabs>
          <w:tab w:val="left" w:pos="1985"/>
        </w:tabs>
        <w:spacing w:line="360" w:lineRule="auto"/>
      </w:pPr>
    </w:p>
    <w:p w14:paraId="11B574B0" w14:textId="405765E1" w:rsidR="003C3712" w:rsidRPr="00564306" w:rsidRDefault="00025A2A" w:rsidP="003C3712">
      <w:pPr>
        <w:tabs>
          <w:tab w:val="left" w:pos="1985"/>
        </w:tabs>
        <w:spacing w:line="360" w:lineRule="auto"/>
        <w:jc w:val="both"/>
      </w:pPr>
      <w:r>
        <w:t>I share Brownlee’s view that f</w:t>
      </w:r>
      <w:r w:rsidR="000F7548" w:rsidRPr="00564306">
        <w:t xml:space="preserve">reedoms of association are more limited than we tend to assume, but </w:t>
      </w:r>
      <w:r w:rsidR="007660C4">
        <w:t xml:space="preserve">I </w:t>
      </w:r>
      <w:r w:rsidR="00E90610">
        <w:t xml:space="preserve">think </w:t>
      </w:r>
      <w:r w:rsidR="007660C4">
        <w:t xml:space="preserve">her </w:t>
      </w:r>
      <w:r w:rsidR="000F7548" w:rsidRPr="00564306">
        <w:rPr>
          <w:i/>
          <w:iCs/>
        </w:rPr>
        <w:t>Lalit</w:t>
      </w:r>
      <w:r w:rsidR="00E90610">
        <w:rPr>
          <w:i/>
          <w:iCs/>
        </w:rPr>
        <w:t xml:space="preserve"> </w:t>
      </w:r>
      <w:r w:rsidR="00E90610" w:rsidRPr="00564306">
        <w:t>example</w:t>
      </w:r>
      <w:r w:rsidR="00E90610">
        <w:t xml:space="preserve"> misses its mark</w:t>
      </w:r>
      <w:r w:rsidR="007660C4">
        <w:t>.</w:t>
      </w:r>
      <w:r w:rsidR="000F7548" w:rsidRPr="00564306">
        <w:t xml:space="preserve"> </w:t>
      </w:r>
    </w:p>
    <w:p w14:paraId="7DA54919" w14:textId="77777777" w:rsidR="000F7548" w:rsidRPr="00564306" w:rsidRDefault="000F7548" w:rsidP="003C3712">
      <w:pPr>
        <w:tabs>
          <w:tab w:val="left" w:pos="1985"/>
        </w:tabs>
        <w:spacing w:line="360" w:lineRule="auto"/>
        <w:jc w:val="both"/>
        <w:rPr>
          <w:i/>
          <w:iCs/>
        </w:rPr>
      </w:pPr>
    </w:p>
    <w:p w14:paraId="794A462C" w14:textId="00EE8B42" w:rsidR="003C3712" w:rsidRPr="00564306" w:rsidRDefault="003C3712" w:rsidP="003C3712">
      <w:pPr>
        <w:pStyle w:val="ListParagraph"/>
        <w:numPr>
          <w:ilvl w:val="0"/>
          <w:numId w:val="1"/>
        </w:numPr>
        <w:autoSpaceDE w:val="0"/>
        <w:autoSpaceDN w:val="0"/>
        <w:adjustRightInd w:val="0"/>
        <w:spacing w:line="360" w:lineRule="auto"/>
      </w:pPr>
      <w:r w:rsidRPr="00564306">
        <w:t xml:space="preserve">A </w:t>
      </w:r>
      <w:r w:rsidR="003A03F7" w:rsidRPr="00564306">
        <w:t>young woman</w:t>
      </w:r>
      <w:r w:rsidRPr="00564306">
        <w:t xml:space="preserve">, </w:t>
      </w:r>
      <w:r w:rsidRPr="00564306">
        <w:rPr>
          <w:i/>
          <w:iCs/>
        </w:rPr>
        <w:t>Lalit</w:t>
      </w:r>
      <w:r w:rsidRPr="00564306">
        <w:t>, cannot be obliged to marry against her wishes because her tribe</w:t>
      </w:r>
      <w:r w:rsidR="0053490B">
        <w:t>’</w:t>
      </w:r>
      <w:r w:rsidRPr="00564306">
        <w:t xml:space="preserve">s survival is at stake, but </w:t>
      </w:r>
      <w:r w:rsidR="00025BC0">
        <w:t>is</w:t>
      </w:r>
      <w:r w:rsidRPr="00564306">
        <w:t xml:space="preserve"> obliged to be friendly to </w:t>
      </w:r>
      <w:r w:rsidR="003A03F7" w:rsidRPr="00564306">
        <w:t xml:space="preserve">other adult members </w:t>
      </w:r>
      <w:r w:rsidRPr="00564306">
        <w:t xml:space="preserve">since this isn’t overly burdensome, </w:t>
      </w:r>
      <w:r w:rsidRPr="00564306">
        <w:rPr>
          <w:i/>
          <w:iCs/>
        </w:rPr>
        <w:t>and</w:t>
      </w:r>
      <w:r w:rsidRPr="00564306">
        <w:t xml:space="preserve"> any burden is less than the threat to the tribe.</w:t>
      </w:r>
    </w:p>
    <w:p w14:paraId="3172F5B4" w14:textId="23FB5A2D" w:rsidR="003C3712" w:rsidRPr="00564306" w:rsidRDefault="00CC24B4" w:rsidP="003C3712">
      <w:pPr>
        <w:pStyle w:val="ListParagraph"/>
        <w:autoSpaceDE w:val="0"/>
        <w:autoSpaceDN w:val="0"/>
        <w:adjustRightInd w:val="0"/>
        <w:spacing w:line="360" w:lineRule="auto"/>
      </w:pPr>
      <w:r>
        <w:rPr>
          <w:noProof/>
        </w:rPr>
        <w:t>(2020:137)</w:t>
      </w:r>
    </w:p>
    <w:p w14:paraId="2248CDA3" w14:textId="77777777" w:rsidR="003C3712" w:rsidRPr="00564306" w:rsidRDefault="003C3712" w:rsidP="003C3712">
      <w:pPr>
        <w:tabs>
          <w:tab w:val="left" w:pos="1985"/>
        </w:tabs>
        <w:spacing w:line="360" w:lineRule="auto"/>
        <w:jc w:val="both"/>
        <w:rPr>
          <w:i/>
          <w:iCs/>
        </w:rPr>
      </w:pPr>
    </w:p>
    <w:p w14:paraId="5C4D61CD" w14:textId="0B21781C" w:rsidR="00223076" w:rsidRDefault="007660C4" w:rsidP="00E90610">
      <w:pPr>
        <w:tabs>
          <w:tab w:val="left" w:pos="1985"/>
        </w:tabs>
        <w:spacing w:line="360" w:lineRule="auto"/>
        <w:jc w:val="both"/>
      </w:pPr>
      <w:r>
        <w:t xml:space="preserve">Here, </w:t>
      </w:r>
      <w:r w:rsidRPr="00564306">
        <w:t xml:space="preserve">the </w:t>
      </w:r>
      <w:r w:rsidRPr="00025BC0">
        <w:t xml:space="preserve">preservation of </w:t>
      </w:r>
      <w:r w:rsidR="00025BC0">
        <w:t>the</w:t>
      </w:r>
      <w:r w:rsidRPr="00564306">
        <w:rPr>
          <w:i/>
          <w:iCs/>
        </w:rPr>
        <w:t xml:space="preserve"> tribe</w:t>
      </w:r>
      <w:r w:rsidRPr="00564306">
        <w:t xml:space="preserve">, </w:t>
      </w:r>
      <w:r>
        <w:t xml:space="preserve">rather than </w:t>
      </w:r>
      <w:r w:rsidRPr="00564306">
        <w:t xml:space="preserve">the </w:t>
      </w:r>
      <w:r w:rsidRPr="00025BC0">
        <w:rPr>
          <w:i/>
          <w:iCs/>
        </w:rPr>
        <w:t>individual members’</w:t>
      </w:r>
      <w:r w:rsidRPr="00564306">
        <w:t xml:space="preserve"> </w:t>
      </w:r>
      <w:r w:rsidRPr="00564306">
        <w:rPr>
          <w:i/>
          <w:iCs/>
        </w:rPr>
        <w:t xml:space="preserve">rights </w:t>
      </w:r>
      <w:r w:rsidRPr="00025BC0">
        <w:t>against social deprivation</w:t>
      </w:r>
      <w:r w:rsidRPr="00564306">
        <w:t xml:space="preserve">, </w:t>
      </w:r>
      <w:r>
        <w:t xml:space="preserve">seems to be </w:t>
      </w:r>
      <w:r w:rsidRPr="00564306">
        <w:t xml:space="preserve">what imply </w:t>
      </w:r>
      <w:r>
        <w:t xml:space="preserve">Lalit’s </w:t>
      </w:r>
      <w:r w:rsidRPr="00564306">
        <w:t>duties involving connection with them.</w:t>
      </w:r>
      <w:r>
        <w:t xml:space="preserve"> </w:t>
      </w:r>
      <w:r w:rsidR="003C3712" w:rsidRPr="00564306">
        <w:t>If Lalit remains</w:t>
      </w:r>
      <w:r w:rsidR="000F7548" w:rsidRPr="00564306">
        <w:t xml:space="preserve"> as part of the tribe,</w:t>
      </w:r>
      <w:r w:rsidR="003C3712" w:rsidRPr="00564306">
        <w:t xml:space="preserve"> she should try to be friendly. But she should also</w:t>
      </w:r>
      <w:r w:rsidR="000F7548" w:rsidRPr="00564306">
        <w:t xml:space="preserve"> be</w:t>
      </w:r>
      <w:r w:rsidR="003C3712" w:rsidRPr="00564306">
        <w:t>, as Mr Gustafson is, open to the friendly social advances of needy others. If Lalit has a duty to offer and accept connection</w:t>
      </w:r>
      <w:r w:rsidR="003A03F7" w:rsidRPr="00564306">
        <w:t xml:space="preserve"> with </w:t>
      </w:r>
      <w:r w:rsidR="00A0154F" w:rsidRPr="00564306">
        <w:t>members of her tribe</w:t>
      </w:r>
      <w:r w:rsidR="003C3712" w:rsidRPr="00564306">
        <w:t>, it is at best a pro tanto duty</w:t>
      </w:r>
      <w:r w:rsidR="003A03F7" w:rsidRPr="00564306">
        <w:t>:</w:t>
      </w:r>
      <w:r w:rsidR="003C3712" w:rsidRPr="00564306">
        <w:t xml:space="preserve"> to the extent that they are friendly to her. If </w:t>
      </w:r>
      <w:r w:rsidR="00545F47" w:rsidRPr="00564306">
        <w:t xml:space="preserve">they are rude, or </w:t>
      </w:r>
      <w:r w:rsidR="003C3712" w:rsidRPr="00564306">
        <w:t>Lalit dislikes their company, or prefer</w:t>
      </w:r>
      <w:r w:rsidR="003A03F7" w:rsidRPr="00564306">
        <w:t>s</w:t>
      </w:r>
      <w:r w:rsidR="003C3712" w:rsidRPr="00564306">
        <w:t xml:space="preserve"> to pursue her education in another city, she has no over-riding duty to</w:t>
      </w:r>
      <w:r w:rsidR="00545F47" w:rsidRPr="00564306">
        <w:t xml:space="preserve"> stay</w:t>
      </w:r>
      <w:r w:rsidR="003C3712" w:rsidRPr="00564306">
        <w:t>.</w:t>
      </w:r>
      <w:r>
        <w:t xml:space="preserve"> Unlike </w:t>
      </w:r>
      <w:r w:rsidRPr="007660C4">
        <w:rPr>
          <w:i/>
          <w:iCs/>
        </w:rPr>
        <w:t>Kevin</w:t>
      </w:r>
      <w:r>
        <w:t xml:space="preserve">, these </w:t>
      </w:r>
      <w:r>
        <w:lastRenderedPageBreak/>
        <w:t xml:space="preserve">other adults are not vulnerable, and can offer social </w:t>
      </w:r>
      <w:r w:rsidR="00E90610">
        <w:t>(</w:t>
      </w:r>
      <w:r>
        <w:t>and cultural</w:t>
      </w:r>
      <w:r w:rsidR="00E90610">
        <w:t>)</w:t>
      </w:r>
      <w:r>
        <w:t xml:space="preserve"> connections with each other.</w:t>
      </w:r>
      <w:r w:rsidR="003C3712" w:rsidRPr="00564306">
        <w:t xml:space="preserve"> The last two speakers of a language cannot oblige each other to engage in conversation only for the sake of preserving the language, even when this causes one of them great </w:t>
      </w:r>
      <w:r w:rsidR="003C3712" w:rsidRPr="0031432E">
        <w:t xml:space="preserve">anguish. </w:t>
      </w:r>
      <w:r w:rsidR="00E74345" w:rsidRPr="0031432E">
        <w:t>But u</w:t>
      </w:r>
      <w:r w:rsidR="003C3712" w:rsidRPr="0031432E">
        <w:t xml:space="preserve">nless she rejects her origins entirely, Lalit may have some obligation to learn </w:t>
      </w:r>
      <w:r w:rsidR="00545F47" w:rsidRPr="0031432E">
        <w:t>her</w:t>
      </w:r>
      <w:r w:rsidR="003C3712" w:rsidRPr="0031432E">
        <w:t xml:space="preserve"> culture (requiring a teacher and connection), and perhaps to visit or write. But</w:t>
      </w:r>
      <w:r w:rsidR="00A0154F" w:rsidRPr="0031432E">
        <w:t xml:space="preserve"> preserving</w:t>
      </w:r>
      <w:r w:rsidR="00545F47" w:rsidRPr="0031432E">
        <w:t xml:space="preserve"> shared</w:t>
      </w:r>
      <w:r w:rsidR="003C3712" w:rsidRPr="0031432E">
        <w:t xml:space="preserve"> </w:t>
      </w:r>
      <w:r w:rsidR="00545F47" w:rsidRPr="0031432E">
        <w:t xml:space="preserve">cultural </w:t>
      </w:r>
      <w:r w:rsidR="00A0154F" w:rsidRPr="0031432E">
        <w:t>goods</w:t>
      </w:r>
      <w:r w:rsidR="00545F47" w:rsidRPr="0031432E">
        <w:t xml:space="preserve"> </w:t>
      </w:r>
      <w:r w:rsidR="003C3712" w:rsidRPr="0031432E">
        <w:t>is distinct from the</w:t>
      </w:r>
      <w:r w:rsidRPr="0031432E">
        <w:t xml:space="preserve"> important and</w:t>
      </w:r>
      <w:r w:rsidR="003C3712" w:rsidRPr="0031432E">
        <w:t xml:space="preserve"> immediate </w:t>
      </w:r>
      <w:r w:rsidR="00545F47" w:rsidRPr="0031432E">
        <w:t xml:space="preserve">need for </w:t>
      </w:r>
      <w:r w:rsidR="003C3712" w:rsidRPr="0031432E">
        <w:t xml:space="preserve">social connection highlighted in </w:t>
      </w:r>
      <w:r w:rsidR="003C3712" w:rsidRPr="0031432E">
        <w:rPr>
          <w:i/>
          <w:iCs/>
        </w:rPr>
        <w:t>Kevin’s</w:t>
      </w:r>
      <w:r w:rsidR="003C3712" w:rsidRPr="0031432E">
        <w:t xml:space="preserve"> case</w:t>
      </w:r>
      <w:r w:rsidR="00E90610" w:rsidRPr="0031432E">
        <w:t xml:space="preserve"> that Brownlee’s</w:t>
      </w:r>
      <w:r w:rsidR="00E74345" w:rsidRPr="0031432E">
        <w:t xml:space="preserve"> </w:t>
      </w:r>
      <w:r w:rsidR="00E90610" w:rsidRPr="0031432E">
        <w:t xml:space="preserve">work </w:t>
      </w:r>
      <w:r w:rsidR="00800F75" w:rsidRPr="0031432E">
        <w:t>emphasises</w:t>
      </w:r>
      <w:r w:rsidR="003C3712" w:rsidRPr="0031432E">
        <w:t>.</w:t>
      </w:r>
      <w:r w:rsidR="00DB6879">
        <w:t xml:space="preserve"> </w:t>
      </w:r>
    </w:p>
    <w:p w14:paraId="69252B2C" w14:textId="77777777" w:rsidR="00223076" w:rsidRDefault="00223076" w:rsidP="00E90610">
      <w:pPr>
        <w:tabs>
          <w:tab w:val="left" w:pos="1985"/>
        </w:tabs>
        <w:spacing w:line="360" w:lineRule="auto"/>
        <w:jc w:val="both"/>
      </w:pPr>
    </w:p>
    <w:p w14:paraId="7CBEF67A" w14:textId="45862DD3" w:rsidR="003C3712" w:rsidRPr="00564306" w:rsidRDefault="00223076" w:rsidP="00E90610">
      <w:pPr>
        <w:tabs>
          <w:tab w:val="left" w:pos="1985"/>
        </w:tabs>
        <w:spacing w:line="360" w:lineRule="auto"/>
        <w:jc w:val="both"/>
      </w:pPr>
      <w:r>
        <w:t xml:space="preserve">It seems that, for Brownlee, where others are vulnerable, when we have a duty to connect, we have a stronger duty to offer and receive social connection with that other. </w:t>
      </w:r>
      <w:r w:rsidR="00B25833">
        <w:t xml:space="preserve">We saw in the </w:t>
      </w:r>
      <w:r w:rsidR="00B25833" w:rsidRPr="00585223">
        <w:rPr>
          <w:i/>
          <w:iCs/>
        </w:rPr>
        <w:t>‘wanted</w:t>
      </w:r>
      <w:r w:rsidR="00B25833">
        <w:t>’ case that, w</w:t>
      </w:r>
      <w:r>
        <w:t xml:space="preserve">e may, when the duty is severely burdensome, all things considered permissibly fail the duty to connect in order to protect ourselves or our dependents. Nevertheless, the duty is failed, and the one we owe the duty to is pro tanto wronged. </w:t>
      </w:r>
      <w:r w:rsidR="00B25833" w:rsidRPr="00B25833">
        <w:rPr>
          <w:i/>
          <w:iCs/>
        </w:rPr>
        <w:t>Kevin’s</w:t>
      </w:r>
      <w:r w:rsidR="00B25833">
        <w:t xml:space="preserve"> case suggests that duty passes to the nearest available capable other. If I am right about </w:t>
      </w:r>
      <w:r w:rsidR="00B25833" w:rsidRPr="00585223">
        <w:rPr>
          <w:i/>
          <w:iCs/>
        </w:rPr>
        <w:t>Lalit</w:t>
      </w:r>
      <w:r w:rsidR="00B25833">
        <w:t xml:space="preserve">, the duty to provide social connection is less pressing when those who make social advances are not vulnerable with respect to social connection opportunities. But what </w:t>
      </w:r>
      <w:r w:rsidR="00B25833" w:rsidRPr="00585223">
        <w:rPr>
          <w:i/>
          <w:iCs/>
        </w:rPr>
        <w:t xml:space="preserve">Lalit </w:t>
      </w:r>
      <w:r w:rsidR="00B25833">
        <w:t xml:space="preserve">also </w:t>
      </w:r>
      <w:r w:rsidR="00800F75">
        <w:t>highlights</w:t>
      </w:r>
      <w:r w:rsidR="00B25833">
        <w:t xml:space="preserve"> is that the content of the duty will vary</w:t>
      </w:r>
      <w:r w:rsidR="00585223">
        <w:t xml:space="preserve"> over time</w:t>
      </w:r>
      <w:r w:rsidR="00B25833">
        <w:t xml:space="preserve">. She may have some duty to engage in </w:t>
      </w:r>
      <w:r w:rsidR="00A02E75">
        <w:t>activ</w:t>
      </w:r>
      <w:r w:rsidR="00262399">
        <w:t>iti</w:t>
      </w:r>
      <w:r w:rsidR="00A02E75">
        <w:t>es</w:t>
      </w:r>
      <w:r w:rsidR="00B25833">
        <w:t xml:space="preserve"> that require connection, but visiting and learning from her tribe might be occasional practices within an ongoing relationship. Likewise</w:t>
      </w:r>
      <w:r w:rsidR="00A02E75">
        <w:t>, Mr Gustafson might be too ill to engage with Kevin today, but this need not mean that he has failed in a duty to provide connection considered across their relationship. Likewise, that the exhausted parent pro tanto wrongs their ‘</w:t>
      </w:r>
      <w:r w:rsidR="00A02E75" w:rsidRPr="00585223">
        <w:rPr>
          <w:i/>
          <w:iCs/>
        </w:rPr>
        <w:t>wanted</w:t>
      </w:r>
      <w:r w:rsidR="00A02E75">
        <w:t xml:space="preserve">’ child by turning away to care for the child’s siblings need not mean that the duty to connect with their wanted child </w:t>
      </w:r>
      <w:r w:rsidR="00585223">
        <w:t xml:space="preserve">has not previously been, or </w:t>
      </w:r>
      <w:r w:rsidR="00A02E75">
        <w:t xml:space="preserve">will never </w:t>
      </w:r>
      <w:r w:rsidR="00585223">
        <w:t xml:space="preserve">again </w:t>
      </w:r>
      <w:r w:rsidR="00A02E75">
        <w:t>be</w:t>
      </w:r>
      <w:r w:rsidR="00585223">
        <w:t>,</w:t>
      </w:r>
      <w:r w:rsidR="00A02E75">
        <w:t xml:space="preserve"> fulfilled. As Brownlee’s book helpfully emphasises, social connections are most valuable when they de</w:t>
      </w:r>
      <w:r w:rsidR="00800F75">
        <w:t>e</w:t>
      </w:r>
      <w:r w:rsidR="00A02E75">
        <w:t>p</w:t>
      </w:r>
      <w:r w:rsidR="00800F75">
        <w:t>en</w:t>
      </w:r>
      <w:r w:rsidR="00A02E75">
        <w:t xml:space="preserve"> and persist over time. </w:t>
      </w:r>
    </w:p>
    <w:p w14:paraId="0658E465" w14:textId="044FED80" w:rsidR="006E0ACA" w:rsidRPr="00564306" w:rsidRDefault="006E0ACA" w:rsidP="00FE3710">
      <w:pPr>
        <w:autoSpaceDE w:val="0"/>
        <w:autoSpaceDN w:val="0"/>
        <w:adjustRightInd w:val="0"/>
        <w:spacing w:line="360" w:lineRule="auto"/>
      </w:pPr>
    </w:p>
    <w:p w14:paraId="67322E26" w14:textId="727D1CCD" w:rsidR="00E7573A" w:rsidRPr="00A22C58" w:rsidRDefault="0031432E" w:rsidP="00E7573A">
      <w:pPr>
        <w:tabs>
          <w:tab w:val="left" w:pos="1985"/>
        </w:tabs>
        <w:spacing w:line="360" w:lineRule="auto"/>
        <w:rPr>
          <w:i/>
          <w:iCs/>
        </w:rPr>
      </w:pPr>
      <w:r w:rsidRPr="00A22C58">
        <w:rPr>
          <w:i/>
          <w:iCs/>
        </w:rPr>
        <w:t>6</w:t>
      </w:r>
      <w:r w:rsidR="00A22C58" w:rsidRPr="00A22C58">
        <w:rPr>
          <w:i/>
          <w:iCs/>
        </w:rPr>
        <w:t>.</w:t>
      </w:r>
      <w:r w:rsidR="0067166D" w:rsidRPr="00A22C58">
        <w:rPr>
          <w:i/>
          <w:iCs/>
        </w:rPr>
        <w:t xml:space="preserve"> </w:t>
      </w:r>
      <w:r w:rsidR="00E7573A" w:rsidRPr="00A22C58">
        <w:rPr>
          <w:i/>
          <w:iCs/>
        </w:rPr>
        <w:t>Segregation</w:t>
      </w:r>
    </w:p>
    <w:p w14:paraId="2FBB4AFA" w14:textId="4B7CC77B" w:rsidR="00C46546" w:rsidRPr="00564306" w:rsidRDefault="00641FCD" w:rsidP="00E7573A">
      <w:pPr>
        <w:tabs>
          <w:tab w:val="left" w:pos="1985"/>
        </w:tabs>
        <w:spacing w:line="360" w:lineRule="auto"/>
      </w:pPr>
      <w:r w:rsidRPr="00564306">
        <w:t>S</w:t>
      </w:r>
      <w:r w:rsidR="00E7573A" w:rsidRPr="00564306">
        <w:t xml:space="preserve">tigmatising labels and segregating institutions </w:t>
      </w:r>
      <w:r w:rsidR="00CF47AB" w:rsidRPr="00564306">
        <w:t xml:space="preserve">are related since </w:t>
      </w:r>
      <w:r w:rsidRPr="00564306">
        <w:t>labelling</w:t>
      </w:r>
      <w:r w:rsidR="00CF47AB" w:rsidRPr="00564306">
        <w:t xml:space="preserve"> is part of the practices of the</w:t>
      </w:r>
      <w:r w:rsidRPr="00564306">
        <w:t>se</w:t>
      </w:r>
      <w:r w:rsidR="00CF47AB" w:rsidRPr="00564306">
        <w:t xml:space="preserve"> institution</w:t>
      </w:r>
      <w:r w:rsidR="005D4BFA" w:rsidRPr="00564306">
        <w:t>s</w:t>
      </w:r>
      <w:r w:rsidR="00A645B0">
        <w:t xml:space="preserve">. </w:t>
      </w:r>
      <w:r w:rsidR="00E7573A" w:rsidRPr="00564306">
        <w:t xml:space="preserve">Brownlee </w:t>
      </w:r>
      <w:r w:rsidR="005D4BFA" w:rsidRPr="00564306">
        <w:t xml:space="preserve">has criticised </w:t>
      </w:r>
      <w:r w:rsidR="00CF47AB" w:rsidRPr="00564306">
        <w:t xml:space="preserve">essentialising </w:t>
      </w:r>
      <w:r w:rsidR="00E7573A" w:rsidRPr="00564306">
        <w:t>labelling</w:t>
      </w:r>
      <w:r w:rsidR="00CF47AB" w:rsidRPr="00564306">
        <w:t xml:space="preserve"> in criminal justice</w:t>
      </w:r>
      <w:r w:rsidR="005D4BFA" w:rsidRPr="00564306">
        <w:t xml:space="preserve"> </w:t>
      </w:r>
      <w:r w:rsidR="00CC24B4">
        <w:rPr>
          <w:noProof/>
        </w:rPr>
        <w:t>(2016a)</w:t>
      </w:r>
      <w:r w:rsidR="00A645B0">
        <w:t>, a view I share</w:t>
      </w:r>
      <w:r w:rsidR="00E7573A" w:rsidRPr="00564306">
        <w:t xml:space="preserve">. </w:t>
      </w:r>
      <w:r w:rsidRPr="00564306">
        <w:t>Broad-brush</w:t>
      </w:r>
      <w:r w:rsidR="00E7573A" w:rsidRPr="00564306">
        <w:t xml:space="preserve"> </w:t>
      </w:r>
      <w:r w:rsidR="00E74345">
        <w:t>terms,</w:t>
      </w:r>
      <w:r w:rsidRPr="00564306">
        <w:t xml:space="preserve"> such as ‘offender’</w:t>
      </w:r>
      <w:r w:rsidR="005D4BFA" w:rsidRPr="00564306">
        <w:t>,</w:t>
      </w:r>
      <w:r w:rsidR="00E7573A" w:rsidRPr="00564306">
        <w:t xml:space="preserve"> </w:t>
      </w:r>
      <w:r w:rsidR="00A645B0">
        <w:t xml:space="preserve">can be problematic, especially when the criminal record is </w:t>
      </w:r>
      <w:r w:rsidR="008159E0">
        <w:t xml:space="preserve">minor and </w:t>
      </w:r>
      <w:r w:rsidR="00A645B0">
        <w:t>old</w:t>
      </w:r>
      <w:r w:rsidR="008159E0">
        <w:t>,</w:t>
      </w:r>
      <w:r w:rsidR="00A645B0">
        <w:t xml:space="preserve"> and the person has changed a great deal</w:t>
      </w:r>
      <w:r w:rsidR="00A645B0" w:rsidRPr="00840846">
        <w:t>.</w:t>
      </w:r>
      <w:r w:rsidR="00D56FEA">
        <w:t xml:space="preserve"> Shad</w:t>
      </w:r>
      <w:r w:rsidR="00585223">
        <w:t>d</w:t>
      </w:r>
      <w:r w:rsidR="00A645B0" w:rsidRPr="00840846">
        <w:t xml:space="preserve"> </w:t>
      </w:r>
      <w:proofErr w:type="spellStart"/>
      <w:r w:rsidR="00A645B0" w:rsidRPr="00840846">
        <w:t>Maruna</w:t>
      </w:r>
      <w:proofErr w:type="spellEnd"/>
      <w:r w:rsidR="00A645B0" w:rsidRPr="00840846">
        <w:t xml:space="preserve"> and others identify building </w:t>
      </w:r>
      <w:r w:rsidR="00333461">
        <w:t>a ‘new’</w:t>
      </w:r>
      <w:r w:rsidR="00A645B0" w:rsidRPr="00840846">
        <w:t xml:space="preserve"> identity as a law-abiding person as </w:t>
      </w:r>
      <w:r w:rsidR="00A645B0" w:rsidRPr="00840846">
        <w:lastRenderedPageBreak/>
        <w:t>necessary for successful desistance from offending</w:t>
      </w:r>
      <w:r w:rsidR="00E74345">
        <w:t xml:space="preserve"> – an identity that must be accepted by those around the individual</w:t>
      </w:r>
      <w:r w:rsidR="00A645B0" w:rsidRPr="00840846">
        <w:t xml:space="preserve"> </w:t>
      </w:r>
      <w:r w:rsidR="00CC24B4">
        <w:rPr>
          <w:noProof/>
        </w:rPr>
        <w:t>(Maruna and Toch 2001:</w:t>
      </w:r>
      <w:r w:rsidR="00C46176">
        <w:rPr>
          <w:noProof/>
        </w:rPr>
        <w:t xml:space="preserve"> </w:t>
      </w:r>
      <w:r w:rsidR="00CC24B4">
        <w:rPr>
          <w:noProof/>
        </w:rPr>
        <w:t>55)</w:t>
      </w:r>
      <w:r w:rsidR="00894F68">
        <w:t>, which requires Brownlee’s social connection</w:t>
      </w:r>
      <w:r w:rsidR="00A645B0" w:rsidRPr="00840846">
        <w:t>.</w:t>
      </w:r>
      <w:r w:rsidR="00A645B0">
        <w:t xml:space="preserve"> To minimise potentially counter-productive essentialism, </w:t>
      </w:r>
      <w:r w:rsidR="00E7573A" w:rsidRPr="00564306">
        <w:t>I use person-</w:t>
      </w:r>
      <w:r w:rsidR="005D4BFA" w:rsidRPr="00564306">
        <w:t>centred</w:t>
      </w:r>
      <w:r w:rsidR="00E7573A" w:rsidRPr="00564306">
        <w:t xml:space="preserve"> language where possible: </w:t>
      </w:r>
      <w:r w:rsidR="00E7573A" w:rsidRPr="00564306">
        <w:rPr>
          <w:i/>
          <w:iCs/>
        </w:rPr>
        <w:t>people</w:t>
      </w:r>
      <w:r w:rsidR="00E7573A" w:rsidRPr="00564306">
        <w:t xml:space="preserve"> with convictions, </w:t>
      </w:r>
      <w:r w:rsidR="005D4BFA" w:rsidRPr="00564306">
        <w:t xml:space="preserve">punished </w:t>
      </w:r>
      <w:r w:rsidR="00E7573A" w:rsidRPr="00564306">
        <w:rPr>
          <w:i/>
          <w:iCs/>
        </w:rPr>
        <w:t>people</w:t>
      </w:r>
      <w:r w:rsidR="00E7573A" w:rsidRPr="00564306">
        <w:t xml:space="preserve">, </w:t>
      </w:r>
      <w:r w:rsidR="00E7573A" w:rsidRPr="00564306">
        <w:rPr>
          <w:i/>
          <w:iCs/>
        </w:rPr>
        <w:t>people</w:t>
      </w:r>
      <w:r w:rsidR="00E7573A" w:rsidRPr="00564306">
        <w:t xml:space="preserve"> who live in prison, </w:t>
      </w:r>
      <w:r w:rsidR="00E74345">
        <w:t xml:space="preserve">are all </w:t>
      </w:r>
      <w:r w:rsidR="00E7573A" w:rsidRPr="00564306">
        <w:t>people with families, presents</w:t>
      </w:r>
      <w:r w:rsidR="00CF47AB" w:rsidRPr="00564306">
        <w:t>,</w:t>
      </w:r>
      <w:r w:rsidR="00E7573A" w:rsidRPr="00564306">
        <w:t xml:space="preserve"> and futures</w:t>
      </w:r>
      <w:r w:rsidR="00CF47AB" w:rsidRPr="00564306">
        <w:t>,</w:t>
      </w:r>
      <w:r w:rsidR="00E7573A" w:rsidRPr="00564306">
        <w:t xml:space="preserve"> as well as pasts</w:t>
      </w:r>
      <w:r w:rsidR="00C46546" w:rsidRPr="00564306">
        <w:t xml:space="preserve"> </w:t>
      </w:r>
      <w:r w:rsidR="00CC24B4" w:rsidRPr="00CC24B4">
        <w:rPr>
          <w:rFonts w:ascii="Calibri" w:cs="Calibri"/>
        </w:rPr>
        <w:t>(Coverdale 2013:</w:t>
      </w:r>
      <w:r w:rsidR="00C46176">
        <w:rPr>
          <w:rFonts w:ascii="Calibri" w:cs="Calibri"/>
        </w:rPr>
        <w:t xml:space="preserve"> </w:t>
      </w:r>
      <w:r w:rsidR="00CC24B4" w:rsidRPr="00CC24B4">
        <w:rPr>
          <w:rFonts w:ascii="Calibri" w:cs="Calibri"/>
        </w:rPr>
        <w:t>37–38)</w:t>
      </w:r>
      <w:r w:rsidR="00E7573A" w:rsidRPr="00564306">
        <w:t xml:space="preserve">. </w:t>
      </w:r>
    </w:p>
    <w:p w14:paraId="67616D11" w14:textId="77777777" w:rsidR="00C46546" w:rsidRPr="00564306" w:rsidRDefault="00C46546" w:rsidP="00E7573A">
      <w:pPr>
        <w:tabs>
          <w:tab w:val="left" w:pos="1985"/>
        </w:tabs>
        <w:spacing w:line="360" w:lineRule="auto"/>
      </w:pPr>
    </w:p>
    <w:p w14:paraId="3C963B29" w14:textId="251C1DBB" w:rsidR="000934B7" w:rsidRDefault="00E7573A" w:rsidP="00E7573A">
      <w:pPr>
        <w:tabs>
          <w:tab w:val="left" w:pos="1985"/>
        </w:tabs>
        <w:spacing w:line="360" w:lineRule="auto"/>
      </w:pPr>
      <w:r w:rsidRPr="00564306">
        <w:t xml:space="preserve">There </w:t>
      </w:r>
      <w:r w:rsidR="00C46546" w:rsidRPr="00564306">
        <w:t xml:space="preserve">is </w:t>
      </w:r>
      <w:r w:rsidR="00F47BFC" w:rsidRPr="00564306">
        <w:t xml:space="preserve">however </w:t>
      </w:r>
      <w:r w:rsidR="00C46546" w:rsidRPr="00564306">
        <w:t xml:space="preserve">cause for </w:t>
      </w:r>
      <w:r w:rsidR="00E74345">
        <w:t xml:space="preserve">some </w:t>
      </w:r>
      <w:r w:rsidRPr="00564306">
        <w:t>optimism</w:t>
      </w:r>
      <w:r w:rsidR="00E74345">
        <w:t xml:space="preserve"> about penal practice</w:t>
      </w:r>
      <w:r w:rsidRPr="00564306">
        <w:t xml:space="preserve">. </w:t>
      </w:r>
      <w:r w:rsidR="00333461">
        <w:t>While</w:t>
      </w:r>
      <w:r w:rsidRPr="00564306">
        <w:t xml:space="preserve"> ‘in many prisons, officials refer to the people in their care by their surname only, as ‘Smith’ and never as ‘Mr Smith’, which is a demeaning form of address in this context that fits with broader, reductive, dehumanizing practices in criminal justice’ </w:t>
      </w:r>
      <w:r w:rsidR="00CC24B4">
        <w:rPr>
          <w:noProof/>
        </w:rPr>
        <w:t>(Brownlee 2020:</w:t>
      </w:r>
      <w:r w:rsidR="00C46176">
        <w:rPr>
          <w:noProof/>
        </w:rPr>
        <w:t xml:space="preserve"> </w:t>
      </w:r>
      <w:r w:rsidR="00CC24B4">
        <w:rPr>
          <w:noProof/>
        </w:rPr>
        <w:t>175)</w:t>
      </w:r>
      <w:r w:rsidR="00333461">
        <w:t>, and</w:t>
      </w:r>
      <w:r w:rsidR="00D56FEA">
        <w:t xml:space="preserve"> </w:t>
      </w:r>
      <w:r w:rsidR="00333461">
        <w:t>i</w:t>
      </w:r>
      <w:r w:rsidR="00D56FEA">
        <w:t>n at least some cases in England</w:t>
      </w:r>
      <w:r w:rsidR="00A02E75">
        <w:t xml:space="preserve"> and Wales,</w:t>
      </w:r>
      <w:r w:rsidR="00D56FEA">
        <w:t xml:space="preserve"> and the US, people who live in prisons are further </w:t>
      </w:r>
      <w:r w:rsidR="00D56FEA" w:rsidRPr="00A22C58">
        <w:t xml:space="preserve">dehumanised when they are addressed </w:t>
      </w:r>
      <w:r w:rsidR="00CC018C" w:rsidRPr="00A22C58">
        <w:t xml:space="preserve">only </w:t>
      </w:r>
      <w:r w:rsidR="00D56FEA" w:rsidRPr="00A22C58">
        <w:t>by their prison number</w:t>
      </w:r>
      <w:r w:rsidR="00333461">
        <w:t>,</w:t>
      </w:r>
      <w:r w:rsidR="0031432E" w:rsidRPr="00A22C58">
        <w:rPr>
          <w:rStyle w:val="EndnoteReference"/>
        </w:rPr>
        <w:endnoteReference w:id="1"/>
      </w:r>
      <w:r w:rsidR="00D56FEA" w:rsidRPr="00A22C58">
        <w:t xml:space="preserve"> </w:t>
      </w:r>
      <w:r w:rsidR="00C46546" w:rsidRPr="00564306">
        <w:t>s</w:t>
      </w:r>
      <w:r w:rsidRPr="00564306">
        <w:t>ome institutions have better practices. James Q Whitman reports that German Prison Officers are required to address people who live in prisons as</w:t>
      </w:r>
      <w:r w:rsidRPr="00564306">
        <w:rPr>
          <w:i/>
          <w:iCs/>
        </w:rPr>
        <w:t xml:space="preserve"> </w:t>
      </w:r>
      <w:r w:rsidR="00641FCD" w:rsidRPr="00564306">
        <w:rPr>
          <w:i/>
          <w:iCs/>
        </w:rPr>
        <w:t>‘</w:t>
      </w:r>
      <w:r w:rsidRPr="00564306">
        <w:rPr>
          <w:i/>
          <w:iCs/>
        </w:rPr>
        <w:t>Herr last-name</w:t>
      </w:r>
      <w:r w:rsidR="00641FCD" w:rsidRPr="00564306">
        <w:rPr>
          <w:i/>
          <w:iCs/>
        </w:rPr>
        <w:t>’</w:t>
      </w:r>
      <w:r w:rsidRPr="00564306">
        <w:rPr>
          <w:i/>
          <w:iCs/>
        </w:rPr>
        <w:t xml:space="preserve"> </w:t>
      </w:r>
      <w:r w:rsidR="00CC24B4">
        <w:rPr>
          <w:noProof/>
        </w:rPr>
        <w:t>(2003:</w:t>
      </w:r>
      <w:r w:rsidR="00C46176">
        <w:rPr>
          <w:noProof/>
        </w:rPr>
        <w:t xml:space="preserve"> </w:t>
      </w:r>
      <w:r w:rsidR="00CC24B4">
        <w:rPr>
          <w:noProof/>
        </w:rPr>
        <w:t>8)</w:t>
      </w:r>
      <w:r w:rsidRPr="00564306">
        <w:t>, and must knock prior to entering a cell, to</w:t>
      </w:r>
      <w:r w:rsidR="00641FCD" w:rsidRPr="00564306">
        <w:t xml:space="preserve"> </w:t>
      </w:r>
      <w:r w:rsidRPr="00564306">
        <w:t xml:space="preserve">respect the dignity of the </w:t>
      </w:r>
      <w:r w:rsidR="00BD4835">
        <w:t>occupant</w:t>
      </w:r>
      <w:r w:rsidRPr="00564306">
        <w:t xml:space="preserve"> </w:t>
      </w:r>
      <w:r w:rsidR="00CC24B4">
        <w:rPr>
          <w:noProof/>
        </w:rPr>
        <w:t>(2003:</w:t>
      </w:r>
      <w:r w:rsidR="00C46176">
        <w:rPr>
          <w:noProof/>
        </w:rPr>
        <w:t xml:space="preserve"> </w:t>
      </w:r>
      <w:r w:rsidR="00CC24B4">
        <w:rPr>
          <w:noProof/>
        </w:rPr>
        <w:t>90)</w:t>
      </w:r>
      <w:r w:rsidRPr="00564306">
        <w:t xml:space="preserve">. </w:t>
      </w:r>
    </w:p>
    <w:p w14:paraId="41BFA88F" w14:textId="77777777" w:rsidR="000934B7" w:rsidRDefault="000934B7" w:rsidP="00E7573A">
      <w:pPr>
        <w:tabs>
          <w:tab w:val="left" w:pos="1985"/>
        </w:tabs>
        <w:spacing w:line="360" w:lineRule="auto"/>
      </w:pPr>
    </w:p>
    <w:p w14:paraId="2A7FED7F" w14:textId="70E2B50F" w:rsidR="00F35056" w:rsidRPr="00564306" w:rsidRDefault="00894F68" w:rsidP="00E7573A">
      <w:pPr>
        <w:tabs>
          <w:tab w:val="left" w:pos="1985"/>
        </w:tabs>
        <w:spacing w:line="360" w:lineRule="auto"/>
      </w:pPr>
      <w:r>
        <w:t>R</w:t>
      </w:r>
      <w:r w:rsidR="00BB5197">
        <w:t>ights are purposefully limited</w:t>
      </w:r>
      <w:r>
        <w:t xml:space="preserve"> during imprisonment</w:t>
      </w:r>
      <w:r w:rsidR="00BB5197">
        <w:t>, so respecting residual rights is an important part of</w:t>
      </w:r>
      <w:r w:rsidR="00AE1F8C" w:rsidRPr="00564306">
        <w:t xml:space="preserve"> treating people who live in prisons inclusively as members of our communities.</w:t>
      </w:r>
      <w:r w:rsidR="000934B7" w:rsidRPr="000934B7">
        <w:t xml:space="preserve"> </w:t>
      </w:r>
      <w:r w:rsidR="000934B7">
        <w:t>This makes recognising a right to connection more important in the case of segregation.</w:t>
      </w:r>
      <w:r w:rsidR="00AE1F8C">
        <w:t xml:space="preserve"> </w:t>
      </w:r>
      <w:r w:rsidR="000934B7">
        <w:t xml:space="preserve">Care in prisons can also contribute to this end, and </w:t>
      </w:r>
      <w:r w:rsidR="00BB5197">
        <w:t xml:space="preserve">can </w:t>
      </w:r>
      <w:r w:rsidR="000934B7">
        <w:t xml:space="preserve">further </w:t>
      </w:r>
      <w:r w:rsidR="00BB5197" w:rsidRPr="00564306">
        <w:t xml:space="preserve">help meet the aims of punishment: reducing recidivism, </w:t>
      </w:r>
      <w:r w:rsidR="00BB5197">
        <w:t xml:space="preserve">and preparing people </w:t>
      </w:r>
      <w:r w:rsidR="00BB5197" w:rsidRPr="00564306">
        <w:t>for</w:t>
      </w:r>
      <w:r w:rsidR="00BB5197">
        <w:t xml:space="preserve"> </w:t>
      </w:r>
      <w:r w:rsidR="00BB5197" w:rsidRPr="00564306">
        <w:t>life in the community</w:t>
      </w:r>
      <w:r w:rsidR="0084293C" w:rsidRPr="00564306">
        <w:t xml:space="preserve"> </w:t>
      </w:r>
      <w:r w:rsidR="00CC24B4">
        <w:rPr>
          <w:noProof/>
        </w:rPr>
        <w:t>(Coverdale 2018, 2021)</w:t>
      </w:r>
      <w:r w:rsidR="00E7573A" w:rsidRPr="00564306">
        <w:t xml:space="preserve">. </w:t>
      </w:r>
      <w:r w:rsidR="00AE1F8C" w:rsidRPr="00564306">
        <w:t>The often overlooked peer-to-peer care of prisoners</w:t>
      </w:r>
      <w:r w:rsidR="00AE1F8C">
        <w:t xml:space="preserve"> -</w:t>
      </w:r>
      <w:r w:rsidR="00AE1F8C" w:rsidRPr="00564306">
        <w:t xml:space="preserve"> reading a letter from home to another who </w:t>
      </w:r>
      <w:r w:rsidR="00AE1F8C">
        <w:t>cannot</w:t>
      </w:r>
      <w:r w:rsidR="00AE1F8C" w:rsidRPr="00564306">
        <w:t xml:space="preserve"> read it for themselves, or talking over problems</w:t>
      </w:r>
      <w:r w:rsidR="00AE1F8C">
        <w:t xml:space="preserve"> - </w:t>
      </w:r>
      <w:r w:rsidR="00AE1F8C" w:rsidRPr="00564306">
        <w:t xml:space="preserve">are acts </w:t>
      </w:r>
      <w:r w:rsidR="000934B7">
        <w:t xml:space="preserve">of </w:t>
      </w:r>
      <w:r w:rsidR="00AE1F8C" w:rsidRPr="00564306">
        <w:t>care and human connection</w:t>
      </w:r>
      <w:r w:rsidR="00AE1F8C">
        <w:t>,</w:t>
      </w:r>
      <w:r w:rsidR="00AE1F8C" w:rsidRPr="00564306">
        <w:t xml:space="preserve"> both for the person-receiving</w:t>
      </w:r>
      <w:r w:rsidR="00AE1F8C">
        <w:t xml:space="preserve"> support</w:t>
      </w:r>
      <w:r w:rsidR="00AE1F8C" w:rsidRPr="00564306">
        <w:t xml:space="preserve">, </w:t>
      </w:r>
      <w:r w:rsidR="00AE1F8C" w:rsidRPr="00564306">
        <w:rPr>
          <w:i/>
          <w:iCs/>
        </w:rPr>
        <w:t xml:space="preserve">and </w:t>
      </w:r>
      <w:r w:rsidR="00AE1F8C" w:rsidRPr="00564306">
        <w:t>the person-giving support</w:t>
      </w:r>
      <w:r w:rsidR="00AE1F8C">
        <w:t xml:space="preserve">. </w:t>
      </w:r>
      <w:r w:rsidR="00524691">
        <w:t xml:space="preserve">In agreement with Brownlee’s focus on our need to both give </w:t>
      </w:r>
      <w:r w:rsidR="00524691" w:rsidRPr="00894F68">
        <w:rPr>
          <w:i/>
          <w:iCs/>
        </w:rPr>
        <w:t>and receive</w:t>
      </w:r>
      <w:r w:rsidR="00524691">
        <w:t xml:space="preserve"> social connection, o</w:t>
      </w:r>
      <w:r w:rsidR="00AE1F8C" w:rsidRPr="00564306">
        <w:t>ffering support to others has been shown to be instrumentally helpful in the support-giver</w:t>
      </w:r>
      <w:r w:rsidR="00524691">
        <w:t>’</w:t>
      </w:r>
      <w:r w:rsidR="00AE1F8C" w:rsidRPr="00564306">
        <w:t xml:space="preserve">s own process of desisting from offending </w:t>
      </w:r>
      <w:r w:rsidR="00CC24B4">
        <w:rPr>
          <w:noProof/>
        </w:rPr>
        <w:t>(Lebel, Richie, and Maruna 2015:</w:t>
      </w:r>
      <w:r w:rsidR="00C46176">
        <w:rPr>
          <w:noProof/>
        </w:rPr>
        <w:t xml:space="preserve"> </w:t>
      </w:r>
      <w:r w:rsidR="00CC24B4">
        <w:rPr>
          <w:noProof/>
        </w:rPr>
        <w:t>109)</w:t>
      </w:r>
      <w:r w:rsidR="00524691">
        <w:t xml:space="preserve">. </w:t>
      </w:r>
      <w:r w:rsidR="00B96181">
        <w:t xml:space="preserve">In addition to </w:t>
      </w:r>
      <w:r w:rsidR="00A668C5">
        <w:t>the</w:t>
      </w:r>
      <w:r w:rsidR="00B96181">
        <w:t xml:space="preserve"> value </w:t>
      </w:r>
      <w:r w:rsidR="000934B7">
        <w:t xml:space="preserve">of social connection </w:t>
      </w:r>
      <w:r w:rsidR="00B96181">
        <w:t xml:space="preserve">for individual wellbeing, rights against social deprivation for people living in prisons might </w:t>
      </w:r>
      <w:r w:rsidR="00524691">
        <w:t xml:space="preserve">then </w:t>
      </w:r>
      <w:r w:rsidR="00B96181">
        <w:t xml:space="preserve">be instrumentally valuable to us all, in supporting </w:t>
      </w:r>
      <w:r w:rsidR="00A668C5">
        <w:t xml:space="preserve">people </w:t>
      </w:r>
      <w:r w:rsidR="00B96181">
        <w:t>with convictions in desisting from offending.</w:t>
      </w:r>
    </w:p>
    <w:p w14:paraId="0956EF97" w14:textId="77777777" w:rsidR="00E7573A" w:rsidRPr="00564306" w:rsidRDefault="00E7573A" w:rsidP="00FE3710">
      <w:pPr>
        <w:autoSpaceDE w:val="0"/>
        <w:autoSpaceDN w:val="0"/>
        <w:adjustRightInd w:val="0"/>
        <w:spacing w:line="360" w:lineRule="auto"/>
      </w:pPr>
    </w:p>
    <w:p w14:paraId="48409A6F" w14:textId="2A82AEEA" w:rsidR="001850AF" w:rsidRPr="00A22C58" w:rsidRDefault="0031432E" w:rsidP="003D4A35">
      <w:pPr>
        <w:spacing w:line="360" w:lineRule="auto"/>
        <w:rPr>
          <w:i/>
          <w:iCs/>
        </w:rPr>
      </w:pPr>
      <w:r w:rsidRPr="00A22C58">
        <w:rPr>
          <w:i/>
          <w:iCs/>
        </w:rPr>
        <w:lastRenderedPageBreak/>
        <w:t>7</w:t>
      </w:r>
      <w:r w:rsidR="00A22C58">
        <w:rPr>
          <w:i/>
          <w:iCs/>
        </w:rPr>
        <w:t>.</w:t>
      </w:r>
      <w:r w:rsidRPr="00A22C58">
        <w:rPr>
          <w:i/>
          <w:iCs/>
        </w:rPr>
        <w:t xml:space="preserve"> </w:t>
      </w:r>
      <w:r w:rsidR="00AB36B6" w:rsidRPr="00A22C58">
        <w:rPr>
          <w:i/>
          <w:iCs/>
        </w:rPr>
        <w:t>Conclusion</w:t>
      </w:r>
    </w:p>
    <w:p w14:paraId="293A004F" w14:textId="047E7600" w:rsidR="001850AF" w:rsidRDefault="008110FD" w:rsidP="006D06F5">
      <w:pPr>
        <w:spacing w:line="360" w:lineRule="auto"/>
      </w:pPr>
      <w:r w:rsidRPr="00564306">
        <w:t xml:space="preserve">Fabric and thread </w:t>
      </w:r>
      <w:r w:rsidR="00B70F3B" w:rsidRPr="00564306">
        <w:t>metaphors</w:t>
      </w:r>
      <w:r w:rsidRPr="00564306">
        <w:t xml:space="preserve"> abound in writings on care ethics. The gordian knot of morally messy human lives binds us together and should be celebrated, not cut. We need each other, but we </w:t>
      </w:r>
      <w:r w:rsidR="00E57114" w:rsidRPr="00564306">
        <w:t>also</w:t>
      </w:r>
      <w:r w:rsidRPr="00564306">
        <w:t xml:space="preserve"> achieve more when we </w:t>
      </w:r>
      <w:r w:rsidR="00BD4835">
        <w:t>support one another</w:t>
      </w:r>
      <w:r w:rsidRPr="00564306">
        <w:t xml:space="preserve">. </w:t>
      </w:r>
      <w:r w:rsidR="00C45625" w:rsidRPr="00564306">
        <w:t xml:space="preserve">I’ve offered some reflections on what it is to connect, how we can identify </w:t>
      </w:r>
      <w:r w:rsidR="00524691">
        <w:t xml:space="preserve">the content and bears of </w:t>
      </w:r>
      <w:r w:rsidR="00C45625" w:rsidRPr="00564306">
        <w:t xml:space="preserve">duties to </w:t>
      </w:r>
      <w:r w:rsidR="00C45625" w:rsidRPr="00524691">
        <w:t>connect</w:t>
      </w:r>
      <w:r w:rsidR="00524691" w:rsidRPr="00524691">
        <w:t xml:space="preserve">, and briefly, </w:t>
      </w:r>
      <w:r w:rsidR="00CC018C" w:rsidRPr="00524691">
        <w:t>the importance of connection</w:t>
      </w:r>
      <w:r w:rsidR="00524691" w:rsidRPr="00524691">
        <w:t xml:space="preserve"> even</w:t>
      </w:r>
      <w:r w:rsidR="00CC018C" w:rsidRPr="00524691">
        <w:t xml:space="preserve"> in cases of</w:t>
      </w:r>
      <w:r w:rsidR="00524691" w:rsidRPr="00524691">
        <w:t xml:space="preserve"> enforced</w:t>
      </w:r>
      <w:r w:rsidR="00CC018C" w:rsidRPr="00524691">
        <w:t xml:space="preserve"> </w:t>
      </w:r>
      <w:r w:rsidR="00C45625" w:rsidRPr="00524691">
        <w:t>segregation.</w:t>
      </w:r>
      <w:r w:rsidR="00C45625" w:rsidRPr="00564306">
        <w:t xml:space="preserve"> </w:t>
      </w:r>
      <w:r w:rsidR="00B56BA0" w:rsidRPr="00564306">
        <w:t xml:space="preserve">Connection is inescapable </w:t>
      </w:r>
      <w:r w:rsidR="00C067CC">
        <w:t xml:space="preserve">and essential </w:t>
      </w:r>
      <w:r w:rsidR="00B56BA0" w:rsidRPr="00564306">
        <w:t>for most of us, and when I understand myself as part of ‘us’,</w:t>
      </w:r>
      <w:r w:rsidR="00565AC7">
        <w:t xml:space="preserve"> </w:t>
      </w:r>
      <w:r w:rsidR="00B56BA0" w:rsidRPr="00564306">
        <w:t>b</w:t>
      </w:r>
      <w:r w:rsidR="00C267D9" w:rsidRPr="00564306">
        <w:t xml:space="preserve">eing sure of </w:t>
      </w:r>
      <w:r w:rsidR="00B56BA0" w:rsidRPr="00564306">
        <w:t>each other is bound up with being sure</w:t>
      </w:r>
      <w:r w:rsidR="00C267D9" w:rsidRPr="00564306">
        <w:t xml:space="preserve"> of ourselves.</w:t>
      </w:r>
      <w:r w:rsidR="00EC6353" w:rsidRPr="00564306">
        <w:t xml:space="preserve"> </w:t>
      </w:r>
      <w:r w:rsidR="00AB36B6" w:rsidRPr="00564306">
        <w:t>Brownlee offers us the tools to reco</w:t>
      </w:r>
      <w:r w:rsidRPr="00564306">
        <w:t>g</w:t>
      </w:r>
      <w:r w:rsidR="00AB36B6" w:rsidRPr="00564306">
        <w:t xml:space="preserve">nise and protect a human need for giving </w:t>
      </w:r>
      <w:r w:rsidR="00AB36B6" w:rsidRPr="00564306">
        <w:rPr>
          <w:i/>
          <w:iCs/>
        </w:rPr>
        <w:t>and receiving</w:t>
      </w:r>
      <w:r w:rsidR="00AB36B6" w:rsidRPr="00564306">
        <w:t xml:space="preserve"> social connection as a right, and more fundamentally an opportunity to recognise ourselves as interdependent.</w:t>
      </w:r>
      <w:r w:rsidR="00F31405">
        <w:rPr>
          <w:rStyle w:val="EndnoteReference"/>
        </w:rPr>
        <w:endnoteReference w:id="2"/>
      </w:r>
      <w:r w:rsidR="00AB36B6" w:rsidRPr="00564306">
        <w:t xml:space="preserve"> </w:t>
      </w:r>
    </w:p>
    <w:p w14:paraId="78FB516B" w14:textId="5C6F783F" w:rsidR="00E72C49" w:rsidRDefault="00E72C49" w:rsidP="006D06F5">
      <w:pPr>
        <w:spacing w:line="360" w:lineRule="auto"/>
      </w:pPr>
    </w:p>
    <w:p w14:paraId="407EB370" w14:textId="77777777" w:rsidR="00F31405" w:rsidRPr="006832DE" w:rsidRDefault="00E72C49" w:rsidP="006D06F5">
      <w:pPr>
        <w:spacing w:line="360" w:lineRule="auto"/>
        <w:rPr>
          <w:i/>
          <w:iCs/>
        </w:rPr>
      </w:pPr>
      <w:r w:rsidRPr="006832DE">
        <w:rPr>
          <w:i/>
          <w:iCs/>
        </w:rPr>
        <w:t>Political Science Department</w:t>
      </w:r>
      <w:r w:rsidR="00F31405" w:rsidRPr="006832DE">
        <w:rPr>
          <w:i/>
          <w:iCs/>
        </w:rPr>
        <w:t xml:space="preserve">, University College London, </w:t>
      </w:r>
    </w:p>
    <w:p w14:paraId="36E50E16" w14:textId="303D7358" w:rsidR="00F31405" w:rsidRPr="006832DE" w:rsidRDefault="00F31405" w:rsidP="006D06F5">
      <w:pPr>
        <w:spacing w:line="360" w:lineRule="auto"/>
        <w:rPr>
          <w:i/>
          <w:iCs/>
        </w:rPr>
      </w:pPr>
      <w:r w:rsidRPr="006832DE">
        <w:rPr>
          <w:i/>
          <w:iCs/>
        </w:rPr>
        <w:t>London, UK</w:t>
      </w:r>
    </w:p>
    <w:p w14:paraId="73AE0ACB" w14:textId="77777777" w:rsidR="00F31405" w:rsidRPr="006832DE" w:rsidRDefault="00F31405" w:rsidP="00F31405">
      <w:pPr>
        <w:spacing w:line="360" w:lineRule="auto"/>
        <w:rPr>
          <w:i/>
          <w:iCs/>
        </w:rPr>
      </w:pPr>
      <w:r w:rsidRPr="006832DE">
        <w:rPr>
          <w:i/>
          <w:iCs/>
        </w:rPr>
        <w:t>h.coverdale@ucl.ac.uk</w:t>
      </w:r>
    </w:p>
    <w:p w14:paraId="132E2D44" w14:textId="77777777" w:rsidR="00F31405" w:rsidRPr="006832DE" w:rsidRDefault="00F31405" w:rsidP="006D06F5">
      <w:pPr>
        <w:spacing w:line="360" w:lineRule="auto"/>
        <w:rPr>
          <w:i/>
          <w:iCs/>
        </w:rPr>
      </w:pPr>
      <w:r w:rsidRPr="006832DE">
        <w:rPr>
          <w:i/>
          <w:iCs/>
        </w:rPr>
        <w:t xml:space="preserve">York Law School, University of York, </w:t>
      </w:r>
    </w:p>
    <w:p w14:paraId="3EE6865D" w14:textId="6D8B3828" w:rsidR="00F31405" w:rsidRPr="006832DE" w:rsidRDefault="00F31405" w:rsidP="006D06F5">
      <w:pPr>
        <w:spacing w:line="360" w:lineRule="auto"/>
        <w:rPr>
          <w:i/>
          <w:iCs/>
        </w:rPr>
      </w:pPr>
      <w:r w:rsidRPr="006832DE">
        <w:rPr>
          <w:i/>
          <w:iCs/>
        </w:rPr>
        <w:t>York, UK</w:t>
      </w:r>
    </w:p>
    <w:p w14:paraId="10F6480D" w14:textId="37FFE737" w:rsidR="00F31405" w:rsidRPr="006832DE" w:rsidRDefault="00F31405" w:rsidP="006D06F5">
      <w:pPr>
        <w:spacing w:line="360" w:lineRule="auto"/>
        <w:rPr>
          <w:i/>
          <w:iCs/>
        </w:rPr>
      </w:pPr>
      <w:r w:rsidRPr="006832DE">
        <w:rPr>
          <w:i/>
          <w:iCs/>
        </w:rPr>
        <w:t>helen.coverdale@york.ac.uk</w:t>
      </w:r>
    </w:p>
    <w:p w14:paraId="10099D17" w14:textId="097DA66B" w:rsidR="00630D10" w:rsidRPr="00564306" w:rsidRDefault="00630D10" w:rsidP="00636E13">
      <w:pPr>
        <w:tabs>
          <w:tab w:val="left" w:pos="1985"/>
        </w:tabs>
        <w:spacing w:line="360" w:lineRule="auto"/>
      </w:pPr>
    </w:p>
    <w:p w14:paraId="3466125D" w14:textId="0D550DC9" w:rsidR="00EC6353" w:rsidRPr="00A22C58" w:rsidRDefault="001B1B61" w:rsidP="00636E13">
      <w:pPr>
        <w:tabs>
          <w:tab w:val="left" w:pos="1985"/>
        </w:tabs>
        <w:spacing w:line="360" w:lineRule="auto"/>
        <w:rPr>
          <w:i/>
          <w:iCs/>
        </w:rPr>
      </w:pPr>
      <w:r w:rsidRPr="00A22C58">
        <w:rPr>
          <w:i/>
          <w:iCs/>
        </w:rPr>
        <w:t>R</w:t>
      </w:r>
      <w:r w:rsidR="00A316AC" w:rsidRPr="00A22C58">
        <w:rPr>
          <w:i/>
          <w:iCs/>
        </w:rPr>
        <w:t>eferences</w:t>
      </w:r>
    </w:p>
    <w:p w14:paraId="00312615" w14:textId="293956F9" w:rsidR="00CC24B4" w:rsidRPr="00CC24B4" w:rsidRDefault="00CC24B4" w:rsidP="00CC24B4">
      <w:pPr>
        <w:pStyle w:val="Bibliography"/>
        <w:rPr>
          <w:rFonts w:ascii="Calibri" w:cs="Calibri"/>
        </w:rPr>
      </w:pPr>
      <w:r w:rsidRPr="00CC24B4">
        <w:rPr>
          <w:rFonts w:ascii="Calibri" w:cs="Calibri"/>
        </w:rPr>
        <w:t xml:space="preserve">Barnes, Marian. 2012. </w:t>
      </w:r>
      <w:r w:rsidRPr="00CC24B4">
        <w:rPr>
          <w:rFonts w:ascii="Calibri" w:cs="Calibri"/>
          <w:i/>
          <w:iCs/>
        </w:rPr>
        <w:t>Care in Everyday Life: An Ethic of Care in Practice</w:t>
      </w:r>
      <w:r w:rsidRPr="00CC24B4">
        <w:rPr>
          <w:rFonts w:ascii="Calibri" w:cs="Calibri"/>
        </w:rPr>
        <w:t>. Bristol: Policy.</w:t>
      </w:r>
    </w:p>
    <w:p w14:paraId="788E9891" w14:textId="77777777" w:rsidR="00CC24B4" w:rsidRPr="00CC24B4" w:rsidRDefault="00CC24B4" w:rsidP="00CC24B4">
      <w:pPr>
        <w:pStyle w:val="Bibliography"/>
        <w:rPr>
          <w:rFonts w:ascii="Calibri" w:cs="Calibri"/>
        </w:rPr>
      </w:pPr>
      <w:proofErr w:type="spellStart"/>
      <w:r w:rsidRPr="00CC24B4">
        <w:rPr>
          <w:rFonts w:ascii="Calibri" w:cs="Calibri"/>
        </w:rPr>
        <w:t>Benhabib</w:t>
      </w:r>
      <w:proofErr w:type="spellEnd"/>
      <w:r w:rsidRPr="00CC24B4">
        <w:rPr>
          <w:rFonts w:ascii="Calibri" w:cs="Calibri"/>
        </w:rPr>
        <w:t xml:space="preserve">, </w:t>
      </w:r>
      <w:proofErr w:type="spellStart"/>
      <w:r w:rsidRPr="00CC24B4">
        <w:rPr>
          <w:rFonts w:ascii="Calibri" w:cs="Calibri"/>
        </w:rPr>
        <w:t>Seyla</w:t>
      </w:r>
      <w:proofErr w:type="spellEnd"/>
      <w:r w:rsidRPr="00CC24B4">
        <w:rPr>
          <w:rFonts w:ascii="Calibri" w:cs="Calibri"/>
        </w:rPr>
        <w:t xml:space="preserve">. 1986. ‘The Generalized and the Concrete Other: The Kohlberg-Gilligan Controversy and Feminist Theory’. </w:t>
      </w:r>
      <w:r w:rsidRPr="00CC24B4">
        <w:rPr>
          <w:rFonts w:ascii="Calibri" w:cs="Calibri"/>
          <w:i/>
          <w:iCs/>
        </w:rPr>
        <w:t>Praxis International</w:t>
      </w:r>
      <w:r w:rsidRPr="00CC24B4">
        <w:rPr>
          <w:rFonts w:ascii="Calibri" w:cs="Calibri"/>
        </w:rPr>
        <w:t xml:space="preserve"> 5(4):402–24.</w:t>
      </w:r>
    </w:p>
    <w:p w14:paraId="117FE193" w14:textId="7094B41F" w:rsidR="00CC24B4" w:rsidRPr="00CC24B4" w:rsidRDefault="00CC24B4" w:rsidP="00CC24B4">
      <w:pPr>
        <w:pStyle w:val="Bibliography"/>
        <w:rPr>
          <w:rFonts w:ascii="Calibri" w:cs="Calibri"/>
        </w:rPr>
      </w:pPr>
      <w:r w:rsidRPr="00CC24B4">
        <w:rPr>
          <w:rFonts w:ascii="Calibri" w:cs="Calibri"/>
        </w:rPr>
        <w:t xml:space="preserve">Brownlee, Kimberley. 2013. ‘A Human Right Against Social Deprivation’. </w:t>
      </w:r>
      <w:r w:rsidRPr="00CC24B4">
        <w:rPr>
          <w:rFonts w:ascii="Calibri" w:cs="Calibri"/>
          <w:i/>
          <w:iCs/>
        </w:rPr>
        <w:t>The Philosophical Quarterly</w:t>
      </w:r>
      <w:r w:rsidRPr="00CC24B4">
        <w:rPr>
          <w:rFonts w:ascii="Calibri" w:cs="Calibri"/>
        </w:rPr>
        <w:t xml:space="preserve"> 63(251):199–222.</w:t>
      </w:r>
    </w:p>
    <w:p w14:paraId="71FD7FAB" w14:textId="13CEFD54" w:rsidR="00CC24B4" w:rsidRPr="00CC24B4" w:rsidRDefault="00CC24B4" w:rsidP="00CC24B4">
      <w:pPr>
        <w:pStyle w:val="Bibliography"/>
        <w:rPr>
          <w:rFonts w:ascii="Calibri" w:cs="Calibri"/>
        </w:rPr>
      </w:pPr>
      <w:r w:rsidRPr="00CC24B4">
        <w:rPr>
          <w:rFonts w:ascii="Calibri" w:cs="Calibri"/>
        </w:rPr>
        <w:t xml:space="preserve">Brownlee, Kimberley. 2016a. ‘Don’t Call People “Rapists”: On the Social Contribution Injustice of Punishment’. </w:t>
      </w:r>
      <w:r w:rsidRPr="00CC24B4">
        <w:rPr>
          <w:rFonts w:ascii="Calibri" w:cs="Calibri"/>
          <w:i/>
          <w:iCs/>
        </w:rPr>
        <w:t>Current Legal Problems</w:t>
      </w:r>
      <w:r w:rsidRPr="00CC24B4">
        <w:rPr>
          <w:rFonts w:ascii="Calibri" w:cs="Calibri"/>
        </w:rPr>
        <w:t xml:space="preserve"> 69(1):327–52. </w:t>
      </w:r>
    </w:p>
    <w:p w14:paraId="2517B6F6" w14:textId="06D940EF" w:rsidR="00CC24B4" w:rsidRPr="00CC24B4" w:rsidRDefault="00CC24B4" w:rsidP="00CC24B4">
      <w:pPr>
        <w:pStyle w:val="Bibliography"/>
        <w:rPr>
          <w:rFonts w:ascii="Calibri" w:cs="Calibri"/>
        </w:rPr>
      </w:pPr>
      <w:r w:rsidRPr="00CC24B4">
        <w:rPr>
          <w:rFonts w:ascii="Calibri" w:cs="Calibri"/>
        </w:rPr>
        <w:t xml:space="preserve">Brownlee, Kimberley. 2016b. ‘Ethical Dilemmas of Sociability’. </w:t>
      </w:r>
      <w:proofErr w:type="spellStart"/>
      <w:r w:rsidRPr="00CC24B4">
        <w:rPr>
          <w:rFonts w:ascii="Calibri" w:cs="Calibri"/>
          <w:i/>
          <w:iCs/>
        </w:rPr>
        <w:t>Utilitas</w:t>
      </w:r>
      <w:proofErr w:type="spellEnd"/>
      <w:r w:rsidRPr="00CC24B4">
        <w:rPr>
          <w:rFonts w:ascii="Calibri" w:cs="Calibri"/>
        </w:rPr>
        <w:t xml:space="preserve"> 28(1):54–72. </w:t>
      </w:r>
    </w:p>
    <w:p w14:paraId="19D2CE51" w14:textId="579CB3E4" w:rsidR="00CC24B4" w:rsidRPr="00CC24B4" w:rsidRDefault="00CC24B4" w:rsidP="00CC24B4">
      <w:pPr>
        <w:pStyle w:val="Bibliography"/>
        <w:rPr>
          <w:rFonts w:ascii="Calibri" w:cs="Calibri"/>
        </w:rPr>
      </w:pPr>
      <w:r w:rsidRPr="00CC24B4">
        <w:rPr>
          <w:rFonts w:ascii="Calibri" w:cs="Calibri"/>
        </w:rPr>
        <w:t xml:space="preserve">Brownlee, Kimberley. 2016c. ‘I—The Lonely Heart Breaks: On the Right to Be a Social Contributor’. </w:t>
      </w:r>
      <w:r w:rsidRPr="00CC24B4">
        <w:rPr>
          <w:rFonts w:ascii="Calibri" w:cs="Calibri"/>
          <w:i/>
          <w:iCs/>
        </w:rPr>
        <w:t>Aristotelian Society Supplementary Volume</w:t>
      </w:r>
      <w:r w:rsidRPr="00CC24B4">
        <w:rPr>
          <w:rFonts w:ascii="Calibri" w:cs="Calibri"/>
        </w:rPr>
        <w:t xml:space="preserve"> 90(1):27–48. </w:t>
      </w:r>
    </w:p>
    <w:p w14:paraId="4741AFD3" w14:textId="77777777" w:rsidR="00CC24B4" w:rsidRPr="00CC24B4" w:rsidRDefault="00CC24B4" w:rsidP="00CC24B4">
      <w:pPr>
        <w:pStyle w:val="Bibliography"/>
        <w:rPr>
          <w:rFonts w:ascii="Calibri" w:cs="Calibri"/>
        </w:rPr>
      </w:pPr>
      <w:r w:rsidRPr="00CC24B4">
        <w:rPr>
          <w:rFonts w:ascii="Calibri" w:cs="Calibri"/>
        </w:rPr>
        <w:t xml:space="preserve">Brownlee, Kimberley. 2016d. ‘What Lies behind the Myth of the Strong, Self-Reliant Loner? | Aeon Ideas’. </w:t>
      </w:r>
      <w:r w:rsidRPr="00CC24B4">
        <w:rPr>
          <w:rFonts w:ascii="Calibri" w:cs="Calibri"/>
          <w:i/>
          <w:iCs/>
        </w:rPr>
        <w:t>Aeon</w:t>
      </w:r>
      <w:r w:rsidRPr="00CC24B4">
        <w:rPr>
          <w:rFonts w:ascii="Calibri" w:cs="Calibri"/>
        </w:rPr>
        <w:t>.</w:t>
      </w:r>
    </w:p>
    <w:p w14:paraId="3E03068C" w14:textId="77777777" w:rsidR="00CC24B4" w:rsidRPr="00CC24B4" w:rsidRDefault="00CC24B4" w:rsidP="00CC24B4">
      <w:pPr>
        <w:pStyle w:val="Bibliography"/>
        <w:rPr>
          <w:rFonts w:ascii="Calibri" w:cs="Calibri"/>
        </w:rPr>
      </w:pPr>
      <w:r w:rsidRPr="00CC24B4">
        <w:rPr>
          <w:rFonts w:ascii="Calibri" w:cs="Calibri"/>
        </w:rPr>
        <w:lastRenderedPageBreak/>
        <w:t xml:space="preserve">Brownlee, Kimberley. 2020. </w:t>
      </w:r>
      <w:r w:rsidRPr="00CC24B4">
        <w:rPr>
          <w:rFonts w:ascii="Calibri" w:cs="Calibri"/>
          <w:i/>
          <w:iCs/>
        </w:rPr>
        <w:t>Being Sure of Each Other: An Essay on Social Rights and Freedoms</w:t>
      </w:r>
      <w:r w:rsidRPr="00CC24B4">
        <w:rPr>
          <w:rFonts w:ascii="Calibri" w:cs="Calibri"/>
        </w:rPr>
        <w:t>. Oxford: Oxford University Press.</w:t>
      </w:r>
    </w:p>
    <w:p w14:paraId="151EFAFC" w14:textId="77777777" w:rsidR="00CC24B4" w:rsidRPr="00CC24B4" w:rsidRDefault="00CC24B4" w:rsidP="00CC24B4">
      <w:pPr>
        <w:pStyle w:val="Bibliography"/>
        <w:rPr>
          <w:rFonts w:ascii="Calibri" w:cs="Calibri"/>
        </w:rPr>
      </w:pPr>
      <w:r w:rsidRPr="00CC24B4">
        <w:rPr>
          <w:rFonts w:ascii="Calibri" w:cs="Calibri"/>
        </w:rPr>
        <w:t xml:space="preserve">Clement, Grace. 1996. </w:t>
      </w:r>
      <w:r w:rsidRPr="00CC24B4">
        <w:rPr>
          <w:rFonts w:ascii="Calibri" w:cs="Calibri"/>
          <w:i/>
          <w:iCs/>
        </w:rPr>
        <w:t>Care, Autonomy, and Justice: Feminism and the Ethic of Care</w:t>
      </w:r>
      <w:r w:rsidRPr="00CC24B4">
        <w:rPr>
          <w:rFonts w:ascii="Calibri" w:cs="Calibri"/>
        </w:rPr>
        <w:t>. Boulder, Colo.: Westview Press.</w:t>
      </w:r>
    </w:p>
    <w:p w14:paraId="608F4C05" w14:textId="77777777" w:rsidR="00CC24B4" w:rsidRPr="00CC24B4" w:rsidRDefault="00CC24B4" w:rsidP="00CC24B4">
      <w:pPr>
        <w:pStyle w:val="Bibliography"/>
        <w:rPr>
          <w:rFonts w:ascii="Calibri" w:cs="Calibri"/>
        </w:rPr>
      </w:pPr>
      <w:r w:rsidRPr="00CC24B4">
        <w:rPr>
          <w:rFonts w:ascii="Calibri" w:cs="Calibri"/>
        </w:rPr>
        <w:t xml:space="preserve">Code, Lorraine. 1991. </w:t>
      </w:r>
      <w:r w:rsidRPr="00CC24B4">
        <w:rPr>
          <w:rFonts w:ascii="Calibri" w:cs="Calibri"/>
          <w:i/>
          <w:iCs/>
        </w:rPr>
        <w:t>What Can She Know?: Feminist Theory and the Construction of Knowledge</w:t>
      </w:r>
      <w:r w:rsidRPr="00CC24B4">
        <w:rPr>
          <w:rFonts w:ascii="Calibri" w:cs="Calibri"/>
        </w:rPr>
        <w:t>. Ithaca: Cornell University Press.</w:t>
      </w:r>
    </w:p>
    <w:p w14:paraId="746437AD" w14:textId="77777777" w:rsidR="00CC24B4" w:rsidRPr="00CC24B4" w:rsidRDefault="00CC24B4" w:rsidP="00CC24B4">
      <w:pPr>
        <w:pStyle w:val="Bibliography"/>
        <w:rPr>
          <w:rFonts w:ascii="Calibri" w:cs="Calibri"/>
        </w:rPr>
      </w:pPr>
      <w:r w:rsidRPr="00CC24B4">
        <w:rPr>
          <w:rFonts w:ascii="Calibri" w:cs="Calibri"/>
        </w:rPr>
        <w:t xml:space="preserve">Collins, Stephanie. 2015. </w:t>
      </w:r>
      <w:r w:rsidRPr="00CC24B4">
        <w:rPr>
          <w:rFonts w:ascii="Calibri" w:cs="Calibri"/>
          <w:i/>
          <w:iCs/>
        </w:rPr>
        <w:t>The Core of Care Ethics</w:t>
      </w:r>
      <w:r w:rsidRPr="00CC24B4">
        <w:rPr>
          <w:rFonts w:ascii="Calibri" w:cs="Calibri"/>
        </w:rPr>
        <w:t>. New York: Palgrave Macmillan.</w:t>
      </w:r>
    </w:p>
    <w:p w14:paraId="43B8DC36" w14:textId="76D34ED3" w:rsidR="00CC24B4" w:rsidRPr="00CC24B4" w:rsidRDefault="00CC24B4" w:rsidP="00CC24B4">
      <w:pPr>
        <w:pStyle w:val="Bibliography"/>
        <w:rPr>
          <w:rFonts w:ascii="Calibri" w:cs="Calibri"/>
        </w:rPr>
      </w:pPr>
      <w:r w:rsidRPr="00CC24B4">
        <w:rPr>
          <w:rFonts w:ascii="Calibri" w:cs="Calibri"/>
        </w:rPr>
        <w:t xml:space="preserve">Coverdale, Helen Brown. 2013. ‘Punishing with Care: Treating Offenders as Equal Persons in Criminal Punishment’. </w:t>
      </w:r>
      <w:r w:rsidR="00565AC7">
        <w:rPr>
          <w:rFonts w:ascii="Calibri" w:cs="Calibri"/>
        </w:rPr>
        <w:t>P</w:t>
      </w:r>
      <w:r w:rsidRPr="00CC24B4">
        <w:rPr>
          <w:rFonts w:ascii="Calibri" w:cs="Calibri"/>
        </w:rPr>
        <w:t>h</w:t>
      </w:r>
      <w:r w:rsidR="00565AC7">
        <w:rPr>
          <w:rFonts w:ascii="Calibri" w:cs="Calibri"/>
        </w:rPr>
        <w:t>D</w:t>
      </w:r>
      <w:r w:rsidRPr="00CC24B4">
        <w:rPr>
          <w:rFonts w:ascii="Calibri" w:cs="Calibri"/>
        </w:rPr>
        <w:t>, The London School of Economics and Political Science (LSE).</w:t>
      </w:r>
    </w:p>
    <w:p w14:paraId="25E4E0E8" w14:textId="2383DFA7" w:rsidR="00CC24B4" w:rsidRPr="00CC24B4" w:rsidRDefault="00CC24B4" w:rsidP="00CC24B4">
      <w:pPr>
        <w:pStyle w:val="Bibliography"/>
        <w:rPr>
          <w:rFonts w:ascii="Calibri" w:cs="Calibri"/>
        </w:rPr>
      </w:pPr>
      <w:r w:rsidRPr="00CC24B4">
        <w:rPr>
          <w:rFonts w:ascii="Calibri" w:cs="Calibri"/>
        </w:rPr>
        <w:t xml:space="preserve">Coverdale, Helen Brown. 2018. ‘Punishment and Welfare: Defending Offender’s Inclusion as Subjects of State Care’. </w:t>
      </w:r>
      <w:r w:rsidRPr="00CC24B4">
        <w:rPr>
          <w:rFonts w:ascii="Calibri" w:cs="Calibri"/>
          <w:i/>
          <w:iCs/>
        </w:rPr>
        <w:t>Ethics and Social Welfare</w:t>
      </w:r>
      <w:r w:rsidRPr="00CC24B4">
        <w:rPr>
          <w:rFonts w:ascii="Calibri" w:cs="Calibri"/>
        </w:rPr>
        <w:t xml:space="preserve"> 12(2):117–32. </w:t>
      </w:r>
    </w:p>
    <w:p w14:paraId="5894DD3A" w14:textId="1527CBD5" w:rsidR="00CC24B4" w:rsidRPr="00CC24B4" w:rsidRDefault="00CC24B4" w:rsidP="00CC24B4">
      <w:pPr>
        <w:pStyle w:val="Bibliography"/>
        <w:rPr>
          <w:rFonts w:ascii="Calibri" w:cs="Calibri"/>
        </w:rPr>
      </w:pPr>
      <w:r w:rsidRPr="00CC24B4">
        <w:rPr>
          <w:rFonts w:ascii="Calibri" w:cs="Calibri"/>
        </w:rPr>
        <w:t xml:space="preserve">Coverdale, Helen Brown. 2021. ‘Caring and the Prison in Philosophy, Policy and Practice: Under Lock and Key’. </w:t>
      </w:r>
      <w:r w:rsidRPr="00CC24B4">
        <w:rPr>
          <w:rFonts w:ascii="Calibri" w:cs="Calibri"/>
          <w:i/>
          <w:iCs/>
        </w:rPr>
        <w:t>Journal of Applied Philosophy</w:t>
      </w:r>
      <w:r w:rsidRPr="00CC24B4">
        <w:rPr>
          <w:rFonts w:ascii="Calibri" w:cs="Calibri"/>
        </w:rPr>
        <w:t xml:space="preserve"> 38(3):415–30. </w:t>
      </w:r>
    </w:p>
    <w:p w14:paraId="61F7D5B5" w14:textId="77777777" w:rsidR="00CC24B4" w:rsidRPr="00CC24B4" w:rsidRDefault="00CC24B4" w:rsidP="00CC24B4">
      <w:pPr>
        <w:pStyle w:val="Bibliography"/>
        <w:rPr>
          <w:rFonts w:ascii="Calibri" w:cs="Calibri"/>
        </w:rPr>
      </w:pPr>
      <w:r w:rsidRPr="00CC24B4">
        <w:rPr>
          <w:rFonts w:ascii="Calibri" w:cs="Calibri"/>
        </w:rPr>
        <w:t xml:space="preserve">Delmas, Candice. 2018. ‘Principled Disobedience’. in </w:t>
      </w:r>
      <w:r w:rsidRPr="00CC24B4">
        <w:rPr>
          <w:rFonts w:ascii="Calibri" w:cs="Calibri"/>
          <w:i/>
          <w:iCs/>
        </w:rPr>
        <w:t>A Duty to Resist</w:t>
      </w:r>
      <w:r w:rsidRPr="00CC24B4">
        <w:rPr>
          <w:rFonts w:ascii="Calibri" w:cs="Calibri"/>
        </w:rPr>
        <w:t>. New York: Oxford University Press.</w:t>
      </w:r>
    </w:p>
    <w:p w14:paraId="7BCE6036" w14:textId="77777777" w:rsidR="00CC24B4" w:rsidRPr="00CC24B4" w:rsidRDefault="00CC24B4" w:rsidP="00CC24B4">
      <w:pPr>
        <w:pStyle w:val="Bibliography"/>
        <w:rPr>
          <w:rFonts w:ascii="Calibri" w:cs="Calibri"/>
        </w:rPr>
      </w:pPr>
      <w:r w:rsidRPr="00CC24B4">
        <w:rPr>
          <w:rFonts w:ascii="Calibri" w:cs="Calibri"/>
        </w:rPr>
        <w:t xml:space="preserve">Engster, Daniel. 2007. </w:t>
      </w:r>
      <w:r w:rsidRPr="00CC24B4">
        <w:rPr>
          <w:rFonts w:ascii="Calibri" w:cs="Calibri"/>
          <w:i/>
          <w:iCs/>
        </w:rPr>
        <w:t>The Heart of Justice: Care Ethics and Political Theory</w:t>
      </w:r>
      <w:r w:rsidRPr="00CC24B4">
        <w:rPr>
          <w:rFonts w:ascii="Calibri" w:cs="Calibri"/>
        </w:rPr>
        <w:t>. Oxford: Oxford University Press.</w:t>
      </w:r>
    </w:p>
    <w:p w14:paraId="374DE131" w14:textId="77777777" w:rsidR="00CC24B4" w:rsidRPr="00CC24B4" w:rsidRDefault="00CC24B4" w:rsidP="00CC24B4">
      <w:pPr>
        <w:pStyle w:val="Bibliography"/>
        <w:rPr>
          <w:rFonts w:ascii="Calibri" w:cs="Calibri"/>
        </w:rPr>
      </w:pPr>
      <w:r w:rsidRPr="00CC24B4">
        <w:rPr>
          <w:rFonts w:ascii="Calibri" w:cs="Calibri"/>
        </w:rPr>
        <w:t xml:space="preserve">Gilligan, Carol. 1993. </w:t>
      </w:r>
      <w:r w:rsidRPr="00CC24B4">
        <w:rPr>
          <w:rFonts w:ascii="Calibri" w:cs="Calibri"/>
          <w:i/>
          <w:iCs/>
        </w:rPr>
        <w:t>In a Different Voice: Psychological Theory and Women’s Development</w:t>
      </w:r>
      <w:r w:rsidRPr="00CC24B4">
        <w:rPr>
          <w:rFonts w:ascii="Calibri" w:cs="Calibri"/>
        </w:rPr>
        <w:t>. 2nd ed. Cambridge, Mass: Harvard University Press.</w:t>
      </w:r>
    </w:p>
    <w:p w14:paraId="41C4EC18" w14:textId="77777777" w:rsidR="00CC24B4" w:rsidRPr="00CC24B4" w:rsidRDefault="00CC24B4" w:rsidP="00CC24B4">
      <w:pPr>
        <w:pStyle w:val="Bibliography"/>
        <w:rPr>
          <w:rFonts w:ascii="Calibri" w:cs="Calibri"/>
        </w:rPr>
      </w:pPr>
      <w:r w:rsidRPr="00CC24B4">
        <w:rPr>
          <w:rFonts w:ascii="Calibri" w:cs="Calibri"/>
        </w:rPr>
        <w:t xml:space="preserve">Goodin, Robert E. 1985. </w:t>
      </w:r>
      <w:r w:rsidRPr="00CC24B4">
        <w:rPr>
          <w:rFonts w:ascii="Calibri" w:cs="Calibri"/>
          <w:i/>
          <w:iCs/>
        </w:rPr>
        <w:t>Protecting the Vulnerable : A Reanalysis of Our Social Responsibilities</w:t>
      </w:r>
      <w:r w:rsidRPr="00CC24B4">
        <w:rPr>
          <w:rFonts w:ascii="Calibri" w:cs="Calibri"/>
        </w:rPr>
        <w:t>. Chicago: University of Chicago Press.</w:t>
      </w:r>
    </w:p>
    <w:p w14:paraId="3AA21FA6" w14:textId="77777777" w:rsidR="00CC24B4" w:rsidRPr="00CC24B4" w:rsidRDefault="00CC24B4" w:rsidP="00CC24B4">
      <w:pPr>
        <w:pStyle w:val="Bibliography"/>
        <w:rPr>
          <w:rFonts w:ascii="Calibri" w:cs="Calibri"/>
        </w:rPr>
      </w:pPr>
      <w:r w:rsidRPr="00CC24B4">
        <w:rPr>
          <w:rFonts w:ascii="Calibri" w:cs="Calibri"/>
        </w:rPr>
        <w:t xml:space="preserve">Gouws, Amanda, and Mikki van Zyl. 2015. ‘Towards a Feminist Ethics of Ubuntu: Bridging Rights and Ubuntu’. Pp. 165–86 in </w:t>
      </w:r>
      <w:r w:rsidRPr="00CC24B4">
        <w:rPr>
          <w:rFonts w:ascii="Calibri" w:cs="Calibri"/>
          <w:i/>
          <w:iCs/>
        </w:rPr>
        <w:t>Care Ethics and Political Theory</w:t>
      </w:r>
      <w:r w:rsidRPr="00CC24B4">
        <w:rPr>
          <w:rFonts w:ascii="Calibri" w:cs="Calibri"/>
        </w:rPr>
        <w:t>, edited by D. Engster and M. Hamington. Oxford University Press.</w:t>
      </w:r>
    </w:p>
    <w:p w14:paraId="78A4EF5B" w14:textId="77777777" w:rsidR="00CC24B4" w:rsidRPr="00CC24B4" w:rsidRDefault="00CC24B4" w:rsidP="00CC24B4">
      <w:pPr>
        <w:pStyle w:val="Bibliography"/>
        <w:rPr>
          <w:rFonts w:ascii="Calibri" w:cs="Calibri"/>
        </w:rPr>
      </w:pPr>
      <w:r w:rsidRPr="00CC24B4">
        <w:rPr>
          <w:rFonts w:ascii="Calibri" w:cs="Calibri"/>
        </w:rPr>
        <w:t xml:space="preserve">Held, Virginia. 2005. </w:t>
      </w:r>
      <w:r w:rsidRPr="00CC24B4">
        <w:rPr>
          <w:rFonts w:ascii="Calibri" w:cs="Calibri"/>
          <w:i/>
          <w:iCs/>
        </w:rPr>
        <w:t>The Ethics of Care</w:t>
      </w:r>
      <w:r w:rsidRPr="00CC24B4">
        <w:rPr>
          <w:rFonts w:ascii="Calibri" w:cs="Calibri"/>
        </w:rPr>
        <w:t>. Oxford University Press.</w:t>
      </w:r>
    </w:p>
    <w:p w14:paraId="6A7F5DE8" w14:textId="77777777" w:rsidR="00CC24B4" w:rsidRPr="00CC24B4" w:rsidRDefault="00CC24B4" w:rsidP="00CC24B4">
      <w:pPr>
        <w:pStyle w:val="Bibliography"/>
        <w:rPr>
          <w:rFonts w:ascii="Calibri" w:cs="Calibri"/>
        </w:rPr>
      </w:pPr>
      <w:proofErr w:type="spellStart"/>
      <w:r w:rsidRPr="00CC24B4">
        <w:rPr>
          <w:rFonts w:ascii="Calibri" w:cs="Calibri"/>
        </w:rPr>
        <w:t>Hollway</w:t>
      </w:r>
      <w:proofErr w:type="spellEnd"/>
      <w:r w:rsidRPr="00CC24B4">
        <w:rPr>
          <w:rFonts w:ascii="Calibri" w:cs="Calibri"/>
        </w:rPr>
        <w:t xml:space="preserve">, Wendy. 2006. </w:t>
      </w:r>
      <w:r w:rsidRPr="00CC24B4">
        <w:rPr>
          <w:rFonts w:ascii="Calibri" w:cs="Calibri"/>
          <w:i/>
          <w:iCs/>
        </w:rPr>
        <w:t>The Capacity to Care: Gender and Ethical Subjectivity</w:t>
      </w:r>
      <w:r w:rsidRPr="00CC24B4">
        <w:rPr>
          <w:rFonts w:ascii="Calibri" w:cs="Calibri"/>
        </w:rPr>
        <w:t>. London ; New York: Routledge.</w:t>
      </w:r>
    </w:p>
    <w:p w14:paraId="33428432" w14:textId="77777777" w:rsidR="00CC24B4" w:rsidRPr="00CC24B4" w:rsidRDefault="00CC24B4" w:rsidP="00CC24B4">
      <w:pPr>
        <w:pStyle w:val="Bibliography"/>
        <w:rPr>
          <w:rFonts w:ascii="Calibri" w:cs="Calibri"/>
        </w:rPr>
      </w:pPr>
      <w:r w:rsidRPr="00CC24B4">
        <w:rPr>
          <w:rFonts w:ascii="Calibri" w:cs="Calibri"/>
        </w:rPr>
        <w:t xml:space="preserve">Kittay, Eva Feder. 2002. ‘When Caring Is Just and Justice Is Caring’. Pp. 257–76 in </w:t>
      </w:r>
      <w:r w:rsidRPr="00CC24B4">
        <w:rPr>
          <w:rFonts w:ascii="Calibri" w:cs="Calibri"/>
          <w:i/>
          <w:iCs/>
        </w:rPr>
        <w:t>The Subject of Care: Feminist perspectives on dependency</w:t>
      </w:r>
      <w:r w:rsidRPr="00CC24B4">
        <w:rPr>
          <w:rFonts w:ascii="Calibri" w:cs="Calibri"/>
        </w:rPr>
        <w:t xml:space="preserve">, </w:t>
      </w:r>
      <w:r w:rsidRPr="00CC24B4">
        <w:rPr>
          <w:rFonts w:ascii="Calibri" w:cs="Calibri"/>
          <w:i/>
          <w:iCs/>
        </w:rPr>
        <w:t>Feminist constructions</w:t>
      </w:r>
      <w:r w:rsidRPr="00CC24B4">
        <w:rPr>
          <w:rFonts w:ascii="Calibri" w:cs="Calibri"/>
        </w:rPr>
        <w:t>, edited by E. F. Kittay and E. K. Feder. Lanham, Md.: Littlefield Publishers.</w:t>
      </w:r>
    </w:p>
    <w:p w14:paraId="19D62FC2" w14:textId="77777777" w:rsidR="00CC24B4" w:rsidRPr="00CC24B4" w:rsidRDefault="00CC24B4" w:rsidP="00CC24B4">
      <w:pPr>
        <w:pStyle w:val="Bibliography"/>
        <w:rPr>
          <w:rFonts w:ascii="Calibri" w:cs="Calibri"/>
        </w:rPr>
      </w:pPr>
      <w:proofErr w:type="spellStart"/>
      <w:r w:rsidRPr="00CC24B4">
        <w:rPr>
          <w:rFonts w:ascii="Calibri" w:cs="Calibri"/>
        </w:rPr>
        <w:t>Koggel</w:t>
      </w:r>
      <w:proofErr w:type="spellEnd"/>
      <w:r w:rsidRPr="00CC24B4">
        <w:rPr>
          <w:rFonts w:ascii="Calibri" w:cs="Calibri"/>
        </w:rPr>
        <w:t xml:space="preserve">, Christine M. 1998. </w:t>
      </w:r>
      <w:r w:rsidRPr="00CC24B4">
        <w:rPr>
          <w:rFonts w:ascii="Calibri" w:cs="Calibri"/>
          <w:i/>
          <w:iCs/>
        </w:rPr>
        <w:t>Perspectives on Equality: Constructing a Relational Theory</w:t>
      </w:r>
      <w:r w:rsidRPr="00CC24B4">
        <w:rPr>
          <w:rFonts w:ascii="Calibri" w:cs="Calibri"/>
        </w:rPr>
        <w:t>. Lanham, MD: Rowman &amp; Littlefield Publishers.</w:t>
      </w:r>
    </w:p>
    <w:p w14:paraId="48F2E4CA" w14:textId="77777777" w:rsidR="00CC24B4" w:rsidRPr="00CC24B4" w:rsidRDefault="00CC24B4" w:rsidP="00CC24B4">
      <w:pPr>
        <w:pStyle w:val="Bibliography"/>
        <w:rPr>
          <w:rFonts w:ascii="Calibri" w:cs="Calibri"/>
        </w:rPr>
      </w:pPr>
      <w:r w:rsidRPr="00CC24B4">
        <w:rPr>
          <w:rFonts w:ascii="Calibri" w:cs="Calibri"/>
        </w:rPr>
        <w:lastRenderedPageBreak/>
        <w:t xml:space="preserve">Lebel, Thomas P., Matt Richie, and Shadd </w:t>
      </w:r>
      <w:proofErr w:type="spellStart"/>
      <w:r w:rsidRPr="00CC24B4">
        <w:rPr>
          <w:rFonts w:ascii="Calibri" w:cs="Calibri"/>
        </w:rPr>
        <w:t>Maruna</w:t>
      </w:r>
      <w:proofErr w:type="spellEnd"/>
      <w:r w:rsidRPr="00CC24B4">
        <w:rPr>
          <w:rFonts w:ascii="Calibri" w:cs="Calibri"/>
        </w:rPr>
        <w:t xml:space="preserve">. 2015. ‘Helping Others as Response to Reconcile a Criminal Past: The Role of the Wounded Healer in Prisoner </w:t>
      </w:r>
      <w:proofErr w:type="spellStart"/>
      <w:r w:rsidRPr="00CC24B4">
        <w:rPr>
          <w:rFonts w:ascii="Calibri" w:cs="Calibri"/>
        </w:rPr>
        <w:t>Reentry</w:t>
      </w:r>
      <w:proofErr w:type="spellEnd"/>
      <w:r w:rsidRPr="00CC24B4">
        <w:rPr>
          <w:rFonts w:ascii="Calibri" w:cs="Calibri"/>
        </w:rPr>
        <w:t xml:space="preserve"> Programs Special Issue: Criminal Justice and </w:t>
      </w:r>
      <w:proofErr w:type="spellStart"/>
      <w:r w:rsidRPr="00CC24B4">
        <w:rPr>
          <w:rFonts w:ascii="Calibri" w:cs="Calibri"/>
        </w:rPr>
        <w:t>Behavior</w:t>
      </w:r>
      <w:proofErr w:type="spellEnd"/>
      <w:r w:rsidRPr="00CC24B4">
        <w:rPr>
          <w:rFonts w:ascii="Calibri" w:cs="Calibri"/>
        </w:rPr>
        <w:t xml:space="preserve">’. </w:t>
      </w:r>
      <w:r w:rsidRPr="00CC24B4">
        <w:rPr>
          <w:rFonts w:ascii="Calibri" w:cs="Calibri"/>
          <w:i/>
          <w:iCs/>
        </w:rPr>
        <w:t xml:space="preserve">Criminal Justice and </w:t>
      </w:r>
      <w:proofErr w:type="spellStart"/>
      <w:r w:rsidRPr="00CC24B4">
        <w:rPr>
          <w:rFonts w:ascii="Calibri" w:cs="Calibri"/>
          <w:i/>
          <w:iCs/>
        </w:rPr>
        <w:t>Behavior</w:t>
      </w:r>
      <w:proofErr w:type="spellEnd"/>
      <w:r w:rsidRPr="00CC24B4">
        <w:rPr>
          <w:rFonts w:ascii="Calibri" w:cs="Calibri"/>
        </w:rPr>
        <w:t xml:space="preserve"> 42(1):108–20.</w:t>
      </w:r>
    </w:p>
    <w:p w14:paraId="294005E1" w14:textId="32C36CC4" w:rsidR="00CC24B4" w:rsidRPr="00CC24B4" w:rsidRDefault="00CC24B4" w:rsidP="00CC24B4">
      <w:pPr>
        <w:pStyle w:val="Bibliography"/>
        <w:rPr>
          <w:rFonts w:ascii="Calibri" w:cs="Calibri"/>
        </w:rPr>
      </w:pPr>
      <w:r w:rsidRPr="00CC24B4">
        <w:rPr>
          <w:rFonts w:ascii="Calibri" w:cs="Calibri"/>
        </w:rPr>
        <w:t xml:space="preserve">Li, </w:t>
      </w:r>
      <w:proofErr w:type="spellStart"/>
      <w:r w:rsidRPr="00CC24B4">
        <w:rPr>
          <w:rFonts w:ascii="Calibri" w:cs="Calibri"/>
        </w:rPr>
        <w:t>Chenyang</w:t>
      </w:r>
      <w:proofErr w:type="spellEnd"/>
      <w:r w:rsidRPr="00CC24B4">
        <w:rPr>
          <w:rFonts w:ascii="Calibri" w:cs="Calibri"/>
        </w:rPr>
        <w:t xml:space="preserve">. 2002. ‘Revisiting Confucian Jen Ethics and Feminist Care Ethics: A Reply to Daniel Star and Lijun Yuan’. </w:t>
      </w:r>
      <w:r w:rsidRPr="00CC24B4">
        <w:rPr>
          <w:rFonts w:ascii="Calibri" w:cs="Calibri"/>
          <w:i/>
          <w:iCs/>
        </w:rPr>
        <w:t>Hypatia</w:t>
      </w:r>
      <w:r w:rsidRPr="00CC24B4">
        <w:rPr>
          <w:rFonts w:ascii="Calibri" w:cs="Calibri"/>
        </w:rPr>
        <w:t xml:space="preserve"> 17(1):130–40. </w:t>
      </w:r>
    </w:p>
    <w:p w14:paraId="182E632E" w14:textId="77777777" w:rsidR="00CC24B4" w:rsidRPr="00CC24B4" w:rsidRDefault="00CC24B4" w:rsidP="00CC24B4">
      <w:pPr>
        <w:pStyle w:val="Bibliography"/>
        <w:rPr>
          <w:rFonts w:ascii="Calibri" w:cs="Calibri"/>
        </w:rPr>
      </w:pPr>
      <w:r w:rsidRPr="00CC24B4">
        <w:rPr>
          <w:rFonts w:ascii="Calibri" w:cs="Calibri"/>
        </w:rPr>
        <w:t xml:space="preserve">Llewellyn, Jennifer J. 2012. ‘Restorative Justice: Thinking Relationally about Justice’. Pp. 89–108 in </w:t>
      </w:r>
      <w:r w:rsidRPr="00CC24B4">
        <w:rPr>
          <w:rFonts w:ascii="Calibri" w:cs="Calibri"/>
          <w:i/>
          <w:iCs/>
        </w:rPr>
        <w:t>Being Relational: Reflections on relational theory and health law</w:t>
      </w:r>
      <w:r w:rsidRPr="00CC24B4">
        <w:rPr>
          <w:rFonts w:ascii="Calibri" w:cs="Calibri"/>
        </w:rPr>
        <w:t xml:space="preserve">, edited by J. J. Llewellyn and J. G. </w:t>
      </w:r>
      <w:proofErr w:type="spellStart"/>
      <w:r w:rsidRPr="00CC24B4">
        <w:rPr>
          <w:rFonts w:ascii="Calibri" w:cs="Calibri"/>
        </w:rPr>
        <w:t>Downie</w:t>
      </w:r>
      <w:proofErr w:type="spellEnd"/>
      <w:r w:rsidRPr="00CC24B4">
        <w:rPr>
          <w:rFonts w:ascii="Calibri" w:cs="Calibri"/>
        </w:rPr>
        <w:t>. Vancouver, BC: UBC Press.</w:t>
      </w:r>
    </w:p>
    <w:p w14:paraId="469F9867" w14:textId="77777777" w:rsidR="00CC24B4" w:rsidRPr="00CC24B4" w:rsidRDefault="00CC24B4" w:rsidP="00CC24B4">
      <w:pPr>
        <w:pStyle w:val="Bibliography"/>
        <w:rPr>
          <w:rFonts w:ascii="Calibri" w:cs="Calibri"/>
        </w:rPr>
      </w:pPr>
      <w:r w:rsidRPr="00CC24B4">
        <w:rPr>
          <w:rFonts w:ascii="Calibri" w:cs="Calibri"/>
        </w:rPr>
        <w:t xml:space="preserve">Llewellyn, Jennifer J., and Jocelyn Grant </w:t>
      </w:r>
      <w:proofErr w:type="spellStart"/>
      <w:r w:rsidRPr="00CC24B4">
        <w:rPr>
          <w:rFonts w:ascii="Calibri" w:cs="Calibri"/>
        </w:rPr>
        <w:t>Downie</w:t>
      </w:r>
      <w:proofErr w:type="spellEnd"/>
      <w:r w:rsidRPr="00CC24B4">
        <w:rPr>
          <w:rFonts w:ascii="Calibri" w:cs="Calibri"/>
        </w:rPr>
        <w:t xml:space="preserve">. 2012. </w:t>
      </w:r>
      <w:r w:rsidRPr="00CC24B4">
        <w:rPr>
          <w:rFonts w:ascii="Calibri" w:cs="Calibri"/>
          <w:i/>
          <w:iCs/>
        </w:rPr>
        <w:t>Being Relational: Reflections on Relational Theory and Health Law</w:t>
      </w:r>
      <w:r w:rsidRPr="00CC24B4">
        <w:rPr>
          <w:rFonts w:ascii="Calibri" w:cs="Calibri"/>
        </w:rPr>
        <w:t>. Vancouver, BC: UBC Press.</w:t>
      </w:r>
    </w:p>
    <w:p w14:paraId="73A68633" w14:textId="77777777" w:rsidR="00CC24B4" w:rsidRPr="00CC24B4" w:rsidRDefault="00CC24B4" w:rsidP="00CC24B4">
      <w:pPr>
        <w:pStyle w:val="Bibliography"/>
        <w:rPr>
          <w:rFonts w:ascii="Calibri" w:cs="Calibri"/>
        </w:rPr>
      </w:pPr>
      <w:proofErr w:type="spellStart"/>
      <w:r w:rsidRPr="00CC24B4">
        <w:rPr>
          <w:rFonts w:ascii="Calibri" w:cs="Calibri"/>
        </w:rPr>
        <w:t>Maruna</w:t>
      </w:r>
      <w:proofErr w:type="spellEnd"/>
      <w:r w:rsidRPr="00CC24B4">
        <w:rPr>
          <w:rFonts w:ascii="Calibri" w:cs="Calibri"/>
        </w:rPr>
        <w:t xml:space="preserve">, Shadd, and Hans Toch. 2001. </w:t>
      </w:r>
      <w:r w:rsidRPr="00CC24B4">
        <w:rPr>
          <w:rFonts w:ascii="Calibri" w:cs="Calibri"/>
          <w:i/>
          <w:iCs/>
        </w:rPr>
        <w:t>Making Good: How Ex-Convicts Reform and Rebuild Their Lives</w:t>
      </w:r>
      <w:r w:rsidRPr="00CC24B4">
        <w:rPr>
          <w:rFonts w:ascii="Calibri" w:cs="Calibri"/>
        </w:rPr>
        <w:t>. 1st ed. Washington, D.C.: American Psychological Association.</w:t>
      </w:r>
    </w:p>
    <w:p w14:paraId="56774A1D" w14:textId="77777777" w:rsidR="00CC24B4" w:rsidRPr="00CC24B4" w:rsidRDefault="00CC24B4" w:rsidP="00CC24B4">
      <w:pPr>
        <w:pStyle w:val="Bibliography"/>
        <w:rPr>
          <w:rFonts w:ascii="Calibri" w:cs="Calibri"/>
        </w:rPr>
      </w:pPr>
      <w:r w:rsidRPr="00CC24B4">
        <w:rPr>
          <w:rFonts w:ascii="Calibri" w:cs="Calibri"/>
        </w:rPr>
        <w:t xml:space="preserve">Noddings, Nel. 2002. </w:t>
      </w:r>
      <w:r w:rsidRPr="00CC24B4">
        <w:rPr>
          <w:rFonts w:ascii="Calibri" w:cs="Calibri"/>
          <w:i/>
          <w:iCs/>
        </w:rPr>
        <w:t>Starting at Home: Caring and Social Policy</w:t>
      </w:r>
      <w:r w:rsidRPr="00CC24B4">
        <w:rPr>
          <w:rFonts w:ascii="Calibri" w:cs="Calibri"/>
        </w:rPr>
        <w:t>. London: University of California Press.</w:t>
      </w:r>
    </w:p>
    <w:p w14:paraId="3963107B" w14:textId="77777777" w:rsidR="00CC24B4" w:rsidRPr="00CC24B4" w:rsidRDefault="00CC24B4" w:rsidP="00CC24B4">
      <w:pPr>
        <w:pStyle w:val="Bibliography"/>
        <w:rPr>
          <w:rFonts w:ascii="Calibri" w:cs="Calibri"/>
        </w:rPr>
      </w:pPr>
      <w:r w:rsidRPr="00CC24B4">
        <w:rPr>
          <w:rFonts w:ascii="Calibri" w:cs="Calibri"/>
        </w:rPr>
        <w:t xml:space="preserve">Pettersen, </w:t>
      </w:r>
      <w:proofErr w:type="spellStart"/>
      <w:r w:rsidRPr="00CC24B4">
        <w:rPr>
          <w:rFonts w:ascii="Calibri" w:cs="Calibri"/>
        </w:rPr>
        <w:t>Tove</w:t>
      </w:r>
      <w:proofErr w:type="spellEnd"/>
      <w:r w:rsidRPr="00CC24B4">
        <w:rPr>
          <w:rFonts w:ascii="Calibri" w:cs="Calibri"/>
        </w:rPr>
        <w:t xml:space="preserve">. 2012. ‘Conceptions of Care: Altruism, Feminism, and Mature Care’. </w:t>
      </w:r>
      <w:r w:rsidRPr="00CC24B4">
        <w:rPr>
          <w:rFonts w:ascii="Calibri" w:cs="Calibri"/>
          <w:i/>
          <w:iCs/>
        </w:rPr>
        <w:t>Hypatia</w:t>
      </w:r>
      <w:r w:rsidRPr="00CC24B4">
        <w:rPr>
          <w:rFonts w:ascii="Calibri" w:cs="Calibri"/>
        </w:rPr>
        <w:t xml:space="preserve"> 27(2):25.</w:t>
      </w:r>
    </w:p>
    <w:p w14:paraId="287BFF46" w14:textId="77777777" w:rsidR="00CC24B4" w:rsidRPr="00CC24B4" w:rsidRDefault="00CC24B4" w:rsidP="00CC24B4">
      <w:pPr>
        <w:pStyle w:val="Bibliography"/>
        <w:rPr>
          <w:rFonts w:ascii="Calibri" w:cs="Calibri"/>
        </w:rPr>
      </w:pPr>
      <w:r w:rsidRPr="00CC24B4">
        <w:rPr>
          <w:rFonts w:ascii="Calibri" w:cs="Calibri"/>
        </w:rPr>
        <w:t xml:space="preserve">Sander-Staudt, Maureen. 2015. ‘Caring Reciprocity as a Relational and Political Ideal in Confucianism and Care Ethics’. Pp. 187–207 in </w:t>
      </w:r>
      <w:r w:rsidRPr="00CC24B4">
        <w:rPr>
          <w:rFonts w:ascii="Calibri" w:cs="Calibri"/>
          <w:i/>
          <w:iCs/>
        </w:rPr>
        <w:t>Care Ethics and Political Theory</w:t>
      </w:r>
      <w:r w:rsidRPr="00CC24B4">
        <w:rPr>
          <w:rFonts w:ascii="Calibri" w:cs="Calibri"/>
        </w:rPr>
        <w:t>, edited by D. Engster and M. Hamington. Oxford University Press.</w:t>
      </w:r>
    </w:p>
    <w:p w14:paraId="37FCE9EF" w14:textId="77777777" w:rsidR="00CC24B4" w:rsidRPr="00CC24B4" w:rsidRDefault="00CC24B4" w:rsidP="00CC24B4">
      <w:pPr>
        <w:pStyle w:val="Bibliography"/>
        <w:rPr>
          <w:rFonts w:ascii="Calibri" w:cs="Calibri"/>
        </w:rPr>
      </w:pPr>
      <w:proofErr w:type="spellStart"/>
      <w:r w:rsidRPr="00CC24B4">
        <w:rPr>
          <w:rFonts w:ascii="Calibri" w:cs="Calibri"/>
        </w:rPr>
        <w:t>Schaubert</w:t>
      </w:r>
      <w:proofErr w:type="spellEnd"/>
      <w:r w:rsidRPr="00CC24B4">
        <w:rPr>
          <w:rFonts w:ascii="Calibri" w:cs="Calibri"/>
        </w:rPr>
        <w:t xml:space="preserve">, Vicky. 2019. ‘My Disabled Son’s Amazing Gaming Life in the World of Warcraft - BBC News’. </w:t>
      </w:r>
      <w:r w:rsidRPr="00CC24B4">
        <w:rPr>
          <w:rFonts w:ascii="Calibri" w:cs="Calibri"/>
          <w:i/>
          <w:iCs/>
        </w:rPr>
        <w:t>BBC News</w:t>
      </w:r>
      <w:r w:rsidRPr="00CC24B4">
        <w:rPr>
          <w:rFonts w:ascii="Calibri" w:cs="Calibri"/>
        </w:rPr>
        <w:t>. Retrieved 22 April 2022 (https://www.bbc.co.uk/news/disability-47064773).</w:t>
      </w:r>
    </w:p>
    <w:p w14:paraId="7CA756EE" w14:textId="77777777" w:rsidR="00CC24B4" w:rsidRPr="00CC24B4" w:rsidRDefault="00CC24B4" w:rsidP="00CC24B4">
      <w:pPr>
        <w:pStyle w:val="Bibliography"/>
        <w:rPr>
          <w:rFonts w:ascii="Calibri" w:cs="Calibri"/>
        </w:rPr>
      </w:pPr>
      <w:r w:rsidRPr="00CC24B4">
        <w:rPr>
          <w:rFonts w:ascii="Calibri" w:cs="Calibri"/>
        </w:rPr>
        <w:t xml:space="preserve">Sevenhuijsen, Selma. 1998. </w:t>
      </w:r>
      <w:r w:rsidRPr="00CC24B4">
        <w:rPr>
          <w:rFonts w:ascii="Calibri" w:cs="Calibri"/>
          <w:i/>
          <w:iCs/>
        </w:rPr>
        <w:t>Citizenship and the Ethics of Care: Feminist Considerations on Justice, Morality, and Politics</w:t>
      </w:r>
      <w:r w:rsidRPr="00CC24B4">
        <w:rPr>
          <w:rFonts w:ascii="Calibri" w:cs="Calibri"/>
        </w:rPr>
        <w:t>. London: Routledge.</w:t>
      </w:r>
    </w:p>
    <w:p w14:paraId="3ABED1E3" w14:textId="77777777" w:rsidR="00CC24B4" w:rsidRPr="00CC24B4" w:rsidRDefault="00CC24B4" w:rsidP="00CC24B4">
      <w:pPr>
        <w:pStyle w:val="Bibliography"/>
        <w:rPr>
          <w:rFonts w:ascii="Calibri" w:cs="Calibri"/>
        </w:rPr>
      </w:pPr>
      <w:r w:rsidRPr="00CC24B4">
        <w:rPr>
          <w:rFonts w:ascii="Calibri" w:cs="Calibri"/>
        </w:rPr>
        <w:t xml:space="preserve">Sherwin, Susan. 2012. ‘Relational Autonomy and Global Threats’. Pp. 13–34 in </w:t>
      </w:r>
      <w:r w:rsidRPr="00CC24B4">
        <w:rPr>
          <w:rFonts w:ascii="Calibri" w:cs="Calibri"/>
          <w:i/>
          <w:iCs/>
        </w:rPr>
        <w:t>Being Relational: Reflections on relational theory and health law</w:t>
      </w:r>
      <w:r w:rsidRPr="00CC24B4">
        <w:rPr>
          <w:rFonts w:ascii="Calibri" w:cs="Calibri"/>
        </w:rPr>
        <w:t xml:space="preserve">, edited by J. J. Llewellyn and J. G. </w:t>
      </w:r>
      <w:proofErr w:type="spellStart"/>
      <w:r w:rsidRPr="00CC24B4">
        <w:rPr>
          <w:rFonts w:ascii="Calibri" w:cs="Calibri"/>
        </w:rPr>
        <w:t>Downie</w:t>
      </w:r>
      <w:proofErr w:type="spellEnd"/>
      <w:r w:rsidRPr="00CC24B4">
        <w:rPr>
          <w:rFonts w:ascii="Calibri" w:cs="Calibri"/>
        </w:rPr>
        <w:t>. Vancouver, BC: UBC Press.</w:t>
      </w:r>
    </w:p>
    <w:p w14:paraId="4586BAD2" w14:textId="77777777" w:rsidR="00CC24B4" w:rsidRPr="00CC24B4" w:rsidRDefault="00CC24B4" w:rsidP="00CC24B4">
      <w:pPr>
        <w:pStyle w:val="Bibliography"/>
        <w:rPr>
          <w:rFonts w:ascii="Calibri" w:cs="Calibri"/>
        </w:rPr>
      </w:pPr>
      <w:r w:rsidRPr="00CC24B4">
        <w:rPr>
          <w:rFonts w:ascii="Calibri" w:cs="Calibri"/>
        </w:rPr>
        <w:t xml:space="preserve">Tronto, Joan C. 1993. </w:t>
      </w:r>
      <w:r w:rsidRPr="00CC24B4">
        <w:rPr>
          <w:rFonts w:ascii="Calibri" w:cs="Calibri"/>
          <w:i/>
          <w:iCs/>
        </w:rPr>
        <w:t>Moral Boundaries: A Political Argument for an Ethic of Care</w:t>
      </w:r>
      <w:r w:rsidRPr="00CC24B4">
        <w:rPr>
          <w:rFonts w:ascii="Calibri" w:cs="Calibri"/>
        </w:rPr>
        <w:t>. New York: Routledge.</w:t>
      </w:r>
    </w:p>
    <w:p w14:paraId="5CB9DD75" w14:textId="77777777" w:rsidR="00CC24B4" w:rsidRPr="00CC24B4" w:rsidRDefault="00CC24B4" w:rsidP="00CC24B4">
      <w:pPr>
        <w:pStyle w:val="Bibliography"/>
        <w:rPr>
          <w:rFonts w:ascii="Calibri" w:cs="Calibri"/>
        </w:rPr>
      </w:pPr>
      <w:r w:rsidRPr="00CC24B4">
        <w:rPr>
          <w:rFonts w:ascii="Calibri" w:cs="Calibri"/>
        </w:rPr>
        <w:t xml:space="preserve">Tronto, Joan C. 2013. </w:t>
      </w:r>
      <w:r w:rsidRPr="00CC24B4">
        <w:rPr>
          <w:rFonts w:ascii="Calibri" w:cs="Calibri"/>
          <w:i/>
          <w:iCs/>
        </w:rPr>
        <w:t>Caring Democracy: Markets, Equality, and Justice</w:t>
      </w:r>
      <w:r w:rsidRPr="00CC24B4">
        <w:rPr>
          <w:rFonts w:ascii="Calibri" w:cs="Calibri"/>
        </w:rPr>
        <w:t>. New York: New York University Press.</w:t>
      </w:r>
    </w:p>
    <w:p w14:paraId="6171C32B" w14:textId="77777777" w:rsidR="00CC24B4" w:rsidRPr="00CC24B4" w:rsidRDefault="00CC24B4" w:rsidP="00CC24B4">
      <w:pPr>
        <w:pStyle w:val="Bibliography"/>
        <w:rPr>
          <w:rFonts w:ascii="Calibri" w:cs="Calibri"/>
        </w:rPr>
      </w:pPr>
      <w:r w:rsidRPr="00CC24B4">
        <w:rPr>
          <w:rFonts w:ascii="Calibri" w:cs="Calibri"/>
        </w:rPr>
        <w:t xml:space="preserve">White, Judith. 1999. ‘Ethical Comportment in Organizations: A Synthesis of the Feminist Ethic of Care and the Buddhist Ethic of Compassion’. </w:t>
      </w:r>
      <w:r w:rsidRPr="00CC24B4">
        <w:rPr>
          <w:rFonts w:ascii="Calibri" w:cs="Calibri"/>
          <w:i/>
          <w:iCs/>
        </w:rPr>
        <w:t>International Journal of Value-Based Management</w:t>
      </w:r>
      <w:r w:rsidRPr="00CC24B4">
        <w:rPr>
          <w:rFonts w:ascii="Calibri" w:cs="Calibri"/>
        </w:rPr>
        <w:t xml:space="preserve"> 12(2):109–28.</w:t>
      </w:r>
    </w:p>
    <w:p w14:paraId="64593783" w14:textId="77777777" w:rsidR="00CC24B4" w:rsidRPr="00CC24B4" w:rsidRDefault="00CC24B4" w:rsidP="00CC24B4">
      <w:pPr>
        <w:pStyle w:val="Bibliography"/>
        <w:rPr>
          <w:rFonts w:ascii="Calibri" w:cs="Calibri"/>
        </w:rPr>
      </w:pPr>
      <w:r w:rsidRPr="00CC24B4">
        <w:rPr>
          <w:rFonts w:ascii="Calibri" w:cs="Calibri"/>
        </w:rPr>
        <w:lastRenderedPageBreak/>
        <w:t xml:space="preserve">Whitman, James Q. 2003. </w:t>
      </w:r>
      <w:r w:rsidRPr="00CC24B4">
        <w:rPr>
          <w:rFonts w:ascii="Calibri" w:cs="Calibri"/>
          <w:i/>
          <w:iCs/>
        </w:rPr>
        <w:t>Harsh Justice: Criminal Punishment and the Widening Divide between America and Europe</w:t>
      </w:r>
      <w:r w:rsidRPr="00CC24B4">
        <w:rPr>
          <w:rFonts w:ascii="Calibri" w:cs="Calibri"/>
        </w:rPr>
        <w:t>. New York, Oxford: Oxford University Press.</w:t>
      </w:r>
    </w:p>
    <w:p w14:paraId="4DB39633" w14:textId="73A53D10" w:rsidR="00CC24B4" w:rsidRPr="00CC24B4" w:rsidRDefault="00CC24B4" w:rsidP="00CC24B4">
      <w:pPr>
        <w:pStyle w:val="Bibliography"/>
        <w:rPr>
          <w:rFonts w:ascii="Calibri" w:cs="Calibri"/>
        </w:rPr>
      </w:pPr>
      <w:r w:rsidRPr="00CC24B4">
        <w:rPr>
          <w:rFonts w:ascii="Calibri" w:cs="Calibri"/>
        </w:rPr>
        <w:t xml:space="preserve">Williams, Dmitri, Nicolas </w:t>
      </w:r>
      <w:proofErr w:type="spellStart"/>
      <w:r w:rsidRPr="00CC24B4">
        <w:rPr>
          <w:rFonts w:ascii="Calibri" w:cs="Calibri"/>
        </w:rPr>
        <w:t>Ducheneaut</w:t>
      </w:r>
      <w:proofErr w:type="spellEnd"/>
      <w:r w:rsidRPr="00CC24B4">
        <w:rPr>
          <w:rFonts w:ascii="Calibri" w:cs="Calibri"/>
        </w:rPr>
        <w:t xml:space="preserve">, Li </w:t>
      </w:r>
      <w:proofErr w:type="spellStart"/>
      <w:r w:rsidRPr="00CC24B4">
        <w:rPr>
          <w:rFonts w:ascii="Calibri" w:cs="Calibri"/>
        </w:rPr>
        <w:t>Xiong</w:t>
      </w:r>
      <w:proofErr w:type="spellEnd"/>
      <w:r w:rsidRPr="00CC24B4">
        <w:rPr>
          <w:rFonts w:ascii="Calibri" w:cs="Calibri"/>
        </w:rPr>
        <w:t xml:space="preserve">, Yuanyuan Zhang, Nick Yee, and Eric Nickell. 2006. ‘From Tree House to Barracks: The Social Life of Guilds in World of Warcraft’. </w:t>
      </w:r>
      <w:r w:rsidRPr="00CC24B4">
        <w:rPr>
          <w:rFonts w:ascii="Calibri" w:cs="Calibri"/>
          <w:i/>
          <w:iCs/>
        </w:rPr>
        <w:t>Games and Culture</w:t>
      </w:r>
      <w:r w:rsidRPr="00CC24B4">
        <w:rPr>
          <w:rFonts w:ascii="Calibri" w:cs="Calibri"/>
        </w:rPr>
        <w:t xml:space="preserve"> 1(4):338–61.</w:t>
      </w:r>
    </w:p>
    <w:p w14:paraId="6E4D96F0" w14:textId="534DCDFC" w:rsidR="001B1B61" w:rsidRPr="00564306" w:rsidRDefault="001B1B61" w:rsidP="00636E13">
      <w:pPr>
        <w:tabs>
          <w:tab w:val="left" w:pos="1985"/>
        </w:tabs>
        <w:spacing w:line="360" w:lineRule="auto"/>
      </w:pPr>
    </w:p>
    <w:p w14:paraId="4AC73279" w14:textId="77777777" w:rsidR="001B1B61" w:rsidRPr="00564306" w:rsidRDefault="001B1B61" w:rsidP="00636E13">
      <w:pPr>
        <w:tabs>
          <w:tab w:val="left" w:pos="1985"/>
        </w:tabs>
        <w:spacing w:line="360" w:lineRule="auto"/>
      </w:pPr>
    </w:p>
    <w:p w14:paraId="5B1BC055" w14:textId="77777777" w:rsidR="00636E13" w:rsidRPr="00564306" w:rsidRDefault="00636E13" w:rsidP="00D624AC">
      <w:pPr>
        <w:tabs>
          <w:tab w:val="left" w:pos="1985"/>
        </w:tabs>
        <w:spacing w:line="360" w:lineRule="auto"/>
      </w:pPr>
    </w:p>
    <w:sectPr w:rsidR="00636E13" w:rsidRPr="00564306" w:rsidSect="0018169C">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4F79A" w14:textId="77777777" w:rsidR="00886694" w:rsidRDefault="00886694" w:rsidP="00D93DB1">
      <w:r>
        <w:separator/>
      </w:r>
    </w:p>
  </w:endnote>
  <w:endnote w:type="continuationSeparator" w:id="0">
    <w:p w14:paraId="1F45F3B5" w14:textId="77777777" w:rsidR="00886694" w:rsidRDefault="00886694" w:rsidP="00D93DB1">
      <w:r>
        <w:continuationSeparator/>
      </w:r>
    </w:p>
  </w:endnote>
  <w:endnote w:id="1">
    <w:p w14:paraId="6526658D" w14:textId="46A87A89" w:rsidR="0031432E" w:rsidRDefault="0031432E">
      <w:pPr>
        <w:pStyle w:val="EndnoteText"/>
      </w:pPr>
      <w:r>
        <w:rPr>
          <w:rStyle w:val="EndnoteReference"/>
        </w:rPr>
        <w:endnoteRef/>
      </w:r>
      <w:r>
        <w:t xml:space="preserve"> </w:t>
      </w:r>
      <w:r w:rsidR="00A22C58">
        <w:t xml:space="preserve">I am grateful to Candice Delmas for reminding me of this further example. </w:t>
      </w:r>
    </w:p>
  </w:endnote>
  <w:endnote w:id="2">
    <w:p w14:paraId="18A222A6" w14:textId="2D742BE0" w:rsidR="00F31405" w:rsidRDefault="00F31405">
      <w:pPr>
        <w:pStyle w:val="EndnoteText"/>
      </w:pPr>
      <w:r>
        <w:rPr>
          <w:rStyle w:val="EndnoteReference"/>
        </w:rPr>
        <w:endnoteRef/>
      </w:r>
      <w:r>
        <w:t xml:space="preserve"> I am grateful to Kimberley Brownlee and Stephanie Collins for comments on an early draft, and to Candice Delmas for helpful feedback.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1427325"/>
      <w:docPartObj>
        <w:docPartGallery w:val="Page Numbers (Bottom of Page)"/>
        <w:docPartUnique/>
      </w:docPartObj>
    </w:sdtPr>
    <w:sdtContent>
      <w:p w14:paraId="3A6D296A" w14:textId="428FD17E" w:rsidR="002209FA" w:rsidRDefault="002209FA" w:rsidP="00063A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A4B5DD" w14:textId="77777777" w:rsidR="00D93DB1" w:rsidRDefault="00D93DB1" w:rsidP="002209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91545739"/>
      <w:docPartObj>
        <w:docPartGallery w:val="Page Numbers (Bottom of Page)"/>
        <w:docPartUnique/>
      </w:docPartObj>
    </w:sdtPr>
    <w:sdtContent>
      <w:p w14:paraId="38607C3D" w14:textId="65E31D23" w:rsidR="002209FA" w:rsidRDefault="002209FA" w:rsidP="00063A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5A4BCC08" w14:textId="77777777" w:rsidR="00D93DB1" w:rsidRDefault="00D93DB1" w:rsidP="002209F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9D53F" w14:textId="77777777" w:rsidR="00D93DB1" w:rsidRDefault="00D93D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293BC" w14:textId="77777777" w:rsidR="00886694" w:rsidRDefault="00886694" w:rsidP="00D93DB1">
      <w:r>
        <w:separator/>
      </w:r>
    </w:p>
  </w:footnote>
  <w:footnote w:type="continuationSeparator" w:id="0">
    <w:p w14:paraId="27B9A523" w14:textId="77777777" w:rsidR="00886694" w:rsidRDefault="00886694" w:rsidP="00D93D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500E2" w14:textId="77777777" w:rsidR="00D93DB1" w:rsidRDefault="00D93D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24B42" w14:textId="77777777" w:rsidR="00D93DB1" w:rsidRDefault="00D93D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480E1" w14:textId="77777777" w:rsidR="00D93DB1" w:rsidRDefault="00D93D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66AA5"/>
    <w:multiLevelType w:val="hybridMultilevel"/>
    <w:tmpl w:val="00ECB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4491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DB1"/>
    <w:rsid w:val="00001997"/>
    <w:rsid w:val="00020595"/>
    <w:rsid w:val="000207CF"/>
    <w:rsid w:val="00022907"/>
    <w:rsid w:val="00025A2A"/>
    <w:rsid w:val="00025BC0"/>
    <w:rsid w:val="00027F2B"/>
    <w:rsid w:val="00032E6A"/>
    <w:rsid w:val="00033D0A"/>
    <w:rsid w:val="00034F49"/>
    <w:rsid w:val="00037AFC"/>
    <w:rsid w:val="0004340D"/>
    <w:rsid w:val="00051898"/>
    <w:rsid w:val="00052D0D"/>
    <w:rsid w:val="000561DA"/>
    <w:rsid w:val="000567F8"/>
    <w:rsid w:val="00061A48"/>
    <w:rsid w:val="00062C5A"/>
    <w:rsid w:val="000837E0"/>
    <w:rsid w:val="00090359"/>
    <w:rsid w:val="000934B7"/>
    <w:rsid w:val="000A539D"/>
    <w:rsid w:val="000B5DCC"/>
    <w:rsid w:val="000C3AAD"/>
    <w:rsid w:val="000D11B2"/>
    <w:rsid w:val="000D4460"/>
    <w:rsid w:val="000D4D81"/>
    <w:rsid w:val="000D6D7B"/>
    <w:rsid w:val="000E304C"/>
    <w:rsid w:val="000E772E"/>
    <w:rsid w:val="000F71B2"/>
    <w:rsid w:val="000F7548"/>
    <w:rsid w:val="0010111A"/>
    <w:rsid w:val="00103616"/>
    <w:rsid w:val="00104CDB"/>
    <w:rsid w:val="00123344"/>
    <w:rsid w:val="00126EDA"/>
    <w:rsid w:val="00130462"/>
    <w:rsid w:val="00135115"/>
    <w:rsid w:val="0016206C"/>
    <w:rsid w:val="00176E9F"/>
    <w:rsid w:val="0018169C"/>
    <w:rsid w:val="001850AF"/>
    <w:rsid w:val="00192F40"/>
    <w:rsid w:val="001A11E1"/>
    <w:rsid w:val="001A2A88"/>
    <w:rsid w:val="001A33E4"/>
    <w:rsid w:val="001A416D"/>
    <w:rsid w:val="001B1B61"/>
    <w:rsid w:val="001B716F"/>
    <w:rsid w:val="001B72C2"/>
    <w:rsid w:val="001D0743"/>
    <w:rsid w:val="001D0851"/>
    <w:rsid w:val="001D7BC8"/>
    <w:rsid w:val="001E4DE6"/>
    <w:rsid w:val="001E5549"/>
    <w:rsid w:val="00200CBE"/>
    <w:rsid w:val="002209FA"/>
    <w:rsid w:val="00223076"/>
    <w:rsid w:val="00223615"/>
    <w:rsid w:val="00224C3D"/>
    <w:rsid w:val="0023101F"/>
    <w:rsid w:val="0024239E"/>
    <w:rsid w:val="00252244"/>
    <w:rsid w:val="00253A6F"/>
    <w:rsid w:val="00256952"/>
    <w:rsid w:val="00262399"/>
    <w:rsid w:val="002716DA"/>
    <w:rsid w:val="002920C8"/>
    <w:rsid w:val="002A4F05"/>
    <w:rsid w:val="002B0C33"/>
    <w:rsid w:val="002B34D2"/>
    <w:rsid w:val="002C0BB6"/>
    <w:rsid w:val="002C7F71"/>
    <w:rsid w:val="002D0A16"/>
    <w:rsid w:val="002D238F"/>
    <w:rsid w:val="002E6074"/>
    <w:rsid w:val="002E64DB"/>
    <w:rsid w:val="002E7943"/>
    <w:rsid w:val="002F315B"/>
    <w:rsid w:val="00300254"/>
    <w:rsid w:val="00303FBE"/>
    <w:rsid w:val="0031432E"/>
    <w:rsid w:val="003212B6"/>
    <w:rsid w:val="0032381F"/>
    <w:rsid w:val="00333461"/>
    <w:rsid w:val="00345F39"/>
    <w:rsid w:val="00347C0E"/>
    <w:rsid w:val="00361C94"/>
    <w:rsid w:val="00364464"/>
    <w:rsid w:val="0037080C"/>
    <w:rsid w:val="003819A0"/>
    <w:rsid w:val="003903FE"/>
    <w:rsid w:val="00395341"/>
    <w:rsid w:val="003975EE"/>
    <w:rsid w:val="003A03F7"/>
    <w:rsid w:val="003B758D"/>
    <w:rsid w:val="003C3712"/>
    <w:rsid w:val="003C578C"/>
    <w:rsid w:val="003D3207"/>
    <w:rsid w:val="003D4A35"/>
    <w:rsid w:val="003E1DF0"/>
    <w:rsid w:val="003F6C56"/>
    <w:rsid w:val="004137E0"/>
    <w:rsid w:val="00430250"/>
    <w:rsid w:val="00434B22"/>
    <w:rsid w:val="0044765C"/>
    <w:rsid w:val="004513A3"/>
    <w:rsid w:val="00461395"/>
    <w:rsid w:val="00461A48"/>
    <w:rsid w:val="004665A3"/>
    <w:rsid w:val="0047583C"/>
    <w:rsid w:val="00475C4B"/>
    <w:rsid w:val="004814D8"/>
    <w:rsid w:val="004A0ABB"/>
    <w:rsid w:val="004A4CC7"/>
    <w:rsid w:val="004B1E8C"/>
    <w:rsid w:val="004D2840"/>
    <w:rsid w:val="004D2A03"/>
    <w:rsid w:val="004E226A"/>
    <w:rsid w:val="004F59D7"/>
    <w:rsid w:val="00501660"/>
    <w:rsid w:val="005055EC"/>
    <w:rsid w:val="00512634"/>
    <w:rsid w:val="005145DE"/>
    <w:rsid w:val="00520B8B"/>
    <w:rsid w:val="00524691"/>
    <w:rsid w:val="00524DDF"/>
    <w:rsid w:val="0053490B"/>
    <w:rsid w:val="00537D37"/>
    <w:rsid w:val="00545F47"/>
    <w:rsid w:val="00554B35"/>
    <w:rsid w:val="00557FA8"/>
    <w:rsid w:val="00564306"/>
    <w:rsid w:val="00565AC7"/>
    <w:rsid w:val="00585223"/>
    <w:rsid w:val="00585D4D"/>
    <w:rsid w:val="005910F0"/>
    <w:rsid w:val="005A7D9D"/>
    <w:rsid w:val="005B0CAD"/>
    <w:rsid w:val="005C065B"/>
    <w:rsid w:val="005C156F"/>
    <w:rsid w:val="005C3802"/>
    <w:rsid w:val="005D4BFA"/>
    <w:rsid w:val="005F613D"/>
    <w:rsid w:val="0060647E"/>
    <w:rsid w:val="006074EC"/>
    <w:rsid w:val="00607901"/>
    <w:rsid w:val="0061154C"/>
    <w:rsid w:val="006127CE"/>
    <w:rsid w:val="00630D10"/>
    <w:rsid w:val="0063300C"/>
    <w:rsid w:val="00635957"/>
    <w:rsid w:val="00636E13"/>
    <w:rsid w:val="00641FCD"/>
    <w:rsid w:val="0067166D"/>
    <w:rsid w:val="00673C37"/>
    <w:rsid w:val="006832DE"/>
    <w:rsid w:val="006B1223"/>
    <w:rsid w:val="006C6335"/>
    <w:rsid w:val="006C6BDC"/>
    <w:rsid w:val="006D06F5"/>
    <w:rsid w:val="006D297F"/>
    <w:rsid w:val="006E0ACA"/>
    <w:rsid w:val="006E374C"/>
    <w:rsid w:val="006E62BB"/>
    <w:rsid w:val="006F089F"/>
    <w:rsid w:val="006F17EA"/>
    <w:rsid w:val="00712B15"/>
    <w:rsid w:val="00716D30"/>
    <w:rsid w:val="00721B42"/>
    <w:rsid w:val="007319A4"/>
    <w:rsid w:val="00742A70"/>
    <w:rsid w:val="007437F7"/>
    <w:rsid w:val="00744772"/>
    <w:rsid w:val="00745EB6"/>
    <w:rsid w:val="00746187"/>
    <w:rsid w:val="00747AD2"/>
    <w:rsid w:val="00747D9B"/>
    <w:rsid w:val="00757533"/>
    <w:rsid w:val="00760CEF"/>
    <w:rsid w:val="00761CC5"/>
    <w:rsid w:val="00762D9A"/>
    <w:rsid w:val="007660C4"/>
    <w:rsid w:val="007668AD"/>
    <w:rsid w:val="00781421"/>
    <w:rsid w:val="00785ADC"/>
    <w:rsid w:val="00791737"/>
    <w:rsid w:val="007A6AA4"/>
    <w:rsid w:val="007B114A"/>
    <w:rsid w:val="007B5BC6"/>
    <w:rsid w:val="007C61E0"/>
    <w:rsid w:val="007E24B8"/>
    <w:rsid w:val="007E6426"/>
    <w:rsid w:val="007F75B4"/>
    <w:rsid w:val="008002C5"/>
    <w:rsid w:val="00800349"/>
    <w:rsid w:val="00800F75"/>
    <w:rsid w:val="008110FD"/>
    <w:rsid w:val="008159E0"/>
    <w:rsid w:val="00817D49"/>
    <w:rsid w:val="008313AD"/>
    <w:rsid w:val="00840846"/>
    <w:rsid w:val="0084293C"/>
    <w:rsid w:val="00842C41"/>
    <w:rsid w:val="00842F4A"/>
    <w:rsid w:val="008709B8"/>
    <w:rsid w:val="00886694"/>
    <w:rsid w:val="00894F68"/>
    <w:rsid w:val="008A0CFC"/>
    <w:rsid w:val="008A255F"/>
    <w:rsid w:val="008A41C8"/>
    <w:rsid w:val="008C34D4"/>
    <w:rsid w:val="008C48B6"/>
    <w:rsid w:val="008D3733"/>
    <w:rsid w:val="008D69FC"/>
    <w:rsid w:val="008E1A8C"/>
    <w:rsid w:val="008E5884"/>
    <w:rsid w:val="008E589F"/>
    <w:rsid w:val="008E73F8"/>
    <w:rsid w:val="00902DFF"/>
    <w:rsid w:val="00903DD1"/>
    <w:rsid w:val="00907FC9"/>
    <w:rsid w:val="009141DC"/>
    <w:rsid w:val="009313C7"/>
    <w:rsid w:val="0093269B"/>
    <w:rsid w:val="00942FCD"/>
    <w:rsid w:val="00945A1C"/>
    <w:rsid w:val="00967415"/>
    <w:rsid w:val="009713FF"/>
    <w:rsid w:val="009727CE"/>
    <w:rsid w:val="0097573E"/>
    <w:rsid w:val="00975BBD"/>
    <w:rsid w:val="00976559"/>
    <w:rsid w:val="00991952"/>
    <w:rsid w:val="009B0E31"/>
    <w:rsid w:val="009B324B"/>
    <w:rsid w:val="009C59D2"/>
    <w:rsid w:val="009D4813"/>
    <w:rsid w:val="009D4E0B"/>
    <w:rsid w:val="009F52F2"/>
    <w:rsid w:val="00A0154F"/>
    <w:rsid w:val="00A02E75"/>
    <w:rsid w:val="00A13D95"/>
    <w:rsid w:val="00A22C58"/>
    <w:rsid w:val="00A313B7"/>
    <w:rsid w:val="00A316AC"/>
    <w:rsid w:val="00A35101"/>
    <w:rsid w:val="00A52C80"/>
    <w:rsid w:val="00A56E72"/>
    <w:rsid w:val="00A645B0"/>
    <w:rsid w:val="00A668C5"/>
    <w:rsid w:val="00A73C64"/>
    <w:rsid w:val="00A828B2"/>
    <w:rsid w:val="00A83C9D"/>
    <w:rsid w:val="00A86F25"/>
    <w:rsid w:val="00A92150"/>
    <w:rsid w:val="00A9215C"/>
    <w:rsid w:val="00A94E11"/>
    <w:rsid w:val="00A95C9E"/>
    <w:rsid w:val="00AA2ABC"/>
    <w:rsid w:val="00AA4130"/>
    <w:rsid w:val="00AA413A"/>
    <w:rsid w:val="00AB0630"/>
    <w:rsid w:val="00AB1835"/>
    <w:rsid w:val="00AB36B6"/>
    <w:rsid w:val="00AD7596"/>
    <w:rsid w:val="00AE16CD"/>
    <w:rsid w:val="00AE1F8C"/>
    <w:rsid w:val="00AE27D2"/>
    <w:rsid w:val="00AE50D0"/>
    <w:rsid w:val="00AF4579"/>
    <w:rsid w:val="00B00F8F"/>
    <w:rsid w:val="00B01AED"/>
    <w:rsid w:val="00B02B3D"/>
    <w:rsid w:val="00B1709F"/>
    <w:rsid w:val="00B174D3"/>
    <w:rsid w:val="00B24DA7"/>
    <w:rsid w:val="00B25128"/>
    <w:rsid w:val="00B25833"/>
    <w:rsid w:val="00B33798"/>
    <w:rsid w:val="00B42932"/>
    <w:rsid w:val="00B44A82"/>
    <w:rsid w:val="00B54126"/>
    <w:rsid w:val="00B56140"/>
    <w:rsid w:val="00B56BA0"/>
    <w:rsid w:val="00B637C0"/>
    <w:rsid w:val="00B70F3B"/>
    <w:rsid w:val="00B74D63"/>
    <w:rsid w:val="00B8440D"/>
    <w:rsid w:val="00B946E2"/>
    <w:rsid w:val="00B96181"/>
    <w:rsid w:val="00BA1C16"/>
    <w:rsid w:val="00BA3C7F"/>
    <w:rsid w:val="00BA4CE6"/>
    <w:rsid w:val="00BA57AE"/>
    <w:rsid w:val="00BA5BDE"/>
    <w:rsid w:val="00BB1584"/>
    <w:rsid w:val="00BB5197"/>
    <w:rsid w:val="00BD4835"/>
    <w:rsid w:val="00BE68D2"/>
    <w:rsid w:val="00BF5504"/>
    <w:rsid w:val="00C067CC"/>
    <w:rsid w:val="00C13AD1"/>
    <w:rsid w:val="00C267D9"/>
    <w:rsid w:val="00C31C03"/>
    <w:rsid w:val="00C31E0D"/>
    <w:rsid w:val="00C331E4"/>
    <w:rsid w:val="00C45625"/>
    <w:rsid w:val="00C46176"/>
    <w:rsid w:val="00C46546"/>
    <w:rsid w:val="00C57111"/>
    <w:rsid w:val="00C643AB"/>
    <w:rsid w:val="00C64505"/>
    <w:rsid w:val="00C66403"/>
    <w:rsid w:val="00C81D8E"/>
    <w:rsid w:val="00C82209"/>
    <w:rsid w:val="00C8553E"/>
    <w:rsid w:val="00C92772"/>
    <w:rsid w:val="00CA7F7C"/>
    <w:rsid w:val="00CC018C"/>
    <w:rsid w:val="00CC24B4"/>
    <w:rsid w:val="00CC6F56"/>
    <w:rsid w:val="00CC7204"/>
    <w:rsid w:val="00CC770A"/>
    <w:rsid w:val="00CE03C3"/>
    <w:rsid w:val="00CE1CBC"/>
    <w:rsid w:val="00CF31FC"/>
    <w:rsid w:val="00CF47AB"/>
    <w:rsid w:val="00D02CE7"/>
    <w:rsid w:val="00D057AC"/>
    <w:rsid w:val="00D13A8B"/>
    <w:rsid w:val="00D1459A"/>
    <w:rsid w:val="00D17AD5"/>
    <w:rsid w:val="00D20E9C"/>
    <w:rsid w:val="00D2582B"/>
    <w:rsid w:val="00D26B1E"/>
    <w:rsid w:val="00D42AE0"/>
    <w:rsid w:val="00D56FEA"/>
    <w:rsid w:val="00D620A9"/>
    <w:rsid w:val="00D624AC"/>
    <w:rsid w:val="00D81C95"/>
    <w:rsid w:val="00D84093"/>
    <w:rsid w:val="00D93DB1"/>
    <w:rsid w:val="00D95309"/>
    <w:rsid w:val="00DA2578"/>
    <w:rsid w:val="00DA51AA"/>
    <w:rsid w:val="00DB231B"/>
    <w:rsid w:val="00DB3B9A"/>
    <w:rsid w:val="00DB43D7"/>
    <w:rsid w:val="00DB6879"/>
    <w:rsid w:val="00DB6AED"/>
    <w:rsid w:val="00DB73C5"/>
    <w:rsid w:val="00DC61B3"/>
    <w:rsid w:val="00DC78DF"/>
    <w:rsid w:val="00DE584D"/>
    <w:rsid w:val="00DF3FB9"/>
    <w:rsid w:val="00DF72A2"/>
    <w:rsid w:val="00E03E4D"/>
    <w:rsid w:val="00E03ED4"/>
    <w:rsid w:val="00E05586"/>
    <w:rsid w:val="00E14CEB"/>
    <w:rsid w:val="00E31994"/>
    <w:rsid w:val="00E330D5"/>
    <w:rsid w:val="00E34EE0"/>
    <w:rsid w:val="00E35114"/>
    <w:rsid w:val="00E46B38"/>
    <w:rsid w:val="00E51B89"/>
    <w:rsid w:val="00E542C7"/>
    <w:rsid w:val="00E57114"/>
    <w:rsid w:val="00E678E9"/>
    <w:rsid w:val="00E72B05"/>
    <w:rsid w:val="00E72C49"/>
    <w:rsid w:val="00E74345"/>
    <w:rsid w:val="00E7573A"/>
    <w:rsid w:val="00E87221"/>
    <w:rsid w:val="00E90610"/>
    <w:rsid w:val="00EB344B"/>
    <w:rsid w:val="00EC6353"/>
    <w:rsid w:val="00ED143D"/>
    <w:rsid w:val="00EE0BBC"/>
    <w:rsid w:val="00EE1038"/>
    <w:rsid w:val="00F03EEC"/>
    <w:rsid w:val="00F0657A"/>
    <w:rsid w:val="00F06DCA"/>
    <w:rsid w:val="00F11157"/>
    <w:rsid w:val="00F207AC"/>
    <w:rsid w:val="00F31405"/>
    <w:rsid w:val="00F31D26"/>
    <w:rsid w:val="00F35056"/>
    <w:rsid w:val="00F37E92"/>
    <w:rsid w:val="00F41A36"/>
    <w:rsid w:val="00F47BFC"/>
    <w:rsid w:val="00F51884"/>
    <w:rsid w:val="00F62207"/>
    <w:rsid w:val="00F745B3"/>
    <w:rsid w:val="00F7691D"/>
    <w:rsid w:val="00F87D5C"/>
    <w:rsid w:val="00F90D94"/>
    <w:rsid w:val="00F96A5D"/>
    <w:rsid w:val="00FD78F3"/>
    <w:rsid w:val="00FE1846"/>
    <w:rsid w:val="00FE3710"/>
    <w:rsid w:val="00FF68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5C5FE"/>
  <w14:defaultImageDpi w14:val="32767"/>
  <w15:chartTrackingRefBased/>
  <w15:docId w15:val="{348E3DB6-7407-0D46-8B3F-66EEDD5F9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137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DB1"/>
    <w:pPr>
      <w:tabs>
        <w:tab w:val="center" w:pos="4513"/>
        <w:tab w:val="right" w:pos="9026"/>
      </w:tabs>
    </w:pPr>
  </w:style>
  <w:style w:type="character" w:customStyle="1" w:styleId="HeaderChar">
    <w:name w:val="Header Char"/>
    <w:basedOn w:val="DefaultParagraphFont"/>
    <w:link w:val="Header"/>
    <w:uiPriority w:val="99"/>
    <w:rsid w:val="00D93DB1"/>
  </w:style>
  <w:style w:type="paragraph" w:styleId="Footer">
    <w:name w:val="footer"/>
    <w:basedOn w:val="Normal"/>
    <w:link w:val="FooterChar"/>
    <w:uiPriority w:val="99"/>
    <w:unhideWhenUsed/>
    <w:rsid w:val="00D93DB1"/>
    <w:pPr>
      <w:tabs>
        <w:tab w:val="center" w:pos="4513"/>
        <w:tab w:val="right" w:pos="9026"/>
      </w:tabs>
    </w:pPr>
  </w:style>
  <w:style w:type="character" w:customStyle="1" w:styleId="FooterChar">
    <w:name w:val="Footer Char"/>
    <w:basedOn w:val="DefaultParagraphFont"/>
    <w:link w:val="Footer"/>
    <w:uiPriority w:val="99"/>
    <w:rsid w:val="00D93DB1"/>
  </w:style>
  <w:style w:type="paragraph" w:styleId="EndnoteText">
    <w:name w:val="endnote text"/>
    <w:basedOn w:val="Normal"/>
    <w:link w:val="EndnoteTextChar"/>
    <w:uiPriority w:val="99"/>
    <w:semiHidden/>
    <w:unhideWhenUsed/>
    <w:rsid w:val="007437F7"/>
    <w:rPr>
      <w:sz w:val="20"/>
      <w:szCs w:val="20"/>
    </w:rPr>
  </w:style>
  <w:style w:type="character" w:customStyle="1" w:styleId="EndnoteTextChar">
    <w:name w:val="Endnote Text Char"/>
    <w:basedOn w:val="DefaultParagraphFont"/>
    <w:link w:val="EndnoteText"/>
    <w:uiPriority w:val="99"/>
    <w:semiHidden/>
    <w:rsid w:val="007437F7"/>
    <w:rPr>
      <w:sz w:val="20"/>
      <w:szCs w:val="20"/>
    </w:rPr>
  </w:style>
  <w:style w:type="character" w:styleId="EndnoteReference">
    <w:name w:val="endnote reference"/>
    <w:basedOn w:val="DefaultParagraphFont"/>
    <w:uiPriority w:val="99"/>
    <w:semiHidden/>
    <w:unhideWhenUsed/>
    <w:rsid w:val="007437F7"/>
    <w:rPr>
      <w:vertAlign w:val="superscript"/>
    </w:rPr>
  </w:style>
  <w:style w:type="paragraph" w:styleId="ListParagraph">
    <w:name w:val="List Paragraph"/>
    <w:basedOn w:val="Normal"/>
    <w:uiPriority w:val="34"/>
    <w:qFormat/>
    <w:rsid w:val="00F207AC"/>
    <w:pPr>
      <w:ind w:left="720"/>
      <w:contextualSpacing/>
    </w:pPr>
  </w:style>
  <w:style w:type="paragraph" w:styleId="Bibliography">
    <w:name w:val="Bibliography"/>
    <w:basedOn w:val="Normal"/>
    <w:next w:val="Normal"/>
    <w:uiPriority w:val="37"/>
    <w:unhideWhenUsed/>
    <w:rsid w:val="00942FCD"/>
    <w:pPr>
      <w:spacing w:after="240"/>
      <w:ind w:left="720" w:hanging="720"/>
    </w:pPr>
  </w:style>
  <w:style w:type="character" w:styleId="PageNumber">
    <w:name w:val="page number"/>
    <w:basedOn w:val="DefaultParagraphFont"/>
    <w:uiPriority w:val="99"/>
    <w:semiHidden/>
    <w:unhideWhenUsed/>
    <w:rsid w:val="002209FA"/>
  </w:style>
  <w:style w:type="paragraph" w:styleId="Revision">
    <w:name w:val="Revision"/>
    <w:hidden/>
    <w:uiPriority w:val="99"/>
    <w:semiHidden/>
    <w:rsid w:val="008E589F"/>
  </w:style>
  <w:style w:type="character" w:styleId="Hyperlink">
    <w:name w:val="Hyperlink"/>
    <w:basedOn w:val="DefaultParagraphFont"/>
    <w:uiPriority w:val="99"/>
    <w:unhideWhenUsed/>
    <w:rsid w:val="00800349"/>
    <w:rPr>
      <w:color w:val="0000FF"/>
      <w:u w:val="single"/>
    </w:rPr>
  </w:style>
  <w:style w:type="character" w:customStyle="1" w:styleId="searchhighlight">
    <w:name w:val="searchhighlight"/>
    <w:basedOn w:val="DefaultParagraphFont"/>
    <w:rsid w:val="00800349"/>
  </w:style>
  <w:style w:type="character" w:styleId="UnresolvedMention">
    <w:name w:val="Unresolved Mention"/>
    <w:basedOn w:val="DefaultParagraphFont"/>
    <w:uiPriority w:val="99"/>
    <w:rsid w:val="008003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081097">
      <w:bodyDiv w:val="1"/>
      <w:marLeft w:val="0"/>
      <w:marRight w:val="0"/>
      <w:marTop w:val="0"/>
      <w:marBottom w:val="0"/>
      <w:divBdr>
        <w:top w:val="none" w:sz="0" w:space="0" w:color="auto"/>
        <w:left w:val="none" w:sz="0" w:space="0" w:color="auto"/>
        <w:bottom w:val="none" w:sz="0" w:space="0" w:color="auto"/>
        <w:right w:val="none" w:sz="0" w:space="0" w:color="auto"/>
      </w:divBdr>
      <w:divsChild>
        <w:div w:id="1279066681">
          <w:marLeft w:val="0"/>
          <w:marRight w:val="0"/>
          <w:marTop w:val="0"/>
          <w:marBottom w:val="0"/>
          <w:divBdr>
            <w:top w:val="none" w:sz="0" w:space="0" w:color="auto"/>
            <w:left w:val="none" w:sz="0" w:space="0" w:color="auto"/>
            <w:bottom w:val="none" w:sz="0" w:space="0" w:color="auto"/>
            <w:right w:val="none" w:sz="0" w:space="0" w:color="auto"/>
          </w:divBdr>
          <w:divsChild>
            <w:div w:id="1133981301">
              <w:marLeft w:val="0"/>
              <w:marRight w:val="225"/>
              <w:marTop w:val="0"/>
              <w:marBottom w:val="0"/>
              <w:divBdr>
                <w:top w:val="none" w:sz="0" w:space="0" w:color="auto"/>
                <w:left w:val="none" w:sz="0" w:space="0" w:color="auto"/>
                <w:bottom w:val="none" w:sz="0" w:space="0" w:color="auto"/>
                <w:right w:val="none" w:sz="0" w:space="0" w:color="auto"/>
              </w:divBdr>
            </w:div>
          </w:divsChild>
        </w:div>
        <w:div w:id="805315777">
          <w:marLeft w:val="0"/>
          <w:marRight w:val="0"/>
          <w:marTop w:val="0"/>
          <w:marBottom w:val="0"/>
          <w:divBdr>
            <w:top w:val="none" w:sz="0" w:space="0" w:color="auto"/>
            <w:left w:val="none" w:sz="0" w:space="0" w:color="auto"/>
            <w:bottom w:val="none" w:sz="0" w:space="0" w:color="auto"/>
            <w:right w:val="none" w:sz="0" w:space="0" w:color="auto"/>
          </w:divBdr>
          <w:divsChild>
            <w:div w:id="970788332">
              <w:marLeft w:val="0"/>
              <w:marRight w:val="300"/>
              <w:marTop w:val="0"/>
              <w:marBottom w:val="0"/>
              <w:divBdr>
                <w:top w:val="none" w:sz="0" w:space="0" w:color="auto"/>
                <w:left w:val="none" w:sz="0" w:space="0" w:color="auto"/>
                <w:bottom w:val="none" w:sz="0" w:space="0" w:color="auto"/>
                <w:right w:val="none" w:sz="0" w:space="0" w:color="auto"/>
              </w:divBdr>
              <w:divsChild>
                <w:div w:id="1381779799">
                  <w:marLeft w:val="0"/>
                  <w:marRight w:val="75"/>
                  <w:marTop w:val="0"/>
                  <w:marBottom w:val="0"/>
                  <w:divBdr>
                    <w:top w:val="none" w:sz="0" w:space="0" w:color="auto"/>
                    <w:left w:val="none" w:sz="0" w:space="0" w:color="auto"/>
                    <w:bottom w:val="none" w:sz="0" w:space="0" w:color="auto"/>
                    <w:right w:val="none" w:sz="0" w:space="0" w:color="auto"/>
                  </w:divBdr>
                </w:div>
                <w:div w:id="82308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78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ic.oup.com/analysis/advance-article/doi/10.1093/analys/anac041/6650897"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coverdale@ucl.ac.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F8ADDF3E-872C-C040-8FDB-8959D52E7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6696</Words>
  <Characters>31809</Characters>
  <Application>Microsoft Office Word</Application>
  <DocSecurity>0</DocSecurity>
  <Lines>706</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Brown Coverdale</dc:creator>
  <cp:keywords/>
  <dc:description/>
  <cp:lastModifiedBy>Helen Brown Coverdale</cp:lastModifiedBy>
  <cp:revision>4</cp:revision>
  <cp:lastPrinted>2022-04-24T14:43:00Z</cp:lastPrinted>
  <dcterms:created xsi:type="dcterms:W3CDTF">2022-08-01T09:36:00Z</dcterms:created>
  <dcterms:modified xsi:type="dcterms:W3CDTF">2022-08-01T09:44:00Z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zotero-version="6.0.8"&gt;&lt;session id="tmEjIVky"/&gt;&lt;style id="http://www.zotero.org/styles/american-sociological-association" locale="en-GB" hasBibliography="1" bibliographyStyleHasBeenSet="1"/&gt;&lt;prefs&gt;&lt;pref name="fieldType" value="Field</vt:lpwstr>
  </property>
  <property fmtid="{D5CDD505-2E9C-101B-9397-08002B2CF9AE}" pid="3" name="ZOTERO_PREF_2">
    <vt:lpwstr>"/&gt;&lt;/prefs&gt;&lt;/data&gt;</vt:lpwstr>
  </property>
</Properties>
</file>