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C986" w14:textId="77777777" w:rsidR="00120BCE" w:rsidRPr="00031381" w:rsidRDefault="00000000">
      <w:pPr>
        <w:spacing w:line="360" w:lineRule="auto"/>
        <w:jc w:val="center"/>
        <w:rPr>
          <w:rFonts w:ascii="Garamond" w:hAnsi="Garamond"/>
          <w:sz w:val="22"/>
          <w:szCs w:val="22"/>
        </w:rPr>
      </w:pPr>
      <w:r w:rsidRPr="00031381">
        <w:rPr>
          <w:rFonts w:ascii="Garamond" w:eastAsia="Times New Roman" w:hAnsi="Garamond"/>
          <w:b/>
          <w:bCs/>
          <w:sz w:val="22"/>
          <w:szCs w:val="22"/>
        </w:rPr>
        <w:t xml:space="preserve">Epistemology in the </w:t>
      </w:r>
      <w:r w:rsidRPr="00031381">
        <w:rPr>
          <w:rFonts w:ascii="Garamond" w:eastAsia="Times New Roman" w:hAnsi="Garamond"/>
          <w:b/>
          <w:bCs/>
          <w:i/>
          <w:iCs/>
          <w:sz w:val="22"/>
          <w:szCs w:val="22"/>
        </w:rPr>
        <w:t>Mencius</w:t>
      </w:r>
    </w:p>
    <w:p w14:paraId="38F0C55D" w14:textId="77777777" w:rsidR="00120BCE" w:rsidRPr="00031381" w:rsidRDefault="00120BCE">
      <w:pPr>
        <w:spacing w:line="360" w:lineRule="auto"/>
        <w:jc w:val="center"/>
        <w:rPr>
          <w:rFonts w:ascii="Garamond" w:eastAsia="Times New Roman" w:hAnsi="Garamond"/>
          <w:b/>
          <w:bCs/>
          <w:sz w:val="22"/>
          <w:szCs w:val="22"/>
        </w:rPr>
      </w:pPr>
    </w:p>
    <w:p w14:paraId="7569B1C4" w14:textId="77777777" w:rsidR="00FA7836" w:rsidRPr="00031381" w:rsidRDefault="00FA7836">
      <w:pPr>
        <w:spacing w:line="360" w:lineRule="auto"/>
        <w:jc w:val="center"/>
        <w:rPr>
          <w:rFonts w:ascii="Garamond" w:eastAsia="Times New Roman" w:hAnsi="Garamond"/>
          <w:b/>
          <w:bCs/>
          <w:sz w:val="22"/>
          <w:szCs w:val="22"/>
        </w:rPr>
      </w:pPr>
    </w:p>
    <w:p w14:paraId="07D056A8" w14:textId="77777777" w:rsidR="00120BCE" w:rsidRPr="00031381" w:rsidRDefault="00000000">
      <w:pPr>
        <w:spacing w:line="360" w:lineRule="auto"/>
        <w:jc w:val="center"/>
        <w:rPr>
          <w:rFonts w:ascii="Garamond" w:eastAsia="Times New Roman" w:hAnsi="Garamond"/>
          <w:sz w:val="22"/>
          <w:szCs w:val="22"/>
        </w:rPr>
      </w:pPr>
      <w:r w:rsidRPr="00031381">
        <w:rPr>
          <w:rFonts w:ascii="Garamond" w:eastAsia="Times New Roman" w:hAnsi="Garamond"/>
          <w:sz w:val="22"/>
          <w:szCs w:val="22"/>
        </w:rPr>
        <w:t>Waldemar Brys</w:t>
      </w:r>
    </w:p>
    <w:p w14:paraId="3F9BD4AC" w14:textId="51626A48" w:rsidR="00FA7836" w:rsidRPr="00031381" w:rsidRDefault="00FA7836">
      <w:pPr>
        <w:spacing w:line="360" w:lineRule="auto"/>
        <w:jc w:val="center"/>
        <w:rPr>
          <w:rFonts w:ascii="Garamond" w:eastAsia="Times New Roman" w:hAnsi="Garamond"/>
          <w:sz w:val="22"/>
          <w:szCs w:val="22"/>
        </w:rPr>
      </w:pPr>
      <w:r w:rsidRPr="00031381">
        <w:rPr>
          <w:rFonts w:ascii="Garamond" w:eastAsia="Times New Roman" w:hAnsi="Garamond"/>
          <w:sz w:val="22"/>
          <w:szCs w:val="22"/>
        </w:rPr>
        <w:t>University of New South Wales</w:t>
      </w:r>
    </w:p>
    <w:p w14:paraId="76BC3056" w14:textId="3999EC41" w:rsidR="00FA7836" w:rsidRPr="00031381" w:rsidRDefault="00031381">
      <w:pPr>
        <w:spacing w:line="360" w:lineRule="auto"/>
        <w:jc w:val="center"/>
        <w:rPr>
          <w:rFonts w:ascii="Garamond" w:eastAsia="Times New Roman" w:hAnsi="Garamond"/>
          <w:sz w:val="22"/>
          <w:szCs w:val="22"/>
        </w:rPr>
      </w:pPr>
      <w:r w:rsidRPr="00031381">
        <w:rPr>
          <w:rFonts w:ascii="Garamond" w:eastAsia="Times New Roman" w:hAnsi="Garamond"/>
          <w:sz w:val="22"/>
          <w:szCs w:val="22"/>
        </w:rPr>
        <w:t>Accepted Manuscript</w:t>
      </w:r>
    </w:p>
    <w:p w14:paraId="09254360" w14:textId="25582E3D" w:rsidR="00FA7836" w:rsidRPr="00031381" w:rsidRDefault="00031381">
      <w:pPr>
        <w:spacing w:line="360" w:lineRule="auto"/>
        <w:jc w:val="center"/>
        <w:rPr>
          <w:rFonts w:ascii="Garamond" w:eastAsia="Times New Roman" w:hAnsi="Garamond"/>
          <w:sz w:val="22"/>
          <w:szCs w:val="22"/>
        </w:rPr>
      </w:pPr>
      <w:r w:rsidRPr="00031381">
        <w:rPr>
          <w:rFonts w:ascii="Garamond" w:eastAsia="Times New Roman" w:hAnsi="Garamond"/>
          <w:sz w:val="22"/>
          <w:szCs w:val="22"/>
        </w:rPr>
        <w:t>The Version of Record is published in</w:t>
      </w:r>
      <w:r w:rsidR="00FA7836" w:rsidRPr="00031381">
        <w:rPr>
          <w:rFonts w:ascii="Garamond" w:eastAsia="Times New Roman" w:hAnsi="Garamond"/>
          <w:sz w:val="22"/>
          <w:szCs w:val="22"/>
        </w:rPr>
        <w:t xml:space="preserve">: </w:t>
      </w:r>
      <w:r w:rsidR="00FA7836" w:rsidRPr="00031381">
        <w:rPr>
          <w:rFonts w:ascii="Garamond" w:eastAsia="Times New Roman" w:hAnsi="Garamond"/>
          <w:i/>
          <w:iCs/>
          <w:sz w:val="22"/>
          <w:szCs w:val="22"/>
        </w:rPr>
        <w:t>Dao Companion to the Philosophy of Mencius</w:t>
      </w:r>
      <w:r w:rsidR="00FA7836" w:rsidRPr="00031381">
        <w:rPr>
          <w:rFonts w:ascii="Garamond" w:eastAsia="Times New Roman" w:hAnsi="Garamond"/>
          <w:sz w:val="22"/>
          <w:szCs w:val="22"/>
        </w:rPr>
        <w:t>, edited by Yang Xiao and Kim-Chong Chong.</w:t>
      </w:r>
      <w:r w:rsidR="00FA7836" w:rsidRPr="00031381">
        <w:rPr>
          <w:rFonts w:ascii="Garamond" w:eastAsia="Times New Roman" w:hAnsi="Garamond"/>
          <w:sz w:val="22"/>
          <w:szCs w:val="22"/>
        </w:rPr>
        <w:t xml:space="preserve"> Cham: Springer. pp. 491-514</w:t>
      </w:r>
      <w:r w:rsidR="00FA7836" w:rsidRPr="00031381">
        <w:rPr>
          <w:rFonts w:ascii="Garamond" w:eastAsia="Times New Roman" w:hAnsi="Garamond"/>
          <w:sz w:val="22"/>
          <w:szCs w:val="22"/>
        </w:rPr>
        <w:t>.</w:t>
      </w:r>
      <w:r w:rsidR="00FA7836" w:rsidRPr="00031381">
        <w:rPr>
          <w:rFonts w:ascii="Garamond" w:eastAsia="Times New Roman" w:hAnsi="Garamond"/>
          <w:sz w:val="22"/>
          <w:szCs w:val="22"/>
        </w:rPr>
        <w:t xml:space="preserve"> https://doi.org/10.1007/978-3-031-27620-0_25</w:t>
      </w:r>
    </w:p>
    <w:p w14:paraId="1990D8AA" w14:textId="7FFDD287" w:rsidR="00FA7836" w:rsidRPr="00031381" w:rsidRDefault="00FA7836" w:rsidP="00FA7836">
      <w:pPr>
        <w:spacing w:line="360" w:lineRule="auto"/>
        <w:rPr>
          <w:rFonts w:ascii="Garamond" w:eastAsia="Times New Roman" w:hAnsi="Garamond"/>
          <w:sz w:val="22"/>
          <w:szCs w:val="22"/>
        </w:rPr>
      </w:pPr>
      <w:r w:rsidRPr="00031381">
        <w:rPr>
          <w:rFonts w:ascii="Garamond" w:eastAsia="Times New Roman" w:hAnsi="Garamond"/>
          <w:sz w:val="22"/>
          <w:szCs w:val="22"/>
        </w:rPr>
        <w:t xml:space="preserve"> </w:t>
      </w:r>
    </w:p>
    <w:p w14:paraId="5E99301D" w14:textId="77777777" w:rsidR="00120BCE" w:rsidRPr="00031381" w:rsidRDefault="00120BCE">
      <w:pPr>
        <w:spacing w:line="360" w:lineRule="auto"/>
        <w:jc w:val="center"/>
        <w:rPr>
          <w:rFonts w:ascii="Garamond" w:hAnsi="Garamond"/>
          <w:sz w:val="22"/>
          <w:szCs w:val="22"/>
        </w:rPr>
      </w:pPr>
    </w:p>
    <w:p w14:paraId="35D7B482" w14:textId="77777777" w:rsidR="00120BCE" w:rsidRPr="00031381" w:rsidRDefault="00000000">
      <w:pPr>
        <w:spacing w:line="360" w:lineRule="auto"/>
        <w:jc w:val="center"/>
        <w:rPr>
          <w:rFonts w:ascii="Garamond" w:hAnsi="Garamond"/>
          <w:sz w:val="22"/>
          <w:szCs w:val="22"/>
        </w:rPr>
      </w:pPr>
      <w:r w:rsidRPr="00031381">
        <w:rPr>
          <w:rFonts w:ascii="Garamond" w:eastAsia="Times New Roman" w:hAnsi="Garamond"/>
          <w:b/>
          <w:bCs/>
          <w:sz w:val="22"/>
          <w:szCs w:val="22"/>
        </w:rPr>
        <w:t>Abstract</w:t>
      </w:r>
    </w:p>
    <w:p w14:paraId="2F34AF40" w14:textId="77777777" w:rsidR="00120BCE" w:rsidRPr="00031381" w:rsidRDefault="00120BCE">
      <w:pPr>
        <w:spacing w:line="360" w:lineRule="auto"/>
        <w:jc w:val="center"/>
        <w:rPr>
          <w:rFonts w:ascii="Garamond" w:hAnsi="Garamond"/>
          <w:sz w:val="22"/>
          <w:szCs w:val="22"/>
        </w:rPr>
      </w:pPr>
    </w:p>
    <w:p w14:paraId="133403CB"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This chapter examines Mencius’s views on knowledge and how they might contribute to contemporary debates in epistemology. For this purpose, I focus on three features that I take to be characteristic (although not exhaustive) of </w:t>
      </w:r>
      <w:proofErr w:type="spellStart"/>
      <w:r w:rsidRPr="00031381">
        <w:rPr>
          <w:rFonts w:ascii="Garamond" w:hAnsi="Garamond"/>
          <w:sz w:val="22"/>
          <w:szCs w:val="22"/>
        </w:rPr>
        <w:t>Mencian</w:t>
      </w:r>
      <w:proofErr w:type="spellEnd"/>
      <w:r w:rsidRPr="00031381">
        <w:rPr>
          <w:rFonts w:ascii="Garamond" w:hAnsi="Garamond"/>
          <w:sz w:val="22"/>
          <w:szCs w:val="22"/>
        </w:rPr>
        <w:t xml:space="preserve"> epistemology: first, Mencius’s views on knowing things or subject matters; second, the role that wisdom or intellectual virtue plays in acquiring knowledge; and third, Mencius’s views on “knowing-to”, a kind of knowledge conceptually distinct from knowing-that and knowing-how. I argue that the views we find in the</w:t>
      </w:r>
      <w:r w:rsidRPr="00031381">
        <w:rPr>
          <w:rFonts w:ascii="Garamond" w:hAnsi="Garamond"/>
          <w:i/>
          <w:iCs/>
          <w:sz w:val="22"/>
          <w:szCs w:val="22"/>
        </w:rPr>
        <w:t xml:space="preserve"> Mencius</w:t>
      </w:r>
      <w:r w:rsidRPr="00031381">
        <w:rPr>
          <w:rFonts w:ascii="Garamond" w:hAnsi="Garamond"/>
          <w:sz w:val="22"/>
          <w:szCs w:val="22"/>
        </w:rPr>
        <w:t xml:space="preserve"> on these matters are relevant to contemporary debates on the nature of objectual knowledge, on the role of intellectual virtue in knowing, and on the relation between know-how and intelligent action.</w:t>
      </w:r>
      <w:r w:rsidRPr="00031381">
        <w:rPr>
          <w:rFonts w:ascii="Garamond" w:hAnsi="Garamond"/>
          <w:sz w:val="22"/>
          <w:szCs w:val="22"/>
        </w:rPr>
        <w:br w:type="page"/>
      </w:r>
    </w:p>
    <w:p w14:paraId="4D82388B" w14:textId="77777777" w:rsidR="00120BCE" w:rsidRPr="00031381" w:rsidRDefault="00000000">
      <w:pPr>
        <w:spacing w:line="360" w:lineRule="auto"/>
        <w:jc w:val="center"/>
        <w:rPr>
          <w:rFonts w:ascii="Garamond" w:hAnsi="Garamond"/>
          <w:sz w:val="22"/>
          <w:szCs w:val="22"/>
        </w:rPr>
      </w:pPr>
      <w:r w:rsidRPr="00031381">
        <w:rPr>
          <w:rFonts w:ascii="Garamond" w:eastAsia="Times New Roman" w:hAnsi="Garamond"/>
          <w:b/>
          <w:bCs/>
          <w:sz w:val="22"/>
          <w:szCs w:val="22"/>
        </w:rPr>
        <w:lastRenderedPageBreak/>
        <w:t xml:space="preserve">Epistemology in the </w:t>
      </w:r>
      <w:r w:rsidRPr="00031381">
        <w:rPr>
          <w:rFonts w:ascii="Garamond" w:eastAsia="Times New Roman" w:hAnsi="Garamond"/>
          <w:b/>
          <w:bCs/>
          <w:i/>
          <w:iCs/>
          <w:sz w:val="22"/>
          <w:szCs w:val="22"/>
        </w:rPr>
        <w:t>Mencius</w:t>
      </w:r>
    </w:p>
    <w:p w14:paraId="17C0165F" w14:textId="77777777" w:rsidR="00120BCE" w:rsidRPr="00031381" w:rsidRDefault="00120BCE">
      <w:pPr>
        <w:spacing w:line="360" w:lineRule="auto"/>
        <w:jc w:val="center"/>
        <w:rPr>
          <w:rFonts w:ascii="Garamond" w:eastAsia="Times New Roman" w:hAnsi="Garamond"/>
          <w:b/>
          <w:bCs/>
          <w:sz w:val="22"/>
          <w:szCs w:val="22"/>
        </w:rPr>
      </w:pPr>
    </w:p>
    <w:p w14:paraId="3F27073D" w14:textId="77777777" w:rsidR="00120BCE" w:rsidRPr="00031381" w:rsidRDefault="00000000">
      <w:pPr>
        <w:spacing w:line="360" w:lineRule="auto"/>
        <w:jc w:val="center"/>
        <w:rPr>
          <w:rFonts w:ascii="Garamond" w:eastAsia="Times New Roman" w:hAnsi="Garamond"/>
          <w:sz w:val="22"/>
          <w:szCs w:val="22"/>
        </w:rPr>
      </w:pPr>
      <w:r w:rsidRPr="00031381">
        <w:rPr>
          <w:rFonts w:ascii="Garamond" w:eastAsia="Times New Roman" w:hAnsi="Garamond"/>
          <w:sz w:val="22"/>
          <w:szCs w:val="22"/>
        </w:rPr>
        <w:t>Waldemar Brys</w:t>
      </w:r>
    </w:p>
    <w:p w14:paraId="574D8900" w14:textId="77777777" w:rsidR="00120BCE" w:rsidRPr="00031381" w:rsidRDefault="00120BCE">
      <w:pPr>
        <w:spacing w:line="360" w:lineRule="auto"/>
        <w:jc w:val="center"/>
        <w:rPr>
          <w:rFonts w:ascii="Garamond" w:eastAsia="Times New Roman" w:hAnsi="Garamond"/>
          <w:b/>
          <w:bCs/>
          <w:sz w:val="22"/>
          <w:szCs w:val="22"/>
        </w:rPr>
      </w:pPr>
    </w:p>
    <w:p w14:paraId="548D96AC" w14:textId="77777777" w:rsidR="00120BCE" w:rsidRPr="00031381" w:rsidRDefault="00000000">
      <w:pPr>
        <w:spacing w:line="360" w:lineRule="auto"/>
        <w:rPr>
          <w:rFonts w:ascii="Garamond" w:hAnsi="Garamond"/>
          <w:b/>
          <w:bCs/>
          <w:sz w:val="22"/>
          <w:szCs w:val="22"/>
        </w:rPr>
      </w:pPr>
      <w:r w:rsidRPr="00031381">
        <w:rPr>
          <w:rFonts w:ascii="Garamond" w:eastAsia="Times New Roman" w:hAnsi="Garamond"/>
          <w:b/>
          <w:bCs/>
          <w:sz w:val="22"/>
          <w:szCs w:val="22"/>
        </w:rPr>
        <w:t>1. Introduction</w:t>
      </w:r>
    </w:p>
    <w:p w14:paraId="56DA1DDF" w14:textId="77777777" w:rsidR="00120BCE" w:rsidRPr="00031381" w:rsidRDefault="00120BCE">
      <w:pPr>
        <w:spacing w:line="360" w:lineRule="auto"/>
        <w:rPr>
          <w:rFonts w:ascii="Garamond" w:eastAsia="Times New Roman" w:hAnsi="Garamond"/>
          <w:sz w:val="22"/>
          <w:szCs w:val="22"/>
        </w:rPr>
      </w:pPr>
    </w:p>
    <w:p w14:paraId="08B8E89B"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 vast majority of Mencius scholarship, both ancient and modern, is devoted to Mencius’s ethical and political thought. Very little research is being done on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epistemology. This is both understandable and regrettable. It is understandable, given that </w:t>
      </w:r>
      <w:proofErr w:type="gramStart"/>
      <w:r w:rsidRPr="00031381">
        <w:rPr>
          <w:rFonts w:ascii="Garamond" w:eastAsia="Times New Roman" w:hAnsi="Garamond"/>
          <w:sz w:val="22"/>
          <w:szCs w:val="22"/>
        </w:rPr>
        <w:t xml:space="preserve">the </w:t>
      </w:r>
      <w:r w:rsidRPr="00031381">
        <w:rPr>
          <w:rFonts w:ascii="Garamond" w:eastAsia="Times New Roman" w:hAnsi="Garamond"/>
          <w:i/>
          <w:iCs/>
          <w:sz w:val="22"/>
          <w:szCs w:val="22"/>
        </w:rPr>
        <w:t>Mencius</w:t>
      </w:r>
      <w:proofErr w:type="gramEnd"/>
      <w:r w:rsidRPr="00031381">
        <w:rPr>
          <w:rFonts w:ascii="Garamond" w:eastAsia="Times New Roman" w:hAnsi="Garamond"/>
          <w:sz w:val="22"/>
          <w:szCs w:val="22"/>
        </w:rPr>
        <w:t xml:space="preserve"> is not an epistemological treatise, nor does Mencius provide us with anything resembling a theory of knowledge. Unlike the Mohist Canons, the</w:t>
      </w:r>
      <w:r w:rsidRPr="00031381">
        <w:rPr>
          <w:rFonts w:ascii="Garamond" w:eastAsia="Times New Roman" w:hAnsi="Garamond"/>
          <w:i/>
          <w:iCs/>
          <w:sz w:val="22"/>
          <w:szCs w:val="22"/>
        </w:rPr>
        <w:t xml:space="preserve"> Xunzi</w:t>
      </w:r>
      <w:r w:rsidRPr="00031381">
        <w:rPr>
          <w:rFonts w:ascii="Garamond" w:eastAsia="Times New Roman" w:hAnsi="Garamond"/>
          <w:sz w:val="22"/>
          <w:szCs w:val="22"/>
        </w:rPr>
        <w:t>, or even the</w:t>
      </w:r>
      <w:r w:rsidRPr="00031381">
        <w:rPr>
          <w:rFonts w:ascii="Garamond" w:eastAsia="Times New Roman" w:hAnsi="Garamond"/>
          <w:i/>
          <w:iCs/>
          <w:sz w:val="22"/>
          <w:szCs w:val="22"/>
        </w:rPr>
        <w:t xml:space="preserve"> Zhuangzi</w:t>
      </w:r>
      <w:r w:rsidRPr="00031381">
        <w:rPr>
          <w:rFonts w:ascii="Garamond" w:eastAsia="Times New Roman" w:hAnsi="Garamond"/>
          <w:sz w:val="22"/>
          <w:szCs w:val="22"/>
        </w:rPr>
        <w:t xml:space="preserve">, we find in </w:t>
      </w:r>
      <w:proofErr w:type="gramStart"/>
      <w:r w:rsidRPr="00031381">
        <w:rPr>
          <w:rFonts w:ascii="Garamond" w:eastAsia="Times New Roman" w:hAnsi="Garamond"/>
          <w:sz w:val="22"/>
          <w:szCs w:val="22"/>
        </w:rPr>
        <w:t>the</w:t>
      </w:r>
      <w:r w:rsidRPr="00031381">
        <w:rPr>
          <w:rFonts w:ascii="Garamond" w:eastAsia="Times New Roman" w:hAnsi="Garamond"/>
          <w:i/>
          <w:iCs/>
          <w:sz w:val="22"/>
          <w:szCs w:val="22"/>
        </w:rPr>
        <w:t xml:space="preserve"> Mencius</w:t>
      </w:r>
      <w:proofErr w:type="gramEnd"/>
      <w:r w:rsidRPr="00031381">
        <w:rPr>
          <w:rFonts w:ascii="Garamond" w:eastAsia="Times New Roman" w:hAnsi="Garamond"/>
          <w:i/>
          <w:iCs/>
          <w:sz w:val="22"/>
          <w:szCs w:val="22"/>
        </w:rPr>
        <w:t xml:space="preserve"> </w:t>
      </w:r>
      <w:r w:rsidRPr="00031381">
        <w:rPr>
          <w:rFonts w:ascii="Garamond" w:eastAsia="Times New Roman" w:hAnsi="Garamond"/>
          <w:sz w:val="22"/>
          <w:szCs w:val="22"/>
        </w:rPr>
        <w:t>no sustained discussions on epistemic matters. For example, Mencius lists “wisdom” (</w:t>
      </w:r>
      <w:proofErr w:type="spellStart"/>
      <w:r w:rsidRPr="00031381">
        <w:rPr>
          <w:rFonts w:ascii="Garamond" w:eastAsia="Times New Roman" w:hAnsi="Garamond"/>
          <w:i/>
          <w:iCs/>
          <w:sz w:val="22"/>
          <w:szCs w:val="22"/>
        </w:rPr>
        <w:t>zhi</w:t>
      </w:r>
      <w:proofErr w:type="spellEnd"/>
      <w:r w:rsidRPr="00031381">
        <w:rPr>
          <w:rFonts w:ascii="Garamond" w:eastAsia="Times New Roman" w:hAnsi="Garamond"/>
          <w:i/>
          <w:iCs/>
          <w:sz w:val="22"/>
          <w:szCs w:val="22"/>
        </w:rPr>
        <w:t xml:space="preserve"> </w:t>
      </w:r>
      <w:r w:rsidRPr="00031381">
        <w:rPr>
          <w:rFonts w:ascii="Garamond" w:eastAsia="SimSun" w:hAnsi="Garamond" w:cs="SimSun"/>
          <w:sz w:val="22"/>
          <w:szCs w:val="22"/>
        </w:rPr>
        <w:t>智</w:t>
      </w:r>
      <w:r w:rsidRPr="00031381">
        <w:rPr>
          <w:rFonts w:ascii="Garamond" w:eastAsia="Times New Roman" w:hAnsi="Garamond"/>
          <w:sz w:val="22"/>
          <w:szCs w:val="22"/>
        </w:rPr>
        <w:t>) as one of the four virtues (2A6, 6A6), but he is particularly terse when it comes to telling us what wisdom</w:t>
      </w:r>
      <w:r w:rsidRPr="00031381">
        <w:rPr>
          <w:rFonts w:ascii="Garamond" w:eastAsia="Times New Roman" w:hAnsi="Garamond"/>
          <w:i/>
          <w:iCs/>
          <w:sz w:val="22"/>
          <w:szCs w:val="22"/>
        </w:rPr>
        <w:t xml:space="preserve"> is</w:t>
      </w:r>
      <w:r w:rsidRPr="00031381">
        <w:rPr>
          <w:rFonts w:ascii="Garamond" w:eastAsia="Times New Roman" w:hAnsi="Garamond"/>
          <w:sz w:val="22"/>
          <w:szCs w:val="22"/>
        </w:rPr>
        <w:t xml:space="preserve">, what it means to be wise, or how we come to acquire it. It is therefore hardly surprising that scholars of early Chinese philosophy have been more interested in reconstructing early </w:t>
      </w:r>
      <w:r w:rsidRPr="00031381">
        <w:rPr>
          <w:rFonts w:ascii="Garamond" w:eastAsia="Times New Roman" w:hAnsi="Garamond"/>
          <w:i/>
          <w:iCs/>
          <w:sz w:val="22"/>
          <w:szCs w:val="22"/>
        </w:rPr>
        <w:t>Chinese</w:t>
      </w:r>
      <w:r w:rsidRPr="00031381">
        <w:rPr>
          <w:rFonts w:ascii="Garamond" w:eastAsia="Times New Roman" w:hAnsi="Garamond"/>
          <w:sz w:val="22"/>
          <w:szCs w:val="22"/>
        </w:rPr>
        <w:t xml:space="preserve"> epistemology (Hansen 1992; Allen 2015) or early </w:t>
      </w:r>
      <w:r w:rsidRPr="00031381">
        <w:rPr>
          <w:rFonts w:ascii="Garamond" w:eastAsia="Times New Roman" w:hAnsi="Garamond"/>
          <w:i/>
          <w:iCs/>
          <w:sz w:val="22"/>
          <w:szCs w:val="22"/>
        </w:rPr>
        <w:t>Confucian</w:t>
      </w:r>
      <w:r w:rsidRPr="00031381">
        <w:rPr>
          <w:rFonts w:ascii="Garamond" w:eastAsia="Times New Roman" w:hAnsi="Garamond"/>
          <w:sz w:val="22"/>
          <w:szCs w:val="22"/>
        </w:rPr>
        <w:t xml:space="preserve"> epistemology (</w:t>
      </w:r>
      <w:proofErr w:type="spellStart"/>
      <w:r w:rsidRPr="00031381">
        <w:rPr>
          <w:rFonts w:ascii="Garamond" w:eastAsia="Times New Roman" w:hAnsi="Garamond"/>
          <w:sz w:val="22"/>
          <w:szCs w:val="22"/>
        </w:rPr>
        <w:t>Raphals</w:t>
      </w:r>
      <w:proofErr w:type="spellEnd"/>
      <w:r w:rsidRPr="00031381">
        <w:rPr>
          <w:rFonts w:ascii="Garamond" w:eastAsia="Times New Roman" w:hAnsi="Garamond"/>
          <w:sz w:val="22"/>
          <w:szCs w:val="22"/>
        </w:rPr>
        <w:t xml:space="preserve"> 1992: Ch2; Yao 2006), rather than specifically query the</w:t>
      </w:r>
      <w:r w:rsidRPr="00031381">
        <w:rPr>
          <w:rFonts w:ascii="Garamond" w:eastAsia="Times New Roman" w:hAnsi="Garamond"/>
          <w:i/>
          <w:iCs/>
          <w:sz w:val="22"/>
          <w:szCs w:val="22"/>
        </w:rPr>
        <w:t xml:space="preserve"> Mencius</w:t>
      </w:r>
      <w:r w:rsidRPr="00031381">
        <w:rPr>
          <w:rFonts w:ascii="Garamond" w:eastAsia="Times New Roman" w:hAnsi="Garamond"/>
          <w:sz w:val="22"/>
          <w:szCs w:val="22"/>
        </w:rPr>
        <w:t xml:space="preserve"> for epistemological insights. If we, for example, take the </w:t>
      </w:r>
      <w:r w:rsidRPr="00031381">
        <w:rPr>
          <w:rFonts w:ascii="Garamond" w:eastAsia="Times New Roman" w:hAnsi="Garamond"/>
          <w:i/>
          <w:iCs/>
          <w:sz w:val="22"/>
          <w:szCs w:val="22"/>
        </w:rPr>
        <w:t>Analects</w:t>
      </w:r>
      <w:r w:rsidRPr="00031381">
        <w:rPr>
          <w:rFonts w:ascii="Garamond" w:eastAsia="Times New Roman" w:hAnsi="Garamond"/>
          <w:sz w:val="22"/>
          <w:szCs w:val="22"/>
        </w:rPr>
        <w:t xml:space="preserv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w:t>
      </w:r>
      <w:r w:rsidRPr="00031381">
        <w:rPr>
          <w:rFonts w:ascii="Garamond" w:eastAsia="Times New Roman" w:hAnsi="Garamond"/>
          <w:i/>
          <w:iCs/>
          <w:sz w:val="22"/>
          <w:szCs w:val="22"/>
        </w:rPr>
        <w:t>Xunzi</w:t>
      </w:r>
      <w:r w:rsidRPr="00031381">
        <w:rPr>
          <w:rFonts w:ascii="Garamond" w:eastAsia="Times New Roman" w:hAnsi="Garamond"/>
          <w:sz w:val="22"/>
          <w:szCs w:val="22"/>
        </w:rPr>
        <w:t xml:space="preserve">, </w:t>
      </w:r>
      <w:proofErr w:type="spellStart"/>
      <w:r w:rsidRPr="00031381">
        <w:rPr>
          <w:rFonts w:ascii="Garamond" w:eastAsia="Times New Roman" w:hAnsi="Garamond"/>
          <w:i/>
          <w:iCs/>
          <w:sz w:val="22"/>
          <w:szCs w:val="22"/>
        </w:rPr>
        <w:t>Zhongyong</w:t>
      </w:r>
      <w:proofErr w:type="spellEnd"/>
      <w:r w:rsidRPr="00031381">
        <w:rPr>
          <w:rFonts w:ascii="Garamond" w:eastAsia="Times New Roman" w:hAnsi="Garamond"/>
          <w:sz w:val="22"/>
          <w:szCs w:val="22"/>
        </w:rPr>
        <w:t xml:space="preserve">, and </w:t>
      </w:r>
      <w:proofErr w:type="spellStart"/>
      <w:r w:rsidRPr="00031381">
        <w:rPr>
          <w:rFonts w:ascii="Garamond" w:eastAsia="Times New Roman" w:hAnsi="Garamond"/>
          <w:i/>
          <w:iCs/>
          <w:sz w:val="22"/>
          <w:szCs w:val="22"/>
        </w:rPr>
        <w:t>Daxue</w:t>
      </w:r>
      <w:proofErr w:type="spellEnd"/>
      <w:r w:rsidRPr="00031381">
        <w:rPr>
          <w:rFonts w:ascii="Garamond" w:eastAsia="Times New Roman" w:hAnsi="Garamond"/>
          <w:sz w:val="22"/>
          <w:szCs w:val="22"/>
        </w:rPr>
        <w:t xml:space="preserve"> together and assume that they largely share the same epistemological views, then we gain a plethora of textual resources in our quest to learn something about early Confucian epistemology. But the assumption that these texts</w:t>
      </w:r>
      <w:r w:rsidRPr="00031381">
        <w:rPr>
          <w:rFonts w:ascii="Garamond" w:eastAsia="Times New Roman" w:hAnsi="Garamond"/>
          <w:i/>
          <w:iCs/>
          <w:sz w:val="22"/>
          <w:szCs w:val="22"/>
        </w:rPr>
        <w:t xml:space="preserve"> do</w:t>
      </w:r>
      <w:r w:rsidRPr="00031381">
        <w:rPr>
          <w:rFonts w:ascii="Garamond" w:eastAsia="Times New Roman" w:hAnsi="Garamond"/>
          <w:sz w:val="22"/>
          <w:szCs w:val="22"/>
        </w:rPr>
        <w:t xml:space="preserve"> hold epistemological views in common is, of course, methodologically suspect. Mencius and Xunzi do not see eye to eye on many issues, even if the exact lines of disagreement are subject to much scholarly debate, and it is not obvious whether the figure of Confucius from the </w:t>
      </w:r>
      <w:r w:rsidRPr="00031381">
        <w:rPr>
          <w:rFonts w:ascii="Garamond" w:eastAsia="Times New Roman" w:hAnsi="Garamond"/>
          <w:i/>
          <w:iCs/>
          <w:sz w:val="22"/>
          <w:szCs w:val="22"/>
        </w:rPr>
        <w:t>Analects</w:t>
      </w:r>
      <w:r w:rsidRPr="00031381">
        <w:rPr>
          <w:rFonts w:ascii="Garamond" w:eastAsia="Times New Roman" w:hAnsi="Garamond"/>
          <w:sz w:val="22"/>
          <w:szCs w:val="22"/>
        </w:rPr>
        <w:t xml:space="preserve"> holds ethical views that are closer to Xunzi’s or Mencius’s. Why, then, should this be any different for their respective views on knowledge?</w:t>
      </w:r>
      <w:r w:rsidRPr="00031381">
        <w:rPr>
          <w:rStyle w:val="FootnoteAnchor"/>
          <w:rFonts w:ascii="Garamond" w:eastAsia="Times New Roman" w:hAnsi="Garamond"/>
          <w:sz w:val="22"/>
          <w:szCs w:val="22"/>
        </w:rPr>
        <w:footnoteReference w:id="1"/>
      </w:r>
    </w:p>
    <w:p w14:paraId="38C027B3" w14:textId="77777777" w:rsidR="00120BCE" w:rsidRPr="00031381" w:rsidRDefault="00120BCE">
      <w:pPr>
        <w:spacing w:line="360" w:lineRule="auto"/>
        <w:rPr>
          <w:rFonts w:ascii="Garamond" w:eastAsia="Times New Roman" w:hAnsi="Garamond"/>
          <w:sz w:val="22"/>
          <w:szCs w:val="22"/>
        </w:rPr>
      </w:pPr>
    </w:p>
    <w:p w14:paraId="3EBFCA01"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Hence, my aim in this chapter is to draw on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to better understand Mencius’s views on knowledge and how they might contribute to contemporary debates in epistemology. Part of my aim is therefore to show how a close study of ancient Chinese texts can conceptually enrich current work in epistemology, and how current work in epistemology can offer us new perspectives on the ancient texts.</w:t>
      </w:r>
    </w:p>
    <w:p w14:paraId="5EB5693E" w14:textId="77777777" w:rsidR="00120BCE" w:rsidRPr="00031381" w:rsidRDefault="00120BCE">
      <w:pPr>
        <w:spacing w:line="360" w:lineRule="auto"/>
        <w:rPr>
          <w:rFonts w:ascii="Garamond" w:eastAsia="Times New Roman" w:hAnsi="Garamond"/>
          <w:sz w:val="22"/>
          <w:szCs w:val="22"/>
        </w:rPr>
      </w:pPr>
    </w:p>
    <w:p w14:paraId="70936A67"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I divide this chapter into three parts, each of which briefly introduces one feature of what might be broadly construed as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epistemology. I do not intend to suggest that this is all there is to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epistemology – there might be other features. But what I do believe is that each one of these features has the potential to be of interest both to scholars of </w:t>
      </w:r>
      <w:proofErr w:type="gramStart"/>
      <w:r w:rsidRPr="00031381">
        <w:rPr>
          <w:rFonts w:ascii="Garamond" w:eastAsia="Times New Roman" w:hAnsi="Garamond"/>
          <w:sz w:val="22"/>
          <w:szCs w:val="22"/>
        </w:rPr>
        <w:t>the</w:t>
      </w:r>
      <w:r w:rsidRPr="00031381">
        <w:rPr>
          <w:rFonts w:ascii="Garamond" w:eastAsia="Times New Roman" w:hAnsi="Garamond"/>
          <w:i/>
          <w:iCs/>
          <w:sz w:val="22"/>
          <w:szCs w:val="22"/>
        </w:rPr>
        <w:t xml:space="preserve"> Mencius</w:t>
      </w:r>
      <w:proofErr w:type="gramEnd"/>
      <w:r w:rsidRPr="00031381">
        <w:rPr>
          <w:rFonts w:ascii="Garamond" w:eastAsia="Times New Roman" w:hAnsi="Garamond"/>
          <w:sz w:val="22"/>
          <w:szCs w:val="22"/>
        </w:rPr>
        <w:t xml:space="preserve"> and to contemporary epistemologists alike.</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These features </w:t>
      </w:r>
      <w:proofErr w:type="gramStart"/>
      <w:r w:rsidRPr="00031381">
        <w:rPr>
          <w:rFonts w:ascii="Garamond" w:eastAsia="Times New Roman" w:hAnsi="Garamond"/>
          <w:sz w:val="22"/>
          <w:szCs w:val="22"/>
        </w:rPr>
        <w:t>are:</w:t>
      </w:r>
      <w:proofErr w:type="gramEnd"/>
      <w:r w:rsidRPr="00031381">
        <w:rPr>
          <w:rFonts w:ascii="Garamond" w:eastAsia="Times New Roman" w:hAnsi="Garamond"/>
          <w:sz w:val="22"/>
          <w:szCs w:val="22"/>
        </w:rPr>
        <w:t xml:space="preserve"> Mencius’s views on knowing </w:t>
      </w:r>
      <w:r w:rsidRPr="00031381">
        <w:rPr>
          <w:rFonts w:ascii="Garamond" w:eastAsia="Times New Roman" w:hAnsi="Garamond"/>
          <w:i/>
          <w:iCs/>
          <w:sz w:val="22"/>
          <w:szCs w:val="22"/>
        </w:rPr>
        <w:t>things</w:t>
      </w:r>
      <w:r w:rsidRPr="00031381">
        <w:rPr>
          <w:rFonts w:ascii="Garamond" w:eastAsia="Times New Roman" w:hAnsi="Garamond"/>
          <w:sz w:val="22"/>
          <w:szCs w:val="22"/>
        </w:rPr>
        <w:t xml:space="preserve"> or subject matters (Section 2); the role that wisdom plays in acquiring knowledge </w:t>
      </w:r>
      <w:r w:rsidRPr="00031381">
        <w:rPr>
          <w:rFonts w:ascii="Garamond" w:eastAsia="Times New Roman" w:hAnsi="Garamond"/>
          <w:sz w:val="22"/>
          <w:szCs w:val="22"/>
        </w:rPr>
        <w:lastRenderedPageBreak/>
        <w:t>(Section 3); and, finally, Mencius’s views on “knowing-to”, a kind of knowledge distinct from knowing-that and knowing-how (Section 4). I conclude the chapter by giving a brief outline of how these features relate to one another.</w:t>
      </w:r>
    </w:p>
    <w:p w14:paraId="6265ED6C" w14:textId="77777777" w:rsidR="00120BCE" w:rsidRPr="00031381" w:rsidRDefault="00120BCE">
      <w:pPr>
        <w:spacing w:line="360" w:lineRule="auto"/>
        <w:rPr>
          <w:rFonts w:ascii="Garamond" w:eastAsia="Times New Roman" w:hAnsi="Garamond"/>
          <w:sz w:val="22"/>
          <w:szCs w:val="22"/>
        </w:rPr>
      </w:pPr>
    </w:p>
    <w:p w14:paraId="7B5239BF"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b/>
          <w:bCs/>
          <w:sz w:val="22"/>
          <w:szCs w:val="22"/>
        </w:rPr>
        <w:t xml:space="preserve">2. Mencius on Knowing </w:t>
      </w:r>
      <w:r w:rsidRPr="00031381">
        <w:rPr>
          <w:rFonts w:ascii="Garamond" w:eastAsia="Times New Roman" w:hAnsi="Garamond"/>
          <w:b/>
          <w:bCs/>
          <w:i/>
          <w:iCs/>
          <w:sz w:val="22"/>
          <w:szCs w:val="22"/>
        </w:rPr>
        <w:t>Things</w:t>
      </w:r>
    </w:p>
    <w:p w14:paraId="1C7E5BB6" w14:textId="77777777" w:rsidR="00120BCE" w:rsidRPr="00031381" w:rsidRDefault="00120BCE">
      <w:pPr>
        <w:spacing w:line="360" w:lineRule="auto"/>
        <w:rPr>
          <w:rFonts w:ascii="Garamond" w:eastAsia="Times New Roman" w:hAnsi="Garamond"/>
          <w:sz w:val="22"/>
          <w:szCs w:val="22"/>
        </w:rPr>
      </w:pPr>
    </w:p>
    <w:p w14:paraId="36910A64"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The term “knowledge” (</w:t>
      </w:r>
      <w:proofErr w:type="spellStart"/>
      <w:r w:rsidRPr="00031381">
        <w:rPr>
          <w:rFonts w:ascii="Garamond" w:eastAsia="Times New Roman" w:hAnsi="Garamond"/>
          <w:i/>
          <w:iCs/>
          <w:sz w:val="22"/>
          <w:szCs w:val="22"/>
        </w:rPr>
        <w:t>zhi</w:t>
      </w:r>
      <w:proofErr w:type="spellEnd"/>
      <w:r w:rsidRPr="00031381">
        <w:rPr>
          <w:rFonts w:ascii="Garamond" w:eastAsia="Times New Roman" w:hAnsi="Garamond"/>
          <w:sz w:val="22"/>
          <w:szCs w:val="22"/>
        </w:rPr>
        <w:t xml:space="preserve"> </w:t>
      </w:r>
      <w:r w:rsidRPr="00031381">
        <w:rPr>
          <w:rFonts w:ascii="Garamond" w:eastAsia="SimSun" w:hAnsi="Garamond" w:cs="SimSun"/>
          <w:sz w:val="22"/>
          <w:szCs w:val="22"/>
        </w:rPr>
        <w:t>知</w:t>
      </w:r>
      <w:r w:rsidRPr="00031381">
        <w:rPr>
          <w:rFonts w:ascii="Garamond" w:eastAsia="Times New Roman" w:hAnsi="Garamond"/>
          <w:sz w:val="22"/>
          <w:szCs w:val="22"/>
        </w:rPr>
        <w:t>) is frequently used in the</w:t>
      </w:r>
      <w:r w:rsidRPr="00031381">
        <w:rPr>
          <w:rFonts w:ascii="Garamond" w:eastAsia="Times New Roman" w:hAnsi="Garamond"/>
          <w:i/>
          <w:iCs/>
          <w:sz w:val="22"/>
          <w:szCs w:val="22"/>
        </w:rPr>
        <w:t xml:space="preserve"> Mencius </w:t>
      </w:r>
      <w:r w:rsidRPr="00031381">
        <w:rPr>
          <w:rFonts w:ascii="Garamond" w:eastAsia="Times New Roman" w:hAnsi="Garamond"/>
          <w:sz w:val="22"/>
          <w:szCs w:val="22"/>
        </w:rPr>
        <w:t xml:space="preserve">in expressions of the form “knowing X”, where X stands for a noun or a noun phrase, rather than a proposition, a proper name, a verb, or a verb phrase. Such expressions are ubiquitous in Classical Chinese and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is no exception. For example, one is said to “know sages” (2A2), “know </w:t>
      </w:r>
      <w:proofErr w:type="spellStart"/>
      <w:r w:rsidRPr="00031381">
        <w:rPr>
          <w:rFonts w:ascii="Garamond" w:eastAsia="Times New Roman" w:hAnsi="Garamond"/>
          <w:i/>
          <w:iCs/>
          <w:sz w:val="22"/>
          <w:szCs w:val="22"/>
        </w:rPr>
        <w:t>dao</w:t>
      </w:r>
      <w:proofErr w:type="spellEnd"/>
      <w:r w:rsidRPr="00031381">
        <w:rPr>
          <w:rFonts w:ascii="Garamond" w:eastAsia="Times New Roman" w:hAnsi="Garamond"/>
          <w:sz w:val="22"/>
          <w:szCs w:val="22"/>
        </w:rPr>
        <w:t>” (5A7), “know categories” (6A12), “know Heaven” (7A1), “know words” (2A2), “know importance” (7A46), “know beauty” (5A1) etc.</w:t>
      </w:r>
      <w:r w:rsidRPr="00031381">
        <w:rPr>
          <w:rStyle w:val="FootnoteAnchor"/>
          <w:rFonts w:ascii="Garamond" w:eastAsia="Times New Roman" w:hAnsi="Garamond"/>
          <w:sz w:val="22"/>
          <w:szCs w:val="22"/>
        </w:rPr>
        <w:footnoteReference w:id="2"/>
      </w:r>
      <w:r w:rsidRPr="00031381">
        <w:rPr>
          <w:rFonts w:ascii="Garamond" w:eastAsia="Times New Roman" w:hAnsi="Garamond"/>
          <w:sz w:val="22"/>
          <w:szCs w:val="22"/>
        </w:rPr>
        <w:t xml:space="preserve"> Cases such as these plausibly fall under what contemporary epistemologists call </w:t>
      </w:r>
      <w:r w:rsidRPr="00031381">
        <w:rPr>
          <w:rFonts w:ascii="Garamond" w:eastAsia="Times New Roman" w:hAnsi="Garamond"/>
          <w:i/>
          <w:iCs/>
          <w:sz w:val="22"/>
          <w:szCs w:val="22"/>
        </w:rPr>
        <w:t>objectual knowledge –</w:t>
      </w:r>
      <w:r w:rsidRPr="00031381">
        <w:rPr>
          <w:rFonts w:ascii="Garamond" w:eastAsia="Times New Roman" w:hAnsi="Garamond"/>
          <w:sz w:val="22"/>
          <w:szCs w:val="22"/>
        </w:rPr>
        <w:t xml:space="preserve"> that is, knowledge of things or subject matters.</w:t>
      </w:r>
    </w:p>
    <w:p w14:paraId="75487DC9" w14:textId="77777777" w:rsidR="00120BCE" w:rsidRPr="00031381" w:rsidRDefault="00120BCE">
      <w:pPr>
        <w:spacing w:line="360" w:lineRule="auto"/>
        <w:rPr>
          <w:rFonts w:ascii="Garamond" w:eastAsia="Times New Roman" w:hAnsi="Garamond"/>
          <w:sz w:val="22"/>
          <w:szCs w:val="22"/>
        </w:rPr>
      </w:pPr>
    </w:p>
    <w:p w14:paraId="790E7197"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To clarify, epistemologists routinely distinguish at least three kinds of knowledge. When you know that Sparta won the Peloponnesian War, then you have knowledge of the true proposition that Sparta won the Peloponnesian War. You have knowledge-that p (i.e., propositional knowledge). When you know how to read Classical Chinese, then you have an ability or disposition to perform certain kinds of actions. You have knowledge-how to </w:t>
      </w:r>
      <w:r w:rsidRPr="00031381">
        <w:rPr>
          <w:rFonts w:ascii="Garamond" w:eastAsia="Times New Roman" w:hAnsi="Garamond"/>
          <w:i/>
          <w:iCs/>
          <w:sz w:val="22"/>
          <w:szCs w:val="22"/>
        </w:rPr>
        <w:t xml:space="preserve">φ </w:t>
      </w:r>
      <w:r w:rsidRPr="00031381">
        <w:rPr>
          <w:rFonts w:ascii="Garamond" w:eastAsia="Times New Roman" w:hAnsi="Garamond"/>
          <w:sz w:val="22"/>
          <w:szCs w:val="22"/>
        </w:rPr>
        <w:t>(i.e., practical knowledge).</w:t>
      </w:r>
      <w:r w:rsidRPr="00031381">
        <w:rPr>
          <w:rStyle w:val="FootnoteAnchor"/>
          <w:rFonts w:ascii="Garamond" w:eastAsia="Times New Roman" w:hAnsi="Garamond"/>
          <w:sz w:val="22"/>
          <w:szCs w:val="22"/>
        </w:rPr>
        <w:footnoteReference w:id="3"/>
      </w:r>
      <w:r w:rsidRPr="00031381">
        <w:rPr>
          <w:rFonts w:ascii="Garamond" w:eastAsia="Times New Roman" w:hAnsi="Garamond"/>
          <w:sz w:val="22"/>
          <w:szCs w:val="22"/>
        </w:rPr>
        <w:t xml:space="preserve"> And when you know archaeology, when you know the Way, or your best friend, then you know someone, something, or some subject matter. Hence, you know some X – that is, you have knowledge of a thing or a person (i.e., objectual knowledge). </w:t>
      </w:r>
    </w:p>
    <w:p w14:paraId="3A28AB83" w14:textId="77777777" w:rsidR="00120BCE" w:rsidRPr="00031381" w:rsidRDefault="00120BCE">
      <w:pPr>
        <w:spacing w:line="360" w:lineRule="auto"/>
        <w:rPr>
          <w:rFonts w:ascii="Garamond" w:eastAsia="Times New Roman" w:hAnsi="Garamond"/>
          <w:sz w:val="22"/>
          <w:szCs w:val="22"/>
        </w:rPr>
      </w:pPr>
    </w:p>
    <w:p w14:paraId="45488B98"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The logical relations among these three kinds of knowledge are subject to much debate. The best known of these debates concerns the nature of knowledge-how. Some argue that knowledge-how is a kind of knowledge-that, while others argue that the two are philosophically distinct.</w:t>
      </w:r>
      <w:r w:rsidRPr="00031381">
        <w:rPr>
          <w:rStyle w:val="FootnoteAnchor"/>
          <w:rFonts w:ascii="Garamond" w:eastAsia="Times New Roman" w:hAnsi="Garamond"/>
          <w:sz w:val="22"/>
          <w:szCs w:val="22"/>
        </w:rPr>
        <w:footnoteReference w:id="4"/>
      </w:r>
      <w:r w:rsidRPr="00031381">
        <w:rPr>
          <w:rFonts w:ascii="Garamond" w:eastAsia="Times New Roman" w:hAnsi="Garamond"/>
          <w:sz w:val="22"/>
          <w:szCs w:val="22"/>
        </w:rPr>
        <w:t xml:space="preserve"> Less well known debates concern the nature of knowledge-that, with some philosophers recently arguing that all knowledge-that is better understood as a kind of knowledge-how.</w:t>
      </w:r>
      <w:r w:rsidRPr="00031381">
        <w:rPr>
          <w:rStyle w:val="FootnoteAnchor"/>
          <w:rFonts w:ascii="Garamond" w:eastAsia="Times New Roman" w:hAnsi="Garamond"/>
          <w:sz w:val="22"/>
          <w:szCs w:val="22"/>
        </w:rPr>
        <w:footnoteReference w:id="5"/>
      </w:r>
      <w:r w:rsidRPr="00031381">
        <w:rPr>
          <w:rFonts w:ascii="Garamond" w:eastAsia="Times New Roman" w:hAnsi="Garamond"/>
          <w:sz w:val="22"/>
          <w:szCs w:val="22"/>
        </w:rPr>
        <w:t xml:space="preserve"> When it comes to objectual knowledge, some argue that knowing X is distinct from </w:t>
      </w:r>
      <w:r w:rsidRPr="00031381">
        <w:rPr>
          <w:rFonts w:ascii="Garamond" w:eastAsia="Times New Roman" w:hAnsi="Garamond"/>
          <w:sz w:val="22"/>
          <w:szCs w:val="22"/>
        </w:rPr>
        <w:lastRenderedPageBreak/>
        <w:t xml:space="preserve">knowing-that (Sosa 2003; cf. Benton 2017) and many such accounts rely on the notion of “acquaintance” popularized by Bertrand Russell: if you are </w:t>
      </w:r>
      <w:r w:rsidRPr="00031381">
        <w:rPr>
          <w:rFonts w:ascii="Garamond" w:eastAsia="Times New Roman" w:hAnsi="Garamond"/>
          <w:i/>
          <w:iCs/>
          <w:sz w:val="22"/>
          <w:szCs w:val="22"/>
        </w:rPr>
        <w:t>acquainted</w:t>
      </w:r>
      <w:r w:rsidRPr="00031381">
        <w:rPr>
          <w:rFonts w:ascii="Garamond" w:eastAsia="Times New Roman" w:hAnsi="Garamond"/>
          <w:sz w:val="22"/>
          <w:szCs w:val="22"/>
        </w:rPr>
        <w:t xml:space="preserve"> with some X, then you know X in an objectual sense (see </w:t>
      </w:r>
      <w:proofErr w:type="spellStart"/>
      <w:r w:rsidRPr="00031381">
        <w:rPr>
          <w:rFonts w:ascii="Garamond" w:eastAsia="Times New Roman" w:hAnsi="Garamond"/>
          <w:sz w:val="22"/>
          <w:szCs w:val="22"/>
        </w:rPr>
        <w:t>Conee</w:t>
      </w:r>
      <w:proofErr w:type="spellEnd"/>
      <w:r w:rsidRPr="00031381">
        <w:rPr>
          <w:rFonts w:ascii="Garamond" w:eastAsia="Times New Roman" w:hAnsi="Garamond"/>
          <w:sz w:val="22"/>
          <w:szCs w:val="22"/>
        </w:rPr>
        <w:t xml:space="preserve"> 1994: 136; Tye 2009: 96; cf. </w:t>
      </w:r>
      <w:proofErr w:type="spellStart"/>
      <w:r w:rsidRPr="00031381">
        <w:rPr>
          <w:rFonts w:ascii="Garamond" w:eastAsia="Times New Roman" w:hAnsi="Garamond"/>
          <w:sz w:val="22"/>
          <w:szCs w:val="22"/>
        </w:rPr>
        <w:t>Zagzebski</w:t>
      </w:r>
      <w:proofErr w:type="spellEnd"/>
      <w:r w:rsidRPr="00031381">
        <w:rPr>
          <w:rFonts w:ascii="Garamond" w:eastAsia="Times New Roman" w:hAnsi="Garamond"/>
          <w:sz w:val="22"/>
          <w:szCs w:val="22"/>
        </w:rPr>
        <w:t xml:space="preserve"> 1999; Martens 2000).</w:t>
      </w:r>
      <w:r w:rsidRPr="00031381">
        <w:rPr>
          <w:rStyle w:val="FootnoteAnchor"/>
          <w:rFonts w:ascii="Garamond" w:eastAsia="Times New Roman" w:hAnsi="Garamond"/>
          <w:sz w:val="22"/>
          <w:szCs w:val="22"/>
        </w:rPr>
        <w:footnoteReference w:id="6"/>
      </w:r>
      <w:r w:rsidRPr="00031381">
        <w:rPr>
          <w:rFonts w:ascii="Garamond" w:eastAsia="Times New Roman" w:hAnsi="Garamond"/>
          <w:sz w:val="22"/>
          <w:szCs w:val="22"/>
        </w:rPr>
        <w:t xml:space="preserve"> Others argue that mere acquaintance with X is not enough to know X and that all knowing by acquaintance is a kind of knowing-that p – namely, knowing-that p as it is grounded (or caused by) one’s acquaintance (cf. Farkas 2019). Nobody to my knowledge has explored the possibility that objectual knowledge could be a kind of knowing-how – and this is where Mencius enters.</w:t>
      </w:r>
    </w:p>
    <w:p w14:paraId="0B20193E" w14:textId="77777777" w:rsidR="00120BCE" w:rsidRPr="00031381" w:rsidRDefault="00120BCE">
      <w:pPr>
        <w:spacing w:line="360" w:lineRule="auto"/>
        <w:rPr>
          <w:rFonts w:ascii="Garamond" w:eastAsia="Times New Roman" w:hAnsi="Garamond"/>
          <w:sz w:val="22"/>
          <w:szCs w:val="22"/>
        </w:rPr>
      </w:pPr>
    </w:p>
    <w:p w14:paraId="69751CE3"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 view that objectual knowledge (i.e., knowledge of </w:t>
      </w:r>
      <w:r w:rsidRPr="00031381">
        <w:rPr>
          <w:rFonts w:ascii="Garamond" w:eastAsia="Times New Roman" w:hAnsi="Garamond"/>
          <w:i/>
          <w:iCs/>
          <w:sz w:val="22"/>
          <w:szCs w:val="22"/>
        </w:rPr>
        <w:t>things</w:t>
      </w:r>
      <w:r w:rsidRPr="00031381">
        <w:rPr>
          <w:rFonts w:ascii="Garamond" w:eastAsia="Times New Roman" w:hAnsi="Garamond"/>
          <w:sz w:val="22"/>
          <w:szCs w:val="22"/>
        </w:rPr>
        <w:t>, or “knowing X”) is a kind of knowledge-how seems to be Mencius’s view. Contemporary scholars have noticed that expressions of the kind “S knows X” frequently refer to an agent’s capacity for X-</w:t>
      </w:r>
      <w:proofErr w:type="spellStart"/>
      <w:r w:rsidRPr="00031381">
        <w:rPr>
          <w:rFonts w:ascii="Garamond" w:eastAsia="Times New Roman" w:hAnsi="Garamond"/>
          <w:sz w:val="22"/>
          <w:szCs w:val="22"/>
        </w:rPr>
        <w:t>ing</w:t>
      </w:r>
      <w:proofErr w:type="spellEnd"/>
      <w:r w:rsidRPr="00031381">
        <w:rPr>
          <w:rFonts w:ascii="Garamond" w:eastAsia="Times New Roman" w:hAnsi="Garamond"/>
          <w:sz w:val="22"/>
          <w:szCs w:val="22"/>
        </w:rPr>
        <w:t>: if someone “knows ritual”, then she is able to perform rituals.</w:t>
      </w:r>
      <w:r w:rsidRPr="00031381">
        <w:rPr>
          <w:rStyle w:val="FootnoteAnchor"/>
          <w:rFonts w:ascii="Garamond" w:eastAsia="Times New Roman" w:hAnsi="Garamond"/>
          <w:sz w:val="22"/>
          <w:szCs w:val="22"/>
        </w:rPr>
        <w:footnoteReference w:id="7"/>
      </w:r>
      <w:r w:rsidRPr="00031381">
        <w:rPr>
          <w:rFonts w:ascii="Garamond" w:eastAsia="Times New Roman" w:hAnsi="Garamond"/>
          <w:sz w:val="22"/>
          <w:szCs w:val="22"/>
        </w:rPr>
        <w:t xml:space="preserve"> For example,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writes: “Knowing ritual in ancient China is usually taken not as a purely cerebral awareness of the truth of propositions. One might plausibly argue that it is an acquired skill.”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1998: 247)</w:t>
      </w:r>
      <w:r w:rsidRPr="00031381">
        <w:rPr>
          <w:rStyle w:val="FootnoteAnchor"/>
          <w:rFonts w:ascii="Garamond" w:eastAsia="Times New Roman" w:hAnsi="Garamond"/>
          <w:sz w:val="22"/>
          <w:szCs w:val="22"/>
        </w:rPr>
        <w:footnoteReference w:id="8"/>
      </w:r>
      <w:r w:rsidRPr="00031381">
        <w:rPr>
          <w:rFonts w:ascii="Garamond" w:eastAsia="Times New Roman" w:hAnsi="Garamond"/>
          <w:sz w:val="22"/>
          <w:szCs w:val="22"/>
        </w:rPr>
        <w:t xml:space="preserve"> Chad Hansen holds an even stronger view, claiming that for the early Chinese</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“the closest Chinese counterpart of </w:t>
      </w:r>
      <w:proofErr w:type="spellStart"/>
      <w:r w:rsidRPr="00031381">
        <w:rPr>
          <w:rFonts w:ascii="Garamond" w:eastAsia="Times New Roman" w:hAnsi="Garamond"/>
          <w:i/>
          <w:iCs/>
          <w:sz w:val="22"/>
          <w:szCs w:val="22"/>
        </w:rPr>
        <w:t>zhi</w:t>
      </w:r>
      <w:r w:rsidRPr="00031381">
        <w:rPr>
          <w:rFonts w:ascii="Garamond" w:eastAsia="Times New Roman" w:hAnsi="Garamond"/>
          <w:sz w:val="22"/>
          <w:szCs w:val="22"/>
          <w:vertAlign w:val="superscript"/>
        </w:rPr>
        <w:t>know</w:t>
      </w:r>
      <w:proofErr w:type="spellEnd"/>
      <w:r w:rsidRPr="00031381">
        <w:rPr>
          <w:rFonts w:ascii="Garamond" w:eastAsia="Times New Roman" w:hAnsi="Garamond"/>
          <w:sz w:val="22"/>
          <w:szCs w:val="22"/>
        </w:rPr>
        <w:t xml:space="preserve"> is know-how.” (Hansen 1992: 85) In line with that, he calls knowledge “a type of mastery” (Hansen 1992: 104) and explicitly ascribes such a view to the Mohists (</w:t>
      </w:r>
      <w:r w:rsidRPr="00031381">
        <w:rPr>
          <w:rFonts w:ascii="Garamond" w:eastAsia="Times New Roman" w:hAnsi="Garamond"/>
          <w:i/>
          <w:iCs/>
          <w:sz w:val="22"/>
          <w:szCs w:val="22"/>
        </w:rPr>
        <w:t>ibid.:</w:t>
      </w:r>
      <w:r w:rsidRPr="00031381">
        <w:rPr>
          <w:rFonts w:ascii="Garamond" w:eastAsia="Times New Roman" w:hAnsi="Garamond"/>
          <w:sz w:val="22"/>
          <w:szCs w:val="22"/>
        </w:rPr>
        <w:t xml:space="preserve"> 252-4), Xunzi (</w:t>
      </w:r>
      <w:r w:rsidRPr="00031381">
        <w:rPr>
          <w:rFonts w:ascii="Garamond" w:eastAsia="Times New Roman" w:hAnsi="Garamond"/>
          <w:i/>
          <w:iCs/>
          <w:sz w:val="22"/>
          <w:szCs w:val="22"/>
        </w:rPr>
        <w:t xml:space="preserve">ibid.: </w:t>
      </w:r>
      <w:r w:rsidRPr="00031381">
        <w:rPr>
          <w:rFonts w:ascii="Garamond" w:eastAsia="Times New Roman" w:hAnsi="Garamond"/>
          <w:sz w:val="22"/>
          <w:szCs w:val="22"/>
        </w:rPr>
        <w:t>321), Mencius (</w:t>
      </w:r>
      <w:r w:rsidRPr="00031381">
        <w:rPr>
          <w:rFonts w:ascii="Garamond" w:eastAsia="Times New Roman" w:hAnsi="Garamond"/>
          <w:i/>
          <w:iCs/>
          <w:sz w:val="22"/>
          <w:szCs w:val="22"/>
        </w:rPr>
        <w:t>ibid.:</w:t>
      </w:r>
      <w:r w:rsidRPr="00031381">
        <w:rPr>
          <w:rFonts w:ascii="Garamond" w:eastAsia="Times New Roman" w:hAnsi="Garamond"/>
          <w:sz w:val="22"/>
          <w:szCs w:val="22"/>
        </w:rPr>
        <w:t xml:space="preserve"> 177), and to the </w:t>
      </w:r>
      <w:proofErr w:type="spellStart"/>
      <w:r w:rsidRPr="00031381">
        <w:rPr>
          <w:rFonts w:ascii="Garamond" w:eastAsia="Times New Roman" w:hAnsi="Garamond"/>
          <w:sz w:val="22"/>
          <w:szCs w:val="22"/>
        </w:rPr>
        <w:t>Daoists</w:t>
      </w:r>
      <w:proofErr w:type="spellEnd"/>
      <w:r w:rsidRPr="00031381">
        <w:rPr>
          <w:rFonts w:ascii="Garamond" w:eastAsia="Times New Roman" w:hAnsi="Garamond"/>
          <w:sz w:val="22"/>
          <w:szCs w:val="22"/>
        </w:rPr>
        <w:t xml:space="preserve"> (</w:t>
      </w:r>
      <w:r w:rsidRPr="00031381">
        <w:rPr>
          <w:rFonts w:ascii="Garamond" w:eastAsia="Times New Roman" w:hAnsi="Garamond"/>
          <w:i/>
          <w:iCs/>
          <w:sz w:val="22"/>
          <w:szCs w:val="22"/>
        </w:rPr>
        <w:t>ibid.:</w:t>
      </w:r>
      <w:r w:rsidRPr="00031381">
        <w:rPr>
          <w:rFonts w:ascii="Garamond" w:eastAsia="Times New Roman" w:hAnsi="Garamond"/>
          <w:sz w:val="22"/>
          <w:szCs w:val="22"/>
        </w:rPr>
        <w:t xml:space="preserve"> 211, 219, 275). Undoubtedly, then, if Hansen believes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objectual knowledge is a kind of knowledge, and if he believes that the early Chinese took knowledge to be a kind of mastery, then he would agree with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objectual knowledge is a kind of mastery as well.</w:t>
      </w:r>
      <w:r w:rsidRPr="00031381">
        <w:rPr>
          <w:rStyle w:val="FootnoteAnchor"/>
          <w:rFonts w:ascii="Garamond" w:eastAsia="Times New Roman" w:hAnsi="Garamond"/>
          <w:sz w:val="22"/>
          <w:szCs w:val="22"/>
        </w:rPr>
        <w:footnoteReference w:id="9"/>
      </w:r>
      <w:r w:rsidRPr="00031381">
        <w:rPr>
          <w:rFonts w:ascii="Garamond" w:eastAsia="Times New Roman" w:hAnsi="Garamond"/>
          <w:sz w:val="22"/>
          <w:szCs w:val="22"/>
          <w:vertAlign w:val="superscript"/>
        </w:rPr>
        <w:t xml:space="preserve"> </w:t>
      </w:r>
      <w:r w:rsidRPr="00031381">
        <w:rPr>
          <w:rFonts w:ascii="Garamond" w:eastAsia="Times New Roman" w:hAnsi="Garamond"/>
          <w:sz w:val="22"/>
          <w:szCs w:val="22"/>
        </w:rPr>
        <w:t xml:space="preserve">Call such a view </w:t>
      </w:r>
      <w:proofErr w:type="spellStart"/>
      <w:r w:rsidRPr="00031381">
        <w:rPr>
          <w:rFonts w:ascii="Garamond" w:eastAsia="Times New Roman" w:hAnsi="Garamond"/>
          <w:i/>
          <w:iCs/>
          <w:sz w:val="22"/>
          <w:szCs w:val="22"/>
        </w:rPr>
        <w:t>Practicalist</w:t>
      </w:r>
      <w:proofErr w:type="spellEnd"/>
      <w:r w:rsidRPr="00031381">
        <w:rPr>
          <w:rFonts w:ascii="Garamond" w:eastAsia="Times New Roman" w:hAnsi="Garamond"/>
          <w:i/>
          <w:iCs/>
          <w:sz w:val="22"/>
          <w:szCs w:val="22"/>
        </w:rPr>
        <w:t xml:space="preserve"> Objectual Knowledge</w:t>
      </w:r>
      <w:r w:rsidRPr="00031381">
        <w:rPr>
          <w:rFonts w:ascii="Garamond" w:eastAsia="Times New Roman" w:hAnsi="Garamond"/>
          <w:sz w:val="22"/>
          <w:szCs w:val="22"/>
        </w:rPr>
        <w:t>:</w:t>
      </w:r>
    </w:p>
    <w:p w14:paraId="4CE2279A" w14:textId="77777777" w:rsidR="00120BCE" w:rsidRPr="00031381" w:rsidRDefault="00120BCE">
      <w:pPr>
        <w:spacing w:line="360" w:lineRule="auto"/>
        <w:rPr>
          <w:rFonts w:ascii="Garamond" w:eastAsia="Times New Roman" w:hAnsi="Garamond"/>
          <w:sz w:val="22"/>
          <w:szCs w:val="22"/>
        </w:rPr>
      </w:pPr>
    </w:p>
    <w:p w14:paraId="1B161172" w14:textId="77777777" w:rsidR="00120BCE" w:rsidRPr="00031381" w:rsidRDefault="00000000">
      <w:pPr>
        <w:spacing w:line="360" w:lineRule="auto"/>
        <w:rPr>
          <w:rFonts w:ascii="Garamond" w:eastAsia="Times New Roman" w:hAnsi="Garamond"/>
          <w:sz w:val="22"/>
          <w:szCs w:val="22"/>
        </w:rPr>
      </w:pPr>
      <w:proofErr w:type="spellStart"/>
      <w:r w:rsidRPr="00031381">
        <w:rPr>
          <w:rFonts w:ascii="Garamond" w:eastAsia="Times New Roman" w:hAnsi="Garamond"/>
          <w:b/>
          <w:bCs/>
          <w:sz w:val="22"/>
          <w:szCs w:val="22"/>
        </w:rPr>
        <w:t>Practicalist</w:t>
      </w:r>
      <w:proofErr w:type="spellEnd"/>
      <w:r w:rsidRPr="00031381">
        <w:rPr>
          <w:rFonts w:ascii="Garamond" w:eastAsia="Times New Roman" w:hAnsi="Garamond"/>
          <w:b/>
          <w:bCs/>
          <w:sz w:val="22"/>
          <w:szCs w:val="22"/>
        </w:rPr>
        <w:t xml:space="preserve"> Objectual Knowledge:</w:t>
      </w:r>
      <w:r w:rsidRPr="00031381">
        <w:rPr>
          <w:rFonts w:ascii="Garamond" w:eastAsia="Times New Roman" w:hAnsi="Garamond"/>
          <w:sz w:val="22"/>
          <w:szCs w:val="22"/>
        </w:rPr>
        <w:t xml:space="preserve"> All objectual knowledge of X is knowledge-how to act in X-related ways, and all expressions of objectual knowledge of X are intelligent X-related actions.</w:t>
      </w:r>
    </w:p>
    <w:p w14:paraId="38A7F55E" w14:textId="77777777" w:rsidR="00120BCE" w:rsidRPr="00031381" w:rsidRDefault="00120BCE">
      <w:pPr>
        <w:spacing w:line="360" w:lineRule="auto"/>
        <w:rPr>
          <w:rFonts w:ascii="Garamond" w:eastAsia="Times New Roman" w:hAnsi="Garamond"/>
          <w:sz w:val="22"/>
          <w:szCs w:val="22"/>
        </w:rPr>
      </w:pPr>
    </w:p>
    <w:p w14:paraId="1E7CDE68"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There is, therefore, some agreement among contemporary scholars that in the early Chinese texts, when a person is said to have objectual knowledge, then they have such objectual knowledge by virtue of having corresponding knowledge-how. But is this view correct? It is not obvious to me that it is, and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himself is careful to qualify his stance on the matter. He says that “theoretical knowledge of ritual by itself would not in ancient China have qualified one as </w:t>
      </w:r>
      <w:proofErr w:type="spellStart"/>
      <w:r w:rsidRPr="00031381">
        <w:rPr>
          <w:rFonts w:ascii="Garamond" w:eastAsia="Times New Roman" w:hAnsi="Garamond"/>
          <w:i/>
          <w:iCs/>
          <w:sz w:val="22"/>
          <w:szCs w:val="22"/>
        </w:rPr>
        <w:t>chih</w:t>
      </w:r>
      <w:proofErr w:type="spellEnd"/>
      <w:r w:rsidRPr="00031381">
        <w:rPr>
          <w:rFonts w:ascii="Garamond" w:eastAsia="Times New Roman" w:hAnsi="Garamond"/>
          <w:i/>
          <w:iCs/>
          <w:sz w:val="22"/>
          <w:szCs w:val="22"/>
        </w:rPr>
        <w:t xml:space="preserve"> li</w:t>
      </w:r>
      <w:r w:rsidRPr="00031381">
        <w:rPr>
          <w:rFonts w:ascii="Garamond" w:eastAsia="Times New Roman" w:hAnsi="Garamond"/>
          <w:sz w:val="22"/>
          <w:szCs w:val="22"/>
        </w:rPr>
        <w:t xml:space="preserve"> [knowing ritual] in every sense of the word.”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1998: 247) But this suggests the possibility that, for the early Chinese, a person might count as having objectual knowledge by virtue of having </w:t>
      </w:r>
      <w:r w:rsidRPr="00031381">
        <w:rPr>
          <w:rFonts w:ascii="Garamond" w:eastAsia="Times New Roman" w:hAnsi="Garamond"/>
          <w:i/>
          <w:iCs/>
          <w:sz w:val="22"/>
          <w:szCs w:val="22"/>
        </w:rPr>
        <w:t>knowledge-that p</w:t>
      </w:r>
      <w:r w:rsidRPr="00031381">
        <w:rPr>
          <w:rFonts w:ascii="Garamond" w:eastAsia="Times New Roman" w:hAnsi="Garamond"/>
          <w:sz w:val="22"/>
          <w:szCs w:val="22"/>
        </w:rPr>
        <w:t xml:space="preserve"> (i.e., what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calls “theoretical knowledge”), rather than </w:t>
      </w:r>
      <w:r w:rsidRPr="00031381">
        <w:rPr>
          <w:rFonts w:ascii="Garamond" w:eastAsia="Times New Roman" w:hAnsi="Garamond"/>
          <w:i/>
          <w:iCs/>
          <w:sz w:val="22"/>
          <w:szCs w:val="22"/>
        </w:rPr>
        <w:t>knowledge-how to φ</w:t>
      </w:r>
      <w:r w:rsidRPr="00031381">
        <w:rPr>
          <w:rFonts w:ascii="Garamond" w:eastAsia="Times New Roman" w:hAnsi="Garamond"/>
          <w:sz w:val="22"/>
          <w:szCs w:val="22"/>
        </w:rPr>
        <w:t xml:space="preserve">. This raises an important question: in </w:t>
      </w:r>
      <w:r w:rsidRPr="00031381">
        <w:rPr>
          <w:rFonts w:ascii="Garamond" w:eastAsia="Times New Roman" w:hAnsi="Garamond"/>
          <w:i/>
          <w:iCs/>
          <w:sz w:val="22"/>
          <w:szCs w:val="22"/>
        </w:rPr>
        <w:t>what</w:t>
      </w:r>
      <w:r w:rsidRPr="00031381">
        <w:rPr>
          <w:rFonts w:ascii="Garamond" w:eastAsia="Times New Roman" w:hAnsi="Garamond"/>
          <w:sz w:val="22"/>
          <w:szCs w:val="22"/>
        </w:rPr>
        <w:t xml:space="preserve"> sense of the word would such mere possession of knowledge-that p have qualified one as knowing ritual?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does not say.</w:t>
      </w:r>
    </w:p>
    <w:p w14:paraId="376D0BA8" w14:textId="77777777" w:rsidR="00120BCE" w:rsidRPr="00031381" w:rsidRDefault="00120BCE">
      <w:pPr>
        <w:spacing w:line="360" w:lineRule="auto"/>
        <w:rPr>
          <w:rFonts w:ascii="Garamond" w:eastAsia="Times New Roman" w:hAnsi="Garamond"/>
          <w:sz w:val="22"/>
          <w:szCs w:val="22"/>
        </w:rPr>
      </w:pPr>
    </w:p>
    <w:p w14:paraId="6D64F7A2" w14:textId="77777777" w:rsidR="00120BCE" w:rsidRPr="00031381" w:rsidRDefault="00000000">
      <w:pPr>
        <w:spacing w:line="360" w:lineRule="auto"/>
        <w:rPr>
          <w:rFonts w:ascii="Garamond" w:hAnsi="Garamond"/>
          <w:b/>
          <w:bCs/>
          <w:sz w:val="22"/>
          <w:szCs w:val="22"/>
        </w:rPr>
      </w:pPr>
      <w:r w:rsidRPr="00031381">
        <w:rPr>
          <w:rFonts w:ascii="Garamond" w:hAnsi="Garamond"/>
          <w:b/>
          <w:bCs/>
          <w:sz w:val="22"/>
          <w:szCs w:val="22"/>
        </w:rPr>
        <w:t>2.1 Knowing X and Knowing That X is F</w:t>
      </w:r>
    </w:p>
    <w:p w14:paraId="557CE641" w14:textId="77777777" w:rsidR="00120BCE" w:rsidRPr="00031381" w:rsidRDefault="00120BCE">
      <w:pPr>
        <w:spacing w:line="360" w:lineRule="auto"/>
        <w:rPr>
          <w:rFonts w:ascii="Garamond" w:eastAsia="Times New Roman" w:hAnsi="Garamond"/>
          <w:sz w:val="22"/>
          <w:szCs w:val="22"/>
        </w:rPr>
      </w:pPr>
    </w:p>
    <w:p w14:paraId="339A34BD"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Let me make the issue more precise. Are we justified in interpreting Mencius as suggesting the view that all objectual knowledge of X is knowledge-how to X? That is, does Mencius believe that “knowing Heaven” (7A1), “knowing words” (2A2), or “knowing the Way” (5A7) are cases of knowing-how to serve Heaven, knowing-how to discriminate words, or knowing-how to traverse the Way? Many scholars believe </w:t>
      </w:r>
      <w:proofErr w:type="gramStart"/>
      <w:r w:rsidRPr="00031381">
        <w:rPr>
          <w:rFonts w:ascii="Garamond" w:eastAsia="Times New Roman" w:hAnsi="Garamond"/>
          <w:sz w:val="22"/>
          <w:szCs w:val="22"/>
        </w:rPr>
        <w:t>that, yes,</w:t>
      </w:r>
      <w:proofErr w:type="gramEnd"/>
      <w:r w:rsidRPr="00031381">
        <w:rPr>
          <w:rFonts w:ascii="Garamond" w:eastAsia="Times New Roman" w:hAnsi="Garamond"/>
          <w:sz w:val="22"/>
          <w:szCs w:val="22"/>
        </w:rPr>
        <w:t xml:space="preserve"> Mencius has such a </w:t>
      </w:r>
      <w:proofErr w:type="spellStart"/>
      <w:r w:rsidRPr="00031381">
        <w:rPr>
          <w:rFonts w:ascii="Garamond" w:eastAsia="Times New Roman" w:hAnsi="Garamond"/>
          <w:sz w:val="22"/>
          <w:szCs w:val="22"/>
        </w:rPr>
        <w:t>practicalist</w:t>
      </w:r>
      <w:proofErr w:type="spellEnd"/>
      <w:r w:rsidRPr="00031381">
        <w:rPr>
          <w:rFonts w:ascii="Garamond" w:eastAsia="Times New Roman" w:hAnsi="Garamond"/>
          <w:sz w:val="22"/>
          <w:szCs w:val="22"/>
        </w:rPr>
        <w:t xml:space="preserve"> notion of objectual knowledge, but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hints at a problem: we can be said to know X without knowing-how to X, simply by virtue of knowing-that X is F.</w:t>
      </w:r>
    </w:p>
    <w:p w14:paraId="3DE60A6E" w14:textId="77777777" w:rsidR="00120BCE" w:rsidRPr="00031381" w:rsidRDefault="00120BCE">
      <w:pPr>
        <w:spacing w:line="360" w:lineRule="auto"/>
        <w:rPr>
          <w:rFonts w:ascii="Garamond" w:eastAsia="Times New Roman" w:hAnsi="Garamond"/>
          <w:sz w:val="22"/>
          <w:szCs w:val="22"/>
        </w:rPr>
      </w:pPr>
    </w:p>
    <w:p w14:paraId="3D2AFAA6"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As far as the Mencius is concerned, there seems to be textual evidence in support of </w:t>
      </w:r>
      <w:proofErr w:type="spellStart"/>
      <w:r w:rsidRPr="00031381">
        <w:rPr>
          <w:rFonts w:ascii="Garamond" w:eastAsia="Times New Roman" w:hAnsi="Garamond"/>
          <w:sz w:val="22"/>
          <w:szCs w:val="22"/>
        </w:rPr>
        <w:t>Harbsmeier’s</w:t>
      </w:r>
      <w:proofErr w:type="spellEnd"/>
      <w:r w:rsidRPr="00031381">
        <w:rPr>
          <w:rFonts w:ascii="Garamond" w:eastAsia="Times New Roman" w:hAnsi="Garamond"/>
          <w:sz w:val="22"/>
          <w:szCs w:val="22"/>
        </w:rPr>
        <w:t xml:space="preserve"> suggestion. There are passages that</w:t>
      </w:r>
      <w:r w:rsidRPr="00031381">
        <w:rPr>
          <w:rFonts w:ascii="Garamond" w:eastAsia="Times New Roman" w:hAnsi="Garamond"/>
          <w:i/>
          <w:iCs/>
          <w:sz w:val="22"/>
          <w:szCs w:val="22"/>
        </w:rPr>
        <w:t xml:space="preserve"> prima facie</w:t>
      </w:r>
      <w:r w:rsidRPr="00031381">
        <w:rPr>
          <w:rFonts w:ascii="Garamond" w:eastAsia="Times New Roman" w:hAnsi="Garamond"/>
          <w:sz w:val="22"/>
          <w:szCs w:val="22"/>
        </w:rPr>
        <w:t xml:space="preserve"> suggest that</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“knowing X” expressions are sometimes used to attribute propositional knowledge to a person – namely, knowledge-that X is F. Take for example Mencius’s claim at 2A2 that </w:t>
      </w:r>
      <w:proofErr w:type="spellStart"/>
      <w:r w:rsidRPr="00031381">
        <w:rPr>
          <w:rFonts w:ascii="Garamond" w:eastAsia="Times New Roman" w:hAnsi="Garamond"/>
          <w:sz w:val="22"/>
          <w:szCs w:val="22"/>
        </w:rPr>
        <w:t>Gaozi</w:t>
      </w:r>
      <w:proofErr w:type="spellEnd"/>
      <w:r w:rsidRPr="00031381">
        <w:rPr>
          <w:rFonts w:ascii="Garamond" w:eastAsia="Times New Roman" w:hAnsi="Garamond"/>
          <w:sz w:val="22"/>
          <w:szCs w:val="22"/>
        </w:rPr>
        <w:t xml:space="preserve"> does not “know righteousness” (</w:t>
      </w:r>
      <w:proofErr w:type="spellStart"/>
      <w:r w:rsidRPr="00031381">
        <w:rPr>
          <w:rFonts w:ascii="Garamond" w:eastAsia="Times New Roman" w:hAnsi="Garamond"/>
          <w:i/>
          <w:iCs/>
          <w:sz w:val="22"/>
          <w:szCs w:val="22"/>
        </w:rPr>
        <w:t>zhī</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yì</w:t>
      </w:r>
      <w:proofErr w:type="spellEnd"/>
      <w:r w:rsidRPr="00031381">
        <w:rPr>
          <w:rFonts w:ascii="Garamond" w:eastAsia="Times New Roman" w:hAnsi="Garamond"/>
          <w:i/>
          <w:iCs/>
          <w:sz w:val="22"/>
          <w:szCs w:val="22"/>
        </w:rPr>
        <w:t xml:space="preserve"> </w:t>
      </w:r>
      <w:r w:rsidRPr="00031381">
        <w:rPr>
          <w:rFonts w:ascii="Garamond" w:eastAsia="SimSun" w:hAnsi="Garamond" w:cs="SimSun"/>
          <w:sz w:val="22"/>
          <w:szCs w:val="22"/>
        </w:rPr>
        <w:t>知義</w:t>
      </w:r>
      <w:r w:rsidRPr="00031381">
        <w:rPr>
          <w:rFonts w:ascii="Garamond" w:eastAsia="Times New Roman" w:hAnsi="Garamond"/>
          <w:sz w:val="22"/>
          <w:szCs w:val="22"/>
        </w:rPr>
        <w:t xml:space="preserve">). Mencius is clear why he thinks so: </w:t>
      </w:r>
      <w:r w:rsidRPr="00031381">
        <w:rPr>
          <w:rFonts w:ascii="Garamond" w:eastAsia="Times New Roman" w:hAnsi="Garamond" w:cs="Garamond"/>
          <w:sz w:val="22"/>
          <w:szCs w:val="22"/>
        </w:rPr>
        <w:t>“</w:t>
      </w:r>
      <w:r w:rsidRPr="00031381">
        <w:rPr>
          <w:rFonts w:ascii="Garamond" w:eastAsia="Times New Roman" w:hAnsi="Garamond"/>
          <w:sz w:val="22"/>
          <w:szCs w:val="22"/>
        </w:rPr>
        <w:t xml:space="preserve">I say that </w:t>
      </w:r>
      <w:proofErr w:type="spellStart"/>
      <w:r w:rsidRPr="00031381">
        <w:rPr>
          <w:rFonts w:ascii="Garamond" w:eastAsia="Times New Roman" w:hAnsi="Garamond"/>
          <w:sz w:val="22"/>
          <w:szCs w:val="22"/>
        </w:rPr>
        <w:t>Gaozi</w:t>
      </w:r>
      <w:proofErr w:type="spellEnd"/>
      <w:r w:rsidRPr="00031381">
        <w:rPr>
          <w:rFonts w:ascii="Garamond" w:eastAsia="Times New Roman" w:hAnsi="Garamond"/>
          <w:sz w:val="22"/>
          <w:szCs w:val="22"/>
        </w:rPr>
        <w:t xml:space="preserve"> does not know righteousness because he takes it to be </w:t>
      </w:r>
      <w:r w:rsidRPr="00031381">
        <w:rPr>
          <w:rFonts w:ascii="Garamond" w:eastAsia="Times New Roman" w:hAnsi="Garamond" w:cs="Garamond"/>
          <w:sz w:val="22"/>
          <w:szCs w:val="22"/>
        </w:rPr>
        <w:t>‘</w:t>
      </w:r>
      <w:r w:rsidRPr="00031381">
        <w:rPr>
          <w:rFonts w:ascii="Garamond" w:eastAsia="Times New Roman" w:hAnsi="Garamond"/>
          <w:sz w:val="22"/>
          <w:szCs w:val="22"/>
        </w:rPr>
        <w:t>external</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w:t>
      </w:r>
      <w:proofErr w:type="spellStart"/>
      <w:r w:rsidRPr="00031381">
        <w:rPr>
          <w:rFonts w:ascii="Garamond" w:eastAsia="Times New Roman" w:hAnsi="Garamond"/>
          <w:i/>
          <w:iCs/>
          <w:sz w:val="22"/>
          <w:szCs w:val="22"/>
        </w:rPr>
        <w:t>y</w:t>
      </w:r>
      <w:r w:rsidRPr="00031381">
        <w:rPr>
          <w:rFonts w:ascii="Cambria" w:eastAsia="Times New Roman" w:hAnsi="Cambria" w:cs="Cambria"/>
          <w:i/>
          <w:iCs/>
          <w:sz w:val="22"/>
          <w:szCs w:val="22"/>
        </w:rPr>
        <w:t>ǐ</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q</w:t>
      </w:r>
      <w:r w:rsidRPr="00031381">
        <w:rPr>
          <w:rFonts w:ascii="Garamond" w:eastAsia="Times New Roman" w:hAnsi="Garamond" w:cs="Garamond"/>
          <w:i/>
          <w:iCs/>
          <w:sz w:val="22"/>
          <w:szCs w:val="22"/>
        </w:rPr>
        <w:t>í</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w</w:t>
      </w:r>
      <w:r w:rsidRPr="00031381">
        <w:rPr>
          <w:rFonts w:ascii="Garamond" w:eastAsia="Times New Roman" w:hAnsi="Garamond" w:cs="Garamond"/>
          <w:i/>
          <w:iCs/>
          <w:sz w:val="22"/>
          <w:szCs w:val="22"/>
        </w:rPr>
        <w:t>à</w:t>
      </w:r>
      <w:r w:rsidRPr="00031381">
        <w:rPr>
          <w:rFonts w:ascii="Garamond" w:eastAsia="Times New Roman" w:hAnsi="Garamond"/>
          <w:i/>
          <w:iCs/>
          <w:sz w:val="22"/>
          <w:szCs w:val="22"/>
        </w:rPr>
        <w:t>i</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zh</w:t>
      </w:r>
      <w:r w:rsidRPr="00031381">
        <w:rPr>
          <w:rFonts w:ascii="Garamond" w:eastAsia="Times New Roman" w:hAnsi="Garamond" w:cs="Garamond"/>
          <w:i/>
          <w:iCs/>
          <w:sz w:val="22"/>
          <w:szCs w:val="22"/>
        </w:rPr>
        <w:t>ī</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y</w:t>
      </w:r>
      <w:r w:rsidRPr="00031381">
        <w:rPr>
          <w:rFonts w:ascii="Garamond" w:eastAsia="Times New Roman" w:hAnsi="Garamond" w:cs="Garamond"/>
          <w:i/>
          <w:iCs/>
          <w:sz w:val="22"/>
          <w:szCs w:val="22"/>
        </w:rPr>
        <w:t>ě</w:t>
      </w:r>
      <w:proofErr w:type="spellEnd"/>
      <w:r w:rsidRPr="00031381">
        <w:rPr>
          <w:rFonts w:ascii="Garamond" w:eastAsia="Times New Roman" w:hAnsi="Garamond"/>
          <w:i/>
          <w:iCs/>
          <w:sz w:val="22"/>
          <w:szCs w:val="22"/>
        </w:rPr>
        <w:t xml:space="preserve"> </w:t>
      </w:r>
      <w:r w:rsidRPr="00031381">
        <w:rPr>
          <w:rFonts w:ascii="Garamond" w:eastAsia="SimSun" w:hAnsi="Garamond" w:cs="SimSun"/>
          <w:sz w:val="22"/>
          <w:szCs w:val="22"/>
        </w:rPr>
        <w:t>以其外之也</w:t>
      </w:r>
      <w:r w:rsidRPr="00031381">
        <w:rPr>
          <w:rFonts w:ascii="Garamond" w:eastAsia="Times New Roman" w:hAnsi="Garamond"/>
          <w:sz w:val="22"/>
          <w:szCs w:val="22"/>
        </w:rPr>
        <w:t>).</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w:t>
      </w:r>
      <w:proofErr w:type="spellStart"/>
      <w:r w:rsidRPr="00031381">
        <w:rPr>
          <w:rFonts w:ascii="Garamond" w:eastAsia="Times New Roman" w:hAnsi="Garamond"/>
          <w:sz w:val="22"/>
          <w:szCs w:val="22"/>
        </w:rPr>
        <w:t>Gaozi</w:t>
      </w:r>
      <w:proofErr w:type="spellEnd"/>
      <w:r w:rsidRPr="00031381">
        <w:rPr>
          <w:rFonts w:ascii="Garamond" w:eastAsia="Times New Roman" w:hAnsi="Garamond"/>
          <w:sz w:val="22"/>
          <w:szCs w:val="22"/>
        </w:rPr>
        <w:t xml:space="preserve"> fails in </w:t>
      </w:r>
      <w:r w:rsidRPr="00031381">
        <w:rPr>
          <w:rFonts w:ascii="Garamond" w:eastAsia="Times New Roman" w:hAnsi="Garamond" w:cs="Garamond"/>
          <w:sz w:val="22"/>
          <w:szCs w:val="22"/>
        </w:rPr>
        <w:t>“</w:t>
      </w:r>
      <w:r w:rsidRPr="00031381">
        <w:rPr>
          <w:rFonts w:ascii="Garamond" w:eastAsia="Times New Roman" w:hAnsi="Garamond"/>
          <w:sz w:val="22"/>
          <w:szCs w:val="22"/>
        </w:rPr>
        <w:t>knowing X</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where X is </w:t>
      </w:r>
      <w:r w:rsidRPr="00031381">
        <w:rPr>
          <w:rFonts w:ascii="Garamond" w:eastAsia="Times New Roman" w:hAnsi="Garamond" w:cs="Garamond"/>
          <w:sz w:val="22"/>
          <w:szCs w:val="22"/>
        </w:rPr>
        <w:t>“</w:t>
      </w:r>
      <w:r w:rsidRPr="00031381">
        <w:rPr>
          <w:rFonts w:ascii="Garamond" w:eastAsia="Times New Roman" w:hAnsi="Garamond"/>
          <w:sz w:val="22"/>
          <w:szCs w:val="22"/>
        </w:rPr>
        <w:t>righteousness</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and Mencius describes this as a failure of knowing </w:t>
      </w:r>
      <w:r w:rsidRPr="00031381">
        <w:rPr>
          <w:rFonts w:ascii="Garamond" w:eastAsia="Times New Roman" w:hAnsi="Garamond"/>
          <w:i/>
          <w:iCs/>
          <w:sz w:val="22"/>
          <w:szCs w:val="22"/>
        </w:rPr>
        <w:t>that</w:t>
      </w:r>
      <w:r w:rsidRPr="00031381">
        <w:rPr>
          <w:rFonts w:ascii="Garamond" w:eastAsia="Times New Roman" w:hAnsi="Garamond"/>
          <w:sz w:val="22"/>
          <w:szCs w:val="22"/>
        </w:rPr>
        <w:t xml:space="preserve"> righteousness is not external.</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Presumably, all other things being equal, if </w:t>
      </w:r>
      <w:proofErr w:type="spellStart"/>
      <w:r w:rsidRPr="00031381">
        <w:rPr>
          <w:rFonts w:ascii="Garamond" w:eastAsia="Times New Roman" w:hAnsi="Garamond"/>
          <w:sz w:val="22"/>
          <w:szCs w:val="22"/>
        </w:rPr>
        <w:t>Gaozi</w:t>
      </w:r>
      <w:proofErr w:type="spellEnd"/>
      <w:r w:rsidRPr="00031381">
        <w:rPr>
          <w:rFonts w:ascii="Garamond" w:eastAsia="Times New Roman" w:hAnsi="Garamond"/>
          <w:sz w:val="22"/>
          <w:szCs w:val="22"/>
        </w:rPr>
        <w:t xml:space="preserve"> had different beliefs about righteousness, for example, if he had believed that righteousness was internal rather than external, then he would not be open to Mencius’s criticism. </w:t>
      </w:r>
    </w:p>
    <w:p w14:paraId="34DE803B" w14:textId="77777777" w:rsidR="00120BCE" w:rsidRPr="00031381" w:rsidRDefault="00120BCE">
      <w:pPr>
        <w:spacing w:line="360" w:lineRule="auto"/>
        <w:rPr>
          <w:rFonts w:ascii="Garamond" w:eastAsia="Times New Roman" w:hAnsi="Garamond"/>
          <w:sz w:val="22"/>
          <w:szCs w:val="22"/>
        </w:rPr>
      </w:pPr>
    </w:p>
    <w:p w14:paraId="56EA2DAD"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lastRenderedPageBreak/>
        <w:t>We find a similar use of “knowing X” at 1A6. Mencius has an audience with King Xiang of Liang and has this to say:</w:t>
      </w:r>
    </w:p>
    <w:p w14:paraId="70E7224E" w14:textId="77777777" w:rsidR="00120BCE" w:rsidRPr="00031381" w:rsidRDefault="00120BCE">
      <w:pPr>
        <w:spacing w:line="360" w:lineRule="auto"/>
        <w:rPr>
          <w:rFonts w:ascii="Garamond" w:eastAsia="Times New Roman" w:hAnsi="Garamond"/>
          <w:sz w:val="22"/>
          <w:szCs w:val="22"/>
        </w:rPr>
      </w:pPr>
    </w:p>
    <w:p w14:paraId="6E1C1015" w14:textId="77777777" w:rsidR="00120BCE" w:rsidRPr="00031381" w:rsidRDefault="00000000">
      <w:pPr>
        <w:pStyle w:val="Quotations"/>
        <w:rPr>
          <w:rFonts w:ascii="Garamond" w:eastAsia="Times New Roman" w:hAnsi="Garamond"/>
          <w:sz w:val="22"/>
          <w:szCs w:val="22"/>
        </w:rPr>
      </w:pPr>
      <w:r w:rsidRPr="00031381">
        <w:rPr>
          <w:rFonts w:ascii="Garamond" w:eastAsia="Times New Roman" w:hAnsi="Garamond"/>
          <w:sz w:val="22"/>
          <w:szCs w:val="22"/>
        </w:rPr>
        <w:t xml:space="preserve">“Does Your Majesty not know sprouts? During the dry period of the summer months, the sprouts shrivel. But when Heaven abundantly makes clouds, and copiously sends down rain, then the sprouts vigorously </w:t>
      </w:r>
      <w:proofErr w:type="gramStart"/>
      <w:r w:rsidRPr="00031381">
        <w:rPr>
          <w:rFonts w:ascii="Garamond" w:eastAsia="Times New Roman" w:hAnsi="Garamond"/>
          <w:sz w:val="22"/>
          <w:szCs w:val="22"/>
        </w:rPr>
        <w:t>rise up</w:t>
      </w:r>
      <w:proofErr w:type="gramEnd"/>
      <w:r w:rsidRPr="00031381">
        <w:rPr>
          <w:rFonts w:ascii="Garamond" w:eastAsia="Times New Roman" w:hAnsi="Garamond"/>
          <w:sz w:val="22"/>
          <w:szCs w:val="22"/>
        </w:rPr>
        <w:t>. If it is like this, who can forbid it?” (1A6)</w:t>
      </w:r>
      <w:r w:rsidRPr="00031381">
        <w:rPr>
          <w:rStyle w:val="FootnoteAnchor"/>
          <w:rFonts w:ascii="Garamond" w:eastAsia="Times New Roman" w:hAnsi="Garamond"/>
          <w:sz w:val="22"/>
          <w:szCs w:val="22"/>
        </w:rPr>
        <w:footnoteReference w:id="10"/>
      </w:r>
    </w:p>
    <w:p w14:paraId="45A1D84F" w14:textId="77777777" w:rsidR="00120BCE" w:rsidRPr="00031381" w:rsidRDefault="00120BCE">
      <w:pPr>
        <w:spacing w:line="360" w:lineRule="auto"/>
        <w:rPr>
          <w:rFonts w:ascii="Garamond" w:eastAsia="Times New Roman" w:hAnsi="Garamond"/>
          <w:sz w:val="22"/>
          <w:szCs w:val="22"/>
        </w:rPr>
      </w:pPr>
    </w:p>
    <w:p w14:paraId="6CF43114"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At 1A6 “knowing X”, in this case “knowing sprouts” (</w:t>
      </w:r>
      <w:r w:rsidRPr="00031381">
        <w:rPr>
          <w:rFonts w:ascii="Garamond" w:eastAsia="SimSun" w:hAnsi="Garamond" w:cs="SimSun"/>
          <w:sz w:val="22"/>
          <w:szCs w:val="22"/>
        </w:rPr>
        <w:t>知苗</w:t>
      </w:r>
      <w:r w:rsidRPr="00031381">
        <w:rPr>
          <w:rFonts w:ascii="Garamond" w:eastAsia="Times New Roman" w:hAnsi="Garamond"/>
          <w:sz w:val="22"/>
          <w:szCs w:val="22"/>
        </w:rPr>
        <w:t xml:space="preserve"> </w:t>
      </w:r>
      <w:proofErr w:type="spellStart"/>
      <w:r w:rsidRPr="00031381">
        <w:rPr>
          <w:rFonts w:ascii="Garamond" w:eastAsia="Times New Roman" w:hAnsi="Garamond"/>
          <w:i/>
          <w:iCs/>
          <w:sz w:val="22"/>
          <w:szCs w:val="22"/>
        </w:rPr>
        <w:t>zhī</w:t>
      </w:r>
      <w:proofErr w:type="spellEnd"/>
      <w:r w:rsidRPr="00031381">
        <w:rPr>
          <w:rFonts w:ascii="Garamond" w:eastAsia="Times New Roman" w:hAnsi="Garamond"/>
          <w:i/>
          <w:iCs/>
          <w:sz w:val="22"/>
          <w:szCs w:val="22"/>
        </w:rPr>
        <w:t xml:space="preserve"> </w:t>
      </w:r>
      <w:proofErr w:type="spellStart"/>
      <w:r w:rsidRPr="00031381">
        <w:rPr>
          <w:rFonts w:ascii="Garamond" w:eastAsia="Times New Roman" w:hAnsi="Garamond"/>
          <w:i/>
          <w:iCs/>
          <w:sz w:val="22"/>
          <w:szCs w:val="22"/>
        </w:rPr>
        <w:t>miáo</w:t>
      </w:r>
      <w:proofErr w:type="spellEnd"/>
      <w:r w:rsidRPr="00031381">
        <w:rPr>
          <w:rFonts w:ascii="Garamond" w:eastAsia="Times New Roman" w:hAnsi="Garamond"/>
          <w:sz w:val="22"/>
          <w:szCs w:val="22"/>
        </w:rPr>
        <w:t>),</w:t>
      </w:r>
      <w:r w:rsidRPr="00031381">
        <w:rPr>
          <w:rStyle w:val="FootnoteAnchor"/>
          <w:rFonts w:ascii="Garamond" w:eastAsia="Times New Roman" w:hAnsi="Garamond"/>
          <w:sz w:val="22"/>
          <w:szCs w:val="22"/>
        </w:rPr>
        <w:footnoteReference w:id="11"/>
      </w:r>
      <w:r w:rsidRPr="00031381">
        <w:rPr>
          <w:rFonts w:ascii="Garamond" w:eastAsia="Times New Roman" w:hAnsi="Garamond"/>
          <w:sz w:val="22"/>
          <w:szCs w:val="22"/>
        </w:rPr>
        <w:t xml:space="preserve"> entails knowing </w:t>
      </w:r>
      <w:r w:rsidRPr="00031381">
        <w:rPr>
          <w:rFonts w:ascii="Garamond" w:eastAsia="Times New Roman" w:hAnsi="Garamond"/>
          <w:i/>
          <w:iCs/>
          <w:sz w:val="22"/>
          <w:szCs w:val="22"/>
        </w:rPr>
        <w:t>that</w:t>
      </w:r>
      <w:r w:rsidRPr="00031381">
        <w:rPr>
          <w:rFonts w:ascii="Garamond" w:eastAsia="Times New Roman" w:hAnsi="Garamond"/>
          <w:sz w:val="22"/>
          <w:szCs w:val="22"/>
        </w:rPr>
        <w:t xml:space="preserve"> the sprouts rise after rain during the summer. Hence, it is understandable that both Van Norden and D.C. Lau respectively translate the expression as “know </w:t>
      </w:r>
      <w:r w:rsidRPr="00031381">
        <w:rPr>
          <w:rFonts w:ascii="Garamond" w:eastAsia="Times New Roman" w:hAnsi="Garamond"/>
          <w:i/>
          <w:iCs/>
          <w:sz w:val="22"/>
          <w:szCs w:val="22"/>
        </w:rPr>
        <w:t>about</w:t>
      </w:r>
      <w:r w:rsidRPr="00031381">
        <w:rPr>
          <w:rFonts w:ascii="Garamond" w:eastAsia="Times New Roman" w:hAnsi="Garamond"/>
          <w:sz w:val="22"/>
          <w:szCs w:val="22"/>
        </w:rPr>
        <w:t xml:space="preserve"> sprouts” (Van Norden 2008: 7; my own emphasis) and “know </w:t>
      </w:r>
      <w:r w:rsidRPr="00031381">
        <w:rPr>
          <w:rFonts w:ascii="Garamond" w:eastAsia="Times New Roman" w:hAnsi="Garamond"/>
          <w:i/>
          <w:iCs/>
          <w:sz w:val="22"/>
          <w:szCs w:val="22"/>
        </w:rPr>
        <w:t>about</w:t>
      </w:r>
      <w:r w:rsidRPr="00031381">
        <w:rPr>
          <w:rFonts w:ascii="Garamond" w:eastAsia="Times New Roman" w:hAnsi="Garamond"/>
          <w:sz w:val="22"/>
          <w:szCs w:val="22"/>
        </w:rPr>
        <w:t xml:space="preserve"> the young seedlings” (Lau 2003: 13). If I know about the heavy rains in Sichuan, I at least know </w:t>
      </w:r>
      <w:r w:rsidRPr="00031381">
        <w:rPr>
          <w:rFonts w:ascii="Garamond" w:eastAsia="Times New Roman" w:hAnsi="Garamond"/>
          <w:i/>
          <w:iCs/>
          <w:sz w:val="22"/>
          <w:szCs w:val="22"/>
        </w:rPr>
        <w:t>that</w:t>
      </w:r>
      <w:r w:rsidRPr="00031381">
        <w:rPr>
          <w:rFonts w:ascii="Garamond" w:eastAsia="Times New Roman" w:hAnsi="Garamond"/>
          <w:sz w:val="22"/>
          <w:szCs w:val="22"/>
        </w:rPr>
        <w:t xml:space="preserve"> there are heavy rains. In other words, knowing about X entails knowledge of a true proposition. Hence, just like at 2A2, there is a clear textual link between objectual knowledge (“knowing X”) and propositional knowledge (“knowing that X is such-and-such”). What is not so clear is whether King Xiang of Liang fails to know sprouts. Perhaps he knows about them but fails to appreciate the analogy between the conditions under which sprouts flourish and the conditions under which people are united by their rulers. If so, then perhaps</w:t>
      </w:r>
      <w:r w:rsidRPr="00031381">
        <w:rPr>
          <w:rFonts w:ascii="Garamond" w:eastAsia="Times New Roman" w:hAnsi="Garamond"/>
          <w:sz w:val="22"/>
          <w:szCs w:val="22"/>
          <w:lang w:val="en-AU"/>
        </w:rPr>
        <w:t xml:space="preserve"> he fails to </w:t>
      </w:r>
      <w:r w:rsidRPr="00031381">
        <w:rPr>
          <w:rFonts w:ascii="Garamond" w:eastAsia="Times New Roman" w:hAnsi="Garamond"/>
          <w:i/>
          <w:iCs/>
          <w:sz w:val="22"/>
          <w:szCs w:val="22"/>
          <w:lang w:val="en-AU"/>
        </w:rPr>
        <w:t>use</w:t>
      </w:r>
      <w:r w:rsidRPr="00031381">
        <w:rPr>
          <w:rFonts w:ascii="Garamond" w:eastAsia="Times New Roman" w:hAnsi="Garamond"/>
          <w:sz w:val="22"/>
          <w:szCs w:val="22"/>
          <w:lang w:val="en-AU"/>
        </w:rPr>
        <w:t xml:space="preserve"> his </w:t>
      </w:r>
      <w:r w:rsidRPr="00031381">
        <w:rPr>
          <w:rFonts w:ascii="Garamond" w:eastAsia="Times New Roman" w:hAnsi="Garamond"/>
          <w:sz w:val="22"/>
          <w:szCs w:val="22"/>
        </w:rPr>
        <w:t xml:space="preserve">knowledge about sprouts to help him govern. But even if that were so, Mencius is not asking King Xiang whether he is currently, at that moment, using his knowledge of sprouts – he is asking him whether he </w:t>
      </w:r>
      <w:r w:rsidRPr="00031381">
        <w:rPr>
          <w:rFonts w:ascii="Garamond" w:eastAsia="Times New Roman" w:hAnsi="Garamond"/>
          <w:i/>
          <w:iCs/>
          <w:sz w:val="22"/>
          <w:szCs w:val="22"/>
        </w:rPr>
        <w:t>knows sprouts</w:t>
      </w:r>
      <w:r w:rsidRPr="00031381">
        <w:rPr>
          <w:rFonts w:ascii="Garamond" w:eastAsia="Times New Roman" w:hAnsi="Garamond"/>
          <w:sz w:val="22"/>
          <w:szCs w:val="22"/>
        </w:rPr>
        <w:t xml:space="preserve">, i.e., whether he knows that sprouts are such-and-such. </w:t>
      </w:r>
    </w:p>
    <w:p w14:paraId="6F0BB90F" w14:textId="77777777" w:rsidR="00120BCE" w:rsidRPr="00031381" w:rsidRDefault="00120BCE">
      <w:pPr>
        <w:spacing w:line="360" w:lineRule="auto"/>
        <w:rPr>
          <w:rFonts w:ascii="Garamond" w:eastAsia="Times New Roman" w:hAnsi="Garamond"/>
          <w:sz w:val="22"/>
          <w:szCs w:val="22"/>
        </w:rPr>
      </w:pPr>
    </w:p>
    <w:p w14:paraId="2FC76AC3"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In this light, consider a different section from 2A2:</w:t>
      </w:r>
    </w:p>
    <w:p w14:paraId="10578D7D" w14:textId="77777777" w:rsidR="00120BCE" w:rsidRPr="00031381" w:rsidRDefault="00120BCE">
      <w:pPr>
        <w:spacing w:line="360" w:lineRule="auto"/>
        <w:rPr>
          <w:rFonts w:ascii="Garamond" w:eastAsia="Times New Roman" w:hAnsi="Garamond"/>
          <w:sz w:val="22"/>
          <w:szCs w:val="22"/>
        </w:rPr>
      </w:pPr>
    </w:p>
    <w:p w14:paraId="09DBB54D" w14:textId="77777777" w:rsidR="00120BCE" w:rsidRPr="00031381" w:rsidRDefault="00000000">
      <w:pPr>
        <w:pStyle w:val="Quotations"/>
        <w:rPr>
          <w:rFonts w:ascii="Garamond" w:eastAsia="Times New Roman" w:hAnsi="Garamond"/>
          <w:sz w:val="22"/>
          <w:szCs w:val="22"/>
        </w:rPr>
      </w:pPr>
      <w:proofErr w:type="spellStart"/>
      <w:r w:rsidRPr="00031381">
        <w:rPr>
          <w:rFonts w:ascii="Garamond" w:eastAsia="Times New Roman" w:hAnsi="Garamond"/>
          <w:sz w:val="22"/>
          <w:szCs w:val="22"/>
        </w:rPr>
        <w:t>Gongsun</w:t>
      </w:r>
      <w:proofErr w:type="spellEnd"/>
      <w:r w:rsidRPr="00031381">
        <w:rPr>
          <w:rFonts w:ascii="Garamond" w:eastAsia="Times New Roman" w:hAnsi="Garamond"/>
          <w:sz w:val="22"/>
          <w:szCs w:val="22"/>
        </w:rPr>
        <w:t xml:space="preserve"> Chou asked, “May I ask wherein you excel, Master?” </w:t>
      </w:r>
      <w:r w:rsidRPr="00031381">
        <w:rPr>
          <w:rFonts w:ascii="Garamond" w:eastAsia="Times New Roman" w:hAnsi="Garamond"/>
          <w:sz w:val="22"/>
          <w:szCs w:val="22"/>
        </w:rPr>
        <w:br/>
        <w:t xml:space="preserve">Mencius replied, “I know words. I am good at cultivating my </w:t>
      </w:r>
      <w:proofErr w:type="spellStart"/>
      <w:r w:rsidRPr="00031381">
        <w:rPr>
          <w:rFonts w:ascii="Garamond" w:eastAsia="Times New Roman" w:hAnsi="Garamond"/>
          <w:sz w:val="22"/>
          <w:szCs w:val="22"/>
        </w:rPr>
        <w:t>floodlike</w:t>
      </w:r>
      <w:proofErr w:type="spellEnd"/>
      <w:r w:rsidRPr="00031381">
        <w:rPr>
          <w:rFonts w:ascii="Garamond" w:eastAsia="Times New Roman" w:hAnsi="Garamond"/>
          <w:sz w:val="22"/>
          <w:szCs w:val="22"/>
        </w:rPr>
        <w:t xml:space="preserve"> </w:t>
      </w:r>
      <w:r w:rsidRPr="00031381">
        <w:rPr>
          <w:rFonts w:ascii="Garamond" w:eastAsia="Times New Roman" w:hAnsi="Garamond"/>
          <w:i/>
          <w:iCs/>
          <w:sz w:val="22"/>
          <w:szCs w:val="22"/>
        </w:rPr>
        <w:t>qi</w:t>
      </w:r>
      <w:r w:rsidRPr="00031381">
        <w:rPr>
          <w:rFonts w:ascii="Garamond" w:eastAsia="Times New Roman" w:hAnsi="Garamond"/>
          <w:sz w:val="22"/>
          <w:szCs w:val="22"/>
        </w:rPr>
        <w:t>.”</w:t>
      </w:r>
    </w:p>
    <w:p w14:paraId="4CC709FD" w14:textId="77777777" w:rsidR="00120BCE" w:rsidRPr="00031381" w:rsidRDefault="00000000">
      <w:pPr>
        <w:pStyle w:val="Quotations"/>
        <w:rPr>
          <w:rFonts w:ascii="Garamond" w:eastAsia="Times New Roman" w:hAnsi="Garamond"/>
          <w:sz w:val="22"/>
          <w:szCs w:val="22"/>
        </w:rPr>
      </w:pPr>
      <w:r w:rsidRPr="00031381">
        <w:rPr>
          <w:rFonts w:ascii="Garamond" w:eastAsia="Times New Roman" w:hAnsi="Garamond"/>
          <w:sz w:val="22"/>
          <w:szCs w:val="22"/>
        </w:rPr>
        <w:t>[…]</w:t>
      </w:r>
    </w:p>
    <w:p w14:paraId="0AD6FF89" w14:textId="77777777" w:rsidR="00120BCE" w:rsidRPr="00031381" w:rsidRDefault="00000000">
      <w:pPr>
        <w:pStyle w:val="Quotations"/>
        <w:rPr>
          <w:rFonts w:ascii="Garamond" w:eastAsia="Times New Roman" w:hAnsi="Garamond"/>
          <w:sz w:val="22"/>
          <w:szCs w:val="22"/>
        </w:rPr>
      </w:pPr>
      <w:proofErr w:type="spellStart"/>
      <w:r w:rsidRPr="00031381">
        <w:rPr>
          <w:rFonts w:ascii="Garamond" w:eastAsia="Times New Roman" w:hAnsi="Garamond"/>
          <w:sz w:val="22"/>
          <w:szCs w:val="22"/>
        </w:rPr>
        <w:t>Gongsun</w:t>
      </w:r>
      <w:proofErr w:type="spellEnd"/>
      <w:r w:rsidRPr="00031381">
        <w:rPr>
          <w:rFonts w:ascii="Garamond" w:eastAsia="Times New Roman" w:hAnsi="Garamond"/>
          <w:sz w:val="22"/>
          <w:szCs w:val="22"/>
        </w:rPr>
        <w:t xml:space="preserve"> Chou asked, “What do you mean by ‘knowing </w:t>
      </w:r>
      <w:proofErr w:type="gramStart"/>
      <w:r w:rsidRPr="00031381">
        <w:rPr>
          <w:rFonts w:ascii="Garamond" w:eastAsia="Times New Roman" w:hAnsi="Garamond"/>
          <w:sz w:val="22"/>
          <w:szCs w:val="22"/>
        </w:rPr>
        <w:t>words’</w:t>
      </w:r>
      <w:proofErr w:type="gramEnd"/>
      <w:r w:rsidRPr="00031381">
        <w:rPr>
          <w:rFonts w:ascii="Garamond" w:eastAsia="Times New Roman" w:hAnsi="Garamond"/>
          <w:sz w:val="22"/>
          <w:szCs w:val="22"/>
        </w:rPr>
        <w:t>?”</w:t>
      </w:r>
      <w:r w:rsidRPr="00031381">
        <w:rPr>
          <w:rFonts w:ascii="Garamond" w:eastAsia="Times New Roman" w:hAnsi="Garamond"/>
          <w:sz w:val="22"/>
          <w:szCs w:val="22"/>
        </w:rPr>
        <w:br/>
        <w:t>Mencius replied, “If someone’s expressions are one-sided, I know why they are obscured. If someone’s expressions are excessive, I know what they have sunk into. If someone’s expressions are heretical, I know why they are separated from the Way. If someone’s expressions are evasive, I know why they are overwhelmed. […]” (2A2)</w:t>
      </w:r>
    </w:p>
    <w:p w14:paraId="7515EF53" w14:textId="77777777" w:rsidR="00120BCE" w:rsidRPr="00031381" w:rsidRDefault="00120BCE">
      <w:pPr>
        <w:spacing w:line="360" w:lineRule="auto"/>
        <w:rPr>
          <w:rFonts w:ascii="Garamond" w:eastAsia="Times New Roman" w:hAnsi="Garamond"/>
          <w:sz w:val="22"/>
          <w:szCs w:val="22"/>
        </w:rPr>
      </w:pPr>
    </w:p>
    <w:p w14:paraId="658B4B12"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Although it is not entirely clear what each of Mencius’s points amount to, the overall message seems to be this: “knowing words” entails knowing answers to questions such as why a person is ‘obscured’, given his utterances </w:t>
      </w:r>
      <w:r w:rsidRPr="00031381">
        <w:rPr>
          <w:rFonts w:ascii="Garamond" w:eastAsia="Times New Roman" w:hAnsi="Garamond"/>
          <w:sz w:val="22"/>
          <w:szCs w:val="22"/>
        </w:rPr>
        <w:lastRenderedPageBreak/>
        <w:t>in a specific situation, or what he has ‘sunk into’, why he is ‘separated from the Way’, etc. But knowledge of answers to such questions is propositional (cf. Stanley &amp; Williamson 2001; Stanley 2011; Farkas 2017). When Mencius knows why someone is separated from the Way, then he knows a proposition p, the content of which states the reason why someone is separated from the Way. Hence, when Mencius suggests that “knowing words” amounts to knowing answers to such questions, then he is in effect saying that “knowing words” amounts to having propositional knowledge.</w:t>
      </w:r>
    </w:p>
    <w:p w14:paraId="2BCBDE90" w14:textId="77777777" w:rsidR="00120BCE" w:rsidRPr="00031381" w:rsidRDefault="00120BCE">
      <w:pPr>
        <w:spacing w:line="360" w:lineRule="auto"/>
        <w:rPr>
          <w:rFonts w:ascii="Garamond" w:eastAsia="Times New Roman" w:hAnsi="Garamond"/>
          <w:sz w:val="22"/>
          <w:szCs w:val="22"/>
        </w:rPr>
      </w:pPr>
    </w:p>
    <w:p w14:paraId="4725F8CD"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It therefore seems to me at least</w:t>
      </w:r>
      <w:r w:rsidRPr="00031381">
        <w:rPr>
          <w:rFonts w:ascii="Garamond" w:eastAsia="Times New Roman" w:hAnsi="Garamond"/>
          <w:i/>
          <w:iCs/>
          <w:sz w:val="22"/>
          <w:szCs w:val="22"/>
        </w:rPr>
        <w:t xml:space="preserve"> prima facie</w:t>
      </w:r>
      <w:r w:rsidRPr="00031381">
        <w:rPr>
          <w:rFonts w:ascii="Garamond" w:eastAsia="Times New Roman" w:hAnsi="Garamond"/>
          <w:sz w:val="22"/>
          <w:szCs w:val="22"/>
        </w:rPr>
        <w:t xml:space="preserve"> plausible</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that in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expressions like “knowing X” can sometimes be used to attribute to a person knowledge-</w:t>
      </w:r>
      <w:r w:rsidRPr="00031381">
        <w:rPr>
          <w:rFonts w:ascii="Garamond" w:eastAsia="Times New Roman" w:hAnsi="Garamond"/>
          <w:i/>
          <w:iCs/>
          <w:sz w:val="22"/>
          <w:szCs w:val="22"/>
        </w:rPr>
        <w:t>that</w:t>
      </w:r>
      <w:r w:rsidRPr="00031381">
        <w:rPr>
          <w:rFonts w:ascii="Garamond" w:eastAsia="Times New Roman" w:hAnsi="Garamond"/>
          <w:sz w:val="22"/>
          <w:szCs w:val="22"/>
        </w:rPr>
        <w:t xml:space="preserve"> X is such-and-such – or, put differently, they can be used to attribute propositional knowledge.</w:t>
      </w:r>
      <w:r w:rsidRPr="00031381">
        <w:rPr>
          <w:rFonts w:ascii="Garamond" w:eastAsia="Times New Roman" w:hAnsi="Garamond"/>
          <w:i/>
          <w:iCs/>
          <w:sz w:val="22"/>
          <w:szCs w:val="22"/>
        </w:rPr>
        <w:t xml:space="preserve"> </w:t>
      </w:r>
      <w:r w:rsidRPr="00031381">
        <w:rPr>
          <w:rFonts w:ascii="Garamond" w:eastAsia="Times New Roman" w:hAnsi="Garamond"/>
          <w:sz w:val="22"/>
          <w:szCs w:val="22"/>
        </w:rPr>
        <w:t>This contrasts with “knowing X” expressions that are more naturally read as attributing knowing-how – as in, when Mencius says that Yi Yin knows-how to reform the ruler by virtue of his knowledge of the Way (5B7). But if so, does this mean that there are two philosophically distinct kinds of objectual knowledge in the</w:t>
      </w:r>
      <w:r w:rsidRPr="00031381">
        <w:rPr>
          <w:rFonts w:ascii="Garamond" w:eastAsia="Times New Roman" w:hAnsi="Garamond"/>
          <w:i/>
          <w:iCs/>
          <w:sz w:val="22"/>
          <w:szCs w:val="22"/>
        </w:rPr>
        <w:t xml:space="preserve"> Mencius </w:t>
      </w:r>
      <w:r w:rsidRPr="00031381">
        <w:rPr>
          <w:rFonts w:ascii="Garamond" w:eastAsia="Times New Roman" w:hAnsi="Garamond"/>
          <w:sz w:val="22"/>
          <w:szCs w:val="22"/>
        </w:rPr>
        <w:t>– namely, knowing X</w:t>
      </w:r>
      <w:r w:rsidRPr="00031381">
        <w:rPr>
          <w:rFonts w:ascii="Garamond" w:eastAsia="Times New Roman" w:hAnsi="Garamond"/>
          <w:i/>
          <w:iCs/>
          <w:sz w:val="22"/>
          <w:szCs w:val="22"/>
        </w:rPr>
        <w:t xml:space="preserve"> qua</w:t>
      </w:r>
      <w:r w:rsidRPr="00031381">
        <w:rPr>
          <w:rFonts w:ascii="Garamond" w:eastAsia="Times New Roman" w:hAnsi="Garamond"/>
          <w:sz w:val="22"/>
          <w:szCs w:val="22"/>
        </w:rPr>
        <w:t xml:space="preserve"> knowing-that X is F and knowing X</w:t>
      </w:r>
      <w:r w:rsidRPr="00031381">
        <w:rPr>
          <w:rFonts w:ascii="Garamond" w:eastAsia="Times New Roman" w:hAnsi="Garamond"/>
          <w:i/>
          <w:iCs/>
          <w:sz w:val="22"/>
          <w:szCs w:val="22"/>
        </w:rPr>
        <w:t xml:space="preserve"> qua</w:t>
      </w:r>
      <w:r w:rsidRPr="00031381">
        <w:rPr>
          <w:rFonts w:ascii="Garamond" w:eastAsia="Times New Roman" w:hAnsi="Garamond"/>
          <w:sz w:val="22"/>
          <w:szCs w:val="22"/>
        </w:rPr>
        <w:t xml:space="preserve"> knowing-how to act in X-related ways?</w:t>
      </w:r>
    </w:p>
    <w:p w14:paraId="16C6BD0C" w14:textId="77777777" w:rsidR="00120BCE" w:rsidRPr="00031381" w:rsidRDefault="00120BCE">
      <w:pPr>
        <w:spacing w:line="360" w:lineRule="auto"/>
        <w:rPr>
          <w:rFonts w:ascii="Garamond" w:eastAsia="Times New Roman" w:hAnsi="Garamond"/>
          <w:sz w:val="22"/>
          <w:szCs w:val="22"/>
        </w:rPr>
      </w:pPr>
    </w:p>
    <w:p w14:paraId="614F3067" w14:textId="77777777" w:rsidR="00120BCE" w:rsidRPr="00031381" w:rsidRDefault="00000000">
      <w:pPr>
        <w:spacing w:line="360" w:lineRule="auto"/>
        <w:rPr>
          <w:rFonts w:ascii="Garamond" w:hAnsi="Garamond"/>
          <w:b/>
          <w:bCs/>
          <w:sz w:val="22"/>
          <w:szCs w:val="22"/>
        </w:rPr>
      </w:pPr>
      <w:r w:rsidRPr="00031381">
        <w:rPr>
          <w:rFonts w:ascii="Garamond" w:hAnsi="Garamond"/>
          <w:b/>
          <w:bCs/>
          <w:sz w:val="22"/>
          <w:szCs w:val="22"/>
        </w:rPr>
        <w:t xml:space="preserve">2.2 Knowing </w:t>
      </w:r>
      <w:r w:rsidRPr="00031381">
        <w:rPr>
          <w:rFonts w:ascii="Garamond" w:hAnsi="Garamond"/>
          <w:b/>
          <w:bCs/>
          <w:i/>
          <w:iCs/>
          <w:sz w:val="22"/>
          <w:szCs w:val="22"/>
        </w:rPr>
        <w:t>Things</w:t>
      </w:r>
      <w:r w:rsidRPr="00031381">
        <w:rPr>
          <w:rFonts w:ascii="Garamond" w:hAnsi="Garamond"/>
          <w:b/>
          <w:bCs/>
          <w:sz w:val="22"/>
          <w:szCs w:val="22"/>
        </w:rPr>
        <w:t xml:space="preserve">: One or Two Kinds in </w:t>
      </w:r>
      <w:proofErr w:type="gramStart"/>
      <w:r w:rsidRPr="00031381">
        <w:rPr>
          <w:rFonts w:ascii="Garamond" w:hAnsi="Garamond"/>
          <w:b/>
          <w:bCs/>
          <w:sz w:val="22"/>
          <w:szCs w:val="22"/>
        </w:rPr>
        <w:t xml:space="preserve">the </w:t>
      </w:r>
      <w:r w:rsidRPr="00031381">
        <w:rPr>
          <w:rFonts w:ascii="Garamond" w:hAnsi="Garamond"/>
          <w:b/>
          <w:bCs/>
          <w:i/>
          <w:iCs/>
          <w:sz w:val="22"/>
          <w:szCs w:val="22"/>
        </w:rPr>
        <w:t>Mencius</w:t>
      </w:r>
      <w:proofErr w:type="gramEnd"/>
      <w:r w:rsidRPr="00031381">
        <w:rPr>
          <w:rFonts w:ascii="Garamond" w:hAnsi="Garamond"/>
          <w:b/>
          <w:bCs/>
          <w:sz w:val="22"/>
          <w:szCs w:val="22"/>
        </w:rPr>
        <w:t>?</w:t>
      </w:r>
    </w:p>
    <w:p w14:paraId="3600BE5A" w14:textId="77777777" w:rsidR="00120BCE" w:rsidRPr="00031381" w:rsidRDefault="00120BCE">
      <w:pPr>
        <w:spacing w:line="360" w:lineRule="auto"/>
        <w:rPr>
          <w:rFonts w:ascii="Garamond" w:eastAsia="Times New Roman" w:hAnsi="Garamond"/>
          <w:sz w:val="22"/>
          <w:szCs w:val="22"/>
        </w:rPr>
      </w:pPr>
    </w:p>
    <w:p w14:paraId="559361DA"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One might propose the following answer. Yes, there are two kinds of objectual knowledge in </w:t>
      </w:r>
      <w:proofErr w:type="gramStart"/>
      <w:r w:rsidRPr="00031381">
        <w:rPr>
          <w:rFonts w:ascii="Garamond" w:eastAsia="Times New Roman" w:hAnsi="Garamond"/>
          <w:sz w:val="22"/>
          <w:szCs w:val="22"/>
        </w:rPr>
        <w:t xml:space="preserve">the </w:t>
      </w:r>
      <w:r w:rsidRPr="00031381">
        <w:rPr>
          <w:rFonts w:ascii="Garamond" w:eastAsia="Times New Roman" w:hAnsi="Garamond"/>
          <w:i/>
          <w:iCs/>
          <w:sz w:val="22"/>
          <w:szCs w:val="22"/>
        </w:rPr>
        <w:t>Mencius</w:t>
      </w:r>
      <w:proofErr w:type="gramEnd"/>
      <w:r w:rsidRPr="00031381">
        <w:rPr>
          <w:rFonts w:ascii="Garamond" w:eastAsia="Times New Roman" w:hAnsi="Garamond"/>
          <w:sz w:val="22"/>
          <w:szCs w:val="22"/>
        </w:rPr>
        <w:t xml:space="preserve">. This is a view hinted at by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although not developed any further (</w:t>
      </w:r>
      <w:proofErr w:type="spellStart"/>
      <w:r w:rsidRPr="00031381">
        <w:rPr>
          <w:rFonts w:ascii="Garamond" w:eastAsia="Times New Roman" w:hAnsi="Garamond"/>
          <w:sz w:val="22"/>
          <w:szCs w:val="22"/>
        </w:rPr>
        <w:t>Harbsmeier</w:t>
      </w:r>
      <w:proofErr w:type="spellEnd"/>
      <w:r w:rsidRPr="00031381">
        <w:rPr>
          <w:rFonts w:ascii="Garamond" w:eastAsia="Times New Roman" w:hAnsi="Garamond"/>
          <w:sz w:val="22"/>
          <w:szCs w:val="22"/>
        </w:rPr>
        <w:t xml:space="preserve"> 1998: 247). My own proposal is to say that that there is only one kind of objectual knowledge, namely </w:t>
      </w:r>
      <w:proofErr w:type="spellStart"/>
      <w:r w:rsidRPr="00031381">
        <w:rPr>
          <w:rFonts w:ascii="Garamond" w:eastAsia="Times New Roman" w:hAnsi="Garamond"/>
          <w:i/>
          <w:iCs/>
          <w:sz w:val="22"/>
          <w:szCs w:val="22"/>
        </w:rPr>
        <w:t>Practicalist</w:t>
      </w:r>
      <w:proofErr w:type="spellEnd"/>
      <w:r w:rsidRPr="00031381">
        <w:rPr>
          <w:rFonts w:ascii="Garamond" w:eastAsia="Times New Roman" w:hAnsi="Garamond"/>
          <w:i/>
          <w:iCs/>
          <w:sz w:val="22"/>
          <w:szCs w:val="22"/>
        </w:rPr>
        <w:t xml:space="preserve"> Objectual Knowledge</w:t>
      </w:r>
      <w:r w:rsidRPr="00031381">
        <w:rPr>
          <w:rFonts w:ascii="Garamond" w:eastAsia="Times New Roman" w:hAnsi="Garamond"/>
          <w:sz w:val="22"/>
          <w:szCs w:val="22"/>
        </w:rPr>
        <w:t xml:space="preserve"> – that is, all “knowing X” expressions refer to an agent’s knowing-how. The suggestion is, however, that Mencius’s </w:t>
      </w:r>
      <w:proofErr w:type="spellStart"/>
      <w:r w:rsidRPr="00031381">
        <w:rPr>
          <w:rFonts w:ascii="Garamond" w:eastAsia="Times New Roman" w:hAnsi="Garamond"/>
          <w:sz w:val="22"/>
          <w:szCs w:val="22"/>
        </w:rPr>
        <w:t>practicalism</w:t>
      </w:r>
      <w:proofErr w:type="spellEnd"/>
      <w:r w:rsidRPr="00031381">
        <w:rPr>
          <w:rFonts w:ascii="Garamond" w:eastAsia="Times New Roman" w:hAnsi="Garamond"/>
          <w:sz w:val="22"/>
          <w:szCs w:val="22"/>
        </w:rPr>
        <w:t xml:space="preserve"> is more nuanced than has been hitherto assumed.</w:t>
      </w:r>
    </w:p>
    <w:p w14:paraId="121DDC43" w14:textId="77777777" w:rsidR="00120BCE" w:rsidRPr="00031381" w:rsidRDefault="00120BCE">
      <w:pPr>
        <w:spacing w:line="360" w:lineRule="auto"/>
        <w:rPr>
          <w:rFonts w:ascii="Garamond" w:eastAsia="Times New Roman" w:hAnsi="Garamond"/>
          <w:sz w:val="22"/>
          <w:szCs w:val="22"/>
        </w:rPr>
      </w:pPr>
    </w:p>
    <w:p w14:paraId="1E97B7AE"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What I mean is this. All the passages that I have cited thus far are only counterexamples against the following view: if I know ritual, then I know how to perform rituals, and if I know the Way, then I know how to put the Way into practice. The textual evidence suggests that, at least sometimes, if I know ritual, then I know</w:t>
      </w:r>
      <w:r w:rsidRPr="00031381">
        <w:rPr>
          <w:rFonts w:ascii="Garamond" w:eastAsia="Times New Roman" w:hAnsi="Garamond"/>
          <w:i/>
          <w:iCs/>
          <w:sz w:val="22"/>
          <w:szCs w:val="22"/>
        </w:rPr>
        <w:t xml:space="preserve"> about</w:t>
      </w:r>
      <w:r w:rsidRPr="00031381">
        <w:rPr>
          <w:rFonts w:ascii="Garamond" w:eastAsia="Times New Roman" w:hAnsi="Garamond"/>
          <w:sz w:val="22"/>
          <w:szCs w:val="22"/>
        </w:rPr>
        <w:t xml:space="preserve"> ritual (i.e., I know that ritual is such-and-such). This contradicts the view mentioned above, because knowing </w:t>
      </w:r>
      <w:r w:rsidRPr="00031381">
        <w:rPr>
          <w:rFonts w:ascii="Garamond" w:eastAsia="Times New Roman" w:hAnsi="Garamond"/>
          <w:i/>
          <w:iCs/>
          <w:sz w:val="22"/>
          <w:szCs w:val="22"/>
        </w:rPr>
        <w:t xml:space="preserve">about </w:t>
      </w:r>
      <w:r w:rsidRPr="00031381">
        <w:rPr>
          <w:rFonts w:ascii="Garamond" w:eastAsia="Times New Roman" w:hAnsi="Garamond"/>
          <w:sz w:val="22"/>
          <w:szCs w:val="22"/>
        </w:rPr>
        <w:t xml:space="preserve">ritual and knowing </w:t>
      </w:r>
      <w:r w:rsidRPr="00031381">
        <w:rPr>
          <w:rFonts w:ascii="Garamond" w:eastAsia="Times New Roman" w:hAnsi="Garamond"/>
          <w:i/>
          <w:iCs/>
          <w:sz w:val="22"/>
          <w:szCs w:val="22"/>
        </w:rPr>
        <w:t>how to perform</w:t>
      </w:r>
      <w:r w:rsidRPr="00031381">
        <w:rPr>
          <w:rFonts w:ascii="Garamond" w:eastAsia="Times New Roman" w:hAnsi="Garamond"/>
          <w:sz w:val="22"/>
          <w:szCs w:val="22"/>
        </w:rPr>
        <w:t xml:space="preserve"> rituals is evidently not the same.</w:t>
      </w:r>
      <w:r w:rsidRPr="00031381">
        <w:rPr>
          <w:rStyle w:val="FootnoteAnchor"/>
          <w:rFonts w:ascii="Garamond" w:eastAsia="Times New Roman" w:hAnsi="Garamond"/>
          <w:sz w:val="22"/>
          <w:szCs w:val="22"/>
        </w:rPr>
        <w:footnoteReference w:id="12"/>
      </w:r>
    </w:p>
    <w:p w14:paraId="3D6E50AC" w14:textId="77777777" w:rsidR="00120BCE" w:rsidRPr="00031381" w:rsidRDefault="00120BCE">
      <w:pPr>
        <w:spacing w:line="360" w:lineRule="auto"/>
        <w:rPr>
          <w:rFonts w:ascii="Garamond" w:eastAsia="Times New Roman" w:hAnsi="Garamond"/>
          <w:sz w:val="22"/>
          <w:szCs w:val="22"/>
        </w:rPr>
      </w:pPr>
    </w:p>
    <w:p w14:paraId="4C19B4BE"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However, a more nuanced </w:t>
      </w:r>
      <w:proofErr w:type="spellStart"/>
      <w:r w:rsidRPr="00031381">
        <w:rPr>
          <w:rFonts w:ascii="Garamond" w:eastAsia="Times New Roman" w:hAnsi="Garamond"/>
          <w:sz w:val="22"/>
          <w:szCs w:val="22"/>
        </w:rPr>
        <w:t>practicalism</w:t>
      </w:r>
      <w:proofErr w:type="spellEnd"/>
      <w:r w:rsidRPr="00031381">
        <w:rPr>
          <w:rFonts w:ascii="Garamond" w:eastAsia="Times New Roman" w:hAnsi="Garamond"/>
          <w:sz w:val="22"/>
          <w:szCs w:val="22"/>
        </w:rPr>
        <w:t xml:space="preserve"> can avoid this problem. Roughly, if “knowing X” just </w:t>
      </w:r>
      <w:r w:rsidRPr="00031381">
        <w:rPr>
          <w:rFonts w:ascii="Garamond" w:eastAsia="Times New Roman" w:hAnsi="Garamond"/>
          <w:i/>
          <w:iCs/>
          <w:sz w:val="22"/>
          <w:szCs w:val="22"/>
        </w:rPr>
        <w:t>is</w:t>
      </w:r>
      <w:r w:rsidRPr="00031381">
        <w:rPr>
          <w:rFonts w:ascii="Garamond" w:eastAsia="Times New Roman" w:hAnsi="Garamond"/>
          <w:sz w:val="22"/>
          <w:szCs w:val="22"/>
        </w:rPr>
        <w:t xml:space="preserve"> knowing-how to act in X-related ways, then in those cases where an agent’s knowing X seems to be a kind of knowing-that X is F, I suggest that the agent has a corresponding set of </w:t>
      </w:r>
      <w:r w:rsidRPr="00031381">
        <w:rPr>
          <w:rFonts w:ascii="Garamond" w:eastAsia="Times New Roman" w:hAnsi="Garamond"/>
          <w:i/>
          <w:iCs/>
          <w:sz w:val="22"/>
          <w:szCs w:val="22"/>
        </w:rPr>
        <w:t>belief-</w:t>
      </w:r>
      <w:r w:rsidRPr="00031381">
        <w:rPr>
          <w:rFonts w:ascii="Garamond" w:eastAsia="Times New Roman" w:hAnsi="Garamond"/>
          <w:sz w:val="22"/>
          <w:szCs w:val="22"/>
        </w:rPr>
        <w:t xml:space="preserve">related capacities that she can manifest in belief-related intelligent actions. What do I mean by belief-related capacities? They are capacities we would normally associate with the agent’s state of belief – be it a capacity to </w:t>
      </w:r>
      <w:r w:rsidRPr="00031381">
        <w:rPr>
          <w:rFonts w:ascii="Garamond" w:eastAsia="Times New Roman" w:hAnsi="Garamond"/>
          <w:i/>
          <w:iCs/>
          <w:sz w:val="22"/>
          <w:szCs w:val="22"/>
        </w:rPr>
        <w:t>use</w:t>
      </w:r>
      <w:r w:rsidRPr="00031381">
        <w:rPr>
          <w:rFonts w:ascii="Garamond" w:eastAsia="Times New Roman" w:hAnsi="Garamond"/>
          <w:sz w:val="22"/>
          <w:szCs w:val="22"/>
        </w:rPr>
        <w:t xml:space="preserve"> her beliefs in drawing inferences, making decisions, etc., or </w:t>
      </w:r>
      <w:r w:rsidRPr="00031381">
        <w:rPr>
          <w:rFonts w:ascii="Garamond" w:eastAsia="Times New Roman" w:hAnsi="Garamond"/>
          <w:sz w:val="22"/>
          <w:szCs w:val="22"/>
        </w:rPr>
        <w:lastRenderedPageBreak/>
        <w:t xml:space="preserve">a capacity to </w:t>
      </w:r>
      <w:r w:rsidRPr="00031381">
        <w:rPr>
          <w:rFonts w:ascii="Garamond" w:eastAsia="Times New Roman" w:hAnsi="Garamond"/>
          <w:i/>
          <w:iCs/>
          <w:sz w:val="22"/>
          <w:szCs w:val="22"/>
        </w:rPr>
        <w:t>form</w:t>
      </w:r>
      <w:r w:rsidRPr="00031381">
        <w:rPr>
          <w:rFonts w:ascii="Garamond" w:eastAsia="Times New Roman" w:hAnsi="Garamond"/>
          <w:sz w:val="22"/>
          <w:szCs w:val="22"/>
        </w:rPr>
        <w:t xml:space="preserve"> beliefs given the available evidence, or to </w:t>
      </w:r>
      <w:r w:rsidRPr="00031381">
        <w:rPr>
          <w:rFonts w:ascii="Garamond" w:eastAsia="Times New Roman" w:hAnsi="Garamond"/>
          <w:i/>
          <w:iCs/>
          <w:sz w:val="22"/>
          <w:szCs w:val="22"/>
        </w:rPr>
        <w:t>question</w:t>
      </w:r>
      <w:r w:rsidRPr="00031381">
        <w:rPr>
          <w:rFonts w:ascii="Garamond" w:eastAsia="Times New Roman" w:hAnsi="Garamond"/>
          <w:sz w:val="22"/>
          <w:szCs w:val="22"/>
        </w:rPr>
        <w:t xml:space="preserve"> already existing beliefs.</w:t>
      </w:r>
      <w:r w:rsidRPr="00031381">
        <w:rPr>
          <w:rStyle w:val="FootnoteAnchor"/>
          <w:rFonts w:ascii="Garamond" w:eastAsia="Times New Roman" w:hAnsi="Garamond"/>
          <w:sz w:val="22"/>
          <w:szCs w:val="22"/>
        </w:rPr>
        <w:footnoteReference w:id="13"/>
      </w:r>
      <w:r w:rsidRPr="00031381">
        <w:rPr>
          <w:rFonts w:ascii="Garamond" w:eastAsia="Times New Roman" w:hAnsi="Garamond"/>
          <w:sz w:val="22"/>
          <w:szCs w:val="22"/>
        </w:rPr>
        <w:t xml:space="preserve"> For example, when </w:t>
      </w:r>
      <w:proofErr w:type="spellStart"/>
      <w:r w:rsidRPr="00031381">
        <w:rPr>
          <w:rFonts w:ascii="Garamond" w:eastAsia="Times New Roman" w:hAnsi="Garamond"/>
          <w:sz w:val="22"/>
          <w:szCs w:val="22"/>
        </w:rPr>
        <w:t>Gongduzi</w:t>
      </w:r>
      <w:proofErr w:type="spellEnd"/>
      <w:r w:rsidRPr="00031381">
        <w:rPr>
          <w:rFonts w:ascii="Garamond" w:eastAsia="Times New Roman" w:hAnsi="Garamond"/>
          <w:sz w:val="22"/>
          <w:szCs w:val="22"/>
        </w:rPr>
        <w:t xml:space="preserve"> confidently asserts that righteousness is internal (6A5), epistemologists would standardly take </w:t>
      </w:r>
      <w:proofErr w:type="spellStart"/>
      <w:r w:rsidRPr="00031381">
        <w:rPr>
          <w:rFonts w:ascii="Garamond" w:eastAsia="Times New Roman" w:hAnsi="Garamond"/>
          <w:sz w:val="22"/>
          <w:szCs w:val="22"/>
        </w:rPr>
        <w:t>Gongduzi</w:t>
      </w:r>
      <w:proofErr w:type="spellEnd"/>
      <w:r w:rsidRPr="00031381">
        <w:rPr>
          <w:rFonts w:ascii="Garamond" w:eastAsia="Times New Roman" w:hAnsi="Garamond"/>
          <w:sz w:val="22"/>
          <w:szCs w:val="22"/>
        </w:rPr>
        <w:t xml:space="preserve"> to be capable of making such assertions by virtue of his belief that righteousness is internal – a belief that he expresses by asserting that righteousness is internal. If we were to say that </w:t>
      </w:r>
      <w:proofErr w:type="spellStart"/>
      <w:r w:rsidRPr="00031381">
        <w:rPr>
          <w:rFonts w:ascii="Garamond" w:eastAsia="Times New Roman" w:hAnsi="Garamond"/>
          <w:sz w:val="22"/>
          <w:szCs w:val="22"/>
        </w:rPr>
        <w:t>Gongduzi</w:t>
      </w:r>
      <w:proofErr w:type="spellEnd"/>
      <w:r w:rsidRPr="00031381">
        <w:rPr>
          <w:rFonts w:ascii="Garamond" w:eastAsia="Times New Roman" w:hAnsi="Garamond"/>
          <w:sz w:val="22"/>
          <w:szCs w:val="22"/>
        </w:rPr>
        <w:t xml:space="preserve"> “knows righteousness” just in case he </w:t>
      </w:r>
      <w:proofErr w:type="gramStart"/>
      <w:r w:rsidRPr="00031381">
        <w:rPr>
          <w:rFonts w:ascii="Garamond" w:eastAsia="Times New Roman" w:hAnsi="Garamond"/>
          <w:sz w:val="22"/>
          <w:szCs w:val="22"/>
        </w:rPr>
        <w:t>is capable of making</w:t>
      </w:r>
      <w:proofErr w:type="gramEnd"/>
      <w:r w:rsidRPr="00031381">
        <w:rPr>
          <w:rFonts w:ascii="Garamond" w:eastAsia="Times New Roman" w:hAnsi="Garamond"/>
          <w:sz w:val="22"/>
          <w:szCs w:val="22"/>
        </w:rPr>
        <w:t xml:space="preserve"> true assertions about righteousness, then we would thereby ascribe to him a </w:t>
      </w:r>
      <w:r w:rsidRPr="00031381">
        <w:rPr>
          <w:rFonts w:ascii="Garamond" w:eastAsia="Times New Roman" w:hAnsi="Garamond"/>
          <w:i/>
          <w:iCs/>
          <w:sz w:val="22"/>
          <w:szCs w:val="22"/>
        </w:rPr>
        <w:t>belief</w:t>
      </w:r>
      <w:r w:rsidRPr="00031381">
        <w:rPr>
          <w:rFonts w:ascii="Garamond" w:eastAsia="Times New Roman" w:hAnsi="Garamond"/>
          <w:sz w:val="22"/>
          <w:szCs w:val="22"/>
        </w:rPr>
        <w:t>-related capacity to act in righteousness-related ways.</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Hence, </w:t>
      </w:r>
      <w:proofErr w:type="spellStart"/>
      <w:r w:rsidRPr="00031381">
        <w:rPr>
          <w:rFonts w:ascii="Garamond" w:eastAsia="Times New Roman" w:hAnsi="Garamond"/>
          <w:sz w:val="22"/>
          <w:szCs w:val="22"/>
        </w:rPr>
        <w:t>Gongduzi</w:t>
      </w:r>
      <w:proofErr w:type="spellEnd"/>
      <w:r w:rsidRPr="00031381">
        <w:rPr>
          <w:rFonts w:ascii="Garamond" w:eastAsia="Times New Roman" w:hAnsi="Garamond"/>
          <w:sz w:val="22"/>
          <w:szCs w:val="22"/>
        </w:rPr>
        <w:t xml:space="preserve"> might have a bundle of capacities, some belief-related and some not, that jointly constitute his overall capacity to act in righteousness-related ways – that is, they jointly constitute his “knowing righteousness.”</w:t>
      </w:r>
      <w:r w:rsidRPr="00031381">
        <w:rPr>
          <w:rStyle w:val="FootnoteAnchor"/>
          <w:rFonts w:ascii="Garamond" w:eastAsia="Times New Roman" w:hAnsi="Garamond"/>
          <w:sz w:val="22"/>
          <w:szCs w:val="22"/>
        </w:rPr>
        <w:footnoteReference w:id="14"/>
      </w:r>
    </w:p>
    <w:p w14:paraId="1137CA32" w14:textId="77777777" w:rsidR="00120BCE" w:rsidRPr="00031381" w:rsidRDefault="00120BCE">
      <w:pPr>
        <w:spacing w:line="360" w:lineRule="auto"/>
        <w:rPr>
          <w:rFonts w:ascii="Garamond" w:eastAsia="Times New Roman" w:hAnsi="Garamond"/>
          <w:sz w:val="22"/>
          <w:szCs w:val="22"/>
        </w:rPr>
      </w:pPr>
    </w:p>
    <w:p w14:paraId="2454AC98"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These are just outlines of one account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objectual knowledge – a specifically </w:t>
      </w:r>
      <w:proofErr w:type="spellStart"/>
      <w:r w:rsidRPr="00031381">
        <w:rPr>
          <w:rFonts w:ascii="Garamond" w:eastAsia="Times New Roman" w:hAnsi="Garamond"/>
          <w:i/>
          <w:iCs/>
          <w:sz w:val="22"/>
          <w:szCs w:val="22"/>
        </w:rPr>
        <w:t>practicalist</w:t>
      </w:r>
      <w:proofErr w:type="spellEnd"/>
      <w:r w:rsidRPr="00031381">
        <w:rPr>
          <w:rFonts w:ascii="Garamond" w:eastAsia="Times New Roman" w:hAnsi="Garamond"/>
          <w:sz w:val="22"/>
          <w:szCs w:val="22"/>
        </w:rPr>
        <w:t xml:space="preserve"> one. Although I cannot provide a complete defense of it here, I hope to have shown that it can explain why there is almost unanimous agreement among scholars that at least some “knowing X” in </w:t>
      </w:r>
      <w:proofErr w:type="gramStart"/>
      <w:r w:rsidRPr="00031381">
        <w:rPr>
          <w:rFonts w:ascii="Garamond" w:eastAsia="Times New Roman" w:hAnsi="Garamond"/>
          <w:sz w:val="22"/>
          <w:szCs w:val="22"/>
        </w:rPr>
        <w:t xml:space="preserve">the </w:t>
      </w:r>
      <w:r w:rsidRPr="00031381">
        <w:rPr>
          <w:rFonts w:ascii="Garamond" w:eastAsia="Times New Roman" w:hAnsi="Garamond"/>
          <w:i/>
          <w:iCs/>
          <w:sz w:val="22"/>
          <w:szCs w:val="22"/>
        </w:rPr>
        <w:t>Mencius</w:t>
      </w:r>
      <w:proofErr w:type="gramEnd"/>
      <w:r w:rsidRPr="00031381">
        <w:rPr>
          <w:rFonts w:ascii="Garamond" w:eastAsia="Times New Roman" w:hAnsi="Garamond"/>
          <w:sz w:val="22"/>
          <w:szCs w:val="22"/>
        </w:rPr>
        <w:t xml:space="preserve"> is to be read as knowing-how to act in X-related ways. The view that “knowing X” might be knowledge-how deserves to be explored further, and, given that it is not a view that has received much attention by contemporary epistemologists, it has potential to contribute to current debates on objectual knowledge.</w:t>
      </w:r>
    </w:p>
    <w:p w14:paraId="5F6E012F" w14:textId="77777777" w:rsidR="00120BCE" w:rsidRPr="00031381" w:rsidRDefault="00120BCE">
      <w:pPr>
        <w:spacing w:line="360" w:lineRule="auto"/>
        <w:rPr>
          <w:rFonts w:ascii="Garamond" w:eastAsia="Times New Roman" w:hAnsi="Garamond"/>
          <w:sz w:val="22"/>
          <w:szCs w:val="22"/>
        </w:rPr>
      </w:pPr>
    </w:p>
    <w:p w14:paraId="1A304A3C" w14:textId="77777777" w:rsidR="00120BCE" w:rsidRPr="00031381" w:rsidRDefault="00000000">
      <w:pPr>
        <w:spacing w:line="360" w:lineRule="auto"/>
        <w:rPr>
          <w:rFonts w:ascii="Garamond" w:eastAsia="Times New Roman" w:hAnsi="Garamond"/>
          <w:b/>
          <w:bCs/>
          <w:sz w:val="22"/>
          <w:szCs w:val="22"/>
        </w:rPr>
      </w:pPr>
      <w:r w:rsidRPr="00031381">
        <w:rPr>
          <w:rFonts w:ascii="Garamond" w:eastAsia="Times New Roman" w:hAnsi="Garamond"/>
          <w:b/>
          <w:bCs/>
          <w:sz w:val="22"/>
          <w:szCs w:val="22"/>
        </w:rPr>
        <w:t>3. Mencius, Intellectual Virtue, and Virtue Epistemology</w:t>
      </w:r>
    </w:p>
    <w:p w14:paraId="499C9153" w14:textId="77777777" w:rsidR="00120BCE" w:rsidRPr="00031381" w:rsidRDefault="00120BCE">
      <w:pPr>
        <w:spacing w:line="360" w:lineRule="auto"/>
        <w:rPr>
          <w:rFonts w:ascii="Garamond" w:eastAsia="Times New Roman" w:hAnsi="Garamond"/>
          <w:sz w:val="22"/>
          <w:szCs w:val="22"/>
        </w:rPr>
      </w:pPr>
    </w:p>
    <w:p w14:paraId="167FF978"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In this section I move away from the question concerning what objectual knowledge</w:t>
      </w:r>
      <w:r w:rsidRPr="00031381">
        <w:rPr>
          <w:rFonts w:ascii="Garamond" w:eastAsia="Times New Roman" w:hAnsi="Garamond"/>
          <w:i/>
          <w:iCs/>
          <w:sz w:val="22"/>
          <w:szCs w:val="22"/>
        </w:rPr>
        <w:t xml:space="preserve"> is</w:t>
      </w:r>
      <w:r w:rsidRPr="00031381">
        <w:rPr>
          <w:rFonts w:ascii="Garamond" w:eastAsia="Times New Roman" w:hAnsi="Garamond"/>
          <w:sz w:val="22"/>
          <w:szCs w:val="22"/>
        </w:rPr>
        <w:t xml:space="preserve"> to how we come to</w:t>
      </w:r>
      <w:r w:rsidRPr="00031381">
        <w:rPr>
          <w:rFonts w:ascii="Garamond" w:eastAsia="Times New Roman" w:hAnsi="Garamond"/>
          <w:i/>
          <w:iCs/>
          <w:sz w:val="22"/>
          <w:szCs w:val="22"/>
        </w:rPr>
        <w:t xml:space="preserve"> acquire</w:t>
      </w:r>
      <w:r w:rsidRPr="00031381">
        <w:rPr>
          <w:rFonts w:ascii="Garamond" w:eastAsia="Times New Roman" w:hAnsi="Garamond"/>
          <w:sz w:val="22"/>
          <w:szCs w:val="22"/>
        </w:rPr>
        <w:t xml:space="preserve"> it – more specifically, I consider the role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intellectual virtue in knowledge acquisition.</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The closest term in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that corresponds to the notion of an intellectual virtue is the term </w:t>
      </w:r>
      <w:proofErr w:type="spellStart"/>
      <w:r w:rsidRPr="00031381">
        <w:rPr>
          <w:rFonts w:ascii="Garamond" w:eastAsia="Times New Roman" w:hAnsi="Garamond"/>
          <w:i/>
          <w:iCs/>
          <w:sz w:val="22"/>
          <w:szCs w:val="22"/>
        </w:rPr>
        <w:t>zhi</w:t>
      </w:r>
      <w:proofErr w:type="spellEnd"/>
      <w:r w:rsidRPr="00031381">
        <w:rPr>
          <w:rFonts w:ascii="Garamond" w:eastAsia="Times New Roman" w:hAnsi="Garamond"/>
          <w:sz w:val="22"/>
          <w:szCs w:val="22"/>
        </w:rPr>
        <w:t xml:space="preserve"> </w:t>
      </w:r>
      <w:r w:rsidRPr="00031381">
        <w:rPr>
          <w:rFonts w:ascii="Garamond" w:eastAsia="SimSun" w:hAnsi="Garamond" w:cs="SimSun"/>
          <w:sz w:val="22"/>
          <w:szCs w:val="22"/>
        </w:rPr>
        <w:t>智</w:t>
      </w:r>
      <w:r w:rsidRPr="00031381">
        <w:rPr>
          <w:rFonts w:ascii="Garamond" w:eastAsia="Times New Roman" w:hAnsi="Garamond"/>
          <w:sz w:val="22"/>
          <w:szCs w:val="22"/>
        </w:rPr>
        <w:t xml:space="preserve">, </w:t>
      </w:r>
      <w:r w:rsidRPr="00031381">
        <w:rPr>
          <w:rFonts w:ascii="Garamond" w:eastAsia="Times New Roman" w:hAnsi="Garamond"/>
          <w:sz w:val="22"/>
          <w:szCs w:val="22"/>
          <w:lang w:val="en-AU"/>
        </w:rPr>
        <w:t xml:space="preserve">which is </w:t>
      </w:r>
      <w:proofErr w:type="spellStart"/>
      <w:r w:rsidRPr="00031381">
        <w:rPr>
          <w:rFonts w:ascii="Garamond" w:eastAsia="Times New Roman" w:hAnsi="Garamond"/>
          <w:sz w:val="22"/>
          <w:szCs w:val="22"/>
          <w:lang w:val="en-AU"/>
        </w:rPr>
        <w:t>variousl</w:t>
      </w:r>
      <w:proofErr w:type="spellEnd"/>
      <w:r w:rsidRPr="00031381">
        <w:rPr>
          <w:rFonts w:ascii="Garamond" w:eastAsia="Times New Roman" w:hAnsi="Garamond"/>
          <w:sz w:val="22"/>
          <w:szCs w:val="22"/>
        </w:rPr>
        <w:t>y translated as “wisdom” or “intelligence” (cf. Van Norden 2008: 153). Whereas other epistemic terms such as “reflecting” (</w:t>
      </w:r>
      <w:proofErr w:type="spellStart"/>
      <w:r w:rsidRPr="00031381">
        <w:rPr>
          <w:rFonts w:ascii="Garamond" w:eastAsia="Times New Roman" w:hAnsi="Garamond"/>
          <w:i/>
          <w:iCs/>
          <w:sz w:val="22"/>
          <w:szCs w:val="22"/>
        </w:rPr>
        <w:t>si</w:t>
      </w:r>
      <w:proofErr w:type="spellEnd"/>
      <w:r w:rsidRPr="00031381">
        <w:rPr>
          <w:rFonts w:ascii="Garamond" w:eastAsia="Times New Roman" w:hAnsi="Garamond"/>
          <w:sz w:val="22"/>
          <w:szCs w:val="22"/>
        </w:rPr>
        <w:t xml:space="preserve"> </w:t>
      </w:r>
      <w:r w:rsidRPr="00031381">
        <w:rPr>
          <w:rFonts w:ascii="Garamond" w:eastAsia="SimSun" w:hAnsi="Garamond" w:cs="SimSun"/>
          <w:sz w:val="22"/>
          <w:szCs w:val="22"/>
        </w:rPr>
        <w:t>思</w:t>
      </w:r>
      <w:r w:rsidRPr="00031381">
        <w:rPr>
          <w:rFonts w:ascii="Garamond" w:eastAsia="Times New Roman" w:hAnsi="Garamond"/>
          <w:sz w:val="22"/>
          <w:szCs w:val="22"/>
        </w:rPr>
        <w:t xml:space="preserve">), </w:t>
      </w:r>
      <w:r w:rsidRPr="00031381">
        <w:rPr>
          <w:rFonts w:ascii="Garamond" w:eastAsia="Times New Roman" w:hAnsi="Garamond" w:cs="Garamond"/>
          <w:sz w:val="22"/>
          <w:szCs w:val="22"/>
        </w:rPr>
        <w:t>“</w:t>
      </w:r>
      <w:r w:rsidRPr="00031381">
        <w:rPr>
          <w:rFonts w:ascii="Garamond" w:eastAsia="Times New Roman" w:hAnsi="Garamond"/>
          <w:sz w:val="22"/>
          <w:szCs w:val="22"/>
        </w:rPr>
        <w:t>taking into account</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w:t>
      </w:r>
      <w:proofErr w:type="spellStart"/>
      <w:r w:rsidRPr="00031381">
        <w:rPr>
          <w:rFonts w:ascii="Garamond" w:eastAsia="Times New Roman" w:hAnsi="Garamond"/>
          <w:i/>
          <w:iCs/>
          <w:sz w:val="22"/>
          <w:szCs w:val="22"/>
        </w:rPr>
        <w:t>lü</w:t>
      </w:r>
      <w:proofErr w:type="spellEnd"/>
      <w:r w:rsidRPr="00031381">
        <w:rPr>
          <w:rFonts w:ascii="Garamond" w:eastAsia="Times New Roman" w:hAnsi="Garamond"/>
          <w:sz w:val="22"/>
          <w:szCs w:val="22"/>
        </w:rPr>
        <w:t xml:space="preserve"> </w:t>
      </w:r>
      <w:r w:rsidRPr="00031381">
        <w:rPr>
          <w:rFonts w:ascii="Garamond" w:eastAsia="SimSun" w:hAnsi="Garamond" w:cs="SimSun"/>
          <w:sz w:val="22"/>
          <w:szCs w:val="22"/>
        </w:rPr>
        <w:t>慮</w:t>
      </w:r>
      <w:r w:rsidRPr="00031381">
        <w:rPr>
          <w:rFonts w:ascii="Garamond" w:eastAsia="Times New Roman" w:hAnsi="Garamond"/>
          <w:sz w:val="22"/>
          <w:szCs w:val="22"/>
        </w:rPr>
        <w:t xml:space="preserve">), or </w:t>
      </w:r>
      <w:r w:rsidRPr="00031381">
        <w:rPr>
          <w:rFonts w:ascii="Garamond" w:eastAsia="Times New Roman" w:hAnsi="Garamond" w:cs="Garamond"/>
          <w:sz w:val="22"/>
          <w:szCs w:val="22"/>
        </w:rPr>
        <w:t>“</w:t>
      </w:r>
      <w:r w:rsidRPr="00031381">
        <w:rPr>
          <w:rFonts w:ascii="Garamond" w:eastAsia="Times New Roman" w:hAnsi="Garamond"/>
          <w:sz w:val="22"/>
          <w:szCs w:val="22"/>
        </w:rPr>
        <w:t>weighing</w:t>
      </w:r>
      <w:r w:rsidRPr="00031381">
        <w:rPr>
          <w:rFonts w:ascii="Garamond" w:eastAsia="Times New Roman" w:hAnsi="Garamond" w:cs="Garamond"/>
          <w:sz w:val="22"/>
          <w:szCs w:val="22"/>
        </w:rPr>
        <w:t>”</w:t>
      </w:r>
      <w:r w:rsidRPr="00031381">
        <w:rPr>
          <w:rFonts w:ascii="Garamond" w:eastAsia="Times New Roman" w:hAnsi="Garamond"/>
          <w:sz w:val="22"/>
          <w:szCs w:val="22"/>
        </w:rPr>
        <w:t xml:space="preserve"> (</w:t>
      </w:r>
      <w:proofErr w:type="spellStart"/>
      <w:r w:rsidRPr="00031381">
        <w:rPr>
          <w:rFonts w:ascii="Garamond" w:eastAsia="Times New Roman" w:hAnsi="Garamond"/>
          <w:i/>
          <w:iCs/>
          <w:sz w:val="22"/>
          <w:szCs w:val="22"/>
        </w:rPr>
        <w:t>quan</w:t>
      </w:r>
      <w:proofErr w:type="spellEnd"/>
      <w:r w:rsidRPr="00031381">
        <w:rPr>
          <w:rFonts w:ascii="Garamond" w:eastAsia="Times New Roman" w:hAnsi="Garamond"/>
          <w:sz w:val="22"/>
          <w:szCs w:val="22"/>
        </w:rPr>
        <w:t xml:space="preserve"> </w:t>
      </w:r>
      <w:r w:rsidRPr="00031381">
        <w:rPr>
          <w:rFonts w:ascii="Garamond" w:eastAsia="SimSun" w:hAnsi="Garamond" w:cs="SimSun"/>
          <w:sz w:val="22"/>
          <w:szCs w:val="22"/>
        </w:rPr>
        <w:t>權</w:t>
      </w:r>
      <w:r w:rsidRPr="00031381">
        <w:rPr>
          <w:rFonts w:ascii="Garamond" w:eastAsia="Times New Roman" w:hAnsi="Garamond"/>
          <w:sz w:val="22"/>
          <w:szCs w:val="22"/>
        </w:rPr>
        <w:t xml:space="preserve">) play important epistemic roles, it is </w:t>
      </w:r>
      <w:proofErr w:type="spellStart"/>
      <w:r w:rsidRPr="00031381">
        <w:rPr>
          <w:rFonts w:ascii="Garamond" w:eastAsia="Times New Roman" w:hAnsi="Garamond"/>
          <w:i/>
          <w:iCs/>
          <w:sz w:val="22"/>
          <w:szCs w:val="22"/>
        </w:rPr>
        <w:t>zhi</w:t>
      </w:r>
      <w:proofErr w:type="spellEnd"/>
      <w:r w:rsidRPr="00031381">
        <w:rPr>
          <w:rFonts w:ascii="Garamond" w:eastAsia="Times New Roman" w:hAnsi="Garamond"/>
          <w:i/>
          <w:iCs/>
          <w:sz w:val="22"/>
          <w:szCs w:val="22"/>
        </w:rPr>
        <w:t xml:space="preserve"> </w:t>
      </w:r>
      <w:r w:rsidRPr="00031381">
        <w:rPr>
          <w:rFonts w:ascii="Garamond" w:eastAsia="SimSun" w:hAnsi="Garamond" w:cs="SimSun"/>
          <w:sz w:val="22"/>
          <w:szCs w:val="22"/>
        </w:rPr>
        <w:t>智</w:t>
      </w:r>
      <w:r w:rsidRPr="00031381">
        <w:rPr>
          <w:rFonts w:ascii="Garamond" w:eastAsia="Times New Roman" w:hAnsi="Garamond"/>
          <w:sz w:val="22"/>
          <w:szCs w:val="22"/>
        </w:rPr>
        <w:t xml:space="preserve"> that is singled out as one of the four virtues (2A6, 6A6) and a characteristic of sagely figures (5A9, 2B9, 5B1, 2A2).</w:t>
      </w:r>
    </w:p>
    <w:p w14:paraId="46921BAD" w14:textId="77777777" w:rsidR="00120BCE" w:rsidRPr="00031381" w:rsidRDefault="00120BCE">
      <w:pPr>
        <w:spacing w:line="360" w:lineRule="auto"/>
        <w:rPr>
          <w:rFonts w:ascii="Garamond" w:eastAsia="Times New Roman" w:hAnsi="Garamond"/>
          <w:sz w:val="22"/>
          <w:szCs w:val="22"/>
        </w:rPr>
      </w:pPr>
    </w:p>
    <w:p w14:paraId="6E3CA6B1"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There is some agreement among scholars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whatever else it might be, is at least an epistemic capacity or competence – it is something the possession of which makes the agent capable of achieving certain epistemic ends.</w:t>
      </w:r>
      <w:r w:rsidRPr="00031381">
        <w:rPr>
          <w:rStyle w:val="FootnoteAnchor"/>
          <w:rFonts w:ascii="Garamond" w:eastAsia="Times New Roman" w:hAnsi="Garamond"/>
          <w:sz w:val="22"/>
          <w:szCs w:val="22"/>
        </w:rPr>
        <w:footnoteReference w:id="15"/>
      </w:r>
      <w:r w:rsidRPr="00031381">
        <w:rPr>
          <w:rFonts w:ascii="Garamond" w:eastAsia="Times New Roman" w:hAnsi="Garamond"/>
          <w:sz w:val="22"/>
          <w:szCs w:val="22"/>
        </w:rPr>
        <w:t xml:space="preserve"> Scholars disagree on what these ends are supposed to be. For example, Kwong-</w:t>
      </w:r>
      <w:proofErr w:type="spellStart"/>
      <w:r w:rsidRPr="00031381">
        <w:rPr>
          <w:rFonts w:ascii="Garamond" w:eastAsia="Times New Roman" w:hAnsi="Garamond"/>
          <w:sz w:val="22"/>
          <w:szCs w:val="22"/>
        </w:rPr>
        <w:t>Loi</w:t>
      </w:r>
      <w:proofErr w:type="spellEnd"/>
      <w:r w:rsidRPr="00031381">
        <w:rPr>
          <w:rFonts w:ascii="Garamond" w:eastAsia="Times New Roman" w:hAnsi="Garamond"/>
          <w:sz w:val="22"/>
          <w:szCs w:val="22"/>
        </w:rPr>
        <w:t xml:space="preserve"> Shun argues </w:t>
      </w:r>
      <w:r w:rsidRPr="00031381">
        <w:rPr>
          <w:rFonts w:ascii="Garamond" w:eastAsia="Times New Roman" w:hAnsi="Garamond"/>
          <w:sz w:val="22"/>
          <w:szCs w:val="22"/>
        </w:rPr>
        <w:lastRenderedPageBreak/>
        <w:t xml:space="preserve">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is a capacity to form proper aims (Shun 1997: 68), one that partly entails capacities for weighing reasons in </w:t>
      </w:r>
      <w:proofErr w:type="spellStart"/>
      <w:r w:rsidRPr="00031381">
        <w:rPr>
          <w:rFonts w:ascii="Garamond" w:eastAsia="Times New Roman" w:hAnsi="Garamond"/>
          <w:sz w:val="22"/>
          <w:szCs w:val="22"/>
        </w:rPr>
        <w:t>favour</w:t>
      </w:r>
      <w:proofErr w:type="spellEnd"/>
      <w:r w:rsidRPr="00031381">
        <w:rPr>
          <w:rFonts w:ascii="Garamond" w:eastAsia="Times New Roman" w:hAnsi="Garamond"/>
          <w:sz w:val="22"/>
          <w:szCs w:val="22"/>
        </w:rPr>
        <w:t xml:space="preserve"> or against undertaking a course of action (</w:t>
      </w:r>
      <w:r w:rsidRPr="00031381">
        <w:rPr>
          <w:rFonts w:ascii="Garamond" w:eastAsia="Times New Roman" w:hAnsi="Garamond"/>
          <w:i/>
          <w:iCs/>
          <w:sz w:val="22"/>
          <w:szCs w:val="22"/>
        </w:rPr>
        <w:t>ibid</w:t>
      </w:r>
      <w:r w:rsidRPr="00031381">
        <w:rPr>
          <w:rFonts w:ascii="Garamond" w:eastAsia="Times New Roman" w:hAnsi="Garamond"/>
          <w:sz w:val="22"/>
          <w:szCs w:val="22"/>
        </w:rPr>
        <w:t xml:space="preserve">.: 69-70). Other scholars take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to be a capacity for making distinctions that are “action-guiding” (Hansen 1992: 166), a capacity for making “correct moral judgments” (Kim 2018: 66; cf. Kim 2014; Schwartz 1985: 293), or a capacity to “distinguish right and wrong” (</w:t>
      </w:r>
      <w:proofErr w:type="spellStart"/>
      <w:r w:rsidRPr="00031381">
        <w:rPr>
          <w:rFonts w:ascii="Garamond" w:eastAsia="Times New Roman" w:hAnsi="Garamond"/>
          <w:sz w:val="22"/>
          <w:szCs w:val="22"/>
        </w:rPr>
        <w:t>Raphals</w:t>
      </w:r>
      <w:proofErr w:type="spellEnd"/>
      <w:r w:rsidRPr="00031381">
        <w:rPr>
          <w:rFonts w:ascii="Garamond" w:eastAsia="Times New Roman" w:hAnsi="Garamond"/>
          <w:sz w:val="22"/>
          <w:szCs w:val="22"/>
        </w:rPr>
        <w:t xml:space="preserve"> 1992: 36). Yet other scholars note that wisdom is at least a capacity for coming to know something or other (Yao 2006: 12), e.g., coming to know the character of the people one has encountered or the best means towards certain ends (Van Norden 2007: 273-278). </w:t>
      </w:r>
    </w:p>
    <w:p w14:paraId="27D3D541" w14:textId="77777777" w:rsidR="00120BCE" w:rsidRPr="00031381" w:rsidRDefault="00120BCE">
      <w:pPr>
        <w:spacing w:line="360" w:lineRule="auto"/>
        <w:rPr>
          <w:rFonts w:ascii="Garamond" w:eastAsia="Times New Roman" w:hAnsi="Garamond"/>
          <w:sz w:val="22"/>
          <w:szCs w:val="22"/>
        </w:rPr>
      </w:pPr>
    </w:p>
    <w:p w14:paraId="04A8E952"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Perhaps these disagreements are best understood as concerning the </w:t>
      </w:r>
      <w:r w:rsidRPr="00031381">
        <w:rPr>
          <w:rFonts w:ascii="Garamond" w:eastAsia="Times New Roman" w:hAnsi="Garamond"/>
          <w:i/>
          <w:iCs/>
          <w:sz w:val="22"/>
          <w:szCs w:val="22"/>
        </w:rPr>
        <w:t>objects</w:t>
      </w:r>
      <w:r w:rsidRPr="00031381">
        <w:rPr>
          <w:rFonts w:ascii="Garamond" w:eastAsia="Times New Roman" w:hAnsi="Garamond"/>
          <w:sz w:val="22"/>
          <w:szCs w:val="22"/>
        </w:rPr>
        <w:t xml:space="preserve"> or </w:t>
      </w:r>
      <w:r w:rsidRPr="00031381">
        <w:rPr>
          <w:rFonts w:ascii="Garamond" w:eastAsia="Times New Roman" w:hAnsi="Garamond"/>
          <w:i/>
          <w:iCs/>
          <w:sz w:val="22"/>
          <w:szCs w:val="22"/>
        </w:rPr>
        <w:t>domain</w:t>
      </w:r>
      <w:r w:rsidRPr="00031381">
        <w:rPr>
          <w:rFonts w:ascii="Garamond" w:eastAsia="Times New Roman" w:hAnsi="Garamond"/>
          <w:sz w:val="22"/>
          <w:szCs w:val="22"/>
        </w:rPr>
        <w:t xml:space="preserve"> of wisdom – that is, if wisdom is a capacity to come to know something, then scholars disagree what that “something” is supposed to be. Does it entail knowing “proper aims”, as Shun suggests, or knowing what is right or wrong, as </w:t>
      </w:r>
      <w:proofErr w:type="spellStart"/>
      <w:r w:rsidRPr="00031381">
        <w:rPr>
          <w:rFonts w:ascii="Garamond" w:eastAsia="Times New Roman" w:hAnsi="Garamond"/>
          <w:sz w:val="22"/>
          <w:szCs w:val="22"/>
        </w:rPr>
        <w:t>Raphals</w:t>
      </w:r>
      <w:proofErr w:type="spellEnd"/>
      <w:r w:rsidRPr="00031381">
        <w:rPr>
          <w:rFonts w:ascii="Garamond" w:eastAsia="Times New Roman" w:hAnsi="Garamond"/>
          <w:sz w:val="22"/>
          <w:szCs w:val="22"/>
        </w:rPr>
        <w:t xml:space="preserve"> suggests? Regardless of what the proper domain of wisdom might be,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w:t>
      </w:r>
      <w:r w:rsidRPr="00031381">
        <w:rPr>
          <w:rFonts w:ascii="Garamond" w:eastAsia="Times New Roman" w:hAnsi="Garamond"/>
          <w:i/>
          <w:iCs/>
          <w:sz w:val="22"/>
          <w:szCs w:val="22"/>
        </w:rPr>
        <w:t>is</w:t>
      </w:r>
      <w:r w:rsidRPr="00031381">
        <w:rPr>
          <w:rFonts w:ascii="Garamond" w:eastAsia="Times New Roman" w:hAnsi="Garamond"/>
          <w:sz w:val="22"/>
          <w:szCs w:val="22"/>
        </w:rPr>
        <w:t xml:space="preserve"> (at least partly) a capacity for coming to know seems largely agreed upon. It is also supported by textual evidence, for example, when Mencius says </w:t>
      </w:r>
      <w:r w:rsidRPr="00031381">
        <w:rPr>
          <w:rFonts w:ascii="Garamond" w:hAnsi="Garamond"/>
          <w:sz w:val="22"/>
          <w:szCs w:val="22"/>
        </w:rPr>
        <w:t>that knowing benevolence and righteousness is “a manifestation of wisdom”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shi</w:t>
      </w:r>
      <w:proofErr w:type="spellEnd"/>
      <w:r w:rsidRPr="00031381">
        <w:rPr>
          <w:rFonts w:ascii="Garamond" w:hAnsi="Garamond"/>
          <w:sz w:val="22"/>
          <w:szCs w:val="22"/>
        </w:rPr>
        <w:t xml:space="preserve"> </w:t>
      </w:r>
      <w:r w:rsidRPr="00031381">
        <w:rPr>
          <w:rFonts w:ascii="Garamond" w:eastAsia="SimSun" w:hAnsi="Garamond" w:cs="SimSun"/>
          <w:sz w:val="22"/>
          <w:szCs w:val="22"/>
        </w:rPr>
        <w:t>智之實</w:t>
      </w:r>
      <w:r w:rsidRPr="00031381">
        <w:rPr>
          <w:rFonts w:ascii="Garamond" w:hAnsi="Garamond"/>
          <w:sz w:val="22"/>
          <w:szCs w:val="22"/>
        </w:rPr>
        <w:t xml:space="preserve">) (4A27) or when he claims that Zai Wo, Zigong, and You </w:t>
      </w:r>
      <w:proofErr w:type="spellStart"/>
      <w:r w:rsidRPr="00031381">
        <w:rPr>
          <w:rFonts w:ascii="Garamond" w:hAnsi="Garamond"/>
          <w:sz w:val="22"/>
          <w:szCs w:val="22"/>
        </w:rPr>
        <w:t>Ruo</w:t>
      </w:r>
      <w:proofErr w:type="spellEnd"/>
      <w:r w:rsidRPr="00031381">
        <w:rPr>
          <w:rFonts w:ascii="Garamond" w:hAnsi="Garamond"/>
          <w:sz w:val="22"/>
          <w:szCs w:val="22"/>
        </w:rPr>
        <w:t xml:space="preserve"> have enough wisdom to know sages (2A2). I return to some of this textual evidence below. </w:t>
      </w:r>
      <w:r w:rsidRPr="00031381">
        <w:rPr>
          <w:rFonts w:ascii="Garamond" w:eastAsia="Times New Roman" w:hAnsi="Garamond"/>
          <w:sz w:val="22"/>
          <w:szCs w:val="22"/>
        </w:rPr>
        <w:t xml:space="preserve">However, if it is right that one epistemic function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is to render its possessor capable of acquiring knowledge, then I suggest that one line of research looks especially promising. </w:t>
      </w:r>
      <w:proofErr w:type="gramStart"/>
      <w:r w:rsidRPr="00031381">
        <w:rPr>
          <w:rFonts w:ascii="Garamond" w:eastAsia="Times New Roman" w:hAnsi="Garamond"/>
          <w:sz w:val="22"/>
          <w:szCs w:val="22"/>
        </w:rPr>
        <w:t xml:space="preserve">The </w:t>
      </w:r>
      <w:r w:rsidRPr="00031381">
        <w:rPr>
          <w:rFonts w:ascii="Garamond" w:eastAsia="Times New Roman" w:hAnsi="Garamond"/>
          <w:i/>
          <w:iCs/>
          <w:sz w:val="22"/>
          <w:szCs w:val="22"/>
        </w:rPr>
        <w:t>Mencius</w:t>
      </w:r>
      <w:proofErr w:type="gramEnd"/>
      <w:r w:rsidRPr="00031381">
        <w:rPr>
          <w:rFonts w:ascii="Garamond" w:eastAsia="Times New Roman" w:hAnsi="Garamond"/>
          <w:sz w:val="22"/>
          <w:szCs w:val="22"/>
        </w:rPr>
        <w:t xml:space="preserve"> can be put into constructive debate with a recent view among contemporary epistemologists that likewise takes the exercise of intellectual virtues to be central for acquiring knowledge – and that view is </w:t>
      </w:r>
      <w:r w:rsidRPr="00031381">
        <w:rPr>
          <w:rFonts w:ascii="Garamond" w:eastAsia="Times New Roman" w:hAnsi="Garamond"/>
          <w:i/>
          <w:iCs/>
          <w:sz w:val="22"/>
          <w:szCs w:val="22"/>
        </w:rPr>
        <w:t>virtue epistemology</w:t>
      </w:r>
      <w:r w:rsidRPr="00031381">
        <w:rPr>
          <w:rFonts w:ascii="Garamond" w:eastAsia="Times New Roman" w:hAnsi="Garamond"/>
          <w:sz w:val="22"/>
          <w:szCs w:val="22"/>
        </w:rPr>
        <w:t>.</w:t>
      </w:r>
    </w:p>
    <w:p w14:paraId="5F0BA5EF" w14:textId="77777777" w:rsidR="00120BCE" w:rsidRPr="00031381" w:rsidRDefault="00120BCE">
      <w:pPr>
        <w:spacing w:line="360" w:lineRule="auto"/>
        <w:rPr>
          <w:rFonts w:ascii="Garamond" w:eastAsia="Times New Roman" w:hAnsi="Garamond"/>
          <w:sz w:val="22"/>
          <w:szCs w:val="22"/>
        </w:rPr>
      </w:pPr>
    </w:p>
    <w:p w14:paraId="5CE9B609" w14:textId="77777777" w:rsidR="00120BCE" w:rsidRPr="00031381" w:rsidRDefault="00000000">
      <w:pPr>
        <w:spacing w:line="360" w:lineRule="auto"/>
        <w:rPr>
          <w:rFonts w:ascii="Garamond" w:hAnsi="Garamond"/>
          <w:b/>
          <w:bCs/>
          <w:sz w:val="22"/>
          <w:szCs w:val="22"/>
        </w:rPr>
      </w:pPr>
      <w:r w:rsidRPr="00031381">
        <w:rPr>
          <w:rFonts w:ascii="Garamond" w:hAnsi="Garamond"/>
          <w:b/>
          <w:bCs/>
          <w:sz w:val="22"/>
          <w:szCs w:val="22"/>
        </w:rPr>
        <w:t>3.1 Is Mencius a Virtue Epistemologist?</w:t>
      </w:r>
    </w:p>
    <w:p w14:paraId="0CF96CE9" w14:textId="77777777" w:rsidR="00120BCE" w:rsidRPr="00031381" w:rsidRDefault="00120BCE">
      <w:pPr>
        <w:spacing w:line="360" w:lineRule="auto"/>
        <w:rPr>
          <w:rFonts w:ascii="Garamond" w:eastAsia="Times New Roman" w:hAnsi="Garamond"/>
          <w:sz w:val="22"/>
          <w:szCs w:val="22"/>
        </w:rPr>
      </w:pPr>
    </w:p>
    <w:p w14:paraId="57D3E0DD"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Virtue epistemological accounts of knowledge take the believer and her intellectual qualities to occupy a special role in explaining whether an epistemic agent has knowledge. The general idea is this. Believing is an action or assessable in the same way that actions are.</w:t>
      </w:r>
      <w:r w:rsidRPr="00031381">
        <w:rPr>
          <w:rStyle w:val="FootnoteAnchor"/>
          <w:rFonts w:ascii="Garamond" w:eastAsia="Times New Roman" w:hAnsi="Garamond"/>
          <w:sz w:val="22"/>
          <w:szCs w:val="22"/>
        </w:rPr>
        <w:footnoteReference w:id="16"/>
      </w:r>
      <w:r w:rsidRPr="00031381">
        <w:rPr>
          <w:rFonts w:ascii="Garamond" w:eastAsia="Times New Roman" w:hAnsi="Garamond"/>
          <w:sz w:val="22"/>
          <w:szCs w:val="22"/>
        </w:rPr>
        <w:t xml:space="preserve"> We assess actions </w:t>
      </w:r>
      <w:proofErr w:type="gramStart"/>
      <w:r w:rsidRPr="00031381">
        <w:rPr>
          <w:rFonts w:ascii="Garamond" w:eastAsia="Times New Roman" w:hAnsi="Garamond"/>
          <w:sz w:val="22"/>
          <w:szCs w:val="22"/>
        </w:rPr>
        <w:t>on the basis of</w:t>
      </w:r>
      <w:proofErr w:type="gramEnd"/>
      <w:r w:rsidRPr="00031381">
        <w:rPr>
          <w:rFonts w:ascii="Garamond" w:eastAsia="Times New Roman" w:hAnsi="Garamond"/>
          <w:sz w:val="22"/>
          <w:szCs w:val="22"/>
        </w:rPr>
        <w:t xml:space="preserve"> success conditions. A shot is </w:t>
      </w:r>
      <w:proofErr w:type="gramStart"/>
      <w:r w:rsidRPr="00031381">
        <w:rPr>
          <w:rFonts w:ascii="Garamond" w:eastAsia="Times New Roman" w:hAnsi="Garamond"/>
          <w:sz w:val="22"/>
          <w:szCs w:val="22"/>
        </w:rPr>
        <w:t>more or less successful</w:t>
      </w:r>
      <w:proofErr w:type="gramEnd"/>
      <w:r w:rsidRPr="00031381">
        <w:rPr>
          <w:rFonts w:ascii="Garamond" w:eastAsia="Times New Roman" w:hAnsi="Garamond"/>
          <w:sz w:val="22"/>
          <w:szCs w:val="22"/>
        </w:rPr>
        <w:t xml:space="preserve"> depending on whether (a) it hits its target, (b) it manifests the agent’s competence, and (c) it hits its target </w:t>
      </w:r>
      <w:r w:rsidRPr="00031381">
        <w:rPr>
          <w:rFonts w:ascii="Garamond" w:eastAsia="Times New Roman" w:hAnsi="Garamond"/>
          <w:i/>
          <w:iCs/>
          <w:sz w:val="22"/>
          <w:szCs w:val="22"/>
        </w:rPr>
        <w:t xml:space="preserve">because </w:t>
      </w:r>
      <w:r w:rsidRPr="00031381">
        <w:rPr>
          <w:rFonts w:ascii="Garamond" w:eastAsia="Times New Roman" w:hAnsi="Garamond"/>
          <w:sz w:val="22"/>
          <w:szCs w:val="22"/>
        </w:rPr>
        <w:t>it manifests the agent’s competence (Sosa 2011: 1-13). Applied to beliefs, we get the view that believing is fully successful if (a) S’s belief is true, (b) S’s believing manifests intellectual virtue, and (c) S believes truly</w:t>
      </w:r>
      <w:r w:rsidRPr="00031381">
        <w:rPr>
          <w:rFonts w:ascii="Garamond" w:eastAsia="Times New Roman" w:hAnsi="Garamond"/>
          <w:i/>
          <w:iCs/>
          <w:sz w:val="22"/>
          <w:szCs w:val="22"/>
        </w:rPr>
        <w:t xml:space="preserve"> because</w:t>
      </w:r>
      <w:r w:rsidRPr="00031381">
        <w:rPr>
          <w:rFonts w:ascii="Garamond" w:eastAsia="Times New Roman" w:hAnsi="Garamond"/>
          <w:sz w:val="22"/>
          <w:szCs w:val="22"/>
        </w:rPr>
        <w:t xml:space="preserve"> S manifests intellectual virtue (Greco 2003; 2010; 2012; Sosa 2007; 2011; 2015; </w:t>
      </w:r>
      <w:proofErr w:type="spellStart"/>
      <w:r w:rsidRPr="00031381">
        <w:rPr>
          <w:rFonts w:ascii="Garamond" w:eastAsia="Times New Roman" w:hAnsi="Garamond"/>
          <w:sz w:val="22"/>
          <w:szCs w:val="22"/>
        </w:rPr>
        <w:t>Turri</w:t>
      </w:r>
      <w:proofErr w:type="spellEnd"/>
      <w:r w:rsidRPr="00031381">
        <w:rPr>
          <w:rFonts w:ascii="Garamond" w:eastAsia="Times New Roman" w:hAnsi="Garamond"/>
          <w:sz w:val="22"/>
          <w:szCs w:val="22"/>
        </w:rPr>
        <w:t xml:space="preserve"> 2011; </w:t>
      </w:r>
      <w:proofErr w:type="spellStart"/>
      <w:r w:rsidRPr="00031381">
        <w:rPr>
          <w:rFonts w:ascii="Garamond" w:eastAsia="Times New Roman" w:hAnsi="Garamond"/>
          <w:sz w:val="22"/>
          <w:szCs w:val="22"/>
        </w:rPr>
        <w:lastRenderedPageBreak/>
        <w:t>Zagzebski</w:t>
      </w:r>
      <w:proofErr w:type="spellEnd"/>
      <w:r w:rsidRPr="00031381">
        <w:rPr>
          <w:rFonts w:ascii="Garamond" w:eastAsia="Times New Roman" w:hAnsi="Garamond"/>
          <w:sz w:val="22"/>
          <w:szCs w:val="22"/>
        </w:rPr>
        <w:t xml:space="preserve"> 1996: 298; 1999; 2009).</w:t>
      </w:r>
      <w:r w:rsidRPr="00031381">
        <w:rPr>
          <w:rStyle w:val="FootnoteAnchor"/>
          <w:rFonts w:ascii="Garamond" w:eastAsia="Times New Roman" w:hAnsi="Garamond"/>
          <w:sz w:val="22"/>
          <w:szCs w:val="22"/>
        </w:rPr>
        <w:footnoteReference w:id="17"/>
      </w:r>
      <w:r w:rsidRPr="00031381">
        <w:rPr>
          <w:rFonts w:ascii="Garamond" w:eastAsia="Times New Roman" w:hAnsi="Garamond"/>
          <w:sz w:val="22"/>
          <w:szCs w:val="22"/>
        </w:rPr>
        <w:t xml:space="preserve"> Given that knowing is a kind of believing, and given that knowing is assumed to be a cognitive achievement, i.e., a kind of success, a person therefore has knowledge just in case their believing is fully successful. As Greco puts it, knowledge is success from competence (Greco 2010: 71).</w:t>
      </w:r>
    </w:p>
    <w:p w14:paraId="76665D4B" w14:textId="77777777" w:rsidR="00120BCE" w:rsidRPr="00031381" w:rsidRDefault="00120BCE">
      <w:pPr>
        <w:spacing w:line="360" w:lineRule="auto"/>
        <w:rPr>
          <w:rFonts w:ascii="Garamond" w:eastAsia="Times New Roman" w:hAnsi="Garamond"/>
          <w:sz w:val="22"/>
          <w:szCs w:val="22"/>
        </w:rPr>
      </w:pPr>
    </w:p>
    <w:p w14:paraId="5015EC5F"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Contemporary virtue epistemologists disagree on how we should understand intellectual virtue,</w:t>
      </w:r>
      <w:r w:rsidRPr="00031381">
        <w:rPr>
          <w:rStyle w:val="FootnoteAnchor"/>
          <w:rFonts w:ascii="Garamond" w:eastAsia="Times New Roman" w:hAnsi="Garamond"/>
          <w:sz w:val="22"/>
          <w:szCs w:val="22"/>
        </w:rPr>
        <w:footnoteReference w:id="18"/>
      </w:r>
      <w:r w:rsidRPr="00031381">
        <w:rPr>
          <w:rFonts w:ascii="Garamond" w:eastAsia="Times New Roman" w:hAnsi="Garamond"/>
          <w:sz w:val="22"/>
          <w:szCs w:val="22"/>
        </w:rPr>
        <w:t xml:space="preserve"> but they agree that the exercise of intellectual virtue is sufficient to explain why the presence of a true belief is knowledge, why knowledge is more valuable than true belief (Greco 2010: 99; Sosa 2011: 63-5), and why </w:t>
      </w:r>
      <w:proofErr w:type="spellStart"/>
      <w:r w:rsidRPr="00031381">
        <w:rPr>
          <w:rFonts w:ascii="Garamond" w:eastAsia="Times New Roman" w:hAnsi="Garamond"/>
          <w:sz w:val="22"/>
          <w:szCs w:val="22"/>
        </w:rPr>
        <w:t>Gettiered</w:t>
      </w:r>
      <w:proofErr w:type="spellEnd"/>
      <w:r w:rsidRPr="00031381">
        <w:rPr>
          <w:rFonts w:ascii="Garamond" w:eastAsia="Times New Roman" w:hAnsi="Garamond"/>
          <w:sz w:val="22"/>
          <w:szCs w:val="22"/>
        </w:rPr>
        <w:t xml:space="preserve"> beliefs are not knowledge (</w:t>
      </w:r>
      <w:proofErr w:type="spellStart"/>
      <w:r w:rsidRPr="00031381">
        <w:rPr>
          <w:rFonts w:ascii="Garamond" w:eastAsia="Times New Roman" w:hAnsi="Garamond"/>
          <w:sz w:val="22"/>
          <w:szCs w:val="22"/>
        </w:rPr>
        <w:t>Zagzebski</w:t>
      </w:r>
      <w:proofErr w:type="spellEnd"/>
      <w:r w:rsidRPr="00031381">
        <w:rPr>
          <w:rFonts w:ascii="Garamond" w:eastAsia="Times New Roman" w:hAnsi="Garamond"/>
          <w:sz w:val="22"/>
          <w:szCs w:val="22"/>
        </w:rPr>
        <w:t xml:space="preserve"> 1996; </w:t>
      </w:r>
      <w:proofErr w:type="spellStart"/>
      <w:r w:rsidRPr="00031381">
        <w:rPr>
          <w:rFonts w:ascii="Garamond" w:eastAsia="Times New Roman" w:hAnsi="Garamond"/>
          <w:sz w:val="22"/>
          <w:szCs w:val="22"/>
        </w:rPr>
        <w:t>Turri</w:t>
      </w:r>
      <w:proofErr w:type="spellEnd"/>
      <w:r w:rsidRPr="00031381">
        <w:rPr>
          <w:rFonts w:ascii="Garamond" w:eastAsia="Times New Roman" w:hAnsi="Garamond"/>
          <w:sz w:val="22"/>
          <w:szCs w:val="22"/>
        </w:rPr>
        <w:t xml:space="preserve"> 2011).</w:t>
      </w:r>
      <w:r w:rsidRPr="00031381">
        <w:rPr>
          <w:rStyle w:val="FootnoteAnchor"/>
          <w:rFonts w:ascii="Garamond" w:eastAsia="Times New Roman" w:hAnsi="Garamond"/>
          <w:sz w:val="22"/>
          <w:szCs w:val="22"/>
        </w:rPr>
        <w:footnoteReference w:id="19"/>
      </w:r>
      <w:r w:rsidRPr="00031381">
        <w:rPr>
          <w:rFonts w:ascii="Garamond" w:eastAsia="Times New Roman" w:hAnsi="Garamond"/>
          <w:sz w:val="22"/>
          <w:szCs w:val="22"/>
        </w:rPr>
        <w:t xml:space="preserve"> The reason why an appeal to intellectual virtues can do all this explanatory work is mostly because of an underlying thesis about virtue:</w:t>
      </w:r>
    </w:p>
    <w:p w14:paraId="7419E887" w14:textId="77777777" w:rsidR="00120BCE" w:rsidRPr="00031381" w:rsidRDefault="00120BCE">
      <w:pPr>
        <w:spacing w:line="360" w:lineRule="auto"/>
        <w:rPr>
          <w:rFonts w:ascii="Garamond" w:hAnsi="Garamond"/>
          <w:sz w:val="22"/>
          <w:szCs w:val="22"/>
        </w:rPr>
      </w:pPr>
    </w:p>
    <w:p w14:paraId="20FA7217"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b/>
          <w:bCs/>
          <w:sz w:val="22"/>
          <w:szCs w:val="22"/>
        </w:rPr>
        <w:t xml:space="preserve">Contemporary Virtue Thesis (CV): </w:t>
      </w:r>
      <w:r w:rsidRPr="00031381">
        <w:rPr>
          <w:rFonts w:ascii="Garamond" w:eastAsia="Times New Roman" w:hAnsi="Garamond"/>
          <w:sz w:val="22"/>
          <w:szCs w:val="22"/>
        </w:rPr>
        <w:t>A cognitive act A has normative property N just in case A issues from the exercise of a capacity C that is an intellectual virtue V.</w:t>
      </w:r>
      <w:r w:rsidRPr="00031381">
        <w:rPr>
          <w:rStyle w:val="FootnoteAnchor"/>
          <w:rFonts w:ascii="Garamond" w:eastAsia="Times New Roman" w:hAnsi="Garamond"/>
          <w:sz w:val="22"/>
          <w:szCs w:val="22"/>
        </w:rPr>
        <w:footnoteReference w:id="20"/>
      </w:r>
    </w:p>
    <w:p w14:paraId="42F79753" w14:textId="77777777" w:rsidR="00120BCE" w:rsidRPr="00031381" w:rsidRDefault="00120BCE">
      <w:pPr>
        <w:spacing w:line="360" w:lineRule="auto"/>
        <w:rPr>
          <w:rFonts w:ascii="Garamond" w:hAnsi="Garamond"/>
          <w:sz w:val="22"/>
          <w:szCs w:val="22"/>
        </w:rPr>
      </w:pPr>
    </w:p>
    <w:p w14:paraId="2F75231F"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To illustrate, according to (CV), what makes a true belief knowledge is that the true belief is formed intellectually virtuously, so it is the agent’s intellectual virtue that (definitionally) explains why her true belief is knowledge. If S’s knowledge is an achievement and mere true belief is not, then it is S’s successful exercise of intellectual virtue that (definitionally) explains why knowledge is an achievement, and therefore why it is more valuable than true belief. If a </w:t>
      </w:r>
      <w:proofErr w:type="spellStart"/>
      <w:r w:rsidRPr="00031381">
        <w:rPr>
          <w:rFonts w:ascii="Garamond" w:eastAsia="Times New Roman" w:hAnsi="Garamond"/>
          <w:sz w:val="22"/>
          <w:szCs w:val="22"/>
        </w:rPr>
        <w:t>Gettiered</w:t>
      </w:r>
      <w:proofErr w:type="spellEnd"/>
      <w:r w:rsidRPr="00031381">
        <w:rPr>
          <w:rFonts w:ascii="Garamond" w:eastAsia="Times New Roman" w:hAnsi="Garamond"/>
          <w:sz w:val="22"/>
          <w:szCs w:val="22"/>
        </w:rPr>
        <w:t xml:space="preserve"> belief is a belief that is true, justified, but not knowledge, then it is the fact that S fails to exercise intellectual virtue</w:t>
      </w:r>
      <w:r w:rsidRPr="00031381">
        <w:rPr>
          <w:rFonts w:ascii="Garamond" w:eastAsia="Times New Roman" w:hAnsi="Garamond"/>
          <w:i/>
          <w:iCs/>
          <w:sz w:val="22"/>
          <w:szCs w:val="22"/>
        </w:rPr>
        <w:t xml:space="preserve"> </w:t>
      </w:r>
      <w:r w:rsidRPr="00031381">
        <w:rPr>
          <w:rFonts w:ascii="Garamond" w:eastAsia="Times New Roman" w:hAnsi="Garamond"/>
          <w:sz w:val="22"/>
          <w:szCs w:val="22"/>
        </w:rPr>
        <w:t>in believing truly</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that supposedly (definitionally) explains why </w:t>
      </w:r>
      <w:proofErr w:type="spellStart"/>
      <w:r w:rsidRPr="00031381">
        <w:rPr>
          <w:rFonts w:ascii="Garamond" w:eastAsia="Times New Roman" w:hAnsi="Garamond"/>
          <w:sz w:val="22"/>
          <w:szCs w:val="22"/>
        </w:rPr>
        <w:t>Gettiered</w:t>
      </w:r>
      <w:proofErr w:type="spellEnd"/>
      <w:r w:rsidRPr="00031381">
        <w:rPr>
          <w:rFonts w:ascii="Garamond" w:eastAsia="Times New Roman" w:hAnsi="Garamond"/>
          <w:sz w:val="22"/>
          <w:szCs w:val="22"/>
        </w:rPr>
        <w:t xml:space="preserve"> beliefs are not knowledge (cf. Sosa 2007; Sosa 2011: 43-6).</w:t>
      </w:r>
    </w:p>
    <w:p w14:paraId="3BD1192E" w14:textId="77777777" w:rsidR="00120BCE" w:rsidRPr="00031381" w:rsidRDefault="00120BCE">
      <w:pPr>
        <w:spacing w:line="360" w:lineRule="auto"/>
        <w:rPr>
          <w:rFonts w:ascii="Garamond" w:eastAsia="Times New Roman" w:hAnsi="Garamond"/>
          <w:sz w:val="22"/>
          <w:szCs w:val="22"/>
        </w:rPr>
      </w:pPr>
    </w:p>
    <w:p w14:paraId="5FBFC709"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What underlies (CV) is the claim that intellectual virtue is </w:t>
      </w:r>
      <w:proofErr w:type="gramStart"/>
      <w:r w:rsidRPr="00031381">
        <w:rPr>
          <w:rFonts w:ascii="Garamond" w:eastAsia="Times New Roman" w:hAnsi="Garamond"/>
          <w:sz w:val="22"/>
          <w:szCs w:val="22"/>
        </w:rPr>
        <w:t>importantly</w:t>
      </w:r>
      <w:proofErr w:type="gramEnd"/>
      <w:r w:rsidRPr="00031381">
        <w:rPr>
          <w:rFonts w:ascii="Garamond" w:eastAsia="Times New Roman" w:hAnsi="Garamond"/>
          <w:sz w:val="22"/>
          <w:szCs w:val="22"/>
        </w:rPr>
        <w:t xml:space="preserve"> </w:t>
      </w:r>
      <w:r w:rsidRPr="00031381">
        <w:rPr>
          <w:rFonts w:ascii="Garamond" w:eastAsia="Times New Roman" w:hAnsi="Garamond"/>
          <w:i/>
          <w:iCs/>
          <w:sz w:val="22"/>
          <w:szCs w:val="22"/>
        </w:rPr>
        <w:t>prior</w:t>
      </w:r>
      <w:r w:rsidRPr="00031381">
        <w:rPr>
          <w:rFonts w:ascii="Garamond" w:eastAsia="Times New Roman" w:hAnsi="Garamond"/>
          <w:sz w:val="22"/>
          <w:szCs w:val="22"/>
        </w:rPr>
        <w:t xml:space="preserve"> to cognitive acts with relevant normative properties. This priority relation is one of definition: knowledge just </w:t>
      </w:r>
      <w:r w:rsidRPr="00031381">
        <w:rPr>
          <w:rFonts w:ascii="Garamond" w:eastAsia="Times New Roman" w:hAnsi="Garamond"/>
          <w:i/>
          <w:iCs/>
          <w:sz w:val="22"/>
          <w:szCs w:val="22"/>
        </w:rPr>
        <w:t>is</w:t>
      </w:r>
      <w:r w:rsidRPr="00031381">
        <w:rPr>
          <w:rFonts w:ascii="Garamond" w:eastAsia="Times New Roman" w:hAnsi="Garamond"/>
          <w:sz w:val="22"/>
          <w:szCs w:val="22"/>
        </w:rPr>
        <w:t>, by definition, believing truly from intellectual virtue (Sosa 2007: 41; Sosa 2011: 4), or true belief formed intellectually virtuously (Greco 2010: 12), or a state arising from an act of intellectual virtue (</w:t>
      </w:r>
      <w:proofErr w:type="spellStart"/>
      <w:r w:rsidRPr="00031381">
        <w:rPr>
          <w:rFonts w:ascii="Garamond" w:eastAsia="Times New Roman" w:hAnsi="Garamond"/>
          <w:sz w:val="22"/>
          <w:szCs w:val="22"/>
        </w:rPr>
        <w:t>Zagzebski</w:t>
      </w:r>
      <w:proofErr w:type="spellEnd"/>
      <w:r w:rsidRPr="00031381">
        <w:rPr>
          <w:rFonts w:ascii="Garamond" w:eastAsia="Times New Roman" w:hAnsi="Garamond"/>
          <w:sz w:val="22"/>
          <w:szCs w:val="22"/>
        </w:rPr>
        <w:t xml:space="preserve"> 1996: 270), or an exercise of a competence to know (</w:t>
      </w:r>
      <w:proofErr w:type="spellStart"/>
      <w:r w:rsidRPr="00031381">
        <w:rPr>
          <w:rFonts w:ascii="Garamond" w:eastAsia="Times New Roman" w:hAnsi="Garamond"/>
          <w:sz w:val="22"/>
          <w:szCs w:val="22"/>
        </w:rPr>
        <w:t>Miracchi</w:t>
      </w:r>
      <w:proofErr w:type="spellEnd"/>
      <w:r w:rsidRPr="00031381">
        <w:rPr>
          <w:rFonts w:ascii="Garamond" w:eastAsia="Times New Roman" w:hAnsi="Garamond"/>
          <w:sz w:val="22"/>
          <w:szCs w:val="22"/>
        </w:rPr>
        <w:t xml:space="preserve"> 2015: 41). Hence, contemporary virtue epistemologists take knowing to be defined in terms of intellectual virtue.</w:t>
      </w:r>
    </w:p>
    <w:p w14:paraId="5B438F7E" w14:textId="77777777" w:rsidR="00120BCE" w:rsidRPr="00031381" w:rsidRDefault="00120BCE">
      <w:pPr>
        <w:spacing w:line="360" w:lineRule="auto"/>
        <w:rPr>
          <w:rFonts w:ascii="Garamond" w:eastAsia="Times New Roman" w:hAnsi="Garamond"/>
          <w:sz w:val="22"/>
          <w:szCs w:val="22"/>
        </w:rPr>
      </w:pPr>
    </w:p>
    <w:p w14:paraId="49E4ABD7"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But is this Mencius’s view? As I have mentioned previously, it is</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plausible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is at least partly a </w:t>
      </w:r>
      <w:r w:rsidRPr="00031381">
        <w:rPr>
          <w:rFonts w:ascii="Garamond" w:eastAsia="Times New Roman" w:hAnsi="Garamond"/>
          <w:sz w:val="22"/>
          <w:szCs w:val="22"/>
        </w:rPr>
        <w:lastRenderedPageBreak/>
        <w:t>capacity for acquiring knowledge. Does that mean, however, that Mencius also accepts the view that knowing is partly defined in terms of the exercise of wisdom (CV)?</w:t>
      </w:r>
      <w:r w:rsidRPr="00031381">
        <w:rPr>
          <w:rStyle w:val="FootnoteAnchor"/>
          <w:rFonts w:ascii="Garamond" w:eastAsia="Times New Roman" w:hAnsi="Garamond"/>
          <w:sz w:val="22"/>
          <w:szCs w:val="22"/>
        </w:rPr>
        <w:footnoteReference w:id="21"/>
      </w:r>
      <w:r w:rsidRPr="00031381">
        <w:rPr>
          <w:rFonts w:ascii="Garamond" w:eastAsia="Times New Roman" w:hAnsi="Garamond"/>
          <w:sz w:val="22"/>
          <w:szCs w:val="22"/>
        </w:rPr>
        <w:t xml:space="preserve"> That is not obvious. At the core of the issue lies the following question: what exactly </w:t>
      </w:r>
      <w:r w:rsidRPr="00031381">
        <w:rPr>
          <w:rFonts w:ascii="Garamond" w:eastAsia="Times New Roman" w:hAnsi="Garamond"/>
          <w:i/>
          <w:iCs/>
          <w:sz w:val="22"/>
          <w:szCs w:val="22"/>
        </w:rPr>
        <w:t>is</w:t>
      </w:r>
      <w:r w:rsidRPr="00031381">
        <w:rPr>
          <w:rFonts w:ascii="Garamond" w:eastAsia="Times New Roman" w:hAnsi="Garamond"/>
          <w:sz w:val="22"/>
          <w:szCs w:val="22"/>
        </w:rPr>
        <w:t xml:space="preserve"> the relation between knowledge and wisdom in the </w:t>
      </w:r>
      <w:r w:rsidRPr="00031381">
        <w:rPr>
          <w:rFonts w:ascii="Garamond" w:eastAsia="Times New Roman" w:hAnsi="Garamond"/>
          <w:i/>
          <w:iCs/>
          <w:sz w:val="22"/>
          <w:szCs w:val="22"/>
        </w:rPr>
        <w:t>Mencius</w:t>
      </w:r>
      <w:r w:rsidRPr="00031381">
        <w:rPr>
          <w:rFonts w:ascii="Garamond" w:eastAsia="Times New Roman" w:hAnsi="Garamond"/>
          <w:sz w:val="22"/>
          <w:szCs w:val="22"/>
        </w:rPr>
        <w:t>?</w:t>
      </w:r>
      <w:r w:rsidRPr="00031381">
        <w:rPr>
          <w:rStyle w:val="FootnoteAnchor"/>
          <w:rFonts w:ascii="Garamond" w:eastAsia="Times New Roman" w:hAnsi="Garamond"/>
          <w:sz w:val="22"/>
          <w:szCs w:val="22"/>
        </w:rPr>
        <w:footnoteReference w:id="22"/>
      </w:r>
      <w:r w:rsidRPr="00031381">
        <w:rPr>
          <w:rFonts w:ascii="Garamond" w:eastAsia="Times New Roman" w:hAnsi="Garamond"/>
          <w:sz w:val="22"/>
          <w:szCs w:val="22"/>
        </w:rPr>
        <w:t xml:space="preserve"> In other words, is a cognitive state an instance of knowledge because </w:t>
      </w:r>
      <w:r w:rsidRPr="00031381">
        <w:rPr>
          <w:rFonts w:ascii="Garamond" w:hAnsi="Garamond"/>
          <w:sz w:val="22"/>
          <w:szCs w:val="22"/>
        </w:rPr>
        <w:t>of the epistemic agent’s wisdom it issues from</w:t>
      </w:r>
      <w:r w:rsidRPr="00031381">
        <w:rPr>
          <w:rFonts w:ascii="Garamond" w:eastAsia="Times New Roman" w:hAnsi="Garamond"/>
          <w:sz w:val="22"/>
          <w:szCs w:val="22"/>
        </w:rPr>
        <w:t xml:space="preserve">, or is a capacity an instance of wisdom because it produces knowledge? </w:t>
      </w:r>
      <w:r w:rsidRPr="00031381">
        <w:rPr>
          <w:rFonts w:ascii="Garamond" w:hAnsi="Garamond"/>
          <w:sz w:val="22"/>
          <w:szCs w:val="22"/>
        </w:rPr>
        <w:t>We can make the question more precise in one of two ways:</w:t>
      </w:r>
    </w:p>
    <w:p w14:paraId="64A1337D" w14:textId="77777777" w:rsidR="00120BCE" w:rsidRPr="00031381" w:rsidRDefault="00120BCE">
      <w:pPr>
        <w:spacing w:line="360" w:lineRule="auto"/>
        <w:rPr>
          <w:rFonts w:ascii="Garamond" w:hAnsi="Garamond"/>
          <w:sz w:val="22"/>
          <w:szCs w:val="22"/>
        </w:rPr>
      </w:pPr>
    </w:p>
    <w:p w14:paraId="17414131" w14:textId="77777777" w:rsidR="00120BCE" w:rsidRPr="00031381" w:rsidRDefault="00000000">
      <w:pPr>
        <w:spacing w:line="360" w:lineRule="auto"/>
        <w:rPr>
          <w:rFonts w:ascii="Garamond" w:hAnsi="Garamond"/>
          <w:sz w:val="22"/>
          <w:szCs w:val="22"/>
        </w:rPr>
      </w:pPr>
      <w:r w:rsidRPr="00031381">
        <w:rPr>
          <w:rFonts w:ascii="Garamond" w:hAnsi="Garamond"/>
          <w:b/>
          <w:bCs/>
          <w:sz w:val="22"/>
          <w:szCs w:val="22"/>
        </w:rPr>
        <w:t xml:space="preserve">(A) </w:t>
      </w:r>
      <w:r w:rsidRPr="00031381">
        <w:rPr>
          <w:rFonts w:ascii="Garamond" w:hAnsi="Garamond"/>
          <w:sz w:val="22"/>
          <w:szCs w:val="22"/>
        </w:rPr>
        <w:t xml:space="preserve">Is the exercise of wisdom what </w:t>
      </w:r>
      <w:r w:rsidRPr="00031381">
        <w:rPr>
          <w:rFonts w:ascii="Garamond" w:hAnsi="Garamond"/>
          <w:i/>
          <w:iCs/>
          <w:sz w:val="22"/>
          <w:szCs w:val="22"/>
        </w:rPr>
        <w:t>causally</w:t>
      </w:r>
      <w:r w:rsidRPr="00031381">
        <w:rPr>
          <w:rFonts w:ascii="Garamond" w:hAnsi="Garamond"/>
          <w:sz w:val="22"/>
          <w:szCs w:val="22"/>
        </w:rPr>
        <w:t xml:space="preserve"> </w:t>
      </w:r>
      <w:r w:rsidRPr="00031381">
        <w:rPr>
          <w:rFonts w:ascii="Garamond" w:hAnsi="Garamond"/>
          <w:i/>
          <w:iCs/>
          <w:sz w:val="22"/>
          <w:szCs w:val="22"/>
        </w:rPr>
        <w:t>explains</w:t>
      </w:r>
      <w:r w:rsidRPr="00031381">
        <w:rPr>
          <w:rFonts w:ascii="Garamond" w:hAnsi="Garamond"/>
          <w:sz w:val="22"/>
          <w:szCs w:val="22"/>
        </w:rPr>
        <w:t xml:space="preserve"> how an agent comes to know or is an agent’s acquisition of knowledge what </w:t>
      </w:r>
      <w:r w:rsidRPr="00031381">
        <w:rPr>
          <w:rFonts w:ascii="Garamond" w:hAnsi="Garamond"/>
          <w:i/>
          <w:iCs/>
          <w:sz w:val="22"/>
          <w:szCs w:val="22"/>
        </w:rPr>
        <w:t>causally explains</w:t>
      </w:r>
      <w:r w:rsidRPr="00031381">
        <w:rPr>
          <w:rFonts w:ascii="Garamond" w:hAnsi="Garamond"/>
          <w:sz w:val="22"/>
          <w:szCs w:val="22"/>
        </w:rPr>
        <w:t xml:space="preserve"> how she ends up with wisdom?</w:t>
      </w:r>
    </w:p>
    <w:p w14:paraId="3D6EB52A" w14:textId="77777777" w:rsidR="00120BCE" w:rsidRPr="00031381" w:rsidRDefault="00120BCE">
      <w:pPr>
        <w:spacing w:line="360" w:lineRule="auto"/>
        <w:rPr>
          <w:rFonts w:ascii="Garamond" w:eastAsia="Times New Roman" w:hAnsi="Garamond"/>
          <w:sz w:val="22"/>
          <w:szCs w:val="22"/>
        </w:rPr>
      </w:pPr>
    </w:p>
    <w:p w14:paraId="5B28E738" w14:textId="77777777" w:rsidR="00120BCE" w:rsidRPr="00031381" w:rsidRDefault="00000000">
      <w:pPr>
        <w:spacing w:line="360" w:lineRule="auto"/>
        <w:rPr>
          <w:rFonts w:ascii="Garamond" w:hAnsi="Garamond"/>
          <w:sz w:val="22"/>
          <w:szCs w:val="22"/>
        </w:rPr>
      </w:pPr>
      <w:r w:rsidRPr="00031381">
        <w:rPr>
          <w:rFonts w:ascii="Garamond" w:eastAsia="Times New Roman" w:hAnsi="Garamond"/>
          <w:b/>
          <w:bCs/>
          <w:sz w:val="22"/>
          <w:szCs w:val="22"/>
        </w:rPr>
        <w:t>(B)</w:t>
      </w:r>
      <w:r w:rsidRPr="00031381">
        <w:rPr>
          <w:rFonts w:ascii="Garamond" w:eastAsia="Times New Roman" w:hAnsi="Garamond"/>
          <w:sz w:val="22"/>
          <w:szCs w:val="22"/>
        </w:rPr>
        <w:t xml:space="preserve"> Is the exercise of wisdom what (partly) </w:t>
      </w:r>
      <w:r w:rsidRPr="00031381">
        <w:rPr>
          <w:rFonts w:ascii="Garamond" w:eastAsia="Times New Roman" w:hAnsi="Garamond"/>
          <w:i/>
          <w:iCs/>
          <w:sz w:val="22"/>
          <w:szCs w:val="22"/>
        </w:rPr>
        <w:t>defines</w:t>
      </w:r>
      <w:r w:rsidRPr="00031381">
        <w:rPr>
          <w:rFonts w:ascii="Garamond" w:eastAsia="Times New Roman" w:hAnsi="Garamond"/>
          <w:sz w:val="22"/>
          <w:szCs w:val="22"/>
        </w:rPr>
        <w:t xml:space="preserve"> knowledge or </w:t>
      </w:r>
      <w:r w:rsidRPr="00031381">
        <w:rPr>
          <w:rFonts w:ascii="Garamond" w:hAnsi="Garamond"/>
          <w:sz w:val="22"/>
          <w:szCs w:val="22"/>
        </w:rPr>
        <w:t>is the disposition to acquire knowledge</w:t>
      </w:r>
      <w:r w:rsidRPr="00031381">
        <w:rPr>
          <w:rFonts w:ascii="Garamond" w:eastAsia="Times New Roman" w:hAnsi="Garamond"/>
          <w:sz w:val="22"/>
          <w:szCs w:val="22"/>
        </w:rPr>
        <w:t xml:space="preserve"> what (partly) </w:t>
      </w:r>
      <w:r w:rsidRPr="00031381">
        <w:rPr>
          <w:rFonts w:ascii="Garamond" w:eastAsia="Times New Roman" w:hAnsi="Garamond"/>
          <w:i/>
          <w:iCs/>
          <w:sz w:val="22"/>
          <w:szCs w:val="22"/>
        </w:rPr>
        <w:t>defines</w:t>
      </w:r>
      <w:r w:rsidRPr="00031381">
        <w:rPr>
          <w:rFonts w:ascii="Garamond" w:eastAsia="Times New Roman" w:hAnsi="Garamond"/>
          <w:sz w:val="22"/>
          <w:szCs w:val="22"/>
        </w:rPr>
        <w:t xml:space="preserve"> wisdom? </w:t>
      </w:r>
    </w:p>
    <w:p w14:paraId="4B3B3CD0" w14:textId="77777777" w:rsidR="00120BCE" w:rsidRPr="00031381" w:rsidRDefault="00120BCE">
      <w:pPr>
        <w:spacing w:line="360" w:lineRule="auto"/>
        <w:rPr>
          <w:rFonts w:ascii="Garamond" w:eastAsia="Times New Roman" w:hAnsi="Garamond"/>
          <w:sz w:val="22"/>
          <w:szCs w:val="22"/>
        </w:rPr>
      </w:pPr>
    </w:p>
    <w:p w14:paraId="3A98DFDD" w14:textId="77777777" w:rsidR="00120BCE" w:rsidRPr="00031381" w:rsidRDefault="00000000">
      <w:pPr>
        <w:spacing w:line="360" w:lineRule="auto"/>
        <w:rPr>
          <w:rFonts w:ascii="Garamond" w:hAnsi="Garamond"/>
          <w:sz w:val="22"/>
          <w:szCs w:val="22"/>
        </w:rPr>
      </w:pPr>
      <w:r w:rsidRPr="00031381">
        <w:rPr>
          <w:rFonts w:ascii="Garamond" w:eastAsia="Times New Roman" w:hAnsi="Garamond"/>
          <w:sz w:val="22"/>
          <w:szCs w:val="22"/>
        </w:rPr>
        <w:t>Depending on how we answer questions (A) and (B), we end up with one of the following four views:</w:t>
      </w:r>
    </w:p>
    <w:p w14:paraId="15D0F522" w14:textId="77777777" w:rsidR="00120BCE" w:rsidRPr="00031381" w:rsidRDefault="00120BCE">
      <w:pPr>
        <w:spacing w:line="360" w:lineRule="auto"/>
        <w:rPr>
          <w:rFonts w:ascii="Garamond" w:eastAsia="Times New Roman" w:hAnsi="Garamond"/>
          <w:sz w:val="22"/>
          <w:szCs w:val="22"/>
        </w:rPr>
      </w:pPr>
    </w:p>
    <w:p w14:paraId="0C58D6A5" w14:textId="77777777" w:rsidR="00120BCE" w:rsidRPr="00031381" w:rsidRDefault="00000000">
      <w:pPr>
        <w:spacing w:line="360" w:lineRule="auto"/>
        <w:rPr>
          <w:rFonts w:ascii="Garamond" w:hAnsi="Garamond"/>
          <w:sz w:val="22"/>
          <w:szCs w:val="22"/>
        </w:rPr>
      </w:pPr>
      <w:r w:rsidRPr="00031381">
        <w:rPr>
          <w:rFonts w:ascii="Garamond" w:eastAsia="Times New Roman" w:hAnsi="Garamond"/>
          <w:b/>
          <w:bCs/>
          <w:sz w:val="22"/>
          <w:szCs w:val="22"/>
        </w:rPr>
        <w:t>(A1)</w:t>
      </w:r>
      <w:r w:rsidRPr="00031381">
        <w:rPr>
          <w:rFonts w:ascii="Garamond" w:eastAsia="Times New Roman" w:hAnsi="Garamond"/>
          <w:sz w:val="22"/>
          <w:szCs w:val="22"/>
        </w:rPr>
        <w:t xml:space="preserve"> The exercise of wisdom causally explains an agent’s knowledge.</w:t>
      </w:r>
    </w:p>
    <w:p w14:paraId="472F41BF" w14:textId="77777777" w:rsidR="00120BCE" w:rsidRPr="00031381" w:rsidRDefault="00000000">
      <w:pPr>
        <w:spacing w:line="360" w:lineRule="auto"/>
        <w:rPr>
          <w:rFonts w:ascii="Garamond" w:hAnsi="Garamond"/>
          <w:sz w:val="22"/>
          <w:szCs w:val="22"/>
        </w:rPr>
      </w:pPr>
      <w:r w:rsidRPr="00031381">
        <w:rPr>
          <w:rFonts w:ascii="Garamond" w:eastAsia="Times New Roman" w:hAnsi="Garamond"/>
          <w:b/>
          <w:bCs/>
          <w:sz w:val="22"/>
          <w:szCs w:val="22"/>
        </w:rPr>
        <w:t>(A2)</w:t>
      </w:r>
      <w:r w:rsidRPr="00031381">
        <w:rPr>
          <w:rFonts w:ascii="Garamond" w:eastAsia="Times New Roman" w:hAnsi="Garamond"/>
          <w:sz w:val="22"/>
          <w:szCs w:val="22"/>
        </w:rPr>
        <w:t xml:space="preserve"> The agent’s acquisition of knowledge causally explains her wisdom.</w:t>
      </w:r>
    </w:p>
    <w:p w14:paraId="7AFA1300" w14:textId="77777777" w:rsidR="00120BCE" w:rsidRPr="00031381" w:rsidRDefault="00000000">
      <w:pPr>
        <w:spacing w:line="360" w:lineRule="auto"/>
        <w:rPr>
          <w:rFonts w:ascii="Garamond" w:hAnsi="Garamond"/>
          <w:sz w:val="22"/>
          <w:szCs w:val="22"/>
        </w:rPr>
      </w:pPr>
      <w:r w:rsidRPr="00031381">
        <w:rPr>
          <w:rFonts w:ascii="Garamond" w:eastAsia="Times New Roman" w:hAnsi="Garamond"/>
          <w:b/>
          <w:bCs/>
          <w:sz w:val="22"/>
          <w:szCs w:val="22"/>
        </w:rPr>
        <w:t>(B1)</w:t>
      </w:r>
      <w:r w:rsidRPr="00031381">
        <w:rPr>
          <w:rFonts w:ascii="Garamond" w:eastAsia="Times New Roman" w:hAnsi="Garamond"/>
          <w:sz w:val="22"/>
          <w:szCs w:val="22"/>
        </w:rPr>
        <w:t xml:space="preserve"> The exercise of wisdom (partly) defines an agent’s knowledge.</w:t>
      </w:r>
    </w:p>
    <w:p w14:paraId="66B7E64D" w14:textId="77777777" w:rsidR="00120BCE" w:rsidRPr="00031381" w:rsidRDefault="00000000">
      <w:pPr>
        <w:spacing w:line="360" w:lineRule="auto"/>
        <w:rPr>
          <w:rFonts w:ascii="Garamond" w:hAnsi="Garamond"/>
          <w:sz w:val="22"/>
          <w:szCs w:val="22"/>
        </w:rPr>
      </w:pPr>
      <w:r w:rsidRPr="00031381">
        <w:rPr>
          <w:rFonts w:ascii="Garamond" w:eastAsia="Times New Roman" w:hAnsi="Garamond"/>
          <w:b/>
          <w:bCs/>
          <w:sz w:val="22"/>
          <w:szCs w:val="22"/>
        </w:rPr>
        <w:t>(B2)</w:t>
      </w:r>
      <w:r w:rsidRPr="00031381">
        <w:rPr>
          <w:rFonts w:ascii="Garamond" w:eastAsia="Times New Roman" w:hAnsi="Garamond"/>
          <w:sz w:val="22"/>
          <w:szCs w:val="22"/>
        </w:rPr>
        <w:t xml:space="preserve"> The agent’s disposition to acquire knowledge (partly) defines her wisdom.</w:t>
      </w:r>
    </w:p>
    <w:p w14:paraId="380B0931" w14:textId="77777777" w:rsidR="00120BCE" w:rsidRPr="00031381" w:rsidRDefault="00120BCE">
      <w:pPr>
        <w:spacing w:line="360" w:lineRule="auto"/>
        <w:rPr>
          <w:rFonts w:ascii="Garamond" w:hAnsi="Garamond"/>
          <w:sz w:val="22"/>
          <w:szCs w:val="22"/>
        </w:rPr>
      </w:pPr>
    </w:p>
    <w:p w14:paraId="1A6C61E3"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The </w:t>
      </w:r>
      <w:r w:rsidRPr="00031381">
        <w:rPr>
          <w:rFonts w:ascii="Garamond" w:eastAsia="Times New Roman" w:hAnsi="Garamond"/>
          <w:i/>
          <w:iCs/>
          <w:sz w:val="22"/>
          <w:szCs w:val="22"/>
        </w:rPr>
        <w:t>Contemporary Virtue Thesis</w:t>
      </w:r>
      <w:r w:rsidRPr="00031381">
        <w:rPr>
          <w:rFonts w:ascii="Garamond" w:eastAsia="Times New Roman" w:hAnsi="Garamond"/>
          <w:sz w:val="22"/>
          <w:szCs w:val="22"/>
        </w:rPr>
        <w:t xml:space="preserve"> (CV) at least entails view (B1), but it is not obvious whether that is true of </w:t>
      </w:r>
      <w:proofErr w:type="gramStart"/>
      <w:r w:rsidRPr="00031381">
        <w:rPr>
          <w:rFonts w:ascii="Garamond" w:eastAsia="Times New Roman" w:hAnsi="Garamond"/>
          <w:sz w:val="22"/>
          <w:szCs w:val="22"/>
        </w:rPr>
        <w:t xml:space="preserve">the </w:t>
      </w:r>
      <w:r w:rsidRPr="00031381">
        <w:rPr>
          <w:rFonts w:ascii="Garamond" w:eastAsia="Times New Roman" w:hAnsi="Garamond"/>
          <w:i/>
          <w:iCs/>
          <w:sz w:val="22"/>
          <w:szCs w:val="22"/>
        </w:rPr>
        <w:t>Mencius</w:t>
      </w:r>
      <w:proofErr w:type="gramEnd"/>
      <w:r w:rsidRPr="00031381">
        <w:rPr>
          <w:rFonts w:ascii="Garamond" w:eastAsia="Times New Roman" w:hAnsi="Garamond"/>
          <w:sz w:val="22"/>
          <w:szCs w:val="22"/>
        </w:rPr>
        <w:t>. Consider, for example, the following passage:</w:t>
      </w:r>
    </w:p>
    <w:p w14:paraId="4AF40713" w14:textId="77777777" w:rsidR="00120BCE" w:rsidRPr="00031381" w:rsidRDefault="00120BCE">
      <w:pPr>
        <w:spacing w:line="360" w:lineRule="auto"/>
        <w:rPr>
          <w:rFonts w:ascii="Garamond" w:hAnsi="Garamond"/>
          <w:sz w:val="22"/>
          <w:szCs w:val="22"/>
        </w:rPr>
      </w:pPr>
    </w:p>
    <w:p w14:paraId="0EC033EE" w14:textId="77777777" w:rsidR="00120BCE" w:rsidRPr="00031381" w:rsidRDefault="00000000">
      <w:pPr>
        <w:pStyle w:val="Quotations"/>
        <w:rPr>
          <w:rFonts w:ascii="Garamond" w:hAnsi="Garamond"/>
          <w:sz w:val="22"/>
          <w:szCs w:val="22"/>
        </w:rPr>
      </w:pPr>
      <w:r w:rsidRPr="00031381">
        <w:rPr>
          <w:rFonts w:ascii="Garamond" w:eastAsia="Times New Roman" w:hAnsi="Garamond"/>
          <w:sz w:val="22"/>
          <w:szCs w:val="22"/>
        </w:rPr>
        <w:lastRenderedPageBreak/>
        <w:t>Suppose you assign Yi Qiu to teach two people (the boardgame) Go.</w:t>
      </w:r>
      <w:r w:rsidRPr="00031381">
        <w:rPr>
          <w:rStyle w:val="FootnoteAnchor"/>
          <w:rFonts w:ascii="Garamond" w:eastAsia="Times New Roman" w:hAnsi="Garamond"/>
          <w:sz w:val="22"/>
          <w:szCs w:val="22"/>
        </w:rPr>
        <w:footnoteReference w:id="23"/>
      </w:r>
      <w:r w:rsidRPr="00031381">
        <w:rPr>
          <w:rFonts w:ascii="Garamond" w:eastAsia="Times New Roman" w:hAnsi="Garamond"/>
          <w:sz w:val="22"/>
          <w:szCs w:val="22"/>
        </w:rPr>
        <w:t xml:space="preserve"> One of them focuses his heart and applies his intention and only listens to Yi Qiu. The other of them, although he listens, with his entire heart he thinks a swan is approaching, and he reflects only </w:t>
      </w:r>
      <w:r w:rsidRPr="00031381">
        <w:rPr>
          <w:rFonts w:ascii="Garamond" w:hAnsi="Garamond"/>
          <w:sz w:val="22"/>
          <w:szCs w:val="22"/>
        </w:rPr>
        <w:t>on</w:t>
      </w:r>
      <w:r w:rsidRPr="00031381">
        <w:rPr>
          <w:rFonts w:ascii="Garamond" w:eastAsia="Times New Roman" w:hAnsi="Garamond"/>
          <w:sz w:val="22"/>
          <w:szCs w:val="22"/>
        </w:rPr>
        <w:t xml:space="preserve"> drawing his bow and shooting it. Although he learns along with the other person, he will not be as good as </w:t>
      </w:r>
      <w:proofErr w:type="gramStart"/>
      <w:r w:rsidRPr="00031381">
        <w:rPr>
          <w:rFonts w:ascii="Garamond" w:eastAsia="Times New Roman" w:hAnsi="Garamond"/>
          <w:sz w:val="22"/>
          <w:szCs w:val="22"/>
        </w:rPr>
        <w:t>he</w:t>
      </w:r>
      <w:proofErr w:type="gramEnd"/>
      <w:r w:rsidRPr="00031381">
        <w:rPr>
          <w:rFonts w:ascii="Garamond" w:eastAsia="Times New Roman" w:hAnsi="Garamond"/>
          <w:sz w:val="22"/>
          <w:szCs w:val="22"/>
        </w:rPr>
        <w:t>. Is this because his wisdom is not equal? I say that this is not so. (6A9)</w:t>
      </w:r>
    </w:p>
    <w:p w14:paraId="7E94E4A2"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In this passage, wisdom seems to play the epistemic role of a capacity for acquiring know-how or abilities. Mencius’s claim is straightforward: for S to be capable of knowing-how to play</w:t>
      </w:r>
      <w:r w:rsidRPr="00031381">
        <w:rPr>
          <w:rFonts w:ascii="Garamond" w:hAnsi="Garamond"/>
          <w:i/>
          <w:iCs/>
          <w:sz w:val="22"/>
          <w:szCs w:val="22"/>
        </w:rPr>
        <w:t xml:space="preserve"> </w:t>
      </w:r>
      <w:r w:rsidRPr="00031381">
        <w:rPr>
          <w:rFonts w:ascii="Garamond" w:hAnsi="Garamond"/>
          <w:sz w:val="22"/>
          <w:szCs w:val="22"/>
        </w:rPr>
        <w:t xml:space="preserve">Go, it is necessary that S has wisdom, but for S to </w:t>
      </w:r>
      <w:r w:rsidRPr="00031381">
        <w:rPr>
          <w:rFonts w:ascii="Garamond" w:hAnsi="Garamond"/>
          <w:i/>
          <w:iCs/>
          <w:sz w:val="22"/>
          <w:szCs w:val="22"/>
        </w:rPr>
        <w:t>in fact</w:t>
      </w:r>
      <w:r w:rsidRPr="00031381">
        <w:rPr>
          <w:rFonts w:ascii="Garamond" w:hAnsi="Garamond"/>
          <w:sz w:val="22"/>
          <w:szCs w:val="22"/>
        </w:rPr>
        <w:t xml:space="preserve"> come to know-how to play</w:t>
      </w:r>
      <w:r w:rsidRPr="00031381">
        <w:rPr>
          <w:rFonts w:ascii="Garamond" w:hAnsi="Garamond"/>
          <w:i/>
          <w:iCs/>
          <w:sz w:val="22"/>
          <w:szCs w:val="22"/>
        </w:rPr>
        <w:t xml:space="preserve"> </w:t>
      </w:r>
      <w:r w:rsidRPr="00031381">
        <w:rPr>
          <w:rFonts w:ascii="Garamond" w:hAnsi="Garamond"/>
          <w:sz w:val="22"/>
          <w:szCs w:val="22"/>
        </w:rPr>
        <w:t>Go, more is required. After all, two students can have the same capacity for acquiring know-how, but if one of them fails to concentrate on his lessons, then he will fall behind. Although in such a case, the student has a capacity for learning how to play</w:t>
      </w:r>
      <w:r w:rsidRPr="00031381">
        <w:rPr>
          <w:rFonts w:ascii="Garamond" w:hAnsi="Garamond"/>
          <w:i/>
          <w:iCs/>
          <w:sz w:val="22"/>
          <w:szCs w:val="22"/>
        </w:rPr>
        <w:t xml:space="preserve"> </w:t>
      </w:r>
      <w:r w:rsidRPr="00031381">
        <w:rPr>
          <w:rFonts w:ascii="Garamond" w:hAnsi="Garamond"/>
          <w:sz w:val="22"/>
          <w:szCs w:val="22"/>
        </w:rPr>
        <w:t>Go, he does not use it, because he fails to concentrate on his lessons and thereby fails to enact a way for him to learn how to play</w:t>
      </w:r>
      <w:r w:rsidRPr="00031381">
        <w:rPr>
          <w:rFonts w:ascii="Garamond" w:hAnsi="Garamond"/>
          <w:i/>
          <w:iCs/>
          <w:sz w:val="22"/>
          <w:szCs w:val="22"/>
        </w:rPr>
        <w:t xml:space="preserve"> </w:t>
      </w:r>
      <w:r w:rsidRPr="00031381">
        <w:rPr>
          <w:rFonts w:ascii="Garamond" w:hAnsi="Garamond"/>
          <w:sz w:val="22"/>
          <w:szCs w:val="22"/>
        </w:rPr>
        <w:t>Go. Therefore, I suggest that, according to 6A9, for S to come to know-how to play</w:t>
      </w:r>
      <w:r w:rsidRPr="00031381">
        <w:rPr>
          <w:rFonts w:ascii="Garamond" w:hAnsi="Garamond"/>
          <w:i/>
          <w:iCs/>
          <w:sz w:val="22"/>
          <w:szCs w:val="22"/>
        </w:rPr>
        <w:t xml:space="preserve"> </w:t>
      </w:r>
      <w:r w:rsidRPr="00031381">
        <w:rPr>
          <w:rFonts w:ascii="Garamond" w:hAnsi="Garamond"/>
          <w:sz w:val="22"/>
          <w:szCs w:val="22"/>
        </w:rPr>
        <w:t>Go, what is needed is for S to exercise her capacity for acquiring knowledge, i.e., her wisdom. Concentrating on the task at hand is a way for the student to learn how to play</w:t>
      </w:r>
      <w:r w:rsidRPr="00031381">
        <w:rPr>
          <w:rFonts w:ascii="Garamond" w:hAnsi="Garamond"/>
          <w:i/>
          <w:iCs/>
          <w:sz w:val="22"/>
          <w:szCs w:val="22"/>
        </w:rPr>
        <w:t xml:space="preserve"> </w:t>
      </w:r>
      <w:r w:rsidRPr="00031381">
        <w:rPr>
          <w:rFonts w:ascii="Garamond" w:hAnsi="Garamond"/>
          <w:sz w:val="22"/>
          <w:szCs w:val="22"/>
        </w:rPr>
        <w:t>Go, and enacting such a way is nothing other than using one’s capacity for acquiring know-how.</w:t>
      </w:r>
    </w:p>
    <w:p w14:paraId="31141D61" w14:textId="77777777" w:rsidR="00120BCE" w:rsidRPr="00031381" w:rsidRDefault="00120BCE">
      <w:pPr>
        <w:spacing w:line="360" w:lineRule="auto"/>
        <w:ind w:right="567"/>
        <w:rPr>
          <w:rFonts w:ascii="Garamond" w:hAnsi="Garamond"/>
          <w:sz w:val="22"/>
          <w:szCs w:val="22"/>
        </w:rPr>
      </w:pPr>
    </w:p>
    <w:p w14:paraId="6BB7D5E5"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However,</w:t>
      </w:r>
      <w:r w:rsidRPr="00031381">
        <w:rPr>
          <w:rFonts w:ascii="Garamond" w:hAnsi="Garamond"/>
          <w:i/>
          <w:iCs/>
          <w:sz w:val="22"/>
          <w:szCs w:val="22"/>
        </w:rPr>
        <w:t xml:space="preserve"> contra</w:t>
      </w:r>
      <w:r w:rsidRPr="00031381">
        <w:rPr>
          <w:rFonts w:ascii="Garamond" w:hAnsi="Garamond"/>
          <w:sz w:val="22"/>
          <w:szCs w:val="22"/>
        </w:rPr>
        <w:t xml:space="preserve"> (CV), it is not that knowing-how to play</w:t>
      </w:r>
      <w:r w:rsidRPr="00031381">
        <w:rPr>
          <w:rFonts w:ascii="Garamond" w:hAnsi="Garamond"/>
          <w:i/>
          <w:iCs/>
          <w:sz w:val="22"/>
          <w:szCs w:val="22"/>
        </w:rPr>
        <w:t xml:space="preserve"> </w:t>
      </w:r>
      <w:r w:rsidRPr="00031381">
        <w:rPr>
          <w:rFonts w:ascii="Garamond" w:hAnsi="Garamond"/>
          <w:sz w:val="22"/>
          <w:szCs w:val="22"/>
        </w:rPr>
        <w:t>Go is an instance of knowing-how only if it is acquired through the exercise of wisdom. In fact, Mencius at 7A15 says that there can be abilities (</w:t>
      </w:r>
      <w:proofErr w:type="spellStart"/>
      <w:r w:rsidRPr="00031381">
        <w:rPr>
          <w:rFonts w:ascii="Garamond" w:hAnsi="Garamond"/>
          <w:i/>
          <w:iCs/>
          <w:sz w:val="22"/>
          <w:szCs w:val="22"/>
        </w:rPr>
        <w:t>neng</w:t>
      </w:r>
      <w:proofErr w:type="spellEnd"/>
      <w:r w:rsidRPr="00031381">
        <w:rPr>
          <w:rFonts w:ascii="Garamond" w:hAnsi="Garamond"/>
          <w:sz w:val="22"/>
          <w:szCs w:val="22"/>
        </w:rPr>
        <w:t xml:space="preserve"> </w:t>
      </w:r>
      <w:r w:rsidRPr="00031381">
        <w:rPr>
          <w:rFonts w:ascii="Garamond" w:hAnsi="Garamond"/>
          <w:sz w:val="22"/>
          <w:szCs w:val="22"/>
        </w:rPr>
        <w:t>能</w:t>
      </w:r>
      <w:r w:rsidRPr="00031381">
        <w:rPr>
          <w:rFonts w:ascii="Garamond" w:hAnsi="Garamond"/>
          <w:sz w:val="22"/>
          <w:szCs w:val="22"/>
        </w:rPr>
        <w:t>) that are not acquired by learning (</w:t>
      </w:r>
      <w:proofErr w:type="spellStart"/>
      <w:r w:rsidRPr="00031381">
        <w:rPr>
          <w:rFonts w:ascii="Garamond" w:hAnsi="Garamond"/>
          <w:i/>
          <w:iCs/>
          <w:sz w:val="22"/>
          <w:szCs w:val="22"/>
        </w:rPr>
        <w:t>bu</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xue</w:t>
      </w:r>
      <w:proofErr w:type="spellEnd"/>
      <w:r w:rsidRPr="00031381">
        <w:rPr>
          <w:rFonts w:ascii="Garamond" w:hAnsi="Garamond"/>
          <w:sz w:val="22"/>
          <w:szCs w:val="22"/>
        </w:rPr>
        <w:t xml:space="preserve"> </w:t>
      </w:r>
      <w:r w:rsidRPr="00031381">
        <w:rPr>
          <w:rFonts w:ascii="Garamond" w:hAnsi="Garamond"/>
          <w:sz w:val="22"/>
          <w:szCs w:val="22"/>
        </w:rPr>
        <w:t>不學</w:t>
      </w:r>
      <w:r w:rsidRPr="00031381">
        <w:rPr>
          <w:rFonts w:ascii="Garamond" w:hAnsi="Garamond"/>
          <w:sz w:val="22"/>
          <w:szCs w:val="22"/>
        </w:rPr>
        <w:t>), which has traditionally been read to mean that one can possess unacquired abilities.</w:t>
      </w:r>
      <w:r w:rsidRPr="00031381">
        <w:rPr>
          <w:rStyle w:val="FootnoteAnchor"/>
          <w:rFonts w:ascii="Garamond" w:hAnsi="Garamond"/>
          <w:sz w:val="22"/>
          <w:szCs w:val="22"/>
        </w:rPr>
        <w:footnoteReference w:id="24"/>
      </w:r>
      <w:r w:rsidRPr="00031381">
        <w:rPr>
          <w:rFonts w:ascii="Garamond" w:hAnsi="Garamond"/>
          <w:sz w:val="22"/>
          <w:szCs w:val="22"/>
        </w:rPr>
        <w:t xml:space="preserve"> If wisdom is a capacity for acquiring knowing-how, but one can have unacquired know-how, then one can have know-how that is not the result of an exercise of wisdom. Therefore, it cannot be that knowing-how is </w:t>
      </w:r>
      <w:r w:rsidRPr="00031381">
        <w:rPr>
          <w:rFonts w:ascii="Garamond" w:hAnsi="Garamond"/>
          <w:i/>
          <w:iCs/>
          <w:sz w:val="22"/>
          <w:szCs w:val="22"/>
        </w:rPr>
        <w:t>defined</w:t>
      </w:r>
      <w:r w:rsidRPr="00031381">
        <w:rPr>
          <w:rFonts w:ascii="Garamond" w:hAnsi="Garamond"/>
          <w:sz w:val="22"/>
          <w:szCs w:val="22"/>
        </w:rPr>
        <w:t xml:space="preserve"> in terms of the exercise of wisdom. And that is evidence that Mencius rejects (CV).</w:t>
      </w:r>
    </w:p>
    <w:p w14:paraId="0695B339" w14:textId="77777777" w:rsidR="00120BCE" w:rsidRPr="00031381" w:rsidRDefault="00120BCE">
      <w:pPr>
        <w:spacing w:line="360" w:lineRule="auto"/>
        <w:ind w:right="567"/>
        <w:rPr>
          <w:rFonts w:ascii="Garamond" w:hAnsi="Garamond"/>
          <w:sz w:val="22"/>
          <w:szCs w:val="22"/>
        </w:rPr>
      </w:pPr>
    </w:p>
    <w:p w14:paraId="38093D17" w14:textId="77777777" w:rsidR="00120BCE" w:rsidRPr="00031381" w:rsidRDefault="00000000">
      <w:pPr>
        <w:spacing w:line="360" w:lineRule="auto"/>
        <w:ind w:right="567"/>
        <w:rPr>
          <w:rFonts w:ascii="Garamond" w:hAnsi="Garamond"/>
          <w:sz w:val="22"/>
          <w:szCs w:val="22"/>
        </w:rPr>
      </w:pPr>
      <w:r w:rsidRPr="00031381">
        <w:rPr>
          <w:rFonts w:ascii="Garamond" w:eastAsia="Times New Roman" w:hAnsi="Garamond"/>
          <w:sz w:val="22"/>
          <w:szCs w:val="22"/>
        </w:rPr>
        <w:t>Consider, in that light, the following excerpt from 2A2:</w:t>
      </w:r>
    </w:p>
    <w:p w14:paraId="55797BB6" w14:textId="77777777" w:rsidR="00120BCE" w:rsidRPr="00031381" w:rsidRDefault="00120BCE">
      <w:pPr>
        <w:spacing w:line="360" w:lineRule="auto"/>
        <w:ind w:right="567"/>
        <w:rPr>
          <w:rFonts w:ascii="Garamond" w:hAnsi="Garamond"/>
          <w:sz w:val="22"/>
          <w:szCs w:val="22"/>
        </w:rPr>
      </w:pPr>
    </w:p>
    <w:p w14:paraId="308BE596" w14:textId="77777777" w:rsidR="00120BCE" w:rsidRPr="00031381" w:rsidRDefault="00000000">
      <w:pPr>
        <w:pStyle w:val="Quotations"/>
        <w:rPr>
          <w:rFonts w:ascii="Garamond" w:hAnsi="Garamond"/>
          <w:sz w:val="22"/>
          <w:szCs w:val="22"/>
        </w:rPr>
      </w:pPr>
      <w:r w:rsidRPr="00031381">
        <w:rPr>
          <w:rFonts w:ascii="Garamond" w:hAnsi="Garamond"/>
          <w:sz w:val="22"/>
          <w:szCs w:val="22"/>
        </w:rPr>
        <w:t xml:space="preserve">Zai Wo, </w:t>
      </w:r>
      <w:proofErr w:type="gramStart"/>
      <w:r w:rsidRPr="00031381">
        <w:rPr>
          <w:rFonts w:ascii="Garamond" w:hAnsi="Garamond"/>
          <w:sz w:val="22"/>
          <w:szCs w:val="22"/>
        </w:rPr>
        <w:t>Zigong</w:t>
      </w:r>
      <w:proofErr w:type="gramEnd"/>
      <w:r w:rsidRPr="00031381">
        <w:rPr>
          <w:rFonts w:ascii="Garamond" w:hAnsi="Garamond"/>
          <w:sz w:val="22"/>
          <w:szCs w:val="22"/>
        </w:rPr>
        <w:t xml:space="preserve"> and You </w:t>
      </w:r>
      <w:proofErr w:type="spellStart"/>
      <w:r w:rsidRPr="00031381">
        <w:rPr>
          <w:rFonts w:ascii="Garamond" w:hAnsi="Garamond"/>
          <w:sz w:val="22"/>
          <w:szCs w:val="22"/>
        </w:rPr>
        <w:t>Ruo</w:t>
      </w:r>
      <w:proofErr w:type="spellEnd"/>
      <w:r w:rsidRPr="00031381">
        <w:rPr>
          <w:rFonts w:ascii="Garamond" w:hAnsi="Garamond"/>
          <w:sz w:val="22"/>
          <w:szCs w:val="22"/>
        </w:rPr>
        <w:t xml:space="preserve"> had wisdom sufficient to know sages. They would not stoop so low as to </w:t>
      </w:r>
      <w:proofErr w:type="spellStart"/>
      <w:r w:rsidRPr="00031381">
        <w:rPr>
          <w:rFonts w:ascii="Garamond" w:hAnsi="Garamond"/>
          <w:sz w:val="22"/>
          <w:szCs w:val="22"/>
        </w:rPr>
        <w:t>favour</w:t>
      </w:r>
      <w:proofErr w:type="spellEnd"/>
      <w:r w:rsidRPr="00031381">
        <w:rPr>
          <w:rFonts w:ascii="Garamond" w:hAnsi="Garamond"/>
          <w:sz w:val="22"/>
          <w:szCs w:val="22"/>
        </w:rPr>
        <w:t xml:space="preserve"> someone just because they liked him. […] You </w:t>
      </w:r>
      <w:proofErr w:type="spellStart"/>
      <w:r w:rsidRPr="00031381">
        <w:rPr>
          <w:rFonts w:ascii="Garamond" w:hAnsi="Garamond"/>
          <w:sz w:val="22"/>
          <w:szCs w:val="22"/>
        </w:rPr>
        <w:t>Ruo</w:t>
      </w:r>
      <w:proofErr w:type="spellEnd"/>
      <w:r w:rsidRPr="00031381">
        <w:rPr>
          <w:rFonts w:ascii="Garamond" w:hAnsi="Garamond"/>
          <w:sz w:val="22"/>
          <w:szCs w:val="22"/>
        </w:rPr>
        <w:t xml:space="preserve"> said, “This is not only so with people: the unicorn in relation to animals, the phoenix in relation to birds, Mount Tai in relation to hills, the Yellow River and ocean in relation to running waters, they are </w:t>
      </w:r>
      <w:proofErr w:type="gramStart"/>
      <w:r w:rsidRPr="00031381">
        <w:rPr>
          <w:rFonts w:ascii="Garamond" w:hAnsi="Garamond"/>
          <w:sz w:val="22"/>
          <w:szCs w:val="22"/>
        </w:rPr>
        <w:t>all of</w:t>
      </w:r>
      <w:proofErr w:type="gramEnd"/>
      <w:r w:rsidRPr="00031381">
        <w:rPr>
          <w:rFonts w:ascii="Garamond" w:hAnsi="Garamond"/>
          <w:sz w:val="22"/>
          <w:szCs w:val="22"/>
        </w:rPr>
        <w:t xml:space="preserve"> the same kind. The </w:t>
      </w:r>
      <w:proofErr w:type="gramStart"/>
      <w:r w:rsidRPr="00031381">
        <w:rPr>
          <w:rFonts w:ascii="Garamond" w:hAnsi="Garamond"/>
          <w:sz w:val="22"/>
          <w:szCs w:val="22"/>
        </w:rPr>
        <w:t>sage</w:t>
      </w:r>
      <w:proofErr w:type="gramEnd"/>
      <w:r w:rsidRPr="00031381">
        <w:rPr>
          <w:rFonts w:ascii="Garamond" w:hAnsi="Garamond"/>
          <w:sz w:val="22"/>
          <w:szCs w:val="22"/>
        </w:rPr>
        <w:t xml:space="preserve"> in relation to the people is also of the same kind. But they all stand out from their kind; they emerge from the thicket. Since the beginning of mankind, there has never been one greater than Confucius.” (2A2)</w:t>
      </w:r>
    </w:p>
    <w:p w14:paraId="01F377A0" w14:textId="77777777" w:rsidR="00120BCE" w:rsidRPr="00031381" w:rsidRDefault="00120BCE">
      <w:pPr>
        <w:spacing w:line="360" w:lineRule="auto"/>
        <w:rPr>
          <w:rFonts w:ascii="Garamond" w:hAnsi="Garamond"/>
          <w:sz w:val="22"/>
          <w:szCs w:val="22"/>
        </w:rPr>
      </w:pPr>
    </w:p>
    <w:p w14:paraId="7440D737"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Mencius seems to be saying that knowing who is sagely requires a certain degree of wisdom. Once an epistemic agent has attained</w:t>
      </w:r>
      <w:r w:rsidRPr="00031381">
        <w:rPr>
          <w:rFonts w:ascii="Garamond" w:hAnsi="Garamond"/>
          <w:i/>
          <w:iCs/>
          <w:sz w:val="22"/>
          <w:szCs w:val="22"/>
        </w:rPr>
        <w:t xml:space="preserve"> sufficient</w:t>
      </w:r>
      <w:r w:rsidRPr="00031381">
        <w:rPr>
          <w:rFonts w:ascii="Garamond" w:hAnsi="Garamond"/>
          <w:sz w:val="22"/>
          <w:szCs w:val="22"/>
        </w:rPr>
        <w:t xml:space="preserve"> (</w:t>
      </w:r>
      <w:proofErr w:type="spellStart"/>
      <w:r w:rsidRPr="00031381">
        <w:rPr>
          <w:rFonts w:ascii="Garamond" w:hAnsi="Garamond"/>
          <w:i/>
          <w:iCs/>
          <w:sz w:val="22"/>
          <w:szCs w:val="22"/>
        </w:rPr>
        <w:t>zuyi</w:t>
      </w:r>
      <w:proofErr w:type="spellEnd"/>
      <w:r w:rsidRPr="00031381">
        <w:rPr>
          <w:rFonts w:ascii="Garamond" w:hAnsi="Garamond"/>
          <w:sz w:val="22"/>
          <w:szCs w:val="22"/>
        </w:rPr>
        <w:t xml:space="preserve"> </w:t>
      </w:r>
      <w:r w:rsidRPr="00031381">
        <w:rPr>
          <w:rFonts w:ascii="Garamond" w:eastAsia="SimSun" w:hAnsi="Garamond" w:cs="SimSun"/>
          <w:sz w:val="22"/>
          <w:szCs w:val="22"/>
        </w:rPr>
        <w:t>足以</w:t>
      </w:r>
      <w:r w:rsidRPr="00031381">
        <w:rPr>
          <w:rFonts w:ascii="Garamond" w:hAnsi="Garamond"/>
          <w:sz w:val="22"/>
          <w:szCs w:val="22"/>
        </w:rPr>
        <w:t xml:space="preserve">) wisdom, they </w:t>
      </w:r>
      <w:proofErr w:type="gramStart"/>
      <w:r w:rsidRPr="00031381">
        <w:rPr>
          <w:rFonts w:ascii="Garamond" w:hAnsi="Garamond"/>
          <w:sz w:val="22"/>
          <w:szCs w:val="22"/>
        </w:rPr>
        <w:t>are capable of knowing</w:t>
      </w:r>
      <w:proofErr w:type="gramEnd"/>
      <w:r w:rsidRPr="00031381">
        <w:rPr>
          <w:rFonts w:ascii="Garamond" w:hAnsi="Garamond"/>
          <w:sz w:val="22"/>
          <w:szCs w:val="22"/>
        </w:rPr>
        <w:t xml:space="preserve"> sages. In this case, Zai Wo, Zigong, and You </w:t>
      </w:r>
      <w:proofErr w:type="spellStart"/>
      <w:r w:rsidRPr="00031381">
        <w:rPr>
          <w:rFonts w:ascii="Garamond" w:hAnsi="Garamond"/>
          <w:sz w:val="22"/>
          <w:szCs w:val="22"/>
        </w:rPr>
        <w:t>Ruo</w:t>
      </w:r>
      <w:proofErr w:type="spellEnd"/>
      <w:r w:rsidRPr="00031381">
        <w:rPr>
          <w:rFonts w:ascii="Garamond" w:hAnsi="Garamond"/>
          <w:sz w:val="22"/>
          <w:szCs w:val="22"/>
        </w:rPr>
        <w:t xml:space="preserve"> know that Confucius is a sage and they do so </w:t>
      </w:r>
      <w:proofErr w:type="gramStart"/>
      <w:r w:rsidRPr="00031381">
        <w:rPr>
          <w:rFonts w:ascii="Garamond" w:hAnsi="Garamond"/>
          <w:sz w:val="22"/>
          <w:szCs w:val="22"/>
        </w:rPr>
        <w:t>as a result of</w:t>
      </w:r>
      <w:proofErr w:type="gramEnd"/>
      <w:r w:rsidRPr="00031381">
        <w:rPr>
          <w:rFonts w:ascii="Garamond" w:hAnsi="Garamond"/>
          <w:sz w:val="22"/>
          <w:szCs w:val="22"/>
        </w:rPr>
        <w:t xml:space="preserve"> their wisdom. Therefore, Mencius seems in effect to be saying that wisdom is a </w:t>
      </w:r>
      <w:proofErr w:type="gramStart"/>
      <w:r w:rsidRPr="00031381">
        <w:rPr>
          <w:rFonts w:ascii="Garamond" w:hAnsi="Garamond"/>
          <w:sz w:val="22"/>
          <w:szCs w:val="22"/>
        </w:rPr>
        <w:t>capacity</w:t>
      </w:r>
      <w:proofErr w:type="gramEnd"/>
      <w:r w:rsidRPr="00031381">
        <w:rPr>
          <w:rFonts w:ascii="Garamond" w:hAnsi="Garamond"/>
          <w:sz w:val="22"/>
          <w:szCs w:val="22"/>
        </w:rPr>
        <w:t xml:space="preserve"> the exercise of which yields knowledge.</w:t>
      </w:r>
    </w:p>
    <w:p w14:paraId="768D4B9F" w14:textId="77777777" w:rsidR="00120BCE" w:rsidRPr="00031381" w:rsidRDefault="00120BCE">
      <w:pPr>
        <w:spacing w:line="360" w:lineRule="auto"/>
        <w:ind w:right="567"/>
        <w:rPr>
          <w:rFonts w:ascii="Garamond" w:hAnsi="Garamond"/>
          <w:sz w:val="22"/>
          <w:szCs w:val="22"/>
        </w:rPr>
      </w:pPr>
    </w:p>
    <w:p w14:paraId="259B003C"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What 2A2 does not say, however, is that what it means to know sages</w:t>
      </w:r>
      <w:r w:rsidRPr="00031381">
        <w:rPr>
          <w:rFonts w:ascii="Garamond" w:hAnsi="Garamond"/>
          <w:i/>
          <w:iCs/>
          <w:sz w:val="22"/>
          <w:szCs w:val="22"/>
        </w:rPr>
        <w:t xml:space="preserve"> just is </w:t>
      </w:r>
      <w:r w:rsidRPr="00031381">
        <w:rPr>
          <w:rFonts w:ascii="Garamond" w:hAnsi="Garamond"/>
          <w:sz w:val="22"/>
          <w:szCs w:val="22"/>
        </w:rPr>
        <w:t>(at least in part) to exercise wisdom. According to You Rou, what it means to know that Confucius is sagely is to grasp that Confucius is a particularly excellent member of the kind (</w:t>
      </w:r>
      <w:r w:rsidRPr="00031381">
        <w:rPr>
          <w:rFonts w:ascii="Garamond" w:hAnsi="Garamond"/>
          <w:i/>
          <w:iCs/>
          <w:sz w:val="22"/>
          <w:szCs w:val="22"/>
        </w:rPr>
        <w:t>lei</w:t>
      </w:r>
      <w:r w:rsidRPr="00031381">
        <w:rPr>
          <w:rFonts w:ascii="Garamond" w:hAnsi="Garamond"/>
          <w:sz w:val="22"/>
          <w:szCs w:val="22"/>
        </w:rPr>
        <w:t xml:space="preserve"> </w:t>
      </w:r>
      <w:r w:rsidRPr="00031381">
        <w:rPr>
          <w:rFonts w:ascii="Garamond" w:hAnsi="Garamond"/>
          <w:sz w:val="22"/>
          <w:szCs w:val="22"/>
        </w:rPr>
        <w:t>類</w:t>
      </w:r>
      <w:r w:rsidRPr="00031381">
        <w:rPr>
          <w:rFonts w:ascii="Garamond" w:hAnsi="Garamond"/>
          <w:sz w:val="22"/>
          <w:szCs w:val="22"/>
        </w:rPr>
        <w:t xml:space="preserve">) that he belongs to. Knowing those who are sagely is not </w:t>
      </w:r>
      <w:r w:rsidRPr="00031381">
        <w:rPr>
          <w:rFonts w:ascii="Garamond" w:hAnsi="Garamond"/>
          <w:i/>
          <w:iCs/>
          <w:sz w:val="22"/>
          <w:szCs w:val="22"/>
        </w:rPr>
        <w:t>defined</w:t>
      </w:r>
      <w:r w:rsidRPr="00031381">
        <w:rPr>
          <w:rFonts w:ascii="Garamond" w:hAnsi="Garamond"/>
          <w:sz w:val="22"/>
          <w:szCs w:val="22"/>
        </w:rPr>
        <w:t xml:space="preserve"> in terms of the exercise of intellectual virtue. If anything, it involves grasping something about the sagely.</w:t>
      </w:r>
      <w:r w:rsidRPr="00031381">
        <w:rPr>
          <w:rStyle w:val="FootnoteAnchor"/>
          <w:rFonts w:ascii="Garamond" w:hAnsi="Garamond"/>
          <w:sz w:val="22"/>
          <w:szCs w:val="22"/>
        </w:rPr>
        <w:footnoteReference w:id="25"/>
      </w:r>
      <w:r w:rsidRPr="00031381">
        <w:rPr>
          <w:rFonts w:ascii="Garamond" w:hAnsi="Garamond"/>
          <w:sz w:val="22"/>
          <w:szCs w:val="22"/>
        </w:rPr>
        <w:t xml:space="preserve"> Wisdom is what brings it about that one knows sages, but what makes it the case that a cognitive act is an instance of knowing is that the act is </w:t>
      </w:r>
      <w:r w:rsidRPr="00031381">
        <w:rPr>
          <w:rFonts w:ascii="Garamond" w:hAnsi="Garamond"/>
          <w:i/>
          <w:iCs/>
          <w:sz w:val="22"/>
          <w:szCs w:val="22"/>
        </w:rPr>
        <w:t>such-and-such</w:t>
      </w:r>
      <w:r w:rsidRPr="00031381">
        <w:rPr>
          <w:rFonts w:ascii="Garamond" w:hAnsi="Garamond"/>
          <w:sz w:val="22"/>
          <w:szCs w:val="22"/>
        </w:rPr>
        <w:t xml:space="preserve"> – namely, that it involves grasping something about the sagely, perhaps being able to explain why Confucius is a sage, or perhaps acting reverently towards him. For Mencius, how knowledge is acquired seems of no importance to the question of whether it is an instance of </w:t>
      </w:r>
      <w:r w:rsidRPr="00031381">
        <w:rPr>
          <w:rFonts w:ascii="Garamond" w:hAnsi="Garamond"/>
          <w:i/>
          <w:iCs/>
          <w:sz w:val="22"/>
          <w:szCs w:val="22"/>
        </w:rPr>
        <w:t>knowledge</w:t>
      </w:r>
      <w:r w:rsidRPr="00031381">
        <w:rPr>
          <w:rFonts w:ascii="Garamond" w:hAnsi="Garamond"/>
          <w:sz w:val="22"/>
          <w:szCs w:val="22"/>
        </w:rPr>
        <w:t xml:space="preserve">. </w:t>
      </w:r>
    </w:p>
    <w:p w14:paraId="4664BFCF" w14:textId="77777777" w:rsidR="00120BCE" w:rsidRPr="00031381" w:rsidRDefault="00120BCE">
      <w:pPr>
        <w:spacing w:line="360" w:lineRule="auto"/>
        <w:ind w:right="567"/>
        <w:rPr>
          <w:rFonts w:ascii="Garamond" w:hAnsi="Garamond"/>
          <w:sz w:val="22"/>
          <w:szCs w:val="22"/>
        </w:rPr>
      </w:pPr>
    </w:p>
    <w:p w14:paraId="221F4304"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Hence, there is textual support for the view that exercising </w:t>
      </w:r>
      <w:proofErr w:type="spellStart"/>
      <w:r w:rsidRPr="00031381">
        <w:rPr>
          <w:rFonts w:ascii="Garamond" w:hAnsi="Garamond"/>
          <w:sz w:val="22"/>
          <w:szCs w:val="22"/>
        </w:rPr>
        <w:t>Mencian</w:t>
      </w:r>
      <w:proofErr w:type="spellEnd"/>
      <w:r w:rsidRPr="00031381">
        <w:rPr>
          <w:rFonts w:ascii="Garamond" w:hAnsi="Garamond"/>
          <w:sz w:val="22"/>
          <w:szCs w:val="22"/>
        </w:rPr>
        <w:t xml:space="preserve"> wisdom is necessary for acquiring both knowledge-how to</w:t>
      </w:r>
      <w:r w:rsidRPr="00031381">
        <w:rPr>
          <w:rFonts w:ascii="Garamond" w:hAnsi="Garamond"/>
          <w:i/>
          <w:iCs/>
          <w:sz w:val="22"/>
          <w:szCs w:val="22"/>
        </w:rPr>
        <w:t xml:space="preserve"> φ </w:t>
      </w:r>
      <w:r w:rsidRPr="00031381">
        <w:rPr>
          <w:rFonts w:ascii="Garamond" w:hAnsi="Garamond"/>
          <w:sz w:val="22"/>
          <w:szCs w:val="22"/>
        </w:rPr>
        <w:t xml:space="preserve">and knowledge-that p. This corresponds to view (A1) above: the exercise of wisdom </w:t>
      </w:r>
      <w:r w:rsidRPr="00031381">
        <w:rPr>
          <w:rFonts w:ascii="Garamond" w:hAnsi="Garamond"/>
          <w:i/>
          <w:iCs/>
          <w:sz w:val="22"/>
          <w:szCs w:val="22"/>
        </w:rPr>
        <w:t>causally explains</w:t>
      </w:r>
      <w:r w:rsidRPr="00031381">
        <w:rPr>
          <w:rFonts w:ascii="Garamond" w:hAnsi="Garamond"/>
          <w:sz w:val="22"/>
          <w:szCs w:val="22"/>
        </w:rPr>
        <w:t xml:space="preserve"> how an agent comes to know. But it does not correspond to view (B1), and so, by implication, it does not correspond to the </w:t>
      </w:r>
      <w:r w:rsidRPr="00031381">
        <w:rPr>
          <w:rFonts w:ascii="Garamond" w:hAnsi="Garamond"/>
          <w:i/>
          <w:iCs/>
          <w:sz w:val="22"/>
          <w:szCs w:val="22"/>
        </w:rPr>
        <w:t>Contemporary Virtue Thesis.</w:t>
      </w:r>
    </w:p>
    <w:p w14:paraId="245AA9A0" w14:textId="77777777" w:rsidR="00120BCE" w:rsidRPr="00031381" w:rsidRDefault="00120BCE">
      <w:pPr>
        <w:spacing w:line="360" w:lineRule="auto"/>
        <w:ind w:right="567"/>
        <w:rPr>
          <w:rFonts w:ascii="Garamond" w:hAnsi="Garamond"/>
          <w:sz w:val="22"/>
          <w:szCs w:val="22"/>
        </w:rPr>
      </w:pPr>
    </w:p>
    <w:p w14:paraId="452A294E"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If my argument so far has been successful, and if it turns out that Mencius does not hold (CV), then perhaps Mencius’s view is that an epistemic agent’s intellectual virtue only </w:t>
      </w:r>
      <w:r w:rsidRPr="00031381">
        <w:rPr>
          <w:rFonts w:ascii="Garamond" w:hAnsi="Garamond"/>
          <w:i/>
          <w:iCs/>
          <w:sz w:val="22"/>
          <w:szCs w:val="22"/>
        </w:rPr>
        <w:t>causally</w:t>
      </w:r>
      <w:r w:rsidRPr="00031381">
        <w:rPr>
          <w:rFonts w:ascii="Garamond" w:hAnsi="Garamond"/>
          <w:sz w:val="22"/>
          <w:szCs w:val="22"/>
        </w:rPr>
        <w:t xml:space="preserve"> explains how she comes to know without </w:t>
      </w:r>
      <w:r w:rsidRPr="00031381">
        <w:rPr>
          <w:rFonts w:ascii="Garamond" w:hAnsi="Garamond"/>
          <w:i/>
          <w:iCs/>
          <w:sz w:val="22"/>
          <w:szCs w:val="22"/>
        </w:rPr>
        <w:t>defining</w:t>
      </w:r>
      <w:r w:rsidRPr="00031381">
        <w:rPr>
          <w:rFonts w:ascii="Garamond" w:hAnsi="Garamond"/>
          <w:sz w:val="22"/>
          <w:szCs w:val="22"/>
        </w:rPr>
        <w:t xml:space="preserve"> knowledge in terms of the exercise of her intellectual virtue. This is a nuanced view that, as far as I know, has not been considered by either contemporary virtue epistemologists or scholars researching early Chinese texts. In what follows I argue that the view has at least one important advantage over more traditional virtue epistemological views – and that is, it can better account for the value of knowledge.</w:t>
      </w:r>
    </w:p>
    <w:p w14:paraId="7D7F686E" w14:textId="77777777" w:rsidR="00120BCE" w:rsidRPr="00031381" w:rsidRDefault="00120BCE">
      <w:pPr>
        <w:spacing w:line="360" w:lineRule="auto"/>
        <w:ind w:right="567"/>
        <w:rPr>
          <w:rFonts w:ascii="Garamond" w:hAnsi="Garamond"/>
          <w:sz w:val="22"/>
          <w:szCs w:val="22"/>
        </w:rPr>
      </w:pPr>
    </w:p>
    <w:p w14:paraId="1BD62EA9" w14:textId="77777777" w:rsidR="00120BCE" w:rsidRPr="00031381" w:rsidRDefault="00000000">
      <w:pPr>
        <w:spacing w:line="360" w:lineRule="auto"/>
        <w:ind w:right="567"/>
        <w:rPr>
          <w:rFonts w:ascii="Garamond" w:hAnsi="Garamond"/>
          <w:b/>
          <w:bCs/>
          <w:sz w:val="22"/>
          <w:szCs w:val="22"/>
        </w:rPr>
      </w:pPr>
      <w:r w:rsidRPr="00031381">
        <w:rPr>
          <w:rFonts w:ascii="Garamond" w:hAnsi="Garamond"/>
          <w:b/>
          <w:bCs/>
          <w:sz w:val="22"/>
          <w:szCs w:val="22"/>
        </w:rPr>
        <w:t xml:space="preserve">3.2 </w:t>
      </w:r>
      <w:proofErr w:type="spellStart"/>
      <w:r w:rsidRPr="00031381">
        <w:rPr>
          <w:rFonts w:ascii="Garamond" w:hAnsi="Garamond"/>
          <w:b/>
          <w:bCs/>
          <w:sz w:val="22"/>
          <w:szCs w:val="22"/>
        </w:rPr>
        <w:t>Mencian</w:t>
      </w:r>
      <w:proofErr w:type="spellEnd"/>
      <w:r w:rsidRPr="00031381">
        <w:rPr>
          <w:rFonts w:ascii="Garamond" w:hAnsi="Garamond"/>
          <w:b/>
          <w:bCs/>
          <w:sz w:val="22"/>
          <w:szCs w:val="22"/>
        </w:rPr>
        <w:t xml:space="preserve"> Wisdom and the Value of Knowledge</w:t>
      </w:r>
    </w:p>
    <w:p w14:paraId="02C8D60D" w14:textId="77777777" w:rsidR="00120BCE" w:rsidRPr="00031381" w:rsidRDefault="00120BCE">
      <w:pPr>
        <w:spacing w:line="360" w:lineRule="auto"/>
        <w:ind w:right="567"/>
        <w:rPr>
          <w:rFonts w:ascii="Garamond" w:hAnsi="Garamond"/>
          <w:sz w:val="22"/>
          <w:szCs w:val="22"/>
        </w:rPr>
      </w:pPr>
    </w:p>
    <w:p w14:paraId="6DC85D3A"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One core motivation behind adopting a kind of virtue epistemology is that we can thereby supposedly give an account of knowledge that excludes </w:t>
      </w:r>
      <w:proofErr w:type="spellStart"/>
      <w:r w:rsidRPr="00031381">
        <w:rPr>
          <w:rFonts w:ascii="Garamond" w:hAnsi="Garamond"/>
          <w:sz w:val="22"/>
          <w:szCs w:val="22"/>
        </w:rPr>
        <w:t>Gettiered</w:t>
      </w:r>
      <w:proofErr w:type="spellEnd"/>
      <w:r w:rsidRPr="00031381">
        <w:rPr>
          <w:rFonts w:ascii="Garamond" w:hAnsi="Garamond"/>
          <w:sz w:val="22"/>
          <w:szCs w:val="22"/>
        </w:rPr>
        <w:t xml:space="preserve"> beliefs from being knowledge. It is a common assumption among </w:t>
      </w:r>
      <w:r w:rsidRPr="00031381">
        <w:rPr>
          <w:rFonts w:ascii="Garamond" w:hAnsi="Garamond"/>
          <w:sz w:val="22"/>
          <w:szCs w:val="22"/>
        </w:rPr>
        <w:lastRenderedPageBreak/>
        <w:t xml:space="preserve">epistemologists that </w:t>
      </w:r>
      <w:proofErr w:type="spellStart"/>
      <w:r w:rsidRPr="00031381">
        <w:rPr>
          <w:rFonts w:ascii="Garamond" w:hAnsi="Garamond"/>
          <w:sz w:val="22"/>
          <w:szCs w:val="22"/>
        </w:rPr>
        <w:t>Gettiered</w:t>
      </w:r>
      <w:proofErr w:type="spellEnd"/>
      <w:r w:rsidRPr="00031381">
        <w:rPr>
          <w:rFonts w:ascii="Garamond" w:hAnsi="Garamond"/>
          <w:sz w:val="22"/>
          <w:szCs w:val="22"/>
        </w:rPr>
        <w:t xml:space="preserve"> beliefs fail to be knowledge because they are beliefs that are </w:t>
      </w:r>
      <w:proofErr w:type="spellStart"/>
      <w:r w:rsidRPr="00031381">
        <w:rPr>
          <w:rFonts w:ascii="Garamond" w:hAnsi="Garamond"/>
          <w:sz w:val="22"/>
          <w:szCs w:val="22"/>
        </w:rPr>
        <w:t>veritically</w:t>
      </w:r>
      <w:proofErr w:type="spellEnd"/>
      <w:r w:rsidRPr="00031381">
        <w:rPr>
          <w:rFonts w:ascii="Garamond" w:hAnsi="Garamond"/>
          <w:sz w:val="22"/>
          <w:szCs w:val="22"/>
        </w:rPr>
        <w:t xml:space="preserve"> lucky,</w:t>
      </w:r>
      <w:r w:rsidRPr="00031381">
        <w:rPr>
          <w:rStyle w:val="FootnoteAnchor"/>
          <w:rFonts w:ascii="Garamond" w:hAnsi="Garamond"/>
          <w:sz w:val="22"/>
          <w:szCs w:val="22"/>
        </w:rPr>
        <w:footnoteReference w:id="26"/>
      </w:r>
      <w:r w:rsidRPr="00031381">
        <w:rPr>
          <w:rFonts w:ascii="Garamond" w:hAnsi="Garamond"/>
          <w:sz w:val="22"/>
          <w:szCs w:val="22"/>
        </w:rPr>
        <w:t xml:space="preserve"> and no </w:t>
      </w:r>
      <w:proofErr w:type="spellStart"/>
      <w:r w:rsidRPr="00031381">
        <w:rPr>
          <w:rFonts w:ascii="Garamond" w:hAnsi="Garamond"/>
          <w:sz w:val="22"/>
          <w:szCs w:val="22"/>
        </w:rPr>
        <w:t>veritically</w:t>
      </w:r>
      <w:proofErr w:type="spellEnd"/>
      <w:r w:rsidRPr="00031381">
        <w:rPr>
          <w:rFonts w:ascii="Garamond" w:hAnsi="Garamond"/>
          <w:sz w:val="22"/>
          <w:szCs w:val="22"/>
        </w:rPr>
        <w:t xml:space="preserve"> lucky belief can be knowledge. A belief is </w:t>
      </w:r>
      <w:proofErr w:type="spellStart"/>
      <w:r w:rsidRPr="00031381">
        <w:rPr>
          <w:rFonts w:ascii="Garamond" w:hAnsi="Garamond"/>
          <w:sz w:val="22"/>
          <w:szCs w:val="22"/>
        </w:rPr>
        <w:t>veritically</w:t>
      </w:r>
      <w:proofErr w:type="spellEnd"/>
      <w:r w:rsidRPr="00031381">
        <w:rPr>
          <w:rFonts w:ascii="Garamond" w:hAnsi="Garamond"/>
          <w:sz w:val="22"/>
          <w:szCs w:val="22"/>
        </w:rPr>
        <w:t xml:space="preserve"> lucky just in case the belief is true in the actual world but false in almost all close possible worlds in which the agent forms the belief in the same way that they do in the actual world (see e.g., Prichard 2005; 2007; 2008; 2012).</w:t>
      </w:r>
      <w:r w:rsidRPr="00031381">
        <w:rPr>
          <w:rStyle w:val="FootnoteAnchor"/>
          <w:rFonts w:ascii="Garamond" w:hAnsi="Garamond"/>
          <w:sz w:val="22"/>
          <w:szCs w:val="22"/>
        </w:rPr>
        <w:footnoteReference w:id="27"/>
      </w:r>
      <w:r w:rsidRPr="00031381">
        <w:rPr>
          <w:rFonts w:ascii="Garamond" w:hAnsi="Garamond"/>
          <w:sz w:val="22"/>
          <w:szCs w:val="22"/>
        </w:rPr>
        <w:t xml:space="preserve"> Virtue epistemology is therefore post-Gettier epistemology: it is an attempt to understand knowledge in partly modal terms, i.e., knowledge is true belief formed virtuously, and a true belief is formed virtuously just in case it is formed in a way that is not lucky (cf. Greco 2010: 73-4; </w:t>
      </w:r>
      <w:proofErr w:type="spellStart"/>
      <w:r w:rsidRPr="00031381">
        <w:rPr>
          <w:rFonts w:ascii="Garamond" w:hAnsi="Garamond"/>
          <w:sz w:val="22"/>
          <w:szCs w:val="22"/>
        </w:rPr>
        <w:t>Zagzebski</w:t>
      </w:r>
      <w:proofErr w:type="spellEnd"/>
      <w:r w:rsidRPr="00031381">
        <w:rPr>
          <w:rFonts w:ascii="Garamond" w:hAnsi="Garamond"/>
          <w:sz w:val="22"/>
          <w:szCs w:val="22"/>
        </w:rPr>
        <w:t xml:space="preserve"> 1996: 135; Sosa 1991: 277; </w:t>
      </w:r>
      <w:proofErr w:type="spellStart"/>
      <w:r w:rsidRPr="00031381">
        <w:rPr>
          <w:rFonts w:ascii="Garamond" w:hAnsi="Garamond"/>
          <w:sz w:val="22"/>
          <w:szCs w:val="22"/>
        </w:rPr>
        <w:t>Turri</w:t>
      </w:r>
      <w:proofErr w:type="spellEnd"/>
      <w:r w:rsidRPr="00031381">
        <w:rPr>
          <w:rFonts w:ascii="Garamond" w:hAnsi="Garamond"/>
          <w:sz w:val="22"/>
          <w:szCs w:val="22"/>
        </w:rPr>
        <w:t xml:space="preserve"> 2011; see also </w:t>
      </w:r>
      <w:proofErr w:type="spellStart"/>
      <w:r w:rsidRPr="00031381">
        <w:rPr>
          <w:rFonts w:ascii="Garamond" w:hAnsi="Garamond"/>
          <w:sz w:val="22"/>
          <w:szCs w:val="22"/>
        </w:rPr>
        <w:t>Beddor</w:t>
      </w:r>
      <w:proofErr w:type="spellEnd"/>
      <w:r w:rsidRPr="00031381">
        <w:rPr>
          <w:rFonts w:ascii="Garamond" w:hAnsi="Garamond"/>
          <w:sz w:val="22"/>
          <w:szCs w:val="22"/>
        </w:rPr>
        <w:t xml:space="preserve"> and Pavese 2020).</w:t>
      </w:r>
    </w:p>
    <w:p w14:paraId="3AAD763B" w14:textId="77777777" w:rsidR="00120BCE" w:rsidRPr="00031381" w:rsidRDefault="00120BCE">
      <w:pPr>
        <w:spacing w:line="360" w:lineRule="auto"/>
        <w:rPr>
          <w:rFonts w:ascii="Garamond" w:hAnsi="Garamond"/>
          <w:sz w:val="22"/>
          <w:szCs w:val="22"/>
        </w:rPr>
      </w:pPr>
    </w:p>
    <w:p w14:paraId="2B9D7F17"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But one might ask, for example, if all that </w:t>
      </w:r>
      <w:proofErr w:type="spellStart"/>
      <w:r w:rsidRPr="00031381">
        <w:rPr>
          <w:rFonts w:ascii="Garamond" w:hAnsi="Garamond"/>
          <w:sz w:val="22"/>
          <w:szCs w:val="22"/>
        </w:rPr>
        <w:t>Boli</w:t>
      </w:r>
      <w:proofErr w:type="spellEnd"/>
      <w:r w:rsidRPr="00031381">
        <w:rPr>
          <w:rFonts w:ascii="Garamond" w:hAnsi="Garamond"/>
          <w:sz w:val="22"/>
          <w:szCs w:val="22"/>
        </w:rPr>
        <w:t xml:space="preserve"> Xi wants to do is to reform the state of Qin (5A9), why should he care whether his belief that Duke Mu of Qin will cooperate with him is formed in a way that makes it true in all close possible worlds? If all he wants is for it to be true in the </w:t>
      </w:r>
      <w:r w:rsidRPr="00031381">
        <w:rPr>
          <w:rFonts w:ascii="Garamond" w:hAnsi="Garamond"/>
          <w:i/>
          <w:iCs/>
          <w:sz w:val="22"/>
          <w:szCs w:val="22"/>
        </w:rPr>
        <w:t>actual</w:t>
      </w:r>
      <w:r w:rsidRPr="00031381">
        <w:rPr>
          <w:rFonts w:ascii="Garamond" w:hAnsi="Garamond"/>
          <w:sz w:val="22"/>
          <w:szCs w:val="22"/>
        </w:rPr>
        <w:t xml:space="preserve"> </w:t>
      </w:r>
      <w:proofErr w:type="gramStart"/>
      <w:r w:rsidRPr="00031381">
        <w:rPr>
          <w:rFonts w:ascii="Garamond" w:hAnsi="Garamond"/>
          <w:sz w:val="22"/>
          <w:szCs w:val="22"/>
        </w:rPr>
        <w:t>world, because</w:t>
      </w:r>
      <w:proofErr w:type="gramEnd"/>
      <w:r w:rsidRPr="00031381">
        <w:rPr>
          <w:rFonts w:ascii="Garamond" w:hAnsi="Garamond"/>
          <w:sz w:val="22"/>
          <w:szCs w:val="22"/>
        </w:rPr>
        <w:t xml:space="preserve"> that is all that matters to him when it comes to reforming the state of Qin, then what difference does it make that the belief is also true in </w:t>
      </w:r>
      <w:r w:rsidRPr="00031381">
        <w:rPr>
          <w:rFonts w:ascii="Garamond" w:hAnsi="Garamond"/>
          <w:i/>
          <w:iCs/>
          <w:sz w:val="22"/>
          <w:szCs w:val="22"/>
        </w:rPr>
        <w:t>close</w:t>
      </w:r>
      <w:r w:rsidRPr="00031381">
        <w:rPr>
          <w:rFonts w:ascii="Garamond" w:hAnsi="Garamond"/>
          <w:sz w:val="22"/>
          <w:szCs w:val="22"/>
        </w:rPr>
        <w:t xml:space="preserve"> </w:t>
      </w:r>
      <w:r w:rsidRPr="00031381">
        <w:rPr>
          <w:rFonts w:ascii="Garamond" w:hAnsi="Garamond"/>
          <w:i/>
          <w:iCs/>
          <w:sz w:val="22"/>
          <w:szCs w:val="22"/>
        </w:rPr>
        <w:t xml:space="preserve">possible </w:t>
      </w:r>
      <w:r w:rsidRPr="00031381">
        <w:rPr>
          <w:rFonts w:ascii="Garamond" w:hAnsi="Garamond"/>
          <w:sz w:val="22"/>
          <w:szCs w:val="22"/>
        </w:rPr>
        <w:t xml:space="preserve">worlds? According to </w:t>
      </w:r>
      <w:proofErr w:type="spellStart"/>
      <w:r w:rsidRPr="00031381">
        <w:rPr>
          <w:rFonts w:ascii="Garamond" w:hAnsi="Garamond"/>
          <w:sz w:val="22"/>
          <w:szCs w:val="22"/>
        </w:rPr>
        <w:t>Kvanvig</w:t>
      </w:r>
      <w:proofErr w:type="spellEnd"/>
      <w:r w:rsidRPr="00031381">
        <w:rPr>
          <w:rFonts w:ascii="Garamond" w:hAnsi="Garamond"/>
          <w:sz w:val="22"/>
          <w:szCs w:val="22"/>
        </w:rPr>
        <w:t>, an adequate account of knowledge should be free of counterexamples and consistent with an explanation as to why knowledge is valuable (</w:t>
      </w:r>
      <w:proofErr w:type="spellStart"/>
      <w:r w:rsidRPr="00031381">
        <w:rPr>
          <w:rFonts w:ascii="Garamond" w:hAnsi="Garamond"/>
          <w:sz w:val="22"/>
          <w:szCs w:val="22"/>
        </w:rPr>
        <w:t>Kvanvig</w:t>
      </w:r>
      <w:proofErr w:type="spellEnd"/>
      <w:r w:rsidRPr="00031381">
        <w:rPr>
          <w:rFonts w:ascii="Garamond" w:hAnsi="Garamond"/>
          <w:sz w:val="22"/>
          <w:szCs w:val="22"/>
        </w:rPr>
        <w:t xml:space="preserve"> 2003: 6), but it is difficult to see how a virtue epistemologist might satisfy the latter condition without begging the question.</w:t>
      </w:r>
      <w:r w:rsidRPr="00031381">
        <w:rPr>
          <w:rStyle w:val="FootnoteAnchor"/>
          <w:rFonts w:ascii="Garamond" w:hAnsi="Garamond"/>
          <w:sz w:val="22"/>
          <w:szCs w:val="22"/>
        </w:rPr>
        <w:footnoteReference w:id="28"/>
      </w:r>
    </w:p>
    <w:p w14:paraId="54215E09" w14:textId="77777777" w:rsidR="00120BCE" w:rsidRPr="00031381" w:rsidRDefault="00120BCE">
      <w:pPr>
        <w:spacing w:line="360" w:lineRule="auto"/>
        <w:rPr>
          <w:rFonts w:ascii="Garamond" w:hAnsi="Garamond"/>
          <w:sz w:val="22"/>
          <w:szCs w:val="22"/>
        </w:rPr>
      </w:pPr>
    </w:p>
    <w:p w14:paraId="1F216074"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Consider for example how a </w:t>
      </w:r>
      <w:proofErr w:type="spellStart"/>
      <w:r w:rsidRPr="00031381">
        <w:rPr>
          <w:rFonts w:ascii="Garamond" w:hAnsi="Garamond"/>
          <w:sz w:val="22"/>
          <w:szCs w:val="22"/>
        </w:rPr>
        <w:t>reliabilist</w:t>
      </w:r>
      <w:proofErr w:type="spellEnd"/>
      <w:r w:rsidRPr="00031381">
        <w:rPr>
          <w:rFonts w:ascii="Garamond" w:hAnsi="Garamond"/>
          <w:sz w:val="22"/>
          <w:szCs w:val="22"/>
        </w:rPr>
        <w:t xml:space="preserve"> virtue epistemologist might respond. They might say that forming a true belief non-luckily (i.e., virtuously) is an achievement, so </w:t>
      </w:r>
      <w:r w:rsidRPr="00031381">
        <w:rPr>
          <w:rFonts w:ascii="Garamond" w:hAnsi="Garamond"/>
          <w:i/>
          <w:iCs/>
          <w:sz w:val="22"/>
          <w:szCs w:val="22"/>
        </w:rPr>
        <w:t>knowing</w:t>
      </w:r>
      <w:r w:rsidRPr="00031381">
        <w:rPr>
          <w:rFonts w:ascii="Garamond" w:hAnsi="Garamond"/>
          <w:sz w:val="22"/>
          <w:szCs w:val="22"/>
        </w:rPr>
        <w:t xml:space="preserve"> whether Duke Mu of Qin will cooperate is also an achievement, whereas mere true belief about whether Duke Mu will cooperate is not. Given that achievements are </w:t>
      </w:r>
      <w:proofErr w:type="gramStart"/>
      <w:r w:rsidRPr="00031381">
        <w:rPr>
          <w:rFonts w:ascii="Garamond" w:hAnsi="Garamond"/>
          <w:sz w:val="22"/>
          <w:szCs w:val="22"/>
        </w:rPr>
        <w:t>by definition more</w:t>
      </w:r>
      <w:proofErr w:type="gramEnd"/>
      <w:r w:rsidRPr="00031381">
        <w:rPr>
          <w:rFonts w:ascii="Garamond" w:hAnsi="Garamond"/>
          <w:sz w:val="22"/>
          <w:szCs w:val="22"/>
        </w:rPr>
        <w:t xml:space="preserve"> valuable in a domain of success than non-achievements are, it follows that knowing is more valuable than mere true belief (e.g., Greco 2010: 99; Sosa 2007: 46; Prichard 2010: 67). But surely such a response begs the question. If my aim is to reform the state of Qin and I reform it </w:t>
      </w:r>
      <w:proofErr w:type="gramStart"/>
      <w:r w:rsidRPr="00031381">
        <w:rPr>
          <w:rFonts w:ascii="Garamond" w:hAnsi="Garamond"/>
          <w:sz w:val="22"/>
          <w:szCs w:val="22"/>
        </w:rPr>
        <w:t>on the basis of</w:t>
      </w:r>
      <w:proofErr w:type="gramEnd"/>
      <w:r w:rsidRPr="00031381">
        <w:rPr>
          <w:rFonts w:ascii="Garamond" w:hAnsi="Garamond"/>
          <w:sz w:val="22"/>
          <w:szCs w:val="22"/>
        </w:rPr>
        <w:t xml:space="preserve"> my luckily produced belief that, if I come to Qin, the Duke will cooperate with me, why is my achievement in reforming the state any less of an achievement than if I had produced my belief in a non-lucky way? In other words, why should non-lucky success be better than mere success? The state of Qin is reformed either way.</w:t>
      </w:r>
      <w:r w:rsidRPr="00031381">
        <w:rPr>
          <w:rStyle w:val="FootnoteAnchor"/>
          <w:rFonts w:ascii="Garamond" w:hAnsi="Garamond"/>
          <w:sz w:val="22"/>
          <w:szCs w:val="22"/>
        </w:rPr>
        <w:footnoteReference w:id="29"/>
      </w:r>
    </w:p>
    <w:p w14:paraId="5E7E0C2B" w14:textId="77777777" w:rsidR="00120BCE" w:rsidRPr="00031381" w:rsidRDefault="00120BCE">
      <w:pPr>
        <w:spacing w:line="360" w:lineRule="auto"/>
        <w:rPr>
          <w:rFonts w:ascii="Garamond" w:hAnsi="Garamond"/>
          <w:sz w:val="22"/>
          <w:szCs w:val="22"/>
        </w:rPr>
      </w:pPr>
    </w:p>
    <w:p w14:paraId="24A5B925"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lastRenderedPageBreak/>
        <w:t xml:space="preserve">On the other hand, consider how a </w:t>
      </w:r>
      <w:proofErr w:type="spellStart"/>
      <w:r w:rsidRPr="00031381">
        <w:rPr>
          <w:rFonts w:ascii="Garamond" w:hAnsi="Garamond"/>
          <w:sz w:val="22"/>
          <w:szCs w:val="22"/>
        </w:rPr>
        <w:t>responsibilist</w:t>
      </w:r>
      <w:proofErr w:type="spellEnd"/>
      <w:r w:rsidRPr="00031381">
        <w:rPr>
          <w:rFonts w:ascii="Garamond" w:hAnsi="Garamond"/>
          <w:sz w:val="22"/>
          <w:szCs w:val="22"/>
        </w:rPr>
        <w:t xml:space="preserve"> virtue epistemologist might respond. They might say that the reason why I should care whether my belief that Duke Mu is amicable towards reform is a virtuously produced belief is because producing a belief virtuously is not only a </w:t>
      </w:r>
      <w:r w:rsidRPr="00031381">
        <w:rPr>
          <w:rFonts w:ascii="Garamond" w:hAnsi="Garamond"/>
          <w:i/>
          <w:iCs/>
          <w:sz w:val="22"/>
          <w:szCs w:val="22"/>
        </w:rPr>
        <w:t>mark</w:t>
      </w:r>
      <w:r w:rsidRPr="00031381">
        <w:rPr>
          <w:rFonts w:ascii="Garamond" w:hAnsi="Garamond"/>
          <w:sz w:val="22"/>
          <w:szCs w:val="22"/>
        </w:rPr>
        <w:t xml:space="preserve"> of the belief’s truth in all close possible worlds, </w:t>
      </w:r>
      <w:proofErr w:type="gramStart"/>
      <w:r w:rsidRPr="00031381">
        <w:rPr>
          <w:rFonts w:ascii="Garamond" w:hAnsi="Garamond"/>
          <w:sz w:val="22"/>
          <w:szCs w:val="22"/>
        </w:rPr>
        <w:t>it</w:t>
      </w:r>
      <w:proofErr w:type="gramEnd"/>
      <w:r w:rsidRPr="00031381">
        <w:rPr>
          <w:rFonts w:ascii="Garamond" w:hAnsi="Garamond"/>
          <w:sz w:val="22"/>
          <w:szCs w:val="22"/>
        </w:rPr>
        <w:t xml:space="preserve"> also exemplifies intellectual virtue. It therefore follows that knowing is more valuable than believing truly, because knowing exemplifies a virtuous character trait. But surely this once again begs the question. What is it about </w:t>
      </w:r>
      <w:r w:rsidRPr="00031381">
        <w:rPr>
          <w:rFonts w:ascii="Garamond" w:hAnsi="Garamond"/>
          <w:i/>
          <w:iCs/>
          <w:sz w:val="22"/>
          <w:szCs w:val="22"/>
        </w:rPr>
        <w:t>this</w:t>
      </w:r>
      <w:r w:rsidRPr="00031381">
        <w:rPr>
          <w:rFonts w:ascii="Garamond" w:hAnsi="Garamond"/>
          <w:sz w:val="22"/>
          <w:szCs w:val="22"/>
        </w:rPr>
        <w:t xml:space="preserve"> character trait that makes it a virtue rather than </w:t>
      </w:r>
      <w:r w:rsidRPr="00031381">
        <w:rPr>
          <w:rFonts w:ascii="Garamond" w:hAnsi="Garamond"/>
          <w:i/>
          <w:iCs/>
          <w:sz w:val="22"/>
          <w:szCs w:val="22"/>
        </w:rPr>
        <w:t>that</w:t>
      </w:r>
      <w:r w:rsidRPr="00031381">
        <w:rPr>
          <w:rFonts w:ascii="Garamond" w:hAnsi="Garamond"/>
          <w:sz w:val="22"/>
          <w:szCs w:val="22"/>
        </w:rPr>
        <w:t xml:space="preserve"> one, if not the fact that acting from </w:t>
      </w:r>
      <w:r w:rsidRPr="00031381">
        <w:rPr>
          <w:rFonts w:ascii="Garamond" w:hAnsi="Garamond"/>
          <w:i/>
          <w:iCs/>
          <w:sz w:val="22"/>
          <w:szCs w:val="22"/>
        </w:rPr>
        <w:t>this</w:t>
      </w:r>
      <w:r w:rsidRPr="00031381">
        <w:rPr>
          <w:rFonts w:ascii="Garamond" w:hAnsi="Garamond"/>
          <w:sz w:val="22"/>
          <w:szCs w:val="22"/>
        </w:rPr>
        <w:t xml:space="preserve"> one will result in excellent cognitive acts while acting from </w:t>
      </w:r>
      <w:r w:rsidRPr="00031381">
        <w:rPr>
          <w:rFonts w:ascii="Garamond" w:hAnsi="Garamond"/>
          <w:i/>
          <w:iCs/>
          <w:sz w:val="22"/>
          <w:szCs w:val="22"/>
        </w:rPr>
        <w:t>that</w:t>
      </w:r>
      <w:r w:rsidRPr="00031381">
        <w:rPr>
          <w:rFonts w:ascii="Garamond" w:hAnsi="Garamond"/>
          <w:sz w:val="22"/>
          <w:szCs w:val="22"/>
        </w:rPr>
        <w:t xml:space="preserve"> one will not?</w:t>
      </w:r>
    </w:p>
    <w:p w14:paraId="04BC8D06" w14:textId="77777777" w:rsidR="00120BCE" w:rsidRPr="00031381" w:rsidRDefault="00120BCE">
      <w:pPr>
        <w:spacing w:line="360" w:lineRule="auto"/>
        <w:rPr>
          <w:rFonts w:ascii="Garamond" w:hAnsi="Garamond"/>
          <w:sz w:val="22"/>
          <w:szCs w:val="22"/>
        </w:rPr>
      </w:pPr>
    </w:p>
    <w:p w14:paraId="507AC4B8"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Responses are surely available to either kind of virtue epistemologist, but rather than trace them out, I suggest we consider the following </w:t>
      </w:r>
      <w:proofErr w:type="spellStart"/>
      <w:r w:rsidRPr="00031381">
        <w:rPr>
          <w:rFonts w:ascii="Garamond" w:hAnsi="Garamond"/>
          <w:sz w:val="22"/>
          <w:szCs w:val="22"/>
        </w:rPr>
        <w:t>Mencian</w:t>
      </w:r>
      <w:proofErr w:type="spellEnd"/>
      <w:r w:rsidRPr="00031381">
        <w:rPr>
          <w:rFonts w:ascii="Garamond" w:hAnsi="Garamond"/>
          <w:sz w:val="22"/>
          <w:szCs w:val="22"/>
        </w:rPr>
        <w:t xml:space="preserve"> alternative. Mencius concedes that, whenever S comes to know that p, S’s knowing can only ever be a result of using intellectual virtue, but the value of S’s knowing lies elsewhere: my knowledge of Duke Mu of Qin’s intentions is valuable not because I have formed it in such a way that in all close possible </w:t>
      </w:r>
      <w:proofErr w:type="gramStart"/>
      <w:r w:rsidRPr="00031381">
        <w:rPr>
          <w:rFonts w:ascii="Garamond" w:hAnsi="Garamond"/>
          <w:sz w:val="22"/>
          <w:szCs w:val="22"/>
        </w:rPr>
        <w:t>worlds</w:t>
      </w:r>
      <w:proofErr w:type="gramEnd"/>
      <w:r w:rsidRPr="00031381">
        <w:rPr>
          <w:rFonts w:ascii="Garamond" w:hAnsi="Garamond"/>
          <w:sz w:val="22"/>
          <w:szCs w:val="22"/>
        </w:rPr>
        <w:t xml:space="preserve"> I come to know about them as well. Such an explication leads down the thorny route that much post-Gettier epistemology is set to traverse. Rather, according to Mencius, my knowledge is valuable because I can </w:t>
      </w:r>
      <w:r w:rsidRPr="00031381">
        <w:rPr>
          <w:rFonts w:ascii="Garamond" w:hAnsi="Garamond"/>
          <w:i/>
          <w:iCs/>
          <w:sz w:val="22"/>
          <w:szCs w:val="22"/>
        </w:rPr>
        <w:t>do</w:t>
      </w:r>
      <w:r w:rsidRPr="00031381">
        <w:rPr>
          <w:rFonts w:ascii="Garamond" w:hAnsi="Garamond"/>
          <w:sz w:val="22"/>
          <w:szCs w:val="22"/>
        </w:rPr>
        <w:t xml:space="preserve"> something with it. For example, my knowing that Duke Mu of Qin is someone I can work with is valuable because it can help me decide what to do. And having intellectual virtue is valuable because it produces that knowledge.</w:t>
      </w:r>
      <w:r w:rsidRPr="00031381">
        <w:rPr>
          <w:rStyle w:val="FootnoteAnchor"/>
          <w:rFonts w:ascii="Garamond" w:hAnsi="Garamond"/>
          <w:sz w:val="22"/>
          <w:szCs w:val="22"/>
        </w:rPr>
        <w:footnoteReference w:id="30"/>
      </w:r>
      <w:r w:rsidRPr="00031381">
        <w:rPr>
          <w:rFonts w:ascii="Garamond" w:hAnsi="Garamond"/>
          <w:sz w:val="22"/>
          <w:szCs w:val="22"/>
        </w:rPr>
        <w:t xml:space="preserve"> Hence, a </w:t>
      </w:r>
      <w:proofErr w:type="spellStart"/>
      <w:r w:rsidRPr="00031381">
        <w:rPr>
          <w:rFonts w:ascii="Garamond" w:hAnsi="Garamond"/>
          <w:sz w:val="22"/>
          <w:szCs w:val="22"/>
        </w:rPr>
        <w:t>Mencian</w:t>
      </w:r>
      <w:proofErr w:type="spellEnd"/>
      <w:r w:rsidRPr="00031381">
        <w:rPr>
          <w:rFonts w:ascii="Garamond" w:hAnsi="Garamond"/>
          <w:sz w:val="22"/>
          <w:szCs w:val="22"/>
        </w:rPr>
        <w:t xml:space="preserve"> conception of the relation between intellectual virtue and knowledge has at least this advantage over more traditional approaches: it does not have to rely on a modal explication of knowledge and therefore has no difficulty accounting for the distinct value of knowledge.</w:t>
      </w:r>
    </w:p>
    <w:p w14:paraId="10D9A0C3" w14:textId="77777777" w:rsidR="00120BCE" w:rsidRPr="00031381" w:rsidRDefault="00120BCE">
      <w:pPr>
        <w:spacing w:line="360" w:lineRule="auto"/>
        <w:ind w:right="567"/>
        <w:rPr>
          <w:rFonts w:ascii="Garamond" w:hAnsi="Garamond"/>
          <w:sz w:val="22"/>
          <w:szCs w:val="22"/>
        </w:rPr>
      </w:pPr>
    </w:p>
    <w:p w14:paraId="07F90B1F" w14:textId="77777777" w:rsidR="00120BCE" w:rsidRPr="00031381" w:rsidRDefault="00000000">
      <w:pPr>
        <w:spacing w:line="360" w:lineRule="auto"/>
        <w:ind w:right="567"/>
        <w:rPr>
          <w:rFonts w:ascii="Garamond" w:eastAsia="Times New Roman" w:hAnsi="Garamond"/>
          <w:b/>
          <w:bCs/>
          <w:sz w:val="22"/>
          <w:szCs w:val="22"/>
        </w:rPr>
      </w:pPr>
      <w:r w:rsidRPr="00031381">
        <w:rPr>
          <w:rFonts w:ascii="Garamond" w:hAnsi="Garamond"/>
          <w:b/>
          <w:bCs/>
          <w:sz w:val="22"/>
          <w:szCs w:val="22"/>
        </w:rPr>
        <w:t>4. Knowing-to: A Different Kind of Knowledge?</w:t>
      </w:r>
    </w:p>
    <w:p w14:paraId="782C532A" w14:textId="77777777" w:rsidR="00120BCE" w:rsidRPr="00031381" w:rsidRDefault="00120BCE">
      <w:pPr>
        <w:spacing w:line="360" w:lineRule="auto"/>
        <w:ind w:right="567"/>
        <w:rPr>
          <w:rFonts w:ascii="Garamond" w:hAnsi="Garamond"/>
          <w:sz w:val="22"/>
          <w:szCs w:val="22"/>
        </w:rPr>
      </w:pPr>
    </w:p>
    <w:p w14:paraId="577F6738"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In the previous two sections I have drawn attention to what I believe are two aspects of </w:t>
      </w:r>
      <w:proofErr w:type="spellStart"/>
      <w:r w:rsidRPr="00031381">
        <w:rPr>
          <w:rFonts w:ascii="Garamond" w:hAnsi="Garamond"/>
          <w:sz w:val="22"/>
          <w:szCs w:val="22"/>
        </w:rPr>
        <w:t>Mencian</w:t>
      </w:r>
      <w:proofErr w:type="spellEnd"/>
      <w:r w:rsidRPr="00031381">
        <w:rPr>
          <w:rFonts w:ascii="Garamond" w:hAnsi="Garamond"/>
          <w:sz w:val="22"/>
          <w:szCs w:val="22"/>
        </w:rPr>
        <w:t xml:space="preserve"> epistemology: Mencius’s account of objectual knowledge (“knowledge of things”) and the relation between knowledge and intellectual virtue (“wisdom”). </w:t>
      </w:r>
      <w:proofErr w:type="gramStart"/>
      <w:r w:rsidRPr="00031381">
        <w:rPr>
          <w:rFonts w:ascii="Garamond" w:hAnsi="Garamond"/>
          <w:sz w:val="22"/>
          <w:szCs w:val="22"/>
        </w:rPr>
        <w:t>Both of them</w:t>
      </w:r>
      <w:proofErr w:type="gramEnd"/>
      <w:r w:rsidRPr="00031381">
        <w:rPr>
          <w:rFonts w:ascii="Garamond" w:hAnsi="Garamond"/>
          <w:sz w:val="22"/>
          <w:szCs w:val="22"/>
        </w:rPr>
        <w:t xml:space="preserve"> concern notions of knowledge that are familiar to contemporary epistemologists. This section presents some recent work that suggests we might find in </w:t>
      </w:r>
      <w:proofErr w:type="gramStart"/>
      <w:r w:rsidRPr="00031381">
        <w:rPr>
          <w:rFonts w:ascii="Garamond" w:hAnsi="Garamond"/>
          <w:sz w:val="22"/>
          <w:szCs w:val="22"/>
        </w:rPr>
        <w:t xml:space="preserve">the </w:t>
      </w:r>
      <w:r w:rsidRPr="00031381">
        <w:rPr>
          <w:rFonts w:ascii="Garamond" w:hAnsi="Garamond"/>
          <w:i/>
          <w:iCs/>
          <w:sz w:val="22"/>
          <w:szCs w:val="22"/>
        </w:rPr>
        <w:t>Mencius</w:t>
      </w:r>
      <w:r w:rsidRPr="00031381">
        <w:rPr>
          <w:rFonts w:ascii="Garamond" w:hAnsi="Garamond"/>
          <w:sz w:val="22"/>
          <w:szCs w:val="22"/>
        </w:rPr>
        <w:t xml:space="preserve"> reference to</w:t>
      </w:r>
      <w:proofErr w:type="gramEnd"/>
      <w:r w:rsidRPr="00031381">
        <w:rPr>
          <w:rFonts w:ascii="Garamond" w:hAnsi="Garamond"/>
          <w:sz w:val="22"/>
          <w:szCs w:val="22"/>
        </w:rPr>
        <w:t xml:space="preserve"> a kind of knowledge that is different from those that are familiar to contemporary epistemologists. The notion of </w:t>
      </w:r>
      <w:r w:rsidRPr="00031381">
        <w:rPr>
          <w:rFonts w:ascii="Garamond" w:hAnsi="Garamond"/>
          <w:i/>
          <w:iCs/>
          <w:sz w:val="22"/>
          <w:szCs w:val="22"/>
        </w:rPr>
        <w:t>knowing-to</w:t>
      </w:r>
      <w:r w:rsidRPr="00031381">
        <w:rPr>
          <w:rFonts w:ascii="Garamond" w:hAnsi="Garamond"/>
          <w:sz w:val="22"/>
          <w:szCs w:val="22"/>
        </w:rPr>
        <w:t xml:space="preserve"> might be one such candidate.</w:t>
      </w:r>
    </w:p>
    <w:p w14:paraId="4DA7BE03" w14:textId="77777777" w:rsidR="00120BCE" w:rsidRPr="00031381" w:rsidRDefault="00120BCE">
      <w:pPr>
        <w:spacing w:line="360" w:lineRule="auto"/>
        <w:ind w:right="567"/>
        <w:rPr>
          <w:rFonts w:ascii="Garamond" w:hAnsi="Garamond"/>
          <w:sz w:val="22"/>
          <w:szCs w:val="22"/>
        </w:rPr>
      </w:pPr>
    </w:p>
    <w:p w14:paraId="37315DCB" w14:textId="77777777" w:rsidR="00120BCE" w:rsidRPr="00031381" w:rsidRDefault="00000000">
      <w:pPr>
        <w:spacing w:line="360" w:lineRule="auto"/>
        <w:ind w:right="567"/>
        <w:rPr>
          <w:rFonts w:ascii="Garamond" w:hAnsi="Garamond"/>
          <w:sz w:val="22"/>
          <w:szCs w:val="22"/>
        </w:rPr>
      </w:pPr>
      <w:proofErr w:type="spellStart"/>
      <w:r w:rsidRPr="00031381">
        <w:rPr>
          <w:rFonts w:ascii="Garamond" w:hAnsi="Garamond"/>
          <w:sz w:val="22"/>
          <w:szCs w:val="22"/>
        </w:rPr>
        <w:t>Harbsmeier</w:t>
      </w:r>
      <w:proofErr w:type="spellEnd"/>
      <w:r w:rsidRPr="00031381">
        <w:rPr>
          <w:rFonts w:ascii="Garamond" w:hAnsi="Garamond"/>
          <w:sz w:val="22"/>
          <w:szCs w:val="22"/>
        </w:rPr>
        <w:t xml:space="preserve"> is certainly right when he says that, in Classical Chinese, we normally use the pattern ‘know + </w:t>
      </w:r>
      <w:r w:rsidRPr="00031381">
        <w:rPr>
          <w:rFonts w:ascii="Garamond" w:hAnsi="Garamond"/>
          <w:sz w:val="22"/>
          <w:szCs w:val="22"/>
        </w:rPr>
        <w:lastRenderedPageBreak/>
        <w:t xml:space="preserve">verb phrase’ to express knowing-how to </w:t>
      </w:r>
      <w:r w:rsidRPr="00031381">
        <w:rPr>
          <w:rFonts w:ascii="Garamond" w:hAnsi="Garamond"/>
          <w:i/>
          <w:iCs/>
          <w:sz w:val="22"/>
          <w:szCs w:val="22"/>
        </w:rPr>
        <w:t>φ</w:t>
      </w:r>
      <w:r w:rsidRPr="00031381">
        <w:rPr>
          <w:rFonts w:ascii="Garamond" w:hAnsi="Garamond"/>
          <w:sz w:val="22"/>
          <w:szCs w:val="22"/>
        </w:rPr>
        <w:t xml:space="preserve"> and we use ‘know + </w:t>
      </w:r>
      <w:proofErr w:type="spellStart"/>
      <w:r w:rsidRPr="00031381">
        <w:rPr>
          <w:rFonts w:ascii="Garamond" w:hAnsi="Garamond"/>
          <w:sz w:val="22"/>
          <w:szCs w:val="22"/>
        </w:rPr>
        <w:t>nominalised</w:t>
      </w:r>
      <w:proofErr w:type="spellEnd"/>
      <w:r w:rsidRPr="00031381">
        <w:rPr>
          <w:rFonts w:ascii="Garamond" w:hAnsi="Garamond"/>
          <w:sz w:val="22"/>
          <w:szCs w:val="22"/>
        </w:rPr>
        <w:t xml:space="preserve"> sentence’ to express knowing-that p (</w:t>
      </w:r>
      <w:proofErr w:type="spellStart"/>
      <w:r w:rsidRPr="00031381">
        <w:rPr>
          <w:rFonts w:ascii="Garamond" w:hAnsi="Garamond"/>
          <w:sz w:val="22"/>
          <w:szCs w:val="22"/>
        </w:rPr>
        <w:t>Harbsmeier</w:t>
      </w:r>
      <w:proofErr w:type="spellEnd"/>
      <w:r w:rsidRPr="00031381">
        <w:rPr>
          <w:rFonts w:ascii="Garamond" w:hAnsi="Garamond"/>
          <w:sz w:val="22"/>
          <w:szCs w:val="22"/>
        </w:rPr>
        <w:t xml:space="preserve"> 1998: 249). But, as Hetherington and Lai have recently argued, the picture can be complicated in the following way. They argue that there might be instances of the pattern ‘know + verb phrase’ that do not correspond to either knowledge-how or knowledge-that (Hetherington and Lai 2015). Although their work mostly draws on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 which is roughly contemporaneous with the</w:t>
      </w:r>
      <w:r w:rsidRPr="00031381">
        <w:rPr>
          <w:rFonts w:ascii="Garamond" w:hAnsi="Garamond"/>
          <w:i/>
          <w:iCs/>
          <w:sz w:val="22"/>
          <w:szCs w:val="22"/>
        </w:rPr>
        <w:t xml:space="preserve"> Mencius</w:t>
      </w:r>
      <w:r w:rsidRPr="00031381">
        <w:rPr>
          <w:rFonts w:ascii="Garamond" w:hAnsi="Garamond"/>
          <w:sz w:val="22"/>
          <w:szCs w:val="22"/>
        </w:rPr>
        <w:t>,</w:t>
      </w:r>
      <w:r w:rsidRPr="00031381">
        <w:rPr>
          <w:rFonts w:ascii="Garamond" w:hAnsi="Garamond"/>
          <w:i/>
          <w:iCs/>
          <w:sz w:val="22"/>
          <w:szCs w:val="22"/>
        </w:rPr>
        <w:t xml:space="preserve"> </w:t>
      </w:r>
      <w:r w:rsidRPr="00031381">
        <w:rPr>
          <w:rFonts w:ascii="Garamond" w:hAnsi="Garamond"/>
          <w:sz w:val="22"/>
          <w:szCs w:val="22"/>
        </w:rPr>
        <w:t xml:space="preserve">it will be helpful to give a rough outline of what Hetherington and Lai’s textual evidence is and what knowing-to is supposed to be. Here is how they describe knowing-to instances in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w:t>
      </w:r>
    </w:p>
    <w:p w14:paraId="7BE81361" w14:textId="77777777" w:rsidR="00120BCE" w:rsidRPr="00031381" w:rsidRDefault="00120BCE">
      <w:pPr>
        <w:spacing w:line="360" w:lineRule="auto"/>
        <w:ind w:right="567"/>
        <w:rPr>
          <w:rFonts w:ascii="Garamond" w:hAnsi="Garamond"/>
          <w:sz w:val="22"/>
          <w:szCs w:val="22"/>
        </w:rPr>
      </w:pPr>
    </w:p>
    <w:p w14:paraId="113C59E4" w14:textId="77777777" w:rsidR="00120BCE" w:rsidRPr="00031381" w:rsidRDefault="00000000">
      <w:pPr>
        <w:pStyle w:val="Quotations"/>
        <w:rPr>
          <w:rFonts w:ascii="Garamond" w:hAnsi="Garamond"/>
          <w:sz w:val="22"/>
          <w:szCs w:val="22"/>
        </w:rPr>
      </w:pPr>
      <w:r w:rsidRPr="00031381">
        <w:rPr>
          <w:rFonts w:ascii="Garamond" w:hAnsi="Garamond"/>
          <w:sz w:val="22"/>
          <w:szCs w:val="22"/>
        </w:rPr>
        <w:t xml:space="preserve">In the </w:t>
      </w:r>
      <w:proofErr w:type="spellStart"/>
      <w:r w:rsidRPr="00031381">
        <w:rPr>
          <w:rFonts w:ascii="Garamond" w:hAnsi="Garamond"/>
          <w:i/>
          <w:sz w:val="22"/>
          <w:szCs w:val="22"/>
        </w:rPr>
        <w:t>Lüshi</w:t>
      </w:r>
      <w:proofErr w:type="spellEnd"/>
      <w:r w:rsidRPr="00031381">
        <w:rPr>
          <w:rFonts w:ascii="Garamond" w:hAnsi="Garamond"/>
          <w:i/>
          <w:sz w:val="22"/>
          <w:szCs w:val="22"/>
        </w:rPr>
        <w:t xml:space="preserve"> Chunqiu</w:t>
      </w:r>
      <w:r w:rsidRPr="00031381">
        <w:rPr>
          <w:rFonts w:ascii="Garamond" w:hAnsi="Garamond"/>
          <w:sz w:val="22"/>
          <w:szCs w:val="22"/>
        </w:rPr>
        <w:t xml:space="preserve">, the view of knowledge implicit in the passages with the construction “X </w:t>
      </w:r>
      <w:proofErr w:type="spellStart"/>
      <w:r w:rsidRPr="00031381">
        <w:rPr>
          <w:rFonts w:ascii="Garamond" w:hAnsi="Garamond"/>
          <w:i/>
          <w:sz w:val="22"/>
          <w:szCs w:val="22"/>
        </w:rPr>
        <w:t>ke</w:t>
      </w:r>
      <w:proofErr w:type="spellEnd"/>
      <w:r w:rsidRPr="00031381">
        <w:rPr>
          <w:rFonts w:ascii="Garamond" w:hAnsi="Garamond"/>
          <w:i/>
          <w:sz w:val="22"/>
          <w:szCs w:val="22"/>
        </w:rPr>
        <w:t xml:space="preserve"> </w:t>
      </w:r>
      <w:proofErr w:type="spellStart"/>
      <w:r w:rsidRPr="00031381">
        <w:rPr>
          <w:rFonts w:ascii="Garamond" w:hAnsi="Garamond"/>
          <w:i/>
          <w:sz w:val="22"/>
          <w:szCs w:val="22"/>
        </w:rPr>
        <w:t>wei</w:t>
      </w:r>
      <w:proofErr w:type="spellEnd"/>
      <w:r w:rsidRPr="00031381">
        <w:rPr>
          <w:rFonts w:ascii="Garamond" w:hAnsi="Garamond"/>
          <w:i/>
          <w:sz w:val="22"/>
          <w:szCs w:val="22"/>
        </w:rPr>
        <w:t xml:space="preserve"> </w:t>
      </w:r>
      <w:proofErr w:type="spellStart"/>
      <w:r w:rsidRPr="00031381">
        <w:rPr>
          <w:rFonts w:ascii="Garamond" w:hAnsi="Garamond"/>
          <w:i/>
          <w:sz w:val="22"/>
          <w:szCs w:val="22"/>
        </w:rPr>
        <w:t>zhi</w:t>
      </w:r>
      <w:proofErr w:type="spellEnd"/>
      <w:r w:rsidRPr="00031381">
        <w:rPr>
          <w:rFonts w:ascii="Garamond" w:hAnsi="Garamond"/>
          <w:sz w:val="22"/>
          <w:szCs w:val="22"/>
        </w:rPr>
        <w:t xml:space="preserve"> Y </w:t>
      </w:r>
      <w:proofErr w:type="spellStart"/>
      <w:r w:rsidRPr="00031381">
        <w:rPr>
          <w:rFonts w:ascii="Garamond" w:hAnsi="Garamond"/>
          <w:i/>
          <w:sz w:val="22"/>
          <w:szCs w:val="22"/>
        </w:rPr>
        <w:t>yi</w:t>
      </w:r>
      <w:proofErr w:type="spellEnd"/>
      <w:r w:rsidRPr="00031381">
        <w:rPr>
          <w:rFonts w:ascii="Garamond" w:hAnsi="Garamond"/>
          <w:sz w:val="22"/>
          <w:szCs w:val="22"/>
        </w:rPr>
        <w:t xml:space="preserve">,” is a particular </w:t>
      </w:r>
      <w:r w:rsidRPr="00031381">
        <w:rPr>
          <w:rFonts w:ascii="Garamond" w:hAnsi="Garamond"/>
          <w:i/>
          <w:sz w:val="22"/>
          <w:szCs w:val="22"/>
        </w:rPr>
        <w:t>type</w:t>
      </w:r>
      <w:r w:rsidRPr="00031381">
        <w:rPr>
          <w:rFonts w:ascii="Garamond" w:hAnsi="Garamond"/>
          <w:sz w:val="22"/>
          <w:szCs w:val="22"/>
        </w:rPr>
        <w:t xml:space="preserve"> of knowing, whereby a single occasion in which a person appropriately deals with or responds to the situation at hand is deemed to have </w:t>
      </w:r>
      <w:r w:rsidRPr="00031381">
        <w:rPr>
          <w:rFonts w:ascii="Garamond" w:hAnsi="Garamond"/>
          <w:i/>
          <w:sz w:val="22"/>
          <w:szCs w:val="22"/>
        </w:rPr>
        <w:t>sufficiently</w:t>
      </w:r>
      <w:r w:rsidRPr="00031381">
        <w:rPr>
          <w:rFonts w:ascii="Garamond" w:hAnsi="Garamond"/>
          <w:sz w:val="22"/>
          <w:szCs w:val="22"/>
        </w:rPr>
        <w:t xml:space="preserve"> demonstrated knowledge. Additionally, in these passages, the focus is on the person’s manifest knowledge in particular circumstances. It is not about whether a person </w:t>
      </w:r>
      <w:r w:rsidRPr="00031381">
        <w:rPr>
          <w:rFonts w:ascii="Garamond" w:hAnsi="Garamond"/>
          <w:i/>
          <w:sz w:val="22"/>
          <w:szCs w:val="22"/>
        </w:rPr>
        <w:t>knows how to X</w:t>
      </w:r>
      <w:r w:rsidRPr="00031381">
        <w:rPr>
          <w:rFonts w:ascii="Garamond" w:hAnsi="Garamond"/>
          <w:sz w:val="22"/>
          <w:szCs w:val="22"/>
        </w:rPr>
        <w:t xml:space="preserve"> because to say that suggests that, up to a point, a person knows how to X, but on some occasion </w:t>
      </w:r>
      <w:r w:rsidRPr="00031381">
        <w:rPr>
          <w:rFonts w:ascii="Garamond" w:hAnsi="Garamond"/>
          <w:i/>
          <w:sz w:val="22"/>
          <w:szCs w:val="22"/>
        </w:rPr>
        <w:t>may fail to manifest X</w:t>
      </w:r>
      <w:r w:rsidRPr="00031381">
        <w:rPr>
          <w:rFonts w:ascii="Garamond" w:hAnsi="Garamond"/>
          <w:sz w:val="22"/>
          <w:szCs w:val="22"/>
        </w:rPr>
        <w:t xml:space="preserve">. To say that a person </w:t>
      </w:r>
      <w:proofErr w:type="gramStart"/>
      <w:r w:rsidRPr="00031381">
        <w:rPr>
          <w:rFonts w:ascii="Garamond" w:hAnsi="Garamond"/>
          <w:i/>
          <w:sz w:val="22"/>
          <w:szCs w:val="22"/>
        </w:rPr>
        <w:t>knows to</w:t>
      </w:r>
      <w:proofErr w:type="gramEnd"/>
      <w:r w:rsidRPr="00031381">
        <w:rPr>
          <w:rFonts w:ascii="Garamond" w:hAnsi="Garamond"/>
          <w:i/>
          <w:sz w:val="22"/>
          <w:szCs w:val="22"/>
        </w:rPr>
        <w:t xml:space="preserve"> X</w:t>
      </w:r>
      <w:r w:rsidRPr="00031381">
        <w:rPr>
          <w:rFonts w:ascii="Garamond" w:hAnsi="Garamond"/>
          <w:sz w:val="22"/>
          <w:szCs w:val="22"/>
        </w:rPr>
        <w:t xml:space="preserve"> is to say that such knowledge is or has been manifest in a particular situation. These manifestations of knowing — knowing-to — are partly constitutive of knowing-how’s being exemplified and therefore not reducible to knowledge-how. (Hetherington and Lai 2015: 288)</w:t>
      </w:r>
    </w:p>
    <w:p w14:paraId="535137CC"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Roughly, the kind of knowing that Hetherington and Lai claim to have found in some expressions of the form “X</w:t>
      </w:r>
      <w:r w:rsidRPr="00031381">
        <w:rPr>
          <w:rFonts w:ascii="Garamond" w:hAnsi="Garamond"/>
          <w:i/>
          <w:iCs/>
          <w:sz w:val="22"/>
          <w:szCs w:val="22"/>
        </w:rPr>
        <w:t xml:space="preserve"> </w:t>
      </w:r>
      <w:proofErr w:type="spellStart"/>
      <w:r w:rsidRPr="00031381">
        <w:rPr>
          <w:rFonts w:ascii="Garamond" w:hAnsi="Garamond"/>
          <w:i/>
          <w:iCs/>
          <w:sz w:val="22"/>
          <w:szCs w:val="22"/>
        </w:rPr>
        <w:t>ke</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wei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sz w:val="22"/>
          <w:szCs w:val="22"/>
        </w:rPr>
        <w:t xml:space="preserve"> Y</w:t>
      </w:r>
      <w:r w:rsidRPr="00031381">
        <w:rPr>
          <w:rFonts w:ascii="Garamond" w:hAnsi="Garamond"/>
          <w:i/>
          <w:iCs/>
          <w:sz w:val="22"/>
          <w:szCs w:val="22"/>
        </w:rPr>
        <w:t xml:space="preserve"> </w:t>
      </w:r>
      <w:proofErr w:type="spellStart"/>
      <w:r w:rsidRPr="00031381">
        <w:rPr>
          <w:rFonts w:ascii="Garamond" w:hAnsi="Garamond"/>
          <w:i/>
          <w:iCs/>
          <w:sz w:val="22"/>
          <w:szCs w:val="22"/>
        </w:rPr>
        <w:t>yi</w:t>
      </w:r>
      <w:proofErr w:type="spellEnd"/>
      <w:r w:rsidRPr="00031381">
        <w:rPr>
          <w:rFonts w:ascii="Garamond" w:hAnsi="Garamond"/>
          <w:sz w:val="22"/>
          <w:szCs w:val="22"/>
        </w:rPr>
        <w:t xml:space="preserve"> (X </w:t>
      </w:r>
      <w:r w:rsidRPr="00031381">
        <w:rPr>
          <w:rFonts w:ascii="Garamond" w:hAnsi="Garamond"/>
          <w:sz w:val="22"/>
          <w:szCs w:val="22"/>
        </w:rPr>
        <w:t>可謂知</w:t>
      </w:r>
      <w:r w:rsidRPr="00031381">
        <w:rPr>
          <w:rFonts w:ascii="Garamond" w:hAnsi="Garamond"/>
          <w:sz w:val="22"/>
          <w:szCs w:val="22"/>
        </w:rPr>
        <w:t>Y</w:t>
      </w:r>
      <w:r w:rsidRPr="00031381">
        <w:rPr>
          <w:rFonts w:ascii="Garamond" w:hAnsi="Garamond"/>
          <w:sz w:val="22"/>
          <w:szCs w:val="22"/>
        </w:rPr>
        <w:t>矣</w:t>
      </w:r>
      <w:r w:rsidRPr="00031381">
        <w:rPr>
          <w:rFonts w:ascii="Garamond" w:hAnsi="Garamond"/>
          <w:sz w:val="22"/>
          <w:szCs w:val="22"/>
        </w:rPr>
        <w:t>)”</w:t>
      </w:r>
      <w:r w:rsidRPr="00031381">
        <w:rPr>
          <w:rFonts w:ascii="Garamond" w:hAnsi="Garamond"/>
          <w:i/>
          <w:iCs/>
          <w:sz w:val="22"/>
          <w:szCs w:val="22"/>
        </w:rPr>
        <w:t xml:space="preserve"> </w:t>
      </w:r>
      <w:r w:rsidRPr="00031381">
        <w:rPr>
          <w:rFonts w:ascii="Garamond" w:hAnsi="Garamond"/>
          <w:sz w:val="22"/>
          <w:szCs w:val="22"/>
        </w:rPr>
        <w:t xml:space="preserve">can be thought of as having the following three characteristics. First, it is particular: for example, in </w:t>
      </w:r>
      <w:r w:rsidRPr="00031381">
        <w:rPr>
          <w:rFonts w:ascii="Garamond" w:hAnsi="Garamond"/>
          <w:i/>
          <w:iCs/>
          <w:sz w:val="22"/>
          <w:szCs w:val="22"/>
        </w:rPr>
        <w:t>this</w:t>
      </w:r>
      <w:r w:rsidRPr="00031381">
        <w:rPr>
          <w:rFonts w:ascii="Garamond" w:hAnsi="Garamond"/>
          <w:sz w:val="22"/>
          <w:szCs w:val="22"/>
        </w:rPr>
        <w:t xml:space="preserve"> circumstance, at </w:t>
      </w:r>
      <w:r w:rsidRPr="00031381">
        <w:rPr>
          <w:rFonts w:ascii="Garamond" w:hAnsi="Garamond"/>
          <w:i/>
          <w:iCs/>
          <w:sz w:val="22"/>
          <w:szCs w:val="22"/>
        </w:rPr>
        <w:t>this</w:t>
      </w:r>
      <w:r w:rsidRPr="00031381">
        <w:rPr>
          <w:rFonts w:ascii="Garamond" w:hAnsi="Garamond"/>
          <w:sz w:val="22"/>
          <w:szCs w:val="22"/>
        </w:rPr>
        <w:t xml:space="preserve"> </w:t>
      </w:r>
      <w:proofErr w:type="gramStart"/>
      <w:r w:rsidRPr="00031381">
        <w:rPr>
          <w:rFonts w:ascii="Garamond" w:hAnsi="Garamond"/>
          <w:sz w:val="22"/>
          <w:szCs w:val="22"/>
        </w:rPr>
        <w:t>particular time</w:t>
      </w:r>
      <w:proofErr w:type="gramEnd"/>
      <w:r w:rsidRPr="00031381">
        <w:rPr>
          <w:rFonts w:ascii="Garamond" w:hAnsi="Garamond"/>
          <w:sz w:val="22"/>
          <w:szCs w:val="22"/>
        </w:rPr>
        <w:t>,</w:t>
      </w:r>
      <w:r w:rsidRPr="00031381">
        <w:rPr>
          <w:rFonts w:ascii="Garamond" w:hAnsi="Garamond"/>
          <w:i/>
          <w:iCs/>
          <w:sz w:val="22"/>
          <w:szCs w:val="22"/>
        </w:rPr>
        <w:t xml:space="preserve"> right there and then</w:t>
      </w:r>
      <w:r w:rsidRPr="00031381">
        <w:rPr>
          <w:rFonts w:ascii="Garamond" w:hAnsi="Garamond"/>
          <w:sz w:val="22"/>
          <w:szCs w:val="22"/>
        </w:rPr>
        <w:t>,</w:t>
      </w:r>
      <w:r w:rsidRPr="00031381">
        <w:rPr>
          <w:rFonts w:ascii="Garamond" w:hAnsi="Garamond"/>
          <w:i/>
          <w:iCs/>
          <w:sz w:val="22"/>
          <w:szCs w:val="22"/>
        </w:rPr>
        <w:t xml:space="preserve"> </w:t>
      </w:r>
      <w:r w:rsidRPr="00031381">
        <w:rPr>
          <w:rFonts w:ascii="Garamond" w:hAnsi="Garamond"/>
          <w:sz w:val="22"/>
          <w:szCs w:val="22"/>
        </w:rPr>
        <w:t xml:space="preserve">the Lord of Jingguo knew to stand by Ji </w:t>
      </w:r>
      <w:proofErr w:type="spellStart"/>
      <w:r w:rsidRPr="00031381">
        <w:rPr>
          <w:rFonts w:ascii="Garamond" w:hAnsi="Garamond"/>
          <w:sz w:val="22"/>
          <w:szCs w:val="22"/>
        </w:rPr>
        <w:t>Maobian</w:t>
      </w:r>
      <w:proofErr w:type="spellEnd"/>
      <w:r w:rsidRPr="00031381">
        <w:rPr>
          <w:rFonts w:ascii="Garamond" w:hAnsi="Garamond"/>
          <w:sz w:val="22"/>
          <w:szCs w:val="22"/>
        </w:rPr>
        <w:t>, thereby manifesting his general ability to accurately know people (Hetherington and Lai 2015: 286; cf. Hetherington 2022: 34-35). Second, knowing-to is necessary, perhaps even sufficient, for putting an agent’s know-how into practice: for Duke Huan to appropriately reward Bao Shu, it</w:t>
      </w:r>
      <w:r w:rsidRPr="00031381">
        <w:rPr>
          <w:rFonts w:ascii="Garamond" w:hAnsi="Garamond"/>
          <w:i/>
          <w:iCs/>
          <w:sz w:val="22"/>
          <w:szCs w:val="22"/>
        </w:rPr>
        <w:t xml:space="preserve"> </w:t>
      </w:r>
      <w:r w:rsidRPr="00031381">
        <w:rPr>
          <w:rFonts w:ascii="Garamond" w:hAnsi="Garamond"/>
          <w:sz w:val="22"/>
          <w:szCs w:val="22"/>
        </w:rPr>
        <w:t xml:space="preserve">is not enough that Duke Huan wants to reward Bao Shu and knows how to do so. He also needs to </w:t>
      </w:r>
      <w:proofErr w:type="gramStart"/>
      <w:r w:rsidRPr="00031381">
        <w:rPr>
          <w:rFonts w:ascii="Garamond" w:hAnsi="Garamond"/>
          <w:sz w:val="22"/>
          <w:szCs w:val="22"/>
        </w:rPr>
        <w:t>know</w:t>
      </w:r>
      <w:proofErr w:type="gramEnd"/>
      <w:r w:rsidRPr="00031381">
        <w:rPr>
          <w:rFonts w:ascii="Garamond" w:hAnsi="Garamond"/>
          <w:sz w:val="22"/>
          <w:szCs w:val="22"/>
        </w:rPr>
        <w:t xml:space="preserve"> to perform</w:t>
      </w:r>
      <w:r w:rsidRPr="00031381">
        <w:rPr>
          <w:rFonts w:ascii="Garamond" w:hAnsi="Garamond"/>
          <w:i/>
          <w:iCs/>
          <w:sz w:val="22"/>
          <w:szCs w:val="22"/>
        </w:rPr>
        <w:t xml:space="preserve"> this</w:t>
      </w:r>
      <w:r w:rsidRPr="00031381">
        <w:rPr>
          <w:rFonts w:ascii="Garamond" w:hAnsi="Garamond"/>
          <w:sz w:val="22"/>
          <w:szCs w:val="22"/>
        </w:rPr>
        <w:t xml:space="preserve"> particular action for Bao Shu to be appropriately rewarded (Hetherington and Lai 2015: 287; cf. Hetherington 2022: 18-20). Third, knowing-to is a success term: if on a particular occasion you knew-to utter W </w:t>
      </w:r>
      <w:proofErr w:type="gramStart"/>
      <w:r w:rsidRPr="00031381">
        <w:rPr>
          <w:rFonts w:ascii="Garamond" w:hAnsi="Garamond"/>
          <w:sz w:val="22"/>
          <w:szCs w:val="22"/>
        </w:rPr>
        <w:t>so as to</w:t>
      </w:r>
      <w:proofErr w:type="gramEnd"/>
      <w:r w:rsidRPr="00031381">
        <w:rPr>
          <w:rFonts w:ascii="Garamond" w:hAnsi="Garamond"/>
          <w:sz w:val="22"/>
          <w:szCs w:val="22"/>
        </w:rPr>
        <w:t xml:space="preserve"> calm a crowd, then you cannot also be said to have failed to calm the crowd (Hetherington and Lai 2015: 283; cf. Hetherington 2022: 36).</w:t>
      </w:r>
      <w:r w:rsidRPr="00031381">
        <w:rPr>
          <w:rStyle w:val="FootnoteAnchor"/>
          <w:rFonts w:ascii="Garamond" w:hAnsi="Garamond"/>
          <w:sz w:val="22"/>
          <w:szCs w:val="22"/>
        </w:rPr>
        <w:footnoteReference w:id="31"/>
      </w:r>
    </w:p>
    <w:p w14:paraId="6DD6813F" w14:textId="77777777" w:rsidR="00120BCE" w:rsidRPr="00031381" w:rsidRDefault="00120BCE">
      <w:pPr>
        <w:spacing w:line="360" w:lineRule="auto"/>
        <w:ind w:right="567"/>
        <w:rPr>
          <w:rFonts w:ascii="Garamond" w:hAnsi="Garamond"/>
          <w:sz w:val="22"/>
          <w:szCs w:val="22"/>
        </w:rPr>
      </w:pPr>
    </w:p>
    <w:p w14:paraId="59293C8E"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Given these characteristics, knowing-to is conceptually distinct from both knowing-how and knowing-that. It is distinct from knowing-how because it is “the extra epistemic element </w:t>
      </w:r>
      <w:r w:rsidRPr="00031381">
        <w:rPr>
          <w:rFonts w:ascii="Garamond" w:hAnsi="Garamond"/>
          <w:i/>
          <w:iCs/>
          <w:sz w:val="22"/>
          <w:szCs w:val="22"/>
        </w:rPr>
        <w:t>whereby</w:t>
      </w:r>
      <w:r w:rsidRPr="00031381">
        <w:rPr>
          <w:rFonts w:ascii="Garamond" w:hAnsi="Garamond"/>
          <w:sz w:val="22"/>
          <w:szCs w:val="22"/>
        </w:rPr>
        <w:t xml:space="preserve"> the knowledge-how is exemplified in the specific action” (Hetherington and Lai 2015: 282). And it is distinct from knowing-that because knowing-to does not require the agent to possess knowledge of a proposition – that is, it is non-propositional knowledge.</w:t>
      </w:r>
      <w:r w:rsidRPr="00031381">
        <w:rPr>
          <w:rStyle w:val="FootnoteAnchor"/>
          <w:rFonts w:ascii="Garamond" w:hAnsi="Garamond"/>
          <w:sz w:val="22"/>
          <w:szCs w:val="22"/>
        </w:rPr>
        <w:footnoteReference w:id="32"/>
      </w:r>
    </w:p>
    <w:p w14:paraId="1E04F85E" w14:textId="77777777" w:rsidR="00120BCE" w:rsidRPr="00031381" w:rsidRDefault="00120BCE">
      <w:pPr>
        <w:spacing w:line="360" w:lineRule="auto"/>
        <w:ind w:right="567"/>
        <w:rPr>
          <w:rFonts w:ascii="Garamond" w:hAnsi="Garamond"/>
          <w:sz w:val="22"/>
          <w:szCs w:val="22"/>
        </w:rPr>
      </w:pPr>
    </w:p>
    <w:p w14:paraId="3FB8ED63" w14:textId="77777777" w:rsidR="00120BCE" w:rsidRPr="00031381" w:rsidRDefault="00000000">
      <w:pPr>
        <w:spacing w:line="360" w:lineRule="auto"/>
        <w:ind w:right="567"/>
        <w:rPr>
          <w:rFonts w:ascii="Garamond" w:hAnsi="Garamond"/>
          <w:b/>
          <w:bCs/>
          <w:sz w:val="22"/>
          <w:szCs w:val="22"/>
        </w:rPr>
      </w:pPr>
      <w:r w:rsidRPr="00031381">
        <w:rPr>
          <w:rFonts w:ascii="Garamond" w:hAnsi="Garamond"/>
          <w:b/>
          <w:bCs/>
          <w:sz w:val="22"/>
          <w:szCs w:val="22"/>
        </w:rPr>
        <w:t xml:space="preserve">4.1 </w:t>
      </w:r>
      <w:r w:rsidRPr="00031381">
        <w:rPr>
          <w:rFonts w:ascii="Garamond" w:hAnsi="Garamond"/>
          <w:b/>
          <w:bCs/>
          <w:i/>
          <w:iCs/>
          <w:sz w:val="22"/>
          <w:szCs w:val="22"/>
        </w:rPr>
        <w:t>Knowing-to</w:t>
      </w:r>
      <w:r w:rsidRPr="00031381">
        <w:rPr>
          <w:rFonts w:ascii="Garamond" w:hAnsi="Garamond"/>
          <w:b/>
          <w:bCs/>
          <w:sz w:val="22"/>
          <w:szCs w:val="22"/>
        </w:rPr>
        <w:t xml:space="preserve"> in the </w:t>
      </w:r>
      <w:r w:rsidRPr="00031381">
        <w:rPr>
          <w:rFonts w:ascii="Garamond" w:hAnsi="Garamond"/>
          <w:b/>
          <w:bCs/>
          <w:i/>
          <w:iCs/>
          <w:sz w:val="22"/>
          <w:szCs w:val="22"/>
        </w:rPr>
        <w:t>Mencius</w:t>
      </w:r>
    </w:p>
    <w:p w14:paraId="3477D47E" w14:textId="77777777" w:rsidR="00120BCE" w:rsidRPr="00031381" w:rsidRDefault="00120BCE">
      <w:pPr>
        <w:spacing w:line="360" w:lineRule="auto"/>
        <w:ind w:right="567"/>
        <w:rPr>
          <w:rFonts w:ascii="Garamond" w:hAnsi="Garamond"/>
          <w:sz w:val="22"/>
          <w:szCs w:val="22"/>
        </w:rPr>
      </w:pPr>
    </w:p>
    <w:p w14:paraId="741FC455" w14:textId="77777777" w:rsidR="00120BCE" w:rsidRPr="00031381" w:rsidRDefault="00000000">
      <w:pPr>
        <w:spacing w:line="360" w:lineRule="auto"/>
        <w:ind w:right="567"/>
        <w:rPr>
          <w:rFonts w:ascii="Garamond" w:hAnsi="Garamond"/>
          <w:sz w:val="22"/>
          <w:szCs w:val="22"/>
        </w:rPr>
      </w:pPr>
      <w:r w:rsidRPr="00031381">
        <w:rPr>
          <w:rFonts w:ascii="Garamond" w:hAnsi="Garamond"/>
          <w:sz w:val="22"/>
          <w:szCs w:val="22"/>
        </w:rPr>
        <w:t xml:space="preserve">Whatever the case might be for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 xml:space="preserve">, do we find instances of knowing-to, as I have </w:t>
      </w:r>
      <w:proofErr w:type="spellStart"/>
      <w:r w:rsidRPr="00031381">
        <w:rPr>
          <w:rFonts w:ascii="Garamond" w:hAnsi="Garamond"/>
          <w:sz w:val="22"/>
          <w:szCs w:val="22"/>
        </w:rPr>
        <w:t>characterised</w:t>
      </w:r>
      <w:proofErr w:type="spellEnd"/>
      <w:r w:rsidRPr="00031381">
        <w:rPr>
          <w:rFonts w:ascii="Garamond" w:hAnsi="Garamond"/>
          <w:sz w:val="22"/>
          <w:szCs w:val="22"/>
        </w:rPr>
        <w:t xml:space="preserve"> it above, in </w:t>
      </w:r>
      <w:proofErr w:type="gramStart"/>
      <w:r w:rsidRPr="00031381">
        <w:rPr>
          <w:rFonts w:ascii="Garamond" w:hAnsi="Garamond"/>
          <w:sz w:val="22"/>
          <w:szCs w:val="22"/>
        </w:rPr>
        <w:t xml:space="preserve">the </w:t>
      </w:r>
      <w:r w:rsidRPr="00031381">
        <w:rPr>
          <w:rFonts w:ascii="Garamond" w:hAnsi="Garamond"/>
          <w:i/>
          <w:iCs/>
          <w:sz w:val="22"/>
          <w:szCs w:val="22"/>
        </w:rPr>
        <w:t>Mencius</w:t>
      </w:r>
      <w:proofErr w:type="gramEnd"/>
      <w:r w:rsidRPr="00031381">
        <w:rPr>
          <w:rFonts w:ascii="Garamond" w:hAnsi="Garamond"/>
          <w:sz w:val="22"/>
          <w:szCs w:val="22"/>
        </w:rPr>
        <w:t>? Perhaps we do. Consider the following passage:</w:t>
      </w:r>
    </w:p>
    <w:p w14:paraId="01BBD390" w14:textId="77777777" w:rsidR="00120BCE" w:rsidRPr="00031381" w:rsidRDefault="00120BCE">
      <w:pPr>
        <w:spacing w:line="360" w:lineRule="auto"/>
        <w:ind w:right="567"/>
        <w:rPr>
          <w:rFonts w:ascii="Garamond" w:hAnsi="Garamond"/>
          <w:sz w:val="22"/>
          <w:szCs w:val="22"/>
        </w:rPr>
      </w:pPr>
    </w:p>
    <w:p w14:paraId="1DAFF755" w14:textId="77777777" w:rsidR="00120BCE" w:rsidRPr="00031381" w:rsidRDefault="00000000">
      <w:pPr>
        <w:pStyle w:val="Quotations"/>
        <w:rPr>
          <w:rFonts w:ascii="Garamond" w:hAnsi="Garamond"/>
          <w:sz w:val="22"/>
          <w:szCs w:val="22"/>
        </w:rPr>
      </w:pPr>
      <w:r w:rsidRPr="00031381">
        <w:rPr>
          <w:rFonts w:ascii="Garamond" w:hAnsi="Garamond"/>
          <w:sz w:val="22"/>
          <w:szCs w:val="22"/>
        </w:rPr>
        <w:t xml:space="preserve">Mencius said, “Suppose someone has a ring finger that is bent and will not straighten. It is not the case that it hurts or that it interferes with one’s activities. But if there is something that can straighten it, one will not consider the road from one end of the world to the other too far, because one’s finger is not as good as other </w:t>
      </w:r>
      <w:proofErr w:type="gramStart"/>
      <w:r w:rsidRPr="00031381">
        <w:rPr>
          <w:rFonts w:ascii="Garamond" w:hAnsi="Garamond"/>
          <w:sz w:val="22"/>
          <w:szCs w:val="22"/>
        </w:rPr>
        <w:t>people’s</w:t>
      </w:r>
      <w:proofErr w:type="gramEnd"/>
      <w:r w:rsidRPr="00031381">
        <w:rPr>
          <w:rFonts w:ascii="Garamond" w:hAnsi="Garamond"/>
          <w:sz w:val="22"/>
          <w:szCs w:val="22"/>
        </w:rPr>
        <w:t>. If one’s finger is not as good as other people’s, one knows to dislike it. But if one’s heart is not as good as other people’s, one does not know to dislike it. This is what is called not knowing categories.” (6A12)</w:t>
      </w:r>
    </w:p>
    <w:p w14:paraId="02B03E51"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This passage has various features in common with those passages that Hetherington and Lai take to be indicative of knowing-to in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 For example, the case describes a particular occasion on which a person fails to appropriately respond to the situation. That is, in a situation where the agent’s finger and heart are flawed, she fails to appropriately prioritize improving her heart over improving her finger.</w:t>
      </w:r>
      <w:r w:rsidRPr="00031381">
        <w:rPr>
          <w:rStyle w:val="FootnoteAnchor"/>
          <w:rFonts w:ascii="Garamond" w:hAnsi="Garamond"/>
          <w:sz w:val="22"/>
          <w:szCs w:val="22"/>
        </w:rPr>
        <w:footnoteReference w:id="33"/>
      </w:r>
      <w:r w:rsidRPr="00031381">
        <w:rPr>
          <w:rFonts w:ascii="Garamond" w:hAnsi="Garamond"/>
          <w:sz w:val="22"/>
          <w:szCs w:val="22"/>
        </w:rPr>
        <w:t xml:space="preserve"> Second, the passage attributes to the agent a failure of knowledge in an almost identical way to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 the last sentence of 6A12 has the form “X</w:t>
      </w:r>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wei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bu</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r w:rsidRPr="00031381">
        <w:rPr>
          <w:rFonts w:ascii="Garamond" w:hAnsi="Garamond"/>
          <w:sz w:val="22"/>
          <w:szCs w:val="22"/>
        </w:rPr>
        <w:t xml:space="preserve">Y </w:t>
      </w:r>
      <w:r w:rsidRPr="00031381">
        <w:rPr>
          <w:rFonts w:ascii="Garamond" w:hAnsi="Garamond"/>
          <w:i/>
          <w:iCs/>
          <w:sz w:val="22"/>
          <w:szCs w:val="22"/>
        </w:rPr>
        <w:t xml:space="preserve">ye </w:t>
      </w:r>
      <w:r w:rsidRPr="00031381">
        <w:rPr>
          <w:rFonts w:ascii="Garamond" w:hAnsi="Garamond"/>
          <w:sz w:val="22"/>
          <w:szCs w:val="22"/>
        </w:rPr>
        <w:t>(X</w:t>
      </w:r>
      <w:r w:rsidRPr="00031381">
        <w:rPr>
          <w:rFonts w:ascii="Garamond" w:hAnsi="Garamond"/>
          <w:sz w:val="22"/>
          <w:szCs w:val="22"/>
        </w:rPr>
        <w:t>之謂不知</w:t>
      </w:r>
      <w:r w:rsidRPr="00031381">
        <w:rPr>
          <w:rFonts w:ascii="Garamond" w:hAnsi="Garamond"/>
          <w:sz w:val="22"/>
          <w:szCs w:val="22"/>
        </w:rPr>
        <w:t>Y</w:t>
      </w:r>
      <w:r w:rsidRPr="00031381">
        <w:rPr>
          <w:rFonts w:ascii="Garamond" w:hAnsi="Garamond"/>
          <w:sz w:val="22"/>
          <w:szCs w:val="22"/>
        </w:rPr>
        <w:t>也</w:t>
      </w:r>
      <w:r w:rsidRPr="00031381">
        <w:rPr>
          <w:rFonts w:ascii="Garamond" w:hAnsi="Garamond"/>
          <w:sz w:val="22"/>
          <w:szCs w:val="22"/>
        </w:rPr>
        <w:t xml:space="preserve">)”, while the expressions in the </w:t>
      </w:r>
      <w:proofErr w:type="spellStart"/>
      <w:r w:rsidRPr="00031381">
        <w:rPr>
          <w:rFonts w:ascii="Garamond" w:hAnsi="Garamond"/>
          <w:i/>
          <w:iCs/>
          <w:sz w:val="22"/>
          <w:szCs w:val="22"/>
        </w:rPr>
        <w:t>Lüshi</w:t>
      </w:r>
      <w:proofErr w:type="spellEnd"/>
      <w:r w:rsidRPr="00031381">
        <w:rPr>
          <w:rFonts w:ascii="Garamond" w:hAnsi="Garamond"/>
          <w:i/>
          <w:iCs/>
          <w:sz w:val="22"/>
          <w:szCs w:val="22"/>
        </w:rPr>
        <w:t xml:space="preserve"> Chunqiu</w:t>
      </w:r>
      <w:r w:rsidRPr="00031381">
        <w:rPr>
          <w:rFonts w:ascii="Garamond" w:hAnsi="Garamond"/>
          <w:sz w:val="22"/>
          <w:szCs w:val="22"/>
        </w:rPr>
        <w:t xml:space="preserve"> that supposedly hint at knowing-to have the form “X </w:t>
      </w:r>
      <w:proofErr w:type="spellStart"/>
      <w:r w:rsidRPr="00031381">
        <w:rPr>
          <w:rFonts w:ascii="Garamond" w:hAnsi="Garamond"/>
          <w:i/>
          <w:iCs/>
          <w:sz w:val="22"/>
          <w:szCs w:val="22"/>
        </w:rPr>
        <w:t>ke</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wei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sz w:val="22"/>
          <w:szCs w:val="22"/>
        </w:rPr>
        <w:t xml:space="preserve"> Y </w:t>
      </w:r>
      <w:proofErr w:type="spellStart"/>
      <w:r w:rsidRPr="00031381">
        <w:rPr>
          <w:rFonts w:ascii="Garamond" w:hAnsi="Garamond"/>
          <w:i/>
          <w:iCs/>
          <w:sz w:val="22"/>
          <w:szCs w:val="22"/>
        </w:rPr>
        <w:t>yi</w:t>
      </w:r>
      <w:proofErr w:type="spellEnd"/>
      <w:r w:rsidRPr="00031381">
        <w:rPr>
          <w:rFonts w:ascii="Garamond" w:hAnsi="Garamond"/>
          <w:i/>
          <w:iCs/>
          <w:sz w:val="22"/>
          <w:szCs w:val="22"/>
        </w:rPr>
        <w:t xml:space="preserve"> </w:t>
      </w:r>
      <w:r w:rsidRPr="00031381">
        <w:rPr>
          <w:rFonts w:ascii="Garamond" w:hAnsi="Garamond"/>
          <w:sz w:val="22"/>
          <w:szCs w:val="22"/>
        </w:rPr>
        <w:t xml:space="preserve">(X </w:t>
      </w:r>
      <w:r w:rsidRPr="00031381">
        <w:rPr>
          <w:rFonts w:ascii="Garamond" w:hAnsi="Garamond"/>
          <w:sz w:val="22"/>
          <w:szCs w:val="22"/>
        </w:rPr>
        <w:t>可謂知</w:t>
      </w:r>
      <w:r w:rsidRPr="00031381">
        <w:rPr>
          <w:rFonts w:ascii="Garamond" w:hAnsi="Garamond"/>
          <w:sz w:val="22"/>
          <w:szCs w:val="22"/>
        </w:rPr>
        <w:t>Y</w:t>
      </w:r>
      <w:r w:rsidRPr="00031381">
        <w:rPr>
          <w:rFonts w:ascii="Garamond" w:hAnsi="Garamond"/>
          <w:sz w:val="22"/>
          <w:szCs w:val="22"/>
        </w:rPr>
        <w:t>矣</w:t>
      </w:r>
      <w:r w:rsidRPr="00031381">
        <w:rPr>
          <w:rFonts w:ascii="Garamond" w:hAnsi="Garamond"/>
          <w:sz w:val="22"/>
          <w:szCs w:val="22"/>
        </w:rPr>
        <w:t>)”. The former is a negation of the latter. Hence, if the latter suggests knowing-to, the former ought to suggest a failure of knowing-to.</w:t>
      </w:r>
    </w:p>
    <w:p w14:paraId="3E536A04" w14:textId="77777777" w:rsidR="00120BCE" w:rsidRPr="00031381" w:rsidRDefault="00120BCE">
      <w:pPr>
        <w:spacing w:line="360" w:lineRule="auto"/>
        <w:rPr>
          <w:rFonts w:ascii="Garamond" w:hAnsi="Garamond"/>
          <w:sz w:val="22"/>
          <w:szCs w:val="22"/>
        </w:rPr>
      </w:pPr>
    </w:p>
    <w:p w14:paraId="2116E4F6"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In addition to that, and unlike all the textual evidence drawn on by Hetherington and Lai, the</w:t>
      </w:r>
      <w:r w:rsidRPr="00031381">
        <w:rPr>
          <w:rFonts w:ascii="Garamond" w:hAnsi="Garamond"/>
          <w:i/>
          <w:iCs/>
          <w:sz w:val="22"/>
          <w:szCs w:val="22"/>
        </w:rPr>
        <w:t xml:space="preserve"> Mencius</w:t>
      </w:r>
      <w:r w:rsidRPr="00031381">
        <w:rPr>
          <w:rFonts w:ascii="Garamond" w:hAnsi="Garamond"/>
          <w:sz w:val="22"/>
          <w:szCs w:val="22"/>
        </w:rPr>
        <w:t xml:space="preserve"> at 6A12</w:t>
      </w:r>
      <w:r w:rsidRPr="00031381">
        <w:rPr>
          <w:rFonts w:ascii="Garamond" w:hAnsi="Garamond"/>
          <w:i/>
          <w:iCs/>
          <w:sz w:val="22"/>
          <w:szCs w:val="22"/>
        </w:rPr>
        <w:t xml:space="preserve"> </w:t>
      </w:r>
      <w:r w:rsidRPr="00031381">
        <w:rPr>
          <w:rFonts w:ascii="Garamond" w:hAnsi="Garamond"/>
          <w:sz w:val="22"/>
          <w:szCs w:val="22"/>
        </w:rPr>
        <w:t xml:space="preserve">explicitly mentions a ‘know + verb phrase’ construction that is more naturally rendered as “knowing-to </w:t>
      </w:r>
      <w:r w:rsidRPr="00031381">
        <w:rPr>
          <w:rFonts w:ascii="Garamond" w:hAnsi="Garamond"/>
          <w:i/>
          <w:iCs/>
          <w:sz w:val="22"/>
          <w:szCs w:val="22"/>
        </w:rPr>
        <w:t>φ</w:t>
      </w:r>
      <w:r w:rsidRPr="00031381">
        <w:rPr>
          <w:rFonts w:ascii="Garamond" w:hAnsi="Garamond"/>
          <w:sz w:val="22"/>
          <w:szCs w:val="22"/>
        </w:rPr>
        <w:t xml:space="preserve">”: the person </w:t>
      </w:r>
      <w:r w:rsidRPr="00031381">
        <w:rPr>
          <w:rFonts w:ascii="Garamond" w:hAnsi="Garamond"/>
          <w:i/>
          <w:iCs/>
          <w:sz w:val="22"/>
          <w:szCs w:val="22"/>
        </w:rPr>
        <w:t xml:space="preserve">knows-to </w:t>
      </w:r>
      <w:r w:rsidRPr="00031381">
        <w:rPr>
          <w:rFonts w:ascii="Garamond" w:hAnsi="Garamond"/>
          <w:sz w:val="22"/>
          <w:szCs w:val="22"/>
        </w:rPr>
        <w:t>dislike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wu</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sz w:val="22"/>
          <w:szCs w:val="22"/>
        </w:rPr>
        <w:t xml:space="preserve"> </w:t>
      </w:r>
      <w:r w:rsidRPr="00031381">
        <w:rPr>
          <w:rFonts w:ascii="Garamond" w:hAnsi="Garamond"/>
          <w:sz w:val="22"/>
          <w:szCs w:val="22"/>
        </w:rPr>
        <w:t>知惡之</w:t>
      </w:r>
      <w:r w:rsidRPr="00031381">
        <w:rPr>
          <w:rFonts w:ascii="Garamond" w:hAnsi="Garamond"/>
          <w:sz w:val="22"/>
          <w:szCs w:val="22"/>
        </w:rPr>
        <w:t xml:space="preserve">) the fact her finger is not as good as that of other people’s, and she does not </w:t>
      </w:r>
      <w:r w:rsidRPr="00031381">
        <w:rPr>
          <w:rFonts w:ascii="Garamond" w:hAnsi="Garamond"/>
          <w:i/>
          <w:iCs/>
          <w:sz w:val="22"/>
          <w:szCs w:val="22"/>
        </w:rPr>
        <w:t>know-to</w:t>
      </w:r>
      <w:r w:rsidRPr="00031381">
        <w:rPr>
          <w:rFonts w:ascii="Garamond" w:hAnsi="Garamond"/>
          <w:sz w:val="22"/>
          <w:szCs w:val="22"/>
        </w:rPr>
        <w:t xml:space="preserve"> dislike (</w:t>
      </w:r>
      <w:proofErr w:type="spellStart"/>
      <w:r w:rsidRPr="00031381">
        <w:rPr>
          <w:rFonts w:ascii="Garamond" w:hAnsi="Garamond"/>
          <w:i/>
          <w:iCs/>
          <w:sz w:val="22"/>
          <w:szCs w:val="22"/>
        </w:rPr>
        <w:t>bu</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wu</w:t>
      </w:r>
      <w:proofErr w:type="spellEnd"/>
      <w:r w:rsidRPr="00031381">
        <w:rPr>
          <w:rFonts w:ascii="Garamond" w:hAnsi="Garamond"/>
          <w:sz w:val="22"/>
          <w:szCs w:val="22"/>
        </w:rPr>
        <w:t xml:space="preserve"> </w:t>
      </w:r>
      <w:r w:rsidRPr="00031381">
        <w:rPr>
          <w:rFonts w:ascii="Garamond" w:hAnsi="Garamond"/>
          <w:sz w:val="22"/>
          <w:szCs w:val="22"/>
        </w:rPr>
        <w:t>不知惡</w:t>
      </w:r>
      <w:r w:rsidRPr="00031381">
        <w:rPr>
          <w:rFonts w:ascii="Garamond" w:hAnsi="Garamond"/>
          <w:sz w:val="22"/>
          <w:szCs w:val="22"/>
        </w:rPr>
        <w:t>) the fact that her heart is not as good as that of other people’s.</w:t>
      </w:r>
      <w:r w:rsidRPr="00031381">
        <w:rPr>
          <w:rStyle w:val="FootnoteAnchor"/>
          <w:rFonts w:ascii="Garamond" w:hAnsi="Garamond"/>
          <w:sz w:val="22"/>
          <w:szCs w:val="22"/>
        </w:rPr>
        <w:footnoteReference w:id="34"/>
      </w:r>
      <w:r w:rsidRPr="00031381">
        <w:rPr>
          <w:rFonts w:ascii="Garamond" w:hAnsi="Garamond"/>
          <w:sz w:val="22"/>
          <w:szCs w:val="22"/>
        </w:rPr>
        <w:t xml:space="preserve"> </w:t>
      </w:r>
      <w:r w:rsidRPr="00031381">
        <w:rPr>
          <w:rFonts w:ascii="Garamond" w:hAnsi="Garamond"/>
          <w:sz w:val="22"/>
          <w:szCs w:val="22"/>
        </w:rPr>
        <w:lastRenderedPageBreak/>
        <w:t xml:space="preserve">Hence, in this particular instance, one fails to express one’s “knowing categories”, because one fails to know-to dislike the flaws of one’s heart (and, one might suppose, one fails to know-to enact a way to remedy these flaws). If a person consistently fails to express her knowing-how to </w:t>
      </w:r>
      <w:r w:rsidRPr="00031381">
        <w:rPr>
          <w:rFonts w:ascii="Garamond" w:hAnsi="Garamond"/>
          <w:i/>
          <w:iCs/>
          <w:sz w:val="22"/>
          <w:szCs w:val="22"/>
        </w:rPr>
        <w:t>φ</w:t>
      </w:r>
      <w:r w:rsidRPr="00031381">
        <w:rPr>
          <w:rFonts w:ascii="Garamond" w:hAnsi="Garamond"/>
          <w:sz w:val="22"/>
          <w:szCs w:val="22"/>
        </w:rPr>
        <w:t xml:space="preserve"> in circumstances that are apt for </w:t>
      </w:r>
      <w:r w:rsidRPr="00031381">
        <w:rPr>
          <w:rFonts w:ascii="Garamond" w:hAnsi="Garamond"/>
          <w:i/>
          <w:iCs/>
          <w:sz w:val="22"/>
          <w:szCs w:val="22"/>
        </w:rPr>
        <w:t>φ</w:t>
      </w:r>
      <w:r w:rsidRPr="00031381">
        <w:rPr>
          <w:rFonts w:ascii="Garamond" w:hAnsi="Garamond"/>
          <w:sz w:val="22"/>
          <w:szCs w:val="22"/>
        </w:rPr>
        <w:t>-</w:t>
      </w:r>
      <w:proofErr w:type="spellStart"/>
      <w:r w:rsidRPr="00031381">
        <w:rPr>
          <w:rFonts w:ascii="Garamond" w:hAnsi="Garamond"/>
          <w:sz w:val="22"/>
          <w:szCs w:val="22"/>
        </w:rPr>
        <w:t>ing</w:t>
      </w:r>
      <w:proofErr w:type="spellEnd"/>
      <w:r w:rsidRPr="00031381">
        <w:rPr>
          <w:rFonts w:ascii="Garamond" w:hAnsi="Garamond"/>
          <w:sz w:val="22"/>
          <w:szCs w:val="22"/>
        </w:rPr>
        <w:t xml:space="preserve">, then Mencius would presumably suggest that we have reason to doubt whether she knows-how to </w:t>
      </w:r>
      <w:r w:rsidRPr="00031381">
        <w:rPr>
          <w:rFonts w:ascii="Garamond" w:hAnsi="Garamond"/>
          <w:i/>
          <w:iCs/>
          <w:sz w:val="22"/>
          <w:szCs w:val="22"/>
        </w:rPr>
        <w:t>φ</w:t>
      </w:r>
      <w:r w:rsidRPr="00031381">
        <w:rPr>
          <w:rFonts w:ascii="Garamond" w:hAnsi="Garamond"/>
          <w:sz w:val="22"/>
          <w:szCs w:val="22"/>
        </w:rPr>
        <w:t xml:space="preserve"> at all. Compare this with what Mencius says at 6A11:</w:t>
      </w:r>
    </w:p>
    <w:p w14:paraId="065A831E" w14:textId="77777777" w:rsidR="00120BCE" w:rsidRPr="00031381" w:rsidRDefault="00120BCE">
      <w:pPr>
        <w:spacing w:line="360" w:lineRule="auto"/>
        <w:rPr>
          <w:rFonts w:ascii="Garamond" w:hAnsi="Garamond"/>
          <w:sz w:val="22"/>
          <w:szCs w:val="22"/>
        </w:rPr>
      </w:pPr>
    </w:p>
    <w:p w14:paraId="5964CFE4" w14:textId="77777777" w:rsidR="00120BCE" w:rsidRPr="00031381" w:rsidRDefault="00000000">
      <w:pPr>
        <w:pStyle w:val="Quotations"/>
        <w:rPr>
          <w:rFonts w:ascii="Garamond" w:hAnsi="Garamond"/>
          <w:sz w:val="22"/>
          <w:szCs w:val="22"/>
        </w:rPr>
      </w:pPr>
      <w:r w:rsidRPr="00031381">
        <w:rPr>
          <w:rFonts w:ascii="Garamond" w:hAnsi="Garamond"/>
          <w:sz w:val="22"/>
          <w:szCs w:val="22"/>
        </w:rPr>
        <w:t>Mencius said, “Benevolence is the human heart and righteousness is the human path. To leave one’s path and not follow it, or to lose one’s heart and not know to seek for it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qiu</w:t>
      </w:r>
      <w:proofErr w:type="spellEnd"/>
      <w:r w:rsidRPr="00031381">
        <w:rPr>
          <w:rFonts w:ascii="Garamond" w:hAnsi="Garamond"/>
          <w:sz w:val="22"/>
          <w:szCs w:val="22"/>
        </w:rPr>
        <w:t xml:space="preserve"> </w:t>
      </w:r>
      <w:r w:rsidRPr="00031381">
        <w:rPr>
          <w:rFonts w:ascii="Garamond" w:hAnsi="Garamond"/>
          <w:sz w:val="22"/>
          <w:szCs w:val="22"/>
        </w:rPr>
        <w:t>知求</w:t>
      </w:r>
      <w:r w:rsidRPr="00031381">
        <w:rPr>
          <w:rFonts w:ascii="Garamond" w:hAnsi="Garamond"/>
          <w:sz w:val="22"/>
          <w:szCs w:val="22"/>
        </w:rPr>
        <w:t>) — these are tragedies! If people lose their chickens or dogs, they know to seek for them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qiu</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r w:rsidRPr="00031381">
        <w:rPr>
          <w:rFonts w:ascii="Garamond" w:hAnsi="Garamond"/>
          <w:sz w:val="22"/>
          <w:szCs w:val="22"/>
        </w:rPr>
        <w:t>知求之</w:t>
      </w:r>
      <w:r w:rsidRPr="00031381">
        <w:rPr>
          <w:rFonts w:ascii="Garamond" w:hAnsi="Garamond"/>
          <w:sz w:val="22"/>
          <w:szCs w:val="22"/>
        </w:rPr>
        <w:t>). But if they lose their hearts, they do not know to seek for them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qiu</w:t>
      </w:r>
      <w:proofErr w:type="spellEnd"/>
      <w:r w:rsidRPr="00031381">
        <w:rPr>
          <w:rFonts w:ascii="Garamond" w:hAnsi="Garamond"/>
          <w:sz w:val="22"/>
          <w:szCs w:val="22"/>
        </w:rPr>
        <w:t xml:space="preserve"> </w:t>
      </w:r>
      <w:r w:rsidRPr="00031381">
        <w:rPr>
          <w:rFonts w:ascii="Garamond" w:hAnsi="Garamond"/>
          <w:sz w:val="22"/>
          <w:szCs w:val="22"/>
        </w:rPr>
        <w:t>知求</w:t>
      </w:r>
      <w:r w:rsidRPr="00031381">
        <w:rPr>
          <w:rFonts w:ascii="Garamond" w:hAnsi="Garamond"/>
          <w:sz w:val="22"/>
          <w:szCs w:val="22"/>
        </w:rPr>
        <w:t>). The Way of learning and inquiry consists in nothing other than to seek for one’s lost heart.” (6A11)</w:t>
      </w:r>
    </w:p>
    <w:p w14:paraId="0B884E4D"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Just like those at 6A12 who do not know-to dislike the fact that their hearts are flawed are said to fail to express their “knowing categories”, at 6A11 those who do not know-to seek their lost heart presumably fail to enact “the Way of learning and inquiry” (</w:t>
      </w:r>
      <w:proofErr w:type="spellStart"/>
      <w:r w:rsidRPr="00031381">
        <w:rPr>
          <w:rFonts w:ascii="Garamond" w:hAnsi="Garamond"/>
          <w:i/>
          <w:iCs/>
          <w:sz w:val="22"/>
          <w:szCs w:val="22"/>
        </w:rPr>
        <w:t>xuewen</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dao</w:t>
      </w:r>
      <w:proofErr w:type="spellEnd"/>
      <w:r w:rsidRPr="00031381">
        <w:rPr>
          <w:rFonts w:ascii="Garamond" w:hAnsi="Garamond"/>
          <w:sz w:val="22"/>
          <w:szCs w:val="22"/>
        </w:rPr>
        <w:t xml:space="preserve"> </w:t>
      </w:r>
      <w:r w:rsidRPr="00031381">
        <w:rPr>
          <w:rFonts w:ascii="Garamond" w:hAnsi="Garamond"/>
          <w:sz w:val="22"/>
          <w:szCs w:val="22"/>
        </w:rPr>
        <w:t>學問之道</w:t>
      </w:r>
      <w:r w:rsidRPr="00031381">
        <w:rPr>
          <w:rFonts w:ascii="Garamond" w:hAnsi="Garamond"/>
          <w:sz w:val="22"/>
          <w:szCs w:val="22"/>
        </w:rPr>
        <w:t xml:space="preserve">). Once </w:t>
      </w:r>
      <w:proofErr w:type="gramStart"/>
      <w:r w:rsidRPr="00031381">
        <w:rPr>
          <w:rFonts w:ascii="Garamond" w:hAnsi="Garamond"/>
          <w:sz w:val="22"/>
          <w:szCs w:val="22"/>
        </w:rPr>
        <w:t>again</w:t>
      </w:r>
      <w:proofErr w:type="gramEnd"/>
      <w:r w:rsidRPr="00031381">
        <w:rPr>
          <w:rFonts w:ascii="Garamond" w:hAnsi="Garamond"/>
          <w:sz w:val="22"/>
          <w:szCs w:val="22"/>
        </w:rPr>
        <w:t xml:space="preserve"> the relevant ‘know + verb phrase’ construction (i.e.,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qiu</w:t>
      </w:r>
      <w:proofErr w:type="spellEnd"/>
      <w:r w:rsidRPr="00031381">
        <w:rPr>
          <w:rFonts w:ascii="Garamond" w:hAnsi="Garamond"/>
          <w:sz w:val="22"/>
          <w:szCs w:val="22"/>
        </w:rPr>
        <w:t xml:space="preserve"> </w:t>
      </w:r>
      <w:r w:rsidRPr="00031381">
        <w:rPr>
          <w:rFonts w:ascii="Garamond" w:hAnsi="Garamond"/>
          <w:sz w:val="22"/>
          <w:szCs w:val="22"/>
        </w:rPr>
        <w:t>知求</w:t>
      </w:r>
      <w:r w:rsidRPr="00031381">
        <w:rPr>
          <w:rFonts w:ascii="Garamond" w:hAnsi="Garamond"/>
          <w:sz w:val="22"/>
          <w:szCs w:val="22"/>
        </w:rPr>
        <w:t>) is more naturally rendered as “knowing-to”, with most translators following suit.</w:t>
      </w:r>
      <w:r w:rsidRPr="00031381">
        <w:rPr>
          <w:rStyle w:val="FootnoteAnchor"/>
          <w:rFonts w:ascii="Garamond" w:hAnsi="Garamond"/>
          <w:sz w:val="22"/>
          <w:szCs w:val="22"/>
        </w:rPr>
        <w:footnoteReference w:id="35"/>
      </w:r>
    </w:p>
    <w:p w14:paraId="073085BE" w14:textId="77777777" w:rsidR="00120BCE" w:rsidRPr="00031381" w:rsidRDefault="00120BCE">
      <w:pPr>
        <w:spacing w:line="360" w:lineRule="auto"/>
        <w:rPr>
          <w:rFonts w:ascii="Garamond" w:hAnsi="Garamond"/>
          <w:sz w:val="22"/>
          <w:szCs w:val="22"/>
        </w:rPr>
      </w:pPr>
    </w:p>
    <w:p w14:paraId="6B876C1D"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Moreover, given that one characteristic of knowing-to is that it is necessary, perhaps even sufficient, for putting one’s know-how into practice, it should come as no surprise that Mencius connects a failure of knowing-to seek one’s lost heart</w:t>
      </w:r>
      <w:r w:rsidRPr="00031381">
        <w:rPr>
          <w:rFonts w:ascii="Garamond" w:hAnsi="Garamond"/>
          <w:i/>
          <w:iCs/>
          <w:sz w:val="22"/>
          <w:szCs w:val="22"/>
        </w:rPr>
        <w:t xml:space="preserve"> </w:t>
      </w:r>
      <w:r w:rsidRPr="00031381">
        <w:rPr>
          <w:rFonts w:ascii="Garamond" w:hAnsi="Garamond"/>
          <w:sz w:val="22"/>
          <w:szCs w:val="22"/>
        </w:rPr>
        <w:t>with a failure of enacting “the Way of learning and inquiry”. At 4A1 Mencius explicitly compares “the Way of Yao and Shun” to a craftsperson’s skill, and at 5A7 we are told that Yi Yin intends to “use this Way (of Yao and Shun)” (</w:t>
      </w:r>
      <w:proofErr w:type="spellStart"/>
      <w:r w:rsidRPr="00031381">
        <w:rPr>
          <w:rFonts w:ascii="Garamond" w:hAnsi="Garamond"/>
          <w:i/>
          <w:iCs/>
          <w:sz w:val="22"/>
          <w:szCs w:val="22"/>
        </w:rPr>
        <w:t>yi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si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dao</w:t>
      </w:r>
      <w:proofErr w:type="spellEnd"/>
      <w:r w:rsidRPr="00031381">
        <w:rPr>
          <w:rFonts w:ascii="Garamond" w:hAnsi="Garamond"/>
          <w:sz w:val="22"/>
          <w:szCs w:val="22"/>
        </w:rPr>
        <w:t xml:space="preserve"> </w:t>
      </w:r>
      <w:r w:rsidRPr="00031381">
        <w:rPr>
          <w:rFonts w:ascii="Garamond" w:hAnsi="Garamond"/>
          <w:sz w:val="22"/>
          <w:szCs w:val="22"/>
        </w:rPr>
        <w:t>以斯道</w:t>
      </w:r>
      <w:r w:rsidRPr="00031381">
        <w:rPr>
          <w:rFonts w:ascii="Garamond" w:hAnsi="Garamond"/>
          <w:sz w:val="22"/>
          <w:szCs w:val="22"/>
        </w:rPr>
        <w:t>) to reform the ruler and his people. Yi Yin is presumably capable of doing so by virtue of his knowledge of the Way of Yao and Shun, given the parallel that Mencius draws between knowing the Way and having skill. Hence, knowing the Way of X seems to at least entail knowing-how to act in X-related ways, and according to 6A11, failing to know-to act in X-related ways in a situation apt for doing so is a failure of enacting the Way of X.</w:t>
      </w:r>
    </w:p>
    <w:p w14:paraId="454B872D" w14:textId="77777777" w:rsidR="00120BCE" w:rsidRPr="00031381" w:rsidRDefault="00120BCE">
      <w:pPr>
        <w:spacing w:line="360" w:lineRule="auto"/>
        <w:rPr>
          <w:rFonts w:ascii="Garamond" w:hAnsi="Garamond"/>
          <w:sz w:val="22"/>
          <w:szCs w:val="22"/>
        </w:rPr>
      </w:pPr>
    </w:p>
    <w:p w14:paraId="7D8D9FE3"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Mencius issues a similar criticism at 1A3, but this time specifically against King Hui of Liang. The context is this. The people of Liang are suffering from famine, and although King Hui knows about the situation and even tries to provide some measure of relief, Mencius is clear that the King’s efforts fail:</w:t>
      </w:r>
    </w:p>
    <w:p w14:paraId="3D3BBFCD" w14:textId="77777777" w:rsidR="00120BCE" w:rsidRPr="00031381" w:rsidRDefault="00120BCE">
      <w:pPr>
        <w:spacing w:line="360" w:lineRule="auto"/>
        <w:rPr>
          <w:rFonts w:ascii="Garamond" w:hAnsi="Garamond"/>
          <w:sz w:val="22"/>
          <w:szCs w:val="22"/>
        </w:rPr>
      </w:pPr>
    </w:p>
    <w:p w14:paraId="3839EA86" w14:textId="77777777" w:rsidR="00120BCE" w:rsidRPr="00031381" w:rsidRDefault="00000000">
      <w:pPr>
        <w:pStyle w:val="Quotations"/>
        <w:rPr>
          <w:rFonts w:ascii="Garamond" w:hAnsi="Garamond"/>
          <w:sz w:val="22"/>
          <w:szCs w:val="22"/>
        </w:rPr>
      </w:pPr>
      <w:r w:rsidRPr="00031381">
        <w:rPr>
          <w:rFonts w:ascii="Garamond" w:hAnsi="Garamond"/>
          <w:sz w:val="22"/>
          <w:szCs w:val="22"/>
        </w:rPr>
        <w:t>Dogs and sows consume the food of the people and you do not know to set a limit to this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w:t>
      </w:r>
      <w:proofErr w:type="spellStart"/>
      <w:r w:rsidRPr="00031381">
        <w:rPr>
          <w:rFonts w:ascii="Garamond" w:hAnsi="Garamond"/>
          <w:i/>
          <w:iCs/>
          <w:sz w:val="22"/>
          <w:szCs w:val="22"/>
        </w:rPr>
        <w:t>jian</w:t>
      </w:r>
      <w:proofErr w:type="spellEnd"/>
      <w:r w:rsidRPr="00031381">
        <w:rPr>
          <w:rFonts w:ascii="Garamond" w:hAnsi="Garamond"/>
          <w:sz w:val="22"/>
          <w:szCs w:val="22"/>
        </w:rPr>
        <w:t xml:space="preserve"> </w:t>
      </w:r>
      <w:r w:rsidRPr="00031381">
        <w:rPr>
          <w:rFonts w:ascii="Garamond" w:hAnsi="Garamond"/>
          <w:sz w:val="22"/>
          <w:szCs w:val="22"/>
        </w:rPr>
        <w:t>知檢</w:t>
      </w:r>
      <w:r w:rsidRPr="00031381">
        <w:rPr>
          <w:rFonts w:ascii="Garamond" w:hAnsi="Garamond"/>
          <w:sz w:val="22"/>
          <w:szCs w:val="22"/>
        </w:rPr>
        <w:t>). There are bodies in the streets dead of starvation and you do not know to open the granaries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fa</w:t>
      </w:r>
      <w:r w:rsidRPr="00031381">
        <w:rPr>
          <w:rFonts w:ascii="Garamond" w:hAnsi="Garamond"/>
          <w:sz w:val="22"/>
          <w:szCs w:val="22"/>
        </w:rPr>
        <w:t xml:space="preserve"> </w:t>
      </w:r>
      <w:r w:rsidRPr="00031381">
        <w:rPr>
          <w:rFonts w:ascii="Garamond" w:hAnsi="Garamond"/>
          <w:sz w:val="22"/>
          <w:szCs w:val="22"/>
        </w:rPr>
        <w:t>知發</w:t>
      </w:r>
      <w:r w:rsidRPr="00031381">
        <w:rPr>
          <w:rFonts w:ascii="Garamond" w:hAnsi="Garamond"/>
          <w:sz w:val="22"/>
          <w:szCs w:val="22"/>
        </w:rPr>
        <w:t xml:space="preserve">). When someone dies, you say, ‘It wasn’t me. It was due to the harvest.’ How </w:t>
      </w:r>
      <w:r w:rsidRPr="00031381">
        <w:rPr>
          <w:rFonts w:ascii="Garamond" w:hAnsi="Garamond"/>
          <w:sz w:val="22"/>
          <w:szCs w:val="22"/>
        </w:rPr>
        <w:lastRenderedPageBreak/>
        <w:t>is this different from killing someone by stabbing him and saying, ‘It wasn’t me. It was due to the weapon’? (1A3)</w:t>
      </w:r>
    </w:p>
    <w:p w14:paraId="20E6E25C"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 xml:space="preserve">What is important is that King Hui knows that he </w:t>
      </w:r>
      <w:r w:rsidRPr="00031381">
        <w:rPr>
          <w:rFonts w:ascii="Garamond" w:hAnsi="Garamond"/>
          <w:i/>
          <w:iCs/>
          <w:sz w:val="22"/>
          <w:szCs w:val="22"/>
        </w:rPr>
        <w:t>should</w:t>
      </w:r>
      <w:r w:rsidRPr="00031381">
        <w:rPr>
          <w:rFonts w:ascii="Garamond" w:hAnsi="Garamond"/>
          <w:sz w:val="22"/>
          <w:szCs w:val="22"/>
        </w:rPr>
        <w:t xml:space="preserve"> protect the people from famine, because he acknowledges that this is a way for him to strengthen his kingdom – that is, he expects his people to become more numerous by virtue of him exerting his “heart to the utmost for the state.” (1A3) Hence, King Hui knows that he ought to protect his people and he wants to protect them, but he nonetheless fails to do so. Why? Because in that particular circumstance, where opening the granaries is a way for him to protect his people, he does not </w:t>
      </w:r>
      <w:r w:rsidRPr="00031381">
        <w:rPr>
          <w:rFonts w:ascii="Garamond" w:hAnsi="Garamond"/>
          <w:i/>
          <w:iCs/>
          <w:sz w:val="22"/>
          <w:szCs w:val="22"/>
        </w:rPr>
        <w:t>know-to</w:t>
      </w:r>
      <w:r w:rsidRPr="00031381">
        <w:rPr>
          <w:rFonts w:ascii="Garamond" w:hAnsi="Garamond"/>
          <w:sz w:val="22"/>
          <w:szCs w:val="22"/>
        </w:rPr>
        <w:t xml:space="preserve"> open the granaries (</w:t>
      </w:r>
      <w:proofErr w:type="spellStart"/>
      <w:r w:rsidRPr="00031381">
        <w:rPr>
          <w:rFonts w:ascii="Garamond" w:hAnsi="Garamond"/>
          <w:i/>
          <w:iCs/>
          <w:sz w:val="22"/>
          <w:szCs w:val="22"/>
        </w:rPr>
        <w:t>zhi</w:t>
      </w:r>
      <w:proofErr w:type="spellEnd"/>
      <w:r w:rsidRPr="00031381">
        <w:rPr>
          <w:rFonts w:ascii="Garamond" w:hAnsi="Garamond"/>
          <w:i/>
          <w:iCs/>
          <w:sz w:val="22"/>
          <w:szCs w:val="22"/>
        </w:rPr>
        <w:t xml:space="preserve"> fa</w:t>
      </w:r>
      <w:r w:rsidRPr="00031381">
        <w:rPr>
          <w:rFonts w:ascii="Garamond" w:hAnsi="Garamond"/>
          <w:sz w:val="22"/>
          <w:szCs w:val="22"/>
        </w:rPr>
        <w:t xml:space="preserve"> </w:t>
      </w:r>
      <w:r w:rsidRPr="00031381">
        <w:rPr>
          <w:rFonts w:ascii="Garamond" w:hAnsi="Garamond"/>
          <w:sz w:val="22"/>
          <w:szCs w:val="22"/>
        </w:rPr>
        <w:t>知發</w:t>
      </w:r>
      <w:r w:rsidRPr="00031381">
        <w:rPr>
          <w:rFonts w:ascii="Garamond" w:hAnsi="Garamond"/>
          <w:sz w:val="22"/>
          <w:szCs w:val="22"/>
        </w:rPr>
        <w:t>).</w:t>
      </w:r>
      <w:r w:rsidRPr="00031381">
        <w:rPr>
          <w:rStyle w:val="FootnoteAnchor"/>
          <w:rFonts w:ascii="Garamond" w:hAnsi="Garamond"/>
          <w:sz w:val="22"/>
          <w:szCs w:val="22"/>
        </w:rPr>
        <w:footnoteReference w:id="36"/>
      </w:r>
      <w:r w:rsidRPr="00031381">
        <w:rPr>
          <w:rFonts w:ascii="Garamond" w:hAnsi="Garamond"/>
          <w:sz w:val="22"/>
          <w:szCs w:val="22"/>
        </w:rPr>
        <w:t xml:space="preserve"> One might suspect that, just like at 6A12 and 6A11, a lack of knowing-to might indicate a lack of corresponding know-how: what explains King Hui’s failure to know-to open the granaries might be that, in the end, he does not really know how to protect the people (or provide adequate famine relief). The point is, however, that 1A3, 6A12, and 6A11 seem to suggest that</w:t>
      </w:r>
      <w:r w:rsidRPr="00031381">
        <w:rPr>
          <w:rFonts w:ascii="Garamond" w:hAnsi="Garamond"/>
          <w:i/>
          <w:iCs/>
          <w:sz w:val="22"/>
          <w:szCs w:val="22"/>
        </w:rPr>
        <w:t xml:space="preserve"> </w:t>
      </w:r>
      <w:r w:rsidRPr="00031381">
        <w:rPr>
          <w:rFonts w:ascii="Garamond" w:hAnsi="Garamond"/>
          <w:sz w:val="22"/>
          <w:szCs w:val="22"/>
        </w:rPr>
        <w:t>the</w:t>
      </w:r>
      <w:r w:rsidRPr="00031381">
        <w:rPr>
          <w:rFonts w:ascii="Garamond" w:hAnsi="Garamond"/>
          <w:i/>
          <w:iCs/>
          <w:sz w:val="22"/>
          <w:szCs w:val="22"/>
        </w:rPr>
        <w:t xml:space="preserve"> Mencius</w:t>
      </w:r>
      <w:r w:rsidRPr="00031381">
        <w:rPr>
          <w:rFonts w:ascii="Garamond" w:hAnsi="Garamond"/>
          <w:sz w:val="22"/>
          <w:szCs w:val="22"/>
        </w:rPr>
        <w:t xml:space="preserve"> contains attributions of a kind of knowledge, namely knowing-to, that is conceptually distinct from both knowing-that and knowing-how.</w:t>
      </w:r>
    </w:p>
    <w:p w14:paraId="5486A86E" w14:textId="77777777" w:rsidR="00120BCE" w:rsidRPr="00031381" w:rsidRDefault="00120BCE">
      <w:pPr>
        <w:spacing w:line="360" w:lineRule="auto"/>
        <w:rPr>
          <w:rFonts w:ascii="Garamond" w:hAnsi="Garamond"/>
          <w:sz w:val="22"/>
          <w:szCs w:val="22"/>
        </w:rPr>
      </w:pPr>
    </w:p>
    <w:p w14:paraId="4CF868F7"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Such a notion of knowing-</w:t>
      </w:r>
      <w:proofErr w:type="gramStart"/>
      <w:r w:rsidRPr="00031381">
        <w:rPr>
          <w:rFonts w:ascii="Garamond" w:hAnsi="Garamond"/>
          <w:sz w:val="22"/>
          <w:szCs w:val="22"/>
        </w:rPr>
        <w:t>to should</w:t>
      </w:r>
      <w:proofErr w:type="gramEnd"/>
      <w:r w:rsidRPr="00031381">
        <w:rPr>
          <w:rFonts w:ascii="Garamond" w:hAnsi="Garamond"/>
          <w:sz w:val="22"/>
          <w:szCs w:val="22"/>
        </w:rPr>
        <w:t xml:space="preserve"> not only be of philosophical interest due to the fact that it complicates a picture of knowledge that has largely become philosophical orthodoxy. It should also be of interest because it can contribute to a longstanding debate on what is required for an action to count as intelligent. In what follows, I give a brief outline of how it can do that.</w:t>
      </w:r>
    </w:p>
    <w:p w14:paraId="70DF9FDF" w14:textId="77777777" w:rsidR="00120BCE" w:rsidRPr="00031381" w:rsidRDefault="00120BCE">
      <w:pPr>
        <w:spacing w:line="360" w:lineRule="auto"/>
        <w:rPr>
          <w:rFonts w:ascii="Garamond" w:hAnsi="Garamond"/>
          <w:sz w:val="22"/>
          <w:szCs w:val="22"/>
        </w:rPr>
      </w:pPr>
    </w:p>
    <w:p w14:paraId="4E052D8A" w14:textId="77777777" w:rsidR="00120BCE" w:rsidRPr="00031381" w:rsidRDefault="00000000">
      <w:pPr>
        <w:spacing w:line="360" w:lineRule="auto"/>
        <w:rPr>
          <w:rFonts w:ascii="Garamond" w:hAnsi="Garamond"/>
          <w:b/>
          <w:bCs/>
          <w:sz w:val="22"/>
          <w:szCs w:val="22"/>
        </w:rPr>
      </w:pPr>
      <w:r w:rsidRPr="00031381">
        <w:rPr>
          <w:rFonts w:ascii="Garamond" w:hAnsi="Garamond"/>
          <w:b/>
          <w:bCs/>
          <w:sz w:val="22"/>
          <w:szCs w:val="22"/>
        </w:rPr>
        <w:t xml:space="preserve">4.2 The Philosophical Significance of </w:t>
      </w:r>
      <w:proofErr w:type="spellStart"/>
      <w:r w:rsidRPr="00031381">
        <w:rPr>
          <w:rFonts w:ascii="Garamond" w:hAnsi="Garamond"/>
          <w:b/>
          <w:bCs/>
          <w:sz w:val="22"/>
          <w:szCs w:val="22"/>
        </w:rPr>
        <w:t>Mencian</w:t>
      </w:r>
      <w:proofErr w:type="spellEnd"/>
      <w:r w:rsidRPr="00031381">
        <w:rPr>
          <w:rFonts w:ascii="Garamond" w:hAnsi="Garamond"/>
          <w:b/>
          <w:bCs/>
          <w:sz w:val="22"/>
          <w:szCs w:val="22"/>
        </w:rPr>
        <w:t xml:space="preserve"> </w:t>
      </w:r>
      <w:r w:rsidRPr="00031381">
        <w:rPr>
          <w:rFonts w:ascii="Garamond" w:hAnsi="Garamond"/>
          <w:b/>
          <w:bCs/>
          <w:i/>
          <w:iCs/>
          <w:sz w:val="22"/>
          <w:szCs w:val="22"/>
        </w:rPr>
        <w:t>Knowing-to</w:t>
      </w:r>
    </w:p>
    <w:p w14:paraId="37B0E6F8" w14:textId="77777777" w:rsidR="00120BCE" w:rsidRPr="00031381" w:rsidRDefault="00120BCE">
      <w:pPr>
        <w:spacing w:line="360" w:lineRule="auto"/>
        <w:rPr>
          <w:rFonts w:ascii="Garamond" w:hAnsi="Garamond"/>
          <w:sz w:val="22"/>
          <w:szCs w:val="22"/>
        </w:rPr>
      </w:pPr>
    </w:p>
    <w:p w14:paraId="189977C9" w14:textId="77777777" w:rsidR="00120BCE" w:rsidRPr="00031381" w:rsidRDefault="00000000">
      <w:pPr>
        <w:spacing w:line="360" w:lineRule="auto"/>
        <w:rPr>
          <w:rFonts w:ascii="Garamond" w:hAnsi="Garamond"/>
          <w:sz w:val="22"/>
          <w:szCs w:val="22"/>
        </w:rPr>
      </w:pPr>
      <w:r w:rsidRPr="00031381">
        <w:rPr>
          <w:rFonts w:ascii="Garamond" w:hAnsi="Garamond"/>
          <w:sz w:val="22"/>
          <w:szCs w:val="22"/>
        </w:rPr>
        <w:t>Contemporary philosophy of action is largely influenced by a view of agency suggested by Wittgenstein’s famous question: “What is left over if I subtract the fact that my arm goes up from the fact that I raise my arm?” (Wittgenstein 1958[1953]: §621) There is a difference between the mere physical motion of my arm going up and the act of my raising my arm, such that, if the motion of my arm is intelligent at all, then it derives this intelligence from some purely “inner” mental states.</w:t>
      </w:r>
      <w:r w:rsidRPr="00031381">
        <w:rPr>
          <w:rStyle w:val="FootnoteAnchor"/>
          <w:rFonts w:ascii="Garamond" w:hAnsi="Garamond"/>
          <w:sz w:val="22"/>
          <w:szCs w:val="22"/>
        </w:rPr>
        <w:footnoteReference w:id="37"/>
      </w:r>
      <w:r w:rsidRPr="00031381">
        <w:rPr>
          <w:rFonts w:ascii="Garamond" w:hAnsi="Garamond"/>
          <w:sz w:val="22"/>
          <w:szCs w:val="22"/>
        </w:rPr>
        <w:t xml:space="preserve"> The problem is, however, that merely </w:t>
      </w:r>
      <w:r w:rsidRPr="00031381">
        <w:rPr>
          <w:rFonts w:ascii="Garamond" w:hAnsi="Garamond"/>
          <w:i/>
          <w:iCs/>
          <w:sz w:val="22"/>
          <w:szCs w:val="22"/>
        </w:rPr>
        <w:t>having</w:t>
      </w:r>
      <w:r w:rsidRPr="00031381">
        <w:rPr>
          <w:rFonts w:ascii="Garamond" w:hAnsi="Garamond"/>
          <w:sz w:val="22"/>
          <w:szCs w:val="22"/>
        </w:rPr>
        <w:t xml:space="preserve"> these mental states is not enough to specify that exactly </w:t>
      </w:r>
      <w:r w:rsidRPr="00031381">
        <w:rPr>
          <w:rFonts w:ascii="Garamond" w:hAnsi="Garamond"/>
          <w:i/>
          <w:iCs/>
          <w:sz w:val="22"/>
          <w:szCs w:val="22"/>
        </w:rPr>
        <w:t>this</w:t>
      </w:r>
      <w:r w:rsidRPr="00031381">
        <w:rPr>
          <w:rFonts w:ascii="Garamond" w:hAnsi="Garamond"/>
          <w:sz w:val="22"/>
          <w:szCs w:val="22"/>
        </w:rPr>
        <w:t xml:space="preserve"> particular action should occur. For example, suppose the relevant mental states are an agent’s intentions, as some contemporary philosophers take them to be (e.g., </w:t>
      </w:r>
      <w:proofErr w:type="spellStart"/>
      <w:r w:rsidRPr="00031381">
        <w:rPr>
          <w:rFonts w:ascii="Garamond" w:hAnsi="Garamond"/>
          <w:sz w:val="22"/>
          <w:szCs w:val="22"/>
        </w:rPr>
        <w:t>Enç</w:t>
      </w:r>
      <w:proofErr w:type="spellEnd"/>
      <w:r w:rsidRPr="00031381">
        <w:rPr>
          <w:rFonts w:ascii="Garamond" w:hAnsi="Garamond"/>
          <w:sz w:val="22"/>
          <w:szCs w:val="22"/>
        </w:rPr>
        <w:t xml:space="preserve"> 2003). If I </w:t>
      </w:r>
      <w:r w:rsidRPr="00031381">
        <w:rPr>
          <w:rFonts w:ascii="Garamond" w:hAnsi="Garamond"/>
          <w:sz w:val="22"/>
          <w:szCs w:val="22"/>
        </w:rPr>
        <w:lastRenderedPageBreak/>
        <w:t xml:space="preserve">intend to catch a ball, then I do not thereby intend to move my arm in exactly </w:t>
      </w:r>
      <w:r w:rsidRPr="00031381">
        <w:rPr>
          <w:rFonts w:ascii="Garamond" w:hAnsi="Garamond"/>
          <w:i/>
          <w:iCs/>
          <w:sz w:val="22"/>
          <w:szCs w:val="22"/>
        </w:rPr>
        <w:t>this</w:t>
      </w:r>
      <w:r w:rsidRPr="00031381">
        <w:rPr>
          <w:rFonts w:ascii="Garamond" w:hAnsi="Garamond"/>
          <w:sz w:val="22"/>
          <w:szCs w:val="22"/>
        </w:rPr>
        <w:t xml:space="preserve"> way, spread out my fingers to </w:t>
      </w:r>
      <w:r w:rsidRPr="00031381">
        <w:rPr>
          <w:rFonts w:ascii="Garamond" w:hAnsi="Garamond"/>
          <w:i/>
          <w:iCs/>
          <w:sz w:val="22"/>
          <w:szCs w:val="22"/>
        </w:rPr>
        <w:t>this</w:t>
      </w:r>
      <w:r w:rsidRPr="00031381">
        <w:rPr>
          <w:rFonts w:ascii="Garamond" w:hAnsi="Garamond"/>
          <w:sz w:val="22"/>
          <w:szCs w:val="22"/>
        </w:rPr>
        <w:t xml:space="preserve"> extent, close my hand </w:t>
      </w:r>
      <w:proofErr w:type="gramStart"/>
      <w:r w:rsidRPr="00031381">
        <w:rPr>
          <w:rFonts w:ascii="Garamond" w:hAnsi="Garamond"/>
          <w:sz w:val="22"/>
          <w:szCs w:val="22"/>
        </w:rPr>
        <w:t>at</w:t>
      </w:r>
      <w:r w:rsidRPr="00031381">
        <w:rPr>
          <w:rFonts w:ascii="Garamond" w:hAnsi="Garamond"/>
          <w:i/>
          <w:iCs/>
          <w:sz w:val="22"/>
          <w:szCs w:val="22"/>
        </w:rPr>
        <w:t xml:space="preserve"> this </w:t>
      </w:r>
      <w:r w:rsidRPr="00031381">
        <w:rPr>
          <w:rFonts w:ascii="Garamond" w:hAnsi="Garamond"/>
          <w:sz w:val="22"/>
          <w:szCs w:val="22"/>
        </w:rPr>
        <w:t>point in time</w:t>
      </w:r>
      <w:proofErr w:type="gramEnd"/>
      <w:r w:rsidRPr="00031381">
        <w:rPr>
          <w:rFonts w:ascii="Garamond" w:hAnsi="Garamond"/>
          <w:sz w:val="22"/>
          <w:szCs w:val="22"/>
        </w:rPr>
        <w:t xml:space="preserve">, etc. In short, my intention to catch the ball does not contain a maximally fine-grained description of my arm’s motions but is </w:t>
      </w:r>
      <w:proofErr w:type="gramStart"/>
      <w:r w:rsidRPr="00031381">
        <w:rPr>
          <w:rFonts w:ascii="Garamond" w:hAnsi="Garamond"/>
          <w:sz w:val="22"/>
          <w:szCs w:val="22"/>
        </w:rPr>
        <w:t>more or less general</w:t>
      </w:r>
      <w:proofErr w:type="gramEnd"/>
      <w:r w:rsidRPr="00031381">
        <w:rPr>
          <w:rFonts w:ascii="Garamond" w:hAnsi="Garamond"/>
          <w:sz w:val="22"/>
          <w:szCs w:val="22"/>
        </w:rPr>
        <w:t xml:space="preserve"> (</w:t>
      </w:r>
      <w:proofErr w:type="spellStart"/>
      <w:r w:rsidRPr="00031381">
        <w:rPr>
          <w:rFonts w:ascii="Garamond" w:hAnsi="Garamond"/>
          <w:sz w:val="22"/>
          <w:szCs w:val="22"/>
        </w:rPr>
        <w:t>Valaris</w:t>
      </w:r>
      <w:proofErr w:type="spellEnd"/>
      <w:r w:rsidRPr="00031381">
        <w:rPr>
          <w:rFonts w:ascii="Garamond" w:hAnsi="Garamond"/>
          <w:sz w:val="22"/>
          <w:szCs w:val="22"/>
        </w:rPr>
        <w:t xml:space="preserve"> 2020b: 3401-3). However, if that is so, then how do we get from a mental state with </w:t>
      </w:r>
      <w:r w:rsidRPr="00031381">
        <w:rPr>
          <w:rFonts w:ascii="Garamond" w:hAnsi="Garamond"/>
          <w:i/>
          <w:iCs/>
          <w:sz w:val="22"/>
          <w:szCs w:val="22"/>
        </w:rPr>
        <w:t>general</w:t>
      </w:r>
      <w:r w:rsidRPr="00031381">
        <w:rPr>
          <w:rFonts w:ascii="Garamond" w:hAnsi="Garamond"/>
          <w:sz w:val="22"/>
          <w:szCs w:val="22"/>
        </w:rPr>
        <w:t xml:space="preserve"> content to the </w:t>
      </w:r>
      <w:r w:rsidRPr="00031381">
        <w:rPr>
          <w:rFonts w:ascii="Garamond" w:hAnsi="Garamond"/>
          <w:i/>
          <w:iCs/>
          <w:sz w:val="22"/>
          <w:szCs w:val="22"/>
        </w:rPr>
        <w:t>particular</w:t>
      </w:r>
      <w:r w:rsidRPr="00031381">
        <w:rPr>
          <w:rFonts w:ascii="Garamond" w:hAnsi="Garamond"/>
          <w:sz w:val="22"/>
          <w:szCs w:val="22"/>
        </w:rPr>
        <w:t xml:space="preserve"> action of catching this ball, </w:t>
      </w:r>
      <w:proofErr w:type="gramStart"/>
      <w:r w:rsidRPr="00031381">
        <w:rPr>
          <w:rFonts w:ascii="Garamond" w:hAnsi="Garamond"/>
          <w:sz w:val="22"/>
          <w:szCs w:val="22"/>
        </w:rPr>
        <w:t>at this time</w:t>
      </w:r>
      <w:proofErr w:type="gramEnd"/>
      <w:r w:rsidRPr="00031381">
        <w:rPr>
          <w:rFonts w:ascii="Garamond" w:hAnsi="Garamond"/>
          <w:sz w:val="22"/>
          <w:szCs w:val="22"/>
        </w:rPr>
        <w:t xml:space="preserve">, under these conditions? In a similar vein, how do we get from my general knowledge-how to catch balls to the </w:t>
      </w:r>
      <w:proofErr w:type="gramStart"/>
      <w:r w:rsidRPr="00031381">
        <w:rPr>
          <w:rFonts w:ascii="Garamond" w:hAnsi="Garamond"/>
          <w:sz w:val="22"/>
          <w:szCs w:val="22"/>
        </w:rPr>
        <w:t>particular expression</w:t>
      </w:r>
      <w:proofErr w:type="gramEnd"/>
      <w:r w:rsidRPr="00031381">
        <w:rPr>
          <w:rFonts w:ascii="Garamond" w:hAnsi="Garamond"/>
          <w:sz w:val="22"/>
          <w:szCs w:val="22"/>
        </w:rPr>
        <w:t xml:space="preserve"> of it in</w:t>
      </w:r>
      <w:r w:rsidRPr="00031381">
        <w:rPr>
          <w:rFonts w:ascii="Garamond" w:hAnsi="Garamond"/>
          <w:i/>
          <w:iCs/>
          <w:sz w:val="22"/>
          <w:szCs w:val="22"/>
        </w:rPr>
        <w:t xml:space="preserve"> this</w:t>
      </w:r>
      <w:r w:rsidRPr="00031381">
        <w:rPr>
          <w:rFonts w:ascii="Garamond" w:hAnsi="Garamond"/>
          <w:sz w:val="22"/>
          <w:szCs w:val="22"/>
        </w:rPr>
        <w:t xml:space="preserve"> action of catching a ball? There is a gap here between the agent’s mental states that are supposed to specify which action occurs and the action that occurs, and it is not obvious how we can bridge the gap.</w:t>
      </w:r>
      <w:r w:rsidRPr="00031381">
        <w:rPr>
          <w:rStyle w:val="FootnoteAnchor"/>
          <w:rFonts w:ascii="Garamond" w:hAnsi="Garamond"/>
          <w:sz w:val="22"/>
          <w:szCs w:val="22"/>
        </w:rPr>
        <w:footnoteReference w:id="38"/>
      </w:r>
    </w:p>
    <w:p w14:paraId="52951CA1" w14:textId="77777777" w:rsidR="00120BCE" w:rsidRPr="00031381" w:rsidRDefault="00120BCE">
      <w:pPr>
        <w:spacing w:line="360" w:lineRule="auto"/>
        <w:rPr>
          <w:rFonts w:ascii="Garamond" w:hAnsi="Garamond"/>
          <w:sz w:val="22"/>
          <w:szCs w:val="22"/>
        </w:rPr>
      </w:pPr>
    </w:p>
    <w:p w14:paraId="3D7838AF" w14:textId="77777777" w:rsidR="00120BCE" w:rsidRPr="00031381" w:rsidRDefault="00000000">
      <w:pPr>
        <w:spacing w:line="360" w:lineRule="auto"/>
        <w:rPr>
          <w:rFonts w:ascii="Garamond" w:eastAsia="Times New Roman" w:hAnsi="Garamond"/>
          <w:sz w:val="22"/>
          <w:szCs w:val="22"/>
        </w:rPr>
      </w:pPr>
      <w:r w:rsidRPr="00031381">
        <w:rPr>
          <w:rFonts w:ascii="Garamond" w:hAnsi="Garamond"/>
          <w:sz w:val="22"/>
          <w:szCs w:val="22"/>
        </w:rPr>
        <w:t xml:space="preserve">One way to approach this problem – dare I say, a </w:t>
      </w:r>
      <w:proofErr w:type="spellStart"/>
      <w:r w:rsidRPr="00031381">
        <w:rPr>
          <w:rFonts w:ascii="Garamond" w:hAnsi="Garamond"/>
          <w:i/>
          <w:iCs/>
          <w:sz w:val="22"/>
          <w:szCs w:val="22"/>
        </w:rPr>
        <w:t>Mencian</w:t>
      </w:r>
      <w:proofErr w:type="spellEnd"/>
      <w:r w:rsidRPr="00031381">
        <w:rPr>
          <w:rFonts w:ascii="Garamond" w:hAnsi="Garamond"/>
          <w:sz w:val="22"/>
          <w:szCs w:val="22"/>
        </w:rPr>
        <w:t xml:space="preserve"> way – is to deny that the intelligence of actions is derived from causally antecedent mental states.</w:t>
      </w:r>
      <w:r w:rsidRPr="00031381">
        <w:rPr>
          <w:rStyle w:val="FootnoteAnchor"/>
          <w:rFonts w:ascii="Garamond" w:hAnsi="Garamond"/>
          <w:sz w:val="22"/>
          <w:szCs w:val="22"/>
        </w:rPr>
        <w:footnoteReference w:id="39"/>
      </w:r>
      <w:r w:rsidRPr="00031381">
        <w:rPr>
          <w:rFonts w:ascii="Garamond" w:hAnsi="Garamond"/>
          <w:sz w:val="22"/>
          <w:szCs w:val="22"/>
        </w:rPr>
        <w:t xml:space="preserve"> If I am right that there are instances of knowing-to in the </w:t>
      </w:r>
      <w:r w:rsidRPr="00031381">
        <w:rPr>
          <w:rFonts w:ascii="Garamond" w:hAnsi="Garamond"/>
          <w:i/>
          <w:iCs/>
          <w:sz w:val="22"/>
          <w:szCs w:val="22"/>
        </w:rPr>
        <w:t>Mencius</w:t>
      </w:r>
      <w:r w:rsidRPr="00031381">
        <w:rPr>
          <w:rFonts w:ascii="Garamond" w:hAnsi="Garamond"/>
          <w:sz w:val="22"/>
          <w:szCs w:val="22"/>
        </w:rPr>
        <w:t xml:space="preserve">, then what this suggests is that an action is intelligent because it manifests the agent’s knowing </w:t>
      </w:r>
      <w:r w:rsidRPr="00031381">
        <w:rPr>
          <w:rFonts w:ascii="Garamond" w:hAnsi="Garamond"/>
          <w:i/>
          <w:iCs/>
          <w:sz w:val="22"/>
          <w:szCs w:val="22"/>
        </w:rPr>
        <w:t>in</w:t>
      </w:r>
      <w:r w:rsidRPr="00031381">
        <w:rPr>
          <w:rFonts w:ascii="Garamond" w:hAnsi="Garamond"/>
          <w:sz w:val="22"/>
          <w:szCs w:val="22"/>
        </w:rPr>
        <w:t xml:space="preserve"> the action. The agent knows that performing</w:t>
      </w:r>
      <w:r w:rsidRPr="00031381">
        <w:rPr>
          <w:rFonts w:ascii="Garamond" w:hAnsi="Garamond"/>
          <w:i/>
          <w:iCs/>
          <w:sz w:val="22"/>
          <w:szCs w:val="22"/>
        </w:rPr>
        <w:t xml:space="preserve"> these</w:t>
      </w:r>
      <w:r w:rsidRPr="00031381">
        <w:rPr>
          <w:rFonts w:ascii="Garamond" w:hAnsi="Garamond"/>
          <w:sz w:val="22"/>
          <w:szCs w:val="22"/>
        </w:rPr>
        <w:t xml:space="preserve"> movements is a way</w:t>
      </w:r>
      <w:r w:rsidRPr="00031381">
        <w:rPr>
          <w:rFonts w:ascii="Garamond" w:hAnsi="Garamond"/>
          <w:i/>
          <w:iCs/>
          <w:sz w:val="22"/>
          <w:szCs w:val="22"/>
        </w:rPr>
        <w:t xml:space="preserve"> </w:t>
      </w:r>
      <w:r w:rsidRPr="00031381">
        <w:rPr>
          <w:rFonts w:ascii="Garamond" w:hAnsi="Garamond"/>
          <w:sz w:val="22"/>
          <w:szCs w:val="22"/>
        </w:rPr>
        <w:t xml:space="preserve">for her to </w:t>
      </w:r>
      <w:r w:rsidRPr="00031381">
        <w:rPr>
          <w:rFonts w:ascii="Garamond" w:hAnsi="Garamond"/>
          <w:i/>
          <w:iCs/>
          <w:sz w:val="22"/>
          <w:szCs w:val="22"/>
        </w:rPr>
        <w:t>φ</w:t>
      </w:r>
      <w:r w:rsidRPr="00031381">
        <w:rPr>
          <w:rFonts w:ascii="Garamond" w:hAnsi="Garamond"/>
          <w:sz w:val="22"/>
          <w:szCs w:val="22"/>
        </w:rPr>
        <w:t xml:space="preserve">, and she knows it </w:t>
      </w:r>
      <w:r w:rsidRPr="00031381">
        <w:rPr>
          <w:rFonts w:ascii="Garamond" w:hAnsi="Garamond"/>
          <w:i/>
          <w:iCs/>
          <w:sz w:val="22"/>
          <w:szCs w:val="22"/>
        </w:rPr>
        <w:t>as</w:t>
      </w:r>
      <w:r w:rsidRPr="00031381">
        <w:rPr>
          <w:rFonts w:ascii="Garamond" w:hAnsi="Garamond"/>
          <w:sz w:val="22"/>
          <w:szCs w:val="22"/>
        </w:rPr>
        <w:t xml:space="preserve"> she is </w:t>
      </w:r>
      <w:r w:rsidRPr="00031381">
        <w:rPr>
          <w:rFonts w:ascii="Garamond" w:hAnsi="Garamond"/>
          <w:i/>
          <w:iCs/>
          <w:sz w:val="22"/>
          <w:szCs w:val="22"/>
        </w:rPr>
        <w:t>φ</w:t>
      </w:r>
      <w:r w:rsidRPr="00031381">
        <w:rPr>
          <w:rFonts w:ascii="Garamond" w:hAnsi="Garamond"/>
          <w:sz w:val="22"/>
          <w:szCs w:val="22"/>
        </w:rPr>
        <w:t>-</w:t>
      </w:r>
      <w:proofErr w:type="spellStart"/>
      <w:r w:rsidRPr="00031381">
        <w:rPr>
          <w:rFonts w:ascii="Garamond" w:hAnsi="Garamond"/>
          <w:sz w:val="22"/>
          <w:szCs w:val="22"/>
        </w:rPr>
        <w:t>ing</w:t>
      </w:r>
      <w:proofErr w:type="spellEnd"/>
      <w:r w:rsidRPr="00031381">
        <w:rPr>
          <w:rFonts w:ascii="Garamond" w:hAnsi="Garamond"/>
          <w:sz w:val="22"/>
          <w:szCs w:val="22"/>
        </w:rPr>
        <w:t xml:space="preserve"> – not</w:t>
      </w:r>
      <w:r w:rsidRPr="00031381">
        <w:rPr>
          <w:rFonts w:ascii="Garamond" w:hAnsi="Garamond"/>
          <w:i/>
          <w:iCs/>
          <w:sz w:val="22"/>
          <w:szCs w:val="22"/>
        </w:rPr>
        <w:t xml:space="preserve"> before</w:t>
      </w:r>
      <w:r w:rsidRPr="00031381">
        <w:rPr>
          <w:rFonts w:ascii="Garamond" w:hAnsi="Garamond"/>
          <w:sz w:val="22"/>
          <w:szCs w:val="22"/>
        </w:rPr>
        <w:t xml:space="preserve"> she is</w:t>
      </w:r>
      <w:r w:rsidRPr="00031381">
        <w:rPr>
          <w:rFonts w:ascii="Garamond" w:hAnsi="Garamond"/>
          <w:i/>
          <w:iCs/>
          <w:sz w:val="22"/>
          <w:szCs w:val="22"/>
        </w:rPr>
        <w:t xml:space="preserve"> φ</w:t>
      </w:r>
      <w:r w:rsidRPr="00031381">
        <w:rPr>
          <w:rFonts w:ascii="Garamond" w:hAnsi="Garamond"/>
          <w:sz w:val="22"/>
          <w:szCs w:val="22"/>
        </w:rPr>
        <w:t>-</w:t>
      </w:r>
      <w:proofErr w:type="spellStart"/>
      <w:r w:rsidRPr="00031381">
        <w:rPr>
          <w:rFonts w:ascii="Garamond" w:hAnsi="Garamond"/>
          <w:sz w:val="22"/>
          <w:szCs w:val="22"/>
        </w:rPr>
        <w:t>ing</w:t>
      </w:r>
      <w:proofErr w:type="spellEnd"/>
      <w:r w:rsidRPr="00031381">
        <w:rPr>
          <w:rFonts w:ascii="Garamond" w:hAnsi="Garamond"/>
          <w:sz w:val="22"/>
          <w:szCs w:val="22"/>
        </w:rPr>
        <w:t xml:space="preserve">. The intelligence of her action is explained by the fact that she </w:t>
      </w:r>
      <w:r w:rsidRPr="00031381">
        <w:rPr>
          <w:rFonts w:ascii="Garamond" w:hAnsi="Garamond"/>
          <w:i/>
          <w:iCs/>
          <w:sz w:val="22"/>
          <w:szCs w:val="22"/>
        </w:rPr>
        <w:t>knows</w:t>
      </w:r>
      <w:r w:rsidRPr="00031381">
        <w:rPr>
          <w:rFonts w:ascii="Garamond" w:hAnsi="Garamond"/>
          <w:sz w:val="22"/>
          <w:szCs w:val="22"/>
        </w:rPr>
        <w:t xml:space="preserve"> what she is doing </w:t>
      </w:r>
      <w:r w:rsidRPr="00031381">
        <w:rPr>
          <w:rFonts w:ascii="Garamond" w:hAnsi="Garamond"/>
          <w:i/>
          <w:iCs/>
          <w:sz w:val="22"/>
          <w:szCs w:val="22"/>
        </w:rPr>
        <w:t>as</w:t>
      </w:r>
      <w:r w:rsidRPr="00031381">
        <w:rPr>
          <w:rFonts w:ascii="Garamond" w:hAnsi="Garamond"/>
          <w:sz w:val="22"/>
          <w:szCs w:val="22"/>
        </w:rPr>
        <w:t xml:space="preserve"> she is doing it, whereas a novice can merely hope that</w:t>
      </w:r>
      <w:r w:rsidRPr="00031381">
        <w:rPr>
          <w:rFonts w:ascii="Garamond" w:hAnsi="Garamond"/>
          <w:i/>
          <w:iCs/>
          <w:sz w:val="22"/>
          <w:szCs w:val="22"/>
        </w:rPr>
        <w:t xml:space="preserve"> </w:t>
      </w:r>
      <w:r w:rsidRPr="00031381">
        <w:rPr>
          <w:rFonts w:ascii="Garamond" w:hAnsi="Garamond"/>
          <w:sz w:val="22"/>
          <w:szCs w:val="22"/>
        </w:rPr>
        <w:t xml:space="preserve">what she is doing is a way for her to </w:t>
      </w:r>
      <w:r w:rsidRPr="00031381">
        <w:rPr>
          <w:rFonts w:ascii="Garamond" w:hAnsi="Garamond"/>
          <w:i/>
          <w:iCs/>
          <w:sz w:val="22"/>
          <w:szCs w:val="22"/>
        </w:rPr>
        <w:t>φ</w:t>
      </w:r>
      <w:r w:rsidRPr="00031381">
        <w:rPr>
          <w:rFonts w:ascii="Garamond" w:hAnsi="Garamond"/>
          <w:sz w:val="22"/>
          <w:szCs w:val="22"/>
        </w:rPr>
        <w:t>. This point can be further developed in various ways, for example, in terms of the expert performer having demonstrative knowledge of what she is doing (</w:t>
      </w:r>
      <w:proofErr w:type="spellStart"/>
      <w:r w:rsidRPr="00031381">
        <w:rPr>
          <w:rFonts w:ascii="Garamond" w:hAnsi="Garamond"/>
          <w:sz w:val="22"/>
          <w:szCs w:val="22"/>
        </w:rPr>
        <w:t>Valaris</w:t>
      </w:r>
      <w:proofErr w:type="spellEnd"/>
      <w:r w:rsidRPr="00031381">
        <w:rPr>
          <w:rFonts w:ascii="Garamond" w:hAnsi="Garamond"/>
          <w:sz w:val="22"/>
          <w:szCs w:val="22"/>
        </w:rPr>
        <w:t xml:space="preserve"> 2020a; 2020b)</w:t>
      </w:r>
      <w:r w:rsidRPr="00031381">
        <w:rPr>
          <w:rStyle w:val="FootnoteAnchor"/>
          <w:rFonts w:ascii="Garamond" w:hAnsi="Garamond"/>
          <w:sz w:val="22"/>
          <w:szCs w:val="22"/>
        </w:rPr>
        <w:footnoteReference w:id="40"/>
      </w:r>
      <w:r w:rsidRPr="00031381">
        <w:rPr>
          <w:rFonts w:ascii="Garamond" w:hAnsi="Garamond"/>
          <w:sz w:val="22"/>
          <w:szCs w:val="22"/>
        </w:rPr>
        <w:t xml:space="preserve"> or in terms of a special kind of knowledge of answers to embedded questions (Farkas 2017), but either way, there is a lot of potential for a </w:t>
      </w:r>
      <w:proofErr w:type="spellStart"/>
      <w:r w:rsidRPr="00031381">
        <w:rPr>
          <w:rFonts w:ascii="Garamond" w:hAnsi="Garamond"/>
          <w:sz w:val="22"/>
          <w:szCs w:val="22"/>
        </w:rPr>
        <w:t>Mencian</w:t>
      </w:r>
      <w:proofErr w:type="spellEnd"/>
      <w:r w:rsidRPr="00031381">
        <w:rPr>
          <w:rFonts w:ascii="Garamond" w:hAnsi="Garamond"/>
          <w:sz w:val="22"/>
          <w:szCs w:val="22"/>
        </w:rPr>
        <w:t xml:space="preserve"> notion of knowledge to contribute to contemporary philosophical debates.</w:t>
      </w:r>
    </w:p>
    <w:p w14:paraId="48237681" w14:textId="77777777" w:rsidR="00120BCE" w:rsidRPr="00031381" w:rsidRDefault="00120BCE">
      <w:pPr>
        <w:spacing w:line="360" w:lineRule="auto"/>
        <w:rPr>
          <w:rFonts w:ascii="Garamond" w:eastAsia="Times New Roman" w:hAnsi="Garamond"/>
          <w:sz w:val="22"/>
          <w:szCs w:val="22"/>
        </w:rPr>
      </w:pPr>
    </w:p>
    <w:p w14:paraId="1386000B" w14:textId="77777777" w:rsidR="00120BCE" w:rsidRPr="00031381" w:rsidRDefault="00000000">
      <w:pPr>
        <w:spacing w:line="360" w:lineRule="auto"/>
        <w:rPr>
          <w:rFonts w:ascii="Garamond" w:hAnsi="Garamond"/>
          <w:b/>
          <w:bCs/>
          <w:sz w:val="22"/>
          <w:szCs w:val="22"/>
        </w:rPr>
      </w:pPr>
      <w:r w:rsidRPr="00031381">
        <w:rPr>
          <w:rFonts w:ascii="Garamond" w:hAnsi="Garamond"/>
          <w:b/>
          <w:bCs/>
          <w:sz w:val="22"/>
          <w:szCs w:val="22"/>
        </w:rPr>
        <w:t>5. Conclusion</w:t>
      </w:r>
    </w:p>
    <w:p w14:paraId="16BC5CEC" w14:textId="77777777" w:rsidR="00120BCE" w:rsidRPr="00031381" w:rsidRDefault="00120BCE">
      <w:pPr>
        <w:spacing w:line="360" w:lineRule="auto"/>
        <w:rPr>
          <w:rFonts w:ascii="Garamond" w:eastAsia="Times New Roman" w:hAnsi="Garamond"/>
          <w:sz w:val="22"/>
          <w:szCs w:val="22"/>
        </w:rPr>
      </w:pPr>
    </w:p>
    <w:p w14:paraId="534582AE"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My purpose in this chapter is to draw attention to the fact that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despite not being an epistemological treatise, contains much that can be of interest to contemporary epistemologists. To do this, I have focused on three </w:t>
      </w:r>
      <w:proofErr w:type="gramStart"/>
      <w:r w:rsidRPr="00031381">
        <w:rPr>
          <w:rFonts w:ascii="Garamond" w:eastAsia="Times New Roman" w:hAnsi="Garamond"/>
          <w:sz w:val="22"/>
          <w:szCs w:val="22"/>
        </w:rPr>
        <w:t>points in particular</w:t>
      </w:r>
      <w:proofErr w:type="gramEnd"/>
      <w:r w:rsidRPr="00031381">
        <w:rPr>
          <w:rFonts w:ascii="Garamond" w:eastAsia="Times New Roman" w:hAnsi="Garamond"/>
          <w:sz w:val="22"/>
          <w:szCs w:val="22"/>
        </w:rPr>
        <w:t xml:space="preserve">. </w:t>
      </w:r>
    </w:p>
    <w:p w14:paraId="2CB328DA" w14:textId="77777777" w:rsidR="00120BCE" w:rsidRPr="00031381" w:rsidRDefault="00120BCE">
      <w:pPr>
        <w:spacing w:line="360" w:lineRule="auto"/>
        <w:rPr>
          <w:rFonts w:ascii="Garamond" w:eastAsia="Times New Roman" w:hAnsi="Garamond"/>
          <w:sz w:val="22"/>
          <w:szCs w:val="22"/>
        </w:rPr>
      </w:pPr>
    </w:p>
    <w:p w14:paraId="7032EC4A"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lastRenderedPageBreak/>
        <w:t xml:space="preserve">First, I have proposed that Mencius’s view on </w:t>
      </w:r>
      <w:r w:rsidRPr="00031381">
        <w:rPr>
          <w:rFonts w:ascii="Garamond" w:eastAsia="Times New Roman" w:hAnsi="Garamond"/>
          <w:i/>
          <w:iCs/>
          <w:sz w:val="22"/>
          <w:szCs w:val="22"/>
        </w:rPr>
        <w:t>knowing things</w:t>
      </w:r>
      <w:r w:rsidRPr="00031381">
        <w:rPr>
          <w:rFonts w:ascii="Garamond" w:eastAsia="Times New Roman" w:hAnsi="Garamond"/>
          <w:sz w:val="22"/>
          <w:szCs w:val="22"/>
        </w:rPr>
        <w:t xml:space="preserve"> amounts to knowing-how to act in related ways, and I have given a preliminary defense of it against the objection that, sometimes, knowing things seems to amount to having propositional knowledge of the relevant things being such-and-such. This suggests a novel approach to objectual knowledge – what I have called a </w:t>
      </w:r>
      <w:proofErr w:type="spellStart"/>
      <w:r w:rsidRPr="00031381">
        <w:rPr>
          <w:rFonts w:ascii="Garamond" w:eastAsia="Times New Roman" w:hAnsi="Garamond"/>
          <w:i/>
          <w:iCs/>
          <w:sz w:val="22"/>
          <w:szCs w:val="22"/>
        </w:rPr>
        <w:t>practicalist</w:t>
      </w:r>
      <w:proofErr w:type="spellEnd"/>
      <w:r w:rsidRPr="00031381">
        <w:rPr>
          <w:rFonts w:ascii="Garamond" w:eastAsia="Times New Roman" w:hAnsi="Garamond"/>
          <w:i/>
          <w:iCs/>
          <w:sz w:val="22"/>
          <w:szCs w:val="22"/>
        </w:rPr>
        <w:t xml:space="preserve"> </w:t>
      </w:r>
      <w:r w:rsidRPr="00031381">
        <w:rPr>
          <w:rFonts w:ascii="Garamond" w:eastAsia="Times New Roman" w:hAnsi="Garamond"/>
          <w:sz w:val="22"/>
          <w:szCs w:val="22"/>
        </w:rPr>
        <w:t>account of objectual knowledge.</w:t>
      </w:r>
    </w:p>
    <w:p w14:paraId="6C9FBC74" w14:textId="77777777" w:rsidR="00120BCE" w:rsidRPr="00031381" w:rsidRDefault="00120BCE">
      <w:pPr>
        <w:spacing w:line="360" w:lineRule="auto"/>
        <w:rPr>
          <w:rFonts w:ascii="Garamond" w:eastAsia="Times New Roman" w:hAnsi="Garamond"/>
          <w:sz w:val="22"/>
          <w:szCs w:val="22"/>
        </w:rPr>
      </w:pPr>
    </w:p>
    <w:p w14:paraId="470DABCC"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Second, I have argued that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stands in a relation to knowledge in a way that is illuminatingly different to the way in which contemporary virtue epistemologists would conceive of it. More specifically, Mencius </w:t>
      </w:r>
      <w:r w:rsidRPr="00031381">
        <w:rPr>
          <w:rFonts w:ascii="Garamond" w:hAnsi="Garamond"/>
          <w:sz w:val="22"/>
          <w:szCs w:val="22"/>
        </w:rPr>
        <w:t>would agree with many virtue epistemologists that exercising intellectual virtue is necessary for acquiring knowledge, but he would disagree that knowledge is partly defined by the exercise of intellectual virtue. This suggests an account of what makes a capacity an intellectual virtue that is functionally distinct from many contemporary views on intellectual virtue.</w:t>
      </w:r>
    </w:p>
    <w:p w14:paraId="72847C1C" w14:textId="77777777" w:rsidR="00120BCE" w:rsidRPr="00031381" w:rsidRDefault="00120BCE">
      <w:pPr>
        <w:spacing w:line="360" w:lineRule="auto"/>
        <w:rPr>
          <w:rFonts w:ascii="Garamond" w:eastAsia="Times New Roman" w:hAnsi="Garamond"/>
          <w:sz w:val="22"/>
          <w:szCs w:val="22"/>
        </w:rPr>
      </w:pPr>
    </w:p>
    <w:p w14:paraId="5F9A378E"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Third, I have proposed that we find in the </w:t>
      </w:r>
      <w:r w:rsidRPr="00031381">
        <w:rPr>
          <w:rFonts w:ascii="Garamond" w:eastAsia="Times New Roman" w:hAnsi="Garamond"/>
          <w:i/>
          <w:iCs/>
          <w:sz w:val="22"/>
          <w:szCs w:val="22"/>
        </w:rPr>
        <w:t>Mencius</w:t>
      </w:r>
      <w:r w:rsidRPr="00031381">
        <w:rPr>
          <w:rFonts w:ascii="Garamond" w:eastAsia="Times New Roman" w:hAnsi="Garamond"/>
          <w:sz w:val="22"/>
          <w:szCs w:val="22"/>
        </w:rPr>
        <w:t xml:space="preserve"> attributions of a kind of knowledge that differs conceptually from those familiar to contemporary epistemologists. That is, there is textual evidence that Mencius sometimes uses the notion of </w:t>
      </w:r>
      <w:r w:rsidRPr="00031381">
        <w:rPr>
          <w:rFonts w:ascii="Garamond" w:eastAsia="Times New Roman" w:hAnsi="Garamond"/>
          <w:i/>
          <w:iCs/>
          <w:sz w:val="22"/>
          <w:szCs w:val="22"/>
        </w:rPr>
        <w:t>knowing-to</w:t>
      </w:r>
      <w:r w:rsidRPr="00031381">
        <w:rPr>
          <w:rFonts w:ascii="Garamond" w:eastAsia="Times New Roman" w:hAnsi="Garamond"/>
          <w:sz w:val="22"/>
          <w:szCs w:val="22"/>
        </w:rPr>
        <w:t>. This has potential to offer a novel approach to the question of what makes an action intelligent and what it takes to put one’s knowledge into practice.</w:t>
      </w:r>
    </w:p>
    <w:p w14:paraId="3A522651" w14:textId="77777777" w:rsidR="00120BCE" w:rsidRPr="00031381" w:rsidRDefault="00120BCE">
      <w:pPr>
        <w:spacing w:line="360" w:lineRule="auto"/>
        <w:rPr>
          <w:rFonts w:ascii="Garamond" w:eastAsia="Times New Roman" w:hAnsi="Garamond"/>
          <w:sz w:val="22"/>
          <w:szCs w:val="22"/>
        </w:rPr>
      </w:pPr>
    </w:p>
    <w:p w14:paraId="7C94C232"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I conclude this chapter by briefly considering the relation between these three aspects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epistemology. It is by exercising intellectual virtue that we come to know-that p, know-how to </w:t>
      </w:r>
      <w:r w:rsidRPr="00031381">
        <w:rPr>
          <w:rFonts w:ascii="Garamond" w:eastAsia="Times New Roman" w:hAnsi="Garamond"/>
          <w:i/>
          <w:iCs/>
          <w:sz w:val="22"/>
          <w:szCs w:val="22"/>
        </w:rPr>
        <w:t>φ</w:t>
      </w:r>
      <w:r w:rsidRPr="00031381">
        <w:rPr>
          <w:rFonts w:ascii="Garamond" w:eastAsia="Times New Roman" w:hAnsi="Garamond"/>
          <w:sz w:val="22"/>
          <w:szCs w:val="22"/>
        </w:rPr>
        <w:t xml:space="preserve">, and know things. Moreover, the epistemic relation we stand </w:t>
      </w:r>
      <w:proofErr w:type="gramStart"/>
      <w:r w:rsidRPr="00031381">
        <w:rPr>
          <w:rFonts w:ascii="Garamond" w:eastAsia="Times New Roman" w:hAnsi="Garamond"/>
          <w:sz w:val="22"/>
          <w:szCs w:val="22"/>
        </w:rPr>
        <w:t>in to</w:t>
      </w:r>
      <w:proofErr w:type="gramEnd"/>
      <w:r w:rsidRPr="00031381">
        <w:rPr>
          <w:rFonts w:ascii="Garamond" w:eastAsia="Times New Roman" w:hAnsi="Garamond"/>
          <w:sz w:val="22"/>
          <w:szCs w:val="22"/>
        </w:rPr>
        <w:t xml:space="preserve"> the actions we perform</w:t>
      </w:r>
      <w:r w:rsidRPr="00031381">
        <w:rPr>
          <w:rFonts w:ascii="Garamond" w:eastAsia="Times New Roman" w:hAnsi="Garamond"/>
          <w:i/>
          <w:iCs/>
          <w:sz w:val="22"/>
          <w:szCs w:val="22"/>
        </w:rPr>
        <w:t xml:space="preserve"> as</w:t>
      </w:r>
      <w:r w:rsidRPr="00031381">
        <w:rPr>
          <w:rFonts w:ascii="Garamond" w:eastAsia="Times New Roman" w:hAnsi="Garamond"/>
          <w:sz w:val="22"/>
          <w:szCs w:val="22"/>
        </w:rPr>
        <w:t xml:space="preserve"> we perform them</w:t>
      </w:r>
      <w:r w:rsidRPr="00031381">
        <w:rPr>
          <w:rFonts w:ascii="Garamond" w:eastAsia="Times New Roman" w:hAnsi="Garamond"/>
          <w:i/>
          <w:iCs/>
          <w:sz w:val="22"/>
          <w:szCs w:val="22"/>
        </w:rPr>
        <w:t xml:space="preserve"> </w:t>
      </w:r>
      <w:r w:rsidRPr="00031381">
        <w:rPr>
          <w:rFonts w:ascii="Garamond" w:eastAsia="Times New Roman" w:hAnsi="Garamond"/>
          <w:sz w:val="22"/>
          <w:szCs w:val="22"/>
        </w:rPr>
        <w:t>determines whether our actions are intelligent. In other words, by knowing-to do</w:t>
      </w:r>
      <w:r w:rsidRPr="00031381">
        <w:rPr>
          <w:rFonts w:ascii="Garamond" w:eastAsia="Times New Roman" w:hAnsi="Garamond"/>
          <w:i/>
          <w:iCs/>
          <w:sz w:val="22"/>
          <w:szCs w:val="22"/>
        </w:rPr>
        <w:t xml:space="preserve"> this</w:t>
      </w:r>
      <w:r w:rsidRPr="00031381">
        <w:rPr>
          <w:rFonts w:ascii="Garamond" w:eastAsia="Times New Roman" w:hAnsi="Garamond"/>
          <w:sz w:val="22"/>
          <w:szCs w:val="22"/>
        </w:rPr>
        <w:t>, where “this” is a way for me to</w:t>
      </w:r>
      <w:r w:rsidRPr="00031381">
        <w:rPr>
          <w:rFonts w:ascii="Garamond" w:eastAsia="Times New Roman" w:hAnsi="Garamond"/>
          <w:i/>
          <w:iCs/>
          <w:sz w:val="22"/>
          <w:szCs w:val="22"/>
        </w:rPr>
        <w:t xml:space="preserve"> φ</w:t>
      </w:r>
      <w:r w:rsidRPr="00031381">
        <w:rPr>
          <w:rFonts w:ascii="Garamond" w:eastAsia="Times New Roman" w:hAnsi="Garamond"/>
          <w:sz w:val="22"/>
          <w:szCs w:val="22"/>
        </w:rPr>
        <w:t>, I put my</w:t>
      </w:r>
      <w:r w:rsidRPr="00031381">
        <w:rPr>
          <w:rFonts w:ascii="Garamond" w:eastAsia="Times New Roman" w:hAnsi="Garamond"/>
          <w:i/>
          <w:iCs/>
          <w:sz w:val="22"/>
          <w:szCs w:val="22"/>
        </w:rPr>
        <w:t xml:space="preserve"> φ</w:t>
      </w:r>
      <w:r w:rsidRPr="00031381">
        <w:rPr>
          <w:rFonts w:ascii="Garamond" w:eastAsia="Times New Roman" w:hAnsi="Garamond"/>
          <w:sz w:val="22"/>
          <w:szCs w:val="22"/>
        </w:rPr>
        <w:t>-related knowledge into practice. By knowing-to move my hands in</w:t>
      </w:r>
      <w:r w:rsidRPr="00031381">
        <w:rPr>
          <w:rFonts w:ascii="Garamond" w:eastAsia="Times New Roman" w:hAnsi="Garamond"/>
          <w:i/>
          <w:iCs/>
          <w:sz w:val="22"/>
          <w:szCs w:val="22"/>
        </w:rPr>
        <w:t xml:space="preserve"> these</w:t>
      </w:r>
      <w:r w:rsidRPr="00031381">
        <w:rPr>
          <w:rFonts w:ascii="Garamond" w:eastAsia="Times New Roman" w:hAnsi="Garamond"/>
          <w:sz w:val="22"/>
          <w:szCs w:val="22"/>
        </w:rPr>
        <w:t xml:space="preserve"> ways in </w:t>
      </w:r>
      <w:r w:rsidRPr="00031381">
        <w:rPr>
          <w:rFonts w:ascii="Garamond" w:eastAsia="Times New Roman" w:hAnsi="Garamond"/>
          <w:i/>
          <w:iCs/>
          <w:sz w:val="22"/>
          <w:szCs w:val="22"/>
        </w:rPr>
        <w:t xml:space="preserve">this </w:t>
      </w:r>
      <w:proofErr w:type="gramStart"/>
      <w:r w:rsidRPr="00031381">
        <w:rPr>
          <w:rFonts w:ascii="Garamond" w:eastAsia="Times New Roman" w:hAnsi="Garamond"/>
          <w:sz w:val="22"/>
          <w:szCs w:val="22"/>
        </w:rPr>
        <w:t>particular situation</w:t>
      </w:r>
      <w:proofErr w:type="gramEnd"/>
      <w:r w:rsidRPr="00031381">
        <w:rPr>
          <w:rFonts w:ascii="Garamond" w:eastAsia="Times New Roman" w:hAnsi="Garamond"/>
          <w:sz w:val="22"/>
          <w:szCs w:val="22"/>
        </w:rPr>
        <w:t>, I intelligently perform a ritual, thereby (e.g.) expressing my objectual knowledge of ritual in action.</w:t>
      </w:r>
    </w:p>
    <w:p w14:paraId="71EAF105" w14:textId="77777777" w:rsidR="00120BCE" w:rsidRPr="00031381" w:rsidRDefault="00120BCE">
      <w:pPr>
        <w:spacing w:line="360" w:lineRule="auto"/>
        <w:rPr>
          <w:rFonts w:ascii="Garamond" w:eastAsia="Times New Roman" w:hAnsi="Garamond"/>
          <w:sz w:val="22"/>
          <w:szCs w:val="22"/>
        </w:rPr>
      </w:pPr>
    </w:p>
    <w:p w14:paraId="5D2D4C91" w14:textId="77777777" w:rsidR="00120BCE" w:rsidRPr="00031381" w:rsidRDefault="00000000">
      <w:pPr>
        <w:spacing w:line="360" w:lineRule="auto"/>
        <w:rPr>
          <w:rFonts w:ascii="Garamond" w:eastAsia="Times New Roman" w:hAnsi="Garamond"/>
          <w:sz w:val="22"/>
          <w:szCs w:val="22"/>
        </w:rPr>
      </w:pPr>
      <w:r w:rsidRPr="00031381">
        <w:rPr>
          <w:rFonts w:ascii="Garamond" w:hAnsi="Garamond"/>
          <w:sz w:val="22"/>
          <w:szCs w:val="22"/>
        </w:rPr>
        <w:t xml:space="preserve">But the </w:t>
      </w:r>
      <w:proofErr w:type="spellStart"/>
      <w:r w:rsidRPr="00031381">
        <w:rPr>
          <w:rFonts w:ascii="Garamond" w:hAnsi="Garamond"/>
          <w:sz w:val="22"/>
          <w:szCs w:val="22"/>
        </w:rPr>
        <w:t>Mencian</w:t>
      </w:r>
      <w:proofErr w:type="spellEnd"/>
      <w:r w:rsidRPr="00031381">
        <w:rPr>
          <w:rFonts w:ascii="Garamond" w:hAnsi="Garamond"/>
          <w:sz w:val="22"/>
          <w:szCs w:val="22"/>
        </w:rPr>
        <w:t xml:space="preserve"> notion of knowing-to can also help explain how it is that an exercise of intellectual virtue produces knowledge. Suppose I </w:t>
      </w:r>
      <w:proofErr w:type="gramStart"/>
      <w:r w:rsidRPr="00031381">
        <w:rPr>
          <w:rFonts w:ascii="Garamond" w:hAnsi="Garamond"/>
          <w:sz w:val="22"/>
          <w:szCs w:val="22"/>
        </w:rPr>
        <w:t>come</w:t>
      </w:r>
      <w:proofErr w:type="gramEnd"/>
      <w:r w:rsidRPr="00031381">
        <w:rPr>
          <w:rFonts w:ascii="Garamond" w:hAnsi="Garamond"/>
          <w:sz w:val="22"/>
          <w:szCs w:val="22"/>
        </w:rPr>
        <w:t xml:space="preserve"> to know that King Wu defeated Zhou, the last king of the Shang Dynasty, at the Battle of </w:t>
      </w:r>
      <w:proofErr w:type="spellStart"/>
      <w:r w:rsidRPr="00031381">
        <w:rPr>
          <w:rFonts w:ascii="Garamond" w:hAnsi="Garamond"/>
          <w:sz w:val="22"/>
          <w:szCs w:val="22"/>
        </w:rPr>
        <w:t>Muye</w:t>
      </w:r>
      <w:proofErr w:type="spellEnd"/>
      <w:r w:rsidRPr="00031381">
        <w:rPr>
          <w:rFonts w:ascii="Garamond" w:hAnsi="Garamond"/>
          <w:sz w:val="22"/>
          <w:szCs w:val="22"/>
        </w:rPr>
        <w:t xml:space="preserve">, and I have done so by having studied the </w:t>
      </w:r>
      <w:r w:rsidRPr="00031381">
        <w:rPr>
          <w:rFonts w:ascii="Garamond" w:hAnsi="Garamond"/>
          <w:i/>
          <w:iCs/>
          <w:sz w:val="22"/>
          <w:szCs w:val="22"/>
        </w:rPr>
        <w:t>Book of Documents</w:t>
      </w:r>
      <w:r w:rsidRPr="00031381">
        <w:rPr>
          <w:rFonts w:ascii="Garamond" w:hAnsi="Garamond"/>
          <w:sz w:val="22"/>
          <w:szCs w:val="22"/>
        </w:rPr>
        <w:t xml:space="preserve">. What is written in the </w:t>
      </w:r>
      <w:r w:rsidRPr="00031381">
        <w:rPr>
          <w:rFonts w:ascii="Garamond" w:hAnsi="Garamond"/>
          <w:i/>
          <w:iCs/>
          <w:sz w:val="22"/>
          <w:szCs w:val="22"/>
        </w:rPr>
        <w:t>Book of Documents</w:t>
      </w:r>
      <w:r w:rsidRPr="00031381">
        <w:rPr>
          <w:rFonts w:ascii="Garamond" w:hAnsi="Garamond"/>
          <w:sz w:val="22"/>
          <w:szCs w:val="22"/>
        </w:rPr>
        <w:t xml:space="preserve"> provides me with evidence for the truth that King Wu defeated Zhou. But to be able to learn from the </w:t>
      </w:r>
      <w:r w:rsidRPr="00031381">
        <w:rPr>
          <w:rFonts w:ascii="Garamond" w:hAnsi="Garamond"/>
          <w:i/>
          <w:iCs/>
          <w:sz w:val="22"/>
          <w:szCs w:val="22"/>
        </w:rPr>
        <w:t>Book of Documents</w:t>
      </w:r>
      <w:r w:rsidRPr="00031381">
        <w:rPr>
          <w:rFonts w:ascii="Garamond" w:hAnsi="Garamond"/>
          <w:sz w:val="22"/>
          <w:szCs w:val="22"/>
        </w:rPr>
        <w:t xml:space="preserve">, I </w:t>
      </w:r>
      <w:proofErr w:type="gramStart"/>
      <w:r w:rsidRPr="00031381">
        <w:rPr>
          <w:rFonts w:ascii="Garamond" w:hAnsi="Garamond"/>
          <w:sz w:val="22"/>
          <w:szCs w:val="22"/>
        </w:rPr>
        <w:t>have to</w:t>
      </w:r>
      <w:proofErr w:type="gramEnd"/>
      <w:r w:rsidRPr="00031381">
        <w:rPr>
          <w:rFonts w:ascii="Garamond" w:hAnsi="Garamond"/>
          <w:sz w:val="22"/>
          <w:szCs w:val="22"/>
        </w:rPr>
        <w:t xml:space="preserve"> come equipped with a basic set of capacities, the least of which is my ability to read. And yet, as Mencius</w:t>
      </w:r>
      <w:r w:rsidRPr="00031381">
        <w:rPr>
          <w:rFonts w:ascii="Garamond" w:eastAsia="Times New Roman" w:hAnsi="Garamond"/>
          <w:sz w:val="22"/>
          <w:szCs w:val="22"/>
        </w:rPr>
        <w:t xml:space="preserve"> plausibly illustrates at 6A9, merely being capable of </w:t>
      </w:r>
      <w:proofErr w:type="gramStart"/>
      <w:r w:rsidRPr="00031381">
        <w:rPr>
          <w:rFonts w:ascii="Garamond" w:eastAsia="Times New Roman" w:hAnsi="Garamond"/>
          <w:sz w:val="22"/>
          <w:szCs w:val="22"/>
        </w:rPr>
        <w:t>coming to learn</w:t>
      </w:r>
      <w:proofErr w:type="gramEnd"/>
      <w:r w:rsidRPr="00031381">
        <w:rPr>
          <w:rFonts w:ascii="Garamond" w:eastAsia="Times New Roman" w:hAnsi="Garamond"/>
          <w:sz w:val="22"/>
          <w:szCs w:val="22"/>
        </w:rPr>
        <w:t xml:space="preserve"> how to play the boardgame </w:t>
      </w:r>
      <w:r w:rsidRPr="00031381">
        <w:rPr>
          <w:rFonts w:ascii="Garamond" w:hAnsi="Garamond"/>
          <w:sz w:val="22"/>
          <w:szCs w:val="22"/>
        </w:rPr>
        <w:t>Go</w:t>
      </w:r>
      <w:r w:rsidRPr="00031381">
        <w:rPr>
          <w:rFonts w:ascii="Garamond" w:eastAsia="Times New Roman" w:hAnsi="Garamond"/>
          <w:sz w:val="22"/>
          <w:szCs w:val="22"/>
        </w:rPr>
        <w:t xml:space="preserve"> does not guarantee that one will learn how to play it, even if one has access to teachers. Likewise, merely being capable of reading the</w:t>
      </w:r>
      <w:r w:rsidRPr="00031381">
        <w:rPr>
          <w:rFonts w:ascii="Garamond" w:eastAsia="Times New Roman" w:hAnsi="Garamond"/>
          <w:i/>
          <w:iCs/>
          <w:sz w:val="22"/>
          <w:szCs w:val="22"/>
        </w:rPr>
        <w:t xml:space="preserve"> Book of Documents </w:t>
      </w:r>
      <w:r w:rsidRPr="00031381">
        <w:rPr>
          <w:rFonts w:ascii="Garamond" w:eastAsia="Times New Roman" w:hAnsi="Garamond"/>
          <w:sz w:val="22"/>
          <w:szCs w:val="22"/>
        </w:rPr>
        <w:t xml:space="preserve">does not guarantee that I will read it, even if I have access to it. More is required. And here is where the notion of knowing-to comes in. </w:t>
      </w:r>
    </w:p>
    <w:p w14:paraId="2DDF4B57" w14:textId="77777777" w:rsidR="00120BCE" w:rsidRPr="00031381" w:rsidRDefault="00120BCE">
      <w:pPr>
        <w:spacing w:line="360" w:lineRule="auto"/>
        <w:rPr>
          <w:rFonts w:ascii="Garamond" w:eastAsia="Times New Roman" w:hAnsi="Garamond"/>
          <w:sz w:val="22"/>
          <w:szCs w:val="22"/>
        </w:rPr>
      </w:pPr>
    </w:p>
    <w:p w14:paraId="6A5A1B53"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The student who intends to learn how to play</w:t>
      </w:r>
      <w:r w:rsidRPr="00031381">
        <w:rPr>
          <w:rFonts w:ascii="Garamond" w:hAnsi="Garamond"/>
          <w:i/>
          <w:iCs/>
          <w:sz w:val="22"/>
          <w:szCs w:val="22"/>
        </w:rPr>
        <w:t xml:space="preserve"> </w:t>
      </w:r>
      <w:r w:rsidRPr="00031381">
        <w:rPr>
          <w:rFonts w:ascii="Garamond" w:hAnsi="Garamond"/>
          <w:sz w:val="22"/>
          <w:szCs w:val="22"/>
        </w:rPr>
        <w:t>Go</w:t>
      </w:r>
      <w:r w:rsidRPr="00031381">
        <w:rPr>
          <w:rFonts w:ascii="Garamond" w:eastAsia="Times New Roman" w:hAnsi="Garamond"/>
          <w:sz w:val="22"/>
          <w:szCs w:val="22"/>
        </w:rPr>
        <w:t xml:space="preserve"> must </w:t>
      </w:r>
      <w:r w:rsidRPr="00031381">
        <w:rPr>
          <w:rFonts w:ascii="Garamond" w:eastAsia="Times New Roman" w:hAnsi="Garamond"/>
          <w:i/>
          <w:iCs/>
          <w:sz w:val="22"/>
          <w:szCs w:val="22"/>
        </w:rPr>
        <w:t>know-to</w:t>
      </w:r>
      <w:r w:rsidRPr="00031381">
        <w:rPr>
          <w:rFonts w:ascii="Garamond" w:eastAsia="Times New Roman" w:hAnsi="Garamond"/>
          <w:sz w:val="22"/>
          <w:szCs w:val="22"/>
        </w:rPr>
        <w:t xml:space="preserve"> focus on her lessons for her to make progress (6A9), because focusing on her lessons is presumably a way for her to learn how to play</w:t>
      </w:r>
      <w:r w:rsidRPr="00031381">
        <w:rPr>
          <w:rFonts w:ascii="Garamond" w:hAnsi="Garamond"/>
          <w:i/>
          <w:iCs/>
          <w:sz w:val="22"/>
          <w:szCs w:val="22"/>
        </w:rPr>
        <w:t xml:space="preserve"> </w:t>
      </w:r>
      <w:r w:rsidRPr="00031381">
        <w:rPr>
          <w:rFonts w:ascii="Garamond" w:hAnsi="Garamond"/>
          <w:sz w:val="22"/>
          <w:szCs w:val="22"/>
        </w:rPr>
        <w:t>Go</w:t>
      </w:r>
      <w:r w:rsidRPr="00031381">
        <w:rPr>
          <w:rFonts w:ascii="Garamond" w:eastAsia="Times New Roman" w:hAnsi="Garamond"/>
          <w:sz w:val="22"/>
          <w:szCs w:val="22"/>
        </w:rPr>
        <w:t>.</w:t>
      </w:r>
      <w:r w:rsidRPr="00031381">
        <w:rPr>
          <w:rFonts w:ascii="Garamond" w:eastAsia="Times New Roman" w:hAnsi="Garamond"/>
          <w:i/>
          <w:iCs/>
          <w:sz w:val="22"/>
          <w:szCs w:val="22"/>
        </w:rPr>
        <w:t xml:space="preserve"> </w:t>
      </w:r>
      <w:r w:rsidRPr="00031381">
        <w:rPr>
          <w:rFonts w:ascii="Garamond" w:eastAsia="Times New Roman" w:hAnsi="Garamond"/>
          <w:sz w:val="22"/>
          <w:szCs w:val="22"/>
        </w:rPr>
        <w:t xml:space="preserve">She must, in other </w:t>
      </w:r>
      <w:r w:rsidRPr="00031381">
        <w:rPr>
          <w:rFonts w:ascii="Garamond" w:eastAsia="Times New Roman" w:hAnsi="Garamond"/>
          <w:sz w:val="22"/>
          <w:szCs w:val="22"/>
        </w:rPr>
        <w:lastRenderedPageBreak/>
        <w:t xml:space="preserve">words, </w:t>
      </w:r>
      <w:r w:rsidRPr="00031381">
        <w:rPr>
          <w:rFonts w:ascii="Garamond" w:eastAsia="Times New Roman" w:hAnsi="Garamond"/>
          <w:i/>
          <w:iCs/>
          <w:sz w:val="22"/>
          <w:szCs w:val="22"/>
        </w:rPr>
        <w:t>know-to</w:t>
      </w:r>
      <w:r w:rsidRPr="00031381">
        <w:rPr>
          <w:rFonts w:ascii="Garamond" w:eastAsia="Times New Roman" w:hAnsi="Garamond"/>
          <w:sz w:val="22"/>
          <w:szCs w:val="22"/>
        </w:rPr>
        <w:t xml:space="preserve"> do </w:t>
      </w:r>
      <w:r w:rsidRPr="00031381">
        <w:rPr>
          <w:rFonts w:ascii="Garamond" w:eastAsia="Times New Roman" w:hAnsi="Garamond"/>
          <w:i/>
          <w:iCs/>
          <w:sz w:val="22"/>
          <w:szCs w:val="22"/>
        </w:rPr>
        <w:t>this</w:t>
      </w:r>
      <w:r w:rsidRPr="00031381">
        <w:rPr>
          <w:rFonts w:ascii="Garamond" w:eastAsia="Times New Roman" w:hAnsi="Garamond"/>
          <w:sz w:val="22"/>
          <w:szCs w:val="22"/>
        </w:rPr>
        <w:t xml:space="preserve"> to put her capacity for learning skills into practice. Analogously, one might think that she must know-to </w:t>
      </w:r>
      <w:r w:rsidRPr="00031381">
        <w:rPr>
          <w:rFonts w:ascii="Garamond" w:eastAsia="Times New Roman" w:hAnsi="Garamond"/>
          <w:i/>
          <w:iCs/>
          <w:sz w:val="22"/>
          <w:szCs w:val="22"/>
        </w:rPr>
        <w:t>read</w:t>
      </w:r>
      <w:r w:rsidRPr="00031381">
        <w:rPr>
          <w:rFonts w:ascii="Garamond" w:eastAsia="Times New Roman" w:hAnsi="Garamond"/>
          <w:sz w:val="22"/>
          <w:szCs w:val="22"/>
        </w:rPr>
        <w:t xml:space="preserve"> the </w:t>
      </w:r>
      <w:r w:rsidRPr="00031381">
        <w:rPr>
          <w:rFonts w:ascii="Garamond" w:eastAsia="Times New Roman" w:hAnsi="Garamond"/>
          <w:i/>
          <w:iCs/>
          <w:sz w:val="22"/>
          <w:szCs w:val="22"/>
        </w:rPr>
        <w:t>Book of Documents</w:t>
      </w:r>
      <w:r w:rsidRPr="00031381">
        <w:rPr>
          <w:rFonts w:ascii="Garamond" w:eastAsia="Times New Roman" w:hAnsi="Garamond"/>
          <w:sz w:val="22"/>
          <w:szCs w:val="22"/>
        </w:rPr>
        <w:t xml:space="preserve"> for her to learn that King Wu defeated Zhou, because doing so is a way for her to use her p-</w:t>
      </w:r>
      <w:proofErr w:type="spellStart"/>
      <w:r w:rsidRPr="00031381">
        <w:rPr>
          <w:rFonts w:ascii="Garamond" w:eastAsia="Times New Roman" w:hAnsi="Garamond"/>
          <w:sz w:val="22"/>
          <w:szCs w:val="22"/>
        </w:rPr>
        <w:t>favouring</w:t>
      </w:r>
      <w:proofErr w:type="spellEnd"/>
      <w:r w:rsidRPr="00031381">
        <w:rPr>
          <w:rFonts w:ascii="Garamond" w:eastAsia="Times New Roman" w:hAnsi="Garamond"/>
          <w:sz w:val="22"/>
          <w:szCs w:val="22"/>
        </w:rPr>
        <w:t xml:space="preserve"> evidence in coming to know that p. Therefore, if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 is partly a capacity for producing knowledge-that p, then perhaps it is so by virtue of being a capacity for using one’s p-</w:t>
      </w:r>
      <w:proofErr w:type="spellStart"/>
      <w:r w:rsidRPr="00031381">
        <w:rPr>
          <w:rFonts w:ascii="Garamond" w:eastAsia="Times New Roman" w:hAnsi="Garamond"/>
          <w:sz w:val="22"/>
          <w:szCs w:val="22"/>
        </w:rPr>
        <w:t>favouring</w:t>
      </w:r>
      <w:proofErr w:type="spellEnd"/>
      <w:r w:rsidRPr="00031381">
        <w:rPr>
          <w:rFonts w:ascii="Garamond" w:eastAsia="Times New Roman" w:hAnsi="Garamond"/>
          <w:sz w:val="22"/>
          <w:szCs w:val="22"/>
        </w:rPr>
        <w:t xml:space="preserve"> evidence.</w:t>
      </w:r>
    </w:p>
    <w:p w14:paraId="1DD72D60" w14:textId="77777777" w:rsidR="00120BCE" w:rsidRPr="00031381" w:rsidRDefault="00120BCE">
      <w:pPr>
        <w:spacing w:line="360" w:lineRule="auto"/>
        <w:rPr>
          <w:rFonts w:ascii="Garamond" w:eastAsia="Times New Roman" w:hAnsi="Garamond"/>
          <w:sz w:val="22"/>
          <w:szCs w:val="22"/>
        </w:rPr>
      </w:pPr>
    </w:p>
    <w:p w14:paraId="62F476C4" w14:textId="77777777" w:rsidR="00120BCE" w:rsidRPr="00031381" w:rsidRDefault="00000000">
      <w:pPr>
        <w:spacing w:line="360" w:lineRule="auto"/>
        <w:rPr>
          <w:rFonts w:ascii="Garamond" w:eastAsia="Times New Roman" w:hAnsi="Garamond"/>
          <w:sz w:val="22"/>
          <w:szCs w:val="22"/>
        </w:rPr>
      </w:pPr>
      <w:r w:rsidRPr="00031381">
        <w:rPr>
          <w:rFonts w:ascii="Garamond" w:eastAsia="Times New Roman" w:hAnsi="Garamond"/>
          <w:sz w:val="22"/>
          <w:szCs w:val="22"/>
        </w:rPr>
        <w:t xml:space="preserve">As I mentioned at the outset of this chapter, my intent is not to claim that this is all there is to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epistemology, nor do I believe myself to have provided anything more than an exploratory outline of various aspects of Mencius’s epistemological views. Much more needs to be done. However, I hope to have shown that much more </w:t>
      </w:r>
      <w:r w:rsidRPr="00031381">
        <w:rPr>
          <w:rFonts w:ascii="Garamond" w:eastAsia="Times New Roman" w:hAnsi="Garamond"/>
          <w:i/>
          <w:iCs/>
          <w:sz w:val="22"/>
          <w:szCs w:val="22"/>
        </w:rPr>
        <w:t>can</w:t>
      </w:r>
      <w:r w:rsidRPr="00031381">
        <w:rPr>
          <w:rFonts w:ascii="Garamond" w:eastAsia="Times New Roman" w:hAnsi="Garamond"/>
          <w:sz w:val="22"/>
          <w:szCs w:val="22"/>
        </w:rPr>
        <w:t xml:space="preserve"> be done, and that the question of what the early Chinese have to offer to contemporary epistemology deserves serious consideration.</w:t>
      </w:r>
    </w:p>
    <w:p w14:paraId="577D3490" w14:textId="77777777" w:rsidR="00120BCE" w:rsidRPr="00031381" w:rsidRDefault="00120BCE">
      <w:pPr>
        <w:spacing w:line="360" w:lineRule="auto"/>
        <w:rPr>
          <w:rFonts w:ascii="Garamond" w:eastAsia="Times New Roman" w:hAnsi="Garamond"/>
          <w:sz w:val="22"/>
          <w:szCs w:val="22"/>
        </w:rPr>
      </w:pPr>
    </w:p>
    <w:p w14:paraId="79565FB6" w14:textId="77777777" w:rsidR="00120BCE" w:rsidRPr="00031381" w:rsidRDefault="00000000">
      <w:pPr>
        <w:spacing w:line="360" w:lineRule="auto"/>
        <w:rPr>
          <w:rFonts w:ascii="Garamond" w:hAnsi="Garamond"/>
          <w:b/>
          <w:bCs/>
          <w:sz w:val="22"/>
          <w:szCs w:val="22"/>
        </w:rPr>
      </w:pPr>
      <w:r w:rsidRPr="00031381">
        <w:rPr>
          <w:rFonts w:ascii="Garamond" w:eastAsia="Times New Roman" w:hAnsi="Garamond"/>
          <w:b/>
          <w:bCs/>
          <w:sz w:val="22"/>
          <w:szCs w:val="22"/>
        </w:rPr>
        <w:t>6. References</w:t>
      </w:r>
    </w:p>
    <w:p w14:paraId="01A2BC70" w14:textId="77777777" w:rsidR="00120BCE" w:rsidRPr="00031381" w:rsidRDefault="00120BCE">
      <w:pPr>
        <w:spacing w:line="360" w:lineRule="auto"/>
        <w:rPr>
          <w:rFonts w:ascii="Garamond" w:eastAsia="Times New Roman" w:hAnsi="Garamond"/>
          <w:sz w:val="22"/>
          <w:szCs w:val="22"/>
        </w:rPr>
      </w:pPr>
    </w:p>
    <w:p w14:paraId="5B23B6C7" w14:textId="77777777" w:rsidR="00120BCE" w:rsidRPr="00031381" w:rsidRDefault="00000000">
      <w:pPr>
        <w:rPr>
          <w:rFonts w:ascii="Garamond" w:hAnsi="Garamond"/>
          <w:sz w:val="22"/>
          <w:szCs w:val="22"/>
        </w:rPr>
      </w:pPr>
      <w:r w:rsidRPr="00031381">
        <w:rPr>
          <w:rFonts w:ascii="Garamond" w:hAnsi="Garamond"/>
          <w:sz w:val="22"/>
          <w:szCs w:val="22"/>
        </w:rPr>
        <w:t xml:space="preserve">Allen, Barry. 2015. </w:t>
      </w:r>
      <w:r w:rsidRPr="00031381">
        <w:rPr>
          <w:rFonts w:ascii="Garamond" w:hAnsi="Garamond"/>
          <w:i/>
          <w:iCs/>
          <w:sz w:val="22"/>
          <w:szCs w:val="22"/>
        </w:rPr>
        <w:t>Vanishing into Things: Knowledge in Chinese Tradition</w:t>
      </w:r>
      <w:r w:rsidRPr="00031381">
        <w:rPr>
          <w:rFonts w:ascii="Garamond" w:hAnsi="Garamond"/>
          <w:sz w:val="22"/>
          <w:szCs w:val="22"/>
        </w:rPr>
        <w:t>. Cambridge, MA: Harvard University Press. (A broad, mostly speculative survey that discusses knowledge in Confucianism, Daoism, The Art of War, Chan Buddhism, and Neo-Confucianism on less than 300 pages.)</w:t>
      </w:r>
    </w:p>
    <w:p w14:paraId="0427E2F0" w14:textId="77777777" w:rsidR="00120BCE" w:rsidRPr="00031381" w:rsidRDefault="00120BCE">
      <w:pPr>
        <w:rPr>
          <w:rFonts w:ascii="Garamond" w:hAnsi="Garamond"/>
          <w:sz w:val="22"/>
          <w:szCs w:val="22"/>
        </w:rPr>
      </w:pPr>
    </w:p>
    <w:p w14:paraId="0939CCAF" w14:textId="77777777" w:rsidR="00120BCE" w:rsidRPr="00031381" w:rsidRDefault="00000000">
      <w:pPr>
        <w:rPr>
          <w:rFonts w:ascii="Garamond" w:hAnsi="Garamond"/>
          <w:sz w:val="22"/>
          <w:szCs w:val="22"/>
        </w:rPr>
      </w:pPr>
      <w:r w:rsidRPr="00031381">
        <w:rPr>
          <w:rFonts w:ascii="Garamond" w:hAnsi="Garamond"/>
          <w:sz w:val="22"/>
          <w:szCs w:val="22"/>
        </w:rPr>
        <w:t xml:space="preserve">Bayne, Steven Mitchell. 2021. “Knowing How and the Argument from Pervasive Inability.” </w:t>
      </w:r>
      <w:proofErr w:type="spellStart"/>
      <w:r w:rsidRPr="00031381">
        <w:rPr>
          <w:rFonts w:ascii="Garamond" w:hAnsi="Garamond"/>
          <w:i/>
          <w:iCs/>
          <w:sz w:val="22"/>
          <w:szCs w:val="22"/>
        </w:rPr>
        <w:t>Erkenntnis</w:t>
      </w:r>
      <w:proofErr w:type="spellEnd"/>
      <w:r w:rsidRPr="00031381">
        <w:rPr>
          <w:rFonts w:ascii="Garamond" w:hAnsi="Garamond"/>
          <w:sz w:val="22"/>
          <w:szCs w:val="22"/>
        </w:rPr>
        <w:t xml:space="preserve">. https://doi.org/10.1007/S10670-021-00394-W </w:t>
      </w:r>
    </w:p>
    <w:p w14:paraId="096E1198" w14:textId="77777777" w:rsidR="00120BCE" w:rsidRPr="00031381" w:rsidRDefault="00120BCE">
      <w:pPr>
        <w:rPr>
          <w:rFonts w:ascii="Garamond" w:hAnsi="Garamond"/>
          <w:sz w:val="22"/>
          <w:szCs w:val="22"/>
        </w:rPr>
      </w:pPr>
    </w:p>
    <w:p w14:paraId="5EA5BAA6" w14:textId="77777777" w:rsidR="00120BCE" w:rsidRPr="00031381" w:rsidRDefault="00000000">
      <w:pPr>
        <w:rPr>
          <w:rFonts w:ascii="Garamond" w:hAnsi="Garamond"/>
          <w:sz w:val="22"/>
          <w:szCs w:val="22"/>
        </w:rPr>
      </w:pPr>
      <w:proofErr w:type="spellStart"/>
      <w:r w:rsidRPr="00031381">
        <w:rPr>
          <w:rFonts w:ascii="Garamond" w:hAnsi="Garamond"/>
          <w:sz w:val="22"/>
          <w:szCs w:val="22"/>
        </w:rPr>
        <w:t>Beddor</w:t>
      </w:r>
      <w:proofErr w:type="spellEnd"/>
      <w:r w:rsidRPr="00031381">
        <w:rPr>
          <w:rFonts w:ascii="Garamond" w:hAnsi="Garamond"/>
          <w:sz w:val="22"/>
          <w:szCs w:val="22"/>
        </w:rPr>
        <w:t xml:space="preserve">, Bob and Carlotta Pavese. 2020. “Modal Virtue Epistemology.” </w:t>
      </w:r>
      <w:r w:rsidRPr="00031381">
        <w:rPr>
          <w:rFonts w:ascii="Garamond" w:hAnsi="Garamond"/>
          <w:i/>
          <w:iCs/>
          <w:sz w:val="22"/>
          <w:szCs w:val="22"/>
        </w:rPr>
        <w:t>Philosophy and Phenomenological Research</w:t>
      </w:r>
      <w:r w:rsidRPr="00031381">
        <w:rPr>
          <w:rFonts w:ascii="Garamond" w:hAnsi="Garamond"/>
          <w:sz w:val="22"/>
          <w:szCs w:val="22"/>
        </w:rPr>
        <w:t xml:space="preserve"> 101: 61-79.</w:t>
      </w:r>
    </w:p>
    <w:p w14:paraId="16F6689F" w14:textId="77777777" w:rsidR="00120BCE" w:rsidRPr="00031381" w:rsidRDefault="00120BCE">
      <w:pPr>
        <w:rPr>
          <w:rFonts w:ascii="Garamond" w:hAnsi="Garamond"/>
          <w:sz w:val="22"/>
          <w:szCs w:val="22"/>
        </w:rPr>
      </w:pPr>
    </w:p>
    <w:p w14:paraId="061847F9" w14:textId="77777777" w:rsidR="00120BCE" w:rsidRPr="00031381" w:rsidRDefault="00000000">
      <w:pPr>
        <w:rPr>
          <w:rFonts w:ascii="Garamond" w:hAnsi="Garamond"/>
          <w:sz w:val="22"/>
          <w:szCs w:val="22"/>
        </w:rPr>
      </w:pPr>
      <w:r w:rsidRPr="00031381">
        <w:rPr>
          <w:rFonts w:ascii="Garamond" w:hAnsi="Garamond"/>
          <w:sz w:val="22"/>
          <w:szCs w:val="22"/>
        </w:rPr>
        <w:t xml:space="preserve">Benton, Matthew. 2017. “Epistemology </w:t>
      </w:r>
      <w:proofErr w:type="spellStart"/>
      <w:r w:rsidRPr="00031381">
        <w:rPr>
          <w:rFonts w:ascii="Garamond" w:hAnsi="Garamond"/>
          <w:sz w:val="22"/>
          <w:szCs w:val="22"/>
        </w:rPr>
        <w:t>Personalised</w:t>
      </w:r>
      <w:proofErr w:type="spellEnd"/>
      <w:r w:rsidRPr="00031381">
        <w:rPr>
          <w:rFonts w:ascii="Garamond" w:hAnsi="Garamond"/>
          <w:sz w:val="22"/>
          <w:szCs w:val="22"/>
        </w:rPr>
        <w:t xml:space="preserve">.” </w:t>
      </w:r>
      <w:r w:rsidRPr="00031381">
        <w:rPr>
          <w:rFonts w:ascii="Garamond" w:hAnsi="Garamond"/>
          <w:i/>
          <w:iCs/>
          <w:sz w:val="22"/>
          <w:szCs w:val="22"/>
        </w:rPr>
        <w:t>Philosophical Quarterly</w:t>
      </w:r>
      <w:r w:rsidRPr="00031381">
        <w:rPr>
          <w:rFonts w:ascii="Garamond" w:hAnsi="Garamond"/>
          <w:sz w:val="22"/>
          <w:szCs w:val="22"/>
        </w:rPr>
        <w:t xml:space="preserve"> 67: 813-834.</w:t>
      </w:r>
    </w:p>
    <w:p w14:paraId="6C8DD560" w14:textId="77777777" w:rsidR="00120BCE" w:rsidRPr="00031381" w:rsidRDefault="00120BCE">
      <w:pPr>
        <w:rPr>
          <w:rFonts w:ascii="Garamond" w:hAnsi="Garamond"/>
          <w:sz w:val="22"/>
          <w:szCs w:val="22"/>
        </w:rPr>
      </w:pPr>
    </w:p>
    <w:p w14:paraId="183FAD60" w14:textId="77777777" w:rsidR="00120BCE" w:rsidRPr="00031381" w:rsidRDefault="00000000">
      <w:pPr>
        <w:rPr>
          <w:rFonts w:ascii="Garamond" w:hAnsi="Garamond"/>
          <w:sz w:val="22"/>
          <w:szCs w:val="22"/>
        </w:rPr>
      </w:pPr>
      <w:r w:rsidRPr="00031381">
        <w:rPr>
          <w:rFonts w:ascii="Garamond" w:hAnsi="Garamond"/>
          <w:sz w:val="22"/>
          <w:szCs w:val="22"/>
        </w:rPr>
        <w:t xml:space="preserve">Bloom, Irene, trans. 2009. </w:t>
      </w:r>
      <w:r w:rsidRPr="00031381">
        <w:rPr>
          <w:rFonts w:ascii="Garamond" w:hAnsi="Garamond"/>
          <w:i/>
          <w:iCs/>
          <w:sz w:val="22"/>
          <w:szCs w:val="22"/>
        </w:rPr>
        <w:t>Mencius</w:t>
      </w:r>
      <w:r w:rsidRPr="00031381">
        <w:rPr>
          <w:rFonts w:ascii="Garamond" w:hAnsi="Garamond"/>
          <w:sz w:val="22"/>
          <w:szCs w:val="22"/>
        </w:rPr>
        <w:t>. Edited by Philip J. Ivanhoe. New York: Columbia University Press.</w:t>
      </w:r>
    </w:p>
    <w:p w14:paraId="5DEB0C1F" w14:textId="77777777" w:rsidR="00120BCE" w:rsidRPr="00031381" w:rsidRDefault="00120BCE">
      <w:pPr>
        <w:rPr>
          <w:rFonts w:ascii="Garamond" w:hAnsi="Garamond"/>
          <w:sz w:val="22"/>
          <w:szCs w:val="22"/>
        </w:rPr>
      </w:pPr>
    </w:p>
    <w:p w14:paraId="1D3CEFB5" w14:textId="77777777" w:rsidR="00120BCE" w:rsidRPr="00031381" w:rsidRDefault="00000000">
      <w:pPr>
        <w:rPr>
          <w:rFonts w:ascii="Garamond" w:hAnsi="Garamond"/>
          <w:sz w:val="22"/>
          <w:szCs w:val="22"/>
        </w:rPr>
      </w:pPr>
      <w:r w:rsidRPr="00031381">
        <w:rPr>
          <w:rFonts w:ascii="Garamond" w:hAnsi="Garamond"/>
          <w:sz w:val="22"/>
          <w:szCs w:val="22"/>
        </w:rPr>
        <w:t xml:space="preserve">Bronstein, David. 2020. “Aristotle’s Virtue Epistemology.” In Stephen Hetherington and Nicholas D. Smith, eds., </w:t>
      </w:r>
      <w:r w:rsidRPr="00031381">
        <w:rPr>
          <w:rFonts w:ascii="Garamond" w:hAnsi="Garamond"/>
          <w:i/>
          <w:iCs/>
          <w:sz w:val="22"/>
          <w:szCs w:val="22"/>
        </w:rPr>
        <w:t>What the Ancients Offer to Contemporary Epistemology.</w:t>
      </w:r>
      <w:r w:rsidRPr="00031381">
        <w:rPr>
          <w:rFonts w:ascii="Garamond" w:hAnsi="Garamond"/>
          <w:sz w:val="22"/>
          <w:szCs w:val="22"/>
        </w:rPr>
        <w:t xml:space="preserve"> New York: Routledge.</w:t>
      </w:r>
    </w:p>
    <w:p w14:paraId="45C4C28D" w14:textId="77777777" w:rsidR="00120BCE" w:rsidRPr="00031381" w:rsidRDefault="00120BCE">
      <w:pPr>
        <w:rPr>
          <w:rFonts w:ascii="Garamond" w:hAnsi="Garamond"/>
          <w:sz w:val="22"/>
          <w:szCs w:val="22"/>
        </w:rPr>
      </w:pPr>
    </w:p>
    <w:p w14:paraId="28688639" w14:textId="77777777" w:rsidR="00120BCE" w:rsidRPr="00031381" w:rsidRDefault="00000000">
      <w:pPr>
        <w:rPr>
          <w:rFonts w:ascii="Garamond" w:hAnsi="Garamond"/>
          <w:sz w:val="22"/>
          <w:szCs w:val="22"/>
        </w:rPr>
      </w:pPr>
      <w:r w:rsidRPr="00031381">
        <w:rPr>
          <w:rFonts w:ascii="Garamond" w:hAnsi="Garamond"/>
          <w:sz w:val="22"/>
          <w:szCs w:val="22"/>
        </w:rPr>
        <w:t xml:space="preserve">Brys, Waldemar. 2022. “The Epistemology of </w:t>
      </w:r>
      <w:proofErr w:type="spellStart"/>
      <w:r w:rsidRPr="00031381">
        <w:rPr>
          <w:rFonts w:ascii="Garamond" w:hAnsi="Garamond"/>
          <w:sz w:val="22"/>
          <w:szCs w:val="22"/>
        </w:rPr>
        <w:t>Mengzian</w:t>
      </w:r>
      <w:proofErr w:type="spellEnd"/>
      <w:r w:rsidRPr="00031381">
        <w:rPr>
          <w:rFonts w:ascii="Garamond" w:hAnsi="Garamond"/>
          <w:sz w:val="22"/>
          <w:szCs w:val="22"/>
        </w:rPr>
        <w:t xml:space="preserve"> Extension.” In Karyn L. Lai, eds., </w:t>
      </w:r>
      <w:proofErr w:type="gramStart"/>
      <w:r w:rsidRPr="00031381">
        <w:rPr>
          <w:rFonts w:ascii="Garamond" w:hAnsi="Garamond"/>
          <w:i/>
          <w:iCs/>
          <w:sz w:val="22"/>
          <w:szCs w:val="22"/>
        </w:rPr>
        <w:t>Knowers</w:t>
      </w:r>
      <w:proofErr w:type="gramEnd"/>
      <w:r w:rsidRPr="00031381">
        <w:rPr>
          <w:rFonts w:ascii="Garamond" w:hAnsi="Garamond"/>
          <w:i/>
          <w:iCs/>
          <w:sz w:val="22"/>
          <w:szCs w:val="22"/>
        </w:rPr>
        <w:t xml:space="preserve"> and Knowledge in East-West Philosophy</w:t>
      </w:r>
      <w:r w:rsidRPr="00031381">
        <w:rPr>
          <w:rFonts w:ascii="Garamond" w:hAnsi="Garamond"/>
          <w:sz w:val="22"/>
          <w:szCs w:val="22"/>
        </w:rPr>
        <w:t xml:space="preserve">. Cham: Palgrave Macmillan. (An argument for the view that knowing-to is both necessary and sufficient for </w:t>
      </w:r>
      <w:proofErr w:type="spellStart"/>
      <w:r w:rsidRPr="00031381">
        <w:rPr>
          <w:rFonts w:ascii="Garamond" w:hAnsi="Garamond"/>
          <w:sz w:val="22"/>
          <w:szCs w:val="22"/>
        </w:rPr>
        <w:t>Mencian</w:t>
      </w:r>
      <w:proofErr w:type="spellEnd"/>
      <w:r w:rsidRPr="00031381">
        <w:rPr>
          <w:rFonts w:ascii="Garamond" w:hAnsi="Garamond"/>
          <w:sz w:val="22"/>
          <w:szCs w:val="22"/>
        </w:rPr>
        <w:t xml:space="preserve"> extension to take place.)</w:t>
      </w:r>
    </w:p>
    <w:p w14:paraId="4CF1FADE" w14:textId="77777777" w:rsidR="00120BCE" w:rsidRPr="00031381" w:rsidRDefault="00120BCE">
      <w:pPr>
        <w:rPr>
          <w:rFonts w:ascii="Garamond" w:hAnsi="Garamond"/>
          <w:sz w:val="22"/>
          <w:szCs w:val="22"/>
        </w:rPr>
      </w:pPr>
    </w:p>
    <w:p w14:paraId="7A31FF65" w14:textId="77777777" w:rsidR="00120BCE" w:rsidRPr="00031381" w:rsidRDefault="00000000">
      <w:pPr>
        <w:rPr>
          <w:rFonts w:ascii="Garamond" w:hAnsi="Garamond"/>
          <w:sz w:val="22"/>
          <w:szCs w:val="22"/>
        </w:rPr>
      </w:pPr>
      <w:r w:rsidRPr="00031381">
        <w:rPr>
          <w:rFonts w:ascii="Garamond" w:hAnsi="Garamond"/>
          <w:sz w:val="22"/>
          <w:szCs w:val="22"/>
        </w:rPr>
        <w:t xml:space="preserve">Brys, Waldemar. Forthcoming. “The Difference Between </w:t>
      </w:r>
      <w:r w:rsidRPr="00031381">
        <w:rPr>
          <w:rFonts w:ascii="Garamond" w:hAnsi="Garamond"/>
          <w:i/>
          <w:iCs/>
          <w:sz w:val="22"/>
          <w:szCs w:val="22"/>
        </w:rPr>
        <w:t>Ren</w:t>
      </w:r>
      <w:r w:rsidRPr="00031381">
        <w:rPr>
          <w:rFonts w:ascii="Garamond" w:hAnsi="Garamond"/>
          <w:sz w:val="22"/>
          <w:szCs w:val="22"/>
        </w:rPr>
        <w:t xml:space="preserve"> and </w:t>
      </w:r>
      <w:r w:rsidRPr="00031381">
        <w:rPr>
          <w:rFonts w:ascii="Garamond" w:hAnsi="Garamond"/>
          <w:i/>
          <w:iCs/>
          <w:sz w:val="22"/>
          <w:szCs w:val="22"/>
        </w:rPr>
        <w:t>Yi</w:t>
      </w:r>
      <w:r w:rsidRPr="00031381">
        <w:rPr>
          <w:rFonts w:ascii="Garamond" w:hAnsi="Garamond"/>
          <w:sz w:val="22"/>
          <w:szCs w:val="22"/>
        </w:rPr>
        <w:t>: Mengzi’s Anti-</w:t>
      </w:r>
      <w:proofErr w:type="spellStart"/>
      <w:r w:rsidRPr="00031381">
        <w:rPr>
          <w:rFonts w:ascii="Garamond" w:hAnsi="Garamond"/>
          <w:sz w:val="22"/>
          <w:szCs w:val="22"/>
        </w:rPr>
        <w:t>Guodianism</w:t>
      </w:r>
      <w:proofErr w:type="spellEnd"/>
      <w:r w:rsidRPr="00031381">
        <w:rPr>
          <w:rFonts w:ascii="Garamond" w:hAnsi="Garamond"/>
          <w:sz w:val="22"/>
          <w:szCs w:val="22"/>
        </w:rPr>
        <w:t xml:space="preserve"> at 6A4-5.” </w:t>
      </w:r>
      <w:r w:rsidRPr="00031381">
        <w:rPr>
          <w:rFonts w:ascii="Garamond" w:hAnsi="Garamond"/>
          <w:i/>
          <w:iCs/>
          <w:sz w:val="22"/>
          <w:szCs w:val="22"/>
        </w:rPr>
        <w:t>Sophia</w:t>
      </w:r>
      <w:r w:rsidRPr="00031381">
        <w:rPr>
          <w:rFonts w:ascii="Garamond" w:hAnsi="Garamond"/>
          <w:sz w:val="22"/>
          <w:szCs w:val="22"/>
        </w:rPr>
        <w:t>. https://doi.org/10.1007/s11841-022-00926-z</w:t>
      </w:r>
    </w:p>
    <w:p w14:paraId="6B1FC358" w14:textId="77777777" w:rsidR="00120BCE" w:rsidRPr="00031381" w:rsidRDefault="00120BCE">
      <w:pPr>
        <w:rPr>
          <w:rFonts w:ascii="Garamond" w:hAnsi="Garamond"/>
          <w:sz w:val="22"/>
          <w:szCs w:val="22"/>
        </w:rPr>
      </w:pPr>
    </w:p>
    <w:p w14:paraId="3C95F856" w14:textId="77777777" w:rsidR="00120BCE" w:rsidRPr="00031381" w:rsidRDefault="00000000">
      <w:pPr>
        <w:rPr>
          <w:rFonts w:ascii="Garamond" w:hAnsi="Garamond"/>
          <w:sz w:val="22"/>
          <w:szCs w:val="22"/>
        </w:rPr>
      </w:pPr>
      <w:r w:rsidRPr="00031381">
        <w:rPr>
          <w:rFonts w:ascii="Garamond" w:hAnsi="Garamond"/>
          <w:sz w:val="22"/>
          <w:szCs w:val="22"/>
        </w:rPr>
        <w:t xml:space="preserve">Carter, J. </w:t>
      </w:r>
      <w:proofErr w:type="gramStart"/>
      <w:r w:rsidRPr="00031381">
        <w:rPr>
          <w:rFonts w:ascii="Garamond" w:hAnsi="Garamond"/>
          <w:sz w:val="22"/>
          <w:szCs w:val="22"/>
        </w:rPr>
        <w:t>Adam</w:t>
      </w:r>
      <w:proofErr w:type="gramEnd"/>
      <w:r w:rsidRPr="00031381">
        <w:rPr>
          <w:rFonts w:ascii="Garamond" w:hAnsi="Garamond"/>
          <w:sz w:val="22"/>
          <w:szCs w:val="22"/>
        </w:rPr>
        <w:t xml:space="preserve"> and Ted Poston. 2018. </w:t>
      </w:r>
      <w:r w:rsidRPr="00031381">
        <w:rPr>
          <w:rFonts w:ascii="Garamond" w:hAnsi="Garamond"/>
          <w:i/>
          <w:iCs/>
          <w:sz w:val="22"/>
          <w:szCs w:val="22"/>
        </w:rPr>
        <w:t>A Critical Introduction to Knowledge-How</w:t>
      </w:r>
      <w:r w:rsidRPr="00031381">
        <w:rPr>
          <w:rFonts w:ascii="Garamond" w:hAnsi="Garamond"/>
          <w:sz w:val="22"/>
          <w:szCs w:val="22"/>
        </w:rPr>
        <w:t>. New York: Bloomsbury Academic.</w:t>
      </w:r>
    </w:p>
    <w:p w14:paraId="6064CE56" w14:textId="77777777" w:rsidR="00120BCE" w:rsidRPr="00031381" w:rsidRDefault="00120BCE">
      <w:pPr>
        <w:rPr>
          <w:rFonts w:ascii="Garamond" w:hAnsi="Garamond"/>
          <w:sz w:val="22"/>
          <w:szCs w:val="22"/>
        </w:rPr>
      </w:pPr>
    </w:p>
    <w:p w14:paraId="164CA3F1" w14:textId="77777777" w:rsidR="00120BCE" w:rsidRPr="00031381" w:rsidRDefault="00000000">
      <w:pPr>
        <w:rPr>
          <w:rFonts w:ascii="Garamond" w:hAnsi="Garamond"/>
          <w:sz w:val="22"/>
          <w:szCs w:val="22"/>
        </w:rPr>
      </w:pPr>
      <w:r w:rsidRPr="00031381">
        <w:rPr>
          <w:rFonts w:ascii="Garamond" w:hAnsi="Garamond"/>
          <w:sz w:val="22"/>
          <w:szCs w:val="22"/>
        </w:rPr>
        <w:t xml:space="preserve">Code, Lorraine. 1987. </w:t>
      </w:r>
      <w:r w:rsidRPr="00031381">
        <w:rPr>
          <w:rFonts w:ascii="Garamond" w:hAnsi="Garamond"/>
          <w:i/>
          <w:iCs/>
          <w:sz w:val="22"/>
          <w:szCs w:val="22"/>
        </w:rPr>
        <w:t>Epistemic Responsibility</w:t>
      </w:r>
      <w:r w:rsidRPr="00031381">
        <w:rPr>
          <w:rFonts w:ascii="Garamond" w:hAnsi="Garamond"/>
          <w:sz w:val="22"/>
          <w:szCs w:val="22"/>
        </w:rPr>
        <w:t>. Hanover, NH: University Press of New England.</w:t>
      </w:r>
    </w:p>
    <w:p w14:paraId="153A2135" w14:textId="77777777" w:rsidR="00120BCE" w:rsidRPr="00031381" w:rsidRDefault="00120BCE">
      <w:pPr>
        <w:rPr>
          <w:rFonts w:ascii="Garamond" w:hAnsi="Garamond"/>
          <w:sz w:val="22"/>
          <w:szCs w:val="22"/>
        </w:rPr>
      </w:pPr>
    </w:p>
    <w:p w14:paraId="72189AC2" w14:textId="77777777" w:rsidR="00120BCE" w:rsidRPr="00031381" w:rsidRDefault="00000000">
      <w:pPr>
        <w:rPr>
          <w:rFonts w:ascii="Garamond" w:hAnsi="Garamond"/>
          <w:sz w:val="22"/>
          <w:szCs w:val="22"/>
        </w:rPr>
      </w:pPr>
      <w:proofErr w:type="spellStart"/>
      <w:r w:rsidRPr="00031381">
        <w:rPr>
          <w:rFonts w:ascii="Garamond" w:hAnsi="Garamond"/>
          <w:sz w:val="22"/>
          <w:szCs w:val="22"/>
        </w:rPr>
        <w:t>Conee</w:t>
      </w:r>
      <w:proofErr w:type="spellEnd"/>
      <w:r w:rsidRPr="00031381">
        <w:rPr>
          <w:rFonts w:ascii="Garamond" w:hAnsi="Garamond"/>
          <w:sz w:val="22"/>
          <w:szCs w:val="22"/>
        </w:rPr>
        <w:t xml:space="preserve">, Earl. 1994. “Phenomenal Knowledge.” </w:t>
      </w:r>
      <w:r w:rsidRPr="00031381">
        <w:rPr>
          <w:rFonts w:ascii="Garamond" w:hAnsi="Garamond"/>
          <w:i/>
          <w:iCs/>
          <w:sz w:val="22"/>
          <w:szCs w:val="22"/>
        </w:rPr>
        <w:t>Australasian Journal of Philosophy</w:t>
      </w:r>
      <w:r w:rsidRPr="00031381">
        <w:rPr>
          <w:rFonts w:ascii="Garamond" w:hAnsi="Garamond"/>
          <w:sz w:val="22"/>
          <w:szCs w:val="22"/>
        </w:rPr>
        <w:t xml:space="preserve"> 72.2: 136-150.</w:t>
      </w:r>
    </w:p>
    <w:p w14:paraId="34F600A2" w14:textId="77777777" w:rsidR="00120BCE" w:rsidRPr="00031381" w:rsidRDefault="00120BCE">
      <w:pPr>
        <w:rPr>
          <w:rFonts w:ascii="Garamond" w:hAnsi="Garamond"/>
          <w:sz w:val="22"/>
          <w:szCs w:val="22"/>
        </w:rPr>
      </w:pPr>
    </w:p>
    <w:p w14:paraId="5C831FF1" w14:textId="77777777" w:rsidR="00120BCE" w:rsidRPr="00031381" w:rsidRDefault="00000000">
      <w:pPr>
        <w:rPr>
          <w:rFonts w:ascii="Garamond" w:hAnsi="Garamond"/>
          <w:sz w:val="22"/>
          <w:szCs w:val="22"/>
        </w:rPr>
      </w:pPr>
      <w:r w:rsidRPr="00031381">
        <w:rPr>
          <w:rFonts w:ascii="Garamond" w:hAnsi="Garamond"/>
          <w:sz w:val="22"/>
          <w:szCs w:val="22"/>
        </w:rPr>
        <w:t xml:space="preserve">Davidson, Donald. 1980. “Actions, reasons and causes.” In Donald Davidson, eds., </w:t>
      </w:r>
      <w:r w:rsidRPr="00031381">
        <w:rPr>
          <w:rFonts w:ascii="Garamond" w:hAnsi="Garamond"/>
          <w:i/>
          <w:iCs/>
          <w:sz w:val="22"/>
          <w:szCs w:val="22"/>
        </w:rPr>
        <w:t>Essays on Actions and Events</w:t>
      </w:r>
      <w:r w:rsidRPr="00031381">
        <w:rPr>
          <w:rFonts w:ascii="Garamond" w:hAnsi="Garamond"/>
          <w:sz w:val="22"/>
          <w:szCs w:val="22"/>
        </w:rPr>
        <w:t>. New York: Clarendon Press.</w:t>
      </w:r>
    </w:p>
    <w:p w14:paraId="2D6D3944" w14:textId="77777777" w:rsidR="00120BCE" w:rsidRPr="00031381" w:rsidRDefault="00120BCE">
      <w:pPr>
        <w:rPr>
          <w:rFonts w:ascii="Garamond" w:hAnsi="Garamond"/>
          <w:sz w:val="22"/>
          <w:szCs w:val="22"/>
        </w:rPr>
      </w:pPr>
    </w:p>
    <w:p w14:paraId="523AC1F0" w14:textId="77777777" w:rsidR="00120BCE" w:rsidRPr="00031381" w:rsidRDefault="00000000">
      <w:pPr>
        <w:rPr>
          <w:rFonts w:ascii="Garamond" w:hAnsi="Garamond"/>
          <w:sz w:val="22"/>
          <w:szCs w:val="22"/>
        </w:rPr>
      </w:pPr>
      <w:proofErr w:type="spellStart"/>
      <w:r w:rsidRPr="00031381">
        <w:rPr>
          <w:rFonts w:ascii="Garamond" w:hAnsi="Garamond"/>
          <w:sz w:val="22"/>
          <w:szCs w:val="22"/>
        </w:rPr>
        <w:lastRenderedPageBreak/>
        <w:t>Enç</w:t>
      </w:r>
      <w:proofErr w:type="spellEnd"/>
      <w:r w:rsidRPr="00031381">
        <w:rPr>
          <w:rFonts w:ascii="Garamond" w:hAnsi="Garamond"/>
          <w:sz w:val="22"/>
          <w:szCs w:val="22"/>
        </w:rPr>
        <w:t xml:space="preserve">, </w:t>
      </w:r>
      <w:proofErr w:type="spellStart"/>
      <w:r w:rsidRPr="00031381">
        <w:rPr>
          <w:rFonts w:ascii="Garamond" w:hAnsi="Garamond"/>
          <w:sz w:val="22"/>
          <w:szCs w:val="22"/>
        </w:rPr>
        <w:t>Berent</w:t>
      </w:r>
      <w:proofErr w:type="spellEnd"/>
      <w:r w:rsidRPr="00031381">
        <w:rPr>
          <w:rFonts w:ascii="Garamond" w:hAnsi="Garamond"/>
          <w:sz w:val="22"/>
          <w:szCs w:val="22"/>
        </w:rPr>
        <w:t xml:space="preserve">. 2003. </w:t>
      </w:r>
      <w:r w:rsidRPr="00031381">
        <w:rPr>
          <w:rFonts w:ascii="Garamond" w:hAnsi="Garamond"/>
          <w:i/>
          <w:iCs/>
          <w:sz w:val="22"/>
          <w:szCs w:val="22"/>
        </w:rPr>
        <w:t>How We Act: Causes, Reasons, and Intentions</w:t>
      </w:r>
      <w:r w:rsidRPr="00031381">
        <w:rPr>
          <w:rFonts w:ascii="Garamond" w:hAnsi="Garamond"/>
          <w:sz w:val="22"/>
          <w:szCs w:val="22"/>
        </w:rPr>
        <w:t>. New York: Oxford University Press.</w:t>
      </w:r>
    </w:p>
    <w:p w14:paraId="332F0508" w14:textId="77777777" w:rsidR="00120BCE" w:rsidRPr="00031381" w:rsidRDefault="00120BCE">
      <w:pPr>
        <w:rPr>
          <w:rFonts w:ascii="Garamond" w:hAnsi="Garamond"/>
          <w:sz w:val="22"/>
          <w:szCs w:val="22"/>
        </w:rPr>
      </w:pPr>
    </w:p>
    <w:p w14:paraId="2DE0CC83" w14:textId="77777777" w:rsidR="00120BCE" w:rsidRPr="00031381" w:rsidRDefault="00000000">
      <w:pPr>
        <w:rPr>
          <w:rFonts w:ascii="Garamond" w:hAnsi="Garamond"/>
          <w:sz w:val="22"/>
          <w:szCs w:val="22"/>
        </w:rPr>
      </w:pPr>
      <w:r w:rsidRPr="00031381">
        <w:rPr>
          <w:rFonts w:ascii="Garamond" w:hAnsi="Garamond"/>
          <w:sz w:val="22"/>
          <w:szCs w:val="22"/>
        </w:rPr>
        <w:t xml:space="preserve">Farkas, Katalin. 2017. “Practical Know-Wh.” </w:t>
      </w:r>
      <w:r w:rsidRPr="00031381">
        <w:rPr>
          <w:rFonts w:ascii="Garamond" w:hAnsi="Garamond"/>
          <w:i/>
          <w:iCs/>
          <w:sz w:val="22"/>
          <w:szCs w:val="22"/>
        </w:rPr>
        <w:t>Nous</w:t>
      </w:r>
      <w:r w:rsidRPr="00031381">
        <w:rPr>
          <w:rFonts w:ascii="Garamond" w:hAnsi="Garamond"/>
          <w:sz w:val="22"/>
          <w:szCs w:val="22"/>
        </w:rPr>
        <w:t xml:space="preserve"> 51.4: 855-870.</w:t>
      </w:r>
    </w:p>
    <w:p w14:paraId="241297CE" w14:textId="77777777" w:rsidR="00120BCE" w:rsidRPr="00031381" w:rsidRDefault="00120BCE">
      <w:pPr>
        <w:rPr>
          <w:rFonts w:ascii="Garamond" w:hAnsi="Garamond"/>
          <w:sz w:val="22"/>
          <w:szCs w:val="22"/>
        </w:rPr>
      </w:pPr>
    </w:p>
    <w:p w14:paraId="785687FC" w14:textId="77777777" w:rsidR="00120BCE" w:rsidRPr="00031381" w:rsidRDefault="00000000">
      <w:pPr>
        <w:rPr>
          <w:rFonts w:ascii="Garamond" w:hAnsi="Garamond"/>
          <w:sz w:val="22"/>
          <w:szCs w:val="22"/>
        </w:rPr>
      </w:pPr>
      <w:r w:rsidRPr="00031381">
        <w:rPr>
          <w:rFonts w:ascii="Garamond" w:hAnsi="Garamond"/>
          <w:sz w:val="22"/>
          <w:szCs w:val="22"/>
        </w:rPr>
        <w:t xml:space="preserve">Farkas, Katalin. 2019. “Objectual Knowledge.” In Jonathan Knowles and Thomas Raleigh, eds., </w:t>
      </w:r>
      <w:r w:rsidRPr="00031381">
        <w:rPr>
          <w:rFonts w:ascii="Garamond" w:hAnsi="Garamond"/>
          <w:i/>
          <w:iCs/>
          <w:sz w:val="22"/>
          <w:szCs w:val="22"/>
        </w:rPr>
        <w:t>Acquaintance: New Essays</w:t>
      </w:r>
      <w:r w:rsidRPr="00031381">
        <w:rPr>
          <w:rFonts w:ascii="Garamond" w:hAnsi="Garamond"/>
          <w:sz w:val="22"/>
          <w:szCs w:val="22"/>
        </w:rPr>
        <w:t>. Oxford: Oxford University Press.</w:t>
      </w:r>
    </w:p>
    <w:p w14:paraId="2AABB9B2" w14:textId="77777777" w:rsidR="00120BCE" w:rsidRPr="00031381" w:rsidRDefault="00120BCE">
      <w:pPr>
        <w:rPr>
          <w:rFonts w:ascii="Garamond" w:hAnsi="Garamond"/>
          <w:sz w:val="22"/>
          <w:szCs w:val="22"/>
        </w:rPr>
      </w:pPr>
    </w:p>
    <w:p w14:paraId="18FFB1EA" w14:textId="77777777" w:rsidR="00120BCE" w:rsidRPr="00031381" w:rsidRDefault="00000000">
      <w:pPr>
        <w:rPr>
          <w:rFonts w:ascii="Garamond" w:hAnsi="Garamond"/>
          <w:sz w:val="22"/>
          <w:szCs w:val="22"/>
        </w:rPr>
      </w:pPr>
      <w:r w:rsidRPr="00031381">
        <w:rPr>
          <w:rFonts w:ascii="Garamond" w:hAnsi="Garamond"/>
          <w:sz w:val="22"/>
          <w:szCs w:val="22"/>
        </w:rPr>
        <w:t xml:space="preserve">Fraser, Chris. 2011. “Knowledge and Error in Early Chinese Thought.” </w:t>
      </w:r>
      <w:r w:rsidRPr="00031381">
        <w:rPr>
          <w:rFonts w:ascii="Garamond" w:hAnsi="Garamond"/>
          <w:i/>
          <w:iCs/>
          <w:sz w:val="22"/>
          <w:szCs w:val="22"/>
        </w:rPr>
        <w:t>Dao</w:t>
      </w:r>
      <w:r w:rsidRPr="00031381">
        <w:rPr>
          <w:rFonts w:ascii="Garamond" w:hAnsi="Garamond"/>
          <w:sz w:val="22"/>
          <w:szCs w:val="22"/>
        </w:rPr>
        <w:t xml:space="preserve"> 10: 127-148. (A thorough discussion of epistemic views we find in the </w:t>
      </w:r>
      <w:r w:rsidRPr="00031381">
        <w:rPr>
          <w:rFonts w:ascii="Garamond" w:hAnsi="Garamond"/>
          <w:i/>
          <w:iCs/>
          <w:sz w:val="22"/>
          <w:szCs w:val="22"/>
        </w:rPr>
        <w:t xml:space="preserve">Xunzi </w:t>
      </w:r>
      <w:r w:rsidRPr="00031381">
        <w:rPr>
          <w:rFonts w:ascii="Garamond" w:hAnsi="Garamond"/>
          <w:sz w:val="22"/>
          <w:szCs w:val="22"/>
        </w:rPr>
        <w:t xml:space="preserve">and </w:t>
      </w:r>
      <w:r w:rsidRPr="00031381">
        <w:rPr>
          <w:rFonts w:ascii="Garamond" w:hAnsi="Garamond"/>
          <w:i/>
          <w:iCs/>
          <w:sz w:val="22"/>
          <w:szCs w:val="22"/>
        </w:rPr>
        <w:t>Mozi</w:t>
      </w:r>
      <w:r w:rsidRPr="00031381">
        <w:rPr>
          <w:rFonts w:ascii="Garamond" w:hAnsi="Garamond"/>
          <w:sz w:val="22"/>
          <w:szCs w:val="22"/>
        </w:rPr>
        <w:t xml:space="preserve"> to explain the absence of skeptical arguments from illusion among early Chinese philosophers.)</w:t>
      </w:r>
    </w:p>
    <w:p w14:paraId="24592617" w14:textId="77777777" w:rsidR="00120BCE" w:rsidRPr="00031381" w:rsidRDefault="00120BCE">
      <w:pPr>
        <w:rPr>
          <w:rFonts w:ascii="Garamond" w:hAnsi="Garamond"/>
          <w:sz w:val="22"/>
          <w:szCs w:val="22"/>
        </w:rPr>
      </w:pPr>
    </w:p>
    <w:p w14:paraId="0B171028" w14:textId="77777777" w:rsidR="00120BCE" w:rsidRPr="00031381" w:rsidRDefault="00000000">
      <w:pPr>
        <w:rPr>
          <w:rFonts w:ascii="Garamond" w:hAnsi="Garamond"/>
          <w:sz w:val="22"/>
          <w:szCs w:val="22"/>
        </w:rPr>
      </w:pPr>
      <w:r w:rsidRPr="00031381">
        <w:rPr>
          <w:rFonts w:ascii="Garamond" w:hAnsi="Garamond"/>
          <w:sz w:val="22"/>
          <w:szCs w:val="22"/>
        </w:rPr>
        <w:t xml:space="preserve">Fraser, Chris. 2013. “Distinctions, Judgment, and Reasoning in Classical Chinese Thought.” </w:t>
      </w:r>
      <w:r w:rsidRPr="00031381">
        <w:rPr>
          <w:rFonts w:ascii="Garamond" w:hAnsi="Garamond"/>
          <w:i/>
          <w:iCs/>
          <w:sz w:val="22"/>
          <w:szCs w:val="22"/>
        </w:rPr>
        <w:t>History and Philosophy of Logic</w:t>
      </w:r>
      <w:r w:rsidRPr="00031381">
        <w:rPr>
          <w:rFonts w:ascii="Garamond" w:hAnsi="Garamond"/>
          <w:sz w:val="22"/>
          <w:szCs w:val="22"/>
        </w:rPr>
        <w:t xml:space="preserve"> 34.1: 1-24.</w:t>
      </w:r>
    </w:p>
    <w:p w14:paraId="0ED3932B" w14:textId="77777777" w:rsidR="00120BCE" w:rsidRPr="00031381" w:rsidRDefault="00120BCE">
      <w:pPr>
        <w:rPr>
          <w:rFonts w:ascii="Garamond" w:hAnsi="Garamond"/>
          <w:sz w:val="22"/>
          <w:szCs w:val="22"/>
        </w:rPr>
      </w:pPr>
    </w:p>
    <w:p w14:paraId="65C19AC8" w14:textId="77777777" w:rsidR="00120BCE" w:rsidRPr="00031381" w:rsidRDefault="00000000">
      <w:pPr>
        <w:rPr>
          <w:rFonts w:ascii="Garamond" w:hAnsi="Garamond"/>
          <w:sz w:val="22"/>
          <w:szCs w:val="22"/>
        </w:rPr>
      </w:pPr>
      <w:r w:rsidRPr="00031381">
        <w:rPr>
          <w:rFonts w:ascii="Garamond" w:hAnsi="Garamond"/>
          <w:sz w:val="22"/>
          <w:szCs w:val="22"/>
        </w:rPr>
        <w:t xml:space="preserve">Gardner, Daniel K. 2007. </w:t>
      </w:r>
      <w:r w:rsidRPr="00031381">
        <w:rPr>
          <w:rFonts w:ascii="Garamond" w:hAnsi="Garamond"/>
          <w:i/>
          <w:iCs/>
          <w:sz w:val="22"/>
          <w:szCs w:val="22"/>
        </w:rPr>
        <w:t>The Four Books: The Basic Teachings of the Later Confucian Tradition</w:t>
      </w:r>
      <w:r w:rsidRPr="00031381">
        <w:rPr>
          <w:rFonts w:ascii="Garamond" w:hAnsi="Garamond"/>
          <w:sz w:val="22"/>
          <w:szCs w:val="22"/>
        </w:rPr>
        <w:t>. Indianapolis: Hackett.</w:t>
      </w:r>
    </w:p>
    <w:p w14:paraId="4F5BD368" w14:textId="77777777" w:rsidR="00120BCE" w:rsidRPr="00031381" w:rsidRDefault="00120BCE">
      <w:pPr>
        <w:rPr>
          <w:rFonts w:ascii="Garamond" w:hAnsi="Garamond"/>
          <w:sz w:val="22"/>
          <w:szCs w:val="22"/>
        </w:rPr>
      </w:pPr>
    </w:p>
    <w:p w14:paraId="10CA1413" w14:textId="77777777" w:rsidR="00120BCE" w:rsidRPr="00031381" w:rsidRDefault="00000000">
      <w:pPr>
        <w:rPr>
          <w:rFonts w:ascii="Garamond" w:hAnsi="Garamond"/>
          <w:sz w:val="22"/>
          <w:szCs w:val="22"/>
        </w:rPr>
      </w:pPr>
      <w:r w:rsidRPr="00031381">
        <w:rPr>
          <w:rFonts w:ascii="Garamond" w:hAnsi="Garamond"/>
          <w:sz w:val="22"/>
          <w:szCs w:val="22"/>
        </w:rPr>
        <w:t xml:space="preserve">Glick, Ephraim. 2012. “Abilities and Know-How Attributions.” In Jessica Brown and Mikkel </w:t>
      </w:r>
      <w:proofErr w:type="spellStart"/>
      <w:r w:rsidRPr="00031381">
        <w:rPr>
          <w:rFonts w:ascii="Garamond" w:hAnsi="Garamond"/>
          <w:sz w:val="22"/>
          <w:szCs w:val="22"/>
        </w:rPr>
        <w:t>Gerken</w:t>
      </w:r>
      <w:proofErr w:type="spellEnd"/>
      <w:r w:rsidRPr="00031381">
        <w:rPr>
          <w:rFonts w:ascii="Garamond" w:hAnsi="Garamond"/>
          <w:sz w:val="22"/>
          <w:szCs w:val="22"/>
        </w:rPr>
        <w:t xml:space="preserve">, eds., </w:t>
      </w:r>
      <w:r w:rsidRPr="00031381">
        <w:rPr>
          <w:rFonts w:ascii="Garamond" w:hAnsi="Garamond"/>
          <w:i/>
          <w:iCs/>
          <w:sz w:val="22"/>
          <w:szCs w:val="22"/>
        </w:rPr>
        <w:t>Knowledge Ascriptions</w:t>
      </w:r>
      <w:r w:rsidRPr="00031381">
        <w:rPr>
          <w:rFonts w:ascii="Garamond" w:hAnsi="Garamond"/>
          <w:sz w:val="22"/>
          <w:szCs w:val="22"/>
        </w:rPr>
        <w:t>. Oxford: Oxford University Press.</w:t>
      </w:r>
    </w:p>
    <w:p w14:paraId="3370E7D5" w14:textId="77777777" w:rsidR="00120BCE" w:rsidRPr="00031381" w:rsidRDefault="00120BCE">
      <w:pPr>
        <w:rPr>
          <w:rFonts w:ascii="Garamond" w:hAnsi="Garamond"/>
          <w:sz w:val="22"/>
          <w:szCs w:val="22"/>
        </w:rPr>
      </w:pPr>
    </w:p>
    <w:p w14:paraId="0D7AA26F" w14:textId="77777777" w:rsidR="00120BCE" w:rsidRPr="00031381" w:rsidRDefault="00000000">
      <w:pPr>
        <w:rPr>
          <w:rFonts w:ascii="Garamond" w:hAnsi="Garamond"/>
          <w:sz w:val="22"/>
          <w:szCs w:val="22"/>
        </w:rPr>
      </w:pPr>
      <w:r w:rsidRPr="00031381">
        <w:rPr>
          <w:rFonts w:ascii="Garamond" w:hAnsi="Garamond"/>
          <w:sz w:val="22"/>
          <w:szCs w:val="22"/>
        </w:rPr>
        <w:t xml:space="preserve">Greco, John. 2003. “Knowledge as credit for true belief.” In Michael DePaul and Linda </w:t>
      </w:r>
      <w:proofErr w:type="spellStart"/>
      <w:r w:rsidRPr="00031381">
        <w:rPr>
          <w:rFonts w:ascii="Garamond" w:hAnsi="Garamond"/>
          <w:sz w:val="22"/>
          <w:szCs w:val="22"/>
        </w:rPr>
        <w:t>Zagzebski</w:t>
      </w:r>
      <w:proofErr w:type="spellEnd"/>
      <w:r w:rsidRPr="00031381">
        <w:rPr>
          <w:rFonts w:ascii="Garamond" w:hAnsi="Garamond"/>
          <w:sz w:val="22"/>
          <w:szCs w:val="22"/>
        </w:rPr>
        <w:t xml:space="preserve">, eds., </w:t>
      </w:r>
      <w:r w:rsidRPr="00031381">
        <w:rPr>
          <w:rFonts w:ascii="Garamond" w:hAnsi="Garamond"/>
          <w:i/>
          <w:iCs/>
          <w:sz w:val="22"/>
          <w:szCs w:val="22"/>
        </w:rPr>
        <w:t>Intellectual Virtue: Perspectives from Ethics and Epistemology.</w:t>
      </w:r>
      <w:r w:rsidRPr="00031381">
        <w:rPr>
          <w:rFonts w:ascii="Garamond" w:hAnsi="Garamond"/>
          <w:sz w:val="22"/>
          <w:szCs w:val="22"/>
        </w:rPr>
        <w:t xml:space="preserve"> New York: Oxford University Press.</w:t>
      </w:r>
    </w:p>
    <w:p w14:paraId="34B63DD0" w14:textId="77777777" w:rsidR="00120BCE" w:rsidRPr="00031381" w:rsidRDefault="00120BCE">
      <w:pPr>
        <w:rPr>
          <w:rFonts w:ascii="Garamond" w:hAnsi="Garamond"/>
          <w:sz w:val="22"/>
          <w:szCs w:val="22"/>
        </w:rPr>
      </w:pPr>
    </w:p>
    <w:p w14:paraId="4E6E24F6" w14:textId="77777777" w:rsidR="00120BCE" w:rsidRPr="00031381" w:rsidRDefault="00000000">
      <w:pPr>
        <w:rPr>
          <w:rFonts w:ascii="Garamond" w:hAnsi="Garamond"/>
          <w:sz w:val="22"/>
          <w:szCs w:val="22"/>
        </w:rPr>
      </w:pPr>
      <w:r w:rsidRPr="00031381">
        <w:rPr>
          <w:rFonts w:ascii="Garamond" w:hAnsi="Garamond"/>
          <w:sz w:val="22"/>
          <w:szCs w:val="22"/>
        </w:rPr>
        <w:t xml:space="preserve">Greco, John. 2010. </w:t>
      </w:r>
      <w:r w:rsidRPr="00031381">
        <w:rPr>
          <w:rFonts w:ascii="Garamond" w:hAnsi="Garamond"/>
          <w:i/>
          <w:iCs/>
          <w:sz w:val="22"/>
          <w:szCs w:val="22"/>
        </w:rPr>
        <w:t>Achieving Knowledge: A Virtue-Theoretic Account of Epistemic Normativity</w:t>
      </w:r>
      <w:r w:rsidRPr="00031381">
        <w:rPr>
          <w:rFonts w:ascii="Garamond" w:hAnsi="Garamond"/>
          <w:sz w:val="22"/>
          <w:szCs w:val="22"/>
        </w:rPr>
        <w:t>. Cambridge: Cambridge University Press.</w:t>
      </w:r>
    </w:p>
    <w:p w14:paraId="728CC762" w14:textId="77777777" w:rsidR="00120BCE" w:rsidRPr="00031381" w:rsidRDefault="00120BCE">
      <w:pPr>
        <w:rPr>
          <w:rFonts w:ascii="Garamond" w:hAnsi="Garamond"/>
          <w:sz w:val="22"/>
          <w:szCs w:val="22"/>
        </w:rPr>
      </w:pPr>
    </w:p>
    <w:p w14:paraId="1DC9E886" w14:textId="77777777" w:rsidR="00120BCE" w:rsidRPr="00031381" w:rsidRDefault="00000000">
      <w:pPr>
        <w:rPr>
          <w:rFonts w:ascii="Garamond" w:hAnsi="Garamond"/>
          <w:sz w:val="22"/>
          <w:szCs w:val="22"/>
        </w:rPr>
      </w:pPr>
      <w:r w:rsidRPr="00031381">
        <w:rPr>
          <w:rFonts w:ascii="Garamond" w:hAnsi="Garamond"/>
          <w:sz w:val="22"/>
          <w:szCs w:val="22"/>
        </w:rPr>
        <w:t xml:space="preserve">Greco, John. 2012. “A (different) virtue epistemology.” </w:t>
      </w:r>
      <w:r w:rsidRPr="00031381">
        <w:rPr>
          <w:rFonts w:ascii="Garamond" w:hAnsi="Garamond"/>
          <w:i/>
          <w:iCs/>
          <w:sz w:val="22"/>
          <w:szCs w:val="22"/>
        </w:rPr>
        <w:t>Philosophy and Phenomenological Research</w:t>
      </w:r>
      <w:r w:rsidRPr="00031381">
        <w:rPr>
          <w:rFonts w:ascii="Garamond" w:hAnsi="Garamond"/>
          <w:sz w:val="22"/>
          <w:szCs w:val="22"/>
        </w:rPr>
        <w:t xml:space="preserve"> 85: 1-26.</w:t>
      </w:r>
    </w:p>
    <w:p w14:paraId="65EA2223" w14:textId="77777777" w:rsidR="00120BCE" w:rsidRPr="00031381" w:rsidRDefault="00120BCE">
      <w:pPr>
        <w:rPr>
          <w:rFonts w:ascii="Garamond" w:hAnsi="Garamond"/>
          <w:sz w:val="22"/>
          <w:szCs w:val="22"/>
        </w:rPr>
      </w:pPr>
    </w:p>
    <w:p w14:paraId="622C812A" w14:textId="77777777" w:rsidR="00120BCE" w:rsidRPr="00031381" w:rsidRDefault="00000000">
      <w:pPr>
        <w:rPr>
          <w:rFonts w:ascii="Garamond" w:hAnsi="Garamond"/>
          <w:sz w:val="22"/>
          <w:szCs w:val="22"/>
        </w:rPr>
      </w:pPr>
      <w:r w:rsidRPr="00031381">
        <w:rPr>
          <w:rFonts w:ascii="Garamond" w:hAnsi="Garamond"/>
          <w:sz w:val="22"/>
          <w:szCs w:val="22"/>
        </w:rPr>
        <w:t xml:space="preserve">Hansen, Chad. 1992. </w:t>
      </w:r>
      <w:r w:rsidRPr="00031381">
        <w:rPr>
          <w:rFonts w:ascii="Garamond" w:hAnsi="Garamond"/>
          <w:i/>
          <w:iCs/>
          <w:sz w:val="22"/>
          <w:szCs w:val="22"/>
        </w:rPr>
        <w:t>A Daoist Theory of Chinese Thought</w:t>
      </w:r>
      <w:r w:rsidRPr="00031381">
        <w:rPr>
          <w:rFonts w:ascii="Garamond" w:hAnsi="Garamond"/>
          <w:sz w:val="22"/>
          <w:szCs w:val="22"/>
        </w:rPr>
        <w:t xml:space="preserve">. New York: Oxford University Press. (A </w:t>
      </w:r>
      <w:proofErr w:type="gramStart"/>
      <w:r w:rsidRPr="00031381">
        <w:rPr>
          <w:rFonts w:ascii="Garamond" w:hAnsi="Garamond"/>
          <w:sz w:val="22"/>
          <w:szCs w:val="22"/>
        </w:rPr>
        <w:t>thought provoking</w:t>
      </w:r>
      <w:proofErr w:type="gramEnd"/>
      <w:r w:rsidRPr="00031381">
        <w:rPr>
          <w:rFonts w:ascii="Garamond" w:hAnsi="Garamond"/>
          <w:sz w:val="22"/>
          <w:szCs w:val="22"/>
        </w:rPr>
        <w:t xml:space="preserve"> survey of early Chinese philosophy and an early source for the view that the pre-Qin notion of knowledge is to be understood mainly as knowledge-how.)</w:t>
      </w:r>
    </w:p>
    <w:p w14:paraId="60640A0A" w14:textId="77777777" w:rsidR="00120BCE" w:rsidRPr="00031381" w:rsidRDefault="00120BCE">
      <w:pPr>
        <w:rPr>
          <w:rFonts w:ascii="Garamond" w:hAnsi="Garamond"/>
          <w:sz w:val="22"/>
          <w:szCs w:val="22"/>
        </w:rPr>
      </w:pPr>
    </w:p>
    <w:p w14:paraId="78E1FD0B" w14:textId="77777777" w:rsidR="00120BCE" w:rsidRPr="00031381" w:rsidRDefault="00000000">
      <w:pPr>
        <w:rPr>
          <w:rFonts w:ascii="Garamond" w:hAnsi="Garamond"/>
          <w:sz w:val="22"/>
          <w:szCs w:val="22"/>
        </w:rPr>
      </w:pPr>
      <w:proofErr w:type="spellStart"/>
      <w:r w:rsidRPr="00031381">
        <w:rPr>
          <w:rFonts w:ascii="Garamond" w:hAnsi="Garamond"/>
          <w:sz w:val="22"/>
          <w:szCs w:val="22"/>
        </w:rPr>
        <w:t>Harbsmeier</w:t>
      </w:r>
      <w:proofErr w:type="spellEnd"/>
      <w:r w:rsidRPr="00031381">
        <w:rPr>
          <w:rFonts w:ascii="Garamond" w:hAnsi="Garamond"/>
          <w:sz w:val="22"/>
          <w:szCs w:val="22"/>
        </w:rPr>
        <w:t xml:space="preserve">, Christoph. 1998. </w:t>
      </w:r>
      <w:r w:rsidRPr="00031381">
        <w:rPr>
          <w:rFonts w:ascii="Garamond" w:hAnsi="Garamond"/>
          <w:i/>
          <w:iCs/>
          <w:sz w:val="22"/>
          <w:szCs w:val="22"/>
        </w:rPr>
        <w:t xml:space="preserve">Science and </w:t>
      </w:r>
      <w:proofErr w:type="spellStart"/>
      <w:r w:rsidRPr="00031381">
        <w:rPr>
          <w:rFonts w:ascii="Garamond" w:hAnsi="Garamond"/>
          <w:i/>
          <w:iCs/>
          <w:sz w:val="22"/>
          <w:szCs w:val="22"/>
        </w:rPr>
        <w:t>Civilisation</w:t>
      </w:r>
      <w:proofErr w:type="spellEnd"/>
      <w:r w:rsidRPr="00031381">
        <w:rPr>
          <w:rFonts w:ascii="Garamond" w:hAnsi="Garamond"/>
          <w:i/>
          <w:iCs/>
          <w:sz w:val="22"/>
          <w:szCs w:val="22"/>
        </w:rPr>
        <w:t xml:space="preserve"> in China, Volume VII:1, Language and Logic</w:t>
      </w:r>
      <w:r w:rsidRPr="00031381">
        <w:rPr>
          <w:rFonts w:ascii="Garamond" w:hAnsi="Garamond"/>
          <w:sz w:val="22"/>
          <w:szCs w:val="22"/>
        </w:rPr>
        <w:t>, edited by Joseph Needham. Cambridge: Cambridge University Press. (A rigorously argued for examination of early Chinese logic, semantic theory, and epistemology that carefully engages the best philological evidence at that time.)</w:t>
      </w:r>
    </w:p>
    <w:p w14:paraId="10B57FEB" w14:textId="77777777" w:rsidR="00120BCE" w:rsidRPr="00031381" w:rsidRDefault="00120BCE">
      <w:pPr>
        <w:rPr>
          <w:rFonts w:ascii="Garamond" w:hAnsi="Garamond"/>
          <w:sz w:val="22"/>
          <w:szCs w:val="22"/>
        </w:rPr>
      </w:pPr>
    </w:p>
    <w:p w14:paraId="1DF903A9"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2011a. </w:t>
      </w:r>
      <w:r w:rsidRPr="00031381">
        <w:rPr>
          <w:rFonts w:ascii="Garamond" w:hAnsi="Garamond"/>
          <w:i/>
          <w:iCs/>
          <w:sz w:val="22"/>
          <w:szCs w:val="22"/>
        </w:rPr>
        <w:t xml:space="preserve">How to Know: A </w:t>
      </w:r>
      <w:proofErr w:type="spellStart"/>
      <w:r w:rsidRPr="00031381">
        <w:rPr>
          <w:rFonts w:ascii="Garamond" w:hAnsi="Garamond"/>
          <w:i/>
          <w:iCs/>
          <w:sz w:val="22"/>
          <w:szCs w:val="22"/>
        </w:rPr>
        <w:t>Practicalist</w:t>
      </w:r>
      <w:proofErr w:type="spellEnd"/>
      <w:r w:rsidRPr="00031381">
        <w:rPr>
          <w:rFonts w:ascii="Garamond" w:hAnsi="Garamond"/>
          <w:i/>
          <w:iCs/>
          <w:sz w:val="22"/>
          <w:szCs w:val="22"/>
        </w:rPr>
        <w:t xml:space="preserve"> Conception of Knowledge</w:t>
      </w:r>
      <w:r w:rsidRPr="00031381">
        <w:rPr>
          <w:rFonts w:ascii="Garamond" w:hAnsi="Garamond"/>
          <w:sz w:val="22"/>
          <w:szCs w:val="22"/>
        </w:rPr>
        <w:t>. Malden, MA: Wiley-Blackwell.</w:t>
      </w:r>
    </w:p>
    <w:p w14:paraId="750E2117" w14:textId="77777777" w:rsidR="00120BCE" w:rsidRPr="00031381" w:rsidRDefault="00120BCE">
      <w:pPr>
        <w:rPr>
          <w:rFonts w:ascii="Garamond" w:hAnsi="Garamond"/>
          <w:sz w:val="22"/>
          <w:szCs w:val="22"/>
        </w:rPr>
      </w:pPr>
    </w:p>
    <w:p w14:paraId="3A186020"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2011b. “Knowledge and Knowing: Ability and Manifestation.” In Stefan </w:t>
      </w:r>
      <w:proofErr w:type="spellStart"/>
      <w:r w:rsidRPr="00031381">
        <w:rPr>
          <w:rFonts w:ascii="Garamond" w:hAnsi="Garamond"/>
          <w:sz w:val="22"/>
          <w:szCs w:val="22"/>
        </w:rPr>
        <w:t>Tolksdorf</w:t>
      </w:r>
      <w:proofErr w:type="spellEnd"/>
      <w:r w:rsidRPr="00031381">
        <w:rPr>
          <w:rFonts w:ascii="Garamond" w:hAnsi="Garamond"/>
          <w:sz w:val="22"/>
          <w:szCs w:val="22"/>
        </w:rPr>
        <w:t xml:space="preserve">, ed., </w:t>
      </w:r>
      <w:r w:rsidRPr="00031381">
        <w:rPr>
          <w:rFonts w:ascii="Garamond" w:hAnsi="Garamond"/>
          <w:i/>
          <w:iCs/>
          <w:sz w:val="22"/>
          <w:szCs w:val="22"/>
        </w:rPr>
        <w:t>Conceptions of Knowledge</w:t>
      </w:r>
      <w:r w:rsidRPr="00031381">
        <w:rPr>
          <w:rFonts w:ascii="Garamond" w:hAnsi="Garamond"/>
          <w:sz w:val="22"/>
          <w:szCs w:val="22"/>
        </w:rPr>
        <w:t>. Berlin: De Gruyter.</w:t>
      </w:r>
    </w:p>
    <w:p w14:paraId="542C6D56" w14:textId="77777777" w:rsidR="00120BCE" w:rsidRPr="00031381" w:rsidRDefault="00120BCE">
      <w:pPr>
        <w:rPr>
          <w:rFonts w:ascii="Garamond" w:hAnsi="Garamond"/>
          <w:sz w:val="22"/>
          <w:szCs w:val="22"/>
        </w:rPr>
      </w:pPr>
    </w:p>
    <w:p w14:paraId="476B618C"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2016. </w:t>
      </w:r>
      <w:r w:rsidRPr="00031381">
        <w:rPr>
          <w:rFonts w:ascii="Garamond" w:hAnsi="Garamond"/>
          <w:i/>
          <w:iCs/>
          <w:sz w:val="22"/>
          <w:szCs w:val="22"/>
        </w:rPr>
        <w:t>Knowledge and the Gettier Problem.</w:t>
      </w:r>
      <w:r w:rsidRPr="00031381">
        <w:rPr>
          <w:rFonts w:ascii="Garamond" w:hAnsi="Garamond"/>
          <w:sz w:val="22"/>
          <w:szCs w:val="22"/>
        </w:rPr>
        <w:t xml:space="preserve"> Cambridge: Cambridge University Press.</w:t>
      </w:r>
    </w:p>
    <w:p w14:paraId="7D8A0183" w14:textId="77777777" w:rsidR="00120BCE" w:rsidRPr="00031381" w:rsidRDefault="00120BCE">
      <w:pPr>
        <w:rPr>
          <w:rFonts w:ascii="Garamond" w:hAnsi="Garamond"/>
          <w:sz w:val="22"/>
          <w:szCs w:val="22"/>
        </w:rPr>
      </w:pPr>
    </w:p>
    <w:p w14:paraId="3268EDA2"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2017. “Knowledge as Potential for Action.” </w:t>
      </w:r>
      <w:r w:rsidRPr="00031381">
        <w:rPr>
          <w:rFonts w:ascii="Garamond" w:hAnsi="Garamond"/>
          <w:i/>
          <w:iCs/>
          <w:sz w:val="22"/>
          <w:szCs w:val="22"/>
        </w:rPr>
        <w:t xml:space="preserve">European Journal of Pragmatism and American Philosophy </w:t>
      </w:r>
      <w:r w:rsidRPr="00031381">
        <w:rPr>
          <w:rFonts w:ascii="Garamond" w:hAnsi="Garamond"/>
          <w:sz w:val="22"/>
          <w:szCs w:val="22"/>
        </w:rPr>
        <w:t>9.2: 1-19.</w:t>
      </w:r>
    </w:p>
    <w:p w14:paraId="7E71412E" w14:textId="77777777" w:rsidR="00120BCE" w:rsidRPr="00031381" w:rsidRDefault="00120BCE">
      <w:pPr>
        <w:rPr>
          <w:rFonts w:ascii="Garamond" w:hAnsi="Garamond"/>
          <w:sz w:val="22"/>
          <w:szCs w:val="22"/>
        </w:rPr>
      </w:pPr>
    </w:p>
    <w:p w14:paraId="59DE800A"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2018. “The redundancy problem: From knowledge-infallibilism to knowledge-minimalism.” </w:t>
      </w:r>
      <w:proofErr w:type="spellStart"/>
      <w:r w:rsidRPr="00031381">
        <w:rPr>
          <w:rFonts w:ascii="Garamond" w:hAnsi="Garamond"/>
          <w:i/>
          <w:iCs/>
          <w:sz w:val="22"/>
          <w:szCs w:val="22"/>
        </w:rPr>
        <w:t>Synthese</w:t>
      </w:r>
      <w:proofErr w:type="spellEnd"/>
      <w:r w:rsidRPr="00031381">
        <w:rPr>
          <w:rFonts w:ascii="Garamond" w:hAnsi="Garamond"/>
          <w:sz w:val="22"/>
          <w:szCs w:val="22"/>
        </w:rPr>
        <w:t xml:space="preserve"> 195: 4683-4702.</w:t>
      </w:r>
    </w:p>
    <w:p w14:paraId="47E2E310" w14:textId="77777777" w:rsidR="00120BCE" w:rsidRPr="00031381" w:rsidRDefault="00120BCE">
      <w:pPr>
        <w:rPr>
          <w:rFonts w:ascii="Garamond" w:hAnsi="Garamond"/>
          <w:sz w:val="22"/>
          <w:szCs w:val="22"/>
        </w:rPr>
      </w:pPr>
    </w:p>
    <w:p w14:paraId="662DB813" w14:textId="77777777" w:rsidR="00120BCE" w:rsidRPr="00031381" w:rsidRDefault="00000000">
      <w:pPr>
        <w:rPr>
          <w:rFonts w:ascii="Garamond" w:hAnsi="Garamond"/>
          <w:sz w:val="22"/>
          <w:szCs w:val="22"/>
        </w:rPr>
      </w:pPr>
      <w:r w:rsidRPr="00031381">
        <w:rPr>
          <w:rFonts w:ascii="Garamond" w:hAnsi="Garamond"/>
          <w:sz w:val="22"/>
          <w:szCs w:val="22"/>
        </w:rPr>
        <w:t xml:space="preserve">Hetherington, Stephen. 2021a. “Knowledge as skill.” In Ellen </w:t>
      </w:r>
      <w:proofErr w:type="spellStart"/>
      <w:r w:rsidRPr="00031381">
        <w:rPr>
          <w:rFonts w:ascii="Garamond" w:hAnsi="Garamond"/>
          <w:sz w:val="22"/>
          <w:szCs w:val="22"/>
        </w:rPr>
        <w:t>Fridland</w:t>
      </w:r>
      <w:proofErr w:type="spellEnd"/>
      <w:r w:rsidRPr="00031381">
        <w:rPr>
          <w:rFonts w:ascii="Garamond" w:hAnsi="Garamond"/>
          <w:sz w:val="22"/>
          <w:szCs w:val="22"/>
        </w:rPr>
        <w:t xml:space="preserve"> and Carlotta Pavese, eds., </w:t>
      </w:r>
      <w:r w:rsidRPr="00031381">
        <w:rPr>
          <w:rFonts w:ascii="Garamond" w:hAnsi="Garamond"/>
          <w:i/>
          <w:iCs/>
          <w:sz w:val="22"/>
          <w:szCs w:val="22"/>
        </w:rPr>
        <w:t xml:space="preserve">The Routledge Handbook of Philosophy of </w:t>
      </w:r>
      <w:proofErr w:type="gramStart"/>
      <w:r w:rsidRPr="00031381">
        <w:rPr>
          <w:rFonts w:ascii="Garamond" w:hAnsi="Garamond"/>
          <w:i/>
          <w:iCs/>
          <w:sz w:val="22"/>
          <w:szCs w:val="22"/>
        </w:rPr>
        <w:t>Skill</w:t>
      </w:r>
      <w:proofErr w:type="gramEnd"/>
      <w:r w:rsidRPr="00031381">
        <w:rPr>
          <w:rFonts w:ascii="Garamond" w:hAnsi="Garamond"/>
          <w:i/>
          <w:iCs/>
          <w:sz w:val="22"/>
          <w:szCs w:val="22"/>
        </w:rPr>
        <w:t xml:space="preserve"> and Expertise</w:t>
      </w:r>
      <w:r w:rsidRPr="00031381">
        <w:rPr>
          <w:rFonts w:ascii="Garamond" w:hAnsi="Garamond"/>
          <w:sz w:val="22"/>
          <w:szCs w:val="22"/>
        </w:rPr>
        <w:t>. New York: Routledge.</w:t>
      </w:r>
    </w:p>
    <w:p w14:paraId="02FB93E3" w14:textId="77777777" w:rsidR="00120BCE" w:rsidRPr="00031381" w:rsidRDefault="00120BCE">
      <w:pPr>
        <w:rPr>
          <w:rFonts w:ascii="Garamond" w:hAnsi="Garamond"/>
          <w:sz w:val="22"/>
          <w:szCs w:val="22"/>
        </w:rPr>
      </w:pPr>
    </w:p>
    <w:p w14:paraId="08651CEC" w14:textId="77777777" w:rsidR="00120BCE" w:rsidRPr="00031381" w:rsidRDefault="00000000">
      <w:pPr>
        <w:rPr>
          <w:rFonts w:ascii="Garamond" w:hAnsi="Garamond"/>
          <w:sz w:val="22"/>
          <w:szCs w:val="22"/>
        </w:rPr>
      </w:pPr>
      <w:r w:rsidRPr="00031381">
        <w:rPr>
          <w:rFonts w:ascii="Garamond" w:hAnsi="Garamond"/>
          <w:sz w:val="22"/>
          <w:szCs w:val="22"/>
        </w:rPr>
        <w:t>Hetherington, Stephen. 2021b. “Knowing as Simply Being Correct.” In Z</w:t>
      </w:r>
      <w:r w:rsidRPr="00031381">
        <w:rPr>
          <w:rFonts w:ascii="Garamond" w:hAnsi="Garamond"/>
          <w:smallCaps/>
          <w:sz w:val="22"/>
          <w:szCs w:val="22"/>
        </w:rPr>
        <w:t>hang</w:t>
      </w:r>
      <w:r w:rsidRPr="00031381">
        <w:rPr>
          <w:rFonts w:ascii="Garamond" w:hAnsi="Garamond"/>
          <w:sz w:val="22"/>
          <w:szCs w:val="22"/>
        </w:rPr>
        <w:t xml:space="preserve"> </w:t>
      </w:r>
      <w:proofErr w:type="spellStart"/>
      <w:r w:rsidRPr="00031381">
        <w:rPr>
          <w:rFonts w:ascii="Garamond" w:hAnsi="Garamond"/>
          <w:sz w:val="22"/>
          <w:szCs w:val="22"/>
        </w:rPr>
        <w:t>Baosheng</w:t>
      </w:r>
      <w:proofErr w:type="spellEnd"/>
      <w:r w:rsidRPr="00031381">
        <w:rPr>
          <w:rFonts w:ascii="Garamond" w:hAnsi="Garamond"/>
          <w:sz w:val="22"/>
          <w:szCs w:val="22"/>
        </w:rPr>
        <w:t xml:space="preserve"> </w:t>
      </w:r>
      <w:r w:rsidRPr="00031381">
        <w:rPr>
          <w:rFonts w:ascii="Garamond" w:hAnsi="Garamond"/>
          <w:sz w:val="22"/>
          <w:szCs w:val="22"/>
        </w:rPr>
        <w:t>张保生</w:t>
      </w:r>
      <w:r w:rsidRPr="00031381">
        <w:rPr>
          <w:rFonts w:ascii="Garamond" w:hAnsi="Garamond"/>
          <w:sz w:val="22"/>
          <w:szCs w:val="22"/>
        </w:rPr>
        <w:t xml:space="preserve"> et.al., eds., </w:t>
      </w:r>
      <w:r w:rsidRPr="00031381">
        <w:rPr>
          <w:rFonts w:ascii="Garamond" w:hAnsi="Garamond"/>
          <w:i/>
          <w:iCs/>
          <w:sz w:val="22"/>
          <w:szCs w:val="22"/>
        </w:rPr>
        <w:t>Facts and Evidence: A Dialogue Between Philosophy and Law</w:t>
      </w:r>
      <w:r w:rsidRPr="00031381">
        <w:rPr>
          <w:rFonts w:ascii="Garamond" w:hAnsi="Garamond"/>
          <w:sz w:val="22"/>
          <w:szCs w:val="22"/>
        </w:rPr>
        <w:t>. Singapore: Springer.</w:t>
      </w:r>
    </w:p>
    <w:p w14:paraId="2A1338B8" w14:textId="77777777" w:rsidR="00120BCE" w:rsidRPr="00031381" w:rsidRDefault="00120BCE">
      <w:pPr>
        <w:rPr>
          <w:rFonts w:ascii="Garamond" w:hAnsi="Garamond"/>
          <w:sz w:val="22"/>
          <w:szCs w:val="22"/>
        </w:rPr>
      </w:pPr>
    </w:p>
    <w:p w14:paraId="3E73B10B" w14:textId="77777777" w:rsidR="00120BCE" w:rsidRPr="00031381" w:rsidRDefault="00000000">
      <w:pPr>
        <w:rPr>
          <w:rFonts w:ascii="Garamond" w:hAnsi="Garamond"/>
          <w:sz w:val="22"/>
          <w:szCs w:val="22"/>
        </w:rPr>
      </w:pPr>
      <w:r w:rsidRPr="00031381">
        <w:rPr>
          <w:rFonts w:ascii="Garamond" w:hAnsi="Garamond"/>
          <w:sz w:val="22"/>
          <w:szCs w:val="22"/>
        </w:rPr>
        <w:lastRenderedPageBreak/>
        <w:t xml:space="preserve">Hetherington, Stephen. 2022. “Knowing-to.” In Karyn L. Lai, eds., </w:t>
      </w:r>
      <w:proofErr w:type="gramStart"/>
      <w:r w:rsidRPr="00031381">
        <w:rPr>
          <w:rFonts w:ascii="Garamond" w:hAnsi="Garamond"/>
          <w:i/>
          <w:iCs/>
          <w:sz w:val="22"/>
          <w:szCs w:val="22"/>
        </w:rPr>
        <w:t>Knowers</w:t>
      </w:r>
      <w:proofErr w:type="gramEnd"/>
      <w:r w:rsidRPr="00031381">
        <w:rPr>
          <w:rFonts w:ascii="Garamond" w:hAnsi="Garamond"/>
          <w:i/>
          <w:iCs/>
          <w:sz w:val="22"/>
          <w:szCs w:val="22"/>
        </w:rPr>
        <w:t xml:space="preserve"> and Knowledge in East-West Philosophy</w:t>
      </w:r>
      <w:r w:rsidRPr="00031381">
        <w:rPr>
          <w:rFonts w:ascii="Garamond" w:hAnsi="Garamond"/>
          <w:sz w:val="22"/>
          <w:szCs w:val="22"/>
        </w:rPr>
        <w:t>. Cham: Palgrave Macmillan.</w:t>
      </w:r>
    </w:p>
    <w:p w14:paraId="775BC527" w14:textId="77777777" w:rsidR="00120BCE" w:rsidRPr="00031381" w:rsidRDefault="00120BCE">
      <w:pPr>
        <w:rPr>
          <w:rFonts w:ascii="Garamond" w:hAnsi="Garamond"/>
          <w:sz w:val="22"/>
          <w:szCs w:val="22"/>
        </w:rPr>
      </w:pPr>
    </w:p>
    <w:p w14:paraId="16A75CB6" w14:textId="77777777" w:rsidR="00120BCE" w:rsidRPr="00031381" w:rsidRDefault="00000000">
      <w:pPr>
        <w:rPr>
          <w:rFonts w:ascii="Garamond" w:hAnsi="Garamond"/>
          <w:sz w:val="22"/>
          <w:szCs w:val="22"/>
        </w:rPr>
      </w:pPr>
      <w:r w:rsidRPr="00031381">
        <w:rPr>
          <w:rFonts w:ascii="Garamond" w:hAnsi="Garamond"/>
          <w:sz w:val="22"/>
          <w:szCs w:val="22"/>
        </w:rPr>
        <w:t xml:space="preserve">Hetherington, </w:t>
      </w:r>
      <w:proofErr w:type="gramStart"/>
      <w:r w:rsidRPr="00031381">
        <w:rPr>
          <w:rFonts w:ascii="Garamond" w:hAnsi="Garamond"/>
          <w:sz w:val="22"/>
          <w:szCs w:val="22"/>
        </w:rPr>
        <w:t>Stephen</w:t>
      </w:r>
      <w:proofErr w:type="gramEnd"/>
      <w:r w:rsidRPr="00031381">
        <w:rPr>
          <w:rFonts w:ascii="Garamond" w:hAnsi="Garamond"/>
          <w:sz w:val="22"/>
          <w:szCs w:val="22"/>
        </w:rPr>
        <w:t xml:space="preserve"> and Karyn L. Lai. 2012. “</w:t>
      </w:r>
      <w:proofErr w:type="spellStart"/>
      <w:r w:rsidRPr="00031381">
        <w:rPr>
          <w:rFonts w:ascii="Garamond" w:hAnsi="Garamond"/>
          <w:sz w:val="22"/>
          <w:szCs w:val="22"/>
        </w:rPr>
        <w:t>Practising</w:t>
      </w:r>
      <w:proofErr w:type="spellEnd"/>
      <w:r w:rsidRPr="00031381">
        <w:rPr>
          <w:rFonts w:ascii="Garamond" w:hAnsi="Garamond"/>
          <w:sz w:val="22"/>
          <w:szCs w:val="22"/>
        </w:rPr>
        <w:t xml:space="preserve"> to Know: </w:t>
      </w:r>
      <w:proofErr w:type="spellStart"/>
      <w:r w:rsidRPr="00031381">
        <w:rPr>
          <w:rFonts w:ascii="Garamond" w:hAnsi="Garamond"/>
          <w:sz w:val="22"/>
          <w:szCs w:val="22"/>
        </w:rPr>
        <w:t>Practicalism</w:t>
      </w:r>
      <w:proofErr w:type="spellEnd"/>
    </w:p>
    <w:p w14:paraId="2D9C6931" w14:textId="77777777" w:rsidR="00120BCE" w:rsidRPr="00031381" w:rsidRDefault="00000000">
      <w:pPr>
        <w:rPr>
          <w:rFonts w:ascii="Garamond" w:hAnsi="Garamond"/>
          <w:sz w:val="22"/>
          <w:szCs w:val="22"/>
        </w:rPr>
      </w:pPr>
      <w:r w:rsidRPr="00031381">
        <w:rPr>
          <w:rFonts w:ascii="Garamond" w:hAnsi="Garamond"/>
          <w:sz w:val="22"/>
          <w:szCs w:val="22"/>
        </w:rPr>
        <w:t xml:space="preserve">and Confucian Philosophy.” </w:t>
      </w:r>
      <w:r w:rsidRPr="00031381">
        <w:rPr>
          <w:rFonts w:ascii="Garamond" w:hAnsi="Garamond"/>
          <w:i/>
          <w:iCs/>
          <w:sz w:val="22"/>
          <w:szCs w:val="22"/>
        </w:rPr>
        <w:t>Philosophy</w:t>
      </w:r>
      <w:r w:rsidRPr="00031381">
        <w:rPr>
          <w:rFonts w:ascii="Garamond" w:hAnsi="Garamond"/>
          <w:sz w:val="22"/>
          <w:szCs w:val="22"/>
        </w:rPr>
        <w:t xml:space="preserve"> 87: 375-393.</w:t>
      </w:r>
    </w:p>
    <w:p w14:paraId="647C43AE" w14:textId="77777777" w:rsidR="00120BCE" w:rsidRPr="00031381" w:rsidRDefault="00120BCE">
      <w:pPr>
        <w:rPr>
          <w:rFonts w:ascii="Garamond" w:hAnsi="Garamond"/>
          <w:sz w:val="22"/>
          <w:szCs w:val="22"/>
        </w:rPr>
      </w:pPr>
    </w:p>
    <w:p w14:paraId="0E3D63F9" w14:textId="77777777" w:rsidR="00120BCE" w:rsidRPr="00031381" w:rsidRDefault="00000000">
      <w:pPr>
        <w:rPr>
          <w:rFonts w:ascii="Garamond" w:hAnsi="Garamond"/>
          <w:sz w:val="22"/>
          <w:szCs w:val="22"/>
        </w:rPr>
      </w:pPr>
      <w:r w:rsidRPr="00031381">
        <w:rPr>
          <w:rFonts w:ascii="Garamond" w:hAnsi="Garamond"/>
          <w:sz w:val="22"/>
          <w:szCs w:val="22"/>
        </w:rPr>
        <w:t xml:space="preserve">Hetherington, </w:t>
      </w:r>
      <w:proofErr w:type="gramStart"/>
      <w:r w:rsidRPr="00031381">
        <w:rPr>
          <w:rFonts w:ascii="Garamond" w:hAnsi="Garamond"/>
          <w:sz w:val="22"/>
          <w:szCs w:val="22"/>
        </w:rPr>
        <w:t>Stephen</w:t>
      </w:r>
      <w:proofErr w:type="gramEnd"/>
      <w:r w:rsidRPr="00031381">
        <w:rPr>
          <w:rFonts w:ascii="Garamond" w:hAnsi="Garamond"/>
          <w:sz w:val="22"/>
          <w:szCs w:val="22"/>
        </w:rPr>
        <w:t xml:space="preserve"> and Karyn L. Lai. 2015. “Knowing-How and Knowing-To.” In Brian </w:t>
      </w:r>
      <w:proofErr w:type="spellStart"/>
      <w:r w:rsidRPr="00031381">
        <w:rPr>
          <w:rFonts w:ascii="Garamond" w:hAnsi="Garamond"/>
          <w:sz w:val="22"/>
          <w:szCs w:val="22"/>
        </w:rPr>
        <w:t>Bruya</w:t>
      </w:r>
      <w:proofErr w:type="spellEnd"/>
      <w:r w:rsidRPr="00031381">
        <w:rPr>
          <w:rFonts w:ascii="Garamond" w:hAnsi="Garamond"/>
          <w:sz w:val="22"/>
          <w:szCs w:val="22"/>
        </w:rPr>
        <w:t xml:space="preserve">, eds., </w:t>
      </w:r>
      <w:r w:rsidRPr="00031381">
        <w:rPr>
          <w:rFonts w:ascii="Garamond" w:hAnsi="Garamond"/>
          <w:i/>
          <w:iCs/>
          <w:sz w:val="22"/>
          <w:szCs w:val="22"/>
        </w:rPr>
        <w:t>The Philosophical Challenge from China</w:t>
      </w:r>
      <w:r w:rsidRPr="00031381">
        <w:rPr>
          <w:rFonts w:ascii="Garamond" w:hAnsi="Garamond"/>
          <w:sz w:val="22"/>
          <w:szCs w:val="22"/>
        </w:rPr>
        <w:t>. Cambridge, MA: MIT Press.</w:t>
      </w:r>
    </w:p>
    <w:p w14:paraId="6431014D" w14:textId="77777777" w:rsidR="00120BCE" w:rsidRPr="00031381" w:rsidRDefault="00120BCE">
      <w:pPr>
        <w:rPr>
          <w:rFonts w:ascii="Garamond" w:hAnsi="Garamond"/>
          <w:sz w:val="22"/>
          <w:szCs w:val="22"/>
        </w:rPr>
      </w:pPr>
    </w:p>
    <w:p w14:paraId="470BC981" w14:textId="77777777" w:rsidR="00120BCE" w:rsidRPr="00031381" w:rsidRDefault="00000000">
      <w:pPr>
        <w:rPr>
          <w:rFonts w:ascii="Garamond" w:hAnsi="Garamond"/>
          <w:sz w:val="22"/>
          <w:szCs w:val="22"/>
        </w:rPr>
      </w:pPr>
      <w:r w:rsidRPr="00031381">
        <w:rPr>
          <w:rFonts w:ascii="Garamond" w:hAnsi="Garamond"/>
          <w:sz w:val="22"/>
          <w:szCs w:val="22"/>
        </w:rPr>
        <w:t xml:space="preserve">Hickman, Natalia </w:t>
      </w:r>
      <w:proofErr w:type="spellStart"/>
      <w:r w:rsidRPr="00031381">
        <w:rPr>
          <w:rFonts w:ascii="Garamond" w:hAnsi="Garamond"/>
          <w:sz w:val="22"/>
          <w:szCs w:val="22"/>
        </w:rPr>
        <w:t>Waights</w:t>
      </w:r>
      <w:proofErr w:type="spellEnd"/>
      <w:r w:rsidRPr="00031381">
        <w:rPr>
          <w:rFonts w:ascii="Garamond" w:hAnsi="Garamond"/>
          <w:sz w:val="22"/>
          <w:szCs w:val="22"/>
        </w:rPr>
        <w:t xml:space="preserve">. 2019. “Knowing in the “Executive Way”: Knowing How, Rules, Methods, Principles and Criteria.” </w:t>
      </w:r>
      <w:r w:rsidRPr="00031381">
        <w:rPr>
          <w:rFonts w:ascii="Garamond" w:hAnsi="Garamond"/>
          <w:i/>
          <w:iCs/>
          <w:sz w:val="22"/>
          <w:szCs w:val="22"/>
        </w:rPr>
        <w:t>Philosophy and Phenomenological Research</w:t>
      </w:r>
      <w:r w:rsidRPr="00031381">
        <w:rPr>
          <w:rFonts w:ascii="Garamond" w:hAnsi="Garamond"/>
          <w:sz w:val="22"/>
          <w:szCs w:val="22"/>
        </w:rPr>
        <w:t xml:space="preserve"> 99.2: 311-335.</w:t>
      </w:r>
    </w:p>
    <w:p w14:paraId="2A3E2E3C" w14:textId="77777777" w:rsidR="00120BCE" w:rsidRPr="00031381" w:rsidRDefault="00120BCE">
      <w:pPr>
        <w:rPr>
          <w:rFonts w:ascii="Garamond" w:hAnsi="Garamond"/>
          <w:sz w:val="22"/>
          <w:szCs w:val="22"/>
        </w:rPr>
      </w:pPr>
    </w:p>
    <w:p w14:paraId="2E807B81" w14:textId="77777777" w:rsidR="00120BCE" w:rsidRPr="00031381" w:rsidRDefault="00000000">
      <w:pPr>
        <w:rPr>
          <w:rFonts w:ascii="Garamond" w:hAnsi="Garamond"/>
          <w:sz w:val="22"/>
          <w:szCs w:val="22"/>
        </w:rPr>
      </w:pPr>
      <w:proofErr w:type="gramStart"/>
      <w:r w:rsidRPr="00031381">
        <w:rPr>
          <w:rFonts w:ascii="Garamond" w:hAnsi="Garamond"/>
          <w:sz w:val="22"/>
          <w:szCs w:val="22"/>
        </w:rPr>
        <w:t>Huang,</w:t>
      </w:r>
      <w:proofErr w:type="gramEnd"/>
      <w:r w:rsidRPr="00031381">
        <w:rPr>
          <w:rFonts w:ascii="Garamond" w:hAnsi="Garamond"/>
          <w:sz w:val="22"/>
          <w:szCs w:val="22"/>
        </w:rPr>
        <w:t xml:space="preserve"> Yong. 2017. “Knowing-that, Knowing-how, or Knowing-to?” </w:t>
      </w:r>
      <w:r w:rsidRPr="00031381">
        <w:rPr>
          <w:rFonts w:ascii="Garamond" w:hAnsi="Garamond"/>
          <w:i/>
          <w:iCs/>
          <w:sz w:val="22"/>
          <w:szCs w:val="22"/>
        </w:rPr>
        <w:t>Journal of Philosophical Research</w:t>
      </w:r>
      <w:r w:rsidRPr="00031381">
        <w:rPr>
          <w:rFonts w:ascii="Garamond" w:hAnsi="Garamond"/>
          <w:sz w:val="22"/>
          <w:szCs w:val="22"/>
        </w:rPr>
        <w:t xml:space="preserve"> 42: 65–94.</w:t>
      </w:r>
    </w:p>
    <w:p w14:paraId="120ED730" w14:textId="77777777" w:rsidR="00120BCE" w:rsidRPr="00031381" w:rsidRDefault="00120BCE">
      <w:pPr>
        <w:rPr>
          <w:rFonts w:ascii="Garamond" w:hAnsi="Garamond"/>
          <w:sz w:val="22"/>
          <w:szCs w:val="22"/>
        </w:rPr>
      </w:pPr>
    </w:p>
    <w:p w14:paraId="5E61FF50" w14:textId="77777777" w:rsidR="00120BCE" w:rsidRPr="00031381" w:rsidRDefault="00000000">
      <w:pPr>
        <w:rPr>
          <w:rFonts w:ascii="Garamond" w:hAnsi="Garamond"/>
          <w:sz w:val="22"/>
          <w:szCs w:val="22"/>
        </w:rPr>
      </w:pPr>
      <w:proofErr w:type="gramStart"/>
      <w:r w:rsidRPr="00031381">
        <w:rPr>
          <w:rFonts w:ascii="Garamond" w:hAnsi="Garamond"/>
          <w:sz w:val="22"/>
          <w:szCs w:val="22"/>
        </w:rPr>
        <w:t>Huang,</w:t>
      </w:r>
      <w:proofErr w:type="gramEnd"/>
      <w:r w:rsidRPr="00031381">
        <w:rPr>
          <w:rFonts w:ascii="Garamond" w:hAnsi="Garamond"/>
          <w:sz w:val="22"/>
          <w:szCs w:val="22"/>
        </w:rPr>
        <w:t xml:space="preserve"> Yong. 2022. “A Third Platonic Problem for Sosa? Or How Wang </w:t>
      </w:r>
      <w:proofErr w:type="spellStart"/>
      <w:r w:rsidRPr="00031381">
        <w:rPr>
          <w:rFonts w:ascii="Garamond" w:hAnsi="Garamond"/>
          <w:sz w:val="22"/>
          <w:szCs w:val="22"/>
        </w:rPr>
        <w:t>Yangming</w:t>
      </w:r>
      <w:proofErr w:type="spellEnd"/>
      <w:r w:rsidRPr="00031381">
        <w:rPr>
          <w:rFonts w:ascii="Garamond" w:hAnsi="Garamond"/>
          <w:sz w:val="22"/>
          <w:szCs w:val="22"/>
        </w:rPr>
        <w:t xml:space="preserve"> Can Know Better than </w:t>
      </w:r>
      <w:r w:rsidRPr="00031381">
        <w:rPr>
          <w:rFonts w:ascii="Garamond" w:hAnsi="Garamond"/>
          <w:i/>
          <w:iCs/>
          <w:sz w:val="22"/>
          <w:szCs w:val="22"/>
        </w:rPr>
        <w:t>Full Well</w:t>
      </w:r>
      <w:r w:rsidRPr="00031381">
        <w:rPr>
          <w:rFonts w:ascii="Garamond" w:hAnsi="Garamond"/>
          <w:sz w:val="22"/>
          <w:szCs w:val="22"/>
        </w:rPr>
        <w:t xml:space="preserve">?” In Huang Yong, eds., </w:t>
      </w:r>
      <w:r w:rsidRPr="00031381">
        <w:rPr>
          <w:rFonts w:ascii="Garamond" w:hAnsi="Garamond"/>
          <w:i/>
          <w:iCs/>
          <w:sz w:val="22"/>
          <w:szCs w:val="22"/>
        </w:rPr>
        <w:t>Ernest Sosa Encountering Chinese Philosophy</w:t>
      </w:r>
      <w:r w:rsidRPr="00031381">
        <w:rPr>
          <w:rFonts w:ascii="Garamond" w:hAnsi="Garamond"/>
          <w:sz w:val="22"/>
          <w:szCs w:val="22"/>
        </w:rPr>
        <w:t>. London: Bloomsbury Academic.</w:t>
      </w:r>
    </w:p>
    <w:p w14:paraId="708C86B6" w14:textId="77777777" w:rsidR="00120BCE" w:rsidRPr="00031381" w:rsidRDefault="00120BCE">
      <w:pPr>
        <w:rPr>
          <w:rFonts w:ascii="Garamond" w:hAnsi="Garamond"/>
          <w:sz w:val="22"/>
          <w:szCs w:val="22"/>
        </w:rPr>
      </w:pPr>
    </w:p>
    <w:p w14:paraId="5A18EE79" w14:textId="77777777" w:rsidR="00120BCE" w:rsidRPr="00031381" w:rsidRDefault="00000000">
      <w:pPr>
        <w:rPr>
          <w:rFonts w:ascii="Garamond" w:hAnsi="Garamond"/>
          <w:sz w:val="22"/>
          <w:szCs w:val="22"/>
        </w:rPr>
      </w:pPr>
      <w:r w:rsidRPr="00031381">
        <w:rPr>
          <w:rFonts w:ascii="Garamond" w:hAnsi="Garamond"/>
          <w:sz w:val="22"/>
          <w:szCs w:val="22"/>
        </w:rPr>
        <w:t xml:space="preserve">Hyman, John. 2015. </w:t>
      </w:r>
      <w:r w:rsidRPr="00031381">
        <w:rPr>
          <w:rFonts w:ascii="Garamond" w:hAnsi="Garamond"/>
          <w:i/>
          <w:iCs/>
          <w:sz w:val="22"/>
          <w:szCs w:val="22"/>
        </w:rPr>
        <w:t>Action, Knowledge, and Will</w:t>
      </w:r>
      <w:r w:rsidRPr="00031381">
        <w:rPr>
          <w:rFonts w:ascii="Garamond" w:hAnsi="Garamond"/>
          <w:sz w:val="22"/>
          <w:szCs w:val="22"/>
        </w:rPr>
        <w:t>. Oxford: Oxford University Press.</w:t>
      </w:r>
    </w:p>
    <w:p w14:paraId="098189A0" w14:textId="77777777" w:rsidR="00120BCE" w:rsidRPr="00031381" w:rsidRDefault="00120BCE">
      <w:pPr>
        <w:rPr>
          <w:rFonts w:ascii="Garamond" w:hAnsi="Garamond"/>
          <w:sz w:val="22"/>
          <w:szCs w:val="22"/>
        </w:rPr>
      </w:pPr>
    </w:p>
    <w:p w14:paraId="498987A8" w14:textId="77777777" w:rsidR="00120BCE" w:rsidRPr="00031381" w:rsidRDefault="00000000">
      <w:pPr>
        <w:rPr>
          <w:rFonts w:ascii="Garamond" w:hAnsi="Garamond"/>
          <w:sz w:val="22"/>
          <w:szCs w:val="22"/>
        </w:rPr>
      </w:pPr>
      <w:r w:rsidRPr="00031381">
        <w:rPr>
          <w:rFonts w:ascii="Garamond" w:hAnsi="Garamond"/>
          <w:sz w:val="22"/>
          <w:szCs w:val="22"/>
        </w:rPr>
        <w:t xml:space="preserve">Hyman, John. 2017. “Knowledge and Belief.” </w:t>
      </w:r>
      <w:r w:rsidRPr="00031381">
        <w:rPr>
          <w:rFonts w:ascii="Garamond" w:hAnsi="Garamond"/>
          <w:i/>
          <w:iCs/>
          <w:sz w:val="22"/>
          <w:szCs w:val="22"/>
        </w:rPr>
        <w:t>Aristotelian Society Supplementary Volume</w:t>
      </w:r>
      <w:r w:rsidRPr="00031381">
        <w:rPr>
          <w:rFonts w:ascii="Garamond" w:hAnsi="Garamond"/>
          <w:sz w:val="22"/>
          <w:szCs w:val="22"/>
        </w:rPr>
        <w:t xml:space="preserve"> 91.1: 267-288.</w:t>
      </w:r>
    </w:p>
    <w:p w14:paraId="3C260B47" w14:textId="77777777" w:rsidR="00120BCE" w:rsidRPr="00031381" w:rsidRDefault="00120BCE">
      <w:pPr>
        <w:rPr>
          <w:rFonts w:ascii="Garamond" w:hAnsi="Garamond"/>
          <w:sz w:val="22"/>
          <w:szCs w:val="22"/>
        </w:rPr>
      </w:pPr>
    </w:p>
    <w:p w14:paraId="1A8B7511" w14:textId="77777777" w:rsidR="00120BCE" w:rsidRPr="00031381" w:rsidRDefault="00000000">
      <w:pPr>
        <w:rPr>
          <w:rFonts w:ascii="Garamond" w:hAnsi="Garamond"/>
          <w:sz w:val="22"/>
          <w:szCs w:val="22"/>
        </w:rPr>
      </w:pPr>
      <w:r w:rsidRPr="00031381">
        <w:rPr>
          <w:rFonts w:ascii="Garamond" w:hAnsi="Garamond"/>
          <w:sz w:val="22"/>
          <w:szCs w:val="22"/>
        </w:rPr>
        <w:t xml:space="preserve">Jiao, </w:t>
      </w:r>
      <w:proofErr w:type="spellStart"/>
      <w:r w:rsidRPr="00031381">
        <w:rPr>
          <w:rFonts w:ascii="Garamond" w:hAnsi="Garamond"/>
          <w:sz w:val="22"/>
          <w:szCs w:val="22"/>
        </w:rPr>
        <w:t>Xun</w:t>
      </w:r>
      <w:proofErr w:type="spellEnd"/>
      <w:r w:rsidRPr="00031381">
        <w:rPr>
          <w:rFonts w:ascii="Garamond" w:hAnsi="Garamond"/>
          <w:sz w:val="22"/>
          <w:szCs w:val="22"/>
        </w:rPr>
        <w:t xml:space="preserve"> </w:t>
      </w:r>
      <w:r w:rsidRPr="00031381">
        <w:rPr>
          <w:rFonts w:ascii="Garamond" w:hAnsi="Garamond"/>
          <w:sz w:val="22"/>
          <w:szCs w:val="22"/>
        </w:rPr>
        <w:t>焦循</w:t>
      </w:r>
      <w:r w:rsidRPr="00031381">
        <w:rPr>
          <w:rFonts w:ascii="Garamond" w:hAnsi="Garamond"/>
          <w:sz w:val="22"/>
          <w:szCs w:val="22"/>
        </w:rPr>
        <w:t xml:space="preserve"> (1763-1820). 1987. </w:t>
      </w:r>
      <w:r w:rsidRPr="00031381">
        <w:rPr>
          <w:rFonts w:ascii="Garamond" w:hAnsi="Garamond"/>
          <w:i/>
          <w:iCs/>
          <w:sz w:val="22"/>
          <w:szCs w:val="22"/>
        </w:rPr>
        <w:t xml:space="preserve">The Correct Meaning of the </w:t>
      </w:r>
      <w:r w:rsidRPr="00031381">
        <w:rPr>
          <w:rFonts w:ascii="Garamond" w:hAnsi="Garamond"/>
          <w:sz w:val="22"/>
          <w:szCs w:val="22"/>
        </w:rPr>
        <w:t>Mencius</w:t>
      </w:r>
      <w:r w:rsidRPr="00031381">
        <w:rPr>
          <w:rFonts w:ascii="Garamond" w:hAnsi="Garamond"/>
          <w:i/>
          <w:iCs/>
          <w:sz w:val="22"/>
          <w:szCs w:val="22"/>
        </w:rPr>
        <w:t xml:space="preserve"> </w:t>
      </w:r>
      <w:r w:rsidRPr="00031381">
        <w:rPr>
          <w:rFonts w:ascii="Garamond" w:hAnsi="Garamond"/>
          <w:sz w:val="22"/>
          <w:szCs w:val="22"/>
        </w:rPr>
        <w:t>孟子正義</w:t>
      </w:r>
      <w:r w:rsidRPr="00031381">
        <w:rPr>
          <w:rFonts w:ascii="Garamond" w:hAnsi="Garamond"/>
          <w:sz w:val="22"/>
          <w:szCs w:val="22"/>
        </w:rPr>
        <w:t xml:space="preserve">. Beijing </w:t>
      </w:r>
      <w:r w:rsidRPr="00031381">
        <w:rPr>
          <w:rFonts w:ascii="Garamond" w:hAnsi="Garamond"/>
          <w:sz w:val="22"/>
          <w:szCs w:val="22"/>
        </w:rPr>
        <w:t>北京</w:t>
      </w:r>
      <w:r w:rsidRPr="00031381">
        <w:rPr>
          <w:rFonts w:ascii="Garamond" w:hAnsi="Garamond"/>
          <w:sz w:val="22"/>
          <w:szCs w:val="22"/>
        </w:rPr>
        <w:t xml:space="preserve">: </w:t>
      </w:r>
      <w:proofErr w:type="spellStart"/>
      <w:r w:rsidRPr="00031381">
        <w:rPr>
          <w:rFonts w:ascii="Garamond" w:hAnsi="Garamond"/>
          <w:sz w:val="22"/>
          <w:szCs w:val="22"/>
        </w:rPr>
        <w:t>Zhonghua</w:t>
      </w:r>
      <w:proofErr w:type="spellEnd"/>
      <w:r w:rsidRPr="00031381">
        <w:rPr>
          <w:rFonts w:ascii="Garamond" w:hAnsi="Garamond"/>
          <w:sz w:val="22"/>
          <w:szCs w:val="22"/>
        </w:rPr>
        <w:t xml:space="preserve"> </w:t>
      </w:r>
      <w:proofErr w:type="spellStart"/>
      <w:r w:rsidRPr="00031381">
        <w:rPr>
          <w:rFonts w:ascii="Garamond" w:hAnsi="Garamond"/>
          <w:sz w:val="22"/>
          <w:szCs w:val="22"/>
        </w:rPr>
        <w:t>Shuju</w:t>
      </w:r>
      <w:proofErr w:type="spellEnd"/>
      <w:r w:rsidRPr="00031381">
        <w:rPr>
          <w:rFonts w:ascii="Garamond" w:hAnsi="Garamond"/>
          <w:sz w:val="22"/>
          <w:szCs w:val="22"/>
        </w:rPr>
        <w:t xml:space="preserve"> </w:t>
      </w:r>
      <w:r w:rsidRPr="00031381">
        <w:rPr>
          <w:rFonts w:ascii="Garamond" w:hAnsi="Garamond"/>
          <w:sz w:val="22"/>
          <w:szCs w:val="22"/>
        </w:rPr>
        <w:t>中華書局</w:t>
      </w:r>
      <w:r w:rsidRPr="00031381">
        <w:rPr>
          <w:rFonts w:ascii="Garamond" w:hAnsi="Garamond"/>
          <w:sz w:val="22"/>
          <w:szCs w:val="22"/>
        </w:rPr>
        <w:t>.</w:t>
      </w:r>
    </w:p>
    <w:p w14:paraId="7316D195" w14:textId="77777777" w:rsidR="00120BCE" w:rsidRPr="00031381" w:rsidRDefault="00120BCE">
      <w:pPr>
        <w:rPr>
          <w:rFonts w:ascii="Garamond" w:hAnsi="Garamond"/>
          <w:sz w:val="22"/>
          <w:szCs w:val="22"/>
        </w:rPr>
      </w:pPr>
    </w:p>
    <w:p w14:paraId="4D733B1D" w14:textId="77777777" w:rsidR="00120BCE" w:rsidRPr="00031381" w:rsidRDefault="00000000">
      <w:pPr>
        <w:rPr>
          <w:rFonts w:ascii="Garamond" w:hAnsi="Garamond"/>
          <w:sz w:val="22"/>
          <w:szCs w:val="22"/>
        </w:rPr>
      </w:pPr>
      <w:r w:rsidRPr="00031381">
        <w:rPr>
          <w:rFonts w:ascii="Garamond" w:hAnsi="Garamond"/>
          <w:sz w:val="22"/>
          <w:szCs w:val="22"/>
        </w:rPr>
        <w:t xml:space="preserve">Kim, </w:t>
      </w:r>
      <w:proofErr w:type="spellStart"/>
      <w:r w:rsidRPr="00031381">
        <w:rPr>
          <w:rFonts w:ascii="Garamond" w:hAnsi="Garamond"/>
          <w:sz w:val="22"/>
          <w:szCs w:val="22"/>
        </w:rPr>
        <w:t>Myeong</w:t>
      </w:r>
      <w:proofErr w:type="spellEnd"/>
      <w:r w:rsidRPr="00031381">
        <w:rPr>
          <w:rFonts w:ascii="Garamond" w:hAnsi="Garamond"/>
          <w:sz w:val="22"/>
          <w:szCs w:val="22"/>
        </w:rPr>
        <w:t xml:space="preserve">-Seok. </w:t>
      </w:r>
      <w:r w:rsidRPr="00031381">
        <w:rPr>
          <w:rFonts w:ascii="Garamond" w:eastAsia="Times New Roman" w:hAnsi="Garamond"/>
          <w:sz w:val="22"/>
          <w:szCs w:val="22"/>
        </w:rPr>
        <w:t xml:space="preserve">2014. “Is There No Distinction between Reason and Emotion in Mengzi?” </w:t>
      </w:r>
      <w:r w:rsidRPr="00031381">
        <w:rPr>
          <w:rFonts w:ascii="Garamond" w:eastAsia="Times New Roman" w:hAnsi="Garamond"/>
          <w:i/>
          <w:sz w:val="22"/>
          <w:szCs w:val="22"/>
        </w:rPr>
        <w:t>Philosophy East and West</w:t>
      </w:r>
      <w:r w:rsidRPr="00031381">
        <w:rPr>
          <w:rFonts w:ascii="Garamond" w:eastAsia="Times New Roman" w:hAnsi="Garamond"/>
          <w:sz w:val="22"/>
          <w:szCs w:val="22"/>
        </w:rPr>
        <w:t xml:space="preserve"> 64: 49–81. (Provides a thorough analysis of various epistemic functions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wisdom.)</w:t>
      </w:r>
    </w:p>
    <w:p w14:paraId="58AF9649" w14:textId="77777777" w:rsidR="00120BCE" w:rsidRPr="00031381" w:rsidRDefault="00120BCE">
      <w:pPr>
        <w:rPr>
          <w:rFonts w:ascii="Garamond" w:eastAsia="Times New Roman" w:hAnsi="Garamond"/>
          <w:sz w:val="22"/>
          <w:szCs w:val="22"/>
        </w:rPr>
      </w:pPr>
    </w:p>
    <w:p w14:paraId="632544AF" w14:textId="77777777" w:rsidR="00120BCE" w:rsidRPr="00031381" w:rsidRDefault="00000000">
      <w:pPr>
        <w:rPr>
          <w:rFonts w:ascii="Garamond" w:hAnsi="Garamond"/>
          <w:sz w:val="22"/>
          <w:szCs w:val="22"/>
        </w:rPr>
      </w:pPr>
      <w:proofErr w:type="spellStart"/>
      <w:r w:rsidRPr="00031381">
        <w:rPr>
          <w:rFonts w:ascii="Garamond" w:eastAsia="Times New Roman" w:hAnsi="Garamond"/>
          <w:sz w:val="22"/>
          <w:szCs w:val="22"/>
        </w:rPr>
        <w:t>Kvanvig</w:t>
      </w:r>
      <w:proofErr w:type="spellEnd"/>
      <w:r w:rsidRPr="00031381">
        <w:rPr>
          <w:rFonts w:ascii="Garamond" w:eastAsia="Times New Roman" w:hAnsi="Garamond"/>
          <w:sz w:val="22"/>
          <w:szCs w:val="22"/>
        </w:rPr>
        <w:t xml:space="preserve">, Jonathan L. 2003. </w:t>
      </w:r>
      <w:r w:rsidRPr="00031381">
        <w:rPr>
          <w:rFonts w:ascii="Garamond" w:eastAsia="Times New Roman" w:hAnsi="Garamond"/>
          <w:i/>
          <w:iCs/>
          <w:sz w:val="22"/>
          <w:szCs w:val="22"/>
        </w:rPr>
        <w:t>The Value of Knowledge and the Pursuit of Understanding</w:t>
      </w:r>
      <w:r w:rsidRPr="00031381">
        <w:rPr>
          <w:rFonts w:ascii="Garamond" w:eastAsia="Times New Roman" w:hAnsi="Garamond"/>
          <w:sz w:val="22"/>
          <w:szCs w:val="22"/>
        </w:rPr>
        <w:t>. Cambridge: Cambridge University Press.</w:t>
      </w:r>
    </w:p>
    <w:p w14:paraId="27C8E96F" w14:textId="77777777" w:rsidR="00120BCE" w:rsidRPr="00031381" w:rsidRDefault="00120BCE">
      <w:pPr>
        <w:rPr>
          <w:rFonts w:ascii="Garamond" w:eastAsia="Times New Roman" w:hAnsi="Garamond"/>
          <w:sz w:val="22"/>
          <w:szCs w:val="22"/>
        </w:rPr>
      </w:pPr>
    </w:p>
    <w:p w14:paraId="61B00477" w14:textId="77777777" w:rsidR="00120BCE" w:rsidRPr="00031381" w:rsidRDefault="00000000">
      <w:pPr>
        <w:rPr>
          <w:rFonts w:ascii="Garamond" w:hAnsi="Garamond"/>
          <w:sz w:val="22"/>
          <w:szCs w:val="22"/>
        </w:rPr>
      </w:pPr>
      <w:r w:rsidRPr="00031381">
        <w:rPr>
          <w:rFonts w:ascii="Garamond" w:eastAsia="Times New Roman" w:hAnsi="Garamond"/>
          <w:sz w:val="22"/>
          <w:szCs w:val="22"/>
        </w:rPr>
        <w:t xml:space="preserve">Lai, Karyn L. “Knowing to Act in the Moment: Examples from Confucius ‘Analects’.” </w:t>
      </w:r>
      <w:r w:rsidRPr="00031381">
        <w:rPr>
          <w:rFonts w:ascii="Garamond" w:eastAsia="Times New Roman" w:hAnsi="Garamond"/>
          <w:i/>
          <w:iCs/>
          <w:sz w:val="22"/>
          <w:szCs w:val="22"/>
        </w:rPr>
        <w:t>Asian Philosophy</w:t>
      </w:r>
      <w:r w:rsidRPr="00031381">
        <w:rPr>
          <w:rFonts w:ascii="Garamond" w:eastAsia="Times New Roman" w:hAnsi="Garamond"/>
          <w:sz w:val="22"/>
          <w:szCs w:val="22"/>
        </w:rPr>
        <w:t xml:space="preserve"> 22.4: 347-364.</w:t>
      </w:r>
    </w:p>
    <w:p w14:paraId="38A82B76" w14:textId="77777777" w:rsidR="00120BCE" w:rsidRPr="00031381" w:rsidRDefault="00120BCE">
      <w:pPr>
        <w:rPr>
          <w:rFonts w:ascii="Garamond" w:hAnsi="Garamond"/>
          <w:sz w:val="22"/>
          <w:szCs w:val="22"/>
        </w:rPr>
      </w:pPr>
    </w:p>
    <w:p w14:paraId="26982CBA" w14:textId="77777777" w:rsidR="00120BCE" w:rsidRPr="00031381" w:rsidRDefault="00000000">
      <w:pPr>
        <w:rPr>
          <w:rFonts w:ascii="Garamond" w:hAnsi="Garamond"/>
          <w:sz w:val="22"/>
          <w:szCs w:val="22"/>
        </w:rPr>
      </w:pPr>
      <w:r w:rsidRPr="00031381">
        <w:rPr>
          <w:rFonts w:ascii="Garamond" w:hAnsi="Garamond"/>
          <w:sz w:val="22"/>
          <w:szCs w:val="22"/>
        </w:rPr>
        <w:t xml:space="preserve">Lau, D. C. </w:t>
      </w:r>
      <w:r w:rsidRPr="00031381">
        <w:rPr>
          <w:rFonts w:ascii="Garamond" w:hAnsi="Garamond"/>
          <w:sz w:val="22"/>
          <w:szCs w:val="22"/>
        </w:rPr>
        <w:t>劉殿爵</w:t>
      </w:r>
      <w:r w:rsidRPr="00031381">
        <w:rPr>
          <w:rFonts w:ascii="Garamond" w:hAnsi="Garamond"/>
          <w:sz w:val="22"/>
          <w:szCs w:val="22"/>
        </w:rPr>
        <w:t xml:space="preserve">, trans. 2013. </w:t>
      </w:r>
      <w:r w:rsidRPr="00031381">
        <w:rPr>
          <w:rFonts w:ascii="Garamond" w:hAnsi="Garamond"/>
          <w:i/>
          <w:iCs/>
          <w:sz w:val="22"/>
          <w:szCs w:val="22"/>
        </w:rPr>
        <w:t>Mencius: A Bilingual Edition</w:t>
      </w:r>
      <w:r w:rsidRPr="00031381">
        <w:rPr>
          <w:rFonts w:ascii="Garamond" w:hAnsi="Garamond"/>
          <w:sz w:val="22"/>
          <w:szCs w:val="22"/>
        </w:rPr>
        <w:t>. Hong Kong: The Chinese University Press.</w:t>
      </w:r>
    </w:p>
    <w:p w14:paraId="36F8B3C3" w14:textId="77777777" w:rsidR="00120BCE" w:rsidRPr="00031381" w:rsidRDefault="00120BCE">
      <w:pPr>
        <w:rPr>
          <w:rFonts w:ascii="Garamond" w:hAnsi="Garamond"/>
          <w:sz w:val="22"/>
          <w:szCs w:val="22"/>
        </w:rPr>
      </w:pPr>
    </w:p>
    <w:p w14:paraId="7E1511A8" w14:textId="77777777" w:rsidR="00120BCE" w:rsidRPr="00031381" w:rsidRDefault="00000000">
      <w:pPr>
        <w:rPr>
          <w:rFonts w:ascii="Garamond" w:hAnsi="Garamond"/>
          <w:sz w:val="22"/>
          <w:szCs w:val="22"/>
        </w:rPr>
      </w:pPr>
      <w:proofErr w:type="spellStart"/>
      <w:r w:rsidRPr="00031381">
        <w:rPr>
          <w:rFonts w:ascii="Garamond" w:hAnsi="Garamond"/>
          <w:sz w:val="22"/>
          <w:szCs w:val="22"/>
        </w:rPr>
        <w:t>Legge</w:t>
      </w:r>
      <w:proofErr w:type="spellEnd"/>
      <w:r w:rsidRPr="00031381">
        <w:rPr>
          <w:rFonts w:ascii="Garamond" w:hAnsi="Garamond"/>
          <w:sz w:val="22"/>
          <w:szCs w:val="22"/>
        </w:rPr>
        <w:t xml:space="preserve">, James, trans. 1895. </w:t>
      </w:r>
      <w:r w:rsidRPr="00031381">
        <w:rPr>
          <w:rFonts w:ascii="Garamond" w:hAnsi="Garamond"/>
          <w:i/>
          <w:iCs/>
          <w:sz w:val="22"/>
          <w:szCs w:val="22"/>
        </w:rPr>
        <w:t>The Works of Mencius</w:t>
      </w:r>
      <w:r w:rsidRPr="00031381">
        <w:rPr>
          <w:rFonts w:ascii="Garamond" w:hAnsi="Garamond"/>
          <w:sz w:val="22"/>
          <w:szCs w:val="22"/>
        </w:rPr>
        <w:t>. Oxford: Clarendon Press.</w:t>
      </w:r>
    </w:p>
    <w:p w14:paraId="095367B9" w14:textId="77777777" w:rsidR="00120BCE" w:rsidRPr="00031381" w:rsidRDefault="00120BCE">
      <w:pPr>
        <w:rPr>
          <w:rFonts w:ascii="Garamond" w:hAnsi="Garamond"/>
          <w:sz w:val="22"/>
          <w:szCs w:val="22"/>
        </w:rPr>
      </w:pPr>
    </w:p>
    <w:p w14:paraId="5FBEEA43" w14:textId="77777777" w:rsidR="00120BCE" w:rsidRPr="00031381" w:rsidRDefault="00000000">
      <w:pPr>
        <w:rPr>
          <w:rFonts w:ascii="Garamond" w:hAnsi="Garamond"/>
          <w:sz w:val="22"/>
          <w:szCs w:val="22"/>
        </w:rPr>
      </w:pPr>
      <w:r w:rsidRPr="00031381">
        <w:rPr>
          <w:rFonts w:ascii="Garamond" w:hAnsi="Garamond"/>
          <w:sz w:val="22"/>
          <w:szCs w:val="22"/>
        </w:rPr>
        <w:t>Martens, David Brian. 2010. “Knowledge by Acquaintance/by Description.” In Jonathan Dancy,</w:t>
      </w:r>
    </w:p>
    <w:p w14:paraId="3A2E062D" w14:textId="77777777" w:rsidR="00120BCE" w:rsidRPr="00031381" w:rsidRDefault="00000000">
      <w:pPr>
        <w:rPr>
          <w:rFonts w:ascii="Garamond" w:hAnsi="Garamond"/>
          <w:sz w:val="22"/>
          <w:szCs w:val="22"/>
        </w:rPr>
      </w:pPr>
      <w:r w:rsidRPr="00031381">
        <w:rPr>
          <w:rFonts w:ascii="Garamond" w:hAnsi="Garamond"/>
          <w:sz w:val="22"/>
          <w:szCs w:val="22"/>
        </w:rPr>
        <w:t xml:space="preserve">Ernest Sosa and Matthias </w:t>
      </w:r>
      <w:proofErr w:type="spellStart"/>
      <w:r w:rsidRPr="00031381">
        <w:rPr>
          <w:rFonts w:ascii="Garamond" w:hAnsi="Garamond"/>
          <w:sz w:val="22"/>
          <w:szCs w:val="22"/>
        </w:rPr>
        <w:t>Steup</w:t>
      </w:r>
      <w:proofErr w:type="spellEnd"/>
      <w:r w:rsidRPr="00031381">
        <w:rPr>
          <w:rFonts w:ascii="Garamond" w:hAnsi="Garamond"/>
          <w:sz w:val="22"/>
          <w:szCs w:val="22"/>
        </w:rPr>
        <w:t xml:space="preserve">, eds., </w:t>
      </w:r>
      <w:r w:rsidRPr="00031381">
        <w:rPr>
          <w:rFonts w:ascii="Garamond" w:hAnsi="Garamond"/>
          <w:i/>
          <w:iCs/>
          <w:sz w:val="22"/>
          <w:szCs w:val="22"/>
        </w:rPr>
        <w:t>A Companion to Epistemology</w:t>
      </w:r>
      <w:r w:rsidRPr="00031381">
        <w:rPr>
          <w:rFonts w:ascii="Garamond" w:hAnsi="Garamond"/>
          <w:sz w:val="22"/>
          <w:szCs w:val="22"/>
        </w:rPr>
        <w:t>, 2nd ed. Oxford: Blackwell.</w:t>
      </w:r>
    </w:p>
    <w:p w14:paraId="12AFAD2A" w14:textId="77777777" w:rsidR="00120BCE" w:rsidRPr="00031381" w:rsidRDefault="00120BCE">
      <w:pPr>
        <w:rPr>
          <w:rFonts w:ascii="Garamond" w:hAnsi="Garamond"/>
          <w:sz w:val="22"/>
          <w:szCs w:val="22"/>
        </w:rPr>
      </w:pPr>
    </w:p>
    <w:p w14:paraId="7892DC4D" w14:textId="77777777" w:rsidR="00120BCE" w:rsidRPr="00031381" w:rsidRDefault="00000000">
      <w:pPr>
        <w:rPr>
          <w:rFonts w:ascii="Garamond" w:hAnsi="Garamond"/>
          <w:sz w:val="22"/>
          <w:szCs w:val="22"/>
        </w:rPr>
      </w:pPr>
      <w:proofErr w:type="spellStart"/>
      <w:r w:rsidRPr="00031381">
        <w:rPr>
          <w:rFonts w:ascii="Garamond" w:hAnsi="Garamond"/>
          <w:sz w:val="22"/>
          <w:szCs w:val="22"/>
        </w:rPr>
        <w:t>Miracchi</w:t>
      </w:r>
      <w:proofErr w:type="spellEnd"/>
      <w:r w:rsidRPr="00031381">
        <w:rPr>
          <w:rFonts w:ascii="Garamond" w:hAnsi="Garamond"/>
          <w:sz w:val="22"/>
          <w:szCs w:val="22"/>
        </w:rPr>
        <w:t xml:space="preserve">, Lisa. 2015. “Competence to know.” </w:t>
      </w:r>
      <w:r w:rsidRPr="00031381">
        <w:rPr>
          <w:rFonts w:ascii="Garamond" w:hAnsi="Garamond"/>
          <w:i/>
          <w:iCs/>
          <w:sz w:val="22"/>
          <w:szCs w:val="22"/>
        </w:rPr>
        <w:t>Philosophical Studies</w:t>
      </w:r>
      <w:r w:rsidRPr="00031381">
        <w:rPr>
          <w:rFonts w:ascii="Garamond" w:hAnsi="Garamond"/>
          <w:sz w:val="22"/>
          <w:szCs w:val="22"/>
        </w:rPr>
        <w:t xml:space="preserve"> 172: 29-56.</w:t>
      </w:r>
    </w:p>
    <w:p w14:paraId="351A7115" w14:textId="77777777" w:rsidR="00120BCE" w:rsidRPr="00031381" w:rsidRDefault="00120BCE">
      <w:pPr>
        <w:rPr>
          <w:rFonts w:ascii="Garamond" w:hAnsi="Garamond"/>
          <w:sz w:val="22"/>
          <w:szCs w:val="22"/>
        </w:rPr>
      </w:pPr>
    </w:p>
    <w:p w14:paraId="5270F6E3" w14:textId="77777777" w:rsidR="00120BCE" w:rsidRPr="00031381" w:rsidRDefault="00000000">
      <w:pPr>
        <w:rPr>
          <w:rFonts w:ascii="Garamond" w:hAnsi="Garamond"/>
          <w:sz w:val="22"/>
          <w:szCs w:val="22"/>
        </w:rPr>
      </w:pPr>
      <w:r w:rsidRPr="00031381">
        <w:rPr>
          <w:rFonts w:ascii="Garamond" w:hAnsi="Garamond"/>
          <w:sz w:val="22"/>
          <w:szCs w:val="22"/>
        </w:rPr>
        <w:t xml:space="preserve">Perkins, Franklin. 2002. “Mencius, Emotion, and Autonomy.” </w:t>
      </w:r>
      <w:r w:rsidRPr="00031381">
        <w:rPr>
          <w:rFonts w:ascii="Garamond" w:hAnsi="Garamond"/>
          <w:i/>
          <w:iCs/>
          <w:sz w:val="22"/>
          <w:szCs w:val="22"/>
        </w:rPr>
        <w:t>Journal of Chinese Philosophy</w:t>
      </w:r>
      <w:r w:rsidRPr="00031381">
        <w:rPr>
          <w:rFonts w:ascii="Garamond" w:hAnsi="Garamond"/>
          <w:sz w:val="22"/>
          <w:szCs w:val="22"/>
        </w:rPr>
        <w:t xml:space="preserve"> 29.2: 207–226.</w:t>
      </w:r>
    </w:p>
    <w:p w14:paraId="52BC4E83" w14:textId="77777777" w:rsidR="00120BCE" w:rsidRPr="00031381" w:rsidRDefault="00120BCE">
      <w:pPr>
        <w:rPr>
          <w:rFonts w:ascii="Garamond" w:hAnsi="Garamond"/>
          <w:sz w:val="22"/>
          <w:szCs w:val="22"/>
        </w:rPr>
      </w:pPr>
    </w:p>
    <w:p w14:paraId="1D1CCE96" w14:textId="77777777" w:rsidR="00120BCE" w:rsidRPr="00031381" w:rsidRDefault="00000000">
      <w:pPr>
        <w:rPr>
          <w:rFonts w:ascii="Garamond" w:hAnsi="Garamond"/>
          <w:sz w:val="22"/>
          <w:szCs w:val="22"/>
        </w:rPr>
      </w:pPr>
      <w:r w:rsidRPr="00031381">
        <w:rPr>
          <w:rFonts w:ascii="Garamond" w:hAnsi="Garamond"/>
          <w:sz w:val="22"/>
          <w:szCs w:val="22"/>
        </w:rPr>
        <w:t xml:space="preserve">Perkins, Franklin. 2022. </w:t>
      </w:r>
      <w:r w:rsidRPr="00031381">
        <w:rPr>
          <w:rFonts w:ascii="Garamond" w:hAnsi="Garamond"/>
          <w:i/>
          <w:iCs/>
          <w:sz w:val="22"/>
          <w:szCs w:val="22"/>
        </w:rPr>
        <w:t>Doing What You Really Want: An Introduction to the Philosophy of Mengzi</w:t>
      </w:r>
      <w:r w:rsidRPr="00031381">
        <w:rPr>
          <w:rFonts w:ascii="Garamond" w:hAnsi="Garamond"/>
          <w:sz w:val="22"/>
          <w:szCs w:val="22"/>
        </w:rPr>
        <w:t>. Oxford: Oxford University Press.</w:t>
      </w:r>
    </w:p>
    <w:p w14:paraId="752DFF8B" w14:textId="77777777" w:rsidR="00120BCE" w:rsidRPr="00031381" w:rsidRDefault="00120BCE">
      <w:pPr>
        <w:rPr>
          <w:rFonts w:ascii="Garamond" w:hAnsi="Garamond"/>
          <w:sz w:val="22"/>
          <w:szCs w:val="22"/>
        </w:rPr>
      </w:pPr>
    </w:p>
    <w:p w14:paraId="00B17A66"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2005. </w:t>
      </w:r>
      <w:r w:rsidRPr="00031381">
        <w:rPr>
          <w:rFonts w:ascii="Garamond" w:hAnsi="Garamond"/>
          <w:i/>
          <w:iCs/>
          <w:sz w:val="22"/>
          <w:szCs w:val="22"/>
        </w:rPr>
        <w:t>Epistemic Luck</w:t>
      </w:r>
      <w:r w:rsidRPr="00031381">
        <w:rPr>
          <w:rFonts w:ascii="Garamond" w:hAnsi="Garamond"/>
          <w:sz w:val="22"/>
          <w:szCs w:val="22"/>
        </w:rPr>
        <w:t>. Oxford: Oxford University Press.</w:t>
      </w:r>
    </w:p>
    <w:p w14:paraId="33B15B1F" w14:textId="77777777" w:rsidR="00120BCE" w:rsidRPr="00031381" w:rsidRDefault="00120BCE">
      <w:pPr>
        <w:rPr>
          <w:rFonts w:ascii="Garamond" w:hAnsi="Garamond"/>
          <w:sz w:val="22"/>
          <w:szCs w:val="22"/>
        </w:rPr>
      </w:pPr>
    </w:p>
    <w:p w14:paraId="3601735A"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2007. “Anti-luck epistemology.” </w:t>
      </w:r>
      <w:proofErr w:type="spellStart"/>
      <w:r w:rsidRPr="00031381">
        <w:rPr>
          <w:rFonts w:ascii="Garamond" w:hAnsi="Garamond"/>
          <w:i/>
          <w:iCs/>
          <w:sz w:val="22"/>
          <w:szCs w:val="22"/>
        </w:rPr>
        <w:t>Synthese</w:t>
      </w:r>
      <w:proofErr w:type="spellEnd"/>
      <w:r w:rsidRPr="00031381">
        <w:rPr>
          <w:rFonts w:ascii="Garamond" w:hAnsi="Garamond"/>
          <w:sz w:val="22"/>
          <w:szCs w:val="22"/>
        </w:rPr>
        <w:t xml:space="preserve"> 158: 277-97.</w:t>
      </w:r>
    </w:p>
    <w:p w14:paraId="70B326C9" w14:textId="77777777" w:rsidR="00120BCE" w:rsidRPr="00031381" w:rsidRDefault="00120BCE">
      <w:pPr>
        <w:rPr>
          <w:rFonts w:ascii="Garamond" w:hAnsi="Garamond"/>
          <w:sz w:val="22"/>
          <w:szCs w:val="22"/>
        </w:rPr>
      </w:pPr>
    </w:p>
    <w:p w14:paraId="23E3E282"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2008. “Sensitivity, Safety, and </w:t>
      </w:r>
      <w:proofErr w:type="spellStart"/>
      <w:r w:rsidRPr="00031381">
        <w:rPr>
          <w:rFonts w:ascii="Garamond" w:hAnsi="Garamond"/>
          <w:sz w:val="22"/>
          <w:szCs w:val="22"/>
        </w:rPr>
        <w:t>Antiluck</w:t>
      </w:r>
      <w:proofErr w:type="spellEnd"/>
      <w:r w:rsidRPr="00031381">
        <w:rPr>
          <w:rFonts w:ascii="Garamond" w:hAnsi="Garamond"/>
          <w:sz w:val="22"/>
          <w:szCs w:val="22"/>
        </w:rPr>
        <w:t xml:space="preserve"> Epistemology.” In John Greco, eds., </w:t>
      </w:r>
      <w:r w:rsidRPr="00031381">
        <w:rPr>
          <w:rFonts w:ascii="Garamond" w:hAnsi="Garamond"/>
          <w:i/>
          <w:iCs/>
          <w:sz w:val="22"/>
          <w:szCs w:val="22"/>
        </w:rPr>
        <w:t>The Oxford Handbook of Skepticism.</w:t>
      </w:r>
      <w:r w:rsidRPr="00031381">
        <w:rPr>
          <w:rFonts w:ascii="Garamond" w:hAnsi="Garamond"/>
          <w:sz w:val="22"/>
          <w:szCs w:val="22"/>
        </w:rPr>
        <w:t xml:space="preserve"> Oxford: Oxford University Press.</w:t>
      </w:r>
    </w:p>
    <w:p w14:paraId="787567DF" w14:textId="77777777" w:rsidR="00120BCE" w:rsidRPr="00031381" w:rsidRDefault="00120BCE">
      <w:pPr>
        <w:rPr>
          <w:rFonts w:ascii="Garamond" w:hAnsi="Garamond"/>
          <w:sz w:val="22"/>
          <w:szCs w:val="22"/>
        </w:rPr>
      </w:pPr>
    </w:p>
    <w:p w14:paraId="4B1EBD43"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2010. “Knowledge and Understanding.” In Duncan Prichard, Alan Millar, and Adrian Haddock, eds., </w:t>
      </w:r>
      <w:r w:rsidRPr="00031381">
        <w:rPr>
          <w:rFonts w:ascii="Garamond" w:hAnsi="Garamond"/>
          <w:i/>
          <w:iCs/>
          <w:sz w:val="22"/>
          <w:szCs w:val="22"/>
        </w:rPr>
        <w:t xml:space="preserve">The </w:t>
      </w:r>
      <w:proofErr w:type="gramStart"/>
      <w:r w:rsidRPr="00031381">
        <w:rPr>
          <w:rFonts w:ascii="Garamond" w:hAnsi="Garamond"/>
          <w:i/>
          <w:iCs/>
          <w:sz w:val="22"/>
          <w:szCs w:val="22"/>
        </w:rPr>
        <w:t>Nature</w:t>
      </w:r>
      <w:proofErr w:type="gramEnd"/>
      <w:r w:rsidRPr="00031381">
        <w:rPr>
          <w:rFonts w:ascii="Garamond" w:hAnsi="Garamond"/>
          <w:i/>
          <w:iCs/>
          <w:sz w:val="22"/>
          <w:szCs w:val="22"/>
        </w:rPr>
        <w:t xml:space="preserve"> and Value of Knowledge: Three Investigations</w:t>
      </w:r>
      <w:r w:rsidRPr="00031381">
        <w:rPr>
          <w:rFonts w:ascii="Garamond" w:hAnsi="Garamond"/>
          <w:sz w:val="22"/>
          <w:szCs w:val="22"/>
        </w:rPr>
        <w:t>. Oxford: Oxford University Press.</w:t>
      </w:r>
    </w:p>
    <w:p w14:paraId="754F98DD" w14:textId="77777777" w:rsidR="00120BCE" w:rsidRPr="00031381" w:rsidRDefault="00120BCE">
      <w:pPr>
        <w:rPr>
          <w:rFonts w:ascii="Garamond" w:hAnsi="Garamond"/>
          <w:sz w:val="22"/>
          <w:szCs w:val="22"/>
        </w:rPr>
      </w:pPr>
    </w:p>
    <w:p w14:paraId="09A85B36"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2011. “What is the Swamping Problem?” In Andrew Reisner and </w:t>
      </w:r>
      <w:proofErr w:type="spellStart"/>
      <w:r w:rsidRPr="00031381">
        <w:rPr>
          <w:rFonts w:ascii="Garamond" w:hAnsi="Garamond"/>
          <w:sz w:val="22"/>
          <w:szCs w:val="22"/>
        </w:rPr>
        <w:t>Asbjørn</w:t>
      </w:r>
      <w:proofErr w:type="spellEnd"/>
      <w:r w:rsidRPr="00031381">
        <w:rPr>
          <w:rFonts w:ascii="Garamond" w:hAnsi="Garamond"/>
          <w:sz w:val="22"/>
          <w:szCs w:val="22"/>
        </w:rPr>
        <w:t xml:space="preserve"> </w:t>
      </w:r>
      <w:proofErr w:type="spellStart"/>
      <w:r w:rsidRPr="00031381">
        <w:rPr>
          <w:rFonts w:ascii="Garamond" w:hAnsi="Garamond"/>
          <w:sz w:val="22"/>
          <w:szCs w:val="22"/>
        </w:rPr>
        <w:t>Steglich</w:t>
      </w:r>
      <w:proofErr w:type="spellEnd"/>
      <w:r w:rsidRPr="00031381">
        <w:rPr>
          <w:rFonts w:ascii="Garamond" w:hAnsi="Garamond"/>
          <w:sz w:val="22"/>
          <w:szCs w:val="22"/>
        </w:rPr>
        <w:t xml:space="preserve">-Petersen, eds., </w:t>
      </w:r>
      <w:r w:rsidRPr="00031381">
        <w:rPr>
          <w:rFonts w:ascii="Garamond" w:hAnsi="Garamond"/>
          <w:i/>
          <w:iCs/>
          <w:sz w:val="22"/>
          <w:szCs w:val="22"/>
        </w:rPr>
        <w:t>Reasons for Belief</w:t>
      </w:r>
      <w:r w:rsidRPr="00031381">
        <w:rPr>
          <w:rFonts w:ascii="Garamond" w:hAnsi="Garamond"/>
          <w:sz w:val="22"/>
          <w:szCs w:val="22"/>
        </w:rPr>
        <w:t>.</w:t>
      </w:r>
      <w:r w:rsidRPr="00031381">
        <w:rPr>
          <w:rFonts w:ascii="Garamond" w:hAnsi="Garamond"/>
          <w:i/>
          <w:iCs/>
          <w:sz w:val="22"/>
          <w:szCs w:val="22"/>
        </w:rPr>
        <w:t xml:space="preserve"> </w:t>
      </w:r>
      <w:r w:rsidRPr="00031381">
        <w:rPr>
          <w:rFonts w:ascii="Garamond" w:hAnsi="Garamond"/>
          <w:sz w:val="22"/>
          <w:szCs w:val="22"/>
        </w:rPr>
        <w:t>Cambridge: Cambridge University Press.</w:t>
      </w:r>
    </w:p>
    <w:p w14:paraId="1ABFE316" w14:textId="77777777" w:rsidR="00120BCE" w:rsidRPr="00031381" w:rsidRDefault="00120BCE">
      <w:pPr>
        <w:rPr>
          <w:rFonts w:ascii="Garamond" w:hAnsi="Garamond"/>
          <w:sz w:val="22"/>
          <w:szCs w:val="22"/>
        </w:rPr>
      </w:pPr>
    </w:p>
    <w:p w14:paraId="4E778CDF" w14:textId="77777777" w:rsidR="00120BCE" w:rsidRPr="00031381" w:rsidRDefault="00000000">
      <w:pPr>
        <w:rPr>
          <w:rFonts w:ascii="Garamond" w:hAnsi="Garamond"/>
          <w:sz w:val="22"/>
          <w:szCs w:val="22"/>
        </w:rPr>
      </w:pPr>
      <w:r w:rsidRPr="00031381">
        <w:rPr>
          <w:rFonts w:ascii="Garamond" w:hAnsi="Garamond"/>
          <w:sz w:val="22"/>
          <w:szCs w:val="22"/>
        </w:rPr>
        <w:t xml:space="preserve">Prichard, Duncan. 2012. “Anti-luck virtue epistemology.” </w:t>
      </w:r>
      <w:r w:rsidRPr="00031381">
        <w:rPr>
          <w:rFonts w:ascii="Garamond" w:hAnsi="Garamond"/>
          <w:i/>
          <w:iCs/>
          <w:sz w:val="22"/>
          <w:szCs w:val="22"/>
        </w:rPr>
        <w:t>The Journal of Philosophy</w:t>
      </w:r>
      <w:r w:rsidRPr="00031381">
        <w:rPr>
          <w:rFonts w:ascii="Garamond" w:hAnsi="Garamond"/>
          <w:sz w:val="22"/>
          <w:szCs w:val="22"/>
        </w:rPr>
        <w:t xml:space="preserve"> 109: 247-79.</w:t>
      </w:r>
    </w:p>
    <w:p w14:paraId="5B642499" w14:textId="77777777" w:rsidR="00120BCE" w:rsidRPr="00031381" w:rsidRDefault="00120BCE">
      <w:pPr>
        <w:rPr>
          <w:rFonts w:ascii="Garamond" w:hAnsi="Garamond"/>
          <w:sz w:val="22"/>
          <w:szCs w:val="22"/>
        </w:rPr>
      </w:pPr>
    </w:p>
    <w:p w14:paraId="2BDCD667" w14:textId="77777777" w:rsidR="00120BCE" w:rsidRPr="00031381" w:rsidRDefault="00000000">
      <w:pPr>
        <w:rPr>
          <w:rFonts w:ascii="Garamond" w:hAnsi="Garamond"/>
          <w:sz w:val="22"/>
          <w:szCs w:val="22"/>
        </w:rPr>
      </w:pPr>
      <w:proofErr w:type="spellStart"/>
      <w:r w:rsidRPr="00031381">
        <w:rPr>
          <w:rFonts w:ascii="Garamond" w:hAnsi="Garamond"/>
          <w:sz w:val="22"/>
          <w:szCs w:val="22"/>
        </w:rPr>
        <w:t>Raphals</w:t>
      </w:r>
      <w:proofErr w:type="spellEnd"/>
      <w:r w:rsidRPr="00031381">
        <w:rPr>
          <w:rFonts w:ascii="Garamond" w:hAnsi="Garamond"/>
          <w:sz w:val="22"/>
          <w:szCs w:val="22"/>
        </w:rPr>
        <w:t xml:space="preserve">, Lisa. 1992. </w:t>
      </w:r>
      <w:r w:rsidRPr="00031381">
        <w:rPr>
          <w:rFonts w:ascii="Garamond" w:hAnsi="Garamond"/>
          <w:i/>
          <w:iCs/>
          <w:sz w:val="22"/>
          <w:szCs w:val="22"/>
        </w:rPr>
        <w:t>Knowing Words: Wisdom and Cunning in the Classical Traditions of China and Greece</w:t>
      </w:r>
      <w:r w:rsidRPr="00031381">
        <w:rPr>
          <w:rFonts w:ascii="Garamond" w:hAnsi="Garamond"/>
          <w:sz w:val="22"/>
          <w:szCs w:val="22"/>
        </w:rPr>
        <w:t>. Ithaca: Cornell University Press. (A very broad outline of wisdom and knowledge in early Chinese philosophy and literature.)</w:t>
      </w:r>
    </w:p>
    <w:p w14:paraId="5219F892" w14:textId="77777777" w:rsidR="00120BCE" w:rsidRPr="00031381" w:rsidRDefault="00120BCE">
      <w:pPr>
        <w:rPr>
          <w:rFonts w:ascii="Garamond" w:hAnsi="Garamond"/>
          <w:sz w:val="22"/>
          <w:szCs w:val="22"/>
        </w:rPr>
      </w:pPr>
    </w:p>
    <w:p w14:paraId="4961D9FF" w14:textId="77777777" w:rsidR="00120BCE" w:rsidRPr="00031381" w:rsidRDefault="00000000">
      <w:pPr>
        <w:rPr>
          <w:rFonts w:ascii="Garamond" w:hAnsi="Garamond"/>
          <w:sz w:val="22"/>
          <w:szCs w:val="22"/>
        </w:rPr>
      </w:pPr>
      <w:r w:rsidRPr="00031381">
        <w:rPr>
          <w:rFonts w:ascii="Garamond" w:hAnsi="Garamond"/>
          <w:sz w:val="22"/>
          <w:szCs w:val="22"/>
        </w:rPr>
        <w:t xml:space="preserve">Russell, Bertrand. 2001[1912]. </w:t>
      </w:r>
      <w:r w:rsidRPr="00031381">
        <w:rPr>
          <w:rFonts w:ascii="Garamond" w:hAnsi="Garamond"/>
          <w:i/>
          <w:iCs/>
          <w:sz w:val="22"/>
          <w:szCs w:val="22"/>
        </w:rPr>
        <w:t>The Problems of Philosophy</w:t>
      </w:r>
      <w:r w:rsidRPr="00031381">
        <w:rPr>
          <w:rFonts w:ascii="Garamond" w:hAnsi="Garamond"/>
          <w:sz w:val="22"/>
          <w:szCs w:val="22"/>
        </w:rPr>
        <w:t>. Oxford: Oxford University Press.</w:t>
      </w:r>
    </w:p>
    <w:p w14:paraId="49F4E720" w14:textId="77777777" w:rsidR="00120BCE" w:rsidRPr="00031381" w:rsidRDefault="00120BCE">
      <w:pPr>
        <w:rPr>
          <w:rFonts w:ascii="Garamond" w:hAnsi="Garamond"/>
          <w:sz w:val="22"/>
          <w:szCs w:val="22"/>
        </w:rPr>
      </w:pPr>
    </w:p>
    <w:p w14:paraId="53538825" w14:textId="77777777" w:rsidR="00120BCE" w:rsidRPr="00031381" w:rsidRDefault="00000000">
      <w:pPr>
        <w:rPr>
          <w:rFonts w:ascii="Garamond" w:hAnsi="Garamond"/>
          <w:sz w:val="22"/>
          <w:szCs w:val="22"/>
        </w:rPr>
      </w:pPr>
      <w:r w:rsidRPr="00031381">
        <w:rPr>
          <w:rFonts w:ascii="Garamond" w:hAnsi="Garamond"/>
          <w:sz w:val="22"/>
          <w:szCs w:val="22"/>
        </w:rPr>
        <w:t xml:space="preserve">Ryan, </w:t>
      </w:r>
      <w:proofErr w:type="gramStart"/>
      <w:r w:rsidRPr="00031381">
        <w:rPr>
          <w:rFonts w:ascii="Garamond" w:hAnsi="Garamond"/>
          <w:sz w:val="22"/>
          <w:szCs w:val="22"/>
        </w:rPr>
        <w:t>Shane</w:t>
      </w:r>
      <w:proofErr w:type="gramEnd"/>
      <w:r w:rsidRPr="00031381">
        <w:rPr>
          <w:rFonts w:ascii="Garamond" w:hAnsi="Garamond"/>
          <w:sz w:val="22"/>
          <w:szCs w:val="22"/>
        </w:rPr>
        <w:t xml:space="preserve"> and Karyn L. Lai. 2021. “Who Is a Wise Person? Zhuangzi and Epistemological Discussions of Wisdom.” </w:t>
      </w:r>
      <w:r w:rsidRPr="00031381">
        <w:rPr>
          <w:rFonts w:ascii="Garamond" w:hAnsi="Garamond"/>
          <w:i/>
          <w:iCs/>
          <w:sz w:val="22"/>
          <w:szCs w:val="22"/>
        </w:rPr>
        <w:t>Philosophy East and West</w:t>
      </w:r>
      <w:r w:rsidRPr="00031381">
        <w:rPr>
          <w:rFonts w:ascii="Garamond" w:hAnsi="Garamond"/>
          <w:sz w:val="22"/>
          <w:szCs w:val="22"/>
        </w:rPr>
        <w:t xml:space="preserve"> 71: 665–682.</w:t>
      </w:r>
    </w:p>
    <w:p w14:paraId="469AE542" w14:textId="77777777" w:rsidR="00120BCE" w:rsidRPr="00031381" w:rsidRDefault="00120BCE">
      <w:pPr>
        <w:rPr>
          <w:rFonts w:ascii="Garamond" w:hAnsi="Garamond"/>
          <w:sz w:val="22"/>
          <w:szCs w:val="22"/>
        </w:rPr>
      </w:pPr>
    </w:p>
    <w:p w14:paraId="3F59EB72" w14:textId="77777777" w:rsidR="00120BCE" w:rsidRPr="00031381" w:rsidRDefault="00000000">
      <w:pPr>
        <w:rPr>
          <w:rFonts w:ascii="Garamond" w:hAnsi="Garamond"/>
          <w:sz w:val="22"/>
          <w:szCs w:val="22"/>
        </w:rPr>
      </w:pPr>
      <w:r w:rsidRPr="00031381">
        <w:rPr>
          <w:rFonts w:ascii="Garamond" w:hAnsi="Garamond"/>
          <w:sz w:val="22"/>
          <w:szCs w:val="22"/>
        </w:rPr>
        <w:t xml:space="preserve">Schwartz, Benjamin I. 1985. </w:t>
      </w:r>
      <w:r w:rsidRPr="00031381">
        <w:rPr>
          <w:rFonts w:ascii="Garamond" w:hAnsi="Garamond"/>
          <w:i/>
          <w:iCs/>
          <w:sz w:val="22"/>
          <w:szCs w:val="22"/>
        </w:rPr>
        <w:t>The World of Thought in Ancient China</w:t>
      </w:r>
      <w:r w:rsidRPr="00031381">
        <w:rPr>
          <w:rFonts w:ascii="Garamond" w:hAnsi="Garamond"/>
          <w:sz w:val="22"/>
          <w:szCs w:val="22"/>
        </w:rPr>
        <w:t>. Cambridge, MA: Harvard University Press. (Provides a sober introductory survey of early Chinese philosophy.)</w:t>
      </w:r>
    </w:p>
    <w:p w14:paraId="77AA3F6A" w14:textId="77777777" w:rsidR="00120BCE" w:rsidRPr="00031381" w:rsidRDefault="00120BCE">
      <w:pPr>
        <w:rPr>
          <w:rFonts w:ascii="Garamond" w:hAnsi="Garamond"/>
          <w:sz w:val="22"/>
          <w:szCs w:val="22"/>
        </w:rPr>
      </w:pPr>
    </w:p>
    <w:p w14:paraId="594FBEE4" w14:textId="77777777" w:rsidR="00120BCE" w:rsidRPr="00031381" w:rsidRDefault="00000000">
      <w:pPr>
        <w:rPr>
          <w:rFonts w:ascii="Garamond" w:hAnsi="Garamond"/>
          <w:sz w:val="22"/>
          <w:szCs w:val="22"/>
        </w:rPr>
      </w:pPr>
      <w:r w:rsidRPr="00031381">
        <w:rPr>
          <w:rFonts w:ascii="Garamond" w:hAnsi="Garamond"/>
          <w:sz w:val="22"/>
          <w:szCs w:val="22"/>
        </w:rPr>
        <w:t xml:space="preserve">Sellars, Wilfrid. 1968. </w:t>
      </w:r>
      <w:r w:rsidRPr="00031381">
        <w:rPr>
          <w:rFonts w:ascii="Garamond" w:hAnsi="Garamond"/>
          <w:i/>
          <w:iCs/>
          <w:sz w:val="22"/>
          <w:szCs w:val="22"/>
        </w:rPr>
        <w:t>Science and Metaphysics</w:t>
      </w:r>
      <w:r w:rsidRPr="00031381">
        <w:rPr>
          <w:rFonts w:ascii="Garamond" w:hAnsi="Garamond"/>
          <w:sz w:val="22"/>
          <w:szCs w:val="22"/>
        </w:rPr>
        <w:t>. London: Routledge &amp; Kegan Paul.</w:t>
      </w:r>
    </w:p>
    <w:p w14:paraId="635B148E" w14:textId="77777777" w:rsidR="00120BCE" w:rsidRPr="00031381" w:rsidRDefault="00120BCE">
      <w:pPr>
        <w:rPr>
          <w:rFonts w:ascii="Garamond" w:hAnsi="Garamond"/>
          <w:sz w:val="22"/>
          <w:szCs w:val="22"/>
        </w:rPr>
      </w:pPr>
    </w:p>
    <w:p w14:paraId="383082B9" w14:textId="77777777" w:rsidR="00120BCE" w:rsidRPr="00031381" w:rsidRDefault="00000000">
      <w:pPr>
        <w:rPr>
          <w:rFonts w:ascii="Garamond" w:hAnsi="Garamond"/>
          <w:sz w:val="22"/>
          <w:szCs w:val="22"/>
        </w:rPr>
      </w:pPr>
      <w:r w:rsidRPr="00031381">
        <w:rPr>
          <w:rFonts w:ascii="Garamond" w:hAnsi="Garamond"/>
          <w:sz w:val="22"/>
          <w:szCs w:val="22"/>
        </w:rPr>
        <w:t>Shun, Kwong-</w:t>
      </w:r>
      <w:proofErr w:type="spellStart"/>
      <w:r w:rsidRPr="00031381">
        <w:rPr>
          <w:rFonts w:ascii="Garamond" w:hAnsi="Garamond"/>
          <w:sz w:val="22"/>
          <w:szCs w:val="22"/>
        </w:rPr>
        <w:t>Loi</w:t>
      </w:r>
      <w:proofErr w:type="spellEnd"/>
      <w:r w:rsidRPr="00031381">
        <w:rPr>
          <w:rFonts w:ascii="Garamond" w:hAnsi="Garamond"/>
          <w:sz w:val="22"/>
          <w:szCs w:val="22"/>
        </w:rPr>
        <w:t xml:space="preserve">. </w:t>
      </w:r>
      <w:r w:rsidRPr="00031381">
        <w:rPr>
          <w:rFonts w:ascii="Garamond" w:eastAsia="Times New Roman" w:hAnsi="Garamond"/>
          <w:sz w:val="22"/>
          <w:szCs w:val="22"/>
        </w:rPr>
        <w:t xml:space="preserve">1997. </w:t>
      </w:r>
      <w:r w:rsidRPr="00031381">
        <w:rPr>
          <w:rFonts w:ascii="Garamond" w:eastAsia="Times New Roman" w:hAnsi="Garamond"/>
          <w:i/>
          <w:sz w:val="22"/>
          <w:szCs w:val="22"/>
        </w:rPr>
        <w:t>Mencius and Early Chinese Thought</w:t>
      </w:r>
      <w:r w:rsidRPr="00031381">
        <w:rPr>
          <w:rFonts w:ascii="Garamond" w:eastAsia="Times New Roman" w:hAnsi="Garamond"/>
          <w:sz w:val="22"/>
          <w:szCs w:val="22"/>
        </w:rPr>
        <w:t xml:space="preserve">. Stanford, CA: Stanford University Press. (A thorough and excellently researched volume on all parts of </w:t>
      </w:r>
      <w:proofErr w:type="spellStart"/>
      <w:r w:rsidRPr="00031381">
        <w:rPr>
          <w:rFonts w:ascii="Garamond" w:eastAsia="Times New Roman" w:hAnsi="Garamond"/>
          <w:sz w:val="22"/>
          <w:szCs w:val="22"/>
        </w:rPr>
        <w:t>Mencian</w:t>
      </w:r>
      <w:proofErr w:type="spellEnd"/>
      <w:r w:rsidRPr="00031381">
        <w:rPr>
          <w:rFonts w:ascii="Garamond" w:eastAsia="Times New Roman" w:hAnsi="Garamond"/>
          <w:sz w:val="22"/>
          <w:szCs w:val="22"/>
        </w:rPr>
        <w:t xml:space="preserve"> philosophy that draws heavily on the commentarial tradition.)</w:t>
      </w:r>
    </w:p>
    <w:p w14:paraId="3813C5B4" w14:textId="77777777" w:rsidR="00120BCE" w:rsidRPr="00031381" w:rsidRDefault="00120BCE">
      <w:pPr>
        <w:rPr>
          <w:rFonts w:ascii="Garamond" w:eastAsia="Times New Roman" w:hAnsi="Garamond"/>
          <w:sz w:val="22"/>
          <w:szCs w:val="22"/>
        </w:rPr>
      </w:pPr>
    </w:p>
    <w:p w14:paraId="699463B4" w14:textId="4B84DE8A" w:rsidR="00120BCE" w:rsidRPr="00031381" w:rsidRDefault="00000000">
      <w:pPr>
        <w:rPr>
          <w:rFonts w:ascii="Garamond" w:hAnsi="Garamond"/>
          <w:color w:val="000000" w:themeColor="text1"/>
          <w:sz w:val="22"/>
          <w:szCs w:val="22"/>
        </w:rPr>
      </w:pPr>
      <w:r w:rsidRPr="00031381">
        <w:rPr>
          <w:rFonts w:ascii="Garamond" w:eastAsia="Times New Roman" w:hAnsi="Garamond"/>
          <w:color w:val="000000" w:themeColor="text1"/>
          <w:sz w:val="22"/>
          <w:szCs w:val="22"/>
        </w:rPr>
        <w:t>Slingerland, Edward. 201</w:t>
      </w:r>
      <w:r w:rsidR="00031381" w:rsidRPr="00031381">
        <w:rPr>
          <w:rFonts w:ascii="Garamond" w:eastAsia="Times New Roman" w:hAnsi="Garamond"/>
          <w:color w:val="000000" w:themeColor="text1"/>
          <w:sz w:val="22"/>
          <w:szCs w:val="22"/>
        </w:rPr>
        <w:t>9</w:t>
      </w:r>
      <w:r w:rsidRPr="00031381">
        <w:rPr>
          <w:rFonts w:ascii="Garamond" w:eastAsia="Times New Roman" w:hAnsi="Garamond"/>
          <w:color w:val="000000" w:themeColor="text1"/>
          <w:sz w:val="22"/>
          <w:szCs w:val="22"/>
        </w:rPr>
        <w:t xml:space="preserve">. </w:t>
      </w:r>
      <w:r w:rsidRPr="00031381">
        <w:rPr>
          <w:rFonts w:ascii="Garamond" w:eastAsia="Times New Roman" w:hAnsi="Garamond"/>
          <w:i/>
          <w:iCs/>
          <w:color w:val="000000" w:themeColor="text1"/>
          <w:sz w:val="22"/>
          <w:szCs w:val="22"/>
        </w:rPr>
        <w:t>Mind and Body in Early China</w:t>
      </w:r>
      <w:r w:rsidRPr="00031381">
        <w:rPr>
          <w:rFonts w:ascii="Garamond" w:eastAsia="Times New Roman" w:hAnsi="Garamond"/>
          <w:color w:val="000000" w:themeColor="text1"/>
          <w:sz w:val="22"/>
          <w:szCs w:val="22"/>
        </w:rPr>
        <w:t>. Oxford: Oxford University Press.</w:t>
      </w:r>
    </w:p>
    <w:p w14:paraId="7CC1DE02" w14:textId="77777777" w:rsidR="00120BCE" w:rsidRPr="00031381" w:rsidRDefault="00120BCE">
      <w:pPr>
        <w:rPr>
          <w:rFonts w:ascii="Garamond" w:eastAsia="Times New Roman" w:hAnsi="Garamond"/>
          <w:sz w:val="22"/>
          <w:szCs w:val="22"/>
        </w:rPr>
      </w:pPr>
    </w:p>
    <w:p w14:paraId="346EE8F7" w14:textId="77777777" w:rsidR="00120BCE" w:rsidRPr="00031381" w:rsidRDefault="00000000">
      <w:pPr>
        <w:rPr>
          <w:rFonts w:ascii="Garamond" w:hAnsi="Garamond"/>
          <w:sz w:val="22"/>
          <w:szCs w:val="22"/>
        </w:rPr>
      </w:pPr>
      <w:r w:rsidRPr="00031381">
        <w:rPr>
          <w:rFonts w:ascii="Garamond" w:eastAsia="Times New Roman" w:hAnsi="Garamond"/>
          <w:sz w:val="22"/>
          <w:szCs w:val="22"/>
        </w:rPr>
        <w:t xml:space="preserve">Smith, Michael. 1994. </w:t>
      </w:r>
      <w:r w:rsidRPr="00031381">
        <w:rPr>
          <w:rFonts w:ascii="Garamond" w:eastAsia="Times New Roman" w:hAnsi="Garamond"/>
          <w:i/>
          <w:iCs/>
          <w:sz w:val="22"/>
          <w:szCs w:val="22"/>
        </w:rPr>
        <w:t>The Moral Problem</w:t>
      </w:r>
      <w:r w:rsidRPr="00031381">
        <w:rPr>
          <w:rFonts w:ascii="Garamond" w:eastAsia="Times New Roman" w:hAnsi="Garamond"/>
          <w:sz w:val="22"/>
          <w:szCs w:val="22"/>
        </w:rPr>
        <w:t>. Oxford: Blackwell.</w:t>
      </w:r>
    </w:p>
    <w:p w14:paraId="1DEC177C" w14:textId="77777777" w:rsidR="00120BCE" w:rsidRPr="00031381" w:rsidRDefault="00120BCE">
      <w:pPr>
        <w:rPr>
          <w:rFonts w:ascii="Garamond" w:hAnsi="Garamond"/>
          <w:sz w:val="22"/>
          <w:szCs w:val="22"/>
        </w:rPr>
      </w:pPr>
    </w:p>
    <w:p w14:paraId="054DBC07" w14:textId="77777777" w:rsidR="00120BCE" w:rsidRPr="00031381" w:rsidRDefault="00000000">
      <w:pPr>
        <w:rPr>
          <w:rFonts w:ascii="Garamond" w:hAnsi="Garamond"/>
          <w:sz w:val="22"/>
          <w:szCs w:val="22"/>
        </w:rPr>
      </w:pPr>
      <w:r w:rsidRPr="00031381">
        <w:rPr>
          <w:rFonts w:ascii="Garamond" w:hAnsi="Garamond"/>
          <w:sz w:val="22"/>
          <w:szCs w:val="22"/>
        </w:rPr>
        <w:t xml:space="preserve">Snowdon, Paul. 2004. “Knowing How and Knowing That: A Distinction Reconsidered.” </w:t>
      </w:r>
      <w:r w:rsidRPr="00031381">
        <w:rPr>
          <w:rFonts w:ascii="Garamond" w:hAnsi="Garamond"/>
          <w:i/>
          <w:iCs/>
          <w:sz w:val="22"/>
          <w:szCs w:val="22"/>
        </w:rPr>
        <w:t>Proceedings of the Aristotelian Society</w:t>
      </w:r>
      <w:r w:rsidRPr="00031381">
        <w:rPr>
          <w:rFonts w:ascii="Garamond" w:hAnsi="Garamond"/>
          <w:sz w:val="22"/>
          <w:szCs w:val="22"/>
        </w:rPr>
        <w:t xml:space="preserve"> 104.1: 1-29.</w:t>
      </w:r>
    </w:p>
    <w:p w14:paraId="12331311" w14:textId="77777777" w:rsidR="00120BCE" w:rsidRPr="00031381" w:rsidRDefault="00120BCE">
      <w:pPr>
        <w:rPr>
          <w:rFonts w:ascii="Garamond" w:hAnsi="Garamond"/>
          <w:sz w:val="22"/>
          <w:szCs w:val="22"/>
        </w:rPr>
      </w:pPr>
    </w:p>
    <w:p w14:paraId="4C6F2155" w14:textId="77777777" w:rsidR="00120BCE" w:rsidRPr="00031381" w:rsidRDefault="00000000">
      <w:pPr>
        <w:rPr>
          <w:rFonts w:ascii="Garamond" w:hAnsi="Garamond"/>
          <w:sz w:val="22"/>
          <w:szCs w:val="22"/>
        </w:rPr>
      </w:pPr>
      <w:r w:rsidRPr="00031381">
        <w:rPr>
          <w:rFonts w:ascii="Garamond" w:hAnsi="Garamond"/>
          <w:sz w:val="22"/>
          <w:szCs w:val="22"/>
        </w:rPr>
        <w:t xml:space="preserve">Sosa, Ernest. 1991. </w:t>
      </w:r>
      <w:r w:rsidRPr="00031381">
        <w:rPr>
          <w:rFonts w:ascii="Garamond" w:hAnsi="Garamond"/>
          <w:i/>
          <w:iCs/>
          <w:sz w:val="22"/>
          <w:szCs w:val="22"/>
        </w:rPr>
        <w:t>Knowledge in Perspective: Selected Essays in Epistemology</w:t>
      </w:r>
      <w:r w:rsidRPr="00031381">
        <w:rPr>
          <w:rFonts w:ascii="Garamond" w:hAnsi="Garamond"/>
          <w:sz w:val="22"/>
          <w:szCs w:val="22"/>
        </w:rPr>
        <w:t>. Cambridge: Cambridge University Press.</w:t>
      </w:r>
    </w:p>
    <w:p w14:paraId="5E5E8F85" w14:textId="77777777" w:rsidR="00120BCE" w:rsidRPr="00031381" w:rsidRDefault="00120BCE">
      <w:pPr>
        <w:rPr>
          <w:rFonts w:ascii="Garamond" w:hAnsi="Garamond"/>
          <w:sz w:val="22"/>
          <w:szCs w:val="22"/>
        </w:rPr>
      </w:pPr>
    </w:p>
    <w:p w14:paraId="6CB4D2C1" w14:textId="77777777" w:rsidR="00120BCE" w:rsidRPr="00031381" w:rsidRDefault="00000000">
      <w:pPr>
        <w:rPr>
          <w:rFonts w:ascii="Garamond" w:hAnsi="Garamond"/>
          <w:sz w:val="22"/>
          <w:szCs w:val="22"/>
        </w:rPr>
      </w:pPr>
      <w:r w:rsidRPr="00031381">
        <w:rPr>
          <w:rFonts w:ascii="Garamond" w:hAnsi="Garamond"/>
          <w:sz w:val="22"/>
          <w:szCs w:val="22"/>
        </w:rPr>
        <w:t xml:space="preserve">Sosa, Ernest. 2003. “Beyond Internal Foundations to External Virtues.” In Laurence Bonjour and Ernest Sosa, eds., </w:t>
      </w:r>
      <w:r w:rsidRPr="00031381">
        <w:rPr>
          <w:rFonts w:ascii="Garamond" w:hAnsi="Garamond"/>
          <w:i/>
          <w:iCs/>
          <w:sz w:val="22"/>
          <w:szCs w:val="22"/>
        </w:rPr>
        <w:t>Epistemic Justification</w:t>
      </w:r>
      <w:r w:rsidRPr="00031381">
        <w:rPr>
          <w:rFonts w:ascii="Garamond" w:hAnsi="Garamond"/>
          <w:sz w:val="22"/>
          <w:szCs w:val="22"/>
        </w:rPr>
        <w:t>. Malden, MA: Blackwell.</w:t>
      </w:r>
    </w:p>
    <w:p w14:paraId="70063676" w14:textId="77777777" w:rsidR="00120BCE" w:rsidRPr="00031381" w:rsidRDefault="00120BCE">
      <w:pPr>
        <w:rPr>
          <w:rFonts w:ascii="Garamond" w:hAnsi="Garamond"/>
          <w:sz w:val="22"/>
          <w:szCs w:val="22"/>
        </w:rPr>
      </w:pPr>
    </w:p>
    <w:p w14:paraId="396452EA" w14:textId="77777777" w:rsidR="00120BCE" w:rsidRPr="00031381" w:rsidRDefault="00000000">
      <w:pPr>
        <w:rPr>
          <w:rFonts w:ascii="Garamond" w:hAnsi="Garamond"/>
          <w:sz w:val="22"/>
          <w:szCs w:val="22"/>
        </w:rPr>
      </w:pPr>
      <w:r w:rsidRPr="00031381">
        <w:rPr>
          <w:rFonts w:ascii="Garamond" w:hAnsi="Garamond"/>
          <w:sz w:val="22"/>
          <w:szCs w:val="22"/>
        </w:rPr>
        <w:t xml:space="preserve">Sosa, Ernest. 2007. </w:t>
      </w:r>
      <w:proofErr w:type="gramStart"/>
      <w:r w:rsidRPr="00031381">
        <w:rPr>
          <w:rFonts w:ascii="Garamond" w:hAnsi="Garamond"/>
          <w:i/>
          <w:iCs/>
          <w:sz w:val="22"/>
          <w:szCs w:val="22"/>
        </w:rPr>
        <w:t>A Virtue</w:t>
      </w:r>
      <w:proofErr w:type="gramEnd"/>
      <w:r w:rsidRPr="00031381">
        <w:rPr>
          <w:rFonts w:ascii="Garamond" w:hAnsi="Garamond"/>
          <w:i/>
          <w:iCs/>
          <w:sz w:val="22"/>
          <w:szCs w:val="22"/>
        </w:rPr>
        <w:t xml:space="preserve"> Epistemology: Apt Belief and Reflective Knowledge</w:t>
      </w:r>
      <w:r w:rsidRPr="00031381">
        <w:rPr>
          <w:rFonts w:ascii="Garamond" w:hAnsi="Garamond"/>
          <w:sz w:val="22"/>
          <w:szCs w:val="22"/>
        </w:rPr>
        <w:t>, vol. I. Oxford: Oxford University Press.</w:t>
      </w:r>
    </w:p>
    <w:p w14:paraId="58CDB332" w14:textId="77777777" w:rsidR="00120BCE" w:rsidRPr="00031381" w:rsidRDefault="00120BCE">
      <w:pPr>
        <w:rPr>
          <w:rFonts w:ascii="Garamond" w:hAnsi="Garamond"/>
          <w:sz w:val="22"/>
          <w:szCs w:val="22"/>
        </w:rPr>
      </w:pPr>
    </w:p>
    <w:p w14:paraId="66607D59" w14:textId="77777777" w:rsidR="00120BCE" w:rsidRPr="00031381" w:rsidRDefault="00000000">
      <w:pPr>
        <w:rPr>
          <w:rFonts w:ascii="Garamond" w:hAnsi="Garamond"/>
          <w:sz w:val="22"/>
          <w:szCs w:val="22"/>
        </w:rPr>
      </w:pPr>
      <w:r w:rsidRPr="00031381">
        <w:rPr>
          <w:rFonts w:ascii="Garamond" w:hAnsi="Garamond"/>
          <w:sz w:val="22"/>
          <w:szCs w:val="22"/>
        </w:rPr>
        <w:t xml:space="preserve">Sosa, Ernest. 2011. </w:t>
      </w:r>
      <w:r w:rsidRPr="00031381">
        <w:rPr>
          <w:rFonts w:ascii="Garamond" w:hAnsi="Garamond"/>
          <w:i/>
          <w:iCs/>
          <w:sz w:val="22"/>
          <w:szCs w:val="22"/>
        </w:rPr>
        <w:t>Knowing Full Well.</w:t>
      </w:r>
      <w:r w:rsidRPr="00031381">
        <w:rPr>
          <w:rFonts w:ascii="Garamond" w:hAnsi="Garamond"/>
          <w:sz w:val="22"/>
          <w:szCs w:val="22"/>
        </w:rPr>
        <w:t xml:space="preserve"> Princeton: Princeton University Press.</w:t>
      </w:r>
    </w:p>
    <w:p w14:paraId="1EB5A6A9" w14:textId="77777777" w:rsidR="00120BCE" w:rsidRPr="00031381" w:rsidRDefault="00120BCE">
      <w:pPr>
        <w:rPr>
          <w:rFonts w:ascii="Garamond" w:hAnsi="Garamond"/>
          <w:sz w:val="22"/>
          <w:szCs w:val="22"/>
        </w:rPr>
      </w:pPr>
    </w:p>
    <w:p w14:paraId="39C76761" w14:textId="77777777" w:rsidR="00120BCE" w:rsidRPr="00031381" w:rsidRDefault="00000000">
      <w:pPr>
        <w:rPr>
          <w:rFonts w:ascii="Garamond" w:hAnsi="Garamond"/>
          <w:sz w:val="22"/>
          <w:szCs w:val="22"/>
        </w:rPr>
      </w:pPr>
      <w:r w:rsidRPr="00031381">
        <w:rPr>
          <w:rFonts w:ascii="Garamond" w:hAnsi="Garamond"/>
          <w:sz w:val="22"/>
          <w:szCs w:val="22"/>
        </w:rPr>
        <w:t xml:space="preserve">Sosa, Ernest. 2015. </w:t>
      </w:r>
      <w:r w:rsidRPr="00031381">
        <w:rPr>
          <w:rFonts w:ascii="Garamond" w:hAnsi="Garamond"/>
          <w:i/>
          <w:iCs/>
          <w:sz w:val="22"/>
          <w:szCs w:val="22"/>
        </w:rPr>
        <w:t xml:space="preserve">Judgment and Agency. </w:t>
      </w:r>
      <w:r w:rsidRPr="00031381">
        <w:rPr>
          <w:rFonts w:ascii="Garamond" w:hAnsi="Garamond"/>
          <w:sz w:val="22"/>
          <w:szCs w:val="22"/>
        </w:rPr>
        <w:t>Oxford: Oxford University Press.</w:t>
      </w:r>
    </w:p>
    <w:p w14:paraId="31D5C0BE" w14:textId="77777777" w:rsidR="00120BCE" w:rsidRPr="00031381" w:rsidRDefault="00120BCE">
      <w:pPr>
        <w:rPr>
          <w:rFonts w:ascii="Garamond" w:hAnsi="Garamond"/>
          <w:sz w:val="22"/>
          <w:szCs w:val="22"/>
        </w:rPr>
      </w:pPr>
    </w:p>
    <w:p w14:paraId="704FFDF4" w14:textId="77777777" w:rsidR="00120BCE" w:rsidRPr="00031381" w:rsidRDefault="00000000">
      <w:pPr>
        <w:rPr>
          <w:rFonts w:ascii="Garamond" w:hAnsi="Garamond"/>
          <w:sz w:val="22"/>
          <w:szCs w:val="22"/>
        </w:rPr>
      </w:pPr>
      <w:r w:rsidRPr="00031381">
        <w:rPr>
          <w:rFonts w:ascii="Garamond" w:hAnsi="Garamond"/>
          <w:sz w:val="22"/>
          <w:szCs w:val="22"/>
        </w:rPr>
        <w:t xml:space="preserve">Stanley, Jason. 2011. </w:t>
      </w:r>
      <w:r w:rsidRPr="00031381">
        <w:rPr>
          <w:rFonts w:ascii="Garamond" w:hAnsi="Garamond"/>
          <w:i/>
          <w:iCs/>
          <w:sz w:val="22"/>
          <w:szCs w:val="22"/>
        </w:rPr>
        <w:t>Know How</w:t>
      </w:r>
      <w:r w:rsidRPr="00031381">
        <w:rPr>
          <w:rFonts w:ascii="Garamond" w:hAnsi="Garamond"/>
          <w:sz w:val="22"/>
          <w:szCs w:val="22"/>
        </w:rPr>
        <w:t>. Oxford: Oxford University Press.</w:t>
      </w:r>
    </w:p>
    <w:p w14:paraId="47CE7E0A" w14:textId="77777777" w:rsidR="00120BCE" w:rsidRPr="00031381" w:rsidRDefault="00120BCE">
      <w:pPr>
        <w:rPr>
          <w:rFonts w:ascii="Garamond" w:hAnsi="Garamond"/>
          <w:sz w:val="22"/>
          <w:szCs w:val="22"/>
        </w:rPr>
      </w:pPr>
    </w:p>
    <w:p w14:paraId="57C61DF9" w14:textId="77777777" w:rsidR="00120BCE" w:rsidRPr="00031381" w:rsidRDefault="00000000">
      <w:pPr>
        <w:rPr>
          <w:rFonts w:ascii="Garamond" w:hAnsi="Garamond"/>
          <w:sz w:val="22"/>
          <w:szCs w:val="22"/>
        </w:rPr>
      </w:pPr>
      <w:r w:rsidRPr="00031381">
        <w:rPr>
          <w:rFonts w:ascii="Garamond" w:hAnsi="Garamond"/>
          <w:sz w:val="22"/>
          <w:szCs w:val="22"/>
        </w:rPr>
        <w:t xml:space="preserve">Stanley, </w:t>
      </w:r>
      <w:proofErr w:type="gramStart"/>
      <w:r w:rsidRPr="00031381">
        <w:rPr>
          <w:rFonts w:ascii="Garamond" w:hAnsi="Garamond"/>
          <w:sz w:val="22"/>
          <w:szCs w:val="22"/>
        </w:rPr>
        <w:t>Jason</w:t>
      </w:r>
      <w:proofErr w:type="gramEnd"/>
      <w:r w:rsidRPr="00031381">
        <w:rPr>
          <w:rFonts w:ascii="Garamond" w:hAnsi="Garamond"/>
          <w:sz w:val="22"/>
          <w:szCs w:val="22"/>
        </w:rPr>
        <w:t xml:space="preserve"> and Timothy Williamson. 2001. “Knowing How.” </w:t>
      </w:r>
      <w:r w:rsidRPr="00031381">
        <w:rPr>
          <w:rFonts w:ascii="Garamond" w:hAnsi="Garamond"/>
          <w:i/>
          <w:iCs/>
          <w:sz w:val="22"/>
          <w:szCs w:val="22"/>
        </w:rPr>
        <w:t>The Journal of Philosophy</w:t>
      </w:r>
      <w:r w:rsidRPr="00031381">
        <w:rPr>
          <w:rFonts w:ascii="Garamond" w:hAnsi="Garamond"/>
          <w:sz w:val="22"/>
          <w:szCs w:val="22"/>
        </w:rPr>
        <w:t xml:space="preserve"> 98.8: 411-444.</w:t>
      </w:r>
    </w:p>
    <w:p w14:paraId="6678B937" w14:textId="77777777" w:rsidR="00120BCE" w:rsidRPr="00031381" w:rsidRDefault="00120BCE">
      <w:pPr>
        <w:rPr>
          <w:rFonts w:ascii="Garamond" w:hAnsi="Garamond"/>
          <w:sz w:val="22"/>
          <w:szCs w:val="22"/>
        </w:rPr>
      </w:pPr>
    </w:p>
    <w:p w14:paraId="40665211" w14:textId="77777777" w:rsidR="00120BCE" w:rsidRPr="00031381" w:rsidRDefault="00000000">
      <w:pPr>
        <w:rPr>
          <w:rFonts w:ascii="Garamond" w:hAnsi="Garamond"/>
          <w:sz w:val="22"/>
          <w:szCs w:val="22"/>
        </w:rPr>
      </w:pPr>
      <w:proofErr w:type="spellStart"/>
      <w:r w:rsidRPr="00031381">
        <w:rPr>
          <w:rFonts w:ascii="Garamond" w:hAnsi="Garamond"/>
          <w:sz w:val="22"/>
          <w:szCs w:val="22"/>
        </w:rPr>
        <w:t>Turri</w:t>
      </w:r>
      <w:proofErr w:type="spellEnd"/>
      <w:r w:rsidRPr="00031381">
        <w:rPr>
          <w:rFonts w:ascii="Garamond" w:hAnsi="Garamond"/>
          <w:sz w:val="22"/>
          <w:szCs w:val="22"/>
        </w:rPr>
        <w:t xml:space="preserve">, John. 2011. “Manifest Failure: The Gettier Problem Solved.” </w:t>
      </w:r>
      <w:r w:rsidRPr="00031381">
        <w:rPr>
          <w:rFonts w:ascii="Garamond" w:hAnsi="Garamond"/>
          <w:i/>
          <w:iCs/>
          <w:sz w:val="22"/>
          <w:szCs w:val="22"/>
        </w:rPr>
        <w:t>Philosophers’ Imprint</w:t>
      </w:r>
      <w:r w:rsidRPr="00031381">
        <w:rPr>
          <w:rFonts w:ascii="Garamond" w:hAnsi="Garamond"/>
          <w:sz w:val="22"/>
          <w:szCs w:val="22"/>
        </w:rPr>
        <w:t xml:space="preserve"> 11: 1-11.</w:t>
      </w:r>
    </w:p>
    <w:p w14:paraId="30671CE9" w14:textId="77777777" w:rsidR="00120BCE" w:rsidRPr="00031381" w:rsidRDefault="00120BCE">
      <w:pPr>
        <w:rPr>
          <w:rFonts w:ascii="Garamond" w:hAnsi="Garamond"/>
          <w:sz w:val="22"/>
          <w:szCs w:val="22"/>
        </w:rPr>
      </w:pPr>
    </w:p>
    <w:p w14:paraId="7ECCDC19" w14:textId="77777777" w:rsidR="00120BCE" w:rsidRPr="00031381" w:rsidRDefault="00000000">
      <w:pPr>
        <w:rPr>
          <w:rFonts w:ascii="Garamond" w:hAnsi="Garamond"/>
          <w:sz w:val="22"/>
          <w:szCs w:val="22"/>
        </w:rPr>
      </w:pPr>
      <w:r w:rsidRPr="00031381">
        <w:rPr>
          <w:rFonts w:ascii="Garamond" w:hAnsi="Garamond"/>
          <w:sz w:val="22"/>
          <w:szCs w:val="22"/>
        </w:rPr>
        <w:t xml:space="preserve">Tye, Michael. 2009. </w:t>
      </w:r>
      <w:r w:rsidRPr="00031381">
        <w:rPr>
          <w:rFonts w:ascii="Garamond" w:hAnsi="Garamond"/>
          <w:i/>
          <w:iCs/>
          <w:sz w:val="22"/>
          <w:szCs w:val="22"/>
        </w:rPr>
        <w:t>Consciousness Revisited: Materialism without Phenomenal Concepts</w:t>
      </w:r>
      <w:r w:rsidRPr="00031381">
        <w:rPr>
          <w:rFonts w:ascii="Garamond" w:hAnsi="Garamond"/>
          <w:sz w:val="22"/>
          <w:szCs w:val="22"/>
        </w:rPr>
        <w:t>. Cambridge, MA: MIT Press.</w:t>
      </w:r>
    </w:p>
    <w:p w14:paraId="1424B9E6" w14:textId="77777777" w:rsidR="00120BCE" w:rsidRPr="00031381" w:rsidRDefault="00120BCE">
      <w:pPr>
        <w:rPr>
          <w:rFonts w:ascii="Garamond" w:hAnsi="Garamond"/>
          <w:sz w:val="22"/>
          <w:szCs w:val="22"/>
        </w:rPr>
      </w:pPr>
    </w:p>
    <w:p w14:paraId="5FFC681F" w14:textId="77777777" w:rsidR="00120BCE" w:rsidRPr="00031381" w:rsidRDefault="00000000">
      <w:pPr>
        <w:rPr>
          <w:rFonts w:ascii="Garamond" w:hAnsi="Garamond"/>
          <w:sz w:val="22"/>
          <w:szCs w:val="22"/>
        </w:rPr>
      </w:pPr>
      <w:proofErr w:type="spellStart"/>
      <w:r w:rsidRPr="00031381">
        <w:rPr>
          <w:rFonts w:ascii="Garamond" w:hAnsi="Garamond"/>
          <w:sz w:val="22"/>
          <w:szCs w:val="22"/>
        </w:rPr>
        <w:t>Valaris</w:t>
      </w:r>
      <w:proofErr w:type="spellEnd"/>
      <w:r w:rsidRPr="00031381">
        <w:rPr>
          <w:rFonts w:ascii="Garamond" w:hAnsi="Garamond"/>
          <w:sz w:val="22"/>
          <w:szCs w:val="22"/>
        </w:rPr>
        <w:t xml:space="preserve">, Markos. 2020a. “Knowing what you are doing: Action-demonstratives in unreflective action.” </w:t>
      </w:r>
      <w:r w:rsidRPr="00031381">
        <w:rPr>
          <w:rFonts w:ascii="Garamond" w:hAnsi="Garamond"/>
          <w:i/>
          <w:iCs/>
          <w:sz w:val="22"/>
          <w:szCs w:val="22"/>
        </w:rPr>
        <w:t>Ratio</w:t>
      </w:r>
      <w:r w:rsidRPr="00031381">
        <w:rPr>
          <w:rFonts w:ascii="Garamond" w:hAnsi="Garamond"/>
          <w:sz w:val="22"/>
          <w:szCs w:val="22"/>
        </w:rPr>
        <w:t xml:space="preserve"> 33: </w:t>
      </w:r>
      <w:r w:rsidRPr="00031381">
        <w:rPr>
          <w:rFonts w:ascii="Garamond" w:hAnsi="Garamond"/>
          <w:sz w:val="22"/>
          <w:szCs w:val="22"/>
        </w:rPr>
        <w:lastRenderedPageBreak/>
        <w:t>97-105.</w:t>
      </w:r>
    </w:p>
    <w:p w14:paraId="7133569C" w14:textId="77777777" w:rsidR="00120BCE" w:rsidRPr="00031381" w:rsidRDefault="00120BCE">
      <w:pPr>
        <w:rPr>
          <w:rFonts w:ascii="Garamond" w:hAnsi="Garamond"/>
          <w:sz w:val="22"/>
          <w:szCs w:val="22"/>
        </w:rPr>
      </w:pPr>
    </w:p>
    <w:p w14:paraId="598E8758" w14:textId="77777777" w:rsidR="00120BCE" w:rsidRPr="00031381" w:rsidRDefault="00000000">
      <w:pPr>
        <w:rPr>
          <w:rFonts w:ascii="Garamond" w:hAnsi="Garamond"/>
          <w:sz w:val="22"/>
          <w:szCs w:val="22"/>
        </w:rPr>
      </w:pPr>
      <w:proofErr w:type="spellStart"/>
      <w:r w:rsidRPr="00031381">
        <w:rPr>
          <w:rFonts w:ascii="Garamond" w:hAnsi="Garamond"/>
          <w:sz w:val="22"/>
          <w:szCs w:val="22"/>
        </w:rPr>
        <w:t>Valaris</w:t>
      </w:r>
      <w:proofErr w:type="spellEnd"/>
      <w:r w:rsidRPr="00031381">
        <w:rPr>
          <w:rFonts w:ascii="Garamond" w:hAnsi="Garamond"/>
          <w:sz w:val="22"/>
          <w:szCs w:val="22"/>
        </w:rPr>
        <w:t xml:space="preserve">, Markos. 2020b. “Thinking by doing: </w:t>
      </w:r>
      <w:proofErr w:type="spellStart"/>
      <w:r w:rsidRPr="00031381">
        <w:rPr>
          <w:rFonts w:ascii="Garamond" w:hAnsi="Garamond"/>
          <w:sz w:val="22"/>
          <w:szCs w:val="22"/>
        </w:rPr>
        <w:t>Rylean</w:t>
      </w:r>
      <w:proofErr w:type="spellEnd"/>
      <w:r w:rsidRPr="00031381">
        <w:rPr>
          <w:rFonts w:ascii="Garamond" w:hAnsi="Garamond"/>
          <w:sz w:val="22"/>
          <w:szCs w:val="22"/>
        </w:rPr>
        <w:t xml:space="preserve"> regress and the metaphysics of action.” </w:t>
      </w:r>
      <w:proofErr w:type="spellStart"/>
      <w:r w:rsidRPr="00031381">
        <w:rPr>
          <w:rFonts w:ascii="Garamond" w:hAnsi="Garamond"/>
          <w:i/>
          <w:iCs/>
          <w:sz w:val="22"/>
          <w:szCs w:val="22"/>
        </w:rPr>
        <w:t>Synthese</w:t>
      </w:r>
      <w:proofErr w:type="spellEnd"/>
      <w:r w:rsidRPr="00031381">
        <w:rPr>
          <w:rFonts w:ascii="Garamond" w:hAnsi="Garamond"/>
          <w:sz w:val="22"/>
          <w:szCs w:val="22"/>
        </w:rPr>
        <w:t xml:space="preserve"> 197: 3395-3412.</w:t>
      </w:r>
    </w:p>
    <w:p w14:paraId="4BEB31BB" w14:textId="77777777" w:rsidR="00120BCE" w:rsidRPr="00031381" w:rsidRDefault="00120BCE">
      <w:pPr>
        <w:rPr>
          <w:rFonts w:ascii="Garamond" w:hAnsi="Garamond"/>
          <w:sz w:val="22"/>
          <w:szCs w:val="22"/>
        </w:rPr>
      </w:pPr>
    </w:p>
    <w:p w14:paraId="18DFA8F4" w14:textId="77777777" w:rsidR="00120BCE" w:rsidRPr="00031381" w:rsidRDefault="00000000">
      <w:pPr>
        <w:rPr>
          <w:rFonts w:ascii="Garamond" w:hAnsi="Garamond"/>
          <w:sz w:val="22"/>
          <w:szCs w:val="22"/>
        </w:rPr>
      </w:pPr>
      <w:r w:rsidRPr="00031381">
        <w:rPr>
          <w:rFonts w:ascii="Garamond" w:hAnsi="Garamond"/>
          <w:sz w:val="22"/>
          <w:szCs w:val="22"/>
        </w:rPr>
        <w:t xml:space="preserve">Van Norden, Bryan W., trans. 2008. </w:t>
      </w:r>
      <w:r w:rsidRPr="00031381">
        <w:rPr>
          <w:rFonts w:ascii="Garamond" w:hAnsi="Garamond"/>
          <w:i/>
          <w:sz w:val="22"/>
          <w:szCs w:val="22"/>
        </w:rPr>
        <w:t xml:space="preserve">Mengzi: With Selections </w:t>
      </w:r>
      <w:proofErr w:type="gramStart"/>
      <w:r w:rsidRPr="00031381">
        <w:rPr>
          <w:rFonts w:ascii="Garamond" w:hAnsi="Garamond"/>
          <w:i/>
          <w:sz w:val="22"/>
          <w:szCs w:val="22"/>
        </w:rPr>
        <w:t>From</w:t>
      </w:r>
      <w:proofErr w:type="gramEnd"/>
      <w:r w:rsidRPr="00031381">
        <w:rPr>
          <w:rFonts w:ascii="Garamond" w:hAnsi="Garamond"/>
          <w:i/>
          <w:sz w:val="22"/>
          <w:szCs w:val="22"/>
        </w:rPr>
        <w:t xml:space="preserve"> Traditional Commentaries</w:t>
      </w:r>
      <w:r w:rsidRPr="00031381">
        <w:rPr>
          <w:rFonts w:ascii="Garamond" w:hAnsi="Garamond"/>
          <w:sz w:val="22"/>
          <w:szCs w:val="22"/>
        </w:rPr>
        <w:t>. Indianapolis: Hackett.</w:t>
      </w:r>
    </w:p>
    <w:p w14:paraId="57616032" w14:textId="77777777" w:rsidR="00120BCE" w:rsidRPr="00031381" w:rsidRDefault="00120BCE">
      <w:pPr>
        <w:rPr>
          <w:rFonts w:ascii="Garamond" w:hAnsi="Garamond"/>
          <w:sz w:val="22"/>
          <w:szCs w:val="22"/>
        </w:rPr>
      </w:pPr>
    </w:p>
    <w:p w14:paraId="4DB449E9" w14:textId="77777777" w:rsidR="00120BCE" w:rsidRPr="00031381" w:rsidRDefault="00000000">
      <w:pPr>
        <w:rPr>
          <w:rFonts w:ascii="Garamond" w:hAnsi="Garamond"/>
          <w:sz w:val="22"/>
          <w:szCs w:val="22"/>
        </w:rPr>
      </w:pPr>
      <w:r w:rsidRPr="00031381">
        <w:rPr>
          <w:rFonts w:ascii="Garamond" w:hAnsi="Garamond"/>
          <w:sz w:val="22"/>
          <w:szCs w:val="22"/>
        </w:rPr>
        <w:t xml:space="preserve">Wittgenstein, Ludwig. 1958[1953]. </w:t>
      </w:r>
      <w:r w:rsidRPr="00031381">
        <w:rPr>
          <w:rFonts w:ascii="Garamond" w:hAnsi="Garamond"/>
          <w:i/>
          <w:iCs/>
          <w:sz w:val="22"/>
          <w:szCs w:val="22"/>
        </w:rPr>
        <w:t>Philosophical Investigations</w:t>
      </w:r>
      <w:r w:rsidRPr="00031381">
        <w:rPr>
          <w:rFonts w:ascii="Garamond" w:hAnsi="Garamond"/>
          <w:sz w:val="22"/>
          <w:szCs w:val="22"/>
        </w:rPr>
        <w:t xml:space="preserve">. Translated by G. E. M. Anscombe. Oxford: Basil Blackwell. </w:t>
      </w:r>
    </w:p>
    <w:p w14:paraId="18845121" w14:textId="77777777" w:rsidR="00120BCE" w:rsidRPr="00031381" w:rsidRDefault="00120BCE">
      <w:pPr>
        <w:rPr>
          <w:rFonts w:ascii="Garamond" w:hAnsi="Garamond"/>
          <w:sz w:val="22"/>
          <w:szCs w:val="22"/>
        </w:rPr>
      </w:pPr>
    </w:p>
    <w:p w14:paraId="27291E88" w14:textId="77777777" w:rsidR="00120BCE" w:rsidRPr="00031381" w:rsidRDefault="00000000">
      <w:pPr>
        <w:rPr>
          <w:rFonts w:ascii="Garamond" w:hAnsi="Garamond"/>
          <w:sz w:val="22"/>
          <w:szCs w:val="22"/>
        </w:rPr>
      </w:pPr>
      <w:r w:rsidRPr="00031381">
        <w:rPr>
          <w:rFonts w:ascii="Garamond" w:hAnsi="Garamond"/>
          <w:sz w:val="22"/>
          <w:szCs w:val="22"/>
        </w:rPr>
        <w:t xml:space="preserve">Yang, </w:t>
      </w:r>
      <w:proofErr w:type="spellStart"/>
      <w:r w:rsidRPr="00031381">
        <w:rPr>
          <w:rFonts w:ascii="Garamond" w:hAnsi="Garamond"/>
          <w:sz w:val="22"/>
          <w:szCs w:val="22"/>
        </w:rPr>
        <w:t>Bojun</w:t>
      </w:r>
      <w:proofErr w:type="spellEnd"/>
      <w:r w:rsidRPr="00031381">
        <w:rPr>
          <w:rFonts w:ascii="Garamond" w:hAnsi="Garamond"/>
          <w:sz w:val="22"/>
          <w:szCs w:val="22"/>
        </w:rPr>
        <w:t xml:space="preserve"> </w:t>
      </w:r>
      <w:r w:rsidRPr="00031381">
        <w:rPr>
          <w:rFonts w:ascii="Garamond" w:hAnsi="Garamond"/>
          <w:sz w:val="22"/>
          <w:szCs w:val="22"/>
        </w:rPr>
        <w:t>楊伯峻</w:t>
      </w:r>
      <w:r w:rsidRPr="00031381">
        <w:rPr>
          <w:rFonts w:ascii="Garamond" w:hAnsi="Garamond"/>
          <w:sz w:val="22"/>
          <w:szCs w:val="22"/>
        </w:rPr>
        <w:t xml:space="preserve">. 2013. </w:t>
      </w:r>
      <w:r w:rsidRPr="00031381">
        <w:rPr>
          <w:rFonts w:ascii="Garamond" w:hAnsi="Garamond"/>
          <w:i/>
          <w:iCs/>
          <w:sz w:val="22"/>
          <w:szCs w:val="22"/>
        </w:rPr>
        <w:t>An Annotated Translation of the</w:t>
      </w:r>
      <w:r w:rsidRPr="00031381">
        <w:rPr>
          <w:rFonts w:ascii="Garamond" w:hAnsi="Garamond"/>
          <w:sz w:val="22"/>
          <w:szCs w:val="22"/>
        </w:rPr>
        <w:t xml:space="preserve"> Mencius </w:t>
      </w:r>
      <w:r w:rsidRPr="00031381">
        <w:rPr>
          <w:rFonts w:ascii="Garamond" w:hAnsi="Garamond"/>
          <w:sz w:val="22"/>
          <w:szCs w:val="22"/>
        </w:rPr>
        <w:t>孟子譯注</w:t>
      </w:r>
      <w:r w:rsidRPr="00031381">
        <w:rPr>
          <w:rFonts w:ascii="Garamond" w:hAnsi="Garamond"/>
          <w:sz w:val="22"/>
          <w:szCs w:val="22"/>
        </w:rPr>
        <w:t xml:space="preserve">. Beijing </w:t>
      </w:r>
      <w:r w:rsidRPr="00031381">
        <w:rPr>
          <w:rFonts w:ascii="Garamond" w:hAnsi="Garamond"/>
          <w:sz w:val="22"/>
          <w:szCs w:val="22"/>
        </w:rPr>
        <w:t>北京</w:t>
      </w:r>
      <w:r w:rsidRPr="00031381">
        <w:rPr>
          <w:rFonts w:ascii="Garamond" w:hAnsi="Garamond"/>
          <w:sz w:val="22"/>
          <w:szCs w:val="22"/>
        </w:rPr>
        <w:t xml:space="preserve">: </w:t>
      </w:r>
      <w:proofErr w:type="spellStart"/>
      <w:r w:rsidRPr="00031381">
        <w:rPr>
          <w:rFonts w:ascii="Garamond" w:hAnsi="Garamond"/>
          <w:sz w:val="22"/>
          <w:szCs w:val="22"/>
        </w:rPr>
        <w:t>Zhonghua</w:t>
      </w:r>
      <w:proofErr w:type="spellEnd"/>
      <w:r w:rsidRPr="00031381">
        <w:rPr>
          <w:rFonts w:ascii="Garamond" w:hAnsi="Garamond"/>
          <w:sz w:val="22"/>
          <w:szCs w:val="22"/>
        </w:rPr>
        <w:t xml:space="preserve"> </w:t>
      </w:r>
      <w:proofErr w:type="spellStart"/>
      <w:r w:rsidRPr="00031381">
        <w:rPr>
          <w:rFonts w:ascii="Garamond" w:hAnsi="Garamond"/>
          <w:sz w:val="22"/>
          <w:szCs w:val="22"/>
        </w:rPr>
        <w:t>Shuju</w:t>
      </w:r>
      <w:proofErr w:type="spellEnd"/>
      <w:r w:rsidRPr="00031381">
        <w:rPr>
          <w:rFonts w:ascii="Garamond" w:hAnsi="Garamond"/>
          <w:sz w:val="22"/>
          <w:szCs w:val="22"/>
        </w:rPr>
        <w:t xml:space="preserve"> </w:t>
      </w:r>
      <w:r w:rsidRPr="00031381">
        <w:rPr>
          <w:rFonts w:ascii="Garamond" w:hAnsi="Garamond"/>
          <w:sz w:val="22"/>
          <w:szCs w:val="22"/>
        </w:rPr>
        <w:t>中華書局</w:t>
      </w:r>
      <w:r w:rsidRPr="00031381">
        <w:rPr>
          <w:rFonts w:ascii="Garamond" w:hAnsi="Garamond"/>
          <w:sz w:val="22"/>
          <w:szCs w:val="22"/>
        </w:rPr>
        <w:t>.</w:t>
      </w:r>
    </w:p>
    <w:p w14:paraId="6F84FC14" w14:textId="77777777" w:rsidR="00120BCE" w:rsidRPr="00031381" w:rsidRDefault="00120BCE">
      <w:pPr>
        <w:rPr>
          <w:rFonts w:ascii="Garamond" w:hAnsi="Garamond"/>
          <w:sz w:val="22"/>
          <w:szCs w:val="22"/>
        </w:rPr>
      </w:pPr>
    </w:p>
    <w:p w14:paraId="5BC77FB4" w14:textId="77777777" w:rsidR="00120BCE" w:rsidRPr="00031381" w:rsidRDefault="00000000">
      <w:pPr>
        <w:rPr>
          <w:rFonts w:ascii="Garamond" w:hAnsi="Garamond"/>
          <w:sz w:val="22"/>
          <w:szCs w:val="22"/>
        </w:rPr>
      </w:pPr>
      <w:r w:rsidRPr="00031381">
        <w:rPr>
          <w:rFonts w:ascii="Garamond" w:hAnsi="Garamond"/>
          <w:sz w:val="22"/>
          <w:szCs w:val="22"/>
        </w:rPr>
        <w:t xml:space="preserve">Yao, </w:t>
      </w:r>
      <w:proofErr w:type="spellStart"/>
      <w:r w:rsidRPr="00031381">
        <w:rPr>
          <w:rFonts w:ascii="Garamond" w:hAnsi="Garamond"/>
          <w:sz w:val="22"/>
          <w:szCs w:val="22"/>
        </w:rPr>
        <w:t>Xinzhong</w:t>
      </w:r>
      <w:proofErr w:type="spellEnd"/>
      <w:r w:rsidRPr="00031381">
        <w:rPr>
          <w:rFonts w:ascii="Garamond" w:hAnsi="Garamond"/>
          <w:sz w:val="22"/>
          <w:szCs w:val="22"/>
        </w:rPr>
        <w:t xml:space="preserve"> </w:t>
      </w:r>
      <w:r w:rsidRPr="00031381">
        <w:rPr>
          <w:rFonts w:ascii="Garamond" w:hAnsi="Garamond"/>
          <w:sz w:val="22"/>
          <w:szCs w:val="22"/>
        </w:rPr>
        <w:t>姚新中</w:t>
      </w:r>
      <w:r w:rsidRPr="00031381">
        <w:rPr>
          <w:rFonts w:ascii="Garamond" w:hAnsi="Garamond"/>
          <w:sz w:val="22"/>
          <w:szCs w:val="22"/>
        </w:rPr>
        <w:t xml:space="preserve">. 2006. </w:t>
      </w:r>
      <w:r w:rsidRPr="00031381">
        <w:rPr>
          <w:rFonts w:ascii="Garamond" w:hAnsi="Garamond"/>
          <w:i/>
          <w:iCs/>
          <w:sz w:val="22"/>
          <w:szCs w:val="22"/>
        </w:rPr>
        <w:t>Wisdom in Early Confucian and Israelite Traditions</w:t>
      </w:r>
      <w:r w:rsidRPr="00031381">
        <w:rPr>
          <w:rFonts w:ascii="Garamond" w:hAnsi="Garamond"/>
          <w:sz w:val="22"/>
          <w:szCs w:val="22"/>
        </w:rPr>
        <w:t xml:space="preserve">. </w:t>
      </w:r>
      <w:proofErr w:type="spellStart"/>
      <w:r w:rsidRPr="00031381">
        <w:rPr>
          <w:rFonts w:ascii="Garamond" w:hAnsi="Garamond"/>
          <w:sz w:val="22"/>
          <w:szCs w:val="22"/>
        </w:rPr>
        <w:t>Aldershot</w:t>
      </w:r>
      <w:proofErr w:type="spellEnd"/>
      <w:r w:rsidRPr="00031381">
        <w:rPr>
          <w:rFonts w:ascii="Garamond" w:hAnsi="Garamond"/>
          <w:sz w:val="22"/>
          <w:szCs w:val="22"/>
        </w:rPr>
        <w:t>: Ashgate. (A largely speculative volume that compares early Confucian notions of wisdom to the wisdom literature of the Old Testament and the Book of Ben Sira.)</w:t>
      </w:r>
    </w:p>
    <w:p w14:paraId="0F7B00B9" w14:textId="77777777" w:rsidR="00120BCE" w:rsidRPr="00031381" w:rsidRDefault="00120BCE">
      <w:pPr>
        <w:rPr>
          <w:rFonts w:ascii="Garamond" w:hAnsi="Garamond"/>
          <w:sz w:val="22"/>
          <w:szCs w:val="22"/>
        </w:rPr>
      </w:pPr>
    </w:p>
    <w:p w14:paraId="7CD774FF" w14:textId="77777777" w:rsidR="00120BCE" w:rsidRPr="00031381" w:rsidRDefault="00000000">
      <w:pPr>
        <w:rPr>
          <w:rFonts w:ascii="Garamond" w:hAnsi="Garamond"/>
          <w:sz w:val="22"/>
          <w:szCs w:val="22"/>
        </w:rPr>
      </w:pPr>
      <w:proofErr w:type="spellStart"/>
      <w:r w:rsidRPr="00031381">
        <w:rPr>
          <w:rFonts w:ascii="Garamond" w:hAnsi="Garamond"/>
          <w:sz w:val="22"/>
          <w:szCs w:val="22"/>
        </w:rPr>
        <w:t>Zagzebski</w:t>
      </w:r>
      <w:proofErr w:type="spellEnd"/>
      <w:r w:rsidRPr="00031381">
        <w:rPr>
          <w:rFonts w:ascii="Garamond" w:hAnsi="Garamond"/>
          <w:sz w:val="22"/>
          <w:szCs w:val="22"/>
        </w:rPr>
        <w:t xml:space="preserve">, Linda. 1996. </w:t>
      </w:r>
      <w:r w:rsidRPr="00031381">
        <w:rPr>
          <w:rFonts w:ascii="Garamond" w:hAnsi="Garamond"/>
          <w:i/>
          <w:iCs/>
          <w:sz w:val="22"/>
          <w:szCs w:val="22"/>
        </w:rPr>
        <w:t>Virtues of the Mind</w:t>
      </w:r>
      <w:r w:rsidRPr="00031381">
        <w:rPr>
          <w:rFonts w:ascii="Garamond" w:hAnsi="Garamond"/>
          <w:sz w:val="22"/>
          <w:szCs w:val="22"/>
        </w:rPr>
        <w:t>. Cambridge: Cambridge University Press.</w:t>
      </w:r>
    </w:p>
    <w:p w14:paraId="70B058E3" w14:textId="77777777" w:rsidR="00120BCE" w:rsidRPr="00031381" w:rsidRDefault="00120BCE">
      <w:pPr>
        <w:rPr>
          <w:rFonts w:ascii="Garamond" w:hAnsi="Garamond"/>
          <w:sz w:val="22"/>
          <w:szCs w:val="22"/>
        </w:rPr>
      </w:pPr>
    </w:p>
    <w:p w14:paraId="384EFF37" w14:textId="77777777" w:rsidR="00120BCE" w:rsidRPr="00031381" w:rsidRDefault="00000000">
      <w:pPr>
        <w:rPr>
          <w:rFonts w:ascii="Garamond" w:hAnsi="Garamond"/>
          <w:sz w:val="22"/>
          <w:szCs w:val="22"/>
        </w:rPr>
      </w:pPr>
      <w:proofErr w:type="spellStart"/>
      <w:r w:rsidRPr="00031381">
        <w:rPr>
          <w:rFonts w:ascii="Garamond" w:hAnsi="Garamond"/>
          <w:sz w:val="22"/>
          <w:szCs w:val="22"/>
        </w:rPr>
        <w:t>Zagzebski</w:t>
      </w:r>
      <w:proofErr w:type="spellEnd"/>
      <w:r w:rsidRPr="00031381">
        <w:rPr>
          <w:rFonts w:ascii="Garamond" w:hAnsi="Garamond"/>
          <w:sz w:val="22"/>
          <w:szCs w:val="22"/>
        </w:rPr>
        <w:t xml:space="preserve">, Linda. 1999. “What is Knowledge?” In John Greco and Ernest Sosa, eds., </w:t>
      </w:r>
      <w:r w:rsidRPr="00031381">
        <w:rPr>
          <w:rFonts w:ascii="Garamond" w:hAnsi="Garamond"/>
          <w:i/>
          <w:iCs/>
          <w:sz w:val="22"/>
          <w:szCs w:val="22"/>
        </w:rPr>
        <w:t>The Blackwell Guide to Epistemology</w:t>
      </w:r>
      <w:r w:rsidRPr="00031381">
        <w:rPr>
          <w:rFonts w:ascii="Garamond" w:hAnsi="Garamond"/>
          <w:sz w:val="22"/>
          <w:szCs w:val="22"/>
        </w:rPr>
        <w:t>. Oxford: Blackwell.</w:t>
      </w:r>
    </w:p>
    <w:p w14:paraId="49A1B978" w14:textId="77777777" w:rsidR="00120BCE" w:rsidRPr="00031381" w:rsidRDefault="00120BCE">
      <w:pPr>
        <w:rPr>
          <w:rFonts w:ascii="Garamond" w:hAnsi="Garamond"/>
          <w:sz w:val="22"/>
          <w:szCs w:val="22"/>
        </w:rPr>
      </w:pPr>
    </w:p>
    <w:p w14:paraId="5C551E4A" w14:textId="77777777" w:rsidR="00120BCE" w:rsidRPr="00031381" w:rsidRDefault="00000000">
      <w:pPr>
        <w:rPr>
          <w:rFonts w:ascii="Garamond" w:hAnsi="Garamond"/>
          <w:sz w:val="22"/>
          <w:szCs w:val="22"/>
        </w:rPr>
      </w:pPr>
      <w:proofErr w:type="spellStart"/>
      <w:r w:rsidRPr="00031381">
        <w:rPr>
          <w:rFonts w:ascii="Garamond" w:hAnsi="Garamond"/>
          <w:sz w:val="22"/>
          <w:szCs w:val="22"/>
        </w:rPr>
        <w:t>Zagzebski</w:t>
      </w:r>
      <w:proofErr w:type="spellEnd"/>
      <w:r w:rsidRPr="00031381">
        <w:rPr>
          <w:rFonts w:ascii="Garamond" w:hAnsi="Garamond"/>
          <w:sz w:val="22"/>
          <w:szCs w:val="22"/>
        </w:rPr>
        <w:t xml:space="preserve">, Linda. 2009. </w:t>
      </w:r>
      <w:r w:rsidRPr="00031381">
        <w:rPr>
          <w:rFonts w:ascii="Garamond" w:hAnsi="Garamond"/>
          <w:i/>
          <w:iCs/>
          <w:sz w:val="22"/>
          <w:szCs w:val="22"/>
        </w:rPr>
        <w:t>On Epistemology.</w:t>
      </w:r>
      <w:r w:rsidRPr="00031381">
        <w:rPr>
          <w:rFonts w:ascii="Garamond" w:hAnsi="Garamond"/>
          <w:sz w:val="22"/>
          <w:szCs w:val="22"/>
        </w:rPr>
        <w:t xml:space="preserve"> Belmont, CA: Wadsworth Cengage Learning.</w:t>
      </w:r>
    </w:p>
    <w:p w14:paraId="4877D3B9" w14:textId="77777777" w:rsidR="00120BCE" w:rsidRPr="00031381" w:rsidRDefault="00120BCE">
      <w:pPr>
        <w:rPr>
          <w:rFonts w:ascii="Garamond" w:hAnsi="Garamond"/>
          <w:sz w:val="22"/>
          <w:szCs w:val="22"/>
        </w:rPr>
      </w:pPr>
    </w:p>
    <w:p w14:paraId="38024E0D" w14:textId="77777777" w:rsidR="00120BCE" w:rsidRPr="00031381" w:rsidRDefault="00000000">
      <w:pPr>
        <w:rPr>
          <w:rFonts w:ascii="Garamond" w:hAnsi="Garamond"/>
          <w:sz w:val="22"/>
          <w:szCs w:val="22"/>
        </w:rPr>
      </w:pPr>
      <w:r w:rsidRPr="00031381">
        <w:rPr>
          <w:rFonts w:ascii="Garamond" w:hAnsi="Garamond"/>
          <w:sz w:val="22"/>
          <w:szCs w:val="22"/>
        </w:rPr>
        <w:t xml:space="preserve">Zhu, Xi </w:t>
      </w:r>
      <w:r w:rsidRPr="00031381">
        <w:rPr>
          <w:rFonts w:ascii="Garamond" w:hAnsi="Garamond"/>
          <w:sz w:val="22"/>
          <w:szCs w:val="22"/>
        </w:rPr>
        <w:t>朱熹</w:t>
      </w:r>
      <w:r w:rsidRPr="00031381">
        <w:rPr>
          <w:rFonts w:ascii="Garamond" w:hAnsi="Garamond"/>
          <w:sz w:val="22"/>
          <w:szCs w:val="22"/>
        </w:rPr>
        <w:t xml:space="preserve"> (1130-1200). 1983.</w:t>
      </w:r>
      <w:r w:rsidRPr="00031381">
        <w:rPr>
          <w:rFonts w:ascii="Garamond" w:hAnsi="Garamond"/>
          <w:i/>
          <w:iCs/>
          <w:sz w:val="22"/>
          <w:szCs w:val="22"/>
        </w:rPr>
        <w:t xml:space="preserve"> Collected Commentaries on the </w:t>
      </w:r>
      <w:r w:rsidRPr="00031381">
        <w:rPr>
          <w:rFonts w:ascii="Garamond" w:hAnsi="Garamond"/>
          <w:sz w:val="22"/>
          <w:szCs w:val="22"/>
        </w:rPr>
        <w:t>Four Books</w:t>
      </w:r>
      <w:r w:rsidRPr="00031381">
        <w:rPr>
          <w:rFonts w:ascii="Garamond" w:hAnsi="Garamond"/>
          <w:i/>
          <w:iCs/>
          <w:sz w:val="22"/>
          <w:szCs w:val="22"/>
        </w:rPr>
        <w:t xml:space="preserve"> </w:t>
      </w:r>
      <w:r w:rsidRPr="00031381">
        <w:rPr>
          <w:rFonts w:ascii="Garamond" w:hAnsi="Garamond"/>
          <w:sz w:val="22"/>
          <w:szCs w:val="22"/>
        </w:rPr>
        <w:t>四書章句集注</w:t>
      </w:r>
      <w:r w:rsidRPr="00031381">
        <w:rPr>
          <w:rFonts w:ascii="Garamond" w:hAnsi="Garamond"/>
          <w:sz w:val="22"/>
          <w:szCs w:val="22"/>
        </w:rPr>
        <w:t xml:space="preserve">. Beijing </w:t>
      </w:r>
      <w:r w:rsidRPr="00031381">
        <w:rPr>
          <w:rFonts w:ascii="Garamond" w:hAnsi="Garamond"/>
          <w:sz w:val="22"/>
          <w:szCs w:val="22"/>
        </w:rPr>
        <w:t>北京</w:t>
      </w:r>
      <w:r w:rsidRPr="00031381">
        <w:rPr>
          <w:rFonts w:ascii="Garamond" w:hAnsi="Garamond"/>
          <w:sz w:val="22"/>
          <w:szCs w:val="22"/>
        </w:rPr>
        <w:t xml:space="preserve">: </w:t>
      </w:r>
      <w:proofErr w:type="spellStart"/>
      <w:r w:rsidRPr="00031381">
        <w:rPr>
          <w:rFonts w:ascii="Garamond" w:hAnsi="Garamond"/>
          <w:sz w:val="22"/>
          <w:szCs w:val="22"/>
        </w:rPr>
        <w:t>Zhonghua</w:t>
      </w:r>
      <w:proofErr w:type="spellEnd"/>
      <w:r w:rsidRPr="00031381">
        <w:rPr>
          <w:rFonts w:ascii="Garamond" w:hAnsi="Garamond"/>
          <w:sz w:val="22"/>
          <w:szCs w:val="22"/>
        </w:rPr>
        <w:t xml:space="preserve"> </w:t>
      </w:r>
      <w:proofErr w:type="spellStart"/>
      <w:r w:rsidRPr="00031381">
        <w:rPr>
          <w:rFonts w:ascii="Garamond" w:hAnsi="Garamond"/>
          <w:sz w:val="22"/>
          <w:szCs w:val="22"/>
        </w:rPr>
        <w:t>Shuju</w:t>
      </w:r>
      <w:proofErr w:type="spellEnd"/>
      <w:r w:rsidRPr="00031381">
        <w:rPr>
          <w:rFonts w:ascii="Garamond" w:hAnsi="Garamond"/>
          <w:sz w:val="22"/>
          <w:szCs w:val="22"/>
        </w:rPr>
        <w:t xml:space="preserve"> </w:t>
      </w:r>
      <w:r w:rsidRPr="00031381">
        <w:rPr>
          <w:rFonts w:ascii="Garamond" w:hAnsi="Garamond"/>
          <w:sz w:val="22"/>
          <w:szCs w:val="22"/>
        </w:rPr>
        <w:t>中華書局</w:t>
      </w:r>
      <w:r w:rsidRPr="00031381">
        <w:rPr>
          <w:rFonts w:ascii="Garamond" w:hAnsi="Garamond"/>
          <w:sz w:val="22"/>
          <w:szCs w:val="22"/>
        </w:rPr>
        <w:t>.</w:t>
      </w:r>
    </w:p>
    <w:sectPr w:rsidR="00120BCE" w:rsidRPr="00031381">
      <w:footerReference w:type="default" r:id="rId7"/>
      <w:pgSz w:w="11906" w:h="16838"/>
      <w:pgMar w:top="1693" w:right="1134" w:bottom="1693" w:left="1134" w:header="0" w:footer="1134"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655E2" w14:textId="77777777" w:rsidR="00901040" w:rsidRDefault="00901040">
      <w:r>
        <w:separator/>
      </w:r>
    </w:p>
  </w:endnote>
  <w:endnote w:type="continuationSeparator" w:id="0">
    <w:p w14:paraId="2AF8980E" w14:textId="77777777" w:rsidR="00901040" w:rsidRDefault="00901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00"/>
    <w:family w:val="modern"/>
    <w:pitch w:val="fixed"/>
    <w:sig w:usb0="E0000AFF" w:usb1="400078FF" w:usb2="00000001" w:usb3="00000000" w:csb0="000001B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8FEA" w14:textId="77777777" w:rsidR="00120BCE" w:rsidRDefault="00000000">
    <w:pPr>
      <w:pStyle w:val="Footer"/>
      <w:jc w:val="center"/>
    </w:pPr>
    <w:r>
      <w:fldChar w:fldCharType="begin"/>
    </w:r>
    <w:r>
      <w:instrText xml:space="preserve"> PAGE </w:instrText>
    </w:r>
    <w:r>
      <w:fldChar w:fldCharType="separate"/>
    </w:r>
    <w: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7653A" w14:textId="77777777" w:rsidR="00901040" w:rsidRDefault="00901040">
      <w:pPr>
        <w:rPr>
          <w:sz w:val="12"/>
        </w:rPr>
      </w:pPr>
      <w:r>
        <w:separator/>
      </w:r>
    </w:p>
  </w:footnote>
  <w:footnote w:type="continuationSeparator" w:id="0">
    <w:p w14:paraId="303422DF" w14:textId="77777777" w:rsidR="00901040" w:rsidRDefault="00901040">
      <w:pPr>
        <w:rPr>
          <w:sz w:val="12"/>
        </w:rPr>
      </w:pPr>
      <w:r>
        <w:continuationSeparator/>
      </w:r>
    </w:p>
  </w:footnote>
  <w:footnote w:id="1">
    <w:p w14:paraId="677B42D3"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eastAsia="Times New Roman" w:hAnsi="Garamond"/>
        </w:rPr>
        <w:tab/>
        <w:t xml:space="preserve">There might, of course, be good reasons to draw on texts from the </w:t>
      </w:r>
      <w:r w:rsidRPr="00031381">
        <w:rPr>
          <w:rFonts w:ascii="Garamond" w:eastAsia="Times New Roman" w:hAnsi="Garamond"/>
          <w:i/>
          <w:iCs/>
        </w:rPr>
        <w:t>Xunzi</w:t>
      </w:r>
      <w:r w:rsidRPr="00031381">
        <w:rPr>
          <w:rFonts w:ascii="Garamond" w:eastAsia="Times New Roman" w:hAnsi="Garamond"/>
        </w:rPr>
        <w:t xml:space="preserve"> or the </w:t>
      </w:r>
      <w:r w:rsidRPr="00031381">
        <w:rPr>
          <w:rFonts w:ascii="Garamond" w:eastAsia="Times New Roman" w:hAnsi="Garamond"/>
          <w:i/>
          <w:iCs/>
        </w:rPr>
        <w:t>Analects</w:t>
      </w:r>
      <w:r w:rsidRPr="00031381">
        <w:rPr>
          <w:rFonts w:ascii="Garamond" w:eastAsia="Times New Roman" w:hAnsi="Garamond"/>
        </w:rPr>
        <w:t xml:space="preserve"> when it comes to understanding what Mencius has to say on epistemological matters, but such a reliance on textual material from outside the </w:t>
      </w:r>
      <w:r w:rsidRPr="00031381">
        <w:rPr>
          <w:rFonts w:ascii="Garamond" w:eastAsia="Times New Roman" w:hAnsi="Garamond"/>
          <w:i/>
          <w:iCs/>
        </w:rPr>
        <w:t>Mencius</w:t>
      </w:r>
      <w:r w:rsidRPr="00031381">
        <w:rPr>
          <w:rFonts w:ascii="Garamond" w:eastAsia="Times New Roman" w:hAnsi="Garamond"/>
        </w:rPr>
        <w:t xml:space="preserve"> </w:t>
      </w:r>
      <w:proofErr w:type="gramStart"/>
      <w:r w:rsidRPr="00031381">
        <w:rPr>
          <w:rFonts w:ascii="Garamond" w:eastAsia="Times New Roman" w:hAnsi="Garamond"/>
        </w:rPr>
        <w:t>has to</w:t>
      </w:r>
      <w:proofErr w:type="gramEnd"/>
      <w:r w:rsidRPr="00031381">
        <w:rPr>
          <w:rFonts w:ascii="Garamond" w:eastAsia="Times New Roman" w:hAnsi="Garamond"/>
        </w:rPr>
        <w:t xml:space="preserve"> be carefully argued for.</w:t>
      </w:r>
    </w:p>
  </w:footnote>
  <w:footnote w:id="2">
    <w:p w14:paraId="7EBF957B"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Almost a third of all occurrences of the term </w:t>
      </w:r>
      <w:proofErr w:type="spellStart"/>
      <w:r w:rsidRPr="00031381">
        <w:rPr>
          <w:rFonts w:ascii="Garamond" w:hAnsi="Garamond"/>
          <w:i/>
          <w:iCs/>
        </w:rPr>
        <w:t>zhi</w:t>
      </w:r>
      <w:proofErr w:type="spellEnd"/>
      <w:r w:rsidRPr="00031381">
        <w:rPr>
          <w:rFonts w:ascii="Garamond" w:hAnsi="Garamond"/>
          <w:i/>
          <w:iCs/>
        </w:rPr>
        <w:t xml:space="preserve"> </w:t>
      </w:r>
      <w:r w:rsidRPr="00031381">
        <w:rPr>
          <w:rFonts w:ascii="Garamond" w:hAnsi="Garamond"/>
        </w:rPr>
        <w:t>知</w:t>
      </w:r>
      <w:r w:rsidRPr="00031381">
        <w:rPr>
          <w:rFonts w:ascii="Garamond" w:hAnsi="Garamond"/>
        </w:rPr>
        <w:t xml:space="preserve"> in the </w:t>
      </w:r>
      <w:r w:rsidRPr="00031381">
        <w:rPr>
          <w:rFonts w:ascii="Garamond" w:hAnsi="Garamond"/>
          <w:i/>
          <w:iCs/>
        </w:rPr>
        <w:t>Mencius</w:t>
      </w:r>
      <w:r w:rsidRPr="00031381">
        <w:rPr>
          <w:rFonts w:ascii="Garamond" w:hAnsi="Garamond"/>
        </w:rPr>
        <w:t xml:space="preserve"> are conjoined with a noun or a noun phrase that I believe cannot be adequately translated into English with a that-clause. More exactly, there are 26 such occurrences from a total of 113 instances of </w:t>
      </w:r>
      <w:proofErr w:type="spellStart"/>
      <w:r w:rsidRPr="00031381">
        <w:rPr>
          <w:rFonts w:ascii="Garamond" w:hAnsi="Garamond"/>
          <w:i/>
          <w:iCs/>
        </w:rPr>
        <w:t>zhi</w:t>
      </w:r>
      <w:proofErr w:type="spellEnd"/>
      <w:r w:rsidRPr="00031381">
        <w:rPr>
          <w:rFonts w:ascii="Garamond" w:hAnsi="Garamond"/>
          <w:i/>
          <w:iCs/>
        </w:rPr>
        <w:t xml:space="preserve"> </w:t>
      </w:r>
      <w:r w:rsidRPr="00031381">
        <w:rPr>
          <w:rFonts w:ascii="Garamond" w:hAnsi="Garamond"/>
        </w:rPr>
        <w:t>知</w:t>
      </w:r>
      <w:r w:rsidRPr="00031381">
        <w:rPr>
          <w:rFonts w:ascii="Garamond" w:hAnsi="Garamond"/>
        </w:rPr>
        <w:t>. Here I merely list the passage numbers for reference: 1A6, 2x 1A7, 5x 2A2, 2A4, 2x 2B4, 3A2, 4A27, 5A1, 6A6, 6A7, 2B7, 2x 6A7, 6A12, 3x 7A1, 7A2, 7A46, and 7B7.</w:t>
      </w:r>
    </w:p>
  </w:footnote>
  <w:footnote w:id="3">
    <w:p w14:paraId="16D6810E"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On some views, there is an important difference between having an ability to </w:t>
      </w:r>
      <w:r w:rsidRPr="00031381">
        <w:rPr>
          <w:rFonts w:ascii="Garamond" w:hAnsi="Garamond"/>
          <w:i/>
          <w:iCs/>
        </w:rPr>
        <w:t>φ</w:t>
      </w:r>
      <w:r w:rsidRPr="00031381">
        <w:rPr>
          <w:rFonts w:ascii="Garamond" w:hAnsi="Garamond"/>
        </w:rPr>
        <w:t xml:space="preserve"> and knowing-how to </w:t>
      </w:r>
      <w:r w:rsidRPr="00031381">
        <w:rPr>
          <w:rFonts w:ascii="Garamond" w:hAnsi="Garamond"/>
          <w:i/>
          <w:iCs/>
        </w:rPr>
        <w:t>φ</w:t>
      </w:r>
      <w:r w:rsidRPr="00031381">
        <w:rPr>
          <w:rFonts w:ascii="Garamond" w:hAnsi="Garamond"/>
        </w:rPr>
        <w:t xml:space="preserve"> (e.g., Snowdon 2004). This detail will not matter for the purposes of this chapter, but for recent responses, see for example (Glick 2012; Hickman 2019; Bayne 2021). For the sake of convenience, I will henceforth ignore the distinction between </w:t>
      </w:r>
      <w:r w:rsidRPr="00031381">
        <w:rPr>
          <w:rFonts w:ascii="Garamond" w:hAnsi="Garamond"/>
          <w:i/>
          <w:iCs/>
        </w:rPr>
        <w:t xml:space="preserve">knowing how </w:t>
      </w:r>
      <w:r w:rsidRPr="00031381">
        <w:rPr>
          <w:rFonts w:ascii="Garamond" w:hAnsi="Garamond"/>
        </w:rPr>
        <w:t xml:space="preserve">to </w:t>
      </w:r>
      <w:r w:rsidRPr="00031381">
        <w:rPr>
          <w:rFonts w:ascii="Garamond" w:hAnsi="Garamond"/>
          <w:i/>
          <w:iCs/>
        </w:rPr>
        <w:t>φ</w:t>
      </w:r>
      <w:r w:rsidRPr="00031381">
        <w:rPr>
          <w:rFonts w:ascii="Garamond" w:hAnsi="Garamond"/>
        </w:rPr>
        <w:t xml:space="preserve"> and </w:t>
      </w:r>
      <w:r w:rsidRPr="00031381">
        <w:rPr>
          <w:rFonts w:ascii="Garamond" w:hAnsi="Garamond"/>
          <w:i/>
          <w:iCs/>
        </w:rPr>
        <w:t>being able</w:t>
      </w:r>
      <w:r w:rsidRPr="00031381">
        <w:rPr>
          <w:rFonts w:ascii="Garamond" w:hAnsi="Garamond"/>
        </w:rPr>
        <w:t xml:space="preserve"> to </w:t>
      </w:r>
      <w:r w:rsidRPr="00031381">
        <w:rPr>
          <w:rFonts w:ascii="Garamond" w:hAnsi="Garamond"/>
          <w:i/>
          <w:iCs/>
        </w:rPr>
        <w:t>φ</w:t>
      </w:r>
      <w:r w:rsidRPr="00031381">
        <w:rPr>
          <w:rFonts w:ascii="Garamond" w:hAnsi="Garamond"/>
        </w:rPr>
        <w:t>.</w:t>
      </w:r>
    </w:p>
  </w:footnote>
  <w:footnote w:id="4">
    <w:p w14:paraId="3E21A2D2"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Roughly, intellectualists take all knowledge-how to essentially involve having propositional attitudes towards</w:t>
      </w:r>
      <w:r w:rsidRPr="00031381">
        <w:rPr>
          <w:rFonts w:ascii="Garamond" w:hAnsi="Garamond"/>
          <w:i/>
          <w:iCs/>
        </w:rPr>
        <w:t xml:space="preserve"> φ</w:t>
      </w:r>
      <w:r w:rsidRPr="00031381">
        <w:rPr>
          <w:rFonts w:ascii="Garamond" w:hAnsi="Garamond"/>
        </w:rPr>
        <w:t>-</w:t>
      </w:r>
      <w:proofErr w:type="spellStart"/>
      <w:r w:rsidRPr="00031381">
        <w:rPr>
          <w:rFonts w:ascii="Garamond" w:hAnsi="Garamond"/>
        </w:rPr>
        <w:t>ing</w:t>
      </w:r>
      <w:proofErr w:type="spellEnd"/>
      <w:r w:rsidRPr="00031381">
        <w:rPr>
          <w:rFonts w:ascii="Garamond" w:hAnsi="Garamond"/>
        </w:rPr>
        <w:t xml:space="preserve">, while anti-intellectualists take all knowledge-how to essentially involve an ability (or capacity) to </w:t>
      </w:r>
      <w:r w:rsidRPr="00031381">
        <w:rPr>
          <w:rFonts w:ascii="Garamond" w:hAnsi="Garamond"/>
          <w:i/>
          <w:iCs/>
        </w:rPr>
        <w:t>φ</w:t>
      </w:r>
      <w:r w:rsidRPr="00031381">
        <w:rPr>
          <w:rFonts w:ascii="Garamond" w:hAnsi="Garamond"/>
        </w:rPr>
        <w:t xml:space="preserve"> rather than propositional attitudes. For a good overview, see (Carter &amp; Poston 2018).</w:t>
      </w:r>
    </w:p>
  </w:footnote>
  <w:footnote w:id="5">
    <w:p w14:paraId="2B7016A0"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The view that all knowledge-that might be a kind of knowledge-how is not new, although it was not pursued with much philosophical </w:t>
      </w:r>
      <w:proofErr w:type="spellStart"/>
      <w:r w:rsidRPr="00031381">
        <w:rPr>
          <w:rFonts w:ascii="Garamond" w:hAnsi="Garamond"/>
        </w:rPr>
        <w:t>rigour</w:t>
      </w:r>
      <w:proofErr w:type="spellEnd"/>
      <w:r w:rsidRPr="00031381">
        <w:rPr>
          <w:rFonts w:ascii="Garamond" w:hAnsi="Garamond"/>
        </w:rPr>
        <w:t xml:space="preserve"> until </w:t>
      </w:r>
      <w:proofErr w:type="gramStart"/>
      <w:r w:rsidRPr="00031381">
        <w:rPr>
          <w:rFonts w:ascii="Garamond" w:hAnsi="Garamond"/>
        </w:rPr>
        <w:t>fairly recently</w:t>
      </w:r>
      <w:proofErr w:type="gramEnd"/>
      <w:r w:rsidRPr="00031381">
        <w:rPr>
          <w:rFonts w:ascii="Garamond" w:hAnsi="Garamond"/>
        </w:rPr>
        <w:t xml:space="preserve">. Stephen Hetherington discusses some of these historical antecedents (Hetherington 2011a: Ch2). He also provides a thorough defense of the view (Hetherington 2011a; 2011b; 2017; 2021a), as does John Hyman elsewhere (Hyman 2015; 2017). Hetherington calls such a view a </w:t>
      </w:r>
      <w:proofErr w:type="spellStart"/>
      <w:r w:rsidRPr="00031381">
        <w:rPr>
          <w:rFonts w:ascii="Garamond" w:hAnsi="Garamond"/>
          <w:i/>
          <w:iCs/>
        </w:rPr>
        <w:t>practicalism</w:t>
      </w:r>
      <w:proofErr w:type="spellEnd"/>
      <w:r w:rsidRPr="00031381">
        <w:rPr>
          <w:rFonts w:ascii="Garamond" w:hAnsi="Garamond"/>
        </w:rPr>
        <w:t xml:space="preserve"> about knowledge-that. </w:t>
      </w:r>
    </w:p>
  </w:footnote>
  <w:footnote w:id="6">
    <w:p w14:paraId="0620C4C8"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Bertrand Russell distinguishes “knowledge of things” from “knowledge of truths”, and he divides the former into “knowledge by acquaintance” and “knowledge by description” (Russell 2001[1912]: 25). According to Russell, we know some X by acquaintance if we are “directly aware [of X], without the intermediary of any process of inference or any knowledge of truths” (Russell 2001[1912]</w:t>
      </w:r>
      <w:r w:rsidRPr="00031381">
        <w:rPr>
          <w:rFonts w:ascii="Garamond" w:hAnsi="Garamond"/>
          <w:i/>
          <w:iCs/>
        </w:rPr>
        <w:t>:</w:t>
      </w:r>
      <w:r w:rsidRPr="00031381">
        <w:rPr>
          <w:rFonts w:ascii="Garamond" w:hAnsi="Garamond"/>
        </w:rPr>
        <w:t xml:space="preserve"> 26) and such direct awareness involves apprehending sense data. On the other hand, we know some X by description if we know that X is “the object that causes such-and-such sense-data.” (</w:t>
      </w:r>
      <w:r w:rsidRPr="00031381">
        <w:rPr>
          <w:rFonts w:ascii="Garamond" w:hAnsi="Garamond"/>
          <w:i/>
          <w:iCs/>
        </w:rPr>
        <w:t>ibid</w:t>
      </w:r>
      <w:r w:rsidRPr="00031381">
        <w:rPr>
          <w:rFonts w:ascii="Garamond" w:hAnsi="Garamond"/>
        </w:rPr>
        <w:t xml:space="preserve">.) </w:t>
      </w:r>
    </w:p>
  </w:footnote>
  <w:footnote w:id="7">
    <w:p w14:paraId="3229D92A"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Classical Chinese is flexible enough that nouns, even proper names, can be used as verbs (cf. </w:t>
      </w:r>
      <w:proofErr w:type="spellStart"/>
      <w:r w:rsidRPr="00031381">
        <w:rPr>
          <w:rFonts w:ascii="Garamond" w:hAnsi="Garamond"/>
        </w:rPr>
        <w:t>Harbsmeier</w:t>
      </w:r>
      <w:proofErr w:type="spellEnd"/>
      <w:r w:rsidRPr="00031381">
        <w:rPr>
          <w:rFonts w:ascii="Garamond" w:hAnsi="Garamond"/>
        </w:rPr>
        <w:t xml:space="preserve"> 1998: 139-142). But a sentence of the form “she knows how to ritual” is not as readily understandable as “she knows how to dance.” If we replace “ritual” with other nouns, the problem gets worse. “She knows how to heaven”, “she knows how to Way” are barely intelligible sentences. Adequate translations of ‘verb + noun (phrase)’ structures therefore </w:t>
      </w:r>
      <w:proofErr w:type="gramStart"/>
      <w:r w:rsidRPr="00031381">
        <w:rPr>
          <w:rFonts w:ascii="Garamond" w:hAnsi="Garamond"/>
        </w:rPr>
        <w:t>have to</w:t>
      </w:r>
      <w:proofErr w:type="gramEnd"/>
      <w:r w:rsidRPr="00031381">
        <w:rPr>
          <w:rFonts w:ascii="Garamond" w:hAnsi="Garamond"/>
        </w:rPr>
        <w:t xml:space="preserve"> rely on additions: e.g., “she knows how to </w:t>
      </w:r>
      <w:r w:rsidRPr="00031381">
        <w:rPr>
          <w:rFonts w:ascii="Garamond" w:hAnsi="Garamond"/>
          <w:i/>
          <w:iCs/>
        </w:rPr>
        <w:t>serve</w:t>
      </w:r>
      <w:r w:rsidRPr="00031381">
        <w:rPr>
          <w:rFonts w:ascii="Garamond" w:hAnsi="Garamond"/>
        </w:rPr>
        <w:t xml:space="preserve"> heaven”, “she knows how to </w:t>
      </w:r>
      <w:r w:rsidRPr="00031381">
        <w:rPr>
          <w:rFonts w:ascii="Garamond" w:hAnsi="Garamond"/>
          <w:i/>
          <w:iCs/>
        </w:rPr>
        <w:t>traverse</w:t>
      </w:r>
      <w:r w:rsidRPr="00031381">
        <w:rPr>
          <w:rFonts w:ascii="Garamond" w:hAnsi="Garamond"/>
        </w:rPr>
        <w:t xml:space="preserve"> the Way.” Hence, whenever I write, “S has a capacity for X-</w:t>
      </w:r>
      <w:proofErr w:type="spellStart"/>
      <w:r w:rsidRPr="00031381">
        <w:rPr>
          <w:rFonts w:ascii="Garamond" w:hAnsi="Garamond"/>
        </w:rPr>
        <w:t>ing</w:t>
      </w:r>
      <w:proofErr w:type="spellEnd"/>
      <w:r w:rsidRPr="00031381">
        <w:rPr>
          <w:rFonts w:ascii="Garamond" w:hAnsi="Garamond"/>
        </w:rPr>
        <w:t xml:space="preserve">” or “S knows how to X”, where X is a noun or a noun phrase, I take this to be interchangeable with sentences of the kind “S knows how to </w:t>
      </w:r>
      <w:r w:rsidRPr="00031381">
        <w:rPr>
          <w:rFonts w:ascii="Garamond" w:hAnsi="Garamond"/>
          <w:i/>
          <w:iCs/>
        </w:rPr>
        <w:t>φ</w:t>
      </w:r>
      <w:r w:rsidRPr="00031381">
        <w:rPr>
          <w:rFonts w:ascii="Garamond" w:hAnsi="Garamond"/>
        </w:rPr>
        <w:t xml:space="preserve"> X” or “S knows how to act in X-related ways.”</w:t>
      </w:r>
    </w:p>
  </w:footnote>
  <w:footnote w:id="8">
    <w:p w14:paraId="0A7CF60E" w14:textId="77777777" w:rsidR="00120BCE" w:rsidRPr="00031381" w:rsidRDefault="00000000">
      <w:pPr>
        <w:pStyle w:val="FootnoteText"/>
        <w:rPr>
          <w:rFonts w:ascii="Garamond" w:hAnsi="Garamond"/>
          <w:i/>
          <w:iCs/>
        </w:rPr>
      </w:pPr>
      <w:r w:rsidRPr="00031381">
        <w:rPr>
          <w:rStyle w:val="FootnoteCharacters"/>
          <w:rFonts w:ascii="Garamond" w:hAnsi="Garamond"/>
        </w:rPr>
        <w:footnoteRef/>
      </w:r>
      <w:r w:rsidRPr="00031381">
        <w:rPr>
          <w:rFonts w:ascii="Garamond" w:hAnsi="Garamond"/>
        </w:rPr>
        <w:tab/>
        <w:t xml:space="preserve">Such a view on “knowing X” is also articulated, albeit much less carefully, by Barry Allen: “Knowing Heaven is knowing the pattern, and knowing the pattern is knowing how to translate it into wise, timely, effective interactions.” (Allen 2015: 49) On the other hand, Hetherington and Lai provide thorough arguments for the claim that we find such a view on “knowing X” in the </w:t>
      </w:r>
      <w:r w:rsidRPr="00031381">
        <w:rPr>
          <w:rFonts w:ascii="Garamond" w:hAnsi="Garamond"/>
          <w:i/>
          <w:iCs/>
        </w:rPr>
        <w:t xml:space="preserve">Analects </w:t>
      </w:r>
      <w:r w:rsidRPr="00031381">
        <w:rPr>
          <w:rFonts w:ascii="Garamond" w:hAnsi="Garamond"/>
        </w:rPr>
        <w:t xml:space="preserve">(Hetherington and Lai 2012; cf. Lai 2012), and Chris Fraser argues that we find it in the </w:t>
      </w:r>
      <w:r w:rsidRPr="00031381">
        <w:rPr>
          <w:rFonts w:ascii="Garamond" w:hAnsi="Garamond"/>
          <w:i/>
          <w:iCs/>
        </w:rPr>
        <w:t>Mozi</w:t>
      </w:r>
      <w:r w:rsidRPr="00031381">
        <w:rPr>
          <w:rFonts w:ascii="Garamond" w:hAnsi="Garamond"/>
        </w:rPr>
        <w:t xml:space="preserve"> (Fraser 2011: 131-134).</w:t>
      </w:r>
    </w:p>
  </w:footnote>
  <w:footnote w:id="9">
    <w:p w14:paraId="76F829BC"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eastAsia="Times New Roman" w:hAnsi="Garamond"/>
        </w:rPr>
        <w:tab/>
        <w:t xml:space="preserve">Hansen’s own claims seem to me vastly under supported. </w:t>
      </w:r>
      <w:proofErr w:type="spellStart"/>
      <w:r w:rsidRPr="00031381">
        <w:rPr>
          <w:rFonts w:ascii="Garamond" w:eastAsia="Times New Roman" w:hAnsi="Garamond"/>
        </w:rPr>
        <w:t>Harbsmeier</w:t>
      </w:r>
      <w:proofErr w:type="spellEnd"/>
      <w:r w:rsidRPr="00031381">
        <w:rPr>
          <w:rFonts w:ascii="Garamond" w:eastAsia="Times New Roman" w:hAnsi="Garamond"/>
        </w:rPr>
        <w:t xml:space="preserve"> convincingly argues,</w:t>
      </w:r>
      <w:r w:rsidRPr="00031381">
        <w:rPr>
          <w:rFonts w:ascii="Garamond" w:eastAsia="Times New Roman" w:hAnsi="Garamond"/>
          <w:i/>
          <w:iCs/>
        </w:rPr>
        <w:t xml:space="preserve"> pace</w:t>
      </w:r>
      <w:r w:rsidRPr="00031381">
        <w:rPr>
          <w:rFonts w:ascii="Garamond" w:eastAsia="Times New Roman" w:hAnsi="Garamond"/>
        </w:rPr>
        <w:t xml:space="preserve"> Hansen, that early Chinese thinkers had a notion of propositional knowledge and the linguistic resources necessary to distinguishes between knowing-that p and knowing-how to</w:t>
      </w:r>
      <w:r w:rsidRPr="00031381">
        <w:rPr>
          <w:rFonts w:ascii="Garamond" w:eastAsia="Times New Roman" w:hAnsi="Garamond"/>
          <w:i/>
          <w:iCs/>
        </w:rPr>
        <w:t xml:space="preserve"> φ </w:t>
      </w:r>
      <w:r w:rsidRPr="00031381">
        <w:rPr>
          <w:rFonts w:ascii="Garamond" w:eastAsia="Times New Roman" w:hAnsi="Garamond"/>
        </w:rPr>
        <w:t>(</w:t>
      </w:r>
      <w:proofErr w:type="spellStart"/>
      <w:r w:rsidRPr="00031381">
        <w:rPr>
          <w:rFonts w:ascii="Garamond" w:eastAsia="Times New Roman" w:hAnsi="Garamond"/>
        </w:rPr>
        <w:t>Harbsmeier</w:t>
      </w:r>
      <w:proofErr w:type="spellEnd"/>
      <w:r w:rsidRPr="00031381">
        <w:rPr>
          <w:rFonts w:ascii="Garamond" w:eastAsia="Times New Roman" w:hAnsi="Garamond"/>
        </w:rPr>
        <w:t xml:space="preserve"> 1998: 245-254). However, although I agree with </w:t>
      </w:r>
      <w:proofErr w:type="spellStart"/>
      <w:r w:rsidRPr="00031381">
        <w:rPr>
          <w:rFonts w:ascii="Garamond" w:eastAsia="Times New Roman" w:hAnsi="Garamond"/>
        </w:rPr>
        <w:t>Harbsmeier</w:t>
      </w:r>
      <w:proofErr w:type="spellEnd"/>
      <w:r w:rsidRPr="00031381">
        <w:rPr>
          <w:rFonts w:ascii="Garamond" w:eastAsia="Times New Roman" w:hAnsi="Garamond"/>
        </w:rPr>
        <w:t xml:space="preserve"> on this point, the fact that the early Chinese had a notion of propositional knowledge does not answer the question of whether what they took to be propositional knowledge </w:t>
      </w:r>
      <w:r w:rsidRPr="00031381">
        <w:rPr>
          <w:rFonts w:ascii="Garamond" w:eastAsia="Times New Roman" w:hAnsi="Garamond"/>
          <w:i/>
          <w:iCs/>
        </w:rPr>
        <w:t>just is</w:t>
      </w:r>
      <w:r w:rsidRPr="00031381">
        <w:rPr>
          <w:rFonts w:ascii="Garamond" w:eastAsia="Times New Roman" w:hAnsi="Garamond"/>
        </w:rPr>
        <w:t xml:space="preserve"> a kind of knowledge-how. For example, it might be that all knowing-that is knowing-how and the syntactic distinction between the two marks a distinction between different kinds of abilities constitutive of one’s knowing-how. I return to this point below. More recently, Chris Fraser has drawn on the </w:t>
      </w:r>
      <w:r w:rsidRPr="00031381">
        <w:rPr>
          <w:rFonts w:ascii="Garamond" w:eastAsia="Times New Roman" w:hAnsi="Garamond"/>
          <w:i/>
          <w:iCs/>
        </w:rPr>
        <w:t>Xunzi</w:t>
      </w:r>
      <w:r w:rsidRPr="00031381">
        <w:rPr>
          <w:rFonts w:ascii="Garamond" w:eastAsia="Times New Roman" w:hAnsi="Garamond"/>
        </w:rPr>
        <w:t xml:space="preserve"> and the </w:t>
      </w:r>
      <w:r w:rsidRPr="00031381">
        <w:rPr>
          <w:rFonts w:ascii="Garamond" w:eastAsia="Times New Roman" w:hAnsi="Garamond"/>
          <w:i/>
          <w:iCs/>
        </w:rPr>
        <w:t>Mozi</w:t>
      </w:r>
      <w:r w:rsidRPr="00031381">
        <w:rPr>
          <w:rFonts w:ascii="Garamond" w:eastAsia="Times New Roman" w:hAnsi="Garamond"/>
        </w:rPr>
        <w:t xml:space="preserve"> to argue that knowledge in early Chinese thought is primarily </w:t>
      </w:r>
      <w:r w:rsidRPr="00031381">
        <w:rPr>
          <w:rFonts w:ascii="Garamond" w:hAnsi="Garamond"/>
        </w:rPr>
        <w:t>“a reliable ability to discriminate things and respond to them appropriately […]. To know is thus to be able to perform certain tasks competently.” (Fraser 2011: 128-129) Although I think Fraser’s move from the</w:t>
      </w:r>
      <w:r w:rsidRPr="00031381">
        <w:rPr>
          <w:rFonts w:ascii="Garamond" w:hAnsi="Garamond"/>
          <w:i/>
          <w:iCs/>
        </w:rPr>
        <w:t xml:space="preserve"> Xunzi</w:t>
      </w:r>
      <w:r w:rsidRPr="00031381">
        <w:rPr>
          <w:rFonts w:ascii="Garamond" w:hAnsi="Garamond"/>
        </w:rPr>
        <w:t xml:space="preserve"> and the</w:t>
      </w:r>
      <w:r w:rsidRPr="00031381">
        <w:rPr>
          <w:rFonts w:ascii="Garamond" w:hAnsi="Garamond"/>
          <w:i/>
          <w:iCs/>
        </w:rPr>
        <w:t xml:space="preserve"> Mozi</w:t>
      </w:r>
      <w:r w:rsidRPr="00031381">
        <w:rPr>
          <w:rFonts w:ascii="Garamond" w:hAnsi="Garamond"/>
        </w:rPr>
        <w:t xml:space="preserve"> to all early</w:t>
      </w:r>
      <w:r w:rsidRPr="00031381">
        <w:rPr>
          <w:rFonts w:ascii="Garamond" w:hAnsi="Garamond"/>
          <w:i/>
          <w:iCs/>
        </w:rPr>
        <w:t xml:space="preserve"> </w:t>
      </w:r>
      <w:r w:rsidRPr="00031381">
        <w:rPr>
          <w:rFonts w:ascii="Garamond" w:hAnsi="Garamond"/>
        </w:rPr>
        <w:t>Chinese thinkers is too quick, his analysis of the epistemic views we find in these texts is well supported.</w:t>
      </w:r>
    </w:p>
  </w:footnote>
  <w:footnote w:id="10">
    <w:p w14:paraId="29660969"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Unless otherwise specified, all translations of the </w:t>
      </w:r>
      <w:r w:rsidRPr="00031381">
        <w:rPr>
          <w:rFonts w:ascii="Garamond" w:hAnsi="Garamond"/>
          <w:i/>
          <w:iCs/>
        </w:rPr>
        <w:t>Mencius</w:t>
      </w:r>
      <w:r w:rsidRPr="00031381">
        <w:rPr>
          <w:rFonts w:ascii="Garamond" w:hAnsi="Garamond"/>
        </w:rPr>
        <w:t xml:space="preserve"> are from Van Norden’s edition with minor changes (Van Norden 2008). I point out more substantial changes.</w:t>
      </w:r>
    </w:p>
  </w:footnote>
  <w:footnote w:id="11">
    <w:p w14:paraId="4A83BB37"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The original rea</w:t>
      </w:r>
      <w:r w:rsidRPr="00031381">
        <w:rPr>
          <w:rFonts w:ascii="Garamond" w:eastAsia="Times New Roman" w:hAnsi="Garamond"/>
        </w:rPr>
        <w:t>ds: “</w:t>
      </w:r>
      <w:proofErr w:type="spellStart"/>
      <w:r w:rsidRPr="00031381">
        <w:rPr>
          <w:rFonts w:ascii="Garamond" w:eastAsia="Times New Roman" w:hAnsi="Garamond"/>
          <w:i/>
          <w:iCs/>
        </w:rPr>
        <w:t>Wáng</w:t>
      </w:r>
      <w:proofErr w:type="spellEnd"/>
      <w:r w:rsidRPr="00031381">
        <w:rPr>
          <w:rFonts w:ascii="Garamond" w:eastAsia="Times New Roman" w:hAnsi="Garamond"/>
          <w:i/>
          <w:iCs/>
        </w:rPr>
        <w:t xml:space="preserve"> </w:t>
      </w:r>
      <w:proofErr w:type="spellStart"/>
      <w:r w:rsidRPr="00031381">
        <w:rPr>
          <w:rFonts w:ascii="Garamond" w:eastAsia="Times New Roman" w:hAnsi="Garamond"/>
          <w:i/>
          <w:iCs/>
        </w:rPr>
        <w:t>zhī</w:t>
      </w:r>
      <w:proofErr w:type="spellEnd"/>
      <w:r w:rsidRPr="00031381">
        <w:rPr>
          <w:rFonts w:ascii="Garamond" w:eastAsia="Times New Roman" w:hAnsi="Garamond"/>
          <w:i/>
          <w:iCs/>
        </w:rPr>
        <w:t xml:space="preserve"> </w:t>
      </w:r>
      <w:proofErr w:type="spellStart"/>
      <w:r w:rsidRPr="00031381">
        <w:rPr>
          <w:rFonts w:ascii="Garamond" w:eastAsia="Times New Roman" w:hAnsi="Garamond"/>
          <w:i/>
          <w:iCs/>
        </w:rPr>
        <w:t>fū</w:t>
      </w:r>
      <w:proofErr w:type="spellEnd"/>
      <w:r w:rsidRPr="00031381">
        <w:rPr>
          <w:rFonts w:ascii="Garamond" w:eastAsia="Times New Roman" w:hAnsi="Garamond"/>
          <w:i/>
          <w:iCs/>
        </w:rPr>
        <w:t xml:space="preserve"> </w:t>
      </w:r>
      <w:proofErr w:type="spellStart"/>
      <w:r w:rsidRPr="00031381">
        <w:rPr>
          <w:rFonts w:ascii="Garamond" w:eastAsia="Times New Roman" w:hAnsi="Garamond"/>
          <w:i/>
          <w:iCs/>
        </w:rPr>
        <w:t>miáo</w:t>
      </w:r>
      <w:proofErr w:type="spellEnd"/>
      <w:r w:rsidRPr="00031381">
        <w:rPr>
          <w:rFonts w:ascii="Garamond" w:eastAsia="Times New Roman" w:hAnsi="Garamond"/>
          <w:i/>
          <w:iCs/>
        </w:rPr>
        <w:t xml:space="preserve"> </w:t>
      </w:r>
      <w:proofErr w:type="spellStart"/>
      <w:r w:rsidRPr="00031381">
        <w:rPr>
          <w:rFonts w:ascii="Garamond" w:eastAsia="Times New Roman" w:hAnsi="Garamond"/>
          <w:i/>
          <w:iCs/>
        </w:rPr>
        <w:t>hū</w:t>
      </w:r>
      <w:proofErr w:type="spellEnd"/>
      <w:r w:rsidRPr="00031381">
        <w:rPr>
          <w:rFonts w:ascii="Garamond" w:eastAsia="Times New Roman" w:hAnsi="Garamond"/>
          <w:i/>
          <w:iCs/>
        </w:rPr>
        <w:t xml:space="preserve"> </w:t>
      </w:r>
      <w:proofErr w:type="spellStart"/>
      <w:r w:rsidRPr="00031381">
        <w:rPr>
          <w:rFonts w:ascii="SimSun" w:eastAsia="SimSun" w:hAnsi="SimSun" w:cs="SimSun" w:hint="eastAsia"/>
        </w:rPr>
        <w:t>王知夫苗乎</w:t>
      </w:r>
      <w:proofErr w:type="spellEnd"/>
      <w:r w:rsidRPr="00031381">
        <w:rPr>
          <w:rFonts w:ascii="Garamond" w:eastAsia="Times New Roman" w:hAnsi="Garamond"/>
        </w:rPr>
        <w:t>?</w:t>
      </w:r>
      <w:r w:rsidRPr="00031381">
        <w:rPr>
          <w:rFonts w:ascii="Garamond" w:eastAsia="Times New Roman" w:hAnsi="Garamond" w:cs="Garamond"/>
        </w:rPr>
        <w:t>”</w:t>
      </w:r>
      <w:r w:rsidRPr="00031381">
        <w:rPr>
          <w:rFonts w:ascii="Garamond" w:eastAsia="Times New Roman" w:hAnsi="Garamond"/>
        </w:rPr>
        <w:t xml:space="preserve"> I follo</w:t>
      </w:r>
      <w:r w:rsidRPr="00031381">
        <w:rPr>
          <w:rFonts w:ascii="Garamond" w:hAnsi="Garamond"/>
        </w:rPr>
        <w:t xml:space="preserve">w Yang </w:t>
      </w:r>
      <w:proofErr w:type="spellStart"/>
      <w:r w:rsidRPr="00031381">
        <w:rPr>
          <w:rFonts w:ascii="Garamond" w:hAnsi="Garamond"/>
        </w:rPr>
        <w:t>Bojun</w:t>
      </w:r>
      <w:proofErr w:type="spellEnd"/>
      <w:r w:rsidRPr="00031381">
        <w:rPr>
          <w:rFonts w:ascii="Garamond" w:hAnsi="Garamond"/>
        </w:rPr>
        <w:t xml:space="preserve"> </w:t>
      </w:r>
      <w:r w:rsidRPr="00031381">
        <w:rPr>
          <w:rFonts w:ascii="Garamond" w:hAnsi="Garamond"/>
        </w:rPr>
        <w:t>楊伯峻</w:t>
      </w:r>
      <w:r w:rsidRPr="00031381">
        <w:rPr>
          <w:rFonts w:ascii="Garamond" w:hAnsi="Garamond"/>
        </w:rPr>
        <w:t xml:space="preserve"> in omitting </w:t>
      </w:r>
      <w:proofErr w:type="spellStart"/>
      <w:r w:rsidRPr="00031381">
        <w:rPr>
          <w:rFonts w:ascii="Garamond" w:hAnsi="Garamond"/>
          <w:i/>
          <w:iCs/>
        </w:rPr>
        <w:t>fū</w:t>
      </w:r>
      <w:proofErr w:type="spellEnd"/>
      <w:r w:rsidRPr="00031381">
        <w:rPr>
          <w:rFonts w:ascii="Garamond" w:hAnsi="Garamond"/>
          <w:i/>
          <w:iCs/>
        </w:rPr>
        <w:t xml:space="preserve"> </w:t>
      </w:r>
      <w:r w:rsidRPr="00031381">
        <w:rPr>
          <w:rFonts w:ascii="Garamond" w:hAnsi="Garamond"/>
        </w:rPr>
        <w:t>夫</w:t>
      </w:r>
      <w:r w:rsidRPr="00031381">
        <w:rPr>
          <w:rFonts w:ascii="Garamond" w:hAnsi="Garamond"/>
        </w:rPr>
        <w:t xml:space="preserve"> and taking Mencius to ask the straightforward question of whether the King knows sprouts (Yang 2013: 12).</w:t>
      </w:r>
    </w:p>
  </w:footnote>
  <w:footnote w:id="12">
    <w:p w14:paraId="3AB1FE0E"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This is true regardless of whether we are intellectualists about knowledge-how or not. Intellectualists would agree that the propositional knowledge needed for an agent to know how to perform rituals cannot be gained by, for example, reading a manual, and yet I can evidently come to know </w:t>
      </w:r>
      <w:r w:rsidRPr="00031381">
        <w:rPr>
          <w:rFonts w:ascii="Garamond" w:hAnsi="Garamond"/>
          <w:i/>
          <w:iCs/>
        </w:rPr>
        <w:t>about</w:t>
      </w:r>
      <w:r w:rsidRPr="00031381">
        <w:rPr>
          <w:rFonts w:ascii="Garamond" w:hAnsi="Garamond"/>
        </w:rPr>
        <w:t xml:space="preserve"> rituals by merely reading about them.</w:t>
      </w:r>
    </w:p>
  </w:footnote>
  <w:footnote w:id="13">
    <w:p w14:paraId="596C2717"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Therefore, having a particular belief-related capacity does not </w:t>
      </w:r>
      <w:r w:rsidRPr="00031381">
        <w:rPr>
          <w:rFonts w:ascii="Garamond" w:hAnsi="Garamond"/>
          <w:i/>
          <w:iCs/>
        </w:rPr>
        <w:t>necessarily</w:t>
      </w:r>
      <w:r w:rsidRPr="00031381">
        <w:rPr>
          <w:rFonts w:ascii="Garamond" w:hAnsi="Garamond"/>
        </w:rPr>
        <w:t xml:space="preserve"> mean that one has the corresponding belief. A capacity to </w:t>
      </w:r>
      <w:r w:rsidRPr="00031381">
        <w:rPr>
          <w:rFonts w:ascii="Garamond" w:hAnsi="Garamond"/>
          <w:i/>
          <w:iCs/>
        </w:rPr>
        <w:t>form</w:t>
      </w:r>
      <w:r w:rsidRPr="00031381">
        <w:rPr>
          <w:rFonts w:ascii="Garamond" w:hAnsi="Garamond"/>
        </w:rPr>
        <w:t xml:space="preserve"> beliefs </w:t>
      </w:r>
      <w:proofErr w:type="gramStart"/>
      <w:r w:rsidRPr="00031381">
        <w:rPr>
          <w:rFonts w:ascii="Garamond" w:hAnsi="Garamond"/>
        </w:rPr>
        <w:t>on the basis of</w:t>
      </w:r>
      <w:proofErr w:type="gramEnd"/>
      <w:r w:rsidRPr="00031381">
        <w:rPr>
          <w:rFonts w:ascii="Garamond" w:hAnsi="Garamond"/>
        </w:rPr>
        <w:t xml:space="preserve"> </w:t>
      </w:r>
      <w:proofErr w:type="spellStart"/>
      <w:r w:rsidRPr="00031381">
        <w:rPr>
          <w:rFonts w:ascii="Garamond" w:hAnsi="Garamond"/>
        </w:rPr>
        <w:t>favourable</w:t>
      </w:r>
      <w:proofErr w:type="spellEnd"/>
      <w:r w:rsidRPr="00031381">
        <w:rPr>
          <w:rFonts w:ascii="Garamond" w:hAnsi="Garamond"/>
        </w:rPr>
        <w:t xml:space="preserve"> evidence might be constitutive of </w:t>
      </w:r>
      <w:proofErr w:type="spellStart"/>
      <w:r w:rsidRPr="00031381">
        <w:rPr>
          <w:rFonts w:ascii="Garamond" w:hAnsi="Garamond"/>
        </w:rPr>
        <w:t>Mencian</w:t>
      </w:r>
      <w:proofErr w:type="spellEnd"/>
      <w:r w:rsidRPr="00031381">
        <w:rPr>
          <w:rFonts w:ascii="Garamond" w:hAnsi="Garamond"/>
        </w:rPr>
        <w:t xml:space="preserve"> “knowing words” (2A2).</w:t>
      </w:r>
    </w:p>
  </w:footnote>
  <w:footnote w:id="14">
    <w:p w14:paraId="25248C8D"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Hetherington argues that an epistemic agent’s knowing-that p is to be explicated as a</w:t>
      </w:r>
      <w:r w:rsidRPr="00031381">
        <w:rPr>
          <w:rFonts w:ascii="Garamond" w:hAnsi="Garamond"/>
          <w:i/>
          <w:iCs/>
        </w:rPr>
        <w:t xml:space="preserve"> </w:t>
      </w:r>
      <w:r w:rsidRPr="00031381">
        <w:rPr>
          <w:rFonts w:ascii="Garamond" w:hAnsi="Garamond"/>
        </w:rPr>
        <w:t>bundle of capacities to act in p-related ways</w:t>
      </w:r>
      <w:r w:rsidRPr="00031381">
        <w:rPr>
          <w:rFonts w:ascii="Garamond" w:hAnsi="Garamond"/>
          <w:i/>
          <w:iCs/>
        </w:rPr>
        <w:t xml:space="preserve"> </w:t>
      </w:r>
      <w:r w:rsidRPr="00031381">
        <w:rPr>
          <w:rFonts w:ascii="Garamond" w:hAnsi="Garamond"/>
        </w:rPr>
        <w:t xml:space="preserve">(Hetherington 2017). If I am right that all </w:t>
      </w:r>
      <w:proofErr w:type="spellStart"/>
      <w:r w:rsidRPr="00031381">
        <w:rPr>
          <w:rFonts w:ascii="Garamond" w:hAnsi="Garamond"/>
        </w:rPr>
        <w:t>Mencian</w:t>
      </w:r>
      <w:proofErr w:type="spellEnd"/>
      <w:r w:rsidRPr="00031381">
        <w:rPr>
          <w:rFonts w:ascii="Garamond" w:hAnsi="Garamond"/>
        </w:rPr>
        <w:t xml:space="preserve"> “knowing X” is knowing-how to act in X-related ways, and if S’s knowing-that p is sometimes constitutive of her knowing X, then it follows that at least some knowing-that p is knowing-how to act in p-related ways. This evidence, although not conclusive, hints at a </w:t>
      </w:r>
      <w:proofErr w:type="spellStart"/>
      <w:r w:rsidRPr="00031381">
        <w:rPr>
          <w:rFonts w:ascii="Garamond" w:hAnsi="Garamond"/>
        </w:rPr>
        <w:t>practicalist</w:t>
      </w:r>
      <w:proofErr w:type="spellEnd"/>
      <w:r w:rsidRPr="00031381">
        <w:rPr>
          <w:rFonts w:ascii="Garamond" w:hAnsi="Garamond"/>
        </w:rPr>
        <w:t xml:space="preserve"> conception of knowledge in the </w:t>
      </w:r>
      <w:r w:rsidRPr="00031381">
        <w:rPr>
          <w:rFonts w:ascii="Garamond" w:hAnsi="Garamond"/>
          <w:i/>
          <w:iCs/>
        </w:rPr>
        <w:t>Mencius</w:t>
      </w:r>
      <w:r w:rsidRPr="00031381">
        <w:rPr>
          <w:rFonts w:ascii="Garamond" w:hAnsi="Garamond"/>
        </w:rPr>
        <w:t>.</w:t>
      </w:r>
    </w:p>
  </w:footnote>
  <w:footnote w:id="15">
    <w:p w14:paraId="0630C5FB"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There might of course be non-cognitive or non-epistemic aspects to </w:t>
      </w:r>
      <w:proofErr w:type="spellStart"/>
      <w:r w:rsidRPr="00031381">
        <w:rPr>
          <w:rFonts w:ascii="Garamond" w:hAnsi="Garamond"/>
        </w:rPr>
        <w:t>Mencian</w:t>
      </w:r>
      <w:proofErr w:type="spellEnd"/>
      <w:r w:rsidRPr="00031381">
        <w:rPr>
          <w:rFonts w:ascii="Garamond" w:hAnsi="Garamond"/>
        </w:rPr>
        <w:t xml:space="preserve"> wisdom (cf. Perkins 2002: 219), but </w:t>
      </w:r>
      <w:proofErr w:type="gramStart"/>
      <w:r w:rsidRPr="00031381">
        <w:rPr>
          <w:rFonts w:ascii="Garamond" w:hAnsi="Garamond"/>
        </w:rPr>
        <w:t>whether or not</w:t>
      </w:r>
      <w:proofErr w:type="gramEnd"/>
      <w:r w:rsidRPr="00031381">
        <w:rPr>
          <w:rFonts w:ascii="Garamond" w:hAnsi="Garamond"/>
        </w:rPr>
        <w:t xml:space="preserve"> there are, both Shun and Kim convincingly show that wisdom is at least in part an epistemic capacity (cf. Shun 1997; Kim 2014). In this section I focus my attention entirely on the epistemic function of wisdom.</w:t>
      </w:r>
    </w:p>
  </w:footnote>
  <w:footnote w:id="16">
    <w:p w14:paraId="1827EFF9"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Here I am not committed to the view that forming a belief is an action (although some virtue epistemologists would consider belief formation to be a kind of performance, e.g., Sosa 2011: 24), nor do I believe that such a commitment is essential to virtue epistemology. All that is required is for believing, forming beliefs, and knowing to be </w:t>
      </w:r>
      <w:r w:rsidRPr="00031381">
        <w:rPr>
          <w:rFonts w:ascii="Garamond" w:hAnsi="Garamond"/>
          <w:i/>
          <w:iCs/>
        </w:rPr>
        <w:t>assessable</w:t>
      </w:r>
      <w:r w:rsidRPr="00031381">
        <w:rPr>
          <w:rFonts w:ascii="Garamond" w:hAnsi="Garamond"/>
        </w:rPr>
        <w:t xml:space="preserve"> in the same way we assess actions. One might propose that believing, etc., are assessable in this way because they are</w:t>
      </w:r>
      <w:r w:rsidRPr="00031381">
        <w:rPr>
          <w:rFonts w:ascii="Garamond" w:hAnsi="Garamond"/>
          <w:i/>
          <w:iCs/>
        </w:rPr>
        <w:t xml:space="preserve"> relevantly </w:t>
      </w:r>
      <w:proofErr w:type="gramStart"/>
      <w:r w:rsidRPr="00031381">
        <w:rPr>
          <w:rFonts w:ascii="Garamond" w:hAnsi="Garamond"/>
          <w:i/>
          <w:iCs/>
        </w:rPr>
        <w:t>similar</w:t>
      </w:r>
      <w:r w:rsidRPr="00031381">
        <w:rPr>
          <w:rFonts w:ascii="Garamond" w:hAnsi="Garamond"/>
        </w:rPr>
        <w:t xml:space="preserve"> to</w:t>
      </w:r>
      <w:proofErr w:type="gramEnd"/>
      <w:r w:rsidRPr="00031381">
        <w:rPr>
          <w:rFonts w:ascii="Garamond" w:hAnsi="Garamond"/>
        </w:rPr>
        <w:t xml:space="preserve"> actions without themselves being actions. For example, according to Sellars, “[a]n action is the sort of thing one can decide to do” (Sellars 1968: 74) and it is not obvious that we can decide to form beliefs. I will set this complication aside and, for the sake of convenience, I will continue using the expression “cognitive act” or “cognitive action” to describe knowing, believing, reasoning, etc.</w:t>
      </w:r>
    </w:p>
  </w:footnote>
  <w:footnote w:id="17">
    <w:p w14:paraId="4F2DE95D"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I henceforth ignore the distinction between</w:t>
      </w:r>
      <w:r w:rsidRPr="00031381">
        <w:rPr>
          <w:rFonts w:ascii="Garamond" w:hAnsi="Garamond"/>
          <w:i/>
          <w:iCs/>
        </w:rPr>
        <w:t xml:space="preserve"> forming</w:t>
      </w:r>
      <w:r w:rsidRPr="00031381">
        <w:rPr>
          <w:rFonts w:ascii="Garamond" w:hAnsi="Garamond"/>
        </w:rPr>
        <w:t xml:space="preserve"> true beliefs and</w:t>
      </w:r>
      <w:r w:rsidRPr="00031381">
        <w:rPr>
          <w:rFonts w:ascii="Garamond" w:hAnsi="Garamond"/>
          <w:i/>
          <w:iCs/>
        </w:rPr>
        <w:t xml:space="preserve"> believing truly</w:t>
      </w:r>
      <w:r w:rsidRPr="00031381">
        <w:rPr>
          <w:rFonts w:ascii="Garamond" w:hAnsi="Garamond"/>
        </w:rPr>
        <w:t>.</w:t>
      </w:r>
    </w:p>
  </w:footnote>
  <w:footnote w:id="18">
    <w:p w14:paraId="2F5E80AF"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Roughly, according to </w:t>
      </w:r>
      <w:proofErr w:type="spellStart"/>
      <w:r w:rsidRPr="00031381">
        <w:rPr>
          <w:rFonts w:ascii="Garamond" w:hAnsi="Garamond"/>
          <w:i/>
          <w:iCs/>
        </w:rPr>
        <w:t>reliabilist</w:t>
      </w:r>
      <w:proofErr w:type="spellEnd"/>
      <w:r w:rsidRPr="00031381">
        <w:rPr>
          <w:rFonts w:ascii="Garamond" w:hAnsi="Garamond"/>
        </w:rPr>
        <w:t xml:space="preserve"> virtue epistemologists, an intellectual virtue is a capacity to reliably form true beliefs, and only those true belief that are reliably formed amount to knowledge (for an alternative, on which intellectual virtues are capacities to know rather than to believe truly, see (</w:t>
      </w:r>
      <w:proofErr w:type="spellStart"/>
      <w:r w:rsidRPr="00031381">
        <w:rPr>
          <w:rFonts w:ascii="Garamond" w:hAnsi="Garamond"/>
        </w:rPr>
        <w:t>Miracchi</w:t>
      </w:r>
      <w:proofErr w:type="spellEnd"/>
      <w:r w:rsidRPr="00031381">
        <w:rPr>
          <w:rFonts w:ascii="Garamond" w:hAnsi="Garamond"/>
        </w:rPr>
        <w:t xml:space="preserve"> 2015)). </w:t>
      </w:r>
      <w:proofErr w:type="spellStart"/>
      <w:r w:rsidRPr="00031381">
        <w:rPr>
          <w:rFonts w:ascii="Garamond" w:hAnsi="Garamond"/>
          <w:i/>
          <w:iCs/>
        </w:rPr>
        <w:t>Responsibilist</w:t>
      </w:r>
      <w:proofErr w:type="spellEnd"/>
      <w:r w:rsidRPr="00031381">
        <w:rPr>
          <w:rFonts w:ascii="Garamond" w:hAnsi="Garamond"/>
        </w:rPr>
        <w:t xml:space="preserve"> virtue epistemologists hold that an intellectual virtue is a capacity to reliably form true beliefs </w:t>
      </w:r>
      <w:r w:rsidRPr="00031381">
        <w:rPr>
          <w:rFonts w:ascii="Garamond" w:hAnsi="Garamond"/>
          <w:i/>
          <w:iCs/>
        </w:rPr>
        <w:t>and</w:t>
      </w:r>
      <w:r w:rsidRPr="00031381">
        <w:rPr>
          <w:rFonts w:ascii="Garamond" w:hAnsi="Garamond"/>
        </w:rPr>
        <w:t xml:space="preserve"> to be aptly motivated, and only those true beliefs that are formed both reliably and from the right motives amount to knowledge (cf. Code 1987; </w:t>
      </w:r>
      <w:proofErr w:type="spellStart"/>
      <w:r w:rsidRPr="00031381">
        <w:rPr>
          <w:rFonts w:ascii="Garamond" w:hAnsi="Garamond"/>
        </w:rPr>
        <w:t>Zagzebski</w:t>
      </w:r>
      <w:proofErr w:type="spellEnd"/>
      <w:r w:rsidRPr="00031381">
        <w:rPr>
          <w:rFonts w:ascii="Garamond" w:hAnsi="Garamond"/>
        </w:rPr>
        <w:t xml:space="preserve"> 1996).</w:t>
      </w:r>
    </w:p>
  </w:footnote>
  <w:footnote w:id="19">
    <w:p w14:paraId="577B82A1"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However, there might be good reasons to doubt whether virtue epistemological approaches </w:t>
      </w:r>
      <w:r w:rsidRPr="00031381">
        <w:rPr>
          <w:rFonts w:ascii="Garamond" w:hAnsi="Garamond"/>
          <w:i/>
          <w:iCs/>
        </w:rPr>
        <w:t>in general</w:t>
      </w:r>
      <w:r w:rsidRPr="00031381">
        <w:rPr>
          <w:rFonts w:ascii="Garamond" w:hAnsi="Garamond"/>
        </w:rPr>
        <w:t xml:space="preserve"> are as successful as they are sometimes taken to be (see Hetherington 2016: Ch.5).</w:t>
      </w:r>
    </w:p>
  </w:footnote>
  <w:footnote w:id="20">
    <w:p w14:paraId="384F3826"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I follow (Bronstein 2020) here. But unlike Bronstein, I believe this formulation is broad enough to capture both </w:t>
      </w:r>
      <w:proofErr w:type="spellStart"/>
      <w:r w:rsidRPr="00031381">
        <w:rPr>
          <w:rFonts w:ascii="Garamond" w:hAnsi="Garamond"/>
        </w:rPr>
        <w:t>reliabilist</w:t>
      </w:r>
      <w:proofErr w:type="spellEnd"/>
      <w:r w:rsidRPr="00031381">
        <w:rPr>
          <w:rFonts w:ascii="Garamond" w:hAnsi="Garamond"/>
        </w:rPr>
        <w:t xml:space="preserve"> (e.g., Greco 2010: 12; Sosa 2011: 79) and </w:t>
      </w:r>
      <w:proofErr w:type="spellStart"/>
      <w:r w:rsidRPr="00031381">
        <w:rPr>
          <w:rFonts w:ascii="Garamond" w:hAnsi="Garamond"/>
        </w:rPr>
        <w:t>responsibilist</w:t>
      </w:r>
      <w:proofErr w:type="spellEnd"/>
      <w:r w:rsidRPr="00031381">
        <w:rPr>
          <w:rFonts w:ascii="Garamond" w:hAnsi="Garamond"/>
        </w:rPr>
        <w:t xml:space="preserve"> (e.g., </w:t>
      </w:r>
      <w:proofErr w:type="spellStart"/>
      <w:r w:rsidRPr="00031381">
        <w:rPr>
          <w:rFonts w:ascii="Garamond" w:hAnsi="Garamond"/>
        </w:rPr>
        <w:t>Zagzebski</w:t>
      </w:r>
      <w:proofErr w:type="spellEnd"/>
      <w:r w:rsidRPr="00031381">
        <w:rPr>
          <w:rFonts w:ascii="Garamond" w:hAnsi="Garamond"/>
        </w:rPr>
        <w:t xml:space="preserve"> 1996: 270-1) forms of virtue epistemology.</w:t>
      </w:r>
    </w:p>
  </w:footnote>
  <w:footnote w:id="21">
    <w:p w14:paraId="5229E597"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Accepting both views might make it seem as if we end up with a circular definition of knowledge: knowledge is partly defined by an exercise of a capacity to know, and capacities to know are partly defined in terms of knowledge. For an argument that such circularity is not vicious, see (</w:t>
      </w:r>
      <w:proofErr w:type="spellStart"/>
      <w:r w:rsidRPr="00031381">
        <w:rPr>
          <w:rFonts w:ascii="Garamond" w:hAnsi="Garamond"/>
        </w:rPr>
        <w:t>Miracchi</w:t>
      </w:r>
      <w:proofErr w:type="spellEnd"/>
      <w:r w:rsidRPr="00031381">
        <w:rPr>
          <w:rFonts w:ascii="Garamond" w:hAnsi="Garamond"/>
        </w:rPr>
        <w:t xml:space="preserve"> 2015). However, there is an easy way to avoid this problem. One could argue that </w:t>
      </w:r>
      <w:proofErr w:type="spellStart"/>
      <w:r w:rsidRPr="00031381">
        <w:rPr>
          <w:rFonts w:ascii="Garamond" w:hAnsi="Garamond"/>
        </w:rPr>
        <w:t>Mencian</w:t>
      </w:r>
      <w:proofErr w:type="spellEnd"/>
      <w:r w:rsidRPr="00031381">
        <w:rPr>
          <w:rFonts w:ascii="Garamond" w:hAnsi="Garamond"/>
        </w:rPr>
        <w:t xml:space="preserve"> wisdom is a capacity to know by virtue of being a capacity to believe truly, and that a person’s true beliefs amount to knowledge only if they issue from her wisdom.</w:t>
      </w:r>
    </w:p>
  </w:footnote>
  <w:footnote w:id="22">
    <w:p w14:paraId="2C59BF41"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eastAsia="Times New Roman" w:hAnsi="Garamond"/>
        </w:rPr>
        <w:tab/>
        <w:t xml:space="preserve">A view that is surprisingly widespread is that the early Chinese “did not distinguish knowledge and wisdom: rather, they identified knowledge and wisdom by using the same word for both.” (Yao 2006: 57) Lisa </w:t>
      </w:r>
      <w:proofErr w:type="spellStart"/>
      <w:r w:rsidRPr="00031381">
        <w:rPr>
          <w:rFonts w:ascii="Garamond" w:eastAsia="Times New Roman" w:hAnsi="Garamond"/>
        </w:rPr>
        <w:t>Raphals</w:t>
      </w:r>
      <w:proofErr w:type="spellEnd"/>
      <w:r w:rsidRPr="00031381">
        <w:rPr>
          <w:rFonts w:ascii="Garamond" w:eastAsia="Times New Roman" w:hAnsi="Garamond"/>
        </w:rPr>
        <w:t xml:space="preserve"> claims that the two graphs </w:t>
      </w:r>
      <w:proofErr w:type="spellStart"/>
      <w:r w:rsidRPr="00031381">
        <w:rPr>
          <w:rFonts w:ascii="Garamond" w:eastAsia="Times New Roman" w:hAnsi="Garamond"/>
          <w:i/>
          <w:iCs/>
        </w:rPr>
        <w:t>zhi</w:t>
      </w:r>
      <w:proofErr w:type="spellEnd"/>
      <w:r w:rsidRPr="00031381">
        <w:rPr>
          <w:rFonts w:ascii="Garamond" w:eastAsia="Times New Roman" w:hAnsi="Garamond"/>
        </w:rPr>
        <w:t xml:space="preserve"> </w:t>
      </w:r>
      <w:r w:rsidRPr="00031381">
        <w:rPr>
          <w:rFonts w:ascii="SimSun" w:eastAsia="SimSun" w:hAnsi="SimSun" w:cs="SimSun" w:hint="eastAsia"/>
        </w:rPr>
        <w:t>知</w:t>
      </w:r>
      <w:r w:rsidRPr="00031381">
        <w:rPr>
          <w:rFonts w:ascii="Garamond" w:eastAsia="Times New Roman" w:hAnsi="Garamond"/>
        </w:rPr>
        <w:t xml:space="preserve"> (</w:t>
      </w:r>
      <w:r w:rsidRPr="00031381">
        <w:rPr>
          <w:rFonts w:ascii="Garamond" w:eastAsia="Times New Roman" w:hAnsi="Garamond" w:cs="Garamond"/>
        </w:rPr>
        <w:t>“</w:t>
      </w:r>
      <w:r w:rsidRPr="00031381">
        <w:rPr>
          <w:rFonts w:ascii="Garamond" w:eastAsia="Times New Roman" w:hAnsi="Garamond"/>
        </w:rPr>
        <w:t>knowledge</w:t>
      </w:r>
      <w:r w:rsidRPr="00031381">
        <w:rPr>
          <w:rFonts w:ascii="Garamond" w:eastAsia="Times New Roman" w:hAnsi="Garamond" w:cs="Garamond"/>
        </w:rPr>
        <w:t>”</w:t>
      </w:r>
      <w:r w:rsidRPr="00031381">
        <w:rPr>
          <w:rFonts w:ascii="Garamond" w:eastAsia="Times New Roman" w:hAnsi="Garamond"/>
        </w:rPr>
        <w:t xml:space="preserve">) and </w:t>
      </w:r>
      <w:proofErr w:type="spellStart"/>
      <w:r w:rsidRPr="00031381">
        <w:rPr>
          <w:rFonts w:ascii="Garamond" w:eastAsia="Times New Roman" w:hAnsi="Garamond"/>
          <w:i/>
          <w:iCs/>
        </w:rPr>
        <w:t>zhi</w:t>
      </w:r>
      <w:r w:rsidRPr="00031381">
        <w:rPr>
          <w:rFonts w:ascii="SimSun" w:eastAsia="SimSun" w:hAnsi="SimSun" w:cs="SimSun" w:hint="eastAsia"/>
        </w:rPr>
        <w:t>智</w:t>
      </w:r>
      <w:proofErr w:type="spellEnd"/>
      <w:r w:rsidRPr="00031381">
        <w:rPr>
          <w:rFonts w:ascii="Garamond" w:eastAsia="Times New Roman" w:hAnsi="Garamond"/>
        </w:rPr>
        <w:t xml:space="preserve"> (</w:t>
      </w:r>
      <w:r w:rsidRPr="00031381">
        <w:rPr>
          <w:rFonts w:ascii="Garamond" w:eastAsia="Times New Roman" w:hAnsi="Garamond" w:cs="Garamond"/>
        </w:rPr>
        <w:t>“</w:t>
      </w:r>
      <w:r w:rsidRPr="00031381">
        <w:rPr>
          <w:rFonts w:ascii="Garamond" w:eastAsia="Times New Roman" w:hAnsi="Garamond"/>
        </w:rPr>
        <w:t>wisdom</w:t>
      </w:r>
      <w:r w:rsidRPr="00031381">
        <w:rPr>
          <w:rFonts w:ascii="Garamond" w:eastAsia="Times New Roman" w:hAnsi="Garamond" w:cs="Garamond"/>
        </w:rPr>
        <w:t>”</w:t>
      </w:r>
      <w:r w:rsidRPr="00031381">
        <w:rPr>
          <w:rFonts w:ascii="Garamond" w:eastAsia="Times New Roman" w:hAnsi="Garamond"/>
        </w:rPr>
        <w:t xml:space="preserve">) are </w:t>
      </w:r>
      <w:r w:rsidRPr="00031381">
        <w:rPr>
          <w:rFonts w:ascii="Garamond" w:eastAsia="Times New Roman" w:hAnsi="Garamond" w:cs="Garamond"/>
        </w:rPr>
        <w:t>“</w:t>
      </w:r>
      <w:r w:rsidRPr="00031381">
        <w:rPr>
          <w:rFonts w:ascii="Garamond" w:eastAsia="Times New Roman" w:hAnsi="Garamond"/>
        </w:rPr>
        <w:t>often used interchangeably in pre-Qin texts</w:t>
      </w:r>
      <w:r w:rsidRPr="00031381">
        <w:rPr>
          <w:rFonts w:ascii="Garamond" w:eastAsia="Times New Roman" w:hAnsi="Garamond" w:cs="Garamond"/>
        </w:rPr>
        <w:t>”</w:t>
      </w:r>
      <w:r w:rsidRPr="00031381">
        <w:rPr>
          <w:rFonts w:ascii="Garamond" w:eastAsia="Times New Roman" w:hAnsi="Garamond"/>
        </w:rPr>
        <w:t xml:space="preserve"> (</w:t>
      </w:r>
      <w:proofErr w:type="spellStart"/>
      <w:r w:rsidRPr="00031381">
        <w:rPr>
          <w:rFonts w:ascii="Garamond" w:eastAsia="Times New Roman" w:hAnsi="Garamond"/>
        </w:rPr>
        <w:t>Raphals</w:t>
      </w:r>
      <w:proofErr w:type="spellEnd"/>
      <w:r w:rsidRPr="00031381">
        <w:rPr>
          <w:rFonts w:ascii="Garamond" w:eastAsia="Times New Roman" w:hAnsi="Garamond"/>
        </w:rPr>
        <w:t xml:space="preserve"> 1992: 16) and various contemporary scholars follow suit (e.g., Allen 2015: 5; Ryan &amp; Lai 2021: 668). Some even go so far as to translate </w:t>
      </w:r>
      <w:proofErr w:type="spellStart"/>
      <w:r w:rsidRPr="00031381">
        <w:rPr>
          <w:rFonts w:ascii="Garamond" w:eastAsia="Times New Roman" w:hAnsi="Garamond"/>
          <w:i/>
          <w:iCs/>
        </w:rPr>
        <w:t>zhi</w:t>
      </w:r>
      <w:r w:rsidRPr="00031381">
        <w:rPr>
          <w:rFonts w:ascii="SimSun" w:eastAsia="SimSun" w:hAnsi="SimSun" w:cs="SimSun" w:hint="eastAsia"/>
        </w:rPr>
        <w:t>智</w:t>
      </w:r>
      <w:proofErr w:type="spellEnd"/>
      <w:r w:rsidRPr="00031381">
        <w:rPr>
          <w:rFonts w:ascii="Garamond" w:eastAsia="Times New Roman" w:hAnsi="Garamond"/>
        </w:rPr>
        <w:t xml:space="preserve"> (</w:t>
      </w:r>
      <w:r w:rsidRPr="00031381">
        <w:rPr>
          <w:rFonts w:ascii="Garamond" w:eastAsia="Times New Roman" w:hAnsi="Garamond" w:cs="Garamond"/>
        </w:rPr>
        <w:t>“</w:t>
      </w:r>
      <w:r w:rsidRPr="00031381">
        <w:rPr>
          <w:rFonts w:ascii="Garamond" w:eastAsia="Times New Roman" w:hAnsi="Garamond"/>
        </w:rPr>
        <w:t>wisdom</w:t>
      </w:r>
      <w:r w:rsidRPr="00031381">
        <w:rPr>
          <w:rFonts w:ascii="Garamond" w:eastAsia="Times New Roman" w:hAnsi="Garamond" w:cs="Garamond"/>
        </w:rPr>
        <w:t>”</w:t>
      </w:r>
      <w:r w:rsidRPr="00031381">
        <w:rPr>
          <w:rFonts w:ascii="Garamond" w:eastAsia="Times New Roman" w:hAnsi="Garamond"/>
        </w:rPr>
        <w:t>) in the</w:t>
      </w:r>
      <w:r w:rsidRPr="00031381">
        <w:rPr>
          <w:rFonts w:ascii="Garamond" w:eastAsia="Times New Roman" w:hAnsi="Garamond"/>
          <w:i/>
          <w:iCs/>
        </w:rPr>
        <w:t xml:space="preserve"> Mencius</w:t>
      </w:r>
      <w:r w:rsidRPr="00031381">
        <w:rPr>
          <w:rFonts w:ascii="Garamond" w:eastAsia="Times New Roman" w:hAnsi="Garamond"/>
        </w:rPr>
        <w:t xml:space="preserve"> as</w:t>
      </w:r>
      <w:r w:rsidRPr="00031381">
        <w:rPr>
          <w:rFonts w:ascii="Garamond" w:eastAsia="Times New Roman" w:hAnsi="Garamond"/>
          <w:i/>
          <w:iCs/>
        </w:rPr>
        <w:t xml:space="preserve"> </w:t>
      </w:r>
      <w:r w:rsidRPr="00031381">
        <w:rPr>
          <w:rFonts w:ascii="Garamond" w:eastAsia="Times New Roman" w:hAnsi="Garamond"/>
        </w:rPr>
        <w:t xml:space="preserve">“knowledge.” For example, Benjamin Schwartz writes: ““Knowledge” is, of course, also one of Mencius’ “four virtues” </w:t>
      </w:r>
      <w:proofErr w:type="gramStart"/>
      <w:r w:rsidRPr="00031381">
        <w:rPr>
          <w:rFonts w:ascii="Garamond" w:eastAsia="Times New Roman" w:hAnsi="Garamond"/>
        </w:rPr>
        <w:t>and also</w:t>
      </w:r>
      <w:proofErr w:type="gramEnd"/>
      <w:r w:rsidRPr="00031381">
        <w:rPr>
          <w:rFonts w:ascii="Garamond" w:eastAsia="Times New Roman" w:hAnsi="Garamond"/>
        </w:rPr>
        <w:t xml:space="preserve"> has roots in the spontaneous tendencies of the heart.” (Schwartz 1985: 289) Even otherwise careful scholars like Chris Fraser have done so: “A famous passage in the </w:t>
      </w:r>
      <w:r w:rsidRPr="00031381">
        <w:rPr>
          <w:rFonts w:ascii="Garamond" w:eastAsia="Times New Roman" w:hAnsi="Garamond"/>
          <w:i/>
          <w:iCs/>
        </w:rPr>
        <w:t>Mencius</w:t>
      </w:r>
      <w:r w:rsidRPr="00031381">
        <w:rPr>
          <w:rFonts w:ascii="Garamond" w:eastAsia="Times New Roman" w:hAnsi="Garamond"/>
        </w:rPr>
        <w:t xml:space="preserve"> states that knowledge is ‘the heart of </w:t>
      </w:r>
      <w:proofErr w:type="spellStart"/>
      <w:r w:rsidRPr="00031381">
        <w:rPr>
          <w:rFonts w:ascii="Garamond" w:eastAsia="Times New Roman" w:hAnsi="Garamond"/>
          <w:i/>
          <w:iCs/>
        </w:rPr>
        <w:t>shi-fei</w:t>
      </w:r>
      <w:proofErr w:type="spellEnd"/>
      <w:r w:rsidRPr="00031381">
        <w:rPr>
          <w:rFonts w:ascii="Garamond" w:eastAsia="Times New Roman" w:hAnsi="Garamond"/>
        </w:rPr>
        <w:t>’ […].” (Fraser 2013: 5) But this is a mistake, and, as far as the</w:t>
      </w:r>
      <w:r w:rsidRPr="00031381">
        <w:rPr>
          <w:rFonts w:ascii="Garamond" w:eastAsia="Times New Roman" w:hAnsi="Garamond"/>
          <w:i/>
          <w:iCs/>
        </w:rPr>
        <w:t xml:space="preserve"> Mencius</w:t>
      </w:r>
      <w:r w:rsidRPr="00031381">
        <w:rPr>
          <w:rFonts w:ascii="Garamond" w:eastAsia="Times New Roman" w:hAnsi="Garamond"/>
        </w:rPr>
        <w:t xml:space="preserve"> is concerned,</w:t>
      </w:r>
      <w:r w:rsidRPr="00031381">
        <w:rPr>
          <w:rFonts w:ascii="Garamond" w:eastAsia="Times New Roman" w:hAnsi="Garamond"/>
          <w:i/>
          <w:iCs/>
        </w:rPr>
        <w:t xml:space="preserve"> </w:t>
      </w:r>
      <w:r w:rsidRPr="00031381">
        <w:rPr>
          <w:rFonts w:ascii="Garamond" w:eastAsia="Times New Roman" w:hAnsi="Garamond"/>
        </w:rPr>
        <w:t xml:space="preserve">the view that the early Chinese did not distinguish between wisdom and knowledge has been demonstrably refuted by (Shun 1997) and (Kim 2014). Following </w:t>
      </w:r>
      <w:proofErr w:type="spellStart"/>
      <w:r w:rsidRPr="00031381">
        <w:rPr>
          <w:rFonts w:ascii="Garamond" w:eastAsia="Times New Roman" w:hAnsi="Garamond"/>
        </w:rPr>
        <w:t>Harbsmeier</w:t>
      </w:r>
      <w:proofErr w:type="spellEnd"/>
      <w:r w:rsidRPr="00031381">
        <w:rPr>
          <w:rFonts w:ascii="Garamond" w:eastAsia="Times New Roman" w:hAnsi="Garamond"/>
        </w:rPr>
        <w:t xml:space="preserve">, one might think that, perhaps, the most charitable way of understanding the otherwise perplexing claim that </w:t>
      </w:r>
      <w:proofErr w:type="spellStart"/>
      <w:r w:rsidRPr="00031381">
        <w:rPr>
          <w:rFonts w:ascii="Garamond" w:eastAsia="Times New Roman" w:hAnsi="Garamond"/>
          <w:i/>
          <w:iCs/>
        </w:rPr>
        <w:t>zhi</w:t>
      </w:r>
      <w:proofErr w:type="spellEnd"/>
      <w:r w:rsidRPr="00031381">
        <w:rPr>
          <w:rFonts w:ascii="Garamond" w:eastAsia="Times New Roman" w:hAnsi="Garamond"/>
        </w:rPr>
        <w:t xml:space="preserve"> </w:t>
      </w:r>
      <w:r w:rsidRPr="00031381">
        <w:rPr>
          <w:rFonts w:ascii="SimSun" w:eastAsia="SimSun" w:hAnsi="SimSun" w:cs="SimSun" w:hint="eastAsia"/>
        </w:rPr>
        <w:t>知</w:t>
      </w:r>
      <w:r w:rsidRPr="00031381">
        <w:rPr>
          <w:rFonts w:ascii="Garamond" w:eastAsia="Times New Roman" w:hAnsi="Garamond"/>
        </w:rPr>
        <w:t xml:space="preserve"> and </w:t>
      </w:r>
      <w:proofErr w:type="spellStart"/>
      <w:r w:rsidRPr="00031381">
        <w:rPr>
          <w:rFonts w:ascii="Garamond" w:eastAsia="Times New Roman" w:hAnsi="Garamond"/>
          <w:i/>
          <w:iCs/>
        </w:rPr>
        <w:t>zhi</w:t>
      </w:r>
      <w:r w:rsidRPr="00031381">
        <w:rPr>
          <w:rFonts w:ascii="SimSun" w:eastAsia="SimSun" w:hAnsi="SimSun" w:cs="SimSun" w:hint="eastAsia"/>
        </w:rPr>
        <w:t>智</w:t>
      </w:r>
      <w:proofErr w:type="spellEnd"/>
      <w:r w:rsidRPr="00031381">
        <w:rPr>
          <w:rFonts w:ascii="Garamond" w:eastAsia="Times New Roman" w:hAnsi="Garamond"/>
        </w:rPr>
        <w:t xml:space="preserve"> are not distinguished is by saying that </w:t>
      </w:r>
      <w:proofErr w:type="spellStart"/>
      <w:r w:rsidRPr="00031381">
        <w:rPr>
          <w:rFonts w:ascii="Garamond" w:eastAsia="Times New Roman" w:hAnsi="Garamond"/>
          <w:i/>
          <w:iCs/>
        </w:rPr>
        <w:t>zhi</w:t>
      </w:r>
      <w:proofErr w:type="spellEnd"/>
      <w:r w:rsidRPr="00031381">
        <w:rPr>
          <w:rFonts w:ascii="Garamond" w:eastAsia="Times New Roman" w:hAnsi="Garamond"/>
        </w:rPr>
        <w:t xml:space="preserve"> </w:t>
      </w:r>
      <w:r w:rsidRPr="00031381">
        <w:rPr>
          <w:rFonts w:ascii="SimSun" w:eastAsia="SimSun" w:hAnsi="SimSun" w:cs="SimSun" w:hint="eastAsia"/>
        </w:rPr>
        <w:t>知</w:t>
      </w:r>
      <w:r w:rsidRPr="00031381">
        <w:rPr>
          <w:rFonts w:ascii="Garamond" w:eastAsia="Times New Roman" w:hAnsi="Garamond"/>
        </w:rPr>
        <w:t xml:space="preserve"> in its </w:t>
      </w:r>
      <w:proofErr w:type="spellStart"/>
      <w:r w:rsidRPr="00031381">
        <w:rPr>
          <w:rFonts w:ascii="Garamond" w:eastAsia="Times New Roman" w:hAnsi="Garamond"/>
        </w:rPr>
        <w:t>nominalised</w:t>
      </w:r>
      <w:proofErr w:type="spellEnd"/>
      <w:r w:rsidRPr="00031381">
        <w:rPr>
          <w:rFonts w:ascii="Garamond" w:eastAsia="Times New Roman" w:hAnsi="Garamond"/>
        </w:rPr>
        <w:t xml:space="preserve"> form can stand for </w:t>
      </w:r>
      <w:r w:rsidRPr="00031381">
        <w:rPr>
          <w:rFonts w:ascii="Garamond" w:eastAsia="Times New Roman" w:hAnsi="Garamond" w:cs="Garamond"/>
        </w:rPr>
        <w:t>‘</w:t>
      </w:r>
      <w:r w:rsidRPr="00031381">
        <w:rPr>
          <w:rFonts w:ascii="Garamond" w:eastAsia="Times New Roman" w:hAnsi="Garamond"/>
        </w:rPr>
        <w:t>knowledgeableness</w:t>
      </w:r>
      <w:r w:rsidRPr="00031381">
        <w:rPr>
          <w:rFonts w:ascii="Garamond" w:eastAsia="Times New Roman" w:hAnsi="Garamond" w:cs="Garamond"/>
        </w:rPr>
        <w:t>’</w:t>
      </w:r>
      <w:r w:rsidRPr="00031381">
        <w:rPr>
          <w:rFonts w:ascii="Garamond" w:eastAsia="Times New Roman" w:hAnsi="Garamond"/>
        </w:rPr>
        <w:t xml:space="preserve"> (</w:t>
      </w:r>
      <w:proofErr w:type="spellStart"/>
      <w:r w:rsidRPr="00031381">
        <w:rPr>
          <w:rFonts w:ascii="Garamond" w:eastAsia="Times New Roman" w:hAnsi="Garamond"/>
        </w:rPr>
        <w:t>Harbsmeier</w:t>
      </w:r>
      <w:proofErr w:type="spellEnd"/>
      <w:r w:rsidRPr="00031381">
        <w:rPr>
          <w:rFonts w:ascii="Garamond" w:eastAsia="Times New Roman" w:hAnsi="Garamond"/>
        </w:rPr>
        <w:t xml:space="preserve"> 1998: 255-6) </w:t>
      </w:r>
      <w:r w:rsidRPr="00031381">
        <w:rPr>
          <w:rFonts w:ascii="Garamond" w:eastAsia="Times New Roman" w:hAnsi="Garamond" w:cs="Garamond"/>
        </w:rPr>
        <w:t>–</w:t>
      </w:r>
      <w:r w:rsidRPr="00031381">
        <w:rPr>
          <w:rFonts w:ascii="Garamond" w:eastAsia="Times New Roman" w:hAnsi="Garamond"/>
        </w:rPr>
        <w:t xml:space="preserve"> or, in my words, it can stand for </w:t>
      </w:r>
      <w:r w:rsidRPr="00031381">
        <w:rPr>
          <w:rFonts w:ascii="Garamond" w:eastAsia="Times New Roman" w:hAnsi="Garamond" w:cs="Garamond"/>
        </w:rPr>
        <w:t>“</w:t>
      </w:r>
      <w:r w:rsidRPr="00031381">
        <w:rPr>
          <w:rFonts w:ascii="Garamond" w:eastAsia="Times New Roman" w:hAnsi="Garamond"/>
        </w:rPr>
        <w:t>capacity for knowledge.</w:t>
      </w:r>
      <w:r w:rsidRPr="00031381">
        <w:rPr>
          <w:rFonts w:ascii="Garamond" w:eastAsia="Times New Roman" w:hAnsi="Garamond" w:cs="Garamond"/>
        </w:rPr>
        <w:t>”</w:t>
      </w:r>
      <w:r w:rsidRPr="00031381">
        <w:rPr>
          <w:rFonts w:ascii="Garamond" w:eastAsia="Times New Roman" w:hAnsi="Garamond"/>
        </w:rPr>
        <w:t xml:space="preserve"> Given that </w:t>
      </w:r>
      <w:proofErr w:type="spellStart"/>
      <w:r w:rsidRPr="00031381">
        <w:rPr>
          <w:rFonts w:ascii="Garamond" w:eastAsia="Times New Roman" w:hAnsi="Garamond"/>
          <w:i/>
          <w:iCs/>
        </w:rPr>
        <w:t>zhi</w:t>
      </w:r>
      <w:r w:rsidRPr="00031381">
        <w:rPr>
          <w:rFonts w:ascii="SimSun" w:eastAsia="SimSun" w:hAnsi="SimSun" w:cs="SimSun" w:hint="eastAsia"/>
        </w:rPr>
        <w:t>智</w:t>
      </w:r>
      <w:proofErr w:type="spellEnd"/>
      <w:r w:rsidRPr="00031381">
        <w:rPr>
          <w:rFonts w:ascii="Garamond" w:eastAsia="Times New Roman" w:hAnsi="Garamond"/>
        </w:rPr>
        <w:t xml:space="preserve"> is commonly taken to be a capacity for knowledge, then </w:t>
      </w:r>
      <w:proofErr w:type="spellStart"/>
      <w:r w:rsidRPr="00031381">
        <w:rPr>
          <w:rFonts w:ascii="Garamond" w:eastAsia="Times New Roman" w:hAnsi="Garamond"/>
          <w:i/>
          <w:iCs/>
        </w:rPr>
        <w:t>zhi</w:t>
      </w:r>
      <w:proofErr w:type="spellEnd"/>
      <w:r w:rsidRPr="00031381">
        <w:rPr>
          <w:rFonts w:ascii="Garamond" w:eastAsia="Times New Roman" w:hAnsi="Garamond"/>
          <w:i/>
          <w:iCs/>
        </w:rPr>
        <w:t xml:space="preserve"> </w:t>
      </w:r>
      <w:r w:rsidRPr="00031381">
        <w:rPr>
          <w:rFonts w:ascii="SimSun" w:eastAsia="SimSun" w:hAnsi="SimSun" w:cs="SimSun" w:hint="eastAsia"/>
        </w:rPr>
        <w:t>智</w:t>
      </w:r>
      <w:r w:rsidRPr="00031381">
        <w:rPr>
          <w:rFonts w:ascii="Garamond" w:eastAsia="Times New Roman" w:hAnsi="Garamond"/>
        </w:rPr>
        <w:t xml:space="preserve"> and the </w:t>
      </w:r>
      <w:proofErr w:type="spellStart"/>
      <w:r w:rsidRPr="00031381">
        <w:rPr>
          <w:rFonts w:ascii="Garamond" w:eastAsia="Times New Roman" w:hAnsi="Garamond"/>
        </w:rPr>
        <w:t>nominalised</w:t>
      </w:r>
      <w:proofErr w:type="spellEnd"/>
      <w:r w:rsidRPr="00031381">
        <w:rPr>
          <w:rFonts w:ascii="Garamond" w:eastAsia="Times New Roman" w:hAnsi="Garamond"/>
        </w:rPr>
        <w:t xml:space="preserve"> form of </w:t>
      </w:r>
      <w:proofErr w:type="spellStart"/>
      <w:r w:rsidRPr="00031381">
        <w:rPr>
          <w:rFonts w:ascii="Garamond" w:eastAsia="Times New Roman" w:hAnsi="Garamond"/>
          <w:i/>
          <w:iCs/>
        </w:rPr>
        <w:t>zhi</w:t>
      </w:r>
      <w:proofErr w:type="spellEnd"/>
      <w:r w:rsidRPr="00031381">
        <w:rPr>
          <w:rFonts w:ascii="Garamond" w:eastAsia="Times New Roman" w:hAnsi="Garamond"/>
        </w:rPr>
        <w:t xml:space="preserve"> </w:t>
      </w:r>
      <w:r w:rsidRPr="00031381">
        <w:rPr>
          <w:rFonts w:ascii="SimSun" w:eastAsia="SimSun" w:hAnsi="SimSun" w:cs="SimSun" w:hint="eastAsia"/>
        </w:rPr>
        <w:t>知</w:t>
      </w:r>
      <w:r w:rsidRPr="00031381">
        <w:rPr>
          <w:rFonts w:ascii="Garamond" w:eastAsia="Times New Roman" w:hAnsi="Garamond"/>
        </w:rPr>
        <w:t xml:space="preserve"> might indeed be very similar.</w:t>
      </w:r>
    </w:p>
  </w:footnote>
  <w:footnote w:id="23">
    <w:p w14:paraId="0A0ADB96"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Go, also known as </w:t>
      </w:r>
      <w:proofErr w:type="spellStart"/>
      <w:r w:rsidRPr="00031381">
        <w:rPr>
          <w:rFonts w:ascii="Garamond" w:hAnsi="Garamond"/>
          <w:i/>
          <w:iCs/>
        </w:rPr>
        <w:t>weiqi</w:t>
      </w:r>
      <w:proofErr w:type="spellEnd"/>
      <w:r w:rsidRPr="00031381">
        <w:rPr>
          <w:rFonts w:ascii="Garamond" w:hAnsi="Garamond"/>
          <w:i/>
          <w:iCs/>
        </w:rPr>
        <w:t xml:space="preserve"> </w:t>
      </w:r>
      <w:r w:rsidRPr="00031381">
        <w:rPr>
          <w:rFonts w:ascii="Garamond" w:hAnsi="Garamond"/>
        </w:rPr>
        <w:t>圍棋</w:t>
      </w:r>
      <w:r w:rsidRPr="00031381">
        <w:rPr>
          <w:rFonts w:ascii="Garamond" w:hAnsi="Garamond"/>
        </w:rPr>
        <w:t>, is here referred to a</w:t>
      </w:r>
      <w:r w:rsidRPr="00031381">
        <w:rPr>
          <w:rFonts w:ascii="Garamond" w:eastAsia="Times New Roman" w:hAnsi="Garamond"/>
        </w:rPr>
        <w:t xml:space="preserve">s </w:t>
      </w:r>
      <w:proofErr w:type="spellStart"/>
      <w:r w:rsidRPr="00031381">
        <w:rPr>
          <w:rFonts w:ascii="Garamond" w:eastAsia="Times New Roman" w:hAnsi="Garamond"/>
          <w:i/>
          <w:iCs/>
        </w:rPr>
        <w:t>yi</w:t>
      </w:r>
      <w:proofErr w:type="spellEnd"/>
      <w:r w:rsidRPr="00031381">
        <w:rPr>
          <w:rFonts w:ascii="Garamond" w:eastAsia="Times New Roman" w:hAnsi="Garamond"/>
        </w:rPr>
        <w:t xml:space="preserve"> </w:t>
      </w:r>
      <w:r w:rsidRPr="00031381">
        <w:rPr>
          <w:rFonts w:ascii="SimSun" w:eastAsia="SimSun" w:hAnsi="SimSun" w:cs="SimSun" w:hint="eastAsia"/>
        </w:rPr>
        <w:t>弈</w:t>
      </w:r>
      <w:r w:rsidRPr="00031381">
        <w:rPr>
          <w:rFonts w:ascii="Garamond" w:eastAsia="Times New Roman" w:hAnsi="Garamond"/>
        </w:rPr>
        <w:t xml:space="preserve"> </w:t>
      </w:r>
      <w:r w:rsidRPr="00031381">
        <w:rPr>
          <w:rFonts w:ascii="Garamond" w:eastAsia="Times New Roman" w:hAnsi="Garamond" w:cs="Garamond"/>
        </w:rPr>
        <w:t>–</w:t>
      </w:r>
      <w:r w:rsidRPr="00031381">
        <w:rPr>
          <w:rFonts w:ascii="Garamond" w:eastAsia="Times New Roman" w:hAnsi="Garamond"/>
        </w:rPr>
        <w:t xml:space="preserve"> the same character that makes up Yi Qiu</w:t>
      </w:r>
      <w:r w:rsidRPr="00031381">
        <w:rPr>
          <w:rFonts w:ascii="Garamond" w:eastAsia="Times New Roman" w:hAnsi="Garamond" w:cs="Garamond"/>
        </w:rPr>
        <w:t>’</w:t>
      </w:r>
      <w:r w:rsidRPr="00031381">
        <w:rPr>
          <w:rFonts w:ascii="Garamond" w:eastAsia="Times New Roman" w:hAnsi="Garamond"/>
        </w:rPr>
        <w:t xml:space="preserve">s </w:t>
      </w:r>
      <w:proofErr w:type="spellStart"/>
      <w:r w:rsidRPr="00031381">
        <w:rPr>
          <w:rFonts w:ascii="SimSun" w:eastAsia="SimSun" w:hAnsi="SimSun" w:cs="SimSun" w:hint="eastAsia"/>
        </w:rPr>
        <w:t>弈秋</w:t>
      </w:r>
      <w:proofErr w:type="spellEnd"/>
      <w:r w:rsidRPr="00031381">
        <w:rPr>
          <w:rFonts w:ascii="Garamond" w:eastAsia="Times New Roman" w:hAnsi="Garamond"/>
        </w:rPr>
        <w:t xml:space="preserve"> name.</w:t>
      </w:r>
    </w:p>
  </w:footnote>
  <w:footnote w:id="24">
    <w:p w14:paraId="5D96BB18"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For example, Han Dynasty scholar Z</w:t>
      </w:r>
      <w:r w:rsidRPr="00031381">
        <w:rPr>
          <w:rFonts w:ascii="Garamond" w:hAnsi="Garamond"/>
          <w:smallCaps/>
        </w:rPr>
        <w:t>hao</w:t>
      </w:r>
      <w:r w:rsidRPr="00031381">
        <w:rPr>
          <w:rFonts w:ascii="Garamond" w:hAnsi="Garamond"/>
        </w:rPr>
        <w:t xml:space="preserve"> Qi</w:t>
      </w:r>
      <w:r w:rsidRPr="00031381">
        <w:rPr>
          <w:rFonts w:ascii="Garamond" w:hAnsi="Garamond"/>
        </w:rPr>
        <w:t>趙岐</w:t>
      </w:r>
      <w:r w:rsidRPr="00031381">
        <w:rPr>
          <w:rFonts w:ascii="Garamond" w:hAnsi="Garamond"/>
        </w:rPr>
        <w:t xml:space="preserve"> (d. 201) comments: “If one is able without (having acquired it through) learning, then one is able by nature.” (Jiao 1987: 897) All translations of commentaries are my own. C</w:t>
      </w:r>
      <w:r w:rsidRPr="00031381">
        <w:rPr>
          <w:rFonts w:ascii="Garamond" w:hAnsi="Garamond"/>
          <w:smallCaps/>
        </w:rPr>
        <w:t>heng</w:t>
      </w:r>
      <w:r w:rsidRPr="00031381">
        <w:rPr>
          <w:rFonts w:ascii="Garamond" w:hAnsi="Garamond"/>
        </w:rPr>
        <w:t xml:space="preserve"> Hao </w:t>
      </w:r>
      <w:r w:rsidRPr="00031381">
        <w:rPr>
          <w:rFonts w:ascii="Garamond" w:hAnsi="Garamond"/>
        </w:rPr>
        <w:t>程颢</w:t>
      </w:r>
      <w:r w:rsidRPr="00031381">
        <w:rPr>
          <w:rFonts w:ascii="Garamond" w:hAnsi="Garamond"/>
        </w:rPr>
        <w:t xml:space="preserve"> (1032–1085) is quoted by Z</w:t>
      </w:r>
      <w:r w:rsidRPr="00031381">
        <w:rPr>
          <w:rFonts w:ascii="Garamond" w:hAnsi="Garamond"/>
          <w:smallCaps/>
        </w:rPr>
        <w:t>hu</w:t>
      </w:r>
      <w:r w:rsidRPr="00031381">
        <w:rPr>
          <w:rFonts w:ascii="Garamond" w:hAnsi="Garamond"/>
        </w:rPr>
        <w:t xml:space="preserve"> Xi </w:t>
      </w:r>
      <w:r w:rsidRPr="00031381">
        <w:rPr>
          <w:rFonts w:ascii="Garamond" w:hAnsi="Garamond"/>
        </w:rPr>
        <w:t>朱熹</w:t>
      </w:r>
      <w:r w:rsidRPr="00031381">
        <w:rPr>
          <w:rFonts w:ascii="Garamond" w:hAnsi="Garamond"/>
        </w:rPr>
        <w:t xml:space="preserve"> (1130 – 1200) as saying that these unlearned abilities, which Mencius also calls “original abilities” (</w:t>
      </w:r>
      <w:r w:rsidRPr="00031381">
        <w:rPr>
          <w:rFonts w:ascii="Garamond" w:hAnsi="Garamond"/>
          <w:i/>
          <w:iCs/>
        </w:rPr>
        <w:t xml:space="preserve">liang </w:t>
      </w:r>
      <w:proofErr w:type="spellStart"/>
      <w:r w:rsidRPr="00031381">
        <w:rPr>
          <w:rFonts w:ascii="Garamond" w:hAnsi="Garamond"/>
          <w:i/>
          <w:iCs/>
        </w:rPr>
        <w:t>neng</w:t>
      </w:r>
      <w:proofErr w:type="spellEnd"/>
      <w:r w:rsidRPr="00031381">
        <w:rPr>
          <w:rFonts w:ascii="Garamond" w:hAnsi="Garamond"/>
        </w:rPr>
        <w:t xml:space="preserve"> </w:t>
      </w:r>
      <w:r w:rsidRPr="00031381">
        <w:rPr>
          <w:rFonts w:ascii="Garamond" w:hAnsi="Garamond"/>
        </w:rPr>
        <w:t>良能</w:t>
      </w:r>
      <w:r w:rsidRPr="00031381">
        <w:rPr>
          <w:rFonts w:ascii="Garamond" w:hAnsi="Garamond"/>
        </w:rPr>
        <w:t>) (7A15), are such that they “all stem from nothing (</w:t>
      </w:r>
      <w:proofErr w:type="spellStart"/>
      <w:r w:rsidRPr="00031381">
        <w:rPr>
          <w:rFonts w:ascii="Garamond" w:hAnsi="Garamond"/>
          <w:i/>
          <w:iCs/>
        </w:rPr>
        <w:t>jie</w:t>
      </w:r>
      <w:proofErr w:type="spellEnd"/>
      <w:r w:rsidRPr="00031381">
        <w:rPr>
          <w:rFonts w:ascii="Garamond" w:hAnsi="Garamond"/>
          <w:i/>
          <w:iCs/>
        </w:rPr>
        <w:t xml:space="preserve"> </w:t>
      </w:r>
      <w:proofErr w:type="spellStart"/>
      <w:r w:rsidRPr="00031381">
        <w:rPr>
          <w:rFonts w:ascii="Garamond" w:hAnsi="Garamond"/>
          <w:i/>
          <w:iCs/>
        </w:rPr>
        <w:t>wu</w:t>
      </w:r>
      <w:proofErr w:type="spellEnd"/>
      <w:r w:rsidRPr="00031381">
        <w:rPr>
          <w:rFonts w:ascii="Garamond" w:hAnsi="Garamond"/>
          <w:i/>
          <w:iCs/>
        </w:rPr>
        <w:t xml:space="preserve"> </w:t>
      </w:r>
      <w:proofErr w:type="spellStart"/>
      <w:r w:rsidRPr="00031381">
        <w:rPr>
          <w:rFonts w:ascii="Garamond" w:hAnsi="Garamond"/>
          <w:i/>
          <w:iCs/>
        </w:rPr>
        <w:t>suo</w:t>
      </w:r>
      <w:proofErr w:type="spellEnd"/>
      <w:r w:rsidRPr="00031381">
        <w:rPr>
          <w:rFonts w:ascii="Garamond" w:hAnsi="Garamond"/>
          <w:i/>
          <w:iCs/>
        </w:rPr>
        <w:t xml:space="preserve"> you</w:t>
      </w:r>
      <w:r w:rsidRPr="00031381">
        <w:rPr>
          <w:rFonts w:ascii="Garamond" w:hAnsi="Garamond"/>
        </w:rPr>
        <w:t xml:space="preserve"> </w:t>
      </w:r>
      <w:r w:rsidRPr="00031381">
        <w:rPr>
          <w:rFonts w:ascii="Garamond" w:hAnsi="Garamond"/>
        </w:rPr>
        <w:t>皆無所由</w:t>
      </w:r>
      <w:r w:rsidRPr="00031381">
        <w:rPr>
          <w:rFonts w:ascii="Garamond" w:hAnsi="Garamond"/>
        </w:rPr>
        <w:t>); they come from Heaven and are not welded onto human beings (from outside).” (Zhu 1983: 353)</w:t>
      </w:r>
    </w:p>
  </w:footnote>
  <w:footnote w:id="25">
    <w:p w14:paraId="7A946AFF"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To be more specific: it involves grasping the fact that S has a certain normative status (being sagely) </w:t>
      </w:r>
      <w:proofErr w:type="gramStart"/>
      <w:r w:rsidRPr="00031381">
        <w:rPr>
          <w:rFonts w:ascii="Garamond" w:hAnsi="Garamond"/>
        </w:rPr>
        <w:t>as a result of</w:t>
      </w:r>
      <w:proofErr w:type="gramEnd"/>
      <w:r w:rsidRPr="00031381">
        <w:rPr>
          <w:rFonts w:ascii="Garamond" w:hAnsi="Garamond"/>
        </w:rPr>
        <w:t xml:space="preserve"> having a set of normative properties (being an excellent member of a kind).</w:t>
      </w:r>
    </w:p>
  </w:footnote>
  <w:footnote w:id="26">
    <w:p w14:paraId="2AD9AC54"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The term ‘</w:t>
      </w:r>
      <w:proofErr w:type="spellStart"/>
      <w:r w:rsidRPr="00031381">
        <w:rPr>
          <w:rFonts w:ascii="Garamond" w:hAnsi="Garamond"/>
        </w:rPr>
        <w:t>veritic</w:t>
      </w:r>
      <w:proofErr w:type="spellEnd"/>
      <w:r w:rsidRPr="00031381">
        <w:rPr>
          <w:rFonts w:ascii="Garamond" w:hAnsi="Garamond"/>
        </w:rPr>
        <w:t xml:space="preserve"> luck’ is a neologism popularized by Duncan Prichard. For a sustained argument against the assumption that </w:t>
      </w:r>
      <w:proofErr w:type="spellStart"/>
      <w:r w:rsidRPr="00031381">
        <w:rPr>
          <w:rFonts w:ascii="Garamond" w:hAnsi="Garamond"/>
        </w:rPr>
        <w:t>veritically</w:t>
      </w:r>
      <w:proofErr w:type="spellEnd"/>
      <w:r w:rsidRPr="00031381">
        <w:rPr>
          <w:rFonts w:ascii="Garamond" w:hAnsi="Garamond"/>
        </w:rPr>
        <w:t xml:space="preserve"> lucky beliefs are not knowledge, see (Hetherington 2016).</w:t>
      </w:r>
    </w:p>
  </w:footnote>
  <w:footnote w:id="27">
    <w:p w14:paraId="7BB4D75F"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To clarify, one way of making sense of counterfactual sentences is in terms of ‘possible worlds.’ The sentence “if you had not taken the train, you would have missed the show” can be </w:t>
      </w:r>
      <w:proofErr w:type="spellStart"/>
      <w:r w:rsidRPr="00031381">
        <w:rPr>
          <w:rFonts w:ascii="Garamond" w:hAnsi="Garamond"/>
        </w:rPr>
        <w:t>analysed</w:t>
      </w:r>
      <w:proofErr w:type="spellEnd"/>
      <w:r w:rsidRPr="00031381">
        <w:rPr>
          <w:rFonts w:ascii="Garamond" w:hAnsi="Garamond"/>
        </w:rPr>
        <w:t xml:space="preserve"> as saying something about a possible world where you did not take the train. In that world, you have missed the show. Such a world could be very similar to the actual one, and the more similar it is, the ‘closer’ it is to the actual world. Hence, “you nearly missed the show” means that the possible world where you missed the show is very close to the actual one.</w:t>
      </w:r>
    </w:p>
  </w:footnote>
  <w:footnote w:id="28">
    <w:p w14:paraId="63B754F1"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At one point, </w:t>
      </w:r>
      <w:proofErr w:type="spellStart"/>
      <w:r w:rsidRPr="00031381">
        <w:rPr>
          <w:rFonts w:ascii="Garamond" w:hAnsi="Garamond"/>
        </w:rPr>
        <w:t>Zagzebski</w:t>
      </w:r>
      <w:proofErr w:type="spellEnd"/>
      <w:r w:rsidRPr="00031381">
        <w:rPr>
          <w:rFonts w:ascii="Garamond" w:hAnsi="Garamond"/>
        </w:rPr>
        <w:t xml:space="preserve"> seems to assume an even stronger principle than </w:t>
      </w:r>
      <w:proofErr w:type="spellStart"/>
      <w:r w:rsidRPr="00031381">
        <w:rPr>
          <w:rFonts w:ascii="Garamond" w:hAnsi="Garamond"/>
        </w:rPr>
        <w:t>Kvanvig’s</w:t>
      </w:r>
      <w:proofErr w:type="spellEnd"/>
      <w:r w:rsidRPr="00031381">
        <w:rPr>
          <w:rFonts w:ascii="Garamond" w:hAnsi="Garamond"/>
        </w:rPr>
        <w:t xml:space="preserve"> for the adequacy of accounts of knowledge, namely the principle that, if one appeals to property P in one’s explanation of the value of knowledge, then P should be part of one’s definition of knowledge (</w:t>
      </w:r>
      <w:proofErr w:type="spellStart"/>
      <w:r w:rsidRPr="00031381">
        <w:rPr>
          <w:rFonts w:ascii="Garamond" w:hAnsi="Garamond"/>
        </w:rPr>
        <w:t>Zagzebski</w:t>
      </w:r>
      <w:proofErr w:type="spellEnd"/>
      <w:r w:rsidRPr="00031381">
        <w:rPr>
          <w:rFonts w:ascii="Garamond" w:hAnsi="Garamond"/>
        </w:rPr>
        <w:t xml:space="preserve"> 1996: 302).</w:t>
      </w:r>
    </w:p>
  </w:footnote>
  <w:footnote w:id="29">
    <w:p w14:paraId="0B427E17"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This argument is a variation on the </w:t>
      </w:r>
      <w:r w:rsidRPr="00031381">
        <w:rPr>
          <w:rFonts w:ascii="Garamond" w:hAnsi="Garamond"/>
          <w:i/>
          <w:iCs/>
        </w:rPr>
        <w:t>swamping problem</w:t>
      </w:r>
      <w:r w:rsidRPr="00031381">
        <w:rPr>
          <w:rFonts w:ascii="Garamond" w:hAnsi="Garamond"/>
        </w:rPr>
        <w:t xml:space="preserve">, which says that there is no added epistemic value to a </w:t>
      </w:r>
      <w:r w:rsidRPr="00031381">
        <w:rPr>
          <w:rFonts w:ascii="Garamond" w:hAnsi="Garamond"/>
          <w:i/>
          <w:iCs/>
        </w:rPr>
        <w:t>reliably</w:t>
      </w:r>
      <w:r w:rsidRPr="00031381">
        <w:rPr>
          <w:rFonts w:ascii="Garamond" w:hAnsi="Garamond"/>
        </w:rPr>
        <w:t xml:space="preserve"> (hence, </w:t>
      </w:r>
      <w:r w:rsidRPr="00031381">
        <w:rPr>
          <w:rFonts w:ascii="Garamond" w:hAnsi="Garamond"/>
          <w:i/>
          <w:iCs/>
        </w:rPr>
        <w:t>competently</w:t>
      </w:r>
      <w:r w:rsidRPr="00031381">
        <w:rPr>
          <w:rFonts w:ascii="Garamond" w:hAnsi="Garamond"/>
        </w:rPr>
        <w:t xml:space="preserve">) formed true belief beyond whatever epistemic value the true belief already has by virtue of being true. Therefore, the epistemic value of knowledge, if knowledge is true belief competently produced, is ‘swamped’ by the epistemic value of the truth of the belief (cf. </w:t>
      </w:r>
      <w:proofErr w:type="spellStart"/>
      <w:r w:rsidRPr="00031381">
        <w:rPr>
          <w:rFonts w:ascii="Garamond" w:hAnsi="Garamond"/>
        </w:rPr>
        <w:t>Zagzebski</w:t>
      </w:r>
      <w:proofErr w:type="spellEnd"/>
      <w:r w:rsidRPr="00031381">
        <w:rPr>
          <w:rFonts w:ascii="Garamond" w:hAnsi="Garamond"/>
        </w:rPr>
        <w:t xml:space="preserve"> 1996: 301-302; Prichard 2011: 248; Hetherington 2018: 4687-4688).</w:t>
      </w:r>
    </w:p>
  </w:footnote>
  <w:footnote w:id="30">
    <w:p w14:paraId="10EBF859"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One might object: whether I </w:t>
      </w:r>
      <w:r w:rsidRPr="00031381">
        <w:rPr>
          <w:rFonts w:ascii="Garamond" w:hAnsi="Garamond"/>
          <w:i/>
          <w:iCs/>
        </w:rPr>
        <w:t>know</w:t>
      </w:r>
      <w:r w:rsidRPr="00031381">
        <w:rPr>
          <w:rFonts w:ascii="Garamond" w:hAnsi="Garamond"/>
        </w:rPr>
        <w:t xml:space="preserve"> that this is the way to Larissa or merely have a </w:t>
      </w:r>
      <w:r w:rsidRPr="00031381">
        <w:rPr>
          <w:rFonts w:ascii="Garamond" w:hAnsi="Garamond"/>
          <w:i/>
          <w:iCs/>
        </w:rPr>
        <w:t>true belief</w:t>
      </w:r>
      <w:r w:rsidRPr="00031381">
        <w:rPr>
          <w:rFonts w:ascii="Garamond" w:hAnsi="Garamond"/>
        </w:rPr>
        <w:t xml:space="preserve"> that it is, in both cases I am equally capable of finding my way to Larissa. How, then, do we distinguish the value of knowledge over the value of true belief? My response, in brief: what is usually taken to distinguish knowledge from true belief is justification, and it seems to me that a justified true belief (that is not </w:t>
      </w:r>
      <w:proofErr w:type="spellStart"/>
      <w:r w:rsidRPr="00031381">
        <w:rPr>
          <w:rFonts w:ascii="Garamond" w:hAnsi="Garamond"/>
        </w:rPr>
        <w:t>Gettiered</w:t>
      </w:r>
      <w:proofErr w:type="spellEnd"/>
      <w:r w:rsidRPr="00031381">
        <w:rPr>
          <w:rFonts w:ascii="Garamond" w:hAnsi="Garamond"/>
        </w:rPr>
        <w:t>) is more useful than an unjustified one. For example, such a belief is easier to defend, to maintain in the face of doubts, to have confidence in, etc. Hence, a person who knows that p and a person who believes truly that p differ in terms of what they are epistemically capable of doing. For a more detailed discussion, see (Hetherington 2017; 2021a; 2021b; Hyman 2015: Ch.8).</w:t>
      </w:r>
    </w:p>
  </w:footnote>
  <w:footnote w:id="31">
    <w:p w14:paraId="47A32674"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There might be other characteristics of knowing-to, including, for example, its normative force: if you know-to </w:t>
      </w:r>
      <w:r w:rsidRPr="00031381">
        <w:rPr>
          <w:rFonts w:ascii="Garamond" w:hAnsi="Garamond"/>
          <w:i/>
          <w:iCs/>
        </w:rPr>
        <w:t>φ</w:t>
      </w:r>
      <w:r w:rsidRPr="00031381">
        <w:rPr>
          <w:rFonts w:ascii="Garamond" w:hAnsi="Garamond"/>
        </w:rPr>
        <w:t xml:space="preserve"> in circumstance C, then your </w:t>
      </w:r>
      <w:r w:rsidRPr="00031381">
        <w:rPr>
          <w:rFonts w:ascii="Garamond" w:hAnsi="Garamond"/>
          <w:i/>
          <w:iCs/>
        </w:rPr>
        <w:t>φ</w:t>
      </w:r>
      <w:r w:rsidRPr="00031381">
        <w:rPr>
          <w:rFonts w:ascii="Garamond" w:hAnsi="Garamond"/>
        </w:rPr>
        <w:t>-</w:t>
      </w:r>
      <w:proofErr w:type="spellStart"/>
      <w:r w:rsidRPr="00031381">
        <w:rPr>
          <w:rFonts w:ascii="Garamond" w:hAnsi="Garamond"/>
        </w:rPr>
        <w:t>ing</w:t>
      </w:r>
      <w:proofErr w:type="spellEnd"/>
      <w:r w:rsidRPr="00031381">
        <w:rPr>
          <w:rFonts w:ascii="Garamond" w:hAnsi="Garamond"/>
        </w:rPr>
        <w:t xml:space="preserve"> is to a sufficient degree appropriate given the details of the situation. However, it is unclear what determines the relevant standards of appropriateness. For a discussion, see (Brys 2022: 50).</w:t>
      </w:r>
    </w:p>
  </w:footnote>
  <w:footnote w:id="32">
    <w:p w14:paraId="59070BDA"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For an alternative conception of knowing-to, one that largely draws on the work of Wang </w:t>
      </w:r>
      <w:proofErr w:type="spellStart"/>
      <w:r w:rsidRPr="00031381">
        <w:rPr>
          <w:rFonts w:ascii="Garamond" w:hAnsi="Garamond"/>
        </w:rPr>
        <w:t>Yangming</w:t>
      </w:r>
      <w:proofErr w:type="spellEnd"/>
      <w:r w:rsidRPr="00031381">
        <w:rPr>
          <w:rFonts w:ascii="Garamond" w:hAnsi="Garamond"/>
        </w:rPr>
        <w:t xml:space="preserve"> and, I believe, is a </w:t>
      </w:r>
      <w:r w:rsidRPr="00031381">
        <w:rPr>
          <w:rFonts w:ascii="Garamond" w:hAnsi="Garamond"/>
          <w:i/>
          <w:iCs/>
        </w:rPr>
        <w:t>propositional</w:t>
      </w:r>
      <w:r w:rsidRPr="00031381">
        <w:rPr>
          <w:rFonts w:ascii="Garamond" w:hAnsi="Garamond"/>
        </w:rPr>
        <w:t xml:space="preserve"> kind of knowing-to,</w:t>
      </w:r>
      <w:r w:rsidRPr="00031381">
        <w:rPr>
          <w:rFonts w:ascii="Garamond" w:hAnsi="Garamond"/>
          <w:i/>
          <w:iCs/>
        </w:rPr>
        <w:t xml:space="preserve"> </w:t>
      </w:r>
      <w:r w:rsidRPr="00031381">
        <w:rPr>
          <w:rFonts w:ascii="Garamond" w:hAnsi="Garamond"/>
        </w:rPr>
        <w:t>see (Huang 2017). Elsewhere, Huang argues that his notion of knowing-to</w:t>
      </w:r>
      <w:r w:rsidRPr="00031381">
        <w:rPr>
          <w:rFonts w:ascii="Garamond" w:hAnsi="Garamond"/>
          <w:i/>
          <w:iCs/>
        </w:rPr>
        <w:t xml:space="preserve"> φ</w:t>
      </w:r>
      <w:r w:rsidRPr="00031381">
        <w:rPr>
          <w:rFonts w:ascii="Garamond" w:hAnsi="Garamond"/>
        </w:rPr>
        <w:t xml:space="preserve"> entails but does not reduce to knowing-that I ought to </w:t>
      </w:r>
      <w:r w:rsidRPr="00031381">
        <w:rPr>
          <w:rFonts w:ascii="Garamond" w:hAnsi="Garamond"/>
          <w:i/>
          <w:iCs/>
        </w:rPr>
        <w:t>φ</w:t>
      </w:r>
      <w:r w:rsidRPr="00031381">
        <w:rPr>
          <w:rFonts w:ascii="Garamond" w:hAnsi="Garamond"/>
        </w:rPr>
        <w:t xml:space="preserve">, because knowing-to motivates its possessor to </w:t>
      </w:r>
      <w:r w:rsidRPr="00031381">
        <w:rPr>
          <w:rFonts w:ascii="Garamond" w:hAnsi="Garamond"/>
          <w:i/>
          <w:iCs/>
        </w:rPr>
        <w:t>φ</w:t>
      </w:r>
      <w:r w:rsidRPr="00031381">
        <w:rPr>
          <w:rFonts w:ascii="Garamond" w:hAnsi="Garamond"/>
        </w:rPr>
        <w:t>, whereas I can know that I ought to</w:t>
      </w:r>
      <w:r w:rsidRPr="00031381">
        <w:rPr>
          <w:rFonts w:ascii="Garamond" w:hAnsi="Garamond"/>
          <w:i/>
          <w:iCs/>
        </w:rPr>
        <w:t xml:space="preserve"> φ</w:t>
      </w:r>
      <w:r w:rsidRPr="00031381">
        <w:rPr>
          <w:rFonts w:ascii="Garamond" w:hAnsi="Garamond"/>
        </w:rPr>
        <w:t xml:space="preserve"> without being motivated to</w:t>
      </w:r>
      <w:r w:rsidRPr="00031381">
        <w:rPr>
          <w:rFonts w:ascii="Garamond" w:hAnsi="Garamond"/>
          <w:i/>
          <w:iCs/>
        </w:rPr>
        <w:t xml:space="preserve"> φ </w:t>
      </w:r>
      <w:r w:rsidRPr="00031381">
        <w:rPr>
          <w:rFonts w:ascii="Garamond" w:hAnsi="Garamond"/>
        </w:rPr>
        <w:t xml:space="preserve">(Huang 2022: 212). But that is compatible with saying that Huang’s notion of knowing-to is propositional, given that, as Huang puts it, it is “normative knowledge such as my </w:t>
      </w:r>
      <w:r w:rsidRPr="00031381">
        <w:rPr>
          <w:rFonts w:ascii="Garamond" w:hAnsi="Garamond"/>
          <w:i/>
          <w:iCs/>
        </w:rPr>
        <w:t>knowledge that I ought to</w:t>
      </w:r>
      <w:r w:rsidRPr="00031381">
        <w:rPr>
          <w:rFonts w:ascii="Garamond" w:hAnsi="Garamond"/>
        </w:rPr>
        <w:t xml:space="preserve"> love my parents” (Huang 2022: 211; my own emphasis). Hence, we might think of it as a motivationally efficacious kind of knowing-that I ought to </w:t>
      </w:r>
      <w:r w:rsidRPr="00031381">
        <w:rPr>
          <w:rFonts w:ascii="Garamond" w:hAnsi="Garamond"/>
          <w:i/>
          <w:iCs/>
        </w:rPr>
        <w:t>φ</w:t>
      </w:r>
      <w:r w:rsidRPr="00031381">
        <w:rPr>
          <w:rFonts w:ascii="Garamond" w:hAnsi="Garamond"/>
        </w:rPr>
        <w:t xml:space="preserve"> – and therefore propositional. Of course, Huang’s distinction between motivationally efficacious and motivationally inert knowledge-that I ought to</w:t>
      </w:r>
      <w:r w:rsidRPr="00031381">
        <w:rPr>
          <w:rFonts w:ascii="Garamond" w:hAnsi="Garamond"/>
          <w:i/>
          <w:iCs/>
        </w:rPr>
        <w:t xml:space="preserve"> φ </w:t>
      </w:r>
      <w:r w:rsidRPr="00031381">
        <w:rPr>
          <w:rFonts w:ascii="Garamond" w:hAnsi="Garamond"/>
        </w:rPr>
        <w:t xml:space="preserve">is only plausible on externalist views about moral motivation, given that </w:t>
      </w:r>
      <w:proofErr w:type="spellStart"/>
      <w:r w:rsidRPr="00031381">
        <w:rPr>
          <w:rFonts w:ascii="Garamond" w:hAnsi="Garamond"/>
        </w:rPr>
        <w:t>internalists</w:t>
      </w:r>
      <w:proofErr w:type="spellEnd"/>
      <w:r w:rsidRPr="00031381">
        <w:rPr>
          <w:rFonts w:ascii="Garamond" w:hAnsi="Garamond"/>
        </w:rPr>
        <w:t xml:space="preserve"> would reject it (e.g., Smith 1994: 61).</w:t>
      </w:r>
    </w:p>
  </w:footnote>
  <w:footnote w:id="33">
    <w:p w14:paraId="7E5E909E"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Objection: 6A12 does not describe a particular </w:t>
      </w:r>
      <w:r w:rsidRPr="00031381">
        <w:rPr>
          <w:rFonts w:ascii="Garamond" w:hAnsi="Garamond"/>
          <w:i/>
          <w:iCs/>
        </w:rPr>
        <w:t>moment</w:t>
      </w:r>
      <w:r w:rsidRPr="00031381">
        <w:rPr>
          <w:rFonts w:ascii="Garamond" w:hAnsi="Garamond"/>
        </w:rPr>
        <w:t xml:space="preserve"> that is apt for knowing-to improve one’s heart. Hence, it does not fit my characterization of knowing-to in terms of knowing to do</w:t>
      </w:r>
      <w:r w:rsidRPr="00031381">
        <w:rPr>
          <w:rFonts w:ascii="Garamond" w:hAnsi="Garamond"/>
          <w:i/>
          <w:iCs/>
        </w:rPr>
        <w:t xml:space="preserve"> this</w:t>
      </w:r>
      <w:r w:rsidRPr="00031381">
        <w:rPr>
          <w:rFonts w:ascii="Garamond" w:hAnsi="Garamond"/>
        </w:rPr>
        <w:t xml:space="preserve"> at a specific moment in time.</w:t>
      </w:r>
      <w:r w:rsidRPr="00031381">
        <w:rPr>
          <w:rFonts w:ascii="Garamond" w:hAnsi="Garamond"/>
          <w:i/>
          <w:iCs/>
        </w:rPr>
        <w:t xml:space="preserve"> </w:t>
      </w:r>
      <w:r w:rsidRPr="00031381">
        <w:rPr>
          <w:rFonts w:ascii="Garamond" w:hAnsi="Garamond"/>
        </w:rPr>
        <w:t xml:space="preserve">My response: there is no reason why the “right time” for performing </w:t>
      </w:r>
      <w:r w:rsidRPr="00031381">
        <w:rPr>
          <w:rFonts w:ascii="Garamond" w:hAnsi="Garamond"/>
          <w:i/>
          <w:iCs/>
        </w:rPr>
        <w:t>φ</w:t>
      </w:r>
      <w:r w:rsidRPr="00031381">
        <w:rPr>
          <w:rFonts w:ascii="Garamond" w:hAnsi="Garamond"/>
        </w:rPr>
        <w:t xml:space="preserve"> </w:t>
      </w:r>
      <w:proofErr w:type="gramStart"/>
      <w:r w:rsidRPr="00031381">
        <w:rPr>
          <w:rFonts w:ascii="Garamond" w:hAnsi="Garamond"/>
        </w:rPr>
        <w:t>has to</w:t>
      </w:r>
      <w:proofErr w:type="gramEnd"/>
      <w:r w:rsidRPr="00031381">
        <w:rPr>
          <w:rFonts w:ascii="Garamond" w:hAnsi="Garamond"/>
        </w:rPr>
        <w:t xml:space="preserve"> be a particular moment rather than an extended period of time. The right time to discard excess cargo off a ship to save its crew is, presumably, any time between the sinking of the ship and the arrival of the storm. A captain can be said to have known to throw cargo overboard to save her crew if she had done so (intelligently) at any time between those two events. I thank Huang Yong for allowing me to clarify.</w:t>
      </w:r>
    </w:p>
  </w:footnote>
  <w:footnote w:id="34">
    <w:p w14:paraId="0CDF0938"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Translators almost unanimously render the expression in terms of some cognates of “to know” and “to dislike”: for example, “one knows to dislike it” (Van Norden 2008: 155); “he knows to feel dissatisfied” (</w:t>
      </w:r>
      <w:proofErr w:type="spellStart"/>
      <w:r w:rsidRPr="00031381">
        <w:rPr>
          <w:rFonts w:ascii="Garamond" w:hAnsi="Garamond"/>
        </w:rPr>
        <w:t>Legge</w:t>
      </w:r>
      <w:proofErr w:type="spellEnd"/>
      <w:r w:rsidRPr="00031381">
        <w:rPr>
          <w:rFonts w:ascii="Garamond" w:hAnsi="Garamond"/>
        </w:rPr>
        <w:t xml:space="preserve"> 1895: 415); “they know to detest it” (Perkins 2022: 37); “one knows enough to hate it” (Bloom 2009: 129); “one has sense enough to resent it” (Lau 2003: 257).</w:t>
      </w:r>
    </w:p>
  </w:footnote>
  <w:footnote w:id="35">
    <w:p w14:paraId="63715AB8"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E.g.: “do not know to seek for them” (Van Norden 2008: 155); “do not know to seek for it” (</w:t>
      </w:r>
      <w:proofErr w:type="spellStart"/>
      <w:r w:rsidRPr="00031381">
        <w:rPr>
          <w:rFonts w:ascii="Garamond" w:hAnsi="Garamond"/>
        </w:rPr>
        <w:t>Legge</w:t>
      </w:r>
      <w:proofErr w:type="spellEnd"/>
      <w:r w:rsidRPr="00031381">
        <w:rPr>
          <w:rFonts w:ascii="Garamond" w:hAnsi="Garamond"/>
        </w:rPr>
        <w:t xml:space="preserve"> 1895: 414); “do not know to seek it” (Perkins 2022: 117); “not know enough to seek it” (Bloom 2009: 128); “not know enough to seek after it” (Gardner 2007: 92); “without enough sense to go after it” (Lau 2003: 255).</w:t>
      </w:r>
    </w:p>
  </w:footnote>
  <w:footnote w:id="36">
    <w:p w14:paraId="0EB23996"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D.C. Lau provides a different translation of 1A3: “[…] when men drop dead from starvation by the wayside, you fail to realize that it is time for distribution.” (Lau 2003: 9) On this translation, Mencius accuses King Hui of failing to know that his situation is apt for distributing food. Perhaps that is the reason why the King fails to put his knowledge-how into practice – namely, because he fails to know that he is in an apt situation for doing so. However, even if the King had been aware of the aptness of his situation, it is still plausible that he could have failed to save his people, because, as I have argued, he could have failed to </w:t>
      </w:r>
      <w:r w:rsidRPr="00031381">
        <w:rPr>
          <w:rFonts w:ascii="Garamond" w:hAnsi="Garamond"/>
          <w:i/>
          <w:iCs/>
        </w:rPr>
        <w:t>know-to</w:t>
      </w:r>
      <w:r w:rsidRPr="00031381">
        <w:rPr>
          <w:rFonts w:ascii="Garamond" w:hAnsi="Garamond"/>
        </w:rPr>
        <w:t xml:space="preserve"> do </w:t>
      </w:r>
      <w:r w:rsidRPr="00031381">
        <w:rPr>
          <w:rFonts w:ascii="Garamond" w:hAnsi="Garamond"/>
          <w:i/>
          <w:iCs/>
        </w:rPr>
        <w:t>this</w:t>
      </w:r>
      <w:r w:rsidRPr="00031381">
        <w:rPr>
          <w:rFonts w:ascii="Garamond" w:hAnsi="Garamond"/>
        </w:rPr>
        <w:t xml:space="preserve"> to save them. I thank Kim-</w:t>
      </w:r>
      <w:proofErr w:type="spellStart"/>
      <w:r w:rsidRPr="00031381">
        <w:rPr>
          <w:rFonts w:ascii="Garamond" w:hAnsi="Garamond"/>
        </w:rPr>
        <w:t>chong</w:t>
      </w:r>
      <w:proofErr w:type="spellEnd"/>
      <w:r w:rsidRPr="00031381">
        <w:rPr>
          <w:rFonts w:ascii="Garamond" w:hAnsi="Garamond"/>
        </w:rPr>
        <w:t xml:space="preserve"> Chong for alerting me to D.C. Lau’s translation.</w:t>
      </w:r>
    </w:p>
  </w:footnote>
  <w:footnote w:id="37">
    <w:p w14:paraId="6657E2D1"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This is best illustrated by an argument given by Donald Davidson: the same motion of my hand can on one occasion be a mere muscle-spasm and on another occasion be an instance of signaling an accomplice. The motion is the same on both occasions, and so, according to Davidson, what best explains the difference between the two are the inner mental states that relevantly cause the motion (Davidson 1980).</w:t>
      </w:r>
    </w:p>
  </w:footnote>
  <w:footnote w:id="38">
    <w:p w14:paraId="54A55606"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There is a host of philosophical issues involved here. For example, if we say that in any specific circumstance my general know-how to catch balls </w:t>
      </w:r>
      <w:proofErr w:type="gramStart"/>
      <w:r w:rsidRPr="00031381">
        <w:rPr>
          <w:rFonts w:ascii="Garamond" w:hAnsi="Garamond"/>
        </w:rPr>
        <w:t>has to</w:t>
      </w:r>
      <w:proofErr w:type="gramEnd"/>
      <w:r w:rsidRPr="00031381">
        <w:rPr>
          <w:rFonts w:ascii="Garamond" w:hAnsi="Garamond"/>
        </w:rPr>
        <w:t xml:space="preserve"> be</w:t>
      </w:r>
      <w:r w:rsidRPr="00031381">
        <w:rPr>
          <w:rFonts w:ascii="Garamond" w:hAnsi="Garamond"/>
          <w:i/>
          <w:iCs/>
        </w:rPr>
        <w:t xml:space="preserve"> implemented</w:t>
      </w:r>
      <w:r w:rsidRPr="00031381">
        <w:rPr>
          <w:rFonts w:ascii="Garamond" w:hAnsi="Garamond"/>
        </w:rPr>
        <w:t xml:space="preserve"> for it to yield an intelligent action of catching</w:t>
      </w:r>
      <w:r w:rsidRPr="00031381">
        <w:rPr>
          <w:rFonts w:ascii="Garamond" w:hAnsi="Garamond"/>
          <w:i/>
          <w:iCs/>
        </w:rPr>
        <w:t xml:space="preserve"> this</w:t>
      </w:r>
      <w:r w:rsidRPr="00031381">
        <w:rPr>
          <w:rFonts w:ascii="Garamond" w:hAnsi="Garamond"/>
        </w:rPr>
        <w:t xml:space="preserve"> particular ball in </w:t>
      </w:r>
      <w:r w:rsidRPr="00031381">
        <w:rPr>
          <w:rFonts w:ascii="Garamond" w:hAnsi="Garamond"/>
          <w:i/>
          <w:iCs/>
        </w:rPr>
        <w:t xml:space="preserve">this </w:t>
      </w:r>
      <w:r w:rsidRPr="00031381">
        <w:rPr>
          <w:rFonts w:ascii="Garamond" w:hAnsi="Garamond"/>
        </w:rPr>
        <w:t xml:space="preserve">circumstance, then it seems that my act of implementing can itself be performed more or less intelligently. But if that is so, then for my act of implementing to be done intelligently, I have to know-how to perform it and I </w:t>
      </w:r>
      <w:proofErr w:type="gramStart"/>
      <w:r w:rsidRPr="00031381">
        <w:rPr>
          <w:rFonts w:ascii="Garamond" w:hAnsi="Garamond"/>
        </w:rPr>
        <w:t>have to</w:t>
      </w:r>
      <w:proofErr w:type="gramEnd"/>
      <w:r w:rsidRPr="00031381">
        <w:rPr>
          <w:rFonts w:ascii="Garamond" w:hAnsi="Garamond"/>
        </w:rPr>
        <w:t xml:space="preserve"> exercise such second-order know-how in my act of implementing my knowledge-how to catch balls. This leads to a regress similar to the one that Ryle proposed against his </w:t>
      </w:r>
      <w:proofErr w:type="gramStart"/>
      <w:r w:rsidRPr="00031381">
        <w:rPr>
          <w:rFonts w:ascii="Garamond" w:hAnsi="Garamond"/>
        </w:rPr>
        <w:t>intellectualists</w:t>
      </w:r>
      <w:proofErr w:type="gramEnd"/>
      <w:r w:rsidRPr="00031381">
        <w:rPr>
          <w:rFonts w:ascii="Garamond" w:hAnsi="Garamond"/>
        </w:rPr>
        <w:t xml:space="preserve"> opponents (see </w:t>
      </w:r>
      <w:proofErr w:type="spellStart"/>
      <w:r w:rsidRPr="00031381">
        <w:rPr>
          <w:rFonts w:ascii="Garamond" w:hAnsi="Garamond"/>
        </w:rPr>
        <w:t>Valaris</w:t>
      </w:r>
      <w:proofErr w:type="spellEnd"/>
      <w:r w:rsidRPr="00031381">
        <w:rPr>
          <w:rFonts w:ascii="Garamond" w:hAnsi="Garamond"/>
        </w:rPr>
        <w:t xml:space="preserve"> 2020).</w:t>
      </w:r>
    </w:p>
  </w:footnote>
  <w:footnote w:id="39">
    <w:p w14:paraId="65E205CF"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This does not mean that Mencius rejects the view that there are any such “purely inner” mental states causally antecedent to actions. Indeed, Slingerland provides strong evidence for the claim that the early Chinese had a notion of psychological interiority and that they believed in the causal efficacy of mental states (Slingerland 2019), even if they did not always state it in terms of what is “internal” (</w:t>
      </w:r>
      <w:proofErr w:type="spellStart"/>
      <w:r w:rsidRPr="00031381">
        <w:rPr>
          <w:rFonts w:ascii="Garamond" w:hAnsi="Garamond"/>
          <w:i/>
          <w:iCs/>
        </w:rPr>
        <w:t>nei</w:t>
      </w:r>
      <w:proofErr w:type="spellEnd"/>
      <w:r w:rsidRPr="00031381">
        <w:rPr>
          <w:rFonts w:ascii="Garamond" w:hAnsi="Garamond"/>
          <w:i/>
          <w:iCs/>
        </w:rPr>
        <w:t xml:space="preserve"> </w:t>
      </w:r>
      <w:r w:rsidRPr="00031381">
        <w:rPr>
          <w:rFonts w:ascii="Garamond" w:hAnsi="Garamond"/>
        </w:rPr>
        <w:t>内</w:t>
      </w:r>
      <w:r w:rsidRPr="00031381">
        <w:rPr>
          <w:rFonts w:ascii="Garamond" w:hAnsi="Garamond"/>
        </w:rPr>
        <w:t>) and what is “external” (</w:t>
      </w:r>
      <w:proofErr w:type="spellStart"/>
      <w:r w:rsidRPr="00031381">
        <w:rPr>
          <w:rFonts w:ascii="Garamond" w:hAnsi="Garamond"/>
          <w:i/>
          <w:iCs/>
        </w:rPr>
        <w:t>wai</w:t>
      </w:r>
      <w:proofErr w:type="spellEnd"/>
      <w:r w:rsidRPr="00031381">
        <w:rPr>
          <w:rFonts w:ascii="Garamond" w:hAnsi="Garamond"/>
        </w:rPr>
        <w:t xml:space="preserve"> </w:t>
      </w:r>
      <w:r w:rsidRPr="00031381">
        <w:rPr>
          <w:rFonts w:ascii="Garamond" w:hAnsi="Garamond"/>
        </w:rPr>
        <w:t>外</w:t>
      </w:r>
      <w:r w:rsidRPr="00031381">
        <w:rPr>
          <w:rFonts w:ascii="Garamond" w:hAnsi="Garamond"/>
        </w:rPr>
        <w:t xml:space="preserve">). For an argument that, as far as the </w:t>
      </w:r>
      <w:r w:rsidRPr="00031381">
        <w:rPr>
          <w:rFonts w:ascii="Garamond" w:hAnsi="Garamond"/>
          <w:i/>
          <w:iCs/>
        </w:rPr>
        <w:t>Mencius</w:t>
      </w:r>
      <w:r w:rsidRPr="00031381">
        <w:rPr>
          <w:rFonts w:ascii="Garamond" w:hAnsi="Garamond"/>
        </w:rPr>
        <w:t xml:space="preserve"> is concerned, the distinction between “internal” and “external” at 6A4-5 does not correspond to what is “within” and “outside” of the mind, see (Brys forthcoming). I take this argument to be compatible with Slingerland’s evidence.</w:t>
      </w:r>
    </w:p>
  </w:footnote>
  <w:footnote w:id="40">
    <w:p w14:paraId="2B05CA0A" w14:textId="77777777" w:rsidR="00120BCE" w:rsidRPr="00031381" w:rsidRDefault="00000000">
      <w:pPr>
        <w:pStyle w:val="FootnoteText"/>
        <w:rPr>
          <w:rFonts w:ascii="Garamond" w:hAnsi="Garamond"/>
        </w:rPr>
      </w:pPr>
      <w:r w:rsidRPr="00031381">
        <w:rPr>
          <w:rStyle w:val="FootnoteCharacters"/>
          <w:rFonts w:ascii="Garamond" w:hAnsi="Garamond"/>
        </w:rPr>
        <w:footnoteRef/>
      </w:r>
      <w:r w:rsidRPr="00031381">
        <w:rPr>
          <w:rFonts w:ascii="Garamond" w:hAnsi="Garamond"/>
        </w:rPr>
        <w:tab/>
        <w:t xml:space="preserve">To illustrate: I have demonstrative knowledge, for example, if I know that </w:t>
      </w:r>
      <w:r w:rsidRPr="00031381">
        <w:rPr>
          <w:rFonts w:ascii="Garamond" w:hAnsi="Garamond"/>
          <w:i/>
          <w:iCs/>
        </w:rPr>
        <w:t>this</w:t>
      </w:r>
      <w:r w:rsidRPr="00031381">
        <w:rPr>
          <w:rFonts w:ascii="Garamond" w:hAnsi="Garamond"/>
        </w:rPr>
        <w:t xml:space="preserve"> movement of my hands is a way for me to reach my intended target. Furthermore, I can have such knowledge without being able to describe the movement of my hands (</w:t>
      </w:r>
      <w:proofErr w:type="spellStart"/>
      <w:r w:rsidRPr="00031381">
        <w:rPr>
          <w:rFonts w:ascii="Garamond" w:hAnsi="Garamond"/>
        </w:rPr>
        <w:t>Valaris</w:t>
      </w:r>
      <w:proofErr w:type="spellEnd"/>
      <w:r w:rsidRPr="00031381">
        <w:rPr>
          <w:rFonts w:ascii="Garamond" w:hAnsi="Garamond"/>
        </w:rPr>
        <w:t xml:space="preserve"> 2020a: 101).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0E21FF"/>
    <w:multiLevelType w:val="multilevel"/>
    <w:tmpl w:val="F98AC5C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AEC307E"/>
    <w:multiLevelType w:val="multilevel"/>
    <w:tmpl w:val="26D665C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866092438">
    <w:abstractNumId w:val="0"/>
  </w:num>
  <w:num w:numId="2" w16cid:durableId="3481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20BCE"/>
    <w:rsid w:val="00031381"/>
    <w:rsid w:val="00120BCE"/>
    <w:rsid w:val="00901040"/>
    <w:rsid w:val="00FA783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228"/>
  <w15:docId w15:val="{7FA60C69-AE50-451D-A13F-5777D4DAC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Times New Roman" w:hAnsi="Times New Roman"/>
    </w:rPr>
  </w:style>
  <w:style w:type="paragraph" w:styleId="Heading3">
    <w:name w:val="heading 3"/>
    <w:basedOn w:val="Heading"/>
    <w:next w:val="BodyText"/>
    <w:uiPriority w:val="9"/>
    <w:semiHidden/>
    <w:unhideWhenUsed/>
    <w:qFormat/>
    <w:pPr>
      <w:numPr>
        <w:ilvl w:val="2"/>
        <w:numId w:val="1"/>
      </w:numPr>
      <w:spacing w:before="140"/>
      <w:outlineLvl w:val="2"/>
    </w:pPr>
    <w:rPr>
      <w:b/>
      <w:bCs/>
    </w:rPr>
  </w:style>
  <w:style w:type="paragraph" w:styleId="Heading4">
    <w:name w:val="heading 4"/>
    <w:basedOn w:val="Heading"/>
    <w:next w:val="BodyText"/>
    <w:uiPriority w:val="9"/>
    <w:semiHidden/>
    <w:unhideWhenUsed/>
    <w:qFormat/>
    <w:pPr>
      <w:numPr>
        <w:ilvl w:val="3"/>
        <w:numId w:val="1"/>
      </w:numPr>
      <w:spacing w:before="120"/>
      <w:outlineLvl w:val="3"/>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neNumbering">
    <w:name w:val="Line Numbering"/>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FootnoteText">
    <w:name w:val="footnote text"/>
    <w:basedOn w:val="Normal"/>
    <w:pPr>
      <w:suppressLineNumbers/>
      <w:ind w:left="340" w:hanging="340"/>
    </w:pPr>
    <w:rPr>
      <w:sz w:val="20"/>
      <w:szCs w:val="20"/>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HeaderandFooter"/>
  </w:style>
  <w:style w:type="paragraph" w:customStyle="1" w:styleId="Quotations">
    <w:name w:val="Quotations"/>
    <w:basedOn w:val="Normal"/>
    <w:qFormat/>
    <w:pPr>
      <w:spacing w:after="283"/>
      <w:ind w:left="567" w:right="567"/>
    </w:pPr>
  </w:style>
  <w:style w:type="paragraph" w:customStyle="1" w:styleId="PreformattedText">
    <w:name w:val="Preformatted Text"/>
    <w:basedOn w:val="Normal"/>
    <w:qFormat/>
    <w:rPr>
      <w:rFonts w:ascii="Liberation Mono" w:hAnsi="Liberation Mono" w:cs="Liberation Mono"/>
      <w:sz w:val="20"/>
      <w:szCs w:val="20"/>
    </w:rPr>
  </w:style>
  <w:style w:type="paragraph" w:styleId="Footer">
    <w:name w:val="footer"/>
    <w:basedOn w:val="HeaderandFooter"/>
  </w:style>
  <w:style w:type="paragraph" w:customStyle="1" w:styleId="BaseText">
    <w:name w:val="Base Text"/>
    <w:qFormat/>
    <w:rPr>
      <w:rFonts w:ascii="Times New Roman" w:eastAsia="Times New Roman" w:hAnsi="Times New Roman" w:cs="Times New Roman"/>
      <w:szCs w:val="20"/>
      <w:lang w:bidi="ar-SA"/>
    </w:rPr>
  </w:style>
  <w:style w:type="paragraph" w:customStyle="1" w:styleId="TxNITextNoIndent">
    <w:name w:val="TxNI Text No Indent"/>
    <w:basedOn w:val="BaseText"/>
    <w:qFormat/>
    <w:pPr>
      <w:spacing w:before="140" w:line="560" w:lineRule="exact"/>
    </w:pPr>
  </w:style>
  <w:style w:type="paragraph" w:customStyle="1" w:styleId="Default">
    <w:name w:val="Default"/>
    <w:qFormat/>
    <w:rPr>
      <w:rFonts w:ascii="Segoe UI" w:hAnsi="Segoe UI"/>
      <w:color w:val="000000"/>
    </w:rPr>
  </w:style>
  <w:style w:type="paragraph" w:customStyle="1" w:styleId="Pa27">
    <w:name w:val="Pa27"/>
    <w:basedOn w:val="Default"/>
    <w:next w:val="Default"/>
    <w:qFormat/>
    <w:pPr>
      <w:spacing w:line="19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9586</Words>
  <Characters>54641</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Waldemar Brys</cp:lastModifiedBy>
  <cp:revision>2</cp:revision>
  <dcterms:created xsi:type="dcterms:W3CDTF">2023-06-19T08:41:00Z</dcterms:created>
  <dcterms:modified xsi:type="dcterms:W3CDTF">2023-06-19T08:41:00Z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2017-12-15T08:19:00Z</dcterms:created>
  <dc:creator>Carter, J. Adam</dc:creator>
  <dc:description/>
  <dc:language>en-US</dc:language>
  <cp:lastModifiedBy/>
  <dcterms:modified xsi:type="dcterms:W3CDTF">2023-01-28T22:00:12Z</dcterms:modified>
  <cp:revision>242</cp:revision>
  <dc:subject/>
  <dc:title>A Critical Introduction to Knowledge-How</dc:title>
</cp:coreProperties>
</file>