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2E439" w14:textId="77777777" w:rsidR="0005254F" w:rsidRDefault="0005254F" w:rsidP="0005254F">
      <w:pPr>
        <w:spacing w:line="480" w:lineRule="auto"/>
        <w:rPr>
          <w:rFonts w:ascii="Times New Roman" w:hAnsi="Times New Roman" w:cs="Times New Roman"/>
          <w:b/>
          <w:lang w:val="en-GB"/>
        </w:rPr>
      </w:pPr>
    </w:p>
    <w:p w14:paraId="5AD7BBB1" w14:textId="77777777" w:rsidR="0005254F" w:rsidRDefault="009476A5" w:rsidP="0005254F">
      <w:pPr>
        <w:spacing w:line="480" w:lineRule="auto"/>
        <w:rPr>
          <w:rFonts w:ascii="Times New Roman" w:hAnsi="Times New Roman" w:cs="Times New Roman"/>
          <w:b/>
          <w:smallCaps/>
          <w:sz w:val="36"/>
          <w:lang w:val="en-GB"/>
        </w:rPr>
      </w:pPr>
      <w:r w:rsidRPr="0005254F">
        <w:rPr>
          <w:rFonts w:ascii="Times New Roman" w:hAnsi="Times New Roman" w:cs="Times New Roman"/>
          <w:b/>
          <w:smallCaps/>
          <w:sz w:val="36"/>
          <w:lang w:val="en-GB"/>
        </w:rPr>
        <w:t xml:space="preserve">Truth-Predicates Still Not </w:t>
      </w:r>
    </w:p>
    <w:p w14:paraId="4362F712" w14:textId="6EF11FA9" w:rsidR="00776154" w:rsidRPr="0005254F" w:rsidRDefault="009476A5" w:rsidP="0005254F">
      <w:pPr>
        <w:spacing w:line="480" w:lineRule="auto"/>
        <w:rPr>
          <w:rFonts w:ascii="Times New Roman" w:hAnsi="Times New Roman" w:cs="Times New Roman"/>
          <w:b/>
          <w:smallCaps/>
          <w:sz w:val="36"/>
          <w:lang w:val="en-GB"/>
        </w:rPr>
      </w:pPr>
      <w:r w:rsidRPr="0005254F">
        <w:rPr>
          <w:rFonts w:ascii="Times New Roman" w:hAnsi="Times New Roman" w:cs="Times New Roman"/>
          <w:b/>
          <w:smallCaps/>
          <w:sz w:val="36"/>
          <w:lang w:val="en-GB"/>
        </w:rPr>
        <w:t>Like Pronouns</w:t>
      </w:r>
      <w:r w:rsidR="001F756F" w:rsidRPr="0005254F">
        <w:rPr>
          <w:rFonts w:ascii="Times New Roman" w:hAnsi="Times New Roman" w:cs="Times New Roman"/>
          <w:b/>
          <w:smallCaps/>
          <w:sz w:val="36"/>
          <w:lang w:val="en-GB"/>
        </w:rPr>
        <w:t>:</w:t>
      </w:r>
      <w:r w:rsidR="00AF718F" w:rsidRPr="0005254F">
        <w:rPr>
          <w:rFonts w:ascii="Times New Roman" w:hAnsi="Times New Roman" w:cs="Times New Roman"/>
          <w:b/>
          <w:smallCaps/>
          <w:sz w:val="36"/>
          <w:lang w:val="en-GB"/>
        </w:rPr>
        <w:t xml:space="preserve"> </w:t>
      </w:r>
      <w:r w:rsidRPr="0005254F">
        <w:rPr>
          <w:rFonts w:ascii="Times New Roman" w:hAnsi="Times New Roman" w:cs="Times New Roman"/>
          <w:b/>
          <w:smallCaps/>
          <w:sz w:val="36"/>
          <w:lang w:val="en-GB"/>
        </w:rPr>
        <w:t>A</w:t>
      </w:r>
      <w:r w:rsidR="00AF718F" w:rsidRPr="0005254F">
        <w:rPr>
          <w:rFonts w:ascii="Times New Roman" w:hAnsi="Times New Roman" w:cs="Times New Roman"/>
          <w:b/>
          <w:smallCaps/>
          <w:sz w:val="36"/>
          <w:lang w:val="en-GB"/>
        </w:rPr>
        <w:t xml:space="preserve"> </w:t>
      </w:r>
      <w:r w:rsidRPr="0005254F">
        <w:rPr>
          <w:rFonts w:ascii="Times New Roman" w:hAnsi="Times New Roman" w:cs="Times New Roman"/>
          <w:b/>
          <w:smallCaps/>
          <w:sz w:val="36"/>
          <w:lang w:val="en-GB"/>
        </w:rPr>
        <w:t>R</w:t>
      </w:r>
      <w:r w:rsidR="00AF718F" w:rsidRPr="0005254F">
        <w:rPr>
          <w:rFonts w:ascii="Times New Roman" w:hAnsi="Times New Roman" w:cs="Times New Roman"/>
          <w:b/>
          <w:smallCaps/>
          <w:sz w:val="36"/>
          <w:lang w:val="en-GB"/>
        </w:rPr>
        <w:t>eply to Salis</w:t>
      </w:r>
    </w:p>
    <w:p w14:paraId="009B05C9" w14:textId="77777777" w:rsidR="00776154" w:rsidRDefault="00776154" w:rsidP="00776154">
      <w:pPr>
        <w:spacing w:line="480" w:lineRule="auto"/>
        <w:jc w:val="center"/>
        <w:rPr>
          <w:rFonts w:ascii="Times New Roman" w:hAnsi="Times New Roman" w:cs="Times New Roman"/>
          <w:b/>
          <w:lang w:val="en-GB"/>
        </w:rPr>
      </w:pPr>
    </w:p>
    <w:p w14:paraId="493A44D6" w14:textId="61DA24DD" w:rsidR="0005254F" w:rsidRDefault="0005254F" w:rsidP="0005254F">
      <w:pPr>
        <w:spacing w:line="480" w:lineRule="auto"/>
        <w:rPr>
          <w:rFonts w:ascii="Times New Roman" w:hAnsi="Times New Roman" w:cs="Times New Roman"/>
          <w:b/>
          <w:lang w:val="en-GB"/>
        </w:rPr>
      </w:pPr>
      <w:r>
        <w:rPr>
          <w:rFonts w:ascii="Times New Roman" w:hAnsi="Times New Roman" w:cs="Times New Roman"/>
          <w:b/>
          <w:lang w:val="en-GB"/>
        </w:rPr>
        <w:t>Arvid Båve, Stockholm University</w:t>
      </w:r>
    </w:p>
    <w:p w14:paraId="5B6F8F52" w14:textId="77777777" w:rsidR="0005254F" w:rsidRPr="007B2800" w:rsidRDefault="0005254F" w:rsidP="00776154">
      <w:pPr>
        <w:spacing w:line="480" w:lineRule="auto"/>
        <w:jc w:val="center"/>
        <w:rPr>
          <w:rFonts w:ascii="Times New Roman" w:hAnsi="Times New Roman" w:cs="Times New Roman"/>
          <w:b/>
          <w:lang w:val="en-GB"/>
        </w:rPr>
      </w:pPr>
    </w:p>
    <w:p w14:paraId="2AFA46AA" w14:textId="15B4ACB4" w:rsidR="00205953" w:rsidRDefault="003B78BC" w:rsidP="00954606">
      <w:pPr>
        <w:spacing w:line="480" w:lineRule="auto"/>
        <w:jc w:val="both"/>
        <w:rPr>
          <w:rFonts w:ascii="Times New Roman" w:hAnsi="Times New Roman" w:cs="Times New Roman"/>
          <w:lang w:val="en-GB"/>
        </w:rPr>
      </w:pPr>
      <w:proofErr w:type="spellStart"/>
      <w:r w:rsidRPr="007B2800">
        <w:rPr>
          <w:rFonts w:ascii="Times New Roman" w:hAnsi="Times New Roman" w:cs="Times New Roman"/>
          <w:lang w:val="en-GB"/>
        </w:rPr>
        <w:t>Pietro</w:t>
      </w:r>
      <w:proofErr w:type="spellEnd"/>
      <w:r w:rsidRPr="007B2800">
        <w:rPr>
          <w:rFonts w:ascii="Times New Roman" w:hAnsi="Times New Roman" w:cs="Times New Roman"/>
          <w:lang w:val="en-GB"/>
        </w:rPr>
        <w:t xml:space="preserve"> </w:t>
      </w:r>
      <w:proofErr w:type="spellStart"/>
      <w:r w:rsidRPr="007B2800">
        <w:rPr>
          <w:rFonts w:ascii="Times New Roman" w:hAnsi="Times New Roman" w:cs="Times New Roman"/>
          <w:lang w:val="en-GB"/>
        </w:rPr>
        <w:t>Salis</w:t>
      </w:r>
      <w:r w:rsidR="00C10DB8" w:rsidRPr="007B2800">
        <w:rPr>
          <w:rFonts w:ascii="Times New Roman" w:hAnsi="Times New Roman" w:cs="Times New Roman"/>
          <w:lang w:val="en-GB"/>
        </w:rPr>
        <w:t>’s</w:t>
      </w:r>
      <w:proofErr w:type="spellEnd"/>
      <w:r w:rsidR="00C10DB8" w:rsidRPr="007B2800">
        <w:rPr>
          <w:rFonts w:ascii="Times New Roman" w:hAnsi="Times New Roman" w:cs="Times New Roman"/>
          <w:lang w:val="en-GB"/>
        </w:rPr>
        <w:t xml:space="preserve"> </w:t>
      </w:r>
      <w:r w:rsidR="00205953" w:rsidRPr="007B2800">
        <w:rPr>
          <w:rFonts w:ascii="Times New Roman" w:hAnsi="Times New Roman" w:cs="Times New Roman"/>
          <w:lang w:val="en-GB"/>
        </w:rPr>
        <w:t xml:space="preserve">paper, </w:t>
      </w:r>
      <w:r w:rsidR="00A55537">
        <w:rPr>
          <w:rFonts w:ascii="Times New Roman" w:hAnsi="Times New Roman" w:cs="Times New Roman"/>
          <w:lang w:val="en-GB"/>
        </w:rPr>
        <w:t>“</w:t>
      </w:r>
      <w:r w:rsidR="00205953" w:rsidRPr="007B2800">
        <w:rPr>
          <w:rFonts w:ascii="Times New Roman" w:hAnsi="Times New Roman" w:cs="Times New Roman"/>
          <w:bCs/>
          <w:lang w:val="en-GB"/>
        </w:rPr>
        <w:t>The generality of anaphoric deflationism</w:t>
      </w:r>
      <w:r w:rsidR="00A55537">
        <w:rPr>
          <w:rFonts w:ascii="Times New Roman" w:hAnsi="Times New Roman" w:cs="Times New Roman"/>
          <w:lang w:val="en-GB"/>
        </w:rPr>
        <w:t>”</w:t>
      </w:r>
      <w:r w:rsidR="00997C6B">
        <w:rPr>
          <w:rFonts w:ascii="Times New Roman" w:hAnsi="Times New Roman" w:cs="Times New Roman"/>
          <w:lang w:val="en-GB"/>
        </w:rPr>
        <w:t xml:space="preserve"> (2019)</w:t>
      </w:r>
      <w:r w:rsidR="00D16EE9" w:rsidRPr="007B2800">
        <w:rPr>
          <w:rFonts w:ascii="Times New Roman" w:hAnsi="Times New Roman" w:cs="Times New Roman"/>
          <w:lang w:val="en-GB"/>
        </w:rPr>
        <w:t xml:space="preserve"> </w:t>
      </w:r>
      <w:r w:rsidR="004A1814" w:rsidRPr="007B2800">
        <w:rPr>
          <w:rFonts w:ascii="Times New Roman" w:hAnsi="Times New Roman" w:cs="Times New Roman"/>
          <w:lang w:val="en-GB"/>
        </w:rPr>
        <w:t xml:space="preserve">is devoted to criticizing </w:t>
      </w:r>
      <w:r w:rsidR="00394BD4">
        <w:rPr>
          <w:rFonts w:ascii="Times New Roman" w:hAnsi="Times New Roman" w:cs="Times New Roman"/>
          <w:lang w:val="en-GB"/>
        </w:rPr>
        <w:t>the</w:t>
      </w:r>
      <w:r w:rsidR="004A1814" w:rsidRPr="007B2800">
        <w:rPr>
          <w:rFonts w:ascii="Times New Roman" w:hAnsi="Times New Roman" w:cs="Times New Roman"/>
          <w:lang w:val="en-GB"/>
        </w:rPr>
        <w:t xml:space="preserve"> objections against the Prosentential Theory of </w:t>
      </w:r>
      <w:r w:rsidR="00A74C73">
        <w:rPr>
          <w:rFonts w:ascii="Times New Roman" w:hAnsi="Times New Roman" w:cs="Times New Roman"/>
          <w:lang w:val="en-GB"/>
        </w:rPr>
        <w:t>T</w:t>
      </w:r>
      <w:r w:rsidR="004A1814" w:rsidRPr="007B2800">
        <w:rPr>
          <w:rFonts w:ascii="Times New Roman" w:hAnsi="Times New Roman" w:cs="Times New Roman"/>
          <w:lang w:val="en-GB"/>
        </w:rPr>
        <w:t>ruth (PT)</w:t>
      </w:r>
      <w:r w:rsidR="00411EA3">
        <w:rPr>
          <w:rFonts w:ascii="Times New Roman" w:hAnsi="Times New Roman" w:cs="Times New Roman"/>
          <w:lang w:val="en-GB"/>
        </w:rPr>
        <w:t xml:space="preserve"> </w:t>
      </w:r>
      <w:r w:rsidR="00A74C73">
        <w:rPr>
          <w:rFonts w:ascii="Times New Roman" w:hAnsi="Times New Roman" w:cs="Times New Roman"/>
          <w:lang w:val="en-GB"/>
        </w:rPr>
        <w:t xml:space="preserve">that </w:t>
      </w:r>
      <w:r w:rsidR="00411EA3">
        <w:rPr>
          <w:rFonts w:ascii="Times New Roman" w:hAnsi="Times New Roman" w:cs="Times New Roman"/>
          <w:lang w:val="en-GB"/>
        </w:rPr>
        <w:t xml:space="preserve">I </w:t>
      </w:r>
      <w:r w:rsidR="00A74C73">
        <w:rPr>
          <w:rFonts w:ascii="Times New Roman" w:hAnsi="Times New Roman" w:cs="Times New Roman"/>
          <w:lang w:val="en-GB"/>
        </w:rPr>
        <w:t>raised</w:t>
      </w:r>
      <w:r w:rsidR="00411EA3">
        <w:rPr>
          <w:rFonts w:ascii="Times New Roman" w:hAnsi="Times New Roman" w:cs="Times New Roman"/>
          <w:lang w:val="en-GB"/>
        </w:rPr>
        <w:t xml:space="preserve"> i</w:t>
      </w:r>
      <w:r w:rsidR="00394BD4">
        <w:rPr>
          <w:rFonts w:ascii="Times New Roman" w:hAnsi="Times New Roman" w:cs="Times New Roman"/>
          <w:lang w:val="en-GB"/>
        </w:rPr>
        <w:t xml:space="preserve">n Båve </w:t>
      </w:r>
      <w:r w:rsidR="00394BD4" w:rsidRPr="007B2800">
        <w:rPr>
          <w:rFonts w:ascii="Times New Roman" w:hAnsi="Times New Roman" w:cs="Times New Roman"/>
          <w:lang w:val="en-GB"/>
        </w:rPr>
        <w:t>(2009a)</w:t>
      </w:r>
      <w:r w:rsidR="00205953" w:rsidRPr="007B2800">
        <w:rPr>
          <w:rFonts w:ascii="Times New Roman" w:hAnsi="Times New Roman" w:cs="Times New Roman"/>
          <w:lang w:val="en-GB"/>
        </w:rPr>
        <w:t xml:space="preserve">. </w:t>
      </w:r>
      <w:r w:rsidR="004A1814" w:rsidRPr="007B2800">
        <w:rPr>
          <w:rFonts w:ascii="Times New Roman" w:hAnsi="Times New Roman" w:cs="Times New Roman"/>
          <w:lang w:val="en-GB"/>
        </w:rPr>
        <w:t xml:space="preserve">I will here </w:t>
      </w:r>
      <w:r w:rsidR="00A74C73">
        <w:rPr>
          <w:rFonts w:ascii="Times New Roman" w:hAnsi="Times New Roman" w:cs="Times New Roman"/>
          <w:lang w:val="en-GB"/>
        </w:rPr>
        <w:t>try to sustain</w:t>
      </w:r>
      <w:r w:rsidR="004A1814" w:rsidRPr="007B2800">
        <w:rPr>
          <w:rFonts w:ascii="Times New Roman" w:hAnsi="Times New Roman" w:cs="Times New Roman"/>
          <w:lang w:val="en-GB"/>
        </w:rPr>
        <w:t xml:space="preserve"> </w:t>
      </w:r>
      <w:r w:rsidR="00EA5E83">
        <w:rPr>
          <w:rFonts w:ascii="Times New Roman" w:hAnsi="Times New Roman" w:cs="Times New Roman"/>
          <w:lang w:val="en-GB"/>
        </w:rPr>
        <w:t xml:space="preserve">my </w:t>
      </w:r>
      <w:r w:rsidR="004A1814" w:rsidRPr="007B2800">
        <w:rPr>
          <w:rFonts w:ascii="Times New Roman" w:hAnsi="Times New Roman" w:cs="Times New Roman"/>
          <w:lang w:val="en-GB"/>
        </w:rPr>
        <w:t xml:space="preserve">original criticisms, </w:t>
      </w:r>
      <w:r w:rsidR="00531373">
        <w:rPr>
          <w:rFonts w:ascii="Times New Roman" w:hAnsi="Times New Roman" w:cs="Times New Roman"/>
          <w:lang w:val="en-GB"/>
        </w:rPr>
        <w:t xml:space="preserve">but </w:t>
      </w:r>
      <w:r w:rsidR="00A74C73">
        <w:rPr>
          <w:rFonts w:ascii="Times New Roman" w:hAnsi="Times New Roman" w:cs="Times New Roman"/>
          <w:lang w:val="en-GB"/>
        </w:rPr>
        <w:t xml:space="preserve">sometimes </w:t>
      </w:r>
      <w:r w:rsidR="00876A86">
        <w:rPr>
          <w:rFonts w:ascii="Times New Roman" w:hAnsi="Times New Roman" w:cs="Times New Roman"/>
          <w:lang w:val="en-GB"/>
        </w:rPr>
        <w:t>through</w:t>
      </w:r>
      <w:r w:rsidR="00A74C73">
        <w:rPr>
          <w:rFonts w:ascii="Times New Roman" w:hAnsi="Times New Roman" w:cs="Times New Roman"/>
          <w:lang w:val="en-GB"/>
        </w:rPr>
        <w:t xml:space="preserve"> modif</w:t>
      </w:r>
      <w:r w:rsidR="00C13A34">
        <w:rPr>
          <w:rFonts w:ascii="Times New Roman" w:hAnsi="Times New Roman" w:cs="Times New Roman"/>
          <w:lang w:val="en-GB"/>
        </w:rPr>
        <w:t xml:space="preserve">ications </w:t>
      </w:r>
      <w:r w:rsidR="00E716D9" w:rsidRPr="007B2800">
        <w:rPr>
          <w:rFonts w:ascii="Times New Roman" w:hAnsi="Times New Roman" w:cs="Times New Roman"/>
          <w:lang w:val="en-GB"/>
        </w:rPr>
        <w:t>motiva</w:t>
      </w:r>
      <w:r w:rsidR="007F1C7E" w:rsidRPr="007B2800">
        <w:rPr>
          <w:rFonts w:ascii="Times New Roman" w:hAnsi="Times New Roman" w:cs="Times New Roman"/>
          <w:lang w:val="en-GB"/>
        </w:rPr>
        <w:t>ted</w:t>
      </w:r>
      <w:r w:rsidR="004A1814" w:rsidRPr="007B2800">
        <w:rPr>
          <w:rFonts w:ascii="Times New Roman" w:hAnsi="Times New Roman" w:cs="Times New Roman"/>
          <w:lang w:val="en-GB"/>
        </w:rPr>
        <w:t xml:space="preserve"> by </w:t>
      </w:r>
      <w:proofErr w:type="spellStart"/>
      <w:r w:rsidR="004A1814" w:rsidRPr="007B2800">
        <w:rPr>
          <w:rFonts w:ascii="Times New Roman" w:hAnsi="Times New Roman" w:cs="Times New Roman"/>
          <w:lang w:val="en-GB"/>
        </w:rPr>
        <w:t>Salis’s</w:t>
      </w:r>
      <w:proofErr w:type="spellEnd"/>
      <w:r w:rsidR="004A1814" w:rsidRPr="007B2800">
        <w:rPr>
          <w:rFonts w:ascii="Times New Roman" w:hAnsi="Times New Roman" w:cs="Times New Roman"/>
          <w:lang w:val="en-GB"/>
        </w:rPr>
        <w:t xml:space="preserve"> </w:t>
      </w:r>
      <w:r w:rsidR="007F7836" w:rsidRPr="007B2800">
        <w:rPr>
          <w:rFonts w:ascii="Times New Roman" w:hAnsi="Times New Roman" w:cs="Times New Roman"/>
          <w:lang w:val="en-GB"/>
        </w:rPr>
        <w:t>criticisms</w:t>
      </w:r>
      <w:r w:rsidR="004A1814" w:rsidRPr="007B2800">
        <w:rPr>
          <w:rFonts w:ascii="Times New Roman" w:hAnsi="Times New Roman" w:cs="Times New Roman"/>
          <w:lang w:val="en-GB"/>
        </w:rPr>
        <w:t>.</w:t>
      </w:r>
    </w:p>
    <w:p w14:paraId="3D8477E7" w14:textId="0511142B" w:rsidR="00F8281B" w:rsidRDefault="001C60A4" w:rsidP="00954606">
      <w:pPr>
        <w:spacing w:line="480" w:lineRule="auto"/>
        <w:jc w:val="both"/>
        <w:rPr>
          <w:rFonts w:ascii="Times New Roman" w:hAnsi="Times New Roman" w:cs="Times New Roman"/>
          <w:lang w:val="en-GB"/>
        </w:rPr>
      </w:pPr>
      <w:r>
        <w:rPr>
          <w:rFonts w:ascii="Times New Roman" w:hAnsi="Times New Roman" w:cs="Times New Roman"/>
          <w:lang w:val="en-GB"/>
        </w:rPr>
        <w:tab/>
        <w:t xml:space="preserve">The </w:t>
      </w:r>
      <w:r w:rsidR="00DB6895">
        <w:rPr>
          <w:rFonts w:ascii="Times New Roman" w:hAnsi="Times New Roman" w:cs="Times New Roman"/>
          <w:lang w:val="en-GB"/>
        </w:rPr>
        <w:t>original</w:t>
      </w:r>
      <w:r>
        <w:rPr>
          <w:rFonts w:ascii="Times New Roman" w:hAnsi="Times New Roman" w:cs="Times New Roman"/>
          <w:lang w:val="en-GB"/>
        </w:rPr>
        <w:t xml:space="preserve"> prosententialists</w:t>
      </w:r>
      <w:r w:rsidR="00DB6895">
        <w:rPr>
          <w:rFonts w:ascii="Times New Roman" w:hAnsi="Times New Roman" w:cs="Times New Roman"/>
          <w:lang w:val="en-GB"/>
        </w:rPr>
        <w:t xml:space="preserve"> </w:t>
      </w:r>
      <w:r w:rsidR="00FE4595">
        <w:rPr>
          <w:rFonts w:ascii="Times New Roman" w:hAnsi="Times New Roman" w:cs="Times New Roman"/>
          <w:lang w:val="en-GB"/>
        </w:rPr>
        <w:t>were</w:t>
      </w:r>
      <w:r>
        <w:rPr>
          <w:rFonts w:ascii="Times New Roman" w:hAnsi="Times New Roman" w:cs="Times New Roman"/>
          <w:lang w:val="en-GB"/>
        </w:rPr>
        <w:t xml:space="preserve"> </w:t>
      </w:r>
      <w:r w:rsidR="00DB6895">
        <w:rPr>
          <w:rFonts w:ascii="Times New Roman" w:hAnsi="Times New Roman" w:cs="Times New Roman"/>
          <w:lang w:val="en-GB"/>
        </w:rPr>
        <w:t>Dorothy Grover, Joseph Camp</w:t>
      </w:r>
      <w:r w:rsidR="00F46A6B">
        <w:rPr>
          <w:rFonts w:ascii="Times New Roman" w:hAnsi="Times New Roman" w:cs="Times New Roman"/>
          <w:lang w:val="en-GB"/>
        </w:rPr>
        <w:t xml:space="preserve">, and </w:t>
      </w:r>
      <w:proofErr w:type="spellStart"/>
      <w:r w:rsidR="00F46A6B">
        <w:rPr>
          <w:rFonts w:ascii="Times New Roman" w:hAnsi="Times New Roman" w:cs="Times New Roman"/>
          <w:lang w:val="en-GB"/>
        </w:rPr>
        <w:t>Nuel</w:t>
      </w:r>
      <w:proofErr w:type="spellEnd"/>
      <w:r w:rsidR="00F46A6B">
        <w:rPr>
          <w:rFonts w:ascii="Times New Roman" w:hAnsi="Times New Roman" w:cs="Times New Roman"/>
          <w:lang w:val="en-GB"/>
        </w:rPr>
        <w:t xml:space="preserve"> </w:t>
      </w:r>
      <w:proofErr w:type="spellStart"/>
      <w:r w:rsidR="00F46A6B">
        <w:rPr>
          <w:rFonts w:ascii="Times New Roman" w:hAnsi="Times New Roman" w:cs="Times New Roman"/>
          <w:lang w:val="en-GB"/>
        </w:rPr>
        <w:t>Belnap</w:t>
      </w:r>
      <w:proofErr w:type="spellEnd"/>
      <w:r w:rsidR="00F46A6B">
        <w:rPr>
          <w:rFonts w:ascii="Times New Roman" w:hAnsi="Times New Roman" w:cs="Times New Roman"/>
          <w:lang w:val="en-GB"/>
        </w:rPr>
        <w:t xml:space="preserve"> </w:t>
      </w:r>
      <w:r w:rsidR="00A501DE">
        <w:rPr>
          <w:rFonts w:ascii="Times New Roman" w:hAnsi="Times New Roman" w:cs="Times New Roman"/>
          <w:lang w:val="en-GB"/>
        </w:rPr>
        <w:t>(1975)</w:t>
      </w:r>
      <w:r w:rsidR="00DB6895">
        <w:rPr>
          <w:rFonts w:ascii="Times New Roman" w:hAnsi="Times New Roman" w:cs="Times New Roman"/>
          <w:lang w:val="en-GB"/>
        </w:rPr>
        <w:t>, but their theory was substantially developed by Robert Brandom</w:t>
      </w:r>
      <w:r w:rsidR="00023D86">
        <w:rPr>
          <w:rFonts w:ascii="Times New Roman" w:hAnsi="Times New Roman" w:cs="Times New Roman"/>
          <w:lang w:val="en-GB"/>
        </w:rPr>
        <w:t xml:space="preserve"> two decades later (1994</w:t>
      </w:r>
      <w:r w:rsidR="00531373">
        <w:rPr>
          <w:rFonts w:ascii="Times New Roman" w:hAnsi="Times New Roman" w:cs="Times New Roman"/>
          <w:lang w:val="en-GB"/>
        </w:rPr>
        <w:t>: § 5.III</w:t>
      </w:r>
      <w:r w:rsidR="00023D86">
        <w:rPr>
          <w:rFonts w:ascii="Times New Roman" w:hAnsi="Times New Roman" w:cs="Times New Roman"/>
          <w:lang w:val="en-GB"/>
        </w:rPr>
        <w:t>)</w:t>
      </w:r>
      <w:r w:rsidR="00DB6895">
        <w:rPr>
          <w:rFonts w:ascii="Times New Roman" w:hAnsi="Times New Roman" w:cs="Times New Roman"/>
          <w:lang w:val="en-GB"/>
        </w:rPr>
        <w:t>.</w:t>
      </w:r>
      <w:r w:rsidR="00FE4595">
        <w:rPr>
          <w:rFonts w:ascii="Times New Roman" w:hAnsi="Times New Roman" w:cs="Times New Roman"/>
          <w:lang w:val="en-GB"/>
        </w:rPr>
        <w:t xml:space="preserve"> </w:t>
      </w:r>
      <w:r w:rsidR="00724FC4">
        <w:rPr>
          <w:rFonts w:ascii="Times New Roman" w:hAnsi="Times New Roman" w:cs="Times New Roman"/>
          <w:lang w:val="en-GB"/>
        </w:rPr>
        <w:t xml:space="preserve">A common thread (among many differences) is that the word ‘true’ is taken to function in a way similar to anaphoric expressions like </w:t>
      </w:r>
      <w:proofErr w:type="gramStart"/>
      <w:r w:rsidR="00724FC4">
        <w:rPr>
          <w:rFonts w:ascii="Times New Roman" w:hAnsi="Times New Roman" w:cs="Times New Roman"/>
          <w:lang w:val="en-GB"/>
        </w:rPr>
        <w:t>pronouns</w:t>
      </w:r>
      <w:proofErr w:type="gramEnd"/>
      <w:r w:rsidR="00724FC4">
        <w:rPr>
          <w:rFonts w:ascii="Times New Roman" w:hAnsi="Times New Roman" w:cs="Times New Roman"/>
          <w:lang w:val="en-GB"/>
        </w:rPr>
        <w:t>. For instance, the sentence, ‘That’s true!</w:t>
      </w:r>
      <w:proofErr w:type="gramStart"/>
      <w:r w:rsidR="00724FC4">
        <w:rPr>
          <w:rFonts w:ascii="Times New Roman" w:hAnsi="Times New Roman" w:cs="Times New Roman"/>
          <w:lang w:val="en-GB"/>
        </w:rPr>
        <w:t>’,</w:t>
      </w:r>
      <w:proofErr w:type="gramEnd"/>
      <w:r w:rsidR="00724FC4">
        <w:rPr>
          <w:rFonts w:ascii="Times New Roman" w:hAnsi="Times New Roman" w:cs="Times New Roman"/>
          <w:lang w:val="en-GB"/>
        </w:rPr>
        <w:t xml:space="preserve"> as uttered in response to some </w:t>
      </w:r>
      <w:r w:rsidR="00531373">
        <w:rPr>
          <w:rFonts w:ascii="Times New Roman" w:hAnsi="Times New Roman" w:cs="Times New Roman"/>
          <w:lang w:val="en-GB"/>
        </w:rPr>
        <w:t>utterance</w:t>
      </w:r>
      <w:r w:rsidR="00724FC4">
        <w:rPr>
          <w:rFonts w:ascii="Times New Roman" w:hAnsi="Times New Roman" w:cs="Times New Roman"/>
          <w:lang w:val="en-GB"/>
        </w:rPr>
        <w:t>, is taken to have th</w:t>
      </w:r>
      <w:r w:rsidR="00531373">
        <w:rPr>
          <w:rFonts w:ascii="Times New Roman" w:hAnsi="Times New Roman" w:cs="Times New Roman"/>
          <w:lang w:val="en-GB"/>
        </w:rPr>
        <w:t xml:space="preserve">e sentence token uttered </w:t>
      </w:r>
      <w:r w:rsidR="00724FC4">
        <w:rPr>
          <w:rFonts w:ascii="Times New Roman" w:hAnsi="Times New Roman" w:cs="Times New Roman"/>
          <w:lang w:val="en-GB"/>
        </w:rPr>
        <w:t>as its anaphoric antecedent, just as ‘Mary’ is the antecedent of ‘she’ in ‘If Mary is ab</w:t>
      </w:r>
      <w:r w:rsidR="00957659">
        <w:rPr>
          <w:rFonts w:ascii="Times New Roman" w:hAnsi="Times New Roman" w:cs="Times New Roman"/>
          <w:lang w:val="en-GB"/>
        </w:rPr>
        <w:t>sent, then she is probably sick</w:t>
      </w:r>
      <w:r w:rsidR="00724FC4">
        <w:rPr>
          <w:rFonts w:ascii="Times New Roman" w:hAnsi="Times New Roman" w:cs="Times New Roman"/>
          <w:lang w:val="en-GB"/>
        </w:rPr>
        <w:t>’.</w:t>
      </w:r>
      <w:r w:rsidR="005370F2">
        <w:rPr>
          <w:rFonts w:ascii="Times New Roman" w:hAnsi="Times New Roman" w:cs="Times New Roman"/>
          <w:lang w:val="en-GB"/>
        </w:rPr>
        <w:t xml:space="preserve"> </w:t>
      </w:r>
    </w:p>
    <w:p w14:paraId="3C991D7D" w14:textId="12E86D69" w:rsidR="002B585A" w:rsidRDefault="00F8281B" w:rsidP="00954606">
      <w:pPr>
        <w:spacing w:line="480" w:lineRule="auto"/>
        <w:jc w:val="both"/>
        <w:rPr>
          <w:rFonts w:ascii="Times New Roman" w:hAnsi="Times New Roman" w:cs="Times New Roman"/>
          <w:lang w:val="en-GB"/>
        </w:rPr>
      </w:pPr>
      <w:r>
        <w:rPr>
          <w:rFonts w:ascii="Times New Roman" w:hAnsi="Times New Roman" w:cs="Times New Roman"/>
          <w:lang w:val="en-GB"/>
        </w:rPr>
        <w:tab/>
      </w:r>
      <w:r w:rsidR="0056797E">
        <w:rPr>
          <w:rFonts w:ascii="Times New Roman" w:hAnsi="Times New Roman" w:cs="Times New Roman"/>
          <w:lang w:val="en-GB"/>
        </w:rPr>
        <w:t>My original</w:t>
      </w:r>
      <w:r w:rsidR="005370F2">
        <w:rPr>
          <w:rFonts w:ascii="Times New Roman" w:hAnsi="Times New Roman" w:cs="Times New Roman"/>
          <w:lang w:val="en-GB"/>
        </w:rPr>
        <w:t xml:space="preserve"> </w:t>
      </w:r>
      <w:r w:rsidR="008F7D29">
        <w:rPr>
          <w:rFonts w:ascii="Times New Roman" w:hAnsi="Times New Roman" w:cs="Times New Roman"/>
          <w:lang w:val="en-GB"/>
        </w:rPr>
        <w:t>case</w:t>
      </w:r>
      <w:r w:rsidR="005370F2">
        <w:rPr>
          <w:rFonts w:ascii="Times New Roman" w:hAnsi="Times New Roman" w:cs="Times New Roman"/>
          <w:lang w:val="en-GB"/>
        </w:rPr>
        <w:t xml:space="preserve"> against (PT) </w:t>
      </w:r>
      <w:r w:rsidR="00D6751F">
        <w:rPr>
          <w:rFonts w:ascii="Times New Roman" w:hAnsi="Times New Roman" w:cs="Times New Roman"/>
          <w:lang w:val="en-GB"/>
        </w:rPr>
        <w:t>consisted</w:t>
      </w:r>
      <w:r w:rsidR="008F7D29">
        <w:rPr>
          <w:rFonts w:ascii="Times New Roman" w:hAnsi="Times New Roman" w:cs="Times New Roman"/>
          <w:lang w:val="en-GB"/>
        </w:rPr>
        <w:t xml:space="preserve"> of “Material Criticisms” and “Principal Criticisms” (</w:t>
      </w:r>
      <w:r w:rsidR="007B39D8">
        <w:rPr>
          <w:rFonts w:ascii="Times New Roman" w:hAnsi="Times New Roman" w:cs="Times New Roman"/>
          <w:lang w:val="en-GB"/>
        </w:rPr>
        <w:t xml:space="preserve">2009a: §II and </w:t>
      </w:r>
      <w:r w:rsidR="008F7D29">
        <w:rPr>
          <w:rFonts w:ascii="Times New Roman" w:hAnsi="Times New Roman" w:cs="Times New Roman"/>
          <w:lang w:val="en-GB"/>
        </w:rPr>
        <w:t>§III</w:t>
      </w:r>
      <w:r w:rsidR="007B39D8">
        <w:rPr>
          <w:rFonts w:ascii="Times New Roman" w:hAnsi="Times New Roman" w:cs="Times New Roman"/>
          <w:lang w:val="en-GB"/>
        </w:rPr>
        <w:t>, respectively</w:t>
      </w:r>
      <w:r w:rsidR="008F7D29">
        <w:rPr>
          <w:rFonts w:ascii="Times New Roman" w:hAnsi="Times New Roman" w:cs="Times New Roman"/>
          <w:lang w:val="en-GB"/>
        </w:rPr>
        <w:t>).</w:t>
      </w:r>
      <w:r w:rsidR="008B1D99">
        <w:rPr>
          <w:rFonts w:ascii="Times New Roman" w:hAnsi="Times New Roman" w:cs="Times New Roman"/>
          <w:lang w:val="en-GB"/>
        </w:rPr>
        <w:t xml:space="preserve"> The </w:t>
      </w:r>
      <w:r w:rsidR="00A36BCC">
        <w:rPr>
          <w:rFonts w:ascii="Times New Roman" w:hAnsi="Times New Roman" w:cs="Times New Roman"/>
          <w:lang w:val="en-GB"/>
        </w:rPr>
        <w:t xml:space="preserve">“Material Criticisms” were </w:t>
      </w:r>
      <w:r w:rsidR="0000456B">
        <w:rPr>
          <w:rFonts w:ascii="Times New Roman" w:hAnsi="Times New Roman" w:cs="Times New Roman"/>
          <w:lang w:val="en-GB"/>
        </w:rPr>
        <w:t xml:space="preserve">arguments to the effect that ‘true’ does </w:t>
      </w:r>
      <w:r w:rsidR="0000456B" w:rsidRPr="003B6853">
        <w:rPr>
          <w:rFonts w:ascii="Times New Roman" w:hAnsi="Times New Roman" w:cs="Times New Roman"/>
          <w:lang w:val="en-GB"/>
        </w:rPr>
        <w:t>not</w:t>
      </w:r>
      <w:r w:rsidR="0000456B">
        <w:rPr>
          <w:rFonts w:ascii="Times New Roman" w:hAnsi="Times New Roman" w:cs="Times New Roman"/>
          <w:lang w:val="en-GB"/>
        </w:rPr>
        <w:t xml:space="preserve"> work like paradigmatic </w:t>
      </w:r>
      <w:r w:rsidR="00490228">
        <w:rPr>
          <w:rFonts w:ascii="Times New Roman" w:hAnsi="Times New Roman" w:cs="Times New Roman"/>
          <w:lang w:val="en-GB"/>
        </w:rPr>
        <w:t xml:space="preserve">anaphoric expressions (like pronouns), neither in the way prosententialists allege, nor any other way. The </w:t>
      </w:r>
      <w:r w:rsidR="00A36BCC">
        <w:rPr>
          <w:rFonts w:ascii="Times New Roman" w:hAnsi="Times New Roman" w:cs="Times New Roman"/>
          <w:lang w:val="en-GB"/>
        </w:rPr>
        <w:t>main “Principal C</w:t>
      </w:r>
      <w:r w:rsidR="00490228">
        <w:rPr>
          <w:rFonts w:ascii="Times New Roman" w:hAnsi="Times New Roman" w:cs="Times New Roman"/>
          <w:lang w:val="en-GB"/>
        </w:rPr>
        <w:t>riticism</w:t>
      </w:r>
      <w:r w:rsidR="00A36BCC">
        <w:rPr>
          <w:rFonts w:ascii="Times New Roman" w:hAnsi="Times New Roman" w:cs="Times New Roman"/>
          <w:lang w:val="en-GB"/>
        </w:rPr>
        <w:t>”</w:t>
      </w:r>
      <w:r w:rsidR="00490228">
        <w:rPr>
          <w:rFonts w:ascii="Times New Roman" w:hAnsi="Times New Roman" w:cs="Times New Roman"/>
          <w:lang w:val="en-GB"/>
        </w:rPr>
        <w:t xml:space="preserve"> </w:t>
      </w:r>
      <w:r w:rsidR="00A36BCC">
        <w:rPr>
          <w:rFonts w:ascii="Times New Roman" w:hAnsi="Times New Roman" w:cs="Times New Roman"/>
          <w:lang w:val="en-GB"/>
        </w:rPr>
        <w:t>wa</w:t>
      </w:r>
      <w:r w:rsidR="00490228">
        <w:rPr>
          <w:rFonts w:ascii="Times New Roman" w:hAnsi="Times New Roman" w:cs="Times New Roman"/>
          <w:lang w:val="en-GB"/>
        </w:rPr>
        <w:t xml:space="preserve">s that </w:t>
      </w:r>
      <w:r w:rsidR="005370F2" w:rsidRPr="00741E94">
        <w:rPr>
          <w:rFonts w:ascii="Times New Roman" w:hAnsi="Times New Roman" w:cs="Times New Roman"/>
          <w:i/>
          <w:lang w:val="en-GB"/>
        </w:rPr>
        <w:t>even if</w:t>
      </w:r>
      <w:r w:rsidR="005370F2">
        <w:rPr>
          <w:rFonts w:ascii="Times New Roman" w:hAnsi="Times New Roman" w:cs="Times New Roman"/>
          <w:lang w:val="en-GB"/>
        </w:rPr>
        <w:t xml:space="preserve"> ‘true’ </w:t>
      </w:r>
      <w:r w:rsidR="00301BD4">
        <w:rPr>
          <w:rFonts w:ascii="Times New Roman" w:hAnsi="Times New Roman" w:cs="Times New Roman"/>
          <w:lang w:val="en-GB"/>
        </w:rPr>
        <w:t xml:space="preserve">were similar to </w:t>
      </w:r>
      <w:r w:rsidR="005370F2">
        <w:rPr>
          <w:rFonts w:ascii="Times New Roman" w:hAnsi="Times New Roman" w:cs="Times New Roman"/>
          <w:lang w:val="en-GB"/>
        </w:rPr>
        <w:t>paradigmatic anaphoric expressions like pronouns</w:t>
      </w:r>
      <w:r w:rsidR="003B6853">
        <w:rPr>
          <w:rFonts w:ascii="Times New Roman" w:hAnsi="Times New Roman" w:cs="Times New Roman"/>
          <w:lang w:val="en-GB"/>
        </w:rPr>
        <w:t xml:space="preserve"> (</w:t>
      </w:r>
      <w:r w:rsidR="0028519E">
        <w:rPr>
          <w:rFonts w:ascii="Times New Roman" w:hAnsi="Times New Roman" w:cs="Times New Roman"/>
          <w:lang w:val="en-GB"/>
        </w:rPr>
        <w:t>in which case</w:t>
      </w:r>
      <w:r w:rsidR="003B6853">
        <w:rPr>
          <w:rFonts w:ascii="Times New Roman" w:hAnsi="Times New Roman" w:cs="Times New Roman"/>
          <w:lang w:val="en-GB"/>
        </w:rPr>
        <w:t xml:space="preserve"> the “</w:t>
      </w:r>
      <w:r w:rsidR="0028519E">
        <w:rPr>
          <w:rFonts w:ascii="Times New Roman" w:hAnsi="Times New Roman" w:cs="Times New Roman"/>
          <w:lang w:val="en-GB"/>
        </w:rPr>
        <w:t>M</w:t>
      </w:r>
      <w:r w:rsidR="003B6853">
        <w:rPr>
          <w:rFonts w:ascii="Times New Roman" w:hAnsi="Times New Roman" w:cs="Times New Roman"/>
          <w:lang w:val="en-GB"/>
        </w:rPr>
        <w:t xml:space="preserve">aterial </w:t>
      </w:r>
      <w:r w:rsidR="0028519E">
        <w:rPr>
          <w:rFonts w:ascii="Times New Roman" w:hAnsi="Times New Roman" w:cs="Times New Roman"/>
          <w:lang w:val="en-GB"/>
        </w:rPr>
        <w:t>C</w:t>
      </w:r>
      <w:r w:rsidR="003B6853">
        <w:rPr>
          <w:rFonts w:ascii="Times New Roman" w:hAnsi="Times New Roman" w:cs="Times New Roman"/>
          <w:lang w:val="en-GB"/>
        </w:rPr>
        <w:t>riticisms” would not apply)</w:t>
      </w:r>
      <w:r w:rsidR="005370F2">
        <w:rPr>
          <w:rFonts w:ascii="Times New Roman" w:hAnsi="Times New Roman" w:cs="Times New Roman"/>
          <w:lang w:val="en-GB"/>
        </w:rPr>
        <w:t xml:space="preserve">, saying so </w:t>
      </w:r>
      <w:r w:rsidR="00C97F13">
        <w:rPr>
          <w:rFonts w:ascii="Times New Roman" w:hAnsi="Times New Roman" w:cs="Times New Roman"/>
          <w:lang w:val="en-GB"/>
        </w:rPr>
        <w:t>would</w:t>
      </w:r>
      <w:r w:rsidR="00D6751F">
        <w:rPr>
          <w:rFonts w:ascii="Times New Roman" w:hAnsi="Times New Roman" w:cs="Times New Roman"/>
          <w:lang w:val="en-GB"/>
        </w:rPr>
        <w:t xml:space="preserve"> merely</w:t>
      </w:r>
      <w:r w:rsidR="00C97F13">
        <w:rPr>
          <w:rFonts w:ascii="Times New Roman" w:hAnsi="Times New Roman" w:cs="Times New Roman"/>
          <w:lang w:val="en-GB"/>
        </w:rPr>
        <w:t xml:space="preserve"> be</w:t>
      </w:r>
      <w:r w:rsidR="005370F2">
        <w:rPr>
          <w:rFonts w:ascii="Times New Roman" w:hAnsi="Times New Roman" w:cs="Times New Roman"/>
          <w:lang w:val="en-GB"/>
        </w:rPr>
        <w:t xml:space="preserve"> an “idle analogy” with no </w:t>
      </w:r>
      <w:r w:rsidR="005370F2">
        <w:rPr>
          <w:rFonts w:ascii="Times New Roman" w:hAnsi="Times New Roman" w:cs="Times New Roman"/>
          <w:lang w:val="en-GB"/>
        </w:rPr>
        <w:lastRenderedPageBreak/>
        <w:t xml:space="preserve">explanatory power. </w:t>
      </w:r>
      <w:r w:rsidR="00E1424C">
        <w:rPr>
          <w:rFonts w:ascii="Times New Roman" w:hAnsi="Times New Roman" w:cs="Times New Roman"/>
          <w:lang w:val="en-GB"/>
        </w:rPr>
        <w:t>Rather, g</w:t>
      </w:r>
      <w:r w:rsidR="005370F2">
        <w:rPr>
          <w:rFonts w:ascii="Times New Roman" w:hAnsi="Times New Roman" w:cs="Times New Roman"/>
          <w:lang w:val="en-GB"/>
        </w:rPr>
        <w:t xml:space="preserve">iven an account of the functioning of anaphoric expressions, one would be able to </w:t>
      </w:r>
      <w:r w:rsidR="005370F2" w:rsidRPr="00595C3A">
        <w:rPr>
          <w:rFonts w:ascii="Times New Roman" w:hAnsi="Times New Roman" w:cs="Times New Roman"/>
          <w:i/>
          <w:lang w:val="en-GB"/>
        </w:rPr>
        <w:t>derive</w:t>
      </w:r>
      <w:r w:rsidR="005370F2">
        <w:rPr>
          <w:rFonts w:ascii="Times New Roman" w:hAnsi="Times New Roman" w:cs="Times New Roman"/>
          <w:lang w:val="en-GB"/>
        </w:rPr>
        <w:t xml:space="preserve"> from (PT) a theory of the functioning of ‘true’ lacking any notions of “anaphor”, “antecedent”, etc. </w:t>
      </w:r>
      <w:r w:rsidR="00595C3A">
        <w:rPr>
          <w:rFonts w:ascii="Times New Roman" w:hAnsi="Times New Roman" w:cs="Times New Roman"/>
          <w:lang w:val="en-GB"/>
        </w:rPr>
        <w:t>I</w:t>
      </w:r>
      <w:r w:rsidR="008D0793">
        <w:rPr>
          <w:rFonts w:ascii="Times New Roman" w:hAnsi="Times New Roman" w:cs="Times New Roman"/>
          <w:lang w:val="en-GB"/>
        </w:rPr>
        <w:t xml:space="preserve"> took this to show that there is nothing “essentially proformal” about ‘true’. </w:t>
      </w:r>
    </w:p>
    <w:p w14:paraId="3E2992B0" w14:textId="4028B5E4" w:rsidR="001C60A4" w:rsidRPr="007B2800" w:rsidRDefault="003F197F" w:rsidP="002B585A">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I will not describe all of the specific </w:t>
      </w:r>
      <w:r w:rsidR="00961B00">
        <w:rPr>
          <w:rFonts w:ascii="Times New Roman" w:hAnsi="Times New Roman" w:cs="Times New Roman"/>
          <w:lang w:val="en-GB"/>
        </w:rPr>
        <w:t xml:space="preserve">claims about particular </w:t>
      </w:r>
      <w:r w:rsidR="006E197E">
        <w:rPr>
          <w:rFonts w:ascii="Times New Roman" w:hAnsi="Times New Roman" w:cs="Times New Roman"/>
          <w:lang w:val="en-GB"/>
        </w:rPr>
        <w:t>constructions</w:t>
      </w:r>
      <w:r w:rsidR="00961B00">
        <w:rPr>
          <w:rFonts w:ascii="Times New Roman" w:hAnsi="Times New Roman" w:cs="Times New Roman"/>
          <w:lang w:val="en-GB"/>
        </w:rPr>
        <w:t xml:space="preserve"> made by the prosententialists </w:t>
      </w:r>
      <w:r w:rsidR="00C7431A">
        <w:rPr>
          <w:rFonts w:ascii="Times New Roman" w:hAnsi="Times New Roman" w:cs="Times New Roman"/>
          <w:lang w:val="en-GB"/>
        </w:rPr>
        <w:t xml:space="preserve">that I discussed in the original paper, </w:t>
      </w:r>
      <w:r>
        <w:rPr>
          <w:rFonts w:ascii="Times New Roman" w:hAnsi="Times New Roman" w:cs="Times New Roman"/>
          <w:lang w:val="en-GB"/>
        </w:rPr>
        <w:t xml:space="preserve">but </w:t>
      </w:r>
      <w:r w:rsidR="00F3476A">
        <w:rPr>
          <w:rFonts w:ascii="Times New Roman" w:hAnsi="Times New Roman" w:cs="Times New Roman"/>
          <w:lang w:val="en-GB"/>
        </w:rPr>
        <w:t xml:space="preserve">only those discussed by </w:t>
      </w:r>
      <w:r>
        <w:rPr>
          <w:rFonts w:ascii="Times New Roman" w:hAnsi="Times New Roman" w:cs="Times New Roman"/>
          <w:lang w:val="en-GB"/>
        </w:rPr>
        <w:t>Salis</w:t>
      </w:r>
      <w:r w:rsidR="006E197E">
        <w:rPr>
          <w:rFonts w:ascii="Times New Roman" w:hAnsi="Times New Roman" w:cs="Times New Roman"/>
          <w:lang w:val="en-GB"/>
        </w:rPr>
        <w:t xml:space="preserve">, and I </w:t>
      </w:r>
      <w:r w:rsidR="00F3476A">
        <w:rPr>
          <w:rFonts w:ascii="Times New Roman" w:hAnsi="Times New Roman" w:cs="Times New Roman"/>
          <w:lang w:val="en-GB"/>
        </w:rPr>
        <w:t xml:space="preserve">will do so </w:t>
      </w:r>
      <w:r w:rsidR="006E197E">
        <w:rPr>
          <w:rFonts w:ascii="Times New Roman" w:hAnsi="Times New Roman" w:cs="Times New Roman"/>
          <w:lang w:val="en-GB"/>
        </w:rPr>
        <w:t xml:space="preserve">consecutively and with my own comments and replies </w:t>
      </w:r>
      <w:r w:rsidR="002A7AAF">
        <w:rPr>
          <w:rFonts w:ascii="Times New Roman" w:hAnsi="Times New Roman" w:cs="Times New Roman"/>
          <w:lang w:val="en-GB"/>
        </w:rPr>
        <w:t>interspersed</w:t>
      </w:r>
      <w:r w:rsidR="00902F8B">
        <w:rPr>
          <w:rFonts w:ascii="Times New Roman" w:hAnsi="Times New Roman" w:cs="Times New Roman"/>
          <w:lang w:val="en-GB"/>
        </w:rPr>
        <w:t xml:space="preserve"> as we </w:t>
      </w:r>
      <w:r w:rsidR="00C1655A">
        <w:rPr>
          <w:rFonts w:ascii="Times New Roman" w:hAnsi="Times New Roman" w:cs="Times New Roman"/>
          <w:lang w:val="en-GB"/>
        </w:rPr>
        <w:t>march</w:t>
      </w:r>
      <w:r w:rsidR="00902F8B">
        <w:rPr>
          <w:rFonts w:ascii="Times New Roman" w:hAnsi="Times New Roman" w:cs="Times New Roman"/>
          <w:lang w:val="en-GB"/>
        </w:rPr>
        <w:t xml:space="preserve"> along</w:t>
      </w:r>
      <w:r w:rsidR="002A7AAF">
        <w:rPr>
          <w:rFonts w:ascii="Times New Roman" w:hAnsi="Times New Roman" w:cs="Times New Roman"/>
          <w:lang w:val="en-GB"/>
        </w:rPr>
        <w:t>.</w:t>
      </w:r>
    </w:p>
    <w:p w14:paraId="7F706691" w14:textId="7EA51074" w:rsidR="0093559B" w:rsidRPr="007B2800" w:rsidRDefault="0093559B" w:rsidP="00205953">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Salis</w:t>
      </w:r>
      <w:r w:rsidR="009F55BE" w:rsidRPr="007B2800">
        <w:rPr>
          <w:rFonts w:ascii="Times New Roman" w:hAnsi="Times New Roman" w:cs="Times New Roman"/>
          <w:lang w:val="en-GB"/>
        </w:rPr>
        <w:t xml:space="preserve"> first</w:t>
      </w:r>
      <w:r w:rsidRPr="007B2800">
        <w:rPr>
          <w:rFonts w:ascii="Times New Roman" w:hAnsi="Times New Roman" w:cs="Times New Roman"/>
          <w:lang w:val="en-GB"/>
        </w:rPr>
        <w:t xml:space="preserve"> takes issues with </w:t>
      </w:r>
      <w:r w:rsidR="00C4329A">
        <w:rPr>
          <w:rFonts w:ascii="Times New Roman" w:hAnsi="Times New Roman" w:cs="Times New Roman"/>
          <w:lang w:val="en-GB"/>
        </w:rPr>
        <w:t>my</w:t>
      </w:r>
      <w:r w:rsidRPr="007B2800">
        <w:rPr>
          <w:rFonts w:ascii="Times New Roman" w:hAnsi="Times New Roman" w:cs="Times New Roman"/>
          <w:lang w:val="en-GB"/>
        </w:rPr>
        <w:t xml:space="preserve"> </w:t>
      </w:r>
      <w:r w:rsidR="00C4329A">
        <w:rPr>
          <w:rFonts w:ascii="Times New Roman" w:hAnsi="Times New Roman" w:cs="Times New Roman"/>
          <w:lang w:val="en-GB"/>
        </w:rPr>
        <w:t>objections against</w:t>
      </w:r>
      <w:r w:rsidRPr="007B2800">
        <w:rPr>
          <w:rFonts w:ascii="Times New Roman" w:hAnsi="Times New Roman" w:cs="Times New Roman"/>
          <w:lang w:val="en-GB"/>
        </w:rPr>
        <w:t xml:space="preserve"> Brandom’s treatment of </w:t>
      </w:r>
      <w:r w:rsidR="00710CED" w:rsidRPr="007B2800">
        <w:rPr>
          <w:rFonts w:ascii="Times New Roman" w:hAnsi="Times New Roman" w:cs="Times New Roman"/>
          <w:lang w:val="en-GB"/>
        </w:rPr>
        <w:t>sentences like,</w:t>
      </w:r>
      <w:r w:rsidR="00E24DF0" w:rsidRPr="007B2800">
        <w:rPr>
          <w:rFonts w:ascii="Times New Roman" w:hAnsi="Times New Roman" w:cs="Times New Roman"/>
          <w:lang w:val="en-GB"/>
        </w:rPr>
        <w:t xml:space="preserve"> </w:t>
      </w:r>
    </w:p>
    <w:p w14:paraId="470CB43E" w14:textId="77777777" w:rsidR="0093559B" w:rsidRPr="007B2800" w:rsidRDefault="0093559B" w:rsidP="003B78BC">
      <w:pPr>
        <w:spacing w:line="480" w:lineRule="auto"/>
        <w:jc w:val="both"/>
        <w:rPr>
          <w:rFonts w:ascii="Times New Roman" w:hAnsi="Times New Roman" w:cs="Times New Roman"/>
          <w:lang w:val="en-GB"/>
        </w:rPr>
      </w:pPr>
    </w:p>
    <w:p w14:paraId="326F1D0B" w14:textId="3637F828" w:rsidR="0093559B" w:rsidRPr="007B2800" w:rsidRDefault="0093559B" w:rsidP="003B78BC">
      <w:pPr>
        <w:spacing w:line="480" w:lineRule="auto"/>
        <w:jc w:val="both"/>
        <w:rPr>
          <w:rFonts w:ascii="Times New Roman" w:hAnsi="Times New Roman" w:cs="Times New Roman"/>
          <w:lang w:val="en-GB"/>
        </w:rPr>
      </w:pPr>
      <w:r w:rsidRPr="007B2800">
        <w:rPr>
          <w:rFonts w:ascii="Times New Roman" w:hAnsi="Times New Roman" w:cs="Times New Roman"/>
          <w:lang w:val="en-GB"/>
        </w:rPr>
        <w:t>(1)</w:t>
      </w:r>
      <w:r w:rsidRPr="007B2800">
        <w:rPr>
          <w:rFonts w:ascii="Times New Roman" w:hAnsi="Times New Roman" w:cs="Times New Roman"/>
          <w:lang w:val="en-GB"/>
        </w:rPr>
        <w:tab/>
        <w:t>Goldbach’s conjecture is true.</w:t>
      </w:r>
    </w:p>
    <w:p w14:paraId="749C961E" w14:textId="77777777" w:rsidR="0093559B" w:rsidRPr="007B2800" w:rsidRDefault="0093559B" w:rsidP="003B78BC">
      <w:pPr>
        <w:spacing w:line="480" w:lineRule="auto"/>
        <w:jc w:val="both"/>
        <w:rPr>
          <w:rFonts w:ascii="Times New Roman" w:hAnsi="Times New Roman" w:cs="Times New Roman"/>
          <w:lang w:val="en-GB"/>
        </w:rPr>
      </w:pPr>
    </w:p>
    <w:p w14:paraId="1C37E8BB" w14:textId="41C073F2" w:rsidR="0093559B" w:rsidRPr="007B2800" w:rsidRDefault="0093559B" w:rsidP="003B78BC">
      <w:pPr>
        <w:spacing w:line="480" w:lineRule="auto"/>
        <w:jc w:val="both"/>
        <w:rPr>
          <w:rFonts w:ascii="Times New Roman" w:hAnsi="Times New Roman" w:cs="Times New Roman"/>
          <w:lang w:val="en-GB"/>
        </w:rPr>
      </w:pPr>
      <w:r w:rsidRPr="007B2800">
        <w:rPr>
          <w:rFonts w:ascii="Times New Roman" w:hAnsi="Times New Roman" w:cs="Times New Roman"/>
          <w:lang w:val="en-GB"/>
        </w:rPr>
        <w:t>Bra</w:t>
      </w:r>
      <w:r w:rsidR="00B336F2" w:rsidRPr="007B2800">
        <w:rPr>
          <w:rFonts w:ascii="Times New Roman" w:hAnsi="Times New Roman" w:cs="Times New Roman"/>
          <w:lang w:val="en-GB"/>
        </w:rPr>
        <w:t>n</w:t>
      </w:r>
      <w:r w:rsidRPr="007B2800">
        <w:rPr>
          <w:rFonts w:ascii="Times New Roman" w:hAnsi="Times New Roman" w:cs="Times New Roman"/>
          <w:lang w:val="en-GB"/>
        </w:rPr>
        <w:t>dom takes (1) to</w:t>
      </w:r>
      <w:r w:rsidR="009F56A8" w:rsidRPr="007B2800">
        <w:rPr>
          <w:rFonts w:ascii="Times New Roman" w:hAnsi="Times New Roman" w:cs="Times New Roman"/>
          <w:lang w:val="en-GB"/>
        </w:rPr>
        <w:t xml:space="preserve"> indirectly</w:t>
      </w:r>
      <w:r w:rsidRPr="007B2800">
        <w:rPr>
          <w:rFonts w:ascii="Times New Roman" w:hAnsi="Times New Roman" w:cs="Times New Roman"/>
          <w:lang w:val="en-GB"/>
        </w:rPr>
        <w:t xml:space="preserve"> inherit its content from </w:t>
      </w:r>
    </w:p>
    <w:p w14:paraId="27E80B60" w14:textId="77777777" w:rsidR="0093559B" w:rsidRPr="007B2800" w:rsidRDefault="0093559B" w:rsidP="003B78BC">
      <w:pPr>
        <w:spacing w:line="480" w:lineRule="auto"/>
        <w:jc w:val="both"/>
        <w:rPr>
          <w:rFonts w:ascii="Times New Roman" w:hAnsi="Times New Roman" w:cs="Times New Roman"/>
          <w:lang w:val="en-GB"/>
        </w:rPr>
      </w:pPr>
    </w:p>
    <w:p w14:paraId="58F430C6" w14:textId="35CC2652" w:rsidR="0093559B" w:rsidRPr="007B2800" w:rsidRDefault="0093559B" w:rsidP="003B78BC">
      <w:pPr>
        <w:spacing w:line="480" w:lineRule="auto"/>
        <w:jc w:val="both"/>
        <w:rPr>
          <w:rFonts w:ascii="Times New Roman" w:hAnsi="Times New Roman" w:cs="Times New Roman"/>
          <w:lang w:val="en-GB"/>
        </w:rPr>
      </w:pPr>
      <w:r w:rsidRPr="007B2800">
        <w:rPr>
          <w:rFonts w:ascii="Times New Roman" w:hAnsi="Times New Roman" w:cs="Times New Roman"/>
          <w:lang w:val="en-GB"/>
        </w:rPr>
        <w:t>(2)</w:t>
      </w:r>
      <w:r w:rsidRPr="007B2800">
        <w:rPr>
          <w:rFonts w:ascii="Times New Roman" w:hAnsi="Times New Roman" w:cs="Times New Roman"/>
          <w:lang w:val="en-GB"/>
        </w:rPr>
        <w:tab/>
        <w:t xml:space="preserve">Any even </w:t>
      </w:r>
      <w:r w:rsidR="00295339" w:rsidRPr="007B2800">
        <w:rPr>
          <w:rFonts w:ascii="Times New Roman" w:hAnsi="Times New Roman" w:cs="Times New Roman"/>
          <w:lang w:val="en-GB"/>
        </w:rPr>
        <w:t>number is the sum of two primes.</w:t>
      </w:r>
    </w:p>
    <w:p w14:paraId="68414BD3" w14:textId="77777777" w:rsidR="0093559B" w:rsidRPr="007B2800" w:rsidRDefault="0093559B" w:rsidP="003B78BC">
      <w:pPr>
        <w:spacing w:line="480" w:lineRule="auto"/>
        <w:jc w:val="both"/>
        <w:rPr>
          <w:rFonts w:ascii="Times New Roman" w:hAnsi="Times New Roman" w:cs="Times New Roman"/>
          <w:lang w:val="en-GB"/>
        </w:rPr>
      </w:pPr>
    </w:p>
    <w:p w14:paraId="63573C88" w14:textId="77777777" w:rsidR="000A5C8D" w:rsidRDefault="00C23B0D" w:rsidP="00FA7E0B">
      <w:pPr>
        <w:spacing w:line="480" w:lineRule="auto"/>
        <w:jc w:val="both"/>
        <w:rPr>
          <w:rFonts w:ascii="Times New Roman" w:hAnsi="Times New Roman" w:cs="Times New Roman"/>
          <w:lang w:val="en-GB"/>
        </w:rPr>
      </w:pPr>
      <w:r w:rsidRPr="007B2800">
        <w:rPr>
          <w:rFonts w:ascii="Times New Roman" w:hAnsi="Times New Roman" w:cs="Times New Roman"/>
          <w:lang w:val="en-GB"/>
        </w:rPr>
        <w:t xml:space="preserve">About the expression </w:t>
      </w:r>
      <w:r w:rsidR="00CF7579" w:rsidRPr="007B2800">
        <w:rPr>
          <w:rFonts w:ascii="Times New Roman" w:hAnsi="Times New Roman" w:cs="Times New Roman"/>
          <w:lang w:val="en-GB"/>
        </w:rPr>
        <w:t>‘</w:t>
      </w:r>
      <w:r w:rsidRPr="007B2800">
        <w:rPr>
          <w:rFonts w:ascii="Times New Roman" w:hAnsi="Times New Roman" w:cs="Times New Roman"/>
          <w:lang w:val="en-GB"/>
        </w:rPr>
        <w:t>is true</w:t>
      </w:r>
      <w:r w:rsidR="00CF7579" w:rsidRPr="007B2800">
        <w:rPr>
          <w:rFonts w:ascii="Times New Roman" w:hAnsi="Times New Roman" w:cs="Times New Roman"/>
          <w:lang w:val="en-GB"/>
        </w:rPr>
        <w:t>’</w:t>
      </w:r>
      <w:r w:rsidRPr="007B2800">
        <w:rPr>
          <w:rFonts w:ascii="Times New Roman" w:hAnsi="Times New Roman" w:cs="Times New Roman"/>
          <w:lang w:val="en-GB"/>
        </w:rPr>
        <w:t xml:space="preserve"> in (1), </w:t>
      </w:r>
      <w:r w:rsidR="00CC6160" w:rsidRPr="007B2800">
        <w:rPr>
          <w:rFonts w:ascii="Times New Roman" w:hAnsi="Times New Roman" w:cs="Times New Roman"/>
          <w:lang w:val="en-GB"/>
        </w:rPr>
        <w:t>Brandom says</w:t>
      </w:r>
      <w:r w:rsidRPr="007B2800">
        <w:rPr>
          <w:rFonts w:ascii="Times New Roman" w:hAnsi="Times New Roman" w:cs="Times New Roman"/>
          <w:lang w:val="en-GB"/>
        </w:rPr>
        <w:t>,</w:t>
      </w:r>
      <w:r w:rsidR="00CC6160" w:rsidRPr="007B2800">
        <w:rPr>
          <w:rFonts w:ascii="Times New Roman" w:hAnsi="Times New Roman" w:cs="Times New Roman"/>
          <w:lang w:val="en-GB"/>
        </w:rPr>
        <w:t xml:space="preserve"> </w:t>
      </w:r>
      <w:r w:rsidRPr="007B2800">
        <w:rPr>
          <w:rFonts w:ascii="Times New Roman" w:hAnsi="Times New Roman" w:cs="Times New Roman"/>
          <w:lang w:val="en-GB"/>
        </w:rPr>
        <w:t>“[</w:t>
      </w:r>
      <w:proofErr w:type="spellStart"/>
      <w:proofErr w:type="gramStart"/>
      <w:r w:rsidRPr="007B2800">
        <w:rPr>
          <w:rFonts w:ascii="Times New Roman" w:hAnsi="Times New Roman" w:cs="Times New Roman"/>
          <w:lang w:val="en-GB"/>
        </w:rPr>
        <w:t>i</w:t>
      </w:r>
      <w:proofErr w:type="spellEnd"/>
      <w:r w:rsidRPr="007B2800">
        <w:rPr>
          <w:rFonts w:ascii="Times New Roman" w:hAnsi="Times New Roman" w:cs="Times New Roman"/>
          <w:lang w:val="en-GB"/>
        </w:rPr>
        <w:t>]t</w:t>
      </w:r>
      <w:proofErr w:type="gramEnd"/>
      <w:r w:rsidRPr="007B2800">
        <w:rPr>
          <w:rFonts w:ascii="Times New Roman" w:hAnsi="Times New Roman" w:cs="Times New Roman"/>
          <w:lang w:val="en-GB"/>
        </w:rPr>
        <w:t xml:space="preserve"> applies to a term that is a sentence nominalization or that refers to or picks out a sentence tokening. It yields a prosentence that has that tokening as its anaphoric antecedent”</w:t>
      </w:r>
      <w:r w:rsidR="007B345E" w:rsidRPr="007B2800">
        <w:rPr>
          <w:rFonts w:ascii="Times New Roman" w:hAnsi="Times New Roman" w:cs="Times New Roman"/>
          <w:lang w:val="en-GB"/>
        </w:rPr>
        <w:t xml:space="preserve"> (1994: </w:t>
      </w:r>
      <w:r w:rsidR="005C00A9" w:rsidRPr="007B2800">
        <w:rPr>
          <w:rFonts w:ascii="Times New Roman" w:hAnsi="Times New Roman" w:cs="Times New Roman"/>
          <w:lang w:val="en-GB"/>
        </w:rPr>
        <w:t>305</w:t>
      </w:r>
      <w:r w:rsidR="007B345E" w:rsidRPr="007B2800">
        <w:rPr>
          <w:rFonts w:ascii="Times New Roman" w:hAnsi="Times New Roman" w:cs="Times New Roman"/>
          <w:lang w:val="en-GB"/>
        </w:rPr>
        <w:t>)</w:t>
      </w:r>
      <w:r w:rsidRPr="007B2800">
        <w:rPr>
          <w:rFonts w:ascii="Times New Roman" w:hAnsi="Times New Roman" w:cs="Times New Roman"/>
          <w:lang w:val="en-GB"/>
        </w:rPr>
        <w:t>.</w:t>
      </w:r>
      <w:r w:rsidR="00AE7C11" w:rsidRPr="007B2800">
        <w:rPr>
          <w:rFonts w:ascii="Times New Roman" w:hAnsi="Times New Roman" w:cs="Times New Roman"/>
          <w:lang w:val="en-GB"/>
        </w:rPr>
        <w:t xml:space="preserve"> </w:t>
      </w:r>
      <w:r w:rsidR="00C4329A">
        <w:rPr>
          <w:rFonts w:ascii="Times New Roman" w:hAnsi="Times New Roman" w:cs="Times New Roman"/>
          <w:lang w:val="en-GB"/>
        </w:rPr>
        <w:t>I</w:t>
      </w:r>
      <w:r w:rsidR="00AE7C11" w:rsidRPr="007B2800">
        <w:rPr>
          <w:rFonts w:ascii="Times New Roman" w:hAnsi="Times New Roman" w:cs="Times New Roman"/>
          <w:lang w:val="en-GB"/>
        </w:rPr>
        <w:t xml:space="preserve"> argue</w:t>
      </w:r>
      <w:r w:rsidR="00C4329A">
        <w:rPr>
          <w:rFonts w:ascii="Times New Roman" w:hAnsi="Times New Roman" w:cs="Times New Roman"/>
          <w:lang w:val="en-GB"/>
        </w:rPr>
        <w:t>d</w:t>
      </w:r>
      <w:r w:rsidR="004F490D" w:rsidRPr="007B2800">
        <w:rPr>
          <w:rFonts w:ascii="Times New Roman" w:hAnsi="Times New Roman" w:cs="Times New Roman"/>
          <w:lang w:val="en-GB"/>
        </w:rPr>
        <w:t xml:space="preserve"> that</w:t>
      </w:r>
      <w:r w:rsidR="006E664A" w:rsidRPr="007B2800">
        <w:rPr>
          <w:rFonts w:ascii="Times New Roman" w:hAnsi="Times New Roman" w:cs="Times New Roman"/>
          <w:lang w:val="en-GB"/>
        </w:rPr>
        <w:t xml:space="preserve"> </w:t>
      </w:r>
      <w:r w:rsidR="00CF7579" w:rsidRPr="007B2800">
        <w:rPr>
          <w:rFonts w:ascii="Times New Roman" w:hAnsi="Times New Roman" w:cs="Times New Roman"/>
          <w:lang w:val="en-GB"/>
        </w:rPr>
        <w:t>‘</w:t>
      </w:r>
      <w:r w:rsidR="00985393" w:rsidRPr="007B2800">
        <w:rPr>
          <w:rFonts w:ascii="Times New Roman" w:hAnsi="Times New Roman" w:cs="Times New Roman"/>
          <w:lang w:val="en-GB"/>
        </w:rPr>
        <w:t>true</w:t>
      </w:r>
      <w:r w:rsidR="00CF7579" w:rsidRPr="007B2800">
        <w:rPr>
          <w:rFonts w:ascii="Times New Roman" w:hAnsi="Times New Roman" w:cs="Times New Roman"/>
          <w:lang w:val="en-GB"/>
        </w:rPr>
        <w:t>’</w:t>
      </w:r>
      <w:r w:rsidR="00490A64" w:rsidRPr="007B2800">
        <w:rPr>
          <w:rFonts w:ascii="Times New Roman" w:hAnsi="Times New Roman" w:cs="Times New Roman"/>
          <w:lang w:val="en-GB"/>
        </w:rPr>
        <w:t>, as Brandom characterizes it, differs from</w:t>
      </w:r>
      <w:r w:rsidR="00985393" w:rsidRPr="007B2800">
        <w:rPr>
          <w:rFonts w:ascii="Times New Roman" w:hAnsi="Times New Roman" w:cs="Times New Roman"/>
          <w:lang w:val="en-GB"/>
        </w:rPr>
        <w:t xml:space="preserve"> other</w:t>
      </w:r>
      <w:r w:rsidR="00490A64" w:rsidRPr="007B2800">
        <w:rPr>
          <w:rFonts w:ascii="Times New Roman" w:hAnsi="Times New Roman" w:cs="Times New Roman"/>
          <w:lang w:val="en-GB"/>
        </w:rPr>
        <w:t>, paradigmatic</w:t>
      </w:r>
      <w:r w:rsidR="00985393" w:rsidRPr="007B2800">
        <w:rPr>
          <w:rFonts w:ascii="Times New Roman" w:hAnsi="Times New Roman" w:cs="Times New Roman"/>
          <w:lang w:val="en-GB"/>
        </w:rPr>
        <w:t xml:space="preserve"> pro</w:t>
      </w:r>
      <w:r w:rsidR="00AE7C11" w:rsidRPr="007B2800">
        <w:rPr>
          <w:rFonts w:ascii="Times New Roman" w:hAnsi="Times New Roman" w:cs="Times New Roman"/>
          <w:lang w:val="en-GB"/>
        </w:rPr>
        <w:t>form</w:t>
      </w:r>
      <w:r w:rsidR="00006D1D" w:rsidRPr="007B2800">
        <w:rPr>
          <w:rFonts w:ascii="Times New Roman" w:hAnsi="Times New Roman" w:cs="Times New Roman"/>
          <w:lang w:val="en-GB"/>
        </w:rPr>
        <w:t>s</w:t>
      </w:r>
      <w:r w:rsidR="00AE7C11" w:rsidRPr="007B2800">
        <w:rPr>
          <w:rFonts w:ascii="Times New Roman" w:hAnsi="Times New Roman" w:cs="Times New Roman"/>
          <w:lang w:val="en-GB"/>
        </w:rPr>
        <w:t xml:space="preserve">, since no </w:t>
      </w:r>
      <w:r w:rsidR="00201487" w:rsidRPr="007B2800">
        <w:rPr>
          <w:rFonts w:ascii="Times New Roman" w:hAnsi="Times New Roman" w:cs="Times New Roman"/>
          <w:lang w:val="en-GB"/>
        </w:rPr>
        <w:t>other</w:t>
      </w:r>
      <w:r w:rsidR="00AE7C11" w:rsidRPr="007B2800">
        <w:rPr>
          <w:rFonts w:ascii="Times New Roman" w:hAnsi="Times New Roman" w:cs="Times New Roman"/>
          <w:lang w:val="en-GB"/>
        </w:rPr>
        <w:t xml:space="preserve"> </w:t>
      </w:r>
      <w:r w:rsidR="00985393" w:rsidRPr="007B2800">
        <w:rPr>
          <w:rFonts w:ascii="Times New Roman" w:hAnsi="Times New Roman" w:cs="Times New Roman"/>
          <w:lang w:val="en-GB"/>
        </w:rPr>
        <w:t>proform</w:t>
      </w:r>
      <w:r w:rsidR="00AE7C11" w:rsidRPr="007B2800">
        <w:rPr>
          <w:rFonts w:ascii="Times New Roman" w:hAnsi="Times New Roman" w:cs="Times New Roman"/>
          <w:lang w:val="en-GB"/>
        </w:rPr>
        <w:t xml:space="preserve"> has an antecedent which is determined by way of </w:t>
      </w:r>
      <w:r w:rsidR="00AE7C11" w:rsidRPr="007B2800">
        <w:rPr>
          <w:rFonts w:ascii="Times New Roman" w:hAnsi="Times New Roman" w:cs="Times New Roman"/>
          <w:i/>
          <w:lang w:val="en-GB"/>
        </w:rPr>
        <w:t>reference</w:t>
      </w:r>
      <w:r w:rsidR="00AE7C11" w:rsidRPr="007B2800">
        <w:rPr>
          <w:rFonts w:ascii="Times New Roman" w:hAnsi="Times New Roman" w:cs="Times New Roman"/>
          <w:lang w:val="en-GB"/>
        </w:rPr>
        <w:t xml:space="preserve"> (in the sense of denotation, rather than anaphoric cross-reference)</w:t>
      </w:r>
      <w:r w:rsidR="004F490D" w:rsidRPr="007B2800">
        <w:rPr>
          <w:rFonts w:ascii="Times New Roman" w:hAnsi="Times New Roman" w:cs="Times New Roman"/>
          <w:lang w:val="en-GB"/>
        </w:rPr>
        <w:t xml:space="preserve"> in this way</w:t>
      </w:r>
      <w:r w:rsidR="00AE7C11" w:rsidRPr="007B2800">
        <w:rPr>
          <w:rFonts w:ascii="Times New Roman" w:hAnsi="Times New Roman" w:cs="Times New Roman"/>
          <w:lang w:val="en-GB"/>
        </w:rPr>
        <w:t xml:space="preserve">. </w:t>
      </w:r>
    </w:p>
    <w:p w14:paraId="0C20132A" w14:textId="02363537" w:rsidR="00FA7E0B" w:rsidRDefault="00AE7C11" w:rsidP="000A5C8D">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Salis</w:t>
      </w:r>
      <w:r w:rsidR="00E518E7" w:rsidRPr="007B2800">
        <w:rPr>
          <w:rFonts w:ascii="Times New Roman" w:hAnsi="Times New Roman" w:cs="Times New Roman"/>
          <w:lang w:val="en-GB"/>
        </w:rPr>
        <w:t xml:space="preserve"> objects that</w:t>
      </w:r>
      <w:r w:rsidR="0008669C" w:rsidRPr="007B2800">
        <w:rPr>
          <w:rFonts w:ascii="Times New Roman" w:hAnsi="Times New Roman" w:cs="Times New Roman"/>
          <w:lang w:val="en-GB"/>
        </w:rPr>
        <w:t>,</w:t>
      </w:r>
      <w:r w:rsidR="00CC6160" w:rsidRPr="007B2800">
        <w:rPr>
          <w:rFonts w:ascii="Times New Roman" w:hAnsi="Times New Roman" w:cs="Times New Roman"/>
          <w:lang w:val="en-GB"/>
        </w:rPr>
        <w:t xml:space="preserve"> </w:t>
      </w:r>
      <w:r w:rsidR="003B78BC" w:rsidRPr="007B2800">
        <w:rPr>
          <w:rFonts w:ascii="Times New Roman" w:hAnsi="Times New Roman" w:cs="Times New Roman"/>
          <w:lang w:val="en-GB"/>
        </w:rPr>
        <w:t>“Båve here tendentiously reads the connection between the antecedent and the prosentence in terms of reference, rather than in terms of content inheritance. It is not clear why he thinks that content inheritance could be granted only by a non-d</w:t>
      </w:r>
      <w:r w:rsidR="004B1ED0" w:rsidRPr="007B2800">
        <w:rPr>
          <w:rFonts w:ascii="Times New Roman" w:hAnsi="Times New Roman" w:cs="Times New Roman"/>
          <w:lang w:val="en-GB"/>
        </w:rPr>
        <w:t>eflationary notion of reference</w:t>
      </w:r>
      <w:r w:rsidR="003B78BC" w:rsidRPr="007B2800">
        <w:rPr>
          <w:rFonts w:ascii="Times New Roman" w:hAnsi="Times New Roman" w:cs="Times New Roman"/>
          <w:lang w:val="en-GB"/>
        </w:rPr>
        <w:t>”</w:t>
      </w:r>
      <w:r w:rsidR="004B1ED0" w:rsidRPr="007B2800">
        <w:rPr>
          <w:rFonts w:ascii="Times New Roman" w:hAnsi="Times New Roman" w:cs="Times New Roman"/>
          <w:lang w:val="en-GB"/>
        </w:rPr>
        <w:t xml:space="preserve"> (</w:t>
      </w:r>
      <w:r w:rsidR="00C92553">
        <w:rPr>
          <w:rFonts w:ascii="Times New Roman" w:hAnsi="Times New Roman" w:cs="Times New Roman"/>
          <w:lang w:val="en-GB"/>
        </w:rPr>
        <w:t>2019</w:t>
      </w:r>
      <w:r w:rsidR="004B1ED0" w:rsidRPr="007B2800">
        <w:rPr>
          <w:rFonts w:ascii="Times New Roman" w:hAnsi="Times New Roman" w:cs="Times New Roman"/>
          <w:lang w:val="en-GB"/>
        </w:rPr>
        <w:t xml:space="preserve">: </w:t>
      </w:r>
      <w:r w:rsidR="00867D21">
        <w:rPr>
          <w:rFonts w:ascii="Times New Roman" w:hAnsi="Times New Roman" w:cs="Times New Roman"/>
          <w:lang w:val="en-GB"/>
        </w:rPr>
        <w:t>513</w:t>
      </w:r>
      <w:r w:rsidR="004B1ED0" w:rsidRPr="007B2800">
        <w:rPr>
          <w:rFonts w:ascii="Times New Roman" w:hAnsi="Times New Roman" w:cs="Times New Roman"/>
          <w:lang w:val="en-GB"/>
        </w:rPr>
        <w:t>)</w:t>
      </w:r>
      <w:r w:rsidR="00AD7DB9" w:rsidRPr="007B2800">
        <w:rPr>
          <w:rFonts w:ascii="Times New Roman" w:hAnsi="Times New Roman" w:cs="Times New Roman"/>
          <w:lang w:val="en-GB"/>
        </w:rPr>
        <w:t>.</w:t>
      </w:r>
      <w:r w:rsidR="003B78BC" w:rsidRPr="007B2800">
        <w:rPr>
          <w:rFonts w:ascii="Times New Roman" w:hAnsi="Times New Roman" w:cs="Times New Roman"/>
          <w:lang w:val="en-GB"/>
        </w:rPr>
        <w:t xml:space="preserve"> </w:t>
      </w:r>
      <w:r w:rsidR="00DF7E3B" w:rsidRPr="007B2800">
        <w:rPr>
          <w:rFonts w:ascii="Times New Roman" w:hAnsi="Times New Roman" w:cs="Times New Roman"/>
          <w:lang w:val="en-GB"/>
        </w:rPr>
        <w:t>But, f</w:t>
      </w:r>
      <w:r w:rsidR="003B78BC" w:rsidRPr="007B2800">
        <w:rPr>
          <w:rFonts w:ascii="Times New Roman" w:hAnsi="Times New Roman" w:cs="Times New Roman"/>
          <w:lang w:val="en-GB"/>
        </w:rPr>
        <w:t xml:space="preserve">irstly, </w:t>
      </w:r>
      <w:r w:rsidR="00786092" w:rsidRPr="007B2800">
        <w:rPr>
          <w:rFonts w:ascii="Times New Roman" w:hAnsi="Times New Roman" w:cs="Times New Roman"/>
          <w:lang w:val="en-GB"/>
        </w:rPr>
        <w:t>Brandom himself describes the relation between the antecedent and the prosentence as involving “referring” or “picking out”, by which he means denotation</w:t>
      </w:r>
      <w:r w:rsidR="00A2303E" w:rsidRPr="007B2800">
        <w:rPr>
          <w:rFonts w:ascii="Times New Roman" w:hAnsi="Times New Roman" w:cs="Times New Roman"/>
          <w:lang w:val="en-GB"/>
        </w:rPr>
        <w:t>,</w:t>
      </w:r>
      <w:r w:rsidR="00786092" w:rsidRPr="007B2800">
        <w:rPr>
          <w:rFonts w:ascii="Times New Roman" w:hAnsi="Times New Roman" w:cs="Times New Roman"/>
          <w:lang w:val="en-GB"/>
        </w:rPr>
        <w:t xml:space="preserve"> rather than anaphoric cross-reference. </w:t>
      </w:r>
      <w:r w:rsidR="00FA7E0B" w:rsidRPr="007B2800">
        <w:rPr>
          <w:rFonts w:ascii="Times New Roman" w:hAnsi="Times New Roman" w:cs="Times New Roman"/>
          <w:lang w:val="en-GB"/>
        </w:rPr>
        <w:t xml:space="preserve">Thus, </w:t>
      </w:r>
      <w:proofErr w:type="spellStart"/>
      <w:r w:rsidR="00FA7E0B" w:rsidRPr="007B2800">
        <w:rPr>
          <w:rFonts w:ascii="Times New Roman" w:hAnsi="Times New Roman" w:cs="Times New Roman"/>
          <w:lang w:val="en-GB"/>
        </w:rPr>
        <w:t>Salis’s</w:t>
      </w:r>
      <w:proofErr w:type="spellEnd"/>
      <w:r w:rsidR="00FA7E0B" w:rsidRPr="007B2800">
        <w:rPr>
          <w:rFonts w:ascii="Times New Roman" w:hAnsi="Times New Roman" w:cs="Times New Roman"/>
          <w:lang w:val="en-GB"/>
        </w:rPr>
        <w:t xml:space="preserve"> suggestion is not faithful to Brandom.</w:t>
      </w:r>
    </w:p>
    <w:p w14:paraId="0AF137F4" w14:textId="71E3A22E" w:rsidR="002171C9" w:rsidRPr="00F2769A" w:rsidRDefault="002171C9" w:rsidP="00FA7E0B">
      <w:pPr>
        <w:spacing w:line="480" w:lineRule="auto"/>
        <w:jc w:val="both"/>
        <w:rPr>
          <w:rFonts w:ascii="Times New Roman" w:hAnsi="Times New Roman" w:cs="Times New Roman"/>
          <w:lang w:val="en-GB"/>
        </w:rPr>
      </w:pPr>
      <w:r>
        <w:rPr>
          <w:rFonts w:ascii="Times New Roman" w:hAnsi="Times New Roman" w:cs="Times New Roman"/>
          <w:lang w:val="en-GB"/>
        </w:rPr>
        <w:tab/>
      </w:r>
      <w:r w:rsidR="0028519E">
        <w:rPr>
          <w:rFonts w:ascii="Times New Roman" w:hAnsi="Times New Roman" w:cs="Times New Roman"/>
          <w:lang w:val="en-GB"/>
        </w:rPr>
        <w:t xml:space="preserve">I should also clarify my use of </w:t>
      </w:r>
      <w:r>
        <w:rPr>
          <w:rFonts w:ascii="Times New Roman" w:hAnsi="Times New Roman" w:cs="Times New Roman"/>
          <w:lang w:val="en-GB"/>
        </w:rPr>
        <w:t>“paradigmatic”</w:t>
      </w:r>
      <w:r w:rsidR="00F2769A">
        <w:rPr>
          <w:rFonts w:ascii="Times New Roman" w:hAnsi="Times New Roman" w:cs="Times New Roman"/>
          <w:lang w:val="en-GB"/>
        </w:rPr>
        <w:t xml:space="preserve">: a paradigmatic anaphor is an </w:t>
      </w:r>
      <w:r w:rsidR="00F2769A">
        <w:rPr>
          <w:rFonts w:ascii="Times New Roman" w:hAnsi="Times New Roman" w:cs="Times New Roman"/>
          <w:i/>
          <w:lang w:val="en-GB"/>
        </w:rPr>
        <w:t xml:space="preserve">uncontroversial case </w:t>
      </w:r>
      <w:r w:rsidR="00F2769A">
        <w:rPr>
          <w:rFonts w:ascii="Times New Roman" w:hAnsi="Times New Roman" w:cs="Times New Roman"/>
          <w:lang w:val="en-GB"/>
        </w:rPr>
        <w:t xml:space="preserve">of </w:t>
      </w:r>
      <w:proofErr w:type="gramStart"/>
      <w:r w:rsidR="00F2769A">
        <w:rPr>
          <w:rFonts w:ascii="Times New Roman" w:hAnsi="Times New Roman" w:cs="Times New Roman"/>
          <w:lang w:val="en-GB"/>
        </w:rPr>
        <w:t>a</w:t>
      </w:r>
      <w:proofErr w:type="gramEnd"/>
      <w:r w:rsidR="00F2769A">
        <w:rPr>
          <w:rFonts w:ascii="Times New Roman" w:hAnsi="Times New Roman" w:cs="Times New Roman"/>
          <w:lang w:val="en-GB"/>
        </w:rPr>
        <w:t xml:space="preserve"> anaphor. Everyone should agree that whereas, e.g., pronouns fit this descriptions, </w:t>
      </w:r>
      <w:r w:rsidR="00123DD4">
        <w:rPr>
          <w:rFonts w:ascii="Times New Roman" w:hAnsi="Times New Roman" w:cs="Times New Roman"/>
          <w:lang w:val="en-GB"/>
        </w:rPr>
        <w:t>‘</w:t>
      </w:r>
      <w:r w:rsidR="00F2769A">
        <w:rPr>
          <w:rFonts w:ascii="Times New Roman" w:hAnsi="Times New Roman" w:cs="Times New Roman"/>
          <w:lang w:val="en-GB"/>
        </w:rPr>
        <w:t>true</w:t>
      </w:r>
      <w:r w:rsidR="00123DD4">
        <w:rPr>
          <w:rFonts w:ascii="Times New Roman" w:hAnsi="Times New Roman" w:cs="Times New Roman"/>
          <w:lang w:val="en-GB"/>
        </w:rPr>
        <w:t>’</w:t>
      </w:r>
      <w:r w:rsidR="00F2769A">
        <w:rPr>
          <w:rFonts w:ascii="Times New Roman" w:hAnsi="Times New Roman" w:cs="Times New Roman"/>
          <w:lang w:val="en-GB"/>
        </w:rPr>
        <w:t xml:space="preserve"> does not. But I am not presupposing that all anaphors are paradigmatic anaphors. That would be wildly </w:t>
      </w:r>
      <w:proofErr w:type="gramStart"/>
      <w:r w:rsidR="00F2769A">
        <w:rPr>
          <w:rFonts w:ascii="Times New Roman" w:hAnsi="Times New Roman" w:cs="Times New Roman"/>
          <w:lang w:val="en-GB"/>
        </w:rPr>
        <w:t>question-begging</w:t>
      </w:r>
      <w:proofErr w:type="gramEnd"/>
      <w:r w:rsidR="00F2769A">
        <w:rPr>
          <w:rFonts w:ascii="Times New Roman" w:hAnsi="Times New Roman" w:cs="Times New Roman"/>
          <w:lang w:val="en-GB"/>
        </w:rPr>
        <w:t xml:space="preserve"> against prosententialists</w:t>
      </w:r>
      <w:r w:rsidR="00123DD4">
        <w:rPr>
          <w:rFonts w:ascii="Times New Roman" w:hAnsi="Times New Roman" w:cs="Times New Roman"/>
          <w:lang w:val="en-GB"/>
        </w:rPr>
        <w:t>. It is nevertheless important, for determining how plausible it is to say that ‘true’ is anaphoric, to see whether it resembles paradigmatic anaphors.</w:t>
      </w:r>
    </w:p>
    <w:p w14:paraId="084DCF63" w14:textId="65A194FC" w:rsidR="00DD76C3" w:rsidRPr="007B2800" w:rsidRDefault="00786092" w:rsidP="00FA7E0B">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Could we suppose, </w:t>
      </w:r>
      <w:r w:rsidR="00FA19C2" w:rsidRPr="007B2800">
        <w:rPr>
          <w:rFonts w:ascii="Times New Roman" w:hAnsi="Times New Roman" w:cs="Times New Roman"/>
          <w:lang w:val="en-GB"/>
        </w:rPr>
        <w:t xml:space="preserve">though, </w:t>
      </w:r>
      <w:r w:rsidRPr="007B2800">
        <w:rPr>
          <w:rFonts w:ascii="Times New Roman" w:hAnsi="Times New Roman" w:cs="Times New Roman"/>
          <w:lang w:val="en-GB"/>
        </w:rPr>
        <w:t xml:space="preserve">as Salis seems to </w:t>
      </w:r>
      <w:proofErr w:type="gramStart"/>
      <w:r w:rsidRPr="007B2800">
        <w:rPr>
          <w:rFonts w:ascii="Times New Roman" w:hAnsi="Times New Roman" w:cs="Times New Roman"/>
          <w:lang w:val="en-GB"/>
        </w:rPr>
        <w:t>suggests</w:t>
      </w:r>
      <w:proofErr w:type="gramEnd"/>
      <w:r w:rsidRPr="007B2800">
        <w:rPr>
          <w:rFonts w:ascii="Times New Roman" w:hAnsi="Times New Roman" w:cs="Times New Roman"/>
          <w:lang w:val="en-GB"/>
        </w:rPr>
        <w:t xml:space="preserve">, that we </w:t>
      </w:r>
      <w:r w:rsidR="00D72921" w:rsidRPr="007B2800">
        <w:rPr>
          <w:rFonts w:ascii="Times New Roman" w:hAnsi="Times New Roman" w:cs="Times New Roman"/>
          <w:lang w:val="en-GB"/>
        </w:rPr>
        <w:t xml:space="preserve">instead </w:t>
      </w:r>
      <w:r w:rsidRPr="007B2800">
        <w:rPr>
          <w:rFonts w:ascii="Times New Roman" w:hAnsi="Times New Roman" w:cs="Times New Roman"/>
          <w:lang w:val="en-GB"/>
        </w:rPr>
        <w:t xml:space="preserve">take the relation between (1) and (2) to involve only anaphoric cross-reference, or “content inheritance”? </w:t>
      </w:r>
      <w:r w:rsidR="00FE7CD5" w:rsidRPr="007B2800">
        <w:rPr>
          <w:rFonts w:ascii="Times New Roman" w:hAnsi="Times New Roman" w:cs="Times New Roman"/>
          <w:lang w:val="en-GB"/>
        </w:rPr>
        <w:t>(</w:t>
      </w:r>
      <w:r w:rsidR="00FA7E0B" w:rsidRPr="007B2800">
        <w:rPr>
          <w:rFonts w:ascii="Times New Roman" w:hAnsi="Times New Roman" w:cs="Times New Roman"/>
          <w:lang w:val="en-GB"/>
        </w:rPr>
        <w:t>Th</w:t>
      </w:r>
      <w:r w:rsidR="00FE7CD5" w:rsidRPr="007B2800">
        <w:rPr>
          <w:rFonts w:ascii="Times New Roman" w:hAnsi="Times New Roman" w:cs="Times New Roman"/>
          <w:lang w:val="en-GB"/>
        </w:rPr>
        <w:t>is</w:t>
      </w:r>
      <w:r w:rsidR="00FA7E0B" w:rsidRPr="007B2800">
        <w:rPr>
          <w:rFonts w:ascii="Times New Roman" w:hAnsi="Times New Roman" w:cs="Times New Roman"/>
          <w:lang w:val="en-GB"/>
        </w:rPr>
        <w:t xml:space="preserve"> would be a modification of Brandom’s view.</w:t>
      </w:r>
      <w:r w:rsidR="00FE7CD5" w:rsidRPr="007B2800">
        <w:rPr>
          <w:rFonts w:ascii="Times New Roman" w:hAnsi="Times New Roman" w:cs="Times New Roman"/>
          <w:lang w:val="en-GB"/>
        </w:rPr>
        <w:t>)</w:t>
      </w:r>
      <w:r w:rsidR="00FA7E0B" w:rsidRPr="007B2800">
        <w:rPr>
          <w:rFonts w:ascii="Times New Roman" w:hAnsi="Times New Roman" w:cs="Times New Roman"/>
          <w:lang w:val="en-GB"/>
        </w:rPr>
        <w:t xml:space="preserve"> </w:t>
      </w:r>
      <w:r w:rsidRPr="007B2800">
        <w:rPr>
          <w:rFonts w:ascii="Times New Roman" w:hAnsi="Times New Roman" w:cs="Times New Roman"/>
          <w:lang w:val="en-GB"/>
        </w:rPr>
        <w:t xml:space="preserve">First of all, it is clear that on Brandom’s account, (2) is determined as the antecedent of (1) only </w:t>
      </w:r>
      <w:r w:rsidRPr="007B2800">
        <w:rPr>
          <w:rFonts w:ascii="Times New Roman" w:hAnsi="Times New Roman" w:cs="Times New Roman"/>
          <w:i/>
          <w:lang w:val="en-GB"/>
        </w:rPr>
        <w:t>via</w:t>
      </w:r>
      <w:r w:rsidRPr="007B2800">
        <w:rPr>
          <w:rFonts w:ascii="Times New Roman" w:hAnsi="Times New Roman" w:cs="Times New Roman"/>
          <w:lang w:val="en-GB"/>
        </w:rPr>
        <w:t xml:space="preserve"> the singular term, </w:t>
      </w:r>
      <w:r w:rsidR="00CF7579" w:rsidRPr="007B2800">
        <w:rPr>
          <w:rFonts w:ascii="Times New Roman" w:hAnsi="Times New Roman" w:cs="Times New Roman"/>
          <w:lang w:val="en-GB"/>
        </w:rPr>
        <w:t>‘</w:t>
      </w:r>
      <w:r w:rsidRPr="007B2800">
        <w:rPr>
          <w:rFonts w:ascii="Times New Roman" w:hAnsi="Times New Roman" w:cs="Times New Roman"/>
          <w:lang w:val="en-GB"/>
        </w:rPr>
        <w:t>Goldbach’s conjecture</w:t>
      </w:r>
      <w:r w:rsidR="00CF7579" w:rsidRPr="007B2800">
        <w:rPr>
          <w:rFonts w:ascii="Times New Roman" w:hAnsi="Times New Roman" w:cs="Times New Roman"/>
          <w:lang w:val="en-GB"/>
        </w:rPr>
        <w:t>’</w:t>
      </w:r>
      <w:r w:rsidRPr="007B2800">
        <w:rPr>
          <w:rFonts w:ascii="Times New Roman" w:hAnsi="Times New Roman" w:cs="Times New Roman"/>
          <w:lang w:val="en-GB"/>
        </w:rPr>
        <w:t>.</w:t>
      </w:r>
      <w:r w:rsidR="008009FC" w:rsidRPr="007B2800">
        <w:rPr>
          <w:rStyle w:val="EndnoteReference"/>
          <w:rFonts w:ascii="Times New Roman" w:hAnsi="Times New Roman" w:cs="Times New Roman"/>
          <w:lang w:val="en-GB"/>
        </w:rPr>
        <w:endnoteReference w:id="1"/>
      </w:r>
      <w:r w:rsidRPr="007B2800">
        <w:rPr>
          <w:rFonts w:ascii="Times New Roman" w:hAnsi="Times New Roman" w:cs="Times New Roman"/>
          <w:lang w:val="en-GB"/>
        </w:rPr>
        <w:t xml:space="preserve"> So, could we suppose that (2) becomes the antecedent of (1) in virtue of this term inheriting its content from (2), rather than by denotationally referring to it? No, for </w:t>
      </w:r>
      <w:r w:rsidR="00CF7579" w:rsidRPr="007B2800">
        <w:rPr>
          <w:rFonts w:ascii="Times New Roman" w:hAnsi="Times New Roman" w:cs="Times New Roman"/>
          <w:lang w:val="en-GB"/>
        </w:rPr>
        <w:t>‘Goldbach’s conjecture’</w:t>
      </w:r>
      <w:r w:rsidR="00DF7E3B" w:rsidRPr="007B2800">
        <w:rPr>
          <w:rFonts w:ascii="Times New Roman" w:hAnsi="Times New Roman" w:cs="Times New Roman"/>
          <w:lang w:val="en-GB"/>
        </w:rPr>
        <w:t xml:space="preserve"> cannot by any stretch </w:t>
      </w:r>
      <w:proofErr w:type="gramStart"/>
      <w:r w:rsidR="00DF7E3B" w:rsidRPr="007B2800">
        <w:rPr>
          <w:rFonts w:ascii="Times New Roman" w:hAnsi="Times New Roman" w:cs="Times New Roman"/>
          <w:lang w:val="en-GB"/>
        </w:rPr>
        <w:t>be</w:t>
      </w:r>
      <w:proofErr w:type="gramEnd"/>
      <w:r w:rsidR="00DF7E3B" w:rsidRPr="007B2800">
        <w:rPr>
          <w:rFonts w:ascii="Times New Roman" w:hAnsi="Times New Roman" w:cs="Times New Roman"/>
          <w:lang w:val="en-GB"/>
        </w:rPr>
        <w:t xml:space="preserve"> </w:t>
      </w:r>
      <w:r w:rsidR="00F7678B" w:rsidRPr="007B2800">
        <w:rPr>
          <w:rFonts w:ascii="Times New Roman" w:hAnsi="Times New Roman" w:cs="Times New Roman"/>
          <w:lang w:val="en-GB"/>
        </w:rPr>
        <w:t>taken</w:t>
      </w:r>
      <w:r w:rsidR="00DF7E3B" w:rsidRPr="007B2800">
        <w:rPr>
          <w:rFonts w:ascii="Times New Roman" w:hAnsi="Times New Roman" w:cs="Times New Roman"/>
          <w:lang w:val="en-GB"/>
        </w:rPr>
        <w:t xml:space="preserve"> to inherit its content from (2). If it did, then they would have to have the same content (in this context, anyway)</w:t>
      </w:r>
      <w:r w:rsidR="00BF0732" w:rsidRPr="007B2800">
        <w:rPr>
          <w:rFonts w:ascii="Times New Roman" w:hAnsi="Times New Roman" w:cs="Times New Roman"/>
          <w:lang w:val="en-GB"/>
        </w:rPr>
        <w:t>.</w:t>
      </w:r>
      <w:r w:rsidR="00B638AE" w:rsidRPr="007B2800">
        <w:rPr>
          <w:rStyle w:val="EndnoteReference"/>
          <w:rFonts w:ascii="Times New Roman" w:hAnsi="Times New Roman" w:cs="Times New Roman"/>
          <w:lang w:val="en-GB"/>
        </w:rPr>
        <w:endnoteReference w:id="2"/>
      </w:r>
      <w:r w:rsidR="00BF0732" w:rsidRPr="007B2800">
        <w:rPr>
          <w:rFonts w:ascii="Times New Roman" w:hAnsi="Times New Roman" w:cs="Times New Roman"/>
          <w:lang w:val="en-GB"/>
        </w:rPr>
        <w:t xml:space="preserve"> B</w:t>
      </w:r>
      <w:r w:rsidR="00DF7E3B" w:rsidRPr="007B2800">
        <w:rPr>
          <w:rFonts w:ascii="Times New Roman" w:hAnsi="Times New Roman" w:cs="Times New Roman"/>
          <w:lang w:val="en-GB"/>
        </w:rPr>
        <w:t>ut</w:t>
      </w:r>
      <w:r w:rsidR="00BF0732" w:rsidRPr="007B2800">
        <w:rPr>
          <w:rFonts w:ascii="Times New Roman" w:hAnsi="Times New Roman" w:cs="Times New Roman"/>
          <w:lang w:val="en-GB"/>
        </w:rPr>
        <w:t>,</w:t>
      </w:r>
      <w:r w:rsidR="00DF7E3B" w:rsidRPr="007B2800">
        <w:rPr>
          <w:rFonts w:ascii="Times New Roman" w:hAnsi="Times New Roman" w:cs="Times New Roman"/>
          <w:lang w:val="en-GB"/>
        </w:rPr>
        <w:t xml:space="preserve"> </w:t>
      </w:r>
      <w:r w:rsidR="000E4B49" w:rsidRPr="007B2800">
        <w:rPr>
          <w:rFonts w:ascii="Times New Roman" w:hAnsi="Times New Roman" w:cs="Times New Roman"/>
          <w:lang w:val="en-GB"/>
        </w:rPr>
        <w:t>surely</w:t>
      </w:r>
      <w:r w:rsidR="00DF7E3B" w:rsidRPr="007B2800">
        <w:rPr>
          <w:rFonts w:ascii="Times New Roman" w:hAnsi="Times New Roman" w:cs="Times New Roman"/>
          <w:lang w:val="en-GB"/>
        </w:rPr>
        <w:t xml:space="preserve">, they don’t. They belong to different syntactic categories, one being a singular term and the other being a sentence. </w:t>
      </w:r>
      <w:r w:rsidR="00A2303E" w:rsidRPr="007B2800">
        <w:rPr>
          <w:rFonts w:ascii="Times New Roman" w:hAnsi="Times New Roman" w:cs="Times New Roman"/>
          <w:lang w:val="en-GB"/>
        </w:rPr>
        <w:t>T</w:t>
      </w:r>
      <w:r w:rsidR="000E4B49" w:rsidRPr="007B2800">
        <w:rPr>
          <w:rFonts w:ascii="Times New Roman" w:hAnsi="Times New Roman" w:cs="Times New Roman"/>
          <w:lang w:val="en-GB"/>
        </w:rPr>
        <w:t xml:space="preserve">hey </w:t>
      </w:r>
      <w:r w:rsidR="00A2303E" w:rsidRPr="007B2800">
        <w:rPr>
          <w:rFonts w:ascii="Times New Roman" w:hAnsi="Times New Roman" w:cs="Times New Roman"/>
          <w:lang w:val="en-GB"/>
        </w:rPr>
        <w:t xml:space="preserve">also </w:t>
      </w:r>
      <w:r w:rsidR="00891CE1" w:rsidRPr="007B2800">
        <w:rPr>
          <w:rFonts w:ascii="Times New Roman" w:hAnsi="Times New Roman" w:cs="Times New Roman"/>
          <w:lang w:val="en-GB"/>
        </w:rPr>
        <w:t>differ markedly from uncontroversial cases of content inheritance</w:t>
      </w:r>
      <w:r w:rsidR="00F271DE" w:rsidRPr="007B2800">
        <w:rPr>
          <w:rFonts w:ascii="Times New Roman" w:hAnsi="Times New Roman" w:cs="Times New Roman"/>
          <w:lang w:val="en-GB"/>
        </w:rPr>
        <w:t xml:space="preserve"> </w:t>
      </w:r>
      <w:r w:rsidR="00F271DE" w:rsidRPr="007B2800">
        <w:rPr>
          <w:rFonts w:ascii="Times New Roman" w:hAnsi="Times New Roman" w:cs="Times New Roman"/>
          <w:i/>
          <w:lang w:val="en-GB"/>
        </w:rPr>
        <w:t xml:space="preserve">via </w:t>
      </w:r>
      <w:r w:rsidR="00F271DE" w:rsidRPr="007B2800">
        <w:rPr>
          <w:rFonts w:ascii="Times New Roman" w:hAnsi="Times New Roman" w:cs="Times New Roman"/>
          <w:lang w:val="en-GB"/>
        </w:rPr>
        <w:t>anaphoric dependency</w:t>
      </w:r>
      <w:r w:rsidR="0015132D" w:rsidRPr="007B2800">
        <w:rPr>
          <w:rFonts w:ascii="Times New Roman" w:hAnsi="Times New Roman" w:cs="Times New Roman"/>
          <w:lang w:val="en-GB"/>
        </w:rPr>
        <w:t xml:space="preserve">. </w:t>
      </w:r>
      <w:r w:rsidR="00DD76C3" w:rsidRPr="007B2800">
        <w:rPr>
          <w:rFonts w:ascii="Times New Roman" w:hAnsi="Times New Roman" w:cs="Times New Roman"/>
          <w:lang w:val="en-GB"/>
        </w:rPr>
        <w:t xml:space="preserve">This is more easily seen if we switch examples from (1) to </w:t>
      </w:r>
    </w:p>
    <w:p w14:paraId="6FD28A14" w14:textId="77777777" w:rsidR="00DD76C3" w:rsidRPr="007B2800" w:rsidRDefault="00DD76C3" w:rsidP="002A6237">
      <w:pPr>
        <w:spacing w:line="480" w:lineRule="auto"/>
        <w:jc w:val="both"/>
        <w:rPr>
          <w:rFonts w:ascii="Times New Roman" w:hAnsi="Times New Roman" w:cs="Times New Roman"/>
          <w:lang w:val="en-GB"/>
        </w:rPr>
      </w:pPr>
    </w:p>
    <w:p w14:paraId="0742C596" w14:textId="77777777" w:rsidR="00DD76C3" w:rsidRPr="007B2800" w:rsidRDefault="00DD76C3" w:rsidP="00885FC8">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(3)</w:t>
      </w:r>
      <w:r w:rsidRPr="007B2800">
        <w:rPr>
          <w:rFonts w:ascii="Times New Roman" w:hAnsi="Times New Roman" w:cs="Times New Roman"/>
          <w:lang w:val="en-GB"/>
        </w:rPr>
        <w:tab/>
        <w:t xml:space="preserve">The third sentence in the Bible is true. </w:t>
      </w:r>
    </w:p>
    <w:p w14:paraId="2AA474D6" w14:textId="77777777" w:rsidR="00DD76C3" w:rsidRPr="007B2800" w:rsidRDefault="00DD76C3" w:rsidP="00DD76C3">
      <w:pPr>
        <w:spacing w:line="480" w:lineRule="auto"/>
        <w:jc w:val="both"/>
        <w:rPr>
          <w:rFonts w:ascii="Times New Roman" w:hAnsi="Times New Roman" w:cs="Times New Roman"/>
          <w:lang w:val="en-GB"/>
        </w:rPr>
      </w:pPr>
    </w:p>
    <w:p w14:paraId="720E74B3" w14:textId="334430E6" w:rsidR="0038054B" w:rsidRDefault="00DD76C3" w:rsidP="00DD76C3">
      <w:pPr>
        <w:spacing w:line="480" w:lineRule="auto"/>
        <w:jc w:val="both"/>
        <w:rPr>
          <w:rFonts w:ascii="Times New Roman" w:hAnsi="Times New Roman" w:cs="Times New Roman"/>
          <w:lang w:val="en-GB"/>
        </w:rPr>
      </w:pPr>
      <w:r w:rsidRPr="007B2800">
        <w:rPr>
          <w:rFonts w:ascii="Times New Roman" w:hAnsi="Times New Roman" w:cs="Times New Roman"/>
          <w:lang w:val="en-GB"/>
        </w:rPr>
        <w:t xml:space="preserve">If (3) is supposed to inherit its content from the third sentence in the Bible, its content </w:t>
      </w:r>
      <w:r w:rsidR="0087431A" w:rsidRPr="007B2800">
        <w:rPr>
          <w:rFonts w:ascii="Times New Roman" w:hAnsi="Times New Roman" w:cs="Times New Roman"/>
          <w:lang w:val="en-GB"/>
        </w:rPr>
        <w:t>should</w:t>
      </w:r>
      <w:r w:rsidRPr="007B2800">
        <w:rPr>
          <w:rFonts w:ascii="Times New Roman" w:hAnsi="Times New Roman" w:cs="Times New Roman"/>
          <w:lang w:val="en-GB"/>
        </w:rPr>
        <w:t xml:space="preserve"> be necessarily and a priori equivalent with </w:t>
      </w:r>
      <w:r w:rsidR="00AC7F13" w:rsidRPr="007B2800">
        <w:rPr>
          <w:rFonts w:ascii="Times New Roman" w:hAnsi="Times New Roman" w:cs="Times New Roman"/>
          <w:lang w:val="en-GB"/>
        </w:rPr>
        <w:t>the content of the thi</w:t>
      </w:r>
      <w:r w:rsidRPr="007B2800">
        <w:rPr>
          <w:rFonts w:ascii="Times New Roman" w:hAnsi="Times New Roman" w:cs="Times New Roman"/>
          <w:lang w:val="en-GB"/>
        </w:rPr>
        <w:t xml:space="preserve">rd sentence in the Bible. </w:t>
      </w:r>
      <w:r w:rsidR="00884466" w:rsidRPr="007B2800">
        <w:rPr>
          <w:rFonts w:ascii="Times New Roman" w:hAnsi="Times New Roman" w:cs="Times New Roman"/>
          <w:lang w:val="en-GB"/>
        </w:rPr>
        <w:t>T</w:t>
      </w:r>
      <w:r w:rsidR="00C8118B" w:rsidRPr="007B2800">
        <w:rPr>
          <w:rFonts w:ascii="Times New Roman" w:hAnsi="Times New Roman" w:cs="Times New Roman"/>
          <w:lang w:val="en-GB"/>
        </w:rPr>
        <w:t xml:space="preserve">his holds in </w:t>
      </w:r>
      <w:r w:rsidR="00286D0A" w:rsidRPr="007B2800">
        <w:rPr>
          <w:rFonts w:ascii="Times New Roman" w:hAnsi="Times New Roman" w:cs="Times New Roman"/>
          <w:lang w:val="en-GB"/>
        </w:rPr>
        <w:t>paradigmatic</w:t>
      </w:r>
      <w:r w:rsidR="00C8118B" w:rsidRPr="007B2800">
        <w:rPr>
          <w:rFonts w:ascii="Times New Roman" w:hAnsi="Times New Roman" w:cs="Times New Roman"/>
          <w:lang w:val="en-GB"/>
        </w:rPr>
        <w:t xml:space="preserve"> cases of anaphoric dependency. </w:t>
      </w:r>
      <w:r w:rsidR="0087431A" w:rsidRPr="007B2800">
        <w:rPr>
          <w:rFonts w:ascii="Times New Roman" w:hAnsi="Times New Roman" w:cs="Times New Roman"/>
          <w:lang w:val="en-GB"/>
        </w:rPr>
        <w:t xml:space="preserve">More precisely, </w:t>
      </w:r>
      <w:r w:rsidR="00286D0A" w:rsidRPr="007B2800">
        <w:rPr>
          <w:rFonts w:ascii="Times New Roman" w:hAnsi="Times New Roman" w:cs="Times New Roman"/>
          <w:lang w:val="en-GB"/>
        </w:rPr>
        <w:t xml:space="preserve">for every token paradigmatic proform </w:t>
      </w:r>
      <w:r w:rsidR="00286D0A" w:rsidRPr="007B2800">
        <w:rPr>
          <w:rFonts w:ascii="Times New Roman" w:hAnsi="Times New Roman" w:cs="Times New Roman"/>
          <w:i/>
          <w:lang w:val="en-GB"/>
        </w:rPr>
        <w:t>p</w:t>
      </w:r>
      <w:r w:rsidR="00286D0A" w:rsidRPr="007B2800">
        <w:rPr>
          <w:rFonts w:ascii="Times New Roman" w:hAnsi="Times New Roman" w:cs="Times New Roman"/>
          <w:lang w:val="en-GB"/>
        </w:rPr>
        <w:t xml:space="preserve"> with antecedent </w:t>
      </w:r>
      <w:r w:rsidR="00286D0A" w:rsidRPr="007B2800">
        <w:rPr>
          <w:rFonts w:ascii="Times New Roman" w:hAnsi="Times New Roman" w:cs="Times New Roman"/>
          <w:i/>
          <w:lang w:val="en-GB"/>
        </w:rPr>
        <w:t>a</w:t>
      </w:r>
      <w:r w:rsidR="00286D0A" w:rsidRPr="007B2800">
        <w:rPr>
          <w:rFonts w:ascii="Times New Roman" w:hAnsi="Times New Roman" w:cs="Times New Roman"/>
          <w:lang w:val="en-GB"/>
        </w:rPr>
        <w:t xml:space="preserve">, a sentence </w:t>
      </w:r>
      <w:r w:rsidR="00026B28" w:rsidRPr="007B2800">
        <w:rPr>
          <w:rFonts w:ascii="Times New Roman" w:hAnsi="Times New Roman" w:cs="Times New Roman"/>
          <w:lang w:val="en-GB"/>
        </w:rPr>
        <w:t xml:space="preserve">token </w:t>
      </w:r>
      <w:r w:rsidR="00026B28" w:rsidRPr="007B2800">
        <w:rPr>
          <w:rFonts w:ascii="Times New Roman" w:hAnsi="Times New Roman" w:cs="Times New Roman"/>
          <w:i/>
          <w:lang w:val="en-GB"/>
        </w:rPr>
        <w:t xml:space="preserve">s </w:t>
      </w:r>
      <w:r w:rsidR="00286D0A" w:rsidRPr="007B2800">
        <w:rPr>
          <w:rFonts w:ascii="Times New Roman" w:hAnsi="Times New Roman" w:cs="Times New Roman"/>
          <w:lang w:val="en-GB"/>
        </w:rPr>
        <w:t xml:space="preserve">containing </w:t>
      </w:r>
      <w:r w:rsidR="00286D0A" w:rsidRPr="007B2800">
        <w:rPr>
          <w:rFonts w:ascii="Times New Roman" w:hAnsi="Times New Roman" w:cs="Times New Roman"/>
          <w:i/>
          <w:lang w:val="en-GB"/>
        </w:rPr>
        <w:t>p</w:t>
      </w:r>
      <w:r w:rsidR="00286D0A" w:rsidRPr="007B2800">
        <w:rPr>
          <w:rFonts w:ascii="Times New Roman" w:hAnsi="Times New Roman" w:cs="Times New Roman"/>
          <w:lang w:val="en-GB"/>
        </w:rPr>
        <w:t xml:space="preserve"> will have a content necessarily and a priori equivalent with the content expressed by a sentence differing </w:t>
      </w:r>
      <w:r w:rsidR="00026B28" w:rsidRPr="007B2800">
        <w:rPr>
          <w:rFonts w:ascii="Times New Roman" w:hAnsi="Times New Roman" w:cs="Times New Roman"/>
          <w:lang w:val="en-GB"/>
        </w:rPr>
        <w:t xml:space="preserve">from </w:t>
      </w:r>
      <w:r w:rsidR="00026B28" w:rsidRPr="007B2800">
        <w:rPr>
          <w:rFonts w:ascii="Times New Roman" w:hAnsi="Times New Roman" w:cs="Times New Roman"/>
          <w:i/>
          <w:lang w:val="en-GB"/>
        </w:rPr>
        <w:t xml:space="preserve">s </w:t>
      </w:r>
      <w:r w:rsidR="00286D0A" w:rsidRPr="007B2800">
        <w:rPr>
          <w:rFonts w:ascii="Times New Roman" w:hAnsi="Times New Roman" w:cs="Times New Roman"/>
          <w:lang w:val="en-GB"/>
        </w:rPr>
        <w:t xml:space="preserve">only in containing </w:t>
      </w:r>
      <w:r w:rsidR="00286D0A" w:rsidRPr="007B2800">
        <w:rPr>
          <w:rFonts w:ascii="Times New Roman" w:hAnsi="Times New Roman" w:cs="Times New Roman"/>
          <w:i/>
          <w:lang w:val="en-GB"/>
        </w:rPr>
        <w:t xml:space="preserve">a </w:t>
      </w:r>
      <w:r w:rsidR="00286D0A" w:rsidRPr="007B2800">
        <w:rPr>
          <w:rFonts w:ascii="Times New Roman" w:hAnsi="Times New Roman" w:cs="Times New Roman"/>
          <w:lang w:val="en-GB"/>
        </w:rPr>
        <w:t>in</w:t>
      </w:r>
      <w:r w:rsidR="002E6A5F" w:rsidRPr="007B2800">
        <w:rPr>
          <w:rFonts w:ascii="Times New Roman" w:hAnsi="Times New Roman" w:cs="Times New Roman"/>
          <w:lang w:val="en-GB"/>
        </w:rPr>
        <w:t xml:space="preserve"> place</w:t>
      </w:r>
      <w:r w:rsidR="00286D0A" w:rsidRPr="007B2800">
        <w:rPr>
          <w:rFonts w:ascii="Times New Roman" w:hAnsi="Times New Roman" w:cs="Times New Roman"/>
          <w:lang w:val="en-GB"/>
        </w:rPr>
        <w:t xml:space="preserve"> of </w:t>
      </w:r>
      <w:r w:rsidR="00286D0A" w:rsidRPr="007B2800">
        <w:rPr>
          <w:rFonts w:ascii="Times New Roman" w:hAnsi="Times New Roman" w:cs="Times New Roman"/>
          <w:i/>
          <w:lang w:val="en-GB"/>
        </w:rPr>
        <w:t>p</w:t>
      </w:r>
      <w:r w:rsidR="00286D0A" w:rsidRPr="007B2800">
        <w:rPr>
          <w:rFonts w:ascii="Times New Roman" w:hAnsi="Times New Roman" w:cs="Times New Roman"/>
          <w:lang w:val="en-GB"/>
        </w:rPr>
        <w:t>.</w:t>
      </w:r>
      <w:r w:rsidR="00286D0A" w:rsidRPr="007B2800">
        <w:rPr>
          <w:rFonts w:ascii="Times New Roman" w:hAnsi="Times New Roman" w:cs="Times New Roman"/>
          <w:i/>
          <w:lang w:val="en-GB"/>
        </w:rPr>
        <w:t xml:space="preserve"> </w:t>
      </w:r>
      <w:r w:rsidR="00C8118B" w:rsidRPr="007B2800">
        <w:rPr>
          <w:rFonts w:ascii="Times New Roman" w:hAnsi="Times New Roman" w:cs="Times New Roman"/>
          <w:lang w:val="en-GB"/>
        </w:rPr>
        <w:t>If</w:t>
      </w:r>
      <w:r w:rsidR="004C31C1" w:rsidRPr="007B2800">
        <w:rPr>
          <w:rFonts w:ascii="Times New Roman" w:hAnsi="Times New Roman" w:cs="Times New Roman"/>
          <w:lang w:val="en-GB"/>
        </w:rPr>
        <w:t xml:space="preserve"> a token of </w:t>
      </w:r>
      <w:r w:rsidR="00CF7579" w:rsidRPr="007B2800">
        <w:rPr>
          <w:rFonts w:ascii="Times New Roman" w:hAnsi="Times New Roman" w:cs="Times New Roman"/>
          <w:lang w:val="en-GB"/>
        </w:rPr>
        <w:t>‘</w:t>
      </w:r>
      <w:r w:rsidR="004C31C1" w:rsidRPr="007B2800">
        <w:rPr>
          <w:rFonts w:ascii="Times New Roman" w:hAnsi="Times New Roman" w:cs="Times New Roman"/>
          <w:lang w:val="en-GB"/>
        </w:rPr>
        <w:t>thusly</w:t>
      </w:r>
      <w:r w:rsidR="00CF7579" w:rsidRPr="007B2800">
        <w:rPr>
          <w:rFonts w:ascii="Times New Roman" w:hAnsi="Times New Roman" w:cs="Times New Roman"/>
          <w:lang w:val="en-GB"/>
        </w:rPr>
        <w:t>’</w:t>
      </w:r>
      <w:r w:rsidR="004C31C1" w:rsidRPr="007B2800">
        <w:rPr>
          <w:rFonts w:ascii="Times New Roman" w:hAnsi="Times New Roman" w:cs="Times New Roman"/>
          <w:lang w:val="en-GB"/>
        </w:rPr>
        <w:t xml:space="preserve"> has a token of </w:t>
      </w:r>
      <w:r w:rsidR="00CF7579" w:rsidRPr="007B2800">
        <w:rPr>
          <w:rFonts w:ascii="Times New Roman" w:hAnsi="Times New Roman" w:cs="Times New Roman"/>
          <w:lang w:val="en-GB"/>
        </w:rPr>
        <w:t>‘</w:t>
      </w:r>
      <w:r w:rsidR="00C8118B" w:rsidRPr="007B2800">
        <w:rPr>
          <w:rFonts w:ascii="Times New Roman" w:hAnsi="Times New Roman" w:cs="Times New Roman"/>
          <w:lang w:val="en-GB"/>
        </w:rPr>
        <w:t>by running</w:t>
      </w:r>
      <w:r w:rsidR="00CF7579" w:rsidRPr="007B2800">
        <w:rPr>
          <w:rFonts w:ascii="Times New Roman" w:hAnsi="Times New Roman" w:cs="Times New Roman"/>
          <w:lang w:val="en-GB"/>
        </w:rPr>
        <w:t>’</w:t>
      </w:r>
      <w:r w:rsidR="004C31C1" w:rsidRPr="007B2800">
        <w:rPr>
          <w:rFonts w:ascii="Times New Roman" w:hAnsi="Times New Roman" w:cs="Times New Roman"/>
          <w:lang w:val="en-GB"/>
        </w:rPr>
        <w:t xml:space="preserve"> as its antecedent</w:t>
      </w:r>
      <w:r w:rsidR="00C8118B" w:rsidRPr="007B2800">
        <w:rPr>
          <w:rFonts w:ascii="Times New Roman" w:hAnsi="Times New Roman" w:cs="Times New Roman"/>
          <w:lang w:val="en-GB"/>
        </w:rPr>
        <w:t>, then</w:t>
      </w:r>
      <w:r w:rsidR="004C31C1" w:rsidRPr="007B2800">
        <w:rPr>
          <w:rFonts w:ascii="Times New Roman" w:hAnsi="Times New Roman" w:cs="Times New Roman"/>
          <w:lang w:val="en-GB"/>
        </w:rPr>
        <w:t xml:space="preserve"> the</w:t>
      </w:r>
      <w:r w:rsidR="00D65801" w:rsidRPr="007B2800">
        <w:rPr>
          <w:rFonts w:ascii="Times New Roman" w:hAnsi="Times New Roman" w:cs="Times New Roman"/>
          <w:lang w:val="en-GB"/>
        </w:rPr>
        <w:t xml:space="preserve"> contents expressed by</w:t>
      </w:r>
      <w:r w:rsidR="00E04632" w:rsidRPr="007B2800">
        <w:rPr>
          <w:rFonts w:ascii="Times New Roman" w:hAnsi="Times New Roman" w:cs="Times New Roman"/>
          <w:lang w:val="en-GB"/>
        </w:rPr>
        <w:t xml:space="preserve"> the</w:t>
      </w:r>
      <w:r w:rsidR="004C31C1" w:rsidRPr="007B2800">
        <w:rPr>
          <w:rFonts w:ascii="Times New Roman" w:hAnsi="Times New Roman" w:cs="Times New Roman"/>
          <w:lang w:val="en-GB"/>
        </w:rPr>
        <w:t xml:space="preserve"> relevant tokens of</w:t>
      </w:r>
      <w:r w:rsidR="00CF7579" w:rsidRPr="007B2800">
        <w:rPr>
          <w:rFonts w:ascii="Times New Roman" w:hAnsi="Times New Roman" w:cs="Times New Roman"/>
          <w:lang w:val="en-GB"/>
        </w:rPr>
        <w:t xml:space="preserve"> ‘</w:t>
      </w:r>
      <w:r w:rsidR="00C8118B" w:rsidRPr="007B2800">
        <w:rPr>
          <w:rFonts w:ascii="Times New Roman" w:hAnsi="Times New Roman" w:cs="Times New Roman"/>
          <w:lang w:val="en-GB"/>
        </w:rPr>
        <w:t>She got there by running</w:t>
      </w:r>
      <w:r w:rsidR="00CF7579" w:rsidRPr="007B2800">
        <w:rPr>
          <w:rFonts w:ascii="Times New Roman" w:hAnsi="Times New Roman" w:cs="Times New Roman"/>
          <w:lang w:val="en-GB"/>
        </w:rPr>
        <w:t>’</w:t>
      </w:r>
      <w:r w:rsidR="00C8118B" w:rsidRPr="007B2800">
        <w:rPr>
          <w:rFonts w:ascii="Times New Roman" w:hAnsi="Times New Roman" w:cs="Times New Roman"/>
          <w:lang w:val="en-GB"/>
        </w:rPr>
        <w:t xml:space="preserve"> and </w:t>
      </w:r>
      <w:r w:rsidR="00CF7579" w:rsidRPr="007B2800">
        <w:rPr>
          <w:rFonts w:ascii="Times New Roman" w:hAnsi="Times New Roman" w:cs="Times New Roman"/>
          <w:lang w:val="en-GB"/>
        </w:rPr>
        <w:t>‘</w:t>
      </w:r>
      <w:r w:rsidR="00C8118B" w:rsidRPr="007B2800">
        <w:rPr>
          <w:rFonts w:ascii="Times New Roman" w:hAnsi="Times New Roman" w:cs="Times New Roman"/>
          <w:lang w:val="en-GB"/>
        </w:rPr>
        <w:t>She got there thusly</w:t>
      </w:r>
      <w:r w:rsidR="00CF7579" w:rsidRPr="007B2800">
        <w:rPr>
          <w:rFonts w:ascii="Times New Roman" w:hAnsi="Times New Roman" w:cs="Times New Roman"/>
          <w:lang w:val="en-GB"/>
        </w:rPr>
        <w:t>’</w:t>
      </w:r>
      <w:r w:rsidR="00C8118B" w:rsidRPr="007B2800">
        <w:rPr>
          <w:rFonts w:ascii="Times New Roman" w:hAnsi="Times New Roman" w:cs="Times New Roman"/>
          <w:lang w:val="en-GB"/>
        </w:rPr>
        <w:t xml:space="preserve"> are </w:t>
      </w:r>
      <w:r w:rsidR="00C8118B" w:rsidRPr="007B2800">
        <w:rPr>
          <w:rFonts w:ascii="Times New Roman" w:hAnsi="Times New Roman" w:cs="Times New Roman"/>
          <w:i/>
          <w:lang w:val="en-GB"/>
        </w:rPr>
        <w:t>a priori</w:t>
      </w:r>
      <w:r w:rsidR="00C8118B" w:rsidRPr="007B2800">
        <w:rPr>
          <w:rFonts w:ascii="Times New Roman" w:hAnsi="Times New Roman" w:cs="Times New Roman"/>
          <w:lang w:val="en-GB"/>
        </w:rPr>
        <w:t xml:space="preserve"> and necessarily equivalent (indeed, they would seem to be identical). This clearly does not hold in the case of (3)</w:t>
      </w:r>
      <w:r w:rsidR="006F764F" w:rsidRPr="007B2800">
        <w:rPr>
          <w:rFonts w:ascii="Times New Roman" w:hAnsi="Times New Roman" w:cs="Times New Roman"/>
          <w:lang w:val="en-GB"/>
        </w:rPr>
        <w:t xml:space="preserve"> and the third sentence of the Bible</w:t>
      </w:r>
      <w:r w:rsidR="00C8118B" w:rsidRPr="007B2800">
        <w:rPr>
          <w:rFonts w:ascii="Times New Roman" w:hAnsi="Times New Roman" w:cs="Times New Roman"/>
          <w:lang w:val="en-GB"/>
        </w:rPr>
        <w:t>, however.</w:t>
      </w:r>
      <w:r w:rsidR="0038054B" w:rsidRPr="007B2800">
        <w:rPr>
          <w:rFonts w:ascii="Times New Roman" w:hAnsi="Times New Roman" w:cs="Times New Roman"/>
          <w:lang w:val="en-GB"/>
        </w:rPr>
        <w:t xml:space="preserve"> </w:t>
      </w:r>
      <w:r w:rsidR="00AC7F13" w:rsidRPr="007B2800">
        <w:rPr>
          <w:rFonts w:ascii="Times New Roman" w:hAnsi="Times New Roman" w:cs="Times New Roman"/>
          <w:lang w:val="en-GB"/>
        </w:rPr>
        <w:t>(</w:t>
      </w:r>
      <w:r w:rsidR="0039224D" w:rsidRPr="007B2800">
        <w:rPr>
          <w:rFonts w:ascii="Times New Roman" w:hAnsi="Times New Roman" w:cs="Times New Roman"/>
          <w:lang w:val="en-GB"/>
        </w:rPr>
        <w:t>Note that</w:t>
      </w:r>
      <w:r w:rsidR="00AC7F13" w:rsidRPr="007B2800">
        <w:rPr>
          <w:rFonts w:ascii="Times New Roman" w:hAnsi="Times New Roman" w:cs="Times New Roman"/>
          <w:lang w:val="en-GB"/>
        </w:rPr>
        <w:t xml:space="preserve"> this argument </w:t>
      </w:r>
      <w:r w:rsidR="002F7303" w:rsidRPr="007B2800">
        <w:rPr>
          <w:rFonts w:ascii="Times New Roman" w:hAnsi="Times New Roman" w:cs="Times New Roman"/>
          <w:lang w:val="en-GB"/>
        </w:rPr>
        <w:t>also targets</w:t>
      </w:r>
      <w:r w:rsidR="00AC7F13" w:rsidRPr="007B2800">
        <w:rPr>
          <w:rFonts w:ascii="Times New Roman" w:hAnsi="Times New Roman" w:cs="Times New Roman"/>
          <w:lang w:val="en-GB"/>
        </w:rPr>
        <w:t xml:space="preserve"> </w:t>
      </w:r>
      <w:r w:rsidR="002F7303" w:rsidRPr="007B2800">
        <w:rPr>
          <w:rFonts w:ascii="Times New Roman" w:hAnsi="Times New Roman" w:cs="Times New Roman"/>
          <w:lang w:val="en-GB"/>
        </w:rPr>
        <w:t>Brandom’s</w:t>
      </w:r>
      <w:r w:rsidR="00AC7F13" w:rsidRPr="007B2800">
        <w:rPr>
          <w:rFonts w:ascii="Times New Roman" w:hAnsi="Times New Roman" w:cs="Times New Roman"/>
          <w:lang w:val="en-GB"/>
        </w:rPr>
        <w:t xml:space="preserve"> claim that (2) is the antecedent of (1).)</w:t>
      </w:r>
      <w:r w:rsidR="00FE7CD5" w:rsidRPr="007B2800">
        <w:rPr>
          <w:rFonts w:ascii="Times New Roman" w:hAnsi="Times New Roman" w:cs="Times New Roman"/>
          <w:lang w:val="en-GB"/>
        </w:rPr>
        <w:t xml:space="preserve"> In view of the</w:t>
      </w:r>
      <w:r w:rsidR="00CF7579" w:rsidRPr="007B2800">
        <w:rPr>
          <w:rFonts w:ascii="Times New Roman" w:hAnsi="Times New Roman" w:cs="Times New Roman"/>
          <w:lang w:val="en-GB"/>
        </w:rPr>
        <w:t>se observations, it seems that ‘</w:t>
      </w:r>
      <w:r w:rsidR="00FE7CD5" w:rsidRPr="007B2800">
        <w:rPr>
          <w:rFonts w:ascii="Times New Roman" w:hAnsi="Times New Roman" w:cs="Times New Roman"/>
          <w:lang w:val="en-GB"/>
        </w:rPr>
        <w:t>Goldbach’s conjecture</w:t>
      </w:r>
      <w:r w:rsidR="00CF7579" w:rsidRPr="007B2800">
        <w:rPr>
          <w:rFonts w:ascii="Times New Roman" w:hAnsi="Times New Roman" w:cs="Times New Roman"/>
          <w:lang w:val="en-GB"/>
        </w:rPr>
        <w:t>’</w:t>
      </w:r>
      <w:r w:rsidR="00FE7CD5" w:rsidRPr="007B2800">
        <w:rPr>
          <w:rFonts w:ascii="Times New Roman" w:hAnsi="Times New Roman" w:cs="Times New Roman"/>
          <w:lang w:val="en-GB"/>
        </w:rPr>
        <w:t xml:space="preserve"> in (1) cannot be taken to inherit its content from (2) </w:t>
      </w:r>
      <w:r w:rsidR="00FE7CD5" w:rsidRPr="007B2800">
        <w:rPr>
          <w:rFonts w:ascii="Times New Roman" w:hAnsi="Times New Roman" w:cs="Times New Roman"/>
          <w:i/>
          <w:lang w:val="en-GB"/>
        </w:rPr>
        <w:t xml:space="preserve">via </w:t>
      </w:r>
      <w:r w:rsidR="00FE7CD5" w:rsidRPr="007B2800">
        <w:rPr>
          <w:rFonts w:ascii="Times New Roman" w:hAnsi="Times New Roman" w:cs="Times New Roman"/>
          <w:lang w:val="en-GB"/>
        </w:rPr>
        <w:t xml:space="preserve">anaphoric dependency. Thus, the only relevant way in which one can relate to (2) in one’s use of </w:t>
      </w:r>
      <w:r w:rsidR="00CF7579" w:rsidRPr="007B2800">
        <w:rPr>
          <w:rFonts w:ascii="Times New Roman" w:hAnsi="Times New Roman" w:cs="Times New Roman"/>
          <w:lang w:val="en-GB"/>
        </w:rPr>
        <w:t>‘</w:t>
      </w:r>
      <w:r w:rsidR="00FE7CD5" w:rsidRPr="007B2800">
        <w:rPr>
          <w:rFonts w:ascii="Times New Roman" w:hAnsi="Times New Roman" w:cs="Times New Roman"/>
          <w:lang w:val="en-GB"/>
        </w:rPr>
        <w:t>Goldbach’s conjecture</w:t>
      </w:r>
      <w:r w:rsidR="00CF7579" w:rsidRPr="007B2800">
        <w:rPr>
          <w:rFonts w:ascii="Times New Roman" w:hAnsi="Times New Roman" w:cs="Times New Roman"/>
          <w:lang w:val="en-GB"/>
        </w:rPr>
        <w:t>’</w:t>
      </w:r>
      <w:r w:rsidR="00FE7CD5" w:rsidRPr="007B2800">
        <w:rPr>
          <w:rFonts w:ascii="Times New Roman" w:hAnsi="Times New Roman" w:cs="Times New Roman"/>
          <w:lang w:val="en-GB"/>
        </w:rPr>
        <w:t xml:space="preserve"> is </w:t>
      </w:r>
      <w:r w:rsidR="00FE7CD5" w:rsidRPr="007B2800">
        <w:rPr>
          <w:rFonts w:ascii="Times New Roman" w:hAnsi="Times New Roman" w:cs="Times New Roman"/>
          <w:i/>
          <w:lang w:val="en-GB"/>
        </w:rPr>
        <w:t>via</w:t>
      </w:r>
      <w:r w:rsidR="00FE7CD5" w:rsidRPr="007B2800">
        <w:rPr>
          <w:rFonts w:ascii="Times New Roman" w:hAnsi="Times New Roman" w:cs="Times New Roman"/>
          <w:lang w:val="en-GB"/>
        </w:rPr>
        <w:t xml:space="preserve"> denotational reference, as Brandom himself claims.</w:t>
      </w:r>
    </w:p>
    <w:p w14:paraId="0817596C" w14:textId="56B6D22F" w:rsidR="00B46DF2" w:rsidRDefault="00B46DF2" w:rsidP="00FB38ED">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Another </w:t>
      </w:r>
      <w:r w:rsidRPr="00BD677A">
        <w:rPr>
          <w:rFonts w:ascii="Times New Roman" w:hAnsi="Times New Roman" w:cs="Times New Roman"/>
          <w:lang w:val="en-GB"/>
        </w:rPr>
        <w:t>conceivable retreat for Brandom is a modification of his account on which ‘Goldbach’s conjecture’ has as its sole function to determine an antecedent from which the content of (1) is inherited, and that the singular term manages to do so without denoting (2) (or some token of it).</w:t>
      </w:r>
      <w:r w:rsidR="00F86F28">
        <w:rPr>
          <w:rStyle w:val="EndnoteReference"/>
          <w:rFonts w:ascii="Times New Roman" w:hAnsi="Times New Roman" w:cs="Times New Roman"/>
          <w:lang w:val="en-GB"/>
        </w:rPr>
        <w:endnoteReference w:id="3"/>
      </w:r>
      <w:r w:rsidRPr="00BD677A">
        <w:rPr>
          <w:rFonts w:ascii="Times New Roman" w:hAnsi="Times New Roman" w:cs="Times New Roman"/>
          <w:lang w:val="en-GB"/>
        </w:rPr>
        <w:t xml:space="preserve"> </w:t>
      </w:r>
      <w:r>
        <w:rPr>
          <w:rFonts w:ascii="Times New Roman" w:hAnsi="Times New Roman" w:cs="Times New Roman"/>
          <w:lang w:val="en-GB"/>
        </w:rPr>
        <w:t xml:space="preserve">But this proposal of course raises the question </w:t>
      </w:r>
      <w:r>
        <w:rPr>
          <w:rFonts w:ascii="Times New Roman" w:hAnsi="Times New Roman" w:cs="Times New Roman"/>
          <w:i/>
          <w:lang w:val="en-GB"/>
        </w:rPr>
        <w:t>how</w:t>
      </w:r>
      <w:r>
        <w:rPr>
          <w:rFonts w:ascii="Times New Roman" w:hAnsi="Times New Roman" w:cs="Times New Roman"/>
          <w:lang w:val="en-GB"/>
        </w:rPr>
        <w:t xml:space="preserve"> ‘Goldbach’s conjecture’ </w:t>
      </w:r>
      <w:r w:rsidRPr="007B2800">
        <w:rPr>
          <w:rFonts w:ascii="Times New Roman" w:hAnsi="Times New Roman" w:cs="Times New Roman"/>
          <w:lang w:val="en-GB"/>
        </w:rPr>
        <w:t>latches on to (2)</w:t>
      </w:r>
      <w:r>
        <w:rPr>
          <w:rFonts w:ascii="Times New Roman" w:hAnsi="Times New Roman" w:cs="Times New Roman"/>
          <w:lang w:val="en-GB"/>
        </w:rPr>
        <w:t xml:space="preserve"> at all</w:t>
      </w:r>
      <w:r w:rsidRPr="007B2800">
        <w:rPr>
          <w:rFonts w:ascii="Times New Roman" w:hAnsi="Times New Roman" w:cs="Times New Roman"/>
          <w:lang w:val="en-GB"/>
        </w:rPr>
        <w:t xml:space="preserve">. </w:t>
      </w:r>
      <w:r>
        <w:rPr>
          <w:rFonts w:ascii="Times New Roman" w:hAnsi="Times New Roman" w:cs="Times New Roman"/>
          <w:lang w:val="en-GB"/>
        </w:rPr>
        <w:t>T</w:t>
      </w:r>
      <w:r w:rsidRPr="007B2800">
        <w:rPr>
          <w:rFonts w:ascii="Times New Roman" w:hAnsi="Times New Roman" w:cs="Times New Roman"/>
          <w:lang w:val="en-GB"/>
        </w:rPr>
        <w:t xml:space="preserve">hese two expressions </w:t>
      </w:r>
      <w:proofErr w:type="gramStart"/>
      <w:r w:rsidRPr="007B2800">
        <w:rPr>
          <w:rFonts w:ascii="Times New Roman" w:hAnsi="Times New Roman" w:cs="Times New Roman"/>
          <w:lang w:val="en-GB"/>
        </w:rPr>
        <w:t>can scarcely be taken to be related</w:t>
      </w:r>
      <w:proofErr w:type="gramEnd"/>
      <w:r w:rsidRPr="007B2800">
        <w:rPr>
          <w:rFonts w:ascii="Times New Roman" w:hAnsi="Times New Roman" w:cs="Times New Roman"/>
          <w:lang w:val="en-GB"/>
        </w:rPr>
        <w:t xml:space="preserve"> the way ‘she’ is related to ‘Mary’ in ‘If Mary is not here, she must be sick’. For ‘Goldbach’s conjecture’ would have to be able to latch on to (2) also in contexts in which (2) has not been uttered, and in which, indeed, neither speaker nor hearer even </w:t>
      </w:r>
      <w:r w:rsidRPr="007B2800">
        <w:rPr>
          <w:rFonts w:ascii="Times New Roman" w:hAnsi="Times New Roman" w:cs="Times New Roman"/>
          <w:i/>
          <w:lang w:val="en-GB"/>
        </w:rPr>
        <w:t>know</w:t>
      </w:r>
      <w:r w:rsidR="0028519E">
        <w:rPr>
          <w:rFonts w:ascii="Times New Roman" w:hAnsi="Times New Roman" w:cs="Times New Roman"/>
          <w:lang w:val="en-GB"/>
        </w:rPr>
        <w:t xml:space="preserve"> w</w:t>
      </w:r>
      <w:r w:rsidRPr="007B2800">
        <w:rPr>
          <w:rFonts w:ascii="Times New Roman" w:hAnsi="Times New Roman" w:cs="Times New Roman"/>
          <w:lang w:val="en-GB"/>
        </w:rPr>
        <w:t xml:space="preserve">hat Goldbach’s conjecture is. And </w:t>
      </w:r>
      <w:r w:rsidR="0028519E">
        <w:rPr>
          <w:rFonts w:ascii="Times New Roman" w:hAnsi="Times New Roman" w:cs="Times New Roman"/>
          <w:lang w:val="en-GB"/>
        </w:rPr>
        <w:t xml:space="preserve">it would be unsatisfactory to claim </w:t>
      </w:r>
      <w:r w:rsidRPr="007B2800">
        <w:rPr>
          <w:rFonts w:ascii="Times New Roman" w:hAnsi="Times New Roman" w:cs="Times New Roman"/>
          <w:lang w:val="en-GB"/>
        </w:rPr>
        <w:t xml:space="preserve">that ‘Goldbach’s conjecture’ determines (2) </w:t>
      </w:r>
      <w:proofErr w:type="gramStart"/>
      <w:r w:rsidRPr="007B2800">
        <w:rPr>
          <w:rFonts w:ascii="Times New Roman" w:hAnsi="Times New Roman" w:cs="Times New Roman"/>
          <w:lang w:val="en-GB"/>
        </w:rPr>
        <w:t xml:space="preserve">as the antecedent of (1) </w:t>
      </w:r>
      <w:r>
        <w:rPr>
          <w:rFonts w:ascii="Times New Roman" w:hAnsi="Times New Roman" w:cs="Times New Roman"/>
          <w:lang w:val="en-GB"/>
        </w:rPr>
        <w:t xml:space="preserve">while holding that there is no explanation of </w:t>
      </w:r>
      <w:r w:rsidRPr="007B2800">
        <w:rPr>
          <w:rFonts w:ascii="Times New Roman" w:hAnsi="Times New Roman" w:cs="Times New Roman"/>
          <w:i/>
          <w:lang w:val="en-GB"/>
        </w:rPr>
        <w:t>how</w:t>
      </w:r>
      <w:r w:rsidRPr="007B2800">
        <w:rPr>
          <w:rFonts w:ascii="Times New Roman" w:hAnsi="Times New Roman" w:cs="Times New Roman"/>
          <w:lang w:val="en-GB"/>
        </w:rPr>
        <w:t xml:space="preserve"> it does so</w:t>
      </w:r>
      <w:proofErr w:type="gramEnd"/>
      <w:r w:rsidR="0028519E">
        <w:rPr>
          <w:rFonts w:ascii="Times New Roman" w:hAnsi="Times New Roman" w:cs="Times New Roman"/>
          <w:lang w:val="en-GB"/>
        </w:rPr>
        <w:t>.</w:t>
      </w:r>
    </w:p>
    <w:p w14:paraId="3BAF1430" w14:textId="197CA300" w:rsidR="00FB38ED" w:rsidRPr="007B2800" w:rsidRDefault="00FB38ED" w:rsidP="00FB38ED">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There may seem to be a way of reconciling Brandom’s and </w:t>
      </w:r>
      <w:proofErr w:type="spellStart"/>
      <w:r w:rsidRPr="007B2800">
        <w:rPr>
          <w:rFonts w:ascii="Times New Roman" w:hAnsi="Times New Roman" w:cs="Times New Roman"/>
          <w:lang w:val="en-GB"/>
        </w:rPr>
        <w:t>Salis’s</w:t>
      </w:r>
      <w:proofErr w:type="spellEnd"/>
      <w:r w:rsidRPr="007B2800">
        <w:rPr>
          <w:rFonts w:ascii="Times New Roman" w:hAnsi="Times New Roman" w:cs="Times New Roman"/>
          <w:lang w:val="en-GB"/>
        </w:rPr>
        <w:t xml:space="preserve"> claims </w:t>
      </w:r>
      <w:r w:rsidR="0003780A">
        <w:rPr>
          <w:rFonts w:ascii="Times New Roman" w:hAnsi="Times New Roman" w:cs="Times New Roman"/>
          <w:lang w:val="en-GB"/>
        </w:rPr>
        <w:t>about (1) and (2)</w:t>
      </w:r>
      <w:r w:rsidRPr="007B2800">
        <w:rPr>
          <w:rFonts w:ascii="Times New Roman" w:hAnsi="Times New Roman" w:cs="Times New Roman"/>
          <w:lang w:val="en-GB"/>
        </w:rPr>
        <w:t xml:space="preserve">, namely, by claiming that </w:t>
      </w:r>
      <w:r w:rsidR="00E67C7E" w:rsidRPr="007B2800">
        <w:rPr>
          <w:rFonts w:ascii="Times New Roman" w:hAnsi="Times New Roman" w:cs="Times New Roman"/>
          <w:lang w:val="en-GB"/>
        </w:rPr>
        <w:t xml:space="preserve">this </w:t>
      </w:r>
      <w:r w:rsidR="00C045D4">
        <w:rPr>
          <w:rFonts w:ascii="Times New Roman" w:hAnsi="Times New Roman" w:cs="Times New Roman"/>
          <w:lang w:val="en-GB"/>
        </w:rPr>
        <w:t xml:space="preserve">particular </w:t>
      </w:r>
      <w:r w:rsidR="00E67C7E" w:rsidRPr="007B2800">
        <w:rPr>
          <w:rFonts w:ascii="Times New Roman" w:hAnsi="Times New Roman" w:cs="Times New Roman"/>
          <w:lang w:val="en-GB"/>
        </w:rPr>
        <w:t xml:space="preserve">case of denotational reference is </w:t>
      </w:r>
      <w:r w:rsidR="00E67C7E" w:rsidRPr="007B2800">
        <w:rPr>
          <w:rFonts w:ascii="Times New Roman" w:hAnsi="Times New Roman" w:cs="Times New Roman"/>
          <w:i/>
          <w:lang w:val="en-GB"/>
        </w:rPr>
        <w:t>included</w:t>
      </w:r>
      <w:r w:rsidR="00E67C7E" w:rsidRPr="007B2800">
        <w:rPr>
          <w:rFonts w:ascii="Times New Roman" w:hAnsi="Times New Roman" w:cs="Times New Roman"/>
          <w:lang w:val="en-GB"/>
        </w:rPr>
        <w:t xml:space="preserve"> among the anaphoric relations. However, </w:t>
      </w:r>
      <w:r w:rsidR="00440CBA" w:rsidRPr="007B2800">
        <w:rPr>
          <w:rFonts w:ascii="Times New Roman" w:hAnsi="Times New Roman" w:cs="Times New Roman"/>
          <w:lang w:val="en-GB"/>
        </w:rPr>
        <w:t xml:space="preserve">this merely </w:t>
      </w:r>
      <w:r w:rsidR="0028519E">
        <w:rPr>
          <w:rFonts w:ascii="Times New Roman" w:hAnsi="Times New Roman" w:cs="Times New Roman"/>
          <w:lang w:val="en-GB"/>
        </w:rPr>
        <w:t xml:space="preserve">widens </w:t>
      </w:r>
      <w:r w:rsidR="00E67C7E" w:rsidRPr="007B2800">
        <w:rPr>
          <w:rFonts w:ascii="Times New Roman" w:hAnsi="Times New Roman" w:cs="Times New Roman"/>
          <w:lang w:val="en-GB"/>
        </w:rPr>
        <w:t>the notion of “anaphoric relations”</w:t>
      </w:r>
      <w:r w:rsidR="0028519E">
        <w:rPr>
          <w:rFonts w:ascii="Times New Roman" w:hAnsi="Times New Roman" w:cs="Times New Roman"/>
          <w:lang w:val="en-GB"/>
        </w:rPr>
        <w:t xml:space="preserve"> by stipulation</w:t>
      </w:r>
      <w:r w:rsidR="00E67C7E" w:rsidRPr="007B2800">
        <w:rPr>
          <w:rFonts w:ascii="Times New Roman" w:hAnsi="Times New Roman" w:cs="Times New Roman"/>
          <w:lang w:val="en-GB"/>
        </w:rPr>
        <w:t xml:space="preserve">. </w:t>
      </w:r>
      <w:r w:rsidR="00440CBA" w:rsidRPr="007B2800">
        <w:rPr>
          <w:rFonts w:ascii="Times New Roman" w:hAnsi="Times New Roman" w:cs="Times New Roman"/>
          <w:lang w:val="en-GB"/>
        </w:rPr>
        <w:t xml:space="preserve">This </w:t>
      </w:r>
      <w:r w:rsidR="0028519E">
        <w:rPr>
          <w:rFonts w:ascii="Times New Roman" w:hAnsi="Times New Roman" w:cs="Times New Roman"/>
          <w:lang w:val="en-GB"/>
        </w:rPr>
        <w:t xml:space="preserve">change of </w:t>
      </w:r>
      <w:r w:rsidR="00440CBA" w:rsidRPr="007B2800">
        <w:rPr>
          <w:rFonts w:ascii="Times New Roman" w:hAnsi="Times New Roman" w:cs="Times New Roman"/>
          <w:lang w:val="en-GB"/>
        </w:rPr>
        <w:t>terminolog</w:t>
      </w:r>
      <w:r w:rsidR="0028519E">
        <w:rPr>
          <w:rFonts w:ascii="Times New Roman" w:hAnsi="Times New Roman" w:cs="Times New Roman"/>
          <w:lang w:val="en-GB"/>
        </w:rPr>
        <w:t xml:space="preserve">y </w:t>
      </w:r>
      <w:r w:rsidR="00440CBA" w:rsidRPr="007B2800">
        <w:rPr>
          <w:rFonts w:ascii="Times New Roman" w:hAnsi="Times New Roman" w:cs="Times New Roman"/>
          <w:lang w:val="en-GB"/>
        </w:rPr>
        <w:t>would not save the account from the objection that “anaphoric relations”, in this special sense, are dif</w:t>
      </w:r>
      <w:r w:rsidR="0028519E">
        <w:rPr>
          <w:rFonts w:ascii="Times New Roman" w:hAnsi="Times New Roman" w:cs="Times New Roman"/>
          <w:lang w:val="en-GB"/>
        </w:rPr>
        <w:t>ferent from anaphoric relations</w:t>
      </w:r>
      <w:r w:rsidR="00440CBA" w:rsidRPr="007B2800">
        <w:rPr>
          <w:rFonts w:ascii="Times New Roman" w:hAnsi="Times New Roman" w:cs="Times New Roman"/>
          <w:lang w:val="en-GB"/>
        </w:rPr>
        <w:t xml:space="preserve"> as we normally conceive of them. </w:t>
      </w:r>
    </w:p>
    <w:p w14:paraId="72F9A3BE" w14:textId="78F0B46A" w:rsidR="00525A97" w:rsidRPr="007B2800" w:rsidRDefault="00B7182F" w:rsidP="00602B65">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The reader may at this point have worried about a dubious assumption underlying Brandom’s treatment of (1), namely, </w:t>
      </w:r>
      <w:r w:rsidR="00037BC3" w:rsidRPr="007B2800">
        <w:rPr>
          <w:rFonts w:ascii="Times New Roman" w:hAnsi="Times New Roman" w:cs="Times New Roman"/>
          <w:lang w:val="en-GB"/>
        </w:rPr>
        <w:t xml:space="preserve">that </w:t>
      </w:r>
      <w:r w:rsidR="00CF7579" w:rsidRPr="007B2800">
        <w:rPr>
          <w:rFonts w:ascii="Times New Roman" w:hAnsi="Times New Roman" w:cs="Times New Roman"/>
          <w:lang w:val="en-GB"/>
        </w:rPr>
        <w:t>‘</w:t>
      </w:r>
      <w:r w:rsidR="00037BC3" w:rsidRPr="007B2800">
        <w:rPr>
          <w:rFonts w:ascii="Times New Roman" w:hAnsi="Times New Roman" w:cs="Times New Roman"/>
          <w:lang w:val="en-GB"/>
        </w:rPr>
        <w:t>Goldbach’s conjecture</w:t>
      </w:r>
      <w:r w:rsidR="00CF7579" w:rsidRPr="007B2800">
        <w:rPr>
          <w:rFonts w:ascii="Times New Roman" w:hAnsi="Times New Roman" w:cs="Times New Roman"/>
          <w:lang w:val="en-GB"/>
        </w:rPr>
        <w:t>’</w:t>
      </w:r>
      <w:r w:rsidR="00037BC3" w:rsidRPr="007B2800">
        <w:rPr>
          <w:rFonts w:ascii="Times New Roman" w:hAnsi="Times New Roman" w:cs="Times New Roman"/>
          <w:lang w:val="en-GB"/>
        </w:rPr>
        <w:t xml:space="preserve"> refers to a particular </w:t>
      </w:r>
      <w:r w:rsidR="00037BC3" w:rsidRPr="007B2800">
        <w:rPr>
          <w:rFonts w:ascii="Times New Roman" w:hAnsi="Times New Roman" w:cs="Times New Roman"/>
          <w:i/>
          <w:lang w:val="en-GB"/>
        </w:rPr>
        <w:t>sentence tokening</w:t>
      </w:r>
      <w:r w:rsidRPr="007B2800">
        <w:rPr>
          <w:rFonts w:ascii="Times New Roman" w:hAnsi="Times New Roman" w:cs="Times New Roman"/>
          <w:lang w:val="en-GB"/>
        </w:rPr>
        <w:t>.</w:t>
      </w:r>
      <w:r w:rsidR="00037BC3" w:rsidRPr="007B2800">
        <w:rPr>
          <w:rFonts w:ascii="Times New Roman" w:hAnsi="Times New Roman" w:cs="Times New Roman"/>
          <w:lang w:val="en-GB"/>
        </w:rPr>
        <w:t xml:space="preserve"> I</w:t>
      </w:r>
      <w:r w:rsidRPr="007B2800">
        <w:rPr>
          <w:rFonts w:ascii="Times New Roman" w:hAnsi="Times New Roman" w:cs="Times New Roman"/>
          <w:lang w:val="en-GB"/>
        </w:rPr>
        <w:t xml:space="preserve">t is certainly more natural and plausible to take </w:t>
      </w:r>
      <w:r w:rsidR="00CF7579" w:rsidRPr="007B2800">
        <w:rPr>
          <w:rFonts w:ascii="Times New Roman" w:hAnsi="Times New Roman" w:cs="Times New Roman"/>
          <w:lang w:val="en-GB"/>
        </w:rPr>
        <w:t>‘</w:t>
      </w:r>
      <w:r w:rsidRPr="007B2800">
        <w:rPr>
          <w:rFonts w:ascii="Times New Roman" w:hAnsi="Times New Roman" w:cs="Times New Roman"/>
          <w:lang w:val="en-GB"/>
        </w:rPr>
        <w:t>Goldbach’s conjecture</w:t>
      </w:r>
      <w:r w:rsidR="00CF7579" w:rsidRPr="007B2800">
        <w:rPr>
          <w:rFonts w:ascii="Times New Roman" w:hAnsi="Times New Roman" w:cs="Times New Roman"/>
          <w:lang w:val="en-GB"/>
        </w:rPr>
        <w:t>’</w:t>
      </w:r>
      <w:r w:rsidRPr="007B2800">
        <w:rPr>
          <w:rFonts w:ascii="Times New Roman" w:hAnsi="Times New Roman" w:cs="Times New Roman"/>
          <w:lang w:val="en-GB"/>
        </w:rPr>
        <w:t xml:space="preserve"> to </w:t>
      </w:r>
      <w:r w:rsidR="00037BC3" w:rsidRPr="007B2800">
        <w:rPr>
          <w:rFonts w:ascii="Times New Roman" w:hAnsi="Times New Roman" w:cs="Times New Roman"/>
          <w:lang w:val="en-GB"/>
        </w:rPr>
        <w:t xml:space="preserve">refer to the </w:t>
      </w:r>
      <w:r w:rsidR="00037BC3" w:rsidRPr="007B2800">
        <w:rPr>
          <w:rFonts w:ascii="Times New Roman" w:hAnsi="Times New Roman" w:cs="Times New Roman"/>
          <w:i/>
          <w:lang w:val="en-GB"/>
        </w:rPr>
        <w:t>proposition that</w:t>
      </w:r>
      <w:r w:rsidR="00037BC3" w:rsidRPr="007B2800">
        <w:rPr>
          <w:rFonts w:ascii="Times New Roman" w:hAnsi="Times New Roman" w:cs="Times New Roman"/>
          <w:lang w:val="en-GB"/>
        </w:rPr>
        <w:t xml:space="preserve"> any even number is the sum of two primes. </w:t>
      </w:r>
      <w:r w:rsidR="00632F47" w:rsidRPr="007B2800">
        <w:rPr>
          <w:rFonts w:ascii="Times New Roman" w:hAnsi="Times New Roman" w:cs="Times New Roman"/>
          <w:lang w:val="en-GB"/>
        </w:rPr>
        <w:t xml:space="preserve">This </w:t>
      </w:r>
      <w:r w:rsidR="00602B65" w:rsidRPr="007B2800">
        <w:rPr>
          <w:rFonts w:ascii="Times New Roman" w:hAnsi="Times New Roman" w:cs="Times New Roman"/>
          <w:lang w:val="en-GB"/>
        </w:rPr>
        <w:t xml:space="preserve">is of course a further problem with Brandom’s view. And note that it cannot easily be modified so as to conform to the more plausible account of the referent of </w:t>
      </w:r>
      <w:r w:rsidR="00CF7579" w:rsidRPr="007B2800">
        <w:rPr>
          <w:rFonts w:ascii="Times New Roman" w:hAnsi="Times New Roman" w:cs="Times New Roman"/>
          <w:lang w:val="en-GB"/>
        </w:rPr>
        <w:t>‘</w:t>
      </w:r>
      <w:r w:rsidR="00602B65" w:rsidRPr="007B2800">
        <w:rPr>
          <w:rFonts w:ascii="Times New Roman" w:hAnsi="Times New Roman" w:cs="Times New Roman"/>
          <w:lang w:val="en-GB"/>
        </w:rPr>
        <w:t>Goldbach’s conjecture</w:t>
      </w:r>
      <w:r w:rsidR="00CF7579" w:rsidRPr="007B2800">
        <w:rPr>
          <w:rFonts w:ascii="Times New Roman" w:hAnsi="Times New Roman" w:cs="Times New Roman"/>
          <w:lang w:val="en-GB"/>
        </w:rPr>
        <w:t>’</w:t>
      </w:r>
      <w:r w:rsidR="00602B65" w:rsidRPr="007B2800">
        <w:rPr>
          <w:rFonts w:ascii="Times New Roman" w:hAnsi="Times New Roman" w:cs="Times New Roman"/>
          <w:lang w:val="en-GB"/>
        </w:rPr>
        <w:t>. For Brandom</w:t>
      </w:r>
      <w:r w:rsidR="005A59C7" w:rsidRPr="007B2800">
        <w:rPr>
          <w:rFonts w:ascii="Times New Roman" w:hAnsi="Times New Roman" w:cs="Times New Roman"/>
          <w:lang w:val="en-GB"/>
        </w:rPr>
        <w:t xml:space="preserve"> cannot very well </w:t>
      </w:r>
      <w:r w:rsidR="007151F2" w:rsidRPr="007B2800">
        <w:rPr>
          <w:rFonts w:ascii="Times New Roman" w:hAnsi="Times New Roman" w:cs="Times New Roman"/>
          <w:lang w:val="en-GB"/>
        </w:rPr>
        <w:t>hold</w:t>
      </w:r>
      <w:r w:rsidR="005A59C7" w:rsidRPr="007B2800">
        <w:rPr>
          <w:rFonts w:ascii="Times New Roman" w:hAnsi="Times New Roman" w:cs="Times New Roman"/>
          <w:lang w:val="en-GB"/>
        </w:rPr>
        <w:t xml:space="preserve"> </w:t>
      </w:r>
      <w:r w:rsidR="007306AD" w:rsidRPr="007B2800">
        <w:rPr>
          <w:rFonts w:ascii="Times New Roman" w:hAnsi="Times New Roman" w:cs="Times New Roman"/>
          <w:lang w:val="en-GB"/>
        </w:rPr>
        <w:t>that</w:t>
      </w:r>
      <w:r w:rsidR="005A59C7" w:rsidRPr="007B2800">
        <w:rPr>
          <w:rFonts w:ascii="Times New Roman" w:hAnsi="Times New Roman" w:cs="Times New Roman"/>
          <w:lang w:val="en-GB"/>
        </w:rPr>
        <w:t xml:space="preserve"> </w:t>
      </w:r>
      <w:r w:rsidR="00EC78F4" w:rsidRPr="007B2800">
        <w:rPr>
          <w:rFonts w:ascii="Times New Roman" w:hAnsi="Times New Roman" w:cs="Times New Roman"/>
          <w:lang w:val="en-GB"/>
        </w:rPr>
        <w:t>‘</w:t>
      </w:r>
      <w:r w:rsidR="005A59C7" w:rsidRPr="007B2800">
        <w:rPr>
          <w:rFonts w:ascii="Times New Roman" w:hAnsi="Times New Roman" w:cs="Times New Roman"/>
          <w:lang w:val="en-GB"/>
        </w:rPr>
        <w:t>Goldbach’s conjecture</w:t>
      </w:r>
      <w:r w:rsidR="00EC78F4" w:rsidRPr="007B2800">
        <w:rPr>
          <w:rFonts w:ascii="Times New Roman" w:hAnsi="Times New Roman" w:cs="Times New Roman"/>
          <w:lang w:val="en-GB"/>
        </w:rPr>
        <w:t>’</w:t>
      </w:r>
      <w:r w:rsidR="001727B6" w:rsidRPr="007B2800">
        <w:rPr>
          <w:rFonts w:ascii="Times New Roman" w:hAnsi="Times New Roman" w:cs="Times New Roman"/>
          <w:lang w:val="en-GB"/>
        </w:rPr>
        <w:t xml:space="preserve"> refers to the proposition</w:t>
      </w:r>
      <w:r w:rsidR="005A59C7" w:rsidRPr="007B2800">
        <w:rPr>
          <w:rFonts w:ascii="Times New Roman" w:hAnsi="Times New Roman" w:cs="Times New Roman"/>
          <w:lang w:val="en-GB"/>
        </w:rPr>
        <w:t xml:space="preserve"> </w:t>
      </w:r>
      <w:r w:rsidR="000F03C0" w:rsidRPr="007B2800">
        <w:rPr>
          <w:rFonts w:ascii="Times New Roman" w:hAnsi="Times New Roman" w:cs="Times New Roman"/>
          <w:lang w:val="en-GB"/>
        </w:rPr>
        <w:t xml:space="preserve">and </w:t>
      </w:r>
      <w:r w:rsidR="002648EE" w:rsidRPr="007B2800">
        <w:rPr>
          <w:rFonts w:ascii="Times New Roman" w:hAnsi="Times New Roman" w:cs="Times New Roman"/>
          <w:lang w:val="en-GB"/>
        </w:rPr>
        <w:t xml:space="preserve">continue to </w:t>
      </w:r>
      <w:r w:rsidR="007151F2" w:rsidRPr="007B2800">
        <w:rPr>
          <w:rFonts w:ascii="Times New Roman" w:hAnsi="Times New Roman" w:cs="Times New Roman"/>
          <w:lang w:val="en-GB"/>
        </w:rPr>
        <w:t>hold</w:t>
      </w:r>
      <w:r w:rsidR="002648EE" w:rsidRPr="007B2800">
        <w:rPr>
          <w:rFonts w:ascii="Times New Roman" w:hAnsi="Times New Roman" w:cs="Times New Roman"/>
          <w:lang w:val="en-GB"/>
        </w:rPr>
        <w:t xml:space="preserve"> </w:t>
      </w:r>
      <w:r w:rsidR="000F03C0" w:rsidRPr="007B2800">
        <w:rPr>
          <w:rFonts w:ascii="Times New Roman" w:hAnsi="Times New Roman" w:cs="Times New Roman"/>
          <w:lang w:val="en-GB"/>
        </w:rPr>
        <w:t>that the antecedent (2) is the antecedent of (1). F</w:t>
      </w:r>
      <w:r w:rsidR="005A59C7" w:rsidRPr="007B2800">
        <w:rPr>
          <w:rFonts w:ascii="Times New Roman" w:hAnsi="Times New Roman" w:cs="Times New Roman"/>
          <w:lang w:val="en-GB"/>
        </w:rPr>
        <w:t xml:space="preserve">or </w:t>
      </w:r>
      <w:r w:rsidR="00AD207D">
        <w:rPr>
          <w:rFonts w:ascii="Times New Roman" w:hAnsi="Times New Roman" w:cs="Times New Roman"/>
          <w:lang w:val="en-GB"/>
        </w:rPr>
        <w:t>if he did, then</w:t>
      </w:r>
      <w:r w:rsidR="005A59C7" w:rsidRPr="007B2800">
        <w:rPr>
          <w:rFonts w:ascii="Times New Roman" w:hAnsi="Times New Roman" w:cs="Times New Roman"/>
          <w:lang w:val="en-GB"/>
        </w:rPr>
        <w:t xml:space="preserve"> the </w:t>
      </w:r>
      <w:r w:rsidR="009E6230" w:rsidRPr="007B2800">
        <w:rPr>
          <w:rFonts w:ascii="Times New Roman" w:hAnsi="Times New Roman" w:cs="Times New Roman"/>
          <w:lang w:val="en-GB"/>
        </w:rPr>
        <w:t xml:space="preserve">relationship between (1) and (2) would be even </w:t>
      </w:r>
      <w:r w:rsidR="00D96024" w:rsidRPr="007B2800">
        <w:rPr>
          <w:rFonts w:ascii="Times New Roman" w:hAnsi="Times New Roman" w:cs="Times New Roman"/>
          <w:lang w:val="en-GB"/>
        </w:rPr>
        <w:t>less</w:t>
      </w:r>
      <w:r w:rsidR="009E6230" w:rsidRPr="007B2800">
        <w:rPr>
          <w:rFonts w:ascii="Times New Roman" w:hAnsi="Times New Roman" w:cs="Times New Roman"/>
          <w:lang w:val="en-GB"/>
        </w:rPr>
        <w:t xml:space="preserve"> direct, and </w:t>
      </w:r>
      <w:r w:rsidR="00B41E9C" w:rsidRPr="007B2800">
        <w:rPr>
          <w:rFonts w:ascii="Times New Roman" w:hAnsi="Times New Roman" w:cs="Times New Roman"/>
          <w:lang w:val="en-GB"/>
        </w:rPr>
        <w:t>would differ even more starkly from paradigmatic</w:t>
      </w:r>
      <w:r w:rsidR="001430CB" w:rsidRPr="007B2800">
        <w:rPr>
          <w:rFonts w:ascii="Times New Roman" w:hAnsi="Times New Roman" w:cs="Times New Roman"/>
          <w:lang w:val="en-GB"/>
        </w:rPr>
        <w:t xml:space="preserve"> cases of anaphor-antecedent relationships. </w:t>
      </w:r>
      <w:r w:rsidR="001727B6" w:rsidRPr="007B2800">
        <w:rPr>
          <w:rFonts w:ascii="Times New Roman" w:hAnsi="Times New Roman" w:cs="Times New Roman"/>
          <w:lang w:val="en-GB"/>
        </w:rPr>
        <w:t>T</w:t>
      </w:r>
      <w:r w:rsidR="002C7651" w:rsidRPr="007B2800">
        <w:rPr>
          <w:rFonts w:ascii="Times New Roman" w:hAnsi="Times New Roman" w:cs="Times New Roman"/>
          <w:lang w:val="en-GB"/>
        </w:rPr>
        <w:t>o wit</w:t>
      </w:r>
      <w:r w:rsidR="0052483F" w:rsidRPr="007B2800">
        <w:rPr>
          <w:rFonts w:ascii="Times New Roman" w:hAnsi="Times New Roman" w:cs="Times New Roman"/>
          <w:lang w:val="en-GB"/>
        </w:rPr>
        <w:t xml:space="preserve">, the </w:t>
      </w:r>
      <w:r w:rsidR="00FC3C10" w:rsidRPr="007B2800">
        <w:rPr>
          <w:rFonts w:ascii="Times New Roman" w:hAnsi="Times New Roman" w:cs="Times New Roman"/>
          <w:lang w:val="en-GB"/>
        </w:rPr>
        <w:t xml:space="preserve">alleged </w:t>
      </w:r>
      <w:r w:rsidR="0052483F" w:rsidRPr="007B2800">
        <w:rPr>
          <w:rFonts w:ascii="Times New Roman" w:hAnsi="Times New Roman" w:cs="Times New Roman"/>
          <w:lang w:val="en-GB"/>
        </w:rPr>
        <w:t>antecedent</w:t>
      </w:r>
      <w:r w:rsidR="00FC3C10" w:rsidRPr="007B2800">
        <w:rPr>
          <w:rFonts w:ascii="Times New Roman" w:hAnsi="Times New Roman" w:cs="Times New Roman"/>
          <w:lang w:val="en-GB"/>
        </w:rPr>
        <w:t xml:space="preserve"> (2)</w:t>
      </w:r>
      <w:r w:rsidR="0052483F" w:rsidRPr="007B2800">
        <w:rPr>
          <w:rFonts w:ascii="Times New Roman" w:hAnsi="Times New Roman" w:cs="Times New Roman"/>
          <w:lang w:val="en-GB"/>
        </w:rPr>
        <w:t xml:space="preserve"> would </w:t>
      </w:r>
      <w:r w:rsidR="00B41E9C" w:rsidRPr="007B2800">
        <w:rPr>
          <w:rFonts w:ascii="Times New Roman" w:hAnsi="Times New Roman" w:cs="Times New Roman"/>
          <w:lang w:val="en-GB"/>
        </w:rPr>
        <w:t>now</w:t>
      </w:r>
      <w:r w:rsidR="002C7651" w:rsidRPr="007B2800">
        <w:rPr>
          <w:rFonts w:ascii="Times New Roman" w:hAnsi="Times New Roman" w:cs="Times New Roman"/>
          <w:lang w:val="en-GB"/>
        </w:rPr>
        <w:t xml:space="preserve"> </w:t>
      </w:r>
      <w:r w:rsidR="0052483F" w:rsidRPr="007B2800">
        <w:rPr>
          <w:rFonts w:ascii="Times New Roman" w:hAnsi="Times New Roman" w:cs="Times New Roman"/>
          <w:lang w:val="en-GB"/>
        </w:rPr>
        <w:t>be determined</w:t>
      </w:r>
      <w:r w:rsidR="00FC3C10" w:rsidRPr="007B2800">
        <w:rPr>
          <w:rFonts w:ascii="Times New Roman" w:hAnsi="Times New Roman" w:cs="Times New Roman"/>
          <w:lang w:val="en-GB"/>
        </w:rPr>
        <w:t>,</w:t>
      </w:r>
      <w:r w:rsidR="0052483F" w:rsidRPr="007B2800">
        <w:rPr>
          <w:rFonts w:ascii="Times New Roman" w:hAnsi="Times New Roman" w:cs="Times New Roman"/>
          <w:lang w:val="en-GB"/>
        </w:rPr>
        <w:t xml:space="preserve"> not </w:t>
      </w:r>
      <w:r w:rsidR="00FC3C10" w:rsidRPr="007B2800">
        <w:rPr>
          <w:rFonts w:ascii="Times New Roman" w:hAnsi="Times New Roman" w:cs="Times New Roman"/>
          <w:lang w:val="en-GB"/>
        </w:rPr>
        <w:t>by being</w:t>
      </w:r>
      <w:r w:rsidR="0052483F" w:rsidRPr="007B2800">
        <w:rPr>
          <w:rFonts w:ascii="Times New Roman" w:hAnsi="Times New Roman" w:cs="Times New Roman"/>
          <w:lang w:val="en-GB"/>
        </w:rPr>
        <w:t xml:space="preserve"> the </w:t>
      </w:r>
      <w:r w:rsidR="0052483F" w:rsidRPr="007B2800">
        <w:rPr>
          <w:rFonts w:ascii="Times New Roman" w:hAnsi="Times New Roman" w:cs="Times New Roman"/>
          <w:i/>
          <w:lang w:val="en-GB"/>
        </w:rPr>
        <w:t>referent</w:t>
      </w:r>
      <w:r w:rsidR="0052483F" w:rsidRPr="007B2800">
        <w:rPr>
          <w:rFonts w:ascii="Times New Roman" w:hAnsi="Times New Roman" w:cs="Times New Roman"/>
          <w:lang w:val="en-GB"/>
        </w:rPr>
        <w:t xml:space="preserve"> of </w:t>
      </w:r>
      <w:r w:rsidR="00AD7500" w:rsidRPr="007B2800">
        <w:rPr>
          <w:rFonts w:ascii="Times New Roman" w:hAnsi="Times New Roman" w:cs="Times New Roman"/>
          <w:lang w:val="en-GB"/>
        </w:rPr>
        <w:t>‘</w:t>
      </w:r>
      <w:r w:rsidR="00FC3C10" w:rsidRPr="007B2800">
        <w:rPr>
          <w:rFonts w:ascii="Times New Roman" w:hAnsi="Times New Roman" w:cs="Times New Roman"/>
          <w:lang w:val="en-GB"/>
        </w:rPr>
        <w:t>Goldbach’s conjecture</w:t>
      </w:r>
      <w:r w:rsidR="00AD7500" w:rsidRPr="007B2800">
        <w:rPr>
          <w:rFonts w:ascii="Times New Roman" w:hAnsi="Times New Roman" w:cs="Times New Roman"/>
          <w:lang w:val="en-GB"/>
        </w:rPr>
        <w:t>’</w:t>
      </w:r>
      <w:r w:rsidR="00FC3C10" w:rsidRPr="007B2800">
        <w:rPr>
          <w:rFonts w:ascii="Times New Roman" w:hAnsi="Times New Roman" w:cs="Times New Roman"/>
          <w:lang w:val="en-GB"/>
        </w:rPr>
        <w:t xml:space="preserve">, but by being a </w:t>
      </w:r>
      <w:r w:rsidR="0052483F" w:rsidRPr="007B2800">
        <w:rPr>
          <w:rFonts w:ascii="Times New Roman" w:hAnsi="Times New Roman" w:cs="Times New Roman"/>
          <w:i/>
          <w:lang w:val="en-GB"/>
        </w:rPr>
        <w:t>sentence expressing the proposition</w:t>
      </w:r>
      <w:r w:rsidR="00775B99" w:rsidRPr="007B2800">
        <w:rPr>
          <w:rFonts w:ascii="Times New Roman" w:hAnsi="Times New Roman" w:cs="Times New Roman"/>
          <w:i/>
          <w:lang w:val="en-GB"/>
        </w:rPr>
        <w:t xml:space="preserve"> that is </w:t>
      </w:r>
      <w:r w:rsidR="009B1337" w:rsidRPr="007B2800">
        <w:rPr>
          <w:rFonts w:ascii="Times New Roman" w:hAnsi="Times New Roman" w:cs="Times New Roman"/>
          <w:i/>
          <w:lang w:val="en-GB"/>
        </w:rPr>
        <w:t>its</w:t>
      </w:r>
      <w:r w:rsidR="00775B99" w:rsidRPr="007B2800">
        <w:rPr>
          <w:rFonts w:ascii="Times New Roman" w:hAnsi="Times New Roman" w:cs="Times New Roman"/>
          <w:i/>
          <w:lang w:val="en-GB"/>
        </w:rPr>
        <w:t xml:space="preserve"> referent</w:t>
      </w:r>
      <w:r w:rsidR="00775B99" w:rsidRPr="007B2800">
        <w:rPr>
          <w:rFonts w:ascii="Times New Roman" w:hAnsi="Times New Roman" w:cs="Times New Roman"/>
          <w:lang w:val="en-GB"/>
        </w:rPr>
        <w:t xml:space="preserve">. </w:t>
      </w:r>
      <w:r w:rsidR="00664BC0" w:rsidRPr="007B2800">
        <w:rPr>
          <w:rFonts w:ascii="Times New Roman" w:hAnsi="Times New Roman" w:cs="Times New Roman"/>
          <w:lang w:val="en-GB"/>
        </w:rPr>
        <w:t xml:space="preserve">Surely, no other </w:t>
      </w:r>
      <w:r w:rsidR="00985393" w:rsidRPr="007B2800">
        <w:rPr>
          <w:rFonts w:ascii="Times New Roman" w:hAnsi="Times New Roman" w:cs="Times New Roman"/>
          <w:lang w:val="en-GB"/>
        </w:rPr>
        <w:t>pro</w:t>
      </w:r>
      <w:r w:rsidR="00664BC0" w:rsidRPr="007B2800">
        <w:rPr>
          <w:rFonts w:ascii="Times New Roman" w:hAnsi="Times New Roman" w:cs="Times New Roman"/>
          <w:lang w:val="en-GB"/>
        </w:rPr>
        <w:t>form relates to its antecedents in this way.</w:t>
      </w:r>
    </w:p>
    <w:p w14:paraId="40672409" w14:textId="4871E5C0" w:rsidR="00CC1DCF" w:rsidRPr="007B2800" w:rsidRDefault="00550062" w:rsidP="00525A97">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To sum up: </w:t>
      </w:r>
      <w:r w:rsidR="00C42C40" w:rsidRPr="007B2800">
        <w:rPr>
          <w:rFonts w:ascii="Times New Roman" w:hAnsi="Times New Roman" w:cs="Times New Roman"/>
          <w:lang w:val="en-GB"/>
        </w:rPr>
        <w:t xml:space="preserve">Brandom </w:t>
      </w:r>
      <w:r w:rsidR="00AD6F7E" w:rsidRPr="007B2800">
        <w:rPr>
          <w:rFonts w:ascii="Times New Roman" w:hAnsi="Times New Roman" w:cs="Times New Roman"/>
          <w:lang w:val="en-GB"/>
        </w:rPr>
        <w:t>cannot</w:t>
      </w:r>
      <w:r w:rsidR="00C42C40" w:rsidRPr="007B2800">
        <w:rPr>
          <w:rFonts w:ascii="Times New Roman" w:hAnsi="Times New Roman" w:cs="Times New Roman"/>
          <w:lang w:val="en-GB"/>
        </w:rPr>
        <w:t xml:space="preserve"> explain the meaning of </w:t>
      </w:r>
      <w:r w:rsidR="00CF7579" w:rsidRPr="007B2800">
        <w:rPr>
          <w:rFonts w:ascii="Times New Roman" w:hAnsi="Times New Roman" w:cs="Times New Roman"/>
          <w:lang w:val="en-GB"/>
        </w:rPr>
        <w:t xml:space="preserve">(1) </w:t>
      </w:r>
      <w:r w:rsidR="00AD6F7E" w:rsidRPr="007B2800">
        <w:rPr>
          <w:rFonts w:ascii="Times New Roman" w:hAnsi="Times New Roman" w:cs="Times New Roman"/>
          <w:lang w:val="en-GB"/>
        </w:rPr>
        <w:t>merely by reference t</w:t>
      </w:r>
      <w:r w:rsidR="0001065D" w:rsidRPr="007B2800">
        <w:rPr>
          <w:rFonts w:ascii="Times New Roman" w:hAnsi="Times New Roman" w:cs="Times New Roman"/>
          <w:lang w:val="en-GB"/>
        </w:rPr>
        <w:t xml:space="preserve">o </w:t>
      </w:r>
      <w:r w:rsidR="00900F0C" w:rsidRPr="007B2800">
        <w:rPr>
          <w:rFonts w:ascii="Times New Roman" w:hAnsi="Times New Roman" w:cs="Times New Roman"/>
          <w:lang w:val="en-GB"/>
        </w:rPr>
        <w:t xml:space="preserve">anaphoric relations or to </w:t>
      </w:r>
      <w:r w:rsidR="0001065D" w:rsidRPr="007B2800">
        <w:rPr>
          <w:rFonts w:ascii="Times New Roman" w:hAnsi="Times New Roman" w:cs="Times New Roman"/>
          <w:lang w:val="en-GB"/>
        </w:rPr>
        <w:t xml:space="preserve">“content inheritance”. </w:t>
      </w:r>
      <w:r w:rsidR="00E169FE" w:rsidRPr="007B2800">
        <w:rPr>
          <w:rFonts w:ascii="Times New Roman" w:hAnsi="Times New Roman" w:cs="Times New Roman"/>
          <w:lang w:val="en-GB"/>
        </w:rPr>
        <w:t>I</w:t>
      </w:r>
      <w:r w:rsidR="00AD6F7E" w:rsidRPr="007B2800">
        <w:rPr>
          <w:rFonts w:ascii="Times New Roman" w:hAnsi="Times New Roman" w:cs="Times New Roman"/>
          <w:lang w:val="en-GB"/>
        </w:rPr>
        <w:t xml:space="preserve">n order to </w:t>
      </w:r>
      <w:r w:rsidR="003550DB" w:rsidRPr="007B2800">
        <w:rPr>
          <w:rFonts w:ascii="Times New Roman" w:hAnsi="Times New Roman" w:cs="Times New Roman"/>
          <w:lang w:val="en-GB"/>
        </w:rPr>
        <w:t>explain</w:t>
      </w:r>
      <w:r w:rsidR="00AD6F7E" w:rsidRPr="007B2800">
        <w:rPr>
          <w:rFonts w:ascii="Times New Roman" w:hAnsi="Times New Roman" w:cs="Times New Roman"/>
          <w:lang w:val="en-GB"/>
        </w:rPr>
        <w:t xml:space="preserve"> how </w:t>
      </w:r>
      <w:r w:rsidR="003550DB" w:rsidRPr="007B2800">
        <w:rPr>
          <w:rFonts w:ascii="Times New Roman" w:hAnsi="Times New Roman" w:cs="Times New Roman"/>
          <w:lang w:val="en-GB"/>
        </w:rPr>
        <w:t>(2)</w:t>
      </w:r>
      <w:r w:rsidR="00AD6F7E" w:rsidRPr="007B2800">
        <w:rPr>
          <w:rFonts w:ascii="Times New Roman" w:hAnsi="Times New Roman" w:cs="Times New Roman"/>
          <w:lang w:val="en-GB"/>
        </w:rPr>
        <w:t xml:space="preserve"> becomes the </w:t>
      </w:r>
      <w:r w:rsidR="003550DB" w:rsidRPr="007B2800">
        <w:rPr>
          <w:rFonts w:ascii="Times New Roman" w:hAnsi="Times New Roman" w:cs="Times New Roman"/>
          <w:lang w:val="en-GB"/>
        </w:rPr>
        <w:t xml:space="preserve">antecedent, he </w:t>
      </w:r>
      <w:r w:rsidR="00CC1DCF" w:rsidRPr="007B2800">
        <w:rPr>
          <w:rFonts w:ascii="Times New Roman" w:hAnsi="Times New Roman" w:cs="Times New Roman"/>
          <w:lang w:val="en-GB"/>
        </w:rPr>
        <w:t>must</w:t>
      </w:r>
      <w:r w:rsidR="003550DB" w:rsidRPr="007B2800">
        <w:rPr>
          <w:rFonts w:ascii="Times New Roman" w:hAnsi="Times New Roman" w:cs="Times New Roman"/>
          <w:lang w:val="en-GB"/>
        </w:rPr>
        <w:t xml:space="preserve"> say</w:t>
      </w:r>
      <w:r w:rsidR="00CC1DCF" w:rsidRPr="007B2800">
        <w:rPr>
          <w:rFonts w:ascii="Times New Roman" w:hAnsi="Times New Roman" w:cs="Times New Roman"/>
          <w:lang w:val="en-GB"/>
        </w:rPr>
        <w:t xml:space="preserve"> (as he actually does)</w:t>
      </w:r>
      <w:r w:rsidR="003550DB" w:rsidRPr="007B2800">
        <w:rPr>
          <w:rFonts w:ascii="Times New Roman" w:hAnsi="Times New Roman" w:cs="Times New Roman"/>
          <w:lang w:val="en-GB"/>
        </w:rPr>
        <w:t xml:space="preserve"> that this happens through </w:t>
      </w:r>
      <w:r w:rsidR="00CF7579" w:rsidRPr="007B2800">
        <w:rPr>
          <w:rFonts w:ascii="Times New Roman" w:hAnsi="Times New Roman" w:cs="Times New Roman"/>
          <w:lang w:val="en-GB"/>
        </w:rPr>
        <w:t>‘</w:t>
      </w:r>
      <w:r w:rsidR="003550DB" w:rsidRPr="007B2800">
        <w:rPr>
          <w:rFonts w:ascii="Times New Roman" w:hAnsi="Times New Roman" w:cs="Times New Roman"/>
          <w:lang w:val="en-GB"/>
        </w:rPr>
        <w:t>Goldbach’s conjecture</w:t>
      </w:r>
      <w:r w:rsidR="00CF7579" w:rsidRPr="007B2800">
        <w:rPr>
          <w:rFonts w:ascii="Times New Roman" w:hAnsi="Times New Roman" w:cs="Times New Roman"/>
          <w:lang w:val="en-GB"/>
        </w:rPr>
        <w:t>’</w:t>
      </w:r>
      <w:r w:rsidR="003550DB" w:rsidRPr="007B2800">
        <w:rPr>
          <w:rFonts w:ascii="Times New Roman" w:hAnsi="Times New Roman" w:cs="Times New Roman"/>
          <w:lang w:val="en-GB"/>
        </w:rPr>
        <w:t xml:space="preserve"> </w:t>
      </w:r>
      <w:r w:rsidR="00CC1DCF" w:rsidRPr="007B2800">
        <w:rPr>
          <w:rFonts w:ascii="Times New Roman" w:hAnsi="Times New Roman" w:cs="Times New Roman"/>
          <w:lang w:val="en-GB"/>
        </w:rPr>
        <w:t xml:space="preserve">denotationally </w:t>
      </w:r>
      <w:r w:rsidR="003550DB" w:rsidRPr="007B2800">
        <w:rPr>
          <w:rFonts w:ascii="Times New Roman" w:hAnsi="Times New Roman" w:cs="Times New Roman"/>
          <w:lang w:val="en-GB"/>
        </w:rPr>
        <w:t xml:space="preserve">referring to (2). And </w:t>
      </w:r>
      <w:r w:rsidR="007A59F9">
        <w:rPr>
          <w:rFonts w:ascii="Times New Roman" w:hAnsi="Times New Roman" w:cs="Times New Roman"/>
          <w:lang w:val="en-GB"/>
        </w:rPr>
        <w:t>my original</w:t>
      </w:r>
      <w:r w:rsidR="003550DB" w:rsidRPr="007B2800">
        <w:rPr>
          <w:rFonts w:ascii="Times New Roman" w:hAnsi="Times New Roman" w:cs="Times New Roman"/>
          <w:lang w:val="en-GB"/>
        </w:rPr>
        <w:t xml:space="preserve"> point was that no other </w:t>
      </w:r>
      <w:r w:rsidR="00985393" w:rsidRPr="007B2800">
        <w:rPr>
          <w:rFonts w:ascii="Times New Roman" w:hAnsi="Times New Roman" w:cs="Times New Roman"/>
          <w:lang w:val="en-GB"/>
        </w:rPr>
        <w:t>pro</w:t>
      </w:r>
      <w:r w:rsidR="003550DB" w:rsidRPr="007B2800">
        <w:rPr>
          <w:rFonts w:ascii="Times New Roman" w:hAnsi="Times New Roman" w:cs="Times New Roman"/>
          <w:lang w:val="en-GB"/>
        </w:rPr>
        <w:t>form works this way</w:t>
      </w:r>
      <w:r w:rsidR="000A3132">
        <w:rPr>
          <w:rFonts w:ascii="Times New Roman" w:hAnsi="Times New Roman" w:cs="Times New Roman"/>
          <w:lang w:val="en-GB"/>
        </w:rPr>
        <w:t>, which in turn casts doubt on (PT)</w:t>
      </w:r>
      <w:r w:rsidR="00572F27" w:rsidRPr="007B2800">
        <w:rPr>
          <w:rFonts w:ascii="Times New Roman" w:hAnsi="Times New Roman" w:cs="Times New Roman"/>
          <w:lang w:val="en-GB"/>
        </w:rPr>
        <w:t>.</w:t>
      </w:r>
    </w:p>
    <w:p w14:paraId="6FF11A9D" w14:textId="5FA59940" w:rsidR="00572F27" w:rsidRPr="007B2800" w:rsidRDefault="00572F27" w:rsidP="00525A97">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Against this, it may </w:t>
      </w:r>
      <w:proofErr w:type="gramStart"/>
      <w:r w:rsidRPr="007B2800">
        <w:rPr>
          <w:rFonts w:ascii="Times New Roman" w:hAnsi="Times New Roman" w:cs="Times New Roman"/>
          <w:lang w:val="en-GB"/>
        </w:rPr>
        <w:t>objected</w:t>
      </w:r>
      <w:proofErr w:type="gramEnd"/>
      <w:r w:rsidRPr="007B2800">
        <w:rPr>
          <w:rFonts w:ascii="Times New Roman" w:hAnsi="Times New Roman" w:cs="Times New Roman"/>
          <w:lang w:val="en-GB"/>
        </w:rPr>
        <w:t xml:space="preserve"> that </w:t>
      </w:r>
      <w:r w:rsidR="0049135B" w:rsidRPr="007B2800">
        <w:rPr>
          <w:rFonts w:ascii="Times New Roman" w:hAnsi="Times New Roman" w:cs="Times New Roman"/>
          <w:lang w:val="en-GB"/>
        </w:rPr>
        <w:t xml:space="preserve">since </w:t>
      </w:r>
      <w:r w:rsidRPr="007B2800">
        <w:rPr>
          <w:rFonts w:ascii="Times New Roman" w:hAnsi="Times New Roman" w:cs="Times New Roman"/>
          <w:lang w:val="en-GB"/>
        </w:rPr>
        <w:t xml:space="preserve">Brandom </w:t>
      </w:r>
      <w:r w:rsidR="0049135B" w:rsidRPr="007B2800">
        <w:rPr>
          <w:rFonts w:ascii="Times New Roman" w:hAnsi="Times New Roman" w:cs="Times New Roman"/>
          <w:lang w:val="en-GB"/>
        </w:rPr>
        <w:t xml:space="preserve">gives an anaphoric account of (denotational) reference, it is not a problem for </w:t>
      </w:r>
      <w:r w:rsidR="0049135B" w:rsidRPr="007B2800">
        <w:rPr>
          <w:rFonts w:ascii="Times New Roman" w:hAnsi="Times New Roman" w:cs="Times New Roman"/>
          <w:i/>
          <w:lang w:val="en-GB"/>
        </w:rPr>
        <w:t>him</w:t>
      </w:r>
      <w:r w:rsidR="0049135B" w:rsidRPr="007B2800">
        <w:rPr>
          <w:rFonts w:ascii="Times New Roman" w:hAnsi="Times New Roman" w:cs="Times New Roman"/>
          <w:lang w:val="en-GB"/>
        </w:rPr>
        <w:t xml:space="preserve"> to take anaphoric dependencies to involve denotational </w:t>
      </w:r>
      <w:r w:rsidR="00935449">
        <w:rPr>
          <w:rFonts w:ascii="Times New Roman" w:hAnsi="Times New Roman" w:cs="Times New Roman"/>
          <w:lang w:val="en-GB"/>
        </w:rPr>
        <w:t xml:space="preserve">reference. </w:t>
      </w:r>
      <w:r w:rsidR="0024493D">
        <w:rPr>
          <w:rFonts w:ascii="Times New Roman" w:hAnsi="Times New Roman" w:cs="Times New Roman"/>
          <w:lang w:val="en-GB"/>
        </w:rPr>
        <w:t xml:space="preserve">But, on the contrary, it does not matter which view of reference Brandom adopts, </w:t>
      </w:r>
      <w:r w:rsidR="00543764" w:rsidRPr="007B2800">
        <w:rPr>
          <w:rFonts w:ascii="Times New Roman" w:hAnsi="Times New Roman" w:cs="Times New Roman"/>
          <w:lang w:val="en-GB"/>
        </w:rPr>
        <w:t xml:space="preserve">since </w:t>
      </w:r>
      <w:r w:rsidR="004A0A71">
        <w:rPr>
          <w:rFonts w:ascii="Times New Roman" w:hAnsi="Times New Roman" w:cs="Times New Roman"/>
          <w:lang w:val="en-GB"/>
        </w:rPr>
        <w:t>it remains the case that paradigmatic proforms do not determine antecedents by way of denotation. This is so whether or not we adopt an “anaphoric” account of denotation.</w:t>
      </w:r>
      <w:r w:rsidR="00F5083E">
        <w:rPr>
          <w:rFonts w:ascii="Times New Roman" w:hAnsi="Times New Roman" w:cs="Times New Roman"/>
          <w:lang w:val="en-GB"/>
        </w:rPr>
        <w:t xml:space="preserve"> </w:t>
      </w:r>
      <w:r w:rsidR="00924688">
        <w:rPr>
          <w:rFonts w:ascii="Times New Roman" w:hAnsi="Times New Roman" w:cs="Times New Roman"/>
          <w:lang w:val="en-GB"/>
        </w:rPr>
        <w:t xml:space="preserve">Just as it </w:t>
      </w:r>
      <w:r w:rsidR="00D77A7D">
        <w:rPr>
          <w:rFonts w:ascii="Times New Roman" w:hAnsi="Times New Roman" w:cs="Times New Roman"/>
          <w:lang w:val="en-GB"/>
        </w:rPr>
        <w:t>is</w:t>
      </w:r>
      <w:r w:rsidR="00924688">
        <w:rPr>
          <w:rFonts w:ascii="Times New Roman" w:hAnsi="Times New Roman" w:cs="Times New Roman"/>
          <w:lang w:val="en-GB"/>
        </w:rPr>
        <w:t xml:space="preserve"> crucial to keep the denotation/anaphoric cross-reference distinction apart from the substantial/deflationary distinction, we must also keep </w:t>
      </w:r>
      <w:r w:rsidR="00154AD4">
        <w:rPr>
          <w:rFonts w:ascii="Times New Roman" w:hAnsi="Times New Roman" w:cs="Times New Roman"/>
          <w:lang w:val="en-GB"/>
        </w:rPr>
        <w:t xml:space="preserve">the relationship between anaphors and antecedent </w:t>
      </w:r>
      <w:r w:rsidR="00414033">
        <w:rPr>
          <w:rFonts w:ascii="Times New Roman" w:hAnsi="Times New Roman" w:cs="Times New Roman"/>
          <w:lang w:val="en-GB"/>
        </w:rPr>
        <w:t xml:space="preserve">apart </w:t>
      </w:r>
      <w:r w:rsidR="00154AD4">
        <w:rPr>
          <w:rFonts w:ascii="Times New Roman" w:hAnsi="Times New Roman" w:cs="Times New Roman"/>
          <w:lang w:val="en-GB"/>
        </w:rPr>
        <w:t>from the re</w:t>
      </w:r>
      <w:r w:rsidR="0028519E">
        <w:rPr>
          <w:rFonts w:ascii="Times New Roman" w:hAnsi="Times New Roman" w:cs="Times New Roman"/>
          <w:lang w:val="en-GB"/>
        </w:rPr>
        <w:t>lationship that holds between “ ‘Snow is white’ </w:t>
      </w:r>
      <w:r w:rsidR="00154AD4">
        <w:rPr>
          <w:rFonts w:ascii="Times New Roman" w:hAnsi="Times New Roman" w:cs="Times New Roman"/>
          <w:lang w:val="en-GB"/>
        </w:rPr>
        <w:t xml:space="preserve">” and ‘Snow is white’. The former always holds between linguistic expressions </w:t>
      </w:r>
      <w:r w:rsidR="00C75ECA">
        <w:rPr>
          <w:rFonts w:ascii="Times New Roman" w:hAnsi="Times New Roman" w:cs="Times New Roman"/>
          <w:lang w:val="en-GB"/>
        </w:rPr>
        <w:t>whereas</w:t>
      </w:r>
      <w:r w:rsidR="00154AD4">
        <w:rPr>
          <w:rFonts w:ascii="Times New Roman" w:hAnsi="Times New Roman" w:cs="Times New Roman"/>
          <w:lang w:val="en-GB"/>
        </w:rPr>
        <w:t xml:space="preserve"> the latter </w:t>
      </w:r>
      <w:r w:rsidR="00C75ECA">
        <w:rPr>
          <w:rFonts w:ascii="Times New Roman" w:hAnsi="Times New Roman" w:cs="Times New Roman"/>
          <w:lang w:val="en-GB"/>
        </w:rPr>
        <w:t xml:space="preserve">only </w:t>
      </w:r>
      <w:r w:rsidR="00154AD4">
        <w:rPr>
          <w:rFonts w:ascii="Times New Roman" w:hAnsi="Times New Roman" w:cs="Times New Roman"/>
          <w:lang w:val="en-GB"/>
        </w:rPr>
        <w:t>sometimes does (as in the example just given)</w:t>
      </w:r>
      <w:r w:rsidR="00766D89">
        <w:rPr>
          <w:rFonts w:ascii="Times New Roman" w:hAnsi="Times New Roman" w:cs="Times New Roman"/>
          <w:lang w:val="en-GB"/>
        </w:rPr>
        <w:t>. B</w:t>
      </w:r>
      <w:r w:rsidR="00154AD4">
        <w:rPr>
          <w:rFonts w:ascii="Times New Roman" w:hAnsi="Times New Roman" w:cs="Times New Roman"/>
          <w:lang w:val="en-GB"/>
        </w:rPr>
        <w:t>ut the latter also holds between ‘Aristotle’ and Aristotle, the flesh-and-blood human, and he could never be an antecedent or an anaphoric expression.</w:t>
      </w:r>
    </w:p>
    <w:p w14:paraId="64CA7658" w14:textId="6B0255C0" w:rsidR="00CF7579" w:rsidRPr="007B2800" w:rsidRDefault="00AC5809" w:rsidP="00F25B8B">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Wha</w:t>
      </w:r>
      <w:r w:rsidR="00E169FE" w:rsidRPr="007B2800">
        <w:rPr>
          <w:rFonts w:ascii="Times New Roman" w:hAnsi="Times New Roman" w:cs="Times New Roman"/>
          <w:lang w:val="en-GB"/>
        </w:rPr>
        <w:t xml:space="preserve">t about </w:t>
      </w:r>
      <w:proofErr w:type="spellStart"/>
      <w:r w:rsidR="00E169FE" w:rsidRPr="007B2800">
        <w:rPr>
          <w:rFonts w:ascii="Times New Roman" w:hAnsi="Times New Roman" w:cs="Times New Roman"/>
          <w:lang w:val="en-GB"/>
        </w:rPr>
        <w:t>Salis’s</w:t>
      </w:r>
      <w:proofErr w:type="spellEnd"/>
      <w:r w:rsidR="00E169FE" w:rsidRPr="007B2800">
        <w:rPr>
          <w:rFonts w:ascii="Times New Roman" w:hAnsi="Times New Roman" w:cs="Times New Roman"/>
          <w:lang w:val="en-GB"/>
        </w:rPr>
        <w:t xml:space="preserve"> complaint that </w:t>
      </w:r>
      <w:r w:rsidR="00383909">
        <w:rPr>
          <w:rFonts w:ascii="Times New Roman" w:hAnsi="Times New Roman" w:cs="Times New Roman"/>
          <w:lang w:val="en-GB"/>
        </w:rPr>
        <w:t>I</w:t>
      </w:r>
      <w:r w:rsidRPr="007B2800">
        <w:rPr>
          <w:rFonts w:ascii="Times New Roman" w:hAnsi="Times New Roman" w:cs="Times New Roman"/>
          <w:lang w:val="en-GB"/>
        </w:rPr>
        <w:t xml:space="preserve"> read Brandom as appealing to a</w:t>
      </w:r>
      <w:r w:rsidR="00BA6A05" w:rsidRPr="007B2800">
        <w:rPr>
          <w:rFonts w:ascii="Times New Roman" w:hAnsi="Times New Roman" w:cs="Times New Roman"/>
          <w:lang w:val="en-GB"/>
        </w:rPr>
        <w:t xml:space="preserve"> </w:t>
      </w:r>
      <w:r w:rsidRPr="007B2800">
        <w:rPr>
          <w:rFonts w:ascii="Times New Roman" w:hAnsi="Times New Roman" w:cs="Times New Roman"/>
          <w:lang w:val="en-GB"/>
        </w:rPr>
        <w:t>non-deflationary notion of re</w:t>
      </w:r>
      <w:r w:rsidR="00F42C74">
        <w:rPr>
          <w:rFonts w:ascii="Times New Roman" w:hAnsi="Times New Roman" w:cs="Times New Roman"/>
          <w:lang w:val="en-GB"/>
        </w:rPr>
        <w:t xml:space="preserve">ference? I did </w:t>
      </w:r>
      <w:r w:rsidR="00E62C92" w:rsidRPr="007B2800">
        <w:rPr>
          <w:rFonts w:ascii="Times New Roman" w:hAnsi="Times New Roman" w:cs="Times New Roman"/>
          <w:lang w:val="en-GB"/>
        </w:rPr>
        <w:t>complain</w:t>
      </w:r>
      <w:r w:rsidRPr="007B2800">
        <w:rPr>
          <w:rFonts w:ascii="Times New Roman" w:hAnsi="Times New Roman" w:cs="Times New Roman"/>
          <w:lang w:val="en-GB"/>
        </w:rPr>
        <w:t xml:space="preserve">, in </w:t>
      </w:r>
      <w:r w:rsidR="00CC1DCF" w:rsidRPr="007B2800">
        <w:rPr>
          <w:rFonts w:ascii="Times New Roman" w:hAnsi="Times New Roman" w:cs="Times New Roman"/>
          <w:lang w:val="en-GB"/>
        </w:rPr>
        <w:t xml:space="preserve">an </w:t>
      </w:r>
      <w:r w:rsidR="00CC1DCF" w:rsidRPr="007B2800">
        <w:rPr>
          <w:rFonts w:ascii="Times New Roman" w:hAnsi="Times New Roman" w:cs="Times New Roman"/>
          <w:i/>
          <w:lang w:val="en-GB"/>
        </w:rPr>
        <w:t xml:space="preserve">ad hominem </w:t>
      </w:r>
      <w:r w:rsidR="00681D80" w:rsidRPr="007B2800">
        <w:rPr>
          <w:rFonts w:ascii="Times New Roman" w:hAnsi="Times New Roman" w:cs="Times New Roman"/>
          <w:lang w:val="en-GB"/>
        </w:rPr>
        <w:t>aside, which was no</w:t>
      </w:r>
      <w:r w:rsidR="00CC1DCF" w:rsidRPr="007B2800">
        <w:rPr>
          <w:rFonts w:ascii="Times New Roman" w:hAnsi="Times New Roman" w:cs="Times New Roman"/>
          <w:lang w:val="en-GB"/>
        </w:rPr>
        <w:t xml:space="preserve"> part of </w:t>
      </w:r>
      <w:r w:rsidR="002F29BA" w:rsidRPr="007B2800">
        <w:rPr>
          <w:rFonts w:ascii="Times New Roman" w:hAnsi="Times New Roman" w:cs="Times New Roman"/>
          <w:lang w:val="en-GB"/>
        </w:rPr>
        <w:t>the</w:t>
      </w:r>
      <w:r w:rsidR="00CC1DCF" w:rsidRPr="007B2800">
        <w:rPr>
          <w:rFonts w:ascii="Times New Roman" w:hAnsi="Times New Roman" w:cs="Times New Roman"/>
          <w:lang w:val="en-GB"/>
        </w:rPr>
        <w:t xml:space="preserve"> argument</w:t>
      </w:r>
      <w:r w:rsidR="002F29BA" w:rsidRPr="007B2800">
        <w:rPr>
          <w:rFonts w:ascii="Times New Roman" w:hAnsi="Times New Roman" w:cs="Times New Roman"/>
          <w:lang w:val="en-GB"/>
        </w:rPr>
        <w:t xml:space="preserve"> we have been discussing</w:t>
      </w:r>
      <w:r w:rsidR="00CC1DCF" w:rsidRPr="007B2800">
        <w:rPr>
          <w:rFonts w:ascii="Times New Roman" w:hAnsi="Times New Roman" w:cs="Times New Roman"/>
          <w:lang w:val="en-GB"/>
        </w:rPr>
        <w:t xml:space="preserve">, </w:t>
      </w:r>
      <w:r w:rsidR="009A340E" w:rsidRPr="007B2800">
        <w:rPr>
          <w:rFonts w:ascii="Times New Roman" w:hAnsi="Times New Roman" w:cs="Times New Roman"/>
          <w:lang w:val="en-GB"/>
        </w:rPr>
        <w:t xml:space="preserve">that Brandom </w:t>
      </w:r>
      <w:r w:rsidR="00F25B8B" w:rsidRPr="007B2800">
        <w:rPr>
          <w:rFonts w:ascii="Times New Roman" w:hAnsi="Times New Roman" w:cs="Times New Roman"/>
          <w:lang w:val="en-GB"/>
        </w:rPr>
        <w:t>“</w:t>
      </w:r>
      <w:r w:rsidR="00612110" w:rsidRPr="007B2800">
        <w:rPr>
          <w:rFonts w:ascii="Times New Roman" w:hAnsi="Times New Roman" w:cs="Times New Roman"/>
          <w:lang w:val="en-GB"/>
        </w:rPr>
        <w:t>makes use of a non-</w:t>
      </w:r>
      <w:r w:rsidR="00F25B8B" w:rsidRPr="007B2800">
        <w:rPr>
          <w:rFonts w:ascii="Times New Roman" w:hAnsi="Times New Roman" w:cs="Times New Roman"/>
          <w:lang w:val="en-GB"/>
        </w:rPr>
        <w:t>deflationary notion of reference, contrary to his professed commitment to esche</w:t>
      </w:r>
      <w:r w:rsidR="00612110" w:rsidRPr="007B2800">
        <w:rPr>
          <w:rFonts w:ascii="Times New Roman" w:hAnsi="Times New Roman" w:cs="Times New Roman"/>
          <w:lang w:val="en-GB"/>
        </w:rPr>
        <w:t>w su</w:t>
      </w:r>
      <w:r w:rsidR="002F29BA" w:rsidRPr="007B2800">
        <w:rPr>
          <w:rFonts w:ascii="Times New Roman" w:hAnsi="Times New Roman" w:cs="Times New Roman"/>
          <w:lang w:val="en-GB"/>
        </w:rPr>
        <w:t>ch representational notions” (2009a:</w:t>
      </w:r>
      <w:r w:rsidR="00612110" w:rsidRPr="007B2800">
        <w:rPr>
          <w:rFonts w:ascii="Times New Roman" w:hAnsi="Times New Roman" w:cs="Times New Roman"/>
          <w:lang w:val="en-GB"/>
        </w:rPr>
        <w:t xml:space="preserve"> </w:t>
      </w:r>
      <w:r w:rsidR="0087581E" w:rsidRPr="007B2800">
        <w:rPr>
          <w:rFonts w:ascii="Times New Roman" w:hAnsi="Times New Roman" w:cs="Times New Roman"/>
          <w:lang w:val="en-GB"/>
        </w:rPr>
        <w:t xml:space="preserve">305). </w:t>
      </w:r>
    </w:p>
    <w:p w14:paraId="5E53C463" w14:textId="38024D91" w:rsidR="00F25B8B" w:rsidRPr="00414033" w:rsidRDefault="00F42C74" w:rsidP="00F25B8B">
      <w:pPr>
        <w:spacing w:line="480" w:lineRule="auto"/>
        <w:ind w:firstLine="720"/>
        <w:jc w:val="both"/>
        <w:rPr>
          <w:rFonts w:ascii="Times New Roman" w:hAnsi="Times New Roman" w:cs="Times New Roman"/>
          <w:lang w:val="en-GB"/>
        </w:rPr>
      </w:pPr>
      <w:r>
        <w:rPr>
          <w:rFonts w:ascii="Times New Roman" w:hAnsi="Times New Roman" w:cs="Times New Roman"/>
          <w:lang w:val="en-GB"/>
        </w:rPr>
        <w:t>I</w:t>
      </w:r>
      <w:r w:rsidR="007F4531" w:rsidRPr="007B2800">
        <w:rPr>
          <w:rFonts w:ascii="Times New Roman" w:hAnsi="Times New Roman" w:cs="Times New Roman"/>
          <w:lang w:val="en-GB"/>
        </w:rPr>
        <w:t xml:space="preserve"> </w:t>
      </w:r>
      <w:r w:rsidR="00EF6C46" w:rsidRPr="007B2800">
        <w:rPr>
          <w:rFonts w:ascii="Times New Roman" w:hAnsi="Times New Roman" w:cs="Times New Roman"/>
          <w:lang w:val="en-GB"/>
        </w:rPr>
        <w:t>was wrong</w:t>
      </w:r>
      <w:r w:rsidR="0087581E" w:rsidRPr="007B2800">
        <w:rPr>
          <w:rFonts w:ascii="Times New Roman" w:hAnsi="Times New Roman" w:cs="Times New Roman"/>
          <w:lang w:val="en-GB"/>
        </w:rPr>
        <w:t>, I believe,</w:t>
      </w:r>
      <w:r w:rsidR="003B16CA" w:rsidRPr="007B2800">
        <w:rPr>
          <w:rFonts w:ascii="Times New Roman" w:hAnsi="Times New Roman" w:cs="Times New Roman"/>
          <w:lang w:val="en-GB"/>
        </w:rPr>
        <w:t xml:space="preserve"> to </w:t>
      </w:r>
      <w:r w:rsidR="00C727F0" w:rsidRPr="007B2800">
        <w:rPr>
          <w:rFonts w:ascii="Times New Roman" w:hAnsi="Times New Roman" w:cs="Times New Roman"/>
          <w:lang w:val="en-GB"/>
        </w:rPr>
        <w:t>add</w:t>
      </w:r>
      <w:r w:rsidR="003B16CA" w:rsidRPr="007B2800">
        <w:rPr>
          <w:rFonts w:ascii="Times New Roman" w:hAnsi="Times New Roman" w:cs="Times New Roman"/>
          <w:lang w:val="en-GB"/>
        </w:rPr>
        <w:t xml:space="preserve"> the qualification “non-deflationary” here. </w:t>
      </w:r>
      <w:r w:rsidR="008E2BA7" w:rsidRPr="007B2800">
        <w:rPr>
          <w:rFonts w:ascii="Times New Roman" w:hAnsi="Times New Roman" w:cs="Times New Roman"/>
          <w:lang w:val="en-GB"/>
        </w:rPr>
        <w:t>For n</w:t>
      </w:r>
      <w:r w:rsidR="00F3088E" w:rsidRPr="007B2800">
        <w:rPr>
          <w:rFonts w:ascii="Times New Roman" w:hAnsi="Times New Roman" w:cs="Times New Roman"/>
          <w:lang w:val="en-GB"/>
        </w:rPr>
        <w:t xml:space="preserve">one of what </w:t>
      </w:r>
      <w:r w:rsidR="003B16CA" w:rsidRPr="007B2800">
        <w:rPr>
          <w:rFonts w:ascii="Times New Roman" w:hAnsi="Times New Roman" w:cs="Times New Roman"/>
          <w:lang w:val="en-GB"/>
        </w:rPr>
        <w:t xml:space="preserve">Brandom </w:t>
      </w:r>
      <w:r w:rsidR="00F3088E" w:rsidRPr="007B2800">
        <w:rPr>
          <w:rFonts w:ascii="Times New Roman" w:hAnsi="Times New Roman" w:cs="Times New Roman"/>
          <w:lang w:val="en-GB"/>
        </w:rPr>
        <w:t>says about (1) precludes him from adopting</w:t>
      </w:r>
      <w:r w:rsidR="003B16CA" w:rsidRPr="007B2800">
        <w:rPr>
          <w:rFonts w:ascii="Times New Roman" w:hAnsi="Times New Roman" w:cs="Times New Roman"/>
          <w:lang w:val="en-GB"/>
        </w:rPr>
        <w:t xml:space="preserve"> a deflationary account of denotational reference</w:t>
      </w:r>
      <w:r w:rsidR="00F3088E" w:rsidRPr="007B2800">
        <w:rPr>
          <w:rFonts w:ascii="Times New Roman" w:hAnsi="Times New Roman" w:cs="Times New Roman"/>
          <w:lang w:val="en-GB"/>
        </w:rPr>
        <w:t>. But the real problem</w:t>
      </w:r>
      <w:r w:rsidR="000B7162" w:rsidRPr="007B2800">
        <w:rPr>
          <w:rFonts w:ascii="Times New Roman" w:hAnsi="Times New Roman" w:cs="Times New Roman"/>
          <w:lang w:val="en-GB"/>
        </w:rPr>
        <w:t>, which still stands,</w:t>
      </w:r>
      <w:r w:rsidR="00F3088E" w:rsidRPr="007B2800">
        <w:rPr>
          <w:rFonts w:ascii="Times New Roman" w:hAnsi="Times New Roman" w:cs="Times New Roman"/>
          <w:lang w:val="en-GB"/>
        </w:rPr>
        <w:t xml:space="preserve"> is </w:t>
      </w:r>
      <w:r w:rsidR="003B16CA" w:rsidRPr="007B2800">
        <w:rPr>
          <w:rFonts w:ascii="Times New Roman" w:hAnsi="Times New Roman" w:cs="Times New Roman"/>
          <w:lang w:val="en-GB"/>
        </w:rPr>
        <w:t xml:space="preserve">that </w:t>
      </w:r>
      <w:r w:rsidR="003E78CE" w:rsidRPr="007B2800">
        <w:rPr>
          <w:rFonts w:ascii="Times New Roman" w:hAnsi="Times New Roman" w:cs="Times New Roman"/>
          <w:lang w:val="en-GB"/>
        </w:rPr>
        <w:t>Brandom</w:t>
      </w:r>
      <w:r w:rsidR="003B16CA" w:rsidRPr="007B2800">
        <w:rPr>
          <w:rFonts w:ascii="Times New Roman" w:hAnsi="Times New Roman" w:cs="Times New Roman"/>
          <w:lang w:val="en-GB"/>
        </w:rPr>
        <w:t xml:space="preserve"> appeals to denotational reference at all, </w:t>
      </w:r>
      <w:r w:rsidR="002E04E3" w:rsidRPr="007B2800">
        <w:rPr>
          <w:rFonts w:ascii="Times New Roman" w:hAnsi="Times New Roman" w:cs="Times New Roman"/>
          <w:lang w:val="en-GB"/>
        </w:rPr>
        <w:t xml:space="preserve">contrary to </w:t>
      </w:r>
      <w:r w:rsidR="00D46F6C" w:rsidRPr="007B2800">
        <w:rPr>
          <w:rFonts w:ascii="Times New Roman" w:hAnsi="Times New Roman" w:cs="Times New Roman"/>
          <w:lang w:val="en-GB"/>
        </w:rPr>
        <w:t>his stated</w:t>
      </w:r>
      <w:r w:rsidR="0095171F" w:rsidRPr="007B2800">
        <w:rPr>
          <w:rFonts w:ascii="Times New Roman" w:hAnsi="Times New Roman" w:cs="Times New Roman"/>
          <w:lang w:val="en-GB"/>
        </w:rPr>
        <w:t xml:space="preserve"> commitment</w:t>
      </w:r>
      <w:r w:rsidR="00D46F6C" w:rsidRPr="007B2800">
        <w:rPr>
          <w:rFonts w:ascii="Times New Roman" w:hAnsi="Times New Roman" w:cs="Times New Roman"/>
          <w:lang w:val="en-GB"/>
        </w:rPr>
        <w:t xml:space="preserve"> to </w:t>
      </w:r>
      <w:r w:rsidR="00D871D5">
        <w:rPr>
          <w:rFonts w:ascii="Times New Roman" w:hAnsi="Times New Roman" w:cs="Times New Roman"/>
          <w:lang w:val="en-GB"/>
        </w:rPr>
        <w:t xml:space="preserve">“turn the explanatory tables on the </w:t>
      </w:r>
      <w:proofErr w:type="spellStart"/>
      <w:r w:rsidR="00D871D5">
        <w:rPr>
          <w:rFonts w:ascii="Times New Roman" w:hAnsi="Times New Roman" w:cs="Times New Roman"/>
          <w:lang w:val="en-GB"/>
        </w:rPr>
        <w:t>representationalist</w:t>
      </w:r>
      <w:proofErr w:type="spellEnd"/>
      <w:r w:rsidR="00D871D5">
        <w:rPr>
          <w:rFonts w:ascii="Times New Roman" w:hAnsi="Times New Roman" w:cs="Times New Roman"/>
          <w:lang w:val="en-GB"/>
        </w:rPr>
        <w:t xml:space="preserve"> tradition” (1994: 136), i.e., of giving an account of </w:t>
      </w:r>
      <w:proofErr w:type="spellStart"/>
      <w:r w:rsidR="00D871D5">
        <w:rPr>
          <w:rFonts w:ascii="Times New Roman" w:hAnsi="Times New Roman" w:cs="Times New Roman"/>
          <w:lang w:val="en-GB"/>
        </w:rPr>
        <w:t>contentfulness</w:t>
      </w:r>
      <w:proofErr w:type="spellEnd"/>
      <w:r w:rsidR="00D871D5">
        <w:rPr>
          <w:rFonts w:ascii="Times New Roman" w:hAnsi="Times New Roman" w:cs="Times New Roman"/>
          <w:lang w:val="en-GB"/>
        </w:rPr>
        <w:t>, etc., in terms of inference</w:t>
      </w:r>
      <w:r w:rsidR="005E40E6">
        <w:rPr>
          <w:rFonts w:ascii="Times New Roman" w:hAnsi="Times New Roman" w:cs="Times New Roman"/>
          <w:lang w:val="en-GB"/>
        </w:rPr>
        <w:t xml:space="preserve"> rather than representational notions like reference</w:t>
      </w:r>
      <w:r w:rsidR="00D871D5">
        <w:rPr>
          <w:rFonts w:ascii="Times New Roman" w:hAnsi="Times New Roman" w:cs="Times New Roman"/>
          <w:lang w:val="en-GB"/>
        </w:rPr>
        <w:t>.</w:t>
      </w:r>
      <w:r w:rsidR="003E1E8D" w:rsidRPr="007B2800">
        <w:rPr>
          <w:rFonts w:ascii="Times New Roman" w:hAnsi="Times New Roman" w:cs="Times New Roman"/>
          <w:lang w:val="en-GB"/>
        </w:rPr>
        <w:t xml:space="preserve"> It does not help that he gives a “deflationist” or “anaphoric” account of denotational reference.</w:t>
      </w:r>
      <w:r w:rsidR="00414033">
        <w:rPr>
          <w:rFonts w:ascii="Times New Roman" w:hAnsi="Times New Roman" w:cs="Times New Roman"/>
          <w:lang w:val="en-GB"/>
        </w:rPr>
        <w:t xml:space="preserve"> At best, he could change his overarching goal to explaining meaning/content </w:t>
      </w:r>
      <w:r w:rsidR="00414033" w:rsidRPr="00C3141D">
        <w:rPr>
          <w:rFonts w:ascii="Times New Roman" w:hAnsi="Times New Roman" w:cs="Times New Roman"/>
          <w:lang w:val="en-GB"/>
        </w:rPr>
        <w:t xml:space="preserve">without appealing to a </w:t>
      </w:r>
      <w:r w:rsidR="00414033" w:rsidRPr="00414033">
        <w:rPr>
          <w:rFonts w:ascii="Times New Roman" w:hAnsi="Times New Roman" w:cs="Times New Roman"/>
          <w:i/>
          <w:lang w:val="en-GB"/>
        </w:rPr>
        <w:t xml:space="preserve">non-deflationary </w:t>
      </w:r>
      <w:r w:rsidR="00414033" w:rsidRPr="00C3141D">
        <w:rPr>
          <w:rFonts w:ascii="Times New Roman" w:hAnsi="Times New Roman" w:cs="Times New Roman"/>
          <w:lang w:val="en-GB"/>
        </w:rPr>
        <w:t>notion of reference</w:t>
      </w:r>
      <w:r w:rsidR="00414033">
        <w:rPr>
          <w:rFonts w:ascii="Times New Roman" w:hAnsi="Times New Roman" w:cs="Times New Roman"/>
          <w:lang w:val="en-GB"/>
        </w:rPr>
        <w:t>. Whether such an amendment would be congenial to his general outlook,</w:t>
      </w:r>
      <w:r w:rsidR="00020BA6">
        <w:rPr>
          <w:rFonts w:ascii="Times New Roman" w:hAnsi="Times New Roman" w:cs="Times New Roman"/>
          <w:lang w:val="en-GB"/>
        </w:rPr>
        <w:t xml:space="preserve"> however, I cannot discuss here</w:t>
      </w:r>
      <w:r w:rsidR="00414033">
        <w:rPr>
          <w:rFonts w:ascii="Times New Roman" w:hAnsi="Times New Roman" w:cs="Times New Roman"/>
          <w:lang w:val="en-GB"/>
        </w:rPr>
        <w:t>.</w:t>
      </w:r>
    </w:p>
    <w:p w14:paraId="1E0CD175" w14:textId="53D02038" w:rsidR="00E70C11" w:rsidRPr="007B2800" w:rsidRDefault="00864183" w:rsidP="004370A7">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Finally, </w:t>
      </w:r>
      <w:r w:rsidR="00E820CA" w:rsidRPr="007B2800">
        <w:rPr>
          <w:rFonts w:ascii="Times New Roman" w:hAnsi="Times New Roman" w:cs="Times New Roman"/>
          <w:lang w:val="en-GB"/>
        </w:rPr>
        <w:t xml:space="preserve">Salis </w:t>
      </w:r>
      <w:r w:rsidR="004370A7" w:rsidRPr="007B2800">
        <w:rPr>
          <w:rFonts w:ascii="Times New Roman" w:hAnsi="Times New Roman" w:cs="Times New Roman"/>
          <w:lang w:val="en-GB"/>
        </w:rPr>
        <w:t>also seems to misunderstand</w:t>
      </w:r>
      <w:r w:rsidR="00E3638F">
        <w:rPr>
          <w:rFonts w:ascii="Times New Roman" w:hAnsi="Times New Roman" w:cs="Times New Roman"/>
          <w:lang w:val="en-GB"/>
        </w:rPr>
        <w:t xml:space="preserve"> my</w:t>
      </w:r>
      <w:r w:rsidR="004370A7" w:rsidRPr="007B2800">
        <w:rPr>
          <w:rFonts w:ascii="Times New Roman" w:hAnsi="Times New Roman" w:cs="Times New Roman"/>
          <w:lang w:val="en-GB"/>
        </w:rPr>
        <w:t xml:space="preserve"> </w:t>
      </w:r>
      <w:r w:rsidR="00F61C55" w:rsidRPr="007B2800">
        <w:rPr>
          <w:rFonts w:ascii="Times New Roman" w:hAnsi="Times New Roman" w:cs="Times New Roman"/>
          <w:lang w:val="en-GB"/>
        </w:rPr>
        <w:t>claim about (1) and (2) being material equivalent</w:t>
      </w:r>
      <w:r w:rsidR="004370A7" w:rsidRPr="007B2800">
        <w:rPr>
          <w:rFonts w:ascii="Times New Roman" w:hAnsi="Times New Roman" w:cs="Times New Roman"/>
          <w:lang w:val="en-GB"/>
        </w:rPr>
        <w:t>. He writes, “The explanation, according to Båve, does not work in terms of anaphoric de</w:t>
      </w:r>
      <w:r w:rsidR="004E1978" w:rsidRPr="007B2800">
        <w:rPr>
          <w:rFonts w:ascii="Times New Roman" w:hAnsi="Times New Roman" w:cs="Times New Roman"/>
          <w:lang w:val="en-GB"/>
        </w:rPr>
        <w:t>pendence: It works in terms of ‘</w:t>
      </w:r>
      <w:r w:rsidR="004370A7" w:rsidRPr="007B2800">
        <w:rPr>
          <w:rFonts w:ascii="Times New Roman" w:hAnsi="Times New Roman" w:cs="Times New Roman"/>
          <w:lang w:val="en-GB"/>
        </w:rPr>
        <w:t>material equivalence</w:t>
      </w:r>
      <w:r w:rsidR="004E1978" w:rsidRPr="007B2800">
        <w:rPr>
          <w:rFonts w:ascii="Times New Roman" w:hAnsi="Times New Roman" w:cs="Times New Roman"/>
          <w:lang w:val="en-GB"/>
        </w:rPr>
        <w:t>’</w:t>
      </w:r>
      <w:r w:rsidR="004370A7" w:rsidRPr="007B2800">
        <w:rPr>
          <w:rFonts w:ascii="Times New Roman" w:hAnsi="Times New Roman" w:cs="Times New Roman"/>
          <w:lang w:val="en-GB"/>
        </w:rPr>
        <w:t xml:space="preserve"> between two sentences, and no proform works in this way for the example above”. But </w:t>
      </w:r>
      <w:r w:rsidR="00E3638F">
        <w:rPr>
          <w:rFonts w:ascii="Times New Roman" w:hAnsi="Times New Roman" w:cs="Times New Roman"/>
          <w:lang w:val="en-GB"/>
        </w:rPr>
        <w:t>I</w:t>
      </w:r>
      <w:r w:rsidR="004370A7" w:rsidRPr="007B2800">
        <w:rPr>
          <w:rFonts w:ascii="Times New Roman" w:hAnsi="Times New Roman" w:cs="Times New Roman"/>
          <w:lang w:val="en-GB"/>
        </w:rPr>
        <w:t xml:space="preserve"> d</w:t>
      </w:r>
      <w:r w:rsidR="00E3638F">
        <w:rPr>
          <w:rFonts w:ascii="Times New Roman" w:hAnsi="Times New Roman" w:cs="Times New Roman"/>
          <w:lang w:val="en-GB"/>
        </w:rPr>
        <w:t>id</w:t>
      </w:r>
      <w:r w:rsidR="004370A7" w:rsidRPr="007B2800">
        <w:rPr>
          <w:rFonts w:ascii="Times New Roman" w:hAnsi="Times New Roman" w:cs="Times New Roman"/>
          <w:lang w:val="en-GB"/>
        </w:rPr>
        <w:t xml:space="preserve"> not attribute to Brandom any view at all about the material equivalence between (1) and (2). </w:t>
      </w:r>
      <w:r w:rsidR="00B46B43">
        <w:rPr>
          <w:rFonts w:ascii="Times New Roman" w:hAnsi="Times New Roman" w:cs="Times New Roman"/>
          <w:lang w:val="en-GB"/>
        </w:rPr>
        <w:t>I merely said</w:t>
      </w:r>
      <w:r w:rsidR="004370A7" w:rsidRPr="007B2800">
        <w:rPr>
          <w:rFonts w:ascii="Times New Roman" w:hAnsi="Times New Roman" w:cs="Times New Roman"/>
          <w:lang w:val="en-GB"/>
        </w:rPr>
        <w:t xml:space="preserve"> they are materially equi</w:t>
      </w:r>
      <w:r w:rsidR="00275CC1">
        <w:rPr>
          <w:rFonts w:ascii="Times New Roman" w:hAnsi="Times New Roman" w:cs="Times New Roman"/>
          <w:lang w:val="en-GB"/>
        </w:rPr>
        <w:t xml:space="preserve">valent. This </w:t>
      </w:r>
      <w:r w:rsidR="00F44C46">
        <w:rPr>
          <w:rFonts w:ascii="Times New Roman" w:hAnsi="Times New Roman" w:cs="Times New Roman"/>
          <w:lang w:val="en-GB"/>
        </w:rPr>
        <w:t>was</w:t>
      </w:r>
      <w:r w:rsidR="00275CC1">
        <w:rPr>
          <w:rFonts w:ascii="Times New Roman" w:hAnsi="Times New Roman" w:cs="Times New Roman"/>
          <w:lang w:val="en-GB"/>
        </w:rPr>
        <w:t xml:space="preserve"> not related to my </w:t>
      </w:r>
      <w:r w:rsidR="004370A7" w:rsidRPr="007B2800">
        <w:rPr>
          <w:rFonts w:ascii="Times New Roman" w:hAnsi="Times New Roman" w:cs="Times New Roman"/>
          <w:lang w:val="en-GB"/>
        </w:rPr>
        <w:t xml:space="preserve">objection </w:t>
      </w:r>
      <w:r w:rsidR="00010AC8" w:rsidRPr="007B2800">
        <w:rPr>
          <w:rFonts w:ascii="Times New Roman" w:hAnsi="Times New Roman" w:cs="Times New Roman"/>
          <w:lang w:val="en-GB"/>
        </w:rPr>
        <w:t>that Brandom’s theory makes ‘</w:t>
      </w:r>
      <w:r w:rsidR="004370A7" w:rsidRPr="007B2800">
        <w:rPr>
          <w:rFonts w:ascii="Times New Roman" w:hAnsi="Times New Roman" w:cs="Times New Roman"/>
          <w:lang w:val="en-GB"/>
        </w:rPr>
        <w:t>true</w:t>
      </w:r>
      <w:r w:rsidR="00010AC8" w:rsidRPr="007B2800">
        <w:rPr>
          <w:rFonts w:ascii="Times New Roman" w:hAnsi="Times New Roman" w:cs="Times New Roman"/>
          <w:lang w:val="en-GB"/>
        </w:rPr>
        <w:t>’</w:t>
      </w:r>
      <w:r w:rsidR="004370A7" w:rsidRPr="007B2800">
        <w:rPr>
          <w:rFonts w:ascii="Times New Roman" w:hAnsi="Times New Roman" w:cs="Times New Roman"/>
          <w:lang w:val="en-GB"/>
        </w:rPr>
        <w:t xml:space="preserve"> different from other </w:t>
      </w:r>
      <w:r w:rsidR="00985393" w:rsidRPr="007B2800">
        <w:rPr>
          <w:rFonts w:ascii="Times New Roman" w:hAnsi="Times New Roman" w:cs="Times New Roman"/>
          <w:lang w:val="en-GB"/>
        </w:rPr>
        <w:t>pro</w:t>
      </w:r>
      <w:r w:rsidR="004370A7" w:rsidRPr="007B2800">
        <w:rPr>
          <w:rFonts w:ascii="Times New Roman" w:hAnsi="Times New Roman" w:cs="Times New Roman"/>
          <w:lang w:val="en-GB"/>
        </w:rPr>
        <w:t>forms.</w:t>
      </w:r>
      <w:r w:rsidR="00982901" w:rsidRPr="007B2800">
        <w:rPr>
          <w:rFonts w:ascii="Times New Roman" w:hAnsi="Times New Roman" w:cs="Times New Roman"/>
          <w:lang w:val="en-GB"/>
        </w:rPr>
        <w:t xml:space="preserve"> </w:t>
      </w:r>
    </w:p>
    <w:p w14:paraId="3D157ABA" w14:textId="77777777" w:rsidR="00982901" w:rsidRPr="007B2800" w:rsidRDefault="00982901" w:rsidP="00E70C11">
      <w:pPr>
        <w:spacing w:line="480" w:lineRule="auto"/>
        <w:jc w:val="both"/>
        <w:rPr>
          <w:rFonts w:ascii="Times New Roman" w:hAnsi="Times New Roman" w:cs="Times New Roman"/>
          <w:lang w:val="en-GB"/>
        </w:rPr>
      </w:pPr>
    </w:p>
    <w:p w14:paraId="148DB61D" w14:textId="6D024B8A" w:rsidR="00E60515" w:rsidRPr="007B2800" w:rsidRDefault="00AC2E93" w:rsidP="00A532F3">
      <w:pPr>
        <w:spacing w:line="480" w:lineRule="auto"/>
        <w:jc w:val="both"/>
        <w:rPr>
          <w:rFonts w:ascii="Times New Roman" w:hAnsi="Times New Roman" w:cs="Times New Roman"/>
          <w:lang w:val="en-GB"/>
        </w:rPr>
      </w:pPr>
      <w:r w:rsidRPr="007B2800">
        <w:rPr>
          <w:rFonts w:ascii="Times New Roman" w:hAnsi="Times New Roman" w:cs="Times New Roman"/>
          <w:lang w:val="en-GB"/>
        </w:rPr>
        <w:t xml:space="preserve">Let us now turn to </w:t>
      </w:r>
      <w:proofErr w:type="spellStart"/>
      <w:r w:rsidR="00E3148B" w:rsidRPr="007B2800">
        <w:rPr>
          <w:rFonts w:ascii="Times New Roman" w:hAnsi="Times New Roman" w:cs="Times New Roman"/>
          <w:lang w:val="en-GB"/>
        </w:rPr>
        <w:t>Salis</w:t>
      </w:r>
      <w:r w:rsidRPr="007B2800">
        <w:rPr>
          <w:rFonts w:ascii="Times New Roman" w:hAnsi="Times New Roman" w:cs="Times New Roman"/>
          <w:lang w:val="en-GB"/>
        </w:rPr>
        <w:t>’s</w:t>
      </w:r>
      <w:proofErr w:type="spellEnd"/>
      <w:r w:rsidRPr="007B2800">
        <w:rPr>
          <w:rFonts w:ascii="Times New Roman" w:hAnsi="Times New Roman" w:cs="Times New Roman"/>
          <w:lang w:val="en-GB"/>
        </w:rPr>
        <w:t xml:space="preserve"> </w:t>
      </w:r>
      <w:r w:rsidR="004F6A92" w:rsidRPr="007B2800">
        <w:rPr>
          <w:rFonts w:ascii="Times New Roman" w:hAnsi="Times New Roman" w:cs="Times New Roman"/>
          <w:lang w:val="en-GB"/>
        </w:rPr>
        <w:t>objections against</w:t>
      </w:r>
      <w:r w:rsidRPr="007B2800">
        <w:rPr>
          <w:rFonts w:ascii="Times New Roman" w:hAnsi="Times New Roman" w:cs="Times New Roman"/>
          <w:lang w:val="en-GB"/>
        </w:rPr>
        <w:t xml:space="preserve"> </w:t>
      </w:r>
      <w:r w:rsidR="009E6256">
        <w:rPr>
          <w:rFonts w:ascii="Times New Roman" w:hAnsi="Times New Roman" w:cs="Times New Roman"/>
          <w:lang w:val="en-GB"/>
        </w:rPr>
        <w:t>my</w:t>
      </w:r>
      <w:r w:rsidR="005D588A" w:rsidRPr="007B2800">
        <w:rPr>
          <w:rFonts w:ascii="Times New Roman" w:hAnsi="Times New Roman" w:cs="Times New Roman"/>
          <w:lang w:val="en-GB"/>
        </w:rPr>
        <w:t xml:space="preserve"> main criti</w:t>
      </w:r>
      <w:r w:rsidR="001A5890" w:rsidRPr="007B2800">
        <w:rPr>
          <w:rFonts w:ascii="Times New Roman" w:hAnsi="Times New Roman" w:cs="Times New Roman"/>
          <w:lang w:val="en-GB"/>
        </w:rPr>
        <w:t>que</w:t>
      </w:r>
      <w:r w:rsidR="005D588A" w:rsidRPr="007B2800">
        <w:rPr>
          <w:rFonts w:ascii="Times New Roman" w:hAnsi="Times New Roman" w:cs="Times New Roman"/>
          <w:lang w:val="en-GB"/>
        </w:rPr>
        <w:t xml:space="preserve"> </w:t>
      </w:r>
      <w:r w:rsidR="001A5890" w:rsidRPr="007B2800">
        <w:rPr>
          <w:rFonts w:ascii="Times New Roman" w:hAnsi="Times New Roman" w:cs="Times New Roman"/>
          <w:lang w:val="en-GB"/>
        </w:rPr>
        <w:t>of</w:t>
      </w:r>
      <w:r w:rsidR="005D588A" w:rsidRPr="007B2800">
        <w:rPr>
          <w:rFonts w:ascii="Times New Roman" w:hAnsi="Times New Roman" w:cs="Times New Roman"/>
          <w:lang w:val="en-GB"/>
        </w:rPr>
        <w:t xml:space="preserve"> (PT) (both</w:t>
      </w:r>
      <w:r w:rsidR="00E16869">
        <w:rPr>
          <w:rFonts w:ascii="Times New Roman" w:hAnsi="Times New Roman" w:cs="Times New Roman"/>
          <w:lang w:val="en-GB"/>
        </w:rPr>
        <w:t xml:space="preserve"> of</w:t>
      </w:r>
      <w:r w:rsidR="005D588A" w:rsidRPr="007B2800">
        <w:rPr>
          <w:rFonts w:ascii="Times New Roman" w:hAnsi="Times New Roman" w:cs="Times New Roman"/>
          <w:lang w:val="en-GB"/>
        </w:rPr>
        <w:t xml:space="preserve"> the original version and </w:t>
      </w:r>
      <w:r w:rsidR="009822B0">
        <w:rPr>
          <w:rFonts w:ascii="Times New Roman" w:hAnsi="Times New Roman" w:cs="Times New Roman"/>
          <w:lang w:val="en-GB"/>
        </w:rPr>
        <w:t xml:space="preserve">of </w:t>
      </w:r>
      <w:r w:rsidR="005D588A" w:rsidRPr="007B2800">
        <w:rPr>
          <w:rFonts w:ascii="Times New Roman" w:hAnsi="Times New Roman" w:cs="Times New Roman"/>
          <w:lang w:val="en-GB"/>
        </w:rPr>
        <w:t xml:space="preserve">Brandom’s). </w:t>
      </w:r>
      <w:r w:rsidR="009E6256">
        <w:rPr>
          <w:rFonts w:ascii="Times New Roman" w:hAnsi="Times New Roman" w:cs="Times New Roman"/>
          <w:lang w:val="en-GB"/>
        </w:rPr>
        <w:t xml:space="preserve">My </w:t>
      </w:r>
      <w:r w:rsidR="00BD5AE8" w:rsidRPr="007B2800">
        <w:rPr>
          <w:rFonts w:ascii="Times New Roman" w:hAnsi="Times New Roman" w:cs="Times New Roman"/>
          <w:lang w:val="en-GB"/>
        </w:rPr>
        <w:t xml:space="preserve">point was the following: </w:t>
      </w:r>
      <w:r w:rsidR="00123DD4">
        <w:rPr>
          <w:rFonts w:ascii="Times New Roman" w:hAnsi="Times New Roman" w:cs="Times New Roman"/>
          <w:lang w:val="en-GB"/>
        </w:rPr>
        <w:t>t</w:t>
      </w:r>
      <w:r w:rsidR="00BD5AE8" w:rsidRPr="007B2800">
        <w:rPr>
          <w:rFonts w:ascii="Times New Roman" w:hAnsi="Times New Roman" w:cs="Times New Roman"/>
          <w:lang w:val="en-GB"/>
        </w:rPr>
        <w:t>hat certain sentences</w:t>
      </w:r>
      <w:r w:rsidR="0049194F" w:rsidRPr="007B2800">
        <w:rPr>
          <w:rFonts w:ascii="Times New Roman" w:hAnsi="Times New Roman" w:cs="Times New Roman"/>
          <w:lang w:val="en-GB"/>
        </w:rPr>
        <w:t xml:space="preserve"> containing </w:t>
      </w:r>
      <w:r w:rsidR="00DA7F12" w:rsidRPr="007B2800">
        <w:rPr>
          <w:rFonts w:ascii="Times New Roman" w:hAnsi="Times New Roman" w:cs="Times New Roman"/>
          <w:lang w:val="en-GB"/>
        </w:rPr>
        <w:t>‘</w:t>
      </w:r>
      <w:r w:rsidR="0049194F" w:rsidRPr="007B2800">
        <w:rPr>
          <w:rFonts w:ascii="Times New Roman" w:hAnsi="Times New Roman" w:cs="Times New Roman"/>
          <w:lang w:val="en-GB"/>
        </w:rPr>
        <w:t>true</w:t>
      </w:r>
      <w:r w:rsidR="00DA7F12" w:rsidRPr="007B2800">
        <w:rPr>
          <w:rFonts w:ascii="Times New Roman" w:hAnsi="Times New Roman" w:cs="Times New Roman"/>
          <w:lang w:val="en-GB"/>
        </w:rPr>
        <w:t>’</w:t>
      </w:r>
      <w:r w:rsidR="00BD5AE8" w:rsidRPr="007B2800">
        <w:rPr>
          <w:rFonts w:ascii="Times New Roman" w:hAnsi="Times New Roman" w:cs="Times New Roman"/>
          <w:lang w:val="en-GB"/>
        </w:rPr>
        <w:t xml:space="preserve"> are equivalent</w:t>
      </w:r>
      <w:r w:rsidR="0049194F" w:rsidRPr="007B2800">
        <w:rPr>
          <w:rFonts w:ascii="Times New Roman" w:hAnsi="Times New Roman" w:cs="Times New Roman"/>
          <w:lang w:val="en-GB"/>
        </w:rPr>
        <w:t xml:space="preserve"> with,</w:t>
      </w:r>
      <w:r w:rsidR="008641D1">
        <w:rPr>
          <w:rFonts w:ascii="Times New Roman" w:hAnsi="Times New Roman" w:cs="Times New Roman"/>
          <w:lang w:val="en-GB"/>
        </w:rPr>
        <w:t xml:space="preserve"> are</w:t>
      </w:r>
      <w:r w:rsidR="0049194F" w:rsidRPr="007B2800">
        <w:rPr>
          <w:rFonts w:ascii="Times New Roman" w:hAnsi="Times New Roman" w:cs="Times New Roman"/>
          <w:lang w:val="en-GB"/>
        </w:rPr>
        <w:t xml:space="preserve"> consequences of, or entail, other sentences</w:t>
      </w:r>
      <w:r w:rsidR="00BD5AE8" w:rsidRPr="007B2800">
        <w:rPr>
          <w:rFonts w:ascii="Times New Roman" w:hAnsi="Times New Roman" w:cs="Times New Roman"/>
          <w:lang w:val="en-GB"/>
        </w:rPr>
        <w:t xml:space="preserve">, </w:t>
      </w:r>
      <w:r w:rsidR="00C52C99" w:rsidRPr="007B2800">
        <w:rPr>
          <w:rFonts w:ascii="Times New Roman" w:hAnsi="Times New Roman" w:cs="Times New Roman"/>
          <w:lang w:val="en-GB"/>
        </w:rPr>
        <w:t>is part of</w:t>
      </w:r>
      <w:r w:rsidR="0049194F" w:rsidRPr="007B2800">
        <w:rPr>
          <w:rFonts w:ascii="Times New Roman" w:hAnsi="Times New Roman" w:cs="Times New Roman"/>
          <w:lang w:val="en-GB"/>
        </w:rPr>
        <w:t xml:space="preserve"> the</w:t>
      </w:r>
      <w:r w:rsidR="00BD5AE8" w:rsidRPr="007B2800">
        <w:rPr>
          <w:rFonts w:ascii="Times New Roman" w:hAnsi="Times New Roman" w:cs="Times New Roman"/>
          <w:lang w:val="en-GB"/>
        </w:rPr>
        <w:t xml:space="preserve"> linguistic data that a theory about </w:t>
      </w:r>
      <w:r w:rsidR="00AD633C" w:rsidRPr="007B2800">
        <w:rPr>
          <w:rFonts w:ascii="Times New Roman" w:hAnsi="Times New Roman" w:cs="Times New Roman"/>
          <w:lang w:val="en-GB"/>
        </w:rPr>
        <w:t>‘</w:t>
      </w:r>
      <w:r w:rsidR="00BD5AE8" w:rsidRPr="007B2800">
        <w:rPr>
          <w:rFonts w:ascii="Times New Roman" w:hAnsi="Times New Roman" w:cs="Times New Roman"/>
          <w:lang w:val="en-GB"/>
        </w:rPr>
        <w:t>true</w:t>
      </w:r>
      <w:r w:rsidR="00AD633C" w:rsidRPr="007B2800">
        <w:rPr>
          <w:rFonts w:ascii="Times New Roman" w:hAnsi="Times New Roman" w:cs="Times New Roman"/>
          <w:lang w:val="en-GB"/>
        </w:rPr>
        <w:t>’</w:t>
      </w:r>
      <w:r w:rsidR="00BD5AE8" w:rsidRPr="007B2800">
        <w:rPr>
          <w:rFonts w:ascii="Times New Roman" w:hAnsi="Times New Roman" w:cs="Times New Roman"/>
          <w:lang w:val="en-GB"/>
        </w:rPr>
        <w:t xml:space="preserve"> should explain. </w:t>
      </w:r>
      <w:r w:rsidR="001D5BA5" w:rsidRPr="007B2800">
        <w:rPr>
          <w:rFonts w:ascii="Times New Roman" w:hAnsi="Times New Roman" w:cs="Times New Roman"/>
          <w:lang w:val="en-GB"/>
        </w:rPr>
        <w:t>One of the data, for instance,</w:t>
      </w:r>
      <w:r w:rsidR="008641D1">
        <w:rPr>
          <w:rFonts w:ascii="Times New Roman" w:hAnsi="Times New Roman" w:cs="Times New Roman"/>
          <w:lang w:val="en-GB"/>
        </w:rPr>
        <w:t xml:space="preserve"> is</w:t>
      </w:r>
      <w:r w:rsidR="001D5BA5" w:rsidRPr="007B2800">
        <w:rPr>
          <w:rFonts w:ascii="Times New Roman" w:hAnsi="Times New Roman" w:cs="Times New Roman"/>
          <w:lang w:val="en-GB"/>
        </w:rPr>
        <w:t xml:space="preserve"> that </w:t>
      </w:r>
      <w:r w:rsidR="00B37649" w:rsidRPr="007B2800">
        <w:rPr>
          <w:rFonts w:ascii="Times New Roman" w:hAnsi="Times New Roman" w:cs="Times New Roman"/>
          <w:lang w:val="en-GB"/>
        </w:rPr>
        <w:t>‘</w:t>
      </w:r>
      <w:r w:rsidR="001D5BA5" w:rsidRPr="007B2800">
        <w:rPr>
          <w:rFonts w:ascii="Times New Roman" w:hAnsi="Times New Roman" w:cs="Times New Roman"/>
          <w:lang w:val="en-GB"/>
        </w:rPr>
        <w:t>What John said is true</w:t>
      </w:r>
      <w:r w:rsidR="00B37649" w:rsidRPr="007B2800">
        <w:rPr>
          <w:rFonts w:ascii="Times New Roman" w:hAnsi="Times New Roman" w:cs="Times New Roman"/>
          <w:lang w:val="en-GB"/>
        </w:rPr>
        <w:t>’</w:t>
      </w:r>
      <w:r w:rsidR="001D5BA5" w:rsidRPr="007B2800">
        <w:rPr>
          <w:rFonts w:ascii="Times New Roman" w:hAnsi="Times New Roman" w:cs="Times New Roman"/>
          <w:lang w:val="en-GB"/>
        </w:rPr>
        <w:t xml:space="preserve">, </w:t>
      </w:r>
      <w:r w:rsidR="00B37649" w:rsidRPr="007B2800">
        <w:rPr>
          <w:rFonts w:ascii="Times New Roman" w:hAnsi="Times New Roman" w:cs="Times New Roman"/>
          <w:lang w:val="en-GB"/>
        </w:rPr>
        <w:t>‘</w:t>
      </w:r>
      <w:r w:rsidR="001D5BA5" w:rsidRPr="007B2800">
        <w:rPr>
          <w:rFonts w:ascii="Times New Roman" w:hAnsi="Times New Roman" w:cs="Times New Roman"/>
          <w:lang w:val="en-GB"/>
        </w:rPr>
        <w:t>John said that snow is white</w:t>
      </w:r>
      <w:r w:rsidR="00B37649" w:rsidRPr="007B2800">
        <w:rPr>
          <w:rFonts w:ascii="Times New Roman" w:hAnsi="Times New Roman" w:cs="Times New Roman"/>
          <w:lang w:val="en-GB"/>
        </w:rPr>
        <w:t>’</w:t>
      </w:r>
      <w:r w:rsidR="001D5BA5" w:rsidRPr="007B2800">
        <w:rPr>
          <w:rFonts w:ascii="Times New Roman" w:hAnsi="Times New Roman" w:cs="Times New Roman"/>
          <w:lang w:val="en-GB"/>
        </w:rPr>
        <w:t xml:space="preserve"> jointly entail, </w:t>
      </w:r>
      <w:r w:rsidR="00B37649" w:rsidRPr="007B2800">
        <w:rPr>
          <w:rFonts w:ascii="Times New Roman" w:hAnsi="Times New Roman" w:cs="Times New Roman"/>
          <w:lang w:val="en-GB"/>
        </w:rPr>
        <w:t>‘</w:t>
      </w:r>
      <w:r w:rsidR="001D5BA5" w:rsidRPr="007B2800">
        <w:rPr>
          <w:rFonts w:ascii="Times New Roman" w:hAnsi="Times New Roman" w:cs="Times New Roman"/>
          <w:lang w:val="en-GB"/>
        </w:rPr>
        <w:t>Snow is white</w:t>
      </w:r>
      <w:r w:rsidR="00B37649" w:rsidRPr="007B2800">
        <w:rPr>
          <w:rFonts w:ascii="Times New Roman" w:hAnsi="Times New Roman" w:cs="Times New Roman"/>
          <w:lang w:val="en-GB"/>
        </w:rPr>
        <w:t>’</w:t>
      </w:r>
      <w:r w:rsidR="001D5BA5" w:rsidRPr="007B2800">
        <w:rPr>
          <w:rFonts w:ascii="Times New Roman" w:hAnsi="Times New Roman" w:cs="Times New Roman"/>
          <w:lang w:val="en-GB"/>
        </w:rPr>
        <w:t xml:space="preserve">. </w:t>
      </w:r>
      <w:r w:rsidR="00A532F3" w:rsidRPr="007B2800">
        <w:rPr>
          <w:rFonts w:ascii="Times New Roman" w:hAnsi="Times New Roman" w:cs="Times New Roman"/>
          <w:lang w:val="en-GB"/>
        </w:rPr>
        <w:t>But</w:t>
      </w:r>
      <w:r w:rsidR="00E60515" w:rsidRPr="007B2800">
        <w:rPr>
          <w:rFonts w:ascii="Times New Roman" w:hAnsi="Times New Roman" w:cs="Times New Roman"/>
          <w:lang w:val="en-GB"/>
        </w:rPr>
        <w:t xml:space="preserve"> since talk of anaphoric relationships can be cashed out in terms of such relations as equivalence or consequence</w:t>
      </w:r>
      <w:r w:rsidR="00A532F3" w:rsidRPr="007B2800">
        <w:rPr>
          <w:rFonts w:ascii="Times New Roman" w:hAnsi="Times New Roman" w:cs="Times New Roman"/>
          <w:lang w:val="en-GB"/>
        </w:rPr>
        <w:t>,</w:t>
      </w:r>
      <w:r w:rsidR="00361D71" w:rsidRPr="007B2800">
        <w:rPr>
          <w:rFonts w:ascii="Times New Roman" w:hAnsi="Times New Roman" w:cs="Times New Roman"/>
          <w:lang w:val="en-GB"/>
        </w:rPr>
        <w:t xml:space="preserve"> or other “general semantic notions”</w:t>
      </w:r>
      <w:r w:rsidR="006D5FF1" w:rsidRPr="007B2800">
        <w:rPr>
          <w:rFonts w:ascii="Times New Roman" w:hAnsi="Times New Roman" w:cs="Times New Roman"/>
          <w:lang w:val="en-GB"/>
        </w:rPr>
        <w:t xml:space="preserve">, </w:t>
      </w:r>
      <w:r w:rsidR="002B3E6B" w:rsidRPr="007B2800">
        <w:rPr>
          <w:rFonts w:ascii="Times New Roman" w:hAnsi="Times New Roman" w:cs="Times New Roman"/>
          <w:lang w:val="en-GB"/>
        </w:rPr>
        <w:t>the claims ma</w:t>
      </w:r>
      <w:r w:rsidR="005B1162" w:rsidRPr="007B2800">
        <w:rPr>
          <w:rFonts w:ascii="Times New Roman" w:hAnsi="Times New Roman" w:cs="Times New Roman"/>
          <w:lang w:val="en-GB"/>
        </w:rPr>
        <w:t>de by (PT)</w:t>
      </w:r>
      <w:r w:rsidR="006D5FF1" w:rsidRPr="007B2800">
        <w:rPr>
          <w:rFonts w:ascii="Times New Roman" w:hAnsi="Times New Roman" w:cs="Times New Roman"/>
          <w:lang w:val="en-GB"/>
        </w:rPr>
        <w:t xml:space="preserve"> will merely </w:t>
      </w:r>
      <w:r w:rsidR="002B3E6B" w:rsidRPr="007B2800">
        <w:rPr>
          <w:rFonts w:ascii="Times New Roman" w:hAnsi="Times New Roman" w:cs="Times New Roman"/>
          <w:lang w:val="en-GB"/>
        </w:rPr>
        <w:t>“</w:t>
      </w:r>
      <w:r w:rsidR="006D5FF1" w:rsidRPr="007B2800">
        <w:rPr>
          <w:rFonts w:ascii="Times New Roman" w:hAnsi="Times New Roman" w:cs="Times New Roman"/>
          <w:lang w:val="en-GB"/>
        </w:rPr>
        <w:t>re-descri</w:t>
      </w:r>
      <w:r w:rsidR="002B3E6B" w:rsidRPr="007B2800">
        <w:rPr>
          <w:rFonts w:ascii="Times New Roman" w:hAnsi="Times New Roman" w:cs="Times New Roman"/>
          <w:lang w:val="en-GB"/>
        </w:rPr>
        <w:t xml:space="preserve">be” </w:t>
      </w:r>
      <w:r w:rsidR="006D5FF1" w:rsidRPr="007B2800">
        <w:rPr>
          <w:rFonts w:ascii="Times New Roman" w:hAnsi="Times New Roman" w:cs="Times New Roman"/>
          <w:lang w:val="en-GB"/>
        </w:rPr>
        <w:t xml:space="preserve">the data, rather than </w:t>
      </w:r>
      <w:r w:rsidR="00DD3F30" w:rsidRPr="007B2800">
        <w:rPr>
          <w:rFonts w:ascii="Times New Roman" w:hAnsi="Times New Roman" w:cs="Times New Roman"/>
          <w:lang w:val="en-GB"/>
        </w:rPr>
        <w:t>explain them</w:t>
      </w:r>
      <w:r w:rsidR="006D5FF1" w:rsidRPr="007B2800">
        <w:rPr>
          <w:rFonts w:ascii="Times New Roman" w:hAnsi="Times New Roman" w:cs="Times New Roman"/>
          <w:lang w:val="en-GB"/>
        </w:rPr>
        <w:t xml:space="preserve">. Salis objects against this, claiming that the equivalence between </w:t>
      </w:r>
      <w:r w:rsidR="0020600C" w:rsidRPr="007B2800">
        <w:rPr>
          <w:rFonts w:ascii="Times New Roman" w:hAnsi="Times New Roman" w:cs="Times New Roman"/>
          <w:lang w:val="en-GB"/>
        </w:rPr>
        <w:t xml:space="preserve">two sentences may well </w:t>
      </w:r>
      <w:proofErr w:type="gramStart"/>
      <w:r w:rsidR="0020600C" w:rsidRPr="007B2800">
        <w:rPr>
          <w:rFonts w:ascii="Times New Roman" w:hAnsi="Times New Roman" w:cs="Times New Roman"/>
          <w:lang w:val="en-GB"/>
        </w:rPr>
        <w:t>be</w:t>
      </w:r>
      <w:proofErr w:type="gramEnd"/>
      <w:r w:rsidR="0020600C" w:rsidRPr="007B2800">
        <w:rPr>
          <w:rFonts w:ascii="Times New Roman" w:hAnsi="Times New Roman" w:cs="Times New Roman"/>
          <w:lang w:val="en-GB"/>
        </w:rPr>
        <w:t xml:space="preserve"> explicable by appeal to an anaphoric relation between them. </w:t>
      </w:r>
      <w:r w:rsidR="00AB57C9" w:rsidRPr="007B2800">
        <w:rPr>
          <w:rFonts w:ascii="Times New Roman" w:hAnsi="Times New Roman" w:cs="Times New Roman"/>
          <w:lang w:val="en-GB"/>
        </w:rPr>
        <w:t xml:space="preserve">He also suggests that the notion of anaphoric dependence can be taken as primitive and that the notions of equivalence and consequence are taken as derivative, as explained in terms of anaphoric dependencies. </w:t>
      </w:r>
    </w:p>
    <w:p w14:paraId="07FCE82F" w14:textId="1DD0ED7A" w:rsidR="009C2740" w:rsidRPr="007B2800" w:rsidRDefault="009C2740" w:rsidP="00E70C11">
      <w:pPr>
        <w:spacing w:line="480" w:lineRule="auto"/>
        <w:jc w:val="both"/>
        <w:rPr>
          <w:rFonts w:ascii="Times New Roman" w:hAnsi="Times New Roman" w:cs="Times New Roman"/>
          <w:lang w:val="en-GB"/>
        </w:rPr>
      </w:pPr>
      <w:r w:rsidRPr="007B2800">
        <w:rPr>
          <w:rFonts w:ascii="Times New Roman" w:hAnsi="Times New Roman" w:cs="Times New Roman"/>
          <w:lang w:val="en-GB"/>
        </w:rPr>
        <w:tab/>
        <w:t>On one reading, however, this cannot be right</w:t>
      </w:r>
      <w:r w:rsidR="00933698">
        <w:rPr>
          <w:rFonts w:ascii="Times New Roman" w:hAnsi="Times New Roman" w:cs="Times New Roman"/>
          <w:lang w:val="en-GB"/>
        </w:rPr>
        <w:t xml:space="preserve"> (and Salis </w:t>
      </w:r>
      <w:r w:rsidR="003C4D33">
        <w:rPr>
          <w:rFonts w:ascii="Times New Roman" w:hAnsi="Times New Roman" w:cs="Times New Roman"/>
          <w:lang w:val="en-GB"/>
        </w:rPr>
        <w:t xml:space="preserve">surely </w:t>
      </w:r>
      <w:r w:rsidR="00933698">
        <w:rPr>
          <w:rFonts w:ascii="Times New Roman" w:hAnsi="Times New Roman" w:cs="Times New Roman"/>
          <w:lang w:val="en-GB"/>
        </w:rPr>
        <w:t>didn’t mean it this way)</w:t>
      </w:r>
      <w:r w:rsidRPr="007B2800">
        <w:rPr>
          <w:rFonts w:ascii="Times New Roman" w:hAnsi="Times New Roman" w:cs="Times New Roman"/>
          <w:lang w:val="en-GB"/>
        </w:rPr>
        <w:t>. Surely, not all cases of equivalences or consequence can be explained in anaphoric terms. Consider,</w:t>
      </w:r>
    </w:p>
    <w:p w14:paraId="0C6418C3" w14:textId="77777777" w:rsidR="009C2740" w:rsidRPr="007B2800" w:rsidRDefault="009C2740" w:rsidP="00E70C11">
      <w:pPr>
        <w:spacing w:line="480" w:lineRule="auto"/>
        <w:jc w:val="both"/>
        <w:rPr>
          <w:rFonts w:ascii="Times New Roman" w:hAnsi="Times New Roman" w:cs="Times New Roman"/>
          <w:lang w:val="en-GB"/>
        </w:rPr>
      </w:pPr>
    </w:p>
    <w:p w14:paraId="3A3D4E03" w14:textId="176CD17B" w:rsidR="009C2740" w:rsidRPr="007B2800" w:rsidRDefault="009C2740" w:rsidP="003E34F9">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John is a bachelor   =</w:t>
      </w:r>
      <w:proofErr w:type="gramStart"/>
      <w:r w:rsidRPr="007B2800">
        <w:rPr>
          <w:rFonts w:ascii="Times New Roman" w:hAnsi="Times New Roman" w:cs="Times New Roman"/>
          <w:lang w:val="en-GB"/>
        </w:rPr>
        <w:t>&gt;   John</w:t>
      </w:r>
      <w:proofErr w:type="gramEnd"/>
      <w:r w:rsidRPr="007B2800">
        <w:rPr>
          <w:rFonts w:ascii="Times New Roman" w:hAnsi="Times New Roman" w:cs="Times New Roman"/>
          <w:lang w:val="en-GB"/>
        </w:rPr>
        <w:t xml:space="preserve"> is male</w:t>
      </w:r>
    </w:p>
    <w:p w14:paraId="5CE6A5A0" w14:textId="3EDDA18C" w:rsidR="009C2740" w:rsidRPr="007B2800" w:rsidRDefault="009C2740" w:rsidP="003E34F9">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A and B   =</w:t>
      </w:r>
      <w:proofErr w:type="gramStart"/>
      <w:r w:rsidRPr="007B2800">
        <w:rPr>
          <w:rFonts w:ascii="Times New Roman" w:hAnsi="Times New Roman" w:cs="Times New Roman"/>
          <w:lang w:val="en-GB"/>
        </w:rPr>
        <w:t>&gt;   A</w:t>
      </w:r>
      <w:proofErr w:type="gramEnd"/>
    </w:p>
    <w:p w14:paraId="44AD13CE" w14:textId="77777777" w:rsidR="009C2740" w:rsidRPr="007B2800" w:rsidRDefault="009C2740" w:rsidP="00E70C11">
      <w:pPr>
        <w:spacing w:line="480" w:lineRule="auto"/>
        <w:jc w:val="both"/>
        <w:rPr>
          <w:rFonts w:ascii="Times New Roman" w:hAnsi="Times New Roman" w:cs="Times New Roman"/>
          <w:lang w:val="en-GB"/>
        </w:rPr>
      </w:pPr>
    </w:p>
    <w:p w14:paraId="585E5CD3" w14:textId="5BCBF1DF" w:rsidR="004A4856" w:rsidRPr="007B2800" w:rsidRDefault="004A4856" w:rsidP="00E70C11">
      <w:pPr>
        <w:spacing w:line="480" w:lineRule="auto"/>
        <w:jc w:val="both"/>
        <w:rPr>
          <w:rFonts w:ascii="Times New Roman" w:hAnsi="Times New Roman" w:cs="Times New Roman"/>
          <w:lang w:val="en-GB"/>
        </w:rPr>
      </w:pPr>
      <w:r w:rsidRPr="007B2800">
        <w:rPr>
          <w:rFonts w:ascii="Times New Roman" w:hAnsi="Times New Roman" w:cs="Times New Roman"/>
          <w:lang w:val="en-GB"/>
        </w:rPr>
        <w:t xml:space="preserve">If these cases of consequence were to be explained by recourse to anaphoric dependencies, the latter notion would have to be stretched beyond </w:t>
      </w:r>
      <w:r w:rsidR="00E76490" w:rsidRPr="007B2800">
        <w:rPr>
          <w:rFonts w:ascii="Times New Roman" w:hAnsi="Times New Roman" w:cs="Times New Roman"/>
          <w:lang w:val="en-GB"/>
        </w:rPr>
        <w:t>recogni</w:t>
      </w:r>
      <w:r w:rsidR="003C7A22" w:rsidRPr="007B2800">
        <w:rPr>
          <w:rFonts w:ascii="Times New Roman" w:hAnsi="Times New Roman" w:cs="Times New Roman"/>
          <w:lang w:val="en-GB"/>
        </w:rPr>
        <w:t>tion</w:t>
      </w:r>
      <w:r w:rsidR="000072C8" w:rsidRPr="007B2800">
        <w:rPr>
          <w:rFonts w:ascii="Times New Roman" w:hAnsi="Times New Roman" w:cs="Times New Roman"/>
          <w:lang w:val="en-GB"/>
        </w:rPr>
        <w:t xml:space="preserve">. (Indeed, </w:t>
      </w:r>
      <w:r w:rsidR="007360D1" w:rsidRPr="007B2800">
        <w:rPr>
          <w:rFonts w:ascii="Times New Roman" w:hAnsi="Times New Roman" w:cs="Times New Roman"/>
          <w:lang w:val="en-GB"/>
        </w:rPr>
        <w:t xml:space="preserve">one of </w:t>
      </w:r>
      <w:r w:rsidR="009E6256">
        <w:rPr>
          <w:rFonts w:ascii="Times New Roman" w:hAnsi="Times New Roman" w:cs="Times New Roman"/>
          <w:lang w:val="en-GB"/>
        </w:rPr>
        <w:t>my</w:t>
      </w:r>
      <w:r w:rsidR="007360D1" w:rsidRPr="007B2800">
        <w:rPr>
          <w:rFonts w:ascii="Times New Roman" w:hAnsi="Times New Roman" w:cs="Times New Roman"/>
          <w:lang w:val="en-GB"/>
        </w:rPr>
        <w:t xml:space="preserve"> main complaints against Brandom </w:t>
      </w:r>
      <w:r w:rsidR="009E6256">
        <w:rPr>
          <w:rFonts w:ascii="Times New Roman" w:hAnsi="Times New Roman" w:cs="Times New Roman"/>
          <w:lang w:val="en-GB"/>
        </w:rPr>
        <w:t>was</w:t>
      </w:r>
      <w:r w:rsidR="007360D1" w:rsidRPr="007B2800">
        <w:rPr>
          <w:rFonts w:ascii="Times New Roman" w:hAnsi="Times New Roman" w:cs="Times New Roman"/>
          <w:lang w:val="en-GB"/>
        </w:rPr>
        <w:t xml:space="preserve"> precisely that he </w:t>
      </w:r>
      <w:r w:rsidRPr="007B2800">
        <w:rPr>
          <w:rFonts w:ascii="Times New Roman" w:hAnsi="Times New Roman" w:cs="Times New Roman"/>
          <w:lang w:val="en-GB"/>
        </w:rPr>
        <w:t>overst</w:t>
      </w:r>
      <w:r w:rsidR="007360D1" w:rsidRPr="007B2800">
        <w:rPr>
          <w:rFonts w:ascii="Times New Roman" w:hAnsi="Times New Roman" w:cs="Times New Roman"/>
          <w:lang w:val="en-GB"/>
        </w:rPr>
        <w:t>retches the</w:t>
      </w:r>
      <w:r w:rsidRPr="007B2800">
        <w:rPr>
          <w:rFonts w:ascii="Times New Roman" w:hAnsi="Times New Roman" w:cs="Times New Roman"/>
          <w:lang w:val="en-GB"/>
        </w:rPr>
        <w:t xml:space="preserve"> notion</w:t>
      </w:r>
      <w:r w:rsidR="007360D1" w:rsidRPr="007B2800">
        <w:rPr>
          <w:rFonts w:ascii="Times New Roman" w:hAnsi="Times New Roman" w:cs="Times New Roman"/>
          <w:lang w:val="en-GB"/>
        </w:rPr>
        <w:t>s of anaphoric dependency, antecedent, etc.</w:t>
      </w:r>
      <w:r w:rsidRPr="007B2800">
        <w:rPr>
          <w:rFonts w:ascii="Times New Roman" w:hAnsi="Times New Roman" w:cs="Times New Roman"/>
          <w:lang w:val="en-GB"/>
        </w:rPr>
        <w:t>, although perhaps not as blatantly</w:t>
      </w:r>
      <w:r w:rsidR="00303E76" w:rsidRPr="007B2800">
        <w:rPr>
          <w:rFonts w:ascii="Times New Roman" w:hAnsi="Times New Roman" w:cs="Times New Roman"/>
          <w:lang w:val="en-GB"/>
        </w:rPr>
        <w:t>.)</w:t>
      </w:r>
      <w:r w:rsidRPr="007B2800">
        <w:rPr>
          <w:rFonts w:ascii="Times New Roman" w:hAnsi="Times New Roman" w:cs="Times New Roman"/>
          <w:lang w:val="en-GB"/>
        </w:rPr>
        <w:t xml:space="preserve"> </w:t>
      </w:r>
    </w:p>
    <w:p w14:paraId="0CBD44C2" w14:textId="1C790272" w:rsidR="005B1735" w:rsidRPr="007B2800" w:rsidRDefault="005B1735" w:rsidP="00E70C11">
      <w:pPr>
        <w:spacing w:line="480" w:lineRule="auto"/>
        <w:jc w:val="both"/>
        <w:rPr>
          <w:rFonts w:ascii="Times New Roman" w:hAnsi="Times New Roman" w:cs="Times New Roman"/>
          <w:lang w:val="en-GB"/>
        </w:rPr>
      </w:pPr>
      <w:r w:rsidRPr="007B2800">
        <w:rPr>
          <w:rFonts w:ascii="Times New Roman" w:hAnsi="Times New Roman" w:cs="Times New Roman"/>
          <w:lang w:val="en-GB"/>
        </w:rPr>
        <w:tab/>
      </w:r>
      <w:r w:rsidR="009E6256">
        <w:rPr>
          <w:rFonts w:ascii="Times New Roman" w:hAnsi="Times New Roman" w:cs="Times New Roman"/>
          <w:lang w:val="en-GB"/>
        </w:rPr>
        <w:t>W</w:t>
      </w:r>
      <w:r w:rsidRPr="007B2800">
        <w:rPr>
          <w:rFonts w:ascii="Times New Roman" w:hAnsi="Times New Roman" w:cs="Times New Roman"/>
          <w:lang w:val="en-GB"/>
        </w:rPr>
        <w:t>hen claiming that the notions of equivalence and consequence are more general than that of anaphora</w:t>
      </w:r>
      <w:r w:rsidR="009E6256">
        <w:rPr>
          <w:rFonts w:ascii="Times New Roman" w:hAnsi="Times New Roman" w:cs="Times New Roman"/>
          <w:lang w:val="en-GB"/>
        </w:rPr>
        <w:t>, I had the above kind of case in mind</w:t>
      </w:r>
      <w:r w:rsidRPr="007B2800">
        <w:rPr>
          <w:rFonts w:ascii="Times New Roman" w:hAnsi="Times New Roman" w:cs="Times New Roman"/>
          <w:lang w:val="en-GB"/>
        </w:rPr>
        <w:t>: we need to appeal to these notions</w:t>
      </w:r>
      <w:r w:rsidR="005935AB" w:rsidRPr="007B2800">
        <w:rPr>
          <w:rFonts w:ascii="Times New Roman" w:hAnsi="Times New Roman" w:cs="Times New Roman"/>
          <w:lang w:val="en-GB"/>
        </w:rPr>
        <w:t xml:space="preserve"> in our semant</w:t>
      </w:r>
      <w:r w:rsidR="00512547" w:rsidRPr="007B2800">
        <w:rPr>
          <w:rFonts w:ascii="Times New Roman" w:hAnsi="Times New Roman" w:cs="Times New Roman"/>
          <w:lang w:val="en-GB"/>
        </w:rPr>
        <w:t>ic theory</w:t>
      </w:r>
      <w:r w:rsidRPr="007B2800">
        <w:rPr>
          <w:rFonts w:ascii="Times New Roman" w:hAnsi="Times New Roman" w:cs="Times New Roman"/>
          <w:lang w:val="en-GB"/>
        </w:rPr>
        <w:t xml:space="preserve"> </w:t>
      </w:r>
      <w:r w:rsidRPr="007B2800">
        <w:rPr>
          <w:rFonts w:ascii="Times New Roman" w:hAnsi="Times New Roman" w:cs="Times New Roman"/>
          <w:i/>
          <w:lang w:val="en-GB"/>
        </w:rPr>
        <w:t>anyway</w:t>
      </w:r>
      <w:r w:rsidR="005935AB" w:rsidRPr="007B2800">
        <w:rPr>
          <w:rFonts w:ascii="Times New Roman" w:hAnsi="Times New Roman" w:cs="Times New Roman"/>
          <w:lang w:val="en-GB"/>
        </w:rPr>
        <w:t xml:space="preserve">, but we need not necessarily appeal to any primitive notions of anaphoric </w:t>
      </w:r>
      <w:r w:rsidR="000A6F1F" w:rsidRPr="007B2800">
        <w:rPr>
          <w:rFonts w:ascii="Times New Roman" w:hAnsi="Times New Roman" w:cs="Times New Roman"/>
          <w:lang w:val="en-GB"/>
        </w:rPr>
        <w:t>dependency</w:t>
      </w:r>
      <w:r w:rsidRPr="007B2800">
        <w:rPr>
          <w:rFonts w:ascii="Times New Roman" w:hAnsi="Times New Roman" w:cs="Times New Roman"/>
          <w:lang w:val="en-GB"/>
        </w:rPr>
        <w:t xml:space="preserve">. Thus, in a choice of primitives, we should opt for </w:t>
      </w:r>
      <w:r w:rsidR="004E5A0F">
        <w:rPr>
          <w:rFonts w:ascii="Times New Roman" w:hAnsi="Times New Roman" w:cs="Times New Roman"/>
          <w:lang w:val="en-GB"/>
        </w:rPr>
        <w:t xml:space="preserve">equivalence and </w:t>
      </w:r>
      <w:r w:rsidRPr="007B2800">
        <w:rPr>
          <w:rFonts w:ascii="Times New Roman" w:hAnsi="Times New Roman" w:cs="Times New Roman"/>
          <w:lang w:val="en-GB"/>
        </w:rPr>
        <w:t>consequence</w:t>
      </w:r>
      <w:r w:rsidR="009E6256">
        <w:rPr>
          <w:rFonts w:ascii="Times New Roman" w:hAnsi="Times New Roman" w:cs="Times New Roman"/>
          <w:lang w:val="en-GB"/>
        </w:rPr>
        <w:t>,</w:t>
      </w:r>
      <w:r w:rsidRPr="007B2800">
        <w:rPr>
          <w:rFonts w:ascii="Times New Roman" w:hAnsi="Times New Roman" w:cs="Times New Roman"/>
          <w:lang w:val="en-GB"/>
        </w:rPr>
        <w:t xml:space="preserve"> rather than anaphoric dependency. </w:t>
      </w:r>
      <w:r w:rsidR="00C10F67">
        <w:rPr>
          <w:rFonts w:ascii="Times New Roman" w:hAnsi="Times New Roman" w:cs="Times New Roman"/>
          <w:lang w:val="en-GB"/>
        </w:rPr>
        <w:t>A</w:t>
      </w:r>
      <w:r w:rsidR="00E93377" w:rsidRPr="007B2800">
        <w:rPr>
          <w:rFonts w:ascii="Times New Roman" w:hAnsi="Times New Roman" w:cs="Times New Roman"/>
          <w:lang w:val="en-GB"/>
        </w:rPr>
        <w:t xml:space="preserve">ll cases of the latter kind can be “explained” in terms of the former, but not </w:t>
      </w:r>
      <w:r w:rsidR="00E93377" w:rsidRPr="007B2800">
        <w:rPr>
          <w:rFonts w:ascii="Times New Roman" w:hAnsi="Times New Roman" w:cs="Times New Roman"/>
          <w:i/>
          <w:lang w:val="en-GB"/>
        </w:rPr>
        <w:t>vice versa</w:t>
      </w:r>
      <w:r w:rsidR="00E93377" w:rsidRPr="007B2800">
        <w:rPr>
          <w:rFonts w:ascii="Times New Roman" w:hAnsi="Times New Roman" w:cs="Times New Roman"/>
          <w:lang w:val="en-GB"/>
        </w:rPr>
        <w:t xml:space="preserve">. </w:t>
      </w:r>
      <w:r w:rsidR="00B73DF7" w:rsidRPr="007B2800">
        <w:rPr>
          <w:rFonts w:ascii="Times New Roman" w:hAnsi="Times New Roman" w:cs="Times New Roman"/>
          <w:lang w:val="en-GB"/>
        </w:rPr>
        <w:t xml:space="preserve">When I say that anaphoric relations can be “explained” in terms of equivalence, I do not mean to say that we can explain why one thing anaphorically cross-refers to another by </w:t>
      </w:r>
      <w:r w:rsidR="00DE1023" w:rsidRPr="007B2800">
        <w:rPr>
          <w:rFonts w:ascii="Times New Roman" w:hAnsi="Times New Roman" w:cs="Times New Roman"/>
          <w:lang w:val="en-GB"/>
        </w:rPr>
        <w:t xml:space="preserve">saying, “because so and so are equivalent”. Rather, I mean that in order to </w:t>
      </w:r>
      <w:r w:rsidR="003140A8" w:rsidRPr="007B2800">
        <w:rPr>
          <w:rFonts w:ascii="Times New Roman" w:hAnsi="Times New Roman" w:cs="Times New Roman"/>
          <w:i/>
          <w:lang w:val="en-GB"/>
        </w:rPr>
        <w:t xml:space="preserve">define </w:t>
      </w:r>
      <w:r w:rsidR="003140A8" w:rsidRPr="007B2800">
        <w:rPr>
          <w:rFonts w:ascii="Times New Roman" w:hAnsi="Times New Roman" w:cs="Times New Roman"/>
          <w:lang w:val="en-GB"/>
        </w:rPr>
        <w:t>the notions of pronoun, antecedent, and similarly anaphoric</w:t>
      </w:r>
      <w:r w:rsidR="00DE1023" w:rsidRPr="007B2800">
        <w:rPr>
          <w:rFonts w:ascii="Times New Roman" w:hAnsi="Times New Roman" w:cs="Times New Roman"/>
          <w:lang w:val="en-GB"/>
        </w:rPr>
        <w:t xml:space="preserve"> </w:t>
      </w:r>
      <w:r w:rsidR="003140A8" w:rsidRPr="007B2800">
        <w:rPr>
          <w:rFonts w:ascii="Times New Roman" w:hAnsi="Times New Roman" w:cs="Times New Roman"/>
          <w:lang w:val="en-GB"/>
        </w:rPr>
        <w:t xml:space="preserve">notions, </w:t>
      </w:r>
      <w:r w:rsidR="00DE1023" w:rsidRPr="007B2800">
        <w:rPr>
          <w:rFonts w:ascii="Times New Roman" w:hAnsi="Times New Roman" w:cs="Times New Roman"/>
          <w:lang w:val="en-GB"/>
        </w:rPr>
        <w:t>we must use the notion of equivalence, or some other more general semantic notion, like “sameness of content”.</w:t>
      </w:r>
    </w:p>
    <w:p w14:paraId="03B8E75C" w14:textId="77D3DECE" w:rsidR="007110FA" w:rsidRPr="007B2800" w:rsidRDefault="005F187B" w:rsidP="00AC08C7">
      <w:pPr>
        <w:spacing w:line="480" w:lineRule="auto"/>
        <w:jc w:val="both"/>
        <w:rPr>
          <w:rFonts w:ascii="Times New Roman" w:hAnsi="Times New Roman" w:cs="Times New Roman"/>
          <w:lang w:val="en-GB"/>
        </w:rPr>
      </w:pPr>
      <w:r w:rsidRPr="007B2800">
        <w:rPr>
          <w:rFonts w:ascii="Times New Roman" w:hAnsi="Times New Roman" w:cs="Times New Roman"/>
          <w:lang w:val="en-GB"/>
        </w:rPr>
        <w:tab/>
      </w:r>
      <w:r w:rsidR="0063026A" w:rsidRPr="007B2800">
        <w:rPr>
          <w:rFonts w:ascii="Times New Roman" w:hAnsi="Times New Roman" w:cs="Times New Roman"/>
          <w:lang w:val="en-GB"/>
        </w:rPr>
        <w:t xml:space="preserve">This should be rather obvious. </w:t>
      </w:r>
      <w:r w:rsidRPr="007B2800">
        <w:rPr>
          <w:rFonts w:ascii="Times New Roman" w:hAnsi="Times New Roman" w:cs="Times New Roman"/>
          <w:lang w:val="en-GB"/>
        </w:rPr>
        <w:t>Surely, we want to say that a pronoun is the kind of expression that inherit</w:t>
      </w:r>
      <w:r w:rsidR="008061D2" w:rsidRPr="007B2800">
        <w:rPr>
          <w:rFonts w:ascii="Times New Roman" w:hAnsi="Times New Roman" w:cs="Times New Roman"/>
          <w:lang w:val="en-GB"/>
        </w:rPr>
        <w:t>s</w:t>
      </w:r>
      <w:r w:rsidRPr="007B2800">
        <w:rPr>
          <w:rFonts w:ascii="Times New Roman" w:hAnsi="Times New Roman" w:cs="Times New Roman"/>
          <w:lang w:val="en-GB"/>
        </w:rPr>
        <w:t xml:space="preserve"> its </w:t>
      </w:r>
      <w:r w:rsidRPr="007B2800">
        <w:rPr>
          <w:rFonts w:ascii="Times New Roman" w:hAnsi="Times New Roman" w:cs="Times New Roman"/>
          <w:i/>
          <w:lang w:val="en-GB"/>
        </w:rPr>
        <w:t>content</w:t>
      </w:r>
      <w:r w:rsidRPr="007B2800">
        <w:rPr>
          <w:rFonts w:ascii="Times New Roman" w:hAnsi="Times New Roman" w:cs="Times New Roman"/>
          <w:lang w:val="en-GB"/>
        </w:rPr>
        <w:t xml:space="preserve"> from another expression (its antecedent)</w:t>
      </w:r>
      <w:r w:rsidR="002335F5" w:rsidRPr="007B2800">
        <w:rPr>
          <w:rFonts w:ascii="Times New Roman" w:hAnsi="Times New Roman" w:cs="Times New Roman"/>
          <w:lang w:val="en-GB"/>
        </w:rPr>
        <w:t>, or</w:t>
      </w:r>
      <w:r w:rsidR="005740A5" w:rsidRPr="007B2800">
        <w:rPr>
          <w:rFonts w:ascii="Times New Roman" w:hAnsi="Times New Roman" w:cs="Times New Roman"/>
          <w:lang w:val="en-GB"/>
        </w:rPr>
        <w:t xml:space="preserve"> an expression due to which the sentence in which it occurs becomes </w:t>
      </w:r>
      <w:r w:rsidR="005740A5" w:rsidRPr="007B2800">
        <w:rPr>
          <w:rFonts w:ascii="Times New Roman" w:hAnsi="Times New Roman" w:cs="Times New Roman"/>
          <w:i/>
          <w:lang w:val="en-GB"/>
        </w:rPr>
        <w:t>equivalent</w:t>
      </w:r>
      <w:r w:rsidR="005740A5" w:rsidRPr="007B2800">
        <w:rPr>
          <w:rFonts w:ascii="Times New Roman" w:hAnsi="Times New Roman" w:cs="Times New Roman"/>
          <w:lang w:val="en-GB"/>
        </w:rPr>
        <w:t xml:space="preserve"> with some other sentence, or </w:t>
      </w:r>
      <w:r w:rsidR="002335F5" w:rsidRPr="007B2800">
        <w:rPr>
          <w:rFonts w:ascii="Times New Roman" w:hAnsi="Times New Roman" w:cs="Times New Roman"/>
          <w:lang w:val="en-GB"/>
        </w:rPr>
        <w:t>some such</w:t>
      </w:r>
      <w:r w:rsidRPr="007B2800">
        <w:rPr>
          <w:rFonts w:ascii="Times New Roman" w:hAnsi="Times New Roman" w:cs="Times New Roman"/>
          <w:lang w:val="en-GB"/>
        </w:rPr>
        <w:t>.</w:t>
      </w:r>
      <w:r w:rsidR="00B25C45" w:rsidRPr="007B2800">
        <w:rPr>
          <w:rFonts w:ascii="Times New Roman" w:hAnsi="Times New Roman" w:cs="Times New Roman"/>
          <w:lang w:val="en-GB"/>
        </w:rPr>
        <w:t xml:space="preserve"> (Salis himself seems to suggest something like this.)</w:t>
      </w:r>
      <w:r w:rsidRPr="007B2800">
        <w:rPr>
          <w:rFonts w:ascii="Times New Roman" w:hAnsi="Times New Roman" w:cs="Times New Roman"/>
          <w:lang w:val="en-GB"/>
        </w:rPr>
        <w:t xml:space="preserve"> But if we do so, anaphoric notions are no longer primitive, but explained in terms of </w:t>
      </w:r>
      <w:r w:rsidR="00502CFC" w:rsidRPr="007B2800">
        <w:rPr>
          <w:rFonts w:ascii="Times New Roman" w:hAnsi="Times New Roman" w:cs="Times New Roman"/>
          <w:lang w:val="en-GB"/>
        </w:rPr>
        <w:t xml:space="preserve">sameness of </w:t>
      </w:r>
      <w:r w:rsidRPr="007B2800">
        <w:rPr>
          <w:rFonts w:ascii="Times New Roman" w:hAnsi="Times New Roman" w:cs="Times New Roman"/>
          <w:lang w:val="en-GB"/>
        </w:rPr>
        <w:t xml:space="preserve">content. </w:t>
      </w:r>
      <w:r w:rsidR="004D39F9" w:rsidRPr="007B2800">
        <w:rPr>
          <w:rFonts w:ascii="Times New Roman" w:hAnsi="Times New Roman" w:cs="Times New Roman"/>
          <w:lang w:val="en-GB"/>
        </w:rPr>
        <w:t>T</w:t>
      </w:r>
      <w:r w:rsidR="00E177E9" w:rsidRPr="007B2800">
        <w:rPr>
          <w:rFonts w:ascii="Times New Roman" w:hAnsi="Times New Roman" w:cs="Times New Roman"/>
          <w:lang w:val="en-GB"/>
        </w:rPr>
        <w:t xml:space="preserve">his is in line with the claim </w:t>
      </w:r>
      <w:r w:rsidR="009E6256">
        <w:rPr>
          <w:rFonts w:ascii="Times New Roman" w:hAnsi="Times New Roman" w:cs="Times New Roman"/>
          <w:lang w:val="en-GB"/>
        </w:rPr>
        <w:t>I</w:t>
      </w:r>
      <w:r w:rsidR="00CB314E" w:rsidRPr="007B2800">
        <w:rPr>
          <w:rFonts w:ascii="Times New Roman" w:hAnsi="Times New Roman" w:cs="Times New Roman"/>
          <w:lang w:val="en-GB"/>
        </w:rPr>
        <w:t xml:space="preserve"> made in </w:t>
      </w:r>
      <w:r w:rsidR="009E6256">
        <w:rPr>
          <w:rFonts w:ascii="Times New Roman" w:hAnsi="Times New Roman" w:cs="Times New Roman"/>
          <w:lang w:val="en-GB"/>
        </w:rPr>
        <w:t>my original</w:t>
      </w:r>
      <w:r w:rsidR="00CB314E" w:rsidRPr="007B2800">
        <w:rPr>
          <w:rFonts w:ascii="Times New Roman" w:hAnsi="Times New Roman" w:cs="Times New Roman"/>
          <w:lang w:val="en-GB"/>
        </w:rPr>
        <w:t xml:space="preserve"> paper, that anaphoric phenomena should be explained in more general semantic terms. </w:t>
      </w:r>
    </w:p>
    <w:p w14:paraId="6F3CCDA1" w14:textId="5B489839" w:rsidR="00956585" w:rsidRPr="007B2800" w:rsidRDefault="00AA4205" w:rsidP="007110FA">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Salis is nevertheless right, I think, that cases of equivalence </w:t>
      </w:r>
      <w:r w:rsidRPr="009E6256">
        <w:rPr>
          <w:rFonts w:ascii="Times New Roman" w:hAnsi="Times New Roman" w:cs="Times New Roman"/>
          <w:i/>
          <w:lang w:val="en-GB"/>
        </w:rPr>
        <w:t>can</w:t>
      </w:r>
      <w:r w:rsidRPr="007B2800">
        <w:rPr>
          <w:rFonts w:ascii="Times New Roman" w:hAnsi="Times New Roman" w:cs="Times New Roman"/>
          <w:lang w:val="en-GB"/>
        </w:rPr>
        <w:t xml:space="preserve"> be explained by appeal to anaphoric relationships</w:t>
      </w:r>
      <w:r w:rsidR="004D3997" w:rsidRPr="007B2800">
        <w:rPr>
          <w:rFonts w:ascii="Times New Roman" w:hAnsi="Times New Roman" w:cs="Times New Roman"/>
          <w:lang w:val="en-GB"/>
        </w:rPr>
        <w:t xml:space="preserve"> (e.g., that between a token of </w:t>
      </w:r>
      <w:r w:rsidR="003F327D" w:rsidRPr="007B2800">
        <w:rPr>
          <w:rFonts w:ascii="Times New Roman" w:hAnsi="Times New Roman" w:cs="Times New Roman"/>
          <w:lang w:val="en-GB"/>
        </w:rPr>
        <w:t>‘</w:t>
      </w:r>
      <w:r w:rsidR="004D3997" w:rsidRPr="007B2800">
        <w:rPr>
          <w:rFonts w:ascii="Times New Roman" w:hAnsi="Times New Roman" w:cs="Times New Roman"/>
          <w:lang w:val="en-GB"/>
        </w:rPr>
        <w:t>She is happ</w:t>
      </w:r>
      <w:r w:rsidR="001C103D" w:rsidRPr="007B2800">
        <w:rPr>
          <w:rFonts w:ascii="Times New Roman" w:hAnsi="Times New Roman" w:cs="Times New Roman"/>
          <w:lang w:val="en-GB"/>
        </w:rPr>
        <w:t>y</w:t>
      </w:r>
      <w:r w:rsidR="003F327D" w:rsidRPr="007B2800">
        <w:rPr>
          <w:rFonts w:ascii="Times New Roman" w:hAnsi="Times New Roman" w:cs="Times New Roman"/>
          <w:lang w:val="en-GB"/>
        </w:rPr>
        <w:t>’</w:t>
      </w:r>
      <w:r w:rsidR="004D3997" w:rsidRPr="007B2800">
        <w:rPr>
          <w:rFonts w:ascii="Times New Roman" w:hAnsi="Times New Roman" w:cs="Times New Roman"/>
          <w:lang w:val="en-GB"/>
        </w:rPr>
        <w:t xml:space="preserve"> and </w:t>
      </w:r>
      <w:r w:rsidR="003F327D" w:rsidRPr="007B2800">
        <w:rPr>
          <w:rFonts w:ascii="Times New Roman" w:hAnsi="Times New Roman" w:cs="Times New Roman"/>
          <w:lang w:val="en-GB"/>
        </w:rPr>
        <w:t>‘</w:t>
      </w:r>
      <w:r w:rsidR="004D3997" w:rsidRPr="007B2800">
        <w:rPr>
          <w:rFonts w:ascii="Times New Roman" w:hAnsi="Times New Roman" w:cs="Times New Roman"/>
          <w:lang w:val="en-GB"/>
        </w:rPr>
        <w:t>Mary is happy</w:t>
      </w:r>
      <w:r w:rsidR="003F327D" w:rsidRPr="007B2800">
        <w:rPr>
          <w:rFonts w:ascii="Times New Roman" w:hAnsi="Times New Roman" w:cs="Times New Roman"/>
          <w:lang w:val="en-GB"/>
        </w:rPr>
        <w:t>’</w:t>
      </w:r>
      <w:r w:rsidR="004D3997" w:rsidRPr="007B2800">
        <w:rPr>
          <w:rFonts w:ascii="Times New Roman" w:hAnsi="Times New Roman" w:cs="Times New Roman"/>
          <w:lang w:val="en-GB"/>
        </w:rPr>
        <w:t xml:space="preserve">, where </w:t>
      </w:r>
      <w:r w:rsidR="003F327D" w:rsidRPr="007B2800">
        <w:rPr>
          <w:rFonts w:ascii="Times New Roman" w:hAnsi="Times New Roman" w:cs="Times New Roman"/>
          <w:lang w:val="en-GB"/>
        </w:rPr>
        <w:t>‘</w:t>
      </w:r>
      <w:r w:rsidR="004D3997" w:rsidRPr="007B2800">
        <w:rPr>
          <w:rFonts w:ascii="Times New Roman" w:hAnsi="Times New Roman" w:cs="Times New Roman"/>
          <w:lang w:val="en-GB"/>
        </w:rPr>
        <w:t>she</w:t>
      </w:r>
      <w:r w:rsidR="003F327D" w:rsidRPr="007B2800">
        <w:rPr>
          <w:rFonts w:ascii="Times New Roman" w:hAnsi="Times New Roman" w:cs="Times New Roman"/>
          <w:lang w:val="en-GB"/>
        </w:rPr>
        <w:t>’</w:t>
      </w:r>
      <w:r w:rsidR="004D3997" w:rsidRPr="007B2800">
        <w:rPr>
          <w:rFonts w:ascii="Times New Roman" w:hAnsi="Times New Roman" w:cs="Times New Roman"/>
          <w:lang w:val="en-GB"/>
        </w:rPr>
        <w:t xml:space="preserve"> cross-refers to </w:t>
      </w:r>
      <w:r w:rsidR="003F327D" w:rsidRPr="007B2800">
        <w:rPr>
          <w:rFonts w:ascii="Times New Roman" w:hAnsi="Times New Roman" w:cs="Times New Roman"/>
          <w:lang w:val="en-GB"/>
        </w:rPr>
        <w:t>‘</w:t>
      </w:r>
      <w:r w:rsidR="004D3997" w:rsidRPr="007B2800">
        <w:rPr>
          <w:rFonts w:ascii="Times New Roman" w:hAnsi="Times New Roman" w:cs="Times New Roman"/>
          <w:lang w:val="en-GB"/>
        </w:rPr>
        <w:t>Mary</w:t>
      </w:r>
      <w:r w:rsidR="003F327D" w:rsidRPr="007B2800">
        <w:rPr>
          <w:rFonts w:ascii="Times New Roman" w:hAnsi="Times New Roman" w:cs="Times New Roman"/>
          <w:lang w:val="en-GB"/>
        </w:rPr>
        <w:t>’</w:t>
      </w:r>
      <w:r w:rsidR="004D3997" w:rsidRPr="007B2800">
        <w:rPr>
          <w:rFonts w:ascii="Times New Roman" w:hAnsi="Times New Roman" w:cs="Times New Roman"/>
          <w:lang w:val="en-GB"/>
        </w:rPr>
        <w:t>)</w:t>
      </w:r>
      <w:r w:rsidRPr="007B2800">
        <w:rPr>
          <w:rFonts w:ascii="Times New Roman" w:hAnsi="Times New Roman" w:cs="Times New Roman"/>
          <w:lang w:val="en-GB"/>
        </w:rPr>
        <w:t xml:space="preserve">. </w:t>
      </w:r>
      <w:r w:rsidR="0070756A" w:rsidRPr="007B2800">
        <w:rPr>
          <w:rFonts w:ascii="Times New Roman" w:hAnsi="Times New Roman" w:cs="Times New Roman"/>
          <w:lang w:val="en-GB"/>
        </w:rPr>
        <w:t xml:space="preserve">Thus, </w:t>
      </w:r>
      <w:r w:rsidR="00DE7965" w:rsidRPr="007B2800">
        <w:rPr>
          <w:rFonts w:ascii="Times New Roman" w:hAnsi="Times New Roman" w:cs="Times New Roman"/>
          <w:lang w:val="en-GB"/>
        </w:rPr>
        <w:t xml:space="preserve">there is </w:t>
      </w:r>
      <w:r w:rsidR="0070756A" w:rsidRPr="007B2800">
        <w:rPr>
          <w:rFonts w:ascii="Times New Roman" w:hAnsi="Times New Roman" w:cs="Times New Roman"/>
          <w:lang w:val="en-GB"/>
        </w:rPr>
        <w:t>another sense</w:t>
      </w:r>
      <w:r w:rsidR="00DE7965" w:rsidRPr="007B2800">
        <w:rPr>
          <w:rFonts w:ascii="Times New Roman" w:hAnsi="Times New Roman" w:cs="Times New Roman"/>
          <w:lang w:val="en-GB"/>
        </w:rPr>
        <w:t xml:space="preserve"> in which claims of equivalence or sameness of content </w:t>
      </w:r>
      <w:r w:rsidR="009E6256">
        <w:rPr>
          <w:rFonts w:ascii="Times New Roman" w:hAnsi="Times New Roman" w:cs="Times New Roman"/>
          <w:lang w:val="en-GB"/>
        </w:rPr>
        <w:t>are</w:t>
      </w:r>
      <w:r w:rsidR="00DE7965" w:rsidRPr="007B2800">
        <w:rPr>
          <w:rFonts w:ascii="Times New Roman" w:hAnsi="Times New Roman" w:cs="Times New Roman"/>
          <w:lang w:val="en-GB"/>
        </w:rPr>
        <w:t xml:space="preserve"> indeed posterior to claims about anaphoric relationships. For this reason</w:t>
      </w:r>
      <w:r w:rsidR="0070756A" w:rsidRPr="007B2800">
        <w:rPr>
          <w:rFonts w:ascii="Times New Roman" w:hAnsi="Times New Roman" w:cs="Times New Roman"/>
          <w:lang w:val="en-GB"/>
        </w:rPr>
        <w:t xml:space="preserve">, </w:t>
      </w:r>
      <w:r w:rsidR="009E6256">
        <w:rPr>
          <w:rFonts w:ascii="Times New Roman" w:hAnsi="Times New Roman" w:cs="Times New Roman"/>
          <w:lang w:val="en-GB"/>
        </w:rPr>
        <w:t>my original</w:t>
      </w:r>
      <w:r w:rsidR="00321A56" w:rsidRPr="007B2800">
        <w:rPr>
          <w:rFonts w:ascii="Times New Roman" w:hAnsi="Times New Roman" w:cs="Times New Roman"/>
          <w:lang w:val="en-GB"/>
        </w:rPr>
        <w:t xml:space="preserve"> claim that (PT) merely </w:t>
      </w:r>
      <w:r w:rsidR="00321A56" w:rsidRPr="007B2800">
        <w:rPr>
          <w:rFonts w:ascii="Times New Roman" w:hAnsi="Times New Roman" w:cs="Times New Roman"/>
          <w:i/>
          <w:lang w:val="en-GB"/>
        </w:rPr>
        <w:t>re-describes the data</w:t>
      </w:r>
      <w:r w:rsidR="00321A56" w:rsidRPr="007B2800">
        <w:rPr>
          <w:rFonts w:ascii="Times New Roman" w:hAnsi="Times New Roman" w:cs="Times New Roman"/>
          <w:lang w:val="en-GB"/>
        </w:rPr>
        <w:t xml:space="preserve"> is </w:t>
      </w:r>
      <w:r w:rsidR="005D3E63" w:rsidRPr="007B2800">
        <w:rPr>
          <w:rFonts w:ascii="Times New Roman" w:hAnsi="Times New Roman" w:cs="Times New Roman"/>
          <w:lang w:val="en-GB"/>
        </w:rPr>
        <w:t xml:space="preserve">inaccurate. </w:t>
      </w:r>
      <w:r w:rsidR="009E6256">
        <w:rPr>
          <w:rFonts w:ascii="Times New Roman" w:hAnsi="Times New Roman" w:cs="Times New Roman"/>
          <w:lang w:val="en-GB"/>
        </w:rPr>
        <w:t xml:space="preserve">But I think </w:t>
      </w:r>
      <w:r w:rsidR="00321A56" w:rsidRPr="007B2800">
        <w:rPr>
          <w:rFonts w:ascii="Times New Roman" w:hAnsi="Times New Roman" w:cs="Times New Roman"/>
          <w:lang w:val="en-GB"/>
        </w:rPr>
        <w:t xml:space="preserve">the gist of </w:t>
      </w:r>
      <w:r w:rsidR="009E6256">
        <w:rPr>
          <w:rFonts w:ascii="Times New Roman" w:hAnsi="Times New Roman" w:cs="Times New Roman"/>
          <w:lang w:val="en-GB"/>
        </w:rPr>
        <w:t>my original</w:t>
      </w:r>
      <w:r w:rsidR="00321A56" w:rsidRPr="007B2800">
        <w:rPr>
          <w:rFonts w:ascii="Times New Roman" w:hAnsi="Times New Roman" w:cs="Times New Roman"/>
          <w:lang w:val="en-GB"/>
        </w:rPr>
        <w:t xml:space="preserve"> </w:t>
      </w:r>
      <w:r w:rsidR="003F6C1F" w:rsidRPr="007B2800">
        <w:rPr>
          <w:rFonts w:ascii="Times New Roman" w:hAnsi="Times New Roman" w:cs="Times New Roman"/>
          <w:lang w:val="en-GB"/>
        </w:rPr>
        <w:t>critique</w:t>
      </w:r>
      <w:r w:rsidR="00321A56" w:rsidRPr="007B2800">
        <w:rPr>
          <w:rFonts w:ascii="Times New Roman" w:hAnsi="Times New Roman" w:cs="Times New Roman"/>
          <w:lang w:val="en-GB"/>
        </w:rPr>
        <w:t xml:space="preserve"> is </w:t>
      </w:r>
      <w:r w:rsidR="003F6C1F" w:rsidRPr="007B2800">
        <w:rPr>
          <w:rFonts w:ascii="Times New Roman" w:hAnsi="Times New Roman" w:cs="Times New Roman"/>
          <w:lang w:val="en-GB"/>
        </w:rPr>
        <w:t xml:space="preserve">still </w:t>
      </w:r>
      <w:r w:rsidR="009E6256">
        <w:rPr>
          <w:rFonts w:ascii="Times New Roman" w:hAnsi="Times New Roman" w:cs="Times New Roman"/>
          <w:lang w:val="en-GB"/>
        </w:rPr>
        <w:t>cogent</w:t>
      </w:r>
      <w:r w:rsidR="003F6C1F" w:rsidRPr="007B2800">
        <w:rPr>
          <w:rFonts w:ascii="Times New Roman" w:hAnsi="Times New Roman" w:cs="Times New Roman"/>
          <w:lang w:val="en-GB"/>
        </w:rPr>
        <w:t xml:space="preserve">, although the point must be </w:t>
      </w:r>
      <w:r w:rsidR="00BD2AD8" w:rsidRPr="007B2800">
        <w:rPr>
          <w:rFonts w:ascii="Times New Roman" w:hAnsi="Times New Roman" w:cs="Times New Roman"/>
          <w:lang w:val="en-GB"/>
        </w:rPr>
        <w:t>made more carefully</w:t>
      </w:r>
      <w:r w:rsidR="00321A56" w:rsidRPr="007B2800">
        <w:rPr>
          <w:rFonts w:ascii="Times New Roman" w:hAnsi="Times New Roman" w:cs="Times New Roman"/>
          <w:lang w:val="en-GB"/>
        </w:rPr>
        <w:t xml:space="preserve">. </w:t>
      </w:r>
      <w:r w:rsidR="009E6256">
        <w:rPr>
          <w:rFonts w:ascii="Times New Roman" w:hAnsi="Times New Roman" w:cs="Times New Roman"/>
          <w:lang w:val="en-GB"/>
        </w:rPr>
        <w:t>I</w:t>
      </w:r>
      <w:r w:rsidR="005B0E28" w:rsidRPr="007B2800">
        <w:rPr>
          <w:rFonts w:ascii="Times New Roman" w:hAnsi="Times New Roman" w:cs="Times New Roman"/>
          <w:lang w:val="en-GB"/>
        </w:rPr>
        <w:t xml:space="preserve"> sp</w:t>
      </w:r>
      <w:r w:rsidR="009E6256">
        <w:rPr>
          <w:rFonts w:ascii="Times New Roman" w:hAnsi="Times New Roman" w:cs="Times New Roman"/>
          <w:lang w:val="en-GB"/>
        </w:rPr>
        <w:t>oke</w:t>
      </w:r>
      <w:r w:rsidR="005B0E28" w:rsidRPr="007B2800">
        <w:rPr>
          <w:rFonts w:ascii="Times New Roman" w:hAnsi="Times New Roman" w:cs="Times New Roman"/>
          <w:lang w:val="en-GB"/>
        </w:rPr>
        <w:t xml:space="preserve"> as if </w:t>
      </w:r>
      <w:r w:rsidR="00956585" w:rsidRPr="007B2800">
        <w:rPr>
          <w:rFonts w:ascii="Times New Roman" w:hAnsi="Times New Roman" w:cs="Times New Roman"/>
          <w:lang w:val="en-GB"/>
        </w:rPr>
        <w:t>the following are synonymous:</w:t>
      </w:r>
    </w:p>
    <w:p w14:paraId="251E4835" w14:textId="77777777" w:rsidR="00956585" w:rsidRPr="007B2800" w:rsidRDefault="00956585" w:rsidP="007110FA">
      <w:pPr>
        <w:spacing w:line="480" w:lineRule="auto"/>
        <w:ind w:firstLine="720"/>
        <w:jc w:val="both"/>
        <w:rPr>
          <w:rFonts w:ascii="Times New Roman" w:hAnsi="Times New Roman" w:cs="Times New Roman"/>
          <w:lang w:val="en-GB"/>
        </w:rPr>
      </w:pPr>
    </w:p>
    <w:p w14:paraId="15C4E8AE" w14:textId="639D7425" w:rsidR="00956585" w:rsidRPr="007B2800" w:rsidRDefault="00C63C88" w:rsidP="007110FA">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(a)</w:t>
      </w:r>
      <w:r w:rsidRPr="007B2800">
        <w:rPr>
          <w:rFonts w:ascii="Times New Roman" w:hAnsi="Times New Roman" w:cs="Times New Roman"/>
          <w:lang w:val="en-GB"/>
        </w:rPr>
        <w:tab/>
      </w:r>
      <w:r w:rsidR="00956585" w:rsidRPr="007B2800">
        <w:rPr>
          <w:rFonts w:ascii="Times New Roman" w:hAnsi="Times New Roman" w:cs="Times New Roman"/>
          <w:lang w:val="en-GB"/>
        </w:rPr>
        <w:t xml:space="preserve">A is the </w:t>
      </w:r>
      <w:r w:rsidR="00243A07" w:rsidRPr="007B2800">
        <w:rPr>
          <w:rFonts w:ascii="Times New Roman" w:hAnsi="Times New Roman" w:cs="Times New Roman"/>
          <w:lang w:val="en-GB"/>
        </w:rPr>
        <w:t xml:space="preserve">anaphoric </w:t>
      </w:r>
      <w:r w:rsidR="00956585" w:rsidRPr="007B2800">
        <w:rPr>
          <w:rFonts w:ascii="Times New Roman" w:hAnsi="Times New Roman" w:cs="Times New Roman"/>
          <w:lang w:val="en-GB"/>
        </w:rPr>
        <w:t>antecedent of B</w:t>
      </w:r>
    </w:p>
    <w:p w14:paraId="4B9CA3EA" w14:textId="2A7D95DF" w:rsidR="00956585" w:rsidRPr="007B2800" w:rsidRDefault="00C63C88" w:rsidP="007110FA">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(b)</w:t>
      </w:r>
      <w:r w:rsidRPr="007B2800">
        <w:rPr>
          <w:rFonts w:ascii="Times New Roman" w:hAnsi="Times New Roman" w:cs="Times New Roman"/>
          <w:lang w:val="en-GB"/>
        </w:rPr>
        <w:tab/>
      </w:r>
      <w:r w:rsidR="00336DB9" w:rsidRPr="007B2800">
        <w:rPr>
          <w:rFonts w:ascii="Times New Roman" w:hAnsi="Times New Roman" w:cs="Times New Roman"/>
          <w:lang w:val="en-GB"/>
        </w:rPr>
        <w:t xml:space="preserve">A and B </w:t>
      </w:r>
      <w:r w:rsidR="00997CEA" w:rsidRPr="007B2800">
        <w:rPr>
          <w:rFonts w:ascii="Times New Roman" w:hAnsi="Times New Roman" w:cs="Times New Roman"/>
          <w:lang w:val="en-GB"/>
        </w:rPr>
        <w:t>have the same content</w:t>
      </w:r>
    </w:p>
    <w:p w14:paraId="728973E6" w14:textId="77777777" w:rsidR="00997CEA" w:rsidRPr="007B2800" w:rsidRDefault="00997CEA" w:rsidP="00997CEA">
      <w:pPr>
        <w:spacing w:line="480" w:lineRule="auto"/>
        <w:jc w:val="both"/>
        <w:rPr>
          <w:rFonts w:ascii="Times New Roman" w:hAnsi="Times New Roman" w:cs="Times New Roman"/>
          <w:lang w:val="en-GB"/>
        </w:rPr>
      </w:pPr>
    </w:p>
    <w:p w14:paraId="23323C87" w14:textId="7131FFA7" w:rsidR="00B45894" w:rsidRPr="007B2800" w:rsidRDefault="00777385" w:rsidP="003913C7">
      <w:pPr>
        <w:spacing w:line="480" w:lineRule="auto"/>
        <w:jc w:val="both"/>
        <w:rPr>
          <w:rFonts w:ascii="Times New Roman" w:hAnsi="Times New Roman" w:cs="Times New Roman"/>
          <w:lang w:val="en-GB"/>
        </w:rPr>
      </w:pPr>
      <w:r w:rsidRPr="007B2800">
        <w:rPr>
          <w:rFonts w:ascii="Times New Roman" w:hAnsi="Times New Roman" w:cs="Times New Roman"/>
          <w:lang w:val="en-GB"/>
        </w:rPr>
        <w:t>But they</w:t>
      </w:r>
      <w:r w:rsidR="00997CEA" w:rsidRPr="007B2800">
        <w:rPr>
          <w:rFonts w:ascii="Times New Roman" w:hAnsi="Times New Roman" w:cs="Times New Roman"/>
          <w:lang w:val="en-GB"/>
        </w:rPr>
        <w:t xml:space="preserve"> obvious</w:t>
      </w:r>
      <w:r w:rsidRPr="007B2800">
        <w:rPr>
          <w:rFonts w:ascii="Times New Roman" w:hAnsi="Times New Roman" w:cs="Times New Roman"/>
          <w:lang w:val="en-GB"/>
        </w:rPr>
        <w:t>ly aren’t</w:t>
      </w:r>
      <w:r w:rsidR="00997CEA" w:rsidRPr="007B2800">
        <w:rPr>
          <w:rFonts w:ascii="Times New Roman" w:hAnsi="Times New Roman" w:cs="Times New Roman"/>
          <w:lang w:val="en-GB"/>
        </w:rPr>
        <w:t xml:space="preserve">, since there are </w:t>
      </w:r>
      <w:proofErr w:type="gramStart"/>
      <w:r w:rsidR="00761F85" w:rsidRPr="007B2800">
        <w:rPr>
          <w:rFonts w:ascii="Times New Roman" w:hAnsi="Times New Roman" w:cs="Times New Roman"/>
          <w:lang w:val="en-GB"/>
        </w:rPr>
        <w:t>expressions</w:t>
      </w:r>
      <w:r w:rsidR="00997CEA" w:rsidRPr="007B2800">
        <w:rPr>
          <w:rFonts w:ascii="Times New Roman" w:hAnsi="Times New Roman" w:cs="Times New Roman"/>
          <w:lang w:val="en-GB"/>
        </w:rPr>
        <w:t xml:space="preserve"> which </w:t>
      </w:r>
      <w:r w:rsidR="00650DE2" w:rsidRPr="007B2800">
        <w:rPr>
          <w:rFonts w:ascii="Times New Roman" w:hAnsi="Times New Roman" w:cs="Times New Roman"/>
          <w:lang w:val="en-GB"/>
        </w:rPr>
        <w:t>have the same</w:t>
      </w:r>
      <w:proofErr w:type="gramEnd"/>
      <w:r w:rsidR="00650DE2" w:rsidRPr="007B2800">
        <w:rPr>
          <w:rFonts w:ascii="Times New Roman" w:hAnsi="Times New Roman" w:cs="Times New Roman"/>
          <w:lang w:val="en-GB"/>
        </w:rPr>
        <w:t xml:space="preserve"> content</w:t>
      </w:r>
      <w:r w:rsidR="00997CEA" w:rsidRPr="007B2800">
        <w:rPr>
          <w:rFonts w:ascii="Times New Roman" w:hAnsi="Times New Roman" w:cs="Times New Roman"/>
          <w:lang w:val="en-GB"/>
        </w:rPr>
        <w:t xml:space="preserve"> but </w:t>
      </w:r>
      <w:r w:rsidR="00F67FFD" w:rsidRPr="007B2800">
        <w:rPr>
          <w:rFonts w:ascii="Times New Roman" w:hAnsi="Times New Roman" w:cs="Times New Roman"/>
          <w:lang w:val="en-GB"/>
        </w:rPr>
        <w:t xml:space="preserve">which </w:t>
      </w:r>
      <w:r w:rsidR="00997CEA" w:rsidRPr="007B2800">
        <w:rPr>
          <w:rFonts w:ascii="Times New Roman" w:hAnsi="Times New Roman" w:cs="Times New Roman"/>
          <w:lang w:val="en-GB"/>
        </w:rPr>
        <w:t xml:space="preserve">do not involve anaphora. </w:t>
      </w:r>
      <w:r w:rsidR="00AE2D47" w:rsidRPr="007B2800">
        <w:rPr>
          <w:rFonts w:ascii="Times New Roman" w:hAnsi="Times New Roman" w:cs="Times New Roman"/>
          <w:lang w:val="en-GB"/>
        </w:rPr>
        <w:t>Th</w:t>
      </w:r>
      <w:r w:rsidR="00092023" w:rsidRPr="007B2800">
        <w:rPr>
          <w:rFonts w:ascii="Times New Roman" w:hAnsi="Times New Roman" w:cs="Times New Roman"/>
          <w:lang w:val="en-GB"/>
        </w:rPr>
        <w:t xml:space="preserve">is means that it was misleading at best to say that prosententialists merely “re-describe the data”. </w:t>
      </w:r>
      <w:r w:rsidR="003913C7" w:rsidRPr="007B2800">
        <w:rPr>
          <w:rFonts w:ascii="Times New Roman" w:hAnsi="Times New Roman" w:cs="Times New Roman"/>
          <w:lang w:val="en-GB"/>
        </w:rPr>
        <w:t xml:space="preserve">This also connects with the issue of explanatory primacy. If the sentences above were synonymous, one could complain that explaining why two sentences are equivalent by recourse to an anaphoric dependency between them would be circular: replacing the anaphoric notions in the explanation by their </w:t>
      </w:r>
      <w:r w:rsidR="003913C7" w:rsidRPr="007B2800">
        <w:rPr>
          <w:rFonts w:ascii="Times New Roman" w:hAnsi="Times New Roman" w:cs="Times New Roman"/>
          <w:i/>
          <w:lang w:val="en-GB"/>
        </w:rPr>
        <w:t xml:space="preserve">definientia </w:t>
      </w:r>
      <w:r w:rsidR="003913C7" w:rsidRPr="007B2800">
        <w:rPr>
          <w:rFonts w:ascii="Times New Roman" w:hAnsi="Times New Roman" w:cs="Times New Roman"/>
          <w:lang w:val="en-GB"/>
        </w:rPr>
        <w:t>would result in something like:</w:t>
      </w:r>
      <w:r w:rsidR="00660DEC" w:rsidRPr="007B2800">
        <w:rPr>
          <w:rFonts w:ascii="Times New Roman" w:hAnsi="Times New Roman" w:cs="Times New Roman"/>
          <w:lang w:val="en-GB"/>
        </w:rPr>
        <w:t xml:space="preserve"> </w:t>
      </w:r>
    </w:p>
    <w:p w14:paraId="5841D9CE" w14:textId="77777777" w:rsidR="00B45894" w:rsidRPr="007B2800" w:rsidRDefault="00B45894" w:rsidP="00AC08C7">
      <w:pPr>
        <w:spacing w:line="480" w:lineRule="auto"/>
        <w:jc w:val="both"/>
        <w:rPr>
          <w:rFonts w:ascii="Times New Roman" w:hAnsi="Times New Roman" w:cs="Times New Roman"/>
          <w:lang w:val="en-GB"/>
        </w:rPr>
      </w:pPr>
    </w:p>
    <w:p w14:paraId="7799EE35" w14:textId="5F3C32A0" w:rsidR="00A560BD" w:rsidRPr="007B2800" w:rsidRDefault="00C700D9" w:rsidP="00B45894">
      <w:pPr>
        <w:spacing w:line="480" w:lineRule="auto"/>
        <w:ind w:left="720"/>
        <w:jc w:val="both"/>
        <w:rPr>
          <w:rFonts w:ascii="Times New Roman" w:hAnsi="Times New Roman" w:cs="Times New Roman"/>
          <w:lang w:val="en-GB"/>
        </w:rPr>
      </w:pPr>
      <w:r>
        <w:rPr>
          <w:rFonts w:ascii="Times New Roman" w:hAnsi="Times New Roman" w:cs="Times New Roman"/>
          <w:lang w:val="en-GB"/>
        </w:rPr>
        <w:t>“ </w:t>
      </w:r>
      <w:r w:rsidR="003F327D" w:rsidRPr="007B2800">
        <w:rPr>
          <w:rFonts w:ascii="Times New Roman" w:hAnsi="Times New Roman" w:cs="Times New Roman"/>
          <w:lang w:val="en-GB"/>
        </w:rPr>
        <w:t>‘</w:t>
      </w:r>
      <w:r w:rsidR="001A149E" w:rsidRPr="007B2800">
        <w:rPr>
          <w:rFonts w:ascii="Times New Roman" w:hAnsi="Times New Roman" w:cs="Times New Roman"/>
          <w:lang w:val="en-GB"/>
        </w:rPr>
        <w:t>John is happy’ is true”</w:t>
      </w:r>
      <w:r w:rsidR="007056E7" w:rsidRPr="007B2800">
        <w:rPr>
          <w:rFonts w:ascii="Times New Roman" w:hAnsi="Times New Roman" w:cs="Times New Roman"/>
          <w:lang w:val="en-GB"/>
        </w:rPr>
        <w:t xml:space="preserve"> is equivalent with</w:t>
      </w:r>
      <w:r w:rsidR="003F327D" w:rsidRPr="007B2800">
        <w:rPr>
          <w:rFonts w:ascii="Times New Roman" w:hAnsi="Times New Roman" w:cs="Times New Roman"/>
          <w:lang w:val="en-GB"/>
        </w:rPr>
        <w:t xml:space="preserve"> (or: has the same content as) ‘John is happy’</w:t>
      </w:r>
      <w:r w:rsidR="007056E7" w:rsidRPr="007B2800">
        <w:rPr>
          <w:rFonts w:ascii="Times New Roman" w:hAnsi="Times New Roman" w:cs="Times New Roman"/>
          <w:lang w:val="en-GB"/>
        </w:rPr>
        <w:t xml:space="preserve"> because </w:t>
      </w:r>
      <w:r w:rsidR="00B45894" w:rsidRPr="007B2800">
        <w:rPr>
          <w:rFonts w:ascii="Times New Roman" w:hAnsi="Times New Roman" w:cs="Times New Roman"/>
          <w:lang w:val="en-GB"/>
        </w:rPr>
        <w:t xml:space="preserve">“‘John is happy’ is true” is equivalent with (or: has the same content as) </w:t>
      </w:r>
      <w:r w:rsidR="003D6B42" w:rsidRPr="007B2800">
        <w:rPr>
          <w:rFonts w:ascii="Times New Roman" w:hAnsi="Times New Roman" w:cs="Times New Roman"/>
          <w:lang w:val="en-GB"/>
        </w:rPr>
        <w:t>‘John is happy’</w:t>
      </w:r>
      <w:r w:rsidR="005D5CC5" w:rsidRPr="007B2800">
        <w:rPr>
          <w:rFonts w:ascii="Times New Roman" w:hAnsi="Times New Roman" w:cs="Times New Roman"/>
          <w:lang w:val="en-GB"/>
        </w:rPr>
        <w:t>.</w:t>
      </w:r>
    </w:p>
    <w:p w14:paraId="37E1FDA2" w14:textId="77777777" w:rsidR="005D5CC5" w:rsidRPr="007B2800" w:rsidRDefault="005D5CC5" w:rsidP="005D5CC5">
      <w:pPr>
        <w:spacing w:line="480" w:lineRule="auto"/>
        <w:jc w:val="both"/>
        <w:rPr>
          <w:rFonts w:ascii="Times New Roman" w:hAnsi="Times New Roman" w:cs="Times New Roman"/>
          <w:lang w:val="en-GB"/>
        </w:rPr>
      </w:pPr>
    </w:p>
    <w:p w14:paraId="7412CEB0" w14:textId="1E73B5F0" w:rsidR="005D5CC5" w:rsidRPr="007B2800" w:rsidRDefault="005D5CC5" w:rsidP="005D5CC5">
      <w:pPr>
        <w:spacing w:line="480" w:lineRule="auto"/>
        <w:jc w:val="both"/>
        <w:rPr>
          <w:rFonts w:ascii="Times New Roman" w:hAnsi="Times New Roman" w:cs="Times New Roman"/>
          <w:lang w:val="en-GB"/>
        </w:rPr>
      </w:pPr>
      <w:r w:rsidRPr="007B2800">
        <w:rPr>
          <w:rFonts w:ascii="Times New Roman" w:hAnsi="Times New Roman" w:cs="Times New Roman"/>
          <w:lang w:val="en-GB"/>
        </w:rPr>
        <w:t xml:space="preserve">Here, </w:t>
      </w:r>
      <w:r w:rsidR="006B1C58" w:rsidRPr="007B2800">
        <w:rPr>
          <w:rFonts w:ascii="Times New Roman" w:hAnsi="Times New Roman" w:cs="Times New Roman"/>
          <w:lang w:val="en-GB"/>
        </w:rPr>
        <w:t>‘is the anaphoric antecedent of’</w:t>
      </w:r>
      <w:r w:rsidRPr="007B2800">
        <w:rPr>
          <w:rFonts w:ascii="Times New Roman" w:hAnsi="Times New Roman" w:cs="Times New Roman"/>
          <w:lang w:val="en-GB"/>
        </w:rPr>
        <w:t xml:space="preserve"> is repl</w:t>
      </w:r>
      <w:r w:rsidR="006B1C58" w:rsidRPr="007B2800">
        <w:rPr>
          <w:rFonts w:ascii="Times New Roman" w:hAnsi="Times New Roman" w:cs="Times New Roman"/>
          <w:lang w:val="en-GB"/>
        </w:rPr>
        <w:t>aced in the right-hand side of ‘because’ by ‘is equivalent with’ (or ‘has the same content as’</w:t>
      </w:r>
      <w:r w:rsidRPr="007B2800">
        <w:rPr>
          <w:rFonts w:ascii="Times New Roman" w:hAnsi="Times New Roman" w:cs="Times New Roman"/>
          <w:lang w:val="en-GB"/>
        </w:rPr>
        <w:t xml:space="preserve">). </w:t>
      </w:r>
    </w:p>
    <w:p w14:paraId="184F15BE" w14:textId="03C52072" w:rsidR="004E656B" w:rsidRPr="007B2800" w:rsidRDefault="004E656B" w:rsidP="005D5CC5">
      <w:pPr>
        <w:spacing w:line="480" w:lineRule="auto"/>
        <w:jc w:val="both"/>
        <w:rPr>
          <w:rFonts w:ascii="Times New Roman" w:hAnsi="Times New Roman" w:cs="Times New Roman"/>
          <w:lang w:val="en-GB"/>
        </w:rPr>
      </w:pPr>
      <w:r w:rsidRPr="007B2800">
        <w:rPr>
          <w:rFonts w:ascii="Times New Roman" w:hAnsi="Times New Roman" w:cs="Times New Roman"/>
          <w:lang w:val="en-GB"/>
        </w:rPr>
        <w:tab/>
      </w:r>
      <w:r w:rsidR="00A42A6E" w:rsidRPr="007B2800">
        <w:rPr>
          <w:rFonts w:ascii="Times New Roman" w:hAnsi="Times New Roman" w:cs="Times New Roman"/>
          <w:lang w:val="en-GB"/>
        </w:rPr>
        <w:t>So,</w:t>
      </w:r>
      <w:r w:rsidRPr="007B2800">
        <w:rPr>
          <w:rFonts w:ascii="Times New Roman" w:hAnsi="Times New Roman" w:cs="Times New Roman"/>
          <w:lang w:val="en-GB"/>
        </w:rPr>
        <w:t xml:space="preserve"> I agree with Salis that one </w:t>
      </w:r>
      <w:r w:rsidR="00057106" w:rsidRPr="007B2800">
        <w:rPr>
          <w:rFonts w:ascii="Times New Roman" w:hAnsi="Times New Roman" w:cs="Times New Roman"/>
          <w:lang w:val="en-GB"/>
        </w:rPr>
        <w:t>can</w:t>
      </w:r>
      <w:r w:rsidRPr="007B2800">
        <w:rPr>
          <w:rFonts w:ascii="Times New Roman" w:hAnsi="Times New Roman" w:cs="Times New Roman"/>
          <w:lang w:val="en-GB"/>
        </w:rPr>
        <w:t xml:space="preserve"> explain why the sentences below are equivalent by recourse to anaphoric dependencies:</w:t>
      </w:r>
    </w:p>
    <w:p w14:paraId="5009FBE0" w14:textId="77777777" w:rsidR="004E656B" w:rsidRPr="007B2800" w:rsidRDefault="004E656B" w:rsidP="005D5CC5">
      <w:pPr>
        <w:spacing w:line="480" w:lineRule="auto"/>
        <w:jc w:val="both"/>
        <w:rPr>
          <w:rFonts w:ascii="Times New Roman" w:hAnsi="Times New Roman" w:cs="Times New Roman"/>
          <w:lang w:val="en-GB"/>
        </w:rPr>
      </w:pPr>
    </w:p>
    <w:p w14:paraId="591E8B7B" w14:textId="3974C8B0" w:rsidR="004E656B" w:rsidRPr="007B2800" w:rsidRDefault="004E656B" w:rsidP="005D5CC5">
      <w:pPr>
        <w:spacing w:line="480" w:lineRule="auto"/>
        <w:jc w:val="both"/>
        <w:rPr>
          <w:rFonts w:ascii="Times New Roman" w:hAnsi="Times New Roman" w:cs="Times New Roman"/>
          <w:lang w:val="en-GB"/>
        </w:rPr>
      </w:pPr>
      <w:r w:rsidRPr="007B2800">
        <w:rPr>
          <w:rFonts w:ascii="Times New Roman" w:hAnsi="Times New Roman" w:cs="Times New Roman"/>
          <w:lang w:val="en-GB"/>
        </w:rPr>
        <w:tab/>
      </w:r>
      <w:r w:rsidR="00280EBC" w:rsidRPr="007B2800">
        <w:rPr>
          <w:rFonts w:ascii="Times New Roman" w:hAnsi="Times New Roman" w:cs="Times New Roman"/>
          <w:lang w:val="en-GB"/>
        </w:rPr>
        <w:t xml:space="preserve">Mary </w:t>
      </w:r>
      <w:r w:rsidR="002B391E" w:rsidRPr="007B2800">
        <w:rPr>
          <w:rFonts w:ascii="Times New Roman" w:hAnsi="Times New Roman" w:cs="Times New Roman"/>
          <w:lang w:val="en-GB"/>
        </w:rPr>
        <w:t xml:space="preserve">is </w:t>
      </w:r>
      <w:r w:rsidR="006A6571" w:rsidRPr="007B2800">
        <w:rPr>
          <w:rFonts w:ascii="Times New Roman" w:hAnsi="Times New Roman" w:cs="Times New Roman"/>
          <w:lang w:val="en-GB"/>
        </w:rPr>
        <w:t>happy</w:t>
      </w:r>
    </w:p>
    <w:p w14:paraId="7AD88CC2" w14:textId="2F7F3E6A" w:rsidR="002B391E" w:rsidRPr="007B2800" w:rsidRDefault="002B391E" w:rsidP="005D5CC5">
      <w:pPr>
        <w:spacing w:line="480" w:lineRule="auto"/>
        <w:jc w:val="both"/>
        <w:rPr>
          <w:rFonts w:ascii="Times New Roman" w:hAnsi="Times New Roman" w:cs="Times New Roman"/>
          <w:lang w:val="en-GB"/>
        </w:rPr>
      </w:pPr>
      <w:r w:rsidRPr="007B2800">
        <w:rPr>
          <w:rFonts w:ascii="Times New Roman" w:hAnsi="Times New Roman" w:cs="Times New Roman"/>
          <w:lang w:val="en-GB"/>
        </w:rPr>
        <w:tab/>
        <w:t xml:space="preserve">She is </w:t>
      </w:r>
      <w:r w:rsidR="006A6571" w:rsidRPr="007B2800">
        <w:rPr>
          <w:rFonts w:ascii="Times New Roman" w:hAnsi="Times New Roman" w:cs="Times New Roman"/>
          <w:lang w:val="en-GB"/>
        </w:rPr>
        <w:t>happy</w:t>
      </w:r>
      <w:r w:rsidRPr="007B2800">
        <w:rPr>
          <w:rFonts w:ascii="Times New Roman" w:hAnsi="Times New Roman" w:cs="Times New Roman"/>
          <w:lang w:val="en-GB"/>
        </w:rPr>
        <w:t xml:space="preserve"> [where the antecedent of </w:t>
      </w:r>
      <w:r w:rsidR="00665594" w:rsidRPr="007B2800">
        <w:rPr>
          <w:rFonts w:ascii="Times New Roman" w:hAnsi="Times New Roman" w:cs="Times New Roman"/>
          <w:lang w:val="en-GB"/>
        </w:rPr>
        <w:t>‘</w:t>
      </w:r>
      <w:r w:rsidRPr="007B2800">
        <w:rPr>
          <w:rFonts w:ascii="Times New Roman" w:hAnsi="Times New Roman" w:cs="Times New Roman"/>
          <w:lang w:val="en-GB"/>
        </w:rPr>
        <w:t>she</w:t>
      </w:r>
      <w:r w:rsidR="00665594" w:rsidRPr="007B2800">
        <w:rPr>
          <w:rFonts w:ascii="Times New Roman" w:hAnsi="Times New Roman" w:cs="Times New Roman"/>
          <w:lang w:val="en-GB"/>
        </w:rPr>
        <w:t>’</w:t>
      </w:r>
      <w:r w:rsidRPr="007B2800">
        <w:rPr>
          <w:rFonts w:ascii="Times New Roman" w:hAnsi="Times New Roman" w:cs="Times New Roman"/>
          <w:lang w:val="en-GB"/>
        </w:rPr>
        <w:t xml:space="preserve"> is </w:t>
      </w:r>
      <w:r w:rsidR="00665594" w:rsidRPr="007B2800">
        <w:rPr>
          <w:rFonts w:ascii="Times New Roman" w:hAnsi="Times New Roman" w:cs="Times New Roman"/>
          <w:lang w:val="en-GB"/>
        </w:rPr>
        <w:t>‘</w:t>
      </w:r>
      <w:r w:rsidRPr="007B2800">
        <w:rPr>
          <w:rFonts w:ascii="Times New Roman" w:hAnsi="Times New Roman" w:cs="Times New Roman"/>
          <w:lang w:val="en-GB"/>
        </w:rPr>
        <w:t>Mary</w:t>
      </w:r>
      <w:r w:rsidR="00665594" w:rsidRPr="007B2800">
        <w:rPr>
          <w:rFonts w:ascii="Times New Roman" w:hAnsi="Times New Roman" w:cs="Times New Roman"/>
          <w:lang w:val="en-GB"/>
        </w:rPr>
        <w:t>’</w:t>
      </w:r>
      <w:r w:rsidRPr="007B2800">
        <w:rPr>
          <w:rFonts w:ascii="Times New Roman" w:hAnsi="Times New Roman" w:cs="Times New Roman"/>
          <w:lang w:val="en-GB"/>
        </w:rPr>
        <w:t>]</w:t>
      </w:r>
    </w:p>
    <w:p w14:paraId="03D9CD5F" w14:textId="77777777" w:rsidR="004E656B" w:rsidRPr="007B2800" w:rsidRDefault="004E656B" w:rsidP="005D5CC5">
      <w:pPr>
        <w:spacing w:line="480" w:lineRule="auto"/>
        <w:jc w:val="both"/>
        <w:rPr>
          <w:rFonts w:ascii="Times New Roman" w:hAnsi="Times New Roman" w:cs="Times New Roman"/>
          <w:lang w:val="en-GB"/>
        </w:rPr>
      </w:pPr>
    </w:p>
    <w:p w14:paraId="1F15514A" w14:textId="236F045F" w:rsidR="00AC08C7" w:rsidRPr="007B2800" w:rsidRDefault="0072320D" w:rsidP="00AC08C7">
      <w:pPr>
        <w:spacing w:line="480" w:lineRule="auto"/>
        <w:jc w:val="both"/>
        <w:rPr>
          <w:rFonts w:ascii="Times New Roman" w:hAnsi="Times New Roman" w:cs="Times New Roman"/>
          <w:lang w:val="en-GB"/>
        </w:rPr>
      </w:pPr>
      <w:r w:rsidRPr="007B2800">
        <w:rPr>
          <w:rFonts w:ascii="Times New Roman" w:hAnsi="Times New Roman" w:cs="Times New Roman"/>
          <w:lang w:val="en-GB"/>
        </w:rPr>
        <w:t>Thus, the real problem with (PT)</w:t>
      </w:r>
      <w:r w:rsidR="000F4D67" w:rsidRPr="007B2800">
        <w:rPr>
          <w:rFonts w:ascii="Times New Roman" w:hAnsi="Times New Roman" w:cs="Times New Roman"/>
          <w:lang w:val="en-GB"/>
        </w:rPr>
        <w:t xml:space="preserve"> isn’t quite that it merely re-describes the data. </w:t>
      </w:r>
      <w:r w:rsidR="007E55D0" w:rsidRPr="007B2800">
        <w:rPr>
          <w:rFonts w:ascii="Times New Roman" w:hAnsi="Times New Roman" w:cs="Times New Roman"/>
          <w:lang w:val="en-GB"/>
        </w:rPr>
        <w:t xml:space="preserve">The </w:t>
      </w:r>
      <w:r w:rsidR="00D62C23">
        <w:rPr>
          <w:rFonts w:ascii="Times New Roman" w:hAnsi="Times New Roman" w:cs="Times New Roman"/>
          <w:lang w:val="en-GB"/>
        </w:rPr>
        <w:t xml:space="preserve">real </w:t>
      </w:r>
      <w:r w:rsidR="007E55D0" w:rsidRPr="007B2800">
        <w:rPr>
          <w:rFonts w:ascii="Times New Roman" w:hAnsi="Times New Roman" w:cs="Times New Roman"/>
          <w:lang w:val="en-GB"/>
        </w:rPr>
        <w:t>problem becomes apparent</w:t>
      </w:r>
      <w:r w:rsidR="009A706D">
        <w:rPr>
          <w:rFonts w:ascii="Times New Roman" w:hAnsi="Times New Roman" w:cs="Times New Roman"/>
          <w:lang w:val="en-GB"/>
        </w:rPr>
        <w:t>, however,</w:t>
      </w:r>
      <w:r w:rsidR="009B7D24">
        <w:rPr>
          <w:rFonts w:ascii="Times New Roman" w:hAnsi="Times New Roman" w:cs="Times New Roman"/>
          <w:lang w:val="en-GB"/>
        </w:rPr>
        <w:t xml:space="preserve"> if</w:t>
      </w:r>
      <w:r w:rsidR="007E55D0" w:rsidRPr="007B2800">
        <w:rPr>
          <w:rFonts w:ascii="Times New Roman" w:hAnsi="Times New Roman" w:cs="Times New Roman"/>
          <w:lang w:val="en-GB"/>
        </w:rPr>
        <w:t xml:space="preserve"> we replace the anaphoric terminology with the relevant </w:t>
      </w:r>
      <w:r w:rsidR="007E55D0" w:rsidRPr="007B2800">
        <w:rPr>
          <w:rFonts w:ascii="Times New Roman" w:hAnsi="Times New Roman" w:cs="Times New Roman"/>
          <w:i/>
          <w:lang w:val="en-GB"/>
        </w:rPr>
        <w:t>definientia</w:t>
      </w:r>
      <w:r w:rsidR="004B01F1" w:rsidRPr="007B2800">
        <w:rPr>
          <w:rFonts w:ascii="Times New Roman" w:hAnsi="Times New Roman" w:cs="Times New Roman"/>
          <w:lang w:val="en-GB"/>
        </w:rPr>
        <w:t>, using the right definition</w:t>
      </w:r>
      <w:r w:rsidR="007E55D0" w:rsidRPr="007B2800">
        <w:rPr>
          <w:rFonts w:ascii="Times New Roman" w:hAnsi="Times New Roman" w:cs="Times New Roman"/>
          <w:lang w:val="en-GB"/>
        </w:rPr>
        <w:t>.</w:t>
      </w:r>
      <w:r w:rsidR="004A571B" w:rsidRPr="007B2800">
        <w:rPr>
          <w:rFonts w:ascii="Times New Roman" w:hAnsi="Times New Roman" w:cs="Times New Roman"/>
          <w:lang w:val="en-GB"/>
        </w:rPr>
        <w:t xml:space="preserve"> I take the following to be </w:t>
      </w:r>
      <w:r w:rsidR="00DA7F12" w:rsidRPr="007B2800">
        <w:rPr>
          <w:rFonts w:ascii="Times New Roman" w:hAnsi="Times New Roman" w:cs="Times New Roman"/>
          <w:lang w:val="en-GB"/>
        </w:rPr>
        <w:t>a plausible definition of ‘being the antecedent of’</w:t>
      </w:r>
      <w:r w:rsidR="004A571B" w:rsidRPr="007B2800">
        <w:rPr>
          <w:rFonts w:ascii="Times New Roman" w:hAnsi="Times New Roman" w:cs="Times New Roman"/>
          <w:lang w:val="en-GB"/>
        </w:rPr>
        <w:t xml:space="preserve">: </w:t>
      </w:r>
    </w:p>
    <w:p w14:paraId="6DC81DF5" w14:textId="77777777" w:rsidR="004A571B" w:rsidRPr="007B2800" w:rsidRDefault="004A571B" w:rsidP="00AC08C7">
      <w:pPr>
        <w:spacing w:line="480" w:lineRule="auto"/>
        <w:jc w:val="both"/>
        <w:rPr>
          <w:rFonts w:ascii="Times New Roman" w:hAnsi="Times New Roman" w:cs="Times New Roman"/>
          <w:lang w:val="en-GB"/>
        </w:rPr>
      </w:pPr>
    </w:p>
    <w:p w14:paraId="3937B609" w14:textId="79D5EB85" w:rsidR="0087675A" w:rsidRPr="007B2800" w:rsidRDefault="004A571B" w:rsidP="00357F9B">
      <w:pPr>
        <w:spacing w:line="480" w:lineRule="auto"/>
        <w:ind w:left="720"/>
        <w:jc w:val="both"/>
        <w:rPr>
          <w:rFonts w:ascii="Times New Roman" w:hAnsi="Times New Roman" w:cs="Times New Roman"/>
          <w:lang w:val="en-GB"/>
        </w:rPr>
      </w:pPr>
      <w:r w:rsidRPr="007B2800">
        <w:rPr>
          <w:rFonts w:ascii="Times New Roman" w:hAnsi="Times New Roman" w:cs="Times New Roman"/>
          <w:lang w:val="en-GB"/>
        </w:rPr>
        <w:t>A is the (anaphoric) antecedent of B =</w:t>
      </w:r>
      <w:r w:rsidRPr="007B2800">
        <w:rPr>
          <w:rFonts w:ascii="Times New Roman" w:hAnsi="Times New Roman" w:cs="Times New Roman"/>
          <w:vertAlign w:val="subscript"/>
          <w:lang w:val="en-GB"/>
        </w:rPr>
        <w:t>df</w:t>
      </w:r>
      <w:r w:rsidRPr="007B2800">
        <w:rPr>
          <w:rFonts w:ascii="Times New Roman" w:hAnsi="Times New Roman" w:cs="Times New Roman"/>
          <w:lang w:val="en-GB"/>
        </w:rPr>
        <w:t xml:space="preserve"> </w:t>
      </w:r>
      <w:r w:rsidR="00E94CAF" w:rsidRPr="007B2800">
        <w:rPr>
          <w:rFonts w:ascii="Times New Roman" w:hAnsi="Times New Roman" w:cs="Times New Roman"/>
          <w:lang w:val="en-GB"/>
        </w:rPr>
        <w:t>B is a</w:t>
      </w:r>
      <w:r w:rsidR="002D5F51" w:rsidRPr="007B2800">
        <w:rPr>
          <w:rFonts w:ascii="Times New Roman" w:hAnsi="Times New Roman" w:cs="Times New Roman"/>
          <w:lang w:val="en-GB"/>
        </w:rPr>
        <w:t xml:space="preserve"> token expression which, </w:t>
      </w:r>
      <w:r w:rsidR="00971AF3" w:rsidRPr="007B2800">
        <w:rPr>
          <w:rFonts w:ascii="Times New Roman" w:hAnsi="Times New Roman" w:cs="Times New Roman"/>
          <w:lang w:val="en-GB"/>
        </w:rPr>
        <w:t>due to a</w:t>
      </w:r>
      <w:r w:rsidR="002D5F51" w:rsidRPr="007B2800">
        <w:rPr>
          <w:rFonts w:ascii="Times New Roman" w:hAnsi="Times New Roman" w:cs="Times New Roman"/>
          <w:lang w:val="en-GB"/>
        </w:rPr>
        <w:t xml:space="preserve"> convention</w:t>
      </w:r>
      <w:r w:rsidR="00971AF3" w:rsidRPr="007B2800">
        <w:rPr>
          <w:rFonts w:ascii="Times New Roman" w:hAnsi="Times New Roman" w:cs="Times New Roman"/>
          <w:lang w:val="en-GB"/>
        </w:rPr>
        <w:t xml:space="preserve"> </w:t>
      </w:r>
      <w:r w:rsidR="00123D8D" w:rsidRPr="007B2800">
        <w:rPr>
          <w:rFonts w:ascii="Times New Roman" w:hAnsi="Times New Roman" w:cs="Times New Roman"/>
          <w:lang w:val="en-GB"/>
        </w:rPr>
        <w:t xml:space="preserve">governing the type to which B belongs (e.g., the type </w:t>
      </w:r>
      <w:r w:rsidR="005071CF" w:rsidRPr="007B2800">
        <w:rPr>
          <w:rFonts w:ascii="Times New Roman" w:hAnsi="Times New Roman" w:cs="Times New Roman"/>
          <w:lang w:val="en-GB"/>
        </w:rPr>
        <w:t>‘</w:t>
      </w:r>
      <w:r w:rsidR="00123D8D" w:rsidRPr="007B2800">
        <w:rPr>
          <w:rFonts w:ascii="Times New Roman" w:hAnsi="Times New Roman" w:cs="Times New Roman"/>
          <w:lang w:val="en-GB"/>
        </w:rPr>
        <w:t>she</w:t>
      </w:r>
      <w:r w:rsidR="005071CF" w:rsidRPr="007B2800">
        <w:rPr>
          <w:rFonts w:ascii="Times New Roman" w:hAnsi="Times New Roman" w:cs="Times New Roman"/>
          <w:lang w:val="en-GB"/>
        </w:rPr>
        <w:t>’</w:t>
      </w:r>
      <w:r w:rsidR="00123D8D" w:rsidRPr="007B2800">
        <w:rPr>
          <w:rFonts w:ascii="Times New Roman" w:hAnsi="Times New Roman" w:cs="Times New Roman"/>
          <w:lang w:val="en-GB"/>
        </w:rPr>
        <w:t xml:space="preserve">), </w:t>
      </w:r>
      <w:r w:rsidR="00D72F38" w:rsidRPr="007B2800">
        <w:rPr>
          <w:rFonts w:ascii="Times New Roman" w:hAnsi="Times New Roman" w:cs="Times New Roman"/>
          <w:lang w:val="en-GB"/>
        </w:rPr>
        <w:t>acquires</w:t>
      </w:r>
      <w:r w:rsidR="00123D8D" w:rsidRPr="007B2800">
        <w:rPr>
          <w:rFonts w:ascii="Times New Roman" w:hAnsi="Times New Roman" w:cs="Times New Roman"/>
          <w:lang w:val="en-GB"/>
        </w:rPr>
        <w:t xml:space="preserve"> the content </w:t>
      </w:r>
      <w:r w:rsidR="00D72F38" w:rsidRPr="007B2800">
        <w:rPr>
          <w:rFonts w:ascii="Times New Roman" w:hAnsi="Times New Roman" w:cs="Times New Roman"/>
          <w:lang w:val="en-GB"/>
        </w:rPr>
        <w:t>of B because B stands in R to A in the</w:t>
      </w:r>
      <w:r w:rsidR="00A323F4" w:rsidRPr="007B2800">
        <w:rPr>
          <w:rFonts w:ascii="Times New Roman" w:hAnsi="Times New Roman" w:cs="Times New Roman"/>
          <w:lang w:val="en-GB"/>
        </w:rPr>
        <w:t xml:space="preserve"> context in which B is tokened.</w:t>
      </w:r>
    </w:p>
    <w:p w14:paraId="294F5B60" w14:textId="4F577AEC" w:rsidR="0087675A" w:rsidRPr="007B2800" w:rsidRDefault="0087675A" w:rsidP="00AC08C7">
      <w:pPr>
        <w:spacing w:line="480" w:lineRule="auto"/>
        <w:jc w:val="both"/>
        <w:rPr>
          <w:rFonts w:ascii="Times New Roman" w:hAnsi="Times New Roman" w:cs="Times New Roman"/>
          <w:lang w:val="en-GB"/>
        </w:rPr>
      </w:pPr>
    </w:p>
    <w:p w14:paraId="6A13945C" w14:textId="357627C8" w:rsidR="00D72F38" w:rsidRPr="007B2800" w:rsidRDefault="00D72F38" w:rsidP="00AC08C7">
      <w:pPr>
        <w:spacing w:line="480" w:lineRule="auto"/>
        <w:jc w:val="both"/>
        <w:rPr>
          <w:rFonts w:ascii="Times New Roman" w:hAnsi="Times New Roman" w:cs="Times New Roman"/>
          <w:lang w:val="en-GB"/>
        </w:rPr>
      </w:pPr>
      <w:r w:rsidRPr="007B2800">
        <w:rPr>
          <w:rFonts w:ascii="Times New Roman" w:hAnsi="Times New Roman" w:cs="Times New Roman"/>
          <w:lang w:val="en-GB"/>
        </w:rPr>
        <w:t xml:space="preserve">Here, </w:t>
      </w:r>
      <w:r w:rsidR="0010135E" w:rsidRPr="007B2800">
        <w:rPr>
          <w:rFonts w:ascii="Times New Roman" w:hAnsi="Times New Roman" w:cs="Times New Roman"/>
          <w:lang w:val="en-GB"/>
        </w:rPr>
        <w:t>R is the relation holding between two token expressions in a context in virtue of which one is the antecedent of the other in that context. W</w:t>
      </w:r>
      <w:r w:rsidRPr="007B2800">
        <w:rPr>
          <w:rFonts w:ascii="Times New Roman" w:hAnsi="Times New Roman" w:cs="Times New Roman"/>
          <w:lang w:val="en-GB"/>
        </w:rPr>
        <w:t>e need not</w:t>
      </w:r>
      <w:r w:rsidR="00F974E2" w:rsidRPr="007B2800">
        <w:rPr>
          <w:rFonts w:ascii="Times New Roman" w:hAnsi="Times New Roman" w:cs="Times New Roman"/>
          <w:lang w:val="en-GB"/>
        </w:rPr>
        <w:t xml:space="preserve"> dwell on th</w:t>
      </w:r>
      <w:r w:rsidR="00547038">
        <w:rPr>
          <w:rFonts w:ascii="Times New Roman" w:hAnsi="Times New Roman" w:cs="Times New Roman"/>
          <w:lang w:val="en-GB"/>
        </w:rPr>
        <w:t>is relation</w:t>
      </w:r>
      <w:r w:rsidR="00F974E2" w:rsidRPr="007B2800">
        <w:rPr>
          <w:rFonts w:ascii="Times New Roman" w:hAnsi="Times New Roman" w:cs="Times New Roman"/>
          <w:lang w:val="en-GB"/>
        </w:rPr>
        <w:t>, which</w:t>
      </w:r>
      <w:r w:rsidRPr="007B2800">
        <w:rPr>
          <w:rFonts w:ascii="Times New Roman" w:hAnsi="Times New Roman" w:cs="Times New Roman"/>
          <w:lang w:val="en-GB"/>
        </w:rPr>
        <w:t xml:space="preserve"> is a matter of controversy. R </w:t>
      </w:r>
      <w:r w:rsidR="00D7538A" w:rsidRPr="007B2800">
        <w:rPr>
          <w:rFonts w:ascii="Times New Roman" w:hAnsi="Times New Roman" w:cs="Times New Roman"/>
          <w:lang w:val="en-GB"/>
        </w:rPr>
        <w:t xml:space="preserve">might </w:t>
      </w:r>
      <w:r w:rsidRPr="007B2800">
        <w:rPr>
          <w:rFonts w:ascii="Times New Roman" w:hAnsi="Times New Roman" w:cs="Times New Roman"/>
          <w:lang w:val="en-GB"/>
        </w:rPr>
        <w:t xml:space="preserve">be defined in terms of </w:t>
      </w:r>
      <w:proofErr w:type="gramStart"/>
      <w:r w:rsidRPr="007B2800">
        <w:rPr>
          <w:rFonts w:ascii="Times New Roman" w:hAnsi="Times New Roman" w:cs="Times New Roman"/>
          <w:lang w:val="en-GB"/>
        </w:rPr>
        <w:t>speakers’</w:t>
      </w:r>
      <w:proofErr w:type="gramEnd"/>
      <w:r w:rsidRPr="007B2800">
        <w:rPr>
          <w:rFonts w:ascii="Times New Roman" w:hAnsi="Times New Roman" w:cs="Times New Roman"/>
          <w:lang w:val="en-GB"/>
        </w:rPr>
        <w:t xml:space="preserve"> and hearers’ intentions, in terms of relevance</w:t>
      </w:r>
      <w:r w:rsidR="005076D3" w:rsidRPr="007B2800">
        <w:rPr>
          <w:rFonts w:ascii="Times New Roman" w:hAnsi="Times New Roman" w:cs="Times New Roman"/>
          <w:lang w:val="en-GB"/>
        </w:rPr>
        <w:t xml:space="preserve"> or salience</w:t>
      </w:r>
      <w:r w:rsidRPr="007B2800">
        <w:rPr>
          <w:rFonts w:ascii="Times New Roman" w:hAnsi="Times New Roman" w:cs="Times New Roman"/>
          <w:lang w:val="en-GB"/>
        </w:rPr>
        <w:t xml:space="preserve">, </w:t>
      </w:r>
      <w:r w:rsidR="00D7538A" w:rsidRPr="007B2800">
        <w:rPr>
          <w:rFonts w:ascii="Times New Roman" w:hAnsi="Times New Roman" w:cs="Times New Roman"/>
          <w:lang w:val="en-GB"/>
        </w:rPr>
        <w:t>or some other way.</w:t>
      </w:r>
      <w:r w:rsidR="008B4647" w:rsidRPr="007B2800">
        <w:rPr>
          <w:rFonts w:ascii="Times New Roman" w:hAnsi="Times New Roman" w:cs="Times New Roman"/>
          <w:lang w:val="en-GB"/>
        </w:rPr>
        <w:t xml:space="preserve"> Anyone should agree that there must be something that accounts for one token expression being the antecedent of a given token proform, even if neither of the two </w:t>
      </w:r>
      <w:r w:rsidR="00C700D9">
        <w:rPr>
          <w:rFonts w:ascii="Times New Roman" w:hAnsi="Times New Roman" w:cs="Times New Roman"/>
          <w:lang w:val="en-GB"/>
        </w:rPr>
        <w:t>candidates just mentioned</w:t>
      </w:r>
      <w:r w:rsidR="008B4647" w:rsidRPr="007B2800">
        <w:rPr>
          <w:rFonts w:ascii="Times New Roman" w:hAnsi="Times New Roman" w:cs="Times New Roman"/>
          <w:lang w:val="en-GB"/>
        </w:rPr>
        <w:t xml:space="preserve"> fit</w:t>
      </w:r>
      <w:r w:rsidR="00BD1970">
        <w:rPr>
          <w:rFonts w:ascii="Times New Roman" w:hAnsi="Times New Roman" w:cs="Times New Roman"/>
          <w:lang w:val="en-GB"/>
        </w:rPr>
        <w:t>s</w:t>
      </w:r>
      <w:r w:rsidR="008B4647" w:rsidRPr="007B2800">
        <w:rPr>
          <w:rFonts w:ascii="Times New Roman" w:hAnsi="Times New Roman" w:cs="Times New Roman"/>
          <w:lang w:val="en-GB"/>
        </w:rPr>
        <w:t xml:space="preserve"> the bill.</w:t>
      </w:r>
      <w:r w:rsidR="00D7538A" w:rsidRPr="007B2800">
        <w:rPr>
          <w:rFonts w:ascii="Times New Roman" w:hAnsi="Times New Roman" w:cs="Times New Roman"/>
          <w:lang w:val="en-GB"/>
        </w:rPr>
        <w:t xml:space="preserve"> </w:t>
      </w:r>
    </w:p>
    <w:p w14:paraId="63BC71CC" w14:textId="1BA586F7" w:rsidR="00B25A10" w:rsidRPr="007B2800" w:rsidRDefault="007F1DAC" w:rsidP="00AC08C7">
      <w:pPr>
        <w:spacing w:line="480" w:lineRule="auto"/>
        <w:jc w:val="both"/>
        <w:rPr>
          <w:rFonts w:ascii="Times New Roman" w:hAnsi="Times New Roman" w:cs="Times New Roman"/>
          <w:lang w:val="en-GB"/>
        </w:rPr>
      </w:pPr>
      <w:r w:rsidRPr="007B2800">
        <w:rPr>
          <w:rFonts w:ascii="Times New Roman" w:hAnsi="Times New Roman" w:cs="Times New Roman"/>
          <w:lang w:val="en-GB"/>
        </w:rPr>
        <w:tab/>
        <w:t xml:space="preserve">Assuming that the definition above is at least along the right lines, we can see more clearly </w:t>
      </w:r>
      <w:r w:rsidR="008C7B6C" w:rsidRPr="007B2800">
        <w:rPr>
          <w:rFonts w:ascii="Times New Roman" w:hAnsi="Times New Roman" w:cs="Times New Roman"/>
          <w:lang w:val="en-GB"/>
        </w:rPr>
        <w:t>what is wrong</w:t>
      </w:r>
      <w:r w:rsidRPr="007B2800">
        <w:rPr>
          <w:rFonts w:ascii="Times New Roman" w:hAnsi="Times New Roman" w:cs="Times New Roman"/>
          <w:lang w:val="en-GB"/>
        </w:rPr>
        <w:t xml:space="preserve"> with (PT). </w:t>
      </w:r>
      <w:r w:rsidR="0095072A" w:rsidRPr="007B2800">
        <w:rPr>
          <w:rFonts w:ascii="Times New Roman" w:hAnsi="Times New Roman" w:cs="Times New Roman"/>
          <w:lang w:val="en-GB"/>
        </w:rPr>
        <w:t xml:space="preserve">The problem is that </w:t>
      </w:r>
      <w:r w:rsidR="00C6765D" w:rsidRPr="007B2800">
        <w:rPr>
          <w:rFonts w:ascii="Times New Roman" w:hAnsi="Times New Roman" w:cs="Times New Roman"/>
          <w:lang w:val="en-GB"/>
        </w:rPr>
        <w:t xml:space="preserve">the theory might as well have been formulated without using the notion of anaphora, and instead, more directly, by appeal to the </w:t>
      </w:r>
      <w:r w:rsidR="008B288E" w:rsidRPr="007B2800">
        <w:rPr>
          <w:rFonts w:ascii="Times New Roman" w:hAnsi="Times New Roman" w:cs="Times New Roman"/>
          <w:lang w:val="en-GB"/>
        </w:rPr>
        <w:t xml:space="preserve">more general semantic </w:t>
      </w:r>
      <w:r w:rsidR="00C6765D" w:rsidRPr="007B2800">
        <w:rPr>
          <w:rFonts w:ascii="Times New Roman" w:hAnsi="Times New Roman" w:cs="Times New Roman"/>
          <w:lang w:val="en-GB"/>
        </w:rPr>
        <w:t xml:space="preserve">notions used in the </w:t>
      </w:r>
      <w:r w:rsidR="00C6765D" w:rsidRPr="007B2800">
        <w:rPr>
          <w:rFonts w:ascii="Times New Roman" w:hAnsi="Times New Roman" w:cs="Times New Roman"/>
          <w:i/>
          <w:lang w:val="en-GB"/>
        </w:rPr>
        <w:t>definiens</w:t>
      </w:r>
      <w:r w:rsidR="00C6765D" w:rsidRPr="007B2800">
        <w:rPr>
          <w:rFonts w:ascii="Times New Roman" w:hAnsi="Times New Roman" w:cs="Times New Roman"/>
          <w:lang w:val="en-GB"/>
        </w:rPr>
        <w:t xml:space="preserve"> above. That is, </w:t>
      </w:r>
      <w:r w:rsidR="00532A75" w:rsidRPr="007B2800">
        <w:rPr>
          <w:rFonts w:ascii="Times New Roman" w:hAnsi="Times New Roman" w:cs="Times New Roman"/>
          <w:lang w:val="en-GB"/>
        </w:rPr>
        <w:t>‘</w:t>
      </w:r>
      <w:r w:rsidR="00C6765D" w:rsidRPr="007B2800">
        <w:rPr>
          <w:rFonts w:ascii="Times New Roman" w:hAnsi="Times New Roman" w:cs="Times New Roman"/>
          <w:lang w:val="en-GB"/>
        </w:rPr>
        <w:t>true</w:t>
      </w:r>
      <w:r w:rsidR="00532A75" w:rsidRPr="007B2800">
        <w:rPr>
          <w:rFonts w:ascii="Times New Roman" w:hAnsi="Times New Roman" w:cs="Times New Roman"/>
          <w:lang w:val="en-GB"/>
        </w:rPr>
        <w:t>’</w:t>
      </w:r>
      <w:r w:rsidR="00C6765D" w:rsidRPr="007B2800">
        <w:rPr>
          <w:rFonts w:ascii="Times New Roman" w:hAnsi="Times New Roman" w:cs="Times New Roman"/>
          <w:lang w:val="en-GB"/>
        </w:rPr>
        <w:t xml:space="preserve"> could have been characterized as an expression due to which sentences in which it occurs inherit</w:t>
      </w:r>
      <w:r w:rsidR="005E1A19" w:rsidRPr="007B2800">
        <w:rPr>
          <w:rFonts w:ascii="Times New Roman" w:hAnsi="Times New Roman" w:cs="Times New Roman"/>
          <w:lang w:val="en-GB"/>
        </w:rPr>
        <w:t xml:space="preserve"> their </w:t>
      </w:r>
      <w:r w:rsidR="00C6765D" w:rsidRPr="007B2800">
        <w:rPr>
          <w:rFonts w:ascii="Times New Roman" w:hAnsi="Times New Roman" w:cs="Times New Roman"/>
          <w:lang w:val="en-GB"/>
        </w:rPr>
        <w:t>content</w:t>
      </w:r>
      <w:r w:rsidR="005E1A19" w:rsidRPr="007B2800">
        <w:rPr>
          <w:rFonts w:ascii="Times New Roman" w:hAnsi="Times New Roman" w:cs="Times New Roman"/>
          <w:lang w:val="en-GB"/>
        </w:rPr>
        <w:t>s (or become</w:t>
      </w:r>
      <w:r w:rsidR="00C6765D" w:rsidRPr="007B2800">
        <w:rPr>
          <w:rFonts w:ascii="Times New Roman" w:hAnsi="Times New Roman" w:cs="Times New Roman"/>
          <w:lang w:val="en-GB"/>
        </w:rPr>
        <w:t xml:space="preserve"> equivalent with) </w:t>
      </w:r>
      <w:r w:rsidR="005A7D4B" w:rsidRPr="007B2800">
        <w:rPr>
          <w:rFonts w:ascii="Times New Roman" w:hAnsi="Times New Roman" w:cs="Times New Roman"/>
          <w:lang w:val="en-GB"/>
        </w:rPr>
        <w:t>certain other sentences, namely, those to which they stand in relation R</w:t>
      </w:r>
      <w:r w:rsidR="00C6765D" w:rsidRPr="007B2800">
        <w:rPr>
          <w:rFonts w:ascii="Times New Roman" w:hAnsi="Times New Roman" w:cs="Times New Roman"/>
          <w:lang w:val="en-GB"/>
        </w:rPr>
        <w:t>.</w:t>
      </w:r>
      <w:r w:rsidR="00E7770A" w:rsidRPr="007B2800">
        <w:rPr>
          <w:rFonts w:ascii="Times New Roman" w:hAnsi="Times New Roman" w:cs="Times New Roman"/>
          <w:lang w:val="en-GB"/>
        </w:rPr>
        <w:t xml:space="preserve"> </w:t>
      </w:r>
    </w:p>
    <w:p w14:paraId="16E65FA7" w14:textId="7D04E791" w:rsidR="007F1DAC" w:rsidRPr="007B2800" w:rsidRDefault="00E7770A" w:rsidP="00B25A10">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This account would of course have to be </w:t>
      </w:r>
      <w:r w:rsidR="00B25A10" w:rsidRPr="007B2800">
        <w:rPr>
          <w:rFonts w:ascii="Times New Roman" w:hAnsi="Times New Roman" w:cs="Times New Roman"/>
          <w:lang w:val="en-GB"/>
        </w:rPr>
        <w:t>further specified</w:t>
      </w:r>
      <w:r w:rsidRPr="007B2800">
        <w:rPr>
          <w:rFonts w:ascii="Times New Roman" w:hAnsi="Times New Roman" w:cs="Times New Roman"/>
          <w:lang w:val="en-GB"/>
        </w:rPr>
        <w:t xml:space="preserve"> in order to handle </w:t>
      </w:r>
      <w:r w:rsidR="00F655FB" w:rsidRPr="007B2800">
        <w:rPr>
          <w:rFonts w:ascii="Times New Roman" w:hAnsi="Times New Roman" w:cs="Times New Roman"/>
          <w:lang w:val="en-GB"/>
        </w:rPr>
        <w:t xml:space="preserve">the </w:t>
      </w:r>
      <w:r w:rsidRPr="007B2800">
        <w:rPr>
          <w:rFonts w:ascii="Times New Roman" w:hAnsi="Times New Roman" w:cs="Times New Roman"/>
          <w:lang w:val="en-GB"/>
        </w:rPr>
        <w:t xml:space="preserve">different ways in </w:t>
      </w:r>
      <w:r w:rsidR="00C01226" w:rsidRPr="007B2800">
        <w:rPr>
          <w:rFonts w:ascii="Times New Roman" w:hAnsi="Times New Roman" w:cs="Times New Roman"/>
          <w:lang w:val="en-GB"/>
        </w:rPr>
        <w:t>which ‘</w:t>
      </w:r>
      <w:r w:rsidRPr="007B2800">
        <w:rPr>
          <w:rFonts w:ascii="Times New Roman" w:hAnsi="Times New Roman" w:cs="Times New Roman"/>
          <w:lang w:val="en-GB"/>
        </w:rPr>
        <w:t>true</w:t>
      </w:r>
      <w:r w:rsidR="00C01226" w:rsidRPr="007B2800">
        <w:rPr>
          <w:rFonts w:ascii="Times New Roman" w:hAnsi="Times New Roman" w:cs="Times New Roman"/>
          <w:lang w:val="en-GB"/>
        </w:rPr>
        <w:t>’</w:t>
      </w:r>
      <w:r w:rsidRPr="007B2800">
        <w:rPr>
          <w:rFonts w:ascii="Times New Roman" w:hAnsi="Times New Roman" w:cs="Times New Roman"/>
          <w:lang w:val="en-GB"/>
        </w:rPr>
        <w:t xml:space="preserve"> can occur in sentences, but those complications </w:t>
      </w:r>
      <w:r w:rsidR="005A7D4B" w:rsidRPr="007B2800">
        <w:rPr>
          <w:rFonts w:ascii="Times New Roman" w:hAnsi="Times New Roman" w:cs="Times New Roman"/>
          <w:lang w:val="en-GB"/>
        </w:rPr>
        <w:t xml:space="preserve">may be set </w:t>
      </w:r>
      <w:r w:rsidRPr="007B2800">
        <w:rPr>
          <w:rFonts w:ascii="Times New Roman" w:hAnsi="Times New Roman" w:cs="Times New Roman"/>
          <w:lang w:val="en-GB"/>
        </w:rPr>
        <w:t>aside here.</w:t>
      </w:r>
      <w:r w:rsidR="000D7CCE" w:rsidRPr="007B2800">
        <w:rPr>
          <w:rFonts w:ascii="Times New Roman" w:hAnsi="Times New Roman" w:cs="Times New Roman"/>
          <w:lang w:val="en-GB"/>
        </w:rPr>
        <w:t xml:space="preserve"> </w:t>
      </w:r>
      <w:r w:rsidR="00BD1970">
        <w:rPr>
          <w:rFonts w:ascii="Times New Roman" w:hAnsi="Times New Roman" w:cs="Times New Roman"/>
          <w:lang w:val="en-GB"/>
        </w:rPr>
        <w:t>My point wa</w:t>
      </w:r>
      <w:r w:rsidR="000D7CCE" w:rsidRPr="007B2800">
        <w:rPr>
          <w:rFonts w:ascii="Times New Roman" w:hAnsi="Times New Roman" w:cs="Times New Roman"/>
          <w:lang w:val="en-GB"/>
        </w:rPr>
        <w:t xml:space="preserve">s that anaphoric notions like “antecedent” become idle if </w:t>
      </w:r>
      <w:proofErr w:type="gramStart"/>
      <w:r w:rsidR="000D7CCE" w:rsidRPr="007B2800">
        <w:rPr>
          <w:rFonts w:ascii="Times New Roman" w:hAnsi="Times New Roman" w:cs="Times New Roman"/>
          <w:lang w:val="en-GB"/>
        </w:rPr>
        <w:t>they can be replaced by more general semantic notions</w:t>
      </w:r>
      <w:r w:rsidR="002002BA">
        <w:rPr>
          <w:rFonts w:ascii="Times New Roman" w:hAnsi="Times New Roman" w:cs="Times New Roman"/>
          <w:lang w:val="en-GB"/>
        </w:rPr>
        <w:t>,</w:t>
      </w:r>
      <w:r w:rsidR="000D7CCE" w:rsidRPr="007B2800">
        <w:rPr>
          <w:rFonts w:ascii="Times New Roman" w:hAnsi="Times New Roman" w:cs="Times New Roman"/>
          <w:lang w:val="en-GB"/>
        </w:rPr>
        <w:t xml:space="preserve"> as suggested here</w:t>
      </w:r>
      <w:proofErr w:type="gramEnd"/>
      <w:r w:rsidR="000D7CCE" w:rsidRPr="007B2800">
        <w:rPr>
          <w:rFonts w:ascii="Times New Roman" w:hAnsi="Times New Roman" w:cs="Times New Roman"/>
          <w:lang w:val="en-GB"/>
        </w:rPr>
        <w:t>.</w:t>
      </w:r>
      <w:r w:rsidR="005A7D4B" w:rsidRPr="007B2800">
        <w:rPr>
          <w:rFonts w:ascii="Times New Roman" w:hAnsi="Times New Roman" w:cs="Times New Roman"/>
          <w:lang w:val="en-GB"/>
        </w:rPr>
        <w:t xml:space="preserve"> </w:t>
      </w:r>
      <w:r w:rsidR="002002BA">
        <w:rPr>
          <w:rFonts w:ascii="Times New Roman" w:hAnsi="Times New Roman" w:cs="Times New Roman"/>
          <w:lang w:val="en-GB"/>
        </w:rPr>
        <w:t>And w</w:t>
      </w:r>
      <w:r w:rsidR="005A7D4B" w:rsidRPr="007B2800">
        <w:rPr>
          <w:rFonts w:ascii="Times New Roman" w:hAnsi="Times New Roman" w:cs="Times New Roman"/>
          <w:lang w:val="en-GB"/>
        </w:rPr>
        <w:t xml:space="preserve">e have </w:t>
      </w:r>
      <w:r w:rsidR="00727E6F">
        <w:rPr>
          <w:rFonts w:ascii="Times New Roman" w:hAnsi="Times New Roman" w:cs="Times New Roman"/>
          <w:lang w:val="en-GB"/>
        </w:rPr>
        <w:t>now</w:t>
      </w:r>
      <w:r w:rsidR="005A7D4B" w:rsidRPr="007B2800">
        <w:rPr>
          <w:rFonts w:ascii="Times New Roman" w:hAnsi="Times New Roman" w:cs="Times New Roman"/>
          <w:lang w:val="en-GB"/>
        </w:rPr>
        <w:t xml:space="preserve"> seen that this point can be made without making the implausible claim that </w:t>
      </w:r>
      <w:r w:rsidR="00C63C88" w:rsidRPr="007B2800">
        <w:rPr>
          <w:rFonts w:ascii="Times New Roman" w:hAnsi="Times New Roman" w:cs="Times New Roman"/>
          <w:lang w:val="en-GB"/>
        </w:rPr>
        <w:t>(a) and (b) are equivalent</w:t>
      </w:r>
      <w:r w:rsidR="00AC6E4C" w:rsidRPr="007B2800">
        <w:rPr>
          <w:rFonts w:ascii="Times New Roman" w:hAnsi="Times New Roman" w:cs="Times New Roman"/>
          <w:lang w:val="en-GB"/>
        </w:rPr>
        <w:t xml:space="preserve">, or that (PT) merely </w:t>
      </w:r>
      <w:r w:rsidR="00280523" w:rsidRPr="007B2800">
        <w:rPr>
          <w:rFonts w:ascii="Times New Roman" w:hAnsi="Times New Roman" w:cs="Times New Roman"/>
          <w:lang w:val="en-GB"/>
        </w:rPr>
        <w:t>“</w:t>
      </w:r>
      <w:r w:rsidR="00AC6E4C" w:rsidRPr="007B2800">
        <w:rPr>
          <w:rFonts w:ascii="Times New Roman" w:hAnsi="Times New Roman" w:cs="Times New Roman"/>
          <w:lang w:val="en-GB"/>
        </w:rPr>
        <w:t>re-describes the data</w:t>
      </w:r>
      <w:r w:rsidR="00280523" w:rsidRPr="007B2800">
        <w:rPr>
          <w:rFonts w:ascii="Times New Roman" w:hAnsi="Times New Roman" w:cs="Times New Roman"/>
          <w:lang w:val="en-GB"/>
        </w:rPr>
        <w:t>”</w:t>
      </w:r>
      <w:r w:rsidR="00AC6E4C" w:rsidRPr="007B2800">
        <w:rPr>
          <w:rFonts w:ascii="Times New Roman" w:hAnsi="Times New Roman" w:cs="Times New Roman"/>
          <w:lang w:val="en-GB"/>
        </w:rPr>
        <w:t>.</w:t>
      </w:r>
    </w:p>
    <w:p w14:paraId="0D3F67E1" w14:textId="61432A41" w:rsidR="00AC6F46" w:rsidRPr="007B2800" w:rsidRDefault="00E7770A" w:rsidP="00AC08C7">
      <w:pPr>
        <w:spacing w:line="480" w:lineRule="auto"/>
        <w:jc w:val="both"/>
        <w:rPr>
          <w:rFonts w:ascii="Times New Roman" w:hAnsi="Times New Roman" w:cs="Times New Roman"/>
          <w:lang w:val="en-GB"/>
        </w:rPr>
      </w:pPr>
      <w:r w:rsidRPr="007B2800">
        <w:rPr>
          <w:rFonts w:ascii="Times New Roman" w:hAnsi="Times New Roman" w:cs="Times New Roman"/>
          <w:lang w:val="en-GB"/>
        </w:rPr>
        <w:tab/>
      </w:r>
      <w:r w:rsidR="00FA77C6" w:rsidRPr="007B2800">
        <w:rPr>
          <w:rFonts w:ascii="Times New Roman" w:hAnsi="Times New Roman" w:cs="Times New Roman"/>
          <w:lang w:val="en-GB"/>
        </w:rPr>
        <w:t xml:space="preserve">One of </w:t>
      </w:r>
      <w:r w:rsidR="00727E6F">
        <w:rPr>
          <w:rFonts w:ascii="Times New Roman" w:hAnsi="Times New Roman" w:cs="Times New Roman"/>
          <w:lang w:val="en-GB"/>
        </w:rPr>
        <w:t>my original</w:t>
      </w:r>
      <w:r w:rsidR="00FA77C6" w:rsidRPr="007B2800">
        <w:rPr>
          <w:rFonts w:ascii="Times New Roman" w:hAnsi="Times New Roman" w:cs="Times New Roman"/>
          <w:lang w:val="en-GB"/>
        </w:rPr>
        <w:t xml:space="preserve"> points was that </w:t>
      </w:r>
      <w:r w:rsidR="00FA77C6" w:rsidRPr="007B2800">
        <w:rPr>
          <w:rFonts w:ascii="Times New Roman" w:hAnsi="Times New Roman" w:cs="Times New Roman"/>
          <w:i/>
          <w:lang w:val="en-GB"/>
        </w:rPr>
        <w:t>if</w:t>
      </w:r>
      <w:r w:rsidR="009F3328" w:rsidRPr="007B2800">
        <w:rPr>
          <w:rFonts w:ascii="Times New Roman" w:hAnsi="Times New Roman" w:cs="Times New Roman"/>
          <w:lang w:val="en-GB"/>
        </w:rPr>
        <w:t xml:space="preserve"> the workings of ‘true’</w:t>
      </w:r>
      <w:r w:rsidR="00FA77C6" w:rsidRPr="007B2800">
        <w:rPr>
          <w:rFonts w:ascii="Times New Roman" w:hAnsi="Times New Roman" w:cs="Times New Roman"/>
          <w:lang w:val="en-GB"/>
        </w:rPr>
        <w:t xml:space="preserve"> could be accurat</w:t>
      </w:r>
      <w:r w:rsidR="008175F1" w:rsidRPr="007B2800">
        <w:rPr>
          <w:rFonts w:ascii="Times New Roman" w:hAnsi="Times New Roman" w:cs="Times New Roman"/>
          <w:lang w:val="en-GB"/>
        </w:rPr>
        <w:t>ely described using the terms, ‘proform’</w:t>
      </w:r>
      <w:r w:rsidR="00FA77C6" w:rsidRPr="007B2800">
        <w:rPr>
          <w:rFonts w:ascii="Times New Roman" w:hAnsi="Times New Roman" w:cs="Times New Roman"/>
          <w:lang w:val="en-GB"/>
        </w:rPr>
        <w:t xml:space="preserve">, </w:t>
      </w:r>
      <w:r w:rsidR="008175F1" w:rsidRPr="007B2800">
        <w:rPr>
          <w:rFonts w:ascii="Times New Roman" w:hAnsi="Times New Roman" w:cs="Times New Roman"/>
          <w:lang w:val="en-GB"/>
        </w:rPr>
        <w:t>‘</w:t>
      </w:r>
      <w:r w:rsidR="00FA77C6" w:rsidRPr="007B2800">
        <w:rPr>
          <w:rFonts w:ascii="Times New Roman" w:hAnsi="Times New Roman" w:cs="Times New Roman"/>
          <w:lang w:val="en-GB"/>
        </w:rPr>
        <w:t>antecedent</w:t>
      </w:r>
      <w:r w:rsidR="008175F1" w:rsidRPr="007B2800">
        <w:rPr>
          <w:rFonts w:ascii="Times New Roman" w:hAnsi="Times New Roman" w:cs="Times New Roman"/>
          <w:lang w:val="en-GB"/>
        </w:rPr>
        <w:t>’</w:t>
      </w:r>
      <w:r w:rsidR="00FA77C6" w:rsidRPr="007B2800">
        <w:rPr>
          <w:rFonts w:ascii="Times New Roman" w:hAnsi="Times New Roman" w:cs="Times New Roman"/>
          <w:lang w:val="en-GB"/>
        </w:rPr>
        <w:t xml:space="preserve">, etc., then that description would be idle in the sense that an equally accurate description may as well have been given </w:t>
      </w:r>
      <w:r w:rsidR="00FF330F" w:rsidRPr="007B2800">
        <w:rPr>
          <w:rFonts w:ascii="Times New Roman" w:hAnsi="Times New Roman" w:cs="Times New Roman"/>
          <w:lang w:val="en-GB"/>
        </w:rPr>
        <w:t>without appeal to anaphoric notions, but rather in</w:t>
      </w:r>
      <w:r w:rsidR="00FA77C6" w:rsidRPr="007B2800">
        <w:rPr>
          <w:rFonts w:ascii="Times New Roman" w:hAnsi="Times New Roman" w:cs="Times New Roman"/>
          <w:lang w:val="en-GB"/>
        </w:rPr>
        <w:t xml:space="preserve"> more general semantic terms. </w:t>
      </w:r>
      <w:r w:rsidR="007A59F9">
        <w:rPr>
          <w:rFonts w:ascii="Times New Roman" w:hAnsi="Times New Roman" w:cs="Times New Roman"/>
          <w:lang w:val="en-GB"/>
        </w:rPr>
        <w:t>I expressed</w:t>
      </w:r>
      <w:r w:rsidR="00DD19E1" w:rsidRPr="007B2800">
        <w:rPr>
          <w:rFonts w:ascii="Times New Roman" w:hAnsi="Times New Roman" w:cs="Times New Roman"/>
          <w:lang w:val="en-GB"/>
        </w:rPr>
        <w:t xml:space="preserve"> this point by saying that there is nothing</w:t>
      </w:r>
      <w:r w:rsidR="002B5BBE" w:rsidRPr="007B2800">
        <w:rPr>
          <w:rFonts w:ascii="Times New Roman" w:hAnsi="Times New Roman" w:cs="Times New Roman"/>
          <w:lang w:val="en-GB"/>
        </w:rPr>
        <w:t xml:space="preserve"> “essentially proformal” about ‘</w:t>
      </w:r>
      <w:r w:rsidR="00DD19E1" w:rsidRPr="007B2800">
        <w:rPr>
          <w:rFonts w:ascii="Times New Roman" w:hAnsi="Times New Roman" w:cs="Times New Roman"/>
          <w:lang w:val="en-GB"/>
        </w:rPr>
        <w:t>true</w:t>
      </w:r>
      <w:r w:rsidR="002B5BBE" w:rsidRPr="007B2800">
        <w:rPr>
          <w:rFonts w:ascii="Times New Roman" w:hAnsi="Times New Roman" w:cs="Times New Roman"/>
          <w:lang w:val="en-GB"/>
        </w:rPr>
        <w:t>’</w:t>
      </w:r>
      <w:r w:rsidR="00DD19E1" w:rsidRPr="007B2800">
        <w:rPr>
          <w:rFonts w:ascii="Times New Roman" w:hAnsi="Times New Roman" w:cs="Times New Roman"/>
          <w:lang w:val="en-GB"/>
        </w:rPr>
        <w:t xml:space="preserve">. </w:t>
      </w:r>
    </w:p>
    <w:p w14:paraId="13CB4F56" w14:textId="14DC513D" w:rsidR="00FB1F31" w:rsidRPr="007B2800" w:rsidRDefault="00FA77C6" w:rsidP="005C0D6E">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A</w:t>
      </w:r>
      <w:r w:rsidR="00FF330F" w:rsidRPr="007B2800">
        <w:rPr>
          <w:rFonts w:ascii="Times New Roman" w:hAnsi="Times New Roman" w:cs="Times New Roman"/>
          <w:lang w:val="en-GB"/>
        </w:rPr>
        <w:t xml:space="preserve"> </w:t>
      </w:r>
      <w:r w:rsidR="00B8684C" w:rsidRPr="007B2800">
        <w:rPr>
          <w:rFonts w:ascii="Times New Roman" w:hAnsi="Times New Roman" w:cs="Times New Roman"/>
          <w:lang w:val="en-GB"/>
        </w:rPr>
        <w:t>separate and</w:t>
      </w:r>
      <w:r w:rsidR="00FF330F" w:rsidRPr="007B2800">
        <w:rPr>
          <w:rFonts w:ascii="Times New Roman" w:hAnsi="Times New Roman" w:cs="Times New Roman"/>
          <w:lang w:val="en-GB"/>
        </w:rPr>
        <w:t xml:space="preserve"> </w:t>
      </w:r>
      <w:r w:rsidRPr="007B2800">
        <w:rPr>
          <w:rFonts w:ascii="Times New Roman" w:hAnsi="Times New Roman" w:cs="Times New Roman"/>
          <w:lang w:val="en-GB"/>
        </w:rPr>
        <w:t xml:space="preserve">independent </w:t>
      </w:r>
      <w:r w:rsidR="00F669D1" w:rsidRPr="007B2800">
        <w:rPr>
          <w:rFonts w:ascii="Times New Roman" w:hAnsi="Times New Roman" w:cs="Times New Roman"/>
          <w:lang w:val="en-GB"/>
        </w:rPr>
        <w:t>question</w:t>
      </w:r>
      <w:r w:rsidRPr="007B2800">
        <w:rPr>
          <w:rFonts w:ascii="Times New Roman" w:hAnsi="Times New Roman" w:cs="Times New Roman"/>
          <w:lang w:val="en-GB"/>
        </w:rPr>
        <w:t xml:space="preserve"> is whether one can </w:t>
      </w:r>
      <w:r w:rsidR="00B854FE" w:rsidRPr="007B2800">
        <w:rPr>
          <w:rFonts w:ascii="Times New Roman" w:hAnsi="Times New Roman" w:cs="Times New Roman"/>
          <w:lang w:val="en-GB"/>
        </w:rPr>
        <w:t xml:space="preserve">indeed </w:t>
      </w:r>
      <w:r w:rsidRPr="007B2800">
        <w:rPr>
          <w:rFonts w:ascii="Times New Roman" w:hAnsi="Times New Roman" w:cs="Times New Roman"/>
          <w:lang w:val="en-GB"/>
        </w:rPr>
        <w:t>accur</w:t>
      </w:r>
      <w:r w:rsidR="000614CF" w:rsidRPr="007B2800">
        <w:rPr>
          <w:rFonts w:ascii="Times New Roman" w:hAnsi="Times New Roman" w:cs="Times New Roman"/>
          <w:lang w:val="en-GB"/>
        </w:rPr>
        <w:t>ately describe the workings of ‘true’</w:t>
      </w:r>
      <w:r w:rsidRPr="007B2800">
        <w:rPr>
          <w:rFonts w:ascii="Times New Roman" w:hAnsi="Times New Roman" w:cs="Times New Roman"/>
          <w:lang w:val="en-GB"/>
        </w:rPr>
        <w:t xml:space="preserve"> in </w:t>
      </w:r>
      <w:r w:rsidR="00B8684C" w:rsidRPr="007B2800">
        <w:rPr>
          <w:rFonts w:ascii="Times New Roman" w:hAnsi="Times New Roman" w:cs="Times New Roman"/>
          <w:lang w:val="en-GB"/>
        </w:rPr>
        <w:t>anaphoric</w:t>
      </w:r>
      <w:r w:rsidRPr="007B2800">
        <w:rPr>
          <w:rFonts w:ascii="Times New Roman" w:hAnsi="Times New Roman" w:cs="Times New Roman"/>
          <w:lang w:val="en-GB"/>
        </w:rPr>
        <w:t xml:space="preserve"> terms.  </w:t>
      </w:r>
      <w:r w:rsidR="005B24C1" w:rsidRPr="007B2800">
        <w:rPr>
          <w:rFonts w:ascii="Times New Roman" w:hAnsi="Times New Roman" w:cs="Times New Roman"/>
          <w:lang w:val="en-GB"/>
        </w:rPr>
        <w:t xml:space="preserve">To this, </w:t>
      </w:r>
      <w:r w:rsidR="00727E6F">
        <w:rPr>
          <w:rFonts w:ascii="Times New Roman" w:hAnsi="Times New Roman" w:cs="Times New Roman"/>
          <w:lang w:val="en-GB"/>
        </w:rPr>
        <w:t>I responded</w:t>
      </w:r>
      <w:r w:rsidR="00090BAD">
        <w:rPr>
          <w:rFonts w:ascii="Times New Roman" w:hAnsi="Times New Roman" w:cs="Times New Roman"/>
          <w:lang w:val="en-GB"/>
        </w:rPr>
        <w:t xml:space="preserve"> in the negative, and supported</w:t>
      </w:r>
      <w:r w:rsidR="005B24C1" w:rsidRPr="007B2800">
        <w:rPr>
          <w:rFonts w:ascii="Times New Roman" w:hAnsi="Times New Roman" w:cs="Times New Roman"/>
          <w:lang w:val="en-GB"/>
        </w:rPr>
        <w:t xml:space="preserve"> this answer by appeal to the many discrepancies between the</w:t>
      </w:r>
      <w:r w:rsidR="00892BEA" w:rsidRPr="007B2800">
        <w:rPr>
          <w:rFonts w:ascii="Times New Roman" w:hAnsi="Times New Roman" w:cs="Times New Roman"/>
          <w:lang w:val="en-GB"/>
        </w:rPr>
        <w:t xml:space="preserve"> relevant sentences containing ‘true’</w:t>
      </w:r>
      <w:r w:rsidR="005B24C1" w:rsidRPr="007B2800">
        <w:rPr>
          <w:rFonts w:ascii="Times New Roman" w:hAnsi="Times New Roman" w:cs="Times New Roman"/>
          <w:lang w:val="en-GB"/>
        </w:rPr>
        <w:t xml:space="preserve"> and sentences containing uncontroversial examples of anaphoric expressions. </w:t>
      </w:r>
      <w:r w:rsidR="00FB1F31" w:rsidRPr="007B2800">
        <w:rPr>
          <w:rFonts w:ascii="Times New Roman" w:hAnsi="Times New Roman" w:cs="Times New Roman"/>
          <w:lang w:val="en-GB"/>
        </w:rPr>
        <w:t xml:space="preserve">And we have just seen that </w:t>
      </w:r>
      <w:proofErr w:type="spellStart"/>
      <w:r w:rsidR="00FB1F31" w:rsidRPr="007B2800">
        <w:rPr>
          <w:rFonts w:ascii="Times New Roman" w:hAnsi="Times New Roman" w:cs="Times New Roman"/>
          <w:lang w:val="en-GB"/>
        </w:rPr>
        <w:t>Salis’s</w:t>
      </w:r>
      <w:proofErr w:type="spellEnd"/>
      <w:r w:rsidR="00FB1F31" w:rsidRPr="007B2800">
        <w:rPr>
          <w:rFonts w:ascii="Times New Roman" w:hAnsi="Times New Roman" w:cs="Times New Roman"/>
          <w:lang w:val="en-GB"/>
        </w:rPr>
        <w:t xml:space="preserve"> objection against one of these alleged examples, concerning (1) above, fails. </w:t>
      </w:r>
      <w:r w:rsidR="00090BAD">
        <w:rPr>
          <w:rFonts w:ascii="Times New Roman" w:hAnsi="Times New Roman" w:cs="Times New Roman"/>
          <w:lang w:val="en-GB"/>
        </w:rPr>
        <w:t>My</w:t>
      </w:r>
      <w:r w:rsidR="00FB1F31" w:rsidRPr="007B2800">
        <w:rPr>
          <w:rFonts w:ascii="Times New Roman" w:hAnsi="Times New Roman" w:cs="Times New Roman"/>
          <w:lang w:val="en-GB"/>
        </w:rPr>
        <w:t xml:space="preserve"> point about the dissimilarities between </w:t>
      </w:r>
      <w:r w:rsidR="00892BEA" w:rsidRPr="007B2800">
        <w:rPr>
          <w:rFonts w:ascii="Times New Roman" w:hAnsi="Times New Roman" w:cs="Times New Roman"/>
          <w:lang w:val="en-GB"/>
        </w:rPr>
        <w:t>‘</w:t>
      </w:r>
      <w:r w:rsidR="00FB1F31" w:rsidRPr="007B2800">
        <w:rPr>
          <w:rFonts w:ascii="Times New Roman" w:hAnsi="Times New Roman" w:cs="Times New Roman"/>
          <w:lang w:val="en-GB"/>
        </w:rPr>
        <w:t>true</w:t>
      </w:r>
      <w:r w:rsidR="00892BEA" w:rsidRPr="007B2800">
        <w:rPr>
          <w:rFonts w:ascii="Times New Roman" w:hAnsi="Times New Roman" w:cs="Times New Roman"/>
          <w:lang w:val="en-GB"/>
        </w:rPr>
        <w:t>’</w:t>
      </w:r>
      <w:r w:rsidR="00FB1F31" w:rsidRPr="007B2800">
        <w:rPr>
          <w:rFonts w:ascii="Times New Roman" w:hAnsi="Times New Roman" w:cs="Times New Roman"/>
          <w:lang w:val="en-GB"/>
        </w:rPr>
        <w:t xml:space="preserve"> and paradigmatic proforms thus stands</w:t>
      </w:r>
      <w:r w:rsidR="0010362A">
        <w:rPr>
          <w:rFonts w:ascii="Times New Roman" w:hAnsi="Times New Roman" w:cs="Times New Roman"/>
          <w:lang w:val="en-GB"/>
        </w:rPr>
        <w:t>:</w:t>
      </w:r>
      <w:r w:rsidR="00510771">
        <w:rPr>
          <w:rFonts w:ascii="Times New Roman" w:hAnsi="Times New Roman" w:cs="Times New Roman"/>
          <w:lang w:val="en-GB"/>
        </w:rPr>
        <w:t xml:space="preserve"> the workings of</w:t>
      </w:r>
      <w:r w:rsidR="00892BEA" w:rsidRPr="007B2800">
        <w:rPr>
          <w:rFonts w:ascii="Times New Roman" w:hAnsi="Times New Roman" w:cs="Times New Roman"/>
          <w:lang w:val="en-GB"/>
        </w:rPr>
        <w:t xml:space="preserve"> ‘</w:t>
      </w:r>
      <w:r w:rsidR="00FB1F31" w:rsidRPr="007B2800">
        <w:rPr>
          <w:rFonts w:ascii="Times New Roman" w:hAnsi="Times New Roman" w:cs="Times New Roman"/>
          <w:lang w:val="en-GB"/>
        </w:rPr>
        <w:t>true</w:t>
      </w:r>
      <w:r w:rsidR="00892BEA" w:rsidRPr="007B2800">
        <w:rPr>
          <w:rFonts w:ascii="Times New Roman" w:hAnsi="Times New Roman" w:cs="Times New Roman"/>
          <w:lang w:val="en-GB"/>
        </w:rPr>
        <w:t>’</w:t>
      </w:r>
      <w:r w:rsidR="00FB1F31" w:rsidRPr="007B2800">
        <w:rPr>
          <w:rFonts w:ascii="Times New Roman" w:hAnsi="Times New Roman" w:cs="Times New Roman"/>
          <w:lang w:val="en-GB"/>
        </w:rPr>
        <w:t xml:space="preserve"> cannot be accurately described using terms </w:t>
      </w:r>
      <w:r w:rsidR="00510771">
        <w:rPr>
          <w:rFonts w:ascii="Times New Roman" w:hAnsi="Times New Roman" w:cs="Times New Roman"/>
          <w:lang w:val="en-GB"/>
        </w:rPr>
        <w:t xml:space="preserve">like </w:t>
      </w:r>
      <w:r w:rsidR="003E53D8" w:rsidRPr="007B2800">
        <w:rPr>
          <w:rFonts w:ascii="Times New Roman" w:hAnsi="Times New Roman" w:cs="Times New Roman"/>
          <w:lang w:val="en-GB"/>
        </w:rPr>
        <w:t>‘</w:t>
      </w:r>
      <w:r w:rsidR="00FB1F31" w:rsidRPr="007B2800">
        <w:rPr>
          <w:rFonts w:ascii="Times New Roman" w:hAnsi="Times New Roman" w:cs="Times New Roman"/>
          <w:lang w:val="en-GB"/>
        </w:rPr>
        <w:t>proform</w:t>
      </w:r>
      <w:r w:rsidR="003E53D8" w:rsidRPr="007B2800">
        <w:rPr>
          <w:rFonts w:ascii="Times New Roman" w:hAnsi="Times New Roman" w:cs="Times New Roman"/>
          <w:lang w:val="en-GB"/>
        </w:rPr>
        <w:t>’</w:t>
      </w:r>
      <w:r w:rsidR="00FB1F31" w:rsidRPr="007B2800">
        <w:rPr>
          <w:rFonts w:ascii="Times New Roman" w:hAnsi="Times New Roman" w:cs="Times New Roman"/>
          <w:lang w:val="en-GB"/>
        </w:rPr>
        <w:t xml:space="preserve"> and </w:t>
      </w:r>
      <w:r w:rsidR="003E53D8" w:rsidRPr="007B2800">
        <w:rPr>
          <w:rFonts w:ascii="Times New Roman" w:hAnsi="Times New Roman" w:cs="Times New Roman"/>
          <w:lang w:val="en-GB"/>
        </w:rPr>
        <w:t>‘antecedent’</w:t>
      </w:r>
      <w:r w:rsidR="00FB1F31" w:rsidRPr="007B2800">
        <w:rPr>
          <w:rFonts w:ascii="Times New Roman" w:hAnsi="Times New Roman" w:cs="Times New Roman"/>
          <w:lang w:val="en-GB"/>
        </w:rPr>
        <w:t>, at least not in any way resembling the way</w:t>
      </w:r>
      <w:r w:rsidR="00125859">
        <w:rPr>
          <w:rFonts w:ascii="Times New Roman" w:hAnsi="Times New Roman" w:cs="Times New Roman"/>
          <w:lang w:val="en-GB"/>
        </w:rPr>
        <w:t xml:space="preserve"> in which</w:t>
      </w:r>
      <w:r w:rsidR="00FB1F31" w:rsidRPr="007B2800">
        <w:rPr>
          <w:rFonts w:ascii="Times New Roman" w:hAnsi="Times New Roman" w:cs="Times New Roman"/>
          <w:lang w:val="en-GB"/>
        </w:rPr>
        <w:t xml:space="preserve"> the original prosententialists or Brandom </w:t>
      </w:r>
      <w:r w:rsidR="00125859">
        <w:rPr>
          <w:rFonts w:ascii="Times New Roman" w:hAnsi="Times New Roman" w:cs="Times New Roman"/>
          <w:lang w:val="en-GB"/>
        </w:rPr>
        <w:t>did it</w:t>
      </w:r>
      <w:r w:rsidR="00FB1F31" w:rsidRPr="007B2800">
        <w:rPr>
          <w:rFonts w:ascii="Times New Roman" w:hAnsi="Times New Roman" w:cs="Times New Roman"/>
          <w:lang w:val="en-GB"/>
        </w:rPr>
        <w:t>.</w:t>
      </w:r>
    </w:p>
    <w:p w14:paraId="0E820586" w14:textId="0523FBFC" w:rsidR="00F82949" w:rsidRPr="007B2800" w:rsidRDefault="001008D4" w:rsidP="00AC08C7">
      <w:pPr>
        <w:spacing w:line="480" w:lineRule="auto"/>
        <w:jc w:val="both"/>
        <w:rPr>
          <w:rFonts w:ascii="Times New Roman" w:hAnsi="Times New Roman" w:cs="Times New Roman"/>
          <w:lang w:val="en-GB"/>
        </w:rPr>
      </w:pPr>
      <w:r w:rsidRPr="007B2800">
        <w:rPr>
          <w:rFonts w:ascii="Times New Roman" w:hAnsi="Times New Roman" w:cs="Times New Roman"/>
          <w:lang w:val="en-GB"/>
        </w:rPr>
        <w:tab/>
      </w:r>
      <w:r w:rsidR="0082571D">
        <w:rPr>
          <w:rFonts w:ascii="Times New Roman" w:hAnsi="Times New Roman" w:cs="Times New Roman"/>
          <w:lang w:val="en-GB"/>
        </w:rPr>
        <w:t>I</w:t>
      </w:r>
      <w:r w:rsidR="005B24C1" w:rsidRPr="007B2800">
        <w:rPr>
          <w:rFonts w:ascii="Times New Roman" w:hAnsi="Times New Roman" w:cs="Times New Roman"/>
          <w:lang w:val="en-GB"/>
        </w:rPr>
        <w:t xml:space="preserve"> also </w:t>
      </w:r>
      <w:r w:rsidR="0082571D">
        <w:rPr>
          <w:rFonts w:ascii="Times New Roman" w:hAnsi="Times New Roman" w:cs="Times New Roman"/>
          <w:lang w:val="en-GB"/>
        </w:rPr>
        <w:t>took</w:t>
      </w:r>
      <w:r w:rsidR="005B24C1" w:rsidRPr="007B2800">
        <w:rPr>
          <w:rFonts w:ascii="Times New Roman" w:hAnsi="Times New Roman" w:cs="Times New Roman"/>
          <w:lang w:val="en-GB"/>
        </w:rPr>
        <w:t xml:space="preserve"> these discrepancies to be relevant for answer</w:t>
      </w:r>
      <w:r w:rsidR="00A323F4" w:rsidRPr="007B2800">
        <w:rPr>
          <w:rFonts w:ascii="Times New Roman" w:hAnsi="Times New Roman" w:cs="Times New Roman"/>
          <w:lang w:val="en-GB"/>
        </w:rPr>
        <w:t>ing</w:t>
      </w:r>
      <w:r w:rsidR="005B24C1" w:rsidRPr="007B2800">
        <w:rPr>
          <w:rFonts w:ascii="Times New Roman" w:hAnsi="Times New Roman" w:cs="Times New Roman"/>
          <w:lang w:val="en-GB"/>
        </w:rPr>
        <w:t xml:space="preserve"> a further question</w:t>
      </w:r>
      <w:r w:rsidR="00C47501" w:rsidRPr="007B2800">
        <w:rPr>
          <w:rFonts w:ascii="Times New Roman" w:hAnsi="Times New Roman" w:cs="Times New Roman"/>
          <w:lang w:val="en-GB"/>
        </w:rPr>
        <w:t xml:space="preserve">. </w:t>
      </w:r>
      <w:r w:rsidR="0082571D">
        <w:rPr>
          <w:rFonts w:ascii="Times New Roman" w:hAnsi="Times New Roman" w:cs="Times New Roman"/>
          <w:lang w:val="en-GB"/>
        </w:rPr>
        <w:t>I</w:t>
      </w:r>
      <w:r w:rsidR="00C47501" w:rsidRPr="007B2800">
        <w:rPr>
          <w:rFonts w:ascii="Times New Roman" w:hAnsi="Times New Roman" w:cs="Times New Roman"/>
          <w:lang w:val="en-GB"/>
        </w:rPr>
        <w:t xml:space="preserve"> </w:t>
      </w:r>
      <w:r w:rsidR="004D251B" w:rsidRPr="007B2800">
        <w:rPr>
          <w:rFonts w:ascii="Times New Roman" w:hAnsi="Times New Roman" w:cs="Times New Roman"/>
          <w:lang w:val="en-GB"/>
        </w:rPr>
        <w:t>ask</w:t>
      </w:r>
      <w:r w:rsidR="0082571D">
        <w:rPr>
          <w:rFonts w:ascii="Times New Roman" w:hAnsi="Times New Roman" w:cs="Times New Roman"/>
          <w:lang w:val="en-GB"/>
        </w:rPr>
        <w:t>ed</w:t>
      </w:r>
      <w:r w:rsidR="00C47501" w:rsidRPr="007B2800">
        <w:rPr>
          <w:rFonts w:ascii="Times New Roman" w:hAnsi="Times New Roman" w:cs="Times New Roman"/>
          <w:lang w:val="en-GB"/>
        </w:rPr>
        <w:t xml:space="preserve"> what </w:t>
      </w:r>
      <w:r w:rsidR="00B45CA7" w:rsidRPr="007B2800">
        <w:rPr>
          <w:rFonts w:ascii="Times New Roman" w:hAnsi="Times New Roman" w:cs="Times New Roman"/>
          <w:lang w:val="en-GB"/>
        </w:rPr>
        <w:t>‘true’</w:t>
      </w:r>
      <w:r w:rsidR="00C47501" w:rsidRPr="007B2800">
        <w:rPr>
          <w:rFonts w:ascii="Times New Roman" w:hAnsi="Times New Roman" w:cs="Times New Roman"/>
          <w:lang w:val="en-GB"/>
        </w:rPr>
        <w:t xml:space="preserve"> </w:t>
      </w:r>
      <w:r w:rsidR="004D251B" w:rsidRPr="007B2800">
        <w:rPr>
          <w:rFonts w:ascii="Times New Roman" w:hAnsi="Times New Roman" w:cs="Times New Roman"/>
          <w:lang w:val="en-GB"/>
        </w:rPr>
        <w:t>would have to be like in order for the analogy with</w:t>
      </w:r>
      <w:r w:rsidR="00C47501" w:rsidRPr="007B2800">
        <w:rPr>
          <w:rFonts w:ascii="Times New Roman" w:hAnsi="Times New Roman" w:cs="Times New Roman"/>
          <w:lang w:val="en-GB"/>
        </w:rPr>
        <w:t xml:space="preserve"> paradigmatic proforms </w:t>
      </w:r>
      <w:r w:rsidR="00C47501" w:rsidRPr="007B2800">
        <w:rPr>
          <w:rFonts w:ascii="Times New Roman" w:hAnsi="Times New Roman" w:cs="Times New Roman"/>
          <w:i/>
          <w:lang w:val="en-GB"/>
        </w:rPr>
        <w:t xml:space="preserve">not </w:t>
      </w:r>
      <w:r w:rsidR="0082571D">
        <w:rPr>
          <w:rFonts w:ascii="Times New Roman" w:hAnsi="Times New Roman" w:cs="Times New Roman"/>
          <w:lang w:val="en-GB"/>
        </w:rPr>
        <w:t>to be idle, and answered</w:t>
      </w:r>
      <w:r w:rsidR="00C47501" w:rsidRPr="007B2800">
        <w:rPr>
          <w:rFonts w:ascii="Times New Roman" w:hAnsi="Times New Roman" w:cs="Times New Roman"/>
          <w:lang w:val="en-GB"/>
        </w:rPr>
        <w:t xml:space="preserve"> that </w:t>
      </w:r>
      <w:r w:rsidR="001A6D26" w:rsidRPr="007B2800">
        <w:rPr>
          <w:rFonts w:ascii="Times New Roman" w:hAnsi="Times New Roman" w:cs="Times New Roman"/>
          <w:lang w:val="en-GB"/>
        </w:rPr>
        <w:t>it</w:t>
      </w:r>
      <w:r w:rsidR="00C47501" w:rsidRPr="007B2800">
        <w:rPr>
          <w:rFonts w:ascii="Times New Roman" w:hAnsi="Times New Roman" w:cs="Times New Roman"/>
          <w:lang w:val="en-GB"/>
        </w:rPr>
        <w:t xml:space="preserve"> would have </w:t>
      </w:r>
      <w:r w:rsidR="00DC76AA" w:rsidRPr="007B2800">
        <w:rPr>
          <w:rFonts w:ascii="Times New Roman" w:hAnsi="Times New Roman" w:cs="Times New Roman"/>
          <w:lang w:val="en-GB"/>
        </w:rPr>
        <w:t>to bear striking</w:t>
      </w:r>
      <w:r w:rsidR="00D30DB7" w:rsidRPr="007B2800">
        <w:rPr>
          <w:rFonts w:ascii="Times New Roman" w:hAnsi="Times New Roman" w:cs="Times New Roman"/>
          <w:lang w:val="en-GB"/>
        </w:rPr>
        <w:t>, unexpected</w:t>
      </w:r>
      <w:r w:rsidR="00DC76AA" w:rsidRPr="007B2800">
        <w:rPr>
          <w:rFonts w:ascii="Times New Roman" w:hAnsi="Times New Roman" w:cs="Times New Roman"/>
          <w:lang w:val="en-GB"/>
        </w:rPr>
        <w:t xml:space="preserve"> resemblances with paradigmatic proforms, </w:t>
      </w:r>
      <w:r w:rsidR="001A6D26" w:rsidRPr="007B2800">
        <w:rPr>
          <w:rFonts w:ascii="Times New Roman" w:hAnsi="Times New Roman" w:cs="Times New Roman"/>
          <w:lang w:val="en-GB"/>
        </w:rPr>
        <w:t xml:space="preserve">consisting in </w:t>
      </w:r>
      <w:r w:rsidR="00295339" w:rsidRPr="007B2800">
        <w:rPr>
          <w:rFonts w:ascii="Times New Roman" w:hAnsi="Times New Roman" w:cs="Times New Roman"/>
          <w:lang w:val="en-GB"/>
        </w:rPr>
        <w:t>shared idiosyncras</w:t>
      </w:r>
      <w:r w:rsidR="00DC76AA" w:rsidRPr="007B2800">
        <w:rPr>
          <w:rFonts w:ascii="Times New Roman" w:hAnsi="Times New Roman" w:cs="Times New Roman"/>
          <w:lang w:val="en-GB"/>
        </w:rPr>
        <w:t xml:space="preserve">ies, </w:t>
      </w:r>
      <w:r w:rsidR="001E0EC1" w:rsidRPr="007B2800">
        <w:rPr>
          <w:rFonts w:ascii="Times New Roman" w:hAnsi="Times New Roman" w:cs="Times New Roman"/>
          <w:lang w:val="en-GB"/>
        </w:rPr>
        <w:t xml:space="preserve">etc. </w:t>
      </w:r>
      <w:r w:rsidR="00AC5E3E" w:rsidRPr="007B2800">
        <w:rPr>
          <w:rFonts w:ascii="Times New Roman" w:hAnsi="Times New Roman" w:cs="Times New Roman"/>
          <w:lang w:val="en-GB"/>
        </w:rPr>
        <w:t xml:space="preserve">(2009a: </w:t>
      </w:r>
      <w:r w:rsidR="00721E04" w:rsidRPr="007B2800">
        <w:rPr>
          <w:rFonts w:ascii="Times New Roman" w:hAnsi="Times New Roman" w:cs="Times New Roman"/>
          <w:lang w:val="en-GB"/>
        </w:rPr>
        <w:t>308)</w:t>
      </w:r>
      <w:r w:rsidR="006575A7" w:rsidRPr="007B2800">
        <w:rPr>
          <w:rFonts w:ascii="Times New Roman" w:hAnsi="Times New Roman" w:cs="Times New Roman"/>
          <w:lang w:val="en-GB"/>
        </w:rPr>
        <w:t xml:space="preserve">. </w:t>
      </w:r>
      <w:r w:rsidR="00427E28" w:rsidRPr="007B2800">
        <w:rPr>
          <w:rFonts w:ascii="Times New Roman" w:hAnsi="Times New Roman" w:cs="Times New Roman"/>
          <w:lang w:val="en-GB"/>
        </w:rPr>
        <w:t>But t</w:t>
      </w:r>
      <w:r w:rsidR="001E7460" w:rsidRPr="007B2800">
        <w:rPr>
          <w:rFonts w:ascii="Times New Roman" w:hAnsi="Times New Roman" w:cs="Times New Roman"/>
          <w:lang w:val="en-GB"/>
        </w:rPr>
        <w:t xml:space="preserve">he discrepancies between the two types of expression of course undermine this possibility, too. </w:t>
      </w:r>
      <w:r w:rsidR="00B45CA7" w:rsidRPr="007B2800">
        <w:rPr>
          <w:rFonts w:ascii="Times New Roman" w:hAnsi="Times New Roman" w:cs="Times New Roman"/>
          <w:lang w:val="en-GB"/>
        </w:rPr>
        <w:t>The word ‘</w:t>
      </w:r>
      <w:r w:rsidR="00427E28" w:rsidRPr="007B2800">
        <w:rPr>
          <w:rFonts w:ascii="Times New Roman" w:hAnsi="Times New Roman" w:cs="Times New Roman"/>
          <w:lang w:val="en-GB"/>
        </w:rPr>
        <w:t>true</w:t>
      </w:r>
      <w:r w:rsidR="00B45CA7" w:rsidRPr="007B2800">
        <w:rPr>
          <w:rFonts w:ascii="Times New Roman" w:hAnsi="Times New Roman" w:cs="Times New Roman"/>
          <w:lang w:val="en-GB"/>
        </w:rPr>
        <w:t>’</w:t>
      </w:r>
      <w:r w:rsidR="00427E28" w:rsidRPr="007B2800">
        <w:rPr>
          <w:rFonts w:ascii="Times New Roman" w:hAnsi="Times New Roman" w:cs="Times New Roman"/>
          <w:lang w:val="en-GB"/>
        </w:rPr>
        <w:t xml:space="preserve"> and paradigmatic proforms do not share </w:t>
      </w:r>
      <w:r w:rsidR="00922EA1">
        <w:rPr>
          <w:rFonts w:ascii="Times New Roman" w:hAnsi="Times New Roman" w:cs="Times New Roman"/>
          <w:lang w:val="en-GB"/>
        </w:rPr>
        <w:t xml:space="preserve">many </w:t>
      </w:r>
      <w:r w:rsidR="004222D1">
        <w:rPr>
          <w:rFonts w:ascii="Times New Roman" w:hAnsi="Times New Roman" w:cs="Times New Roman"/>
          <w:lang w:val="en-GB"/>
        </w:rPr>
        <w:t>idiosyncratic</w:t>
      </w:r>
      <w:r w:rsidR="00427E28" w:rsidRPr="007B2800">
        <w:rPr>
          <w:rFonts w:ascii="Times New Roman" w:hAnsi="Times New Roman" w:cs="Times New Roman"/>
          <w:lang w:val="en-GB"/>
        </w:rPr>
        <w:t xml:space="preserve"> features, for they do not share many features at all.</w:t>
      </w:r>
    </w:p>
    <w:p w14:paraId="4C449986" w14:textId="52318F38" w:rsidR="006F7DB4" w:rsidRDefault="00BE6E23" w:rsidP="006F7DB4">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Considering the specific example of </w:t>
      </w:r>
      <w:r w:rsidR="00FF4334" w:rsidRPr="007B2800">
        <w:rPr>
          <w:rFonts w:ascii="Times New Roman" w:hAnsi="Times New Roman" w:cs="Times New Roman"/>
          <w:lang w:val="en-GB"/>
        </w:rPr>
        <w:t>utterances of ‘</w:t>
      </w:r>
      <w:r w:rsidR="006F7DB4" w:rsidRPr="007B2800">
        <w:rPr>
          <w:rFonts w:ascii="Times New Roman" w:hAnsi="Times New Roman" w:cs="Times New Roman"/>
          <w:lang w:val="en-GB"/>
        </w:rPr>
        <w:t>That’s true</w:t>
      </w:r>
      <w:r w:rsidR="00FF4334" w:rsidRPr="007B2800">
        <w:rPr>
          <w:rFonts w:ascii="Times New Roman" w:hAnsi="Times New Roman" w:cs="Times New Roman"/>
          <w:lang w:val="en-GB"/>
        </w:rPr>
        <w:t>’</w:t>
      </w:r>
      <w:r w:rsidR="006F7DB4" w:rsidRPr="007B2800">
        <w:rPr>
          <w:rFonts w:ascii="Times New Roman" w:hAnsi="Times New Roman" w:cs="Times New Roman"/>
          <w:lang w:val="en-GB"/>
        </w:rPr>
        <w:t xml:space="preserve">, made in </w:t>
      </w:r>
      <w:r w:rsidR="00A323F4" w:rsidRPr="007B2800">
        <w:rPr>
          <w:rFonts w:ascii="Times New Roman" w:hAnsi="Times New Roman" w:cs="Times New Roman"/>
          <w:lang w:val="en-GB"/>
        </w:rPr>
        <w:t>response to</w:t>
      </w:r>
      <w:r w:rsidR="006F7DB4" w:rsidRPr="007B2800">
        <w:rPr>
          <w:rFonts w:ascii="Times New Roman" w:hAnsi="Times New Roman" w:cs="Times New Roman"/>
          <w:lang w:val="en-GB"/>
        </w:rPr>
        <w:t xml:space="preserve"> a preceding utterance</w:t>
      </w:r>
      <w:r w:rsidRPr="007B2800">
        <w:rPr>
          <w:rFonts w:ascii="Times New Roman" w:hAnsi="Times New Roman" w:cs="Times New Roman"/>
          <w:lang w:val="en-GB"/>
        </w:rPr>
        <w:t xml:space="preserve">, </w:t>
      </w:r>
      <w:r w:rsidR="00295339" w:rsidRPr="007B2800">
        <w:rPr>
          <w:rFonts w:ascii="Times New Roman" w:hAnsi="Times New Roman" w:cs="Times New Roman"/>
          <w:lang w:val="en-GB"/>
        </w:rPr>
        <w:t>i</w:t>
      </w:r>
      <w:r w:rsidRPr="007B2800">
        <w:rPr>
          <w:rFonts w:ascii="Times New Roman" w:hAnsi="Times New Roman" w:cs="Times New Roman"/>
          <w:lang w:val="en-GB"/>
        </w:rPr>
        <w:t xml:space="preserve">s there at least </w:t>
      </w:r>
      <w:r w:rsidRPr="007B2800">
        <w:rPr>
          <w:rFonts w:ascii="Times New Roman" w:hAnsi="Times New Roman" w:cs="Times New Roman"/>
          <w:i/>
          <w:lang w:val="en-GB"/>
        </w:rPr>
        <w:t>something</w:t>
      </w:r>
      <w:r w:rsidRPr="007B2800">
        <w:rPr>
          <w:rFonts w:ascii="Times New Roman" w:hAnsi="Times New Roman" w:cs="Times New Roman"/>
          <w:lang w:val="en-GB"/>
        </w:rPr>
        <w:t xml:space="preserve"> anaphoric about them</w:t>
      </w:r>
      <w:r w:rsidR="006F7DB4" w:rsidRPr="007B2800">
        <w:rPr>
          <w:rFonts w:ascii="Times New Roman" w:hAnsi="Times New Roman" w:cs="Times New Roman"/>
          <w:lang w:val="en-GB"/>
        </w:rPr>
        <w:t>? I think not.</w:t>
      </w:r>
      <w:r w:rsidR="006C02EE">
        <w:rPr>
          <w:rFonts w:ascii="Times New Roman" w:hAnsi="Times New Roman" w:cs="Times New Roman"/>
          <w:lang w:val="en-GB"/>
        </w:rPr>
        <w:t xml:space="preserve"> At any rate, it is definitely not obvious that there is.</w:t>
      </w:r>
      <w:r w:rsidR="006F7DB4" w:rsidRPr="007B2800">
        <w:rPr>
          <w:rFonts w:ascii="Times New Roman" w:hAnsi="Times New Roman" w:cs="Times New Roman"/>
          <w:lang w:val="en-GB"/>
        </w:rPr>
        <w:t xml:space="preserve"> The</w:t>
      </w:r>
      <w:r w:rsidR="00A05749" w:rsidRPr="007B2800">
        <w:rPr>
          <w:rFonts w:ascii="Times New Roman" w:hAnsi="Times New Roman" w:cs="Times New Roman"/>
          <w:lang w:val="en-GB"/>
        </w:rPr>
        <w:t xml:space="preserve"> most natural analysis takes ‘that’</w:t>
      </w:r>
      <w:r w:rsidR="006F7DB4" w:rsidRPr="007B2800">
        <w:rPr>
          <w:rFonts w:ascii="Times New Roman" w:hAnsi="Times New Roman" w:cs="Times New Roman"/>
          <w:lang w:val="en-GB"/>
        </w:rPr>
        <w:t xml:space="preserve"> here to be a </w:t>
      </w:r>
      <w:r w:rsidR="006F7DB4" w:rsidRPr="007B2800">
        <w:rPr>
          <w:rFonts w:ascii="Times New Roman" w:hAnsi="Times New Roman" w:cs="Times New Roman"/>
          <w:i/>
          <w:lang w:val="en-GB"/>
        </w:rPr>
        <w:t>demonstrative</w:t>
      </w:r>
      <w:r w:rsidR="00152F32">
        <w:rPr>
          <w:rFonts w:ascii="Times New Roman" w:hAnsi="Times New Roman" w:cs="Times New Roman"/>
          <w:lang w:val="en-GB"/>
        </w:rPr>
        <w:t xml:space="preserve"> (cf. </w:t>
      </w:r>
      <w:proofErr w:type="spellStart"/>
      <w:r w:rsidR="00152F32">
        <w:rPr>
          <w:rFonts w:ascii="Times New Roman" w:hAnsi="Times New Roman" w:cs="Times New Roman"/>
          <w:lang w:val="en-GB"/>
        </w:rPr>
        <w:t>Künne</w:t>
      </w:r>
      <w:proofErr w:type="spellEnd"/>
      <w:r w:rsidR="00152F32">
        <w:rPr>
          <w:rFonts w:ascii="Times New Roman" w:hAnsi="Times New Roman" w:cs="Times New Roman"/>
          <w:lang w:val="en-GB"/>
        </w:rPr>
        <w:t xml:space="preserve"> (2003: 78f.)). T</w:t>
      </w:r>
      <w:r w:rsidR="007D4814" w:rsidRPr="007B2800">
        <w:rPr>
          <w:rFonts w:ascii="Times New Roman" w:hAnsi="Times New Roman" w:cs="Times New Roman"/>
          <w:lang w:val="en-GB"/>
        </w:rPr>
        <w:t>ypically</w:t>
      </w:r>
      <w:r w:rsidR="00152F32">
        <w:rPr>
          <w:rFonts w:ascii="Times New Roman" w:hAnsi="Times New Roman" w:cs="Times New Roman"/>
          <w:lang w:val="en-GB"/>
        </w:rPr>
        <w:t>, it would</w:t>
      </w:r>
      <w:r w:rsidR="007D4814" w:rsidRPr="007B2800">
        <w:rPr>
          <w:rFonts w:ascii="Times New Roman" w:hAnsi="Times New Roman" w:cs="Times New Roman"/>
          <w:lang w:val="en-GB"/>
        </w:rPr>
        <w:t xml:space="preserve"> </w:t>
      </w:r>
      <w:r w:rsidR="006F7DB4" w:rsidRPr="007B2800">
        <w:rPr>
          <w:rFonts w:ascii="Times New Roman" w:hAnsi="Times New Roman" w:cs="Times New Roman"/>
          <w:lang w:val="en-GB"/>
        </w:rPr>
        <w:t>refer to the proposition expressed by the preceding utterance</w:t>
      </w:r>
      <w:r w:rsidR="0053760E">
        <w:rPr>
          <w:rFonts w:ascii="Times New Roman" w:hAnsi="Times New Roman" w:cs="Times New Roman"/>
          <w:lang w:val="en-GB"/>
        </w:rPr>
        <w:t>,</w:t>
      </w:r>
      <w:r w:rsidR="006F7DB4" w:rsidRPr="007B2800">
        <w:rPr>
          <w:rFonts w:ascii="Times New Roman" w:hAnsi="Times New Roman" w:cs="Times New Roman"/>
          <w:lang w:val="en-GB"/>
        </w:rPr>
        <w:t xml:space="preserve"> since that will</w:t>
      </w:r>
      <w:r w:rsidR="007D4814" w:rsidRPr="007B2800">
        <w:rPr>
          <w:rFonts w:ascii="Times New Roman" w:hAnsi="Times New Roman" w:cs="Times New Roman"/>
          <w:lang w:val="en-GB"/>
        </w:rPr>
        <w:t xml:space="preserve"> typically</w:t>
      </w:r>
      <w:r w:rsidR="006F7DB4" w:rsidRPr="007B2800">
        <w:rPr>
          <w:rFonts w:ascii="Times New Roman" w:hAnsi="Times New Roman" w:cs="Times New Roman"/>
          <w:lang w:val="en-GB"/>
        </w:rPr>
        <w:t xml:space="preserve"> be the most </w:t>
      </w:r>
      <w:r w:rsidR="0053760E">
        <w:rPr>
          <w:rFonts w:ascii="Times New Roman" w:hAnsi="Times New Roman" w:cs="Times New Roman"/>
          <w:lang w:val="en-GB"/>
        </w:rPr>
        <w:t>salient entity that can be true</w:t>
      </w:r>
      <w:r w:rsidR="006F7DB4" w:rsidRPr="007B2800">
        <w:rPr>
          <w:rFonts w:ascii="Times New Roman" w:hAnsi="Times New Roman" w:cs="Times New Roman"/>
          <w:lang w:val="en-GB"/>
        </w:rPr>
        <w:t xml:space="preserve">. Given the standard propositional truth equivalence schema, we can then </w:t>
      </w:r>
      <w:r w:rsidR="00025C2D" w:rsidRPr="007B2800">
        <w:rPr>
          <w:rFonts w:ascii="Times New Roman" w:hAnsi="Times New Roman" w:cs="Times New Roman"/>
          <w:lang w:val="en-GB"/>
        </w:rPr>
        <w:t xml:space="preserve">straightforwardly </w:t>
      </w:r>
      <w:r w:rsidR="00DA3E3F" w:rsidRPr="007B2800">
        <w:rPr>
          <w:rFonts w:ascii="Times New Roman" w:hAnsi="Times New Roman" w:cs="Times New Roman"/>
          <w:lang w:val="en-GB"/>
        </w:rPr>
        <w:t>explain why ‘</w:t>
      </w:r>
      <w:r w:rsidR="006F7DB4" w:rsidRPr="007B2800">
        <w:rPr>
          <w:rFonts w:ascii="Times New Roman" w:hAnsi="Times New Roman" w:cs="Times New Roman"/>
          <w:lang w:val="en-GB"/>
        </w:rPr>
        <w:t>That is true</w:t>
      </w:r>
      <w:r w:rsidR="00DA3E3F" w:rsidRPr="007B2800">
        <w:rPr>
          <w:rFonts w:ascii="Times New Roman" w:hAnsi="Times New Roman" w:cs="Times New Roman"/>
          <w:lang w:val="en-GB"/>
        </w:rPr>
        <w:t>’</w:t>
      </w:r>
      <w:r w:rsidR="006F7DB4" w:rsidRPr="007B2800">
        <w:rPr>
          <w:rFonts w:ascii="Times New Roman" w:hAnsi="Times New Roman" w:cs="Times New Roman"/>
          <w:lang w:val="en-GB"/>
        </w:rPr>
        <w:t xml:space="preserve"> comes to be equivalent, on this occasion, with the preceding utterance. Hence, standard </w:t>
      </w:r>
      <w:proofErr w:type="spellStart"/>
      <w:r w:rsidR="006F7DB4" w:rsidRPr="007B2800">
        <w:rPr>
          <w:rFonts w:ascii="Times New Roman" w:hAnsi="Times New Roman" w:cs="Times New Roman"/>
          <w:lang w:val="en-GB"/>
        </w:rPr>
        <w:t>Horwichian</w:t>
      </w:r>
      <w:proofErr w:type="spellEnd"/>
      <w:r w:rsidR="006F7DB4" w:rsidRPr="007B2800">
        <w:rPr>
          <w:rFonts w:ascii="Times New Roman" w:hAnsi="Times New Roman" w:cs="Times New Roman"/>
          <w:lang w:val="en-GB"/>
        </w:rPr>
        <w:t xml:space="preserve"> deflationism handles this type of case without any unobvious appeal to anaphora. (Note also that Brandom himself distinguishes between demonstrative reference to a non-linguistic entity and anaphoric cross-reference to a linguistic one (1994: 456), so he cannot s</w:t>
      </w:r>
      <w:r w:rsidR="00E91901" w:rsidRPr="007B2800">
        <w:rPr>
          <w:rFonts w:ascii="Times New Roman" w:hAnsi="Times New Roman" w:cs="Times New Roman"/>
          <w:lang w:val="en-GB"/>
        </w:rPr>
        <w:t>ay that the above treatment of ‘</w:t>
      </w:r>
      <w:r w:rsidR="006F7DB4" w:rsidRPr="007B2800">
        <w:rPr>
          <w:rFonts w:ascii="Times New Roman" w:hAnsi="Times New Roman" w:cs="Times New Roman"/>
          <w:lang w:val="en-GB"/>
        </w:rPr>
        <w:t>That is true</w:t>
      </w:r>
      <w:r w:rsidR="00E91901" w:rsidRPr="007B2800">
        <w:rPr>
          <w:rFonts w:ascii="Times New Roman" w:hAnsi="Times New Roman" w:cs="Times New Roman"/>
          <w:lang w:val="en-GB"/>
        </w:rPr>
        <w:t>’</w:t>
      </w:r>
      <w:r w:rsidR="006F7DB4" w:rsidRPr="007B2800">
        <w:rPr>
          <w:rFonts w:ascii="Times New Roman" w:hAnsi="Times New Roman" w:cs="Times New Roman"/>
          <w:lang w:val="en-GB"/>
        </w:rPr>
        <w:t xml:space="preserve"> conforms to his anaphoric account.)</w:t>
      </w:r>
    </w:p>
    <w:p w14:paraId="2AF71F9D" w14:textId="135A1959" w:rsidR="008870A1" w:rsidRPr="007B2800" w:rsidRDefault="008870A1" w:rsidP="006F7DB4">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Brandom </w:t>
      </w:r>
      <w:r w:rsidR="00E4383C">
        <w:rPr>
          <w:rFonts w:ascii="Times New Roman" w:hAnsi="Times New Roman" w:cs="Times New Roman"/>
          <w:lang w:val="en-GB"/>
        </w:rPr>
        <w:t>does claim, however, that</w:t>
      </w:r>
      <w:r>
        <w:rPr>
          <w:rFonts w:ascii="Times New Roman" w:hAnsi="Times New Roman" w:cs="Times New Roman"/>
          <w:lang w:val="en-GB"/>
        </w:rPr>
        <w:t xml:space="preserve"> demonstrative reference is a kind of anaphoric reference (1994: </w:t>
      </w:r>
      <w:r w:rsidR="00C52474">
        <w:rPr>
          <w:rFonts w:ascii="Times New Roman" w:hAnsi="Times New Roman" w:cs="Times New Roman"/>
          <w:lang w:val="en-GB"/>
        </w:rPr>
        <w:t>460)</w:t>
      </w:r>
      <w:r>
        <w:rPr>
          <w:rFonts w:ascii="Times New Roman" w:hAnsi="Times New Roman" w:cs="Times New Roman"/>
          <w:lang w:val="en-GB"/>
        </w:rPr>
        <w:t xml:space="preserve">, and takes demonstratives to presuppose anaphora (1994: </w:t>
      </w:r>
      <w:r w:rsidR="00C52474">
        <w:rPr>
          <w:rFonts w:ascii="Times New Roman" w:hAnsi="Times New Roman" w:cs="Times New Roman"/>
          <w:lang w:val="en-GB"/>
        </w:rPr>
        <w:t xml:space="preserve">460, </w:t>
      </w:r>
      <w:r>
        <w:rPr>
          <w:rFonts w:ascii="Times New Roman" w:hAnsi="Times New Roman" w:cs="Times New Roman"/>
          <w:lang w:val="en-GB"/>
        </w:rPr>
        <w:t xml:space="preserve">511). </w:t>
      </w:r>
      <w:r w:rsidR="00F13A3C">
        <w:rPr>
          <w:rFonts w:ascii="Times New Roman" w:hAnsi="Times New Roman" w:cs="Times New Roman"/>
          <w:lang w:val="en-GB"/>
        </w:rPr>
        <w:t xml:space="preserve">However, this does not affect my point that ‘That is true’ is not an </w:t>
      </w:r>
      <w:r w:rsidR="00F13A3C" w:rsidRPr="00865B33">
        <w:rPr>
          <w:rFonts w:ascii="Times New Roman" w:hAnsi="Times New Roman" w:cs="Times New Roman"/>
          <w:i/>
          <w:lang w:val="en-GB"/>
        </w:rPr>
        <w:t>obvious</w:t>
      </w:r>
      <w:r w:rsidR="00F13A3C">
        <w:rPr>
          <w:rFonts w:ascii="Times New Roman" w:hAnsi="Times New Roman" w:cs="Times New Roman"/>
          <w:lang w:val="en-GB"/>
        </w:rPr>
        <w:t xml:space="preserve"> case of an anaphoric expression. For that claim is not immediately obvious by itself, and neither is Brandom’s view about the relationship between demonstratives and anaphora. Th</w:t>
      </w:r>
      <w:r w:rsidR="00834098">
        <w:rPr>
          <w:rFonts w:ascii="Times New Roman" w:hAnsi="Times New Roman" w:cs="Times New Roman"/>
          <w:lang w:val="en-GB"/>
        </w:rPr>
        <w:t xml:space="preserve">us, my point stands, </w:t>
      </w:r>
      <w:r w:rsidR="005C5076">
        <w:rPr>
          <w:rFonts w:ascii="Times New Roman" w:hAnsi="Times New Roman" w:cs="Times New Roman"/>
          <w:lang w:val="en-GB"/>
        </w:rPr>
        <w:t xml:space="preserve">even </w:t>
      </w:r>
      <w:r w:rsidR="001D7BD6">
        <w:rPr>
          <w:rFonts w:ascii="Times New Roman" w:hAnsi="Times New Roman" w:cs="Times New Roman"/>
          <w:lang w:val="en-GB"/>
        </w:rPr>
        <w:t>lacking</w:t>
      </w:r>
      <w:r w:rsidR="005C5076">
        <w:rPr>
          <w:rFonts w:ascii="Times New Roman" w:hAnsi="Times New Roman" w:cs="Times New Roman"/>
          <w:lang w:val="en-GB"/>
        </w:rPr>
        <w:t xml:space="preserve"> an argument against Brandom’s claims</w:t>
      </w:r>
      <w:r w:rsidR="00BE1A78">
        <w:rPr>
          <w:rFonts w:ascii="Times New Roman" w:hAnsi="Times New Roman" w:cs="Times New Roman"/>
          <w:lang w:val="en-GB"/>
        </w:rPr>
        <w:t xml:space="preserve"> about demonstratives being a kind of anaphora</w:t>
      </w:r>
      <w:r w:rsidR="00F13A3C">
        <w:rPr>
          <w:rFonts w:ascii="Times New Roman" w:hAnsi="Times New Roman" w:cs="Times New Roman"/>
          <w:lang w:val="en-GB"/>
        </w:rPr>
        <w:t>.</w:t>
      </w:r>
    </w:p>
    <w:p w14:paraId="3F4EB093" w14:textId="707C2497" w:rsidR="003542A7" w:rsidRPr="007B2800" w:rsidRDefault="00C81351" w:rsidP="0099376A">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Let me also</w:t>
      </w:r>
      <w:r w:rsidR="008564CC" w:rsidRPr="007B2800">
        <w:rPr>
          <w:rFonts w:ascii="Times New Roman" w:hAnsi="Times New Roman" w:cs="Times New Roman"/>
          <w:lang w:val="en-GB"/>
        </w:rPr>
        <w:t xml:space="preserve"> add </w:t>
      </w:r>
      <w:r w:rsidR="00070599" w:rsidRPr="007B2800">
        <w:rPr>
          <w:rFonts w:ascii="Times New Roman" w:hAnsi="Times New Roman" w:cs="Times New Roman"/>
          <w:lang w:val="en-GB"/>
        </w:rPr>
        <w:t>a further</w:t>
      </w:r>
      <w:r w:rsidR="0080683B" w:rsidRPr="007B2800">
        <w:rPr>
          <w:rFonts w:ascii="Times New Roman" w:hAnsi="Times New Roman" w:cs="Times New Roman"/>
          <w:lang w:val="en-GB"/>
        </w:rPr>
        <w:t xml:space="preserve"> difference between ‘</w:t>
      </w:r>
      <w:r w:rsidR="002A1D27" w:rsidRPr="007B2800">
        <w:rPr>
          <w:rFonts w:ascii="Times New Roman" w:hAnsi="Times New Roman" w:cs="Times New Roman"/>
          <w:lang w:val="en-GB"/>
        </w:rPr>
        <w:t>true</w:t>
      </w:r>
      <w:r w:rsidR="0080683B" w:rsidRPr="007B2800">
        <w:rPr>
          <w:rFonts w:ascii="Times New Roman" w:hAnsi="Times New Roman" w:cs="Times New Roman"/>
          <w:lang w:val="en-GB"/>
        </w:rPr>
        <w:t>’</w:t>
      </w:r>
      <w:r w:rsidR="002A1D27" w:rsidRPr="007B2800">
        <w:rPr>
          <w:rFonts w:ascii="Times New Roman" w:hAnsi="Times New Roman" w:cs="Times New Roman"/>
          <w:lang w:val="en-GB"/>
        </w:rPr>
        <w:t>, as B</w:t>
      </w:r>
      <w:r w:rsidR="00CE1877" w:rsidRPr="007B2800">
        <w:rPr>
          <w:rFonts w:ascii="Times New Roman" w:hAnsi="Times New Roman" w:cs="Times New Roman"/>
          <w:lang w:val="en-GB"/>
        </w:rPr>
        <w:t>random treats it,</w:t>
      </w:r>
      <w:r w:rsidR="008564CC" w:rsidRPr="007B2800">
        <w:rPr>
          <w:rFonts w:ascii="Times New Roman" w:hAnsi="Times New Roman" w:cs="Times New Roman"/>
          <w:lang w:val="en-GB"/>
        </w:rPr>
        <w:t xml:space="preserve"> and paradigmatic </w:t>
      </w:r>
      <w:r w:rsidR="00D42582" w:rsidRPr="007B2800">
        <w:rPr>
          <w:rFonts w:ascii="Times New Roman" w:hAnsi="Times New Roman" w:cs="Times New Roman"/>
          <w:lang w:val="en-GB"/>
        </w:rPr>
        <w:t>pro</w:t>
      </w:r>
      <w:r w:rsidR="008564CC" w:rsidRPr="007B2800">
        <w:rPr>
          <w:rFonts w:ascii="Times New Roman" w:hAnsi="Times New Roman" w:cs="Times New Roman"/>
          <w:lang w:val="en-GB"/>
        </w:rPr>
        <w:t xml:space="preserve">forms. </w:t>
      </w:r>
      <w:r w:rsidR="00E0034B" w:rsidRPr="007B2800">
        <w:rPr>
          <w:rFonts w:ascii="Times New Roman" w:hAnsi="Times New Roman" w:cs="Times New Roman"/>
          <w:lang w:val="en-GB"/>
        </w:rPr>
        <w:t xml:space="preserve">Other proforms are, so to speak, </w:t>
      </w:r>
      <w:r w:rsidR="00E0034B" w:rsidRPr="007B2800">
        <w:rPr>
          <w:rFonts w:ascii="Times New Roman" w:hAnsi="Times New Roman" w:cs="Times New Roman"/>
          <w:i/>
          <w:lang w:val="en-GB"/>
        </w:rPr>
        <w:t>purely proformal</w:t>
      </w:r>
      <w:r w:rsidR="00E0034B" w:rsidRPr="007B2800">
        <w:rPr>
          <w:rFonts w:ascii="Times New Roman" w:hAnsi="Times New Roman" w:cs="Times New Roman"/>
          <w:lang w:val="en-GB"/>
        </w:rPr>
        <w:t>; they do not contain material</w:t>
      </w:r>
      <w:r w:rsidR="004859B1" w:rsidRPr="007B2800">
        <w:rPr>
          <w:rFonts w:ascii="Times New Roman" w:hAnsi="Times New Roman" w:cs="Times New Roman"/>
          <w:lang w:val="en-GB"/>
        </w:rPr>
        <w:t xml:space="preserve"> that is not proformal</w:t>
      </w:r>
      <w:r w:rsidR="006B0D29" w:rsidRPr="007B2800">
        <w:rPr>
          <w:rFonts w:ascii="Times New Roman" w:hAnsi="Times New Roman" w:cs="Times New Roman"/>
          <w:lang w:val="en-GB"/>
        </w:rPr>
        <w:t>. Consider, ‘</w:t>
      </w:r>
      <w:r w:rsidR="00E0034B" w:rsidRPr="007B2800">
        <w:rPr>
          <w:rFonts w:ascii="Times New Roman" w:hAnsi="Times New Roman" w:cs="Times New Roman"/>
          <w:lang w:val="en-GB"/>
        </w:rPr>
        <w:t>he</w:t>
      </w:r>
      <w:r w:rsidR="006B0D29" w:rsidRPr="007B2800">
        <w:rPr>
          <w:rFonts w:ascii="Times New Roman" w:hAnsi="Times New Roman" w:cs="Times New Roman"/>
          <w:lang w:val="en-GB"/>
        </w:rPr>
        <w:t>’, ‘</w:t>
      </w:r>
      <w:r w:rsidR="00E0034B" w:rsidRPr="007B2800">
        <w:rPr>
          <w:rFonts w:ascii="Times New Roman" w:hAnsi="Times New Roman" w:cs="Times New Roman"/>
          <w:lang w:val="en-GB"/>
        </w:rPr>
        <w:t>thusly</w:t>
      </w:r>
      <w:r w:rsidR="006B0D29" w:rsidRPr="007B2800">
        <w:rPr>
          <w:rFonts w:ascii="Times New Roman" w:hAnsi="Times New Roman" w:cs="Times New Roman"/>
          <w:lang w:val="en-GB"/>
        </w:rPr>
        <w:t>’</w:t>
      </w:r>
      <w:r w:rsidR="00E0034B" w:rsidRPr="007B2800">
        <w:rPr>
          <w:rFonts w:ascii="Times New Roman" w:hAnsi="Times New Roman" w:cs="Times New Roman"/>
          <w:lang w:val="en-GB"/>
        </w:rPr>
        <w:t xml:space="preserve">, </w:t>
      </w:r>
      <w:r w:rsidR="006B0D29" w:rsidRPr="007B2800">
        <w:rPr>
          <w:rFonts w:ascii="Times New Roman" w:hAnsi="Times New Roman" w:cs="Times New Roman"/>
          <w:lang w:val="en-GB"/>
        </w:rPr>
        <w:t>‘</w:t>
      </w:r>
      <w:r w:rsidR="00E0034B" w:rsidRPr="007B2800">
        <w:rPr>
          <w:rFonts w:ascii="Times New Roman" w:hAnsi="Times New Roman" w:cs="Times New Roman"/>
          <w:lang w:val="en-GB"/>
        </w:rPr>
        <w:t>so</w:t>
      </w:r>
      <w:r w:rsidR="006B0D29" w:rsidRPr="007B2800">
        <w:rPr>
          <w:rFonts w:ascii="Times New Roman" w:hAnsi="Times New Roman" w:cs="Times New Roman"/>
          <w:lang w:val="en-GB"/>
        </w:rPr>
        <w:t>’</w:t>
      </w:r>
      <w:r w:rsidR="00E0034B" w:rsidRPr="007B2800">
        <w:rPr>
          <w:rFonts w:ascii="Times New Roman" w:hAnsi="Times New Roman" w:cs="Times New Roman"/>
          <w:lang w:val="en-GB"/>
        </w:rPr>
        <w:t xml:space="preserve">. </w:t>
      </w:r>
      <w:r w:rsidR="004217DD" w:rsidRPr="007B2800">
        <w:rPr>
          <w:rFonts w:ascii="Times New Roman" w:hAnsi="Times New Roman" w:cs="Times New Roman"/>
          <w:lang w:val="en-GB"/>
        </w:rPr>
        <w:t xml:space="preserve">But </w:t>
      </w:r>
      <w:r w:rsidR="006B0D29" w:rsidRPr="007B2800">
        <w:rPr>
          <w:rFonts w:ascii="Times New Roman" w:hAnsi="Times New Roman" w:cs="Times New Roman"/>
          <w:lang w:val="en-GB"/>
        </w:rPr>
        <w:t>‘</w:t>
      </w:r>
      <w:r w:rsidR="004217DD" w:rsidRPr="007B2800">
        <w:rPr>
          <w:rFonts w:ascii="Times New Roman" w:hAnsi="Times New Roman" w:cs="Times New Roman"/>
          <w:lang w:val="en-GB"/>
        </w:rPr>
        <w:t>true</w:t>
      </w:r>
      <w:r w:rsidR="006B0D29" w:rsidRPr="007B2800">
        <w:rPr>
          <w:rFonts w:ascii="Times New Roman" w:hAnsi="Times New Roman" w:cs="Times New Roman"/>
          <w:lang w:val="en-GB"/>
        </w:rPr>
        <w:t>’</w:t>
      </w:r>
      <w:r w:rsidR="00852200" w:rsidRPr="007B2800">
        <w:rPr>
          <w:rFonts w:ascii="Times New Roman" w:hAnsi="Times New Roman" w:cs="Times New Roman"/>
          <w:lang w:val="en-GB"/>
        </w:rPr>
        <w:t xml:space="preserve"> is supposed to be a mere part of the relevant proform (a prosentence)</w:t>
      </w:r>
      <w:r w:rsidR="00E0034B" w:rsidRPr="007B2800">
        <w:rPr>
          <w:rFonts w:ascii="Times New Roman" w:hAnsi="Times New Roman" w:cs="Times New Roman"/>
          <w:lang w:val="en-GB"/>
        </w:rPr>
        <w:t>, which can contain all manner of non-proformal expre</w:t>
      </w:r>
      <w:r w:rsidR="00AC3354" w:rsidRPr="007B2800">
        <w:rPr>
          <w:rFonts w:ascii="Times New Roman" w:hAnsi="Times New Roman" w:cs="Times New Roman"/>
          <w:lang w:val="en-GB"/>
        </w:rPr>
        <w:t>ssions, like</w:t>
      </w:r>
      <w:r w:rsidR="000E376D" w:rsidRPr="007B2800">
        <w:rPr>
          <w:rFonts w:ascii="Times New Roman" w:hAnsi="Times New Roman" w:cs="Times New Roman"/>
          <w:lang w:val="en-GB"/>
        </w:rPr>
        <w:t xml:space="preserve"> ‘</w:t>
      </w:r>
      <w:r w:rsidR="006057F0" w:rsidRPr="007B2800">
        <w:rPr>
          <w:rFonts w:ascii="Times New Roman" w:hAnsi="Times New Roman" w:cs="Times New Roman"/>
          <w:lang w:val="en-GB"/>
        </w:rPr>
        <w:t>Goldbach’s conjecture</w:t>
      </w:r>
      <w:r w:rsidR="000E376D" w:rsidRPr="007B2800">
        <w:rPr>
          <w:rFonts w:ascii="Times New Roman" w:hAnsi="Times New Roman" w:cs="Times New Roman"/>
          <w:lang w:val="en-GB"/>
        </w:rPr>
        <w:t>’</w:t>
      </w:r>
      <w:r w:rsidR="006057F0" w:rsidRPr="007B2800">
        <w:rPr>
          <w:rFonts w:ascii="Times New Roman" w:hAnsi="Times New Roman" w:cs="Times New Roman"/>
          <w:lang w:val="en-GB"/>
        </w:rPr>
        <w:t xml:space="preserve">, </w:t>
      </w:r>
      <w:r w:rsidR="000E376D" w:rsidRPr="007B2800">
        <w:rPr>
          <w:rFonts w:ascii="Times New Roman" w:hAnsi="Times New Roman" w:cs="Times New Roman"/>
          <w:lang w:val="en-GB"/>
        </w:rPr>
        <w:t>‘</w:t>
      </w:r>
      <w:r w:rsidR="006057F0" w:rsidRPr="007B2800">
        <w:rPr>
          <w:rFonts w:ascii="Times New Roman" w:hAnsi="Times New Roman" w:cs="Times New Roman"/>
          <w:lang w:val="en-GB"/>
        </w:rPr>
        <w:t>Everything he said</w:t>
      </w:r>
      <w:r w:rsidR="000E376D" w:rsidRPr="007B2800">
        <w:rPr>
          <w:rFonts w:ascii="Times New Roman" w:hAnsi="Times New Roman" w:cs="Times New Roman"/>
          <w:lang w:val="en-GB"/>
        </w:rPr>
        <w:t>’</w:t>
      </w:r>
      <w:r w:rsidR="006057F0" w:rsidRPr="007B2800">
        <w:rPr>
          <w:rFonts w:ascii="Times New Roman" w:hAnsi="Times New Roman" w:cs="Times New Roman"/>
          <w:lang w:val="en-GB"/>
        </w:rPr>
        <w:t>,</w:t>
      </w:r>
      <w:r w:rsidR="00444104" w:rsidRPr="007B2800">
        <w:rPr>
          <w:rFonts w:ascii="Times New Roman" w:hAnsi="Times New Roman" w:cs="Times New Roman"/>
          <w:lang w:val="en-GB"/>
        </w:rPr>
        <w:t xml:space="preserve"> or</w:t>
      </w:r>
      <w:r w:rsidR="006057F0" w:rsidRPr="007B2800">
        <w:rPr>
          <w:rFonts w:ascii="Times New Roman" w:hAnsi="Times New Roman" w:cs="Times New Roman"/>
          <w:lang w:val="en-GB"/>
        </w:rPr>
        <w:t xml:space="preserve"> </w:t>
      </w:r>
      <w:r w:rsidR="000E376D" w:rsidRPr="007B2800">
        <w:rPr>
          <w:rFonts w:ascii="Times New Roman" w:hAnsi="Times New Roman" w:cs="Times New Roman"/>
          <w:lang w:val="en-GB"/>
        </w:rPr>
        <w:t>‘</w:t>
      </w:r>
      <w:r w:rsidR="00150FC2" w:rsidRPr="007B2800">
        <w:rPr>
          <w:rFonts w:ascii="Times New Roman" w:hAnsi="Times New Roman" w:cs="Times New Roman"/>
          <w:lang w:val="en-GB"/>
        </w:rPr>
        <w:t>that snow is white</w:t>
      </w:r>
      <w:r w:rsidR="000E376D" w:rsidRPr="007B2800">
        <w:rPr>
          <w:rFonts w:ascii="Times New Roman" w:hAnsi="Times New Roman" w:cs="Times New Roman"/>
          <w:lang w:val="en-GB"/>
        </w:rPr>
        <w:t>’</w:t>
      </w:r>
      <w:r w:rsidR="00841634" w:rsidRPr="007B2800">
        <w:rPr>
          <w:rFonts w:ascii="Times New Roman" w:hAnsi="Times New Roman" w:cs="Times New Roman"/>
          <w:lang w:val="en-GB"/>
        </w:rPr>
        <w:t>.</w:t>
      </w:r>
      <w:r w:rsidR="00345A54" w:rsidRPr="007B2800">
        <w:rPr>
          <w:rFonts w:ascii="Times New Roman" w:hAnsi="Times New Roman" w:cs="Times New Roman"/>
          <w:lang w:val="en-GB"/>
        </w:rPr>
        <w:t xml:space="preserve"> On Brandom’s view, these other expressions help determine the antecedent. But other proforms simply do not work this way</w:t>
      </w:r>
      <w:r w:rsidR="006C1B33" w:rsidRPr="007B2800">
        <w:rPr>
          <w:rFonts w:ascii="Times New Roman" w:hAnsi="Times New Roman" w:cs="Times New Roman"/>
          <w:lang w:val="en-GB"/>
        </w:rPr>
        <w:t xml:space="preserve">. </w:t>
      </w:r>
      <w:r w:rsidR="005106E2" w:rsidRPr="007B2800">
        <w:rPr>
          <w:rFonts w:ascii="Times New Roman" w:hAnsi="Times New Roman" w:cs="Times New Roman"/>
          <w:lang w:val="en-GB"/>
        </w:rPr>
        <w:t>They immediately cross-refer back to their antecedents without any de</w:t>
      </w:r>
      <w:r w:rsidR="001A53F8" w:rsidRPr="007B2800">
        <w:rPr>
          <w:rFonts w:ascii="Times New Roman" w:hAnsi="Times New Roman" w:cs="Times New Roman"/>
          <w:lang w:val="en-GB"/>
        </w:rPr>
        <w:t>tour through other expressions (</w:t>
      </w:r>
      <w:r w:rsidR="005106E2" w:rsidRPr="007B2800">
        <w:rPr>
          <w:rFonts w:ascii="Times New Roman" w:hAnsi="Times New Roman" w:cs="Times New Roman"/>
          <w:lang w:val="en-GB"/>
        </w:rPr>
        <w:t>and</w:t>
      </w:r>
      <w:r w:rsidR="001A53F8" w:rsidRPr="007B2800">
        <w:rPr>
          <w:rFonts w:ascii="Times New Roman" w:hAnsi="Times New Roman" w:cs="Times New Roman"/>
          <w:lang w:val="en-GB"/>
        </w:rPr>
        <w:t>, again,</w:t>
      </w:r>
      <w:r w:rsidR="005106E2" w:rsidRPr="007B2800">
        <w:rPr>
          <w:rFonts w:ascii="Times New Roman" w:hAnsi="Times New Roman" w:cs="Times New Roman"/>
          <w:lang w:val="en-GB"/>
        </w:rPr>
        <w:t xml:space="preserve"> certainly not </w:t>
      </w:r>
      <w:r w:rsidR="00FD0E70" w:rsidRPr="007B2800">
        <w:rPr>
          <w:rFonts w:ascii="Times New Roman" w:hAnsi="Times New Roman" w:cs="Times New Roman"/>
          <w:lang w:val="en-GB"/>
        </w:rPr>
        <w:t>in virtue of</w:t>
      </w:r>
      <w:r w:rsidR="005106E2" w:rsidRPr="007B2800">
        <w:rPr>
          <w:rFonts w:ascii="Times New Roman" w:hAnsi="Times New Roman" w:cs="Times New Roman"/>
          <w:lang w:val="en-GB"/>
        </w:rPr>
        <w:t xml:space="preserve"> other expressions’ </w:t>
      </w:r>
      <w:r w:rsidR="005106E2" w:rsidRPr="007B2800">
        <w:rPr>
          <w:rFonts w:ascii="Times New Roman" w:hAnsi="Times New Roman" w:cs="Times New Roman"/>
          <w:i/>
          <w:lang w:val="en-GB"/>
        </w:rPr>
        <w:t>denoting</w:t>
      </w:r>
      <w:r w:rsidR="005106E2" w:rsidRPr="007B2800">
        <w:rPr>
          <w:rFonts w:ascii="Times New Roman" w:hAnsi="Times New Roman" w:cs="Times New Roman"/>
          <w:lang w:val="en-GB"/>
        </w:rPr>
        <w:t xml:space="preserve"> the antecedents</w:t>
      </w:r>
      <w:r w:rsidR="001A53F8" w:rsidRPr="007B2800">
        <w:rPr>
          <w:rFonts w:ascii="Times New Roman" w:hAnsi="Times New Roman" w:cs="Times New Roman"/>
          <w:lang w:val="en-GB"/>
        </w:rPr>
        <w:t>)</w:t>
      </w:r>
      <w:r w:rsidR="005106E2" w:rsidRPr="007B2800">
        <w:rPr>
          <w:rFonts w:ascii="Times New Roman" w:hAnsi="Times New Roman" w:cs="Times New Roman"/>
          <w:lang w:val="en-GB"/>
        </w:rPr>
        <w:t>.</w:t>
      </w:r>
    </w:p>
    <w:p w14:paraId="0CBD41B2" w14:textId="3351888F" w:rsidR="0075320B" w:rsidRDefault="00B9412D" w:rsidP="0099376A">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Let us finally consider </w:t>
      </w:r>
      <w:proofErr w:type="spellStart"/>
      <w:r w:rsidR="003542A7" w:rsidRPr="007B2800">
        <w:rPr>
          <w:rFonts w:ascii="Times New Roman" w:hAnsi="Times New Roman" w:cs="Times New Roman"/>
          <w:lang w:val="en-GB"/>
        </w:rPr>
        <w:t>Salis</w:t>
      </w:r>
      <w:r w:rsidRPr="007B2800">
        <w:rPr>
          <w:rFonts w:ascii="Times New Roman" w:hAnsi="Times New Roman" w:cs="Times New Roman"/>
          <w:lang w:val="en-GB"/>
        </w:rPr>
        <w:t>’s</w:t>
      </w:r>
      <w:proofErr w:type="spellEnd"/>
      <w:r w:rsidRPr="007B2800">
        <w:rPr>
          <w:rFonts w:ascii="Times New Roman" w:hAnsi="Times New Roman" w:cs="Times New Roman"/>
          <w:lang w:val="en-GB"/>
        </w:rPr>
        <w:t xml:space="preserve"> positive defence of (PT). He writes, </w:t>
      </w:r>
      <w:r w:rsidR="003542A7" w:rsidRPr="007B2800">
        <w:rPr>
          <w:rFonts w:ascii="Times New Roman" w:hAnsi="Times New Roman" w:cs="Times New Roman"/>
          <w:lang w:val="en-GB"/>
        </w:rPr>
        <w:t>“we should not forget that the anaphoric theory is also explanatorily more general</w:t>
      </w:r>
      <w:r w:rsidR="006C497F" w:rsidRPr="007B2800">
        <w:rPr>
          <w:rFonts w:ascii="Times New Roman" w:hAnsi="Times New Roman" w:cs="Times New Roman"/>
          <w:lang w:val="en-GB"/>
        </w:rPr>
        <w:t xml:space="preserve"> [than a theory merely stating the equivalence schema]</w:t>
      </w:r>
      <w:r w:rsidR="003542A7" w:rsidRPr="007B2800">
        <w:rPr>
          <w:rFonts w:ascii="Times New Roman" w:hAnsi="Times New Roman" w:cs="Times New Roman"/>
          <w:lang w:val="en-GB"/>
        </w:rPr>
        <w:t>, because it also explains pragmatic and expressive differences between anaphor</w:t>
      </w:r>
      <w:r w:rsidR="0029772A" w:rsidRPr="007B2800">
        <w:rPr>
          <w:rFonts w:ascii="Times New Roman" w:hAnsi="Times New Roman" w:cs="Times New Roman"/>
          <w:lang w:val="en-GB"/>
        </w:rPr>
        <w:t>ic antecedents and prosentences</w:t>
      </w:r>
      <w:r w:rsidR="003542A7" w:rsidRPr="007B2800">
        <w:rPr>
          <w:rFonts w:ascii="Times New Roman" w:hAnsi="Times New Roman" w:cs="Times New Roman"/>
          <w:lang w:val="en-GB"/>
        </w:rPr>
        <w:t>”</w:t>
      </w:r>
      <w:r w:rsidR="00867D21">
        <w:rPr>
          <w:rFonts w:ascii="Times New Roman" w:hAnsi="Times New Roman" w:cs="Times New Roman"/>
          <w:lang w:val="en-GB"/>
        </w:rPr>
        <w:t xml:space="preserve"> (2019: 519</w:t>
      </w:r>
      <w:r w:rsidR="00040F33" w:rsidRPr="007B2800">
        <w:rPr>
          <w:rFonts w:ascii="Times New Roman" w:hAnsi="Times New Roman" w:cs="Times New Roman"/>
          <w:lang w:val="en-GB"/>
        </w:rPr>
        <w:t>)</w:t>
      </w:r>
      <w:r w:rsidR="00BF50C4" w:rsidRPr="007B2800">
        <w:rPr>
          <w:rFonts w:ascii="Times New Roman" w:hAnsi="Times New Roman" w:cs="Times New Roman"/>
          <w:lang w:val="en-GB"/>
        </w:rPr>
        <w:t>.</w:t>
      </w:r>
      <w:r w:rsidR="00040F33" w:rsidRPr="007B2800">
        <w:rPr>
          <w:rFonts w:ascii="Times New Roman" w:hAnsi="Times New Roman" w:cs="Times New Roman"/>
          <w:lang w:val="en-GB"/>
        </w:rPr>
        <w:t xml:space="preserve"> </w:t>
      </w:r>
      <w:r w:rsidR="00A8327E" w:rsidRPr="007B2800">
        <w:rPr>
          <w:rFonts w:ascii="Times New Roman" w:hAnsi="Times New Roman" w:cs="Times New Roman"/>
          <w:lang w:val="en-GB"/>
        </w:rPr>
        <w:t>Against this, I would claim</w:t>
      </w:r>
      <w:r w:rsidR="00F23F69" w:rsidRPr="007B2800">
        <w:rPr>
          <w:rFonts w:ascii="Times New Roman" w:hAnsi="Times New Roman" w:cs="Times New Roman"/>
          <w:lang w:val="en-GB"/>
        </w:rPr>
        <w:t>, firstly,</w:t>
      </w:r>
      <w:r w:rsidR="00A8327E" w:rsidRPr="007B2800">
        <w:rPr>
          <w:rFonts w:ascii="Times New Roman" w:hAnsi="Times New Roman" w:cs="Times New Roman"/>
          <w:lang w:val="en-GB"/>
        </w:rPr>
        <w:t xml:space="preserve"> that</w:t>
      </w:r>
      <w:r w:rsidR="00FC5AC7" w:rsidRPr="007B2800">
        <w:rPr>
          <w:rFonts w:ascii="Times New Roman" w:hAnsi="Times New Roman" w:cs="Times New Roman"/>
          <w:lang w:val="en-GB"/>
        </w:rPr>
        <w:t xml:space="preserve"> </w:t>
      </w:r>
      <w:r w:rsidR="000A5205" w:rsidRPr="007B2800">
        <w:rPr>
          <w:rFonts w:ascii="Times New Roman" w:hAnsi="Times New Roman" w:cs="Times New Roman"/>
          <w:lang w:val="en-GB"/>
        </w:rPr>
        <w:t>(PT) does</w:t>
      </w:r>
      <w:r w:rsidR="00EA55C4" w:rsidRPr="007B2800">
        <w:rPr>
          <w:rFonts w:ascii="Times New Roman" w:hAnsi="Times New Roman" w:cs="Times New Roman"/>
          <w:lang w:val="en-GB"/>
        </w:rPr>
        <w:t xml:space="preserve"> </w:t>
      </w:r>
      <w:r w:rsidR="00EA55C4" w:rsidRPr="007B2800">
        <w:rPr>
          <w:rFonts w:ascii="Times New Roman" w:hAnsi="Times New Roman" w:cs="Times New Roman"/>
          <w:i/>
          <w:lang w:val="en-GB"/>
        </w:rPr>
        <w:t>not</w:t>
      </w:r>
      <w:r w:rsidR="000A5205" w:rsidRPr="007B2800">
        <w:rPr>
          <w:rFonts w:ascii="Times New Roman" w:hAnsi="Times New Roman" w:cs="Times New Roman"/>
          <w:i/>
          <w:lang w:val="en-GB"/>
        </w:rPr>
        <w:t xml:space="preserve"> </w:t>
      </w:r>
      <w:r w:rsidR="000A5205" w:rsidRPr="007B2800">
        <w:rPr>
          <w:rFonts w:ascii="Times New Roman" w:hAnsi="Times New Roman" w:cs="Times New Roman"/>
          <w:lang w:val="en-GB"/>
        </w:rPr>
        <w:t xml:space="preserve">explain </w:t>
      </w:r>
      <w:r w:rsidR="00FC5AC7" w:rsidRPr="007B2800">
        <w:rPr>
          <w:rFonts w:ascii="Times New Roman" w:hAnsi="Times New Roman" w:cs="Times New Roman"/>
          <w:lang w:val="en-GB"/>
        </w:rPr>
        <w:t xml:space="preserve">the pragmatic features of </w:t>
      </w:r>
      <w:r w:rsidR="00444104" w:rsidRPr="007B2800">
        <w:rPr>
          <w:rFonts w:ascii="Times New Roman" w:hAnsi="Times New Roman" w:cs="Times New Roman"/>
          <w:lang w:val="en-GB"/>
        </w:rPr>
        <w:t>‘</w:t>
      </w:r>
      <w:r w:rsidR="00FC5AC7" w:rsidRPr="007B2800">
        <w:rPr>
          <w:rFonts w:ascii="Times New Roman" w:hAnsi="Times New Roman" w:cs="Times New Roman"/>
          <w:lang w:val="en-GB"/>
        </w:rPr>
        <w:t>true</w:t>
      </w:r>
      <w:r w:rsidR="00444104" w:rsidRPr="007B2800">
        <w:rPr>
          <w:rFonts w:ascii="Times New Roman" w:hAnsi="Times New Roman" w:cs="Times New Roman"/>
          <w:lang w:val="en-GB"/>
        </w:rPr>
        <w:t>’</w:t>
      </w:r>
      <w:r w:rsidR="00FC5AC7" w:rsidRPr="007B2800">
        <w:rPr>
          <w:rFonts w:ascii="Times New Roman" w:hAnsi="Times New Roman" w:cs="Times New Roman"/>
          <w:lang w:val="en-GB"/>
        </w:rPr>
        <w:t xml:space="preserve">. </w:t>
      </w:r>
      <w:r w:rsidR="000C23CB" w:rsidRPr="007B2800">
        <w:rPr>
          <w:rFonts w:ascii="Times New Roman" w:hAnsi="Times New Roman" w:cs="Times New Roman"/>
          <w:lang w:val="en-GB"/>
        </w:rPr>
        <w:t>T</w:t>
      </w:r>
      <w:r w:rsidR="00C271EB" w:rsidRPr="007B2800">
        <w:rPr>
          <w:rFonts w:ascii="Times New Roman" w:hAnsi="Times New Roman" w:cs="Times New Roman"/>
          <w:lang w:val="en-GB"/>
        </w:rPr>
        <w:t>he</w:t>
      </w:r>
      <w:r w:rsidR="000C23CB" w:rsidRPr="007B2800">
        <w:rPr>
          <w:rFonts w:ascii="Times New Roman" w:hAnsi="Times New Roman" w:cs="Times New Roman"/>
          <w:lang w:val="en-GB"/>
        </w:rPr>
        <w:t xml:space="preserve"> relevant</w:t>
      </w:r>
      <w:r w:rsidR="00444104" w:rsidRPr="007B2800">
        <w:rPr>
          <w:rFonts w:ascii="Times New Roman" w:hAnsi="Times New Roman" w:cs="Times New Roman"/>
          <w:lang w:val="en-GB"/>
        </w:rPr>
        <w:t xml:space="preserve"> “pragmatic” feature</w:t>
      </w:r>
      <w:r w:rsidR="00B44230">
        <w:rPr>
          <w:rFonts w:ascii="Times New Roman" w:hAnsi="Times New Roman" w:cs="Times New Roman"/>
          <w:lang w:val="en-GB"/>
        </w:rPr>
        <w:t>s</w:t>
      </w:r>
      <w:r w:rsidR="00444104" w:rsidRPr="007B2800">
        <w:rPr>
          <w:rFonts w:ascii="Times New Roman" w:hAnsi="Times New Roman" w:cs="Times New Roman"/>
          <w:lang w:val="en-GB"/>
        </w:rPr>
        <w:t xml:space="preserve"> of ‘</w:t>
      </w:r>
      <w:r w:rsidR="00C271EB" w:rsidRPr="007B2800">
        <w:rPr>
          <w:rFonts w:ascii="Times New Roman" w:hAnsi="Times New Roman" w:cs="Times New Roman"/>
          <w:lang w:val="en-GB"/>
        </w:rPr>
        <w:t>That’s true</w:t>
      </w:r>
      <w:r w:rsidR="00444104" w:rsidRPr="007B2800">
        <w:rPr>
          <w:rFonts w:ascii="Times New Roman" w:hAnsi="Times New Roman" w:cs="Times New Roman"/>
          <w:lang w:val="en-GB"/>
        </w:rPr>
        <w:t>’</w:t>
      </w:r>
      <w:r w:rsidR="00EA55C4" w:rsidRPr="007B2800">
        <w:rPr>
          <w:rFonts w:ascii="Times New Roman" w:hAnsi="Times New Roman" w:cs="Times New Roman"/>
          <w:lang w:val="en-GB"/>
        </w:rPr>
        <w:t xml:space="preserve">, uttered in response to </w:t>
      </w:r>
      <w:r w:rsidR="00B44230">
        <w:rPr>
          <w:rFonts w:ascii="Times New Roman" w:hAnsi="Times New Roman" w:cs="Times New Roman"/>
          <w:lang w:val="en-GB"/>
        </w:rPr>
        <w:t>some claim</w:t>
      </w:r>
      <w:r w:rsidR="00EA55C4" w:rsidRPr="007B2800">
        <w:rPr>
          <w:rFonts w:ascii="Times New Roman" w:hAnsi="Times New Roman" w:cs="Times New Roman"/>
          <w:lang w:val="en-GB"/>
        </w:rPr>
        <w:t>,</w:t>
      </w:r>
      <w:r w:rsidR="000C23CB" w:rsidRPr="007B2800">
        <w:rPr>
          <w:rFonts w:ascii="Times New Roman" w:hAnsi="Times New Roman" w:cs="Times New Roman"/>
          <w:lang w:val="en-GB"/>
        </w:rPr>
        <w:t xml:space="preserve"> </w:t>
      </w:r>
      <w:r w:rsidR="00B44230">
        <w:rPr>
          <w:rFonts w:ascii="Times New Roman" w:hAnsi="Times New Roman" w:cs="Times New Roman"/>
          <w:lang w:val="en-GB"/>
        </w:rPr>
        <w:t>are</w:t>
      </w:r>
      <w:r w:rsidR="009E72C6" w:rsidRPr="007B2800">
        <w:rPr>
          <w:rFonts w:ascii="Times New Roman" w:hAnsi="Times New Roman" w:cs="Times New Roman"/>
          <w:lang w:val="en-GB"/>
        </w:rPr>
        <w:t xml:space="preserve"> supposed to </w:t>
      </w:r>
      <w:r w:rsidR="00B44230">
        <w:rPr>
          <w:rFonts w:ascii="Times New Roman" w:hAnsi="Times New Roman" w:cs="Times New Roman"/>
          <w:lang w:val="en-GB"/>
        </w:rPr>
        <w:t>include,</w:t>
      </w:r>
      <w:r w:rsidR="000C23CB" w:rsidRPr="007B2800">
        <w:rPr>
          <w:rFonts w:ascii="Times New Roman" w:hAnsi="Times New Roman" w:cs="Times New Roman"/>
          <w:lang w:val="en-GB"/>
        </w:rPr>
        <w:t xml:space="preserve"> </w:t>
      </w:r>
    </w:p>
    <w:p w14:paraId="0D61C2C0" w14:textId="77777777" w:rsidR="0075320B" w:rsidRDefault="0075320B" w:rsidP="0075320B">
      <w:pPr>
        <w:spacing w:line="480" w:lineRule="auto"/>
        <w:jc w:val="both"/>
        <w:rPr>
          <w:rFonts w:ascii="Times New Roman" w:hAnsi="Times New Roman" w:cs="Times New Roman"/>
          <w:lang w:val="en-GB"/>
        </w:rPr>
      </w:pPr>
    </w:p>
    <w:p w14:paraId="70F15D27" w14:textId="4F52FFD6" w:rsidR="0075320B" w:rsidRPr="0075320B" w:rsidRDefault="0075320B" w:rsidP="0008371F">
      <w:pPr>
        <w:spacing w:line="480" w:lineRule="auto"/>
        <w:ind w:left="720"/>
        <w:jc w:val="both"/>
        <w:rPr>
          <w:rFonts w:ascii="Times New Roman" w:hAnsi="Times New Roman" w:cs="Times New Roman"/>
          <w:sz w:val="20"/>
          <w:szCs w:val="20"/>
          <w:lang w:val="en-US"/>
        </w:rPr>
      </w:pPr>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e]</w:t>
      </w:r>
      <w:proofErr w:type="spellStart"/>
      <w:r w:rsidRPr="0075320B">
        <w:rPr>
          <w:rFonts w:ascii="Times New Roman" w:hAnsi="Times New Roman" w:cs="Times New Roman"/>
          <w:sz w:val="20"/>
          <w:szCs w:val="20"/>
          <w:lang w:val="en-US"/>
        </w:rPr>
        <w:t>xpressing</w:t>
      </w:r>
      <w:proofErr w:type="spellEnd"/>
      <w:proofErr w:type="gramEnd"/>
      <w:r w:rsidRPr="0075320B">
        <w:rPr>
          <w:rFonts w:ascii="Times New Roman" w:hAnsi="Times New Roman" w:cs="Times New Roman"/>
          <w:sz w:val="20"/>
          <w:szCs w:val="20"/>
          <w:lang w:val="en-US"/>
        </w:rPr>
        <w:t xml:space="preserve"> this claim, distinguishing the endorsement of this claim from the rejection of other claims, acknowledging what was said, doing it with less resources and avoiding the repetition of what was said, and many others</w:t>
      </w:r>
      <w:r w:rsidR="0008371F" w:rsidRPr="0008371F">
        <w:rPr>
          <w:rFonts w:ascii="Times New Roman" w:hAnsi="Times New Roman" w:cs="Times New Roman"/>
          <w:sz w:val="20"/>
          <w:szCs w:val="20"/>
          <w:lang w:val="en-US"/>
        </w:rPr>
        <w:t xml:space="preserve">––but there is also a general expressive difference. Prosentences are, in general, expressively more powerful than the corresponding sentences </w:t>
      </w:r>
      <w:r w:rsidR="00867D21">
        <w:rPr>
          <w:rFonts w:ascii="Times New Roman" w:hAnsi="Times New Roman" w:cs="Times New Roman"/>
          <w:sz w:val="20"/>
          <w:szCs w:val="20"/>
          <w:lang w:val="en-US"/>
        </w:rPr>
        <w:t xml:space="preserve"> (2019: </w:t>
      </w:r>
      <w:r w:rsidR="000F0515">
        <w:rPr>
          <w:rFonts w:ascii="Times New Roman" w:hAnsi="Times New Roman" w:cs="Times New Roman"/>
          <w:sz w:val="20"/>
          <w:szCs w:val="20"/>
          <w:lang w:val="en-US"/>
        </w:rPr>
        <w:t>5</w:t>
      </w:r>
      <w:r w:rsidR="00867D21">
        <w:rPr>
          <w:rFonts w:ascii="Times New Roman" w:hAnsi="Times New Roman" w:cs="Times New Roman"/>
          <w:sz w:val="20"/>
          <w:szCs w:val="20"/>
          <w:lang w:val="en-US"/>
        </w:rPr>
        <w:t>09</w:t>
      </w:r>
      <w:r w:rsidR="000F0515">
        <w:rPr>
          <w:rFonts w:ascii="Times New Roman" w:hAnsi="Times New Roman" w:cs="Times New Roman"/>
          <w:sz w:val="20"/>
          <w:szCs w:val="20"/>
          <w:lang w:val="en-US"/>
        </w:rPr>
        <w:t>).</w:t>
      </w:r>
      <w:r w:rsidRPr="0075320B">
        <w:rPr>
          <w:rFonts w:ascii="Times New Roman" w:hAnsi="Times New Roman" w:cs="Times New Roman"/>
          <w:sz w:val="20"/>
          <w:szCs w:val="20"/>
          <w:lang w:val="en-US"/>
        </w:rPr>
        <w:t xml:space="preserve"> </w:t>
      </w:r>
    </w:p>
    <w:p w14:paraId="7A78E9A2" w14:textId="77777777" w:rsidR="0075320B" w:rsidRDefault="0075320B" w:rsidP="0099376A">
      <w:pPr>
        <w:spacing w:line="480" w:lineRule="auto"/>
        <w:ind w:firstLine="720"/>
        <w:jc w:val="both"/>
        <w:rPr>
          <w:rFonts w:ascii="Times New Roman" w:hAnsi="Times New Roman" w:cs="Times New Roman"/>
          <w:lang w:val="en-GB"/>
        </w:rPr>
      </w:pPr>
    </w:p>
    <w:p w14:paraId="5667A5C1" w14:textId="2BF9D901" w:rsidR="00071DA4" w:rsidRPr="00EC049D" w:rsidRDefault="000F0515" w:rsidP="00C84E6A">
      <w:pPr>
        <w:spacing w:line="480" w:lineRule="auto"/>
        <w:jc w:val="both"/>
        <w:rPr>
          <w:rFonts w:ascii="Times New Roman" w:hAnsi="Times New Roman" w:cs="Times New Roman"/>
          <w:lang w:val="en-GB"/>
        </w:rPr>
      </w:pPr>
      <w:r>
        <w:rPr>
          <w:rFonts w:ascii="Times New Roman" w:hAnsi="Times New Roman" w:cs="Times New Roman"/>
          <w:lang w:val="en-GB"/>
        </w:rPr>
        <w:t xml:space="preserve">However, as far as I understand these alleged properties of the relevant utterances, they are not clearly </w:t>
      </w:r>
      <w:r w:rsidR="000045B2">
        <w:rPr>
          <w:rFonts w:ascii="Times New Roman" w:hAnsi="Times New Roman" w:cs="Times New Roman"/>
          <w:lang w:val="en-GB"/>
        </w:rPr>
        <w:t xml:space="preserve">“explained” by (PT). </w:t>
      </w:r>
      <w:r w:rsidR="0008371F">
        <w:rPr>
          <w:rFonts w:ascii="Times New Roman" w:hAnsi="Times New Roman" w:cs="Times New Roman"/>
          <w:lang w:val="en-GB"/>
        </w:rPr>
        <w:t>Many of them</w:t>
      </w:r>
      <w:r w:rsidR="000045B2">
        <w:rPr>
          <w:rFonts w:ascii="Times New Roman" w:hAnsi="Times New Roman" w:cs="Times New Roman"/>
          <w:lang w:val="en-GB"/>
        </w:rPr>
        <w:t xml:space="preserve"> are properties one can easily observe independently of any theory</w:t>
      </w:r>
      <w:r w:rsidR="00852EDF">
        <w:rPr>
          <w:rFonts w:ascii="Times New Roman" w:hAnsi="Times New Roman" w:cs="Times New Roman"/>
          <w:lang w:val="en-GB"/>
        </w:rPr>
        <w:t xml:space="preserve"> of ‘true</w:t>
      </w:r>
      <w:r w:rsidR="00865B33">
        <w:rPr>
          <w:rFonts w:ascii="Times New Roman" w:hAnsi="Times New Roman" w:cs="Times New Roman"/>
          <w:lang w:val="en-GB"/>
        </w:rPr>
        <w:t>’—anaphoric or otherwise—</w:t>
      </w:r>
      <w:r w:rsidR="000045B2">
        <w:rPr>
          <w:rFonts w:ascii="Times New Roman" w:hAnsi="Times New Roman" w:cs="Times New Roman"/>
          <w:lang w:val="en-GB"/>
        </w:rPr>
        <w:t xml:space="preserve">and these observations could be added to any </w:t>
      </w:r>
      <w:r w:rsidR="00865B33">
        <w:rPr>
          <w:rFonts w:ascii="Times New Roman" w:hAnsi="Times New Roman" w:cs="Times New Roman"/>
          <w:lang w:val="en-GB"/>
        </w:rPr>
        <w:t xml:space="preserve">such </w:t>
      </w:r>
      <w:r w:rsidR="000045B2">
        <w:rPr>
          <w:rFonts w:ascii="Times New Roman" w:hAnsi="Times New Roman" w:cs="Times New Roman"/>
          <w:lang w:val="en-GB"/>
        </w:rPr>
        <w:t>theory.</w:t>
      </w:r>
      <w:r w:rsidR="00C84E6A">
        <w:rPr>
          <w:rFonts w:ascii="Times New Roman" w:hAnsi="Times New Roman" w:cs="Times New Roman"/>
          <w:lang w:val="en-GB"/>
        </w:rPr>
        <w:t xml:space="preserve"> </w:t>
      </w:r>
      <w:r w:rsidR="0008371F">
        <w:rPr>
          <w:rFonts w:ascii="Times New Roman" w:hAnsi="Times New Roman" w:cs="Times New Roman"/>
          <w:lang w:val="en-GB"/>
        </w:rPr>
        <w:t>Consider, f</w:t>
      </w:r>
      <w:r w:rsidR="00C84E6A">
        <w:rPr>
          <w:rFonts w:ascii="Times New Roman" w:hAnsi="Times New Roman" w:cs="Times New Roman"/>
          <w:lang w:val="en-GB"/>
        </w:rPr>
        <w:t xml:space="preserve">or instance, </w:t>
      </w:r>
      <w:r w:rsidR="00852EDF">
        <w:rPr>
          <w:rFonts w:ascii="Times New Roman" w:hAnsi="Times New Roman" w:cs="Times New Roman"/>
          <w:lang w:val="en-GB"/>
        </w:rPr>
        <w:t>the fact that ‘That is true’</w:t>
      </w:r>
      <w:r w:rsidR="00C84E6A">
        <w:rPr>
          <w:rFonts w:ascii="Times New Roman" w:hAnsi="Times New Roman" w:cs="Times New Roman"/>
          <w:lang w:val="en-GB"/>
        </w:rPr>
        <w:t xml:space="preserve"> “acknowledg</w:t>
      </w:r>
      <w:r w:rsidR="00852EDF">
        <w:rPr>
          <w:rFonts w:ascii="Times New Roman" w:hAnsi="Times New Roman" w:cs="Times New Roman"/>
          <w:lang w:val="en-GB"/>
        </w:rPr>
        <w:t>es</w:t>
      </w:r>
      <w:r w:rsidR="00C84E6A">
        <w:rPr>
          <w:rFonts w:ascii="Times New Roman" w:hAnsi="Times New Roman" w:cs="Times New Roman"/>
          <w:lang w:val="en-GB"/>
        </w:rPr>
        <w:t xml:space="preserve"> an antecedent”</w:t>
      </w:r>
      <w:proofErr w:type="gramStart"/>
      <w:r w:rsidR="0008371F">
        <w:rPr>
          <w:rFonts w:ascii="Times New Roman" w:hAnsi="Times New Roman" w:cs="Times New Roman"/>
          <w:lang w:val="en-GB"/>
        </w:rPr>
        <w:t>,</w:t>
      </w:r>
      <w:proofErr w:type="gramEnd"/>
      <w:r w:rsidR="0008371F">
        <w:rPr>
          <w:rFonts w:ascii="Times New Roman" w:hAnsi="Times New Roman" w:cs="Times New Roman"/>
          <w:lang w:val="en-GB"/>
        </w:rPr>
        <w:t xml:space="preserve"> </w:t>
      </w:r>
      <w:r w:rsidR="00852EDF">
        <w:rPr>
          <w:rFonts w:ascii="Times New Roman" w:hAnsi="Times New Roman" w:cs="Times New Roman"/>
          <w:lang w:val="en-GB"/>
        </w:rPr>
        <w:t xml:space="preserve">a feature that </w:t>
      </w:r>
      <w:r w:rsidR="00EA55C4" w:rsidRPr="007B2800">
        <w:rPr>
          <w:rFonts w:ascii="Times New Roman" w:hAnsi="Times New Roman" w:cs="Times New Roman"/>
          <w:lang w:val="en-GB"/>
        </w:rPr>
        <w:t>would have been absent if the preceding utterance had merely been repeated</w:t>
      </w:r>
      <w:r w:rsidR="0008371F">
        <w:rPr>
          <w:rFonts w:ascii="Times New Roman" w:hAnsi="Times New Roman" w:cs="Times New Roman"/>
          <w:lang w:val="en-GB"/>
        </w:rPr>
        <w:t xml:space="preserve"> (cf. Brandom 1994: 302)</w:t>
      </w:r>
      <w:r w:rsidR="00A32E43" w:rsidRPr="007B2800">
        <w:rPr>
          <w:rFonts w:ascii="Times New Roman" w:hAnsi="Times New Roman" w:cs="Times New Roman"/>
          <w:lang w:val="en-GB"/>
        </w:rPr>
        <w:t>.</w:t>
      </w:r>
      <w:r w:rsidR="000C23CB" w:rsidRPr="007B2800">
        <w:rPr>
          <w:rFonts w:ascii="Times New Roman" w:hAnsi="Times New Roman" w:cs="Times New Roman"/>
          <w:lang w:val="en-GB"/>
        </w:rPr>
        <w:t xml:space="preserve"> But </w:t>
      </w:r>
      <w:r w:rsidR="00E016D0" w:rsidRPr="007B2800">
        <w:rPr>
          <w:rFonts w:ascii="Times New Roman" w:hAnsi="Times New Roman" w:cs="Times New Roman"/>
          <w:lang w:val="en-GB"/>
        </w:rPr>
        <w:t>t</w:t>
      </w:r>
      <w:r w:rsidR="003929EE" w:rsidRPr="007B2800">
        <w:rPr>
          <w:rFonts w:ascii="Times New Roman" w:hAnsi="Times New Roman" w:cs="Times New Roman"/>
          <w:lang w:val="en-GB"/>
        </w:rPr>
        <w:t>he observation that ‘T</w:t>
      </w:r>
      <w:r w:rsidR="006226FE" w:rsidRPr="007B2800">
        <w:rPr>
          <w:rFonts w:ascii="Times New Roman" w:hAnsi="Times New Roman" w:cs="Times New Roman"/>
          <w:lang w:val="en-GB"/>
        </w:rPr>
        <w:t>hat’s true</w:t>
      </w:r>
      <w:r w:rsidR="003929EE" w:rsidRPr="007B2800">
        <w:rPr>
          <w:rFonts w:ascii="Times New Roman" w:hAnsi="Times New Roman" w:cs="Times New Roman"/>
          <w:lang w:val="en-GB"/>
        </w:rPr>
        <w:t>’</w:t>
      </w:r>
      <w:r w:rsidR="006226FE" w:rsidRPr="007B2800">
        <w:rPr>
          <w:rFonts w:ascii="Times New Roman" w:hAnsi="Times New Roman" w:cs="Times New Roman"/>
          <w:lang w:val="en-GB"/>
        </w:rPr>
        <w:t xml:space="preserve"> refers to something extraneous</w:t>
      </w:r>
      <w:r w:rsidR="00CC041A" w:rsidRPr="007B2800">
        <w:rPr>
          <w:rFonts w:ascii="Times New Roman" w:hAnsi="Times New Roman" w:cs="Times New Roman"/>
          <w:lang w:val="en-GB"/>
        </w:rPr>
        <w:t xml:space="preserve"> is </w:t>
      </w:r>
      <w:r w:rsidR="00B73F11" w:rsidRPr="007B2800">
        <w:rPr>
          <w:rFonts w:ascii="Times New Roman" w:hAnsi="Times New Roman" w:cs="Times New Roman"/>
          <w:lang w:val="en-GB"/>
        </w:rPr>
        <w:t xml:space="preserve">just independently obvious. It is </w:t>
      </w:r>
      <w:r w:rsidR="00CC041A" w:rsidRPr="007B2800">
        <w:rPr>
          <w:rFonts w:ascii="Times New Roman" w:hAnsi="Times New Roman" w:cs="Times New Roman"/>
          <w:lang w:val="en-GB"/>
        </w:rPr>
        <w:t xml:space="preserve">not </w:t>
      </w:r>
      <w:r w:rsidR="00E016D0" w:rsidRPr="007B2800">
        <w:rPr>
          <w:rFonts w:ascii="Times New Roman" w:hAnsi="Times New Roman" w:cs="Times New Roman"/>
          <w:lang w:val="en-GB"/>
        </w:rPr>
        <w:t xml:space="preserve">somehow </w:t>
      </w:r>
      <w:r w:rsidR="00CC041A" w:rsidRPr="007B2800">
        <w:rPr>
          <w:rFonts w:ascii="Times New Roman" w:hAnsi="Times New Roman" w:cs="Times New Roman"/>
          <w:lang w:val="en-GB"/>
        </w:rPr>
        <w:t>derived from (PT)</w:t>
      </w:r>
      <w:r w:rsidR="00B73F11" w:rsidRPr="007B2800">
        <w:rPr>
          <w:rFonts w:ascii="Times New Roman" w:hAnsi="Times New Roman" w:cs="Times New Roman"/>
          <w:lang w:val="en-GB"/>
        </w:rPr>
        <w:t>, it</w:t>
      </w:r>
      <w:r w:rsidR="00161893" w:rsidRPr="007B2800">
        <w:rPr>
          <w:rFonts w:ascii="Times New Roman" w:hAnsi="Times New Roman" w:cs="Times New Roman"/>
          <w:lang w:val="en-GB"/>
        </w:rPr>
        <w:t xml:space="preserve"> </w:t>
      </w:r>
      <w:r w:rsidR="006226FE" w:rsidRPr="007B2800">
        <w:rPr>
          <w:rFonts w:ascii="Times New Roman" w:hAnsi="Times New Roman" w:cs="Times New Roman"/>
          <w:lang w:val="en-GB"/>
        </w:rPr>
        <w:t>ca</w:t>
      </w:r>
      <w:r w:rsidR="006226FE" w:rsidRPr="00EC049D">
        <w:rPr>
          <w:rFonts w:ascii="Times New Roman" w:hAnsi="Times New Roman" w:cs="Times New Roman"/>
          <w:lang w:val="en-GB"/>
        </w:rPr>
        <w:t>n be made independently of (PT),</w:t>
      </w:r>
      <w:r w:rsidR="005332F1" w:rsidRPr="00EC049D">
        <w:rPr>
          <w:rFonts w:ascii="Times New Roman" w:hAnsi="Times New Roman" w:cs="Times New Roman"/>
          <w:lang w:val="en-GB"/>
        </w:rPr>
        <w:t xml:space="preserve"> </w:t>
      </w:r>
      <w:r w:rsidR="00CC041A" w:rsidRPr="00EC049D">
        <w:rPr>
          <w:rFonts w:ascii="Times New Roman" w:hAnsi="Times New Roman" w:cs="Times New Roman"/>
          <w:lang w:val="en-GB"/>
        </w:rPr>
        <w:t xml:space="preserve">and it </w:t>
      </w:r>
      <w:r w:rsidR="005332F1" w:rsidRPr="00EC049D">
        <w:rPr>
          <w:rFonts w:ascii="Times New Roman" w:hAnsi="Times New Roman" w:cs="Times New Roman"/>
          <w:lang w:val="en-GB"/>
        </w:rPr>
        <w:t>can be added to</w:t>
      </w:r>
      <w:r w:rsidR="00FC5AC7" w:rsidRPr="00EC049D">
        <w:rPr>
          <w:rFonts w:ascii="Times New Roman" w:hAnsi="Times New Roman" w:cs="Times New Roman"/>
          <w:lang w:val="en-GB"/>
        </w:rPr>
        <w:t xml:space="preserve"> any theory</w:t>
      </w:r>
      <w:r w:rsidR="00CC041A" w:rsidRPr="00EC049D">
        <w:rPr>
          <w:rFonts w:ascii="Times New Roman" w:hAnsi="Times New Roman" w:cs="Times New Roman"/>
          <w:lang w:val="en-GB"/>
        </w:rPr>
        <w:t xml:space="preserve"> about </w:t>
      </w:r>
      <w:r w:rsidR="002B5BBE" w:rsidRPr="00EC049D">
        <w:rPr>
          <w:rFonts w:ascii="Times New Roman" w:hAnsi="Times New Roman" w:cs="Times New Roman"/>
          <w:lang w:val="en-GB"/>
        </w:rPr>
        <w:t>‘</w:t>
      </w:r>
      <w:r w:rsidR="00CC041A" w:rsidRPr="00EC049D">
        <w:rPr>
          <w:rFonts w:ascii="Times New Roman" w:hAnsi="Times New Roman" w:cs="Times New Roman"/>
          <w:lang w:val="en-GB"/>
        </w:rPr>
        <w:t>true</w:t>
      </w:r>
      <w:r w:rsidR="002B5BBE" w:rsidRPr="00EC049D">
        <w:rPr>
          <w:rFonts w:ascii="Times New Roman" w:hAnsi="Times New Roman" w:cs="Times New Roman"/>
          <w:lang w:val="en-GB"/>
        </w:rPr>
        <w:t>’</w:t>
      </w:r>
      <w:r w:rsidR="00EC049D" w:rsidRPr="00EC049D">
        <w:rPr>
          <w:rFonts w:ascii="Times New Roman" w:hAnsi="Times New Roman" w:cs="Times New Roman"/>
          <w:lang w:val="en-GB"/>
        </w:rPr>
        <w:t>.</w:t>
      </w:r>
    </w:p>
    <w:p w14:paraId="2E7A2AEB" w14:textId="6043FF9C" w:rsidR="00EC049D" w:rsidRPr="00EC049D" w:rsidRDefault="00EC049D" w:rsidP="00C84E6A">
      <w:pPr>
        <w:spacing w:line="480" w:lineRule="auto"/>
        <w:jc w:val="both"/>
        <w:rPr>
          <w:rFonts w:ascii="Times New Roman" w:hAnsi="Times New Roman" w:cs="Times New Roman"/>
          <w:lang w:val="en-GB"/>
        </w:rPr>
      </w:pPr>
      <w:r w:rsidRPr="00EC049D">
        <w:rPr>
          <w:rFonts w:ascii="Times New Roman" w:hAnsi="Times New Roman" w:cs="Times New Roman"/>
          <w:lang w:val="en-GB"/>
        </w:rPr>
        <w:tab/>
      </w:r>
      <w:r w:rsidR="0082571D">
        <w:rPr>
          <w:rFonts w:ascii="Times New Roman" w:hAnsi="Times New Roman" w:cs="Times New Roman"/>
          <w:lang w:val="en-GB"/>
        </w:rPr>
        <w:t>It may be objected that the above way of accounting for how the utterance “acknowledges</w:t>
      </w:r>
      <w:r w:rsidRPr="00EC049D">
        <w:rPr>
          <w:rFonts w:ascii="Times New Roman" w:hAnsi="Times New Roman" w:cs="Times New Roman"/>
          <w:lang w:val="en-GB"/>
        </w:rPr>
        <w:t xml:space="preserve"> an antecedent”</w:t>
      </w:r>
      <w:r w:rsidR="0082571D">
        <w:rPr>
          <w:rFonts w:ascii="Times New Roman" w:hAnsi="Times New Roman" w:cs="Times New Roman"/>
          <w:lang w:val="en-GB"/>
        </w:rPr>
        <w:t xml:space="preserve"> fails</w:t>
      </w:r>
      <w:r w:rsidRPr="00EC049D">
        <w:rPr>
          <w:rFonts w:ascii="Times New Roman" w:hAnsi="Times New Roman" w:cs="Times New Roman"/>
          <w:lang w:val="en-GB"/>
        </w:rPr>
        <w:t xml:space="preserve">, </w:t>
      </w:r>
      <w:r w:rsidR="00FC525A">
        <w:rPr>
          <w:rFonts w:ascii="Times New Roman" w:hAnsi="Times New Roman" w:cs="Times New Roman"/>
          <w:lang w:val="en-GB"/>
        </w:rPr>
        <w:t>if</w:t>
      </w:r>
      <w:r w:rsidRPr="00EC049D">
        <w:rPr>
          <w:rFonts w:ascii="Times New Roman" w:hAnsi="Times New Roman" w:cs="Times New Roman"/>
          <w:lang w:val="en-GB"/>
        </w:rPr>
        <w:t xml:space="preserve"> the latter </w:t>
      </w:r>
      <w:r w:rsidR="00FC525A">
        <w:rPr>
          <w:rFonts w:ascii="Times New Roman" w:hAnsi="Times New Roman" w:cs="Times New Roman"/>
          <w:lang w:val="en-GB"/>
        </w:rPr>
        <w:t xml:space="preserve">notion </w:t>
      </w:r>
      <w:r w:rsidRPr="00EC049D">
        <w:rPr>
          <w:rFonts w:ascii="Times New Roman" w:hAnsi="Times New Roman" w:cs="Times New Roman"/>
          <w:lang w:val="en-GB"/>
        </w:rPr>
        <w:t xml:space="preserve">is by definition something involving an anaphor. On the other hand, if so taken, it would be question-begging to demand of other, non-anaphoric theories of ‘true’ that it explain </w:t>
      </w:r>
      <w:r w:rsidR="00DE67D6">
        <w:rPr>
          <w:rFonts w:ascii="Times New Roman" w:hAnsi="Times New Roman" w:cs="Times New Roman"/>
          <w:lang w:val="en-GB"/>
        </w:rPr>
        <w:t>the</w:t>
      </w:r>
      <w:r w:rsidRPr="00EC049D">
        <w:rPr>
          <w:rFonts w:ascii="Times New Roman" w:hAnsi="Times New Roman" w:cs="Times New Roman"/>
          <w:lang w:val="en-GB"/>
        </w:rPr>
        <w:t xml:space="preserve"> feature (so understood). The uncontroversial datum is merely that “something extraneous is acknowledged”</w:t>
      </w:r>
      <w:r>
        <w:rPr>
          <w:rFonts w:ascii="Times New Roman" w:hAnsi="Times New Roman" w:cs="Times New Roman"/>
          <w:lang w:val="en-GB"/>
        </w:rPr>
        <w:t>, and this datum can be accommodated on other theories, given the analysis of ‘That’s true’ as containing a demonstrative</w:t>
      </w:r>
      <w:r w:rsidRPr="00EC049D">
        <w:rPr>
          <w:rFonts w:ascii="Times New Roman" w:hAnsi="Times New Roman" w:cs="Times New Roman"/>
          <w:lang w:val="en-GB"/>
        </w:rPr>
        <w:t>.</w:t>
      </w:r>
    </w:p>
    <w:p w14:paraId="40A73F91" w14:textId="74D0533E" w:rsidR="00FC5AC7" w:rsidRPr="007B2800" w:rsidRDefault="006226FE" w:rsidP="00071DA4">
      <w:pPr>
        <w:spacing w:line="480" w:lineRule="auto"/>
        <w:ind w:firstLine="720"/>
        <w:jc w:val="both"/>
        <w:rPr>
          <w:rFonts w:ascii="Times New Roman" w:hAnsi="Times New Roman" w:cs="Times New Roman"/>
          <w:lang w:val="en-GB"/>
        </w:rPr>
      </w:pPr>
      <w:r w:rsidRPr="007B2800">
        <w:rPr>
          <w:rFonts w:ascii="Times New Roman" w:hAnsi="Times New Roman" w:cs="Times New Roman"/>
          <w:lang w:val="en-GB"/>
        </w:rPr>
        <w:t xml:space="preserve">As for expressive strengthening, it </w:t>
      </w:r>
      <w:r w:rsidR="00C84E6A">
        <w:rPr>
          <w:rFonts w:ascii="Times New Roman" w:hAnsi="Times New Roman" w:cs="Times New Roman"/>
          <w:lang w:val="en-GB"/>
        </w:rPr>
        <w:t>is not clear, firstly, that</w:t>
      </w:r>
      <w:r w:rsidRPr="007B2800">
        <w:rPr>
          <w:rFonts w:ascii="Times New Roman" w:hAnsi="Times New Roman" w:cs="Times New Roman"/>
          <w:lang w:val="en-GB"/>
        </w:rPr>
        <w:t xml:space="preserve"> this feature can be explained by (PT)</w:t>
      </w:r>
      <w:r w:rsidR="00D06498" w:rsidRPr="007B2800">
        <w:rPr>
          <w:rFonts w:ascii="Times New Roman" w:hAnsi="Times New Roman" w:cs="Times New Roman"/>
          <w:lang w:val="en-GB"/>
        </w:rPr>
        <w:t xml:space="preserve">. </w:t>
      </w:r>
      <w:r w:rsidR="0008371F">
        <w:rPr>
          <w:rFonts w:ascii="Times New Roman" w:hAnsi="Times New Roman" w:cs="Times New Roman"/>
          <w:lang w:val="en-GB"/>
        </w:rPr>
        <w:t>However,</w:t>
      </w:r>
      <w:r w:rsidRPr="007B2800">
        <w:rPr>
          <w:rFonts w:ascii="Times New Roman" w:hAnsi="Times New Roman" w:cs="Times New Roman"/>
          <w:lang w:val="en-GB"/>
        </w:rPr>
        <w:t xml:space="preserve"> it can clearly be explained </w:t>
      </w:r>
      <w:r w:rsidR="00FC5AC7" w:rsidRPr="007B2800">
        <w:rPr>
          <w:rFonts w:ascii="Times New Roman" w:hAnsi="Times New Roman" w:cs="Times New Roman"/>
          <w:lang w:val="en-GB"/>
        </w:rPr>
        <w:t xml:space="preserve">on the basis of a simple deflationist theory that takes the meaning of </w:t>
      </w:r>
      <w:r w:rsidR="00DF0461" w:rsidRPr="007B2800">
        <w:rPr>
          <w:rFonts w:ascii="Times New Roman" w:hAnsi="Times New Roman" w:cs="Times New Roman"/>
          <w:lang w:val="en-GB"/>
        </w:rPr>
        <w:t>‘</w:t>
      </w:r>
      <w:r w:rsidR="00FC5AC7" w:rsidRPr="007B2800">
        <w:rPr>
          <w:rFonts w:ascii="Times New Roman" w:hAnsi="Times New Roman" w:cs="Times New Roman"/>
          <w:lang w:val="en-GB"/>
        </w:rPr>
        <w:t>true</w:t>
      </w:r>
      <w:r w:rsidR="00DF0461" w:rsidRPr="007B2800">
        <w:rPr>
          <w:rFonts w:ascii="Times New Roman" w:hAnsi="Times New Roman" w:cs="Times New Roman"/>
          <w:lang w:val="en-GB"/>
        </w:rPr>
        <w:t>’</w:t>
      </w:r>
      <w:r w:rsidR="00FC5AC7" w:rsidRPr="007B2800">
        <w:rPr>
          <w:rFonts w:ascii="Times New Roman" w:hAnsi="Times New Roman" w:cs="Times New Roman"/>
          <w:lang w:val="en-GB"/>
        </w:rPr>
        <w:t xml:space="preserve"> to be exhaustively given by the claim that it is introduced via the trivial equivalence between </w:t>
      </w:r>
      <w:r w:rsidR="00A61D5F" w:rsidRPr="007B2800">
        <w:rPr>
          <w:rFonts w:ascii="Times New Roman" w:hAnsi="Times New Roman" w:cs="Times New Roman"/>
          <w:lang w:val="en-GB"/>
        </w:rPr>
        <w:t>‘</w:t>
      </w:r>
      <w:r w:rsidR="00FC5AC7" w:rsidRPr="007B2800">
        <w:rPr>
          <w:rFonts w:ascii="Times New Roman" w:hAnsi="Times New Roman" w:cs="Times New Roman"/>
          <w:lang w:val="en-GB"/>
        </w:rPr>
        <w:t xml:space="preserve">that </w:t>
      </w:r>
      <w:r w:rsidR="00FC5AC7" w:rsidRPr="007B2800">
        <w:rPr>
          <w:rFonts w:ascii="Times New Roman" w:hAnsi="Times New Roman" w:cs="Times New Roman"/>
          <w:i/>
          <w:lang w:val="en-GB"/>
        </w:rPr>
        <w:t>p</w:t>
      </w:r>
      <w:r w:rsidR="00FC5AC7" w:rsidRPr="007B2800">
        <w:rPr>
          <w:rFonts w:ascii="Times New Roman" w:hAnsi="Times New Roman" w:cs="Times New Roman"/>
          <w:lang w:val="en-GB"/>
        </w:rPr>
        <w:t xml:space="preserve"> is true</w:t>
      </w:r>
      <w:r w:rsidR="00A61D5F" w:rsidRPr="007B2800">
        <w:rPr>
          <w:rFonts w:ascii="Times New Roman" w:hAnsi="Times New Roman" w:cs="Times New Roman"/>
          <w:lang w:val="en-GB"/>
        </w:rPr>
        <w:t>’</w:t>
      </w:r>
      <w:r w:rsidR="00FC5AC7" w:rsidRPr="007B2800">
        <w:rPr>
          <w:rFonts w:ascii="Times New Roman" w:hAnsi="Times New Roman" w:cs="Times New Roman"/>
          <w:lang w:val="en-GB"/>
        </w:rPr>
        <w:t xml:space="preserve"> and the corresponding </w:t>
      </w:r>
      <w:r w:rsidR="00A61D5F" w:rsidRPr="007B2800">
        <w:rPr>
          <w:rFonts w:ascii="Times New Roman" w:hAnsi="Times New Roman" w:cs="Times New Roman"/>
          <w:lang w:val="en-GB"/>
        </w:rPr>
        <w:t>‘</w:t>
      </w:r>
      <w:r w:rsidR="00FC5AC7" w:rsidRPr="007B2800">
        <w:rPr>
          <w:rFonts w:ascii="Times New Roman" w:hAnsi="Times New Roman" w:cs="Times New Roman"/>
          <w:i/>
          <w:lang w:val="en-GB"/>
        </w:rPr>
        <w:t>p</w:t>
      </w:r>
      <w:r w:rsidR="00A61D5F" w:rsidRPr="007B2800">
        <w:rPr>
          <w:rFonts w:ascii="Times New Roman" w:hAnsi="Times New Roman" w:cs="Times New Roman"/>
          <w:lang w:val="en-GB"/>
        </w:rPr>
        <w:t>’</w:t>
      </w:r>
      <w:r w:rsidR="008958B1" w:rsidRPr="007B2800">
        <w:rPr>
          <w:rFonts w:ascii="Times New Roman" w:hAnsi="Times New Roman" w:cs="Times New Roman"/>
          <w:lang w:val="en-GB"/>
        </w:rPr>
        <w:t xml:space="preserve"> (cf. Båve (2006: 139f.</w:t>
      </w:r>
      <w:r w:rsidR="005570FF" w:rsidRPr="007B2800">
        <w:rPr>
          <w:rFonts w:ascii="Times New Roman" w:hAnsi="Times New Roman" w:cs="Times New Roman"/>
          <w:lang w:val="en-GB"/>
        </w:rPr>
        <w:t>)</w:t>
      </w:r>
      <w:r w:rsidR="0097327C" w:rsidRPr="007B2800">
        <w:rPr>
          <w:rFonts w:ascii="Times New Roman" w:hAnsi="Times New Roman" w:cs="Times New Roman"/>
          <w:lang w:val="en-GB"/>
        </w:rPr>
        <w:t>, (2009b</w:t>
      </w:r>
      <w:r w:rsidR="003669CD" w:rsidRPr="007B2800">
        <w:rPr>
          <w:rFonts w:ascii="Times New Roman" w:hAnsi="Times New Roman" w:cs="Times New Roman"/>
          <w:lang w:val="en-GB"/>
        </w:rPr>
        <w:t>: §4</w:t>
      </w:r>
      <w:r w:rsidR="0097327C" w:rsidRPr="007B2800">
        <w:rPr>
          <w:rFonts w:ascii="Times New Roman" w:hAnsi="Times New Roman" w:cs="Times New Roman"/>
          <w:lang w:val="en-GB"/>
        </w:rPr>
        <w:t>), and</w:t>
      </w:r>
      <w:r w:rsidR="00A8411D" w:rsidRPr="007B2800">
        <w:rPr>
          <w:rFonts w:ascii="Times New Roman" w:hAnsi="Times New Roman" w:cs="Times New Roman"/>
          <w:lang w:val="en-GB"/>
        </w:rPr>
        <w:t xml:space="preserve"> (</w:t>
      </w:r>
      <w:r w:rsidR="0097327C" w:rsidRPr="007B2800">
        <w:rPr>
          <w:rFonts w:ascii="Times New Roman" w:hAnsi="Times New Roman" w:cs="Times New Roman"/>
          <w:lang w:val="en-GB"/>
        </w:rPr>
        <w:t>2015</w:t>
      </w:r>
      <w:r w:rsidR="00A8411D" w:rsidRPr="007B2800">
        <w:rPr>
          <w:rFonts w:ascii="Times New Roman" w:hAnsi="Times New Roman" w:cs="Times New Roman"/>
          <w:lang w:val="en-GB"/>
        </w:rPr>
        <w:t>))</w:t>
      </w:r>
      <w:r w:rsidR="00FC5AC7" w:rsidRPr="007B2800">
        <w:rPr>
          <w:rFonts w:ascii="Times New Roman" w:hAnsi="Times New Roman" w:cs="Times New Roman"/>
          <w:lang w:val="en-GB"/>
        </w:rPr>
        <w:t xml:space="preserve">. This simple theory also </w:t>
      </w:r>
      <w:r w:rsidR="00E96C62" w:rsidRPr="007B2800">
        <w:rPr>
          <w:rFonts w:ascii="Times New Roman" w:hAnsi="Times New Roman" w:cs="Times New Roman"/>
          <w:lang w:val="en-GB"/>
        </w:rPr>
        <w:t xml:space="preserve">arguably </w:t>
      </w:r>
      <w:r w:rsidR="00FC5AC7" w:rsidRPr="007B2800">
        <w:rPr>
          <w:rFonts w:ascii="Times New Roman" w:hAnsi="Times New Roman" w:cs="Times New Roman"/>
          <w:lang w:val="en-GB"/>
        </w:rPr>
        <w:t xml:space="preserve">has the resources to explain the </w:t>
      </w:r>
      <w:r w:rsidR="00865B33">
        <w:rPr>
          <w:rFonts w:ascii="Times New Roman" w:hAnsi="Times New Roman" w:cs="Times New Roman"/>
          <w:lang w:val="en-GB"/>
        </w:rPr>
        <w:t>data about</w:t>
      </w:r>
      <w:r w:rsidR="00FC5AC7" w:rsidRPr="007B2800">
        <w:rPr>
          <w:rFonts w:ascii="Times New Roman" w:hAnsi="Times New Roman" w:cs="Times New Roman"/>
          <w:lang w:val="en-GB"/>
        </w:rPr>
        <w:t xml:space="preserve"> all the different uses of </w:t>
      </w:r>
      <w:r w:rsidR="00894E9E" w:rsidRPr="007B2800">
        <w:rPr>
          <w:rFonts w:ascii="Times New Roman" w:hAnsi="Times New Roman" w:cs="Times New Roman"/>
          <w:lang w:val="en-GB"/>
        </w:rPr>
        <w:t>‘</w:t>
      </w:r>
      <w:r w:rsidR="00FC5AC7" w:rsidRPr="007B2800">
        <w:rPr>
          <w:rFonts w:ascii="Times New Roman" w:hAnsi="Times New Roman" w:cs="Times New Roman"/>
          <w:lang w:val="en-GB"/>
        </w:rPr>
        <w:t>true</w:t>
      </w:r>
      <w:r w:rsidR="00894E9E" w:rsidRPr="007B2800">
        <w:rPr>
          <w:rFonts w:ascii="Times New Roman" w:hAnsi="Times New Roman" w:cs="Times New Roman"/>
          <w:lang w:val="en-GB"/>
        </w:rPr>
        <w:t>’</w:t>
      </w:r>
      <w:r w:rsidR="00FC5AC7" w:rsidRPr="007B2800">
        <w:rPr>
          <w:rFonts w:ascii="Times New Roman" w:hAnsi="Times New Roman" w:cs="Times New Roman"/>
          <w:lang w:val="en-GB"/>
        </w:rPr>
        <w:t>, together with independent assu</w:t>
      </w:r>
      <w:r w:rsidR="006E7E91" w:rsidRPr="007B2800">
        <w:rPr>
          <w:rFonts w:ascii="Times New Roman" w:hAnsi="Times New Roman" w:cs="Times New Roman"/>
          <w:lang w:val="en-GB"/>
        </w:rPr>
        <w:t>mptions (see Båve (2006: Ch. 4) and (2010</w:t>
      </w:r>
      <w:r w:rsidR="00460AEA" w:rsidRPr="007B2800">
        <w:rPr>
          <w:rFonts w:ascii="Times New Roman" w:hAnsi="Times New Roman" w:cs="Times New Roman"/>
          <w:lang w:val="en-GB"/>
        </w:rPr>
        <w:t>)</w:t>
      </w:r>
      <w:r w:rsidR="006E7E91" w:rsidRPr="007B2800">
        <w:rPr>
          <w:rFonts w:ascii="Times New Roman" w:hAnsi="Times New Roman" w:cs="Times New Roman"/>
          <w:lang w:val="en-GB"/>
        </w:rPr>
        <w:t>).</w:t>
      </w:r>
      <w:r w:rsidR="00C81298" w:rsidRPr="007B2800">
        <w:rPr>
          <w:rFonts w:ascii="Times New Roman" w:hAnsi="Times New Roman" w:cs="Times New Roman"/>
          <w:lang w:val="en-GB"/>
        </w:rPr>
        <w:t xml:space="preserve"> Thus, given </w:t>
      </w:r>
      <w:r w:rsidR="00760D51">
        <w:rPr>
          <w:rFonts w:ascii="Times New Roman" w:hAnsi="Times New Roman" w:cs="Times New Roman"/>
          <w:lang w:val="en-GB"/>
        </w:rPr>
        <w:t>that it</w:t>
      </w:r>
      <w:r w:rsidR="002C7FFA" w:rsidRPr="007B2800">
        <w:rPr>
          <w:rFonts w:ascii="Times New Roman" w:hAnsi="Times New Roman" w:cs="Times New Roman"/>
          <w:lang w:val="en-GB"/>
        </w:rPr>
        <w:t xml:space="preserve"> scores higher with respect to</w:t>
      </w:r>
      <w:r w:rsidR="00C81298" w:rsidRPr="007B2800">
        <w:rPr>
          <w:rFonts w:ascii="Times New Roman" w:hAnsi="Times New Roman" w:cs="Times New Roman"/>
          <w:lang w:val="en-GB"/>
        </w:rPr>
        <w:t xml:space="preserve"> clarity, explanatory scope, </w:t>
      </w:r>
      <w:r w:rsidR="004D3274" w:rsidRPr="007B2800">
        <w:rPr>
          <w:rFonts w:ascii="Times New Roman" w:hAnsi="Times New Roman" w:cs="Times New Roman"/>
          <w:lang w:val="en-GB"/>
        </w:rPr>
        <w:t xml:space="preserve">and </w:t>
      </w:r>
      <w:r w:rsidR="0089710C" w:rsidRPr="007B2800">
        <w:rPr>
          <w:rFonts w:ascii="Times New Roman" w:hAnsi="Times New Roman" w:cs="Times New Roman"/>
          <w:lang w:val="en-GB"/>
        </w:rPr>
        <w:t>simplicity,</w:t>
      </w:r>
      <w:r w:rsidR="004D3274" w:rsidRPr="007B2800">
        <w:rPr>
          <w:rFonts w:ascii="Times New Roman" w:hAnsi="Times New Roman" w:cs="Times New Roman"/>
          <w:lang w:val="en-GB"/>
        </w:rPr>
        <w:t xml:space="preserve"> and </w:t>
      </w:r>
      <w:r w:rsidR="002C7FFA" w:rsidRPr="007B2800">
        <w:rPr>
          <w:rFonts w:ascii="Times New Roman" w:hAnsi="Times New Roman" w:cs="Times New Roman"/>
          <w:lang w:val="en-GB"/>
        </w:rPr>
        <w:t xml:space="preserve">given </w:t>
      </w:r>
      <w:r w:rsidR="00C4143A" w:rsidRPr="007B2800">
        <w:rPr>
          <w:rFonts w:ascii="Times New Roman" w:hAnsi="Times New Roman" w:cs="Times New Roman"/>
          <w:lang w:val="en-GB"/>
        </w:rPr>
        <w:t xml:space="preserve">how it avoids </w:t>
      </w:r>
      <w:r w:rsidR="004D3274" w:rsidRPr="007B2800">
        <w:rPr>
          <w:rFonts w:ascii="Times New Roman" w:hAnsi="Times New Roman" w:cs="Times New Roman"/>
          <w:lang w:val="en-GB"/>
        </w:rPr>
        <w:t>the various problems we have found with</w:t>
      </w:r>
      <w:r w:rsidR="0089710C" w:rsidRPr="007B2800">
        <w:rPr>
          <w:rFonts w:ascii="Times New Roman" w:hAnsi="Times New Roman" w:cs="Times New Roman"/>
          <w:lang w:val="en-GB"/>
        </w:rPr>
        <w:t xml:space="preserve"> (PT)</w:t>
      </w:r>
      <w:r w:rsidR="004D3274" w:rsidRPr="007B2800">
        <w:rPr>
          <w:rFonts w:ascii="Times New Roman" w:hAnsi="Times New Roman" w:cs="Times New Roman"/>
          <w:lang w:val="en-GB"/>
        </w:rPr>
        <w:t>, it is preferable</w:t>
      </w:r>
      <w:r w:rsidR="0089710C" w:rsidRPr="007B2800">
        <w:rPr>
          <w:rFonts w:ascii="Times New Roman" w:hAnsi="Times New Roman" w:cs="Times New Roman"/>
          <w:lang w:val="en-GB"/>
        </w:rPr>
        <w:t>.</w:t>
      </w:r>
    </w:p>
    <w:p w14:paraId="254B29DB" w14:textId="77777777" w:rsidR="00E20A09" w:rsidRPr="007B2800" w:rsidRDefault="00E20A09" w:rsidP="00AC08C7">
      <w:pPr>
        <w:spacing w:line="480" w:lineRule="auto"/>
        <w:jc w:val="both"/>
        <w:rPr>
          <w:rFonts w:ascii="Times New Roman" w:hAnsi="Times New Roman" w:cs="Times New Roman"/>
          <w:lang w:val="en-GB"/>
        </w:rPr>
      </w:pPr>
    </w:p>
    <w:p w14:paraId="4F917739" w14:textId="44693FB2" w:rsidR="00E20A09" w:rsidRPr="007B2800" w:rsidRDefault="00E20A09" w:rsidP="00AC08C7">
      <w:pPr>
        <w:spacing w:line="480" w:lineRule="auto"/>
        <w:jc w:val="both"/>
        <w:rPr>
          <w:rFonts w:ascii="Times New Roman" w:hAnsi="Times New Roman" w:cs="Times New Roman"/>
          <w:b/>
          <w:lang w:val="en-GB"/>
        </w:rPr>
      </w:pPr>
      <w:r w:rsidRPr="007B2800">
        <w:rPr>
          <w:rFonts w:ascii="Times New Roman" w:hAnsi="Times New Roman" w:cs="Times New Roman"/>
          <w:b/>
          <w:lang w:val="en-GB"/>
        </w:rPr>
        <w:t>References</w:t>
      </w:r>
    </w:p>
    <w:p w14:paraId="07B5B628" w14:textId="1336BD2D" w:rsidR="00A87091" w:rsidRPr="007B2800" w:rsidRDefault="00A87091" w:rsidP="00E27788">
      <w:pPr>
        <w:spacing w:line="480" w:lineRule="auto"/>
        <w:ind w:left="993" w:hanging="993"/>
        <w:jc w:val="both"/>
        <w:rPr>
          <w:rFonts w:ascii="Times New Roman" w:hAnsi="Times New Roman" w:cs="Times New Roman"/>
          <w:lang w:val="en-GB"/>
        </w:rPr>
      </w:pPr>
      <w:r w:rsidRPr="007B2800">
        <w:rPr>
          <w:rFonts w:ascii="Times New Roman" w:hAnsi="Times New Roman" w:cs="Times New Roman"/>
          <w:lang w:val="en-GB"/>
        </w:rPr>
        <w:t xml:space="preserve">Båve, A. (2006), </w:t>
      </w:r>
      <w:r w:rsidRPr="007B2800">
        <w:rPr>
          <w:rFonts w:ascii="Times New Roman" w:hAnsi="Times New Roman" w:cs="Times New Roman"/>
          <w:i/>
          <w:lang w:val="en-GB"/>
        </w:rPr>
        <w:t>Deflationism: A Use-Theoretic Analysis of the Truth-Predicate</w:t>
      </w:r>
      <w:r w:rsidRPr="007B2800">
        <w:rPr>
          <w:rFonts w:ascii="Times New Roman" w:hAnsi="Times New Roman" w:cs="Times New Roman"/>
          <w:lang w:val="en-GB"/>
        </w:rPr>
        <w:t xml:space="preserve">, </w:t>
      </w:r>
      <w:r w:rsidR="00E27788" w:rsidRPr="007B2800">
        <w:rPr>
          <w:rFonts w:ascii="Times New Roman" w:hAnsi="Times New Roman" w:cs="Times New Roman"/>
          <w:lang w:val="en-GB"/>
        </w:rPr>
        <w:t xml:space="preserve">Stockholm, </w:t>
      </w:r>
      <w:proofErr w:type="spellStart"/>
      <w:proofErr w:type="gramStart"/>
      <w:r w:rsidR="00E27788" w:rsidRPr="007B2800">
        <w:rPr>
          <w:rFonts w:ascii="Times New Roman" w:hAnsi="Times New Roman" w:cs="Times New Roman"/>
          <w:lang w:val="en-GB"/>
        </w:rPr>
        <w:t>Almqvist</w:t>
      </w:r>
      <w:proofErr w:type="spellEnd"/>
      <w:proofErr w:type="gramEnd"/>
      <w:r w:rsidR="00E27788" w:rsidRPr="007B2800">
        <w:rPr>
          <w:rFonts w:ascii="Times New Roman" w:hAnsi="Times New Roman" w:cs="Times New Roman"/>
          <w:lang w:val="en-GB"/>
        </w:rPr>
        <w:t xml:space="preserve"> &amp; </w:t>
      </w:r>
      <w:proofErr w:type="spellStart"/>
      <w:r w:rsidR="00E27788" w:rsidRPr="007B2800">
        <w:rPr>
          <w:rFonts w:ascii="Times New Roman" w:hAnsi="Times New Roman" w:cs="Times New Roman"/>
          <w:lang w:val="en-GB"/>
        </w:rPr>
        <w:t>Wiksell</w:t>
      </w:r>
      <w:proofErr w:type="spellEnd"/>
      <w:r w:rsidR="00E27788" w:rsidRPr="007B2800">
        <w:rPr>
          <w:rFonts w:ascii="Times New Roman" w:hAnsi="Times New Roman" w:cs="Times New Roman"/>
          <w:lang w:val="en-GB"/>
        </w:rPr>
        <w:t xml:space="preserve"> International.</w:t>
      </w:r>
    </w:p>
    <w:p w14:paraId="792831A4" w14:textId="33E0618E" w:rsidR="00E20A09" w:rsidRPr="007B2800" w:rsidRDefault="00E20A09" w:rsidP="00E27788">
      <w:pPr>
        <w:spacing w:line="480" w:lineRule="auto"/>
        <w:ind w:left="993" w:hanging="993"/>
        <w:jc w:val="both"/>
        <w:rPr>
          <w:rFonts w:ascii="Times New Roman" w:hAnsi="Times New Roman" w:cs="Times New Roman"/>
          <w:lang w:val="en-GB"/>
        </w:rPr>
      </w:pPr>
      <w:r w:rsidRPr="007B2800">
        <w:rPr>
          <w:rFonts w:ascii="Times New Roman" w:hAnsi="Times New Roman" w:cs="Times New Roman"/>
          <w:lang w:val="en-GB"/>
        </w:rPr>
        <w:t>Båve, A. (2009</w:t>
      </w:r>
      <w:r w:rsidR="009F374E" w:rsidRPr="007B2800">
        <w:rPr>
          <w:rFonts w:ascii="Times New Roman" w:hAnsi="Times New Roman" w:cs="Times New Roman"/>
          <w:lang w:val="en-GB"/>
        </w:rPr>
        <w:t>a</w:t>
      </w:r>
      <w:r w:rsidRPr="007B2800">
        <w:rPr>
          <w:rFonts w:ascii="Times New Roman" w:hAnsi="Times New Roman" w:cs="Times New Roman"/>
          <w:lang w:val="en-GB"/>
        </w:rPr>
        <w:t>), “Why Is a Truth-Predicate Like A Pronoun?</w:t>
      </w:r>
      <w:proofErr w:type="gramStart"/>
      <w:r w:rsidRPr="007B2800">
        <w:rPr>
          <w:rFonts w:ascii="Times New Roman" w:hAnsi="Times New Roman" w:cs="Times New Roman"/>
          <w:lang w:val="en-GB"/>
        </w:rPr>
        <w:t>”,</w:t>
      </w:r>
      <w:proofErr w:type="gramEnd"/>
      <w:r w:rsidR="0015329A" w:rsidRPr="007B2800">
        <w:rPr>
          <w:rFonts w:ascii="Times New Roman" w:hAnsi="Times New Roman" w:cs="Times New Roman"/>
          <w:lang w:val="en-GB"/>
        </w:rPr>
        <w:t xml:space="preserve"> </w:t>
      </w:r>
      <w:r w:rsidRPr="007B2800">
        <w:rPr>
          <w:rFonts w:ascii="Times New Roman" w:hAnsi="Times New Roman" w:cs="Times New Roman"/>
          <w:i/>
          <w:lang w:val="en-GB"/>
        </w:rPr>
        <w:t xml:space="preserve">Philosophical Studies </w:t>
      </w:r>
      <w:r w:rsidRPr="007B2800">
        <w:rPr>
          <w:rFonts w:ascii="Times New Roman" w:hAnsi="Times New Roman" w:cs="Times New Roman"/>
          <w:lang w:val="en-GB"/>
        </w:rPr>
        <w:t xml:space="preserve">145, pp. </w:t>
      </w:r>
      <w:r w:rsidR="0027603F" w:rsidRPr="007B2800">
        <w:rPr>
          <w:rFonts w:ascii="Times New Roman" w:hAnsi="Times New Roman" w:cs="Times New Roman"/>
          <w:lang w:val="en-GB"/>
        </w:rPr>
        <w:t>297-</w:t>
      </w:r>
      <w:r w:rsidRPr="007B2800">
        <w:rPr>
          <w:rFonts w:ascii="Times New Roman" w:hAnsi="Times New Roman" w:cs="Times New Roman"/>
          <w:lang w:val="en-GB"/>
        </w:rPr>
        <w:t xml:space="preserve">310. </w:t>
      </w:r>
    </w:p>
    <w:p w14:paraId="6993A86F" w14:textId="13D785DC" w:rsidR="009F374E" w:rsidRPr="007B2800" w:rsidRDefault="009F374E" w:rsidP="00AC2E93">
      <w:pPr>
        <w:spacing w:line="480" w:lineRule="auto"/>
        <w:ind w:left="993" w:hanging="993"/>
        <w:jc w:val="both"/>
        <w:rPr>
          <w:rFonts w:ascii="Times New Roman" w:hAnsi="Times New Roman" w:cs="Times New Roman"/>
          <w:lang w:val="en-GB"/>
        </w:rPr>
      </w:pPr>
      <w:proofErr w:type="gramStart"/>
      <w:r w:rsidRPr="007B2800">
        <w:rPr>
          <w:rFonts w:ascii="Times New Roman" w:hAnsi="Times New Roman" w:cs="Times New Roman"/>
          <w:lang w:val="en-GB"/>
        </w:rPr>
        <w:t xml:space="preserve">Båve, A. (2009b), “A Deflationary Theory of Reference”, </w:t>
      </w:r>
      <w:proofErr w:type="spellStart"/>
      <w:r w:rsidRPr="007B2800">
        <w:rPr>
          <w:rFonts w:ascii="Times New Roman" w:hAnsi="Times New Roman" w:cs="Times New Roman"/>
          <w:i/>
          <w:lang w:val="en-GB"/>
        </w:rPr>
        <w:t>Synthese</w:t>
      </w:r>
      <w:proofErr w:type="spellEnd"/>
      <w:r w:rsidRPr="007B2800">
        <w:rPr>
          <w:rFonts w:ascii="Times New Roman" w:hAnsi="Times New Roman" w:cs="Times New Roman"/>
          <w:lang w:val="en-GB"/>
        </w:rPr>
        <w:t xml:space="preserve"> </w:t>
      </w:r>
      <w:r w:rsidR="00F1019B" w:rsidRPr="007B2800">
        <w:rPr>
          <w:rFonts w:ascii="Times New Roman" w:hAnsi="Times New Roman" w:cs="Times New Roman"/>
          <w:lang w:val="en-GB"/>
        </w:rPr>
        <w:t xml:space="preserve">169, pp. </w:t>
      </w:r>
      <w:r w:rsidR="0027603F" w:rsidRPr="007B2800">
        <w:rPr>
          <w:rFonts w:ascii="Times New Roman" w:hAnsi="Times New Roman" w:cs="Times New Roman"/>
          <w:lang w:val="en-GB"/>
        </w:rPr>
        <w:t>51-</w:t>
      </w:r>
      <w:r w:rsidR="00F1019B" w:rsidRPr="007B2800">
        <w:rPr>
          <w:rFonts w:ascii="Times New Roman" w:hAnsi="Times New Roman" w:cs="Times New Roman"/>
          <w:lang w:val="en-GB"/>
        </w:rPr>
        <w:t>73.</w:t>
      </w:r>
      <w:proofErr w:type="gramEnd"/>
    </w:p>
    <w:p w14:paraId="5DF92DDF" w14:textId="2157E47A" w:rsidR="00731AB5" w:rsidRPr="007B2800" w:rsidRDefault="00A87091" w:rsidP="00731AB5">
      <w:pPr>
        <w:spacing w:line="480" w:lineRule="auto"/>
        <w:ind w:left="993" w:hanging="993"/>
        <w:jc w:val="both"/>
        <w:rPr>
          <w:rFonts w:ascii="Times New Roman" w:hAnsi="Times New Roman" w:cs="Times New Roman"/>
          <w:lang w:val="en-GB"/>
        </w:rPr>
      </w:pPr>
      <w:r w:rsidRPr="007B2800">
        <w:rPr>
          <w:rFonts w:ascii="Times New Roman" w:hAnsi="Times New Roman" w:cs="Times New Roman"/>
          <w:lang w:val="en-GB"/>
        </w:rPr>
        <w:t xml:space="preserve">Båve, A. (2010), “Deflationism And The Primary Truth-Bearer”, </w:t>
      </w:r>
      <w:proofErr w:type="spellStart"/>
      <w:r w:rsidRPr="007B2800">
        <w:rPr>
          <w:rFonts w:ascii="Times New Roman" w:hAnsi="Times New Roman" w:cs="Times New Roman"/>
          <w:i/>
          <w:lang w:val="en-GB"/>
        </w:rPr>
        <w:t>S</w:t>
      </w:r>
      <w:r w:rsidRPr="007B2800">
        <w:rPr>
          <w:rFonts w:ascii="Times New Roman" w:hAnsi="Times New Roman" w:cs="Times New Roman"/>
          <w:i/>
          <w:iCs/>
          <w:lang w:val="en-GB"/>
        </w:rPr>
        <w:t>ynthese</w:t>
      </w:r>
      <w:proofErr w:type="spellEnd"/>
      <w:r w:rsidRPr="007B2800">
        <w:rPr>
          <w:rFonts w:ascii="Times New Roman" w:hAnsi="Times New Roman" w:cs="Times New Roman"/>
          <w:i/>
          <w:lang w:val="en-GB"/>
        </w:rPr>
        <w:t> </w:t>
      </w:r>
      <w:r w:rsidR="00867D21">
        <w:rPr>
          <w:rFonts w:ascii="Times New Roman" w:hAnsi="Times New Roman" w:cs="Times New Roman"/>
          <w:lang w:val="en-GB"/>
        </w:rPr>
        <w:t>173, pp. 281-</w:t>
      </w:r>
      <w:r w:rsidRPr="007B2800">
        <w:rPr>
          <w:rFonts w:ascii="Times New Roman" w:hAnsi="Times New Roman" w:cs="Times New Roman"/>
          <w:lang w:val="en-GB"/>
        </w:rPr>
        <w:t>297.</w:t>
      </w:r>
    </w:p>
    <w:p w14:paraId="502AAA57" w14:textId="24C60F92" w:rsidR="00731AB5" w:rsidRPr="007B2800" w:rsidRDefault="00731AB5" w:rsidP="00731AB5">
      <w:pPr>
        <w:spacing w:line="480" w:lineRule="auto"/>
        <w:ind w:left="993" w:hanging="993"/>
        <w:jc w:val="both"/>
        <w:rPr>
          <w:rFonts w:ascii="Times New Roman" w:hAnsi="Times New Roman" w:cs="Times New Roman"/>
          <w:lang w:val="en-GB"/>
        </w:rPr>
      </w:pPr>
      <w:proofErr w:type="gramStart"/>
      <w:r w:rsidRPr="007B2800">
        <w:rPr>
          <w:rFonts w:ascii="Times New Roman" w:hAnsi="Times New Roman" w:cs="Times New Roman"/>
          <w:lang w:val="en-GB"/>
        </w:rPr>
        <w:t xml:space="preserve">Båve, A. (2015), </w:t>
      </w:r>
      <w:r w:rsidR="007B2800">
        <w:rPr>
          <w:rFonts w:ascii="Times New Roman" w:hAnsi="Times New Roman" w:cs="Times New Roman"/>
          <w:lang w:val="en-GB"/>
        </w:rPr>
        <w:t>“</w:t>
      </w:r>
      <w:r w:rsidRPr="007B2800">
        <w:rPr>
          <w:rFonts w:ascii="Times New Roman" w:hAnsi="Times New Roman" w:cs="Times New Roman"/>
          <w:lang w:val="en-GB"/>
        </w:rPr>
        <w:t xml:space="preserve">A Deflationist Error Theory of Properties”, </w:t>
      </w:r>
      <w:proofErr w:type="spellStart"/>
      <w:r w:rsidRPr="007B2800">
        <w:rPr>
          <w:rFonts w:ascii="Times New Roman" w:hAnsi="Times New Roman" w:cs="Times New Roman"/>
          <w:i/>
          <w:iCs/>
          <w:lang w:val="en-GB"/>
        </w:rPr>
        <w:t>Dialectica</w:t>
      </w:r>
      <w:proofErr w:type="spellEnd"/>
      <w:r w:rsidRPr="007B2800">
        <w:rPr>
          <w:rFonts w:ascii="Times New Roman" w:hAnsi="Times New Roman" w:cs="Times New Roman"/>
          <w:lang w:val="en-GB"/>
        </w:rPr>
        <w:t> 69, 23-59.</w:t>
      </w:r>
      <w:proofErr w:type="gramEnd"/>
    </w:p>
    <w:p w14:paraId="15CDCB00" w14:textId="5A85DB08" w:rsidR="00F03FF0" w:rsidRDefault="00F03FF0" w:rsidP="003A3CC4">
      <w:pPr>
        <w:spacing w:line="480" w:lineRule="auto"/>
        <w:ind w:left="993" w:hanging="993"/>
        <w:jc w:val="both"/>
        <w:rPr>
          <w:rFonts w:ascii="Times New Roman" w:hAnsi="Times New Roman" w:cs="Times New Roman"/>
          <w:lang w:val="en-GB"/>
        </w:rPr>
      </w:pPr>
      <w:r w:rsidRPr="007B2800">
        <w:rPr>
          <w:rFonts w:ascii="Times New Roman" w:hAnsi="Times New Roman" w:cs="Times New Roman"/>
          <w:lang w:val="en-GB"/>
        </w:rPr>
        <w:t xml:space="preserve">Brandom, R. (1994), </w:t>
      </w:r>
      <w:r w:rsidRPr="007B2800">
        <w:rPr>
          <w:rFonts w:ascii="Times New Roman" w:hAnsi="Times New Roman" w:cs="Times New Roman"/>
          <w:i/>
          <w:lang w:val="en-GB"/>
        </w:rPr>
        <w:t>Making It Explicit</w:t>
      </w:r>
      <w:r w:rsidRPr="007B2800">
        <w:rPr>
          <w:rFonts w:ascii="Times New Roman" w:hAnsi="Times New Roman" w:cs="Times New Roman"/>
          <w:lang w:val="en-GB"/>
        </w:rPr>
        <w:t xml:space="preserve">, </w:t>
      </w:r>
      <w:r w:rsidR="003A3CC4" w:rsidRPr="007B2800">
        <w:rPr>
          <w:rFonts w:ascii="Times New Roman" w:hAnsi="Times New Roman" w:cs="Times New Roman"/>
          <w:lang w:val="en-GB"/>
        </w:rPr>
        <w:t>Cambridge, MA: Harvard University Press</w:t>
      </w:r>
      <w:proofErr w:type="gramStart"/>
      <w:r w:rsidR="003A3CC4" w:rsidRPr="007B2800">
        <w:rPr>
          <w:rFonts w:ascii="Times New Roman" w:hAnsi="Times New Roman" w:cs="Times New Roman"/>
          <w:lang w:val="en-GB"/>
        </w:rPr>
        <w:t>. </w:t>
      </w:r>
      <w:proofErr w:type="gramEnd"/>
    </w:p>
    <w:p w14:paraId="3B820E82" w14:textId="77777777" w:rsidR="009E25D1" w:rsidRDefault="009E25D1" w:rsidP="009E25D1">
      <w:pPr>
        <w:spacing w:line="480" w:lineRule="auto"/>
        <w:ind w:left="993" w:hanging="993"/>
        <w:jc w:val="both"/>
        <w:rPr>
          <w:rFonts w:ascii="Times New Roman" w:hAnsi="Times New Roman" w:cs="Times New Roman"/>
          <w:lang w:val="en-GB"/>
        </w:rPr>
      </w:pPr>
      <w:r w:rsidRPr="009E25D1">
        <w:rPr>
          <w:rFonts w:ascii="Times New Roman" w:hAnsi="Times New Roman" w:cs="Times New Roman"/>
          <w:lang w:val="en-GB"/>
        </w:rPr>
        <w:t xml:space="preserve">Grover, D., Camp, J. and </w:t>
      </w:r>
      <w:proofErr w:type="spellStart"/>
      <w:r w:rsidRPr="009E25D1">
        <w:rPr>
          <w:rFonts w:ascii="Times New Roman" w:hAnsi="Times New Roman" w:cs="Times New Roman"/>
          <w:lang w:val="en-GB"/>
        </w:rPr>
        <w:t>Belnap</w:t>
      </w:r>
      <w:proofErr w:type="spellEnd"/>
      <w:r w:rsidRPr="009E25D1">
        <w:rPr>
          <w:rFonts w:ascii="Times New Roman" w:hAnsi="Times New Roman" w:cs="Times New Roman"/>
          <w:lang w:val="en-GB"/>
        </w:rPr>
        <w:t xml:space="preserve">, N. (1975), “A Prosentential Theory of Truth”, </w:t>
      </w:r>
      <w:r w:rsidRPr="009E25D1">
        <w:rPr>
          <w:rFonts w:ascii="Times New Roman" w:hAnsi="Times New Roman" w:cs="Times New Roman"/>
          <w:i/>
          <w:lang w:val="en-GB"/>
        </w:rPr>
        <w:t xml:space="preserve">Philosophical Studies </w:t>
      </w:r>
      <w:r w:rsidRPr="009E25D1">
        <w:rPr>
          <w:rFonts w:ascii="Times New Roman" w:hAnsi="Times New Roman" w:cs="Times New Roman"/>
          <w:lang w:val="en-GB"/>
        </w:rPr>
        <w:t>27, pp. 73-125.</w:t>
      </w:r>
    </w:p>
    <w:p w14:paraId="728C24B0" w14:textId="70F61FD7" w:rsidR="009E25D1" w:rsidRPr="007B2800" w:rsidRDefault="00A263E3" w:rsidP="00756BD0">
      <w:pPr>
        <w:spacing w:line="480" w:lineRule="auto"/>
        <w:ind w:left="993" w:hanging="993"/>
        <w:jc w:val="both"/>
        <w:rPr>
          <w:rFonts w:ascii="Times New Roman" w:hAnsi="Times New Roman" w:cs="Times New Roman"/>
          <w:lang w:val="en-GB"/>
        </w:rPr>
      </w:pPr>
      <w:proofErr w:type="spellStart"/>
      <w:r>
        <w:rPr>
          <w:rFonts w:ascii="Times New Roman" w:hAnsi="Times New Roman" w:cs="Times New Roman"/>
          <w:lang w:val="en-GB"/>
        </w:rPr>
        <w:t>Künne</w:t>
      </w:r>
      <w:proofErr w:type="spellEnd"/>
      <w:r>
        <w:rPr>
          <w:rFonts w:ascii="Times New Roman" w:hAnsi="Times New Roman" w:cs="Times New Roman"/>
          <w:lang w:val="en-GB"/>
        </w:rPr>
        <w:t xml:space="preserve">, W. (2003), </w:t>
      </w:r>
      <w:r>
        <w:rPr>
          <w:rFonts w:ascii="Times New Roman" w:hAnsi="Times New Roman" w:cs="Times New Roman"/>
          <w:i/>
          <w:lang w:val="en-GB"/>
        </w:rPr>
        <w:t>Conceptions of Truth</w:t>
      </w:r>
      <w:r>
        <w:rPr>
          <w:rFonts w:ascii="Times New Roman" w:hAnsi="Times New Roman" w:cs="Times New Roman"/>
          <w:lang w:val="en-GB"/>
        </w:rPr>
        <w:t xml:space="preserve">, Oxford, </w:t>
      </w:r>
      <w:proofErr w:type="gramStart"/>
      <w:r w:rsidR="00756BD0">
        <w:rPr>
          <w:rFonts w:ascii="Times New Roman" w:hAnsi="Times New Roman" w:cs="Times New Roman"/>
          <w:lang w:val="en-GB"/>
        </w:rPr>
        <w:t>Clarendon</w:t>
      </w:r>
      <w:proofErr w:type="gramEnd"/>
      <w:r w:rsidR="00756BD0">
        <w:rPr>
          <w:rFonts w:ascii="Times New Roman" w:hAnsi="Times New Roman" w:cs="Times New Roman"/>
          <w:lang w:val="en-GB"/>
        </w:rPr>
        <w:t xml:space="preserve"> Press</w:t>
      </w:r>
      <w:r>
        <w:rPr>
          <w:rFonts w:ascii="Times New Roman" w:hAnsi="Times New Roman" w:cs="Times New Roman"/>
          <w:lang w:val="en-GB"/>
        </w:rPr>
        <w:t>.</w:t>
      </w:r>
    </w:p>
    <w:p w14:paraId="1A97962F" w14:textId="2A1118AB" w:rsidR="00E20A09" w:rsidRPr="00997C6B" w:rsidRDefault="008571EA" w:rsidP="00997C6B">
      <w:pPr>
        <w:spacing w:line="480" w:lineRule="auto"/>
        <w:ind w:left="993" w:hanging="993"/>
        <w:jc w:val="both"/>
        <w:rPr>
          <w:rFonts w:ascii="Times New Roman" w:hAnsi="Times New Roman" w:cs="Times New Roman"/>
          <w:bCs/>
        </w:rPr>
      </w:pPr>
      <w:proofErr w:type="gramStart"/>
      <w:r w:rsidRPr="007B2800">
        <w:rPr>
          <w:rFonts w:ascii="Times New Roman" w:hAnsi="Times New Roman" w:cs="Times New Roman"/>
          <w:lang w:val="en-GB"/>
        </w:rPr>
        <w:t>Salis, P. (</w:t>
      </w:r>
      <w:r w:rsidR="00997C6B">
        <w:rPr>
          <w:rFonts w:ascii="Times New Roman" w:hAnsi="Times New Roman" w:cs="Times New Roman"/>
          <w:lang w:val="en-GB"/>
        </w:rPr>
        <w:t>2019</w:t>
      </w:r>
      <w:r w:rsidRPr="007B2800">
        <w:rPr>
          <w:rFonts w:ascii="Times New Roman" w:hAnsi="Times New Roman" w:cs="Times New Roman"/>
          <w:lang w:val="en-GB"/>
        </w:rPr>
        <w:t>), “</w:t>
      </w:r>
      <w:r w:rsidRPr="007B2800">
        <w:rPr>
          <w:rFonts w:ascii="Times New Roman" w:hAnsi="Times New Roman" w:cs="Times New Roman"/>
          <w:bCs/>
          <w:lang w:val="en-GB"/>
        </w:rPr>
        <w:t>The generality of a</w:t>
      </w:r>
      <w:r w:rsidR="00997C6B">
        <w:rPr>
          <w:rFonts w:ascii="Times New Roman" w:hAnsi="Times New Roman" w:cs="Times New Roman"/>
          <w:bCs/>
          <w:lang w:val="en-GB"/>
        </w:rPr>
        <w:t>naphoric deflationism”,</w:t>
      </w:r>
      <w:r w:rsidRPr="007B2800">
        <w:rPr>
          <w:rFonts w:ascii="Times New Roman" w:hAnsi="Times New Roman" w:cs="Times New Roman"/>
          <w:bCs/>
          <w:lang w:val="en-GB"/>
        </w:rPr>
        <w:t xml:space="preserve"> </w:t>
      </w:r>
      <w:proofErr w:type="spellStart"/>
      <w:r w:rsidRPr="007B2800">
        <w:rPr>
          <w:rFonts w:ascii="Times New Roman" w:hAnsi="Times New Roman" w:cs="Times New Roman"/>
          <w:bCs/>
          <w:i/>
          <w:lang w:val="en-GB"/>
        </w:rPr>
        <w:t>Philosophia</w:t>
      </w:r>
      <w:proofErr w:type="spellEnd"/>
      <w:r w:rsidR="00997C6B">
        <w:rPr>
          <w:rFonts w:ascii="Times New Roman" w:hAnsi="Times New Roman" w:cs="Times New Roman"/>
          <w:bCs/>
          <w:i/>
          <w:lang w:val="en-GB"/>
        </w:rPr>
        <w:t xml:space="preserve"> </w:t>
      </w:r>
      <w:r w:rsidR="00997C6B">
        <w:rPr>
          <w:rFonts w:ascii="Times New Roman" w:hAnsi="Times New Roman" w:cs="Times New Roman"/>
          <w:bCs/>
          <w:lang w:val="en-GB"/>
        </w:rPr>
        <w:t xml:space="preserve">47, pp. </w:t>
      </w:r>
      <w:r w:rsidR="00997C6B" w:rsidRPr="00997C6B">
        <w:rPr>
          <w:rFonts w:ascii="Times New Roman" w:hAnsi="Times New Roman" w:cs="Times New Roman"/>
          <w:bCs/>
        </w:rPr>
        <w:t>505-522</w:t>
      </w:r>
      <w:r w:rsidRPr="007B2800">
        <w:rPr>
          <w:rFonts w:ascii="Times New Roman" w:hAnsi="Times New Roman" w:cs="Times New Roman"/>
          <w:bCs/>
          <w:lang w:val="en-GB"/>
        </w:rPr>
        <w:t>.</w:t>
      </w:r>
      <w:proofErr w:type="gramEnd"/>
      <w:r w:rsidR="00F45235" w:rsidRPr="007B2800">
        <w:rPr>
          <w:rFonts w:ascii="Times New Roman" w:hAnsi="Times New Roman" w:cs="Times New Roman"/>
          <w:bCs/>
          <w:lang w:val="en-GB"/>
        </w:rPr>
        <w:t xml:space="preserve"> </w:t>
      </w:r>
    </w:p>
    <w:sectPr w:rsidR="00E20A09" w:rsidRPr="00997C6B" w:rsidSect="0005254F">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1440" w:right="1800" w:bottom="1440" w:left="1800" w:header="708" w:footer="102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9972B" w14:textId="77777777" w:rsidR="004222D1" w:rsidRDefault="004222D1" w:rsidP="000C4E74">
      <w:r>
        <w:separator/>
      </w:r>
    </w:p>
  </w:endnote>
  <w:endnote w:type="continuationSeparator" w:id="0">
    <w:p w14:paraId="495D39F3" w14:textId="77777777" w:rsidR="004222D1" w:rsidRDefault="004222D1" w:rsidP="000C4E74">
      <w:r>
        <w:continuationSeparator/>
      </w:r>
    </w:p>
  </w:endnote>
  <w:endnote w:id="1">
    <w:p w14:paraId="09BE498D" w14:textId="5663714D" w:rsidR="004222D1" w:rsidRPr="00F86F28" w:rsidRDefault="004222D1" w:rsidP="00F86F28">
      <w:pPr>
        <w:pStyle w:val="EndnoteText"/>
        <w:spacing w:line="480" w:lineRule="auto"/>
        <w:jc w:val="both"/>
        <w:rPr>
          <w:rFonts w:ascii="Times New Roman" w:hAnsi="Times New Roman" w:cs="Times New Roman"/>
          <w:lang w:val="en-GB"/>
        </w:rPr>
      </w:pPr>
      <w:r w:rsidRPr="00F86F28">
        <w:rPr>
          <w:rStyle w:val="EndnoteReference"/>
          <w:rFonts w:ascii="Times New Roman" w:hAnsi="Times New Roman" w:cs="Times New Roman"/>
          <w:lang w:val="en-GB"/>
        </w:rPr>
        <w:endnoteRef/>
      </w:r>
      <w:r w:rsidRPr="00F86F28">
        <w:rPr>
          <w:rFonts w:ascii="Times New Roman" w:hAnsi="Times New Roman" w:cs="Times New Roman"/>
          <w:lang w:val="en-GB"/>
        </w:rPr>
        <w:t xml:space="preserve"> Salis actually takes Brandom to claim that (1) </w:t>
      </w:r>
      <w:proofErr w:type="gramStart"/>
      <w:r w:rsidRPr="00F86F28">
        <w:rPr>
          <w:rFonts w:ascii="Times New Roman" w:hAnsi="Times New Roman" w:cs="Times New Roman"/>
          <w:lang w:val="en-GB"/>
        </w:rPr>
        <w:t>itself</w:t>
      </w:r>
      <w:proofErr w:type="gramEnd"/>
      <w:r w:rsidRPr="00F86F28">
        <w:rPr>
          <w:rFonts w:ascii="Times New Roman" w:hAnsi="Times New Roman" w:cs="Times New Roman"/>
          <w:lang w:val="en-GB"/>
        </w:rPr>
        <w:t xml:space="preserve"> “picks out a se</w:t>
      </w:r>
      <w:r>
        <w:rPr>
          <w:rFonts w:ascii="Times New Roman" w:hAnsi="Times New Roman" w:cs="Times New Roman"/>
          <w:lang w:val="en-GB"/>
        </w:rPr>
        <w:t>ntence tokening” (2019: 508</w:t>
      </w:r>
      <w:r w:rsidRPr="00F86F28">
        <w:rPr>
          <w:rFonts w:ascii="Times New Roman" w:hAnsi="Times New Roman" w:cs="Times New Roman"/>
          <w:lang w:val="en-GB"/>
        </w:rPr>
        <w:t>). But the quote from Brandom above makes clear that it is “Goldbach’s conjecture”, not (1) in its entirety, that picks something out. This is also in line with the commonplace idea that only singular terms refer to things, and sentences never do.</w:t>
      </w:r>
    </w:p>
  </w:endnote>
  <w:endnote w:id="2">
    <w:p w14:paraId="525C674A" w14:textId="5FCA3158" w:rsidR="004222D1" w:rsidRPr="00F86F28" w:rsidRDefault="004222D1" w:rsidP="00F86F28">
      <w:pPr>
        <w:pStyle w:val="EndnoteText"/>
        <w:spacing w:line="480" w:lineRule="auto"/>
        <w:jc w:val="both"/>
        <w:rPr>
          <w:rFonts w:ascii="Times New Roman" w:hAnsi="Times New Roman" w:cs="Times New Roman"/>
          <w:lang w:val="en-GB"/>
        </w:rPr>
      </w:pPr>
      <w:r w:rsidRPr="00F86F28">
        <w:rPr>
          <w:rStyle w:val="EndnoteReference"/>
          <w:rFonts w:ascii="Times New Roman" w:hAnsi="Times New Roman" w:cs="Times New Roman"/>
          <w:lang w:val="en-GB"/>
        </w:rPr>
        <w:endnoteRef/>
      </w:r>
      <w:r w:rsidRPr="00F86F28">
        <w:rPr>
          <w:rFonts w:ascii="Times New Roman" w:hAnsi="Times New Roman" w:cs="Times New Roman"/>
          <w:lang w:val="en-GB"/>
        </w:rPr>
        <w:t xml:space="preserve"> The two obviously do not have the same </w:t>
      </w:r>
      <w:r w:rsidRPr="00F86F28">
        <w:rPr>
          <w:rFonts w:ascii="Times New Roman" w:hAnsi="Times New Roman" w:cs="Times New Roman"/>
          <w:i/>
          <w:lang w:val="en-GB"/>
        </w:rPr>
        <w:t>meaning</w:t>
      </w:r>
      <w:r w:rsidRPr="00F86F28">
        <w:rPr>
          <w:rFonts w:ascii="Times New Roman" w:hAnsi="Times New Roman" w:cs="Times New Roman"/>
          <w:lang w:val="en-GB"/>
        </w:rPr>
        <w:t xml:space="preserve">. Two tokenings can, however, have the same content in a context, which is why it is suitable here to speak of inheritance of </w:t>
      </w:r>
      <w:r w:rsidRPr="00F86F28">
        <w:rPr>
          <w:rFonts w:ascii="Times New Roman" w:hAnsi="Times New Roman" w:cs="Times New Roman"/>
          <w:i/>
          <w:lang w:val="en-GB"/>
        </w:rPr>
        <w:t>content</w:t>
      </w:r>
      <w:r w:rsidRPr="00F86F28">
        <w:rPr>
          <w:rFonts w:ascii="Times New Roman" w:hAnsi="Times New Roman" w:cs="Times New Roman"/>
          <w:lang w:val="en-GB"/>
        </w:rPr>
        <w:t xml:space="preserve">, rather than meaning. </w:t>
      </w:r>
    </w:p>
  </w:endnote>
  <w:endnote w:id="3">
    <w:p w14:paraId="1C2F72FC" w14:textId="5BE27EC7" w:rsidR="004222D1" w:rsidRPr="00F86F28" w:rsidRDefault="004222D1" w:rsidP="00F86F28">
      <w:pPr>
        <w:pStyle w:val="EndnoteText"/>
        <w:spacing w:line="480" w:lineRule="auto"/>
        <w:jc w:val="both"/>
        <w:rPr>
          <w:rFonts w:ascii="Times New Roman" w:hAnsi="Times New Roman" w:cs="Times New Roman"/>
          <w:lang w:val="en-GB"/>
        </w:rPr>
      </w:pPr>
      <w:r w:rsidRPr="00F86F28">
        <w:rPr>
          <w:rStyle w:val="EndnoteReference"/>
          <w:rFonts w:ascii="Times New Roman" w:hAnsi="Times New Roman" w:cs="Times New Roman"/>
          <w:lang w:val="en-GB"/>
        </w:rPr>
        <w:endnoteRef/>
      </w:r>
      <w:r w:rsidRPr="00F86F28">
        <w:rPr>
          <w:rFonts w:ascii="Times New Roman" w:hAnsi="Times New Roman" w:cs="Times New Roman"/>
          <w:lang w:val="en-GB"/>
        </w:rPr>
        <w:t xml:space="preserve"> A reviewer for this journal proposes that this is what Brandom actually means. </w:t>
      </w:r>
      <w:r>
        <w:rPr>
          <w:rFonts w:ascii="Times New Roman" w:hAnsi="Times New Roman" w:cs="Times New Roman"/>
          <w:lang w:val="en-GB"/>
        </w:rPr>
        <w:t>I prefer my above interpretation of Brandom, but this exegetical issue is orthogonal to the main point, which is that Brandom’s theory faces difficulties on both interpretations.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750B9" w14:textId="77777777" w:rsidR="004222D1" w:rsidRDefault="004222D1" w:rsidP="00666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5254F">
      <w:rPr>
        <w:rStyle w:val="PageNumber"/>
      </w:rPr>
      <w:fldChar w:fldCharType="separate"/>
    </w:r>
    <w:r w:rsidR="0005254F">
      <w:rPr>
        <w:rStyle w:val="PageNumber"/>
        <w:noProof/>
      </w:rPr>
      <w:t>2</w:t>
    </w:r>
    <w:r>
      <w:rPr>
        <w:rStyle w:val="PageNumber"/>
      </w:rPr>
      <w:fldChar w:fldCharType="end"/>
    </w:r>
  </w:p>
  <w:p w14:paraId="5D21BE99" w14:textId="77777777" w:rsidR="004222D1" w:rsidRDefault="004222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0B9E7" w14:textId="77777777" w:rsidR="004222D1" w:rsidRPr="000C328F" w:rsidRDefault="004222D1" w:rsidP="00666BBA">
    <w:pPr>
      <w:pStyle w:val="Footer"/>
      <w:framePr w:wrap="around" w:vAnchor="text" w:hAnchor="margin" w:xAlign="center" w:y="1"/>
      <w:rPr>
        <w:rStyle w:val="PageNumber"/>
        <w:rFonts w:ascii="Times New Roman" w:hAnsi="Times New Roman" w:cs="Times New Roman"/>
      </w:rPr>
    </w:pPr>
    <w:r w:rsidRPr="000C328F">
      <w:rPr>
        <w:rStyle w:val="PageNumber"/>
        <w:rFonts w:ascii="Times New Roman" w:hAnsi="Times New Roman" w:cs="Times New Roman"/>
      </w:rPr>
      <w:fldChar w:fldCharType="begin"/>
    </w:r>
    <w:r w:rsidRPr="000C328F">
      <w:rPr>
        <w:rStyle w:val="PageNumber"/>
        <w:rFonts w:ascii="Times New Roman" w:hAnsi="Times New Roman" w:cs="Times New Roman"/>
      </w:rPr>
      <w:instrText xml:space="preserve">PAGE  </w:instrText>
    </w:r>
    <w:r w:rsidRPr="000C328F">
      <w:rPr>
        <w:rStyle w:val="PageNumber"/>
        <w:rFonts w:ascii="Times New Roman" w:hAnsi="Times New Roman" w:cs="Times New Roman"/>
      </w:rPr>
      <w:fldChar w:fldCharType="separate"/>
    </w:r>
    <w:r w:rsidR="0005254F">
      <w:rPr>
        <w:rStyle w:val="PageNumber"/>
        <w:rFonts w:ascii="Times New Roman" w:hAnsi="Times New Roman" w:cs="Times New Roman"/>
        <w:noProof/>
      </w:rPr>
      <w:t>15</w:t>
    </w:r>
    <w:r w:rsidRPr="000C328F">
      <w:rPr>
        <w:rStyle w:val="PageNumber"/>
        <w:rFonts w:ascii="Times New Roman" w:hAnsi="Times New Roman" w:cs="Times New Roman"/>
      </w:rPr>
      <w:fldChar w:fldCharType="end"/>
    </w:r>
  </w:p>
  <w:p w14:paraId="15B76861" w14:textId="77777777" w:rsidR="004222D1" w:rsidRPr="000C328F" w:rsidRDefault="004222D1">
    <w:pPr>
      <w:pStyle w:val="Footer"/>
      <w:rPr>
        <w:rFonts w:ascii="Times New Roman" w:hAnsi="Times New Roman" w:cs="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24EBB" w14:textId="77777777" w:rsidR="0005254F" w:rsidRDefault="000525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07C2C" w14:textId="77777777" w:rsidR="004222D1" w:rsidRDefault="004222D1" w:rsidP="000C4E74">
      <w:r>
        <w:separator/>
      </w:r>
    </w:p>
  </w:footnote>
  <w:footnote w:type="continuationSeparator" w:id="0">
    <w:p w14:paraId="6211FAE0" w14:textId="77777777" w:rsidR="004222D1" w:rsidRDefault="004222D1" w:rsidP="000C4E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5731" w14:textId="6E14EC0A" w:rsidR="0005254F" w:rsidRPr="0005254F" w:rsidRDefault="0005254F" w:rsidP="0005254F">
    <w:pPr>
      <w:pStyle w:val="Header"/>
      <w:jc w:val="center"/>
      <w:rPr>
        <w:rFonts w:ascii="Times New Roman" w:hAnsi="Times New Roman"/>
        <w:i/>
      </w:rPr>
    </w:pPr>
    <w:proofErr w:type="spellStart"/>
    <w:r w:rsidRPr="0005254F">
      <w:rPr>
        <w:rFonts w:ascii="Times New Roman" w:hAnsi="Times New Roman"/>
        <w:i/>
      </w:rPr>
      <w:t>Truth-Predicates</w:t>
    </w:r>
    <w:proofErr w:type="spellEnd"/>
    <w:r w:rsidRPr="0005254F">
      <w:rPr>
        <w:rFonts w:ascii="Times New Roman" w:hAnsi="Times New Roman"/>
        <w:i/>
      </w:rPr>
      <w:t xml:space="preserve"> Still Not Like </w:t>
    </w:r>
    <w:proofErr w:type="spellStart"/>
    <w:r>
      <w:rPr>
        <w:rFonts w:ascii="Times New Roman" w:hAnsi="Times New Roman"/>
        <w:i/>
      </w:rPr>
      <w:t>Pr</w:t>
    </w:r>
    <w:bookmarkStart w:id="0" w:name="_GoBack"/>
    <w:bookmarkEnd w:id="0"/>
    <w:r w:rsidRPr="0005254F">
      <w:rPr>
        <w:rFonts w:ascii="Times New Roman" w:hAnsi="Times New Roman"/>
        <w:i/>
      </w:rPr>
      <w:t>onouns</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275ED" w14:textId="73833146" w:rsidR="0005254F" w:rsidRPr="0005254F" w:rsidRDefault="0005254F" w:rsidP="0005254F">
    <w:pPr>
      <w:pStyle w:val="Header"/>
      <w:jc w:val="center"/>
      <w:rPr>
        <w:rFonts w:ascii="Times New Roman" w:hAnsi="Times New Roman"/>
        <w:i/>
      </w:rPr>
    </w:pPr>
    <w:r w:rsidRPr="0005254F">
      <w:rPr>
        <w:rFonts w:ascii="Times New Roman" w:hAnsi="Times New Roman"/>
        <w:i/>
      </w:rPr>
      <w:t>Arvid Båve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9B66" w14:textId="77777777" w:rsidR="0005254F" w:rsidRPr="0005254F" w:rsidRDefault="0005254F" w:rsidP="0005254F">
    <w:pPr>
      <w:pStyle w:val="Header"/>
      <w:jc w:val="right"/>
      <w:rPr>
        <w:rFonts w:ascii="Times New Roman" w:hAnsi="Times New Roman"/>
        <w:sz w:val="20"/>
      </w:rPr>
    </w:pPr>
    <w:proofErr w:type="spellStart"/>
    <w:r w:rsidRPr="0005254F">
      <w:rPr>
        <w:rFonts w:ascii="Times New Roman" w:hAnsi="Times New Roman"/>
        <w:sz w:val="20"/>
      </w:rPr>
      <w:t>Forthcoming</w:t>
    </w:r>
    <w:proofErr w:type="spellEnd"/>
    <w:r w:rsidRPr="0005254F">
      <w:rPr>
        <w:rFonts w:ascii="Times New Roman" w:hAnsi="Times New Roman"/>
        <w:sz w:val="20"/>
      </w:rPr>
      <w:t xml:space="preserve"> in </w:t>
    </w:r>
    <w:proofErr w:type="spellStart"/>
    <w:r w:rsidRPr="0005254F">
      <w:rPr>
        <w:rFonts w:ascii="Times New Roman" w:hAnsi="Times New Roman"/>
        <w:i/>
        <w:sz w:val="20"/>
      </w:rPr>
      <w:t>Philosophia</w:t>
    </w:r>
    <w:proofErr w:type="spellEnd"/>
    <w:r w:rsidRPr="0005254F">
      <w:rPr>
        <w:rFonts w:ascii="Times New Roman" w:hAnsi="Times New Roman"/>
        <w:sz w:val="20"/>
      </w:rPr>
      <w:t>,</w:t>
    </w:r>
  </w:p>
  <w:p w14:paraId="518A78A3" w14:textId="77777777" w:rsidR="0005254F" w:rsidRPr="0005254F" w:rsidRDefault="0005254F" w:rsidP="0005254F">
    <w:pPr>
      <w:pStyle w:val="Header"/>
      <w:jc w:val="right"/>
      <w:rPr>
        <w:rFonts w:ascii="Times New Roman" w:hAnsi="Times New Roman"/>
        <w:sz w:val="20"/>
      </w:rPr>
    </w:pPr>
    <w:proofErr w:type="spellStart"/>
    <w:r w:rsidRPr="0005254F">
      <w:rPr>
        <w:rFonts w:ascii="Times New Roman" w:hAnsi="Times New Roman"/>
        <w:sz w:val="20"/>
      </w:rPr>
      <w:t>doi</w:t>
    </w:r>
    <w:proofErr w:type="spellEnd"/>
    <w:r w:rsidRPr="0005254F">
      <w:rPr>
        <w:rFonts w:ascii="Times New Roman" w:hAnsi="Times New Roman"/>
        <w:sz w:val="20"/>
      </w:rPr>
      <w:t xml:space="preserve">: </w:t>
    </w:r>
    <w:proofErr w:type="gramStart"/>
    <w:r w:rsidRPr="0005254F">
      <w:rPr>
        <w:rFonts w:ascii="Times New Roman" w:hAnsi="Times New Roman"/>
        <w:sz w:val="20"/>
      </w:rPr>
      <w:t>10.1007</w:t>
    </w:r>
    <w:proofErr w:type="gramEnd"/>
    <w:r w:rsidRPr="0005254F">
      <w:rPr>
        <w:rFonts w:ascii="Times New Roman" w:hAnsi="Times New Roman"/>
        <w:sz w:val="20"/>
      </w:rPr>
      <w:t>/s11406-019-00072-w</w:t>
    </w:r>
  </w:p>
  <w:p w14:paraId="61B12AC0" w14:textId="77777777" w:rsidR="004222D1" w:rsidRDefault="004222D1" w:rsidP="0005254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BC"/>
    <w:rsid w:val="0000456B"/>
    <w:rsid w:val="000045B2"/>
    <w:rsid w:val="00005702"/>
    <w:rsid w:val="00006D1D"/>
    <w:rsid w:val="000072C8"/>
    <w:rsid w:val="0001065D"/>
    <w:rsid w:val="00010AC8"/>
    <w:rsid w:val="00012605"/>
    <w:rsid w:val="00020BA6"/>
    <w:rsid w:val="00023D86"/>
    <w:rsid w:val="00025C2D"/>
    <w:rsid w:val="00025EC4"/>
    <w:rsid w:val="00026B28"/>
    <w:rsid w:val="00027CA8"/>
    <w:rsid w:val="000309E8"/>
    <w:rsid w:val="000316C9"/>
    <w:rsid w:val="0003492F"/>
    <w:rsid w:val="0003780A"/>
    <w:rsid w:val="00037BC3"/>
    <w:rsid w:val="00040F33"/>
    <w:rsid w:val="00042128"/>
    <w:rsid w:val="000442E6"/>
    <w:rsid w:val="00047389"/>
    <w:rsid w:val="0005254F"/>
    <w:rsid w:val="00057106"/>
    <w:rsid w:val="000614CF"/>
    <w:rsid w:val="00066B95"/>
    <w:rsid w:val="00070599"/>
    <w:rsid w:val="00071DA4"/>
    <w:rsid w:val="0007387C"/>
    <w:rsid w:val="00076D09"/>
    <w:rsid w:val="00082892"/>
    <w:rsid w:val="00082AD4"/>
    <w:rsid w:val="0008371F"/>
    <w:rsid w:val="0008669C"/>
    <w:rsid w:val="00090BAD"/>
    <w:rsid w:val="00092023"/>
    <w:rsid w:val="00093554"/>
    <w:rsid w:val="000A0BFC"/>
    <w:rsid w:val="000A3132"/>
    <w:rsid w:val="000A5205"/>
    <w:rsid w:val="000A5C8D"/>
    <w:rsid w:val="000A6F1F"/>
    <w:rsid w:val="000B7162"/>
    <w:rsid w:val="000C23CB"/>
    <w:rsid w:val="000C328F"/>
    <w:rsid w:val="000C42B9"/>
    <w:rsid w:val="000C4E74"/>
    <w:rsid w:val="000C7538"/>
    <w:rsid w:val="000D132F"/>
    <w:rsid w:val="000D6D9F"/>
    <w:rsid w:val="000D7CCE"/>
    <w:rsid w:val="000E376D"/>
    <w:rsid w:val="000E4B49"/>
    <w:rsid w:val="000F03C0"/>
    <w:rsid w:val="000F0515"/>
    <w:rsid w:val="000F4D67"/>
    <w:rsid w:val="000F5640"/>
    <w:rsid w:val="000F6783"/>
    <w:rsid w:val="000F7667"/>
    <w:rsid w:val="001008D4"/>
    <w:rsid w:val="0010135E"/>
    <w:rsid w:val="0010362A"/>
    <w:rsid w:val="00123813"/>
    <w:rsid w:val="00123D8D"/>
    <w:rsid w:val="00123DD4"/>
    <w:rsid w:val="00125859"/>
    <w:rsid w:val="00125AE0"/>
    <w:rsid w:val="001430CB"/>
    <w:rsid w:val="0014794D"/>
    <w:rsid w:val="00150FC2"/>
    <w:rsid w:val="0015132D"/>
    <w:rsid w:val="00152F32"/>
    <w:rsid w:val="0015329A"/>
    <w:rsid w:val="00154AD4"/>
    <w:rsid w:val="0016019C"/>
    <w:rsid w:val="00161893"/>
    <w:rsid w:val="001727B6"/>
    <w:rsid w:val="00172A9E"/>
    <w:rsid w:val="00180015"/>
    <w:rsid w:val="001814BB"/>
    <w:rsid w:val="001A149E"/>
    <w:rsid w:val="001A53F8"/>
    <w:rsid w:val="001A5890"/>
    <w:rsid w:val="001A6D26"/>
    <w:rsid w:val="001C103D"/>
    <w:rsid w:val="001C2339"/>
    <w:rsid w:val="001C60A4"/>
    <w:rsid w:val="001D5BA5"/>
    <w:rsid w:val="001D7BD6"/>
    <w:rsid w:val="001E0EC1"/>
    <w:rsid w:val="001E7460"/>
    <w:rsid w:val="001F756F"/>
    <w:rsid w:val="002002BA"/>
    <w:rsid w:val="00201487"/>
    <w:rsid w:val="00205953"/>
    <w:rsid w:val="0020600C"/>
    <w:rsid w:val="00210D8D"/>
    <w:rsid w:val="002171C9"/>
    <w:rsid w:val="00220E3D"/>
    <w:rsid w:val="00224ADE"/>
    <w:rsid w:val="002335F5"/>
    <w:rsid w:val="00243A07"/>
    <w:rsid w:val="0024493D"/>
    <w:rsid w:val="00251639"/>
    <w:rsid w:val="002611F5"/>
    <w:rsid w:val="00263797"/>
    <w:rsid w:val="002648EE"/>
    <w:rsid w:val="002728AF"/>
    <w:rsid w:val="00274700"/>
    <w:rsid w:val="00275CC1"/>
    <w:rsid w:val="0027603F"/>
    <w:rsid w:val="00280523"/>
    <w:rsid w:val="00280EBC"/>
    <w:rsid w:val="0028519E"/>
    <w:rsid w:val="00286D0A"/>
    <w:rsid w:val="002950E4"/>
    <w:rsid w:val="00295339"/>
    <w:rsid w:val="0029772A"/>
    <w:rsid w:val="002A1D27"/>
    <w:rsid w:val="002A4FA5"/>
    <w:rsid w:val="002A5EB2"/>
    <w:rsid w:val="002A6237"/>
    <w:rsid w:val="002A7AAF"/>
    <w:rsid w:val="002B391E"/>
    <w:rsid w:val="002B3E6B"/>
    <w:rsid w:val="002B585A"/>
    <w:rsid w:val="002B5BBE"/>
    <w:rsid w:val="002C6CB4"/>
    <w:rsid w:val="002C7651"/>
    <w:rsid w:val="002C7FFA"/>
    <w:rsid w:val="002D5F51"/>
    <w:rsid w:val="002E04E3"/>
    <w:rsid w:val="002E6A5F"/>
    <w:rsid w:val="002F0BCD"/>
    <w:rsid w:val="002F29BA"/>
    <w:rsid w:val="002F61B2"/>
    <w:rsid w:val="002F7303"/>
    <w:rsid w:val="00301BD4"/>
    <w:rsid w:val="003027FB"/>
    <w:rsid w:val="00303E76"/>
    <w:rsid w:val="003140A8"/>
    <w:rsid w:val="00321A56"/>
    <w:rsid w:val="0032361D"/>
    <w:rsid w:val="00336941"/>
    <w:rsid w:val="00336DB9"/>
    <w:rsid w:val="00345A54"/>
    <w:rsid w:val="003542A7"/>
    <w:rsid w:val="003550DB"/>
    <w:rsid w:val="00357F9B"/>
    <w:rsid w:val="00361D71"/>
    <w:rsid w:val="003638EB"/>
    <w:rsid w:val="00364A79"/>
    <w:rsid w:val="003669CD"/>
    <w:rsid w:val="00374C72"/>
    <w:rsid w:val="0038054B"/>
    <w:rsid w:val="0038113F"/>
    <w:rsid w:val="00383909"/>
    <w:rsid w:val="0038467C"/>
    <w:rsid w:val="003913C7"/>
    <w:rsid w:val="0039224D"/>
    <w:rsid w:val="003929EE"/>
    <w:rsid w:val="00394BD4"/>
    <w:rsid w:val="0039553F"/>
    <w:rsid w:val="003A3CC4"/>
    <w:rsid w:val="003B16CA"/>
    <w:rsid w:val="003B1B2F"/>
    <w:rsid w:val="003B1D61"/>
    <w:rsid w:val="003B6853"/>
    <w:rsid w:val="003B78BC"/>
    <w:rsid w:val="003C4D33"/>
    <w:rsid w:val="003C59E4"/>
    <w:rsid w:val="003C7A22"/>
    <w:rsid w:val="003D6B42"/>
    <w:rsid w:val="003E1E8D"/>
    <w:rsid w:val="003E34F9"/>
    <w:rsid w:val="003E53D8"/>
    <w:rsid w:val="003E78CE"/>
    <w:rsid w:val="003F197F"/>
    <w:rsid w:val="003F327D"/>
    <w:rsid w:val="003F6C1F"/>
    <w:rsid w:val="00403FFC"/>
    <w:rsid w:val="00411EA3"/>
    <w:rsid w:val="004121E9"/>
    <w:rsid w:val="004123D7"/>
    <w:rsid w:val="00414033"/>
    <w:rsid w:val="00417D8F"/>
    <w:rsid w:val="004217DD"/>
    <w:rsid w:val="004222D1"/>
    <w:rsid w:val="00427E28"/>
    <w:rsid w:val="004370A7"/>
    <w:rsid w:val="00440CBA"/>
    <w:rsid w:val="00444104"/>
    <w:rsid w:val="00460AEA"/>
    <w:rsid w:val="00460FF6"/>
    <w:rsid w:val="00467CFC"/>
    <w:rsid w:val="004728D9"/>
    <w:rsid w:val="00472AD4"/>
    <w:rsid w:val="00477281"/>
    <w:rsid w:val="004859B1"/>
    <w:rsid w:val="00490228"/>
    <w:rsid w:val="00490A64"/>
    <w:rsid w:val="0049135B"/>
    <w:rsid w:val="0049194F"/>
    <w:rsid w:val="00496F0E"/>
    <w:rsid w:val="00497819"/>
    <w:rsid w:val="004A0A71"/>
    <w:rsid w:val="004A1814"/>
    <w:rsid w:val="004A28AE"/>
    <w:rsid w:val="004A33F8"/>
    <w:rsid w:val="004A4856"/>
    <w:rsid w:val="004A571B"/>
    <w:rsid w:val="004A6EBE"/>
    <w:rsid w:val="004A7BEE"/>
    <w:rsid w:val="004B01F1"/>
    <w:rsid w:val="004B1ED0"/>
    <w:rsid w:val="004C1D35"/>
    <w:rsid w:val="004C31C1"/>
    <w:rsid w:val="004C42D1"/>
    <w:rsid w:val="004D1293"/>
    <w:rsid w:val="004D251B"/>
    <w:rsid w:val="004D3274"/>
    <w:rsid w:val="004D3997"/>
    <w:rsid w:val="004D39F9"/>
    <w:rsid w:val="004D629F"/>
    <w:rsid w:val="004E1978"/>
    <w:rsid w:val="004E5989"/>
    <w:rsid w:val="004E5A0F"/>
    <w:rsid w:val="004E656B"/>
    <w:rsid w:val="004F45AE"/>
    <w:rsid w:val="004F490D"/>
    <w:rsid w:val="004F6A92"/>
    <w:rsid w:val="005020F8"/>
    <w:rsid w:val="00502CFC"/>
    <w:rsid w:val="00506691"/>
    <w:rsid w:val="005071CF"/>
    <w:rsid w:val="005076D3"/>
    <w:rsid w:val="00507C10"/>
    <w:rsid w:val="005106E2"/>
    <w:rsid w:val="00510771"/>
    <w:rsid w:val="00512547"/>
    <w:rsid w:val="00517FBA"/>
    <w:rsid w:val="00522761"/>
    <w:rsid w:val="0052483F"/>
    <w:rsid w:val="00525A97"/>
    <w:rsid w:val="0053115E"/>
    <w:rsid w:val="00531373"/>
    <w:rsid w:val="00532A75"/>
    <w:rsid w:val="005332F1"/>
    <w:rsid w:val="0053676E"/>
    <w:rsid w:val="005370F2"/>
    <w:rsid w:val="0053760E"/>
    <w:rsid w:val="00543764"/>
    <w:rsid w:val="00547038"/>
    <w:rsid w:val="00550062"/>
    <w:rsid w:val="005570FF"/>
    <w:rsid w:val="005627CC"/>
    <w:rsid w:val="0056797E"/>
    <w:rsid w:val="0057104D"/>
    <w:rsid w:val="00572F27"/>
    <w:rsid w:val="005740A5"/>
    <w:rsid w:val="00583AC0"/>
    <w:rsid w:val="00583FC5"/>
    <w:rsid w:val="00585199"/>
    <w:rsid w:val="005935AB"/>
    <w:rsid w:val="00595C3A"/>
    <w:rsid w:val="0059627D"/>
    <w:rsid w:val="005A59C7"/>
    <w:rsid w:val="005A7D4B"/>
    <w:rsid w:val="005B0E28"/>
    <w:rsid w:val="005B1162"/>
    <w:rsid w:val="005B1735"/>
    <w:rsid w:val="005B24C1"/>
    <w:rsid w:val="005C00A9"/>
    <w:rsid w:val="005C0D6E"/>
    <w:rsid w:val="005C5076"/>
    <w:rsid w:val="005C785B"/>
    <w:rsid w:val="005D3E63"/>
    <w:rsid w:val="005D588A"/>
    <w:rsid w:val="005D5CC5"/>
    <w:rsid w:val="005E1A19"/>
    <w:rsid w:val="005E40E6"/>
    <w:rsid w:val="005F187B"/>
    <w:rsid w:val="0060192C"/>
    <w:rsid w:val="00602B65"/>
    <w:rsid w:val="00604D47"/>
    <w:rsid w:val="006057F0"/>
    <w:rsid w:val="00612110"/>
    <w:rsid w:val="006226FE"/>
    <w:rsid w:val="0063026A"/>
    <w:rsid w:val="00632F47"/>
    <w:rsid w:val="0063621F"/>
    <w:rsid w:val="00644B80"/>
    <w:rsid w:val="00650DE2"/>
    <w:rsid w:val="00654164"/>
    <w:rsid w:val="006575A7"/>
    <w:rsid w:val="00660DEC"/>
    <w:rsid w:val="006627FD"/>
    <w:rsid w:val="00663545"/>
    <w:rsid w:val="006648DB"/>
    <w:rsid w:val="00664BC0"/>
    <w:rsid w:val="00665594"/>
    <w:rsid w:val="0066634E"/>
    <w:rsid w:val="00666BBA"/>
    <w:rsid w:val="00670028"/>
    <w:rsid w:val="00672D50"/>
    <w:rsid w:val="00672E48"/>
    <w:rsid w:val="00680CDE"/>
    <w:rsid w:val="00681D80"/>
    <w:rsid w:val="006A6571"/>
    <w:rsid w:val="006A6600"/>
    <w:rsid w:val="006B0D29"/>
    <w:rsid w:val="006B1C58"/>
    <w:rsid w:val="006B432E"/>
    <w:rsid w:val="006C02EE"/>
    <w:rsid w:val="006C1B33"/>
    <w:rsid w:val="006C497F"/>
    <w:rsid w:val="006D5C4E"/>
    <w:rsid w:val="006D5FF1"/>
    <w:rsid w:val="006E197E"/>
    <w:rsid w:val="006E664A"/>
    <w:rsid w:val="006E7E91"/>
    <w:rsid w:val="006F11C9"/>
    <w:rsid w:val="006F764F"/>
    <w:rsid w:val="006F7DB4"/>
    <w:rsid w:val="007056E7"/>
    <w:rsid w:val="00705CA5"/>
    <w:rsid w:val="0070756A"/>
    <w:rsid w:val="00710CED"/>
    <w:rsid w:val="007110FA"/>
    <w:rsid w:val="007151F2"/>
    <w:rsid w:val="00717133"/>
    <w:rsid w:val="00721E04"/>
    <w:rsid w:val="00722689"/>
    <w:rsid w:val="0072320D"/>
    <w:rsid w:val="00724FC4"/>
    <w:rsid w:val="00727E6F"/>
    <w:rsid w:val="007306AD"/>
    <w:rsid w:val="00731AB5"/>
    <w:rsid w:val="007360D1"/>
    <w:rsid w:val="00741E94"/>
    <w:rsid w:val="0075320B"/>
    <w:rsid w:val="00756BD0"/>
    <w:rsid w:val="00760D51"/>
    <w:rsid w:val="00761F85"/>
    <w:rsid w:val="00766D89"/>
    <w:rsid w:val="00770FC1"/>
    <w:rsid w:val="00775B99"/>
    <w:rsid w:val="00776154"/>
    <w:rsid w:val="00777385"/>
    <w:rsid w:val="00780B5E"/>
    <w:rsid w:val="00784663"/>
    <w:rsid w:val="00786092"/>
    <w:rsid w:val="007A43DC"/>
    <w:rsid w:val="007A44CE"/>
    <w:rsid w:val="007A59F9"/>
    <w:rsid w:val="007B2800"/>
    <w:rsid w:val="007B345E"/>
    <w:rsid w:val="007B39D8"/>
    <w:rsid w:val="007B7EDF"/>
    <w:rsid w:val="007C131D"/>
    <w:rsid w:val="007C35F0"/>
    <w:rsid w:val="007D4814"/>
    <w:rsid w:val="007E55D0"/>
    <w:rsid w:val="007E6739"/>
    <w:rsid w:val="007F1C7E"/>
    <w:rsid w:val="007F1DAC"/>
    <w:rsid w:val="007F35AF"/>
    <w:rsid w:val="007F4531"/>
    <w:rsid w:val="007F7836"/>
    <w:rsid w:val="008009FC"/>
    <w:rsid w:val="008046D0"/>
    <w:rsid w:val="008061D2"/>
    <w:rsid w:val="0080683B"/>
    <w:rsid w:val="00816E04"/>
    <w:rsid w:val="00816E7D"/>
    <w:rsid w:val="008175F1"/>
    <w:rsid w:val="0082571D"/>
    <w:rsid w:val="00825AA5"/>
    <w:rsid w:val="00826D41"/>
    <w:rsid w:val="00834098"/>
    <w:rsid w:val="00836E9D"/>
    <w:rsid w:val="00840131"/>
    <w:rsid w:val="00841634"/>
    <w:rsid w:val="00852200"/>
    <w:rsid w:val="00852EDF"/>
    <w:rsid w:val="008551C4"/>
    <w:rsid w:val="008564CC"/>
    <w:rsid w:val="008571EA"/>
    <w:rsid w:val="00864183"/>
    <w:rsid w:val="008641D1"/>
    <w:rsid w:val="00865B33"/>
    <w:rsid w:val="00867D21"/>
    <w:rsid w:val="00870C73"/>
    <w:rsid w:val="0087431A"/>
    <w:rsid w:val="0087581E"/>
    <w:rsid w:val="0087675A"/>
    <w:rsid w:val="00876A86"/>
    <w:rsid w:val="00884466"/>
    <w:rsid w:val="00885FC8"/>
    <w:rsid w:val="008870A1"/>
    <w:rsid w:val="00890182"/>
    <w:rsid w:val="00891CE1"/>
    <w:rsid w:val="00892BEA"/>
    <w:rsid w:val="00894E9E"/>
    <w:rsid w:val="008958B1"/>
    <w:rsid w:val="0089710C"/>
    <w:rsid w:val="008A7A6B"/>
    <w:rsid w:val="008B15E1"/>
    <w:rsid w:val="008B1D99"/>
    <w:rsid w:val="008B288E"/>
    <w:rsid w:val="008B4647"/>
    <w:rsid w:val="008C697C"/>
    <w:rsid w:val="008C7B6C"/>
    <w:rsid w:val="008D0793"/>
    <w:rsid w:val="008E2BA7"/>
    <w:rsid w:val="008F7D29"/>
    <w:rsid w:val="00900F0C"/>
    <w:rsid w:val="00902F8B"/>
    <w:rsid w:val="00912FE2"/>
    <w:rsid w:val="0091380D"/>
    <w:rsid w:val="00913C1A"/>
    <w:rsid w:val="00917A83"/>
    <w:rsid w:val="00922EA1"/>
    <w:rsid w:val="00924688"/>
    <w:rsid w:val="00933039"/>
    <w:rsid w:val="00933698"/>
    <w:rsid w:val="00935449"/>
    <w:rsid w:val="0093559B"/>
    <w:rsid w:val="009476A5"/>
    <w:rsid w:val="0095072A"/>
    <w:rsid w:val="0095171F"/>
    <w:rsid w:val="00954606"/>
    <w:rsid w:val="00954F7B"/>
    <w:rsid w:val="00956585"/>
    <w:rsid w:val="00957659"/>
    <w:rsid w:val="00961B00"/>
    <w:rsid w:val="0096307F"/>
    <w:rsid w:val="00971AF3"/>
    <w:rsid w:val="0097327C"/>
    <w:rsid w:val="00980133"/>
    <w:rsid w:val="009822B0"/>
    <w:rsid w:val="00982901"/>
    <w:rsid w:val="00985393"/>
    <w:rsid w:val="009856C5"/>
    <w:rsid w:val="00991671"/>
    <w:rsid w:val="0099376A"/>
    <w:rsid w:val="0099666A"/>
    <w:rsid w:val="00997C6B"/>
    <w:rsid w:val="00997CEA"/>
    <w:rsid w:val="009A340E"/>
    <w:rsid w:val="009A3E89"/>
    <w:rsid w:val="009A588E"/>
    <w:rsid w:val="009A706D"/>
    <w:rsid w:val="009B1337"/>
    <w:rsid w:val="009B6DAB"/>
    <w:rsid w:val="009B7D24"/>
    <w:rsid w:val="009B7F4D"/>
    <w:rsid w:val="009C2740"/>
    <w:rsid w:val="009C3212"/>
    <w:rsid w:val="009D2E4B"/>
    <w:rsid w:val="009E25D1"/>
    <w:rsid w:val="009E34AB"/>
    <w:rsid w:val="009E3CE0"/>
    <w:rsid w:val="009E5740"/>
    <w:rsid w:val="009E6230"/>
    <w:rsid w:val="009E6256"/>
    <w:rsid w:val="009E72C6"/>
    <w:rsid w:val="009F1A6D"/>
    <w:rsid w:val="009F3328"/>
    <w:rsid w:val="009F374E"/>
    <w:rsid w:val="009F5174"/>
    <w:rsid w:val="009F55BE"/>
    <w:rsid w:val="009F56A8"/>
    <w:rsid w:val="009F64B4"/>
    <w:rsid w:val="00A05749"/>
    <w:rsid w:val="00A05EFC"/>
    <w:rsid w:val="00A2303E"/>
    <w:rsid w:val="00A263E3"/>
    <w:rsid w:val="00A323F4"/>
    <w:rsid w:val="00A32E43"/>
    <w:rsid w:val="00A36BCC"/>
    <w:rsid w:val="00A37292"/>
    <w:rsid w:val="00A3735F"/>
    <w:rsid w:val="00A42A6E"/>
    <w:rsid w:val="00A501DE"/>
    <w:rsid w:val="00A532F3"/>
    <w:rsid w:val="00A54469"/>
    <w:rsid w:val="00A55537"/>
    <w:rsid w:val="00A560BD"/>
    <w:rsid w:val="00A61D5F"/>
    <w:rsid w:val="00A74C73"/>
    <w:rsid w:val="00A8327E"/>
    <w:rsid w:val="00A8411D"/>
    <w:rsid w:val="00A87091"/>
    <w:rsid w:val="00A90BAA"/>
    <w:rsid w:val="00AA4205"/>
    <w:rsid w:val="00AB00E3"/>
    <w:rsid w:val="00AB32AB"/>
    <w:rsid w:val="00AB57C9"/>
    <w:rsid w:val="00AB5B0F"/>
    <w:rsid w:val="00AB5F96"/>
    <w:rsid w:val="00AC08C7"/>
    <w:rsid w:val="00AC2E93"/>
    <w:rsid w:val="00AC3354"/>
    <w:rsid w:val="00AC5809"/>
    <w:rsid w:val="00AC5E3E"/>
    <w:rsid w:val="00AC6E4C"/>
    <w:rsid w:val="00AC6F46"/>
    <w:rsid w:val="00AC7F13"/>
    <w:rsid w:val="00AD207D"/>
    <w:rsid w:val="00AD633C"/>
    <w:rsid w:val="00AD6F7E"/>
    <w:rsid w:val="00AD7500"/>
    <w:rsid w:val="00AD7DB9"/>
    <w:rsid w:val="00AE2D47"/>
    <w:rsid w:val="00AE5366"/>
    <w:rsid w:val="00AE7C11"/>
    <w:rsid w:val="00AF718F"/>
    <w:rsid w:val="00B026A1"/>
    <w:rsid w:val="00B136B7"/>
    <w:rsid w:val="00B25A10"/>
    <w:rsid w:val="00B25C45"/>
    <w:rsid w:val="00B30C65"/>
    <w:rsid w:val="00B336F2"/>
    <w:rsid w:val="00B37649"/>
    <w:rsid w:val="00B40FDC"/>
    <w:rsid w:val="00B41E9C"/>
    <w:rsid w:val="00B44230"/>
    <w:rsid w:val="00B45894"/>
    <w:rsid w:val="00B45CA7"/>
    <w:rsid w:val="00B46B43"/>
    <w:rsid w:val="00B46DF2"/>
    <w:rsid w:val="00B54D1C"/>
    <w:rsid w:val="00B61885"/>
    <w:rsid w:val="00B638AE"/>
    <w:rsid w:val="00B7182F"/>
    <w:rsid w:val="00B73DF7"/>
    <w:rsid w:val="00B73F11"/>
    <w:rsid w:val="00B82796"/>
    <w:rsid w:val="00B854FE"/>
    <w:rsid w:val="00B8684C"/>
    <w:rsid w:val="00B9412D"/>
    <w:rsid w:val="00B96EA8"/>
    <w:rsid w:val="00BA6A05"/>
    <w:rsid w:val="00BB522B"/>
    <w:rsid w:val="00BB7D4B"/>
    <w:rsid w:val="00BD1656"/>
    <w:rsid w:val="00BD1970"/>
    <w:rsid w:val="00BD1A26"/>
    <w:rsid w:val="00BD2AD8"/>
    <w:rsid w:val="00BD5AE8"/>
    <w:rsid w:val="00BE1A78"/>
    <w:rsid w:val="00BE6E23"/>
    <w:rsid w:val="00BF0732"/>
    <w:rsid w:val="00BF50C4"/>
    <w:rsid w:val="00C01226"/>
    <w:rsid w:val="00C045D4"/>
    <w:rsid w:val="00C07965"/>
    <w:rsid w:val="00C10DB8"/>
    <w:rsid w:val="00C10F67"/>
    <w:rsid w:val="00C11341"/>
    <w:rsid w:val="00C12BA8"/>
    <w:rsid w:val="00C135A0"/>
    <w:rsid w:val="00C13A34"/>
    <w:rsid w:val="00C1649E"/>
    <w:rsid w:val="00C1655A"/>
    <w:rsid w:val="00C23B0D"/>
    <w:rsid w:val="00C266E1"/>
    <w:rsid w:val="00C271EB"/>
    <w:rsid w:val="00C3141D"/>
    <w:rsid w:val="00C4143A"/>
    <w:rsid w:val="00C42C40"/>
    <w:rsid w:val="00C4329A"/>
    <w:rsid w:val="00C47501"/>
    <w:rsid w:val="00C47A00"/>
    <w:rsid w:val="00C52474"/>
    <w:rsid w:val="00C52C99"/>
    <w:rsid w:val="00C61F1E"/>
    <w:rsid w:val="00C62BD9"/>
    <w:rsid w:val="00C63C88"/>
    <w:rsid w:val="00C6765D"/>
    <w:rsid w:val="00C67941"/>
    <w:rsid w:val="00C700D9"/>
    <w:rsid w:val="00C727F0"/>
    <w:rsid w:val="00C731B2"/>
    <w:rsid w:val="00C7431A"/>
    <w:rsid w:val="00C75ECA"/>
    <w:rsid w:val="00C8118B"/>
    <w:rsid w:val="00C81298"/>
    <w:rsid w:val="00C81351"/>
    <w:rsid w:val="00C82266"/>
    <w:rsid w:val="00C84E6A"/>
    <w:rsid w:val="00C85D75"/>
    <w:rsid w:val="00C9068A"/>
    <w:rsid w:val="00C92553"/>
    <w:rsid w:val="00C9730A"/>
    <w:rsid w:val="00C97F13"/>
    <w:rsid w:val="00CA384D"/>
    <w:rsid w:val="00CA403D"/>
    <w:rsid w:val="00CB314E"/>
    <w:rsid w:val="00CB33CB"/>
    <w:rsid w:val="00CC041A"/>
    <w:rsid w:val="00CC1DCF"/>
    <w:rsid w:val="00CC6160"/>
    <w:rsid w:val="00CD0A32"/>
    <w:rsid w:val="00CD16BE"/>
    <w:rsid w:val="00CE0B44"/>
    <w:rsid w:val="00CE1877"/>
    <w:rsid w:val="00CE265C"/>
    <w:rsid w:val="00CF45DD"/>
    <w:rsid w:val="00CF548A"/>
    <w:rsid w:val="00CF7579"/>
    <w:rsid w:val="00D01163"/>
    <w:rsid w:val="00D02186"/>
    <w:rsid w:val="00D03689"/>
    <w:rsid w:val="00D06498"/>
    <w:rsid w:val="00D1215C"/>
    <w:rsid w:val="00D16EE9"/>
    <w:rsid w:val="00D21CC7"/>
    <w:rsid w:val="00D30DB7"/>
    <w:rsid w:val="00D35F25"/>
    <w:rsid w:val="00D36F45"/>
    <w:rsid w:val="00D42582"/>
    <w:rsid w:val="00D442F8"/>
    <w:rsid w:val="00D46F6C"/>
    <w:rsid w:val="00D520CD"/>
    <w:rsid w:val="00D54574"/>
    <w:rsid w:val="00D54BE2"/>
    <w:rsid w:val="00D557D9"/>
    <w:rsid w:val="00D62C23"/>
    <w:rsid w:val="00D65801"/>
    <w:rsid w:val="00D6751F"/>
    <w:rsid w:val="00D72921"/>
    <w:rsid w:val="00D72F38"/>
    <w:rsid w:val="00D7538A"/>
    <w:rsid w:val="00D76E07"/>
    <w:rsid w:val="00D77A7D"/>
    <w:rsid w:val="00D871D5"/>
    <w:rsid w:val="00D9586E"/>
    <w:rsid w:val="00D96024"/>
    <w:rsid w:val="00DA3E3F"/>
    <w:rsid w:val="00DA69D7"/>
    <w:rsid w:val="00DA7F12"/>
    <w:rsid w:val="00DB6895"/>
    <w:rsid w:val="00DC1713"/>
    <w:rsid w:val="00DC3423"/>
    <w:rsid w:val="00DC76AA"/>
    <w:rsid w:val="00DD19E1"/>
    <w:rsid w:val="00DD1B4D"/>
    <w:rsid w:val="00DD3F30"/>
    <w:rsid w:val="00DD57A6"/>
    <w:rsid w:val="00DD76C3"/>
    <w:rsid w:val="00DE1023"/>
    <w:rsid w:val="00DE483A"/>
    <w:rsid w:val="00DE67D6"/>
    <w:rsid w:val="00DE7965"/>
    <w:rsid w:val="00DF0461"/>
    <w:rsid w:val="00DF429D"/>
    <w:rsid w:val="00DF7E3B"/>
    <w:rsid w:val="00E0034B"/>
    <w:rsid w:val="00E016D0"/>
    <w:rsid w:val="00E04632"/>
    <w:rsid w:val="00E048DB"/>
    <w:rsid w:val="00E0574A"/>
    <w:rsid w:val="00E1424C"/>
    <w:rsid w:val="00E16869"/>
    <w:rsid w:val="00E169FE"/>
    <w:rsid w:val="00E177E9"/>
    <w:rsid w:val="00E20A09"/>
    <w:rsid w:val="00E24DF0"/>
    <w:rsid w:val="00E27788"/>
    <w:rsid w:val="00E30999"/>
    <w:rsid w:val="00E3148B"/>
    <w:rsid w:val="00E32C7F"/>
    <w:rsid w:val="00E3638F"/>
    <w:rsid w:val="00E4383C"/>
    <w:rsid w:val="00E518E7"/>
    <w:rsid w:val="00E53F8F"/>
    <w:rsid w:val="00E60515"/>
    <w:rsid w:val="00E625C2"/>
    <w:rsid w:val="00E62C92"/>
    <w:rsid w:val="00E67C7E"/>
    <w:rsid w:val="00E70C11"/>
    <w:rsid w:val="00E716D9"/>
    <w:rsid w:val="00E7297B"/>
    <w:rsid w:val="00E76490"/>
    <w:rsid w:val="00E7770A"/>
    <w:rsid w:val="00E8148A"/>
    <w:rsid w:val="00E820CA"/>
    <w:rsid w:val="00E83590"/>
    <w:rsid w:val="00E86402"/>
    <w:rsid w:val="00E91901"/>
    <w:rsid w:val="00E93377"/>
    <w:rsid w:val="00E9453D"/>
    <w:rsid w:val="00E94CAF"/>
    <w:rsid w:val="00E96C62"/>
    <w:rsid w:val="00EA0988"/>
    <w:rsid w:val="00EA55C4"/>
    <w:rsid w:val="00EA5E83"/>
    <w:rsid w:val="00EA73B5"/>
    <w:rsid w:val="00EB3B71"/>
    <w:rsid w:val="00EC049D"/>
    <w:rsid w:val="00EC78F4"/>
    <w:rsid w:val="00ED308D"/>
    <w:rsid w:val="00ED61F3"/>
    <w:rsid w:val="00EE03C0"/>
    <w:rsid w:val="00EF6C46"/>
    <w:rsid w:val="00F03FF0"/>
    <w:rsid w:val="00F1019B"/>
    <w:rsid w:val="00F13A3C"/>
    <w:rsid w:val="00F13D07"/>
    <w:rsid w:val="00F17BD0"/>
    <w:rsid w:val="00F23F69"/>
    <w:rsid w:val="00F244CA"/>
    <w:rsid w:val="00F25B8B"/>
    <w:rsid w:val="00F271DE"/>
    <w:rsid w:val="00F2769A"/>
    <w:rsid w:val="00F3088E"/>
    <w:rsid w:val="00F3169B"/>
    <w:rsid w:val="00F3476A"/>
    <w:rsid w:val="00F35997"/>
    <w:rsid w:val="00F37CE4"/>
    <w:rsid w:val="00F403A0"/>
    <w:rsid w:val="00F42C74"/>
    <w:rsid w:val="00F44C46"/>
    <w:rsid w:val="00F45235"/>
    <w:rsid w:val="00F46A6B"/>
    <w:rsid w:val="00F5083E"/>
    <w:rsid w:val="00F5403E"/>
    <w:rsid w:val="00F61C55"/>
    <w:rsid w:val="00F655FB"/>
    <w:rsid w:val="00F66160"/>
    <w:rsid w:val="00F669D1"/>
    <w:rsid w:val="00F67DF7"/>
    <w:rsid w:val="00F67FFD"/>
    <w:rsid w:val="00F74DAF"/>
    <w:rsid w:val="00F7678B"/>
    <w:rsid w:val="00F8281B"/>
    <w:rsid w:val="00F82949"/>
    <w:rsid w:val="00F86F28"/>
    <w:rsid w:val="00F93A0D"/>
    <w:rsid w:val="00F974E2"/>
    <w:rsid w:val="00FA16CD"/>
    <w:rsid w:val="00FA19C2"/>
    <w:rsid w:val="00FA3958"/>
    <w:rsid w:val="00FA77C6"/>
    <w:rsid w:val="00FA7E0B"/>
    <w:rsid w:val="00FB1F31"/>
    <w:rsid w:val="00FB38ED"/>
    <w:rsid w:val="00FB6798"/>
    <w:rsid w:val="00FC2D09"/>
    <w:rsid w:val="00FC3C10"/>
    <w:rsid w:val="00FC525A"/>
    <w:rsid w:val="00FC5AC7"/>
    <w:rsid w:val="00FD0E70"/>
    <w:rsid w:val="00FD1804"/>
    <w:rsid w:val="00FD576E"/>
    <w:rsid w:val="00FD77FC"/>
    <w:rsid w:val="00FE4595"/>
    <w:rsid w:val="00FE7CD5"/>
    <w:rsid w:val="00FF330F"/>
    <w:rsid w:val="00FF3E80"/>
    <w:rsid w:val="00FF43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4AAD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C4E74"/>
  </w:style>
  <w:style w:type="character" w:customStyle="1" w:styleId="EndnoteTextChar">
    <w:name w:val="Endnote Text Char"/>
    <w:basedOn w:val="DefaultParagraphFont"/>
    <w:link w:val="EndnoteText"/>
    <w:uiPriority w:val="99"/>
    <w:rsid w:val="000C4E74"/>
  </w:style>
  <w:style w:type="character" w:styleId="EndnoteReference">
    <w:name w:val="endnote reference"/>
    <w:basedOn w:val="DefaultParagraphFont"/>
    <w:uiPriority w:val="99"/>
    <w:unhideWhenUsed/>
    <w:rsid w:val="000C4E74"/>
    <w:rPr>
      <w:vertAlign w:val="superscript"/>
    </w:rPr>
  </w:style>
  <w:style w:type="paragraph" w:styleId="Header">
    <w:name w:val="header"/>
    <w:basedOn w:val="Normal"/>
    <w:link w:val="HeaderChar"/>
    <w:uiPriority w:val="99"/>
    <w:unhideWhenUsed/>
    <w:rsid w:val="000C328F"/>
    <w:pPr>
      <w:tabs>
        <w:tab w:val="center" w:pos="4153"/>
        <w:tab w:val="right" w:pos="8306"/>
      </w:tabs>
    </w:pPr>
  </w:style>
  <w:style w:type="character" w:customStyle="1" w:styleId="HeaderChar">
    <w:name w:val="Header Char"/>
    <w:basedOn w:val="DefaultParagraphFont"/>
    <w:link w:val="Header"/>
    <w:uiPriority w:val="99"/>
    <w:rsid w:val="000C328F"/>
  </w:style>
  <w:style w:type="paragraph" w:styleId="Footer">
    <w:name w:val="footer"/>
    <w:basedOn w:val="Normal"/>
    <w:link w:val="FooterChar"/>
    <w:uiPriority w:val="99"/>
    <w:unhideWhenUsed/>
    <w:rsid w:val="000C328F"/>
    <w:pPr>
      <w:tabs>
        <w:tab w:val="center" w:pos="4153"/>
        <w:tab w:val="right" w:pos="8306"/>
      </w:tabs>
    </w:pPr>
  </w:style>
  <w:style w:type="character" w:customStyle="1" w:styleId="FooterChar">
    <w:name w:val="Footer Char"/>
    <w:basedOn w:val="DefaultParagraphFont"/>
    <w:link w:val="Footer"/>
    <w:uiPriority w:val="99"/>
    <w:rsid w:val="000C328F"/>
  </w:style>
  <w:style w:type="character" w:styleId="PageNumber">
    <w:name w:val="page number"/>
    <w:basedOn w:val="DefaultParagraphFont"/>
    <w:uiPriority w:val="99"/>
    <w:semiHidden/>
    <w:unhideWhenUsed/>
    <w:rsid w:val="000C328F"/>
  </w:style>
  <w:style w:type="character" w:styleId="Emphasis">
    <w:name w:val="Emphasis"/>
    <w:basedOn w:val="DefaultParagraphFont"/>
    <w:uiPriority w:val="20"/>
    <w:qFormat/>
    <w:rsid w:val="004A33F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C4E74"/>
  </w:style>
  <w:style w:type="character" w:customStyle="1" w:styleId="EndnoteTextChar">
    <w:name w:val="Endnote Text Char"/>
    <w:basedOn w:val="DefaultParagraphFont"/>
    <w:link w:val="EndnoteText"/>
    <w:uiPriority w:val="99"/>
    <w:rsid w:val="000C4E74"/>
  </w:style>
  <w:style w:type="character" w:styleId="EndnoteReference">
    <w:name w:val="endnote reference"/>
    <w:basedOn w:val="DefaultParagraphFont"/>
    <w:uiPriority w:val="99"/>
    <w:unhideWhenUsed/>
    <w:rsid w:val="000C4E74"/>
    <w:rPr>
      <w:vertAlign w:val="superscript"/>
    </w:rPr>
  </w:style>
  <w:style w:type="paragraph" w:styleId="Header">
    <w:name w:val="header"/>
    <w:basedOn w:val="Normal"/>
    <w:link w:val="HeaderChar"/>
    <w:uiPriority w:val="99"/>
    <w:unhideWhenUsed/>
    <w:rsid w:val="000C328F"/>
    <w:pPr>
      <w:tabs>
        <w:tab w:val="center" w:pos="4153"/>
        <w:tab w:val="right" w:pos="8306"/>
      </w:tabs>
    </w:pPr>
  </w:style>
  <w:style w:type="character" w:customStyle="1" w:styleId="HeaderChar">
    <w:name w:val="Header Char"/>
    <w:basedOn w:val="DefaultParagraphFont"/>
    <w:link w:val="Header"/>
    <w:uiPriority w:val="99"/>
    <w:rsid w:val="000C328F"/>
  </w:style>
  <w:style w:type="paragraph" w:styleId="Footer">
    <w:name w:val="footer"/>
    <w:basedOn w:val="Normal"/>
    <w:link w:val="FooterChar"/>
    <w:uiPriority w:val="99"/>
    <w:unhideWhenUsed/>
    <w:rsid w:val="000C328F"/>
    <w:pPr>
      <w:tabs>
        <w:tab w:val="center" w:pos="4153"/>
        <w:tab w:val="right" w:pos="8306"/>
      </w:tabs>
    </w:pPr>
  </w:style>
  <w:style w:type="character" w:customStyle="1" w:styleId="FooterChar">
    <w:name w:val="Footer Char"/>
    <w:basedOn w:val="DefaultParagraphFont"/>
    <w:link w:val="Footer"/>
    <w:uiPriority w:val="99"/>
    <w:rsid w:val="000C328F"/>
  </w:style>
  <w:style w:type="character" w:styleId="PageNumber">
    <w:name w:val="page number"/>
    <w:basedOn w:val="DefaultParagraphFont"/>
    <w:uiPriority w:val="99"/>
    <w:semiHidden/>
    <w:unhideWhenUsed/>
    <w:rsid w:val="000C328F"/>
  </w:style>
  <w:style w:type="character" w:styleId="Emphasis">
    <w:name w:val="Emphasis"/>
    <w:basedOn w:val="DefaultParagraphFont"/>
    <w:uiPriority w:val="20"/>
    <w:qFormat/>
    <w:rsid w:val="004A3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9190">
      <w:bodyDiv w:val="1"/>
      <w:marLeft w:val="0"/>
      <w:marRight w:val="0"/>
      <w:marTop w:val="0"/>
      <w:marBottom w:val="0"/>
      <w:divBdr>
        <w:top w:val="none" w:sz="0" w:space="0" w:color="auto"/>
        <w:left w:val="none" w:sz="0" w:space="0" w:color="auto"/>
        <w:bottom w:val="none" w:sz="0" w:space="0" w:color="auto"/>
        <w:right w:val="none" w:sz="0" w:space="0" w:color="auto"/>
      </w:divBdr>
    </w:div>
    <w:div w:id="328679818">
      <w:bodyDiv w:val="1"/>
      <w:marLeft w:val="0"/>
      <w:marRight w:val="0"/>
      <w:marTop w:val="0"/>
      <w:marBottom w:val="0"/>
      <w:divBdr>
        <w:top w:val="none" w:sz="0" w:space="0" w:color="auto"/>
        <w:left w:val="none" w:sz="0" w:space="0" w:color="auto"/>
        <w:bottom w:val="none" w:sz="0" w:space="0" w:color="auto"/>
        <w:right w:val="none" w:sz="0" w:space="0" w:color="auto"/>
      </w:divBdr>
    </w:div>
    <w:div w:id="468282820">
      <w:bodyDiv w:val="1"/>
      <w:marLeft w:val="0"/>
      <w:marRight w:val="0"/>
      <w:marTop w:val="0"/>
      <w:marBottom w:val="0"/>
      <w:divBdr>
        <w:top w:val="none" w:sz="0" w:space="0" w:color="auto"/>
        <w:left w:val="none" w:sz="0" w:space="0" w:color="auto"/>
        <w:bottom w:val="none" w:sz="0" w:space="0" w:color="auto"/>
        <w:right w:val="none" w:sz="0" w:space="0" w:color="auto"/>
      </w:divBdr>
    </w:div>
    <w:div w:id="626158915">
      <w:bodyDiv w:val="1"/>
      <w:marLeft w:val="0"/>
      <w:marRight w:val="0"/>
      <w:marTop w:val="0"/>
      <w:marBottom w:val="0"/>
      <w:divBdr>
        <w:top w:val="none" w:sz="0" w:space="0" w:color="auto"/>
        <w:left w:val="none" w:sz="0" w:space="0" w:color="auto"/>
        <w:bottom w:val="none" w:sz="0" w:space="0" w:color="auto"/>
        <w:right w:val="none" w:sz="0" w:space="0" w:color="auto"/>
      </w:divBdr>
      <w:divsChild>
        <w:div w:id="768353303">
          <w:marLeft w:val="0"/>
          <w:marRight w:val="0"/>
          <w:marTop w:val="0"/>
          <w:marBottom w:val="0"/>
          <w:divBdr>
            <w:top w:val="none" w:sz="0" w:space="0" w:color="auto"/>
            <w:left w:val="none" w:sz="0" w:space="0" w:color="auto"/>
            <w:bottom w:val="none" w:sz="0" w:space="0" w:color="auto"/>
            <w:right w:val="none" w:sz="0" w:space="0" w:color="auto"/>
          </w:divBdr>
        </w:div>
      </w:divsChild>
    </w:div>
    <w:div w:id="689455459">
      <w:bodyDiv w:val="1"/>
      <w:marLeft w:val="0"/>
      <w:marRight w:val="0"/>
      <w:marTop w:val="0"/>
      <w:marBottom w:val="0"/>
      <w:divBdr>
        <w:top w:val="none" w:sz="0" w:space="0" w:color="auto"/>
        <w:left w:val="none" w:sz="0" w:space="0" w:color="auto"/>
        <w:bottom w:val="none" w:sz="0" w:space="0" w:color="auto"/>
        <w:right w:val="none" w:sz="0" w:space="0" w:color="auto"/>
      </w:divBdr>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1661343943">
      <w:bodyDiv w:val="1"/>
      <w:marLeft w:val="0"/>
      <w:marRight w:val="0"/>
      <w:marTop w:val="0"/>
      <w:marBottom w:val="0"/>
      <w:divBdr>
        <w:top w:val="none" w:sz="0" w:space="0" w:color="auto"/>
        <w:left w:val="none" w:sz="0" w:space="0" w:color="auto"/>
        <w:bottom w:val="none" w:sz="0" w:space="0" w:color="auto"/>
        <w:right w:val="none" w:sz="0" w:space="0" w:color="auto"/>
      </w:divBdr>
    </w:div>
    <w:div w:id="1878204393">
      <w:bodyDiv w:val="1"/>
      <w:marLeft w:val="0"/>
      <w:marRight w:val="0"/>
      <w:marTop w:val="0"/>
      <w:marBottom w:val="0"/>
      <w:divBdr>
        <w:top w:val="none" w:sz="0" w:space="0" w:color="auto"/>
        <w:left w:val="none" w:sz="0" w:space="0" w:color="auto"/>
        <w:bottom w:val="none" w:sz="0" w:space="0" w:color="auto"/>
        <w:right w:val="none" w:sz="0" w:space="0" w:color="auto"/>
      </w:divBdr>
    </w:div>
    <w:div w:id="1995598072">
      <w:bodyDiv w:val="1"/>
      <w:marLeft w:val="0"/>
      <w:marRight w:val="0"/>
      <w:marTop w:val="0"/>
      <w:marBottom w:val="0"/>
      <w:divBdr>
        <w:top w:val="none" w:sz="0" w:space="0" w:color="auto"/>
        <w:left w:val="none" w:sz="0" w:space="0" w:color="auto"/>
        <w:bottom w:val="none" w:sz="0" w:space="0" w:color="auto"/>
        <w:right w:val="none" w:sz="0" w:space="0" w:color="auto"/>
      </w:divBdr>
    </w:div>
    <w:div w:id="2111585634">
      <w:bodyDiv w:val="1"/>
      <w:marLeft w:val="0"/>
      <w:marRight w:val="0"/>
      <w:marTop w:val="0"/>
      <w:marBottom w:val="0"/>
      <w:divBdr>
        <w:top w:val="none" w:sz="0" w:space="0" w:color="auto"/>
        <w:left w:val="none" w:sz="0" w:space="0" w:color="auto"/>
        <w:bottom w:val="none" w:sz="0" w:space="0" w:color="auto"/>
        <w:right w:val="none" w:sz="0" w:space="0" w:color="auto"/>
      </w:divBdr>
    </w:div>
    <w:div w:id="2130930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4030</Words>
  <Characters>22976</Characters>
  <Application>Microsoft Macintosh Word</Application>
  <DocSecurity>0</DocSecurity>
  <Lines>191</Lines>
  <Paragraphs>53</Paragraphs>
  <ScaleCrop>false</ScaleCrop>
  <Company/>
  <LinksUpToDate>false</LinksUpToDate>
  <CharactersWithSpaces>26953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Båve</dc:creator>
  <cp:keywords/>
  <dc:description/>
  <cp:lastModifiedBy>Arvid Båve</cp:lastModifiedBy>
  <cp:revision>2</cp:revision>
  <cp:lastPrinted>2018-10-13T14:52:00Z</cp:lastPrinted>
  <dcterms:created xsi:type="dcterms:W3CDTF">2019-04-02T16:46:00Z</dcterms:created>
  <dcterms:modified xsi:type="dcterms:W3CDTF">2019-04-02T16:46:00Z</dcterms:modified>
</cp:coreProperties>
</file>