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51DED" w14:textId="77777777" w:rsidR="00467C59" w:rsidRDefault="00467C59" w:rsidP="00467C59">
      <w:pPr>
        <w:jc w:val="center"/>
        <w:rPr>
          <w:rFonts w:ascii="Arial" w:hAnsi="Arial" w:cs="Arial"/>
          <w:b/>
          <w:sz w:val="36"/>
          <w:lang w:val="en-GB"/>
        </w:rPr>
      </w:pPr>
    </w:p>
    <w:p w14:paraId="77F3C7E8" w14:textId="0AE5F255" w:rsidR="00467C59" w:rsidRPr="00D932D1" w:rsidRDefault="001B7A03" w:rsidP="00467C59">
      <w:pPr>
        <w:jc w:val="center"/>
        <w:rPr>
          <w:rFonts w:ascii="Arial" w:hAnsi="Arial" w:cs="Arial"/>
          <w:b/>
          <w:sz w:val="28"/>
          <w:szCs w:val="28"/>
          <w:lang w:val="en-GB"/>
        </w:rPr>
      </w:pPr>
      <w:r>
        <w:rPr>
          <w:rFonts w:ascii="Arial" w:hAnsi="Arial" w:cs="Arial"/>
          <w:b/>
          <w:sz w:val="28"/>
          <w:szCs w:val="28"/>
          <w:lang w:val="en-GB"/>
        </w:rPr>
        <w:t>The Normativity of</w:t>
      </w:r>
      <w:r w:rsidR="00661EA0">
        <w:rPr>
          <w:rFonts w:ascii="Arial" w:hAnsi="Arial" w:cs="Arial"/>
          <w:b/>
          <w:sz w:val="28"/>
          <w:szCs w:val="28"/>
          <w:lang w:val="en-GB"/>
        </w:rPr>
        <w:t xml:space="preserve"> Resilience</w:t>
      </w:r>
    </w:p>
    <w:p w14:paraId="5E490418" w14:textId="77777777" w:rsidR="00467C59" w:rsidRPr="00FD7A17" w:rsidRDefault="00467C59" w:rsidP="00467C59">
      <w:pPr>
        <w:jc w:val="center"/>
        <w:rPr>
          <w:rFonts w:ascii="Arial" w:hAnsi="Arial" w:cs="Arial"/>
          <w:sz w:val="36"/>
          <w:lang w:val="en-GB"/>
        </w:rPr>
      </w:pPr>
    </w:p>
    <w:p w14:paraId="322EED74" w14:textId="217A228C" w:rsidR="00467C59" w:rsidRPr="001B7A03" w:rsidRDefault="001B7A03" w:rsidP="00467C59">
      <w:pPr>
        <w:jc w:val="center"/>
        <w:rPr>
          <w:rFonts w:ascii="Arial" w:hAnsi="Arial" w:cs="Arial"/>
          <w:b/>
          <w:sz w:val="20"/>
          <w:u w:val="single"/>
          <w:lang w:val="en-GB"/>
        </w:rPr>
      </w:pPr>
      <w:r w:rsidRPr="001B7A03">
        <w:rPr>
          <w:rFonts w:ascii="Arial" w:hAnsi="Arial" w:cs="Arial"/>
          <w:b/>
          <w:sz w:val="20"/>
          <w:u w:val="single"/>
          <w:lang w:val="en-GB"/>
        </w:rPr>
        <w:t>Jose Carlos Cañizares Gaztelu</w:t>
      </w:r>
    </w:p>
    <w:p w14:paraId="1110DA92" w14:textId="3155DFE9" w:rsidR="00F00EB9" w:rsidRPr="00F00EB9" w:rsidRDefault="00F00EB9" w:rsidP="00AD56B3">
      <w:pPr>
        <w:autoSpaceDE w:val="0"/>
        <w:autoSpaceDN w:val="0"/>
        <w:adjustRightInd w:val="0"/>
        <w:jc w:val="center"/>
        <w:rPr>
          <w:rFonts w:ascii="Arial" w:hAnsi="Arial" w:cs="Arial"/>
          <w:color w:val="000000"/>
          <w:sz w:val="20"/>
          <w:szCs w:val="20"/>
          <w:lang w:val="en-GB"/>
        </w:rPr>
      </w:pPr>
      <w:r w:rsidRPr="00F00EB9">
        <w:rPr>
          <w:rFonts w:ascii="Arial" w:hAnsi="Arial" w:cs="Arial"/>
          <w:i/>
          <w:iCs/>
          <w:color w:val="000000"/>
          <w:sz w:val="20"/>
          <w:szCs w:val="20"/>
          <w:lang w:val="en-GB"/>
        </w:rPr>
        <w:t>Delft University of Technology, Department of Technology, Policy and Management,</w:t>
      </w:r>
    </w:p>
    <w:p w14:paraId="408371A6" w14:textId="77777777" w:rsidR="00F00EB9" w:rsidRDefault="00F00EB9" w:rsidP="00F00EB9">
      <w:pPr>
        <w:jc w:val="center"/>
        <w:rPr>
          <w:rFonts w:ascii="Arial" w:hAnsi="Arial" w:cs="Arial"/>
          <w:i/>
          <w:iCs/>
          <w:color w:val="000000"/>
          <w:sz w:val="20"/>
          <w:szCs w:val="20"/>
          <w:lang w:val="en-GB"/>
        </w:rPr>
      </w:pPr>
      <w:r w:rsidRPr="00F00EB9">
        <w:rPr>
          <w:rFonts w:ascii="Arial" w:hAnsi="Arial" w:cs="Arial"/>
          <w:i/>
          <w:iCs/>
          <w:color w:val="000000"/>
          <w:sz w:val="20"/>
          <w:szCs w:val="20"/>
          <w:lang w:val="en-GB"/>
        </w:rPr>
        <w:t xml:space="preserve">PO Box 5015, 2600 GA Delft, the Netherlands </w:t>
      </w:r>
    </w:p>
    <w:p w14:paraId="631551E0" w14:textId="354DEA55" w:rsidR="001B7A03" w:rsidRPr="00FD7A17" w:rsidRDefault="008D119B" w:rsidP="00F00EB9">
      <w:pPr>
        <w:jc w:val="center"/>
        <w:rPr>
          <w:rFonts w:ascii="Arial" w:hAnsi="Arial" w:cs="Arial"/>
          <w:i/>
          <w:sz w:val="20"/>
          <w:lang w:val="en-GB"/>
        </w:rPr>
      </w:pPr>
      <w:hyperlink r:id="rId7" w:history="1">
        <w:r w:rsidR="001B7A03" w:rsidRPr="00F00EB9">
          <w:rPr>
            <w:rStyle w:val="Hyperlink"/>
            <w:rFonts w:ascii="Arial" w:hAnsi="Arial" w:cs="Arial"/>
            <w:i/>
            <w:sz w:val="20"/>
            <w:lang w:val="en-GB"/>
          </w:rPr>
          <w:t>j.c.canizaresgaztelu@tudelft.nl</w:t>
        </w:r>
      </w:hyperlink>
    </w:p>
    <w:p w14:paraId="4D0A76C9" w14:textId="77777777" w:rsidR="00467C59" w:rsidRPr="00FD7A17" w:rsidRDefault="00467C59" w:rsidP="00467C59">
      <w:pPr>
        <w:tabs>
          <w:tab w:val="left" w:pos="4350"/>
        </w:tabs>
        <w:rPr>
          <w:rFonts w:ascii="Arial" w:hAnsi="Arial" w:cs="Arial"/>
          <w:sz w:val="20"/>
          <w:lang w:val="en-GB"/>
        </w:rPr>
      </w:pPr>
      <w:r>
        <w:rPr>
          <w:rFonts w:ascii="Arial" w:hAnsi="Arial" w:cs="Arial"/>
          <w:sz w:val="20"/>
          <w:lang w:val="en-GB"/>
        </w:rPr>
        <w:tab/>
      </w:r>
    </w:p>
    <w:p w14:paraId="257BCA6C" w14:textId="77777777" w:rsidR="00467C59" w:rsidRPr="00FD7A17" w:rsidRDefault="00467C59" w:rsidP="00467C59">
      <w:pPr>
        <w:jc w:val="both"/>
        <w:rPr>
          <w:rFonts w:ascii="Arial" w:hAnsi="Arial" w:cs="Arial"/>
          <w:sz w:val="20"/>
          <w:lang w:val="en-GB"/>
        </w:rPr>
      </w:pPr>
    </w:p>
    <w:p w14:paraId="160F8DDE" w14:textId="2FB3C8C3" w:rsidR="00853B02" w:rsidRPr="005011F6" w:rsidRDefault="001D59F6" w:rsidP="001D59F6">
      <w:pPr>
        <w:rPr>
          <w:rFonts w:ascii="Arial" w:hAnsi="Arial" w:cs="Arial"/>
          <w:sz w:val="20"/>
          <w:szCs w:val="20"/>
          <w:lang w:val="en-GB"/>
        </w:rPr>
      </w:pPr>
      <w:r w:rsidRPr="005011F6">
        <w:rPr>
          <w:rFonts w:ascii="Arial" w:hAnsi="Arial" w:cs="Arial"/>
          <w:b/>
          <w:sz w:val="20"/>
          <w:szCs w:val="20"/>
          <w:lang w:val="en-GB"/>
        </w:rPr>
        <w:t>Summary</w:t>
      </w:r>
      <w:r w:rsidR="00853B02" w:rsidRPr="005011F6">
        <w:rPr>
          <w:rFonts w:ascii="Arial" w:hAnsi="Arial" w:cs="Arial"/>
          <w:b/>
          <w:sz w:val="20"/>
          <w:szCs w:val="20"/>
          <w:lang w:val="en-GB"/>
        </w:rPr>
        <w:t xml:space="preserve"> </w:t>
      </w:r>
    </w:p>
    <w:p w14:paraId="435905A1" w14:textId="28FF9B81" w:rsidR="00394ABA" w:rsidRDefault="00661EA0" w:rsidP="00832C6D">
      <w:pPr>
        <w:jc w:val="both"/>
        <w:rPr>
          <w:rFonts w:ascii="Arial" w:hAnsi="Arial" w:cs="Arial"/>
          <w:sz w:val="18"/>
          <w:szCs w:val="18"/>
          <w:lang w:val="en-GB"/>
        </w:rPr>
      </w:pPr>
      <w:r w:rsidRPr="00661EA0">
        <w:rPr>
          <w:rFonts w:ascii="Arial" w:eastAsia="Calibri" w:hAnsi="Arial" w:cs="Arial"/>
          <w:sz w:val="18"/>
          <w:szCs w:val="18"/>
          <w:lang w:val="en-GB"/>
        </w:rPr>
        <w:t>This presentation asks whether resilience is a normative term, and answers this question in the affirmative. I start by explaining two arguments that have been offered in favour of the ‘resilience-as-descriptive’ thesis (RD). Then I criticize this view by advancing five reas</w:t>
      </w:r>
      <w:bookmarkStart w:id="0" w:name="_GoBack"/>
      <w:bookmarkEnd w:id="0"/>
      <w:r w:rsidRPr="00661EA0">
        <w:rPr>
          <w:rFonts w:ascii="Arial" w:eastAsia="Calibri" w:hAnsi="Arial" w:cs="Arial"/>
          <w:sz w:val="18"/>
          <w:szCs w:val="18"/>
          <w:lang w:val="en-GB"/>
        </w:rPr>
        <w:t>ons why resilience should be considered a normative term (RN).</w:t>
      </w:r>
    </w:p>
    <w:p w14:paraId="4A2C01C2" w14:textId="154AED74" w:rsidR="00467C59" w:rsidRDefault="00467C59" w:rsidP="00467C59">
      <w:pPr>
        <w:rPr>
          <w:rFonts w:ascii="Arial" w:hAnsi="Arial" w:cs="Arial"/>
          <w:sz w:val="20"/>
          <w:lang w:val="en-GB"/>
        </w:rPr>
      </w:pPr>
    </w:p>
    <w:p w14:paraId="5723EC75" w14:textId="354177C4" w:rsidR="00853B02" w:rsidRDefault="006D575A" w:rsidP="00853B02">
      <w:pPr>
        <w:rPr>
          <w:rFonts w:ascii="Arial" w:hAnsi="Arial" w:cs="Arial"/>
          <w:sz w:val="20"/>
          <w:lang w:val="en-GB"/>
        </w:rPr>
      </w:pPr>
      <w:r>
        <w:rPr>
          <w:rFonts w:ascii="Arial" w:hAnsi="Arial" w:cs="Arial"/>
          <w:b/>
          <w:iCs/>
          <w:sz w:val="20"/>
          <w:lang w:val="en-GB"/>
        </w:rPr>
        <w:t>Keywords</w:t>
      </w:r>
    </w:p>
    <w:p w14:paraId="75233439" w14:textId="6831A5BA" w:rsidR="006D575A" w:rsidRPr="007668A9" w:rsidRDefault="00661EA0" w:rsidP="006D575A">
      <w:pPr>
        <w:jc w:val="both"/>
        <w:rPr>
          <w:rFonts w:ascii="Arial" w:hAnsi="Arial" w:cs="Arial"/>
          <w:b/>
          <w:i/>
          <w:sz w:val="20"/>
          <w:lang w:val="en-GB"/>
        </w:rPr>
      </w:pPr>
      <w:r w:rsidRPr="00661EA0">
        <w:rPr>
          <w:rFonts w:ascii="Arial" w:eastAsia="Calibri" w:hAnsi="Arial" w:cs="Arial"/>
          <w:sz w:val="20"/>
          <w:lang w:val="en-GB"/>
        </w:rPr>
        <w:t>Resilience; normativity; metaethics; instrumental values; normality.</w:t>
      </w:r>
    </w:p>
    <w:p w14:paraId="63229972" w14:textId="77777777" w:rsidR="006D575A" w:rsidRDefault="006D575A" w:rsidP="00467C59">
      <w:pPr>
        <w:rPr>
          <w:rFonts w:ascii="Arial" w:hAnsi="Arial" w:cs="Arial"/>
          <w:sz w:val="20"/>
          <w:lang w:val="en-GB"/>
        </w:rPr>
      </w:pPr>
    </w:p>
    <w:p w14:paraId="2D19BB40" w14:textId="77777777" w:rsidR="00661EA0" w:rsidRDefault="00661EA0" w:rsidP="00661EA0">
      <w:pPr>
        <w:rPr>
          <w:rFonts w:ascii="Arial" w:hAnsi="Arial" w:cs="Arial"/>
          <w:sz w:val="20"/>
          <w:lang w:val="en-GB"/>
        </w:rPr>
      </w:pPr>
    </w:p>
    <w:p w14:paraId="4F315D2B" w14:textId="77777777" w:rsidR="00661EA0" w:rsidRDefault="00661EA0" w:rsidP="00661EA0">
      <w:pPr>
        <w:pStyle w:val="ListParagraph"/>
        <w:numPr>
          <w:ilvl w:val="0"/>
          <w:numId w:val="10"/>
        </w:numPr>
        <w:spacing w:after="160" w:line="259" w:lineRule="auto"/>
        <w:ind w:left="142" w:hanging="294"/>
        <w:jc w:val="both"/>
        <w:rPr>
          <w:rFonts w:ascii="Arial" w:hAnsi="Arial" w:cs="Arial"/>
          <w:b/>
          <w:sz w:val="20"/>
        </w:rPr>
      </w:pPr>
      <w:r>
        <w:rPr>
          <w:rFonts w:ascii="Arial" w:hAnsi="Arial" w:cs="Arial"/>
          <w:b/>
          <w:sz w:val="20"/>
        </w:rPr>
        <w:t xml:space="preserve">Introduction </w:t>
      </w:r>
    </w:p>
    <w:p w14:paraId="33D00912" w14:textId="6F06D576" w:rsidR="00661EA0" w:rsidRDefault="00661EA0" w:rsidP="00661EA0">
      <w:pPr>
        <w:spacing w:after="120"/>
        <w:jc w:val="both"/>
        <w:rPr>
          <w:rFonts w:ascii="Arial" w:hAnsi="Arial" w:cs="Arial"/>
          <w:bCs/>
          <w:sz w:val="20"/>
          <w:lang w:val="en-GB"/>
        </w:rPr>
      </w:pPr>
      <w:r>
        <w:rPr>
          <w:rFonts w:ascii="Arial" w:hAnsi="Arial" w:cs="Arial"/>
          <w:bCs/>
          <w:sz w:val="20"/>
          <w:lang w:val="en-GB"/>
        </w:rPr>
        <w:t>While there is</w:t>
      </w:r>
      <w:r w:rsidRPr="001B7A03">
        <w:rPr>
          <w:rFonts w:ascii="Arial" w:hAnsi="Arial" w:cs="Arial"/>
          <w:bCs/>
          <w:sz w:val="20"/>
          <w:lang w:val="en-GB"/>
        </w:rPr>
        <w:t xml:space="preserve"> much disagreement </w:t>
      </w:r>
      <w:r>
        <w:rPr>
          <w:rFonts w:ascii="Arial" w:hAnsi="Arial" w:cs="Arial"/>
          <w:bCs/>
          <w:sz w:val="20"/>
          <w:lang w:val="en-GB"/>
        </w:rPr>
        <w:t xml:space="preserve">among scholars and practitioners </w:t>
      </w:r>
      <w:r w:rsidRPr="001B7A03">
        <w:rPr>
          <w:rFonts w:ascii="Arial" w:hAnsi="Arial" w:cs="Arial"/>
          <w:bCs/>
          <w:sz w:val="20"/>
          <w:lang w:val="en-GB"/>
        </w:rPr>
        <w:t xml:space="preserve">on whether resilience is a desirable goal, </w:t>
      </w:r>
      <w:r>
        <w:rPr>
          <w:rFonts w:ascii="Arial" w:hAnsi="Arial" w:cs="Arial"/>
          <w:bCs/>
          <w:sz w:val="20"/>
          <w:lang w:val="en-GB"/>
        </w:rPr>
        <w:t>and to what extent, an emerging consensus</w:t>
      </w:r>
      <w:r w:rsidRPr="001B7A03">
        <w:rPr>
          <w:rFonts w:ascii="Arial" w:hAnsi="Arial" w:cs="Arial"/>
          <w:bCs/>
          <w:sz w:val="20"/>
          <w:lang w:val="en-GB"/>
        </w:rPr>
        <w:t xml:space="preserve"> </w:t>
      </w:r>
      <w:r>
        <w:rPr>
          <w:rFonts w:ascii="Arial" w:hAnsi="Arial" w:cs="Arial"/>
          <w:bCs/>
          <w:sz w:val="20"/>
          <w:lang w:val="en-GB"/>
        </w:rPr>
        <w:t>seems to be that resilience-is-</w:t>
      </w:r>
      <w:r w:rsidRPr="001B7A03">
        <w:rPr>
          <w:rFonts w:ascii="Arial" w:hAnsi="Arial" w:cs="Arial"/>
          <w:bCs/>
          <w:sz w:val="20"/>
          <w:lang w:val="en-GB"/>
        </w:rPr>
        <w:t xml:space="preserve">normative (RN), </w:t>
      </w:r>
      <w:r>
        <w:rPr>
          <w:rFonts w:ascii="Arial" w:hAnsi="Arial" w:cs="Arial"/>
          <w:bCs/>
          <w:sz w:val="20"/>
          <w:lang w:val="en-GB"/>
        </w:rPr>
        <w:t>meaning that</w:t>
      </w:r>
      <w:r w:rsidRPr="001B7A03">
        <w:rPr>
          <w:rFonts w:ascii="Arial" w:hAnsi="Arial" w:cs="Arial"/>
          <w:bCs/>
          <w:sz w:val="20"/>
          <w:lang w:val="en-GB"/>
        </w:rPr>
        <w:t xml:space="preserve"> it prov</w:t>
      </w:r>
      <w:r>
        <w:rPr>
          <w:rFonts w:ascii="Arial" w:hAnsi="Arial" w:cs="Arial"/>
          <w:bCs/>
          <w:sz w:val="20"/>
          <w:lang w:val="en-GB"/>
        </w:rPr>
        <w:t>ides new orientations for acting</w:t>
      </w:r>
      <w:r w:rsidRPr="001B7A03">
        <w:rPr>
          <w:rFonts w:ascii="Arial" w:hAnsi="Arial" w:cs="Arial"/>
          <w:bCs/>
          <w:sz w:val="20"/>
          <w:lang w:val="en-GB"/>
        </w:rPr>
        <w:t xml:space="preserve"> in </w:t>
      </w:r>
      <w:r>
        <w:rPr>
          <w:rFonts w:ascii="Arial" w:hAnsi="Arial" w:cs="Arial"/>
          <w:bCs/>
          <w:sz w:val="20"/>
          <w:lang w:val="en-GB"/>
        </w:rPr>
        <w:t xml:space="preserve">various kinds of complex </w:t>
      </w:r>
      <w:r w:rsidR="00B83F2E">
        <w:rPr>
          <w:rFonts w:ascii="Arial" w:hAnsi="Arial" w:cs="Arial"/>
          <w:bCs/>
          <w:sz w:val="20"/>
          <w:lang w:val="en-GB"/>
        </w:rPr>
        <w:t>systems (Pelling 2010</w:t>
      </w:r>
      <w:r w:rsidR="00B83F2E">
        <w:rPr>
          <w:rFonts w:ascii="Arial" w:hAnsi="Arial" w:cs="Arial"/>
          <w:bCs/>
          <w:sz w:val="20"/>
          <w:lang w:val="en-GB"/>
        </w:rPr>
        <w:fldChar w:fldCharType="begin"/>
      </w:r>
      <w:r w:rsidR="00B83F2E">
        <w:rPr>
          <w:rFonts w:ascii="Arial" w:hAnsi="Arial" w:cs="Arial"/>
          <w:bCs/>
          <w:sz w:val="20"/>
          <w:lang w:val="en-GB"/>
        </w:rPr>
        <w:instrText xml:space="preserve"> ADDIN EN.CITE &lt;EndNote&gt;&lt;Cite ExcludeAuth="1" ExcludeYear="1" Hidden="1"&gt;&lt;Author&gt;Pelling&lt;/Author&gt;&lt;Year&gt;2010&lt;/Year&gt;&lt;RecNum&gt;112&lt;/RecNum&gt;&lt;record&gt;&lt;rec-number&gt;112&lt;/rec-number&gt;&lt;foreign-keys&gt;&lt;key app="EN" db-id="tfxzfpdv5efxzie5r0cxred3pfres2ffz5as" timestamp="1574609226"&gt;112&lt;/key&gt;&lt;/foreign-keys&gt;&lt;ref-type name="Generic"&gt;13&lt;/ref-type&gt;&lt;contributors&gt;&lt;authors&gt;&lt;author&gt;Pelling, Mark&lt;/author&gt;&lt;/authors&gt;&lt;/contributors&gt;&lt;titles&gt;&lt;title&gt;Adaptation to Climate Change&lt;/title&gt;&lt;/titles&gt;&lt;dates&gt;&lt;year&gt;2010&lt;/year&gt;&lt;pub-dates&gt;&lt;date&gt;2010/10/18&lt;/date&gt;&lt;/pub-dates&gt;&lt;/dates&gt;&lt;pub-location&gt;London&lt;/pub-location&gt;&lt;publisher&gt;Routledge&lt;/publisher&gt;&lt;isbn&gt;9780203889046&lt;/isbn&gt;&lt;urls&gt;&lt;related-urls&gt;&lt;url&gt;http://dx.doi.org/10.4324/9780203889046&lt;/url&gt;&lt;/related-urls&gt;&lt;/urls&gt;&lt;electronic-resource-num&gt;10.4324/9780203889046&lt;/electronic-resource-num&gt;&lt;/record&gt;&lt;/Cite&gt;&lt;/EndNote&gt;</w:instrText>
      </w:r>
      <w:r w:rsidR="00B83F2E">
        <w:rPr>
          <w:rFonts w:ascii="Arial" w:hAnsi="Arial" w:cs="Arial"/>
          <w:bCs/>
          <w:sz w:val="20"/>
          <w:lang w:val="en-GB"/>
        </w:rPr>
        <w:fldChar w:fldCharType="end"/>
      </w:r>
      <w:r>
        <w:rPr>
          <w:rFonts w:ascii="Arial" w:hAnsi="Arial" w:cs="Arial"/>
          <w:bCs/>
          <w:sz w:val="20"/>
          <w:lang w:val="en-GB"/>
        </w:rPr>
        <w:t xml:space="preserve">; Walker </w:t>
      </w:r>
      <w:r w:rsidR="00B83F2E">
        <w:rPr>
          <w:rFonts w:ascii="Arial" w:hAnsi="Arial" w:cs="Arial"/>
          <w:bCs/>
          <w:sz w:val="20"/>
          <w:lang w:val="en-GB"/>
        </w:rPr>
        <w:fldChar w:fldCharType="begin"/>
      </w:r>
      <w:r w:rsidR="00B83F2E">
        <w:rPr>
          <w:rFonts w:ascii="Arial" w:hAnsi="Arial" w:cs="Arial"/>
          <w:bCs/>
          <w:sz w:val="20"/>
          <w:lang w:val="en-GB"/>
        </w:rPr>
        <w:instrText xml:space="preserve"> ADDIN EN.CITE &lt;EndNote&gt;&lt;Cite ExcludeAuth="1" ExcludeYear="1" Hidden="1"&gt;&lt;Author&gt;Walker&lt;/Author&gt;&lt;Year&gt;2011&lt;/Year&gt;&lt;RecNum&gt;150&lt;/RecNum&gt;&lt;record&gt;&lt;rec-number&gt;150&lt;/rec-number&gt;&lt;foreign-keys&gt;&lt;key app="EN" db-id="tfxzfpdv5efxzie5r0cxred3pfres2ffz5as" timestamp="1574609227"&gt;150&lt;/key&gt;&lt;/foreign-keys&gt;&lt;ref-type name="Journal Article"&gt;17&lt;/ref-type&gt;&lt;contributors&gt;&lt;authors&gt;&lt;author&gt;Walker, Jeremy&lt;/author&gt;&lt;author&gt;Cooper, Melinda&lt;/author&gt;&lt;/authors&gt;&lt;/contributors&gt;&lt;titles&gt;&lt;title&gt;Genealogies of resilience.&lt;/title&gt;&lt;secondary-title&gt;Security Dialogue&lt;/secondary-title&gt;&lt;/titles&gt;&lt;periodical&gt;&lt;full-title&gt;Security Dialogue&lt;/full-title&gt;&lt;abbr-1&gt;Secur. Dialogue&lt;/abbr-1&gt;&lt;abbr-2&gt;Secur Dialogue&lt;/abbr-2&gt;&lt;/periodical&gt;&lt;pages&gt;143-160&lt;/pages&gt;&lt;volume&gt;42&lt;/volume&gt;&lt;number&gt;2&lt;/number&gt;&lt;dates&gt;&lt;year&gt;2011&lt;/year&gt;&lt;pub-dates&gt;&lt;date&gt;2011/04&lt;/date&gt;&lt;/pub-dates&gt;&lt;/dates&gt;&lt;publisher&gt;SAGE Publications&lt;/publisher&gt;&lt;isbn&gt;0967-0106&amp;#xD;1460-3640&lt;/isbn&gt;&lt;urls&gt;&lt;related-urls&gt;&lt;url&gt;http://dx.doi.org/10.1177/0967010611399616&lt;/url&gt;&lt;url&gt;https://journals.sagepub.com/doi/pdf/10.1177/0967010611399616&lt;/url&gt;&lt;/related-urls&gt;&lt;/urls&gt;&lt;electronic-resource-num&gt;10.1177/0967010611399616&lt;/electronic-resource-num&gt;&lt;/record&gt;&lt;/Cite&gt;&lt;/EndNote&gt;</w:instrText>
      </w:r>
      <w:r w:rsidR="00B83F2E">
        <w:rPr>
          <w:rFonts w:ascii="Arial" w:hAnsi="Arial" w:cs="Arial"/>
          <w:bCs/>
          <w:sz w:val="20"/>
          <w:lang w:val="en-GB"/>
        </w:rPr>
        <w:fldChar w:fldCharType="end"/>
      </w:r>
      <w:r>
        <w:rPr>
          <w:rFonts w:ascii="Arial" w:hAnsi="Arial" w:cs="Arial"/>
          <w:bCs/>
          <w:sz w:val="20"/>
          <w:lang w:val="en-GB"/>
        </w:rPr>
        <w:t xml:space="preserve">et al. 2011; Joseph </w:t>
      </w:r>
      <w:r w:rsidR="00B83F2E">
        <w:rPr>
          <w:rFonts w:ascii="Arial" w:hAnsi="Arial" w:cs="Arial"/>
          <w:bCs/>
          <w:sz w:val="20"/>
          <w:lang w:val="en-GB"/>
        </w:rPr>
        <w:fldChar w:fldCharType="begin"/>
      </w:r>
      <w:r w:rsidR="00B83F2E">
        <w:rPr>
          <w:rFonts w:ascii="Arial" w:hAnsi="Arial" w:cs="Arial"/>
          <w:bCs/>
          <w:sz w:val="20"/>
          <w:lang w:val="en-GB"/>
        </w:rPr>
        <w:instrText xml:space="preserve"> ADDIN EN.CITE &lt;EndNote&gt;&lt;Cite ExcludeAuth="1" ExcludeYear="1" Hidden="1"&gt;&lt;Author&gt;Joseph&lt;/Author&gt;&lt;Year&gt;2013&lt;/Year&gt;&lt;RecNum&gt;59&lt;/RecNum&gt;&lt;record&gt;&lt;rec-number&gt;59&lt;/rec-number&gt;&lt;foreign-keys&gt;&lt;key app="EN" db-id="tfxzfpdv5efxzie5r0cxred3pfres2ffz5as" timestamp="1574609226"&gt;59&lt;/key&gt;&lt;/foreign-keys&gt;&lt;ref-type name="Journal Article"&gt;17&lt;/ref-type&gt;&lt;contributors&gt;&lt;authors&gt;&lt;author&gt;Joseph, Jonathan&lt;/author&gt;&lt;/authors&gt;&lt;/contributors&gt;&lt;titles&gt;&lt;title&gt;Resilience as embedded neoliberalism: a governmentality approach.&lt;/title&gt;&lt;secondary-title&gt;Resilience&lt;/secondary-title&gt;&lt;/titles&gt;&lt;pages&gt;38-52&lt;/pages&gt;&lt;volume&gt;1&lt;/volume&gt;&lt;number&gt;1&lt;/number&gt;&lt;dates&gt;&lt;year&gt;2013&lt;/year&gt;&lt;pub-dates&gt;&lt;date&gt;2013/04&lt;/date&gt;&lt;/pub-dates&gt;&lt;/dates&gt;&lt;publisher&gt;Informa UK Limited&lt;/publisher&gt;&lt;isbn&gt;2169-3293&amp;#xD;2169-3307&lt;/isbn&gt;&lt;urls&gt;&lt;related-urls&gt;&lt;url&gt;http://dx.doi.org/10.1080/21693293.2013.765741&lt;/url&gt;&lt;url&gt;https://www.tandfonline.com/doi/pdf/10.1080/21693293.2013.765741?needAccess=true&lt;/url&gt;&lt;/related-urls&gt;&lt;/urls&gt;&lt;electronic-resource-num&gt;10.1080/21693293.2013.765741&lt;/electronic-resource-num&gt;&lt;/record&gt;&lt;/Cite&gt;&lt;/EndNote&gt;</w:instrText>
      </w:r>
      <w:r w:rsidR="00B83F2E">
        <w:rPr>
          <w:rFonts w:ascii="Arial" w:hAnsi="Arial" w:cs="Arial"/>
          <w:bCs/>
          <w:sz w:val="20"/>
          <w:lang w:val="en-GB"/>
        </w:rPr>
        <w:fldChar w:fldCharType="end"/>
      </w:r>
      <w:r>
        <w:rPr>
          <w:rFonts w:ascii="Arial" w:hAnsi="Arial" w:cs="Arial"/>
          <w:bCs/>
          <w:sz w:val="20"/>
          <w:lang w:val="en-GB"/>
        </w:rPr>
        <w:t xml:space="preserve">2013; Meerow </w:t>
      </w:r>
      <w:r w:rsidR="00B83F2E">
        <w:rPr>
          <w:rFonts w:ascii="Arial" w:hAnsi="Arial" w:cs="Arial"/>
          <w:bCs/>
          <w:sz w:val="20"/>
          <w:lang w:val="en-GB"/>
        </w:rPr>
        <w:fldChar w:fldCharType="begin"/>
      </w:r>
      <w:r w:rsidR="00B83F2E">
        <w:rPr>
          <w:rFonts w:ascii="Arial" w:hAnsi="Arial" w:cs="Arial"/>
          <w:bCs/>
          <w:sz w:val="20"/>
          <w:lang w:val="en-GB"/>
        </w:rPr>
        <w:instrText xml:space="preserve"> ADDIN EN.CITE &lt;EndNote&gt;&lt;Cite ExcludeAuth="1" ExcludeYear="1" Hidden="1"&gt;&lt;Author&gt;Meerow&lt;/Author&gt;&lt;Year&gt;2016&lt;/Year&gt;&lt;RecNum&gt;99&lt;/RecNum&gt;&lt;record&gt;&lt;rec-number&gt;99&lt;/rec-number&gt;&lt;foreign-keys&gt;&lt;key app="EN" db-id="tfxzfpdv5efxzie5r0cxred3pfres2ffz5as" timestamp="1574609226"&gt;99&lt;/key&gt;&lt;/foreign-keys&gt;&lt;ref-type name="Journal Article"&gt;17&lt;/ref-type&gt;&lt;contributors&gt;&lt;authors&gt;&lt;author&gt;Meerow, Sara&lt;/author&gt;&lt;author&gt;Newell, Joshua P.&lt;/author&gt;&lt;author&gt;Stults, Melissa&lt;/author&gt;&lt;/authors&gt;&lt;/contributors&gt;&lt;titles&gt;&lt;title&gt;Defining urban resilience: A review.&lt;/title&gt;&lt;secondary-title&gt;Landscape and Urban Planning&lt;/secondary-title&gt;&lt;/titles&gt;&lt;periodical&gt;&lt;full-title&gt;Landscape and Urban Planning&lt;/full-title&gt;&lt;abbr-1&gt;Landscape Urban Plann.&lt;/abbr-1&gt;&lt;abbr-2&gt;Landscape Urban Plann&lt;/abbr-2&gt;&lt;/periodical&gt;&lt;pages&gt;38-49&lt;/pages&gt;&lt;volume&gt;147&lt;/volume&gt;&lt;dates&gt;&lt;year&gt;2016&lt;/year&gt;&lt;pub-dates&gt;&lt;date&gt;2016/03&lt;/date&gt;&lt;/pub-dates&gt;&lt;/dates&gt;&lt;publisher&gt;Elsevier BV&lt;/publisher&gt;&lt;isbn&gt;0169-2046&lt;/isbn&gt;&lt;urls&gt;&lt;related-urls&gt;&lt;url&gt;http://dx.doi.org/10.1016/j.landurbplan.2015.11.011&lt;/url&gt;&lt;url&gt;https://www.sciencedirect.com/science/article/pii/S0169204615002418?via%3Dihub&lt;/url&gt;&lt;/related-urls&gt;&lt;/urls&gt;&lt;electronic-resource-num&gt;10.1016/j.landurbplan.2015.11.011&lt;/electronic-resource-num&gt;&lt;/record&gt;&lt;/Cite&gt;&lt;/EndNote&gt;</w:instrText>
      </w:r>
      <w:r w:rsidR="00B83F2E">
        <w:rPr>
          <w:rFonts w:ascii="Arial" w:hAnsi="Arial" w:cs="Arial"/>
          <w:bCs/>
          <w:sz w:val="20"/>
          <w:lang w:val="en-GB"/>
        </w:rPr>
        <w:fldChar w:fldCharType="end"/>
      </w:r>
      <w:r>
        <w:rPr>
          <w:rFonts w:ascii="Arial" w:hAnsi="Arial" w:cs="Arial"/>
          <w:bCs/>
          <w:sz w:val="20"/>
          <w:lang w:val="en-GB"/>
        </w:rPr>
        <w:t xml:space="preserve">et al. 2016; Kolers </w:t>
      </w:r>
      <w:r w:rsidR="00B83F2E">
        <w:rPr>
          <w:rFonts w:ascii="Arial" w:hAnsi="Arial" w:cs="Arial"/>
          <w:bCs/>
          <w:sz w:val="20"/>
          <w:lang w:val="en-GB"/>
        </w:rPr>
        <w:fldChar w:fldCharType="begin"/>
      </w:r>
      <w:r w:rsidR="00B83F2E">
        <w:rPr>
          <w:rFonts w:ascii="Arial" w:hAnsi="Arial" w:cs="Arial"/>
          <w:bCs/>
          <w:sz w:val="20"/>
          <w:lang w:val="en-GB"/>
        </w:rPr>
        <w:instrText xml:space="preserve"> ADDIN EN.CITE &lt;EndNote&gt;&lt;Cite ExcludeAuth="1" ExcludeYear="1" Hidden="1"&gt;&lt;Author&gt;Kolers&lt;/Author&gt;&lt;Year&gt;2016&lt;/Year&gt;&lt;RecNum&gt;90&lt;/RecNum&gt;&lt;record&gt;&lt;rec-number&gt;90&lt;/rec-number&gt;&lt;foreign-keys&gt;&lt;key app="EN" db-id="tfxzfpdv5efxzie5r0cxred3pfres2ffz5as" timestamp="1574609226"&gt;90&lt;/key&gt;&lt;/foreign-keys&gt;&lt;ref-type name="Journal Article"&gt;17&lt;/ref-type&gt;&lt;contributors&gt;&lt;authors&gt;&lt;author&gt;Kolers, Avery&lt;/author&gt;&lt;/authors&gt;&lt;/contributors&gt;&lt;titles&gt;&lt;title&gt;Resilience as a Political Ideal.&lt;/title&gt;&lt;secondary-title&gt;Ethics, Policy and Environment&lt;/secondary-title&gt;&lt;/titles&gt;&lt;periodical&gt;&lt;full-title&gt;Ethics, Policy and Environment&lt;/full-title&gt;&lt;/periodical&gt;&lt;pages&gt;91-107&lt;/pages&gt;&lt;volume&gt;19&lt;/volume&gt;&lt;number&gt;1&lt;/number&gt;&lt;dates&gt;&lt;year&gt;2016&lt;/year&gt;&lt;pub-dates&gt;&lt;date&gt;2016/01/02&lt;/date&gt;&lt;/pub-dates&gt;&lt;/dates&gt;&lt;publisher&gt;Informa UK Limited&lt;/publisher&gt;&lt;isbn&gt;2155-0085&amp;#xD;2155-0093&lt;/isbn&gt;&lt;urls&gt;&lt;related-urls&gt;&lt;url&gt;http://dx.doi.org/10.1080/21550085.2016.1173283&lt;/url&gt;&lt;url&gt;https://www.tandfonline.com/doi/full/10.1080/21550085.2016.1173283&lt;/url&gt;&lt;/related-urls&gt;&lt;/urls&gt;&lt;electronic-resource-num&gt;10.1080/21550085.2016.1173283&lt;/electronic-resource-num&gt;&lt;/record&gt;&lt;/Cite&gt;&lt;/EndNote&gt;</w:instrText>
      </w:r>
      <w:r w:rsidR="00B83F2E">
        <w:rPr>
          <w:rFonts w:ascii="Arial" w:hAnsi="Arial" w:cs="Arial"/>
          <w:bCs/>
          <w:sz w:val="20"/>
          <w:lang w:val="en-GB"/>
        </w:rPr>
        <w:fldChar w:fldCharType="end"/>
      </w:r>
      <w:r>
        <w:rPr>
          <w:rFonts w:ascii="Arial" w:hAnsi="Arial" w:cs="Arial"/>
          <w:bCs/>
          <w:sz w:val="20"/>
          <w:lang w:val="en-GB"/>
        </w:rPr>
        <w:t>2016)</w:t>
      </w:r>
      <w:r w:rsidRPr="001B7A03">
        <w:rPr>
          <w:rFonts w:ascii="Arial" w:hAnsi="Arial" w:cs="Arial"/>
          <w:bCs/>
          <w:sz w:val="20"/>
          <w:lang w:val="en-GB"/>
        </w:rPr>
        <w:t xml:space="preserve">. Yet, </w:t>
      </w:r>
      <w:r>
        <w:rPr>
          <w:rFonts w:ascii="Arial" w:hAnsi="Arial" w:cs="Arial"/>
          <w:bCs/>
          <w:sz w:val="20"/>
          <w:lang w:val="en-GB"/>
        </w:rPr>
        <w:t>interestingly</w:t>
      </w:r>
      <w:r w:rsidRPr="001B7A03">
        <w:rPr>
          <w:rFonts w:ascii="Arial" w:hAnsi="Arial" w:cs="Arial"/>
          <w:bCs/>
          <w:sz w:val="20"/>
          <w:lang w:val="en-GB"/>
        </w:rPr>
        <w:t xml:space="preserve">, </w:t>
      </w:r>
      <w:r>
        <w:rPr>
          <w:rFonts w:ascii="Arial" w:hAnsi="Arial" w:cs="Arial"/>
          <w:bCs/>
          <w:sz w:val="20"/>
          <w:lang w:val="en-GB"/>
        </w:rPr>
        <w:t>authors linked to the Resilience Alliance have rejected this view to hold the opposite thesis: that resilience-is-</w:t>
      </w:r>
      <w:r w:rsidRPr="001B7A03">
        <w:rPr>
          <w:rFonts w:ascii="Arial" w:hAnsi="Arial" w:cs="Arial"/>
          <w:bCs/>
          <w:sz w:val="20"/>
          <w:lang w:val="en-GB"/>
        </w:rPr>
        <w:t xml:space="preserve">descriptive (RD). </w:t>
      </w:r>
      <w:r>
        <w:rPr>
          <w:rFonts w:ascii="Arial" w:hAnsi="Arial" w:cs="Arial"/>
          <w:bCs/>
          <w:sz w:val="20"/>
          <w:lang w:val="en-GB"/>
        </w:rPr>
        <w:t>Here I discuss</w:t>
      </w:r>
      <w:r w:rsidRPr="001B7A03">
        <w:rPr>
          <w:rFonts w:ascii="Arial" w:hAnsi="Arial" w:cs="Arial"/>
          <w:bCs/>
          <w:sz w:val="20"/>
          <w:lang w:val="en-GB"/>
        </w:rPr>
        <w:t xml:space="preserve"> </w:t>
      </w:r>
      <w:r>
        <w:rPr>
          <w:rFonts w:ascii="Arial" w:hAnsi="Arial" w:cs="Arial"/>
          <w:bCs/>
          <w:sz w:val="20"/>
          <w:lang w:val="en-GB"/>
        </w:rPr>
        <w:t xml:space="preserve">the normativity of resilience </w:t>
      </w:r>
      <w:r w:rsidRPr="001B7A03">
        <w:rPr>
          <w:rFonts w:ascii="Arial" w:hAnsi="Arial" w:cs="Arial"/>
          <w:bCs/>
          <w:sz w:val="20"/>
          <w:lang w:val="en-GB"/>
        </w:rPr>
        <w:t xml:space="preserve">by engaging </w:t>
      </w:r>
      <w:r>
        <w:rPr>
          <w:rFonts w:ascii="Arial" w:hAnsi="Arial" w:cs="Arial"/>
          <w:bCs/>
          <w:sz w:val="20"/>
          <w:lang w:val="en-GB"/>
        </w:rPr>
        <w:t xml:space="preserve">resilience research and </w:t>
      </w:r>
      <w:r w:rsidRPr="001B7A03">
        <w:rPr>
          <w:rFonts w:ascii="Arial" w:hAnsi="Arial" w:cs="Arial"/>
          <w:bCs/>
          <w:sz w:val="20"/>
          <w:lang w:val="en-GB"/>
        </w:rPr>
        <w:t>metaethics, the</w:t>
      </w:r>
      <w:r>
        <w:rPr>
          <w:rFonts w:ascii="Arial" w:hAnsi="Arial" w:cs="Arial"/>
          <w:bCs/>
          <w:sz w:val="20"/>
          <w:lang w:val="en-GB"/>
        </w:rPr>
        <w:t xml:space="preserve"> area of philosophy </w:t>
      </w:r>
      <w:r w:rsidRPr="001B7A03">
        <w:rPr>
          <w:rFonts w:ascii="Arial" w:hAnsi="Arial" w:cs="Arial"/>
          <w:bCs/>
          <w:sz w:val="20"/>
          <w:lang w:val="en-GB"/>
        </w:rPr>
        <w:t xml:space="preserve">most </w:t>
      </w:r>
      <w:r>
        <w:rPr>
          <w:rFonts w:ascii="Arial" w:hAnsi="Arial" w:cs="Arial"/>
          <w:bCs/>
          <w:sz w:val="20"/>
          <w:lang w:val="en-GB"/>
        </w:rPr>
        <w:t xml:space="preserve">directly </w:t>
      </w:r>
      <w:r w:rsidRPr="001B7A03">
        <w:rPr>
          <w:rFonts w:ascii="Arial" w:hAnsi="Arial" w:cs="Arial"/>
          <w:bCs/>
          <w:sz w:val="20"/>
          <w:lang w:val="en-GB"/>
        </w:rPr>
        <w:t xml:space="preserve">concerned with normativity. I start by </w:t>
      </w:r>
      <w:r>
        <w:rPr>
          <w:rFonts w:ascii="Arial" w:hAnsi="Arial" w:cs="Arial"/>
          <w:bCs/>
          <w:sz w:val="20"/>
          <w:lang w:val="en-GB"/>
        </w:rPr>
        <w:t xml:space="preserve">presenting the two main arguments advanced in favour of RD. Then </w:t>
      </w:r>
      <w:r w:rsidRPr="001A0675">
        <w:rPr>
          <w:rFonts w:ascii="Arial" w:hAnsi="Arial" w:cs="Arial"/>
          <w:bCs/>
          <w:sz w:val="20"/>
          <w:lang w:val="en-GB"/>
        </w:rPr>
        <w:t xml:space="preserve">I </w:t>
      </w:r>
      <w:r>
        <w:rPr>
          <w:rFonts w:ascii="Arial" w:hAnsi="Arial" w:cs="Arial"/>
          <w:bCs/>
          <w:sz w:val="20"/>
          <w:lang w:val="en-GB"/>
        </w:rPr>
        <w:t xml:space="preserve">turn to </w:t>
      </w:r>
      <w:r w:rsidRPr="001A0675">
        <w:rPr>
          <w:rFonts w:ascii="Arial" w:hAnsi="Arial" w:cs="Arial"/>
          <w:bCs/>
          <w:sz w:val="20"/>
          <w:lang w:val="en-GB"/>
        </w:rPr>
        <w:t>offer</w:t>
      </w:r>
      <w:r>
        <w:rPr>
          <w:rFonts w:ascii="Arial" w:hAnsi="Arial" w:cs="Arial"/>
          <w:bCs/>
          <w:sz w:val="20"/>
          <w:lang w:val="en-GB"/>
        </w:rPr>
        <w:t>ing</w:t>
      </w:r>
      <w:r w:rsidRPr="001A0675">
        <w:rPr>
          <w:rFonts w:ascii="Arial" w:hAnsi="Arial" w:cs="Arial"/>
          <w:bCs/>
          <w:sz w:val="20"/>
          <w:lang w:val="en-GB"/>
        </w:rPr>
        <w:t xml:space="preserve"> five reasons in support of the alternative view, that resilience is normative (RN). </w:t>
      </w:r>
    </w:p>
    <w:p w14:paraId="4EF8D832" w14:textId="77777777" w:rsidR="00661EA0" w:rsidRDefault="00661EA0" w:rsidP="00661EA0">
      <w:pPr>
        <w:jc w:val="both"/>
        <w:rPr>
          <w:rFonts w:ascii="Arial" w:hAnsi="Arial" w:cs="Arial"/>
          <w:bCs/>
          <w:sz w:val="20"/>
        </w:rPr>
      </w:pPr>
    </w:p>
    <w:p w14:paraId="3B8ADC24" w14:textId="77777777" w:rsidR="00661EA0" w:rsidRPr="008350CF" w:rsidRDefault="00661EA0" w:rsidP="00661EA0">
      <w:pPr>
        <w:pStyle w:val="ListParagraph"/>
        <w:numPr>
          <w:ilvl w:val="0"/>
          <w:numId w:val="10"/>
        </w:numPr>
        <w:spacing w:after="120"/>
        <w:ind w:left="142" w:hanging="295"/>
        <w:contextualSpacing w:val="0"/>
        <w:jc w:val="both"/>
        <w:rPr>
          <w:rFonts w:ascii="Arial" w:hAnsi="Arial" w:cs="Arial"/>
          <w:b/>
          <w:sz w:val="20"/>
        </w:rPr>
      </w:pPr>
      <w:r>
        <w:rPr>
          <w:rFonts w:ascii="Arial" w:hAnsi="Arial" w:cs="Arial"/>
          <w:b/>
          <w:sz w:val="20"/>
        </w:rPr>
        <w:t>R</w:t>
      </w:r>
      <w:r w:rsidRPr="008350CF">
        <w:rPr>
          <w:rFonts w:ascii="Arial" w:hAnsi="Arial" w:cs="Arial"/>
          <w:b/>
          <w:sz w:val="20"/>
        </w:rPr>
        <w:t>esilience-is-descriptive (RD)</w:t>
      </w:r>
      <w:r>
        <w:rPr>
          <w:rFonts w:ascii="Arial" w:hAnsi="Arial" w:cs="Arial"/>
          <w:b/>
          <w:sz w:val="20"/>
        </w:rPr>
        <w:t>: pro-arguments</w:t>
      </w:r>
    </w:p>
    <w:p w14:paraId="592C3315" w14:textId="78F44578" w:rsidR="00661EA0" w:rsidRPr="00F173BB" w:rsidRDefault="00661EA0" w:rsidP="00661EA0">
      <w:pPr>
        <w:spacing w:after="120"/>
        <w:jc w:val="both"/>
        <w:rPr>
          <w:rFonts w:ascii="Arial" w:hAnsi="Arial" w:cs="Arial"/>
          <w:color w:val="2F5496" w:themeColor="accent1" w:themeShade="BF"/>
          <w:sz w:val="20"/>
          <w:szCs w:val="20"/>
        </w:rPr>
      </w:pPr>
      <w:r>
        <w:rPr>
          <w:rFonts w:ascii="Arial" w:hAnsi="Arial" w:cs="Arial"/>
          <w:sz w:val="20"/>
          <w:szCs w:val="20"/>
        </w:rPr>
        <w:t>The</w:t>
      </w:r>
      <w:r w:rsidRPr="00985F52">
        <w:rPr>
          <w:rFonts w:ascii="Arial" w:hAnsi="Arial" w:cs="Arial"/>
          <w:sz w:val="20"/>
          <w:szCs w:val="20"/>
        </w:rPr>
        <w:t xml:space="preserve"> Resilience Alliance </w:t>
      </w:r>
      <w:r>
        <w:rPr>
          <w:rFonts w:ascii="Arial" w:hAnsi="Arial" w:cs="Arial"/>
          <w:sz w:val="20"/>
          <w:szCs w:val="20"/>
        </w:rPr>
        <w:t>seems ‘officially’ committed to the view that resilience is descriptive</w:t>
      </w:r>
      <w:r w:rsidRPr="00985F52">
        <w:rPr>
          <w:rFonts w:ascii="Arial" w:hAnsi="Arial" w:cs="Arial"/>
          <w:sz w:val="20"/>
          <w:szCs w:val="20"/>
        </w:rPr>
        <w:t xml:space="preserve"> or non-normative (Carpenter </w:t>
      </w:r>
      <w:r w:rsidR="00B83F2E">
        <w:rPr>
          <w:rFonts w:ascii="Arial" w:hAnsi="Arial" w:cs="Arial"/>
          <w:sz w:val="20"/>
          <w:szCs w:val="20"/>
        </w:rPr>
        <w:fldChar w:fldCharType="begin"/>
      </w:r>
      <w:r w:rsidR="00B83F2E">
        <w:rPr>
          <w:rFonts w:ascii="Arial" w:hAnsi="Arial" w:cs="Arial"/>
          <w:sz w:val="20"/>
          <w:szCs w:val="20"/>
        </w:rPr>
        <w:instrText xml:space="preserve"> ADDIN EN.CITE &lt;EndNote&gt;&lt;Cite ExcludeAuth="1" ExcludeYear="1" Hidden="1"&gt;&lt;Author&gt;Carpenter&lt;/Author&gt;&lt;Year&gt;2001&lt;/Year&gt;&lt;RecNum&gt;189&lt;/RecNum&gt;&lt;record&gt;&lt;rec-number&gt;189&lt;/rec-number&gt;&lt;foreign-keys&gt;&lt;key app="EN" db-id="tfxzfpdv5efxzie5r0cxred3pfres2ffz5as" timestamp="1574609316"&gt;189&lt;/key&gt;&lt;/foreign-keys&gt;&lt;ref-type name="Journal Article"&gt;17&lt;/ref-type&gt;&lt;contributors&gt;&lt;authors&gt;&lt;author&gt;Carpenter, Steve&lt;/author&gt;&lt;author&gt;Walker, Brian&lt;/author&gt;&lt;author&gt;Anderies, J. Marty&lt;/author&gt;&lt;author&gt;Abel, Nick&lt;/author&gt;&lt;/authors&gt;&lt;/contributors&gt;&lt;titles&gt;&lt;title&gt;From Metaphor to Measurement: Resilience of What to What?&lt;/title&gt;&lt;secondary-title&gt;Ecosystems&lt;/secondary-title&gt;&lt;/titles&gt;&lt;periodical&gt;&lt;full-title&gt;Ecosystems&lt;/full-title&gt;&lt;abbr-1&gt;Ecosystems&lt;/abbr-1&gt;&lt;abbr-2&gt;Ecosystems&lt;/abbr-2&gt;&lt;/periodical&gt;&lt;pages&gt;765-781&lt;/pages&gt;&lt;volume&gt;4&lt;/volume&gt;&lt;number&gt;8&lt;/number&gt;&lt;dates&gt;&lt;year&gt;2001&lt;/year&gt;&lt;pub-dates&gt;&lt;date&gt;2001/12&lt;/date&gt;&lt;/pub-dates&gt;&lt;/dates&gt;&lt;publisher&gt;Springer Science and Business Media LLC&lt;/publisher&gt;&lt;isbn&gt;1435-0629&lt;/isbn&gt;&lt;urls&gt;&lt;related-urls&gt;&lt;url&gt;http://dx.doi.org/10.1007/s10021-001-0045-9&lt;/url&gt;&lt;url&gt;https://link.springer.com/article/10.1007%2Fs10021-001-0045-9&lt;/url&gt;&lt;/related-urls&gt;&lt;/urls&gt;&lt;electronic-resource-num&gt;10.1007/s10021-001-0045-9&lt;/electronic-resource-num&gt;&lt;/record&gt;&lt;/Cite&gt;&lt;/EndNote&gt;</w:instrText>
      </w:r>
      <w:r w:rsidR="00B83F2E">
        <w:rPr>
          <w:rFonts w:ascii="Arial" w:hAnsi="Arial" w:cs="Arial"/>
          <w:sz w:val="20"/>
          <w:szCs w:val="20"/>
        </w:rPr>
        <w:fldChar w:fldCharType="end"/>
      </w:r>
      <w:r w:rsidRPr="00985F52">
        <w:rPr>
          <w:rFonts w:ascii="Arial" w:hAnsi="Arial" w:cs="Arial"/>
          <w:sz w:val="20"/>
          <w:szCs w:val="20"/>
        </w:rPr>
        <w:t xml:space="preserve">et al. 2001; </w:t>
      </w:r>
      <w:r>
        <w:rPr>
          <w:rFonts w:ascii="Arial" w:hAnsi="Arial" w:cs="Arial"/>
          <w:sz w:val="20"/>
          <w:szCs w:val="20"/>
        </w:rPr>
        <w:t xml:space="preserve">Holling </w:t>
      </w:r>
      <w:r w:rsidR="00B83F2E">
        <w:rPr>
          <w:rFonts w:ascii="Arial" w:hAnsi="Arial" w:cs="Arial"/>
          <w:sz w:val="20"/>
          <w:szCs w:val="20"/>
        </w:rPr>
        <w:fldChar w:fldCharType="begin"/>
      </w:r>
      <w:r w:rsidR="00B83F2E">
        <w:rPr>
          <w:rFonts w:ascii="Arial" w:hAnsi="Arial" w:cs="Arial"/>
          <w:sz w:val="20"/>
          <w:szCs w:val="20"/>
        </w:rPr>
        <w:instrText xml:space="preserve"> ADDIN EN.CITE &lt;EndNote&gt;&lt;Cite ExcludeAuth="1" ExcludeYear="1" Hidden="1"&gt;&lt;Author&gt;Holling&lt;/Author&gt;&lt;Year&gt;2003&lt;/Year&gt;&lt;RecNum&gt;342&lt;/RecNum&gt;&lt;record&gt;&lt;rec-number&gt;342&lt;/rec-number&gt;&lt;foreign-keys&gt;&lt;key app="EN" db-id="tfxzfpdv5efxzie5r0cxred3pfres2ffz5as" timestamp="1574701433"&gt;342&lt;/key&gt;&lt;/foreign-keys&gt;&lt;ref-type name="Book Section"&gt;5&lt;/ref-type&gt;&lt;contributors&gt;&lt;authors&gt;&lt;author&gt;Holling, C. S.&lt;/author&gt;&lt;author&gt;Walker, Brian&lt;/author&gt;&lt;/authors&gt;&lt;secondary-authors&gt;&lt;author&gt;International Society of Ecological Economics&lt;/author&gt;&lt;/secondary-authors&gt;&lt;/contributors&gt;&lt;titles&gt;&lt;title&gt;Resilience defined&lt;/title&gt;&lt;secondary-title&gt;Internet Encyclopedia of Ecological Economics &lt;/secondary-title&gt;&lt;/titles&gt;&lt;pages&gt;1-3&lt;/pages&gt;&lt;dates&gt;&lt;year&gt;2003&lt;/year&gt;&lt;/dates&gt;&lt;urls&gt;&lt;/urls&gt;&lt;/record&gt;&lt;/Cite&gt;&lt;/EndNote&gt;</w:instrText>
      </w:r>
      <w:r w:rsidR="00B83F2E">
        <w:rPr>
          <w:rFonts w:ascii="Arial" w:hAnsi="Arial" w:cs="Arial"/>
          <w:sz w:val="20"/>
          <w:szCs w:val="20"/>
        </w:rPr>
        <w:fldChar w:fldCharType="end"/>
      </w:r>
      <w:r>
        <w:rPr>
          <w:rFonts w:ascii="Arial" w:hAnsi="Arial" w:cs="Arial"/>
          <w:sz w:val="20"/>
          <w:szCs w:val="20"/>
        </w:rPr>
        <w:t xml:space="preserve">&amp; Walker 2003; </w:t>
      </w:r>
      <w:r w:rsidRPr="00985F52">
        <w:rPr>
          <w:rFonts w:ascii="Arial" w:hAnsi="Arial" w:cs="Arial"/>
          <w:sz w:val="20"/>
          <w:szCs w:val="20"/>
        </w:rPr>
        <w:t xml:space="preserve">Walker </w:t>
      </w:r>
      <w:r w:rsidR="00B83F2E">
        <w:rPr>
          <w:rFonts w:ascii="Arial" w:hAnsi="Arial" w:cs="Arial"/>
          <w:sz w:val="20"/>
          <w:szCs w:val="20"/>
        </w:rPr>
        <w:fldChar w:fldCharType="begin"/>
      </w:r>
      <w:r w:rsidR="00B83F2E">
        <w:rPr>
          <w:rFonts w:ascii="Arial" w:hAnsi="Arial" w:cs="Arial"/>
          <w:sz w:val="20"/>
          <w:szCs w:val="20"/>
        </w:rPr>
        <w:instrText xml:space="preserve"> ADDIN EN.CITE &lt;EndNote&gt;&lt;Cite ExcludeAuth="1" ExcludeYear="1" Hidden="1"&gt;&lt;Author&gt;Walker&lt;/Author&gt;&lt;Year&gt;2004&lt;/Year&gt;&lt;RecNum&gt;148&lt;/RecNum&gt;&lt;record&gt;&lt;rec-number&gt;148&lt;/rec-number&gt;&lt;foreign-keys&gt;&lt;key app="EN" db-id="tfxzfpdv5efxzie5r0cxred3pfres2ffz5as" timestamp="1574609227"&gt;148&lt;/key&gt;&lt;/foreign-keys&gt;&lt;ref-type name="Journal Article"&gt;17&lt;/ref-type&gt;&lt;contributors&gt;&lt;authors&gt;&lt;author&gt;Walker, Brian&lt;/author&gt;&lt;author&gt;Holling, C. S.&lt;/author&gt;&lt;author&gt;Carpenter, Stephen R.&lt;/author&gt;&lt;author&gt;Kinzig, Ann P.&lt;/author&gt;&lt;/authors&gt;&lt;/contributors&gt;&lt;titles&gt;&lt;title&gt;Resilience, Adaptability and Transformability in Social-ecological Systems&lt;/title&gt;&lt;secondary-title&gt;Ecology and Society&lt;/secondary-title&gt;&lt;/titles&gt;&lt;periodical&gt;&lt;full-title&gt;Ecology and Society&lt;/full-title&gt;&lt;abbr-1&gt;Ecol. Soc.&lt;/abbr-1&gt;&lt;abbr-2&gt;Ecol Soc&lt;/abbr-2&gt;&lt;/periodical&gt;&lt;volume&gt;9&lt;/volume&gt;&lt;number&gt;2&lt;/number&gt;&lt;dates&gt;&lt;year&gt;2004&lt;/year&gt;&lt;/dates&gt;&lt;publisher&gt;Resilience Alliance, Inc.&lt;/publisher&gt;&lt;isbn&gt;1708-3087&lt;/isbn&gt;&lt;urls&gt;&lt;related-urls&gt;&lt;url&gt;http://dx.doi.org/10.5751/es-00650-090205&lt;/url&gt;&lt;/related-urls&gt;&lt;/urls&gt;&lt;electronic-resource-num&gt;10.5751/es-00650-090205&lt;/electronic-resource-num&gt;&lt;/record&gt;&lt;/Cite&gt;&lt;/EndNote&gt;</w:instrText>
      </w:r>
      <w:r w:rsidR="00B83F2E">
        <w:rPr>
          <w:rFonts w:ascii="Arial" w:hAnsi="Arial" w:cs="Arial"/>
          <w:sz w:val="20"/>
          <w:szCs w:val="20"/>
        </w:rPr>
        <w:fldChar w:fldCharType="end"/>
      </w:r>
      <w:r w:rsidRPr="00985F52">
        <w:rPr>
          <w:rFonts w:ascii="Arial" w:hAnsi="Arial" w:cs="Arial"/>
          <w:sz w:val="20"/>
          <w:szCs w:val="20"/>
        </w:rPr>
        <w:t>et al. 2004; Brand</w:t>
      </w:r>
      <w:r w:rsidR="00B83F2E">
        <w:rPr>
          <w:rFonts w:ascii="Arial" w:hAnsi="Arial" w:cs="Arial"/>
          <w:sz w:val="20"/>
          <w:szCs w:val="20"/>
        </w:rPr>
        <w:t>t</w:t>
      </w:r>
      <w:r w:rsidRPr="00985F52">
        <w:rPr>
          <w:rFonts w:ascii="Arial" w:hAnsi="Arial" w:cs="Arial"/>
          <w:sz w:val="20"/>
          <w:szCs w:val="20"/>
        </w:rPr>
        <w:t xml:space="preserve"> </w:t>
      </w:r>
      <w:r w:rsidR="00B83F2E">
        <w:rPr>
          <w:rFonts w:ascii="Arial" w:hAnsi="Arial" w:cs="Arial"/>
          <w:sz w:val="20"/>
          <w:szCs w:val="20"/>
        </w:rPr>
        <w:fldChar w:fldCharType="begin"/>
      </w:r>
      <w:r w:rsidR="00B83F2E">
        <w:rPr>
          <w:rFonts w:ascii="Arial" w:hAnsi="Arial" w:cs="Arial"/>
          <w:sz w:val="20"/>
          <w:szCs w:val="20"/>
        </w:rPr>
        <w:instrText xml:space="preserve"> ADDIN EN.CITE &lt;EndNote&gt;&lt;Cite ExcludeAuth="1" ExcludeYear="1" Hidden="1"&gt;&lt;Author&gt;Brandt&lt;/Author&gt;&lt;Year&gt;2007&lt;/Year&gt;&lt;RecNum&gt;177&lt;/RecNum&gt;&lt;record&gt;&lt;rec-number&gt;177&lt;/rec-number&gt;&lt;foreign-keys&gt;&lt;key app="EN" db-id="tfxzfpdv5efxzie5r0cxred3pfres2ffz5as" timestamp="1574609316"&gt;177&lt;/key&gt;&lt;/foreign-keys&gt;&lt;ref-type name="Journal Article"&gt;17&lt;/ref-type&gt;&lt;contributors&gt;&lt;authors&gt;&lt;author&gt;Brandt, Fridolin Simon&lt;/author&gt;&lt;author&gt;Jax, Kurt&lt;/author&gt;&lt;/authors&gt;&lt;/contributors&gt;&lt;titles&gt;&lt;title&gt;Focusing the Meaning(s) of Resilience: Resilience as a Descriptive Concept and a Boundary Object.&lt;/title&gt;&lt;secondary-title&gt;Ecology and Society&lt;/secondary-title&gt;&lt;/titles&gt;&lt;periodical&gt;&lt;full-title&gt;Ecology and Society&lt;/full-title&gt;&lt;abbr-1&gt;Ecol. Soc.&lt;/abbr-1&gt;&lt;abbr-2&gt;Ecol Soc&lt;/abbr-2&gt;&lt;/periodical&gt;&lt;volume&gt;12&lt;/volume&gt;&lt;number&gt;1&lt;/number&gt;&lt;dates&gt;&lt;year&gt;2007&lt;/year&gt;&lt;/dates&gt;&lt;publisher&gt;Resilience Alliance, Inc.&lt;/publisher&gt;&lt;isbn&gt;1708-3087&lt;/isbn&gt;&lt;urls&gt;&lt;related-urls&gt;&lt;url&gt;http://dx.doi.org/10.5751/es-02029-120123&lt;/url&gt;&lt;url&gt;https://www.ecologyandsociety.org/vol12/iss1/art23/ES-2007-2029.pdf&lt;/url&gt;&lt;/related-urls&gt;&lt;/urls&gt;&lt;electronic-resource-num&gt;10.5751/es-02029-120123&lt;/electronic-resource-num&gt;&lt;/record&gt;&lt;/Cite&gt;&lt;/EndNote&gt;</w:instrText>
      </w:r>
      <w:r w:rsidR="00B83F2E">
        <w:rPr>
          <w:rFonts w:ascii="Arial" w:hAnsi="Arial" w:cs="Arial"/>
          <w:sz w:val="20"/>
          <w:szCs w:val="20"/>
        </w:rPr>
        <w:fldChar w:fldCharType="end"/>
      </w:r>
      <w:r w:rsidRPr="00985F52">
        <w:rPr>
          <w:rFonts w:ascii="Arial" w:hAnsi="Arial" w:cs="Arial"/>
          <w:sz w:val="20"/>
          <w:szCs w:val="20"/>
        </w:rPr>
        <w:t xml:space="preserve">&amp; Jax 2007; Anderies </w:t>
      </w:r>
      <w:r w:rsidR="00B83F2E">
        <w:rPr>
          <w:rFonts w:ascii="Arial" w:hAnsi="Arial" w:cs="Arial"/>
          <w:sz w:val="20"/>
          <w:szCs w:val="20"/>
        </w:rPr>
        <w:fldChar w:fldCharType="begin"/>
      </w:r>
      <w:r w:rsidR="00B83F2E">
        <w:rPr>
          <w:rFonts w:ascii="Arial" w:hAnsi="Arial" w:cs="Arial"/>
          <w:sz w:val="20"/>
          <w:szCs w:val="20"/>
        </w:rPr>
        <w:instrText xml:space="preserve"> ADDIN EN.CITE &lt;EndNote&gt;&lt;Cite ExcludeAuth="1" ExcludeYear="1" Hidden="1"&gt;&lt;Author&gt;Anderies&lt;/Author&gt;&lt;Year&gt;2013&lt;/Year&gt;&lt;RecNum&gt;396&lt;/RecNum&gt;&lt;record&gt;&lt;rec-number&gt;396&lt;/rec-number&gt;&lt;foreign-keys&gt;&lt;key app="EN" db-id="tfxzfpdv5efxzie5r0cxred3pfres2ffz5as" timestamp="1604052253"&gt;396&lt;/key&gt;&lt;/foreign-keys&gt;&lt;ref-type name="Journal Article"&gt;17&lt;/ref-type&gt;&lt;contributors&gt;&lt;authors&gt;&lt;author&gt;Anderies, J. M., &lt;/author&gt;&lt;author&gt;C. Folke, &lt;/author&gt;&lt;author&gt;B. Walker, &lt;/author&gt;&lt;author&gt;E. Ostrom.&lt;/author&gt;&lt;/authors&gt;&lt;/contributors&gt;&lt;titles&gt;&lt;title&gt;Aligning key concepts for global change policy: robustness, resilience, and sustainability.&lt;/title&gt;&lt;secondary-title&gt;Ecology and Society&lt;/secondary-title&gt;&lt;/titles&gt;&lt;periodical&gt;&lt;full-title&gt;Ecology and Society&lt;/full-title&gt;&lt;abbr-1&gt;Ecol. Soc.&lt;/abbr-1&gt;&lt;abbr-2&gt;Ecol Soc&lt;/abbr-2&gt;&lt;/periodical&gt;&lt;volume&gt;18&lt;/volume&gt;&lt;number&gt;8&lt;/number&gt;&lt;num-vols&gt;2&lt;/num-vols&gt;&lt;dates&gt;&lt;year&gt;2013&lt;/year&gt;&lt;/dates&gt;&lt;urls&gt;&lt;/urls&gt;&lt;electronic-resource-num&gt;http://dx.doi.org/10.5751/ES-05178-180208&lt;/electronic-resource-num&gt;&lt;/record&gt;&lt;/Cite&gt;&lt;/EndNote&gt;</w:instrText>
      </w:r>
      <w:r w:rsidR="00B83F2E">
        <w:rPr>
          <w:rFonts w:ascii="Arial" w:hAnsi="Arial" w:cs="Arial"/>
          <w:sz w:val="20"/>
          <w:szCs w:val="20"/>
        </w:rPr>
        <w:fldChar w:fldCharType="end"/>
      </w:r>
      <w:r w:rsidRPr="00985F52">
        <w:rPr>
          <w:rFonts w:ascii="Arial" w:hAnsi="Arial" w:cs="Arial"/>
          <w:sz w:val="20"/>
          <w:szCs w:val="20"/>
        </w:rPr>
        <w:t>et al. 2013; Thorén &amp; Olsson 2017; Elmqvist et al. 2019).</w:t>
      </w:r>
      <w:r>
        <w:rPr>
          <w:rFonts w:ascii="Arial" w:hAnsi="Arial" w:cs="Arial"/>
          <w:sz w:val="20"/>
          <w:szCs w:val="20"/>
        </w:rPr>
        <w:t xml:space="preserve"> Two arguments have been offered in support of this view</w:t>
      </w:r>
      <w:r w:rsidRPr="009471B8">
        <w:rPr>
          <w:rFonts w:ascii="Arial" w:hAnsi="Arial" w:cs="Arial"/>
          <w:sz w:val="20"/>
          <w:szCs w:val="20"/>
        </w:rPr>
        <w:t xml:space="preserve">, each of which implies one distinct criterion for ascribing normativity. </w:t>
      </w:r>
    </w:p>
    <w:p w14:paraId="0FB09CF3" w14:textId="77777777" w:rsidR="00661EA0" w:rsidRPr="009471B8" w:rsidRDefault="00661EA0" w:rsidP="00661EA0">
      <w:pPr>
        <w:pStyle w:val="ListParagraph"/>
        <w:numPr>
          <w:ilvl w:val="0"/>
          <w:numId w:val="12"/>
        </w:numPr>
        <w:spacing w:after="120"/>
        <w:ind w:left="425" w:hanging="153"/>
        <w:contextualSpacing w:val="0"/>
        <w:jc w:val="both"/>
        <w:rPr>
          <w:rFonts w:ascii="Arial" w:hAnsi="Arial" w:cs="Arial"/>
          <w:sz w:val="20"/>
          <w:szCs w:val="20"/>
        </w:rPr>
      </w:pPr>
      <w:r>
        <w:rPr>
          <w:rFonts w:ascii="Arial" w:hAnsi="Arial" w:cs="Arial"/>
          <w:sz w:val="20"/>
          <w:szCs w:val="20"/>
        </w:rPr>
        <w:t>A normative</w:t>
      </w:r>
      <w:r w:rsidRPr="009471B8">
        <w:rPr>
          <w:rFonts w:ascii="Arial" w:hAnsi="Arial" w:cs="Arial"/>
          <w:sz w:val="20"/>
          <w:szCs w:val="20"/>
        </w:rPr>
        <w:t xml:space="preserve"> </w:t>
      </w:r>
      <w:r>
        <w:rPr>
          <w:rFonts w:ascii="Arial" w:hAnsi="Arial" w:cs="Arial"/>
          <w:sz w:val="20"/>
          <w:szCs w:val="20"/>
        </w:rPr>
        <w:t>concept</w:t>
      </w:r>
      <w:r w:rsidRPr="009471B8">
        <w:rPr>
          <w:rFonts w:ascii="Arial" w:hAnsi="Arial" w:cs="Arial"/>
          <w:sz w:val="20"/>
          <w:szCs w:val="20"/>
        </w:rPr>
        <w:t xml:space="preserve"> must entail “specific choices about performance measures”. Yet, resilience cannot be a goal or convey prescriptions, because it is not a precise concept. So, </w:t>
      </w:r>
      <w:r>
        <w:rPr>
          <w:rFonts w:ascii="Arial" w:hAnsi="Arial" w:cs="Arial"/>
          <w:sz w:val="20"/>
          <w:szCs w:val="20"/>
        </w:rPr>
        <w:t>etc.</w:t>
      </w:r>
      <w:r w:rsidRPr="009471B8">
        <w:rPr>
          <w:rFonts w:ascii="Arial" w:hAnsi="Arial" w:cs="Arial"/>
          <w:sz w:val="20"/>
          <w:szCs w:val="20"/>
        </w:rPr>
        <w:t xml:space="preserve"> (Anderies et al. 2013).</w:t>
      </w:r>
      <w:r>
        <w:rPr>
          <w:rFonts w:ascii="Arial" w:hAnsi="Arial" w:cs="Arial"/>
          <w:sz w:val="20"/>
          <w:szCs w:val="20"/>
        </w:rPr>
        <w:t xml:space="preserve"> </w:t>
      </w:r>
    </w:p>
    <w:p w14:paraId="0581D479" w14:textId="77777777" w:rsidR="00661EA0" w:rsidRPr="009471B8" w:rsidRDefault="00661EA0" w:rsidP="00661EA0">
      <w:pPr>
        <w:pStyle w:val="ListParagraph"/>
        <w:numPr>
          <w:ilvl w:val="0"/>
          <w:numId w:val="12"/>
        </w:numPr>
        <w:spacing w:after="120"/>
        <w:ind w:left="425" w:hanging="153"/>
        <w:contextualSpacing w:val="0"/>
        <w:jc w:val="both"/>
        <w:rPr>
          <w:rFonts w:ascii="Arial" w:hAnsi="Arial" w:cs="Arial"/>
          <w:sz w:val="20"/>
          <w:szCs w:val="20"/>
        </w:rPr>
      </w:pPr>
      <w:r w:rsidRPr="009471B8">
        <w:rPr>
          <w:rFonts w:ascii="Arial" w:hAnsi="Arial" w:cs="Arial"/>
          <w:sz w:val="20"/>
          <w:szCs w:val="20"/>
        </w:rPr>
        <w:t xml:space="preserve">A normative concept </w:t>
      </w:r>
      <w:r>
        <w:rPr>
          <w:rFonts w:ascii="Arial" w:hAnsi="Arial" w:cs="Arial"/>
          <w:sz w:val="20"/>
          <w:szCs w:val="20"/>
        </w:rPr>
        <w:t>cannot be ambivalent: it must</w:t>
      </w:r>
      <w:r w:rsidRPr="009471B8">
        <w:rPr>
          <w:rFonts w:ascii="Arial" w:hAnsi="Arial" w:cs="Arial"/>
          <w:sz w:val="20"/>
          <w:szCs w:val="20"/>
        </w:rPr>
        <w:t xml:space="preserve"> </w:t>
      </w:r>
      <w:r w:rsidRPr="004F69E5">
        <w:rPr>
          <w:rFonts w:ascii="Arial" w:hAnsi="Arial" w:cs="Arial"/>
          <w:b/>
          <w:sz w:val="20"/>
          <w:szCs w:val="20"/>
        </w:rPr>
        <w:t>either</w:t>
      </w:r>
      <w:r w:rsidRPr="009471B8">
        <w:rPr>
          <w:rFonts w:ascii="Arial" w:hAnsi="Arial" w:cs="Arial"/>
          <w:sz w:val="20"/>
          <w:szCs w:val="20"/>
        </w:rPr>
        <w:t xml:space="preserve"> imply </w:t>
      </w:r>
      <w:r>
        <w:rPr>
          <w:rFonts w:ascii="Arial" w:hAnsi="Arial" w:cs="Arial"/>
          <w:sz w:val="20"/>
          <w:szCs w:val="20"/>
        </w:rPr>
        <w:t>something positive (desirable)</w:t>
      </w:r>
      <w:r w:rsidRPr="009471B8">
        <w:rPr>
          <w:rFonts w:ascii="Arial" w:hAnsi="Arial" w:cs="Arial"/>
          <w:sz w:val="20"/>
          <w:szCs w:val="20"/>
        </w:rPr>
        <w:t xml:space="preserve">, </w:t>
      </w:r>
      <w:r w:rsidRPr="004F69E5">
        <w:rPr>
          <w:rFonts w:ascii="Arial" w:hAnsi="Arial" w:cs="Arial"/>
          <w:b/>
          <w:sz w:val="20"/>
          <w:szCs w:val="20"/>
        </w:rPr>
        <w:t>or</w:t>
      </w:r>
      <w:r w:rsidRPr="009471B8">
        <w:rPr>
          <w:rFonts w:ascii="Arial" w:hAnsi="Arial" w:cs="Arial"/>
          <w:sz w:val="20"/>
          <w:szCs w:val="20"/>
        </w:rPr>
        <w:t xml:space="preserve"> </w:t>
      </w:r>
      <w:r>
        <w:rPr>
          <w:rFonts w:ascii="Arial" w:hAnsi="Arial" w:cs="Arial"/>
          <w:sz w:val="20"/>
          <w:szCs w:val="20"/>
        </w:rPr>
        <w:t>negative (undesirable), in the following way</w:t>
      </w:r>
      <w:r w:rsidRPr="009471B8">
        <w:rPr>
          <w:rFonts w:ascii="Arial" w:hAnsi="Arial" w:cs="Arial"/>
          <w:sz w:val="20"/>
          <w:szCs w:val="20"/>
        </w:rPr>
        <w:t xml:space="preserve">. </w:t>
      </w:r>
    </w:p>
    <w:p w14:paraId="60C0D04A" w14:textId="77777777" w:rsidR="00661EA0" w:rsidRDefault="00661EA0" w:rsidP="00661EA0">
      <w:pPr>
        <w:pStyle w:val="CommentText"/>
        <w:numPr>
          <w:ilvl w:val="0"/>
          <w:numId w:val="11"/>
        </w:numPr>
        <w:spacing w:after="120" w:line="276" w:lineRule="auto"/>
        <w:ind w:left="993" w:hanging="295"/>
        <w:jc w:val="both"/>
        <w:rPr>
          <w:rFonts w:ascii="Arial" w:hAnsi="Arial" w:cs="Arial"/>
        </w:rPr>
      </w:pPr>
      <w:r w:rsidRPr="00512E80">
        <w:rPr>
          <w:rFonts w:ascii="Arial" w:hAnsi="Arial" w:cs="Arial"/>
          <w:b/>
        </w:rPr>
        <w:t>intrinsically</w:t>
      </w:r>
      <w:r w:rsidRPr="004324FF">
        <w:rPr>
          <w:rFonts w:ascii="Arial" w:hAnsi="Arial" w:cs="Arial"/>
        </w:rPr>
        <w:t xml:space="preserve">, </w:t>
      </w:r>
      <w:r>
        <w:rPr>
          <w:rFonts w:ascii="Arial" w:hAnsi="Arial" w:cs="Arial"/>
        </w:rPr>
        <w:t xml:space="preserve">e.g. </w:t>
      </w:r>
      <w:r w:rsidRPr="004324FF">
        <w:rPr>
          <w:rFonts w:ascii="Arial" w:hAnsi="Arial" w:cs="Arial"/>
        </w:rPr>
        <w:t>good as an end</w:t>
      </w:r>
      <w:r>
        <w:rPr>
          <w:rFonts w:ascii="Arial" w:hAnsi="Arial" w:cs="Arial"/>
        </w:rPr>
        <w:t>/as such</w:t>
      </w:r>
      <w:r w:rsidRPr="004324FF">
        <w:rPr>
          <w:rFonts w:ascii="Arial" w:hAnsi="Arial" w:cs="Arial"/>
        </w:rPr>
        <w:t>, as opposed to “good as X”, “good for X”, etc.: for example, dictatorships are undesirable as such, and sustainability is desirable as such;</w:t>
      </w:r>
      <w:r>
        <w:rPr>
          <w:rFonts w:ascii="Arial" w:hAnsi="Arial" w:cs="Arial"/>
        </w:rPr>
        <w:t xml:space="preserve"> whether resilience is desirable depends on the system in question.</w:t>
      </w:r>
    </w:p>
    <w:p w14:paraId="600398C6" w14:textId="1AC55C4B" w:rsidR="00661EA0" w:rsidRDefault="00661EA0" w:rsidP="00661EA0">
      <w:pPr>
        <w:pStyle w:val="CommentText"/>
        <w:numPr>
          <w:ilvl w:val="0"/>
          <w:numId w:val="11"/>
        </w:numPr>
        <w:spacing w:after="120" w:line="276" w:lineRule="auto"/>
        <w:ind w:left="993" w:hanging="295"/>
        <w:jc w:val="both"/>
        <w:rPr>
          <w:rFonts w:ascii="Arial" w:hAnsi="Arial" w:cs="Arial"/>
        </w:rPr>
      </w:pPr>
      <w:r w:rsidRPr="00512E80">
        <w:rPr>
          <w:rFonts w:ascii="Arial" w:hAnsi="Arial" w:cs="Arial"/>
          <w:b/>
        </w:rPr>
        <w:t>consistently</w:t>
      </w:r>
      <w:r>
        <w:rPr>
          <w:rFonts w:ascii="Arial" w:hAnsi="Arial" w:cs="Arial"/>
        </w:rPr>
        <w:t xml:space="preserve">: it is desirable OR </w:t>
      </w:r>
      <w:r w:rsidRPr="004324FF">
        <w:rPr>
          <w:rFonts w:ascii="Arial" w:hAnsi="Arial" w:cs="Arial"/>
        </w:rPr>
        <w:t>undesirable</w:t>
      </w:r>
      <w:r>
        <w:rPr>
          <w:rFonts w:ascii="Arial" w:hAnsi="Arial" w:cs="Arial"/>
        </w:rPr>
        <w:t>,</w:t>
      </w:r>
      <w:r w:rsidRPr="004324FF">
        <w:rPr>
          <w:rFonts w:ascii="Arial" w:hAnsi="Arial" w:cs="Arial"/>
        </w:rPr>
        <w:t xml:space="preserve"> always and under any circumstance.</w:t>
      </w:r>
      <w:r>
        <w:rPr>
          <w:rFonts w:ascii="Arial" w:hAnsi="Arial" w:cs="Arial"/>
        </w:rPr>
        <w:t xml:space="preserve"> R</w:t>
      </w:r>
      <w:r w:rsidRPr="009471B8">
        <w:rPr>
          <w:rFonts w:ascii="Arial" w:hAnsi="Arial" w:cs="Arial"/>
        </w:rPr>
        <w:t>esilience</w:t>
      </w:r>
      <w:r>
        <w:rPr>
          <w:rFonts w:ascii="Arial" w:hAnsi="Arial" w:cs="Arial"/>
        </w:rPr>
        <w:t xml:space="preserve"> </w:t>
      </w:r>
      <w:r w:rsidRPr="009471B8">
        <w:rPr>
          <w:rFonts w:ascii="Arial" w:hAnsi="Arial" w:cs="Arial"/>
        </w:rPr>
        <w:t xml:space="preserve">can be desirable or undesirable: poverty traps </w:t>
      </w:r>
      <w:r w:rsidRPr="009471B8">
        <w:rPr>
          <w:rFonts w:ascii="Arial" w:hAnsi="Arial" w:cs="Arial"/>
          <w:bCs/>
          <w:lang w:val="en-GB"/>
        </w:rPr>
        <w:t>and</w:t>
      </w:r>
      <w:r w:rsidRPr="009471B8">
        <w:rPr>
          <w:rFonts w:ascii="Arial" w:hAnsi="Arial" w:cs="Arial"/>
        </w:rPr>
        <w:t xml:space="preserve"> rigidity traps are, by definition, very resilient, and there exist both resilient democracies and resilient dictatorships.</w:t>
      </w:r>
    </w:p>
    <w:p w14:paraId="0508C15F" w14:textId="77777777" w:rsidR="00661EA0" w:rsidRDefault="00661EA0" w:rsidP="00661EA0">
      <w:pPr>
        <w:pStyle w:val="CommentText"/>
        <w:numPr>
          <w:ilvl w:val="0"/>
          <w:numId w:val="11"/>
        </w:numPr>
        <w:spacing w:after="120" w:line="276" w:lineRule="auto"/>
        <w:ind w:left="993" w:hanging="295"/>
        <w:jc w:val="both"/>
        <w:rPr>
          <w:rFonts w:ascii="Arial" w:hAnsi="Arial" w:cs="Arial"/>
        </w:rPr>
      </w:pPr>
      <w:r w:rsidRPr="00512E80">
        <w:rPr>
          <w:rFonts w:ascii="Arial" w:hAnsi="Arial" w:cs="Arial"/>
          <w:b/>
        </w:rPr>
        <w:t>exhaustively</w:t>
      </w:r>
      <w:r w:rsidRPr="004324FF">
        <w:rPr>
          <w:rFonts w:ascii="Arial" w:hAnsi="Arial" w:cs="Arial"/>
        </w:rPr>
        <w:t xml:space="preserve">: </w:t>
      </w:r>
      <w:r>
        <w:rPr>
          <w:rFonts w:ascii="Arial" w:hAnsi="Arial" w:cs="Arial"/>
        </w:rPr>
        <w:t>captures</w:t>
      </w:r>
      <w:r w:rsidRPr="004324FF">
        <w:rPr>
          <w:rFonts w:ascii="Arial" w:hAnsi="Arial" w:cs="Arial"/>
        </w:rPr>
        <w:t xml:space="preserve"> </w:t>
      </w:r>
      <w:r>
        <w:rPr>
          <w:rFonts w:ascii="Arial" w:hAnsi="Arial" w:cs="Arial"/>
        </w:rPr>
        <w:t>everything</w:t>
      </w:r>
      <w:r w:rsidRPr="004324FF">
        <w:rPr>
          <w:rFonts w:ascii="Arial" w:hAnsi="Arial" w:cs="Arial"/>
        </w:rPr>
        <w:t xml:space="preserve"> good/bad: </w:t>
      </w:r>
      <w:r>
        <w:rPr>
          <w:rFonts w:ascii="Arial" w:hAnsi="Arial" w:cs="Arial"/>
        </w:rPr>
        <w:t>e.g.</w:t>
      </w:r>
      <w:r w:rsidRPr="004324FF">
        <w:rPr>
          <w:rFonts w:ascii="Arial" w:hAnsi="Arial" w:cs="Arial"/>
        </w:rPr>
        <w:t xml:space="preserve"> </w:t>
      </w:r>
      <w:r>
        <w:rPr>
          <w:rFonts w:ascii="Arial" w:hAnsi="Arial" w:cs="Arial"/>
        </w:rPr>
        <w:t>something</w:t>
      </w:r>
      <w:r w:rsidRPr="004324FF">
        <w:rPr>
          <w:rFonts w:ascii="Arial" w:hAnsi="Arial" w:cs="Arial"/>
        </w:rPr>
        <w:t xml:space="preserve"> sustainable cannot be bad in some </w:t>
      </w:r>
      <w:r>
        <w:rPr>
          <w:rFonts w:ascii="Arial" w:hAnsi="Arial" w:cs="Arial"/>
        </w:rPr>
        <w:t>way</w:t>
      </w:r>
      <w:r w:rsidRPr="004324FF">
        <w:rPr>
          <w:rFonts w:ascii="Arial" w:hAnsi="Arial" w:cs="Arial"/>
        </w:rPr>
        <w:t xml:space="preserve">. </w:t>
      </w:r>
      <w:r>
        <w:rPr>
          <w:rFonts w:ascii="Arial" w:hAnsi="Arial" w:cs="Arial"/>
        </w:rPr>
        <w:t>R</w:t>
      </w:r>
      <w:r w:rsidRPr="009471B8">
        <w:rPr>
          <w:rFonts w:ascii="Arial" w:hAnsi="Arial" w:cs="Arial"/>
        </w:rPr>
        <w:t xml:space="preserve">esilience </w:t>
      </w:r>
      <w:r>
        <w:rPr>
          <w:rFonts w:ascii="Arial" w:hAnsi="Arial" w:cs="Arial"/>
        </w:rPr>
        <w:t xml:space="preserve">is </w:t>
      </w:r>
      <w:r w:rsidRPr="009471B8">
        <w:rPr>
          <w:rFonts w:ascii="Arial" w:hAnsi="Arial" w:cs="Arial"/>
        </w:rPr>
        <w:t>“distinct from sustainability [in that we] seldom hear of sustainable dictatorships, but there are resilient dictatorships.” (Anderies et al. 2013, 5).</w:t>
      </w:r>
      <w:r w:rsidRPr="004324FF">
        <w:rPr>
          <w:rFonts w:ascii="Arial" w:hAnsi="Arial" w:cs="Arial"/>
        </w:rPr>
        <w:t xml:space="preserve"> </w:t>
      </w:r>
    </w:p>
    <w:p w14:paraId="3BEEFA08" w14:textId="77777777" w:rsidR="00661EA0" w:rsidRDefault="00661EA0" w:rsidP="00661EA0">
      <w:pPr>
        <w:pStyle w:val="CommentText"/>
        <w:spacing w:after="120" w:line="276" w:lineRule="auto"/>
        <w:ind w:left="426"/>
        <w:jc w:val="both"/>
        <w:rPr>
          <w:rFonts w:ascii="Arial" w:hAnsi="Arial" w:cs="Arial"/>
        </w:rPr>
      </w:pPr>
      <w:r>
        <w:rPr>
          <w:rFonts w:ascii="Arial" w:hAnsi="Arial" w:cs="Arial"/>
        </w:rPr>
        <w:t>Resilience is ambivalent, and so it is not normative.</w:t>
      </w:r>
    </w:p>
    <w:p w14:paraId="59FAD84D" w14:textId="17755BF8" w:rsidR="00661EA0" w:rsidRDefault="00661EA0" w:rsidP="00661EA0">
      <w:pPr>
        <w:spacing w:after="120"/>
        <w:jc w:val="both"/>
        <w:rPr>
          <w:rFonts w:ascii="Arial" w:hAnsi="Arial" w:cs="Arial"/>
          <w:sz w:val="20"/>
          <w:szCs w:val="20"/>
        </w:rPr>
      </w:pPr>
      <w:r>
        <w:rPr>
          <w:rFonts w:ascii="Arial" w:eastAsia="Cambria" w:hAnsi="Arial" w:cs="Arial"/>
          <w:sz w:val="20"/>
          <w:szCs w:val="20"/>
        </w:rPr>
        <w:t xml:space="preserve">Given these considerations, for example, Derissen </w:t>
      </w:r>
      <w:r w:rsidR="00B83F2E">
        <w:rPr>
          <w:rFonts w:ascii="Arial" w:eastAsia="Cambria" w:hAnsi="Arial" w:cs="Arial"/>
          <w:sz w:val="20"/>
          <w:szCs w:val="20"/>
        </w:rPr>
        <w:fldChar w:fldCharType="begin"/>
      </w:r>
      <w:r w:rsidR="00B83F2E">
        <w:rPr>
          <w:rFonts w:ascii="Arial" w:eastAsia="Cambria" w:hAnsi="Arial" w:cs="Arial"/>
          <w:sz w:val="20"/>
          <w:szCs w:val="20"/>
        </w:rPr>
        <w:instrText xml:space="preserve"> ADDIN EN.CITE &lt;EndNote&gt;&lt;Cite ExcludeAuth="1" ExcludeYear="1" Hidden="1"&gt;&lt;Author&gt;Derissen&lt;/Author&gt;&lt;Year&gt;2011&lt;/Year&gt;&lt;RecNum&gt;42&lt;/RecNum&gt;&lt;record&gt;&lt;rec-number&gt;42&lt;/rec-number&gt;&lt;foreign-keys&gt;&lt;key app="EN" db-id="tfxzfpdv5efxzie5r0cxred3pfres2ffz5as" timestamp="1574609225"&gt;42&lt;/key&gt;&lt;/foreign-keys&gt;&lt;ref-type name="Journal Article"&gt;17&lt;/ref-type&gt;&lt;contributors&gt;&lt;authors&gt;&lt;author&gt;Derissen, Sandra&lt;/author&gt;&lt;author&gt;Quaas, Martin F.&lt;/author&gt;&lt;author&gt;Baumgärtner, Stefan&lt;/author&gt;&lt;/authors&gt;&lt;/contributors&gt;&lt;titles&gt;&lt;title&gt;The relationship between resilience and sustainability of ecological-economic systems.&lt;/title&gt;&lt;secondary-title&gt;Ecological Economics&lt;/secondary-title&gt;&lt;/titles&gt;&lt;periodical&gt;&lt;full-title&gt;Ecological Economics&lt;/full-title&gt;&lt;abbr-1&gt;Ecol. Econ.&lt;/abbr-1&gt;&lt;abbr-2&gt;Ecol Econ&lt;/abbr-2&gt;&lt;/periodical&gt;&lt;pages&gt;1121-1128&lt;/pages&gt;&lt;volume&gt;70&lt;/volume&gt;&lt;number&gt;6&lt;/number&gt;&lt;dates&gt;&lt;year&gt;2011&lt;/year&gt;&lt;pub-dates&gt;&lt;date&gt;2011/04&lt;/date&gt;&lt;/pub-dates&gt;&lt;/dates&gt;&lt;publisher&gt;Elsevier BV&lt;/publisher&gt;&lt;isbn&gt;0921-8009&lt;/isbn&gt;&lt;urls&gt;&lt;related-urls&gt;&lt;url&gt;http://dx.doi.org/10.1016/j.ecolecon.2011.01.003&lt;/url&gt;&lt;url&gt;https://www.sciencedirect.com/science/article/pii/S0921800911000103?via%3Dihub&lt;/url&gt;&lt;/related-urls&gt;&lt;/urls&gt;&lt;electronic-resource-num&gt;10.1016/j.ecolecon.2011.01.003&lt;/electronic-resource-num&gt;&lt;/record&gt;&lt;/Cite&gt;&lt;/EndNote&gt;</w:instrText>
      </w:r>
      <w:r w:rsidR="00B83F2E">
        <w:rPr>
          <w:rFonts w:ascii="Arial" w:eastAsia="Cambria" w:hAnsi="Arial" w:cs="Arial"/>
          <w:sz w:val="20"/>
          <w:szCs w:val="20"/>
        </w:rPr>
        <w:fldChar w:fldCharType="end"/>
      </w:r>
      <w:r>
        <w:rPr>
          <w:rFonts w:ascii="Arial" w:eastAsia="Cambria" w:hAnsi="Arial" w:cs="Arial"/>
          <w:sz w:val="20"/>
          <w:szCs w:val="20"/>
        </w:rPr>
        <w:t xml:space="preserve">et al. (2011) claim that sustainability is a moral (normative) </w:t>
      </w:r>
      <w:r w:rsidRPr="008755F3">
        <w:rPr>
          <w:rFonts w:ascii="Arial" w:hAnsi="Arial" w:cs="Arial"/>
          <w:bCs/>
          <w:sz w:val="20"/>
          <w:lang w:val="en-GB"/>
        </w:rPr>
        <w:t>concept</w:t>
      </w:r>
      <w:r>
        <w:rPr>
          <w:rFonts w:ascii="Arial" w:eastAsia="Cambria" w:hAnsi="Arial" w:cs="Arial"/>
          <w:sz w:val="20"/>
          <w:szCs w:val="20"/>
        </w:rPr>
        <w:t>, while resilience, in contrast, is a complex systems theory concept, or an ecological concept. One consequence of this view of resilience is that, alt</w:t>
      </w:r>
      <w:r w:rsidRPr="00985F52">
        <w:rPr>
          <w:rFonts w:ascii="Arial" w:hAnsi="Arial" w:cs="Arial"/>
          <w:sz w:val="20"/>
          <w:szCs w:val="20"/>
        </w:rPr>
        <w:t xml:space="preserve">hough managers and policy-makers need </w:t>
      </w:r>
      <w:r w:rsidRPr="00985F52">
        <w:rPr>
          <w:rFonts w:ascii="Arial" w:hAnsi="Arial" w:cs="Arial"/>
          <w:sz w:val="20"/>
          <w:szCs w:val="20"/>
        </w:rPr>
        <w:lastRenderedPageBreak/>
        <w:t xml:space="preserve">to take resilience into account, resilience cannot be a design or management goal. Sometimes we </w:t>
      </w:r>
      <w:r>
        <w:rPr>
          <w:rFonts w:ascii="Arial" w:hAnsi="Arial" w:cs="Arial"/>
          <w:sz w:val="20"/>
          <w:szCs w:val="20"/>
        </w:rPr>
        <w:t>might want to improve</w:t>
      </w:r>
      <w:r w:rsidRPr="00985F52">
        <w:rPr>
          <w:rFonts w:ascii="Arial" w:hAnsi="Arial" w:cs="Arial"/>
          <w:sz w:val="20"/>
          <w:szCs w:val="20"/>
        </w:rPr>
        <w:t xml:space="preserve"> resilience, but, if the system is in an undesirable state, we want to fight resilience and ultimately erode it. </w:t>
      </w:r>
      <w:r>
        <w:rPr>
          <w:rFonts w:ascii="Arial" w:hAnsi="Arial" w:cs="Arial"/>
          <w:sz w:val="20"/>
          <w:szCs w:val="20"/>
        </w:rPr>
        <w:t>In other words</w:t>
      </w:r>
      <w:r w:rsidRPr="00985F52">
        <w:rPr>
          <w:rFonts w:ascii="Arial" w:hAnsi="Arial" w:cs="Arial"/>
          <w:sz w:val="20"/>
          <w:szCs w:val="20"/>
        </w:rPr>
        <w:t xml:space="preserve">, we </w:t>
      </w:r>
      <w:r>
        <w:rPr>
          <w:rFonts w:ascii="Arial" w:hAnsi="Arial" w:cs="Arial"/>
          <w:sz w:val="20"/>
          <w:szCs w:val="20"/>
        </w:rPr>
        <w:t>should</w:t>
      </w:r>
      <w:r w:rsidRPr="00985F52">
        <w:rPr>
          <w:rFonts w:ascii="Arial" w:hAnsi="Arial" w:cs="Arial"/>
          <w:sz w:val="20"/>
          <w:szCs w:val="20"/>
        </w:rPr>
        <w:t xml:space="preserve"> not “manage for resilience”, but “manage resilience”. </w:t>
      </w:r>
      <w:r>
        <w:rPr>
          <w:rFonts w:ascii="Arial" w:hAnsi="Arial" w:cs="Arial"/>
          <w:sz w:val="20"/>
          <w:szCs w:val="20"/>
        </w:rPr>
        <w:t>For example:</w:t>
      </w:r>
    </w:p>
    <w:p w14:paraId="0748E22F" w14:textId="7C4825AF" w:rsidR="00661EA0" w:rsidRPr="00985F52" w:rsidRDefault="00661EA0" w:rsidP="00661EA0">
      <w:pPr>
        <w:spacing w:after="120" w:line="276" w:lineRule="auto"/>
        <w:ind w:left="426"/>
        <w:jc w:val="both"/>
        <w:rPr>
          <w:rFonts w:ascii="Arial" w:hAnsi="Arial" w:cs="Arial"/>
          <w:sz w:val="20"/>
          <w:szCs w:val="20"/>
        </w:rPr>
      </w:pPr>
      <w:r w:rsidRPr="00985F52">
        <w:rPr>
          <w:rFonts w:ascii="Arial" w:hAnsi="Arial" w:cs="Arial"/>
          <w:sz w:val="20"/>
          <w:szCs w:val="20"/>
        </w:rPr>
        <w:t>“Governance for sustainability will require active management of resilience by either reduc</w:t>
      </w:r>
      <w:r>
        <w:rPr>
          <w:rFonts w:ascii="Arial" w:hAnsi="Arial" w:cs="Arial"/>
          <w:sz w:val="20"/>
          <w:szCs w:val="20"/>
        </w:rPr>
        <w:t>ing or strengthening resilience</w:t>
      </w:r>
      <w:r w:rsidRPr="00985F52">
        <w:rPr>
          <w:rFonts w:ascii="Arial" w:hAnsi="Arial" w:cs="Arial"/>
          <w:sz w:val="20"/>
          <w:szCs w:val="20"/>
        </w:rPr>
        <w:t>”</w:t>
      </w:r>
      <w:r>
        <w:rPr>
          <w:rFonts w:ascii="Arial" w:hAnsi="Arial" w:cs="Arial"/>
          <w:sz w:val="20"/>
          <w:szCs w:val="20"/>
        </w:rPr>
        <w:t xml:space="preserve"> (Elmqvist </w:t>
      </w:r>
      <w:r w:rsidR="00B83F2E">
        <w:rPr>
          <w:rFonts w:ascii="Arial" w:hAnsi="Arial" w:cs="Arial"/>
          <w:sz w:val="20"/>
          <w:szCs w:val="20"/>
        </w:rPr>
        <w:fldChar w:fldCharType="begin"/>
      </w:r>
      <w:r w:rsidR="00B83F2E">
        <w:rPr>
          <w:rFonts w:ascii="Arial" w:hAnsi="Arial" w:cs="Arial"/>
          <w:sz w:val="20"/>
          <w:szCs w:val="20"/>
        </w:rPr>
        <w:instrText xml:space="preserve"> ADDIN EN.CITE &lt;EndNote&gt;&lt;Cite ExcludeAuth="1" ExcludeYear="1" Hidden="1"&gt;&lt;Author&gt;Elmqvist&lt;/Author&gt;&lt;Year&gt;2019&lt;/Year&gt;&lt;RecNum&gt;397&lt;/RecNum&gt;&lt;record&gt;&lt;rec-number&gt;397&lt;/rec-number&gt;&lt;foreign-keys&gt;&lt;key app="EN" db-id="tfxzfpdv5efxzie5r0cxred3pfres2ffz5as" timestamp="1604052462"&gt;397&lt;/key&gt;&lt;/foreign-keys&gt;&lt;ref-type name="Journal Article"&gt;17&lt;/ref-type&gt;&lt;contributors&gt;&lt;authors&gt;&lt;author&gt;Elmqvist, Thomas&lt;/author&gt;&lt;author&gt;Andersson, Erik&lt;/author&gt;&lt;author&gt;Frantzeskaki, Niki&lt;/author&gt;&lt;author&gt;McPhearson, Timon&lt;/author&gt;&lt;author&gt;Gaffney, Owen&lt;/author&gt;&lt;author&gt;Takeuchi, Kazuhiko&lt;/author&gt;&lt;author&gt;Folke, Carl&lt;/author&gt;&lt;/authors&gt;&lt;/contributors&gt;&lt;titles&gt;&lt;title&gt;Sustainability and resilience for transformation in the urban century&lt;/title&gt;&lt;secondary-title&gt;Nature Sustainability&lt;/secondary-title&gt;&lt;/titles&gt;&lt;periodical&gt;&lt;full-title&gt;Nature Sustainability&lt;/full-title&gt;&lt;/periodical&gt;&lt;volume&gt;2&lt;/volume&gt;&lt;dates&gt;&lt;year&gt;2019&lt;/year&gt;&lt;pub-dates&gt;&lt;date&gt;04/09&lt;/date&gt;&lt;/pub-dates&gt;&lt;/dates&gt;&lt;urls&gt;&lt;/urls&gt;&lt;electronic-resource-num&gt;10.1038/s41893-019-0250-1&lt;/electronic-resource-num&gt;&lt;/record&gt;&lt;/Cite&gt;&lt;/EndNote&gt;</w:instrText>
      </w:r>
      <w:r w:rsidR="00B83F2E">
        <w:rPr>
          <w:rFonts w:ascii="Arial" w:hAnsi="Arial" w:cs="Arial"/>
          <w:sz w:val="20"/>
          <w:szCs w:val="20"/>
        </w:rPr>
        <w:fldChar w:fldCharType="end"/>
      </w:r>
      <w:r>
        <w:rPr>
          <w:rFonts w:ascii="Arial" w:hAnsi="Arial" w:cs="Arial"/>
          <w:sz w:val="20"/>
          <w:szCs w:val="20"/>
        </w:rPr>
        <w:t xml:space="preserve">et al. </w:t>
      </w:r>
      <w:r w:rsidRPr="00985F52">
        <w:rPr>
          <w:rFonts w:ascii="Arial" w:hAnsi="Arial" w:cs="Arial"/>
          <w:sz w:val="20"/>
          <w:szCs w:val="20"/>
        </w:rPr>
        <w:t>2019, 5)</w:t>
      </w:r>
      <w:r>
        <w:rPr>
          <w:rFonts w:ascii="Arial" w:hAnsi="Arial" w:cs="Arial"/>
          <w:sz w:val="20"/>
          <w:szCs w:val="20"/>
        </w:rPr>
        <w:t>.</w:t>
      </w:r>
    </w:p>
    <w:p w14:paraId="1219E13F" w14:textId="10838B37" w:rsidR="00661EA0" w:rsidRPr="009843D3" w:rsidRDefault="00661EA0" w:rsidP="00661EA0">
      <w:pPr>
        <w:jc w:val="both"/>
        <w:rPr>
          <w:rFonts w:ascii="Arial" w:eastAsia="Cambria" w:hAnsi="Arial" w:cs="Arial"/>
          <w:sz w:val="20"/>
          <w:szCs w:val="20"/>
        </w:rPr>
      </w:pPr>
      <w:r>
        <w:rPr>
          <w:rFonts w:ascii="Arial" w:eastAsia="Cambria" w:hAnsi="Arial" w:cs="Arial"/>
          <w:sz w:val="20"/>
          <w:szCs w:val="20"/>
        </w:rPr>
        <w:t xml:space="preserve">This view does not deny that managing resilience involves making normative choices. This is unavoidable in </w:t>
      </w:r>
      <w:r w:rsidRPr="008755F3">
        <w:rPr>
          <w:rFonts w:ascii="Arial" w:hAnsi="Arial" w:cs="Arial"/>
          <w:bCs/>
          <w:sz w:val="20"/>
        </w:rPr>
        <w:t>operations</w:t>
      </w:r>
      <w:r w:rsidRPr="005A49A3">
        <w:rPr>
          <w:rFonts w:ascii="Arial" w:eastAsia="Cambria" w:hAnsi="Arial" w:cs="Arial"/>
          <w:sz w:val="20"/>
          <w:szCs w:val="20"/>
        </w:rPr>
        <w:t xml:space="preserve"> </w:t>
      </w:r>
      <w:r>
        <w:rPr>
          <w:rFonts w:ascii="Arial" w:eastAsia="Cambria" w:hAnsi="Arial" w:cs="Arial"/>
          <w:sz w:val="20"/>
          <w:szCs w:val="20"/>
        </w:rPr>
        <w:t>such as</w:t>
      </w:r>
      <w:r w:rsidRPr="005A49A3">
        <w:rPr>
          <w:rFonts w:ascii="Arial" w:eastAsia="Cambria" w:hAnsi="Arial" w:cs="Arial"/>
          <w:sz w:val="20"/>
          <w:szCs w:val="20"/>
        </w:rPr>
        <w:t xml:space="preserve"> selecting a system, a social theory, a disturbance of interes</w:t>
      </w:r>
      <w:r>
        <w:rPr>
          <w:rFonts w:ascii="Arial" w:eastAsia="Cambria" w:hAnsi="Arial" w:cs="Arial"/>
          <w:sz w:val="20"/>
          <w:szCs w:val="20"/>
        </w:rPr>
        <w:t>t</w:t>
      </w:r>
      <w:r w:rsidRPr="005A49A3">
        <w:rPr>
          <w:rFonts w:ascii="Arial" w:eastAsia="Cambria" w:hAnsi="Arial" w:cs="Arial"/>
          <w:sz w:val="20"/>
          <w:szCs w:val="20"/>
        </w:rPr>
        <w:t xml:space="preserve"> or a critical property to maintain</w:t>
      </w:r>
      <w:r>
        <w:rPr>
          <w:rFonts w:ascii="Arial" w:eastAsia="Cambria" w:hAnsi="Arial" w:cs="Arial"/>
          <w:sz w:val="20"/>
          <w:szCs w:val="20"/>
        </w:rPr>
        <w:t xml:space="preserve"> after disturbance (Brandt &amp; Jax 2007; Thorén </w:t>
      </w:r>
      <w:r w:rsidR="00B83F2E">
        <w:rPr>
          <w:rFonts w:ascii="Arial" w:eastAsia="Cambria" w:hAnsi="Arial" w:cs="Arial"/>
          <w:sz w:val="20"/>
          <w:szCs w:val="20"/>
        </w:rPr>
        <w:fldChar w:fldCharType="begin"/>
      </w:r>
      <w:r w:rsidR="00B83F2E">
        <w:rPr>
          <w:rFonts w:ascii="Arial" w:eastAsia="Cambria" w:hAnsi="Arial" w:cs="Arial"/>
          <w:sz w:val="20"/>
          <w:szCs w:val="20"/>
        </w:rPr>
        <w:instrText xml:space="preserve"> ADDIN EN.CITE &lt;EndNote&gt;&lt;Cite ExcludeAuth="1" ExcludeYear="1" Hidden="1"&gt;&lt;Author&gt;Thorén&lt;/Author&gt;&lt;Year&gt;2017&lt;/Year&gt;&lt;RecNum&gt;140&lt;/RecNum&gt;&lt;record&gt;&lt;rec-number&gt;140&lt;/rec-number&gt;&lt;foreign-keys&gt;&lt;key app="EN" db-id="tfxzfpdv5efxzie5r0cxred3pfres2ffz5as" timestamp="1574609226"&gt;140&lt;/key&gt;&lt;/foreign-keys&gt;&lt;ref-type name="Journal Article"&gt;17&lt;/ref-type&gt;&lt;contributors&gt;&lt;authors&gt;&lt;author&gt;Thorén, Henrik&lt;/author&gt;&lt;author&gt;Olsson, Lennart&lt;/author&gt;&lt;/authors&gt;&lt;/contributors&gt;&lt;titles&gt;&lt;title&gt;Is resilience a normative concept?&lt;/title&gt;&lt;secondary-title&gt;Resilience&lt;/secondary-title&gt;&lt;/titles&gt;&lt;pages&gt;112-128&lt;/pages&gt;&lt;volume&gt;6&lt;/volume&gt;&lt;number&gt;2&lt;/number&gt;&lt;dates&gt;&lt;year&gt;2017&lt;/year&gt;&lt;pub-dates&gt;&lt;date&gt;2017/11/29&lt;/date&gt;&lt;/pub-dates&gt;&lt;/dates&gt;&lt;publisher&gt;Informa UK Limited&lt;/publisher&gt;&lt;isbn&gt;2169-3293&amp;#xD;2169-3307&lt;/isbn&gt;&lt;urls&gt;&lt;related-urls&gt;&lt;url&gt;http://dx.doi.org/10.1080/21693293.2017.1406842&lt;/url&gt;&lt;url&gt;https://www.tandfonline.com/doi/full/10.1080/21693293.2017.1406842&lt;/url&gt;&lt;/related-urls&gt;&lt;/urls&gt;&lt;electronic-resource-num&gt;10.1080/21693293.2017.1406842&lt;/electronic-resource-num&gt;&lt;/record&gt;&lt;/Cite&gt;&lt;/EndNote&gt;</w:instrText>
      </w:r>
      <w:r w:rsidR="00B83F2E">
        <w:rPr>
          <w:rFonts w:ascii="Arial" w:eastAsia="Cambria" w:hAnsi="Arial" w:cs="Arial"/>
          <w:sz w:val="20"/>
          <w:szCs w:val="20"/>
        </w:rPr>
        <w:fldChar w:fldCharType="end"/>
      </w:r>
      <w:r>
        <w:rPr>
          <w:rFonts w:ascii="Arial" w:eastAsia="Cambria" w:hAnsi="Arial" w:cs="Arial"/>
          <w:sz w:val="20"/>
          <w:szCs w:val="20"/>
        </w:rPr>
        <w:t>&amp; Olsson 2017)</w:t>
      </w:r>
      <w:r w:rsidRPr="005A49A3">
        <w:rPr>
          <w:rFonts w:ascii="Arial" w:eastAsia="Cambria" w:hAnsi="Arial" w:cs="Arial"/>
          <w:sz w:val="20"/>
          <w:szCs w:val="20"/>
        </w:rPr>
        <w:t xml:space="preserve">. </w:t>
      </w:r>
      <w:r>
        <w:rPr>
          <w:rFonts w:ascii="Arial" w:eastAsia="Cambria" w:hAnsi="Arial" w:cs="Arial"/>
          <w:sz w:val="20"/>
          <w:szCs w:val="20"/>
        </w:rPr>
        <w:t>However, normativity is not implied by resilience per se, but in applying resilience as part of management or design interventions.</w:t>
      </w:r>
    </w:p>
    <w:p w14:paraId="05E2DBE6" w14:textId="77777777" w:rsidR="00661EA0" w:rsidRDefault="00661EA0" w:rsidP="00661EA0">
      <w:pPr>
        <w:pStyle w:val="ListParagraph"/>
        <w:ind w:left="0"/>
        <w:contextualSpacing w:val="0"/>
        <w:jc w:val="both"/>
        <w:rPr>
          <w:rFonts w:ascii="Arial" w:hAnsi="Arial" w:cs="Arial"/>
          <w:sz w:val="20"/>
          <w:szCs w:val="20"/>
        </w:rPr>
      </w:pPr>
    </w:p>
    <w:p w14:paraId="6B1AA7E5" w14:textId="77777777" w:rsidR="00661EA0" w:rsidRDefault="00661EA0" w:rsidP="00661EA0">
      <w:pPr>
        <w:pStyle w:val="ListParagraph"/>
        <w:numPr>
          <w:ilvl w:val="0"/>
          <w:numId w:val="10"/>
        </w:numPr>
        <w:spacing w:after="120"/>
        <w:ind w:left="142" w:hanging="295"/>
        <w:contextualSpacing w:val="0"/>
        <w:jc w:val="both"/>
        <w:rPr>
          <w:rFonts w:ascii="Arial" w:hAnsi="Arial" w:cs="Arial"/>
          <w:b/>
          <w:sz w:val="20"/>
        </w:rPr>
      </w:pPr>
      <w:r>
        <w:rPr>
          <w:rFonts w:ascii="Arial" w:hAnsi="Arial" w:cs="Arial"/>
          <w:b/>
          <w:sz w:val="20"/>
        </w:rPr>
        <w:t>Criteria pro-RD are not metaethically sound</w:t>
      </w:r>
    </w:p>
    <w:p w14:paraId="78A7F5DF" w14:textId="77777777" w:rsidR="00661EA0" w:rsidRPr="00CA1FC6" w:rsidRDefault="00661EA0" w:rsidP="00661EA0">
      <w:pPr>
        <w:jc w:val="both"/>
        <w:rPr>
          <w:rFonts w:ascii="Arial" w:hAnsi="Arial" w:cs="Arial"/>
          <w:bCs/>
          <w:color w:val="000000" w:themeColor="text1"/>
          <w:sz w:val="20"/>
          <w:lang w:val="en-GB"/>
        </w:rPr>
      </w:pPr>
      <w:r w:rsidRPr="00CA1FC6">
        <w:rPr>
          <w:rFonts w:ascii="Arial" w:hAnsi="Arial" w:cs="Arial"/>
          <w:bCs/>
          <w:color w:val="000000" w:themeColor="text1"/>
          <w:sz w:val="20"/>
          <w:lang w:val="en-GB"/>
        </w:rPr>
        <w:t>One reason why RD is wrong is that the two arguments pro-RD are not metaethically tenable.</w:t>
      </w:r>
    </w:p>
    <w:p w14:paraId="5E906B9D" w14:textId="77777777" w:rsidR="00661EA0" w:rsidRPr="00CA1FC6" w:rsidRDefault="00661EA0" w:rsidP="00661EA0">
      <w:pPr>
        <w:jc w:val="both"/>
        <w:rPr>
          <w:rFonts w:ascii="Arial" w:hAnsi="Arial" w:cs="Arial"/>
          <w:bCs/>
          <w:color w:val="000000" w:themeColor="text1"/>
          <w:sz w:val="20"/>
          <w:lang w:val="en-GB"/>
        </w:rPr>
      </w:pPr>
    </w:p>
    <w:p w14:paraId="657D4CC3" w14:textId="77777777" w:rsidR="00661EA0" w:rsidRPr="00CA1FC6" w:rsidRDefault="00661EA0" w:rsidP="00661EA0">
      <w:pPr>
        <w:pStyle w:val="ListParagraph"/>
        <w:numPr>
          <w:ilvl w:val="0"/>
          <w:numId w:val="15"/>
        </w:numPr>
        <w:spacing w:after="120"/>
        <w:ind w:left="426" w:hanging="153"/>
        <w:contextualSpacing w:val="0"/>
        <w:jc w:val="both"/>
        <w:rPr>
          <w:rFonts w:ascii="Arial" w:hAnsi="Arial" w:cs="Arial"/>
          <w:color w:val="000000" w:themeColor="text1"/>
          <w:sz w:val="20"/>
          <w:szCs w:val="20"/>
        </w:rPr>
      </w:pPr>
      <w:r>
        <w:rPr>
          <w:rFonts w:ascii="Arial" w:hAnsi="Arial" w:cs="Arial"/>
          <w:color w:val="000000" w:themeColor="text1"/>
          <w:sz w:val="20"/>
          <w:szCs w:val="20"/>
        </w:rPr>
        <w:t>This</w:t>
      </w:r>
      <w:r w:rsidRPr="00CA1FC6">
        <w:rPr>
          <w:rFonts w:ascii="Arial" w:hAnsi="Arial" w:cs="Arial"/>
          <w:color w:val="000000" w:themeColor="text1"/>
          <w:sz w:val="20"/>
          <w:szCs w:val="20"/>
        </w:rPr>
        <w:t xml:space="preserve"> criterion is absurdly wrong. If resilience was not normative for this reason, then concepts like “good” or “justice” could not be normative either.</w:t>
      </w:r>
    </w:p>
    <w:p w14:paraId="12F6AFCE" w14:textId="77777777" w:rsidR="00661EA0" w:rsidRPr="00CA1FC6" w:rsidRDefault="00661EA0" w:rsidP="00661EA0">
      <w:pPr>
        <w:pStyle w:val="ListParagraph"/>
        <w:numPr>
          <w:ilvl w:val="0"/>
          <w:numId w:val="15"/>
        </w:numPr>
        <w:spacing w:after="120"/>
        <w:ind w:left="426" w:hanging="153"/>
        <w:contextualSpacing w:val="0"/>
        <w:jc w:val="both"/>
        <w:rPr>
          <w:rFonts w:ascii="Arial" w:hAnsi="Arial" w:cs="Arial"/>
          <w:color w:val="000000" w:themeColor="text1"/>
          <w:sz w:val="20"/>
          <w:szCs w:val="20"/>
        </w:rPr>
      </w:pPr>
      <w:r w:rsidRPr="00CA1FC6">
        <w:rPr>
          <w:rFonts w:ascii="Arial" w:hAnsi="Arial" w:cs="Arial"/>
          <w:color w:val="000000" w:themeColor="text1"/>
          <w:sz w:val="20"/>
          <w:szCs w:val="20"/>
        </w:rPr>
        <w:t>The three requirements are wrong (sufficient but not necessary).</w:t>
      </w:r>
    </w:p>
    <w:p w14:paraId="1CC338F2" w14:textId="0EDC2720" w:rsidR="00661EA0" w:rsidRPr="00CA1FC6" w:rsidRDefault="00661EA0" w:rsidP="00661EA0">
      <w:pPr>
        <w:pStyle w:val="CommentText"/>
        <w:spacing w:after="120" w:line="276" w:lineRule="auto"/>
        <w:ind w:left="426"/>
        <w:jc w:val="both"/>
        <w:rPr>
          <w:rFonts w:ascii="Arial" w:hAnsi="Arial" w:cs="Arial"/>
          <w:color w:val="000000" w:themeColor="text1"/>
        </w:rPr>
      </w:pPr>
      <w:r w:rsidRPr="000808BE">
        <w:rPr>
          <w:rFonts w:ascii="Arial" w:hAnsi="Arial" w:cs="Arial"/>
          <w:b/>
          <w:color w:val="000000" w:themeColor="text1"/>
          <w:lang w:val="en-GB"/>
        </w:rPr>
        <w:t>(i, ii)</w:t>
      </w:r>
      <w:r w:rsidRPr="00CA1FC6">
        <w:rPr>
          <w:rFonts w:ascii="Arial" w:hAnsi="Arial" w:cs="Arial"/>
          <w:color w:val="000000" w:themeColor="text1"/>
        </w:rPr>
        <w:t xml:space="preserve">. </w:t>
      </w:r>
      <w:r w:rsidRPr="00CA1FC6">
        <w:rPr>
          <w:rFonts w:ascii="Arial" w:hAnsi="Arial" w:cs="Arial"/>
          <w:b/>
          <w:color w:val="000000" w:themeColor="text1"/>
        </w:rPr>
        <w:t>Counterexample: efficiency.</w:t>
      </w:r>
      <w:r w:rsidRPr="00CA1FC6">
        <w:rPr>
          <w:rFonts w:ascii="Arial" w:hAnsi="Arial" w:cs="Arial"/>
          <w:color w:val="000000" w:themeColor="text1"/>
        </w:rPr>
        <w:t xml:space="preserve"> Consider the intrinsic/instrumental distinction. </w:t>
      </w:r>
      <w:r w:rsidRPr="00CA1FC6">
        <w:rPr>
          <w:rFonts w:ascii="Arial" w:hAnsi="Arial" w:cs="Arial"/>
          <w:b/>
          <w:bCs/>
          <w:color w:val="000000" w:themeColor="text1"/>
        </w:rPr>
        <w:t>Intrinsic values</w:t>
      </w:r>
      <w:r w:rsidRPr="00CA1FC6">
        <w:rPr>
          <w:rFonts w:ascii="Arial" w:hAnsi="Arial" w:cs="Arial"/>
          <w:bCs/>
          <w:color w:val="000000" w:themeColor="text1"/>
        </w:rPr>
        <w:t xml:space="preserve"> (goods) are ends that are desirable for themselves: </w:t>
      </w:r>
      <w:r w:rsidRPr="00CA1FC6">
        <w:rPr>
          <w:rFonts w:ascii="Arial" w:hAnsi="Arial" w:cs="Arial"/>
          <w:b/>
          <w:bCs/>
          <w:color w:val="000000" w:themeColor="text1"/>
        </w:rPr>
        <w:t>e.g. equality</w:t>
      </w:r>
      <w:r w:rsidRPr="00CA1FC6">
        <w:rPr>
          <w:rFonts w:ascii="Arial" w:hAnsi="Arial" w:cs="Arial"/>
          <w:bCs/>
          <w:color w:val="000000" w:themeColor="text1"/>
        </w:rPr>
        <w:t xml:space="preserve"> is an intrinsic value regarding wealth distribution. </w:t>
      </w:r>
      <w:r w:rsidRPr="00CA1FC6">
        <w:rPr>
          <w:rFonts w:ascii="Arial" w:hAnsi="Arial" w:cs="Arial"/>
          <w:b/>
          <w:bCs/>
          <w:color w:val="000000" w:themeColor="text1"/>
        </w:rPr>
        <w:t>Instrumental values</w:t>
      </w:r>
      <w:r w:rsidRPr="00CA1FC6">
        <w:rPr>
          <w:rFonts w:ascii="Arial" w:hAnsi="Arial" w:cs="Arial"/>
          <w:bCs/>
          <w:color w:val="000000" w:themeColor="text1"/>
        </w:rPr>
        <w:t xml:space="preserve"> (goods), in contrast, do not qualify ends, but only means or processes by which other ends are attained. These values are desirable insofar as they warrant, or enhance, the satisfaction of intrinsic values, but can also be undesirable if put to ill-chosen ends (van de Poel </w:t>
      </w:r>
      <w:r w:rsidR="00B83F2E">
        <w:rPr>
          <w:rFonts w:ascii="Arial" w:hAnsi="Arial" w:cs="Arial"/>
          <w:bCs/>
          <w:color w:val="000000" w:themeColor="text1"/>
        </w:rPr>
        <w:fldChar w:fldCharType="begin"/>
      </w:r>
      <w:r w:rsidR="00B83F2E">
        <w:rPr>
          <w:rFonts w:ascii="Arial" w:hAnsi="Arial" w:cs="Arial"/>
          <w:bCs/>
          <w:color w:val="000000" w:themeColor="text1"/>
        </w:rPr>
        <w:instrText xml:space="preserve"> ADDIN EN.CITE &lt;EndNote&gt;&lt;Cite ExcludeAuth="1" ExcludeYear="1" Hidden="1"&gt;&lt;Author&gt;van de Poel&lt;/Author&gt;&lt;Year&gt;2018&lt;/Year&gt;&lt;RecNum&gt;398&lt;/RecNum&gt;&lt;record&gt;&lt;rec-number&gt;398&lt;/rec-number&gt;&lt;foreign-keys&gt;&lt;key app="EN" db-id="tfxzfpdv5efxzie5r0cxred3pfres2ffz5as" timestamp="1604052527"&gt;398&lt;/key&gt;&lt;/foreign-keys&gt;&lt;ref-type name="Journal Article"&gt;17&lt;/ref-type&gt;&lt;contributors&gt;&lt;authors&gt;&lt;author&gt;van de Poel, Ibo&lt;/author&gt;&lt;/authors&gt;&lt;/contributors&gt;&lt;titles&gt;&lt;title&gt;Design for value change&lt;/title&gt;&lt;secondary-title&gt;Ethics and Information Technology&lt;/secondary-title&gt;&lt;/titles&gt;&lt;periodical&gt;&lt;full-title&gt;Ethics and Information Technology&lt;/full-title&gt;&lt;abbr-1&gt;Ethics Info. Tech.&lt;/abbr-1&gt;&lt;abbr-2&gt;Ethics Info Tech&lt;/abbr-2&gt;&lt;/periodical&gt;&lt;dates&gt;&lt;year&gt;2018&lt;/year&gt;&lt;pub-dates&gt;&lt;date&gt;2018/06/26&lt;/date&gt;&lt;/pub-dates&gt;&lt;/dates&gt;&lt;isbn&gt;1572-8439&lt;/isbn&gt;&lt;urls&gt;&lt;related-urls&gt;&lt;url&gt;https://doi.org/10.1007/s10676-018-9461-9&lt;/url&gt;&lt;/related-urls&gt;&lt;/urls&gt;&lt;electronic-resource-num&gt;10.1007/s10676-018-9461-9&lt;/electronic-resource-num&gt;&lt;/record&gt;&lt;/Cite&gt;&lt;/EndNote&gt;</w:instrText>
      </w:r>
      <w:r w:rsidR="00B83F2E">
        <w:rPr>
          <w:rFonts w:ascii="Arial" w:hAnsi="Arial" w:cs="Arial"/>
          <w:bCs/>
          <w:color w:val="000000" w:themeColor="text1"/>
        </w:rPr>
        <w:fldChar w:fldCharType="end"/>
      </w:r>
      <w:r w:rsidRPr="00CA1FC6">
        <w:rPr>
          <w:rFonts w:ascii="Arial" w:hAnsi="Arial" w:cs="Arial"/>
          <w:bCs/>
          <w:color w:val="000000" w:themeColor="text1"/>
        </w:rPr>
        <w:t xml:space="preserve">2018): </w:t>
      </w:r>
      <w:r w:rsidRPr="00CA1FC6">
        <w:rPr>
          <w:rFonts w:ascii="Arial" w:hAnsi="Arial" w:cs="Arial"/>
          <w:b/>
          <w:bCs/>
          <w:color w:val="000000" w:themeColor="text1"/>
        </w:rPr>
        <w:t xml:space="preserve">e.g. efficiency. </w:t>
      </w:r>
      <w:r w:rsidRPr="00CA1FC6">
        <w:rPr>
          <w:rFonts w:ascii="Arial" w:hAnsi="Arial" w:cs="Arial"/>
          <w:bCs/>
          <w:color w:val="000000" w:themeColor="text1"/>
        </w:rPr>
        <w:t xml:space="preserve">Sharing riches efficiently improves equality, which makes efficiency instrumental to equality. But efficiency aggravates outcomes when it serves wrong ends, e.g. efficient killing machines are worse than regular killers. </w:t>
      </w:r>
      <w:r w:rsidRPr="00CA1FC6">
        <w:rPr>
          <w:rFonts w:ascii="Arial" w:hAnsi="Arial" w:cs="Arial"/>
          <w:b/>
          <w:bCs/>
          <w:color w:val="000000" w:themeColor="text1"/>
        </w:rPr>
        <w:t>Conclusion:</w:t>
      </w:r>
      <w:r w:rsidRPr="00CA1FC6">
        <w:rPr>
          <w:rFonts w:ascii="Arial" w:hAnsi="Arial" w:cs="Arial"/>
          <w:bCs/>
          <w:color w:val="000000" w:themeColor="text1"/>
        </w:rPr>
        <w:t xml:space="preserve"> </w:t>
      </w:r>
      <w:r w:rsidRPr="00CA1FC6">
        <w:rPr>
          <w:rFonts w:ascii="Arial" w:hAnsi="Arial" w:cs="Arial"/>
          <w:i/>
          <w:color w:val="000000" w:themeColor="text1"/>
        </w:rPr>
        <w:t>efficiency is not consistently or intrinsically (un)desirable. Still, it remains a value, and so a normative concept. Something similar applies to resilience.</w:t>
      </w:r>
    </w:p>
    <w:p w14:paraId="086C5DDB" w14:textId="6B3587D3" w:rsidR="00661EA0" w:rsidRPr="00CA1FC6" w:rsidRDefault="00661EA0" w:rsidP="00661EA0">
      <w:pPr>
        <w:pStyle w:val="CommentText"/>
        <w:spacing w:line="276" w:lineRule="auto"/>
        <w:ind w:left="426"/>
        <w:jc w:val="both"/>
        <w:rPr>
          <w:rFonts w:ascii="Arial" w:hAnsi="Arial" w:cs="Arial"/>
          <w:bCs/>
          <w:color w:val="000000" w:themeColor="text1"/>
        </w:rPr>
      </w:pPr>
      <w:r w:rsidRPr="00CA1FC6">
        <w:rPr>
          <w:rFonts w:ascii="Arial" w:hAnsi="Arial" w:cs="Arial"/>
          <w:b/>
          <w:color w:val="000000" w:themeColor="text1"/>
        </w:rPr>
        <w:t>(iii)</w:t>
      </w:r>
      <w:r w:rsidRPr="00CA1FC6">
        <w:rPr>
          <w:rFonts w:ascii="Arial" w:hAnsi="Arial" w:cs="Arial"/>
          <w:color w:val="000000" w:themeColor="text1"/>
        </w:rPr>
        <w:t xml:space="preserve">. </w:t>
      </w:r>
      <w:r w:rsidRPr="00CA1FC6">
        <w:rPr>
          <w:rFonts w:ascii="Arial" w:hAnsi="Arial" w:cs="Arial"/>
          <w:b/>
          <w:bCs/>
          <w:color w:val="000000" w:themeColor="text1"/>
        </w:rPr>
        <w:t>Counterexample: Cuba is a sustainable dictatorship.</w:t>
      </w:r>
      <w:r w:rsidRPr="00CA1FC6">
        <w:rPr>
          <w:rFonts w:ascii="Arial" w:hAnsi="Arial" w:cs="Arial"/>
          <w:bCs/>
          <w:color w:val="000000" w:themeColor="text1"/>
        </w:rPr>
        <w:t xml:space="preserve"> Sustainability concerns distributive justice within and across generations, i.e. justice in the allocation of goods. In the last decade, Cuba featured as </w:t>
      </w:r>
      <w:r w:rsidRPr="00CA1FC6">
        <w:rPr>
          <w:rFonts w:ascii="Arial" w:hAnsi="Arial" w:cs="Arial"/>
          <w:b/>
          <w:bCs/>
          <w:color w:val="000000" w:themeColor="text1"/>
        </w:rPr>
        <w:t>one of the countries with the highest rates in human development (HDI) for an acceptable ecological footprint</w:t>
      </w:r>
      <w:r w:rsidRPr="00CA1FC6">
        <w:rPr>
          <w:rFonts w:ascii="Arial" w:hAnsi="Arial" w:cs="Arial"/>
          <w:bCs/>
          <w:color w:val="000000" w:themeColor="text1"/>
        </w:rPr>
        <w:t xml:space="preserve"> (EF) (Cabello et al. 2012</w:t>
      </w:r>
      <w:r w:rsidR="000629C6">
        <w:rPr>
          <w:rFonts w:ascii="Arial" w:hAnsi="Arial" w:cs="Arial"/>
          <w:bCs/>
          <w:color w:val="000000" w:themeColor="text1"/>
        </w:rPr>
        <w:fldChar w:fldCharType="begin"/>
      </w:r>
      <w:r w:rsidR="000629C6">
        <w:rPr>
          <w:rFonts w:ascii="Arial" w:hAnsi="Arial" w:cs="Arial"/>
          <w:bCs/>
          <w:color w:val="000000" w:themeColor="text1"/>
        </w:rPr>
        <w:instrText xml:space="preserve"> ADDIN EN.CITE &lt;EndNote&gt;&lt;Cite ExcludeAuth="1" ExcludeYear="1" Hidden="1"&gt;&lt;Author&gt;Cabello Eras&lt;/Author&gt;&lt;Year&gt;2012&lt;/Year&gt;&lt;RecNum&gt;399&lt;/RecNum&gt;&lt;record&gt;&lt;rec-number&gt;399&lt;/rec-number&gt;&lt;foreign-keys&gt;&lt;key app="EN" db-id="tfxzfpdv5efxzie5r0cxred3pfres2ffz5as" timestamp="1604052569"&gt;399&lt;/key&gt;&lt;/foreign-keys&gt;&lt;ref-type name="Journal Article"&gt;17&lt;/ref-type&gt;&lt;contributors&gt;&lt;authors&gt;&lt;author&gt;Cabello Eras, Juan&lt;/author&gt;&lt;author&gt;Garcia, Dunia&lt;/author&gt;&lt;author&gt;Sagastume, Alexis&lt;/author&gt;&lt;author&gt;Priego, Rosario&lt;/author&gt;&lt;author&gt;Hens, Luc&lt;/author&gt;&lt;author&gt;Vandecasteele, Carlo&lt;/author&gt;&lt;/authors&gt;&lt;/contributors&gt;&lt;titles&gt;&lt;title&gt;An approach to sustainable development: The case of Cuba&lt;/title&gt;&lt;secondary-title&gt;Environment, Development and Sustainability&lt;/secondary-title&gt;&lt;/titles&gt;&lt;periodical&gt;&lt;full-title&gt;Environment, Development and Sustainability&lt;/full-title&gt;&lt;abbr-1&gt;Environ. Dev. Sustainability&lt;/abbr-1&gt;&lt;abbr-2&gt;Environ Dev Sustainability&lt;/abbr-2&gt;&lt;/periodical&gt;&lt;volume&gt;14&lt;/volume&gt;&lt;dates&gt;&lt;year&gt;2012&lt;/year&gt;&lt;pub-dates&gt;&lt;date&gt;08/01&lt;/date&gt;&lt;/pub-dates&gt;&lt;/dates&gt;&lt;urls&gt;&lt;/urls&gt;&lt;electronic-resource-num&gt;10.1007/s10668-012-9338-8&lt;/electronic-resource-num&gt;&lt;/record&gt;&lt;/Cite&gt;&lt;/EndNote&gt;</w:instrText>
      </w:r>
      <w:r w:rsidR="000629C6">
        <w:rPr>
          <w:rFonts w:ascii="Arial" w:hAnsi="Arial" w:cs="Arial"/>
          <w:bCs/>
          <w:color w:val="000000" w:themeColor="text1"/>
        </w:rPr>
        <w:fldChar w:fldCharType="end"/>
      </w:r>
      <w:r w:rsidRPr="00CA1FC6">
        <w:rPr>
          <w:rFonts w:ascii="Arial" w:hAnsi="Arial" w:cs="Arial"/>
          <w:bCs/>
          <w:color w:val="000000" w:themeColor="text1"/>
        </w:rPr>
        <w:t xml:space="preserve">; Niccolucci </w:t>
      </w:r>
      <w:r w:rsidR="000629C6">
        <w:rPr>
          <w:rFonts w:ascii="Arial" w:hAnsi="Arial" w:cs="Arial"/>
          <w:bCs/>
          <w:color w:val="000000" w:themeColor="text1"/>
        </w:rPr>
        <w:fldChar w:fldCharType="begin"/>
      </w:r>
      <w:r w:rsidR="000629C6">
        <w:rPr>
          <w:rFonts w:ascii="Arial" w:hAnsi="Arial" w:cs="Arial"/>
          <w:bCs/>
          <w:color w:val="000000" w:themeColor="text1"/>
        </w:rPr>
        <w:instrText xml:space="preserve"> ADDIN EN.CITE &lt;EndNote&gt;&lt;Cite ExcludeAuth="1" ExcludeYear="1" Hidden="1"&gt;&lt;Author&gt;Nicolucci&lt;/Author&gt;&lt;Year&gt;2012&lt;/Year&gt;&lt;RecNum&gt;400&lt;/RecNum&gt;&lt;record&gt;&lt;rec-number&gt;400&lt;/rec-number&gt;&lt;foreign-keys&gt;&lt;key app="EN" db-id="tfxzfpdv5efxzie5r0cxred3pfres2ffz5as" timestamp="1604052641"&gt;400&lt;/key&gt;&lt;/foreign-keys&gt;&lt;ref-type name="Journal Article"&gt;17&lt;/ref-type&gt;&lt;contributors&gt;&lt;authors&gt;&lt;author&gt;Nicolucci, V. &lt;/author&gt;&lt;author&gt;Tiezzi, E.&lt;/author&gt;&lt;author&gt;Pulselli, F.&lt;/author&gt;&lt;author&gt;Cristina, Capineri&lt;/author&gt;&lt;/authors&gt;&lt;/contributors&gt;&lt;titles&gt;&lt;title&gt;Biocapacity vs Ecological Footprint of world regions: A geopolitical interpretation&lt;/title&gt;&lt;secondary-title&gt;Ecological Indicators&lt;/secondary-title&gt;&lt;/titles&gt;&lt;periodical&gt;&lt;full-title&gt;Ecological Indicators&lt;/full-title&gt;&lt;abbr-1&gt;Ecol. Indicators&lt;/abbr-1&gt;&lt;abbr-2&gt;Ecol Indicators&lt;/abbr-2&gt;&lt;/periodical&gt;&lt;pages&gt;23–30&lt;/pages&gt;&lt;volume&gt;16&lt;/volume&gt;&lt;dates&gt;&lt;year&gt;2012&lt;/year&gt;&lt;pub-dates&gt;&lt;date&gt;05/01&lt;/date&gt;&lt;/pub-dates&gt;&lt;/dates&gt;&lt;urls&gt;&lt;/urls&gt;&lt;electronic-resource-num&gt;10.1016/j.ecolind.2011.09.002&lt;/electronic-resource-num&gt;&lt;/record&gt;&lt;/Cite&gt;&lt;/EndNote&gt;</w:instrText>
      </w:r>
      <w:r w:rsidR="000629C6">
        <w:rPr>
          <w:rFonts w:ascii="Arial" w:hAnsi="Arial" w:cs="Arial"/>
          <w:bCs/>
          <w:color w:val="000000" w:themeColor="text1"/>
        </w:rPr>
        <w:fldChar w:fldCharType="end"/>
      </w:r>
      <w:r w:rsidRPr="00CA1FC6">
        <w:rPr>
          <w:rFonts w:ascii="Arial" w:hAnsi="Arial" w:cs="Arial"/>
          <w:bCs/>
          <w:color w:val="000000" w:themeColor="text1"/>
        </w:rPr>
        <w:t xml:space="preserve">et al. 2012). Still, Cuba does not grant equal opportunity of access to political office (Rawls </w:t>
      </w:r>
      <w:r w:rsidR="000629C6">
        <w:rPr>
          <w:rFonts w:ascii="Arial" w:hAnsi="Arial" w:cs="Arial"/>
          <w:bCs/>
          <w:color w:val="000000" w:themeColor="text1"/>
        </w:rPr>
        <w:fldChar w:fldCharType="begin"/>
      </w:r>
      <w:r w:rsidR="000629C6">
        <w:rPr>
          <w:rFonts w:ascii="Arial" w:hAnsi="Arial" w:cs="Arial"/>
          <w:bCs/>
          <w:color w:val="000000" w:themeColor="text1"/>
        </w:rPr>
        <w:instrText xml:space="preserve"> ADDIN EN.CITE &lt;EndNote&gt;&lt;Cite ExcludeAuth="1" ExcludeYear="1" Hidden="1"&gt;&lt;Author&gt;Rawls&lt;/Author&gt;&lt;Year&gt;1999&lt;/Year&gt;&lt;RecNum&gt;401&lt;/RecNum&gt;&lt;record&gt;&lt;rec-number&gt;401&lt;/rec-number&gt;&lt;foreign-keys&gt;&lt;key app="EN" db-id="tfxzfpdv5efxzie5r0cxred3pfres2ffz5as" timestamp="1604052746"&gt;401&lt;/key&gt;&lt;/foreign-keys&gt;&lt;ref-type name="Book"&gt;6&lt;/ref-type&gt;&lt;contributors&gt;&lt;authors&gt;&lt;author&gt;Rawls, John&lt;/author&gt;&lt;/authors&gt;&lt;/contributors&gt;&lt;titles&gt;&lt;title&gt;A theory of justice&lt;/title&gt;&lt;/titles&gt;&lt;dates&gt;&lt;year&gt;1999&lt;/year&gt;&lt;/dates&gt;&lt;isbn&gt;0674000773 9780674000773 0674000781 9780674000780 0198250541 9780198250548 019825055X 9780198250555&lt;/isbn&gt;&lt;urls&gt;&lt;/urls&gt;&lt;remote-database-name&gt;/z-wcorg/&lt;/remote-database-name&gt;&lt;remote-database-provider&gt;http://worldcat.org&lt;/remote-database-provider&gt;&lt;language&gt;English&lt;/language&gt;&lt;/record&gt;&lt;/Cite&gt;&lt;/EndNote&gt;</w:instrText>
      </w:r>
      <w:r w:rsidR="000629C6">
        <w:rPr>
          <w:rFonts w:ascii="Arial" w:hAnsi="Arial" w:cs="Arial"/>
          <w:bCs/>
          <w:color w:val="000000" w:themeColor="text1"/>
        </w:rPr>
        <w:fldChar w:fldCharType="end"/>
      </w:r>
      <w:r w:rsidRPr="00CA1FC6">
        <w:rPr>
          <w:rFonts w:ascii="Arial" w:hAnsi="Arial" w:cs="Arial"/>
          <w:bCs/>
          <w:color w:val="000000" w:themeColor="text1"/>
        </w:rPr>
        <w:t xml:space="preserve">1999): it is </w:t>
      </w:r>
      <w:r w:rsidRPr="00CA1FC6">
        <w:rPr>
          <w:rFonts w:ascii="Arial" w:hAnsi="Arial" w:cs="Arial"/>
          <w:b/>
          <w:bCs/>
          <w:color w:val="000000" w:themeColor="text1"/>
        </w:rPr>
        <w:t>procedurally unjust (and a dictatorship)</w:t>
      </w:r>
      <w:r w:rsidRPr="00CA1FC6">
        <w:rPr>
          <w:rFonts w:ascii="Arial" w:hAnsi="Arial" w:cs="Arial"/>
          <w:bCs/>
          <w:color w:val="000000" w:themeColor="text1"/>
        </w:rPr>
        <w:t xml:space="preserve">. But that does not make sustainability any less normative. Sustainability just cannot capture everything good: sustainable regimes can still be unjust. </w:t>
      </w:r>
      <w:r w:rsidRPr="00CA1FC6">
        <w:rPr>
          <w:rFonts w:ascii="Arial" w:hAnsi="Arial" w:cs="Arial"/>
          <w:b/>
          <w:bCs/>
          <w:color w:val="000000" w:themeColor="text1"/>
        </w:rPr>
        <w:t>Conclusion</w:t>
      </w:r>
      <w:r w:rsidRPr="00CA1FC6">
        <w:rPr>
          <w:rFonts w:ascii="Arial" w:hAnsi="Arial" w:cs="Arial"/>
          <w:bCs/>
          <w:color w:val="000000" w:themeColor="text1"/>
        </w:rPr>
        <w:t xml:space="preserve">: </w:t>
      </w:r>
      <w:r w:rsidRPr="00CA1FC6">
        <w:rPr>
          <w:rFonts w:ascii="Arial" w:hAnsi="Arial" w:cs="Arial"/>
          <w:bCs/>
          <w:i/>
          <w:color w:val="000000" w:themeColor="text1"/>
        </w:rPr>
        <w:t>a concept can be worth realizing and still not capture some desirable things; in other words, desirable ends/values can still carry value tradeoffs.</w:t>
      </w:r>
    </w:p>
    <w:p w14:paraId="4059480A" w14:textId="77777777" w:rsidR="00661EA0" w:rsidRDefault="00661EA0" w:rsidP="00661EA0">
      <w:pPr>
        <w:jc w:val="both"/>
        <w:rPr>
          <w:rFonts w:ascii="Arial" w:hAnsi="Arial" w:cs="Arial"/>
          <w:b/>
          <w:sz w:val="20"/>
        </w:rPr>
      </w:pPr>
    </w:p>
    <w:p w14:paraId="3C2D8B4A" w14:textId="77777777" w:rsidR="00661EA0" w:rsidRPr="008350CF" w:rsidRDefault="00661EA0" w:rsidP="00661EA0">
      <w:pPr>
        <w:pStyle w:val="ListParagraph"/>
        <w:numPr>
          <w:ilvl w:val="0"/>
          <w:numId w:val="10"/>
        </w:numPr>
        <w:spacing w:after="120"/>
        <w:ind w:left="142" w:hanging="295"/>
        <w:contextualSpacing w:val="0"/>
        <w:jc w:val="both"/>
        <w:rPr>
          <w:rFonts w:ascii="Arial" w:hAnsi="Arial" w:cs="Arial"/>
          <w:b/>
          <w:sz w:val="20"/>
        </w:rPr>
      </w:pPr>
      <w:r>
        <w:rPr>
          <w:rFonts w:ascii="Arial" w:hAnsi="Arial" w:cs="Arial"/>
          <w:b/>
          <w:sz w:val="20"/>
        </w:rPr>
        <w:t>Some resilience concepts are clearly normative</w:t>
      </w:r>
      <w:r w:rsidRPr="008350CF">
        <w:rPr>
          <w:rFonts w:ascii="Arial" w:hAnsi="Arial" w:cs="Arial"/>
          <w:b/>
          <w:sz w:val="20"/>
        </w:rPr>
        <w:t xml:space="preserve"> </w:t>
      </w:r>
    </w:p>
    <w:p w14:paraId="3A455FB0" w14:textId="77777777" w:rsidR="00661EA0" w:rsidRDefault="00661EA0" w:rsidP="00661EA0">
      <w:pPr>
        <w:pStyle w:val="ListParagraph"/>
        <w:spacing w:after="120"/>
        <w:ind w:left="0"/>
        <w:contextualSpacing w:val="0"/>
        <w:jc w:val="both"/>
        <w:rPr>
          <w:rFonts w:ascii="Arial" w:hAnsi="Arial" w:cs="Arial"/>
          <w:sz w:val="20"/>
          <w:szCs w:val="20"/>
        </w:rPr>
      </w:pPr>
      <w:r>
        <w:rPr>
          <w:rFonts w:ascii="Arial" w:hAnsi="Arial" w:cs="Arial"/>
          <w:sz w:val="20"/>
          <w:szCs w:val="20"/>
        </w:rPr>
        <w:t xml:space="preserve">The articles that see resilience as descriptive, or non-normative, tend to think of resilience as monosemic, and to frame it as a close surrogate of </w:t>
      </w:r>
      <w:r>
        <w:rPr>
          <w:rFonts w:ascii="Arial" w:hAnsi="Arial" w:cs="Arial"/>
          <w:b/>
          <w:sz w:val="20"/>
          <w:szCs w:val="20"/>
        </w:rPr>
        <w:t xml:space="preserve">LOCK-IN (table 1): </w:t>
      </w:r>
    </w:p>
    <w:p w14:paraId="1274B98F" w14:textId="1BFDDDAE" w:rsidR="00661EA0" w:rsidRPr="00B808FF" w:rsidRDefault="00661EA0" w:rsidP="00661EA0">
      <w:pPr>
        <w:pStyle w:val="ListParagraph"/>
        <w:spacing w:after="120"/>
        <w:ind w:left="426"/>
        <w:contextualSpacing w:val="0"/>
        <w:jc w:val="both"/>
        <w:rPr>
          <w:rFonts w:ascii="Arial" w:hAnsi="Arial" w:cs="Arial"/>
          <w:sz w:val="20"/>
          <w:szCs w:val="20"/>
        </w:rPr>
      </w:pPr>
      <w:r>
        <w:rPr>
          <w:rFonts w:ascii="Arial" w:eastAsia="Calibri" w:hAnsi="Arial" w:cs="Arial"/>
          <w:b/>
          <w:sz w:val="20"/>
          <w:szCs w:val="20"/>
        </w:rPr>
        <w:t>Lock-In</w:t>
      </w:r>
      <w:r w:rsidRPr="002174D4">
        <w:rPr>
          <w:rFonts w:ascii="Arial" w:eastAsia="Calibri" w:hAnsi="Arial" w:cs="Arial"/>
          <w:b/>
          <w:sz w:val="20"/>
          <w:szCs w:val="20"/>
        </w:rPr>
        <w:t>:</w:t>
      </w:r>
      <w:r>
        <w:rPr>
          <w:rFonts w:ascii="Arial" w:eastAsia="Calibri" w:hAnsi="Arial" w:cs="Arial"/>
          <w:sz w:val="20"/>
          <w:szCs w:val="20"/>
        </w:rPr>
        <w:t xml:space="preserve"> “</w:t>
      </w:r>
      <w:r w:rsidRPr="00985F52">
        <w:rPr>
          <w:rFonts w:ascii="Arial" w:eastAsia="Calibri" w:hAnsi="Arial" w:cs="Arial"/>
          <w:sz w:val="20"/>
          <w:szCs w:val="20"/>
        </w:rPr>
        <w:t xml:space="preserve">state where path-dependent and </w:t>
      </w:r>
      <w:r w:rsidRPr="001B0B84">
        <w:rPr>
          <w:rFonts w:ascii="Arial" w:eastAsia="Calibri" w:hAnsi="Arial" w:cs="Arial"/>
          <w:b/>
          <w:sz w:val="20"/>
          <w:szCs w:val="20"/>
        </w:rPr>
        <w:t>positive feedback processes</w:t>
      </w:r>
      <w:r w:rsidRPr="00985F52">
        <w:rPr>
          <w:rFonts w:ascii="Arial" w:eastAsia="Calibri" w:hAnsi="Arial" w:cs="Arial"/>
          <w:sz w:val="20"/>
          <w:szCs w:val="20"/>
        </w:rPr>
        <w:t xml:space="preserve"> </w:t>
      </w:r>
      <w:r w:rsidRPr="009471B8">
        <w:rPr>
          <w:rFonts w:ascii="Arial" w:eastAsia="Calibri" w:hAnsi="Arial" w:cs="Arial"/>
          <w:b/>
          <w:sz w:val="20"/>
          <w:szCs w:val="20"/>
        </w:rPr>
        <w:t>create and reinforce systemic barriers to alternative pathways</w:t>
      </w:r>
      <w:r>
        <w:rPr>
          <w:rFonts w:ascii="Arial" w:eastAsia="Calibri" w:hAnsi="Arial" w:cs="Arial"/>
          <w:sz w:val="20"/>
          <w:szCs w:val="20"/>
        </w:rPr>
        <w:t>”</w:t>
      </w:r>
      <w:r w:rsidRPr="00985F52">
        <w:rPr>
          <w:rFonts w:ascii="Arial" w:eastAsia="Calibri" w:hAnsi="Arial" w:cs="Arial"/>
          <w:sz w:val="20"/>
          <w:szCs w:val="20"/>
        </w:rPr>
        <w:t xml:space="preserve"> (Unruh </w:t>
      </w:r>
      <w:r w:rsidR="000629C6">
        <w:rPr>
          <w:rFonts w:ascii="Arial" w:eastAsia="Calibri" w:hAnsi="Arial" w:cs="Arial"/>
          <w:sz w:val="20"/>
          <w:szCs w:val="20"/>
        </w:rPr>
        <w:fldChar w:fldCharType="begin"/>
      </w:r>
      <w:r w:rsidR="000629C6">
        <w:rPr>
          <w:rFonts w:ascii="Arial" w:eastAsia="Calibri" w:hAnsi="Arial" w:cs="Arial"/>
          <w:sz w:val="20"/>
          <w:szCs w:val="20"/>
        </w:rPr>
        <w:instrText xml:space="preserve"> ADDIN EN.CITE &lt;EndNote&gt;&lt;Cite ExcludeAuth="1" ExcludeYear="1" Hidden="1"&gt;&lt;Author&gt;Unruh&lt;/Author&gt;&lt;Year&gt;2000&lt;/Year&gt;&lt;RecNum&gt;144&lt;/RecNum&gt;&lt;record&gt;&lt;rec-number&gt;144&lt;/rec-number&gt;&lt;foreign-keys&gt;&lt;key app="EN" db-id="tfxzfpdv5efxzie5r0cxred3pfres2ffz5as" timestamp="1574609226"&gt;144&lt;/key&gt;&lt;/foreign-keys&gt;&lt;ref-type name="Journal Article"&gt;17&lt;/ref-type&gt;&lt;contributors&gt;&lt;authors&gt;&lt;author&gt;Unruh, Gregory C.&lt;/author&gt;&lt;/authors&gt;&lt;/contributors&gt;&lt;titles&gt;&lt;title&gt;Understanding carbon lock-in.&lt;/title&gt;&lt;secondary-title&gt;Energy Policy&lt;/secondary-title&gt;&lt;/titles&gt;&lt;pages&gt;817-830&lt;/pages&gt;&lt;volume&gt;28&lt;/volume&gt;&lt;number&gt;12&lt;/number&gt;&lt;dates&gt;&lt;year&gt;2000&lt;/year&gt;&lt;pub-dates&gt;&lt;date&gt;2000/10&lt;/date&gt;&lt;/pub-dates&gt;&lt;/dates&gt;&lt;publisher&gt;Elsevier BV&lt;/publisher&gt;&lt;isbn&gt;0301-4215&lt;/isbn&gt;&lt;urls&gt;&lt;related-urls&gt;&lt;url&gt;http://dx.doi.org/10.1016/s0301-4215(00)00070-7&lt;/url&gt;&lt;url&gt;https://www.sciencedirect.com/science/article/pii/S0301421500000707?via%3Dihub&lt;/url&gt;&lt;/related-urls&gt;&lt;/urls&gt;&lt;electronic-resource-num&gt;10.1016/s0301-4215(00)00070-7&lt;/electronic-resource-num&gt;&lt;/record&gt;&lt;/Cite&gt;&lt;/EndNote&gt;</w:instrText>
      </w:r>
      <w:r w:rsidR="000629C6">
        <w:rPr>
          <w:rFonts w:ascii="Arial" w:eastAsia="Calibri" w:hAnsi="Arial" w:cs="Arial"/>
          <w:sz w:val="20"/>
          <w:szCs w:val="20"/>
        </w:rPr>
        <w:fldChar w:fldCharType="end"/>
      </w:r>
      <w:r w:rsidRPr="00985F52">
        <w:rPr>
          <w:rFonts w:ascii="Arial" w:eastAsia="Calibri" w:hAnsi="Arial" w:cs="Arial"/>
          <w:sz w:val="20"/>
          <w:szCs w:val="20"/>
        </w:rPr>
        <w:t>2000)</w:t>
      </w:r>
      <w:r>
        <w:rPr>
          <w:rFonts w:ascii="Arial" w:eastAsia="Calibri" w:hAnsi="Arial" w:cs="Arial"/>
          <w:sz w:val="20"/>
          <w:szCs w:val="20"/>
        </w:rPr>
        <w:t>.</w:t>
      </w:r>
    </w:p>
    <w:p w14:paraId="22FF5587" w14:textId="77777777" w:rsidR="00661EA0" w:rsidRDefault="00661EA0" w:rsidP="00661EA0">
      <w:pPr>
        <w:spacing w:after="120"/>
        <w:jc w:val="both"/>
        <w:rPr>
          <w:rFonts w:ascii="Arial" w:eastAsia="Calibri" w:hAnsi="Arial" w:cs="Arial"/>
          <w:sz w:val="20"/>
          <w:szCs w:val="20"/>
        </w:rPr>
      </w:pPr>
      <w:r w:rsidRPr="00661EA0">
        <w:rPr>
          <w:rFonts w:ascii="Arial" w:hAnsi="Arial" w:cs="Arial"/>
          <w:bCs/>
          <w:sz w:val="20"/>
          <w:lang w:val="en-GB"/>
        </w:rPr>
        <w:t>Another objection against RD, then, is that it pushes for a peculiar and idiosyncratic concept of resilience, whereas resilience is polysemic (</w:t>
      </w:r>
      <w:r w:rsidRPr="00661EA0">
        <w:rPr>
          <w:rFonts w:ascii="Arial" w:hAnsi="Arial" w:cs="Arial"/>
          <w:sz w:val="20"/>
          <w:szCs w:val="20"/>
        </w:rPr>
        <w:t>it designates at least various distinguishable concepts)</w:t>
      </w:r>
      <w:r w:rsidRPr="00661EA0">
        <w:rPr>
          <w:rFonts w:ascii="Arial" w:hAnsi="Arial" w:cs="Arial"/>
          <w:bCs/>
          <w:sz w:val="20"/>
          <w:lang w:val="en-GB"/>
        </w:rPr>
        <w:t xml:space="preserve">, and some of the concepts it designates are clearly </w:t>
      </w:r>
      <w:r w:rsidRPr="00661EA0">
        <w:rPr>
          <w:rFonts w:ascii="Arial" w:hAnsi="Arial" w:cs="Arial"/>
          <w:sz w:val="20"/>
          <w:szCs w:val="20"/>
        </w:rPr>
        <w:t xml:space="preserve">normative. </w:t>
      </w:r>
      <w:r>
        <w:rPr>
          <w:rFonts w:ascii="Arial" w:hAnsi="Arial" w:cs="Arial"/>
          <w:sz w:val="20"/>
          <w:szCs w:val="20"/>
        </w:rPr>
        <w:t xml:space="preserve">For example, adaptation research is influenced by psychology and community psychology research, and, here, resilience definitions stress the positive character of adaptation and/or recovery </w:t>
      </w:r>
      <w:r w:rsidRPr="002174D4">
        <w:rPr>
          <w:rFonts w:ascii="Arial" w:hAnsi="Arial" w:cs="Arial"/>
          <w:b/>
          <w:sz w:val="20"/>
          <w:szCs w:val="20"/>
        </w:rPr>
        <w:t>(table 1)</w:t>
      </w:r>
      <w:r>
        <w:rPr>
          <w:rFonts w:ascii="Arial" w:hAnsi="Arial" w:cs="Arial"/>
          <w:b/>
          <w:sz w:val="20"/>
          <w:szCs w:val="20"/>
        </w:rPr>
        <w:t xml:space="preserve">. </w:t>
      </w:r>
      <w:r>
        <w:rPr>
          <w:rFonts w:ascii="Arial" w:eastAsia="Calibri" w:hAnsi="Arial" w:cs="Arial"/>
          <w:sz w:val="20"/>
          <w:szCs w:val="20"/>
        </w:rPr>
        <w:t xml:space="preserve">Also, in his 1978 monograph on Adaptive Management, Holling holds that resilient systems do not merely persist. In addition, when decline is inevitable, they can decline gracefully, and besides they are opportunistic: they can use change to become better. In other words, resilience can be a surrogate of </w:t>
      </w:r>
      <w:r w:rsidRPr="0008621B">
        <w:rPr>
          <w:rFonts w:ascii="Arial" w:eastAsia="Calibri" w:hAnsi="Arial" w:cs="Arial"/>
          <w:b/>
          <w:sz w:val="20"/>
          <w:szCs w:val="20"/>
        </w:rPr>
        <w:t>ANTI-FRAGILITY</w:t>
      </w:r>
      <w:r>
        <w:rPr>
          <w:rFonts w:ascii="Arial" w:eastAsia="Calibri" w:hAnsi="Arial" w:cs="Arial"/>
          <w:sz w:val="20"/>
          <w:szCs w:val="20"/>
        </w:rPr>
        <w:t>:</w:t>
      </w:r>
    </w:p>
    <w:p w14:paraId="3880E6D2" w14:textId="7A62553C" w:rsidR="00661EA0" w:rsidRDefault="00661EA0" w:rsidP="00661EA0">
      <w:pPr>
        <w:ind w:left="426"/>
        <w:jc w:val="both"/>
        <w:rPr>
          <w:rFonts w:ascii="Arial" w:eastAsia="Calibri" w:hAnsi="Arial" w:cs="Arial"/>
          <w:sz w:val="20"/>
          <w:szCs w:val="20"/>
        </w:rPr>
      </w:pPr>
      <w:r w:rsidRPr="002174D4">
        <w:rPr>
          <w:rFonts w:ascii="Arial" w:eastAsia="Calibri" w:hAnsi="Arial" w:cs="Arial"/>
          <w:b/>
          <w:sz w:val="20"/>
          <w:szCs w:val="20"/>
        </w:rPr>
        <w:lastRenderedPageBreak/>
        <w:t>Anti-Fragility:</w:t>
      </w:r>
      <w:r>
        <w:rPr>
          <w:rFonts w:ascii="Arial" w:eastAsia="Calibri" w:hAnsi="Arial" w:cs="Arial"/>
          <w:sz w:val="20"/>
          <w:szCs w:val="20"/>
        </w:rPr>
        <w:t xml:space="preserve"> “</w:t>
      </w:r>
      <w:r w:rsidRPr="00985F52">
        <w:rPr>
          <w:rFonts w:ascii="Arial" w:eastAsia="Calibri" w:hAnsi="Arial" w:cs="Arial"/>
          <w:sz w:val="20"/>
          <w:szCs w:val="20"/>
        </w:rPr>
        <w:t xml:space="preserve">property of systems that </w:t>
      </w:r>
      <w:r w:rsidRPr="001B0B84">
        <w:rPr>
          <w:rFonts w:ascii="Arial" w:eastAsia="Calibri" w:hAnsi="Arial" w:cs="Arial"/>
          <w:b/>
          <w:sz w:val="20"/>
          <w:szCs w:val="20"/>
        </w:rPr>
        <w:t>benefit from shocks</w:t>
      </w:r>
      <w:r w:rsidRPr="00985F52">
        <w:rPr>
          <w:rFonts w:ascii="Arial" w:eastAsia="Calibri" w:hAnsi="Arial" w:cs="Arial"/>
          <w:sz w:val="20"/>
          <w:szCs w:val="20"/>
        </w:rPr>
        <w:t xml:space="preserve"> and that thrive and grow when exposed to volatility, randomness, disorder, and stressors” (adapted from </w:t>
      </w:r>
      <w:r>
        <w:rPr>
          <w:rFonts w:ascii="Arial" w:eastAsia="Calibri" w:hAnsi="Arial" w:cs="Arial"/>
          <w:sz w:val="20"/>
          <w:szCs w:val="20"/>
        </w:rPr>
        <w:t xml:space="preserve">Taleb </w:t>
      </w:r>
      <w:r w:rsidR="000629C6">
        <w:rPr>
          <w:rFonts w:ascii="Arial" w:eastAsia="Calibri" w:hAnsi="Arial" w:cs="Arial"/>
          <w:sz w:val="20"/>
          <w:szCs w:val="20"/>
        </w:rPr>
        <w:fldChar w:fldCharType="begin"/>
      </w:r>
      <w:r w:rsidR="000629C6">
        <w:rPr>
          <w:rFonts w:ascii="Arial" w:eastAsia="Calibri" w:hAnsi="Arial" w:cs="Arial"/>
          <w:sz w:val="20"/>
          <w:szCs w:val="20"/>
        </w:rPr>
        <w:instrText xml:space="preserve"> ADDIN EN.CITE &lt;EndNote&gt;&lt;Cite ExcludeAuth="1" ExcludeYear="1" Hidden="1"&gt;&lt;Author&gt;Taleb&lt;/Author&gt;&lt;Year&gt;2012&lt;/Year&gt;&lt;RecNum&gt;403&lt;/RecNum&gt;&lt;record&gt;&lt;rec-number&gt;403&lt;/rec-number&gt;&lt;foreign-keys&gt;&lt;key app="EN" db-id="tfxzfpdv5efxzie5r0cxred3pfres2ffz5as" timestamp="1604052952"&gt;403&lt;/key&gt;&lt;/foreign-keys&gt;&lt;ref-type name="Book"&gt;6&lt;/ref-type&gt;&lt;contributors&gt;&lt;authors&gt;&lt;author&gt;Taleb, N. N.&lt;/author&gt;&lt;/authors&gt;&lt;/contributors&gt;&lt;titles&gt;&lt;title&gt;Antifragile: Things that gain from disorder.&lt;/title&gt;&lt;/titles&gt;&lt;dates&gt;&lt;year&gt;2012&lt;/year&gt;&lt;/dates&gt;&lt;pub-location&gt;New York&lt;/pub-location&gt;&lt;publisher&gt;Random House.&lt;/publisher&gt;&lt;urls&gt;&lt;/urls&gt;&lt;/record&gt;&lt;/Cite&gt;&lt;/EndNote&gt;</w:instrText>
      </w:r>
      <w:r w:rsidR="000629C6">
        <w:rPr>
          <w:rFonts w:ascii="Arial" w:eastAsia="Calibri" w:hAnsi="Arial" w:cs="Arial"/>
          <w:sz w:val="20"/>
          <w:szCs w:val="20"/>
        </w:rPr>
        <w:fldChar w:fldCharType="end"/>
      </w:r>
      <w:r>
        <w:rPr>
          <w:rFonts w:ascii="Arial" w:eastAsia="Calibri" w:hAnsi="Arial" w:cs="Arial"/>
          <w:sz w:val="20"/>
          <w:szCs w:val="20"/>
        </w:rPr>
        <w:t>2012</w:t>
      </w:r>
      <w:r w:rsidRPr="00985F52">
        <w:rPr>
          <w:rFonts w:ascii="Arial" w:eastAsia="Calibri" w:hAnsi="Arial" w:cs="Arial"/>
          <w:sz w:val="20"/>
          <w:szCs w:val="20"/>
        </w:rPr>
        <w:t>)</w:t>
      </w:r>
      <w:r>
        <w:rPr>
          <w:rFonts w:ascii="Arial" w:eastAsia="Calibri" w:hAnsi="Arial" w:cs="Arial"/>
          <w:sz w:val="20"/>
          <w:szCs w:val="20"/>
        </w:rPr>
        <w:t>.</w:t>
      </w:r>
    </w:p>
    <w:p w14:paraId="20DB7B76" w14:textId="77777777" w:rsidR="00661EA0" w:rsidRDefault="00661EA0" w:rsidP="00661EA0">
      <w:pPr>
        <w:pStyle w:val="ListParagraph"/>
        <w:ind w:left="142"/>
        <w:contextualSpacing w:val="0"/>
        <w:jc w:val="both"/>
        <w:rPr>
          <w:rFonts w:ascii="Arial" w:hAnsi="Arial" w:cs="Arial"/>
          <w:b/>
          <w:sz w:val="20"/>
        </w:rPr>
      </w:pPr>
    </w:p>
    <w:p w14:paraId="1F1C188A" w14:textId="77777777" w:rsidR="00661EA0" w:rsidRPr="00502402" w:rsidRDefault="00661EA0" w:rsidP="00661EA0">
      <w:pPr>
        <w:pStyle w:val="ListParagraph"/>
        <w:numPr>
          <w:ilvl w:val="0"/>
          <w:numId w:val="10"/>
        </w:numPr>
        <w:spacing w:before="120" w:after="120" w:line="259" w:lineRule="auto"/>
        <w:ind w:left="142" w:hanging="295"/>
        <w:contextualSpacing w:val="0"/>
        <w:jc w:val="both"/>
        <w:rPr>
          <w:rFonts w:ascii="Arial" w:hAnsi="Arial" w:cs="Arial"/>
          <w:b/>
          <w:sz w:val="20"/>
        </w:rPr>
      </w:pPr>
      <w:r>
        <w:rPr>
          <w:rFonts w:ascii="Arial" w:hAnsi="Arial" w:cs="Arial"/>
          <w:b/>
          <w:sz w:val="20"/>
        </w:rPr>
        <w:t xml:space="preserve">Resilience is linked to various classes of </w:t>
      </w:r>
      <w:r w:rsidRPr="00502402">
        <w:rPr>
          <w:rFonts w:ascii="Arial" w:hAnsi="Arial" w:cs="Arial"/>
          <w:b/>
          <w:sz w:val="20"/>
        </w:rPr>
        <w:t>thick terms</w:t>
      </w:r>
    </w:p>
    <w:p w14:paraId="13E6223A" w14:textId="77777777" w:rsidR="00661EA0" w:rsidRPr="008C3FCC" w:rsidRDefault="00661EA0" w:rsidP="00661EA0">
      <w:pPr>
        <w:spacing w:after="120"/>
        <w:jc w:val="both"/>
        <w:rPr>
          <w:rFonts w:ascii="Arial" w:hAnsi="Arial" w:cs="Arial"/>
          <w:bCs/>
          <w:sz w:val="20"/>
        </w:rPr>
      </w:pPr>
      <w:r>
        <w:rPr>
          <w:rFonts w:ascii="Arial" w:hAnsi="Arial" w:cs="Arial"/>
          <w:bCs/>
          <w:sz w:val="20"/>
        </w:rPr>
        <w:t xml:space="preserve">Thin terms are terms that only have normative content. Example: paradigmatic normative terms like </w:t>
      </w:r>
      <w:r>
        <w:rPr>
          <w:rFonts w:ascii="Arial" w:hAnsi="Arial" w:cs="Arial"/>
          <w:bCs/>
          <w:i/>
          <w:sz w:val="20"/>
        </w:rPr>
        <w:t xml:space="preserve">good, right, should, </w:t>
      </w:r>
      <w:r>
        <w:rPr>
          <w:rFonts w:ascii="Arial" w:hAnsi="Arial" w:cs="Arial"/>
          <w:bCs/>
          <w:sz w:val="20"/>
        </w:rPr>
        <w:t>etc. T</w:t>
      </w:r>
      <w:r w:rsidRPr="008C3FCC">
        <w:rPr>
          <w:rFonts w:ascii="Arial" w:hAnsi="Arial" w:cs="Arial"/>
          <w:bCs/>
          <w:sz w:val="20"/>
        </w:rPr>
        <w:t>hick terms</w:t>
      </w:r>
      <w:r>
        <w:rPr>
          <w:rFonts w:ascii="Arial" w:hAnsi="Arial" w:cs="Arial"/>
          <w:bCs/>
          <w:sz w:val="20"/>
        </w:rPr>
        <w:t xml:space="preserve">, in contrast, </w:t>
      </w:r>
      <w:r w:rsidRPr="008C3FCC">
        <w:rPr>
          <w:rFonts w:ascii="Arial" w:hAnsi="Arial" w:cs="Arial"/>
          <w:bCs/>
          <w:sz w:val="20"/>
        </w:rPr>
        <w:t xml:space="preserve">have </w:t>
      </w:r>
      <w:r w:rsidRPr="008C3FCC">
        <w:rPr>
          <w:rFonts w:ascii="Arial" w:hAnsi="Arial" w:cs="Arial"/>
          <w:bCs/>
          <w:i/>
          <w:sz w:val="20"/>
        </w:rPr>
        <w:t>descriptive</w:t>
      </w:r>
      <w:r w:rsidRPr="008C3FCC">
        <w:rPr>
          <w:rFonts w:ascii="Arial" w:hAnsi="Arial" w:cs="Arial"/>
          <w:bCs/>
          <w:sz w:val="20"/>
        </w:rPr>
        <w:t xml:space="preserve"> </w:t>
      </w:r>
      <w:r>
        <w:rPr>
          <w:rFonts w:ascii="Arial" w:hAnsi="Arial" w:cs="Arial"/>
          <w:bCs/>
          <w:sz w:val="20"/>
        </w:rPr>
        <w:t>as well as</w:t>
      </w:r>
      <w:r w:rsidRPr="008C3FCC">
        <w:rPr>
          <w:rFonts w:ascii="Arial" w:hAnsi="Arial" w:cs="Arial"/>
          <w:bCs/>
          <w:sz w:val="20"/>
        </w:rPr>
        <w:t xml:space="preserve"> </w:t>
      </w:r>
      <w:r w:rsidRPr="008C3FCC">
        <w:rPr>
          <w:rFonts w:ascii="Arial" w:hAnsi="Arial" w:cs="Arial"/>
          <w:bCs/>
          <w:i/>
          <w:sz w:val="20"/>
        </w:rPr>
        <w:t>normative</w:t>
      </w:r>
      <w:r w:rsidRPr="008C3FCC">
        <w:rPr>
          <w:rFonts w:ascii="Arial" w:hAnsi="Arial" w:cs="Arial"/>
          <w:bCs/>
          <w:sz w:val="20"/>
        </w:rPr>
        <w:t xml:space="preserve"> </w:t>
      </w:r>
      <w:r>
        <w:rPr>
          <w:rFonts w:ascii="Arial" w:hAnsi="Arial" w:cs="Arial"/>
          <w:bCs/>
          <w:sz w:val="20"/>
        </w:rPr>
        <w:t xml:space="preserve">content. </w:t>
      </w:r>
      <w:r w:rsidRPr="008C3FCC">
        <w:rPr>
          <w:rFonts w:ascii="Arial" w:hAnsi="Arial" w:cs="Arial"/>
          <w:bCs/>
          <w:sz w:val="20"/>
        </w:rPr>
        <w:t xml:space="preserve">Table </w:t>
      </w:r>
      <w:r>
        <w:rPr>
          <w:rFonts w:ascii="Arial" w:hAnsi="Arial" w:cs="Arial"/>
          <w:bCs/>
          <w:sz w:val="20"/>
        </w:rPr>
        <w:t>2</w:t>
      </w:r>
      <w:r w:rsidRPr="008C3FCC">
        <w:rPr>
          <w:rFonts w:ascii="Arial" w:hAnsi="Arial" w:cs="Arial"/>
          <w:bCs/>
          <w:sz w:val="20"/>
        </w:rPr>
        <w:t xml:space="preserve">, below, </w:t>
      </w:r>
      <w:r>
        <w:rPr>
          <w:rFonts w:ascii="Arial" w:hAnsi="Arial" w:cs="Arial"/>
          <w:bCs/>
          <w:sz w:val="20"/>
        </w:rPr>
        <w:t>contains some examples of thick terms, divided in classes. This is a sample: there are many more classes.</w:t>
      </w:r>
    </w:p>
    <w:p w14:paraId="7EC5E625" w14:textId="77777777" w:rsidR="00661EA0" w:rsidRPr="00661EA0" w:rsidRDefault="00661EA0" w:rsidP="00661EA0">
      <w:pPr>
        <w:spacing w:after="120"/>
        <w:jc w:val="both"/>
        <w:rPr>
          <w:rFonts w:ascii="Arial" w:hAnsi="Arial" w:cs="Arial"/>
          <w:bCs/>
          <w:sz w:val="20"/>
          <w:lang w:val="en-GB"/>
        </w:rPr>
      </w:pPr>
      <w:r w:rsidRPr="00661EA0">
        <w:rPr>
          <w:rFonts w:ascii="Arial" w:hAnsi="Arial" w:cs="Arial"/>
          <w:bCs/>
          <w:sz w:val="20"/>
        </w:rPr>
        <w:t>Philosophers have discussed a variety of</w:t>
      </w:r>
      <w:r w:rsidRPr="00661EA0">
        <w:rPr>
          <w:rFonts w:ascii="Arial" w:hAnsi="Arial" w:cs="Arial"/>
          <w:bCs/>
          <w:sz w:val="20"/>
          <w:lang w:val="en-GB"/>
        </w:rPr>
        <w:t xml:space="preserve"> criteria for assessing whether an allegedly thick term is normative. RD has been defended (2</w:t>
      </w:r>
      <w:r w:rsidRPr="00661EA0">
        <w:rPr>
          <w:rFonts w:ascii="Arial" w:hAnsi="Arial" w:cs="Arial"/>
          <w:bCs/>
          <w:sz w:val="20"/>
          <w:vertAlign w:val="superscript"/>
          <w:lang w:val="en-GB"/>
        </w:rPr>
        <w:t>nd</w:t>
      </w:r>
      <w:r w:rsidRPr="00661EA0">
        <w:rPr>
          <w:rFonts w:ascii="Arial" w:hAnsi="Arial" w:cs="Arial"/>
          <w:bCs/>
          <w:sz w:val="20"/>
          <w:lang w:val="en-GB"/>
        </w:rPr>
        <w:t xml:space="preserve"> argument) with: </w:t>
      </w:r>
    </w:p>
    <w:p w14:paraId="091B28C8" w14:textId="77777777" w:rsidR="00661EA0" w:rsidRPr="00661EA0" w:rsidRDefault="00661EA0" w:rsidP="00661EA0">
      <w:pPr>
        <w:pStyle w:val="ListParagraph"/>
        <w:numPr>
          <w:ilvl w:val="0"/>
          <w:numId w:val="13"/>
        </w:numPr>
        <w:spacing w:after="60" w:line="259" w:lineRule="auto"/>
        <w:ind w:left="425" w:hanging="153"/>
        <w:contextualSpacing w:val="0"/>
        <w:jc w:val="both"/>
        <w:rPr>
          <w:rFonts w:ascii="Arial" w:hAnsi="Arial" w:cs="Arial"/>
          <w:sz w:val="20"/>
          <w:szCs w:val="20"/>
        </w:rPr>
      </w:pPr>
      <w:r w:rsidRPr="00661EA0">
        <w:rPr>
          <w:rFonts w:ascii="Arial" w:eastAsia="Cambria" w:hAnsi="Arial" w:cs="Arial"/>
          <w:b/>
          <w:bCs/>
          <w:sz w:val="20"/>
          <w:szCs w:val="20"/>
        </w:rPr>
        <w:t>Consistency (ConC):</w:t>
      </w:r>
      <w:r w:rsidRPr="00661EA0">
        <w:rPr>
          <w:rFonts w:ascii="Arial" w:eastAsia="Cambria" w:hAnsi="Arial" w:cs="Arial"/>
          <w:sz w:val="20"/>
          <w:szCs w:val="20"/>
        </w:rPr>
        <w:t xml:space="preserve"> a term is thick </w:t>
      </w:r>
      <w:r w:rsidRPr="00661EA0">
        <w:rPr>
          <w:rFonts w:ascii="Arial" w:eastAsia="Cambria" w:hAnsi="Arial" w:cs="Arial"/>
          <w:i/>
          <w:iCs/>
          <w:sz w:val="20"/>
          <w:szCs w:val="20"/>
        </w:rPr>
        <w:t>iff</w:t>
      </w:r>
      <w:r w:rsidRPr="00661EA0">
        <w:rPr>
          <w:rFonts w:ascii="Arial" w:eastAsia="Cambria" w:hAnsi="Arial" w:cs="Arial"/>
          <w:sz w:val="20"/>
          <w:szCs w:val="20"/>
        </w:rPr>
        <w:t xml:space="preserve"> it consistently implies a positive (negative) valence. Examples: </w:t>
      </w:r>
      <w:r w:rsidRPr="00661EA0">
        <w:rPr>
          <w:rFonts w:ascii="Arial" w:eastAsia="Cambria" w:hAnsi="Arial" w:cs="Arial"/>
          <w:i/>
          <w:sz w:val="20"/>
          <w:szCs w:val="20"/>
        </w:rPr>
        <w:t xml:space="preserve">cruel, painful, happy. </w:t>
      </w:r>
      <w:r w:rsidRPr="00661EA0">
        <w:rPr>
          <w:rFonts w:ascii="Arial" w:eastAsia="Cambria" w:hAnsi="Arial" w:cs="Arial"/>
          <w:b/>
          <w:sz w:val="20"/>
          <w:szCs w:val="20"/>
        </w:rPr>
        <w:t>Sufficient, not necessary.</w:t>
      </w:r>
    </w:p>
    <w:p w14:paraId="71F84690" w14:textId="77777777" w:rsidR="00661EA0" w:rsidRPr="00661EA0" w:rsidRDefault="00661EA0" w:rsidP="00661EA0">
      <w:pPr>
        <w:spacing w:before="120" w:after="120"/>
        <w:jc w:val="both"/>
        <w:rPr>
          <w:rFonts w:ascii="Arial" w:hAnsi="Arial" w:cs="Arial"/>
          <w:sz w:val="20"/>
          <w:szCs w:val="20"/>
        </w:rPr>
      </w:pPr>
      <w:r w:rsidRPr="00661EA0">
        <w:rPr>
          <w:rFonts w:ascii="Arial" w:hAnsi="Arial" w:cs="Arial"/>
          <w:sz w:val="20"/>
          <w:szCs w:val="20"/>
        </w:rPr>
        <w:t>However, there are two other criteria:</w:t>
      </w:r>
    </w:p>
    <w:p w14:paraId="5CB7EE35" w14:textId="77777777" w:rsidR="00661EA0" w:rsidRPr="00661EA0" w:rsidRDefault="00661EA0" w:rsidP="00661EA0">
      <w:pPr>
        <w:pStyle w:val="ListParagraph"/>
        <w:numPr>
          <w:ilvl w:val="0"/>
          <w:numId w:val="13"/>
        </w:numPr>
        <w:spacing w:after="60" w:line="259" w:lineRule="auto"/>
        <w:ind w:left="425" w:hanging="153"/>
        <w:contextualSpacing w:val="0"/>
        <w:jc w:val="both"/>
        <w:rPr>
          <w:rFonts w:ascii="Arial" w:hAnsi="Arial" w:cs="Arial"/>
          <w:sz w:val="20"/>
          <w:szCs w:val="20"/>
        </w:rPr>
      </w:pPr>
      <w:r w:rsidRPr="00661EA0">
        <w:rPr>
          <w:rFonts w:ascii="Arial" w:hAnsi="Arial" w:cs="Arial"/>
          <w:b/>
          <w:sz w:val="20"/>
          <w:szCs w:val="20"/>
        </w:rPr>
        <w:t>Separability (</w:t>
      </w:r>
      <w:r w:rsidRPr="00661EA0">
        <w:rPr>
          <w:rFonts w:ascii="Arial" w:hAnsi="Arial" w:cs="Arial"/>
          <w:b/>
          <w:bCs/>
          <w:sz w:val="20"/>
          <w:szCs w:val="20"/>
        </w:rPr>
        <w:t>SC):</w:t>
      </w:r>
      <w:r w:rsidRPr="00661EA0">
        <w:rPr>
          <w:rFonts w:ascii="Arial" w:hAnsi="Arial" w:cs="Arial"/>
          <w:b/>
          <w:sz w:val="20"/>
          <w:szCs w:val="20"/>
        </w:rPr>
        <w:t xml:space="preserve"> </w:t>
      </w:r>
      <w:r w:rsidRPr="00661EA0">
        <w:rPr>
          <w:rFonts w:ascii="Arial" w:hAnsi="Arial" w:cs="Arial"/>
          <w:sz w:val="20"/>
          <w:szCs w:val="20"/>
        </w:rPr>
        <w:t xml:space="preserve">a term is thick </w:t>
      </w:r>
      <w:r w:rsidRPr="00661EA0">
        <w:rPr>
          <w:rFonts w:ascii="Arial" w:hAnsi="Arial" w:cs="Arial"/>
          <w:i/>
          <w:iCs/>
          <w:sz w:val="20"/>
          <w:szCs w:val="20"/>
        </w:rPr>
        <w:t>iff</w:t>
      </w:r>
      <w:r w:rsidRPr="00661EA0">
        <w:rPr>
          <w:rFonts w:ascii="Arial" w:hAnsi="Arial" w:cs="Arial"/>
          <w:sz w:val="20"/>
          <w:szCs w:val="20"/>
        </w:rPr>
        <w:t xml:space="preserve"> we can disentangle its normative and descriptive aspects. e.g.: </w:t>
      </w:r>
      <w:r w:rsidRPr="00661EA0">
        <w:rPr>
          <w:rFonts w:ascii="Arial" w:eastAsia="Cambria" w:hAnsi="Arial" w:cs="Arial"/>
          <w:i/>
          <w:iCs/>
          <w:sz w:val="20"/>
          <w:szCs w:val="20"/>
        </w:rPr>
        <w:t>murder</w:t>
      </w:r>
      <w:r w:rsidRPr="00661EA0">
        <w:rPr>
          <w:rFonts w:ascii="Arial" w:eastAsia="Cambria" w:hAnsi="Arial" w:cs="Arial"/>
          <w:sz w:val="20"/>
          <w:szCs w:val="20"/>
        </w:rPr>
        <w:t xml:space="preserve"> is “</w:t>
      </w:r>
      <w:r w:rsidRPr="00661EA0">
        <w:rPr>
          <w:rFonts w:ascii="Arial" w:eastAsia="Cambria" w:hAnsi="Arial" w:cs="Arial"/>
          <w:i/>
          <w:iCs/>
          <w:sz w:val="20"/>
          <w:szCs w:val="20"/>
        </w:rPr>
        <w:t xml:space="preserve">wrongful </w:t>
      </w:r>
      <w:r w:rsidRPr="00661EA0">
        <w:rPr>
          <w:rFonts w:ascii="Arial" w:eastAsia="Cambria" w:hAnsi="Arial" w:cs="Arial"/>
          <w:sz w:val="20"/>
          <w:szCs w:val="20"/>
        </w:rPr>
        <w:t>deliberate killing”</w:t>
      </w:r>
      <w:r w:rsidRPr="00661EA0">
        <w:rPr>
          <w:rFonts w:ascii="Arial" w:eastAsia="Cambria" w:hAnsi="Arial" w:cs="Arial"/>
          <w:i/>
          <w:iCs/>
          <w:sz w:val="20"/>
          <w:szCs w:val="20"/>
        </w:rPr>
        <w:t>, knowledge</w:t>
      </w:r>
      <w:r w:rsidRPr="00661EA0">
        <w:rPr>
          <w:rFonts w:ascii="Arial" w:eastAsia="Cambria" w:hAnsi="Arial" w:cs="Arial"/>
          <w:sz w:val="20"/>
          <w:szCs w:val="20"/>
        </w:rPr>
        <w:t xml:space="preserve"> </w:t>
      </w:r>
      <w:r w:rsidRPr="00661EA0">
        <w:rPr>
          <w:rFonts w:ascii="Arial" w:hAnsi="Arial" w:cs="Arial"/>
          <w:sz w:val="20"/>
          <w:szCs w:val="20"/>
        </w:rPr>
        <w:t>is “</w:t>
      </w:r>
      <w:r w:rsidRPr="00661EA0">
        <w:rPr>
          <w:rFonts w:ascii="Arial" w:hAnsi="Arial" w:cs="Arial"/>
          <w:i/>
          <w:iCs/>
          <w:sz w:val="20"/>
          <w:szCs w:val="20"/>
        </w:rPr>
        <w:t>justified</w:t>
      </w:r>
      <w:r w:rsidRPr="00661EA0">
        <w:rPr>
          <w:rFonts w:ascii="Arial" w:hAnsi="Arial" w:cs="Arial"/>
          <w:sz w:val="20"/>
          <w:szCs w:val="20"/>
        </w:rPr>
        <w:t xml:space="preserve"> true belief”. </w:t>
      </w:r>
      <w:r w:rsidRPr="00661EA0">
        <w:rPr>
          <w:rFonts w:ascii="Arial" w:eastAsia="Cambria" w:hAnsi="Arial" w:cs="Arial"/>
          <w:b/>
          <w:sz w:val="20"/>
          <w:szCs w:val="20"/>
        </w:rPr>
        <w:t>Sufficient, not necessary.</w:t>
      </w:r>
    </w:p>
    <w:p w14:paraId="173A56AD" w14:textId="77777777" w:rsidR="00661EA0" w:rsidRPr="00661EA0" w:rsidRDefault="00661EA0" w:rsidP="00661EA0">
      <w:pPr>
        <w:pStyle w:val="ListParagraph"/>
        <w:numPr>
          <w:ilvl w:val="0"/>
          <w:numId w:val="13"/>
        </w:numPr>
        <w:spacing w:after="60" w:line="259" w:lineRule="auto"/>
        <w:ind w:left="425" w:hanging="153"/>
        <w:contextualSpacing w:val="0"/>
        <w:jc w:val="both"/>
        <w:rPr>
          <w:rFonts w:ascii="Arial" w:hAnsi="Arial" w:cs="Arial"/>
          <w:sz w:val="20"/>
          <w:szCs w:val="20"/>
        </w:rPr>
      </w:pPr>
      <w:r w:rsidRPr="00661EA0">
        <w:rPr>
          <w:rFonts w:ascii="Arial" w:hAnsi="Arial" w:cs="Arial"/>
          <w:b/>
          <w:sz w:val="20"/>
          <w:szCs w:val="20"/>
        </w:rPr>
        <w:t>Membership (MC):</w:t>
      </w:r>
      <w:r w:rsidRPr="00661EA0">
        <w:rPr>
          <w:rFonts w:ascii="Arial" w:hAnsi="Arial" w:cs="Arial"/>
          <w:sz w:val="20"/>
          <w:szCs w:val="20"/>
        </w:rPr>
        <w:t xml:space="preserve"> a term is thick iff it meets the criteria for being considered a member of a class of terms that are widely regarded as thick. </w:t>
      </w:r>
      <w:r w:rsidRPr="00661EA0">
        <w:rPr>
          <w:rFonts w:ascii="Arial" w:eastAsia="Cambria" w:hAnsi="Arial" w:cs="Arial"/>
          <w:b/>
          <w:sz w:val="20"/>
          <w:szCs w:val="20"/>
        </w:rPr>
        <w:t>Sufficient…necessary</w:t>
      </w:r>
      <w:r w:rsidRPr="00661EA0">
        <w:rPr>
          <w:rFonts w:ascii="Arial" w:eastAsia="Cambria" w:hAnsi="Arial" w:cs="Arial"/>
          <w:b/>
          <w:sz w:val="20"/>
          <w:szCs w:val="20"/>
          <w:lang w:val="en-GB"/>
        </w:rPr>
        <w:t>?</w:t>
      </w:r>
    </w:p>
    <w:p w14:paraId="341BE225" w14:textId="77777777" w:rsidR="00661EA0" w:rsidRPr="00661EA0" w:rsidRDefault="00661EA0" w:rsidP="00661EA0">
      <w:pPr>
        <w:spacing w:before="120" w:after="120"/>
        <w:jc w:val="both"/>
        <w:rPr>
          <w:rFonts w:ascii="Arial" w:hAnsi="Arial" w:cs="Arial"/>
          <w:sz w:val="20"/>
        </w:rPr>
      </w:pPr>
      <w:r w:rsidRPr="00661EA0">
        <w:rPr>
          <w:rFonts w:ascii="Arial" w:hAnsi="Arial" w:cs="Arial"/>
          <w:bCs/>
          <w:sz w:val="20"/>
          <w:lang w:val="en-GB"/>
        </w:rPr>
        <w:t>By using the separability criterion (SC) and the membership criterion (MC), resilience can be linked to various classes of thick terms, and so, qualified as normative.</w:t>
      </w:r>
    </w:p>
    <w:p w14:paraId="2CBF813B" w14:textId="77777777" w:rsidR="00661EA0" w:rsidRPr="00661EA0" w:rsidRDefault="00661EA0" w:rsidP="00661EA0">
      <w:pPr>
        <w:pStyle w:val="ListParagraph"/>
        <w:numPr>
          <w:ilvl w:val="0"/>
          <w:numId w:val="14"/>
        </w:numPr>
        <w:spacing w:after="60" w:line="259" w:lineRule="auto"/>
        <w:ind w:left="425" w:hanging="153"/>
        <w:contextualSpacing w:val="0"/>
        <w:jc w:val="both"/>
        <w:rPr>
          <w:rFonts w:ascii="Arial" w:hAnsi="Arial" w:cs="Arial"/>
          <w:b/>
          <w:bCs/>
          <w:sz w:val="20"/>
          <w:lang w:val="en-GB"/>
        </w:rPr>
      </w:pPr>
      <w:r w:rsidRPr="00661EA0">
        <w:rPr>
          <w:rFonts w:ascii="Arial" w:hAnsi="Arial" w:cs="Arial"/>
          <w:b/>
          <w:bCs/>
          <w:sz w:val="20"/>
          <w:lang w:val="en-GB"/>
        </w:rPr>
        <w:t>Minimally, resilience is an instrumental value</w:t>
      </w:r>
      <w:r w:rsidRPr="00661EA0">
        <w:rPr>
          <w:rFonts w:ascii="Arial" w:hAnsi="Arial" w:cs="Arial"/>
          <w:bCs/>
          <w:sz w:val="20"/>
          <w:lang w:val="en-GB"/>
        </w:rPr>
        <w:t xml:space="preserve">. “Lock-in” resilience is closely linked with </w:t>
      </w:r>
      <w:r w:rsidRPr="00661EA0">
        <w:rPr>
          <w:rFonts w:ascii="Arial" w:hAnsi="Arial" w:cs="Arial"/>
          <w:b/>
          <w:bCs/>
          <w:sz w:val="20"/>
          <w:lang w:val="en-GB"/>
        </w:rPr>
        <w:t>efficiency</w:t>
      </w:r>
      <w:r w:rsidRPr="00661EA0">
        <w:rPr>
          <w:rFonts w:ascii="Arial" w:hAnsi="Arial" w:cs="Arial"/>
          <w:bCs/>
          <w:sz w:val="20"/>
          <w:lang w:val="en-GB"/>
        </w:rPr>
        <w:t xml:space="preserve"> or </w:t>
      </w:r>
      <w:r w:rsidRPr="00661EA0">
        <w:rPr>
          <w:rFonts w:ascii="Arial" w:hAnsi="Arial" w:cs="Arial"/>
          <w:b/>
          <w:bCs/>
          <w:sz w:val="20"/>
          <w:lang w:val="en-GB"/>
        </w:rPr>
        <w:t>robustness</w:t>
      </w:r>
      <w:r w:rsidRPr="00661EA0">
        <w:rPr>
          <w:rFonts w:ascii="Arial" w:hAnsi="Arial" w:cs="Arial"/>
          <w:bCs/>
          <w:sz w:val="20"/>
          <w:lang w:val="en-GB"/>
        </w:rPr>
        <w:t>. As is already implicit in 2</w:t>
      </w:r>
      <w:r w:rsidRPr="00661EA0">
        <w:rPr>
          <w:rFonts w:ascii="Arial" w:hAnsi="Arial" w:cs="Arial"/>
          <w:bCs/>
          <w:sz w:val="20"/>
          <w:vertAlign w:val="superscript"/>
          <w:lang w:val="en-GB"/>
        </w:rPr>
        <w:t>nd</w:t>
      </w:r>
      <w:r w:rsidRPr="00661EA0">
        <w:rPr>
          <w:rFonts w:ascii="Arial" w:hAnsi="Arial" w:cs="Arial"/>
          <w:bCs/>
          <w:sz w:val="20"/>
          <w:lang w:val="en-GB"/>
        </w:rPr>
        <w:t xml:space="preserve"> argument pro-RD: poverty traps, rigidity traps make resilience undesirable, but applied to other ends or patterned states (e.g. virtuous cycles), resilience is desirable.</w:t>
      </w:r>
    </w:p>
    <w:p w14:paraId="49CD7B77" w14:textId="1A3C8846" w:rsidR="00661EA0" w:rsidRPr="00661EA0" w:rsidRDefault="00661EA0" w:rsidP="00661EA0">
      <w:pPr>
        <w:pStyle w:val="ListParagraph"/>
        <w:numPr>
          <w:ilvl w:val="0"/>
          <w:numId w:val="14"/>
        </w:numPr>
        <w:spacing w:after="60" w:line="259" w:lineRule="auto"/>
        <w:ind w:left="425" w:hanging="153"/>
        <w:contextualSpacing w:val="0"/>
        <w:jc w:val="both"/>
        <w:rPr>
          <w:rFonts w:ascii="Arial" w:hAnsi="Arial" w:cs="Arial"/>
          <w:sz w:val="20"/>
          <w:szCs w:val="20"/>
        </w:rPr>
      </w:pPr>
      <w:r w:rsidRPr="00661EA0">
        <w:rPr>
          <w:rFonts w:ascii="Arial" w:hAnsi="Arial" w:cs="Arial"/>
          <w:b/>
          <w:bCs/>
          <w:sz w:val="20"/>
          <w:lang w:val="en-GB"/>
        </w:rPr>
        <w:t xml:space="preserve">Moreover, resilience is plausibly a virtue. </w:t>
      </w:r>
      <w:r w:rsidRPr="00661EA0">
        <w:rPr>
          <w:rFonts w:ascii="Arial" w:hAnsi="Arial" w:cs="Arial"/>
          <w:sz w:val="20"/>
          <w:szCs w:val="20"/>
        </w:rPr>
        <w:t xml:space="preserve">Virtue terms like e.g. </w:t>
      </w:r>
      <w:r w:rsidRPr="00661EA0">
        <w:rPr>
          <w:rFonts w:ascii="Arial" w:hAnsi="Arial" w:cs="Arial"/>
          <w:b/>
          <w:bCs/>
          <w:sz w:val="20"/>
          <w:lang w:val="en-GB"/>
        </w:rPr>
        <w:t>generosity</w:t>
      </w:r>
      <w:r w:rsidRPr="00661EA0">
        <w:rPr>
          <w:rFonts w:ascii="Arial" w:hAnsi="Arial" w:cs="Arial"/>
          <w:sz w:val="20"/>
          <w:szCs w:val="20"/>
        </w:rPr>
        <w:t xml:space="preserve"> express (Battaly </w:t>
      </w:r>
      <w:r w:rsidR="000629C6">
        <w:rPr>
          <w:rFonts w:ascii="Arial" w:hAnsi="Arial" w:cs="Arial"/>
          <w:sz w:val="20"/>
          <w:szCs w:val="20"/>
        </w:rPr>
        <w:fldChar w:fldCharType="begin"/>
      </w:r>
      <w:r w:rsidR="000629C6">
        <w:rPr>
          <w:rFonts w:ascii="Arial" w:hAnsi="Arial" w:cs="Arial"/>
          <w:sz w:val="20"/>
          <w:szCs w:val="20"/>
        </w:rPr>
        <w:instrText xml:space="preserve"> ADDIN EN.CITE &lt;EndNote&gt;&lt;Cite ExcludeAuth="1" ExcludeYear="1" Hidden="1"&gt;&lt;Author&gt;Battaly&lt;/Author&gt;&lt;Year&gt;2015&lt;/Year&gt;&lt;RecNum&gt;404&lt;/RecNum&gt;&lt;record&gt;&lt;rec-number&gt;404&lt;/rec-number&gt;&lt;foreign-keys&gt;&lt;key app="EN" db-id="tfxzfpdv5efxzie5r0cxred3pfres2ffz5as" timestamp="1604053097"&gt;404&lt;/key&gt;&lt;/foreign-keys&gt;&lt;ref-type name="Book Section"&gt;5&lt;/ref-type&gt;&lt;contributors&gt;&lt;authors&gt;&lt;author&gt;Battaly, Heather&lt;/author&gt;&lt;/authors&gt;&lt;secondary-authors&gt;&lt;author&gt;Alfano, Mark&lt;/author&gt;&lt;/secondary-authors&gt;&lt;/contributors&gt;&lt;titles&gt;&lt;title&gt;A Pluralist Theory of Virtue&lt;/title&gt;&lt;secondary-title&gt;Current Controversies in Virtue Theory&lt;/secondary-title&gt;&lt;/titles&gt;&lt;pages&gt;7-21&lt;/pages&gt;&lt;dates&gt;&lt;year&gt;2015&lt;/year&gt;&lt;/dates&gt;&lt;publisher&gt;Routledge&lt;/publisher&gt;&lt;urls&gt;&lt;/urls&gt;&lt;/record&gt;&lt;/Cite&gt;&lt;/EndNote&gt;</w:instrText>
      </w:r>
      <w:r w:rsidR="000629C6">
        <w:rPr>
          <w:rFonts w:ascii="Arial" w:hAnsi="Arial" w:cs="Arial"/>
          <w:sz w:val="20"/>
          <w:szCs w:val="20"/>
        </w:rPr>
        <w:fldChar w:fldCharType="end"/>
      </w:r>
      <w:r w:rsidR="000629C6">
        <w:rPr>
          <w:rFonts w:ascii="Arial" w:hAnsi="Arial" w:cs="Arial"/>
          <w:sz w:val="20"/>
          <w:szCs w:val="20"/>
        </w:rPr>
        <w:t>2015</w:t>
      </w:r>
      <w:r w:rsidRPr="00661EA0">
        <w:rPr>
          <w:rFonts w:ascii="Arial" w:hAnsi="Arial" w:cs="Arial"/>
          <w:sz w:val="20"/>
          <w:szCs w:val="20"/>
        </w:rPr>
        <w:t xml:space="preserve">):  </w:t>
      </w:r>
    </w:p>
    <w:p w14:paraId="6B06658F" w14:textId="77777777" w:rsidR="00661EA0" w:rsidRPr="00661EA0" w:rsidRDefault="00661EA0" w:rsidP="00661EA0">
      <w:pPr>
        <w:pStyle w:val="ListParagraph"/>
        <w:spacing w:after="60"/>
        <w:ind w:left="709"/>
        <w:contextualSpacing w:val="0"/>
        <w:jc w:val="both"/>
        <w:rPr>
          <w:rFonts w:ascii="Arial" w:hAnsi="Arial" w:cs="Arial"/>
          <w:sz w:val="20"/>
          <w:szCs w:val="20"/>
        </w:rPr>
      </w:pPr>
      <w:r w:rsidRPr="00661EA0">
        <w:rPr>
          <w:rFonts w:ascii="Arial" w:hAnsi="Arial" w:cs="Arial"/>
          <w:sz w:val="20"/>
          <w:szCs w:val="20"/>
        </w:rPr>
        <w:t>(1) acquired character traits (in social terms: learned, not transcultural) – MERIT</w:t>
      </w:r>
    </w:p>
    <w:p w14:paraId="6F731D47" w14:textId="77777777" w:rsidR="00661EA0" w:rsidRPr="00661EA0" w:rsidRDefault="00661EA0" w:rsidP="00661EA0">
      <w:pPr>
        <w:pStyle w:val="ListParagraph"/>
        <w:spacing w:after="60"/>
        <w:ind w:left="709"/>
        <w:contextualSpacing w:val="0"/>
        <w:jc w:val="both"/>
        <w:rPr>
          <w:rFonts w:ascii="Arial" w:hAnsi="Arial" w:cs="Arial"/>
          <w:sz w:val="20"/>
          <w:szCs w:val="20"/>
        </w:rPr>
      </w:pPr>
      <w:r w:rsidRPr="00661EA0">
        <w:rPr>
          <w:rFonts w:ascii="Arial" w:hAnsi="Arial" w:cs="Arial"/>
          <w:sz w:val="20"/>
          <w:szCs w:val="20"/>
        </w:rPr>
        <w:t xml:space="preserve">(2) that involve performing RIGHT actions;  </w:t>
      </w:r>
    </w:p>
    <w:p w14:paraId="2E371039" w14:textId="77777777" w:rsidR="00661EA0" w:rsidRPr="00661EA0" w:rsidRDefault="00661EA0" w:rsidP="00661EA0">
      <w:pPr>
        <w:pStyle w:val="ListParagraph"/>
        <w:spacing w:after="60"/>
        <w:ind w:left="709"/>
        <w:contextualSpacing w:val="0"/>
        <w:jc w:val="both"/>
        <w:rPr>
          <w:rFonts w:ascii="Arial" w:hAnsi="Arial" w:cs="Arial"/>
          <w:sz w:val="20"/>
          <w:szCs w:val="20"/>
        </w:rPr>
      </w:pPr>
      <w:r w:rsidRPr="00661EA0">
        <w:rPr>
          <w:rFonts w:ascii="Arial" w:hAnsi="Arial" w:cs="Arial"/>
          <w:sz w:val="20"/>
          <w:szCs w:val="20"/>
        </w:rPr>
        <w:t xml:space="preserve">(3) that (tend to) produce GOOD OUTCOMES; </w:t>
      </w:r>
    </w:p>
    <w:p w14:paraId="1176360C" w14:textId="77777777" w:rsidR="00661EA0" w:rsidRPr="00661EA0" w:rsidRDefault="00661EA0" w:rsidP="00661EA0">
      <w:pPr>
        <w:pStyle w:val="ListParagraph"/>
        <w:spacing w:after="60"/>
        <w:ind w:left="709"/>
        <w:contextualSpacing w:val="0"/>
        <w:jc w:val="both"/>
        <w:rPr>
          <w:rFonts w:ascii="Arial" w:hAnsi="Arial" w:cs="Arial"/>
          <w:b/>
          <w:bCs/>
          <w:sz w:val="20"/>
          <w:szCs w:val="20"/>
          <w:lang w:val="en-GB"/>
        </w:rPr>
      </w:pPr>
      <w:r w:rsidRPr="00661EA0">
        <w:rPr>
          <w:rFonts w:ascii="Arial" w:hAnsi="Arial" w:cs="Arial"/>
          <w:sz w:val="20"/>
          <w:szCs w:val="20"/>
        </w:rPr>
        <w:t>(4) and that involve GOOD MOTIVES.</w:t>
      </w:r>
    </w:p>
    <w:p w14:paraId="7F042DF1" w14:textId="77777777" w:rsidR="00661EA0" w:rsidRPr="00661EA0" w:rsidRDefault="00661EA0" w:rsidP="00661EA0">
      <w:pPr>
        <w:spacing w:before="120" w:after="60"/>
        <w:ind w:left="425"/>
        <w:jc w:val="both"/>
        <w:rPr>
          <w:rFonts w:ascii="Arial" w:hAnsi="Arial" w:cs="Arial"/>
          <w:b/>
          <w:bCs/>
          <w:sz w:val="20"/>
          <w:lang w:val="en-GB"/>
        </w:rPr>
      </w:pPr>
      <w:r w:rsidRPr="00661EA0">
        <w:rPr>
          <w:rFonts w:ascii="Arial" w:hAnsi="Arial" w:cs="Arial"/>
          <w:bCs/>
          <w:sz w:val="20"/>
          <w:lang w:val="en-GB"/>
        </w:rPr>
        <w:t xml:space="preserve">At least some resilience concepts pass this test (e.g. adaptation, anti-fragility). In fact, resilience is </w:t>
      </w:r>
      <w:r w:rsidRPr="00661EA0">
        <w:rPr>
          <w:rFonts w:ascii="Arial" w:hAnsi="Arial" w:cs="Arial"/>
          <w:b/>
          <w:bCs/>
          <w:sz w:val="20"/>
          <w:lang w:val="en-GB"/>
        </w:rPr>
        <w:t>often seen as a virtue:</w:t>
      </w:r>
      <w:r w:rsidRPr="00661EA0">
        <w:rPr>
          <w:rFonts w:ascii="Arial" w:hAnsi="Arial" w:cs="Arial"/>
          <w:bCs/>
          <w:sz w:val="20"/>
          <w:lang w:val="en-GB"/>
        </w:rPr>
        <w:t xml:space="preserve"> an ability that persons and/or organizations would like to have and/or promote.</w:t>
      </w:r>
    </w:p>
    <w:p w14:paraId="5E63709C" w14:textId="77777777" w:rsidR="00661EA0" w:rsidRPr="00661EA0" w:rsidRDefault="00661EA0" w:rsidP="00661EA0">
      <w:pPr>
        <w:pStyle w:val="ListParagraph"/>
        <w:numPr>
          <w:ilvl w:val="0"/>
          <w:numId w:val="14"/>
        </w:numPr>
        <w:spacing w:after="60" w:line="259" w:lineRule="auto"/>
        <w:ind w:left="425" w:hanging="153"/>
        <w:contextualSpacing w:val="0"/>
        <w:jc w:val="both"/>
        <w:rPr>
          <w:rFonts w:ascii="Arial" w:hAnsi="Arial" w:cs="Arial"/>
          <w:b/>
          <w:bCs/>
          <w:sz w:val="20"/>
          <w:lang w:val="en-GB"/>
        </w:rPr>
      </w:pPr>
      <w:r w:rsidRPr="00661EA0">
        <w:rPr>
          <w:rFonts w:ascii="Arial" w:hAnsi="Arial" w:cs="Arial"/>
          <w:b/>
          <w:bCs/>
          <w:sz w:val="20"/>
          <w:lang w:val="en-GB"/>
        </w:rPr>
        <w:t xml:space="preserve">Resilience is closely linked with achievement verbs. </w:t>
      </w:r>
      <w:r w:rsidRPr="00661EA0">
        <w:rPr>
          <w:rFonts w:ascii="Arial" w:hAnsi="Arial" w:cs="Arial"/>
          <w:bCs/>
          <w:sz w:val="20"/>
          <w:lang w:val="en-GB"/>
        </w:rPr>
        <w:t xml:space="preserve">These verbs imply success and/or conduct appropriately oriented to certain ends: success therefore carries merit, and one deserves credit for it: e.g. </w:t>
      </w:r>
      <w:r w:rsidRPr="00661EA0">
        <w:rPr>
          <w:rFonts w:ascii="Arial" w:hAnsi="Arial" w:cs="Arial"/>
          <w:b/>
          <w:bCs/>
          <w:sz w:val="20"/>
          <w:lang w:val="en-GB"/>
        </w:rPr>
        <w:t>to know</w:t>
      </w:r>
      <w:r w:rsidRPr="00661EA0">
        <w:rPr>
          <w:rFonts w:ascii="Arial" w:hAnsi="Arial" w:cs="Arial"/>
          <w:bCs/>
          <w:sz w:val="20"/>
          <w:lang w:val="en-GB"/>
        </w:rPr>
        <w:t xml:space="preserve"> is to be successful in being true and appropriately justified; one is owed some credit for knowing. Similarly, being resilient denotes that one persists </w:t>
      </w:r>
      <w:r w:rsidRPr="00661EA0">
        <w:rPr>
          <w:rFonts w:ascii="Arial" w:hAnsi="Arial" w:cs="Arial"/>
          <w:b/>
          <w:bCs/>
          <w:sz w:val="20"/>
          <w:lang w:val="en-GB"/>
        </w:rPr>
        <w:t>due to</w:t>
      </w:r>
      <w:r w:rsidRPr="00661EA0">
        <w:rPr>
          <w:rFonts w:ascii="Arial" w:hAnsi="Arial" w:cs="Arial"/>
          <w:bCs/>
          <w:sz w:val="20"/>
          <w:lang w:val="en-GB"/>
        </w:rPr>
        <w:t xml:space="preserve"> some peculiar traits and merits. This classification is indisputable when we talk about resilience in human contexts.   </w:t>
      </w:r>
    </w:p>
    <w:p w14:paraId="27E3E677" w14:textId="77777777" w:rsidR="00661EA0" w:rsidRPr="00917DD1" w:rsidRDefault="00661EA0" w:rsidP="00661EA0">
      <w:pPr>
        <w:jc w:val="both"/>
        <w:rPr>
          <w:rFonts w:ascii="Arial" w:hAnsi="Arial" w:cs="Arial"/>
          <w:sz w:val="20"/>
        </w:rPr>
      </w:pPr>
    </w:p>
    <w:p w14:paraId="6D0D3C3E" w14:textId="77777777" w:rsidR="00661EA0" w:rsidRDefault="00661EA0" w:rsidP="00661EA0">
      <w:pPr>
        <w:pStyle w:val="ListParagraph"/>
        <w:numPr>
          <w:ilvl w:val="0"/>
          <w:numId w:val="10"/>
        </w:numPr>
        <w:spacing w:after="120" w:line="259" w:lineRule="auto"/>
        <w:ind w:left="142" w:hanging="295"/>
        <w:contextualSpacing w:val="0"/>
        <w:jc w:val="both"/>
        <w:rPr>
          <w:rFonts w:ascii="Arial" w:hAnsi="Arial" w:cs="Arial"/>
          <w:b/>
          <w:sz w:val="20"/>
        </w:rPr>
      </w:pPr>
      <w:r>
        <w:rPr>
          <w:rFonts w:ascii="Arial" w:hAnsi="Arial" w:cs="Arial"/>
          <w:b/>
          <w:sz w:val="20"/>
        </w:rPr>
        <w:t>Resilience is a naturalness/normality concept</w:t>
      </w:r>
    </w:p>
    <w:p w14:paraId="74CC741F" w14:textId="11C3EAA2" w:rsidR="001B7A03" w:rsidRPr="001B7A03" w:rsidRDefault="00661EA0" w:rsidP="00661EA0">
      <w:pPr>
        <w:spacing w:before="240"/>
        <w:jc w:val="both"/>
        <w:rPr>
          <w:rFonts w:ascii="Arial" w:hAnsi="Arial" w:cs="Arial"/>
          <w:bCs/>
          <w:sz w:val="20"/>
          <w:lang w:val="en-GB"/>
        </w:rPr>
      </w:pPr>
      <w:r>
        <w:rPr>
          <w:rFonts w:ascii="Arial" w:hAnsi="Arial" w:cs="Arial"/>
          <w:bCs/>
          <w:sz w:val="20"/>
          <w:lang w:val="en-GB"/>
        </w:rPr>
        <w:t>Concepts implying a</w:t>
      </w:r>
      <w:r w:rsidRPr="007D642A">
        <w:rPr>
          <w:rFonts w:ascii="Arial" w:hAnsi="Arial" w:cs="Arial"/>
          <w:bCs/>
          <w:sz w:val="20"/>
          <w:lang w:val="en-GB"/>
        </w:rPr>
        <w:t xml:space="preserve"> “r</w:t>
      </w:r>
      <w:r>
        <w:rPr>
          <w:rFonts w:ascii="Arial" w:hAnsi="Arial" w:cs="Arial"/>
          <w:bCs/>
          <w:sz w:val="20"/>
          <w:lang w:val="en-GB"/>
        </w:rPr>
        <w:t xml:space="preserve">elation of conformity to norms” (e.g. normality, obsolete, deviant, disturbance, critical, naturalness, etc.) broaden established views on normativity. They are not prescriptive (e.g. </w:t>
      </w:r>
      <w:r>
        <w:rPr>
          <w:rFonts w:ascii="Arial" w:hAnsi="Arial" w:cs="Arial"/>
          <w:bCs/>
          <w:i/>
          <w:sz w:val="20"/>
          <w:lang w:val="en-GB"/>
        </w:rPr>
        <w:t>must, justified, right, permissible</w:t>
      </w:r>
      <w:r>
        <w:rPr>
          <w:rFonts w:ascii="Arial" w:hAnsi="Arial" w:cs="Arial"/>
          <w:bCs/>
          <w:sz w:val="20"/>
          <w:lang w:val="en-GB"/>
        </w:rPr>
        <w:t xml:space="preserve">) in the sense of directly expressing an obligation; nor are they evaluative (e.g. </w:t>
      </w:r>
      <w:r>
        <w:rPr>
          <w:rFonts w:ascii="Arial" w:hAnsi="Arial" w:cs="Arial"/>
          <w:bCs/>
          <w:i/>
          <w:sz w:val="20"/>
          <w:lang w:val="en-GB"/>
        </w:rPr>
        <w:t xml:space="preserve">praiseworthy, admirable, bad), </w:t>
      </w:r>
      <w:r>
        <w:rPr>
          <w:rFonts w:ascii="Arial" w:hAnsi="Arial" w:cs="Arial"/>
          <w:bCs/>
          <w:sz w:val="20"/>
          <w:lang w:val="en-GB"/>
        </w:rPr>
        <w:t>in the sense of conveying positive, critical or negative appreciations. But Wittgenstein once claimed that we do many things that cannot be justified except by appeal to “what we normally do in such circumstance”, that is, by appeal to conformity to norms and expectations, or deviation from them</w:t>
      </w:r>
      <w:r w:rsidR="00702884">
        <w:rPr>
          <w:rFonts w:ascii="Arial" w:hAnsi="Arial" w:cs="Arial"/>
          <w:bCs/>
          <w:sz w:val="20"/>
          <w:lang w:val="en-GB"/>
        </w:rPr>
        <w:t xml:space="preserve"> (Eldridge 1986</w:t>
      </w:r>
      <w:r w:rsidR="00702884">
        <w:rPr>
          <w:rFonts w:ascii="Arial" w:hAnsi="Arial" w:cs="Arial"/>
          <w:bCs/>
          <w:sz w:val="20"/>
          <w:lang w:val="en-GB"/>
        </w:rPr>
        <w:fldChar w:fldCharType="begin"/>
      </w:r>
      <w:r w:rsidR="00702884">
        <w:rPr>
          <w:rFonts w:ascii="Arial" w:hAnsi="Arial" w:cs="Arial"/>
          <w:bCs/>
          <w:sz w:val="20"/>
          <w:lang w:val="en-GB"/>
        </w:rPr>
        <w:instrText xml:space="preserve"> ADDIN EN.CITE &lt;EndNote&gt;&lt;Cite ExcludeAuth="1" ExcludeYear="1" Hidden="1"&gt;&lt;Author&gt;Eldridge&lt;/Author&gt;&lt;Year&gt;1986&lt;/Year&gt;&lt;RecNum&gt;405&lt;/RecNum&gt;&lt;record&gt;&lt;rec-number&gt;405&lt;/rec-number&gt;&lt;foreign-keys&gt;&lt;key app="EN" db-id="tfxzfpdv5efxzie5r0cxred3pfres2ffz5as" timestamp="1604053163"&gt;405&lt;/key&gt;&lt;/foreign-keys&gt;&lt;ref-type name="Journal Article"&gt;17&lt;/ref-type&gt;&lt;contributors&gt;&lt;authors&gt;&lt;author&gt;Eldridge, Richard&lt;/author&gt;&lt;/authors&gt;&lt;/contributors&gt;&lt;titles&gt;&lt;title&gt;The Normal and the Normative: Wittgenstein&amp;apos;s Legacy, Kripke, and Cavell&lt;/title&gt;&lt;secondary-title&gt;Philosophy and Phenomenological Research&lt;/secondary-title&gt;&lt;/titles&gt;&lt;periodical&gt;&lt;full-title&gt;Philosophy and Phenomenological Research&lt;/full-title&gt;&lt;abbr-1&gt;PPR&lt;/abbr-1&gt;&lt;/periodical&gt;&lt;pages&gt;555-575&lt;/pages&gt;&lt;volume&gt;46&lt;/volume&gt;&lt;number&gt;4&lt;/number&gt;&lt;dates&gt;&lt;year&gt;1986&lt;/year&gt;&lt;/dates&gt;&lt;publisher&gt;[International Phenomenological Society, Philosophy and Phenomenological Research, Wiley]&lt;/publisher&gt;&lt;isbn&gt;00318205&lt;/isbn&gt;&lt;urls&gt;&lt;related-urls&gt;&lt;url&gt;http://www.jstor.org/stable/2107669&lt;/url&gt;&lt;/related-urls&gt;&lt;/urls&gt;&lt;custom1&gt;Full publication date: Jun., 1986&lt;/custom1&gt;&lt;electronic-resource-num&gt;10.2307/2107669&lt;/electronic-resource-num&gt;&lt;remote-database-name&gt;JSTOR&lt;/remote-database-name&gt;&lt;access-date&gt;2020/10/30/&lt;/access-date&gt;&lt;/record&gt;&lt;/Cite&gt;&lt;/EndNote&gt;</w:instrText>
      </w:r>
      <w:r w:rsidR="00702884">
        <w:rPr>
          <w:rFonts w:ascii="Arial" w:hAnsi="Arial" w:cs="Arial"/>
          <w:bCs/>
          <w:sz w:val="20"/>
          <w:lang w:val="en-GB"/>
        </w:rPr>
        <w:fldChar w:fldCharType="end"/>
      </w:r>
      <w:r w:rsidR="00702884">
        <w:rPr>
          <w:rFonts w:ascii="Arial" w:hAnsi="Arial" w:cs="Arial"/>
          <w:bCs/>
          <w:sz w:val="20"/>
          <w:lang w:val="en-GB"/>
        </w:rPr>
        <w:t>)</w:t>
      </w:r>
      <w:r>
        <w:rPr>
          <w:rFonts w:ascii="Arial" w:hAnsi="Arial" w:cs="Arial"/>
          <w:bCs/>
          <w:sz w:val="20"/>
          <w:lang w:val="en-GB"/>
        </w:rPr>
        <w:t>. R</w:t>
      </w:r>
      <w:r w:rsidRPr="007D642A">
        <w:rPr>
          <w:rFonts w:ascii="Arial" w:hAnsi="Arial" w:cs="Arial"/>
          <w:bCs/>
          <w:sz w:val="20"/>
          <w:lang w:val="en-GB"/>
        </w:rPr>
        <w:t>esilience denote</w:t>
      </w:r>
      <w:r>
        <w:rPr>
          <w:rFonts w:ascii="Arial" w:hAnsi="Arial" w:cs="Arial"/>
          <w:bCs/>
          <w:sz w:val="20"/>
          <w:lang w:val="en-GB"/>
        </w:rPr>
        <w:t>s</w:t>
      </w:r>
      <w:r w:rsidRPr="007D642A">
        <w:rPr>
          <w:rFonts w:ascii="Arial" w:hAnsi="Arial" w:cs="Arial"/>
          <w:bCs/>
          <w:sz w:val="20"/>
          <w:lang w:val="en-GB"/>
        </w:rPr>
        <w:t xml:space="preserve"> </w:t>
      </w:r>
      <w:r>
        <w:rPr>
          <w:rFonts w:ascii="Arial" w:hAnsi="Arial" w:cs="Arial"/>
          <w:bCs/>
          <w:sz w:val="20"/>
          <w:lang w:val="en-GB"/>
        </w:rPr>
        <w:t>maintaining or returning to standards, or developing new ones, and so is</w:t>
      </w:r>
      <w:r w:rsidRPr="007D642A">
        <w:rPr>
          <w:rFonts w:ascii="Arial" w:hAnsi="Arial" w:cs="Arial"/>
          <w:bCs/>
          <w:sz w:val="20"/>
          <w:lang w:val="en-GB"/>
        </w:rPr>
        <w:t xml:space="preserve"> normative in this </w:t>
      </w:r>
      <w:r>
        <w:rPr>
          <w:rFonts w:ascii="Arial" w:hAnsi="Arial" w:cs="Arial"/>
          <w:bCs/>
          <w:sz w:val="20"/>
          <w:lang w:val="en-GB"/>
        </w:rPr>
        <w:t>way</w:t>
      </w:r>
      <w:r w:rsidRPr="007D642A">
        <w:rPr>
          <w:rFonts w:ascii="Arial" w:hAnsi="Arial" w:cs="Arial"/>
          <w:bCs/>
          <w:sz w:val="20"/>
          <w:lang w:val="en-GB"/>
        </w:rPr>
        <w:t xml:space="preserve"> (VI).</w:t>
      </w:r>
      <w:r w:rsidR="001B7A03" w:rsidRPr="001B7A03">
        <w:rPr>
          <w:rFonts w:ascii="Arial" w:hAnsi="Arial" w:cs="Arial"/>
          <w:bCs/>
          <w:sz w:val="20"/>
          <w:lang w:val="en-GB"/>
        </w:rPr>
        <w:t xml:space="preserve"> </w:t>
      </w:r>
    </w:p>
    <w:p w14:paraId="0DF03373" w14:textId="0780DC1F" w:rsidR="001B7A03" w:rsidRDefault="001B7A03" w:rsidP="001D59F6">
      <w:pPr>
        <w:jc w:val="both"/>
        <w:rPr>
          <w:rFonts w:ascii="Arial" w:hAnsi="Arial" w:cs="Arial"/>
          <w:b/>
          <w:iCs/>
          <w:sz w:val="20"/>
        </w:rPr>
      </w:pPr>
    </w:p>
    <w:p w14:paraId="313EC79A" w14:textId="77777777" w:rsidR="00661EA0" w:rsidRDefault="00661EA0" w:rsidP="001D59F6">
      <w:pPr>
        <w:jc w:val="both"/>
        <w:rPr>
          <w:rFonts w:ascii="Arial" w:hAnsi="Arial" w:cs="Arial"/>
          <w:b/>
          <w:iCs/>
          <w:sz w:val="20"/>
        </w:rPr>
      </w:pPr>
    </w:p>
    <w:p w14:paraId="4AB304E5" w14:textId="18F95BAD" w:rsidR="00BD1C20" w:rsidRDefault="00BD1C20" w:rsidP="001D59F6">
      <w:pPr>
        <w:jc w:val="both"/>
        <w:rPr>
          <w:rFonts w:ascii="Arial" w:hAnsi="Arial" w:cs="Arial"/>
          <w:b/>
          <w:iCs/>
          <w:sz w:val="20"/>
        </w:rPr>
      </w:pPr>
      <w:r w:rsidRPr="001D59F6">
        <w:rPr>
          <w:rFonts w:ascii="Arial" w:hAnsi="Arial" w:cs="Arial"/>
          <w:b/>
          <w:iCs/>
          <w:sz w:val="20"/>
        </w:rPr>
        <w:lastRenderedPageBreak/>
        <w:t>Tables and figures</w:t>
      </w:r>
    </w:p>
    <w:p w14:paraId="657118B0" w14:textId="0B8DD46C" w:rsidR="00CF6678" w:rsidRDefault="00CF6678" w:rsidP="001D59F6">
      <w:pPr>
        <w:jc w:val="both"/>
        <w:rPr>
          <w:rFonts w:ascii="Arial" w:hAnsi="Arial" w:cs="Arial"/>
          <w:iCs/>
          <w:sz w:val="20"/>
        </w:rPr>
      </w:pPr>
    </w:p>
    <w:p w14:paraId="5B1AF459" w14:textId="0BBCF57A" w:rsidR="00661EA0" w:rsidRPr="00702884" w:rsidRDefault="00661EA0" w:rsidP="00661EA0">
      <w:pPr>
        <w:spacing w:after="120"/>
        <w:jc w:val="center"/>
        <w:rPr>
          <w:rFonts w:ascii="Arial" w:hAnsi="Arial" w:cs="Arial"/>
          <w:iCs/>
          <w:sz w:val="20"/>
        </w:rPr>
      </w:pPr>
      <w:r w:rsidRPr="00702884">
        <w:rPr>
          <w:rFonts w:ascii="Arial" w:hAnsi="Arial" w:cs="Arial"/>
          <w:iCs/>
          <w:sz w:val="20"/>
        </w:rPr>
        <w:t>Table 1. Resilience concepts</w:t>
      </w:r>
    </w:p>
    <w:tbl>
      <w:tblPr>
        <w:tblStyle w:val="TableGrid"/>
        <w:tblpPr w:leftFromText="180" w:rightFromText="180" w:vertAnchor="text" w:horzAnchor="page" w:tblpX="2398" w:tblpY="42"/>
        <w:tblW w:w="7083" w:type="dxa"/>
        <w:tblLayout w:type="fixed"/>
        <w:tblLook w:val="04A0" w:firstRow="1" w:lastRow="0" w:firstColumn="1" w:lastColumn="0" w:noHBand="0" w:noVBand="1"/>
      </w:tblPr>
      <w:tblGrid>
        <w:gridCol w:w="1129"/>
        <w:gridCol w:w="709"/>
        <w:gridCol w:w="4111"/>
        <w:gridCol w:w="1134"/>
      </w:tblGrid>
      <w:tr w:rsidR="00661EA0" w:rsidRPr="00B808FF" w14:paraId="441EA91D" w14:textId="77777777" w:rsidTr="00EB34B1">
        <w:trPr>
          <w:trHeight w:val="411"/>
        </w:trPr>
        <w:tc>
          <w:tcPr>
            <w:tcW w:w="1129" w:type="dxa"/>
            <w:tcBorders>
              <w:top w:val="single" w:sz="4" w:space="0" w:color="auto"/>
              <w:left w:val="single" w:sz="4" w:space="0" w:color="auto"/>
              <w:bottom w:val="single" w:sz="4" w:space="0" w:color="auto"/>
              <w:right w:val="nil"/>
            </w:tcBorders>
            <w:vAlign w:val="center"/>
          </w:tcPr>
          <w:p w14:paraId="49511DA9" w14:textId="77777777" w:rsidR="00661EA0" w:rsidRPr="00B808FF" w:rsidRDefault="00661EA0" w:rsidP="00EB34B1">
            <w:pPr>
              <w:ind w:left="-106" w:right="-105"/>
              <w:jc w:val="center"/>
              <w:rPr>
                <w:rFonts w:ascii="Arial" w:eastAsia="Calibri" w:hAnsi="Arial" w:cs="Arial"/>
                <w:b/>
                <w:noProof/>
                <w:sz w:val="16"/>
                <w:szCs w:val="16"/>
              </w:rPr>
            </w:pPr>
            <w:r>
              <w:rPr>
                <w:rFonts w:ascii="Arial" w:eastAsia="Calibri" w:hAnsi="Arial" w:cs="Arial"/>
                <w:b/>
                <w:noProof/>
                <w:sz w:val="16"/>
                <w:szCs w:val="16"/>
              </w:rPr>
              <w:t>C</w:t>
            </w:r>
            <w:r w:rsidRPr="00B808FF">
              <w:rPr>
                <w:rFonts w:ascii="Arial" w:eastAsia="Calibri" w:hAnsi="Arial" w:cs="Arial"/>
                <w:b/>
                <w:noProof/>
                <w:sz w:val="16"/>
                <w:szCs w:val="16"/>
              </w:rPr>
              <w:t>oncept</w:t>
            </w:r>
          </w:p>
        </w:tc>
        <w:tc>
          <w:tcPr>
            <w:tcW w:w="709" w:type="dxa"/>
            <w:tcBorders>
              <w:top w:val="single" w:sz="4" w:space="0" w:color="auto"/>
              <w:left w:val="nil"/>
              <w:bottom w:val="single" w:sz="4" w:space="0" w:color="auto"/>
              <w:right w:val="nil"/>
            </w:tcBorders>
            <w:vAlign w:val="center"/>
          </w:tcPr>
          <w:p w14:paraId="47EBA9CC" w14:textId="77777777" w:rsidR="00661EA0" w:rsidRPr="00B808FF" w:rsidRDefault="00661EA0" w:rsidP="00EB34B1">
            <w:pPr>
              <w:ind w:left="-104" w:right="-108"/>
              <w:jc w:val="center"/>
              <w:rPr>
                <w:rFonts w:ascii="Arial" w:eastAsia="Calibri" w:hAnsi="Arial" w:cs="Arial"/>
                <w:b/>
                <w:noProof/>
                <w:sz w:val="16"/>
                <w:szCs w:val="16"/>
              </w:rPr>
            </w:pPr>
            <w:r w:rsidRPr="00B808FF">
              <w:rPr>
                <w:rFonts w:ascii="Arial" w:eastAsia="Calibri" w:hAnsi="Arial" w:cs="Arial"/>
                <w:b/>
                <w:noProof/>
                <w:sz w:val="16"/>
                <w:szCs w:val="16"/>
              </w:rPr>
              <w:t>Source</w:t>
            </w:r>
          </w:p>
        </w:tc>
        <w:tc>
          <w:tcPr>
            <w:tcW w:w="4111" w:type="dxa"/>
            <w:tcBorders>
              <w:top w:val="single" w:sz="4" w:space="0" w:color="auto"/>
              <w:left w:val="nil"/>
              <w:bottom w:val="single" w:sz="4" w:space="0" w:color="auto"/>
              <w:right w:val="nil"/>
            </w:tcBorders>
            <w:vAlign w:val="center"/>
          </w:tcPr>
          <w:p w14:paraId="36DDC2F0" w14:textId="77777777" w:rsidR="00661EA0" w:rsidRPr="00B808FF" w:rsidRDefault="00661EA0" w:rsidP="00EB34B1">
            <w:pPr>
              <w:ind w:left="-104" w:right="-111"/>
              <w:jc w:val="center"/>
              <w:rPr>
                <w:rFonts w:ascii="Arial" w:eastAsia="Calibri" w:hAnsi="Arial" w:cs="Arial"/>
                <w:b/>
                <w:noProof/>
                <w:sz w:val="16"/>
                <w:szCs w:val="16"/>
              </w:rPr>
            </w:pPr>
            <w:r w:rsidRPr="00B808FF">
              <w:rPr>
                <w:rFonts w:ascii="Arial" w:eastAsia="Calibri" w:hAnsi="Arial" w:cs="Arial"/>
                <w:b/>
                <w:noProof/>
                <w:sz w:val="16"/>
                <w:szCs w:val="16"/>
              </w:rPr>
              <w:t>Definition</w:t>
            </w:r>
          </w:p>
        </w:tc>
        <w:tc>
          <w:tcPr>
            <w:tcW w:w="1134" w:type="dxa"/>
            <w:tcBorders>
              <w:top w:val="single" w:sz="4" w:space="0" w:color="auto"/>
              <w:left w:val="nil"/>
              <w:bottom w:val="single" w:sz="4" w:space="0" w:color="auto"/>
              <w:right w:val="single" w:sz="4" w:space="0" w:color="auto"/>
            </w:tcBorders>
            <w:vAlign w:val="center"/>
          </w:tcPr>
          <w:p w14:paraId="748C4421" w14:textId="77777777" w:rsidR="00661EA0" w:rsidRPr="00B808FF" w:rsidRDefault="00661EA0" w:rsidP="00EB34B1">
            <w:pPr>
              <w:ind w:left="-110" w:right="-112"/>
              <w:jc w:val="center"/>
              <w:rPr>
                <w:rFonts w:ascii="Arial" w:eastAsia="Calibri" w:hAnsi="Arial" w:cs="Arial"/>
                <w:b/>
                <w:noProof/>
                <w:sz w:val="16"/>
                <w:szCs w:val="16"/>
              </w:rPr>
            </w:pPr>
            <w:r w:rsidRPr="00B808FF">
              <w:rPr>
                <w:rFonts w:ascii="Arial" w:eastAsia="Calibri" w:hAnsi="Arial" w:cs="Arial"/>
                <w:b/>
                <w:noProof/>
                <w:sz w:val="16"/>
                <w:szCs w:val="16"/>
              </w:rPr>
              <w:t>Change of trajectory</w:t>
            </w:r>
          </w:p>
        </w:tc>
      </w:tr>
      <w:tr w:rsidR="00661EA0" w:rsidRPr="00B808FF" w14:paraId="6AEBAC74" w14:textId="77777777" w:rsidTr="00EB34B1">
        <w:trPr>
          <w:trHeight w:val="420"/>
        </w:trPr>
        <w:tc>
          <w:tcPr>
            <w:tcW w:w="1129" w:type="dxa"/>
            <w:tcBorders>
              <w:top w:val="single" w:sz="4" w:space="0" w:color="auto"/>
              <w:left w:val="single" w:sz="4" w:space="0" w:color="auto"/>
              <w:bottom w:val="single" w:sz="4" w:space="0" w:color="auto"/>
              <w:right w:val="nil"/>
            </w:tcBorders>
            <w:vAlign w:val="center"/>
          </w:tcPr>
          <w:p w14:paraId="674A9294" w14:textId="77777777" w:rsidR="00661EA0" w:rsidRPr="00B808FF" w:rsidRDefault="00661EA0" w:rsidP="00EB34B1">
            <w:pPr>
              <w:ind w:left="-106" w:right="-105"/>
              <w:jc w:val="center"/>
              <w:rPr>
                <w:rFonts w:ascii="Arial" w:eastAsia="Calibri" w:hAnsi="Arial" w:cs="Arial"/>
                <w:noProof/>
                <w:color w:val="2F5496" w:themeColor="accent1" w:themeShade="BF"/>
                <w:sz w:val="16"/>
                <w:szCs w:val="16"/>
              </w:rPr>
            </w:pPr>
            <w:r w:rsidRPr="00B808FF">
              <w:rPr>
                <w:rFonts w:ascii="Arial" w:eastAsia="Calibri" w:hAnsi="Arial" w:cs="Arial"/>
                <w:noProof/>
                <w:color w:val="2F5496" w:themeColor="accent1" w:themeShade="BF"/>
                <w:sz w:val="16"/>
                <w:szCs w:val="16"/>
              </w:rPr>
              <w:t>LOCK-IN</w:t>
            </w:r>
          </w:p>
        </w:tc>
        <w:tc>
          <w:tcPr>
            <w:tcW w:w="709" w:type="dxa"/>
            <w:tcBorders>
              <w:top w:val="single" w:sz="4" w:space="0" w:color="auto"/>
              <w:left w:val="nil"/>
              <w:bottom w:val="single" w:sz="4" w:space="0" w:color="auto"/>
              <w:right w:val="nil"/>
            </w:tcBorders>
            <w:vAlign w:val="center"/>
          </w:tcPr>
          <w:p w14:paraId="32E617D3" w14:textId="77777777" w:rsidR="00661EA0" w:rsidRPr="00B808FF" w:rsidRDefault="00661EA0" w:rsidP="00EB34B1">
            <w:pPr>
              <w:ind w:left="-104" w:right="-108"/>
              <w:jc w:val="center"/>
              <w:rPr>
                <w:rFonts w:ascii="Arial" w:eastAsia="Calibri" w:hAnsi="Arial" w:cs="Arial"/>
                <w:bCs/>
                <w:noProof/>
                <w:color w:val="2F5496" w:themeColor="accent1" w:themeShade="BF"/>
                <w:sz w:val="16"/>
                <w:szCs w:val="16"/>
              </w:rPr>
            </w:pPr>
            <w:r w:rsidRPr="00B808FF">
              <w:rPr>
                <w:rFonts w:ascii="Arial" w:eastAsia="Calibri" w:hAnsi="Arial" w:cs="Arial"/>
                <w:bCs/>
                <w:noProof/>
                <w:color w:val="2F5496" w:themeColor="accent1" w:themeShade="BF"/>
                <w:sz w:val="16"/>
                <w:szCs w:val="16"/>
              </w:rPr>
              <w:t>Elmqvist et al. 2019</w:t>
            </w:r>
          </w:p>
        </w:tc>
        <w:tc>
          <w:tcPr>
            <w:tcW w:w="4111" w:type="dxa"/>
            <w:tcBorders>
              <w:top w:val="single" w:sz="4" w:space="0" w:color="auto"/>
              <w:left w:val="nil"/>
              <w:bottom w:val="single" w:sz="4" w:space="0" w:color="auto"/>
              <w:right w:val="nil"/>
            </w:tcBorders>
            <w:vAlign w:val="center"/>
          </w:tcPr>
          <w:p w14:paraId="402CCE3F" w14:textId="77777777" w:rsidR="00661EA0" w:rsidRPr="00B808FF" w:rsidRDefault="00661EA0" w:rsidP="00EB34B1">
            <w:pPr>
              <w:ind w:left="-104" w:right="-111"/>
              <w:jc w:val="center"/>
              <w:rPr>
                <w:rFonts w:ascii="Arial" w:eastAsia="Calibri" w:hAnsi="Arial" w:cs="Arial"/>
                <w:bCs/>
                <w:noProof/>
                <w:color w:val="2F5496" w:themeColor="accent1" w:themeShade="BF"/>
                <w:sz w:val="16"/>
                <w:szCs w:val="16"/>
              </w:rPr>
            </w:pPr>
            <w:r w:rsidRPr="00B808FF">
              <w:rPr>
                <w:rFonts w:ascii="Arial" w:eastAsia="Calibri" w:hAnsi="Arial" w:cs="Arial"/>
                <w:bCs/>
                <w:noProof/>
                <w:color w:val="2F5496" w:themeColor="accent1" w:themeShade="BF"/>
                <w:sz w:val="16"/>
                <w:szCs w:val="16"/>
              </w:rPr>
              <w:t xml:space="preserve">“Capacity… to absorb disturbance, </w:t>
            </w:r>
            <w:r w:rsidRPr="00B808FF">
              <w:rPr>
                <w:rFonts w:ascii="Arial" w:eastAsia="Calibri" w:hAnsi="Arial" w:cs="Arial"/>
                <w:b/>
                <w:bCs/>
                <w:noProof/>
                <w:color w:val="2F5496" w:themeColor="accent1" w:themeShade="BF"/>
                <w:sz w:val="16"/>
                <w:szCs w:val="16"/>
              </w:rPr>
              <w:t>reorganize</w:t>
            </w:r>
            <w:r w:rsidRPr="00B808FF">
              <w:rPr>
                <w:rFonts w:ascii="Arial" w:eastAsia="Calibri" w:hAnsi="Arial" w:cs="Arial"/>
                <w:bCs/>
                <w:noProof/>
                <w:color w:val="2F5496" w:themeColor="accent1" w:themeShade="BF"/>
                <w:sz w:val="16"/>
                <w:szCs w:val="16"/>
              </w:rPr>
              <w:t xml:space="preserve">, maintain essentially the same functions and feedbacks over time and </w:t>
            </w:r>
            <w:r w:rsidRPr="00B808FF">
              <w:rPr>
                <w:rFonts w:ascii="Arial" w:eastAsia="Calibri" w:hAnsi="Arial" w:cs="Arial"/>
                <w:b/>
                <w:bCs/>
                <w:noProof/>
                <w:color w:val="2F5496" w:themeColor="accent1" w:themeShade="BF"/>
                <w:sz w:val="16"/>
                <w:szCs w:val="16"/>
              </w:rPr>
              <w:t>continue to develop along a particular trajectory</w:t>
            </w:r>
            <w:r w:rsidRPr="00B808FF">
              <w:rPr>
                <w:rFonts w:ascii="Arial" w:eastAsia="Calibri" w:hAnsi="Arial" w:cs="Arial"/>
                <w:bCs/>
                <w:noProof/>
                <w:color w:val="2F5496" w:themeColor="accent1" w:themeShade="BF"/>
                <w:sz w:val="16"/>
                <w:szCs w:val="16"/>
              </w:rPr>
              <w:t>.”</w:t>
            </w:r>
          </w:p>
        </w:tc>
        <w:tc>
          <w:tcPr>
            <w:tcW w:w="1134" w:type="dxa"/>
            <w:tcBorders>
              <w:top w:val="single" w:sz="4" w:space="0" w:color="auto"/>
              <w:left w:val="nil"/>
              <w:bottom w:val="single" w:sz="4" w:space="0" w:color="auto"/>
              <w:right w:val="single" w:sz="4" w:space="0" w:color="auto"/>
            </w:tcBorders>
            <w:vAlign w:val="center"/>
          </w:tcPr>
          <w:p w14:paraId="11F12380" w14:textId="77777777" w:rsidR="00661EA0" w:rsidRPr="00B808FF" w:rsidRDefault="00661EA0" w:rsidP="00EB34B1">
            <w:pPr>
              <w:ind w:left="-110" w:right="-112"/>
              <w:jc w:val="center"/>
              <w:rPr>
                <w:rFonts w:ascii="Arial" w:eastAsia="Calibri" w:hAnsi="Arial" w:cs="Arial"/>
                <w:noProof/>
                <w:color w:val="2F5496" w:themeColor="accent1" w:themeShade="BF"/>
                <w:sz w:val="16"/>
                <w:szCs w:val="16"/>
              </w:rPr>
            </w:pPr>
            <w:r w:rsidRPr="00B808FF">
              <w:rPr>
                <w:rFonts w:ascii="Arial" w:eastAsia="Calibri" w:hAnsi="Arial" w:cs="Arial"/>
                <w:noProof/>
                <w:color w:val="2F5496" w:themeColor="accent1" w:themeShade="BF"/>
                <w:sz w:val="16"/>
                <w:szCs w:val="16"/>
              </w:rPr>
              <w:t xml:space="preserve">No </w:t>
            </w:r>
            <w:r w:rsidRPr="00B808FF">
              <w:rPr>
                <w:rFonts w:ascii="Arial" w:eastAsia="Calibri" w:hAnsi="Arial" w:cs="Arial"/>
                <w:noProof/>
                <w:color w:val="2F5496" w:themeColor="accent1" w:themeShade="BF"/>
                <w:sz w:val="16"/>
                <w:szCs w:val="16"/>
              </w:rPr>
              <w:br/>
              <w:t>(+graceful decline)</w:t>
            </w:r>
          </w:p>
        </w:tc>
      </w:tr>
      <w:tr w:rsidR="00661EA0" w:rsidRPr="00B808FF" w14:paraId="4E772A6C" w14:textId="77777777" w:rsidTr="00EB34B1">
        <w:trPr>
          <w:trHeight w:val="571"/>
        </w:trPr>
        <w:tc>
          <w:tcPr>
            <w:tcW w:w="1129" w:type="dxa"/>
            <w:tcBorders>
              <w:top w:val="single" w:sz="4" w:space="0" w:color="auto"/>
              <w:left w:val="single" w:sz="4" w:space="0" w:color="auto"/>
              <w:bottom w:val="nil"/>
              <w:right w:val="nil"/>
            </w:tcBorders>
            <w:vAlign w:val="center"/>
          </w:tcPr>
          <w:p w14:paraId="6E43DEDD" w14:textId="77777777" w:rsidR="00661EA0" w:rsidRPr="00B808FF" w:rsidRDefault="00661EA0" w:rsidP="00EB34B1">
            <w:pPr>
              <w:ind w:left="-106" w:right="-105"/>
              <w:jc w:val="center"/>
              <w:rPr>
                <w:rFonts w:ascii="Arial" w:eastAsia="Calibri" w:hAnsi="Arial" w:cs="Arial"/>
                <w:noProof/>
                <w:sz w:val="16"/>
                <w:szCs w:val="16"/>
                <w:lang w:val="es-ES"/>
              </w:rPr>
            </w:pPr>
            <w:r>
              <w:rPr>
                <w:rFonts w:ascii="Arial" w:eastAsia="Calibri" w:hAnsi="Arial" w:cs="Arial"/>
                <w:noProof/>
                <w:sz w:val="16"/>
                <w:szCs w:val="16"/>
              </w:rPr>
              <w:t>ADAPTATION</w:t>
            </w:r>
          </w:p>
        </w:tc>
        <w:tc>
          <w:tcPr>
            <w:tcW w:w="709" w:type="dxa"/>
            <w:tcBorders>
              <w:top w:val="single" w:sz="4" w:space="0" w:color="auto"/>
              <w:left w:val="nil"/>
              <w:bottom w:val="nil"/>
              <w:right w:val="nil"/>
            </w:tcBorders>
            <w:vAlign w:val="center"/>
          </w:tcPr>
          <w:p w14:paraId="3CC9C6E3" w14:textId="0194336D" w:rsidR="00661EA0" w:rsidRPr="00B808FF" w:rsidRDefault="00661EA0" w:rsidP="000629C6">
            <w:pPr>
              <w:ind w:left="-104" w:right="-108"/>
              <w:jc w:val="center"/>
              <w:rPr>
                <w:rFonts w:ascii="Arial" w:eastAsia="Calibri" w:hAnsi="Arial" w:cs="Arial"/>
                <w:noProof/>
                <w:sz w:val="16"/>
                <w:szCs w:val="16"/>
                <w:lang w:val="en-GB"/>
              </w:rPr>
            </w:pPr>
            <w:r w:rsidRPr="00B808FF">
              <w:rPr>
                <w:rFonts w:ascii="Arial" w:eastAsia="Calibri" w:hAnsi="Arial" w:cs="Arial"/>
                <w:noProof/>
                <w:sz w:val="16"/>
                <w:szCs w:val="16"/>
                <w:lang w:val="en-GB"/>
              </w:rPr>
              <w:t xml:space="preserve">Norris </w:t>
            </w:r>
            <w:r w:rsidR="000629C6">
              <w:rPr>
                <w:rFonts w:ascii="Arial" w:eastAsia="Calibri" w:hAnsi="Arial" w:cs="Arial"/>
                <w:noProof/>
                <w:sz w:val="16"/>
                <w:szCs w:val="16"/>
                <w:lang w:val="en-GB"/>
              </w:rPr>
              <w:fldChar w:fldCharType="begin"/>
            </w:r>
            <w:r w:rsidR="000629C6">
              <w:rPr>
                <w:rFonts w:ascii="Arial" w:eastAsia="Calibri" w:hAnsi="Arial" w:cs="Arial"/>
                <w:noProof/>
                <w:sz w:val="16"/>
                <w:szCs w:val="16"/>
                <w:lang w:val="en-GB"/>
              </w:rPr>
              <w:instrText xml:space="preserve"> ADDIN EN.CITE &lt;EndNote&gt;&lt;Cite ExcludeAuth="1" ExcludeYear="1" Hidden="1"&gt;&lt;Author&gt;Norris&lt;/Author&gt;&lt;Year&gt;2008&lt;/Year&gt;&lt;RecNum&gt;402&lt;/RecNum&gt;&lt;record&gt;&lt;rec-number&gt;402&lt;/rec-number&gt;&lt;foreign-keys&gt;&lt;key app="EN" db-id="tfxzfpdv5efxzie5r0cxred3pfres2ffz5as" timestamp="1604052801"&gt;402&lt;/key&gt;&lt;/foreign-keys&gt;&lt;ref-type name="Journal Article"&gt;17&lt;/ref-type&gt;&lt;contributors&gt;&lt;authors&gt;&lt;author&gt;Norris, Fran&lt;/author&gt;&lt;author&gt;Stevens, Susan&lt;/author&gt;&lt;author&gt;Pfefferbaum, Betty&lt;/author&gt;&lt;author&gt;Wyche, Karen&lt;/author&gt;&lt;author&gt;Pfefferbaum, Rose&lt;/author&gt;&lt;/authors&gt;&lt;/contributors&gt;&lt;titles&gt;&lt;title&gt;Community Resilience as a Metaphor, Theory, Set of Capacities, and Strategy for Disaster Readiness&lt;/title&gt;&lt;secondary-title&gt;American journal of community psychology&lt;/secondary-title&gt;&lt;/titles&gt;&lt;periodical&gt;&lt;full-title&gt;American Journal of Community Psychology&lt;/full-title&gt;&lt;abbr-1&gt;Am. J. Community Psychol.&lt;/abbr-1&gt;&lt;abbr-2&gt;Am J Community Psychol&lt;/abbr-2&gt;&lt;/periodical&gt;&lt;pages&gt;127-50&lt;/pages&gt;&lt;volume&gt;41&lt;/volume&gt;&lt;dates&gt;&lt;year&gt;2008&lt;/year&gt;&lt;pub-dates&gt;&lt;date&gt;04/01&lt;/date&gt;&lt;/pub-dates&gt;&lt;/dates&gt;&lt;urls&gt;&lt;/urls&gt;&lt;electronic-resource-num&gt;10.1007/s10464-007-9156-6&lt;/electronic-resource-num&gt;&lt;/record&gt;&lt;/Cite&gt;&lt;/EndNote&gt;</w:instrText>
            </w:r>
            <w:r w:rsidR="000629C6">
              <w:rPr>
                <w:rFonts w:ascii="Arial" w:eastAsia="Calibri" w:hAnsi="Arial" w:cs="Arial"/>
                <w:noProof/>
                <w:sz w:val="16"/>
                <w:szCs w:val="16"/>
                <w:lang w:val="en-GB"/>
              </w:rPr>
              <w:fldChar w:fldCharType="end"/>
            </w:r>
            <w:r w:rsidRPr="00B808FF">
              <w:rPr>
                <w:rFonts w:ascii="Arial" w:eastAsia="Calibri" w:hAnsi="Arial" w:cs="Arial"/>
                <w:noProof/>
                <w:sz w:val="16"/>
                <w:szCs w:val="16"/>
                <w:lang w:val="en-GB"/>
              </w:rPr>
              <w:t>2008</w:t>
            </w:r>
          </w:p>
        </w:tc>
        <w:tc>
          <w:tcPr>
            <w:tcW w:w="4111" w:type="dxa"/>
            <w:tcBorders>
              <w:top w:val="single" w:sz="4" w:space="0" w:color="auto"/>
              <w:left w:val="nil"/>
              <w:bottom w:val="nil"/>
              <w:right w:val="nil"/>
            </w:tcBorders>
            <w:vAlign w:val="center"/>
          </w:tcPr>
          <w:p w14:paraId="23DFBD05" w14:textId="77777777" w:rsidR="00661EA0" w:rsidRPr="00B808FF" w:rsidRDefault="00661EA0" w:rsidP="00EB34B1">
            <w:pPr>
              <w:ind w:left="-104" w:right="-111"/>
              <w:jc w:val="center"/>
              <w:rPr>
                <w:rFonts w:ascii="Arial" w:eastAsia="Calibri" w:hAnsi="Arial" w:cs="Arial"/>
                <w:noProof/>
                <w:sz w:val="16"/>
                <w:szCs w:val="16"/>
              </w:rPr>
            </w:pPr>
            <w:r w:rsidRPr="00B808FF">
              <w:rPr>
                <w:rFonts w:ascii="Arial" w:eastAsia="Calibri" w:hAnsi="Arial" w:cs="Arial"/>
                <w:noProof/>
                <w:sz w:val="16"/>
                <w:szCs w:val="16"/>
                <w:lang w:val="en-GB"/>
              </w:rPr>
              <w:t>A</w:t>
            </w:r>
            <w:r w:rsidRPr="00B808FF">
              <w:rPr>
                <w:rFonts w:ascii="Arial" w:eastAsia="Calibri" w:hAnsi="Arial" w:cs="Arial"/>
                <w:noProof/>
                <w:sz w:val="16"/>
                <w:szCs w:val="16"/>
              </w:rPr>
              <w:t>bility to show a positive trajectory of functioning and adaptation after an initial disturbance, [as the] result of adequate adaptive capacities</w:t>
            </w:r>
          </w:p>
        </w:tc>
        <w:tc>
          <w:tcPr>
            <w:tcW w:w="1134" w:type="dxa"/>
            <w:tcBorders>
              <w:top w:val="single" w:sz="4" w:space="0" w:color="auto"/>
              <w:left w:val="nil"/>
              <w:bottom w:val="nil"/>
              <w:right w:val="single" w:sz="4" w:space="0" w:color="auto"/>
            </w:tcBorders>
            <w:vAlign w:val="center"/>
          </w:tcPr>
          <w:p w14:paraId="59633864" w14:textId="77777777" w:rsidR="00661EA0" w:rsidRPr="00B808FF" w:rsidRDefault="00661EA0" w:rsidP="00EB34B1">
            <w:pPr>
              <w:ind w:left="-110" w:right="-112"/>
              <w:jc w:val="center"/>
              <w:rPr>
                <w:rFonts w:ascii="Arial" w:eastAsia="Calibri" w:hAnsi="Arial" w:cs="Arial"/>
                <w:noProof/>
                <w:sz w:val="16"/>
                <w:szCs w:val="16"/>
              </w:rPr>
            </w:pPr>
            <w:r w:rsidRPr="00B808FF">
              <w:rPr>
                <w:rFonts w:ascii="Arial" w:eastAsia="Calibri" w:hAnsi="Arial" w:cs="Arial"/>
                <w:noProof/>
                <w:sz w:val="16"/>
                <w:szCs w:val="16"/>
              </w:rPr>
              <w:t>Yes, positive</w:t>
            </w:r>
          </w:p>
        </w:tc>
      </w:tr>
      <w:tr w:rsidR="00661EA0" w:rsidRPr="00B808FF" w14:paraId="6142F2B8" w14:textId="77777777" w:rsidTr="00EB34B1">
        <w:trPr>
          <w:trHeight w:val="470"/>
        </w:trPr>
        <w:tc>
          <w:tcPr>
            <w:tcW w:w="1129" w:type="dxa"/>
            <w:tcBorders>
              <w:top w:val="single" w:sz="4" w:space="0" w:color="auto"/>
              <w:left w:val="single" w:sz="4" w:space="0" w:color="auto"/>
              <w:bottom w:val="single" w:sz="4" w:space="0" w:color="auto"/>
              <w:right w:val="nil"/>
            </w:tcBorders>
            <w:vAlign w:val="center"/>
          </w:tcPr>
          <w:p w14:paraId="4CA33FC2" w14:textId="77777777" w:rsidR="00661EA0" w:rsidRPr="00B808FF" w:rsidRDefault="00661EA0" w:rsidP="00EB34B1">
            <w:pPr>
              <w:pStyle w:val="ListParagraph"/>
              <w:spacing w:line="276" w:lineRule="auto"/>
              <w:ind w:left="0"/>
              <w:jc w:val="center"/>
              <w:rPr>
                <w:rFonts w:ascii="Arial" w:hAnsi="Arial" w:cs="Arial"/>
                <w:sz w:val="16"/>
                <w:szCs w:val="16"/>
              </w:rPr>
            </w:pPr>
            <w:r>
              <w:rPr>
                <w:rFonts w:ascii="Arial" w:hAnsi="Arial" w:cs="Arial"/>
                <w:sz w:val="16"/>
                <w:szCs w:val="16"/>
              </w:rPr>
              <w:t>ANTI-FRAGILITY</w:t>
            </w:r>
          </w:p>
        </w:tc>
        <w:tc>
          <w:tcPr>
            <w:tcW w:w="709" w:type="dxa"/>
            <w:tcBorders>
              <w:top w:val="single" w:sz="4" w:space="0" w:color="auto"/>
              <w:left w:val="nil"/>
              <w:bottom w:val="single" w:sz="4" w:space="0" w:color="auto"/>
              <w:right w:val="nil"/>
            </w:tcBorders>
            <w:vAlign w:val="center"/>
          </w:tcPr>
          <w:p w14:paraId="2DD1DD1B" w14:textId="65B0B172" w:rsidR="00661EA0" w:rsidRPr="00B808FF" w:rsidRDefault="00661EA0" w:rsidP="000629C6">
            <w:pPr>
              <w:pStyle w:val="ListParagraph"/>
              <w:spacing w:line="276" w:lineRule="auto"/>
              <w:ind w:left="0"/>
              <w:jc w:val="center"/>
              <w:rPr>
                <w:rFonts w:ascii="Arial" w:hAnsi="Arial" w:cs="Arial"/>
                <w:bCs/>
                <w:sz w:val="16"/>
                <w:szCs w:val="16"/>
              </w:rPr>
            </w:pPr>
            <w:r w:rsidRPr="00B808FF">
              <w:rPr>
                <w:rFonts w:ascii="Arial" w:hAnsi="Arial" w:cs="Arial"/>
                <w:bCs/>
                <w:sz w:val="16"/>
                <w:szCs w:val="16"/>
              </w:rPr>
              <w:t xml:space="preserve">Holling </w:t>
            </w:r>
            <w:r w:rsidR="000629C6">
              <w:rPr>
                <w:rFonts w:ascii="Arial" w:hAnsi="Arial" w:cs="Arial"/>
                <w:bCs/>
                <w:sz w:val="16"/>
                <w:szCs w:val="16"/>
              </w:rPr>
              <w:fldChar w:fldCharType="begin"/>
            </w:r>
            <w:r w:rsidR="000629C6">
              <w:rPr>
                <w:rFonts w:ascii="Arial" w:hAnsi="Arial" w:cs="Arial"/>
                <w:bCs/>
                <w:sz w:val="16"/>
                <w:szCs w:val="16"/>
              </w:rPr>
              <w:instrText xml:space="preserve"> ADDIN EN.CITE &lt;EndNote&gt;&lt;Cite ExcludeAuth="1" ExcludeYear="1" Hidden="1"&gt;&lt;Author&gt;Holling&lt;/Author&gt;&lt;Year&gt;1978&lt;/Year&gt;&lt;RecNum&gt;71&lt;/RecNum&gt;&lt;record&gt;&lt;rec-number&gt;71&lt;/rec-number&gt;&lt;foreign-keys&gt;&lt;key app="EN" db-id="tfxzfpdv5efxzie5r0cxred3pfres2ffz5as" timestamp="1574609226"&gt;71&lt;/key&gt;&lt;/foreign-keys&gt;&lt;ref-type name="Book"&gt;6&lt;/ref-type&gt;&lt;contributors&gt;&lt;authors&gt;&lt;author&gt;Holling, C. S., ed.&lt;/author&gt;&lt;/authors&gt;&lt;/contributors&gt;&lt;titles&gt;&lt;title&gt;Adaptive environmental assessment and management.&lt;/title&gt;&lt;/titles&gt;&lt;dates&gt;&lt;year&gt;1978&lt;/year&gt;&lt;/dates&gt;&lt;publisher&gt;Chichester: John Wiley.&lt;/publisher&gt;&lt;urls&gt;&lt;/urls&gt;&lt;/record&gt;&lt;/Cite&gt;&lt;/EndNote&gt;</w:instrText>
            </w:r>
            <w:r w:rsidR="000629C6">
              <w:rPr>
                <w:rFonts w:ascii="Arial" w:hAnsi="Arial" w:cs="Arial"/>
                <w:bCs/>
                <w:sz w:val="16"/>
                <w:szCs w:val="16"/>
              </w:rPr>
              <w:fldChar w:fldCharType="end"/>
            </w:r>
            <w:r w:rsidRPr="00B808FF">
              <w:rPr>
                <w:rFonts w:ascii="Arial" w:hAnsi="Arial" w:cs="Arial"/>
                <w:bCs/>
                <w:sz w:val="16"/>
                <w:szCs w:val="16"/>
              </w:rPr>
              <w:t>1978</w:t>
            </w:r>
          </w:p>
        </w:tc>
        <w:tc>
          <w:tcPr>
            <w:tcW w:w="4111" w:type="dxa"/>
            <w:tcBorders>
              <w:top w:val="single" w:sz="4" w:space="0" w:color="auto"/>
              <w:left w:val="nil"/>
              <w:bottom w:val="single" w:sz="4" w:space="0" w:color="auto"/>
              <w:right w:val="nil"/>
            </w:tcBorders>
            <w:vAlign w:val="center"/>
          </w:tcPr>
          <w:p w14:paraId="671C104D" w14:textId="77777777" w:rsidR="00661EA0" w:rsidRPr="00B808FF" w:rsidRDefault="00661EA0" w:rsidP="00EB34B1">
            <w:pPr>
              <w:pStyle w:val="ListParagraph"/>
              <w:spacing w:line="276" w:lineRule="auto"/>
              <w:ind w:left="0"/>
              <w:jc w:val="center"/>
              <w:rPr>
                <w:rFonts w:ascii="Arial" w:hAnsi="Arial" w:cs="Arial"/>
                <w:sz w:val="16"/>
                <w:szCs w:val="16"/>
              </w:rPr>
            </w:pPr>
            <w:r w:rsidRPr="00B808FF">
              <w:rPr>
                <w:rFonts w:ascii="Arial" w:hAnsi="Arial" w:cs="Arial"/>
                <w:bCs/>
                <w:sz w:val="16"/>
                <w:szCs w:val="16"/>
              </w:rPr>
              <w:t>“[Ability] to absorb and</w:t>
            </w:r>
            <w:r w:rsidRPr="00B808FF">
              <w:rPr>
                <w:rFonts w:ascii="Arial" w:hAnsi="Arial" w:cs="Arial"/>
                <w:b/>
                <w:bCs/>
                <w:sz w:val="16"/>
                <w:szCs w:val="16"/>
              </w:rPr>
              <w:t xml:space="preserve"> utilize (or even benefit from)</w:t>
            </w:r>
            <w:r w:rsidRPr="00B808FF">
              <w:rPr>
                <w:rFonts w:ascii="Arial" w:hAnsi="Arial" w:cs="Arial"/>
                <w:bCs/>
                <w:sz w:val="16"/>
                <w:szCs w:val="16"/>
              </w:rPr>
              <w:t xml:space="preserve"> change.”</w:t>
            </w:r>
          </w:p>
        </w:tc>
        <w:tc>
          <w:tcPr>
            <w:tcW w:w="1134" w:type="dxa"/>
            <w:tcBorders>
              <w:top w:val="single" w:sz="4" w:space="0" w:color="auto"/>
              <w:left w:val="nil"/>
              <w:bottom w:val="single" w:sz="4" w:space="0" w:color="auto"/>
              <w:right w:val="single" w:sz="4" w:space="0" w:color="auto"/>
            </w:tcBorders>
            <w:vAlign w:val="center"/>
          </w:tcPr>
          <w:p w14:paraId="3AAA3C5B" w14:textId="77777777" w:rsidR="00661EA0" w:rsidRPr="00B808FF" w:rsidRDefault="00661EA0" w:rsidP="00EB34B1">
            <w:pPr>
              <w:pStyle w:val="ListParagraph"/>
              <w:spacing w:line="276" w:lineRule="auto"/>
              <w:ind w:left="0"/>
              <w:jc w:val="center"/>
              <w:rPr>
                <w:rFonts w:ascii="Arial" w:hAnsi="Arial" w:cs="Arial"/>
                <w:sz w:val="16"/>
                <w:szCs w:val="16"/>
              </w:rPr>
            </w:pPr>
            <w:r w:rsidRPr="00B808FF">
              <w:rPr>
                <w:rFonts w:ascii="Arial" w:hAnsi="Arial" w:cs="Arial"/>
                <w:sz w:val="16"/>
                <w:szCs w:val="16"/>
              </w:rPr>
              <w:t>Yes, positive</w:t>
            </w:r>
          </w:p>
          <w:p w14:paraId="2FDA357E" w14:textId="77777777" w:rsidR="00661EA0" w:rsidRPr="00B808FF" w:rsidRDefault="00661EA0" w:rsidP="00EB34B1">
            <w:pPr>
              <w:pStyle w:val="ListParagraph"/>
              <w:spacing w:line="276" w:lineRule="auto"/>
              <w:ind w:left="0"/>
              <w:jc w:val="center"/>
              <w:rPr>
                <w:rFonts w:ascii="Arial" w:hAnsi="Arial" w:cs="Arial"/>
                <w:sz w:val="16"/>
                <w:szCs w:val="16"/>
              </w:rPr>
            </w:pPr>
            <w:r w:rsidRPr="00B808FF">
              <w:rPr>
                <w:rFonts w:ascii="Arial" w:hAnsi="Arial" w:cs="Arial"/>
                <w:sz w:val="16"/>
                <w:szCs w:val="16"/>
              </w:rPr>
              <w:t>(+ graceful decline)</w:t>
            </w:r>
          </w:p>
        </w:tc>
      </w:tr>
    </w:tbl>
    <w:p w14:paraId="04CA9351" w14:textId="206888AA" w:rsidR="00661EA0" w:rsidRDefault="00661EA0" w:rsidP="001D59F6">
      <w:pPr>
        <w:jc w:val="both"/>
        <w:rPr>
          <w:rFonts w:ascii="Arial" w:hAnsi="Arial" w:cs="Arial"/>
          <w:iCs/>
          <w:sz w:val="20"/>
        </w:rPr>
      </w:pPr>
    </w:p>
    <w:p w14:paraId="654F947B" w14:textId="77777777" w:rsidR="00661EA0" w:rsidRPr="00CF6678" w:rsidRDefault="00661EA0" w:rsidP="001D59F6">
      <w:pPr>
        <w:jc w:val="both"/>
        <w:rPr>
          <w:rFonts w:ascii="Arial" w:hAnsi="Arial" w:cs="Arial"/>
          <w:iCs/>
          <w:sz w:val="20"/>
        </w:rPr>
      </w:pPr>
    </w:p>
    <w:p w14:paraId="4AB28972" w14:textId="3E4FB2AE" w:rsidR="00BD1C20" w:rsidRDefault="00BD1C20" w:rsidP="00BD1C20">
      <w:pPr>
        <w:jc w:val="both"/>
        <w:rPr>
          <w:rFonts w:ascii="Arial" w:hAnsi="Arial" w:cs="Arial"/>
          <w:bCs/>
          <w:sz w:val="20"/>
        </w:rPr>
      </w:pPr>
    </w:p>
    <w:p w14:paraId="39067355" w14:textId="77777777" w:rsidR="00661EA0" w:rsidRDefault="00661EA0" w:rsidP="00853B02">
      <w:pPr>
        <w:jc w:val="both"/>
        <w:rPr>
          <w:rFonts w:ascii="Arial" w:hAnsi="Arial" w:cs="Arial"/>
          <w:b/>
          <w:sz w:val="20"/>
        </w:rPr>
      </w:pPr>
    </w:p>
    <w:p w14:paraId="627243A1" w14:textId="77777777" w:rsidR="00661EA0" w:rsidRDefault="00661EA0" w:rsidP="00853B02">
      <w:pPr>
        <w:jc w:val="both"/>
        <w:rPr>
          <w:rFonts w:ascii="Arial" w:hAnsi="Arial" w:cs="Arial"/>
          <w:b/>
          <w:sz w:val="20"/>
        </w:rPr>
      </w:pPr>
    </w:p>
    <w:p w14:paraId="3A880B81" w14:textId="7867D73E" w:rsidR="00661EA0" w:rsidRDefault="00661EA0" w:rsidP="00853B02">
      <w:pPr>
        <w:jc w:val="both"/>
        <w:rPr>
          <w:rFonts w:ascii="Arial" w:hAnsi="Arial" w:cs="Arial"/>
          <w:b/>
          <w:sz w:val="20"/>
        </w:rPr>
      </w:pPr>
    </w:p>
    <w:p w14:paraId="42B95192" w14:textId="46B10087" w:rsidR="00661EA0" w:rsidRDefault="00661EA0" w:rsidP="00853B02">
      <w:pPr>
        <w:jc w:val="both"/>
        <w:rPr>
          <w:rFonts w:ascii="Arial" w:hAnsi="Arial" w:cs="Arial"/>
          <w:b/>
          <w:sz w:val="20"/>
        </w:rPr>
      </w:pPr>
    </w:p>
    <w:p w14:paraId="0F6E145C" w14:textId="2BFBE77C" w:rsidR="00661EA0" w:rsidRDefault="00661EA0" w:rsidP="00853B02">
      <w:pPr>
        <w:jc w:val="both"/>
        <w:rPr>
          <w:rFonts w:ascii="Arial" w:hAnsi="Arial" w:cs="Arial"/>
          <w:b/>
          <w:sz w:val="20"/>
        </w:rPr>
      </w:pPr>
    </w:p>
    <w:p w14:paraId="79EC4DF8" w14:textId="04870C21" w:rsidR="00661EA0" w:rsidRDefault="00661EA0" w:rsidP="00853B02">
      <w:pPr>
        <w:jc w:val="both"/>
        <w:rPr>
          <w:rFonts w:ascii="Arial" w:hAnsi="Arial" w:cs="Arial"/>
          <w:b/>
          <w:sz w:val="20"/>
        </w:rPr>
      </w:pPr>
    </w:p>
    <w:p w14:paraId="4BE90E6D" w14:textId="6422EAFC" w:rsidR="00661EA0" w:rsidRDefault="00661EA0" w:rsidP="00853B02">
      <w:pPr>
        <w:jc w:val="both"/>
        <w:rPr>
          <w:rFonts w:ascii="Arial" w:hAnsi="Arial" w:cs="Arial"/>
          <w:b/>
          <w:sz w:val="20"/>
        </w:rPr>
      </w:pPr>
    </w:p>
    <w:p w14:paraId="2A9DB797" w14:textId="63A5A296" w:rsidR="00661EA0" w:rsidRDefault="00661EA0" w:rsidP="00853B02">
      <w:pPr>
        <w:jc w:val="both"/>
        <w:rPr>
          <w:rFonts w:ascii="Arial" w:hAnsi="Arial" w:cs="Arial"/>
          <w:b/>
          <w:sz w:val="20"/>
        </w:rPr>
      </w:pPr>
    </w:p>
    <w:p w14:paraId="645B3A8B" w14:textId="17A73838" w:rsidR="00661EA0" w:rsidRPr="00702884" w:rsidRDefault="00661EA0" w:rsidP="00B83F2E">
      <w:pPr>
        <w:spacing w:before="120" w:after="120"/>
        <w:jc w:val="center"/>
        <w:rPr>
          <w:rFonts w:ascii="Arial" w:hAnsi="Arial" w:cs="Arial"/>
          <w:sz w:val="20"/>
        </w:rPr>
      </w:pPr>
      <w:r w:rsidRPr="00702884">
        <w:rPr>
          <w:rFonts w:ascii="Arial" w:hAnsi="Arial" w:cs="Arial"/>
          <w:iCs/>
          <w:sz w:val="20"/>
        </w:rPr>
        <w:t>Table 2. Classes of thick terms</w:t>
      </w:r>
    </w:p>
    <w:tbl>
      <w:tblPr>
        <w:tblpPr w:leftFromText="141" w:rightFromText="141" w:vertAnchor="text" w:horzAnchor="margin" w:tblpY="8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5812"/>
      </w:tblGrid>
      <w:tr w:rsidR="00661EA0" w:rsidRPr="00703F0F" w14:paraId="38E6B1F8" w14:textId="77777777" w:rsidTr="00B83F2E">
        <w:tc>
          <w:tcPr>
            <w:tcW w:w="562" w:type="dxa"/>
            <w:tcBorders>
              <w:top w:val="single" w:sz="4" w:space="0" w:color="auto"/>
              <w:left w:val="single" w:sz="4" w:space="0" w:color="auto"/>
              <w:bottom w:val="single" w:sz="4" w:space="0" w:color="auto"/>
              <w:right w:val="single" w:sz="4" w:space="0" w:color="auto"/>
            </w:tcBorders>
            <w:shd w:val="clear" w:color="auto" w:fill="auto"/>
          </w:tcPr>
          <w:p w14:paraId="54D8B0A2" w14:textId="77777777" w:rsidR="00661EA0" w:rsidRPr="00703F0F" w:rsidRDefault="00661EA0" w:rsidP="00EB34B1">
            <w:pPr>
              <w:jc w:val="both"/>
              <w:rPr>
                <w:rFonts w:ascii="Arial" w:hAnsi="Arial" w:cs="Arial"/>
                <w:b/>
                <w:bCs/>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7FD07B4" w14:textId="77777777" w:rsidR="00661EA0" w:rsidRPr="00703F0F" w:rsidRDefault="00661EA0" w:rsidP="00702884">
            <w:pPr>
              <w:jc w:val="center"/>
              <w:rPr>
                <w:rFonts w:ascii="Arial" w:hAnsi="Arial" w:cs="Arial"/>
                <w:b/>
                <w:bCs/>
                <w:sz w:val="18"/>
                <w:szCs w:val="18"/>
              </w:rPr>
            </w:pPr>
            <w:r w:rsidRPr="00703F0F">
              <w:rPr>
                <w:rFonts w:ascii="Arial" w:hAnsi="Arial" w:cs="Arial"/>
                <w:b/>
                <w:bCs/>
                <w:sz w:val="18"/>
                <w:szCs w:val="18"/>
              </w:rPr>
              <w:t>Type/domain of application</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611D377D" w14:textId="77777777" w:rsidR="00661EA0" w:rsidRPr="00703F0F" w:rsidRDefault="00661EA0" w:rsidP="00EB34B1">
            <w:pPr>
              <w:jc w:val="both"/>
              <w:rPr>
                <w:rFonts w:ascii="Arial" w:hAnsi="Arial" w:cs="Arial"/>
                <w:b/>
                <w:bCs/>
                <w:sz w:val="18"/>
                <w:szCs w:val="18"/>
              </w:rPr>
            </w:pPr>
            <w:r w:rsidRPr="00703F0F">
              <w:rPr>
                <w:rFonts w:ascii="Arial" w:hAnsi="Arial" w:cs="Arial"/>
                <w:b/>
                <w:bCs/>
                <w:sz w:val="18"/>
                <w:szCs w:val="18"/>
              </w:rPr>
              <w:t>Examples</w:t>
            </w:r>
          </w:p>
        </w:tc>
      </w:tr>
      <w:tr w:rsidR="00661EA0" w:rsidRPr="00703F0F" w14:paraId="27546726" w14:textId="77777777" w:rsidTr="00B83F2E">
        <w:trPr>
          <w:trHeight w:val="229"/>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05463EBB" w14:textId="77777777" w:rsidR="00661EA0" w:rsidRPr="00703F0F" w:rsidRDefault="00661EA0" w:rsidP="00EB34B1">
            <w:pPr>
              <w:jc w:val="center"/>
              <w:rPr>
                <w:rFonts w:ascii="Arial" w:hAnsi="Arial" w:cs="Arial"/>
                <w:b/>
                <w:bCs/>
                <w:sz w:val="18"/>
                <w:szCs w:val="18"/>
              </w:rPr>
            </w:pPr>
            <w:r w:rsidRPr="00703F0F">
              <w:rPr>
                <w:rFonts w:ascii="Arial" w:hAnsi="Arial" w:cs="Arial"/>
                <w:bCs/>
                <w:sz w:val="18"/>
                <w:szCs w:val="18"/>
              </w:rPr>
              <w:t xml:space="preserve">THICK </w:t>
            </w:r>
            <w:r w:rsidRPr="00703F0F">
              <w:rPr>
                <w:rFonts w:ascii="Segoe UI Symbol" w:hAnsi="Segoe UI Symbol" w:cs="Segoe UI Symbol"/>
                <w:b/>
                <w:bCs/>
                <w:sz w:val="18"/>
                <w:szCs w:val="18"/>
              </w:rPr>
              <w:t>⬅</w:t>
            </w:r>
            <w:r w:rsidRPr="00703F0F">
              <w:rPr>
                <w:rFonts w:ascii="Arial" w:hAnsi="Arial" w:cs="Arial"/>
                <w:b/>
                <w:bCs/>
                <w:sz w:val="18"/>
                <w:szCs w:val="18"/>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2E131EB" w14:textId="77777777" w:rsidR="00661EA0" w:rsidRPr="00703F0F" w:rsidRDefault="00661EA0" w:rsidP="00702884">
            <w:pPr>
              <w:jc w:val="center"/>
              <w:rPr>
                <w:rFonts w:ascii="Arial" w:hAnsi="Arial" w:cs="Arial"/>
                <w:bCs/>
                <w:sz w:val="18"/>
                <w:szCs w:val="18"/>
              </w:rPr>
            </w:pPr>
            <w:r w:rsidRPr="00703F0F">
              <w:rPr>
                <w:rFonts w:ascii="Arial" w:hAnsi="Arial" w:cs="Arial"/>
                <w:bCs/>
                <w:sz w:val="18"/>
                <w:szCs w:val="18"/>
              </w:rPr>
              <w:t>Paradigmatic</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44450818" w14:textId="77777777" w:rsidR="00661EA0" w:rsidRPr="00703F0F" w:rsidRDefault="00661EA0" w:rsidP="00EB34B1">
            <w:pPr>
              <w:jc w:val="both"/>
              <w:rPr>
                <w:rFonts w:ascii="Arial" w:hAnsi="Arial" w:cs="Arial"/>
                <w:bCs/>
                <w:i/>
                <w:iCs/>
                <w:sz w:val="18"/>
                <w:szCs w:val="18"/>
              </w:rPr>
            </w:pPr>
            <w:r w:rsidRPr="00703F0F">
              <w:rPr>
                <w:rFonts w:ascii="Arial" w:hAnsi="Arial" w:cs="Arial"/>
                <w:bCs/>
                <w:i/>
                <w:iCs/>
                <w:sz w:val="18"/>
                <w:szCs w:val="18"/>
              </w:rPr>
              <w:t>Good/bad, beautiful/ugly</w:t>
            </w:r>
          </w:p>
        </w:tc>
      </w:tr>
      <w:tr w:rsidR="00661EA0" w:rsidRPr="00703F0F" w14:paraId="0791FC4F" w14:textId="77777777" w:rsidTr="00B83F2E">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05DBE4" w14:textId="77777777" w:rsidR="00661EA0" w:rsidRPr="00703F0F" w:rsidRDefault="00661EA0" w:rsidP="00EB34B1">
            <w:pPr>
              <w:jc w:val="both"/>
              <w:rPr>
                <w:rFonts w:ascii="Arial" w:hAnsi="Arial" w:cs="Arial"/>
                <w:bCs/>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7D1B7C9" w14:textId="77777777" w:rsidR="00661EA0" w:rsidRPr="00702884" w:rsidRDefault="00661EA0" w:rsidP="00702884">
            <w:pPr>
              <w:jc w:val="center"/>
              <w:rPr>
                <w:rFonts w:ascii="Arial" w:hAnsi="Arial" w:cs="Arial"/>
                <w:b/>
                <w:bCs/>
                <w:sz w:val="18"/>
                <w:szCs w:val="18"/>
              </w:rPr>
            </w:pPr>
            <w:r w:rsidRPr="00702884">
              <w:rPr>
                <w:rFonts w:ascii="Arial" w:hAnsi="Arial" w:cs="Arial"/>
                <w:b/>
                <w:bCs/>
                <w:color w:val="2F5496" w:themeColor="accent1" w:themeShade="BF"/>
                <w:sz w:val="18"/>
                <w:szCs w:val="18"/>
              </w:rPr>
              <w:t>Values</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03845A89" w14:textId="77777777" w:rsidR="00661EA0" w:rsidRPr="00703F0F" w:rsidRDefault="00661EA0" w:rsidP="00EB34B1">
            <w:pPr>
              <w:jc w:val="both"/>
              <w:rPr>
                <w:rFonts w:ascii="Arial" w:hAnsi="Arial" w:cs="Arial"/>
                <w:bCs/>
                <w:i/>
                <w:iCs/>
                <w:sz w:val="18"/>
                <w:szCs w:val="18"/>
              </w:rPr>
            </w:pPr>
            <w:r w:rsidRPr="00703F0F">
              <w:rPr>
                <w:rFonts w:ascii="Arial" w:hAnsi="Arial" w:cs="Arial"/>
                <w:bCs/>
                <w:i/>
                <w:iCs/>
                <w:sz w:val="18"/>
                <w:szCs w:val="18"/>
              </w:rPr>
              <w:t xml:space="preserve">Freedom, love, autonomy, health, self-respect, </w:t>
            </w:r>
            <w:r w:rsidRPr="00805610">
              <w:rPr>
                <w:rFonts w:ascii="Arial" w:hAnsi="Arial" w:cs="Arial"/>
                <w:b/>
                <w:bCs/>
                <w:i/>
                <w:iCs/>
                <w:color w:val="2F5496" w:themeColor="accent1" w:themeShade="BF"/>
                <w:sz w:val="18"/>
                <w:szCs w:val="18"/>
              </w:rPr>
              <w:t>efficiency, robustness</w:t>
            </w:r>
          </w:p>
        </w:tc>
      </w:tr>
      <w:tr w:rsidR="00661EA0" w:rsidRPr="00703F0F" w14:paraId="6894714C" w14:textId="77777777" w:rsidTr="00B83F2E">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892191" w14:textId="77777777" w:rsidR="00661EA0" w:rsidRPr="00703F0F" w:rsidRDefault="00661EA0" w:rsidP="00EB34B1">
            <w:pPr>
              <w:jc w:val="both"/>
              <w:rPr>
                <w:rFonts w:ascii="Arial" w:hAnsi="Arial" w:cs="Arial"/>
                <w:bCs/>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5D97A5C" w14:textId="77777777" w:rsidR="00661EA0" w:rsidRPr="00703F0F" w:rsidRDefault="00661EA0" w:rsidP="00702884">
            <w:pPr>
              <w:jc w:val="center"/>
              <w:rPr>
                <w:rFonts w:ascii="Arial" w:hAnsi="Arial" w:cs="Arial"/>
                <w:bCs/>
                <w:sz w:val="18"/>
                <w:szCs w:val="18"/>
              </w:rPr>
            </w:pPr>
            <w:r w:rsidRPr="00702884">
              <w:rPr>
                <w:rFonts w:ascii="Arial" w:hAnsi="Arial" w:cs="Arial"/>
                <w:b/>
                <w:bCs/>
                <w:color w:val="2F5496" w:themeColor="accent1" w:themeShade="BF"/>
                <w:sz w:val="18"/>
                <w:szCs w:val="18"/>
              </w:rPr>
              <w:t>Achievement</w:t>
            </w:r>
            <w:r w:rsidRPr="00702884">
              <w:rPr>
                <w:rFonts w:ascii="Arial" w:hAnsi="Arial" w:cs="Arial"/>
                <w:bCs/>
                <w:color w:val="2F5496" w:themeColor="accent1" w:themeShade="BF"/>
                <w:sz w:val="18"/>
                <w:szCs w:val="18"/>
              </w:rPr>
              <w:t xml:space="preserve"> </w:t>
            </w:r>
            <w:r w:rsidRPr="00702884">
              <w:rPr>
                <w:rFonts w:ascii="Arial" w:hAnsi="Arial" w:cs="Arial"/>
                <w:b/>
                <w:bCs/>
                <w:color w:val="2F5496" w:themeColor="accent1" w:themeShade="BF"/>
                <w:sz w:val="18"/>
                <w:szCs w:val="18"/>
              </w:rPr>
              <w:t>verbs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3380E97" w14:textId="77777777" w:rsidR="00661EA0" w:rsidRPr="00703F0F" w:rsidRDefault="00661EA0" w:rsidP="00EB34B1">
            <w:pPr>
              <w:jc w:val="both"/>
              <w:rPr>
                <w:rFonts w:ascii="Arial" w:hAnsi="Arial" w:cs="Arial"/>
                <w:bCs/>
                <w:i/>
                <w:iCs/>
                <w:sz w:val="18"/>
                <w:szCs w:val="18"/>
              </w:rPr>
            </w:pPr>
            <w:r w:rsidRPr="00805610">
              <w:rPr>
                <w:rFonts w:ascii="Arial" w:hAnsi="Arial" w:cs="Arial"/>
                <w:b/>
                <w:bCs/>
                <w:i/>
                <w:iCs/>
                <w:color w:val="2F5496" w:themeColor="accent1" w:themeShade="BF"/>
                <w:sz w:val="18"/>
                <w:szCs w:val="18"/>
              </w:rPr>
              <w:t>Know</w:t>
            </w:r>
            <w:r w:rsidRPr="00703F0F">
              <w:rPr>
                <w:rFonts w:ascii="Arial" w:hAnsi="Arial" w:cs="Arial"/>
                <w:bCs/>
                <w:i/>
                <w:iCs/>
                <w:sz w:val="18"/>
                <w:szCs w:val="18"/>
              </w:rPr>
              <w:t>, learn, produce, understand</w:t>
            </w:r>
          </w:p>
        </w:tc>
      </w:tr>
      <w:tr w:rsidR="00661EA0" w:rsidRPr="00703F0F" w14:paraId="0DD58E6A" w14:textId="77777777" w:rsidTr="00B83F2E">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CB6487" w14:textId="77777777" w:rsidR="00661EA0" w:rsidRPr="00703F0F" w:rsidRDefault="00661EA0" w:rsidP="00EB34B1">
            <w:pPr>
              <w:jc w:val="both"/>
              <w:rPr>
                <w:rFonts w:ascii="Arial" w:hAnsi="Arial" w:cs="Arial"/>
                <w:bCs/>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2DC4272" w14:textId="645D6E6C" w:rsidR="00661EA0" w:rsidRPr="00703F0F" w:rsidRDefault="00661EA0" w:rsidP="00702884">
            <w:pPr>
              <w:jc w:val="center"/>
              <w:rPr>
                <w:rFonts w:ascii="Arial" w:hAnsi="Arial" w:cs="Arial"/>
                <w:bCs/>
                <w:sz w:val="18"/>
                <w:szCs w:val="18"/>
              </w:rPr>
            </w:pPr>
            <w:r w:rsidRPr="00702884">
              <w:rPr>
                <w:rFonts w:ascii="Arial" w:hAnsi="Arial" w:cs="Arial"/>
                <w:b/>
                <w:bCs/>
                <w:color w:val="2F5496" w:themeColor="accent1" w:themeShade="BF"/>
                <w:sz w:val="18"/>
                <w:szCs w:val="18"/>
              </w:rPr>
              <w:t>Virtues</w:t>
            </w:r>
            <w:r w:rsidRPr="00703F0F">
              <w:rPr>
                <w:rFonts w:ascii="Arial" w:hAnsi="Arial" w:cs="Arial"/>
                <w:bCs/>
                <w:sz w:val="18"/>
                <w:szCs w:val="18"/>
              </w:rPr>
              <w:t>/vices</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26EDDA1F" w14:textId="77777777" w:rsidR="00661EA0" w:rsidRPr="00703F0F" w:rsidRDefault="00661EA0" w:rsidP="00EB34B1">
            <w:pPr>
              <w:jc w:val="both"/>
              <w:rPr>
                <w:rFonts w:ascii="Arial" w:hAnsi="Arial" w:cs="Arial"/>
                <w:bCs/>
                <w:i/>
                <w:iCs/>
                <w:sz w:val="18"/>
                <w:szCs w:val="18"/>
              </w:rPr>
            </w:pPr>
            <w:r w:rsidRPr="00703F0F">
              <w:rPr>
                <w:rFonts w:ascii="Arial" w:hAnsi="Arial" w:cs="Arial"/>
                <w:bCs/>
                <w:i/>
                <w:iCs/>
                <w:sz w:val="18"/>
                <w:szCs w:val="18"/>
              </w:rPr>
              <w:t xml:space="preserve">Courageous, </w:t>
            </w:r>
            <w:r w:rsidRPr="00702884">
              <w:rPr>
                <w:rFonts w:ascii="Arial" w:hAnsi="Arial" w:cs="Arial"/>
                <w:b/>
                <w:bCs/>
                <w:i/>
                <w:iCs/>
                <w:color w:val="2F5496" w:themeColor="accent1" w:themeShade="BF"/>
                <w:sz w:val="18"/>
                <w:szCs w:val="18"/>
              </w:rPr>
              <w:t>generous</w:t>
            </w:r>
            <w:r w:rsidRPr="00703F0F">
              <w:rPr>
                <w:rFonts w:ascii="Arial" w:hAnsi="Arial" w:cs="Arial"/>
                <w:bCs/>
                <w:i/>
                <w:iCs/>
                <w:sz w:val="18"/>
                <w:szCs w:val="18"/>
              </w:rPr>
              <w:t>; foolhardy, arrogant, stupid</w:t>
            </w:r>
          </w:p>
        </w:tc>
      </w:tr>
      <w:tr w:rsidR="00661EA0" w:rsidRPr="00703F0F" w14:paraId="0965D715" w14:textId="77777777" w:rsidTr="00B83F2E">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C51FFE" w14:textId="77777777" w:rsidR="00661EA0" w:rsidRPr="00703F0F" w:rsidRDefault="00661EA0" w:rsidP="00EB34B1">
            <w:pPr>
              <w:jc w:val="both"/>
              <w:rPr>
                <w:rFonts w:ascii="Arial" w:hAnsi="Arial" w:cs="Arial"/>
                <w:bCs/>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96948EA" w14:textId="77777777" w:rsidR="00661EA0" w:rsidRPr="00703F0F" w:rsidRDefault="00661EA0" w:rsidP="00702884">
            <w:pPr>
              <w:jc w:val="center"/>
              <w:rPr>
                <w:rFonts w:ascii="Arial" w:hAnsi="Arial" w:cs="Arial"/>
                <w:bCs/>
                <w:sz w:val="18"/>
                <w:szCs w:val="18"/>
              </w:rPr>
            </w:pPr>
            <w:r w:rsidRPr="00703F0F">
              <w:rPr>
                <w:rFonts w:ascii="Arial" w:hAnsi="Arial" w:cs="Arial"/>
                <w:bCs/>
                <w:sz w:val="18"/>
                <w:szCs w:val="18"/>
              </w:rPr>
              <w:t>Political/economic/religious</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471EF33A" w14:textId="2698C45F" w:rsidR="00661EA0" w:rsidRPr="00703F0F" w:rsidRDefault="00B83F2E" w:rsidP="00B83F2E">
            <w:pPr>
              <w:jc w:val="both"/>
              <w:rPr>
                <w:rFonts w:ascii="Arial" w:hAnsi="Arial" w:cs="Arial"/>
                <w:bCs/>
                <w:i/>
                <w:iCs/>
                <w:sz w:val="18"/>
                <w:szCs w:val="18"/>
              </w:rPr>
            </w:pPr>
            <w:r>
              <w:rPr>
                <w:rFonts w:ascii="Arial" w:hAnsi="Arial" w:cs="Arial"/>
                <w:bCs/>
                <w:i/>
                <w:iCs/>
                <w:sz w:val="18"/>
                <w:szCs w:val="18"/>
              </w:rPr>
              <w:t>U</w:t>
            </w:r>
            <w:r w:rsidR="00661EA0" w:rsidRPr="00703F0F">
              <w:rPr>
                <w:rFonts w:ascii="Arial" w:hAnsi="Arial" w:cs="Arial"/>
                <w:bCs/>
                <w:i/>
                <w:iCs/>
                <w:sz w:val="18"/>
                <w:szCs w:val="18"/>
              </w:rPr>
              <w:t>tility, progress, sustainable development, God, sacred</w:t>
            </w:r>
            <w:r w:rsidR="00661EA0">
              <w:rPr>
                <w:rFonts w:ascii="Arial" w:hAnsi="Arial" w:cs="Arial"/>
                <w:bCs/>
                <w:i/>
                <w:iCs/>
                <w:sz w:val="18"/>
                <w:szCs w:val="18"/>
              </w:rPr>
              <w:t>, democracy</w:t>
            </w:r>
          </w:p>
        </w:tc>
      </w:tr>
    </w:tbl>
    <w:p w14:paraId="01C0D85B" w14:textId="68B30AC1" w:rsidR="00661EA0" w:rsidRDefault="00661EA0" w:rsidP="00853B02">
      <w:pPr>
        <w:jc w:val="both"/>
        <w:rPr>
          <w:rFonts w:ascii="Arial" w:hAnsi="Arial" w:cs="Arial"/>
          <w:b/>
          <w:sz w:val="20"/>
        </w:rPr>
      </w:pPr>
    </w:p>
    <w:p w14:paraId="37B0784A" w14:textId="77777777" w:rsidR="00661EA0" w:rsidRDefault="00661EA0" w:rsidP="00853B02">
      <w:pPr>
        <w:jc w:val="both"/>
        <w:rPr>
          <w:rFonts w:ascii="Arial" w:hAnsi="Arial" w:cs="Arial"/>
          <w:b/>
          <w:sz w:val="20"/>
        </w:rPr>
      </w:pPr>
    </w:p>
    <w:p w14:paraId="142908AA" w14:textId="586186D9" w:rsidR="00661EA0" w:rsidRPr="00702884" w:rsidRDefault="00661EA0" w:rsidP="00702884">
      <w:pPr>
        <w:spacing w:after="120" w:line="259" w:lineRule="auto"/>
        <w:jc w:val="both"/>
        <w:rPr>
          <w:rFonts w:ascii="Arial" w:hAnsi="Arial" w:cs="Arial"/>
          <w:b/>
          <w:sz w:val="20"/>
        </w:rPr>
      </w:pPr>
      <w:r w:rsidRPr="00702884">
        <w:rPr>
          <w:rFonts w:ascii="Arial" w:hAnsi="Arial" w:cs="Arial"/>
          <w:b/>
          <w:sz w:val="20"/>
          <w:lang w:val="en-GB"/>
        </w:rPr>
        <w:t>Conclusion: o</w:t>
      </w:r>
      <w:r w:rsidRPr="00702884">
        <w:rPr>
          <w:rFonts w:ascii="Arial" w:hAnsi="Arial" w:cs="Arial"/>
          <w:b/>
          <w:sz w:val="20"/>
        </w:rPr>
        <w:t>ther morally problematic aspects of RD?</w:t>
      </w:r>
    </w:p>
    <w:p w14:paraId="053E0ECB" w14:textId="77777777" w:rsidR="00661EA0" w:rsidRDefault="00661EA0" w:rsidP="00661EA0">
      <w:pPr>
        <w:spacing w:after="120"/>
        <w:jc w:val="both"/>
        <w:rPr>
          <w:rFonts w:ascii="Arial" w:hAnsi="Arial" w:cs="Arial"/>
          <w:bCs/>
          <w:sz w:val="20"/>
          <w:lang w:val="en-GB"/>
        </w:rPr>
      </w:pPr>
      <w:r w:rsidRPr="00702884">
        <w:rPr>
          <w:rFonts w:ascii="Arial" w:hAnsi="Arial" w:cs="Arial"/>
          <w:bCs/>
          <w:sz w:val="20"/>
          <w:u w:val="single"/>
        </w:rPr>
        <w:t>Incongruence with resilience thinking?</w:t>
      </w:r>
      <w:r>
        <w:rPr>
          <w:rFonts w:ascii="Arial" w:hAnsi="Arial" w:cs="Arial"/>
          <w:bCs/>
          <w:sz w:val="20"/>
        </w:rPr>
        <w:t xml:space="preserve"> </w:t>
      </w:r>
      <w:r>
        <w:rPr>
          <w:rFonts w:ascii="Arial" w:hAnsi="Arial" w:cs="Arial"/>
          <w:bCs/>
          <w:sz w:val="20"/>
          <w:lang w:val="en-GB"/>
        </w:rPr>
        <w:t xml:space="preserve">The Resilience Alliance often stresses the progressive potential of resilience thinking: e.g. by criticizing rigid distinctions between society/culture and nature, by speaking of socio-ecological systems, by denying that humans can set themselves goals independently of nature, etc. It seems incongruent, then, that they commit to a descriptive/normative dichotomy (which validates those ‘old’ distinctions they criticize), and further, that they push for RD. Here I have argued that resilience is best seen as a descriptive and normative term (a thick term). </w:t>
      </w:r>
    </w:p>
    <w:p w14:paraId="38CA3B97" w14:textId="62675FD8" w:rsidR="00661EA0" w:rsidRDefault="00661EA0" w:rsidP="00661EA0">
      <w:pPr>
        <w:spacing w:after="120"/>
        <w:jc w:val="both"/>
        <w:rPr>
          <w:rFonts w:ascii="Arial" w:hAnsi="Arial" w:cs="Arial"/>
          <w:bCs/>
          <w:sz w:val="20"/>
          <w:lang w:val="en-GB"/>
        </w:rPr>
      </w:pPr>
      <w:r w:rsidRPr="00702884">
        <w:rPr>
          <w:rFonts w:ascii="Arial" w:hAnsi="Arial" w:cs="Arial"/>
          <w:bCs/>
          <w:sz w:val="20"/>
          <w:u w:val="single"/>
        </w:rPr>
        <w:t>Disciplinary imperiali</w:t>
      </w:r>
      <w:r w:rsidR="00702884">
        <w:rPr>
          <w:rFonts w:ascii="Arial" w:hAnsi="Arial" w:cs="Arial"/>
          <w:bCs/>
          <w:sz w:val="20"/>
          <w:u w:val="single"/>
        </w:rPr>
        <w:t>sm?</w:t>
      </w:r>
      <w:r>
        <w:rPr>
          <w:rFonts w:ascii="Arial" w:hAnsi="Arial" w:cs="Arial"/>
          <w:bCs/>
          <w:sz w:val="20"/>
          <w:lang w:val="en-GB"/>
        </w:rPr>
        <w:t xml:space="preserve"> Further, it is crucial to first decide which resilience concept we are going to use: for example, the RA insistent push for a lock-in concept could be considered an exercise of academic imperialism (e.g. it disregards the psychology concept).  </w:t>
      </w:r>
    </w:p>
    <w:p w14:paraId="415CF263" w14:textId="6F60C252" w:rsidR="00661EA0" w:rsidRDefault="00661EA0" w:rsidP="00661EA0">
      <w:pPr>
        <w:jc w:val="both"/>
        <w:rPr>
          <w:rFonts w:ascii="Arial" w:hAnsi="Arial" w:cs="Arial"/>
          <w:bCs/>
          <w:sz w:val="20"/>
          <w:lang w:val="en-GB"/>
        </w:rPr>
      </w:pPr>
      <w:r w:rsidRPr="00702884">
        <w:rPr>
          <w:rFonts w:ascii="Arial" w:hAnsi="Arial" w:cs="Arial"/>
          <w:bCs/>
          <w:sz w:val="20"/>
          <w:u w:val="single"/>
        </w:rPr>
        <w:t>Positivis</w:t>
      </w:r>
      <w:r w:rsidR="00702884" w:rsidRPr="00702884">
        <w:rPr>
          <w:rFonts w:ascii="Arial" w:hAnsi="Arial" w:cs="Arial"/>
          <w:bCs/>
          <w:sz w:val="20"/>
          <w:u w:val="single"/>
        </w:rPr>
        <w:t xml:space="preserve">tic and </w:t>
      </w:r>
      <w:r w:rsidRPr="00702884">
        <w:rPr>
          <w:rFonts w:ascii="Arial" w:hAnsi="Arial" w:cs="Arial"/>
          <w:bCs/>
          <w:sz w:val="20"/>
          <w:u w:val="single"/>
        </w:rPr>
        <w:t>depoliticizing</w:t>
      </w:r>
      <w:r w:rsidR="00702884">
        <w:rPr>
          <w:rFonts w:ascii="Arial" w:hAnsi="Arial" w:cs="Arial"/>
          <w:bCs/>
          <w:sz w:val="20"/>
          <w:u w:val="single"/>
        </w:rPr>
        <w:t>?</w:t>
      </w:r>
      <w:r>
        <w:rPr>
          <w:rFonts w:ascii="Arial" w:hAnsi="Arial" w:cs="Arial"/>
          <w:b/>
          <w:bCs/>
          <w:sz w:val="20"/>
          <w:lang w:val="en-GB"/>
        </w:rPr>
        <w:t xml:space="preserve"> </w:t>
      </w:r>
      <w:r>
        <w:rPr>
          <w:rFonts w:ascii="Arial" w:hAnsi="Arial" w:cs="Arial"/>
          <w:bCs/>
          <w:sz w:val="20"/>
          <w:lang w:val="en-GB"/>
        </w:rPr>
        <w:t xml:space="preserve">One way of interpreting the effects of modern science is that it politicized many aspects of the world by naturalizing what religion had previously thought supernatural (and thus, depoliticized). However, science can be depoliticizing: positivistic ideology consists in naturalizing problems that are social or have a social dimension; likewise, neoliberal economic ideology naturalizes economic injustice, not just by idealizing market competition but, more precisely, by identifying society with a (distorted) view of nature as “red in tooth and claw”, whereby market competition is natural, and therefore good. My arguments demonstrate that it is at least very plausible that resilience has embedded values, and so, the RD view would obscure these values and hide them from public discussion. I think that this constitutes a form </w:t>
      </w:r>
      <w:r w:rsidRPr="001A0675">
        <w:rPr>
          <w:rFonts w:ascii="Arial" w:hAnsi="Arial" w:cs="Arial"/>
          <w:bCs/>
          <w:sz w:val="20"/>
          <w:lang w:val="en-GB"/>
        </w:rPr>
        <w:t xml:space="preserve">of positivistic ideology </w:t>
      </w:r>
      <w:r>
        <w:rPr>
          <w:rFonts w:ascii="Arial" w:hAnsi="Arial" w:cs="Arial"/>
          <w:bCs/>
          <w:sz w:val="20"/>
          <w:lang w:val="en-GB"/>
        </w:rPr>
        <w:t>that could have a depoliticizing effect on</w:t>
      </w:r>
      <w:r w:rsidRPr="001A0675">
        <w:rPr>
          <w:rFonts w:ascii="Arial" w:hAnsi="Arial" w:cs="Arial"/>
          <w:bCs/>
          <w:sz w:val="20"/>
          <w:lang w:val="en-GB"/>
        </w:rPr>
        <w:t xml:space="preserve"> policies and agendas of resilience building.</w:t>
      </w:r>
    </w:p>
    <w:p w14:paraId="4710D80C" w14:textId="6ACE8D5C" w:rsidR="00853B02" w:rsidRPr="00661EA0" w:rsidRDefault="00853B02" w:rsidP="00661EA0">
      <w:pPr>
        <w:jc w:val="both"/>
        <w:rPr>
          <w:rFonts w:ascii="Arial" w:hAnsi="Arial" w:cs="Arial"/>
          <w:b/>
          <w:sz w:val="20"/>
        </w:rPr>
      </w:pPr>
    </w:p>
    <w:p w14:paraId="3A84CAA0" w14:textId="77777777" w:rsidR="00797EDC" w:rsidRPr="00D932D1" w:rsidRDefault="00797EDC" w:rsidP="00853B02">
      <w:pPr>
        <w:jc w:val="both"/>
        <w:rPr>
          <w:rFonts w:ascii="Arial" w:hAnsi="Arial" w:cs="Arial"/>
          <w:bCs/>
          <w:sz w:val="20"/>
        </w:rPr>
      </w:pPr>
    </w:p>
    <w:p w14:paraId="5400FBE7" w14:textId="58B8B266" w:rsidR="00853B02" w:rsidRDefault="00853B02" w:rsidP="001D59F6">
      <w:pPr>
        <w:jc w:val="both"/>
        <w:rPr>
          <w:rFonts w:ascii="Arial" w:hAnsi="Arial" w:cs="Arial"/>
          <w:b/>
          <w:bCs/>
          <w:iCs/>
          <w:sz w:val="20"/>
        </w:rPr>
      </w:pPr>
      <w:r>
        <w:rPr>
          <w:rFonts w:ascii="Arial" w:hAnsi="Arial" w:cs="Arial"/>
          <w:b/>
          <w:bCs/>
          <w:iCs/>
          <w:sz w:val="20"/>
        </w:rPr>
        <w:t xml:space="preserve">Acknowledgements </w:t>
      </w:r>
    </w:p>
    <w:p w14:paraId="7CA4556F" w14:textId="1EAF12D3" w:rsidR="00853B02" w:rsidRDefault="00797EDC" w:rsidP="001D59F6">
      <w:pPr>
        <w:jc w:val="both"/>
        <w:rPr>
          <w:rFonts w:ascii="Arial" w:hAnsi="Arial" w:cs="Arial"/>
          <w:sz w:val="20"/>
        </w:rPr>
      </w:pPr>
      <w:r>
        <w:rPr>
          <w:rFonts w:ascii="Arial" w:hAnsi="Arial" w:cs="Arial"/>
          <w:iCs/>
          <w:sz w:val="20"/>
        </w:rPr>
        <w:t>To my PhD supervisors, Neelke Doorn and Samantha Copeland. To Sara, Lieke and Aashis, my PhD colleagues in resilience and climate adaptation.</w:t>
      </w:r>
    </w:p>
    <w:p w14:paraId="3B9E116D" w14:textId="77777777" w:rsidR="00D932D1" w:rsidRPr="00D932D1" w:rsidRDefault="00D932D1" w:rsidP="001D59F6">
      <w:pPr>
        <w:jc w:val="both"/>
        <w:rPr>
          <w:rFonts w:ascii="Arial" w:hAnsi="Arial" w:cs="Arial"/>
          <w:iCs/>
          <w:sz w:val="20"/>
        </w:rPr>
      </w:pPr>
    </w:p>
    <w:p w14:paraId="17578F62" w14:textId="166B4003" w:rsidR="00BD1C20" w:rsidRPr="00D932D1" w:rsidRDefault="00BD1C20" w:rsidP="001D59F6">
      <w:pPr>
        <w:jc w:val="both"/>
        <w:rPr>
          <w:rFonts w:ascii="Arial" w:hAnsi="Arial" w:cs="Arial"/>
          <w:b/>
          <w:bCs/>
          <w:iCs/>
          <w:sz w:val="20"/>
        </w:rPr>
      </w:pPr>
      <w:r w:rsidRPr="001D59F6">
        <w:rPr>
          <w:rFonts w:ascii="Arial" w:hAnsi="Arial" w:cs="Arial"/>
          <w:b/>
          <w:bCs/>
          <w:iCs/>
          <w:sz w:val="20"/>
        </w:rPr>
        <w:t xml:space="preserve">References </w:t>
      </w:r>
    </w:p>
    <w:p w14:paraId="670FE07A" w14:textId="68EAC9C6" w:rsidR="006D575A" w:rsidRDefault="006D575A">
      <w:pPr>
        <w:jc w:val="both"/>
        <w:rPr>
          <w:rFonts w:ascii="Arial" w:hAnsi="Arial" w:cs="Arial"/>
          <w:sz w:val="20"/>
          <w:szCs w:val="20"/>
          <w:lang w:val="en-GB"/>
        </w:rPr>
      </w:pPr>
    </w:p>
    <w:p w14:paraId="2913B2D4" w14:textId="5DC3BCC0" w:rsidR="00702884" w:rsidRPr="00702884" w:rsidRDefault="00B83F2E" w:rsidP="00702884">
      <w:pPr>
        <w:pStyle w:val="EndNoteBibliography"/>
        <w:spacing w:after="240"/>
        <w:ind w:left="720" w:hanging="720"/>
      </w:pPr>
      <w:r>
        <w:rPr>
          <w:b/>
          <w:i/>
          <w:lang w:val="en-GB"/>
        </w:rPr>
        <w:fldChar w:fldCharType="begin"/>
      </w:r>
      <w:r>
        <w:rPr>
          <w:b/>
          <w:i/>
          <w:lang w:val="en-GB"/>
        </w:rPr>
        <w:instrText xml:space="preserve"> ADDIN EN.REFLIST </w:instrText>
      </w:r>
      <w:r>
        <w:rPr>
          <w:b/>
          <w:i/>
          <w:lang w:val="en-GB"/>
        </w:rPr>
        <w:fldChar w:fldCharType="separate"/>
      </w:r>
      <w:r w:rsidR="00702884" w:rsidRPr="00702884">
        <w:t xml:space="preserve">Anderies, J. M., C. Folke, B. Walker, &amp; Ostrom., E. (2013). Aligning key concepts for global change policy: robustness, resilience, and sustainability. </w:t>
      </w:r>
      <w:r w:rsidR="00702884" w:rsidRPr="00702884">
        <w:rPr>
          <w:i/>
        </w:rPr>
        <w:t>Ecology and Society, 18</w:t>
      </w:r>
      <w:r w:rsidR="00702884" w:rsidRPr="00702884">
        <w:t>(8). doi:</w:t>
      </w:r>
      <w:hyperlink r:id="rId8" w:history="1">
        <w:r w:rsidR="00702884" w:rsidRPr="00702884">
          <w:rPr>
            <w:rStyle w:val="Hyperlink"/>
          </w:rPr>
          <w:t>http://dx.doi.org/10.5751/ES-05178-180208</w:t>
        </w:r>
      </w:hyperlink>
    </w:p>
    <w:p w14:paraId="5446AC87" w14:textId="77777777" w:rsidR="00702884" w:rsidRPr="00702884" w:rsidRDefault="00702884" w:rsidP="00702884">
      <w:pPr>
        <w:pStyle w:val="EndNoteBibliography"/>
        <w:spacing w:after="240"/>
        <w:ind w:left="720" w:hanging="720"/>
      </w:pPr>
      <w:r w:rsidRPr="00702884">
        <w:t xml:space="preserve">Battaly, H. (2015). A Pluralist Theory of Virtue. In M. Alfano (Ed.), </w:t>
      </w:r>
      <w:r w:rsidRPr="00702884">
        <w:rPr>
          <w:i/>
        </w:rPr>
        <w:t>Current Controversies in Virtue Theory</w:t>
      </w:r>
      <w:r w:rsidRPr="00702884">
        <w:t xml:space="preserve"> (pp. 7-21): Routledge.</w:t>
      </w:r>
    </w:p>
    <w:p w14:paraId="3739B9BF" w14:textId="77777777" w:rsidR="00702884" w:rsidRPr="00702884" w:rsidRDefault="00702884" w:rsidP="00702884">
      <w:pPr>
        <w:pStyle w:val="EndNoteBibliography"/>
        <w:spacing w:after="240"/>
        <w:ind w:left="720" w:hanging="720"/>
      </w:pPr>
      <w:r w:rsidRPr="00702884">
        <w:lastRenderedPageBreak/>
        <w:t xml:space="preserve">Brandt, F. S., &amp; Jax, K. (2007). Focusing the Meaning(s) of Resilience: Resilience as a Descriptive Concept and a Boundary Object. </w:t>
      </w:r>
      <w:r w:rsidRPr="00702884">
        <w:rPr>
          <w:i/>
        </w:rPr>
        <w:t>Ecology and Society, 12</w:t>
      </w:r>
      <w:r w:rsidRPr="00702884">
        <w:t>(1). doi:10.5751/es-02029-120123</w:t>
      </w:r>
    </w:p>
    <w:p w14:paraId="62851C78" w14:textId="77777777" w:rsidR="00702884" w:rsidRPr="00702884" w:rsidRDefault="00702884" w:rsidP="00702884">
      <w:pPr>
        <w:pStyle w:val="EndNoteBibliography"/>
        <w:spacing w:after="240"/>
        <w:ind w:left="720" w:hanging="720"/>
      </w:pPr>
      <w:r w:rsidRPr="00702884">
        <w:t xml:space="preserve">Cabello Eras, J., Garcia, D., Sagastume, A., Priego, R., Hens, L., &amp; Vandecasteele, C. (2012). An approach to sustainable development: The case of Cuba. </w:t>
      </w:r>
      <w:r w:rsidRPr="00702884">
        <w:rPr>
          <w:i/>
        </w:rPr>
        <w:t>Environment, Development and Sustainability, 14</w:t>
      </w:r>
      <w:r w:rsidRPr="00702884">
        <w:t>. doi:10.1007/s10668-012-9338-8</w:t>
      </w:r>
    </w:p>
    <w:p w14:paraId="11B57C1B" w14:textId="77777777" w:rsidR="00702884" w:rsidRPr="00702884" w:rsidRDefault="00702884" w:rsidP="00702884">
      <w:pPr>
        <w:pStyle w:val="EndNoteBibliography"/>
        <w:spacing w:after="240"/>
        <w:ind w:left="720" w:hanging="720"/>
      </w:pPr>
      <w:r w:rsidRPr="00702884">
        <w:t xml:space="preserve">Carpenter, S., Walker, B., Anderies, J. M., &amp; Abel, N. (2001). From Metaphor to Measurement: Resilience of What to What? </w:t>
      </w:r>
      <w:r w:rsidRPr="00702884">
        <w:rPr>
          <w:i/>
        </w:rPr>
        <w:t>Ecosystems, 4</w:t>
      </w:r>
      <w:r w:rsidRPr="00702884">
        <w:t>(8), 765-781. doi:10.1007/s10021-001-0045-9</w:t>
      </w:r>
    </w:p>
    <w:p w14:paraId="0E833951" w14:textId="77777777" w:rsidR="00702884" w:rsidRPr="00702884" w:rsidRDefault="00702884" w:rsidP="00702884">
      <w:pPr>
        <w:pStyle w:val="EndNoteBibliography"/>
        <w:spacing w:after="240"/>
        <w:ind w:left="720" w:hanging="720"/>
      </w:pPr>
      <w:r w:rsidRPr="00702884">
        <w:t xml:space="preserve">Derissen, S., Quaas, M. F., &amp; Baumgärtner, S. (2011). The relationship between resilience and sustainability of ecological-economic systems. </w:t>
      </w:r>
      <w:r w:rsidRPr="00702884">
        <w:rPr>
          <w:i/>
        </w:rPr>
        <w:t>Ecological Economics, 70</w:t>
      </w:r>
      <w:r w:rsidRPr="00702884">
        <w:t>(6), 1121-1128. doi:10.1016/j.ecolecon.2011.01.003</w:t>
      </w:r>
    </w:p>
    <w:p w14:paraId="06832244" w14:textId="77777777" w:rsidR="00702884" w:rsidRPr="00702884" w:rsidRDefault="00702884" w:rsidP="00702884">
      <w:pPr>
        <w:pStyle w:val="EndNoteBibliography"/>
        <w:spacing w:after="240"/>
        <w:ind w:left="720" w:hanging="720"/>
      </w:pPr>
      <w:r w:rsidRPr="00702884">
        <w:t xml:space="preserve">Eldridge, R. (1986). The Normal and the Normative: Wittgenstein's Legacy, Kripke, and Cavell. </w:t>
      </w:r>
      <w:r w:rsidRPr="00702884">
        <w:rPr>
          <w:i/>
        </w:rPr>
        <w:t>Philosophy and Phenomenological Research, 46</w:t>
      </w:r>
      <w:r w:rsidRPr="00702884">
        <w:t>(4), 555-575. doi:10.2307/2107669</w:t>
      </w:r>
    </w:p>
    <w:p w14:paraId="110505F7" w14:textId="77777777" w:rsidR="00702884" w:rsidRPr="00702884" w:rsidRDefault="00702884" w:rsidP="00702884">
      <w:pPr>
        <w:pStyle w:val="EndNoteBibliography"/>
        <w:spacing w:after="240"/>
        <w:ind w:left="720" w:hanging="720"/>
      </w:pPr>
      <w:r w:rsidRPr="00702884">
        <w:t xml:space="preserve">Elmqvist, T., Andersson, E., Frantzeskaki, N., McPhearson, T., Gaffney, O., Takeuchi, K., &amp; Folke, C. (2019). Sustainability and resilience for transformation in the urban century. </w:t>
      </w:r>
      <w:r w:rsidRPr="00702884">
        <w:rPr>
          <w:i/>
        </w:rPr>
        <w:t>Nature Sustainability, 2</w:t>
      </w:r>
      <w:r w:rsidRPr="00702884">
        <w:t>. doi:10.1038/s41893-019-0250-1</w:t>
      </w:r>
    </w:p>
    <w:p w14:paraId="2AB0C243" w14:textId="77777777" w:rsidR="00702884" w:rsidRPr="00702884" w:rsidRDefault="00702884" w:rsidP="00702884">
      <w:pPr>
        <w:pStyle w:val="EndNoteBibliography"/>
        <w:spacing w:after="240"/>
        <w:ind w:left="720" w:hanging="720"/>
      </w:pPr>
      <w:r w:rsidRPr="00702884">
        <w:t xml:space="preserve">Holling, C. S., ed. (1978). </w:t>
      </w:r>
      <w:r w:rsidRPr="00702884">
        <w:rPr>
          <w:i/>
        </w:rPr>
        <w:t>Adaptive environmental assessment and management.</w:t>
      </w:r>
      <w:r w:rsidRPr="00702884">
        <w:t>: Chichester: John Wiley.</w:t>
      </w:r>
    </w:p>
    <w:p w14:paraId="612B32B0" w14:textId="77777777" w:rsidR="00702884" w:rsidRPr="00702884" w:rsidRDefault="00702884" w:rsidP="00702884">
      <w:pPr>
        <w:pStyle w:val="EndNoteBibliography"/>
        <w:spacing w:after="240"/>
        <w:ind w:left="720" w:hanging="720"/>
      </w:pPr>
      <w:r w:rsidRPr="00702884">
        <w:t xml:space="preserve">Holling, C. S., &amp; Walker, B. (2003). Resilience defined. In I. S. o. E. Economics (Ed.), </w:t>
      </w:r>
      <w:r w:rsidRPr="00702884">
        <w:rPr>
          <w:i/>
        </w:rPr>
        <w:t xml:space="preserve">Internet Encyclopedia of Ecological Economics </w:t>
      </w:r>
      <w:r w:rsidRPr="00702884">
        <w:t>(pp. 1-3).</w:t>
      </w:r>
    </w:p>
    <w:p w14:paraId="4B74AFC5" w14:textId="77777777" w:rsidR="00702884" w:rsidRPr="00702884" w:rsidRDefault="00702884" w:rsidP="00702884">
      <w:pPr>
        <w:pStyle w:val="EndNoteBibliography"/>
        <w:spacing w:after="240"/>
        <w:ind w:left="720" w:hanging="720"/>
      </w:pPr>
      <w:r w:rsidRPr="00702884">
        <w:t xml:space="preserve">Joseph, J. (2013). Resilience as embedded neoliberalism: a governmentality approach. </w:t>
      </w:r>
      <w:r w:rsidRPr="00702884">
        <w:rPr>
          <w:i/>
        </w:rPr>
        <w:t>Resilience, 1</w:t>
      </w:r>
      <w:r w:rsidRPr="00702884">
        <w:t>(1), 38-52. doi:10.1080/21693293.2013.765741</w:t>
      </w:r>
    </w:p>
    <w:p w14:paraId="2787D269" w14:textId="77777777" w:rsidR="00702884" w:rsidRPr="00702884" w:rsidRDefault="00702884" w:rsidP="00702884">
      <w:pPr>
        <w:pStyle w:val="EndNoteBibliography"/>
        <w:spacing w:after="240"/>
        <w:ind w:left="720" w:hanging="720"/>
      </w:pPr>
      <w:r w:rsidRPr="00702884">
        <w:t xml:space="preserve">Kolers, A. (2016). Resilience as a Political Ideal. </w:t>
      </w:r>
      <w:r w:rsidRPr="00702884">
        <w:rPr>
          <w:i/>
        </w:rPr>
        <w:t>Ethics, Policy and Environment, 19</w:t>
      </w:r>
      <w:r w:rsidRPr="00702884">
        <w:t>(1), 91-107. doi:10.1080/21550085.2016.1173283</w:t>
      </w:r>
    </w:p>
    <w:p w14:paraId="2C082A45" w14:textId="77777777" w:rsidR="00702884" w:rsidRPr="00702884" w:rsidRDefault="00702884" w:rsidP="00702884">
      <w:pPr>
        <w:pStyle w:val="EndNoteBibliography"/>
        <w:spacing w:after="240"/>
        <w:ind w:left="720" w:hanging="720"/>
      </w:pPr>
      <w:r w:rsidRPr="00702884">
        <w:t xml:space="preserve">Meerow, S., Newell, J. P., &amp; Stults, M. (2016). Defining urban resilience: A review. </w:t>
      </w:r>
      <w:r w:rsidRPr="00702884">
        <w:rPr>
          <w:i/>
        </w:rPr>
        <w:t>Landscape and Urban Planning, 147</w:t>
      </w:r>
      <w:r w:rsidRPr="00702884">
        <w:t>, 38-49. doi:10.1016/j.landurbplan.2015.11.011</w:t>
      </w:r>
    </w:p>
    <w:p w14:paraId="2E52FBA2" w14:textId="77777777" w:rsidR="00702884" w:rsidRPr="00702884" w:rsidRDefault="00702884" w:rsidP="00702884">
      <w:pPr>
        <w:pStyle w:val="EndNoteBibliography"/>
        <w:spacing w:after="240"/>
        <w:ind w:left="720" w:hanging="720"/>
      </w:pPr>
      <w:r w:rsidRPr="00702884">
        <w:t xml:space="preserve">Nicolucci, V., Tiezzi, E., Pulselli, F., &amp; Cristina, C. (2012). Biocapacity vs Ecological Footprint of world regions: A geopolitical interpretation. </w:t>
      </w:r>
      <w:r w:rsidRPr="00702884">
        <w:rPr>
          <w:i/>
        </w:rPr>
        <w:t>Ecological Indicators, 16</w:t>
      </w:r>
      <w:r w:rsidRPr="00702884">
        <w:t>, 23–30. doi:10.1016/j.ecolind.2011.09.002</w:t>
      </w:r>
    </w:p>
    <w:p w14:paraId="3E79E7D6" w14:textId="77777777" w:rsidR="00702884" w:rsidRPr="00702884" w:rsidRDefault="00702884" w:rsidP="00702884">
      <w:pPr>
        <w:pStyle w:val="EndNoteBibliography"/>
        <w:spacing w:after="240"/>
        <w:ind w:left="720" w:hanging="720"/>
      </w:pPr>
      <w:r w:rsidRPr="00702884">
        <w:t xml:space="preserve">Norris, F., Stevens, S., Pfefferbaum, B., Wyche, K., &amp; Pfefferbaum, R. (2008). Community Resilience as a Metaphor, Theory, Set of Capacities, and Strategy for Disaster Readiness. </w:t>
      </w:r>
      <w:r w:rsidRPr="00702884">
        <w:rPr>
          <w:i/>
        </w:rPr>
        <w:t>American Journal of Community Psychology, 41</w:t>
      </w:r>
      <w:r w:rsidRPr="00702884">
        <w:t>, 127-150. doi:10.1007/s10464-007-9156-6</w:t>
      </w:r>
    </w:p>
    <w:p w14:paraId="5ED2CFD1" w14:textId="77777777" w:rsidR="00702884" w:rsidRPr="00702884" w:rsidRDefault="00702884" w:rsidP="00702884">
      <w:pPr>
        <w:pStyle w:val="EndNoteBibliography"/>
        <w:spacing w:after="240"/>
        <w:ind w:left="720" w:hanging="720"/>
      </w:pPr>
      <w:r w:rsidRPr="00702884">
        <w:t>Pelling, M. (2010). Adaptation to Climate Change. In. London: Routledge.</w:t>
      </w:r>
    </w:p>
    <w:p w14:paraId="13DD699D" w14:textId="77777777" w:rsidR="00702884" w:rsidRPr="00702884" w:rsidRDefault="00702884" w:rsidP="00702884">
      <w:pPr>
        <w:pStyle w:val="EndNoteBibliography"/>
        <w:spacing w:after="240"/>
        <w:ind w:left="720" w:hanging="720"/>
      </w:pPr>
      <w:r w:rsidRPr="00702884">
        <w:t xml:space="preserve">Rawls, J. (1999). </w:t>
      </w:r>
      <w:r w:rsidRPr="00702884">
        <w:rPr>
          <w:i/>
        </w:rPr>
        <w:t>A theory of justice</w:t>
      </w:r>
      <w:r w:rsidRPr="00702884">
        <w:t>.</w:t>
      </w:r>
    </w:p>
    <w:p w14:paraId="4080DC66" w14:textId="77777777" w:rsidR="00702884" w:rsidRPr="00702884" w:rsidRDefault="00702884" w:rsidP="00702884">
      <w:pPr>
        <w:pStyle w:val="EndNoteBibliography"/>
        <w:spacing w:after="240"/>
        <w:ind w:left="720" w:hanging="720"/>
      </w:pPr>
      <w:r w:rsidRPr="00702884">
        <w:t xml:space="preserve">Taleb, N. N. (2012). </w:t>
      </w:r>
      <w:r w:rsidRPr="00702884">
        <w:rPr>
          <w:i/>
        </w:rPr>
        <w:t>Antifragile: Things that gain from disorder.</w:t>
      </w:r>
      <w:r w:rsidRPr="00702884">
        <w:t xml:space="preserve"> New York: Random House.</w:t>
      </w:r>
    </w:p>
    <w:p w14:paraId="3F113F72" w14:textId="77777777" w:rsidR="00702884" w:rsidRPr="00702884" w:rsidRDefault="00702884" w:rsidP="00702884">
      <w:pPr>
        <w:pStyle w:val="EndNoteBibliography"/>
        <w:spacing w:after="240"/>
        <w:ind w:left="720" w:hanging="720"/>
      </w:pPr>
      <w:r w:rsidRPr="00702884">
        <w:t xml:space="preserve">Thorén, H., &amp; Olsson, L. (2017). Is resilience a normative concept? </w:t>
      </w:r>
      <w:r w:rsidRPr="00702884">
        <w:rPr>
          <w:i/>
        </w:rPr>
        <w:t>Resilience, 6</w:t>
      </w:r>
      <w:r w:rsidRPr="00702884">
        <w:t>(2), 112-128. doi:10.1080/21693293.2017.1406842</w:t>
      </w:r>
    </w:p>
    <w:p w14:paraId="28BCEAEF" w14:textId="77777777" w:rsidR="00702884" w:rsidRPr="00702884" w:rsidRDefault="00702884" w:rsidP="00702884">
      <w:pPr>
        <w:pStyle w:val="EndNoteBibliography"/>
        <w:spacing w:after="240"/>
        <w:ind w:left="720" w:hanging="720"/>
      </w:pPr>
      <w:r w:rsidRPr="00702884">
        <w:t xml:space="preserve">Unruh, G. C. (2000). Understanding carbon lock-in. </w:t>
      </w:r>
      <w:r w:rsidRPr="00702884">
        <w:rPr>
          <w:i/>
        </w:rPr>
        <w:t>Energy Policy, 28</w:t>
      </w:r>
      <w:r w:rsidRPr="00702884">
        <w:t>(12), 817-830. doi:10.1016/s0301-4215(00)00070-7</w:t>
      </w:r>
    </w:p>
    <w:p w14:paraId="3AC4E561" w14:textId="77777777" w:rsidR="00702884" w:rsidRPr="00702884" w:rsidRDefault="00702884" w:rsidP="00702884">
      <w:pPr>
        <w:pStyle w:val="EndNoteBibliography"/>
        <w:spacing w:after="240"/>
        <w:ind w:left="720" w:hanging="720"/>
      </w:pPr>
      <w:r w:rsidRPr="00702884">
        <w:t xml:space="preserve">van de Poel, I. (2018). Design for value change. </w:t>
      </w:r>
      <w:r w:rsidRPr="00702884">
        <w:rPr>
          <w:i/>
        </w:rPr>
        <w:t>Ethics and Information Technology</w:t>
      </w:r>
      <w:r w:rsidRPr="00702884">
        <w:t>. doi:10.1007/s10676-018-9461-9</w:t>
      </w:r>
    </w:p>
    <w:p w14:paraId="080A1BA2" w14:textId="77777777" w:rsidR="00702884" w:rsidRPr="00702884" w:rsidRDefault="00702884" w:rsidP="00702884">
      <w:pPr>
        <w:pStyle w:val="EndNoteBibliography"/>
        <w:spacing w:after="240"/>
        <w:ind w:left="720" w:hanging="720"/>
      </w:pPr>
      <w:r w:rsidRPr="00702884">
        <w:lastRenderedPageBreak/>
        <w:t xml:space="preserve">Walker, B., Holling, C. S., Carpenter, S. R., &amp; Kinzig, A. P. (2004). Resilience, Adaptability and Transformability in Social-ecological Systems. </w:t>
      </w:r>
      <w:r w:rsidRPr="00702884">
        <w:rPr>
          <w:i/>
        </w:rPr>
        <w:t>Ecology and Society, 9</w:t>
      </w:r>
      <w:r w:rsidRPr="00702884">
        <w:t>(2). doi:10.5751/es-00650-090205</w:t>
      </w:r>
    </w:p>
    <w:p w14:paraId="5CE98217" w14:textId="77777777" w:rsidR="00702884" w:rsidRPr="00702884" w:rsidRDefault="00702884" w:rsidP="00702884">
      <w:pPr>
        <w:pStyle w:val="EndNoteBibliography"/>
        <w:ind w:left="720" w:hanging="720"/>
      </w:pPr>
      <w:r w:rsidRPr="00702884">
        <w:t xml:space="preserve">Walker, J., &amp; Cooper, M. (2011). Genealogies of resilience. </w:t>
      </w:r>
      <w:r w:rsidRPr="00702884">
        <w:rPr>
          <w:i/>
        </w:rPr>
        <w:t>Security Dialogue, 42</w:t>
      </w:r>
      <w:r w:rsidRPr="00702884">
        <w:t>(2), 143-160. doi:10.1177/0967010611399616</w:t>
      </w:r>
    </w:p>
    <w:p w14:paraId="124BAC44" w14:textId="3EED71A3" w:rsidR="00661EA0" w:rsidRPr="007668A9" w:rsidRDefault="00B83F2E">
      <w:pPr>
        <w:jc w:val="both"/>
        <w:rPr>
          <w:rFonts w:ascii="Arial" w:hAnsi="Arial" w:cs="Arial"/>
          <w:b/>
          <w:i/>
          <w:sz w:val="20"/>
          <w:lang w:val="en-GB"/>
        </w:rPr>
      </w:pPr>
      <w:r>
        <w:rPr>
          <w:rFonts w:ascii="Arial" w:hAnsi="Arial" w:cs="Arial"/>
          <w:b/>
          <w:i/>
          <w:sz w:val="20"/>
          <w:lang w:val="en-GB"/>
        </w:rPr>
        <w:fldChar w:fldCharType="end"/>
      </w:r>
    </w:p>
    <w:sectPr w:rsidR="00661EA0" w:rsidRPr="007668A9" w:rsidSect="00CA7EFC">
      <w:headerReference w:type="default" r:id="rId9"/>
      <w:footerReference w:type="default" r:id="rId10"/>
      <w:pgSz w:w="11900" w:h="16840" w:code="9"/>
      <w:pgMar w:top="284" w:right="1440" w:bottom="284" w:left="1440"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3E741" w14:textId="77777777" w:rsidR="008D119B" w:rsidRDefault="008D119B" w:rsidP="00F01952">
      <w:r>
        <w:separator/>
      </w:r>
    </w:p>
  </w:endnote>
  <w:endnote w:type="continuationSeparator" w:id="0">
    <w:p w14:paraId="70EDC5FA" w14:textId="77777777" w:rsidR="008D119B" w:rsidRDefault="008D119B" w:rsidP="00F0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Officina Sans Std Book">
    <w:altName w:val="ITC Officina Sans Std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867892"/>
      <w:docPartObj>
        <w:docPartGallery w:val="Page Numbers (Bottom of Page)"/>
        <w:docPartUnique/>
      </w:docPartObj>
    </w:sdtPr>
    <w:sdtEndPr/>
    <w:sdtContent>
      <w:p w14:paraId="67E1176A" w14:textId="35A27B34" w:rsidR="006D575A" w:rsidRPr="006D575A" w:rsidRDefault="006D575A" w:rsidP="006D575A">
        <w:pPr>
          <w:pStyle w:val="Header"/>
          <w:tabs>
            <w:tab w:val="clear" w:pos="9072"/>
            <w:tab w:val="right" w:pos="9020"/>
          </w:tabs>
          <w:jc w:val="center"/>
          <w:rPr>
            <w:rFonts w:ascii="Arial" w:hAnsi="Arial" w:cs="Arial"/>
            <w:b/>
            <w:bCs/>
            <w:color w:val="FF9933"/>
            <w:sz w:val="20"/>
            <w:szCs w:val="20"/>
          </w:rPr>
        </w:pPr>
        <w:r w:rsidRPr="00661EA0">
          <w:rPr>
            <w:rFonts w:ascii="Arial" w:hAnsi="Arial" w:cs="Arial"/>
            <w:b/>
            <w:bCs/>
            <w:color w:val="FF9933"/>
            <w:sz w:val="20"/>
            <w:szCs w:val="20"/>
            <w:lang w:val="en-GB"/>
          </w:rPr>
          <w:t xml:space="preserve">Comes, T. et al., (Eds). </w:t>
        </w:r>
        <w:r w:rsidRPr="006D575A">
          <w:rPr>
            <w:rFonts w:ascii="Arial" w:hAnsi="Arial" w:cs="Arial"/>
            <w:b/>
            <w:bCs/>
            <w:color w:val="FF9933"/>
            <w:sz w:val="20"/>
            <w:szCs w:val="20"/>
          </w:rPr>
          <w:t>Proceedings of the Joint International Resilience Conference 2020</w:t>
        </w:r>
      </w:p>
      <w:p w14:paraId="414C219D" w14:textId="778940E9" w:rsidR="006D575A" w:rsidRDefault="006D575A" w:rsidP="006D575A">
        <w:pPr>
          <w:pStyle w:val="Header"/>
          <w:tabs>
            <w:tab w:val="clear" w:pos="9072"/>
            <w:tab w:val="right" w:pos="9020"/>
          </w:tabs>
          <w:rPr>
            <w:rFonts w:ascii="Arial" w:hAnsi="Arial" w:cs="Arial"/>
            <w:bCs/>
            <w:i/>
            <w:iCs/>
            <w:color w:val="FF9933"/>
            <w:sz w:val="20"/>
            <w:szCs w:val="20"/>
            <w:lang w:val="en-GB"/>
          </w:rPr>
        </w:pPr>
        <w:r w:rsidRPr="006D575A">
          <w:rPr>
            <w:rFonts w:ascii="Arial" w:hAnsi="Arial" w:cs="Arial"/>
            <w:bCs/>
            <w:color w:val="FF9933"/>
            <w:sz w:val="20"/>
            <w:szCs w:val="20"/>
          </w:rPr>
          <w:tab/>
        </w:r>
        <w:r w:rsidRPr="006D575A">
          <w:rPr>
            <w:rFonts w:ascii="Arial" w:hAnsi="Arial" w:cs="Arial"/>
            <w:bCs/>
            <w:i/>
            <w:color w:val="FF9933"/>
            <w:sz w:val="20"/>
            <w:szCs w:val="20"/>
          </w:rPr>
          <w:t>Interconnected:</w:t>
        </w:r>
        <w:r w:rsidRPr="006D575A">
          <w:rPr>
            <w:rFonts w:ascii="Arial" w:hAnsi="Arial" w:cs="Arial"/>
            <w:bCs/>
            <w:color w:val="FF9933"/>
            <w:sz w:val="20"/>
            <w:szCs w:val="20"/>
          </w:rPr>
          <w:t xml:space="preserve"> </w:t>
        </w:r>
        <w:r w:rsidRPr="006D575A">
          <w:rPr>
            <w:rFonts w:ascii="Arial" w:hAnsi="Arial" w:cs="Arial"/>
            <w:bCs/>
            <w:i/>
            <w:iCs/>
            <w:color w:val="FF9933"/>
            <w:sz w:val="20"/>
            <w:szCs w:val="20"/>
            <w:lang w:val="en-GB"/>
          </w:rPr>
          <w:t>Resilience innovations for Sustainable Development Goals</w:t>
        </w:r>
      </w:p>
      <w:p w14:paraId="3A4E53C1" w14:textId="1C78C801" w:rsidR="006D575A" w:rsidRPr="006D575A" w:rsidRDefault="006D575A" w:rsidP="006D575A">
        <w:pPr>
          <w:pStyle w:val="Header"/>
          <w:tabs>
            <w:tab w:val="clear" w:pos="9072"/>
            <w:tab w:val="right" w:pos="9020"/>
          </w:tabs>
          <w:jc w:val="center"/>
          <w:rPr>
            <w:rFonts w:ascii="Arial" w:hAnsi="Arial" w:cs="Arial"/>
            <w:color w:val="FF9933"/>
            <w:sz w:val="20"/>
            <w:szCs w:val="20"/>
          </w:rPr>
        </w:pPr>
        <w:r w:rsidRPr="006D575A">
          <w:rPr>
            <w:rFonts w:ascii="Arial" w:hAnsi="Arial" w:cs="Arial"/>
            <w:color w:val="FF9933"/>
            <w:sz w:val="20"/>
            <w:szCs w:val="20"/>
          </w:rPr>
          <w:t xml:space="preserve">4TU Centre for Resilience Engineering </w:t>
        </w:r>
        <w:r>
          <w:rPr>
            <w:rFonts w:ascii="Arial" w:hAnsi="Arial" w:cs="Arial"/>
            <w:color w:val="FF9933"/>
            <w:sz w:val="20"/>
            <w:szCs w:val="20"/>
          </w:rPr>
          <w:t>/</w:t>
        </w:r>
        <w:r w:rsidRPr="006D575A">
          <w:rPr>
            <w:rFonts w:ascii="Arial" w:hAnsi="Arial" w:cs="Arial"/>
            <w:color w:val="FF9933"/>
            <w:sz w:val="20"/>
            <w:szCs w:val="20"/>
          </w:rPr>
          <w:t xml:space="preserve"> Future Resilience Systems </w:t>
        </w:r>
        <w:r>
          <w:rPr>
            <w:rFonts w:ascii="Arial" w:hAnsi="Arial" w:cs="Arial"/>
            <w:color w:val="FF9933"/>
            <w:sz w:val="20"/>
            <w:szCs w:val="20"/>
          </w:rPr>
          <w:t xml:space="preserve">- </w:t>
        </w:r>
        <w:r w:rsidRPr="006D575A">
          <w:rPr>
            <w:rFonts w:ascii="Arial" w:hAnsi="Arial" w:cs="Arial"/>
            <w:color w:val="FF9933"/>
            <w:sz w:val="20"/>
            <w:szCs w:val="20"/>
          </w:rPr>
          <w:t>SEC</w:t>
        </w:r>
      </w:p>
      <w:p w14:paraId="50892983" w14:textId="074193B1" w:rsidR="00793727" w:rsidRPr="006D575A" w:rsidRDefault="00793727">
        <w:pPr>
          <w:pStyle w:val="Footer"/>
          <w:jc w:val="center"/>
          <w:rPr>
            <w:lang w:val="nl-NL"/>
          </w:rPr>
        </w:pPr>
        <w:r>
          <w:fldChar w:fldCharType="begin"/>
        </w:r>
        <w:r w:rsidRPr="006D575A">
          <w:rPr>
            <w:lang w:val="nl-NL"/>
          </w:rPr>
          <w:instrText>PAGE   \* MERGEFORMAT</w:instrText>
        </w:r>
        <w:r>
          <w:fldChar w:fldCharType="separate"/>
        </w:r>
        <w:r w:rsidR="00284FA1">
          <w:rPr>
            <w:noProof/>
            <w:lang w:val="nl-NL"/>
          </w:rPr>
          <w:t>1</w:t>
        </w:r>
        <w:r>
          <w:fldChar w:fldCharType="end"/>
        </w:r>
      </w:p>
    </w:sdtContent>
  </w:sdt>
  <w:p w14:paraId="7B94D4AA" w14:textId="5BBE09B1" w:rsidR="005871A3" w:rsidRPr="006D575A" w:rsidRDefault="005871A3">
    <w:pPr>
      <w:pStyle w:val="Footer"/>
      <w:rPr>
        <w:sz w:val="18"/>
        <w:szCs w:val="18"/>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4D2DC" w14:textId="77777777" w:rsidR="008D119B" w:rsidRDefault="008D119B" w:rsidP="00F01952">
      <w:r>
        <w:separator/>
      </w:r>
    </w:p>
  </w:footnote>
  <w:footnote w:type="continuationSeparator" w:id="0">
    <w:p w14:paraId="61B9FCB0" w14:textId="77777777" w:rsidR="008D119B" w:rsidRDefault="008D119B" w:rsidP="00F01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0033A" w14:textId="7AB35D26" w:rsidR="00D932D1" w:rsidRDefault="001B7A03" w:rsidP="005011F6">
    <w:pPr>
      <w:pStyle w:val="Normal1"/>
      <w:tabs>
        <w:tab w:val="right" w:pos="8931"/>
      </w:tabs>
      <w:spacing w:after="0"/>
      <w:jc w:val="center"/>
      <w:rPr>
        <w:rFonts w:ascii="Arial" w:hAnsi="Arial" w:cs="Arial"/>
        <w:iCs/>
        <w:sz w:val="16"/>
        <w:szCs w:val="16"/>
      </w:rPr>
    </w:pPr>
    <w:r w:rsidRPr="001B7A03">
      <w:rPr>
        <w:rFonts w:ascii="Arial" w:hAnsi="Arial" w:cs="Arial"/>
        <w:bCs/>
        <w:iCs/>
        <w:sz w:val="16"/>
        <w:szCs w:val="16"/>
      </w:rPr>
      <w:t>Cañizares</w:t>
    </w:r>
    <w:r w:rsidR="005011F6">
      <w:rPr>
        <w:rFonts w:ascii="Arial" w:hAnsi="Arial" w:cs="Arial"/>
        <w:iCs/>
        <w:sz w:val="16"/>
        <w:szCs w:val="16"/>
      </w:rPr>
      <w:tab/>
    </w:r>
    <w:r>
      <w:rPr>
        <w:rFonts w:ascii="Arial" w:hAnsi="Arial" w:cs="Arial"/>
        <w:iCs/>
        <w:sz w:val="16"/>
        <w:szCs w:val="16"/>
      </w:rPr>
      <w:t>The Normativity of Resilience</w:t>
    </w:r>
  </w:p>
  <w:p w14:paraId="564E6E56" w14:textId="77777777" w:rsidR="005011F6" w:rsidRDefault="005011F6" w:rsidP="005011F6">
    <w:pPr>
      <w:pStyle w:val="Normal1"/>
      <w:tabs>
        <w:tab w:val="right" w:pos="8931"/>
      </w:tabs>
      <w:spacing w:after="0"/>
      <w:jc w:val="center"/>
      <w:rPr>
        <w:rFonts w:ascii="Arial" w:hAnsi="Arial" w:cs="Arial"/>
        <w:i/>
        <w:sz w:val="16"/>
        <w:szCs w:val="16"/>
      </w:rPr>
    </w:pPr>
  </w:p>
  <w:p w14:paraId="1DE11FC2" w14:textId="49D73832" w:rsidR="00D932D1" w:rsidRDefault="001B7A03" w:rsidP="005011F6">
    <w:pPr>
      <w:pStyle w:val="Normal1"/>
      <w:tabs>
        <w:tab w:val="right" w:pos="10080"/>
      </w:tabs>
      <w:spacing w:after="0"/>
      <w:jc w:val="center"/>
      <w:rPr>
        <w:rFonts w:ascii="Arial" w:hAnsi="Arial" w:cs="Arial"/>
        <w:i/>
        <w:sz w:val="16"/>
        <w:szCs w:val="16"/>
      </w:rPr>
    </w:pPr>
    <w:r w:rsidRPr="001B7A03">
      <w:rPr>
        <w:rFonts w:ascii="Arial" w:hAnsi="Arial" w:cs="Arial"/>
        <w:i/>
        <w:sz w:val="16"/>
        <w:szCs w:val="16"/>
      </w:rPr>
      <w:t>Governance systems and institutional arrangements for STE resilience</w:t>
    </w:r>
  </w:p>
  <w:p w14:paraId="31B0C865" w14:textId="121CF8A7" w:rsidR="00467C59" w:rsidRDefault="008D119B" w:rsidP="001B7A03">
    <w:pPr>
      <w:pStyle w:val="Normal1"/>
      <w:tabs>
        <w:tab w:val="right" w:pos="10080"/>
      </w:tabs>
      <w:spacing w:after="0"/>
      <w:jc w:val="center"/>
      <w:rPr>
        <w:rFonts w:ascii="Arial" w:hAnsi="Arial" w:cs="Arial"/>
        <w:i/>
        <w:sz w:val="16"/>
        <w:szCs w:val="16"/>
      </w:rPr>
    </w:pPr>
    <w:hyperlink r:id="rId1" w:anchor="s15" w:history="1">
      <w:r w:rsidR="001B7A03" w:rsidRPr="001B7A03">
        <w:rPr>
          <w:rFonts w:ascii="Arial" w:hAnsi="Arial" w:cs="Arial"/>
          <w:i/>
          <w:sz w:val="16"/>
          <w:szCs w:val="16"/>
        </w:rPr>
        <w:t>Governing Systemic Risks with Morally Sensitive Resilience Strategies</w:t>
      </w:r>
    </w:hyperlink>
  </w:p>
  <w:p w14:paraId="04CE80F3" w14:textId="77777777" w:rsidR="005011F6" w:rsidRPr="006D575A" w:rsidRDefault="005011F6" w:rsidP="005011F6">
    <w:pPr>
      <w:pStyle w:val="Footer"/>
      <w:tabs>
        <w:tab w:val="clear" w:pos="4536"/>
      </w:tabs>
      <w:jc w:val="center"/>
      <w:rPr>
        <w:rFonts w:cstheme="minorHAnsi"/>
        <w:bCs/>
        <w:iCs/>
        <w:color w:val="000000" w:themeColor="text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46C"/>
    <w:multiLevelType w:val="hybridMultilevel"/>
    <w:tmpl w:val="357EA3E8"/>
    <w:lvl w:ilvl="0" w:tplc="4A866904">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E5690"/>
    <w:multiLevelType w:val="hybridMultilevel"/>
    <w:tmpl w:val="C2081FBC"/>
    <w:lvl w:ilvl="0" w:tplc="2FA2D73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43C33"/>
    <w:multiLevelType w:val="hybridMultilevel"/>
    <w:tmpl w:val="47DE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D4693"/>
    <w:multiLevelType w:val="hybridMultilevel"/>
    <w:tmpl w:val="50A414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C02225"/>
    <w:multiLevelType w:val="hybridMultilevel"/>
    <w:tmpl w:val="54443EFA"/>
    <w:lvl w:ilvl="0" w:tplc="1D362866">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1B2FFB"/>
    <w:multiLevelType w:val="hybridMultilevel"/>
    <w:tmpl w:val="C23A9F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74A0499"/>
    <w:multiLevelType w:val="hybridMultilevel"/>
    <w:tmpl w:val="54443EFA"/>
    <w:lvl w:ilvl="0" w:tplc="1D362866">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A72789"/>
    <w:multiLevelType w:val="hybridMultilevel"/>
    <w:tmpl w:val="00CE15D4"/>
    <w:lvl w:ilvl="0" w:tplc="EF84648E">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B1077CB"/>
    <w:multiLevelType w:val="hybridMultilevel"/>
    <w:tmpl w:val="B4640CB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03132E"/>
    <w:multiLevelType w:val="multilevel"/>
    <w:tmpl w:val="0BBE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047AE"/>
    <w:multiLevelType w:val="hybridMultilevel"/>
    <w:tmpl w:val="525E73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11228CD"/>
    <w:multiLevelType w:val="hybridMultilevel"/>
    <w:tmpl w:val="9DF8DC2A"/>
    <w:lvl w:ilvl="0" w:tplc="847E41DA">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4E60B70"/>
    <w:multiLevelType w:val="hybridMultilevel"/>
    <w:tmpl w:val="D2B8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A7476"/>
    <w:multiLevelType w:val="hybridMultilevel"/>
    <w:tmpl w:val="785E3A0E"/>
    <w:lvl w:ilvl="0" w:tplc="1B001254">
      <w:start w:val="1"/>
      <w:numFmt w:val="lowerRoman"/>
      <w:suff w:val="space"/>
      <w:lvlText w:val="(%1)"/>
      <w:lvlJc w:val="left"/>
      <w:pPr>
        <w:ind w:left="862"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7C4129DE"/>
    <w:multiLevelType w:val="hybridMultilevel"/>
    <w:tmpl w:val="282A60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7"/>
  </w:num>
  <w:num w:numId="5">
    <w:abstractNumId w:val="5"/>
  </w:num>
  <w:num w:numId="6">
    <w:abstractNumId w:val="11"/>
  </w:num>
  <w:num w:numId="7">
    <w:abstractNumId w:val="8"/>
  </w:num>
  <w:num w:numId="8">
    <w:abstractNumId w:val="3"/>
  </w:num>
  <w:num w:numId="9">
    <w:abstractNumId w:val="1"/>
  </w:num>
  <w:num w:numId="10">
    <w:abstractNumId w:val="0"/>
  </w:num>
  <w:num w:numId="11">
    <w:abstractNumId w:val="13"/>
  </w:num>
  <w:num w:numId="12">
    <w:abstractNumId w:val="6"/>
  </w:num>
  <w:num w:numId="13">
    <w:abstractNumId w:val="2"/>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tfxzfpdv5efxzie5r0cxred3pfres2ffz5as&quot;&gt;My EndNote Library&lt;record-ids&gt;&lt;item&gt;42&lt;/item&gt;&lt;item&gt;59&lt;/item&gt;&lt;item&gt;71&lt;/item&gt;&lt;item&gt;90&lt;/item&gt;&lt;item&gt;99&lt;/item&gt;&lt;item&gt;112&lt;/item&gt;&lt;item&gt;140&lt;/item&gt;&lt;item&gt;144&lt;/item&gt;&lt;item&gt;148&lt;/item&gt;&lt;item&gt;150&lt;/item&gt;&lt;item&gt;177&lt;/item&gt;&lt;item&gt;189&lt;/item&gt;&lt;item&gt;342&lt;/item&gt;&lt;item&gt;396&lt;/item&gt;&lt;item&gt;397&lt;/item&gt;&lt;item&gt;398&lt;/item&gt;&lt;item&gt;399&lt;/item&gt;&lt;item&gt;400&lt;/item&gt;&lt;item&gt;401&lt;/item&gt;&lt;item&gt;402&lt;/item&gt;&lt;item&gt;403&lt;/item&gt;&lt;item&gt;404&lt;/item&gt;&lt;item&gt;405&lt;/item&gt;&lt;/record-ids&gt;&lt;/item&gt;&lt;/Libraries&gt;"/>
  </w:docVars>
  <w:rsids>
    <w:rsidRoot w:val="007A508B"/>
    <w:rsid w:val="000426AB"/>
    <w:rsid w:val="000455F4"/>
    <w:rsid w:val="0004677C"/>
    <w:rsid w:val="00046802"/>
    <w:rsid w:val="00051980"/>
    <w:rsid w:val="000629C6"/>
    <w:rsid w:val="000C12EC"/>
    <w:rsid w:val="000E03A6"/>
    <w:rsid w:val="00116CAE"/>
    <w:rsid w:val="00130244"/>
    <w:rsid w:val="00133648"/>
    <w:rsid w:val="00133773"/>
    <w:rsid w:val="001360A7"/>
    <w:rsid w:val="0016385A"/>
    <w:rsid w:val="00174662"/>
    <w:rsid w:val="00197398"/>
    <w:rsid w:val="001A0153"/>
    <w:rsid w:val="001A4594"/>
    <w:rsid w:val="001B5F6B"/>
    <w:rsid w:val="001B7A03"/>
    <w:rsid w:val="001C6C38"/>
    <w:rsid w:val="001D2AB1"/>
    <w:rsid w:val="001D35AC"/>
    <w:rsid w:val="001D4D4C"/>
    <w:rsid w:val="001D59F6"/>
    <w:rsid w:val="00214DA0"/>
    <w:rsid w:val="00244558"/>
    <w:rsid w:val="0025089C"/>
    <w:rsid w:val="0025219A"/>
    <w:rsid w:val="00280782"/>
    <w:rsid w:val="00284FA1"/>
    <w:rsid w:val="00285A08"/>
    <w:rsid w:val="00286ACF"/>
    <w:rsid w:val="00294014"/>
    <w:rsid w:val="002B1998"/>
    <w:rsid w:val="002C264E"/>
    <w:rsid w:val="002C5923"/>
    <w:rsid w:val="002C65C1"/>
    <w:rsid w:val="002C67B7"/>
    <w:rsid w:val="002C6963"/>
    <w:rsid w:val="002D0FB1"/>
    <w:rsid w:val="003119CE"/>
    <w:rsid w:val="003124F9"/>
    <w:rsid w:val="00317550"/>
    <w:rsid w:val="0032242F"/>
    <w:rsid w:val="00350E52"/>
    <w:rsid w:val="003856C2"/>
    <w:rsid w:val="00394ABA"/>
    <w:rsid w:val="003A41A6"/>
    <w:rsid w:val="003B0580"/>
    <w:rsid w:val="003E30EF"/>
    <w:rsid w:val="003E3780"/>
    <w:rsid w:val="003F4229"/>
    <w:rsid w:val="00414B37"/>
    <w:rsid w:val="00467C59"/>
    <w:rsid w:val="0047365A"/>
    <w:rsid w:val="0047561D"/>
    <w:rsid w:val="00493BED"/>
    <w:rsid w:val="004A6287"/>
    <w:rsid w:val="004A7985"/>
    <w:rsid w:val="004B173C"/>
    <w:rsid w:val="004B58C9"/>
    <w:rsid w:val="004C6688"/>
    <w:rsid w:val="004E18EB"/>
    <w:rsid w:val="005011F6"/>
    <w:rsid w:val="00504D3C"/>
    <w:rsid w:val="005100DF"/>
    <w:rsid w:val="005312B4"/>
    <w:rsid w:val="00531D2C"/>
    <w:rsid w:val="00554184"/>
    <w:rsid w:val="005871A3"/>
    <w:rsid w:val="005A1F29"/>
    <w:rsid w:val="005A3ABE"/>
    <w:rsid w:val="005B4C1A"/>
    <w:rsid w:val="005C5971"/>
    <w:rsid w:val="00623505"/>
    <w:rsid w:val="00635849"/>
    <w:rsid w:val="00661EA0"/>
    <w:rsid w:val="00683410"/>
    <w:rsid w:val="0069612E"/>
    <w:rsid w:val="006C3B55"/>
    <w:rsid w:val="006D575A"/>
    <w:rsid w:val="006E6F55"/>
    <w:rsid w:val="006F6190"/>
    <w:rsid w:val="00702884"/>
    <w:rsid w:val="007067D9"/>
    <w:rsid w:val="00720395"/>
    <w:rsid w:val="00727AEE"/>
    <w:rsid w:val="00751C78"/>
    <w:rsid w:val="00764953"/>
    <w:rsid w:val="007668A9"/>
    <w:rsid w:val="0077146D"/>
    <w:rsid w:val="00775066"/>
    <w:rsid w:val="00787646"/>
    <w:rsid w:val="00793727"/>
    <w:rsid w:val="0079536E"/>
    <w:rsid w:val="007957DF"/>
    <w:rsid w:val="00797EDC"/>
    <w:rsid w:val="007A4228"/>
    <w:rsid w:val="007A508B"/>
    <w:rsid w:val="007B5A4E"/>
    <w:rsid w:val="007D5EA0"/>
    <w:rsid w:val="007F2B6C"/>
    <w:rsid w:val="007F4A00"/>
    <w:rsid w:val="00823203"/>
    <w:rsid w:val="00832C6D"/>
    <w:rsid w:val="00835095"/>
    <w:rsid w:val="00840F7E"/>
    <w:rsid w:val="00843B22"/>
    <w:rsid w:val="00853B02"/>
    <w:rsid w:val="00861FCA"/>
    <w:rsid w:val="00871BBD"/>
    <w:rsid w:val="00872656"/>
    <w:rsid w:val="008A5CA6"/>
    <w:rsid w:val="008B0F22"/>
    <w:rsid w:val="008B3BC9"/>
    <w:rsid w:val="008B5D64"/>
    <w:rsid w:val="008C0295"/>
    <w:rsid w:val="008C0678"/>
    <w:rsid w:val="008C1629"/>
    <w:rsid w:val="008D119B"/>
    <w:rsid w:val="008E4182"/>
    <w:rsid w:val="0090148A"/>
    <w:rsid w:val="00902E54"/>
    <w:rsid w:val="00907F35"/>
    <w:rsid w:val="00911620"/>
    <w:rsid w:val="009239E6"/>
    <w:rsid w:val="009302EC"/>
    <w:rsid w:val="00940FA4"/>
    <w:rsid w:val="00950CA6"/>
    <w:rsid w:val="0095747E"/>
    <w:rsid w:val="00974E30"/>
    <w:rsid w:val="0099707F"/>
    <w:rsid w:val="009B5255"/>
    <w:rsid w:val="009B5ADD"/>
    <w:rsid w:val="009C2A93"/>
    <w:rsid w:val="009D209E"/>
    <w:rsid w:val="009D2387"/>
    <w:rsid w:val="009E12EE"/>
    <w:rsid w:val="009E3256"/>
    <w:rsid w:val="00A07095"/>
    <w:rsid w:val="00A10C92"/>
    <w:rsid w:val="00A168F9"/>
    <w:rsid w:val="00A30A67"/>
    <w:rsid w:val="00A312C9"/>
    <w:rsid w:val="00A31B51"/>
    <w:rsid w:val="00A37E0B"/>
    <w:rsid w:val="00A46418"/>
    <w:rsid w:val="00A51C56"/>
    <w:rsid w:val="00A56EBB"/>
    <w:rsid w:val="00A8477B"/>
    <w:rsid w:val="00AB5D86"/>
    <w:rsid w:val="00AB7478"/>
    <w:rsid w:val="00AC66E4"/>
    <w:rsid w:val="00AD08BD"/>
    <w:rsid w:val="00AD33C8"/>
    <w:rsid w:val="00AD56B3"/>
    <w:rsid w:val="00B0154C"/>
    <w:rsid w:val="00B11A67"/>
    <w:rsid w:val="00B210B1"/>
    <w:rsid w:val="00B34B6F"/>
    <w:rsid w:val="00B46B6A"/>
    <w:rsid w:val="00B6352C"/>
    <w:rsid w:val="00B83F2E"/>
    <w:rsid w:val="00B8413F"/>
    <w:rsid w:val="00B86666"/>
    <w:rsid w:val="00BD131F"/>
    <w:rsid w:val="00BD1C20"/>
    <w:rsid w:val="00BD3F17"/>
    <w:rsid w:val="00C02489"/>
    <w:rsid w:val="00C03F84"/>
    <w:rsid w:val="00C207C6"/>
    <w:rsid w:val="00C21D54"/>
    <w:rsid w:val="00C31A11"/>
    <w:rsid w:val="00C53B49"/>
    <w:rsid w:val="00C63F94"/>
    <w:rsid w:val="00C67B36"/>
    <w:rsid w:val="00CA6AC6"/>
    <w:rsid w:val="00CA7CAD"/>
    <w:rsid w:val="00CA7EFC"/>
    <w:rsid w:val="00CB01BA"/>
    <w:rsid w:val="00CC7188"/>
    <w:rsid w:val="00CD2E15"/>
    <w:rsid w:val="00CF22ED"/>
    <w:rsid w:val="00CF6678"/>
    <w:rsid w:val="00D039F6"/>
    <w:rsid w:val="00D240F5"/>
    <w:rsid w:val="00D513A3"/>
    <w:rsid w:val="00D7472E"/>
    <w:rsid w:val="00D803D1"/>
    <w:rsid w:val="00D8056D"/>
    <w:rsid w:val="00D87B0D"/>
    <w:rsid w:val="00D932D1"/>
    <w:rsid w:val="00D97779"/>
    <w:rsid w:val="00DA05EE"/>
    <w:rsid w:val="00DB4F8D"/>
    <w:rsid w:val="00DD779A"/>
    <w:rsid w:val="00E0683C"/>
    <w:rsid w:val="00E15C50"/>
    <w:rsid w:val="00E30299"/>
    <w:rsid w:val="00E419BC"/>
    <w:rsid w:val="00E45275"/>
    <w:rsid w:val="00E669CE"/>
    <w:rsid w:val="00E862FC"/>
    <w:rsid w:val="00E878D6"/>
    <w:rsid w:val="00E91BBE"/>
    <w:rsid w:val="00E965D6"/>
    <w:rsid w:val="00E975BF"/>
    <w:rsid w:val="00EA0477"/>
    <w:rsid w:val="00ED2545"/>
    <w:rsid w:val="00ED4067"/>
    <w:rsid w:val="00ED4BB9"/>
    <w:rsid w:val="00EE0028"/>
    <w:rsid w:val="00EE3172"/>
    <w:rsid w:val="00F00EB9"/>
    <w:rsid w:val="00F01952"/>
    <w:rsid w:val="00F163D5"/>
    <w:rsid w:val="00F33294"/>
    <w:rsid w:val="00F472F5"/>
    <w:rsid w:val="00F575AE"/>
    <w:rsid w:val="00F844B4"/>
    <w:rsid w:val="00F90157"/>
    <w:rsid w:val="00F9704A"/>
    <w:rsid w:val="00FA5C25"/>
    <w:rsid w:val="00FA724F"/>
    <w:rsid w:val="00FA7C09"/>
    <w:rsid w:val="00FB7ADB"/>
    <w:rsid w:val="00FC517E"/>
    <w:rsid w:val="00FD5911"/>
    <w:rsid w:val="00FE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3AF9A"/>
  <w14:defaultImageDpi w14:val="32767"/>
  <w15:chartTrackingRefBased/>
  <w15:docId w15:val="{6F8362D9-69E5-964B-921B-4A986123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08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17550"/>
    <w:rPr>
      <w:color w:val="0563C1" w:themeColor="hyperlink"/>
      <w:u w:val="single"/>
    </w:rPr>
  </w:style>
  <w:style w:type="paragraph" w:styleId="Header">
    <w:name w:val="header"/>
    <w:basedOn w:val="Normal"/>
    <w:link w:val="HeaderChar"/>
    <w:uiPriority w:val="99"/>
    <w:unhideWhenUsed/>
    <w:rsid w:val="00F01952"/>
    <w:pPr>
      <w:tabs>
        <w:tab w:val="center" w:pos="4536"/>
        <w:tab w:val="right" w:pos="9072"/>
      </w:tabs>
    </w:pPr>
  </w:style>
  <w:style w:type="character" w:customStyle="1" w:styleId="HeaderChar">
    <w:name w:val="Header Char"/>
    <w:basedOn w:val="DefaultParagraphFont"/>
    <w:link w:val="Header"/>
    <w:uiPriority w:val="99"/>
    <w:rsid w:val="00F01952"/>
  </w:style>
  <w:style w:type="paragraph" w:styleId="Footer">
    <w:name w:val="footer"/>
    <w:basedOn w:val="Normal"/>
    <w:link w:val="FooterChar"/>
    <w:uiPriority w:val="99"/>
    <w:unhideWhenUsed/>
    <w:rsid w:val="00F01952"/>
    <w:pPr>
      <w:tabs>
        <w:tab w:val="center" w:pos="4536"/>
        <w:tab w:val="right" w:pos="9072"/>
      </w:tabs>
    </w:pPr>
  </w:style>
  <w:style w:type="character" w:customStyle="1" w:styleId="FooterChar">
    <w:name w:val="Footer Char"/>
    <w:basedOn w:val="DefaultParagraphFont"/>
    <w:link w:val="Footer"/>
    <w:uiPriority w:val="99"/>
    <w:rsid w:val="00F01952"/>
  </w:style>
  <w:style w:type="paragraph" w:customStyle="1" w:styleId="Default">
    <w:name w:val="Default"/>
    <w:rsid w:val="00764953"/>
    <w:pPr>
      <w:autoSpaceDE w:val="0"/>
      <w:autoSpaceDN w:val="0"/>
      <w:adjustRightInd w:val="0"/>
    </w:pPr>
    <w:rPr>
      <w:rFonts w:ascii="ITC Officina Sans Std Book" w:hAnsi="ITC Officina Sans Std Book" w:cs="ITC Officina Sans Std Book"/>
      <w:color w:val="000000"/>
      <w:lang w:val="nl-NL"/>
    </w:rPr>
  </w:style>
  <w:style w:type="paragraph" w:customStyle="1" w:styleId="Pa0">
    <w:name w:val="Pa0"/>
    <w:basedOn w:val="Default"/>
    <w:next w:val="Default"/>
    <w:uiPriority w:val="99"/>
    <w:rsid w:val="00764953"/>
    <w:pPr>
      <w:spacing w:line="241" w:lineRule="atLeast"/>
    </w:pPr>
    <w:rPr>
      <w:rFonts w:cstheme="minorBidi"/>
      <w:color w:val="auto"/>
    </w:rPr>
  </w:style>
  <w:style w:type="character" w:customStyle="1" w:styleId="UnresolvedMention">
    <w:name w:val="Unresolved Mention"/>
    <w:basedOn w:val="DefaultParagraphFont"/>
    <w:uiPriority w:val="99"/>
    <w:semiHidden/>
    <w:unhideWhenUsed/>
    <w:rsid w:val="001D2AB1"/>
    <w:rPr>
      <w:color w:val="605E5C"/>
      <w:shd w:val="clear" w:color="auto" w:fill="E1DFDD"/>
    </w:rPr>
  </w:style>
  <w:style w:type="paragraph" w:styleId="ListParagraph">
    <w:name w:val="List Paragraph"/>
    <w:basedOn w:val="Normal"/>
    <w:uiPriority w:val="34"/>
    <w:qFormat/>
    <w:rsid w:val="00116CAE"/>
    <w:pPr>
      <w:ind w:left="720"/>
      <w:contextualSpacing/>
    </w:pPr>
  </w:style>
  <w:style w:type="paragraph" w:customStyle="1" w:styleId="Normal1">
    <w:name w:val="Normal1"/>
    <w:rsid w:val="006D575A"/>
    <w:pPr>
      <w:widowControl w:val="0"/>
      <w:spacing w:after="120"/>
    </w:pPr>
    <w:rPr>
      <w:rFonts w:ascii="Times New Roman" w:eastAsia="Times New Roman" w:hAnsi="Times New Roman" w:cs="Times New Roman"/>
      <w:color w:val="000000"/>
      <w:sz w:val="20"/>
      <w:szCs w:val="20"/>
    </w:rPr>
  </w:style>
  <w:style w:type="character" w:styleId="Emphasis">
    <w:name w:val="Emphasis"/>
    <w:basedOn w:val="DefaultParagraphFont"/>
    <w:uiPriority w:val="20"/>
    <w:qFormat/>
    <w:rsid w:val="001B7A03"/>
    <w:rPr>
      <w:i/>
      <w:iCs/>
    </w:rPr>
  </w:style>
  <w:style w:type="character" w:styleId="CommentReference">
    <w:name w:val="annotation reference"/>
    <w:basedOn w:val="DefaultParagraphFont"/>
    <w:uiPriority w:val="99"/>
    <w:unhideWhenUsed/>
    <w:qFormat/>
    <w:rsid w:val="003856C2"/>
    <w:rPr>
      <w:sz w:val="16"/>
      <w:szCs w:val="16"/>
    </w:rPr>
  </w:style>
  <w:style w:type="paragraph" w:styleId="CommentText">
    <w:name w:val="annotation text"/>
    <w:basedOn w:val="Normal"/>
    <w:link w:val="CommentTextChar"/>
    <w:uiPriority w:val="99"/>
    <w:unhideWhenUsed/>
    <w:qFormat/>
    <w:rsid w:val="003856C2"/>
    <w:rPr>
      <w:sz w:val="20"/>
      <w:szCs w:val="20"/>
    </w:rPr>
  </w:style>
  <w:style w:type="character" w:customStyle="1" w:styleId="CommentTextChar">
    <w:name w:val="Comment Text Char"/>
    <w:basedOn w:val="DefaultParagraphFont"/>
    <w:link w:val="CommentText"/>
    <w:uiPriority w:val="99"/>
    <w:qFormat/>
    <w:rsid w:val="003856C2"/>
    <w:rPr>
      <w:sz w:val="20"/>
      <w:szCs w:val="20"/>
    </w:rPr>
  </w:style>
  <w:style w:type="paragraph" w:styleId="CommentSubject">
    <w:name w:val="annotation subject"/>
    <w:basedOn w:val="CommentText"/>
    <w:next w:val="CommentText"/>
    <w:link w:val="CommentSubjectChar"/>
    <w:uiPriority w:val="99"/>
    <w:semiHidden/>
    <w:unhideWhenUsed/>
    <w:rsid w:val="003856C2"/>
    <w:rPr>
      <w:b/>
      <w:bCs/>
    </w:rPr>
  </w:style>
  <w:style w:type="character" w:customStyle="1" w:styleId="CommentSubjectChar">
    <w:name w:val="Comment Subject Char"/>
    <w:basedOn w:val="CommentTextChar"/>
    <w:link w:val="CommentSubject"/>
    <w:uiPriority w:val="99"/>
    <w:semiHidden/>
    <w:rsid w:val="003856C2"/>
    <w:rPr>
      <w:b/>
      <w:bCs/>
      <w:sz w:val="20"/>
      <w:szCs w:val="20"/>
    </w:rPr>
  </w:style>
  <w:style w:type="paragraph" w:styleId="BalloonText">
    <w:name w:val="Balloon Text"/>
    <w:basedOn w:val="Normal"/>
    <w:link w:val="BalloonTextChar"/>
    <w:uiPriority w:val="99"/>
    <w:semiHidden/>
    <w:unhideWhenUsed/>
    <w:rsid w:val="00385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6C2"/>
    <w:rPr>
      <w:rFonts w:ascii="Segoe UI" w:hAnsi="Segoe UI" w:cs="Segoe UI"/>
      <w:sz w:val="18"/>
      <w:szCs w:val="18"/>
    </w:rPr>
  </w:style>
  <w:style w:type="table" w:styleId="TableGrid">
    <w:name w:val="Table Grid"/>
    <w:basedOn w:val="TableNormal"/>
    <w:uiPriority w:val="39"/>
    <w:rsid w:val="00661EA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83F2E"/>
    <w:pPr>
      <w:jc w:val="center"/>
    </w:pPr>
    <w:rPr>
      <w:rFonts w:ascii="Arial" w:hAnsi="Arial" w:cs="Arial"/>
      <w:noProof/>
      <w:sz w:val="20"/>
    </w:rPr>
  </w:style>
  <w:style w:type="character" w:customStyle="1" w:styleId="EndNoteBibliographyTitleChar">
    <w:name w:val="EndNote Bibliography Title Char"/>
    <w:basedOn w:val="DefaultParagraphFont"/>
    <w:link w:val="EndNoteBibliographyTitle"/>
    <w:rsid w:val="00B83F2E"/>
    <w:rPr>
      <w:rFonts w:ascii="Arial" w:hAnsi="Arial" w:cs="Arial"/>
      <w:noProof/>
      <w:sz w:val="20"/>
    </w:rPr>
  </w:style>
  <w:style w:type="paragraph" w:customStyle="1" w:styleId="EndNoteBibliography">
    <w:name w:val="EndNote Bibliography"/>
    <w:basedOn w:val="Normal"/>
    <w:link w:val="EndNoteBibliographyChar"/>
    <w:rsid w:val="00B83F2E"/>
    <w:pPr>
      <w:jc w:val="both"/>
    </w:pPr>
    <w:rPr>
      <w:rFonts w:ascii="Arial" w:hAnsi="Arial" w:cs="Arial"/>
      <w:noProof/>
      <w:sz w:val="20"/>
    </w:rPr>
  </w:style>
  <w:style w:type="character" w:customStyle="1" w:styleId="EndNoteBibliographyChar">
    <w:name w:val="EndNote Bibliography Char"/>
    <w:basedOn w:val="DefaultParagraphFont"/>
    <w:link w:val="EndNoteBibliography"/>
    <w:rsid w:val="00B83F2E"/>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751/ES-05178-180208" TargetMode="External"/><Relationship Id="rId3" Type="http://schemas.openxmlformats.org/officeDocument/2006/relationships/settings" Target="settings.xml"/><Relationship Id="rId7" Type="http://schemas.openxmlformats.org/officeDocument/2006/relationships/hyperlink" Target="j.c.canizaresgaztelu@tudelft.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aanmelder.nl/resilience-conference-2020/session-governance-systems-and-institutional-arrangements-for-ste-resil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6208</Words>
  <Characters>35390</Characters>
  <Application>Microsoft Office Word</Application>
  <DocSecurity>0</DocSecurity>
  <Lines>294</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Comes</dc:creator>
  <cp:keywords/>
  <dc:description/>
  <cp:lastModifiedBy>Jose Cañizares Gaztelu</cp:lastModifiedBy>
  <cp:revision>12</cp:revision>
  <dcterms:created xsi:type="dcterms:W3CDTF">2020-04-17T14:18:00Z</dcterms:created>
  <dcterms:modified xsi:type="dcterms:W3CDTF">2020-11-10T10:21:00Z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14459-e220-4ae9-b339-4ebe6008cdd4_Enabled">
    <vt:lpwstr>true</vt:lpwstr>
  </property>
  <property fmtid="{D5CDD505-2E9C-101B-9397-08002B2CF9AE}" pid="3" name="MSIP_Label_b4114459-e220-4ae9-b339-4ebe6008cdd4_SetDate">
    <vt:lpwstr>2019-12-02T16:26:50Z</vt:lpwstr>
  </property>
  <property fmtid="{D5CDD505-2E9C-101B-9397-08002B2CF9AE}" pid="4" name="MSIP_Label_b4114459-e220-4ae9-b339-4ebe6008cdd4_Method">
    <vt:lpwstr>Standard</vt:lpwstr>
  </property>
  <property fmtid="{D5CDD505-2E9C-101B-9397-08002B2CF9AE}" pid="5" name="MSIP_Label_b4114459-e220-4ae9-b339-4ebe6008cdd4_Name">
    <vt:lpwstr>b4114459-e220-4ae9-b339-4ebe6008cdd4</vt:lpwstr>
  </property>
  <property fmtid="{D5CDD505-2E9C-101B-9397-08002B2CF9AE}" pid="6" name="MSIP_Label_b4114459-e220-4ae9-b339-4ebe6008cdd4_SiteId">
    <vt:lpwstr>8482881e-3699-4b3f-b135-cf4800bc1efb</vt:lpwstr>
  </property>
  <property fmtid="{D5CDD505-2E9C-101B-9397-08002B2CF9AE}" pid="7" name="MSIP_Label_b4114459-e220-4ae9-b339-4ebe6008cdd4_ActionId">
    <vt:lpwstr>f88f08a5-ae0b-4402-a12c-000040a9a733</vt:lpwstr>
  </property>
  <property fmtid="{D5CDD505-2E9C-101B-9397-08002B2CF9AE}" pid="8" name="MSIP_Label_b4114459-e220-4ae9-b339-4ebe6008cdd4_ContentBits">
    <vt:lpwstr>0</vt:lpwstr>
  </property>
</Properties>
</file>