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6441" w14:textId="279769EA" w:rsidR="00394116" w:rsidRPr="009E5AE6" w:rsidRDefault="00394116" w:rsidP="000662D9">
      <w:pPr>
        <w:pStyle w:val="NormalWeb"/>
        <w:shd w:val="clear" w:color="auto" w:fill="FFFFFF"/>
        <w:ind w:left="720" w:hanging="720"/>
        <w:rPr>
          <w:rFonts w:ascii="Adobe Garamond Pro" w:hAnsi="Adobe Garamond Pro"/>
          <w:b/>
          <w:bCs/>
          <w:sz w:val="21"/>
          <w:szCs w:val="21"/>
        </w:rPr>
      </w:pPr>
      <w:r w:rsidRPr="009E5AE6">
        <w:rPr>
          <w:rFonts w:ascii="Adobe Garamond Pro" w:hAnsi="Adobe Garamond Pro"/>
          <w:b/>
          <w:bCs/>
          <w:sz w:val="21"/>
          <w:szCs w:val="21"/>
        </w:rPr>
        <w:t xml:space="preserve">This list </w:t>
      </w:r>
      <w:r w:rsidR="00914463">
        <w:rPr>
          <w:rFonts w:ascii="Adobe Garamond Pro" w:hAnsi="Adobe Garamond Pro"/>
          <w:b/>
          <w:bCs/>
          <w:sz w:val="21"/>
          <w:szCs w:val="21"/>
        </w:rPr>
        <w:t xml:space="preserve">of references </w:t>
      </w:r>
      <w:r w:rsidRPr="009E5AE6">
        <w:rPr>
          <w:rFonts w:ascii="Adobe Garamond Pro" w:hAnsi="Adobe Garamond Pro"/>
          <w:b/>
          <w:bCs/>
          <w:sz w:val="21"/>
          <w:szCs w:val="21"/>
        </w:rPr>
        <w:t xml:space="preserve">is derived in part from my Article titled “Visibilizing Queer Futures Past: Ekphrasis and LGBTQIA+ Representation in the Philippine Archive, published in </w:t>
      </w:r>
      <w:r w:rsidRPr="009E5AE6">
        <w:rPr>
          <w:rFonts w:ascii="Adobe Garamond Pro" w:hAnsi="Adobe Garamond Pro"/>
          <w:b/>
          <w:bCs/>
          <w:i/>
          <w:iCs/>
          <w:sz w:val="21"/>
          <w:szCs w:val="21"/>
        </w:rPr>
        <w:t>VISUAL RESOURCES</w:t>
      </w:r>
      <w:r w:rsidRPr="009E5AE6">
        <w:rPr>
          <w:rFonts w:ascii="Adobe Garamond Pro" w:hAnsi="Adobe Garamond Pro"/>
          <w:b/>
          <w:bCs/>
          <w:sz w:val="21"/>
          <w:szCs w:val="21"/>
        </w:rPr>
        <w:t xml:space="preserve">, 25 September 2023, copyright by Routledge / Taylor &amp; Francis, United Kingdom, available online: </w:t>
      </w:r>
      <w:hyperlink r:id="rId4" w:history="1">
        <w:r w:rsidRPr="00A77003">
          <w:rPr>
            <w:rStyle w:val="Hyperlink"/>
            <w:rFonts w:ascii="Adobe Garamond Pro" w:hAnsi="Adobe Garamond Pro"/>
            <w:b/>
            <w:bCs/>
            <w:color w:val="10147E"/>
            <w:sz w:val="21"/>
            <w:szCs w:val="21"/>
          </w:rPr>
          <w:t>https://www.tandfonline.com/doi/10.1080/01973762.2023.2249719</w:t>
        </w:r>
      </w:hyperlink>
      <w:r w:rsidRPr="00A77003">
        <w:rPr>
          <w:rFonts w:ascii="Adobe Garamond Pro" w:hAnsi="Adobe Garamond Pro"/>
          <w:b/>
          <w:bCs/>
          <w:color w:val="10147E"/>
          <w:sz w:val="21"/>
          <w:szCs w:val="21"/>
        </w:rPr>
        <w:t>.</w:t>
      </w:r>
      <w:r w:rsidRPr="009E5AE6">
        <w:rPr>
          <w:rFonts w:ascii="Adobe Garamond Pro" w:hAnsi="Adobe Garamond Pro"/>
          <w:b/>
          <w:bCs/>
          <w:sz w:val="21"/>
          <w:szCs w:val="21"/>
        </w:rPr>
        <w:t xml:space="preserve">  </w:t>
      </w:r>
    </w:p>
    <w:p w14:paraId="773F1F70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38E90E9A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C7610B0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i/>
          <w:iCs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Agoncillo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Teodoro A.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History of the Filipino People</w:t>
      </w:r>
      <w:r w:rsidRPr="009E5AE6">
        <w:rPr>
          <w:rFonts w:ascii="Adobe Garamond Pro" w:hAnsi="Adobe Garamond Pro"/>
          <w:color w:val="333333"/>
          <w:sz w:val="20"/>
          <w:szCs w:val="20"/>
        </w:rPr>
        <w:t>, 8th ed. Quezon City; Garo Tech Books, 1990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4CF2CE02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5FE2020F" w14:textId="486B06DB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Alamares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Katherine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Up And Away: Gromyko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Semper’s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Artistic Journey, From Cabanatuan To The Moon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Lifestyle Asia</w:t>
      </w:r>
      <w:r>
        <w:rPr>
          <w:rFonts w:ascii="Adobe Garamond Pro" w:hAnsi="Adobe Garamond Pro"/>
          <w:color w:val="333333"/>
          <w:sz w:val="20"/>
          <w:szCs w:val="20"/>
        </w:rPr>
        <w:t xml:space="preserve"> (</w:t>
      </w:r>
      <w:r w:rsidRPr="009E5AE6">
        <w:rPr>
          <w:rFonts w:ascii="Adobe Garamond Pro" w:hAnsi="Adobe Garamond Pro"/>
          <w:color w:val="333333"/>
          <w:sz w:val="20"/>
          <w:szCs w:val="20"/>
        </w:rPr>
        <w:t>12 May 2021</w:t>
      </w:r>
      <w:r>
        <w:rPr>
          <w:rFonts w:ascii="Adobe Garamond Pro" w:hAnsi="Adobe Garamond Pro"/>
          <w:color w:val="333333"/>
          <w:sz w:val="20"/>
          <w:szCs w:val="20"/>
        </w:rPr>
        <w:t>).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5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https://lifestyleasia-onemega.com/gromyko-semper-artistic-journey-cabanatuan-moon/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456E9A0A" w14:textId="77777777" w:rsidR="00E06DDE" w:rsidRDefault="00E06DDE" w:rsidP="00E06DDE">
      <w:pPr>
        <w:pStyle w:val="first"/>
        <w:spacing w:before="0" w:beforeAutospacing="0" w:after="0" w:afterAutospacing="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</w:p>
    <w:p w14:paraId="0866D1FD" w14:textId="6E35DC42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Alcina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Francisco Ignacio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Historia de Las Islas E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Indios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Bisayas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[1668]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Manila: University of Santo Tomas Publishing House, 2002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1C9A2763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66A72BF6" w14:textId="7C137E73" w:rsidR="00E06DDE" w:rsidRPr="000662D9" w:rsidRDefault="00E06DDE" w:rsidP="00E06DDE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333333"/>
          <w:sz w:val="20"/>
          <w:szCs w:val="20"/>
          <w:u w:val="none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 xml:space="preserve">An Insurgent Spy Disguised as a Woman Captured near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Mariquina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by the 24th Infantry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Manila Times</w:t>
      </w:r>
      <w:r>
        <w:rPr>
          <w:rFonts w:ascii="Adobe Garamond Pro" w:hAnsi="Adobe Garamond Pro"/>
          <w:color w:val="333333"/>
          <w:sz w:val="20"/>
          <w:szCs w:val="20"/>
        </w:rPr>
        <w:t xml:space="preserve"> (</w:t>
      </w:r>
      <w:r w:rsidRPr="009E5AE6">
        <w:rPr>
          <w:rFonts w:ascii="Adobe Garamond Pro" w:hAnsi="Adobe Garamond Pro"/>
          <w:color w:val="333333"/>
          <w:sz w:val="20"/>
          <w:szCs w:val="20"/>
        </w:rPr>
        <w:t>6 August 1899</w:t>
      </w:r>
      <w:r>
        <w:rPr>
          <w:rFonts w:ascii="Adobe Garamond Pro" w:hAnsi="Adobe Garamond Pro"/>
          <w:color w:val="333333"/>
          <w:sz w:val="20"/>
          <w:szCs w:val="20"/>
        </w:rPr>
        <w:t>).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Microfiche, Microform and Digital Resources Center</w:t>
      </w:r>
      <w:r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Adobe Garamond Pro" w:hAnsi="Adobe Garamond Pro"/>
          <w:color w:val="333333"/>
          <w:sz w:val="20"/>
          <w:szCs w:val="20"/>
        </w:rPr>
        <w:t>Old Rizal Library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A</w:t>
      </w:r>
      <w:r>
        <w:rPr>
          <w:rFonts w:ascii="Adobe Garamond Pro" w:hAnsi="Adobe Garamond Pro"/>
          <w:color w:val="333333"/>
          <w:sz w:val="20"/>
          <w:szCs w:val="20"/>
        </w:rPr>
        <w:t xml:space="preserve">teneo de </w:t>
      </w:r>
      <w:r w:rsidRPr="009E5AE6">
        <w:rPr>
          <w:rFonts w:ascii="Adobe Garamond Pro" w:hAnsi="Adobe Garamond Pro"/>
          <w:color w:val="333333"/>
          <w:sz w:val="20"/>
          <w:szCs w:val="20"/>
        </w:rPr>
        <w:t>M</w:t>
      </w:r>
      <w:r>
        <w:rPr>
          <w:rFonts w:ascii="Adobe Garamond Pro" w:hAnsi="Adobe Garamond Pro"/>
          <w:color w:val="333333"/>
          <w:sz w:val="20"/>
          <w:szCs w:val="20"/>
        </w:rPr>
        <w:t xml:space="preserve">anila </w:t>
      </w:r>
      <w:r w:rsidRPr="009E5AE6">
        <w:rPr>
          <w:rFonts w:ascii="Adobe Garamond Pro" w:hAnsi="Adobe Garamond Pro"/>
          <w:color w:val="333333"/>
          <w:sz w:val="20"/>
          <w:szCs w:val="20"/>
        </w:rPr>
        <w:t>U</w:t>
      </w:r>
      <w:r>
        <w:rPr>
          <w:rFonts w:ascii="Adobe Garamond Pro" w:hAnsi="Adobe Garamond Pro"/>
          <w:color w:val="333333"/>
          <w:sz w:val="20"/>
          <w:szCs w:val="20"/>
        </w:rPr>
        <w:t>niversity,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Quezon City.</w:t>
      </w:r>
    </w:p>
    <w:p w14:paraId="28EE514F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</w:p>
    <w:p w14:paraId="1EBA049D" w14:textId="496243B3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Aronjekar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Anjali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Without a Trace: Sexuality and the Colonial Archive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Journal of the History of Sexuality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14, </w:t>
      </w:r>
      <w:r>
        <w:rPr>
          <w:rFonts w:ascii="Adobe Garamond Pro" w:hAnsi="Adobe Garamond Pro"/>
          <w:color w:val="333333"/>
          <w:sz w:val="20"/>
          <w:szCs w:val="20"/>
        </w:rPr>
        <w:t xml:space="preserve">no. </w:t>
      </w:r>
      <w:r w:rsidRPr="009E5AE6">
        <w:rPr>
          <w:rFonts w:ascii="Adobe Garamond Pro" w:hAnsi="Adobe Garamond Pro"/>
          <w:color w:val="333333"/>
          <w:sz w:val="20"/>
          <w:szCs w:val="20"/>
        </w:rPr>
        <w:t>1 (2005),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6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https://doi.org/10.1353/sex.2006.0001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7C75EAAA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D549A7D" w14:textId="3CCC5177" w:rsidR="00E06DDE" w:rsidRDefault="000662D9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Behdad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Ali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Belated Travelers: Orientalism in the Age of Colonial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Dissolution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Durham and London: Duke University Press,</w:t>
      </w:r>
      <w:r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1994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53E1FC76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1F9F1E14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Bendicto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Bobby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The Haunting of Gay Manila: Global Space-Time and the Specter of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Kabaklaan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GLQ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14,</w:t>
      </w:r>
      <w:r>
        <w:rPr>
          <w:rFonts w:ascii="Adobe Garamond Pro" w:hAnsi="Adobe Garamond Pro"/>
          <w:color w:val="333333"/>
          <w:sz w:val="20"/>
          <w:szCs w:val="20"/>
        </w:rPr>
        <w:t xml:space="preserve"> nos.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2–3 (2008): 317–38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7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https://doi.org/10.1215/10642684-2007-035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11C6F77B" w14:textId="77777777" w:rsidR="000662D9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7CD36A99" w14:textId="095EB809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Berardi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Franco “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Bifo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”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After The Future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Edinburgh and Oakland: AK Books, 2011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0F6CC216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56AC5331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Berardi, Franco “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Bifo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”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Futurability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: The Age of Impotence and the Horizon of Possibility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London and New York: Verso, 2019.</w:t>
      </w:r>
    </w:p>
    <w:p w14:paraId="1BA7F4A0" w14:textId="77777777" w:rsidR="000662D9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7C07B96A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Bilderbeke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Henrick van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Belägerung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der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Statt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Ostende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: Journal,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Tagregister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und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eigentliche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beschreibung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aller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gedenckwurdigsten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Sachen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handlungen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und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geschichten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(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s.n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., 1604–5</w:t>
      </w:r>
      <w:r>
        <w:rPr>
          <w:rFonts w:ascii="Adobe Garamond Pro" w:hAnsi="Adobe Garamond Pro"/>
          <w:color w:val="333333"/>
          <w:sz w:val="20"/>
          <w:szCs w:val="20"/>
        </w:rPr>
        <w:t>).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8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https://books.google.com.ph/books?id=v61YAAAAcAAJ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07986282" w14:textId="77777777" w:rsidR="00E06DDE" w:rsidRPr="009E5AE6" w:rsidRDefault="00E06DDE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7DC1F268" w14:textId="2AEEF763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Blasius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Mark and Richard T. Chu, eds.,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More Tomboy, More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Bakla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Than We Admit: Insights into Sexual and Gender Diversity in Philippine Culture, History, and Politics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Quezon City: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Vibal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Foundation, 2021.</w:t>
      </w:r>
    </w:p>
    <w:p w14:paraId="2E9F8AA8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39972101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Boxer, Charles R. A Late Sixteenth Century Manila MS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Journal of the Royal Asiatic Society of Great Britain and Ireland,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 (1950): 37–49.</w:t>
      </w:r>
    </w:p>
    <w:p w14:paraId="715CEE76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6D2AF9D" w14:textId="1CB7A244" w:rsidR="000662D9" w:rsidRP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10147E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B</w:t>
      </w:r>
      <w:r>
        <w:rPr>
          <w:rFonts w:ascii="Adobe Garamond Pro" w:hAnsi="Adobe Garamond Pro"/>
          <w:color w:val="333333"/>
          <w:sz w:val="20"/>
          <w:szCs w:val="20"/>
        </w:rPr>
        <w:t>r</w:t>
      </w:r>
      <w:r w:rsidRPr="009E5AE6">
        <w:rPr>
          <w:rFonts w:ascii="Adobe Garamond Pro" w:hAnsi="Adobe Garamond Pro"/>
          <w:color w:val="333333"/>
          <w:sz w:val="20"/>
          <w:szCs w:val="20"/>
        </w:rPr>
        <w:t>ewer, Carolyn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Baylan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Asog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Transvestism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and Sodomy: Gender, Sexuality and the Sacred in Early Colonial Philippines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Intersections: Gender, History and Culture in the Asian Context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2 (May 1999)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9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http://intersections.anu.edu.au/issue2/carolyn2.html</w:t>
        </w:r>
      </w:hyperlink>
    </w:p>
    <w:p w14:paraId="1A7EE28A" w14:textId="77777777" w:rsidR="00394116" w:rsidRPr="009E5AE6" w:rsidRDefault="00394116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F06B88B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Carr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David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Review of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Futures Past: On the Semantics of Historical Time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by R.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Koselleck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&amp; K. Tribe,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History and Theory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26, no. 2 (1987)</w:t>
      </w:r>
      <w:r>
        <w:rPr>
          <w:rFonts w:ascii="Adobe Garamond Pro" w:hAnsi="Adobe Garamond Pro"/>
          <w:color w:val="333333"/>
          <w:sz w:val="20"/>
          <w:szCs w:val="20"/>
        </w:rPr>
        <w:t xml:space="preserve">: </w:t>
      </w:r>
      <w:r w:rsidRPr="009E5AE6">
        <w:rPr>
          <w:rFonts w:ascii="Adobe Garamond Pro" w:hAnsi="Adobe Garamond Pro"/>
          <w:color w:val="333333"/>
          <w:sz w:val="20"/>
          <w:szCs w:val="20"/>
        </w:rPr>
        <w:t>198,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0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https://doi.org/10.2307/2505122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 xml:space="preserve">. </w:t>
      </w:r>
    </w:p>
    <w:p w14:paraId="3FE297F2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13C3C8E6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Caserio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Adobe Garamond Pro" w:hAnsi="Adobe Garamond Pro"/>
          <w:color w:val="333333"/>
          <w:sz w:val="20"/>
          <w:szCs w:val="20"/>
        </w:rPr>
        <w:t>Robert L.</w:t>
      </w:r>
      <w:r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Adobe Garamond Pro" w:hAnsi="Adobe Garamond Pro"/>
          <w:color w:val="333333"/>
          <w:sz w:val="20"/>
          <w:szCs w:val="20"/>
        </w:rPr>
        <w:t>et al., The Anti-Social Thesis in Queer Theory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PMLA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121, 3 (May 2006): 819–28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1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https://www.jstor.org/stable/25486357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6F5CF291" w14:textId="77777777" w:rsidR="000662D9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5BD29BF6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Castañeda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Jan Gabriel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Grindring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the Self: Young Filipino Gay Men’s Exploration of Sexual Identity Through a Geo-Social Networking Application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Philippine Journal of Psychology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48, no. 1 (2015)</w:t>
      </w:r>
      <w:r>
        <w:rPr>
          <w:rFonts w:ascii="Adobe Garamond Pro" w:hAnsi="Adobe Garamond Pro"/>
          <w:color w:val="333333"/>
          <w:sz w:val="20"/>
          <w:szCs w:val="20"/>
        </w:rPr>
        <w:t>: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29–</w:t>
      </w:r>
      <w:r w:rsidRPr="009E5AE6">
        <w:rPr>
          <w:rFonts w:ascii="Adobe Garamond Pro" w:hAnsi="Adobe Garamond Pro"/>
          <w:color w:val="333333"/>
          <w:sz w:val="20"/>
          <w:szCs w:val="20"/>
        </w:rPr>
        <w:lastRenderedPageBreak/>
        <w:t>58,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2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https://www.academia.edu/14333544/Grindring_the_Self_Young_Filipino_Gay_Mens_Exploration_of_Sexual_Identity_Through_a_Geo_Social_Networking_Application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216A9A10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6E842792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Chirino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Pedro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Rela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>c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ion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las Islas Filipinas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Manila: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Imprenta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D. Esteban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Balbas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[1604] 1890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hyperlink r:id="rId13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https://archive.org/details/relaciondelasis00chirgoog/page/n80/mode/2up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5EEF0F16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1422B35C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Chirino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Pedro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Relations in the Philippine islands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>
        <w:rPr>
          <w:rFonts w:ascii="Adobe Garamond Pro" w:hAnsi="Adobe Garamond Pro"/>
          <w:color w:val="333333"/>
          <w:sz w:val="20"/>
          <w:szCs w:val="20"/>
        </w:rPr>
        <w:t>I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n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Philippine Islands,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vol. 12, 260–61</w:t>
      </w:r>
      <w:r>
        <w:rPr>
          <w:rFonts w:ascii="Adobe Garamond Pro" w:hAnsi="Adobe Garamond Pro"/>
          <w:color w:val="333333"/>
          <w:sz w:val="20"/>
          <w:szCs w:val="20"/>
        </w:rPr>
        <w:t xml:space="preserve">. Edited and translated by Emma H.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Blair and </w:t>
      </w:r>
      <w:r>
        <w:rPr>
          <w:rFonts w:ascii="Adobe Garamond Pro" w:hAnsi="Adobe Garamond Pro"/>
          <w:color w:val="333333"/>
          <w:sz w:val="20"/>
          <w:szCs w:val="20"/>
        </w:rPr>
        <w:t xml:space="preserve">James A. </w:t>
      </w:r>
      <w:r w:rsidRPr="009E5AE6">
        <w:rPr>
          <w:rFonts w:ascii="Adobe Garamond Pro" w:hAnsi="Adobe Garamond Pro"/>
          <w:color w:val="333333"/>
          <w:sz w:val="20"/>
          <w:szCs w:val="20"/>
        </w:rPr>
        <w:t>Robertson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0662D9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Cleveland: The Arthur H. Clark Co., 191</w:t>
      </w:r>
      <w:r>
        <w:rPr>
          <w:rFonts w:ascii="Adobe Garamond Pro" w:hAnsi="Adobe Garamond Pro"/>
          <w:color w:val="333333"/>
          <w:sz w:val="20"/>
          <w:szCs w:val="20"/>
        </w:rPr>
        <w:t>1.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4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https://quod.lib.umich.edu/p/philamer/afk2830.0001.012/264?q1=magdalen&amp;view=text&amp;size=100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 xml:space="preserve">. </w:t>
      </w:r>
    </w:p>
    <w:p w14:paraId="4F42BA8D" w14:textId="77777777" w:rsidR="000662D9" w:rsidRPr="009E5AE6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4DFBA557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Combés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Francisco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Historia de Mindanao y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Joló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[1668]</w:t>
      </w:r>
      <w:r>
        <w:rPr>
          <w:rFonts w:ascii="Adobe Garamond Pro" w:hAnsi="Adobe Garamond Pro"/>
          <w:color w:val="333333"/>
          <w:sz w:val="20"/>
          <w:szCs w:val="20"/>
        </w:rPr>
        <w:t>. Edited by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Wenceslao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E.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Retana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and Pablo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Pastells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 xml:space="preserve">. Madrid: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Viuda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M.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Minuesa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los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Rios, 1897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5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https://archive.org/details/aqn8199.0001.001.umich.edu/page/514/mode/2up</w:t>
        </w:r>
      </w:hyperlink>
    </w:p>
    <w:p w14:paraId="31811C4E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84FF4E3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Combés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color w:val="333333"/>
          <w:sz w:val="20"/>
          <w:szCs w:val="20"/>
        </w:rPr>
        <w:t>Francisco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Natives of the Southern Islands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>
        <w:rPr>
          <w:rFonts w:ascii="Adobe Garamond Pro" w:hAnsi="Adobe Garamond Pro"/>
          <w:color w:val="333333"/>
          <w:sz w:val="20"/>
          <w:szCs w:val="20"/>
        </w:rPr>
        <w:t xml:space="preserve">In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Philippine Islands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vol. 40, 160–63</w:t>
      </w:r>
      <w:r>
        <w:rPr>
          <w:rFonts w:ascii="Adobe Garamond Pro" w:hAnsi="Adobe Garamond Pro"/>
          <w:color w:val="333333"/>
          <w:sz w:val="20"/>
          <w:szCs w:val="20"/>
        </w:rPr>
        <w:t>. T</w:t>
      </w:r>
      <w:r w:rsidRPr="009E5AE6">
        <w:rPr>
          <w:rFonts w:ascii="Adobe Garamond Pro" w:hAnsi="Adobe Garamond Pro"/>
          <w:color w:val="333333"/>
          <w:sz w:val="20"/>
          <w:szCs w:val="20"/>
        </w:rPr>
        <w:t>rans</w:t>
      </w:r>
      <w:r>
        <w:rPr>
          <w:rFonts w:ascii="Adobe Garamond Pro" w:hAnsi="Adobe Garamond Pro"/>
          <w:color w:val="333333"/>
          <w:sz w:val="20"/>
          <w:szCs w:val="20"/>
        </w:rPr>
        <w:t>lated by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Emma Blair and Alexander Robertson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Cleveland: The Arthur H. Clark Co., 191</w:t>
      </w:r>
      <w:r>
        <w:rPr>
          <w:rFonts w:ascii="Adobe Garamond Pro" w:hAnsi="Adobe Garamond Pro"/>
          <w:color w:val="333333"/>
          <w:sz w:val="20"/>
          <w:szCs w:val="20"/>
        </w:rPr>
        <w:t>1.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6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https://quod.lib.umich.edu/p/philamer/afk2830.0001.040/164?q1=tuto&amp;view=image&amp;size=100</w:t>
        </w:r>
      </w:hyperlink>
    </w:p>
    <w:p w14:paraId="3806C300" w14:textId="77777777" w:rsidR="000662D9" w:rsidRDefault="000662D9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2C956616" w14:textId="575D7964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Conquergood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Dwight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Performance Studies: Interventions and Radical Research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Drama Review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46,</w:t>
      </w:r>
      <w:r>
        <w:rPr>
          <w:rFonts w:ascii="Adobe Garamond Pro" w:hAnsi="Adobe Garamond Pro"/>
          <w:color w:val="333333"/>
          <w:sz w:val="20"/>
          <w:szCs w:val="20"/>
        </w:rPr>
        <w:t xml:space="preserve"> no.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2 (Summer 2002): 147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hyperlink r:id="rId17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https://www.jstor.org/stable/1146965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390D44BC" w14:textId="77777777" w:rsidR="000662D9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4D12AA1A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Cook, Terry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Evidence, Memory, Identity, and Community: Four Shifting Archival Paradigms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Archival Science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13 (2013): 95–120,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8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https://doi.org/10.1007/s10502-012-9180-7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40B41CBC" w14:textId="77777777" w:rsidR="000662D9" w:rsidRDefault="000662D9" w:rsidP="000662D9">
      <w:pPr>
        <w:rPr>
          <w:rFonts w:ascii="Adobe Garamond Pro" w:hAnsi="Adobe Garamond Pro" w:cs="Times New Roman"/>
          <w:color w:val="333333"/>
          <w:sz w:val="20"/>
          <w:szCs w:val="20"/>
        </w:rPr>
      </w:pPr>
    </w:p>
    <w:p w14:paraId="696AFCD3" w14:textId="73D8013B" w:rsidR="000662D9" w:rsidRDefault="000662D9" w:rsidP="000662D9">
      <w:pPr>
        <w:ind w:left="720" w:hanging="720"/>
        <w:rPr>
          <w:rFonts w:ascii="Adobe Garamond Pro" w:hAnsi="Adobe Garamond Pro" w:cs="Times New Roman"/>
          <w:color w:val="333333"/>
          <w:sz w:val="20"/>
          <w:szCs w:val="20"/>
        </w:rPr>
      </w:pPr>
      <w:r w:rsidRPr="009E5AE6">
        <w:rPr>
          <w:rFonts w:ascii="Adobe Garamond Pro" w:hAnsi="Adobe Garamond Pro" w:cs="Times New Roman"/>
          <w:color w:val="333333"/>
          <w:sz w:val="20"/>
          <w:szCs w:val="20"/>
        </w:rPr>
        <w:t>Cornelio,</w:t>
      </w:r>
      <w:r>
        <w:rPr>
          <w:rFonts w:ascii="Adobe Garamond Pro" w:hAnsi="Adobe Garamond Pro" w:cs="Times New Roman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 w:cs="Times New Roman"/>
          <w:color w:val="333333"/>
          <w:sz w:val="20"/>
          <w:szCs w:val="20"/>
        </w:rPr>
        <w:t>Mateo Cruz</w:t>
      </w:r>
      <w:r>
        <w:rPr>
          <w:rFonts w:ascii="Adobe Garamond Pro" w:hAnsi="Adobe Garamond Pro" w:cs="Times New Roman"/>
          <w:color w:val="333333"/>
          <w:sz w:val="20"/>
          <w:szCs w:val="20"/>
        </w:rPr>
        <w:t>.</w:t>
      </w:r>
      <w:r w:rsidRPr="009E5AE6">
        <w:rPr>
          <w:rFonts w:ascii="Adobe Garamond Pro" w:hAnsi="Adobe Garamond Pro" w:cs="Times New Roman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 w:cs="Times New Roman"/>
          <w:color w:val="333333"/>
          <w:sz w:val="20"/>
          <w:szCs w:val="20"/>
        </w:rPr>
        <w:t>Sonahan</w:t>
      </w:r>
      <w:proofErr w:type="spellEnd"/>
      <w:r>
        <w:rPr>
          <w:rFonts w:ascii="Adobe Garamond Pro" w:hAnsi="Adobe Garamond Pro" w:cs="Times New Roman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 w:cs="Times New Roman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 w:cs="Times New Roman"/>
          <w:i/>
          <w:iCs/>
          <w:color w:val="333333"/>
          <w:sz w:val="20"/>
          <w:szCs w:val="20"/>
        </w:rPr>
        <w:t>Liwayway</w:t>
      </w:r>
      <w:proofErr w:type="spellEnd"/>
      <w:r>
        <w:rPr>
          <w:rFonts w:ascii="Adobe Garamond Pro" w:hAnsi="Adobe Garamond Pro" w:cs="Times New Roman"/>
          <w:color w:val="333333"/>
          <w:sz w:val="20"/>
          <w:szCs w:val="20"/>
        </w:rPr>
        <w:t xml:space="preserve"> (</w:t>
      </w:r>
      <w:r w:rsidRPr="009E5AE6">
        <w:rPr>
          <w:rFonts w:ascii="Adobe Garamond Pro" w:hAnsi="Adobe Garamond Pro" w:cs="Times New Roman"/>
          <w:color w:val="333333"/>
          <w:sz w:val="20"/>
          <w:szCs w:val="20"/>
        </w:rPr>
        <w:t>28 May 1945</w:t>
      </w:r>
      <w:r>
        <w:rPr>
          <w:rFonts w:ascii="Adobe Garamond Pro" w:hAnsi="Adobe Garamond Pro" w:cs="Times New Roman"/>
          <w:color w:val="333333"/>
          <w:sz w:val="20"/>
          <w:szCs w:val="20"/>
        </w:rPr>
        <w:t>).</w:t>
      </w:r>
      <w:r w:rsidRPr="009E5AE6">
        <w:rPr>
          <w:rFonts w:ascii="Adobe Garamond Pro" w:hAnsi="Adobe Garamond Pro" w:cs="Times New Roman"/>
          <w:color w:val="333333"/>
          <w:sz w:val="20"/>
          <w:szCs w:val="20"/>
        </w:rPr>
        <w:t xml:space="preserve"> Micro-fiche, Main Library: Media Services, University of the Philippines Diliman, MCF 6753-6756 (v. 1 April 1945-O 1946).</w:t>
      </w:r>
    </w:p>
    <w:p w14:paraId="1F526869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BADFE28" w14:textId="72E6E7AA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Cua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-</w:t>
      </w:r>
      <w:r>
        <w:rPr>
          <w:rFonts w:ascii="Adobe Garamond Pro" w:hAnsi="Adobe Garamond Pro"/>
          <w:color w:val="333333"/>
          <w:sz w:val="20"/>
          <w:szCs w:val="20"/>
        </w:rPr>
        <w:t>L</w:t>
      </w:r>
      <w:r w:rsidRPr="009E5AE6">
        <w:rPr>
          <w:rFonts w:ascii="Adobe Garamond Pro" w:hAnsi="Adobe Garamond Pro"/>
          <w:color w:val="333333"/>
          <w:sz w:val="20"/>
          <w:szCs w:val="20"/>
        </w:rPr>
        <w:t>im, Bliss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Queer Aswang Transmedia: Folklore as Camp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Kritika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Kultura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24 (2015): 178–225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19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https://escholarship.org/uc/item/3mj1k076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 xml:space="preserve">. </w:t>
      </w:r>
    </w:p>
    <w:p w14:paraId="7B8E5954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36CF0F3D" w14:textId="322C6BE2" w:rsidR="000662D9" w:rsidRDefault="000662D9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Derrida,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Jacques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Archive Fever: A Freudian Impression</w:t>
      </w:r>
      <w:r>
        <w:rPr>
          <w:rFonts w:ascii="Adobe Garamond Pro" w:hAnsi="Adobe Garamond Pro"/>
          <w:color w:val="333333"/>
          <w:sz w:val="20"/>
          <w:szCs w:val="20"/>
        </w:rPr>
        <w:t>. T</w:t>
      </w:r>
      <w:r w:rsidRPr="009E5AE6">
        <w:rPr>
          <w:rFonts w:ascii="Adobe Garamond Pro" w:hAnsi="Adobe Garamond Pro"/>
          <w:color w:val="333333"/>
          <w:sz w:val="20"/>
          <w:szCs w:val="20"/>
        </w:rPr>
        <w:t>rans</w:t>
      </w:r>
      <w:r>
        <w:rPr>
          <w:rFonts w:ascii="Adobe Garamond Pro" w:hAnsi="Adobe Garamond Pro"/>
          <w:color w:val="333333"/>
          <w:sz w:val="20"/>
          <w:szCs w:val="20"/>
        </w:rPr>
        <w:t>lated by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Eric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Prenowitz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Chicago and London: The University of Chicago Press</w:t>
      </w:r>
      <w:r>
        <w:rPr>
          <w:rFonts w:ascii="Adobe Garamond Pro" w:hAnsi="Adobe Garamond Pro"/>
          <w:color w:val="333333"/>
          <w:sz w:val="20"/>
          <w:szCs w:val="20"/>
        </w:rPr>
        <w:t>, 1995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. </w:t>
      </w:r>
    </w:p>
    <w:p w14:paraId="377C3D2A" w14:textId="77777777" w:rsidR="000662D9" w:rsidRPr="009E5AE6" w:rsidRDefault="000662D9" w:rsidP="000662D9">
      <w:pPr>
        <w:ind w:left="720" w:hanging="720"/>
        <w:rPr>
          <w:rFonts w:ascii="Adobe Garamond Pro" w:hAnsi="Adobe Garamond Pro" w:cs="Times New Roman"/>
          <w:color w:val="333333"/>
          <w:sz w:val="20"/>
          <w:szCs w:val="20"/>
        </w:rPr>
      </w:pPr>
    </w:p>
    <w:p w14:paraId="344356DD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Diaz, Robert G. Queer Undoing in Markova: Comfort Gay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Women &amp; Performance: A Journal of Feminist Theory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17, no. 1 (2017)</w:t>
      </w:r>
      <w:r>
        <w:rPr>
          <w:rFonts w:ascii="Adobe Garamond Pro" w:hAnsi="Adobe Garamond Pro"/>
          <w:color w:val="333333"/>
          <w:sz w:val="20"/>
          <w:szCs w:val="20"/>
        </w:rPr>
        <w:t xml:space="preserve">: </w:t>
      </w:r>
      <w:r w:rsidRPr="009E5AE6">
        <w:rPr>
          <w:rFonts w:ascii="Adobe Garamond Pro" w:hAnsi="Adobe Garamond Pro"/>
          <w:color w:val="333333"/>
          <w:sz w:val="20"/>
          <w:szCs w:val="20"/>
        </w:rPr>
        <w:t>150–61.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0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https://doi.org/10.1080/07407700701246448</w:t>
        </w:r>
      </w:hyperlink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166837A0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328FE2B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Docot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Dada</w:t>
      </w:r>
      <w:r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Stephen B.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Acabado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and Clement C.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Camposano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eds.,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Plural Entanglements: Philippine Studies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Quezon City: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Bughaw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Press, 202</w:t>
      </w:r>
      <w:r>
        <w:rPr>
          <w:rFonts w:ascii="Adobe Garamond Pro" w:hAnsi="Adobe Garamond Pro"/>
          <w:color w:val="333333"/>
          <w:sz w:val="20"/>
          <w:szCs w:val="20"/>
        </w:rPr>
        <w:t>3</w:t>
      </w:r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06AB9F1A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80A087E" w14:textId="10C739A9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Donoso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Isaac ed.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Boxer Codex: A Modern Spanish Transcription and English Translation of 16th-Century Exploration Accounts of East and Southeast Asia and the Pacific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Quezon City: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Vibal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Foundation, 2022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421D61F7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</w:p>
    <w:p w14:paraId="784FC103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Drucker, Peter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Warped: Gay Normality and Queer Anti-Capitalism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Leiden: Brill, 2015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39B60CCD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</w:p>
    <w:p w14:paraId="57AFBBCF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Duranti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Luciana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Reliability and Authenticity: The Concepts and Their Implications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Archivaria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39 (Spring 1995): 5–10,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1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https://archivaria.ca/index.php/archivaria/article/view/12063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2199193A" w14:textId="77777777" w:rsidR="000662D9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096983F7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Fisher,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Mark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Ghost of My Life: Writings on Depression, Hauntology, and Lost Futures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Winchester and Washington: Zero Books, 2011.</w:t>
      </w:r>
    </w:p>
    <w:p w14:paraId="0F29AFD8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41CF569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Francisco,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Carlos “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Botong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”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Pag-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unlad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ng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Panggagamot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Pilipinas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[The Progress of Medicine in the Philippines], Panel 1 of 4, 9.6 × 9.1 feet, oil on canvas, 1953,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2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https://www.nationalmuseum.gov.ph/wp-content/uploads/2021/08/5-4.jpg</w:t>
        </w:r>
      </w:hyperlink>
    </w:p>
    <w:p w14:paraId="62B3AA4C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</w:p>
    <w:p w14:paraId="5ED0AAA9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 xml:space="preserve">Garcia, J. Neil C. “Lolo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Pulong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,”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Budhi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: A Journal of Ideas and Culture</w:t>
      </w:r>
      <w:r w:rsidRPr="009E5AE6">
        <w:rPr>
          <w:rFonts w:ascii="Adobe Garamond Pro" w:hAnsi="Adobe Garamond Pro"/>
          <w:color w:val="333333"/>
          <w:sz w:val="20"/>
          <w:szCs w:val="20"/>
        </w:rPr>
        <w:t>, 4, no. 1</w:t>
      </w:r>
      <w:r>
        <w:rPr>
          <w:rFonts w:ascii="Adobe Garamond Pro" w:hAnsi="Adobe Garamond Pro"/>
          <w:color w:val="333333"/>
          <w:sz w:val="20"/>
          <w:szCs w:val="20"/>
        </w:rPr>
        <w:t xml:space="preserve"> (2000):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169–83,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3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https://journals.ateneo.edu/index.php/budhi/article/viewFile/624/621</w:t>
        </w:r>
      </w:hyperlink>
    </w:p>
    <w:p w14:paraId="6525F0C7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892AC4D" w14:textId="2A1E3D64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lastRenderedPageBreak/>
        <w:t>Garcia,</w:t>
      </w:r>
      <w:r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J. Neil </w:t>
      </w:r>
      <w:r>
        <w:rPr>
          <w:rFonts w:ascii="Adobe Garamond Pro" w:hAnsi="Adobe Garamond Pro"/>
          <w:color w:val="333333"/>
          <w:sz w:val="20"/>
          <w:szCs w:val="20"/>
        </w:rPr>
        <w:t xml:space="preserve">C. </w:t>
      </w:r>
      <w:r w:rsidRPr="009E5AE6">
        <w:rPr>
          <w:rFonts w:ascii="Adobe Garamond Pro" w:hAnsi="Adobe Garamond Pro"/>
          <w:color w:val="333333"/>
          <w:sz w:val="20"/>
          <w:szCs w:val="20"/>
        </w:rPr>
        <w:t>Philippine Gay Culture: An Update and a Postcolonial Autocritique</w:t>
      </w:r>
      <w:r>
        <w:rPr>
          <w:rFonts w:ascii="Adobe Garamond Pro" w:hAnsi="Adobe Garamond Pro"/>
          <w:color w:val="333333"/>
          <w:sz w:val="20"/>
          <w:szCs w:val="20"/>
        </w:rPr>
        <w:t>. I</w:t>
      </w:r>
      <w:r w:rsidRPr="009E5AE6">
        <w:rPr>
          <w:rFonts w:ascii="Adobe Garamond Pro" w:hAnsi="Adobe Garamond Pro"/>
          <w:color w:val="333333"/>
          <w:sz w:val="20"/>
          <w:szCs w:val="20"/>
        </w:rPr>
        <w:t>n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Philippine Gay Culture: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Binabae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to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Bakla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Silahis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to MSM: The Last 30 Years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Quezon City: University of the Philippines Press, 2008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106C1C8E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1E9033E0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Gerona, Danilo Madrid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“Witchcraft in Cebu: Myths and Politics in the First Decade of Augustinian Evangelization in the Philippines (March 1577),” Magellan-Elcano Studies Center – Partido State University, “You are all invited to our Center Director's talk,” Facebook, 29 October 2022, 8.38am,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4" w:history="1">
        <w:r w:rsidRPr="003C28A9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https://www.facebook.com/magellanelcano2020.psu/posts/pfbid02hX4VufGxHBneP4jJQdw7aZZoiKZz4GPUkuZmVtr8nc9HZ7xuSBXYWHKkPnqa6Pf7l</w:t>
        </w:r>
      </w:hyperlink>
      <w:r w:rsidRPr="003C28A9">
        <w:rPr>
          <w:rFonts w:ascii="Adobe Garamond Pro" w:hAnsi="Adobe Garamond Pro"/>
          <w:color w:val="10147E"/>
          <w:sz w:val="20"/>
          <w:szCs w:val="20"/>
        </w:rPr>
        <w:t xml:space="preserve"> </w:t>
      </w:r>
    </w:p>
    <w:p w14:paraId="2A977B90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EF4E216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Halberstam,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Jack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Female Masculinities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Durham and London: Duke University Press, 1998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191B48EC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97E0690" w14:textId="03922828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Henchy, Judith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Tracing a Cosmopolitan Subject: Dislocation and Haunting in the Southeast Asian Archive</w:t>
      </w:r>
      <w:r>
        <w:rPr>
          <w:rFonts w:ascii="Adobe Garamond Pro" w:hAnsi="Adobe Garamond Pro"/>
          <w:color w:val="333333"/>
          <w:sz w:val="20"/>
          <w:szCs w:val="20"/>
        </w:rPr>
        <w:t>. In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Collector and the Collected: Decolonizing Area Studies Librarianship</w:t>
      </w:r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0D59C9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71–110</w:t>
      </w:r>
      <w:r>
        <w:rPr>
          <w:rFonts w:ascii="Adobe Garamond Pro" w:hAnsi="Adobe Garamond Pro"/>
          <w:color w:val="333333"/>
          <w:sz w:val="20"/>
          <w:szCs w:val="20"/>
        </w:rPr>
        <w:t>. Edite</w:t>
      </w:r>
      <w:r w:rsidRPr="009E5AE6">
        <w:rPr>
          <w:rFonts w:ascii="Adobe Garamond Pro" w:hAnsi="Adobe Garamond Pro"/>
          <w:color w:val="333333"/>
          <w:sz w:val="20"/>
          <w:szCs w:val="20"/>
        </w:rPr>
        <w:t>d</w:t>
      </w:r>
      <w:r>
        <w:rPr>
          <w:rFonts w:ascii="Adobe Garamond Pro" w:hAnsi="Adobe Garamond Pro"/>
          <w:color w:val="333333"/>
          <w:sz w:val="20"/>
          <w:szCs w:val="20"/>
        </w:rPr>
        <w:t xml:space="preserve"> by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Megan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Browndorf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Erin Pappas and Anna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Arays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Sacramento, CA: Library Juice Press</w:t>
      </w:r>
      <w:r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Adobe Garamond Pro" w:hAnsi="Adobe Garamond Pro"/>
          <w:color w:val="333333"/>
          <w:sz w:val="20"/>
          <w:szCs w:val="20"/>
        </w:rPr>
        <w:t>2021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1815E58C" w14:textId="77777777" w:rsidR="000662D9" w:rsidRPr="009E5AE6" w:rsidRDefault="000662D9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1B13F3DE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Jameson,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Frederic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Postmodernism, or the Cultural Logic of Late Capitalism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Durham and London: Duke University Press, 1991.</w:t>
      </w:r>
    </w:p>
    <w:p w14:paraId="10C58235" w14:textId="77777777" w:rsidR="00394116" w:rsidRDefault="00394116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023039E2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Jameson,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Frederic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Jameson on Jameson: Conversations on Cultural Marxism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Durham and London: Duke University Press, 2007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0C7D0212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32C52FAD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Javellana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Rene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Weaving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Cultures: The Invention of Colonial Art and Culture in the Philippines, 1565–1850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Quezon City: ADMU, 2017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795F0C2B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58283922" w14:textId="3C46743E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Jose, Ricardo T. Remembering World War II in the Philippines: Memorials, Commemorations, and Movies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Globalization, Localization, and Japanese Studies in the Asia-Pacific Region: Past, Present, Future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Chinese University of Hong Kong</w:t>
      </w:r>
      <w:r>
        <w:rPr>
          <w:rFonts w:ascii="Adobe Garamond Pro" w:hAnsi="Adobe Garamond Pro"/>
          <w:color w:val="333333"/>
          <w:sz w:val="20"/>
          <w:szCs w:val="20"/>
        </w:rPr>
        <w:t xml:space="preserve"> (</w:t>
      </w:r>
      <w:r w:rsidRPr="009E5AE6">
        <w:rPr>
          <w:rFonts w:ascii="Adobe Garamond Pro" w:hAnsi="Adobe Garamond Pro"/>
          <w:color w:val="333333"/>
          <w:sz w:val="20"/>
          <w:szCs w:val="20"/>
        </w:rPr>
        <w:t>30 September–4 October 2005</w:t>
      </w:r>
      <w:r>
        <w:rPr>
          <w:rFonts w:ascii="Adobe Garamond Pro" w:hAnsi="Adobe Garamond Pro"/>
          <w:color w:val="333333"/>
          <w:sz w:val="20"/>
          <w:szCs w:val="20"/>
        </w:rPr>
        <w:t>).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5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https://nichibun.repo.nii.ac.jp/?action=pages_view_main&amp;active_action=repository_view_main_item_detail&amp;item_id=1278&amp;item_no=1&amp;page_id=41&amp;block_id=63</w:t>
        </w:r>
      </w:hyperlink>
    </w:p>
    <w:p w14:paraId="7AECDFB1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15911C06" w14:textId="02A2B585" w:rsidR="00E06DDE" w:rsidRPr="00E06DDE" w:rsidRDefault="00E06DDE" w:rsidP="00E06DDE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333333"/>
          <w:sz w:val="20"/>
          <w:szCs w:val="20"/>
          <w:u w:val="none"/>
        </w:rPr>
      </w:pP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Kamakalawa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directed by Eddie Romero (1981, Manila), uploaded by Ian Rosales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Casocot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YouTube, 9 July 2022, 02:37:50,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6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https://youtu.be/yexSnm6ru60?t=390</w:t>
        </w:r>
      </w:hyperlink>
    </w:p>
    <w:p w14:paraId="1C8A3F72" w14:textId="77777777" w:rsidR="000662D9" w:rsidRP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10147E"/>
          <w:sz w:val="20"/>
          <w:szCs w:val="20"/>
        </w:rPr>
      </w:pPr>
    </w:p>
    <w:p w14:paraId="3EF446A1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Klein, Ronald D. Markova: Wartime Comfort Gay in the Philippines (Interview with Walter Dempster, Jr.)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Intersections: Gender, History and Culture in the Asian Context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2, no. 13 </w:t>
      </w:r>
      <w:r>
        <w:rPr>
          <w:rFonts w:ascii="Adobe Garamond Pro" w:hAnsi="Adobe Garamond Pro"/>
          <w:color w:val="333333"/>
          <w:sz w:val="20"/>
          <w:szCs w:val="20"/>
        </w:rPr>
        <w:t>(</w:t>
      </w:r>
      <w:r w:rsidRPr="009E5AE6">
        <w:rPr>
          <w:rFonts w:ascii="Adobe Garamond Pro" w:hAnsi="Adobe Garamond Pro"/>
          <w:color w:val="333333"/>
          <w:sz w:val="20"/>
          <w:szCs w:val="20"/>
        </w:rPr>
        <w:t>2006)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27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http://intersections.anu.edu.au/issue13/klein_interview.html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36471367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2D0F186" w14:textId="04550865" w:rsidR="000662D9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Leavold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Andrew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Strong Coffee with a National Treasure: An Interview with Eddie Romero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Cashers du Cinemart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E06DDE">
        <w:rPr>
          <w:rStyle w:val="apple-converted-space"/>
          <w:rFonts w:ascii="Adobe Garamond Pro" w:hAnsi="Adobe Garamond Pro"/>
          <w:color w:val="10147E"/>
          <w:sz w:val="20"/>
          <w:szCs w:val="20"/>
        </w:rPr>
        <w:t>https://web.archive.org/web/20160731133006/https://www.cashiersducinemart.com/details/issue-18/article-518/strong-coffee-with-a-national-treasure-an-interview-with-eddie-romero</w:t>
      </w:r>
      <w:r w:rsidRPr="00E06DDE">
        <w:rPr>
          <w:rFonts w:ascii="Adobe Garamond Pro" w:hAnsi="Adobe Garamond Pro"/>
          <w:color w:val="10147E"/>
          <w:sz w:val="20"/>
          <w:szCs w:val="20"/>
        </w:rPr>
        <w:t xml:space="preserve"> </w:t>
      </w:r>
    </w:p>
    <w:p w14:paraId="3A23DA5D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504FDCA8" w14:textId="3D9F6EEF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 xml:space="preserve">Lucy,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color w:val="333333"/>
          <w:sz w:val="20"/>
          <w:szCs w:val="20"/>
        </w:rPr>
        <w:t>Niall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 Derrida Dictionary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Oxford: Blackwell, 2004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609A190E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12C029DF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MacNeil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Heather and Terry Eastwood, eds.,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Currents of Archival Thinking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Santa Barbara and Denver: Libraries Unlimited, 2017.</w:t>
      </w:r>
    </w:p>
    <w:p w14:paraId="47B83E06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508B84D9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Manila Manuscript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(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a.ka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.,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Boxer Codex</w:t>
      </w:r>
      <w:r w:rsidRPr="009E5AE6">
        <w:rPr>
          <w:rFonts w:ascii="Adobe Garamond Pro" w:hAnsi="Adobe Garamond Pro"/>
          <w:color w:val="333333"/>
          <w:sz w:val="20"/>
          <w:szCs w:val="20"/>
        </w:rPr>
        <w:t>), ca. 1590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hyperlink r:id="rId28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http://www.dlib.indiana.edu/omeka/lilly/items/show/93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57B6FF9D" w14:textId="77777777" w:rsidR="00394116" w:rsidRPr="009E5AE6" w:rsidRDefault="00394116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24F0C9AF" w14:textId="77777777" w:rsidR="000662D9" w:rsidRPr="009E5AE6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4475F6D9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10147E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Martinez,</w:t>
      </w:r>
      <w:r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Katharine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Imaging the Past: Historians, Visual Images and the Contested Definition of History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Visual Resources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11, </w:t>
      </w:r>
      <w:r>
        <w:rPr>
          <w:rFonts w:ascii="Adobe Garamond Pro" w:hAnsi="Adobe Garamond Pro"/>
          <w:color w:val="333333"/>
          <w:sz w:val="20"/>
          <w:szCs w:val="20"/>
        </w:rPr>
        <w:t xml:space="preserve">no.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1 (1995): 21–45, </w:t>
      </w:r>
      <w:hyperlink r:id="rId29" w:history="1">
        <w:r w:rsidRPr="003C28A9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http://www.doi.org/10.1080/01973762.1995.9658317</w:t>
        </w:r>
      </w:hyperlink>
      <w:r w:rsidRPr="003C28A9">
        <w:rPr>
          <w:rFonts w:ascii="Adobe Garamond Pro" w:hAnsi="Adobe Garamond Pro"/>
          <w:color w:val="10147E"/>
          <w:sz w:val="20"/>
          <w:szCs w:val="20"/>
        </w:rPr>
        <w:t xml:space="preserve">. </w:t>
      </w:r>
    </w:p>
    <w:p w14:paraId="0763A076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10147E"/>
          <w:sz w:val="20"/>
          <w:szCs w:val="20"/>
        </w:rPr>
      </w:pPr>
    </w:p>
    <w:p w14:paraId="346F5FF7" w14:textId="28A292B6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 xml:space="preserve">Mga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Anunsiante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Namin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Ang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Wika</w:t>
      </w:r>
      <w:proofErr w:type="spellEnd"/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1, no. 2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Manila: Imp. Ilagan</w:t>
      </w:r>
      <w:r>
        <w:rPr>
          <w:rFonts w:ascii="Adobe Garamond Pro" w:hAnsi="Adobe Garamond Pro"/>
          <w:color w:val="333333"/>
          <w:sz w:val="20"/>
          <w:szCs w:val="20"/>
        </w:rPr>
        <w:t xml:space="preserve"> (1 November </w:t>
      </w:r>
      <w:r w:rsidRPr="009E5AE6">
        <w:rPr>
          <w:rFonts w:ascii="Adobe Garamond Pro" w:hAnsi="Adobe Garamond Pro"/>
          <w:color w:val="333333"/>
          <w:sz w:val="20"/>
          <w:szCs w:val="20"/>
        </w:rPr>
        <w:t>1920), 10–11, Microfilm, Multimedia Collections, Main Library, UP Diliman, Quezon City, MCF 10533 (1920–1922).</w:t>
      </w:r>
    </w:p>
    <w:p w14:paraId="017FF543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33E72D8" w14:textId="665D1DE7" w:rsidR="00E06DDE" w:rsidRDefault="00394116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Mignolo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Walter D. and Arturo Escobar, eds.,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Globalization and the Decolonial Option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London and New York: Routledge, 2009.</w:t>
      </w:r>
    </w:p>
    <w:p w14:paraId="4A4E84DA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81A65A1" w14:textId="39B6172A" w:rsidR="00394116" w:rsidRPr="009E5AE6" w:rsidRDefault="00394116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News5Everywhere,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Lourd's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History, Ep. 002: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Bakla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Katipunan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[Video file] (30 November 2013),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0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https://www.youtube.com/watch?v=PHBBt8uS_o4</w:t>
        </w:r>
      </w:hyperlink>
    </w:p>
    <w:p w14:paraId="367F2849" w14:textId="77777777" w:rsidR="00394116" w:rsidRDefault="00394116" w:rsidP="00E06DDE"/>
    <w:p w14:paraId="29C787B2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Noceda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Juan Jose de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and Pedro de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Sanlucar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Vocabulario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la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Lengua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Tagala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: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Compuesto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por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Varios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Religiosos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Doctos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y Graves, y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Coordinado</w:t>
      </w:r>
      <w:proofErr w:type="spellEnd"/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Manila: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Imprenta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Ramirez y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Giraudier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1860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1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https://books.google.com.ph/books?id=PTIOAAAAIAAJ&amp;source=gbs_navlinks_s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0D22DE4B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30595913" w14:textId="60B2DF81" w:rsidR="00E06DDE" w:rsidRP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Order of National Artists: Eddie Romero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National Commission for Culture and the Arts </w:t>
      </w:r>
      <w:r w:rsidRPr="000662D9">
        <w:rPr>
          <w:rFonts w:ascii="Adobe Garamond Pro" w:hAnsi="Adobe Garamond Pro"/>
          <w:color w:val="333333"/>
          <w:sz w:val="20"/>
          <w:szCs w:val="20"/>
        </w:rPr>
        <w:t>(NCCA)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2" w:tgtFrame="_blank" w:history="1">
        <w:r w:rsidRPr="003C28A9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https://ncca.gov.ph/about-culture-and-arts/culture-profile/national-artists-of-the-philippines/eddie-s-romero/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1403054A" w14:textId="77777777" w:rsidR="00E06DDE" w:rsidRDefault="00E06DDE" w:rsidP="00E06DDE"/>
    <w:p w14:paraId="0F34D0A9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Ryan,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Paul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Male Sex Work in the Digital Age: Curated Lives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Cham: Palgrave MacMillan, 2019.</w:t>
      </w:r>
    </w:p>
    <w:p w14:paraId="36639CC1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D140FEA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Reyes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Soledad S.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Nobelang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Tagalog, 1905–1975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Quezon City: ADMU Press, 1982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4146F4C7" w14:textId="77777777" w:rsidR="000662D9" w:rsidRDefault="000662D9" w:rsidP="000662D9"/>
    <w:p w14:paraId="78C8D701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Roces,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Alfredo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Amorsolo, 1892–1972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Quezon City: Vera-Reyes, Inc., 1975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3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https://issuu.com/filipinasheritagelibrary/docs/amorsolo__1892-1972?e=18015266/13603178</w:t>
        </w:r>
      </w:hyperlink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65BD2315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58F82BE1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San Agustin, Gaspar de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Compendio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la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Lengua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Tagala</w:t>
      </w:r>
      <w:proofErr w:type="spellEnd"/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Sampaloc [Manila]: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Imprenta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Nuestra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Señora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Loreto, [1703]1787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4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http://bdh-rd.bne.es/viewer.vm?id=0000112265&amp;page=1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43B831C7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189CC85" w14:textId="43236E23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color w:val="333333"/>
          <w:sz w:val="20"/>
          <w:szCs w:val="20"/>
        </w:rPr>
        <w:t>San Agustin,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Gaspar de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Confesionario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Copioso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en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Lengua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Española y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Tagala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, Para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Direccion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Confesores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, y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Instruccion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Penitentes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Manila: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Convento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Nuestra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Señora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Loreto, 1787.</w:t>
      </w:r>
    </w:p>
    <w:p w14:paraId="6C4CCA42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3F7C47B" w14:textId="0A049174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San Antonio,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Juan Francisco de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Cronicas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la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Apostolica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Provincia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S. Gregorio de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Religiosos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Descalzos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N.S.P.S. Francisco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en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las Islas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Philipinas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, China,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Japon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, &amp;c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. Manila: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Impressa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en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la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imprenta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del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vso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la propria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provincia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síta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en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el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Convento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N[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uest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]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ra.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Señora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Loreto del Pueblo de Sampaloc, extra-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muros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de la ciudad de Manila: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por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Fr. Juan del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Sotillo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1738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hyperlink r:id="rId35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https://archive.org/details/chronicasdelaapo00sana/page/156/mode/2up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>.</w:t>
      </w:r>
    </w:p>
    <w:p w14:paraId="73397314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E00C2A5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San Buenaventura,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Pedro de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Vocabulario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de la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Lengua</w:t>
      </w:r>
      <w:proofErr w:type="spellEnd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proofErr w:type="spellStart"/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Tagala</w:t>
      </w:r>
      <w:proofErr w:type="spellEnd"/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Pila, Laguna: La Noble Villa de Pila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por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Tomas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Pinpin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y Domingo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Loag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1613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hyperlink r:id="rId36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http://sb.tagalogstudies.org/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>.</w:t>
      </w:r>
    </w:p>
    <w:p w14:paraId="7E3821DC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4A77E0BE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Scott,</w:t>
      </w:r>
      <w:r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color w:val="333333"/>
          <w:sz w:val="20"/>
          <w:szCs w:val="20"/>
        </w:rPr>
        <w:t>William H.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Looking for the Pre-Hispanic Filipino and Other Essays in Philippine History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Quezon City: New Day, 1993.</w:t>
      </w:r>
    </w:p>
    <w:p w14:paraId="73F5C18C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360F009C" w14:textId="77777777" w:rsidR="00E06DDE" w:rsidRPr="003C28A9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10147E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Sekula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Allan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“The Body and the Archive,”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October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39 (1986), 10,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7" w:history="1">
        <w:r w:rsidRPr="003C28A9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http://www.jstor.org/stable/778312</w:t>
        </w:r>
      </w:hyperlink>
      <w:r w:rsidRPr="003C28A9">
        <w:rPr>
          <w:rFonts w:ascii="Adobe Garamond Pro" w:hAnsi="Adobe Garamond Pro"/>
          <w:color w:val="10147E"/>
          <w:sz w:val="20"/>
          <w:szCs w:val="20"/>
        </w:rPr>
        <w:t xml:space="preserve">. </w:t>
      </w:r>
    </w:p>
    <w:p w14:paraId="789737F6" w14:textId="77777777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5C4AC9A8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3C272473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Semper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Gromyko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Saatchi Art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r>
        <w:rPr>
          <w:rFonts w:ascii="Adobe Garamond Pro" w:hAnsi="Adobe Garamond Pro"/>
          <w:color w:val="333333"/>
          <w:sz w:val="20"/>
          <w:szCs w:val="20"/>
        </w:rPr>
        <w:t>[Artist’s profile].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8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https://www.saatchiart.com/Gromyko</w:t>
        </w:r>
      </w:hyperlink>
      <w:r>
        <w:rPr>
          <w:rFonts w:ascii="Adobe Garamond Pro" w:hAnsi="Adobe Garamond Pro"/>
          <w:color w:val="333333"/>
          <w:sz w:val="20"/>
          <w:szCs w:val="20"/>
        </w:rPr>
        <w:t xml:space="preserve">.  </w:t>
      </w:r>
    </w:p>
    <w:p w14:paraId="44AE1144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64D92E19" w14:textId="77777777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Semper</w:t>
      </w:r>
      <w:r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Gromyko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Symbol and Aesthetics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 </w:t>
      </w:r>
      <w:r>
        <w:rPr>
          <w:rFonts w:ascii="Adobe Garamond Pro" w:hAnsi="Adobe Garamond Pro"/>
          <w:color w:val="333333"/>
          <w:sz w:val="20"/>
          <w:szCs w:val="20"/>
        </w:rPr>
        <w:t>[Artist’s profile].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39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http://www.symbol-and-aesthetics.org/gromyko-padilla-semper.html</w:t>
        </w:r>
      </w:hyperlink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7ACA7176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465E9A5F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Semper, Gromyko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“The Alchemy of a Babaylan,” 24 × 36 inches, ink and acrylic on canvas, 2013, currently owned by a private collector based in London, UK, photo uploaded to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DeviantArt</w:t>
      </w:r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40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https://www.deviantart.com/gromyko/art/ALCHEMY-OF-A-BABAYLAN-358907967</w:t>
        </w:r>
      </w:hyperlink>
    </w:p>
    <w:p w14:paraId="7C30A4CA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</w:pPr>
    </w:p>
    <w:p w14:paraId="2B9DB56A" w14:textId="707F15A8" w:rsidR="00E06DDE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Silva,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John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 Token of Our Friendship: Philippine Photos of Male Affection, First Half of the 20th Century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Manila: Ige Ramos Design Studio, 2011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</w:p>
    <w:p w14:paraId="1882ACDB" w14:textId="77777777" w:rsidR="00E06DDE" w:rsidRPr="009E5AE6" w:rsidRDefault="00E06DDE" w:rsidP="00E06DDE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7221DF5B" w14:textId="4C5CD4BA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Soyer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François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Ambiguous Gender in Early Modern Spain and Portugal: Inquisitors, Doctors and the Transgression of Gender Norms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>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Leiden and Boston: Brill, 2012.</w:t>
      </w:r>
    </w:p>
    <w:p w14:paraId="1B52C5AB" w14:textId="77777777" w:rsidR="000662D9" w:rsidRPr="009E5AE6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5175FB4D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Spivak</w:t>
      </w:r>
      <w:r>
        <w:rPr>
          <w:rFonts w:ascii="Adobe Garamond Pro" w:hAnsi="Adobe Garamond Pro"/>
          <w:color w:val="333333"/>
          <w:sz w:val="20"/>
          <w:szCs w:val="20"/>
        </w:rPr>
        <w:t xml:space="preserve">,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Gayatri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Chakravorty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Can the Subaltern Speak?</w:t>
      </w:r>
      <w:r>
        <w:rPr>
          <w:rFonts w:ascii="Adobe Garamond Pro" w:hAnsi="Adobe Garamond Pro"/>
          <w:color w:val="333333"/>
          <w:sz w:val="20"/>
          <w:szCs w:val="20"/>
        </w:rPr>
        <w:t xml:space="preserve">. In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Marxism and Interpretation of Culture,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ed. Carl Nelson and Lawrence Grossberg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Urbana and Chicago: University of Illinois Press, 1988</w:t>
      </w:r>
      <w:r>
        <w:rPr>
          <w:rFonts w:ascii="Adobe Garamond Pro" w:hAnsi="Adobe Garamond Pro"/>
          <w:color w:val="333333"/>
          <w:sz w:val="20"/>
          <w:szCs w:val="20"/>
        </w:rPr>
        <w:t>.</w:t>
      </w:r>
    </w:p>
    <w:p w14:paraId="0D874B4C" w14:textId="77777777" w:rsidR="00E06DDE" w:rsidRDefault="00E06DDE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FBBDA2A" w14:textId="7E17553A" w:rsidR="00E06DDE" w:rsidRPr="009E5AE6" w:rsidRDefault="00E06DDE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Stanley, David J.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Historical Imagination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London and New York: Routledge, 2021.</w:t>
      </w:r>
    </w:p>
    <w:p w14:paraId="36368C12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10772190" w14:textId="64977B32" w:rsidR="00E06DDE" w:rsidRPr="00E06DDE" w:rsidRDefault="000662D9" w:rsidP="00E06DDE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10147E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Steyerl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Hito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A Tank on a Pedestal: Museums in an Age of Planetary Civil War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e-flux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70</w:t>
      </w:r>
      <w:r>
        <w:rPr>
          <w:rFonts w:ascii="Adobe Garamond Pro" w:hAnsi="Adobe Garamond Pro"/>
          <w:color w:val="333333"/>
          <w:sz w:val="20"/>
          <w:szCs w:val="20"/>
        </w:rPr>
        <w:t xml:space="preserve"> (</w:t>
      </w:r>
      <w:r w:rsidRPr="009E5AE6">
        <w:rPr>
          <w:rFonts w:ascii="Adobe Garamond Pro" w:hAnsi="Adobe Garamond Pro"/>
          <w:color w:val="333333"/>
          <w:sz w:val="20"/>
          <w:szCs w:val="20"/>
        </w:rPr>
        <w:t>February 2016</w:t>
      </w:r>
      <w:r>
        <w:rPr>
          <w:rFonts w:ascii="Adobe Garamond Pro" w:hAnsi="Adobe Garamond Pro"/>
          <w:color w:val="333333"/>
          <w:sz w:val="20"/>
          <w:szCs w:val="20"/>
        </w:rPr>
        <w:t xml:space="preserve">).   </w:t>
      </w:r>
      <w:hyperlink r:id="rId41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http://worker01.e-flux.com/pdf/article_9005341.pdf</w:t>
        </w:r>
      </w:hyperlink>
      <w:r>
        <w:rPr>
          <w:rStyle w:val="Hyperlink"/>
          <w:rFonts w:ascii="Adobe Garamond Pro" w:hAnsi="Adobe Garamond Pro"/>
          <w:color w:val="10147E"/>
          <w:sz w:val="20"/>
          <w:szCs w:val="20"/>
          <w:u w:val="none"/>
        </w:rPr>
        <w:t xml:space="preserve">. </w:t>
      </w:r>
    </w:p>
    <w:p w14:paraId="31F93DF6" w14:textId="77777777" w:rsidR="000662D9" w:rsidRPr="009E5AE6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65A852DF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Stoler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 Ann Laura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Carnal Knowledge and Imperial Power: Race and the Intimate in Colonial Rule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Berkeley: University of California Press, 2010.</w:t>
      </w:r>
    </w:p>
    <w:p w14:paraId="7EFD8432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6C9EA8C6" w14:textId="5EC55C56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Tadiar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,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Neferti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X.M. </w:t>
      </w:r>
      <w:r w:rsidRPr="009E5AE6">
        <w:rPr>
          <w:rFonts w:ascii="Segoe UI Symbol" w:hAnsi="Segoe UI Symbol" w:cs="Segoe UI Symbol"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Fantasy-Production: Sexual Economies and other Philippine Consequences for the New World Order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Quezon City: Ateneo de Manila University Press, 2004. </w:t>
      </w:r>
    </w:p>
    <w:p w14:paraId="7BCA1A1B" w14:textId="77777777" w:rsidR="000662D9" w:rsidRDefault="000662D9" w:rsidP="000662D9">
      <w:pPr>
        <w:pStyle w:val="first"/>
        <w:spacing w:before="0" w:beforeAutospacing="0" w:after="0" w:afterAutospacing="0"/>
        <w:rPr>
          <w:rFonts w:ascii="Adobe Garamond Pro" w:hAnsi="Adobe Garamond Pro"/>
          <w:color w:val="333333"/>
          <w:sz w:val="20"/>
          <w:szCs w:val="20"/>
        </w:rPr>
      </w:pPr>
    </w:p>
    <w:p w14:paraId="13586EA7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Tadiar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Neferti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 xml:space="preserve"> X.M.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Things Fall Away: Philippine Historical Experience and the Makings of Globalization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Quezon City: University of the Philippines Press, 2009.</w:t>
      </w:r>
    </w:p>
    <w:p w14:paraId="4299C546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023DFDB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Visual Resources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19, no. 4 (January 2011),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hyperlink r:id="rId42" w:tgtFrame="_blank" w:history="1">
        <w:r w:rsidRPr="009E5AE6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https://www.tandfonline.com/toc/gvir20/19/4</w:t>
        </w:r>
      </w:hyperlink>
      <w:r w:rsidRPr="009E5AE6">
        <w:rPr>
          <w:rFonts w:ascii="Adobe Garamond Pro" w:hAnsi="Adobe Garamond Pro"/>
          <w:color w:val="333333"/>
          <w:sz w:val="20"/>
          <w:szCs w:val="20"/>
        </w:rPr>
        <w:t xml:space="preserve">. </w:t>
      </w:r>
    </w:p>
    <w:p w14:paraId="2B4FB824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C57FFFE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Webb,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Ruth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Segoe UI Symbol" w:hAnsi="Segoe UI Symbol" w:cs="Segoe UI Symbol"/>
          <w:i/>
          <w:iCs/>
          <w:color w:val="333333"/>
          <w:sz w:val="20"/>
          <w:szCs w:val="20"/>
        </w:rPr>
        <w:t>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Ekphrasis, Imagination and Persuasion in Ancient Rhetorical Theory and Practice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Farnham and Vermont: Ashgate, 2009.</w:t>
      </w:r>
    </w:p>
    <w:p w14:paraId="1537DEE8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17E35B7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>Whittington, Karl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Medieval intersex in theory, practice, and representation</w:t>
      </w:r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>
        <w:rPr>
          <w:rFonts w:ascii="Adobe Garamond Pro" w:hAnsi="Adobe Garamond Pro"/>
          <w:i/>
          <w:iCs/>
          <w:color w:val="333333"/>
          <w:sz w:val="20"/>
          <w:szCs w:val="20"/>
        </w:rPr>
        <w:t>p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ostmedieval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9, no. 2 (2018)</w:t>
      </w:r>
      <w:r>
        <w:rPr>
          <w:rFonts w:ascii="Adobe Garamond Pro" w:hAnsi="Adobe Garamond Pro"/>
          <w:color w:val="333333"/>
          <w:sz w:val="20"/>
          <w:szCs w:val="20"/>
        </w:rPr>
        <w:t>: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231–47</w:t>
      </w:r>
      <w:r>
        <w:rPr>
          <w:rFonts w:ascii="Adobe Garamond Pro" w:hAnsi="Adobe Garamond Pro"/>
          <w:color w:val="333333"/>
          <w:sz w:val="20"/>
          <w:szCs w:val="20"/>
        </w:rPr>
        <w:t>.</w:t>
      </w:r>
      <w:r w:rsidRPr="009E5AE6">
        <w:rPr>
          <w:rFonts w:ascii="Adobe Garamond Pro" w:hAnsi="Adobe Garamond Pro"/>
          <w:color w:val="333333"/>
          <w:sz w:val="20"/>
          <w:szCs w:val="20"/>
        </w:rPr>
        <w:t xml:space="preserve"> </w:t>
      </w:r>
      <w:hyperlink r:id="rId43" w:history="1">
        <w:r w:rsidRPr="003C28A9">
          <w:rPr>
            <w:rStyle w:val="Hyperlink"/>
            <w:rFonts w:ascii="Adobe Garamond Pro" w:hAnsi="Adobe Garamond Pro"/>
            <w:color w:val="10147E"/>
            <w:sz w:val="20"/>
            <w:szCs w:val="20"/>
          </w:rPr>
          <w:t>https://www.doi.org/10.1057/s41280-018-0085-3</w:t>
        </w:r>
      </w:hyperlink>
      <w:r w:rsidRPr="003C28A9">
        <w:rPr>
          <w:rFonts w:ascii="Adobe Garamond Pro" w:hAnsi="Adobe Garamond Pro"/>
          <w:color w:val="10147E"/>
          <w:sz w:val="20"/>
          <w:szCs w:val="20"/>
        </w:rPr>
        <w:t>.</w:t>
      </w:r>
    </w:p>
    <w:p w14:paraId="132B8712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4568234D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r w:rsidRPr="009E5AE6">
        <w:rPr>
          <w:rFonts w:ascii="Adobe Garamond Pro" w:hAnsi="Adobe Garamond Pro"/>
          <w:color w:val="333333"/>
          <w:sz w:val="20"/>
          <w:szCs w:val="20"/>
        </w:rPr>
        <w:t xml:space="preserve">Yue Audrey and Jun 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Zubillaga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-Pow, eds.,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Queer Singapore: Illiberal Citizenship and Mediated Cultures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r w:rsidRPr="009E5AE6">
        <w:rPr>
          <w:rFonts w:ascii="Adobe Garamond Pro" w:hAnsi="Adobe Garamond Pro"/>
          <w:color w:val="333333"/>
          <w:sz w:val="20"/>
          <w:szCs w:val="20"/>
        </w:rPr>
        <w:t>(Hong Kong: Hong Kong University Press, 2012).</w:t>
      </w:r>
    </w:p>
    <w:p w14:paraId="66463EAE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2FDF96DE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Žižek</w:t>
      </w:r>
      <w:proofErr w:type="spellEnd"/>
      <w:r w:rsidRPr="009E5AE6">
        <w:rPr>
          <w:rFonts w:ascii="Adobe Garamond Pro" w:hAnsi="Adobe Garamond Pro"/>
          <w:color w:val="333333"/>
          <w:sz w:val="20"/>
          <w:szCs w:val="20"/>
        </w:rPr>
        <w:t>,</w:t>
      </w:r>
      <w:r w:rsidRPr="009E5AE6">
        <w:rPr>
          <w:rStyle w:val="apple-converted-space"/>
          <w:rFonts w:ascii="Adobe Garamond Pro" w:hAnsi="Adobe Garamond Pro"/>
          <w:color w:val="333333"/>
          <w:sz w:val="20"/>
          <w:szCs w:val="20"/>
        </w:rPr>
        <w:t> </w:t>
      </w:r>
      <w:proofErr w:type="spellStart"/>
      <w:r w:rsidRPr="009E5AE6">
        <w:rPr>
          <w:rFonts w:ascii="Adobe Garamond Pro" w:hAnsi="Adobe Garamond Pro"/>
          <w:color w:val="333333"/>
          <w:sz w:val="20"/>
          <w:szCs w:val="20"/>
        </w:rPr>
        <w:t>Slavoj</w:t>
      </w:r>
      <w:proofErr w:type="spellEnd"/>
      <w:r>
        <w:rPr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i/>
          <w:iCs/>
          <w:color w:val="333333"/>
          <w:sz w:val="20"/>
          <w:szCs w:val="20"/>
        </w:rPr>
        <w:t>The Parallax View</w:t>
      </w:r>
      <w:r>
        <w:rPr>
          <w:rStyle w:val="apple-converted-space"/>
          <w:rFonts w:ascii="Adobe Garamond Pro" w:hAnsi="Adobe Garamond Pro"/>
          <w:color w:val="333333"/>
          <w:sz w:val="20"/>
          <w:szCs w:val="20"/>
        </w:rPr>
        <w:t xml:space="preserve">. </w:t>
      </w:r>
      <w:r w:rsidRPr="009E5AE6">
        <w:rPr>
          <w:rFonts w:ascii="Adobe Garamond Pro" w:hAnsi="Adobe Garamond Pro"/>
          <w:color w:val="333333"/>
          <w:sz w:val="20"/>
          <w:szCs w:val="20"/>
        </w:rPr>
        <w:t>Cambridge and London: The MIT Press, 2006.</w:t>
      </w:r>
    </w:p>
    <w:p w14:paraId="2FAB990B" w14:textId="77777777" w:rsidR="000662D9" w:rsidRPr="009E5AE6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651AFF07" w14:textId="77777777" w:rsidR="000662D9" w:rsidRDefault="000662D9" w:rsidP="000662D9">
      <w:pPr>
        <w:pStyle w:val="first"/>
        <w:spacing w:before="0" w:beforeAutospacing="0" w:after="0" w:afterAutospacing="0"/>
        <w:ind w:left="720" w:hanging="720"/>
        <w:rPr>
          <w:rFonts w:ascii="Adobe Garamond Pro" w:hAnsi="Adobe Garamond Pro"/>
          <w:color w:val="333333"/>
          <w:sz w:val="20"/>
          <w:szCs w:val="20"/>
        </w:rPr>
      </w:pPr>
    </w:p>
    <w:p w14:paraId="7E783412" w14:textId="77777777" w:rsidR="000662D9" w:rsidRDefault="000662D9" w:rsidP="000662D9">
      <w:pPr>
        <w:ind w:left="720" w:hanging="720"/>
      </w:pPr>
    </w:p>
    <w:sectPr w:rsidR="000662D9" w:rsidSect="00955C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6"/>
    <w:rsid w:val="000662D9"/>
    <w:rsid w:val="000D59C9"/>
    <w:rsid w:val="00394116"/>
    <w:rsid w:val="00914463"/>
    <w:rsid w:val="00955C42"/>
    <w:rsid w:val="00E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F8AB5"/>
  <w15:chartTrackingRefBased/>
  <w15:docId w15:val="{F5EEAC3D-D20E-4E43-9C81-9F9505D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16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116"/>
    <w:rPr>
      <w:color w:val="0563C1" w:themeColor="hyperlink"/>
      <w:u w:val="single"/>
    </w:rPr>
  </w:style>
  <w:style w:type="paragraph" w:customStyle="1" w:styleId="first">
    <w:name w:val="first"/>
    <w:basedOn w:val="Normal"/>
    <w:rsid w:val="00394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94116"/>
  </w:style>
  <w:style w:type="paragraph" w:styleId="NormalWeb">
    <w:name w:val="Normal (Web)"/>
    <w:basedOn w:val="Normal"/>
    <w:uiPriority w:val="99"/>
    <w:semiHidden/>
    <w:unhideWhenUsed/>
    <w:rsid w:val="00394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06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.org/details/relaciondelasis00chirgoog/page/n80/mode/2up" TargetMode="External"/><Relationship Id="rId18" Type="http://schemas.openxmlformats.org/officeDocument/2006/relationships/hyperlink" Target="https://doi.org/10.1007/s10502-012-9180-7" TargetMode="External"/><Relationship Id="rId26" Type="http://schemas.openxmlformats.org/officeDocument/2006/relationships/hyperlink" Target="https://youtu.be/yexSnm6ru60?t=390" TargetMode="External"/><Relationship Id="rId39" Type="http://schemas.openxmlformats.org/officeDocument/2006/relationships/hyperlink" Target="http://www.symbol-and-aesthetics.org/gromyko-padilla-semper.html" TargetMode="External"/><Relationship Id="rId21" Type="http://schemas.openxmlformats.org/officeDocument/2006/relationships/hyperlink" Target="https://archivaria.ca/index.php/archivaria/article/view/12063" TargetMode="External"/><Relationship Id="rId34" Type="http://schemas.openxmlformats.org/officeDocument/2006/relationships/hyperlink" Target="http://bdh-rd.bne.es/viewer.vm?id=0000112265%26page=1" TargetMode="External"/><Relationship Id="rId42" Type="http://schemas.openxmlformats.org/officeDocument/2006/relationships/hyperlink" Target="https://www.tandfonline.com/toc/gvir20/19/4" TargetMode="External"/><Relationship Id="rId7" Type="http://schemas.openxmlformats.org/officeDocument/2006/relationships/hyperlink" Target="https://doi.org/10.1215/10642684-2007-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od.lib.umich.edu/p/philamer/afk2830.0001.040/164?q1=tuto%26view=image%26size=100" TargetMode="External"/><Relationship Id="rId29" Type="http://schemas.openxmlformats.org/officeDocument/2006/relationships/hyperlink" Target="http://www.doi.org/10.1080/01973762.1995.96583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353/sex.2006.0001" TargetMode="External"/><Relationship Id="rId11" Type="http://schemas.openxmlformats.org/officeDocument/2006/relationships/hyperlink" Target="https://www.jstor.org/stable/25486357" TargetMode="External"/><Relationship Id="rId24" Type="http://schemas.openxmlformats.org/officeDocument/2006/relationships/hyperlink" Target="https://www.facebook.com/magellanelcano2020.psu/posts/pfbid02hX4VufGxHBneP4jJQdw7aZZoiKZz4GPUkuZmVtr8nc9HZ7xuSBXYWHKkPnqa6Pf7l" TargetMode="External"/><Relationship Id="rId32" Type="http://schemas.openxmlformats.org/officeDocument/2006/relationships/hyperlink" Target="https://ncca.gov.ph/about-culture-and-arts/culture-profile/national-artists-of-the-philippines/eddie-s-romero/" TargetMode="External"/><Relationship Id="rId37" Type="http://schemas.openxmlformats.org/officeDocument/2006/relationships/hyperlink" Target="http://www.jstor.org/stable/778312" TargetMode="External"/><Relationship Id="rId40" Type="http://schemas.openxmlformats.org/officeDocument/2006/relationships/hyperlink" Target="https://www.deviantart.com/gromyko/art/ALCHEMY-OF-A-BABAYLAN-35890796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ifestyleasia-onemega.com/gromyko-semper-artistic-journey-cabanatuan-moon/" TargetMode="External"/><Relationship Id="rId15" Type="http://schemas.openxmlformats.org/officeDocument/2006/relationships/hyperlink" Target="https://archive.org/details/aqn8199.0001.001.umich.edu/page/514/mode/2up" TargetMode="External"/><Relationship Id="rId23" Type="http://schemas.openxmlformats.org/officeDocument/2006/relationships/hyperlink" Target="https://journals.ateneo.edu/index.php/budhi/article/viewFile/624/621" TargetMode="External"/><Relationship Id="rId28" Type="http://schemas.openxmlformats.org/officeDocument/2006/relationships/hyperlink" Target="http://www.dlib.indiana.edu/omeka/lilly/items/show/93" TargetMode="External"/><Relationship Id="rId36" Type="http://schemas.openxmlformats.org/officeDocument/2006/relationships/hyperlink" Target="http://sb.tagalogstudies.org/" TargetMode="External"/><Relationship Id="rId10" Type="http://schemas.openxmlformats.org/officeDocument/2006/relationships/hyperlink" Target="https://doi.org/10.2307/2505122" TargetMode="External"/><Relationship Id="rId19" Type="http://schemas.openxmlformats.org/officeDocument/2006/relationships/hyperlink" Target="https://escholarship.org/uc/item/3mj1k076" TargetMode="External"/><Relationship Id="rId31" Type="http://schemas.openxmlformats.org/officeDocument/2006/relationships/hyperlink" Target="https://books.google.com.ph/books?id=PTIOAAAAIAAJ%26source=gbs_navlinks_s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tandfonline.com/doi/10.1080/01973762.2023.2249719" TargetMode="External"/><Relationship Id="rId9" Type="http://schemas.openxmlformats.org/officeDocument/2006/relationships/hyperlink" Target="http://intersections.anu.edu.au/issue2/carolyn2.html" TargetMode="External"/><Relationship Id="rId14" Type="http://schemas.openxmlformats.org/officeDocument/2006/relationships/hyperlink" Target="https://quod.lib.umich.edu/p/philamer/afk2830.0001.012/264?q1=magdalen%26view=text%26size=100" TargetMode="External"/><Relationship Id="rId22" Type="http://schemas.openxmlformats.org/officeDocument/2006/relationships/hyperlink" Target="https://www.nationalmuseum.gov.ph/wp-content/uploads/2021/08/5-4.jpg" TargetMode="External"/><Relationship Id="rId27" Type="http://schemas.openxmlformats.org/officeDocument/2006/relationships/hyperlink" Target="http://intersections.anu.edu.au/issue13/klein_interview.html" TargetMode="External"/><Relationship Id="rId30" Type="http://schemas.openxmlformats.org/officeDocument/2006/relationships/hyperlink" Target="https://www.youtube.com/watch?v=PHBBt8uS_o4" TargetMode="External"/><Relationship Id="rId35" Type="http://schemas.openxmlformats.org/officeDocument/2006/relationships/hyperlink" Target="https://archive.org/details/chronicasdelaapo00sana/page/156/mode/2up" TargetMode="External"/><Relationship Id="rId43" Type="http://schemas.openxmlformats.org/officeDocument/2006/relationships/hyperlink" Target="https://www.doi.org/10.1057/s41280-018-0085-3" TargetMode="External"/><Relationship Id="rId8" Type="http://schemas.openxmlformats.org/officeDocument/2006/relationships/hyperlink" Target="https://books.google.com.ph/books?id=v61YAAAAcA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14333544/Grindring_the_Self_Young_Filipino_Gay_Mens_Exploration_of_Sexual_Identity_Through_a_Geo_Social_Networking_Application" TargetMode="External"/><Relationship Id="rId17" Type="http://schemas.openxmlformats.org/officeDocument/2006/relationships/hyperlink" Target="https://www.jstor.org/stable/1146965" TargetMode="External"/><Relationship Id="rId25" Type="http://schemas.openxmlformats.org/officeDocument/2006/relationships/hyperlink" Target="https://nichibun.repo.nii.ac.jp/?action=pages_view_main%26active_action=repository_view_main_item_detail%26item_id=1278%26item_no=1%26page_id=41%26block_id=63" TargetMode="External"/><Relationship Id="rId33" Type="http://schemas.openxmlformats.org/officeDocument/2006/relationships/hyperlink" Target="https://issuu.com/filipinasheritagelibrary/docs/amorsolo__1892-1972?e=18015266/13603178" TargetMode="External"/><Relationship Id="rId38" Type="http://schemas.openxmlformats.org/officeDocument/2006/relationships/hyperlink" Target="https://www.saatchiart.com/Gromyko" TargetMode="External"/><Relationship Id="rId20" Type="http://schemas.openxmlformats.org/officeDocument/2006/relationships/hyperlink" Target="https://doi.org/10.1080/07407700701246448" TargetMode="External"/><Relationship Id="rId41" Type="http://schemas.openxmlformats.org/officeDocument/2006/relationships/hyperlink" Target="http://worker01.e-flux.com/pdf/article_90053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2505</Words>
  <Characters>15185</Characters>
  <Application>Microsoft Office Word</Application>
  <DocSecurity>0</DocSecurity>
  <Lines>309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R. Caliguia Iii</dc:creator>
  <cp:keywords/>
  <dc:description/>
  <cp:lastModifiedBy>Gregorio R. Caliguia Iii</cp:lastModifiedBy>
  <cp:revision>2</cp:revision>
  <dcterms:created xsi:type="dcterms:W3CDTF">2024-01-29T11:18:00Z</dcterms:created>
  <dcterms:modified xsi:type="dcterms:W3CDTF">2024-01-29T12:10:00Z</dcterms:modified>
</cp:coreProperties>
</file>