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5FB" w:rsidRDefault="00A52AB3" w:rsidP="00A52AB3">
      <w:pPr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  <w:r w:rsidRPr="00A52AB3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Abstract</w:t>
      </w:r>
    </w:p>
    <w:p w:rsidR="000365FB" w:rsidRDefault="000365FB" w:rsidP="00A52AB3">
      <w:pPr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</w:p>
    <w:p w:rsidR="000365FB" w:rsidRDefault="000365FB" w:rsidP="00A52AB3">
      <w:pPr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</w:p>
    <w:p w:rsidR="00D418C7" w:rsidRDefault="00A52AB3" w:rsidP="000365FB">
      <w:pPr>
        <w:jc w:val="center"/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0365F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‘To be or not to be’: The Biocentric </w:t>
      </w:r>
      <w:r w:rsidRPr="000365FB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  <w:t>Hamlet</w:t>
      </w:r>
    </w:p>
    <w:p w:rsidR="000365FB" w:rsidRDefault="000365FB" w:rsidP="000365FB">
      <w:pPr>
        <w:jc w:val="center"/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</w:pPr>
    </w:p>
    <w:p w:rsidR="000365FB" w:rsidRDefault="000365FB" w:rsidP="000365FB">
      <w:pPr>
        <w:jc w:val="center"/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  <w:t>By</w:t>
      </w:r>
    </w:p>
    <w:p w:rsidR="000365FB" w:rsidRPr="000365FB" w:rsidRDefault="000365FB" w:rsidP="000365FB">
      <w:pPr>
        <w:jc w:val="center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0365F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en-GB"/>
          <w14:ligatures w14:val="none"/>
        </w:rPr>
        <w:t>Jennifer Clare Chapman</w:t>
      </w:r>
    </w:p>
    <w:p w:rsidR="00A52AB3" w:rsidRPr="00A52AB3" w:rsidRDefault="00A52AB3" w:rsidP="00A52AB3">
      <w:pPr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</w:p>
    <w:p w:rsidR="00D418C7" w:rsidRPr="0002566A" w:rsidRDefault="00D418C7" w:rsidP="00D418C7">
      <w:pPr>
        <w:jc w:val="both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</w:pPr>
    </w:p>
    <w:p w:rsidR="00D418C7" w:rsidRPr="0002566A" w:rsidRDefault="00D418C7" w:rsidP="00FE3078">
      <w:pPr>
        <w:spacing w:line="480" w:lineRule="auto"/>
        <w:jc w:val="both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</w:pP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William Shakespeare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i/>
          <w:iCs/>
          <w:color w:val="252525"/>
          <w:kern w:val="0"/>
          <w:shd w:val="clear" w:color="auto" w:fill="FFFFFF"/>
          <w:lang w:eastAsia="en-GB"/>
          <w14:ligatures w14:val="none"/>
        </w:rPr>
        <w:t>Hamlet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="00A52AB3">
        <w:rPr>
          <w:rStyle w:val="FootnoteReference"/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footnoteReference w:id="1"/>
      </w:r>
      <w:sdt>
        <w:sdtPr>
          <w:rPr>
            <w:rFonts w:ascii="Times New Roman" w:eastAsia="Times New Roman" w:hAnsi="Times New Roman" w:cs="Times New Roman"/>
            <w:color w:val="252525"/>
            <w:kern w:val="0"/>
            <w:shd w:val="clear" w:color="auto" w:fill="FFFFFF"/>
            <w:lang w:eastAsia="en-GB"/>
            <w14:ligatures w14:val="none"/>
          </w:rPr>
          <w:id w:val="-1404213623"/>
          <w:citation/>
        </w:sdtPr>
        <w:sdtContent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begin"/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instrText xml:space="preserve"> CITATION Sha11 \l 2057 </w:instrText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separate"/>
          </w:r>
          <w:r w:rsidR="000365FB">
            <w:rPr>
              <w:rFonts w:ascii="Times New Roman" w:eastAsia="Times New Roman" w:hAnsi="Times New Roman" w:cs="Times New Roman"/>
              <w:noProof/>
              <w:color w:val="252525"/>
              <w:kern w:val="0"/>
              <w:shd w:val="clear" w:color="auto" w:fill="FFFFFF"/>
              <w:lang w:eastAsia="en-GB"/>
              <w14:ligatures w14:val="none"/>
            </w:rPr>
            <w:t xml:space="preserve"> </w:t>
          </w:r>
          <w:r w:rsidR="000365FB" w:rsidRPr="000365FB">
            <w:rPr>
              <w:rFonts w:ascii="Times New Roman" w:eastAsia="Times New Roman" w:hAnsi="Times New Roman" w:cs="Times New Roman"/>
              <w:noProof/>
              <w:color w:val="252525"/>
              <w:kern w:val="0"/>
              <w:shd w:val="clear" w:color="auto" w:fill="FFFFFF"/>
              <w:lang w:eastAsia="en-GB"/>
              <w14:ligatures w14:val="none"/>
            </w:rPr>
            <w:t>(Shakespeare, 2011)</w:t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end"/>
          </w:r>
        </w:sdtContent>
      </w:sdt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has long stood as a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paradigm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of literary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study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, inviting diverse interpretations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.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Central to its enigmatic appeal is the contemplative soliloquy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To be or not to be,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which encapsulates the existential deliberations of its eponymous protagonist. This paper posits that within this contemplation lies a deeper resonance with the philosophical doctrine of biocentrism—a perspective that prioriti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es the intrinsic value of all living entities, acknowledging their interconnectedness and conscious experiences. By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interweaving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the thematic tapestry of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i/>
          <w:iCs/>
          <w:color w:val="252525"/>
          <w:kern w:val="0"/>
          <w:shd w:val="clear" w:color="auto" w:fill="FFFFFF"/>
          <w:lang w:eastAsia="en-GB"/>
          <w14:ligatures w14:val="none"/>
        </w:rPr>
        <w:t>Hamlet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with biocentric thought, this research elucidates the play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latent environmental and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moral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dimensions, offering novel insights into Hamlet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psyche and the play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broader metaphysical implications. </w:t>
      </w:r>
    </w:p>
    <w:p w:rsidR="00D418C7" w:rsidRPr="0002566A" w:rsidRDefault="00D418C7" w:rsidP="00D418C7">
      <w:pPr>
        <w:jc w:val="both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</w:pPr>
    </w:p>
    <w:p w:rsidR="00FE3078" w:rsidRDefault="00D418C7" w:rsidP="00FE307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</w:pP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Biocentrism, first articulated in contemporary discourse by figures such as Robert Lanza, extends beyond anthropocentric paradigms to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suggest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a profound egalitarianism among living entities</w:t>
      </w:r>
      <w:r w:rsidR="00FE3078">
        <w:rPr>
          <w:rStyle w:val="FootnoteReference"/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footnoteReference w:id="2"/>
      </w:r>
      <w:sdt>
        <w:sdtPr>
          <w:rPr>
            <w:rFonts w:ascii="Times New Roman" w:eastAsia="Times New Roman" w:hAnsi="Times New Roman" w:cs="Times New Roman"/>
            <w:color w:val="252525"/>
            <w:kern w:val="0"/>
            <w:shd w:val="clear" w:color="auto" w:fill="FFFFFF"/>
            <w:lang w:eastAsia="en-GB"/>
            <w14:ligatures w14:val="none"/>
          </w:rPr>
          <w:id w:val="1674993047"/>
          <w:citation/>
        </w:sdtPr>
        <w:sdtContent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begin"/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instrText xml:space="preserve"> CITATION Ber09 \l 2057 </w:instrText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separate"/>
          </w:r>
          <w:r w:rsidR="000365FB">
            <w:rPr>
              <w:rFonts w:ascii="Times New Roman" w:eastAsia="Times New Roman" w:hAnsi="Times New Roman" w:cs="Times New Roman"/>
              <w:noProof/>
              <w:color w:val="252525"/>
              <w:kern w:val="0"/>
              <w:shd w:val="clear" w:color="auto" w:fill="FFFFFF"/>
              <w:lang w:eastAsia="en-GB"/>
              <w14:ligatures w14:val="none"/>
            </w:rPr>
            <w:t xml:space="preserve"> </w:t>
          </w:r>
          <w:r w:rsidR="000365FB" w:rsidRPr="000365FB">
            <w:rPr>
              <w:rFonts w:ascii="Times New Roman" w:eastAsia="Times New Roman" w:hAnsi="Times New Roman" w:cs="Times New Roman"/>
              <w:noProof/>
              <w:color w:val="252525"/>
              <w:kern w:val="0"/>
              <w:shd w:val="clear" w:color="auto" w:fill="FFFFFF"/>
              <w:lang w:eastAsia="en-GB"/>
              <w14:ligatures w14:val="none"/>
            </w:rPr>
            <w:t>(Berman, 2009)</w:t>
          </w:r>
          <w:r w:rsidR="000365FB">
            <w:rPr>
              <w:rFonts w:ascii="Times New Roman" w:eastAsia="Times New Roman" w:hAnsi="Times New Roman" w:cs="Times New Roman"/>
              <w:color w:val="252525"/>
              <w:kern w:val="0"/>
              <w:shd w:val="clear" w:color="auto" w:fill="FFFFFF"/>
              <w:lang w:eastAsia="en-GB"/>
              <w14:ligatures w14:val="none"/>
            </w:rPr>
            <w:fldChar w:fldCharType="end"/>
          </w:r>
        </w:sdtContent>
      </w:sdt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It argues for the centrality of life and consciousness in understanding the universe, thus challenging the long-held human-centric view of existence.</w:t>
      </w:r>
      <w:r w:rsidR="00FE3078">
        <w:rPr>
          <w:rStyle w:val="FootnoteReference"/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footnoteReference w:id="3"/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By juxtaposing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i/>
          <w:iCs/>
          <w:color w:val="252525"/>
          <w:kern w:val="0"/>
          <w:shd w:val="clear" w:color="auto" w:fill="FFFFFF"/>
          <w:lang w:eastAsia="en-GB"/>
          <w14:ligatures w14:val="none"/>
        </w:rPr>
        <w:t>Hamlet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with biocentric principles, this analysis reveals an alternative framework through which to interpret the play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examination of life, death, and humanity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place in the natural order. The soliloquy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meditation on existence and non-existence—often read as a personal existential crisis—can be reinterpreted through the lens of biocentrism as 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lastRenderedPageBreak/>
        <w:t>reflecting a universal crisis, one that extends beyond the individual to encompass all life forms. Such a perspective not only reinvigorates the analysis of Hamlet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internal conflict but also compels a re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-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evaluation of the play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ethical underpinnings, particularly in relation to the environment and the non-human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others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that inhabit it. </w:t>
      </w:r>
    </w:p>
    <w:p w:rsidR="00FE3078" w:rsidRDefault="00FE3078" w:rsidP="00D418C7">
      <w:pPr>
        <w:jc w:val="both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</w:pPr>
    </w:p>
    <w:p w:rsidR="00D418C7" w:rsidRPr="00B47BDE" w:rsidRDefault="00D418C7" w:rsidP="00FE307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In pursuing this inquiry, this paper will navigate through the intricate layers of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i/>
          <w:iCs/>
          <w:color w:val="252525"/>
          <w:kern w:val="0"/>
          <w:shd w:val="clear" w:color="auto" w:fill="FFFFFF"/>
          <w:lang w:eastAsia="en-GB"/>
          <w14:ligatures w14:val="none"/>
        </w:rPr>
        <w:t>Hamlet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,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deconstructing the play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engagement with life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s sanctity and the inherent connection between all sentient beings. It aims to contribute to scholarly discourse by inviting reconsiderations of classic literature through contemporary philosophical prisms, asserting that such cross-disciplinary dialogues can illuminate timeless texts in transformative ways. This introduction sets the stage for a complex exploration of Shakespeare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s work through a modern philosophical framework. It positions the paper at the intersection of literary analysis and environmental ethics, promising a fresh and academically rigorous investigation of 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‘</w:t>
      </w:r>
      <w:r w:rsidRPr="00B47BDE">
        <w:rPr>
          <w:rFonts w:ascii="Times New Roman" w:eastAsia="Times New Roman" w:hAnsi="Times New Roman" w:cs="Times New Roman"/>
          <w:i/>
          <w:iCs/>
          <w:color w:val="252525"/>
          <w:kern w:val="0"/>
          <w:shd w:val="clear" w:color="auto" w:fill="FFFFFF"/>
          <w:lang w:eastAsia="en-GB"/>
          <w14:ligatures w14:val="none"/>
        </w:rPr>
        <w:t>Hamlet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.</w:t>
      </w:r>
      <w:r w:rsidRPr="0002566A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>’</w:t>
      </w:r>
      <w:r w:rsidRPr="00B47BDE"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en-GB"/>
          <w14:ligatures w14:val="none"/>
        </w:rPr>
        <w:t xml:space="preserve"> </w:t>
      </w:r>
    </w:p>
    <w:p w:rsidR="00D418C7" w:rsidRPr="0002566A" w:rsidRDefault="00D418C7" w:rsidP="00FE3078">
      <w:pPr>
        <w:spacing w:line="480" w:lineRule="auto"/>
        <w:rPr>
          <w:rFonts w:ascii="Times New Roman" w:hAnsi="Times New Roman" w:cs="Times New Roman"/>
        </w:rPr>
      </w:pPr>
    </w:p>
    <w:p w:rsidR="000365FB" w:rsidRDefault="000365FB" w:rsidP="000365FB"/>
    <w:sdt>
      <w:sdtPr>
        <w:id w:val="-91215863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n-GB" w:bidi="ar-SA"/>
          <w14:ligatures w14:val="standardContextual"/>
        </w:rPr>
      </w:sdtEndPr>
      <w:sdtContent>
        <w:p w:rsidR="000365FB" w:rsidRPr="000365FB" w:rsidRDefault="000365FB">
          <w:pPr>
            <w:pStyle w:val="Heading1"/>
            <w:rPr>
              <w:rFonts w:ascii="Times New Roman" w:hAnsi="Times New Roman" w:cs="Times New Roman"/>
            </w:rPr>
          </w:pPr>
          <w:r w:rsidRPr="000365FB">
            <w:rPr>
              <w:rFonts w:ascii="Times New Roman" w:hAnsi="Times New Roman" w:cs="Times New Roman"/>
            </w:rPr>
            <w:t>Bibliography</w:t>
          </w:r>
        </w:p>
        <w:p w:rsidR="000365FB" w:rsidRPr="000365FB" w:rsidRDefault="000365FB" w:rsidP="000365FB">
          <w:pPr>
            <w:rPr>
              <w:lang w:val="en-US" w:bidi="en-US"/>
            </w:rPr>
          </w:pPr>
        </w:p>
        <w:sdt>
          <w:sdtPr>
            <w:rPr>
              <w:rFonts w:ascii="Times New Roman" w:hAnsi="Times New Roman" w:cs="Times New Roman"/>
            </w:rPr>
            <w:id w:val="-2045046744"/>
            <w:bibliography/>
          </w:sdtPr>
          <w:sdtContent>
            <w:p w:rsidR="000365FB" w:rsidRDefault="000365FB" w:rsidP="000365FB">
              <w:pPr>
                <w:pStyle w:val="Bibliography"/>
                <w:rPr>
                  <w:rFonts w:ascii="Times New Roman" w:hAnsi="Times New Roman" w:cs="Times New Roman"/>
                  <w:noProof/>
                  <w:lang w:val="en-US"/>
                </w:rPr>
              </w:pPr>
              <w:r w:rsidRPr="000365FB">
                <w:rPr>
                  <w:rFonts w:ascii="Times New Roman" w:hAnsi="Times New Roman" w:cs="Times New Roman"/>
                </w:rPr>
                <w:fldChar w:fldCharType="begin"/>
              </w:r>
              <w:r w:rsidRPr="000365FB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0365FB">
                <w:rPr>
                  <w:rFonts w:ascii="Times New Roman" w:hAnsi="Times New Roman" w:cs="Times New Roman"/>
                </w:rPr>
                <w:fldChar w:fldCharType="separate"/>
              </w:r>
              <w:r w:rsidRPr="000365FB">
                <w:rPr>
                  <w:rFonts w:ascii="Times New Roman" w:hAnsi="Times New Roman" w:cs="Times New Roman"/>
                  <w:noProof/>
                  <w:lang w:val="en-US"/>
                </w:rPr>
                <w:t xml:space="preserve">Berman, R. L. a. B., 2009. </w:t>
              </w:r>
              <w:r w:rsidRPr="000365FB">
                <w:rPr>
                  <w:rFonts w:ascii="Times New Roman" w:hAnsi="Times New Roman" w:cs="Times New Roman"/>
                  <w:i/>
                  <w:iCs/>
                  <w:noProof/>
                  <w:lang w:val="en-US"/>
                </w:rPr>
                <w:t xml:space="preserve">Biocentrism: How life and Consciousness are keys to understanding the true nature of the Universe. </w:t>
              </w:r>
              <w:r w:rsidRPr="000365FB">
                <w:rPr>
                  <w:rFonts w:ascii="Times New Roman" w:hAnsi="Times New Roman" w:cs="Times New Roman"/>
                  <w:noProof/>
                  <w:lang w:val="en-US"/>
                </w:rPr>
                <w:t>Dallas: BenBella Books, Inc.</w:t>
              </w:r>
            </w:p>
            <w:p w:rsidR="002C0238" w:rsidRPr="002C0238" w:rsidRDefault="002C0238" w:rsidP="002C0238">
              <w:pPr>
                <w:rPr>
                  <w:lang w:val="en-US"/>
                </w:rPr>
              </w:pPr>
            </w:p>
            <w:p w:rsidR="000365FB" w:rsidRPr="000365FB" w:rsidRDefault="000365FB" w:rsidP="000365FB">
              <w:pPr>
                <w:pStyle w:val="Bibliography"/>
                <w:rPr>
                  <w:rFonts w:ascii="Times New Roman" w:hAnsi="Times New Roman" w:cs="Times New Roman"/>
                  <w:noProof/>
                  <w:lang w:val="en-US"/>
                </w:rPr>
              </w:pPr>
              <w:r w:rsidRPr="000365FB">
                <w:rPr>
                  <w:rFonts w:ascii="Times New Roman" w:hAnsi="Times New Roman" w:cs="Times New Roman"/>
                  <w:noProof/>
                  <w:lang w:val="en-US"/>
                </w:rPr>
                <w:t xml:space="preserve">Shakespeare, W., 2011. </w:t>
              </w:r>
              <w:r w:rsidRPr="000365FB">
                <w:rPr>
                  <w:rFonts w:ascii="Times New Roman" w:hAnsi="Times New Roman" w:cs="Times New Roman"/>
                  <w:i/>
                  <w:iCs/>
                  <w:noProof/>
                  <w:lang w:val="en-US"/>
                </w:rPr>
                <w:t xml:space="preserve">The Arden Shakespeare Complete works. </w:t>
              </w:r>
              <w:r w:rsidRPr="000365FB">
                <w:rPr>
                  <w:rFonts w:ascii="Times New Roman" w:hAnsi="Times New Roman" w:cs="Times New Roman"/>
                  <w:noProof/>
                  <w:lang w:val="en-US"/>
                </w:rPr>
                <w:t>London: Bloomsbury Arden Shakespeare.</w:t>
              </w:r>
            </w:p>
            <w:p w:rsidR="000365FB" w:rsidRDefault="000365FB" w:rsidP="000365FB">
              <w:r w:rsidRPr="000365FB">
                <w:rPr>
                  <w:rFonts w:ascii="Times New Roman" w:hAnsi="Times New Roman" w:cs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D418C7" w:rsidRDefault="00D418C7" w:rsidP="00FE3078">
      <w:pPr>
        <w:spacing w:line="480" w:lineRule="auto"/>
      </w:pPr>
    </w:p>
    <w:sectPr w:rsidR="00D4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70CC" w:rsidRDefault="002F70CC" w:rsidP="00FE3078">
      <w:r>
        <w:separator/>
      </w:r>
    </w:p>
  </w:endnote>
  <w:endnote w:type="continuationSeparator" w:id="0">
    <w:p w:rsidR="002F70CC" w:rsidRDefault="002F70CC" w:rsidP="00FE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70CC" w:rsidRDefault="002F70CC" w:rsidP="00FE3078">
      <w:r>
        <w:separator/>
      </w:r>
    </w:p>
  </w:footnote>
  <w:footnote w:type="continuationSeparator" w:id="0">
    <w:p w:rsidR="002F70CC" w:rsidRDefault="002F70CC" w:rsidP="00FE3078">
      <w:r>
        <w:continuationSeparator/>
      </w:r>
    </w:p>
  </w:footnote>
  <w:footnote w:id="1">
    <w:p w:rsidR="00A52AB3" w:rsidRDefault="00A52AB3">
      <w:pPr>
        <w:pStyle w:val="FootnoteText"/>
      </w:pPr>
    </w:p>
  </w:footnote>
  <w:footnote w:id="2">
    <w:p w:rsidR="00FE3078" w:rsidRPr="00CA7D9A" w:rsidRDefault="00FE3078">
      <w:pPr>
        <w:pStyle w:val="FootnoteText"/>
        <w:rPr>
          <w:rFonts w:ascii="Times New Roman" w:hAnsi="Times New Roman" w:cs="Times New Roman"/>
          <w:i/>
          <w:iCs/>
        </w:rPr>
      </w:pPr>
    </w:p>
  </w:footnote>
  <w:footnote w:id="3">
    <w:p w:rsidR="00FE3078" w:rsidRPr="00CA7D9A" w:rsidRDefault="00FE3078">
      <w:pPr>
        <w:pStyle w:val="FootnoteText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C7"/>
    <w:rsid w:val="000365FB"/>
    <w:rsid w:val="00157B9E"/>
    <w:rsid w:val="002C0238"/>
    <w:rsid w:val="002F70CC"/>
    <w:rsid w:val="00A52AB3"/>
    <w:rsid w:val="00CA7D9A"/>
    <w:rsid w:val="00D418C7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7838"/>
  <w15:chartTrackingRefBased/>
  <w15:docId w15:val="{A43E456D-F30A-B742-9165-233ED846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C7"/>
  </w:style>
  <w:style w:type="paragraph" w:styleId="Heading1">
    <w:name w:val="heading 1"/>
    <w:basedOn w:val="Normal"/>
    <w:next w:val="Normal"/>
    <w:link w:val="Heading1Char"/>
    <w:uiPriority w:val="9"/>
    <w:qFormat/>
    <w:rsid w:val="000365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30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0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5F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bidi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3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Sha11</b:Tag>
    <b:SourceType>Book</b:SourceType>
    <b:Guid>{0060FCD5-E52C-6141-BB89-8A395F72D69D}</b:Guid>
    <b:Author>
      <b:Author>
        <b:NameList>
          <b:Person>
            <b:Last>Shakespeare</b:Last>
            <b:First>William</b:First>
          </b:Person>
        </b:NameList>
      </b:Author>
      <b:Editor>
        <b:NameList>
          <b:Person>
            <b:Last>Richard Proudfoot</b:Last>
            <b:First>Ann</b:First>
            <b:Middle>Thompson et al</b:Middle>
          </b:Person>
        </b:NameList>
      </b:Editor>
    </b:Author>
    <b:Title>The Arden Shakespeare Complete works</b:Title>
    <b:City>London</b:City>
    <b:Publisher>Bloomsbury Arden Shakespeare</b:Publisher>
    <b:Year>2011</b:Year>
    <b:CountryRegion>United Kingdm</b:CountryRegion>
    <b:RefOrder>1</b:RefOrder>
  </b:Source>
  <b:Source>
    <b:Tag>Ber09</b:Tag>
    <b:SourceType>Book</b:SourceType>
    <b:Guid>{36A97944-B937-1B47-8770-BE5578C485CC}</b:Guid>
    <b:Author>
      <b:Author>
        <b:NameList>
          <b:Person>
            <b:Last>Berman</b:Last>
            <b:First>Robert</b:First>
            <b:Middle>Lanza and Bob</b:Middle>
          </b:Person>
        </b:NameList>
      </b:Author>
    </b:Author>
    <b:Title>Biocentrism: How life and Consciousness are keys to understanding the true nature of the Universe</b:Title>
    <b:City>Dallas</b:City>
    <b:Publisher>BenBella Books, Inc</b:Publisher>
    <b:Year>2009</b:Year>
    <b:RefOrder>2</b:RefOrder>
  </b:Source>
</b:Sources>
</file>

<file path=customXml/itemProps1.xml><?xml version="1.0" encoding="utf-8"?>
<ds:datastoreItem xmlns:ds="http://schemas.openxmlformats.org/officeDocument/2006/customXml" ds:itemID="{90D155A8-0BBD-6C44-8893-0FA3DA8A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chapman</dc:creator>
  <cp:keywords/>
  <dc:description/>
  <cp:lastModifiedBy>jennifer chapman</cp:lastModifiedBy>
  <cp:revision>2</cp:revision>
  <dcterms:created xsi:type="dcterms:W3CDTF">2024-03-11T11:30:00Z</dcterms:created>
  <dcterms:modified xsi:type="dcterms:W3CDTF">2024-03-11T11:30:00Z</dcterms:modified>
</cp:coreProperties>
</file>