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1D" w:rsidRPr="002025F0" w:rsidRDefault="00C03F1D" w:rsidP="00C03F1D">
      <w:pPr>
        <w:spacing w:after="0" w:line="240" w:lineRule="auto"/>
        <w:ind w:firstLine="709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</w:rPr>
      </w:pPr>
      <w:bookmarkStart w:id="0" w:name="_GoBack"/>
      <w:r w:rsidRPr="002025F0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Чешко В. Ф. </w:t>
      </w:r>
    </w:p>
    <w:p w:rsidR="00C03F1D" w:rsidRPr="002025F0" w:rsidRDefault="00C03F1D" w:rsidP="00C03F1D">
      <w:pPr>
        <w:spacing w:after="0" w:line="240" w:lineRule="auto"/>
        <w:ind w:firstLine="709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</w:rPr>
      </w:pPr>
      <w:r w:rsidRPr="002025F0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uk-UA"/>
        </w:rPr>
        <w:t>Коннова Н. А.</w:t>
      </w:r>
    </w:p>
    <w:p w:rsidR="00C03F1D" w:rsidRPr="002025F0" w:rsidRDefault="00C03F1D" w:rsidP="00C03F1D">
      <w:pPr>
        <w:spacing w:after="0" w:line="240" w:lineRule="auto"/>
        <w:ind w:firstLine="709"/>
        <w:jc w:val="right"/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uk-UA"/>
        </w:rPr>
      </w:pPr>
      <w:r w:rsidRPr="002025F0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uk-UA"/>
        </w:rPr>
        <w:t>Харківський національний економічний університет ім. С. Кузнеца</w:t>
      </w:r>
    </w:p>
    <w:p w:rsidR="00C03F1D" w:rsidRPr="002025F0" w:rsidRDefault="00C03F1D" w:rsidP="00C03F1D">
      <w:pPr>
        <w:spacing w:after="0" w:line="240" w:lineRule="auto"/>
        <w:ind w:firstLine="709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uk-UA"/>
        </w:rPr>
      </w:pP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2025F0">
        <w:rPr>
          <w:rFonts w:asciiTheme="majorBidi" w:hAnsiTheme="majorBidi"/>
          <w:b/>
          <w:sz w:val="28"/>
          <w:lang w:val="uk-UA"/>
        </w:rPr>
        <w:t>БІОЕТИКА ТА БІОПОЛІТИКА В ГЛОБАЛЬНО-ЕВОЛЮЦІЙНОМУ КОНТЕКСТІ ЦИВІЛІЗАЦІЙНОЇ КРИЗИ (ПАНДЕМІЯ COVID-19 ЯК ІНДИКАТОР ЕКЗИСТЕНЦІАЛЬНОГО ЕВОЛЮЦІЙНОГО РИЗИКУ АНТРОПОЦЕНА)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uk-UA"/>
        </w:rPr>
      </w:pPr>
    </w:p>
    <w:p w:rsidR="00C03F1D" w:rsidRPr="002025F0" w:rsidRDefault="00C03F1D" w:rsidP="00C03F1D">
      <w:pPr>
        <w:spacing w:after="0" w:line="240" w:lineRule="auto"/>
        <w:ind w:left="2124" w:firstLine="709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2025F0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“</w:t>
      </w:r>
      <w:r w:rsidRPr="002025F0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uk-UA"/>
        </w:rPr>
        <w:t>Людина є генетичною машиною штучних катастроф" [29]</w:t>
      </w:r>
    </w:p>
    <w:p w:rsidR="00C03F1D" w:rsidRPr="002025F0" w:rsidRDefault="00C03F1D" w:rsidP="00C03F1D">
      <w:pPr>
        <w:spacing w:after="0" w:line="240" w:lineRule="auto"/>
        <w:ind w:left="2124" w:firstLine="709"/>
        <w:jc w:val="right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Винесена в епіграф цитата характерна швидше для домінуючої установки сучасної цивілізації, а не наукового дослідження. Проте вона чітко характеризує сучасну глобальну еволюційну ситуацію.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>Епідемію атипової пневмонії COVID-19 назвали хворобою антропоцена приблизно через три місяці після її прояву [30,20 et al]. На наш погляд це також справедливо. Короновирусная пандемія, як і її попередники – СНІД, лихоманка Ебола та ін. є свідченням еволюційної нестабільності соціокультурно-екологічної ніші, створеної самою людиною як основного чинника еволюційного успіху нашого біологічного виду і створеної ним цивілізації. Принаймні це стосується сучасної глобальної цивілізації, яка хоча існує в декількох різновидах, але, у будь-якому випадку, носить назву техногенної або технологічної.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Але сучасна криза, як ми намагаємося показати, має не стільки онтологічні, скільки епістемічні корені, її причина полягає в основних еволюційних трендах розвитку науки як соціального інституту. І лише потім епістемічні чинники трансформувалися в екзистенціально-онтологічні, пов'язані з самим існуванням цивілізації та нашою біосоціальною природою.</w:t>
      </w:r>
    </w:p>
    <w:p w:rsidR="00C03F1D" w:rsidRPr="002025F0" w:rsidRDefault="00C03F1D" w:rsidP="00801FF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/>
          <w:sz w:val="28"/>
          <w:lang w:val="uk-UA"/>
        </w:rPr>
        <w:t>Як зазначав Ульрих Бек у своїй класичній роботі [9], сприйняття або ігнорування чинника ризику як реального факту, визначається наявністю або відсутністю знання про нього, інакше говорячи</w:t>
      </w:r>
      <w:r w:rsidR="00801FFA" w:rsidRPr="002025F0">
        <w:rPr>
          <w:rFonts w:asciiTheme="majorBidi" w:hAnsiTheme="majorBidi"/>
          <w:sz w:val="28"/>
          <w:lang w:val="uk-UA"/>
        </w:rPr>
        <w:t xml:space="preserve">, </w:t>
      </w:r>
      <w:r w:rsidR="00801FFA" w:rsidRPr="002025F0">
        <w:rPr>
          <w:rFonts w:asciiTheme="majorBidi" w:hAnsiTheme="majorBidi" w:cstheme="majorBidi"/>
          <w:sz w:val="28"/>
          <w:lang w:val="uk-UA"/>
        </w:rPr>
        <w:t>−</w:t>
      </w:r>
      <w:r w:rsidR="00801FFA" w:rsidRPr="002025F0">
        <w:rPr>
          <w:lang w:val="uk-UA"/>
        </w:rPr>
        <w:t xml:space="preserve"> </w:t>
      </w:r>
      <w:r w:rsidR="00801FFA" w:rsidRPr="002025F0">
        <w:rPr>
          <w:rFonts w:asciiTheme="majorBidi" w:hAnsiTheme="majorBidi" w:cstheme="majorBidi"/>
          <w:sz w:val="28"/>
          <w:lang w:val="uk-UA"/>
        </w:rPr>
        <w:t>існуванням (а</w:t>
      </w:r>
      <w:r w:rsidR="00801FFA" w:rsidRPr="002025F0">
        <w:rPr>
          <w:rFonts w:asciiTheme="majorBidi" w:hAnsiTheme="majorBidi"/>
          <w:sz w:val="28"/>
          <w:lang w:val="uk-UA"/>
        </w:rPr>
        <w:t xml:space="preserve">бо неіснуванням) </w:t>
      </w:r>
      <w:r w:rsidRPr="002025F0">
        <w:rPr>
          <w:rFonts w:asciiTheme="majorBidi" w:hAnsiTheme="majorBidi"/>
          <w:sz w:val="28"/>
          <w:lang w:val="uk-UA"/>
        </w:rPr>
        <w:t>онтологічно</w:t>
      </w:r>
      <w:r w:rsidR="00801FFA" w:rsidRPr="002025F0">
        <w:rPr>
          <w:rFonts w:asciiTheme="majorBidi" w:hAnsiTheme="majorBidi"/>
          <w:sz w:val="28"/>
          <w:lang w:val="uk-UA"/>
        </w:rPr>
        <w:t xml:space="preserve">го </w:t>
      </w:r>
      <w:r w:rsidRPr="002025F0">
        <w:rPr>
          <w:rFonts w:asciiTheme="majorBidi" w:hAnsiTheme="majorBidi"/>
          <w:sz w:val="28"/>
          <w:lang w:val="uk-UA"/>
        </w:rPr>
        <w:t>концепту, інтегрованого в загальний категоріальний каркас [12]. Множинність таких каркасів є відмінною особливістю мультидисциплінарних онтологій, кожна з яких</w:t>
      </w:r>
      <w:r w:rsidRPr="002025F0">
        <w:rPr>
          <w:lang w:val="uk-UA"/>
        </w:rPr>
        <w:t xml:space="preserve"> </w:t>
      </w:r>
      <w:r w:rsidRPr="002025F0">
        <w:rPr>
          <w:rStyle w:val="hiddenspellerror"/>
          <w:rFonts w:asciiTheme="majorBidi" w:hAnsiTheme="majorBidi"/>
          <w:sz w:val="28"/>
          <w:lang w:val="uk-UA"/>
        </w:rPr>
        <w:t>прив</w:t>
      </w:r>
      <w:r w:rsidRPr="002025F0">
        <w:rPr>
          <w:rStyle w:val="hiddenspellerror"/>
          <w:rFonts w:asciiTheme="majorBidi" w:hAnsiTheme="majorBidi"/>
          <w:sz w:val="28"/>
        </w:rPr>
        <w:t>’</w:t>
      </w:r>
      <w:r w:rsidRPr="002025F0">
        <w:rPr>
          <w:rStyle w:val="hiddenspellerror"/>
          <w:rFonts w:asciiTheme="majorBidi" w:hAnsiTheme="majorBidi"/>
          <w:sz w:val="28"/>
          <w:lang w:val="uk-UA"/>
        </w:rPr>
        <w:t>язана</w:t>
      </w:r>
      <w:r w:rsidRPr="002025F0">
        <w:rPr>
          <w:lang w:val="uk-UA"/>
        </w:rPr>
        <w:t xml:space="preserve"> </w:t>
      </w:r>
      <w:r w:rsidRPr="002025F0">
        <w:rPr>
          <w:rFonts w:asciiTheme="majorBidi" w:hAnsiTheme="majorBidi"/>
          <w:sz w:val="28"/>
          <w:lang w:val="uk-UA"/>
        </w:rPr>
        <w:t>до власного фактуального континууму.</w:t>
      </w:r>
    </w:p>
    <w:p w:rsidR="00C03F1D" w:rsidRPr="002025F0" w:rsidRDefault="00C03F1D" w:rsidP="00FD2E2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2025F0">
        <w:rPr>
          <w:rFonts w:asciiTheme="majorBidi" w:hAnsiTheme="majorBidi"/>
          <w:sz w:val="28"/>
          <w:lang w:val="uk-UA"/>
        </w:rPr>
        <w:t xml:space="preserve">Метою </w:t>
      </w:r>
      <w:r w:rsidR="00FD2E21" w:rsidRPr="002025F0">
        <w:rPr>
          <w:rFonts w:asciiTheme="majorBidi" w:hAnsiTheme="majorBidi"/>
          <w:sz w:val="28"/>
          <w:lang w:val="uk-UA"/>
        </w:rPr>
        <w:t>ць</w:t>
      </w:r>
      <w:r w:rsidRPr="002025F0">
        <w:rPr>
          <w:rFonts w:asciiTheme="majorBidi" w:hAnsiTheme="majorBidi"/>
          <w:sz w:val="28"/>
          <w:lang w:val="uk-UA"/>
        </w:rPr>
        <w:t>ого дослідження було концептуальне моделювання підтримки релятивістського параметра еволюційної ефективності стабільної еволюційної стратегії людини (SESH) усередині її</w:t>
      </w:r>
      <w:r w:rsidRPr="002025F0">
        <w:rPr>
          <w:lang w:val="uk-UA"/>
        </w:rPr>
        <w:t xml:space="preserve"> </w:t>
      </w:r>
      <w:r w:rsidRPr="002025F0">
        <w:rPr>
          <w:rStyle w:val="hiddenspellerror"/>
          <w:rFonts w:asciiTheme="majorBidi" w:hAnsiTheme="majorBidi"/>
          <w:sz w:val="28"/>
          <w:lang w:val="uk-UA"/>
        </w:rPr>
        <w:t>технораціоналістичного</w:t>
      </w:r>
      <w:r w:rsidRPr="002025F0">
        <w:rPr>
          <w:lang w:val="uk-UA"/>
        </w:rPr>
        <w:t xml:space="preserve"> </w:t>
      </w:r>
      <w:r w:rsidRPr="002025F0">
        <w:rPr>
          <w:rFonts w:asciiTheme="majorBidi" w:hAnsiTheme="majorBidi"/>
          <w:sz w:val="28"/>
          <w:lang w:val="uk-UA"/>
        </w:rPr>
        <w:t>модуля. Зміст цього терміну еквівалентний категорії науково-технологічного розвитку в соціоекономічних дисциплінах.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C03F1D" w:rsidRPr="002025F0" w:rsidRDefault="00C03F1D" w:rsidP="00C03F1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25F0">
        <w:rPr>
          <w:rFonts w:asciiTheme="majorBidi" w:hAnsiTheme="majorBidi"/>
          <w:b/>
          <w:sz w:val="28"/>
          <w:lang w:val="uk-UA"/>
        </w:rPr>
        <w:t>Еволюційно-антропологічні витоки кризи сучасної цивілізації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C03F1D" w:rsidRPr="002025F0" w:rsidRDefault="00C03F1D" w:rsidP="00FD2E2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lastRenderedPageBreak/>
        <w:t xml:space="preserve">Еволюційну історію Розумного життя на Землі і сутність Homo sapiens прийнято визначати як суперечливу динамічну єдність двох складових – біологічної «природи» і соціокультурної «гуманності». Проте, у нашому розумінні необхідно додати третій компонент – технораціоналістичний. </w:t>
      </w:r>
      <w:r w:rsidR="00FD2E21" w:rsidRPr="002025F0">
        <w:rPr>
          <w:rFonts w:asciiTheme="majorBidi" w:hAnsiTheme="majorBidi"/>
          <w:sz w:val="28"/>
          <w:lang w:val="uk-UA"/>
        </w:rPr>
        <w:t>Наша сутність</w:t>
      </w:r>
      <w:r w:rsidRPr="002025F0">
        <w:rPr>
          <w:rFonts w:asciiTheme="majorBidi" w:hAnsiTheme="majorBidi"/>
          <w:sz w:val="28"/>
          <w:lang w:val="uk-UA"/>
        </w:rPr>
        <w:t xml:space="preserve"> визначається трьохмодульною стабільною еволюційною стратегією гомінід (SESH). Основою еволюційного ризику для нашого біологічного виду є її здатність розв'язати проблему координації і інтеграції трьох адаптивних модулів [14, 6], які еволюціонують зі швидкістю, що сильно розрізняється, визначається здатністю </w:t>
      </w:r>
      <w:r w:rsidRPr="002025F0">
        <w:rPr>
          <w:rFonts w:asciiTheme="majorBidi" w:hAnsiTheme="majorBidi" w:cstheme="majorBidi"/>
          <w:sz w:val="28"/>
          <w:lang w:val="uk-UA"/>
        </w:rPr>
        <w:t>ґ</w:t>
      </w:r>
      <w:r w:rsidRPr="002025F0">
        <w:rPr>
          <w:rFonts w:asciiTheme="majorBidi" w:hAnsiTheme="majorBidi"/>
          <w:sz w:val="28"/>
          <w:lang w:val="uk-UA"/>
        </w:rPr>
        <w:t>рунтуватися на автономних системах генерації, кодування, трансмісії/реплікації та реалізації адаптивної значущої інформації. Рішення цієї задачі, більшою мірою визначає еволюційний успіх Homo sapiens в сучасних варіантах парадигми розширеної еволюції.</w:t>
      </w:r>
    </w:p>
    <w:p w:rsidR="00C03F1D" w:rsidRPr="002025F0" w:rsidRDefault="00C03F1D" w:rsidP="00C03F1D">
      <w:pPr>
        <w:spacing w:after="0" w:line="240" w:lineRule="auto"/>
        <w:ind w:left="708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C03F1D" w:rsidRPr="002025F0" w:rsidRDefault="00C03F1D" w:rsidP="00C03F1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25F0">
        <w:rPr>
          <w:rFonts w:asciiTheme="majorBidi" w:hAnsiTheme="majorBidi"/>
          <w:b/>
          <w:sz w:val="28"/>
          <w:lang w:val="uk-UA"/>
        </w:rPr>
        <w:t>Эпістемічна та аксіологічна складові коеволюційного конфлікту науково-технологічного розвитку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Сучасний науково-технологічний розвиток, який склався із зародження техногенної цивілізації, розшарувався на два домінуючі тренди – «небезпечне знання» та «застережливе(техно) знання».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/>
          <w:sz w:val="28"/>
          <w:lang w:val="uk-UA"/>
        </w:rPr>
        <w:t>Якщо скористатися класичною категоріально-онтологічною схемою Іммануїла Канта, то перша складова (</w:t>
      </w:r>
      <w:r w:rsidR="00FD2E21" w:rsidRPr="002025F0">
        <w:rPr>
          <w:rFonts w:asciiTheme="majorBidi" w:hAnsiTheme="majorBidi"/>
          <w:sz w:val="28"/>
          <w:lang w:val="uk-UA"/>
        </w:rPr>
        <w:t>Небезпечна</w:t>
      </w:r>
      <w:r w:rsidRPr="002025F0">
        <w:rPr>
          <w:rFonts w:asciiTheme="majorBidi" w:hAnsiTheme="majorBidi"/>
          <w:sz w:val="28"/>
          <w:lang w:val="uk-UA"/>
        </w:rPr>
        <w:t xml:space="preserve">, </w:t>
      </w:r>
      <w:r w:rsidR="00FD2E21" w:rsidRPr="002025F0">
        <w:rPr>
          <w:rFonts w:asciiTheme="majorBidi" w:hAnsiTheme="majorBidi"/>
          <w:sz w:val="28"/>
          <w:lang w:val="uk-UA"/>
        </w:rPr>
        <w:t>Ризикована Наука</w:t>
      </w:r>
      <w:r w:rsidRPr="002025F0">
        <w:rPr>
          <w:rFonts w:asciiTheme="majorBidi" w:hAnsiTheme="majorBidi"/>
          <w:sz w:val="28"/>
          <w:lang w:val="uk-UA"/>
        </w:rPr>
        <w:t>) має своєю головною соціальною функцією опис об'єктивного Світу Існуючого для актулізації окремих елементів сб’єктивного Світу Належного в нашій свідомості. Вона більшою мірою узгоджується з концептуальною моделлю класичної науки XIX – XX ст.</w:t>
      </w:r>
    </w:p>
    <w:p w:rsidR="00C03F1D" w:rsidRPr="002025F0" w:rsidRDefault="00C03F1D" w:rsidP="00FD2E2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Друга іпостась сучасної науки (</w:t>
      </w:r>
      <w:r w:rsidR="00FD2E21" w:rsidRPr="002025F0">
        <w:rPr>
          <w:rFonts w:asciiTheme="majorBidi" w:hAnsiTheme="majorBidi" w:cstheme="majorBidi"/>
          <w:sz w:val="28"/>
          <w:szCs w:val="28"/>
          <w:lang w:val="uk-UA"/>
        </w:rPr>
        <w:t>Попереджувальна Наука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) націлена на виявлення можливих відхилень актуалізованої версії Світу Належного (який, таким чином став Світом Сущого) від </w:t>
      </w:r>
      <w:r w:rsidR="00FD2E21" w:rsidRPr="002025F0">
        <w:rPr>
          <w:rFonts w:asciiTheme="majorBidi" w:hAnsiTheme="majorBidi" w:cstheme="majorBidi"/>
          <w:sz w:val="28"/>
          <w:szCs w:val="28"/>
          <w:lang w:val="uk-UA"/>
        </w:rPr>
        <w:t xml:space="preserve">первісного 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ідеального образу.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Отже, ризикована наука є субстанціональна («Що це»?). Вона визначає природу досліджуваних феноменів і можливість їх використання щодо цілей, що лежать поза науковим дискурсом.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Застережлива наука займається стосунками між елементами потенційної та актуальної реальності («Як? Яким чином?»), тобто за визначенням є релятивістською.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Основними атрибутами епістемічної (пояснювальної) моделі ризикованої науки є:</w:t>
      </w:r>
    </w:p>
    <w:p w:rsidR="00C03F1D" w:rsidRPr="002025F0" w:rsidRDefault="00C03F1D" w:rsidP="00C03F1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Індуктивно-емпірична фрагментарність, що ґрунтується на процедурі верифікації / фальсифікації наукових теорій;</w:t>
      </w:r>
    </w:p>
    <w:p w:rsidR="00C03F1D" w:rsidRPr="002025F0" w:rsidRDefault="00C03F1D" w:rsidP="00C03F1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Дисциплінарна організація наукової теорії;</w:t>
      </w:r>
    </w:p>
    <w:p w:rsidR="00C03F1D" w:rsidRPr="002025F0" w:rsidRDefault="00C03F1D" w:rsidP="00C03F1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Етична нейтральність наукової теорії (але не ініційованих нею прикладних технологічних розробок).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У свою чергу, застережлива наука, ініційована та стимульована подіями 1945, 1971 та 1986 рр. (атомні бомбардування, генна інженерія, Чорнобиль) характеризується як:</w:t>
      </w:r>
    </w:p>
    <w:p w:rsidR="00C03F1D" w:rsidRPr="002025F0" w:rsidRDefault="00C03F1D" w:rsidP="00C03F1D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Холістична та системна;</w:t>
      </w:r>
    </w:p>
    <w:p w:rsidR="00C03F1D" w:rsidRPr="002025F0" w:rsidRDefault="00C03F1D" w:rsidP="00C03F1D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Трансдисциплінарна;</w:t>
      </w:r>
    </w:p>
    <w:p w:rsidR="00C03F1D" w:rsidRPr="002025F0" w:rsidRDefault="00C03F1D" w:rsidP="001611A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Аксіологічно мотивована, розташована </w:t>
      </w:r>
      <w:r w:rsidR="001611A0" w:rsidRPr="002025F0">
        <w:rPr>
          <w:rFonts w:asciiTheme="majorBidi" w:hAnsiTheme="majorBidi" w:cstheme="majorBidi"/>
          <w:sz w:val="28"/>
          <w:szCs w:val="28"/>
          <w:lang w:val="uk-UA"/>
        </w:rPr>
        <w:t>в області перекривання дескриптивно-наукової і публічно-аксіологічної форми дискурсу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>І, нарешті, з точки зору теорії розширеної еволюції та розвитку концепції SESH, антиномія «Небезпечна наука versus Застережлива наука» є системною коеволюційною адаптацією з чітким розмежуванням адаптивної та охоронної (імунної) функцій. Небезпечна наука вирішує виникаючі проблеми виживання і буття Homo sapiens і створеної ним цивілізації; наука застережлива забезпечує самоідентичність і стійкість еволюційного тренду у взаємодії з системою цінностей культурного адаптивного модуля.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Природно, релятивістські дослідження в силу системного, цілісного характеру, займають значно більше часу і їх результати більш невизначені в порівнянні з фрагментарно-емпіричною моделлю класичної («Небезпечної») наукової теорії.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Ця обставина є вкрай важливою. Із вище сказаного, слідує що Застережлива наука ставить «діагноз» можливим чинникам ризику, але засоби управління ризиком пропонуються Небезпечною наукою.</w:t>
      </w:r>
    </w:p>
    <w:p w:rsidR="00C03F1D" w:rsidRPr="002025F0" w:rsidRDefault="00C03F1D" w:rsidP="001611A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/>
          <w:sz w:val="28"/>
          <w:lang w:val="uk-UA"/>
        </w:rPr>
        <w:t xml:space="preserve">Інтенція на можливо точнішу оцінку можливих ризиків, пов'язаних з віддаленими наслідками технораціоналістичних інновацій і «природної» (без прямої участі людського чинника) течії подій характерна для інформаційної фази розвитку техногенної цивілізації. </w:t>
      </w:r>
      <w:r w:rsidRPr="002025F0">
        <w:rPr>
          <w:rFonts w:asciiTheme="majorBidi" w:hAnsiTheme="majorBidi"/>
          <w:sz w:val="28"/>
          <w:highlight w:val="yellow"/>
          <w:lang w:val="uk-UA"/>
        </w:rPr>
        <w:t>Її</w:t>
      </w:r>
      <w:r w:rsidRPr="002025F0">
        <w:rPr>
          <w:rFonts w:asciiTheme="majorBidi" w:hAnsiTheme="majorBidi"/>
          <w:sz w:val="28"/>
          <w:lang w:val="uk-UA"/>
        </w:rPr>
        <w:t xml:space="preserve"> ще називають, завдяки працям У. Бека та </w:t>
      </w:r>
      <w:r w:rsidR="001611A0" w:rsidRPr="002025F0">
        <w:rPr>
          <w:rFonts w:asciiTheme="majorBidi" w:hAnsiTheme="majorBidi"/>
          <w:sz w:val="28"/>
          <w:lang w:val="uk-UA"/>
        </w:rPr>
        <w:t>М.</w:t>
      </w:r>
      <w:r w:rsidRPr="002025F0">
        <w:rPr>
          <w:rFonts w:asciiTheme="majorBidi" w:hAnsiTheme="majorBidi"/>
          <w:sz w:val="28"/>
          <w:lang w:val="uk-UA"/>
        </w:rPr>
        <w:t>Вілдавскі, «Суспільством ризику», оскільки величина антропогенного і техногенного ризику досягла нині екзистенційного рівня, lim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∑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2025F0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(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>t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)=1.</w:t>
      </w:r>
      <w:r w:rsidRPr="002025F0">
        <w:rPr>
          <w:rFonts w:asciiTheme="majorBidi" w:hAnsiTheme="majorBidi"/>
          <w:sz w:val="28"/>
          <w:lang w:val="uk-UA"/>
        </w:rPr>
        <w:t xml:space="preserve"> Іна</w:t>
      </w:r>
      <w:r w:rsidRPr="002025F0">
        <w:rPr>
          <w:rFonts w:asciiTheme="majorBidi" w:hAnsiTheme="majorBidi"/>
          <w:sz w:val="28"/>
        </w:rPr>
        <w:t>к</w:t>
      </w:r>
      <w:r w:rsidRPr="002025F0">
        <w:rPr>
          <w:rFonts w:asciiTheme="majorBidi" w:hAnsiTheme="majorBidi"/>
          <w:sz w:val="28"/>
          <w:lang w:val="uk-UA"/>
        </w:rPr>
        <w:t xml:space="preserve">ше говорячи, величина екзистенційного ризику прагне до одиниці та </w:t>
      </w:r>
      <w:r w:rsidR="001611A0" w:rsidRPr="002025F0">
        <w:rPr>
          <w:rFonts w:asciiTheme="majorBidi" w:hAnsiTheme="majorBidi"/>
          <w:sz w:val="28"/>
          <w:lang w:val="uk-UA"/>
        </w:rPr>
        <w:t xml:space="preserve">аддитивно </w:t>
      </w:r>
      <w:r w:rsidRPr="002025F0">
        <w:rPr>
          <w:rFonts w:asciiTheme="majorBidi" w:hAnsiTheme="majorBidi"/>
          <w:sz w:val="28"/>
          <w:lang w:val="uk-UA"/>
        </w:rPr>
        <w:t>накопичується з часом.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До цього часу в ментальності західної цивілізації вже виникла нова етична система – етика відповідальності Ганса Йонаса. Вона і стала мета-теоретичним базисом, з якого дедуктивно виводиться нова система цінностей і нова система діяльнісних імперативів буття людства.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</w:rPr>
        <w:t xml:space="preserve">Переформульований автором категоричний імератив 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поширює </w:t>
      </w:r>
      <w:r w:rsidRPr="002025F0">
        <w:rPr>
          <w:rFonts w:asciiTheme="majorBidi" w:hAnsiTheme="majorBidi" w:cstheme="majorBidi"/>
          <w:sz w:val="28"/>
          <w:szCs w:val="28"/>
        </w:rPr>
        <w:t>сферу своєї релевантності з життя сучасного покоління розумних істот на усю історію Всесвіту [16]: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«Вчиняй</w:t>
      </w:r>
      <w:r w:rsidRPr="002025F0">
        <w:rPr>
          <w:rFonts w:asciiTheme="majorBidi" w:hAnsiTheme="majorBidi"/>
          <w:sz w:val="28"/>
          <w:lang w:val="uk-UA"/>
        </w:rPr>
        <w:t xml:space="preserve"> так, щоб наслідки твоїх дій були сумісні зі збереженням справжнього людського життя на Землі</w:t>
      </w:r>
      <w:r w:rsidRPr="002025F0">
        <w:rPr>
          <w:rStyle w:val="FootnoteReference"/>
          <w:rFonts w:asciiTheme="majorBidi" w:hAnsiTheme="majorBidi" w:cstheme="majorBidi"/>
          <w:sz w:val="28"/>
          <w:szCs w:val="28"/>
          <w:shd w:val="clear" w:color="auto" w:fill="FFFFFF"/>
        </w:rPr>
        <w:footnoteReference w:id="1"/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»</w:t>
      </w:r>
      <w:r w:rsidRPr="002025F0">
        <w:rPr>
          <w:lang w:val="uk-UA"/>
        </w:rPr>
        <w:t>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Разом з антропним принципом і постгуманізмом, це був радикальний поворот в трактуванні людської сутності та призначення, який через онто-метафизичне та соціально-філософське осмислення, переформатував епістемологічну модель класичної науки Вітгенштейна-Поппера та стосунків наука-технологія в техногенній (технологічній) цивілізації.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Центральне ядро позитивістської технологічної схеми виробництва нового знання та технологічних інновацій складала можливість перетворення помилкових наукових теорій через процедуру їх емпіричної фальсифікації в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lastRenderedPageBreak/>
        <w:t>джерело нового знання. Ця логічна схема в умовах екзистенційного ризику вела прямо до зникнення людства як біологічного виду та суб'єкта пізнання.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Конституювання біоетики в якості соціального інституту контролю та управління технологічним ризиком і ризикогенними науковими дослідженнями стало потужним каталізатором проліферації застережливої науки як нової епістемологічної моделі.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 xml:space="preserve">Проте високий пріоритет досліджень ризику віддалених наслідків конкретних інновацій в умовах гострої кризи </w:t>
      </w:r>
      <w:r w:rsidRPr="002025F0">
        <w:rPr>
          <w:rFonts w:asciiTheme="majorBidi" w:hAnsiTheme="majorBidi"/>
          <w:sz w:val="28"/>
          <w:highlight w:val="yellow"/>
          <w:lang w:val="uk-UA"/>
        </w:rPr>
        <w:t>сам</w:t>
      </w:r>
      <w:r w:rsidRPr="002025F0">
        <w:rPr>
          <w:rFonts w:asciiTheme="majorBidi" w:hAnsiTheme="majorBidi"/>
          <w:sz w:val="28"/>
          <w:lang w:val="uk-UA"/>
        </w:rPr>
        <w:t xml:space="preserve"> стає чинником ризику, оскільки гальмує прийняття невідкладних заходів. (Цілком розуміючи суперечливість аргументу, що ілюструє цю тезу: за оцінками експертів, розробка вакцин і інших засобів боротьби з атиповою пневмонією COVID-19 займе декілька місяців, а їхня клінічна перевірка з дотриманням усіх нормативів – ще рік [13, 31, 27 </w:t>
      </w:r>
      <w:r w:rsidRPr="002025F0">
        <w:rPr>
          <w:rFonts w:asciiTheme="majorBidi" w:hAnsiTheme="majorBidi"/>
          <w:sz w:val="28"/>
          <w:lang w:val="en-US"/>
        </w:rPr>
        <w:t>et</w:t>
      </w:r>
      <w:r w:rsidRPr="002025F0">
        <w:rPr>
          <w:rFonts w:asciiTheme="majorBidi" w:hAnsiTheme="majorBidi"/>
          <w:sz w:val="28"/>
          <w:lang w:val="uk-UA"/>
        </w:rPr>
        <w:t xml:space="preserve"> </w:t>
      </w:r>
      <w:r w:rsidRPr="002025F0">
        <w:rPr>
          <w:rFonts w:asciiTheme="majorBidi" w:hAnsiTheme="majorBidi"/>
          <w:sz w:val="28"/>
          <w:lang w:val="en-US"/>
        </w:rPr>
        <w:t>al</w:t>
      </w:r>
      <w:r w:rsidRPr="002025F0">
        <w:rPr>
          <w:rFonts w:asciiTheme="majorBidi" w:hAnsiTheme="majorBidi" w:cstheme="majorBidi"/>
          <w:sz w:val="28"/>
          <w:lang w:val="uk-UA"/>
        </w:rPr>
        <w:t>]</w:t>
      </w:r>
      <w:r w:rsidRPr="002025F0">
        <w:rPr>
          <w:rFonts w:asciiTheme="majorBidi" w:hAnsiTheme="majorBidi"/>
          <w:sz w:val="28"/>
          <w:lang w:val="uk-UA"/>
        </w:rPr>
        <w:t>).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Такі терміни мають дескриптивну і аксіологічну складові. Перша з них визначається властивостями природного феномену. Друга – балансом наявних у соціумі інтенцій сприйняття ризику. </w:t>
      </w:r>
      <w:r w:rsidRPr="002025F0">
        <w:rPr>
          <w:rFonts w:asciiTheme="majorBidi" w:hAnsiTheme="majorBidi" w:cstheme="majorBidi"/>
          <w:sz w:val="28"/>
          <w:szCs w:val="28"/>
          <w:highlight w:val="yellow"/>
          <w:lang w:val="uk-UA"/>
        </w:rPr>
        <w:t xml:space="preserve">Суворо 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кажучи сприйняття ризику в суспільстві є функція базисної системи цінностей такою, що забезпечує стабільний розвиток цього соціокультурного типу і, отже, використання тут категорій об'єктивна / суб'єктивна є некоректним.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Сприйняття різних форм ризику є об'єктивним параметром конкретної фази соціального розвитку, хоча і схильна до значних ситуативних флуктуацій.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Такі флуктуації, якщо вони обумовлюються екстремальною ситуацією, можуть сильно вплинути на тривалість і обґрунтованість досліджень у сфері застережливої науки в період коеволюційних криз екзистенційного рівня.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З іншого боку, «ефект гальмування» розвитку небезпечного знання, сам по собі також ризикований.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Як не парадоксально, дослідження технологічного ризику може стати джерелом ризику і в тому, і в іншому випадку.</w:t>
      </w:r>
    </w:p>
    <w:p w:rsidR="00C03F1D" w:rsidRPr="002025F0" w:rsidRDefault="00C03F1D" w:rsidP="00CF0D4B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По суті, біоетика виникає як адаптивна відповідь соціокультурного рівня на «надмірно швидкий» науково-технологічний розвиток (у сенсі генерації супутніх ризиків). Свої функції соціального інституту – контролера процесу біосоціальної еволюції</w:t>
      </w:r>
      <w:r w:rsidR="00CF0D4B" w:rsidRPr="002025F0">
        <w:rPr>
          <w:rFonts w:asciiTheme="majorBidi" w:hAnsiTheme="majorBidi" w:cstheme="majorBidi"/>
          <w:sz w:val="28"/>
          <w:szCs w:val="28"/>
          <w:lang w:val="uk-UA"/>
        </w:rPr>
        <w:t>, що технологізується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, біоетика може актуалізувати за допомогою деякого передавального механізму. Останній повинен </w:t>
      </w:r>
      <w:r w:rsidRPr="002025F0">
        <w:rPr>
          <w:rFonts w:asciiTheme="majorBidi" w:hAnsiTheme="majorBidi" w:cstheme="majorBidi"/>
          <w:sz w:val="28"/>
          <w:szCs w:val="28"/>
          <w:highlight w:val="yellow"/>
          <w:lang w:val="uk-UA"/>
        </w:rPr>
        <w:t>перевести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 систему ціннісних пріоритетів мовою об’єктивізованих правових нормативів – законів в первинному значенні цього слова (продукт творчості колективного суб'єкта, а не знеособлені закони Природи) та діяльнісних інтенцій, що забезпечують інтереси соціальних спільнот і соціуму в цілому.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Передавальний механізм можна позначити категорією біополітика в сучасному розумінні, такому що бере свій початок від Мішеля Фуко. Він інтегрується в систему механізмів розширеної еволюції як один з найважливіших її рушійних сил. В результаті, раціоналізація еволюційного процесу стає глобальним мега-еволюційним трендом.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Проте, окрім системи цінностей існує і ще одне джерело цього тренду – система інтересів, що актуалізується через економіку, бізнес. Констатація 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lastRenderedPageBreak/>
        <w:t>еволюційних аналогій між етикою і економікою як чинників досить поширена [8]. Але схожість це подібно аналогії між двома біологічними видами, що ділять одну екологічну нішу і, тому еволюціонують в різних напрямах для послаблення селективного тиску.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>Етика є теорією моралі, з точки зору еволюційної теорії, мораль, у свою чергу, є системна адаптація групового рівня, що забезпечує підтримку соціальних спільнот, які виходять за рамки сімейних груп гомінід. Із зростанням чисельності соціальної групи її конкурентоспроможність збільшується і ця здатність забезпечується не біологічним, а соціокультурним модулем SESH – шляхом встановлення певних правил комунікації між індивідуумами усередині групи та між групами.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Аналогічно, економіка забезпечує зростання соціальної групи і її життєздатність шляхом залучення та розподілу ресурсів групової життєдіяльності.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Відповідно біоетика забезпечує стабільність еволюційного тренду, економіка – розширення соціоекологічної ніші і чисельності людства шляхом перетворення окремих фрагментів реальності в матеріальні та ідеальні ресурси підтримки життєдіяльності, а потім в предмет ринкових стосунків. Прогресуюче перетворення окремих елементів реальності на товар забезпечується діставанням доступу до раніше невідомих або недоступних ресурсів і розробкою технораціоналістичних інновацій.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Для класичної науки було характерне чітке розділення наукового знання (надбання людства) та технології (її прикладного, такого, що має комерційну цінність) використання. Посередником між дослідником і бізнесменом був інженер і тільки результати його творчості були предметом аксіологічного, а не описового наукового дискурсу. Наукове знання у рамках этоса Мертона товаром не було.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 xml:space="preserve">Все змінилося в 70-ті – 80-ті рр. ХХ століття. </w:t>
      </w:r>
      <w:r w:rsidRPr="002025F0">
        <w:rPr>
          <w:rFonts w:asciiTheme="majorBidi" w:hAnsiTheme="majorBidi"/>
          <w:sz w:val="28"/>
          <w:highlight w:val="yellow"/>
          <w:lang w:val="uk-UA"/>
        </w:rPr>
        <w:t>Виносити</w:t>
      </w:r>
      <w:r w:rsidRPr="002025F0">
        <w:rPr>
          <w:rFonts w:asciiTheme="majorBidi" w:hAnsiTheme="majorBidi"/>
          <w:sz w:val="28"/>
          <w:lang w:val="uk-UA"/>
        </w:rPr>
        <w:t xml:space="preserve"> далі біологічну природу людини за дужки в якості світової константи після народження теоретичних основ, методологія та інструментарій генної і соціальної інженерії (як концепції управління еволюційним процесом) вже не є можливим. Йдеться вже не про переформатування, а конструювання будь-якої складної системи, елементом якої є носій Розуму в якості того, що несе та елементу, у тому числі і сам представник виду Homo sapiens. Несучі елементи цієї конструкції, вже не відбираються (селектуються) з наявного набору «цегли» як за часів Миколи Вавілова, автора знаменитої метфоры, Зеленої революції 1940-х – 1950-х рр., що стала брендом: «Селекція є еволюція, що направляється волею людини». Ці елементи проектуються, конструюються, утілюються в оригінал-макет, поступають в масове виробництво. Перефразовуючи: «Синтетична біологія і соціальна інженерія – еволюція, що створюється людиною».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/>
          <w:sz w:val="28"/>
          <w:lang w:val="uk-UA"/>
        </w:rPr>
        <w:t xml:space="preserve">Цю теоретичну тезу можна дедуктивно вивести з концепції SESH, що складається з трьох автономно функціонуючих модулів, розширення культурно-екологічної ніші Homo sapiens і зростання величини еволюційного </w:t>
      </w:r>
      <w:r w:rsidRPr="002025F0">
        <w:rPr>
          <w:rFonts w:asciiTheme="majorBidi" w:hAnsiTheme="majorBidi"/>
          <w:sz w:val="28"/>
          <w:lang w:val="uk-UA"/>
        </w:rPr>
        <w:lastRenderedPageBreak/>
        <w:t>ризику до екзистенційного рівня внаслідок її (SESH) функціонування в часі. Проте, до нього ж можна прийти й індуктивним узагальненням наявних даних.</w:t>
      </w:r>
    </w:p>
    <w:p w:rsidR="00C03F1D" w:rsidRPr="002025F0" w:rsidRDefault="00C03F1D" w:rsidP="00280E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/>
          <w:sz w:val="28"/>
          <w:lang w:val="uk-UA"/>
        </w:rPr>
        <w:t xml:space="preserve">Ще раз звернемося до історії сучасної пандемії атипової пневмонії. Автори одного з досліджень причин і механізмів цієї кризи з певною іронією заявляють про системний характер: «Якщо хтось прогляне заголовки сучасних новин, він наштовхнеться на безліч ідей, що саме є винуватцем в пандемії COVID-19. Говорять, що це є результатом китайської продовольчої політики, розширення </w:t>
      </w:r>
      <w:r w:rsidR="00280E13" w:rsidRPr="002025F0">
        <w:rPr>
          <w:rFonts w:asciiTheme="majorBidi" w:hAnsiTheme="majorBidi"/>
          <w:sz w:val="28"/>
          <w:lang w:val="uk-UA"/>
        </w:rPr>
        <w:t>повітряних перевезень</w:t>
      </w:r>
      <w:r w:rsidRPr="002025F0">
        <w:rPr>
          <w:rFonts w:asciiTheme="majorBidi" w:hAnsiTheme="majorBidi"/>
          <w:sz w:val="28"/>
          <w:lang w:val="uk-UA"/>
        </w:rPr>
        <w:t>, повільної карантинної реакції західних країн або весняних канікул. Проте, кожен «головний ключ» не може пояснити глобальний масштаб явища. Запропоновані причини спрямовані на досягнення нормативного контролю над світом; так або інакше вони замішані в антропоцентричному гуманізмі» [11].</w:t>
      </w:r>
    </w:p>
    <w:p w:rsidR="00C03F1D" w:rsidRPr="002025F0" w:rsidRDefault="00C03F1D" w:rsidP="00280E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 xml:space="preserve">Останній лексичний конструкт (антропоцентричний гуманізм) тут є ключовим. У прийнятій генеральною асамблеєю ООН резолюції 2005 р. [28] стабільний розвиток як стратегічна мета цивілізаційного розвитку визначається за допомогою поєднання трьох параметрів – економічне зростання, соціальний розвиток і охорона довкілля. Пандемія активізувала прагнення розширити цей набір четвертим критерієм – рівнем здоров'я людини [17]. Ця категорія інтерпретується досить широко, що робить інші параметри стабільного розвитку підлеглими і похідними від неї. Інакше говорячи, людська природа стає головною </w:t>
      </w:r>
      <w:r w:rsidR="00280E13" w:rsidRPr="002025F0">
        <w:rPr>
          <w:rFonts w:asciiTheme="majorBidi" w:hAnsiTheme="majorBidi"/>
          <w:sz w:val="28"/>
          <w:lang w:val="uk-UA"/>
        </w:rPr>
        <w:t xml:space="preserve">в оцінці бажаності </w:t>
      </w:r>
      <w:r w:rsidRPr="002025F0">
        <w:rPr>
          <w:rFonts w:asciiTheme="majorBidi" w:hAnsiTheme="majorBidi"/>
          <w:sz w:val="28"/>
          <w:lang w:val="uk-UA"/>
        </w:rPr>
        <w:t>або ризику глобально еволюційних трендів. Таким чином, антропоцентризм аксіологічної системи технологічної цивілізації зберігається і стає тотальним, усупереч сподіванням розширення категорі</w:t>
      </w:r>
      <w:r w:rsidR="00280E13" w:rsidRPr="002025F0">
        <w:rPr>
          <w:rFonts w:asciiTheme="majorBidi" w:hAnsiTheme="majorBidi"/>
          <w:sz w:val="28"/>
          <w:lang w:val="uk-UA"/>
        </w:rPr>
        <w:t>ї</w:t>
      </w:r>
      <w:r w:rsidRPr="002025F0">
        <w:rPr>
          <w:rFonts w:asciiTheme="majorBidi" w:hAnsiTheme="majorBidi"/>
          <w:sz w:val="28"/>
          <w:lang w:val="uk-UA"/>
        </w:rPr>
        <w:t xml:space="preserve"> </w:t>
      </w:r>
      <w:r w:rsidR="00280E13" w:rsidRPr="002025F0">
        <w:rPr>
          <w:rFonts w:asciiTheme="majorBidi" w:hAnsiTheme="majorBidi"/>
          <w:sz w:val="28"/>
          <w:lang w:val="uk-UA"/>
        </w:rPr>
        <w:t>«суб’єкт моралі»</w:t>
      </w:r>
      <w:r w:rsidRPr="002025F0">
        <w:rPr>
          <w:rFonts w:asciiTheme="majorBidi" w:hAnsiTheme="majorBidi"/>
          <w:sz w:val="28"/>
          <w:lang w:val="uk-UA"/>
        </w:rPr>
        <w:t xml:space="preserve"> на живі організми і еко-системи.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>Як наслідок, наукова інформація безпосередньо стає товаром (англ. commodity) і предметом моральної оцінки in parallel. Останнє двадцятиріччя минулого сторіччя є часом «великого перелому», народження постакадемічної науки і коммодифікації (комерціалізації наукового знання).</w:t>
      </w:r>
    </w:p>
    <w:p w:rsidR="00C03F1D" w:rsidRPr="002025F0" w:rsidRDefault="00C03F1D" w:rsidP="00C03F1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C03F1D" w:rsidRPr="002025F0" w:rsidRDefault="00C03F1D" w:rsidP="00C03F1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25F0">
        <w:rPr>
          <w:rFonts w:asciiTheme="majorBidi" w:hAnsiTheme="majorBidi" w:cstheme="majorBidi"/>
          <w:b/>
          <w:bCs/>
          <w:sz w:val="28"/>
          <w:szCs w:val="28"/>
          <w:lang w:val="uk-UA"/>
        </w:rPr>
        <w:t>Біосоціальна і біополітична складові коеволюційного конфлікту науково-технологічного розвитку</w:t>
      </w:r>
    </w:p>
    <w:p w:rsidR="00C03F1D" w:rsidRPr="002025F0" w:rsidRDefault="00C03F1D" w:rsidP="00C03F1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Якщо злиття наукового знання і його технологічного використання у біоетиці оцінюється з точки зору відповідності системі загальнолюдських цінностей, то в ході так званої коммодифікації наукового знання такий же ефект отримує грошове вираження; «усі види наукової діяльності і її результати інтерпретуються та оцінюються на підґрунті економічних критеріїв [25]» тобто прибутковості або збитковості.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Для біоетики вищий пріоритет має ризик, що виникає з науково-технологічного розвитку; для економіки те саме значення має вигода нерозривно пов'язана з ризиком. У рамках коммодифікації первинною є вигода (саме вигода, не благо, оскільки останнє не співпадає з вигодою). 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25F0">
        <w:rPr>
          <w:rFonts w:ascii="Times New Roman" w:hAnsi="Times New Roman"/>
          <w:sz w:val="28"/>
          <w:szCs w:val="28"/>
          <w:lang w:val="uk-UA"/>
        </w:rPr>
        <w:t xml:space="preserve">Коммодифікація каталізує зміну «аксіологічного контексту», процес заміни сталої системи цінностей. Таким чином, система цінностей-критеріїв </w:t>
      </w:r>
      <w:r w:rsidRPr="002025F0">
        <w:rPr>
          <w:rFonts w:ascii="Times New Roman" w:hAnsi="Times New Roman"/>
          <w:sz w:val="28"/>
          <w:szCs w:val="28"/>
          <w:lang w:val="uk-UA"/>
        </w:rPr>
        <w:lastRenderedPageBreak/>
        <w:t>ризику / блага підміняється системою критеріїв економічної вигоди / збитковості в зоні коеволюційної кризи, коли рівень ризику вже досяг критичного, тобто екзистенційного рівня і нормативи попереджувальної науки не в змозі забезпечити прийнятний сценарій вирішення проблеми. У цій ситуації базисна цінність біоетичних нормативів (збереження носія розуму) і біоекономіки (вигода) виявляються тотожними. Повне зникнення суб'єктів робить вигоду позбавленою фізичного сенсу. В усіх інших ситуаціях хто-небудь все ж таки стверджуватиме, що «є речі важливіші, ніж життя».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Зазначимо, що біополітика є тут також передавальним механізмом, за допомогою якого соціально-політичні впливи трансформуються в еволюційні тренди. Економічні запити біотехнологічних і біомедичних агентів ринку використовують (біо) технонауку і біотехнологію в якості способів переформатування соціального і ринкового контексту у свою користь, тобто як політичні інструменти, «молекулярна біополітика» [26,3].</w:t>
      </w:r>
    </w:p>
    <w:p w:rsidR="00C03F1D" w:rsidRPr="002025F0" w:rsidRDefault="00C03F1D" w:rsidP="00C03F1D">
      <w:pPr>
        <w:spacing w:after="0" w:line="240" w:lineRule="auto"/>
        <w:ind w:left="708" w:firstLine="1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/>
          <w:sz w:val="28"/>
          <w:lang w:val="uk-UA"/>
        </w:rPr>
        <w:t xml:space="preserve">До теперішнього часу відомі дві парадигми біополітики </w:t>
      </w:r>
      <w:r w:rsidRPr="002025F0">
        <w:rPr>
          <w:rFonts w:asciiTheme="majorBidi" w:hAnsiTheme="majorBidi" w:cstheme="majorBidi"/>
          <w:sz w:val="28"/>
          <w:lang w:val="uk-UA"/>
        </w:rPr>
        <w:t>[</w:t>
      </w:r>
      <w:r w:rsidRPr="002025F0">
        <w:rPr>
          <w:rFonts w:asciiTheme="majorBidi" w:hAnsiTheme="majorBidi"/>
          <w:sz w:val="28"/>
          <w:lang w:val="uk-UA"/>
        </w:rPr>
        <w:t>19</w:t>
      </w:r>
      <w:r w:rsidRPr="002025F0">
        <w:rPr>
          <w:rFonts w:asciiTheme="majorBidi" w:hAnsiTheme="majorBidi" w:cstheme="majorBidi"/>
          <w:sz w:val="28"/>
          <w:lang w:val="uk-UA"/>
        </w:rPr>
        <w:t>]</w:t>
      </w:r>
      <w:r w:rsidRPr="002025F0">
        <w:rPr>
          <w:rFonts w:asciiTheme="majorBidi" w:hAnsiTheme="majorBidi"/>
          <w:sz w:val="28"/>
          <w:lang w:val="uk-UA"/>
        </w:rPr>
        <w:t>:</w:t>
      </w:r>
    </w:p>
    <w:p w:rsidR="00C03F1D" w:rsidRPr="002025F0" w:rsidRDefault="00C03F1D" w:rsidP="00C03F1D">
      <w:pPr>
        <w:spacing w:after="0" w:line="240" w:lineRule="auto"/>
        <w:ind w:left="708" w:firstLine="1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Життя є основа політики.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Життя є об'єкт політики.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Перша парадигмальна модель виносить біосоціальну природу людини за дужки культурно-цивілізаційної еволюції, технологія спрямована на переформатування зовнішнього середовища, политка – на усунення девіантних індивідуумів (влада над смертю).</w:t>
      </w:r>
    </w:p>
    <w:p w:rsidR="00C03F1D" w:rsidRPr="002025F0" w:rsidRDefault="00C03F1D" w:rsidP="00280E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>Друга робить людину, точніше генетичну інформацію, культурні стереотипи, продукти їх реалізації (тіло, клітини, органи, поведінкові модуси) інструментами раціоналізованої еволюції, а останню – предметом бізнесу, товаром з певною фінансовою цінністю. Перехід від першої до другої парадигми  є наслідком біотехнологічного перелому 1970-х – 1980-х рр. Цю біополітичну парадигму можна назвати «молекулярною біополітикою» (</w:t>
      </w:r>
      <w:r w:rsidR="00280E13" w:rsidRPr="002025F0">
        <w:rPr>
          <w:rFonts w:asciiTheme="majorBidi" w:hAnsiTheme="majorBidi"/>
          <w:sz w:val="28"/>
          <w:lang w:val="uk-UA"/>
        </w:rPr>
        <w:t>техноцентричною</w:t>
      </w:r>
      <w:r w:rsidRPr="002025F0">
        <w:rPr>
          <w:rFonts w:asciiTheme="majorBidi" w:hAnsiTheme="majorBidi"/>
          <w:sz w:val="28"/>
          <w:lang w:val="uk-UA"/>
        </w:rPr>
        <w:t xml:space="preserve"> біополітикою за термінологією Томаса Лемке та ін.</w:t>
      </w:r>
      <w:r w:rsidR="00280E13" w:rsidRPr="002025F0">
        <w:rPr>
          <w:rFonts w:asciiTheme="majorBidi" w:hAnsiTheme="majorBidi"/>
          <w:sz w:val="28"/>
          <w:lang w:val="uk-UA"/>
        </w:rPr>
        <w:t>)</w:t>
      </w:r>
      <w:r w:rsidRPr="002025F0">
        <w:rPr>
          <w:rFonts w:asciiTheme="majorBidi" w:hAnsiTheme="majorBidi"/>
          <w:sz w:val="28"/>
          <w:lang w:val="uk-UA"/>
        </w:rPr>
        <w:t>, які, власне і запропонували навеведену класифікацію парадигм). Альтернативою в межах цієї парадигми є екоцентрична біополітика, зорієнтована на збереженні місця існування людини. Вочевидь, ця дихотомія відповідає антиномії БІОЕТИКА versus КОММОДИФІКАЦІЯ, яка, у свою чергу, відбиває протиставленням АДАПТИВНА СТІЙКІСТЬ versus АДАПТИВНА ПЛАСТИЧНІСТЬ (ЕВОЛЮЦІЙНА КОРЕКТНІСТЬ versus ЕВОЛЮЦІЙНА ЕФЕКТИВНІСТЬ в концепції стабільної еволюційної стратегії гомінів [14]).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В силу цього технозння та біотехнології можна в рівній мірі вважати гуманітрними технологіями, засобами соціальної інженерії. Необхідною умовою тут виступає узгодження наукових даних з конфігурацією ментальних і культурних інтенцій цивілізаційного типу.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>Конфігурацію постакадемічної (технауки) у межах еволюційної стратегії техногенної цивілізації визначає декілька ментальних установок інтенцій її безпосереднього пращура – Західної (Трансатлантичної, WEIRD) цивілізації. З початкового і інваріантного для цього цивілізаційного типу індивідуалізму (вільної волі) розвинулися:</w:t>
      </w:r>
    </w:p>
    <w:p w:rsidR="00C03F1D" w:rsidRPr="002025F0" w:rsidRDefault="00C03F1D" w:rsidP="00DA29A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категоричне неприйняття та </w:t>
      </w:r>
      <w:r w:rsidR="00DA29A1" w:rsidRPr="002025F0">
        <w:rPr>
          <w:rFonts w:asciiTheme="majorBidi" w:hAnsiTheme="majorBidi" w:cstheme="majorBidi"/>
          <w:sz w:val="28"/>
          <w:szCs w:val="28"/>
          <w:lang w:val="uk-UA"/>
        </w:rPr>
        <w:t>побоювання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 зовнішнього неконтрольованого втручання суб</w:t>
      </w:r>
      <w:r w:rsidRPr="002025F0">
        <w:rPr>
          <w:rFonts w:asciiTheme="majorBidi" w:hAnsiTheme="majorBidi" w:cstheme="majorBidi"/>
          <w:sz w:val="28"/>
          <w:szCs w:val="28"/>
        </w:rPr>
        <w:t>’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єкту у власну природу (маніпулювання);</w:t>
      </w:r>
    </w:p>
    <w:p w:rsidR="00C03F1D" w:rsidRPr="002025F0" w:rsidRDefault="003A3320" w:rsidP="003A3320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установка на повне звільнення </w:t>
      </w:r>
      <w:r w:rsidR="00C03F1D" w:rsidRPr="002025F0">
        <w:rPr>
          <w:rFonts w:asciiTheme="majorBidi" w:hAnsiTheme="majorBidi" w:cstheme="majorBidi"/>
          <w:sz w:val="28"/>
          <w:szCs w:val="28"/>
          <w:lang w:val="uk-UA"/>
        </w:rPr>
        <w:t xml:space="preserve">власного екзистенціального проекту (соціального статусу і соціальної ролі) 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від</w:t>
      </w:r>
      <w:r w:rsidR="00C03F1D" w:rsidRPr="002025F0">
        <w:rPr>
          <w:rFonts w:asciiTheme="majorBidi" w:hAnsiTheme="majorBidi" w:cstheme="majorBidi"/>
          <w:sz w:val="28"/>
          <w:szCs w:val="28"/>
          <w:lang w:val="uk-UA"/>
        </w:rPr>
        <w:t>підпорядкування або обмеження з боку своєї біологічної конституції, передусім – «генів», прагнення будувати свою історію життя виключно як результат вільного особового самовизначення [6].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Ситуативна синергія або антагонізм цих інтенцій і визначило баланс впливів коммодифікації і біоетики на науково-технологічний розвиток (як приклад, див. аналіз соціально-правової бази трансплатології в ЄС [3]).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5F0">
        <w:rPr>
          <w:rFonts w:ascii="Times New Roman" w:hAnsi="Times New Roman"/>
          <w:sz w:val="28"/>
          <w:szCs w:val="28"/>
          <w:lang w:val="uk-UA"/>
        </w:rPr>
        <w:t>Експлуатація описаних інтенцій бізнесом і зацікавленість фундаментальної науки в інвестиціях створили сприятливу соціополітичну нішу для формування основного треду коммодифікації наукових досліджень. Цим трендом стала персоналізована медицина, що зорієнтована на забезпечення індивідуальних екзистенційних проектів. Ця загальна тенденція в перспективі ініціює і каталізує те, що практично самовдосконалило людину і процес, глобального конструювання людинорозмірних екологічних систем, як локальних, так і глобальних (до біосферы включно).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>У економіці рівень ризику також комодифікований і має грошово-фінансовий еквівалент, його критерії можуть розходитися, перехрещуватись або співпадати з критеріями ризику соціально-етичного. Таким чином рівень ризику є мінімальним, а вигода максимальна тільки при збігу етичної об</w:t>
      </w:r>
      <w:r w:rsidRPr="002025F0">
        <w:rPr>
          <w:rFonts w:asciiTheme="majorBidi" w:hAnsiTheme="majorBidi" w:cstheme="majorBidi"/>
          <w:sz w:val="28"/>
          <w:lang w:val="uk-UA"/>
        </w:rPr>
        <w:t>ґ</w:t>
      </w:r>
      <w:r w:rsidRPr="002025F0">
        <w:rPr>
          <w:rFonts w:asciiTheme="majorBidi" w:hAnsiTheme="majorBidi"/>
          <w:sz w:val="28"/>
          <w:lang w:val="uk-UA"/>
        </w:rPr>
        <w:t>рунтованості та фінансово-економічної ефективності. Тільки при дотриманні останньої умови «</w:t>
      </w:r>
      <w:r w:rsidRPr="002025F0">
        <w:rPr>
          <w:rStyle w:val="hl"/>
          <w:rFonts w:asciiTheme="majorBidi" w:hAnsiTheme="majorBidi"/>
          <w:sz w:val="28"/>
          <w:lang w:val="uk-UA"/>
        </w:rPr>
        <w:t>коммодифікація</w:t>
      </w:r>
      <w:r w:rsidRPr="002025F0">
        <w:rPr>
          <w:lang w:val="uk-UA"/>
        </w:rPr>
        <w:t xml:space="preserve"> </w:t>
      </w:r>
      <w:r w:rsidRPr="002025F0">
        <w:rPr>
          <w:rFonts w:asciiTheme="majorBidi" w:hAnsiTheme="majorBidi"/>
          <w:sz w:val="28"/>
          <w:lang w:val="uk-UA"/>
        </w:rPr>
        <w:t>сприяє первинному формуванню загальнолюдських (і просто людських)</w:t>
      </w:r>
      <w:r w:rsidRPr="002025F0">
        <w:rPr>
          <w:lang w:val="uk-UA"/>
        </w:rPr>
        <w:t xml:space="preserve"> </w:t>
      </w:r>
      <w:r w:rsidRPr="002025F0">
        <w:rPr>
          <w:rStyle w:val="hl"/>
          <w:rFonts w:asciiTheme="majorBidi" w:hAnsiTheme="majorBidi"/>
          <w:sz w:val="28"/>
          <w:lang w:val="uk-UA"/>
        </w:rPr>
        <w:t>цінностей</w:t>
      </w:r>
      <w:r w:rsidRPr="002025F0">
        <w:rPr>
          <w:lang w:val="uk-UA"/>
        </w:rPr>
        <w:t xml:space="preserve"> </w:t>
      </w:r>
      <w:r w:rsidRPr="002025F0">
        <w:rPr>
          <w:rFonts w:asciiTheme="majorBidi" w:hAnsiTheme="majorBidi"/>
          <w:sz w:val="28"/>
          <w:lang w:val="uk-UA"/>
        </w:rPr>
        <w:t>в їх товарній формі», як стверджувала кілька років тому одна з російських політологів [4].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В інших випадках стійкий еволюційний розвиток стає неможливим і </w:t>
      </w:r>
      <w:r w:rsidRPr="002025F0">
        <w:rPr>
          <w:rFonts w:asciiTheme="majorBidi" w:hAnsiTheme="majorBidi" w:cstheme="majorBidi"/>
          <w:sz w:val="28"/>
          <w:szCs w:val="28"/>
          <w:highlight w:val="yellow"/>
          <w:lang w:val="uk-UA"/>
        </w:rPr>
        <w:t>величина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 еволюційного ризику зростає. Таким є тривіальний висновок з аналізу обох цих феноменів. Вже процитована щойно дослідниця, вільно чи мимоволі це підтверджує: «Коли руйнується налагоджена і диференційована система моральних «традиційних цінностей», її місце частково займає менш диференційована, але набагато більше універсальна система грошової оцінки».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Настільки ж тривіальне твердження, що це є можливим лише в розвинутій соціально орієнтованій державі.</w:t>
      </w:r>
    </w:p>
    <w:p w:rsidR="00C03F1D" w:rsidRPr="002025F0" w:rsidRDefault="00C03F1D" w:rsidP="00DA29A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Зазаначимо, що біополітика тут є також передавальним механізмом, за допомогою якого соціально-політичні впливи трансформуються в еволюційні тренди. Економічні запити </w:t>
      </w:r>
      <w:r w:rsidR="00DA29A1" w:rsidRPr="002025F0">
        <w:rPr>
          <w:rFonts w:asciiTheme="majorBidi" w:hAnsiTheme="majorBidi" w:cstheme="majorBidi"/>
          <w:sz w:val="28"/>
          <w:szCs w:val="28"/>
          <w:lang w:val="uk-UA"/>
        </w:rPr>
        <w:t>біотехнологічних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 і біомедичних агентів ринку використовують (біо)технонауку та біотехнологію в якості засобу переформатування соціального і ринкового контексту на свою користь, тобто як політичні інструменти [2, 26]. Отже, технознання та біотехнології в рівній мірі можна вважати</w:t>
      </w:r>
      <w:r w:rsidR="00DA29A1" w:rsidRPr="002025F0">
        <w:rPr>
          <w:rFonts w:asciiTheme="majorBidi" w:hAnsiTheme="majorBidi" w:cstheme="majorBidi"/>
          <w:sz w:val="28"/>
          <w:szCs w:val="28"/>
          <w:lang w:val="uk-UA"/>
        </w:rPr>
        <w:t xml:space="preserve"> гуманітарними технологіями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,</w:t>
      </w:r>
      <w:r w:rsidR="00DA29A1" w:rsidRPr="002025F0">
        <w:rPr>
          <w:rFonts w:asciiTheme="majorBidi" w:hAnsiTheme="majorBidi" w:cstheme="majorBidi"/>
          <w:sz w:val="28"/>
          <w:szCs w:val="28"/>
          <w:lang w:val="uk-UA"/>
        </w:rPr>
        <w:t xml:space="preserve"> тобто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 засобами соціальної інженерії. Необхідною умовою тут виступає узгодження наукових даних з конфігурацією ментальних і культурних інтенцій цивілізаційного типу.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25F0">
        <w:rPr>
          <w:rFonts w:ascii="Times New Roman" w:hAnsi="Times New Roman"/>
          <w:sz w:val="28"/>
          <w:szCs w:val="28"/>
          <w:lang w:val="uk-UA"/>
        </w:rPr>
        <w:lastRenderedPageBreak/>
        <w:t>В цьому випадку історія сучасної пандемії може служити ілюстрацією останньої тези, хоча і дещо несподіваною. Сучасні комунікаційні мережі різко збільшили питому вагу в соціальній еволюції гуманітарних технологій, що розробляються з 1920-х рр. [10, 7]. Змінюючи форму подання інформації, формується сприятливий емоційний і когнітивний фон для прийняття її змісту за істину, незалежно від раціонального логічного обґрунтування.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 xml:space="preserve">Поширення таких повідомлень в комунікативній мережі відбувається за типом ауторепликативного зараження, як у разі вірусних інфекцій </w:t>
      </w:r>
      <w:r w:rsidRPr="002025F0">
        <w:rPr>
          <w:rFonts w:asciiTheme="majorBidi" w:hAnsiTheme="majorBidi" w:cstheme="majorBidi"/>
          <w:sz w:val="28"/>
          <w:lang w:val="uk-UA"/>
        </w:rPr>
        <w:t>[</w:t>
      </w:r>
      <w:r w:rsidRPr="002025F0">
        <w:rPr>
          <w:rFonts w:asciiTheme="majorBidi" w:hAnsiTheme="majorBidi"/>
          <w:sz w:val="28"/>
          <w:lang w:val="uk-UA"/>
        </w:rPr>
        <w:t>18, 21, 20</w:t>
      </w:r>
      <w:r w:rsidRPr="002025F0">
        <w:rPr>
          <w:rFonts w:asciiTheme="majorBidi" w:hAnsiTheme="majorBidi" w:cstheme="majorBidi"/>
          <w:sz w:val="28"/>
          <w:lang w:val="uk-UA"/>
        </w:rPr>
        <w:t>]</w:t>
      </w:r>
      <w:r w:rsidRPr="002025F0">
        <w:rPr>
          <w:rFonts w:asciiTheme="majorBidi" w:hAnsiTheme="majorBidi"/>
          <w:sz w:val="28"/>
          <w:lang w:val="uk-UA"/>
        </w:rPr>
        <w:t>. Індивід, отримавши таку інформацію стає її носієм і розповсюджувачем. Якщо такого роду «меми» впливають на поведінкові стереотипи стосовно вірусної інфекції між ними, може сформуватися коеволюційний цикл. При встановленні між інфекційним і циркулюючим в мережі інформаційним повідомленням («мемом») позитивного зв'язку поширення інфекційного агента буде прогресувати, і навпаки – гальмуватися. Зростання захворюваності спричиняє збільшення соціальної напруженості та сприяє поширенню інформаційних повідомлень, які ще більше посилюють нестабільність.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>Прикладами подібних циклів є не лише COVID-19, але і рух «опору масової вакцинації» (щодо епідемії віспи ці явища відомо з XVIII ст.) і т.п.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Такий же механізм спостерігається і щодо використання ГМО, генної терапії, теоретичних наукових концепцій, пов'язаних з проблемами гендера, раси і інш., що не є нейтральними щодо існуючих систем ціннісних пріоритетів, ідеологічних установок і т.п. систем, характерних для цього типу соціуму.</w:t>
      </w:r>
    </w:p>
    <w:p w:rsidR="00C03F1D" w:rsidRPr="002025F0" w:rsidRDefault="00C03F1D" w:rsidP="00C03F1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C03F1D" w:rsidRPr="002025F0" w:rsidRDefault="00C03F1D" w:rsidP="00C03F1D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25F0">
        <w:rPr>
          <w:rFonts w:asciiTheme="majorBidi" w:hAnsiTheme="majorBidi"/>
          <w:b/>
          <w:sz w:val="28"/>
          <w:lang w:val="uk-UA"/>
        </w:rPr>
        <w:t>Висновок. COVID-19 як тест-система основних еволюційних трендів технологічної цивілізації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Чітке розмежування дескриптивно-наукової та публічно-аксіологічної форм дискурса витікає з розділення реальності на об'єктивний Світ Сущого та суб'єктивний Світ Належного, причому останній є ідельною рефлексією першого, перетвореною за певними правилами (системи цінностей).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 xml:space="preserve">Між тим, висхідний до Платона дуалізм реальності в його кантіанській інтерпретації в умовах інформаційного суспільства трансформувався у форму опозиції </w:t>
      </w:r>
      <w:r w:rsidRPr="002025F0">
        <w:rPr>
          <w:rFonts w:asciiTheme="majorBidi" w:hAnsiTheme="majorBidi" w:cstheme="majorBidi"/>
          <w:sz w:val="28"/>
          <w:lang w:val="uk-UA"/>
        </w:rPr>
        <w:t>–</w:t>
      </w:r>
      <w:r w:rsidRPr="002025F0">
        <w:rPr>
          <w:rFonts w:asciiTheme="majorBidi" w:hAnsiTheme="majorBidi"/>
          <w:sz w:val="28"/>
          <w:lang w:val="uk-UA"/>
        </w:rPr>
        <w:t xml:space="preserve"> реальний світ (off line) versus віртуальний світ (on line). І, як стверджує у своїй недавній статті Марк Коклеберг, ця опозиція по суті розмивається, нівелюється і, кінець кінцем, знімається [15]. Тотожність Світу Сущого і Світу Належного у свідомості і спричиняє народження постакадемічної технонауки, зокрема, і кризу технологічної цивілізації, в цілому. Аргументуємо це виведення детальніше.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/>
          <w:sz w:val="28"/>
          <w:lang w:val="uk-UA"/>
        </w:rPr>
        <w:t xml:space="preserve">Еволюційна стратегія техногенної (технологічної) цивілізації забезпечує еволюційний успіх тільки за умови однозначного розмежування двох світів теоретично і de facto. Саме ця умова веде до оптимального функціонування соціального інституту науки як сектору економіки, зайнятого </w:t>
      </w:r>
      <w:r w:rsidRPr="002025F0">
        <w:rPr>
          <w:rFonts w:asciiTheme="majorBidi" w:hAnsiTheme="majorBidi"/>
          <w:sz w:val="28"/>
        </w:rPr>
        <w:t>виробництвом</w:t>
      </w:r>
      <w:r w:rsidRPr="002025F0">
        <w:rPr>
          <w:rFonts w:asciiTheme="majorBidi" w:hAnsiTheme="majorBidi"/>
          <w:sz w:val="28"/>
          <w:lang w:val="uk-UA"/>
        </w:rPr>
        <w:t xml:space="preserve"> нового практично цінного знання на благо суспільства.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Роль технології можна редукувати до перекладу етично нейтральних знань мовою практичних потреб, невід'ємних від їх ціннісної інтерпретації.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lastRenderedPageBreak/>
        <w:t>Але, як ми знаємо, наукові теорії відрізняються від усіх інших форм знання:</w:t>
      </w:r>
    </w:p>
    <w:p w:rsidR="00C03F1D" w:rsidRPr="002025F0" w:rsidRDefault="00C03F1D" w:rsidP="00C03F1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тим, що їх можна спростувати шляхом зіставлення з емпіричним досвідом;</w:t>
      </w:r>
    </w:p>
    <w:p w:rsidR="00C03F1D" w:rsidRPr="002025F0" w:rsidRDefault="00C03F1D" w:rsidP="00C03F1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тим, що в кожному конкретному випадку спочатку не знаємо меж, за межами яких, ці теорії перестають бути адекватними об'єктивній реальності.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/>
          <w:sz w:val="28"/>
          <w:lang w:val="uk-UA"/>
        </w:rPr>
        <w:t>Науково-технологічний розвиток ділить соціоекологічну нішу, яку конструює і в якій існує Homo sapiens, на два прошарки:</w:t>
      </w:r>
    </w:p>
    <w:p w:rsidR="00C03F1D" w:rsidRPr="002025F0" w:rsidRDefault="00C03F1D" w:rsidP="00C03F1D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внутрішній простір достовірного і обґрунтованого </w:t>
      </w:r>
      <w:r w:rsidRPr="002025F0">
        <w:rPr>
          <w:rFonts w:asciiTheme="majorBidi" w:hAnsiTheme="majorBidi" w:cstheme="majorBidi"/>
          <w:sz w:val="28"/>
          <w:szCs w:val="28"/>
          <w:highlight w:val="yellow"/>
          <w:lang w:val="uk-UA"/>
        </w:rPr>
        <w:t xml:space="preserve">знання 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про користь;</w:t>
      </w:r>
    </w:p>
    <w:p w:rsidR="00C03F1D" w:rsidRPr="002025F0" w:rsidRDefault="00C03F1D" w:rsidP="00C03F1D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зовнішнє представлене невідомими і непрораховуваними небезпеками і ризиками.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Щоб запобігти колапсу технологічної цивілізації ми змушені все більше уваги приділяти тонкій оболонці, що відділяє користь і вигоду від ризиків і небезпек. Цю тонку оболонку можна назвати застережливою наукою.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Але, якщо наші зусилля із її розвитку будуть недостатні або надмірні, колапс технологічної цивілізації стане неминучим: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або зсередини – під натиском ризикогенних технологічних інновацій;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/>
          <w:sz w:val="28"/>
          <w:lang w:val="uk-UA"/>
        </w:rPr>
        <w:t>або зовні – недостатній розвиток ризикогенної, небезпечної науки, яка єдина здатна протистояти ризикам, що виникають внаслідок нашої власної діяльності, та спонтанним небезпекам. COVID-19 служить ілюстрацією обох цих сценаріїв.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C03F1D" w:rsidRPr="002025F0" w:rsidRDefault="00C03F1D" w:rsidP="00C03F1D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2522C94E" wp14:editId="42917D91">
            <wp:extent cx="4174490" cy="3411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025F0">
        <w:rPr>
          <w:rFonts w:asciiTheme="majorBidi" w:hAnsiTheme="majorBidi" w:cstheme="majorBidi"/>
          <w:i/>
          <w:iCs/>
          <w:sz w:val="28"/>
          <w:szCs w:val="28"/>
          <w:lang w:val="uk-UA"/>
        </w:rPr>
        <w:t>Рис. Інфляція технолого-екологічного пузиря як домінуючий тренд еволюції технологічної цивілізації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lastRenderedPageBreak/>
        <w:t>У масовій свідомості циркулюють дві альтернативні гіпотези походження вірусу – «природна» і конспірологічна. В масовій свідомості домінує конспірологічна теорія штучного походження COVID-19; в науковому співтоваристві, принаймні в публікаціях, –припущення про природне його походження. (Слід враховувати, поширення кожної з них – предмет політичних інтересів і, отже, політтехнологічних маніпуляцій впливових соціальних груп).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/>
          <w:sz w:val="28"/>
          <w:lang w:val="uk-UA"/>
        </w:rPr>
        <w:t>Це є «природним» результатом переплетення дескрептивного та аксіологічного дискурсу в сучасному, трансдисциплінарному знанні – наслідком макіавеллістського інтелекту як початкової еволюційної форми раціонального мислення взагалі [6, p. 41]. З розширенням і ускладненням інформаційних мереж «вірусний механізм» поширення інформації, як найдавніший, набуває великого значення [23], навіть перевершуючи таку в період до розробки методології класичної науки.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>Конспірологічні теорії і їх фальсифікація / верифікація стали сприйматися як епістемологічна проблема на початку 1990-х рр., не в останню чергу, завдяки інтервенції метра філософії науки, Карла Поппера [24].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25F0">
        <w:rPr>
          <w:rFonts w:ascii="Times New Roman" w:hAnsi="Times New Roman"/>
          <w:sz w:val="28"/>
          <w:szCs w:val="28"/>
          <w:lang w:val="uk-UA"/>
        </w:rPr>
        <w:t>Насправді різниця між конспірологічною та природно-еволюційною гіпотезами не істотна в мета-теоретичному аспекті [5]. У будь-якому випадку йдеться про наслідки (умисні чи побічні) науково-технологічного і цивілізаційного розвитку. У разі справедливості конспірологічної гіпотези це є очевидним. У разі природного походження, пандемія пояснюється поєднанням переформатованих природних екосистем і полегшенням міжвидових (між людиною і видами, що раніше не вступали з нею в контакт) і внутрішньовидових (по відношенню до людини) контактів. Синергетична дія екологічного (збільшення щільності населення), культурного (використання кажанів в побуті і поширення масових скупчень людей) і технологічного чинника (розвинена система транспортного сполучення) зумовила перехід локальної події в глобальний еволюційний тренд. Спрацювала відома закономірність теорії катастроф: в точці структурної нестійкості (біфуркації) складної системи, що самоорганізовується, незначні девіації викликають ланцюгову реакцію наслідків, що закінчуються глобальними непередбачуваними наслідками.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/>
          <w:sz w:val="28"/>
          <w:lang w:val="uk-UA"/>
        </w:rPr>
        <w:t>Отже, пандемія атипової пневмонії в онтологічному плані служить симптомом глобальної сингулярності еволюційного процесу – його раціоналізації, що досягла екзистенціального рівня. Про це свідчить зняття фундаментальної концептуальної антиномії Природна Еволюція versus Раціональний Задум. Водночас, з точки зору нашого біологічного виду, це означає граничний фазовий перехід у зворотному напрямі – від раціонального проєкту реальності до актуального ірраціонального втілення.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Розвиток технологічної цивілізації веде до формування технолого-екологічного «пузиря», що роздувається, розрив якого є лише питання часу. Ми стоїмо на порозі радикального цивілізаційного зрушення, глобальнішого, ніж неолітична революція або епохи Модерну. Одним з ключових елементів у фазовому просторі майбутньої еволюції Розуму у Всесвіті та долі нашого 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lastRenderedPageBreak/>
        <w:t>біологічного виду, та створеної ним цивілізації є інтеграція в мега-еволюційний процес біоетики в якості одного з його механізмів.</w:t>
      </w:r>
    </w:p>
    <w:p w:rsidR="00C03F1D" w:rsidRPr="002025F0" w:rsidRDefault="00C03F1D" w:rsidP="00C03F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C03F1D" w:rsidRPr="002025F0" w:rsidRDefault="00C03F1D" w:rsidP="00C03F1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25F0">
        <w:rPr>
          <w:rFonts w:asciiTheme="majorBidi" w:hAnsiTheme="majorBidi" w:cstheme="majorBidi"/>
          <w:b/>
          <w:bCs/>
          <w:sz w:val="28"/>
          <w:szCs w:val="28"/>
        </w:rPr>
        <w:t>Литература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Михель Д. В. Биокапитализм: новые технологии, новая экономика, новые формы труда и контроля в глобальном мире //Социальные и гуманитарные науки. Отечественная и зарубежная литература. Сер. 9, Востоковедение и африканистика: Реферативный журнал. – 2019. – №.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4.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С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. 42.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Михель Д. В. Биокапитализм: новые технологии, новая экономика, новые формы труда и контроля в глобальном мире //Социальные и гуманитарные науки. Отечественная и зарубежная литература. Сер. 9, Востоковедение и африканистика: Реферативный журнал. – 2019. – №. 4. С. 42.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Михель Д. Развитие высокотехнологичного здравоохранения в европе: донорство и трансплантация органов //Европейская безопасность: события, оценки, прогнозы. – 2020. – №. 56 (72).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C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.2-11.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Фишман Л. Г. Коммодификация как фактор морального и политического прогресса //Журнал политической философии и социологии политики Полития. Анализ. Хроника. Прогноз. – 2019. – №. 2 (93).</w:t>
      </w:r>
      <w:r w:rsidRPr="002025F0">
        <w:rPr>
          <w:rFonts w:asciiTheme="majorBidi" w:hAnsiTheme="majorBidi" w:cstheme="majorBidi"/>
          <w:sz w:val="28"/>
          <w:szCs w:val="28"/>
        </w:rPr>
        <w:t xml:space="preserve">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–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C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. 6-27.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2025F0">
        <w:rPr>
          <w:rFonts w:asciiTheme="majorBidi" w:hAnsiTheme="majorBidi" w:cstheme="majorBidi"/>
          <w:sz w:val="28"/>
          <w:szCs w:val="28"/>
        </w:rPr>
        <w:t xml:space="preserve">Чешко В.Ф., Коннова Н.А. </w:t>
      </w:r>
      <w:hyperlink r:id="rId8" w:history="1">
        <w:r w:rsidRPr="002025F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В окрестностях «Точки Омега». антрополого-эпистемологическое эссе по поводу пандемии COVID-19</w:t>
        </w:r>
      </w:hyperlink>
      <w:r w:rsidRPr="002025F0">
        <w:rPr>
          <w:rFonts w:asciiTheme="majorBidi" w:hAnsiTheme="majorBidi" w:cstheme="majorBidi"/>
          <w:sz w:val="28"/>
          <w:szCs w:val="28"/>
        </w:rPr>
        <w:t xml:space="preserve"> /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 xml:space="preserve">/ Практична філософія. – 2020. – № </w:t>
      </w:r>
      <w:r w:rsidRPr="002025F0">
        <w:rPr>
          <w:rFonts w:asciiTheme="majorBidi" w:hAnsiTheme="majorBidi" w:cstheme="majorBidi"/>
          <w:sz w:val="28"/>
          <w:szCs w:val="28"/>
        </w:rPr>
        <w:t xml:space="preserve"> </w:t>
      </w:r>
      <w:r w:rsidRPr="002025F0">
        <w:rPr>
          <w:rFonts w:asciiTheme="majorBidi" w:hAnsiTheme="majorBidi" w:cstheme="majorBidi"/>
          <w:sz w:val="28"/>
          <w:szCs w:val="28"/>
          <w:lang w:val="uk-UA"/>
        </w:rPr>
        <w:t>2. – С.53-62.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Чешко, В.Ф. Антропоцен. Философия биотехнологии: стабильная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адаптивная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стратегия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Homo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sapiens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, эволюционный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риск и эволюционная семантика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.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/ Чешко, В.Ф.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Л.В.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Иваницка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я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, В. И. Глазко. Москва: Курс, 2018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. 400 с.</w:t>
      </w:r>
    </w:p>
    <w:p w:rsidR="00C03F1D" w:rsidRPr="002025F0" w:rsidRDefault="00C03F1D" w:rsidP="00C03F1D">
      <w:pPr>
        <w:pStyle w:val="ListParagraph"/>
        <w:numPr>
          <w:ilvl w:val="0"/>
          <w:numId w:val="6"/>
        </w:numPr>
        <w:spacing w:after="5" w:line="248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lang w:val="en-US"/>
        </w:rPr>
        <w:t>Aronson E., Pratkanis E. R. Age of Propaganda: Persuasion Mechanisms, Everyday Use and Abuse</w:t>
      </w:r>
      <w:r w:rsidRPr="002025F0">
        <w:rPr>
          <w:rFonts w:asciiTheme="majorBidi" w:eastAsia="Arial" w:hAnsiTheme="majorBidi" w:cstheme="majorBidi"/>
          <w:sz w:val="28"/>
          <w:szCs w:val="28"/>
          <w:lang w:val="en-US"/>
        </w:rPr>
        <w:t xml:space="preserve">. 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>N.Y.: W. H. Freeman &amp; Co</w:t>
      </w:r>
      <w:r w:rsidRPr="002025F0">
        <w:rPr>
          <w:rFonts w:asciiTheme="majorBidi" w:eastAsia="Arial" w:hAnsiTheme="majorBidi" w:cstheme="majorBidi"/>
          <w:sz w:val="28"/>
          <w:szCs w:val="28"/>
          <w:lang w:val="en-US"/>
        </w:rPr>
        <w:t xml:space="preserve">., 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>N.Y.</w:t>
      </w:r>
      <w:r w:rsidRPr="002025F0">
        <w:rPr>
          <w:rFonts w:asciiTheme="majorBidi" w:eastAsia="Arial" w:hAnsiTheme="majorBidi" w:cstheme="majorBidi"/>
          <w:sz w:val="28"/>
          <w:szCs w:val="28"/>
          <w:lang w:val="en-US"/>
        </w:rPr>
        <w:t xml:space="preserve">− 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 xml:space="preserve">Russian version. Prime-EVROZNAK, St. Petersburg. 384 pp. 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lang w:val="en-US"/>
        </w:rPr>
        <w:t>Atkinson A.B. Economics as a Moral Science» // Economica, 2009, vol. 76, No. 2. P. 791—804. Available online:  https://www.un.org/en/development/desa/population/migration/generalassembly/docs/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Beck U. Risikogesellschaft, Frankfurt a  M.: Suhrkamp. – 1986.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025F0">
        <w:rPr>
          <w:rFonts w:asciiTheme="majorBidi" w:hAnsiTheme="majorBidi" w:cstheme="majorBidi"/>
          <w:sz w:val="28"/>
          <w:szCs w:val="28"/>
        </w:rPr>
        <w:t>Русск пер.: Бек У. Общество риска.– М.: Прогресс-Традиция, 2000.– 384 с.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Bernays E. L. Propaganda. New York: Horace Liveright, 1928.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Bishop J. P., Fitzgerald M. J. Norming COVID</w:t>
      </w:r>
      <w:r w:rsidRPr="002025F0">
        <w:rPr>
          <w:rFonts w:ascii="Cambria Math" w:hAnsi="Cambria Math" w:cs="Cambria Math"/>
          <w:sz w:val="28"/>
          <w:szCs w:val="28"/>
          <w:shd w:val="clear" w:color="auto" w:fill="FFFFFF"/>
          <w:lang w:val="en-US"/>
        </w:rPr>
        <w:t>‐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19: The Urgency of a Non</w:t>
      </w:r>
      <w:r w:rsidRPr="002025F0">
        <w:rPr>
          <w:rFonts w:ascii="Cambria Math" w:hAnsi="Cambria Math" w:cs="Cambria Math"/>
          <w:sz w:val="28"/>
          <w:szCs w:val="28"/>
          <w:shd w:val="clear" w:color="auto" w:fill="FFFFFF"/>
          <w:lang w:val="en-US"/>
        </w:rPr>
        <w:t>‐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Humanist Holism //The Heythrop Journal. – 2020 </w:t>
      </w:r>
      <w:hyperlink r:id="rId9" w:history="1">
        <w:r w:rsidRPr="002025F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  <w:lang w:val="en-US"/>
          </w:rPr>
          <w:t>https://doi.org/10.1111/heyj.13570</w:t>
        </w:r>
      </w:hyperlink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Bråten E. Viruses beyond epistemic fallacy // </w:t>
      </w:r>
      <w:r w:rsidRPr="002025F0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en-US"/>
        </w:rPr>
        <w:t>Social Anthropology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. – 2020. – 10.1111/1469-8676.12839. https://doi.org/10.1111/1469-8676.12839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lastRenderedPageBreak/>
        <w:t>Chen H. W. et al. Synthetic virus-like particles prepared via protein corona formation enable effective vaccination in an avian model of coronavirus infection //Biomaterials. – 2016. – Vol. 106. – P. 111-118.</w:t>
      </w:r>
    </w:p>
    <w:p w:rsidR="00C03F1D" w:rsidRPr="002025F0" w:rsidRDefault="00C03F1D" w:rsidP="00C03F1D">
      <w:pPr>
        <w:pStyle w:val="Plain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</w:rPr>
        <w:t>Cheshko V.T., Metaphysics</w:t>
      </w:r>
      <w:r w:rsidRPr="002025F0">
        <w:rPr>
          <w:rFonts w:asciiTheme="majorBidi" w:hAnsiTheme="majorBidi" w:cstheme="majorBidi"/>
          <w:sz w:val="28"/>
          <w:szCs w:val="28"/>
        </w:rPr>
        <w:tab/>
        <w:t>of Controlled Evolution (Anthropic Principle Evolutionary Epistemology and Ethics</w:t>
      </w:r>
      <w:r w:rsidRPr="002025F0">
        <w:rPr>
          <w:rFonts w:asciiTheme="majorBidi" w:hAnsiTheme="majorBidi" w:cstheme="majorBidi"/>
          <w:sz w:val="28"/>
          <w:szCs w:val="28"/>
        </w:rPr>
        <w:tab/>
        <w:t xml:space="preserve">of Nano-Bio Technologies) / V.T. Cheshko, V. I. Glazko, Y.V. Kosova // Adv. in Soc. Sci. Res. Journal, 2018. Vol. 5, No 2. P.71-85. http:// dx.doi.org/10.14738/assrj.52.4136. 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Coeckelbergh M. The Postdigital in Pandemic Times: a Comment on the Covid-19 Crisis and its Political Epistemologies [published online ahead of print, 2020 Apr 19] // Postdigital Science and Education. –  2020. – P. 1-4. 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 xml:space="preserve">Available online: </w:t>
      </w:r>
      <w:r w:rsidRPr="002025F0">
        <w:rPr>
          <w:rFonts w:asciiTheme="majorBidi" w:hAnsiTheme="majorBidi" w:cstheme="majorBidi"/>
          <w:sz w:val="28"/>
          <w:szCs w:val="28"/>
          <w:shd w:val="clear" w:color="auto" w:fill="FCFCFC"/>
          <w:lang w:val="en-US"/>
        </w:rPr>
        <w:t>https://doi.org/10.1007/s42438-020-00119-2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Jonas H. Das Prinzip Verantwortung: Versuch einer Ethik für die technologische Zivilisation (Frankfurt am Main : Insel-Verlag, 1979; Engl. Version: The Imperative of Responsibility: In Search of Ethics for the Technological Age (translation of Das Prinzip Verantwortung) Chicago: University Press, 1984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>Русск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.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Пер.: </w:t>
      </w:r>
      <w:r w:rsidRPr="002025F0">
        <w:rPr>
          <w:rFonts w:asciiTheme="majorBidi" w:hAnsiTheme="majorBidi" w:cstheme="majorBidi"/>
          <w:sz w:val="28"/>
          <w:szCs w:val="28"/>
        </w:rPr>
        <w:t xml:space="preserve">Йонас Г. Принцип ответственности. Опыт этики для технологической цивилизации. М.: Айрис-Пресс, 2004. 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2025F0">
        <w:rPr>
          <w:rFonts w:asciiTheme="majorBidi" w:hAnsiTheme="majorBidi" w:cstheme="majorBidi"/>
          <w:sz w:val="28"/>
          <w:szCs w:val="28"/>
        </w:rPr>
        <w:t>. 58.</w:t>
      </w:r>
    </w:p>
    <w:p w:rsidR="00C03F1D" w:rsidRPr="002025F0" w:rsidRDefault="00C03F1D" w:rsidP="00C03F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Hakovirta M., Denuwara N. How COVID-19 redefines the concept of sustainability. – </w:t>
      </w:r>
      <w:r w:rsidRPr="002025F0">
        <w:rPr>
          <w:rFonts w:asciiTheme="majorBidi" w:hAnsiTheme="majorBidi" w:cstheme="majorBidi"/>
          <w:sz w:val="28"/>
          <w:szCs w:val="28"/>
          <w:lang w:val="uk-UA" w:eastAsia="uk-UA"/>
        </w:rPr>
        <w:t xml:space="preserve">//Sustainability. – 2020. – </w:t>
      </w:r>
      <w:r w:rsidRPr="002025F0">
        <w:rPr>
          <w:rFonts w:asciiTheme="majorBidi" w:hAnsiTheme="majorBidi" w:cstheme="majorBidi"/>
          <w:sz w:val="28"/>
          <w:szCs w:val="28"/>
          <w:lang w:val="en-US" w:eastAsia="uk-UA"/>
        </w:rPr>
        <w:t>Vol</w:t>
      </w:r>
      <w:r w:rsidRPr="002025F0">
        <w:rPr>
          <w:rFonts w:asciiTheme="majorBidi" w:hAnsiTheme="majorBidi" w:cstheme="majorBidi"/>
          <w:sz w:val="28"/>
          <w:szCs w:val="28"/>
          <w:lang w:val="uk-UA" w:eastAsia="uk-UA"/>
        </w:rPr>
        <w:t xml:space="preserve">. 12. – </w:t>
      </w:r>
      <w:r w:rsidRPr="002025F0">
        <w:rPr>
          <w:rFonts w:asciiTheme="majorBidi" w:hAnsiTheme="majorBidi" w:cstheme="majorBidi"/>
          <w:sz w:val="28"/>
          <w:szCs w:val="28"/>
          <w:lang w:val="en-US" w:eastAsia="uk-UA"/>
        </w:rPr>
        <w:t>No</w:t>
      </w:r>
      <w:r w:rsidRPr="002025F0">
        <w:rPr>
          <w:rFonts w:asciiTheme="majorBidi" w:hAnsiTheme="majorBidi" w:cstheme="majorBidi"/>
          <w:sz w:val="28"/>
          <w:szCs w:val="28"/>
          <w:lang w:val="uk-UA" w:eastAsia="uk-UA"/>
        </w:rPr>
        <w:t xml:space="preserve"> 9. – </w:t>
      </w:r>
      <w:r w:rsidRPr="002025F0">
        <w:rPr>
          <w:rFonts w:asciiTheme="majorBidi" w:hAnsiTheme="majorBidi" w:cstheme="majorBidi"/>
          <w:sz w:val="28"/>
          <w:szCs w:val="28"/>
          <w:lang w:val="en-US" w:eastAsia="uk-UA"/>
        </w:rPr>
        <w:t>P</w:t>
      </w:r>
      <w:r w:rsidRPr="002025F0">
        <w:rPr>
          <w:rFonts w:asciiTheme="majorBidi" w:hAnsiTheme="majorBidi" w:cstheme="majorBidi"/>
          <w:sz w:val="28"/>
          <w:szCs w:val="28"/>
          <w:lang w:val="uk-UA" w:eastAsia="uk-UA"/>
        </w:rPr>
        <w:t>. 1-4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. 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>Available online. DOI: 10.3390/su12093727.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Jandrić P. Postdigital research in the time of Covid-19 // Postdigital Science and Education. – 2020. – Issue 2. P. 233-238.  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 xml:space="preserve">Available online:  https://doi.org/10.1007/s42438-020-00113-8 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lang w:val="en-US"/>
        </w:rPr>
        <w:t>Lemke Th. Biopolitics. An Advanced Introduction. N.Y.: New York Univer-</w:t>
      </w:r>
    </w:p>
    <w:p w:rsidR="00C03F1D" w:rsidRPr="002025F0" w:rsidRDefault="00C03F1D" w:rsidP="00C03F1D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top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O’Callaghan-Gordo C., Antó J. M. COVID-19: The Disease of the Anthropocene //Environmental Research. – 2020.</w:t>
      </w:r>
      <w:r w:rsidRPr="002025F0">
        <w:rPr>
          <w:rStyle w:val="fm-vol-iss-date"/>
          <w:rFonts w:asciiTheme="majorBidi" w:hAnsiTheme="majorBidi" w:cstheme="majorBidi"/>
          <w:sz w:val="28"/>
          <w:szCs w:val="28"/>
          <w:lang w:val="en-US"/>
        </w:rPr>
        <w:t xml:space="preserve"> May 15. </w:t>
      </w:r>
      <w:r w:rsidRPr="002025F0">
        <w:rPr>
          <w:rStyle w:val="doi"/>
          <w:rFonts w:asciiTheme="majorBidi" w:eastAsiaTheme="majorEastAsia" w:hAnsiTheme="majorBidi" w:cstheme="majorBidi"/>
          <w:sz w:val="28"/>
          <w:szCs w:val="28"/>
          <w:lang w:val="en-US"/>
        </w:rPr>
        <w:t>doi: </w:t>
      </w:r>
      <w:hyperlink r:id="rId10" w:tgtFrame="pmc_ext" w:history="1">
        <w:r w:rsidRPr="002025F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10.1016/j.envres.2020.109683</w:t>
        </w:r>
      </w:hyperlink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Peters M. A. et al. (ed.). Post-truth, fake news: Viral modernity &amp; higher education. – Springer, 2018. 232 p.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Peters M. A., Jandrić P., McLaren P. Viral modernity? Epidemics, infodemics, and the ‘bioinformational’paradigm. // Educational Philosophy and Theory. 2020. 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 xml:space="preserve">Available online: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https://doi.org/10.1080/00131857.2020.1744226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lang w:val="en-US"/>
        </w:rPr>
        <w:t>Peters M.A. On the epistemology of conspiracy // Educational Philosophy and Theory, 2020. https:// doi: 10.1080/00131857.2020.1741331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lang w:val="en-US"/>
        </w:rPr>
        <w:t>Popper C.R. Conjectures and Refutations: The Growth of Scientific Knowledge. 2nd ed. New York: Routledge. 2002. P. 165-168.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Radder H., ed. The commodification of academic research: Science and the modern university.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Pittsburgh: University of Pittsburgh Press,  2010. – P. 4 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lang w:val="en-US"/>
        </w:rPr>
        <w:t xml:space="preserve">Rose N. The politics of life itself: biomedicine, power, and subjectivity in the </w:t>
      </w:r>
    </w:p>
    <w:p w:rsidR="00C03F1D" w:rsidRPr="002025F0" w:rsidRDefault="00C03F1D" w:rsidP="00C03F1D">
      <w:pPr>
        <w:pStyle w:val="EndnoteText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lang w:val="en-US"/>
        </w:rPr>
        <w:t>twenty-first century. – Princeton: Princeton university press, 2007. – 350 p.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Triggle, Chris R et al. “COVID-19: Learning from Lessons To Guide  Treatment and Prevention Interventions.” mSphere . 2020, Vol. 5,3 e00317-20. doi:10.1128/mSphere.00317-2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lang w:val="en-US"/>
        </w:rPr>
        <w:lastRenderedPageBreak/>
        <w:t>UN General Assembly. Resolution adopted by the UNGA on 16 September. Report, A/RES/60/1. 2005. Available online: https://www.un. org/en/development/desa/population/migration/generalassembly/docs/globalcompact/A_RES_60_1.pdf (accessed on 12 April 2020)</w:t>
      </w:r>
    </w:p>
    <w:p w:rsidR="00C03F1D" w:rsidRPr="002025F0" w:rsidRDefault="00C03F1D" w:rsidP="00C03F1D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lang w:val="en-US"/>
        </w:rPr>
        <w:t xml:space="preserve">Vakurova N., Moskovkin L. Validity of evolutionary genetics in the field of social processes (brief outline of human evolution) // Available online:  </w:t>
      </w:r>
      <w:hyperlink r:id="rId11" w:history="1">
        <w:r w:rsidRPr="002025F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https://euroasia-science.ru/wp-content/uploads/2020/07/05-12</w:t>
        </w:r>
      </w:hyperlink>
      <w:r w:rsidRPr="002025F0">
        <w:rPr>
          <w:rFonts w:asciiTheme="majorBidi" w:hAnsiTheme="majorBidi" w:cstheme="majorBidi"/>
          <w:sz w:val="28"/>
          <w:szCs w:val="28"/>
          <w:lang w:val="en-US"/>
        </w:rPr>
        <w:t>; DOI: 10.31618/ESU.2413-9335.2020.7.75.885</w:t>
      </w:r>
    </w:p>
    <w:p w:rsidR="00A174AE" w:rsidRPr="002025F0" w:rsidRDefault="00C03F1D" w:rsidP="00A174AE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Vidal J. Destroyed habitat creates the perfect conditions for coronavirus to emerge //Scientific American. – 2020. – P. 1-12.</w:t>
      </w:r>
      <w:r w:rsidRPr="002025F0">
        <w:rPr>
          <w:rFonts w:asciiTheme="majorBidi" w:hAnsiTheme="majorBidi" w:cstheme="majorBidi"/>
          <w:sz w:val="28"/>
          <w:szCs w:val="28"/>
          <w:lang w:val="en-US"/>
        </w:rPr>
        <w:t xml:space="preserve"> Available online: </w:t>
      </w:r>
      <w:hyperlink r:id="rId12" w:history="1">
        <w:r w:rsidRPr="002025F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  <w:lang w:val="en-US"/>
          </w:rPr>
          <w:t>https://www.scientificamerican.com/article/destroyed-habitat-creates-the-perfect-conditions-for-coronavirus-to-emerge/</w:t>
        </w:r>
      </w:hyperlink>
      <w:r w:rsidRPr="002025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C03F1D" w:rsidRPr="002025F0" w:rsidRDefault="00C03F1D" w:rsidP="00A174AE">
      <w:pPr>
        <w:pStyle w:val="EndnoteText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25F0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Wu SC. Progress and Concept for COVID-19 Vaccine Development. // Biotechnol J. 2020;vol. 15, Issue 6. e2000147. doi:10.1002/biot.202000147.</w:t>
      </w:r>
    </w:p>
    <w:bookmarkEnd w:id="0"/>
    <w:p w:rsidR="00C5536F" w:rsidRPr="002025F0" w:rsidRDefault="00C5536F">
      <w:pPr>
        <w:rPr>
          <w:lang w:val="uk-UA"/>
        </w:rPr>
      </w:pPr>
    </w:p>
    <w:sectPr w:rsidR="00C5536F" w:rsidRPr="0020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D" w:rsidRDefault="00C03F1D" w:rsidP="00C03F1D">
      <w:pPr>
        <w:spacing w:after="0" w:line="240" w:lineRule="auto"/>
      </w:pPr>
      <w:r>
        <w:separator/>
      </w:r>
    </w:p>
  </w:endnote>
  <w:endnote w:type="continuationSeparator" w:id="0">
    <w:p w:rsidR="00C03F1D" w:rsidRDefault="00C03F1D" w:rsidP="00C0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D" w:rsidRDefault="00C03F1D" w:rsidP="00C03F1D">
      <w:pPr>
        <w:spacing w:after="0" w:line="240" w:lineRule="auto"/>
      </w:pPr>
      <w:r>
        <w:separator/>
      </w:r>
    </w:p>
  </w:footnote>
  <w:footnote w:type="continuationSeparator" w:id="0">
    <w:p w:rsidR="00C03F1D" w:rsidRDefault="00C03F1D" w:rsidP="00C03F1D">
      <w:pPr>
        <w:spacing w:after="0" w:line="240" w:lineRule="auto"/>
      </w:pPr>
      <w:r>
        <w:continuationSeparator/>
      </w:r>
    </w:p>
  </w:footnote>
  <w:footnote w:id="1">
    <w:p w:rsidR="00C03F1D" w:rsidRPr="001611A0" w:rsidRDefault="00C03F1D" w:rsidP="001611A0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 w:rsidRPr="001611A0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1611A0">
        <w:rPr>
          <w:rFonts w:asciiTheme="majorBidi" w:hAnsiTheme="majorBidi" w:cstheme="majorBidi"/>
          <w:sz w:val="24"/>
          <w:szCs w:val="24"/>
        </w:rPr>
        <w:t xml:space="preserve"> В англ</w:t>
      </w:r>
      <w:r w:rsidRPr="001611A0">
        <w:rPr>
          <w:rFonts w:asciiTheme="majorBidi" w:hAnsiTheme="majorBidi" w:cstheme="majorBidi"/>
          <w:sz w:val="24"/>
          <w:szCs w:val="24"/>
          <w:lang w:val="uk-UA"/>
        </w:rPr>
        <w:t>і</w:t>
      </w:r>
      <w:r w:rsidRPr="001611A0">
        <w:rPr>
          <w:rFonts w:asciiTheme="majorBidi" w:hAnsiTheme="majorBidi" w:cstheme="majorBidi"/>
          <w:sz w:val="24"/>
          <w:szCs w:val="24"/>
        </w:rPr>
        <w:t>йс</w:t>
      </w:r>
      <w:r w:rsidRPr="001611A0">
        <w:rPr>
          <w:rFonts w:asciiTheme="majorBidi" w:hAnsiTheme="majorBidi" w:cstheme="majorBidi"/>
          <w:sz w:val="24"/>
          <w:szCs w:val="24"/>
          <w:lang w:val="uk-UA"/>
        </w:rPr>
        <w:t>ь</w:t>
      </w:r>
      <w:r w:rsidRPr="001611A0">
        <w:rPr>
          <w:rFonts w:asciiTheme="majorBidi" w:hAnsiTheme="majorBidi" w:cstheme="majorBidi"/>
          <w:sz w:val="24"/>
          <w:szCs w:val="24"/>
        </w:rPr>
        <w:t>к</w:t>
      </w:r>
      <w:r w:rsidRPr="001611A0">
        <w:rPr>
          <w:rFonts w:asciiTheme="majorBidi" w:hAnsiTheme="majorBidi" w:cstheme="majorBidi"/>
          <w:sz w:val="24"/>
          <w:szCs w:val="24"/>
          <w:lang w:val="uk-UA"/>
        </w:rPr>
        <w:t>і</w:t>
      </w:r>
      <w:r w:rsidRPr="001611A0">
        <w:rPr>
          <w:rFonts w:asciiTheme="majorBidi" w:hAnsiTheme="majorBidi" w:cstheme="majorBidi"/>
          <w:sz w:val="24"/>
          <w:szCs w:val="24"/>
        </w:rPr>
        <w:t xml:space="preserve">й версии, </w:t>
      </w:r>
      <w:r w:rsidRPr="001611A0">
        <w:rPr>
          <w:rStyle w:val="tlid-translation"/>
          <w:rFonts w:asciiTheme="majorBidi" w:hAnsiTheme="majorBidi" w:cstheme="majorBidi"/>
          <w:sz w:val="24"/>
          <w:szCs w:val="24"/>
          <w:lang w:val="uk-UA"/>
        </w:rPr>
        <w:t xml:space="preserve">підготовленої за участю самого Х.Йонаса, Принцип відповідальності німецького оригіналу має, на наш погляд, більш вдалу форму вираження - Імператив відповідальності. Тим самим підкреслюється його «наказовий спосіб», </w:t>
      </w:r>
      <w:r w:rsidR="001611A0" w:rsidRPr="001611A0">
        <w:rPr>
          <w:rStyle w:val="tlid-translation"/>
          <w:rFonts w:asciiTheme="majorBidi" w:hAnsiTheme="majorBidi" w:cstheme="majorBidi"/>
          <w:sz w:val="24"/>
          <w:szCs w:val="24"/>
          <w:lang w:val="uk-UA"/>
        </w:rPr>
        <w:t>повинність</w:t>
      </w:r>
      <w:r w:rsidRPr="001611A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696"/>
    <w:multiLevelType w:val="hybridMultilevel"/>
    <w:tmpl w:val="E102A88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08714B"/>
    <w:multiLevelType w:val="hybridMultilevel"/>
    <w:tmpl w:val="2BDCF5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73DA"/>
    <w:multiLevelType w:val="hybridMultilevel"/>
    <w:tmpl w:val="03C26CB8"/>
    <w:lvl w:ilvl="0" w:tplc="B5E6CF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2245CCD"/>
    <w:multiLevelType w:val="hybridMultilevel"/>
    <w:tmpl w:val="B808A82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693837"/>
    <w:multiLevelType w:val="hybridMultilevel"/>
    <w:tmpl w:val="9EB041E6"/>
    <w:lvl w:ilvl="0" w:tplc="A64C32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1777F2"/>
    <w:multiLevelType w:val="hybridMultilevel"/>
    <w:tmpl w:val="2CDC6800"/>
    <w:lvl w:ilvl="0" w:tplc="2D6AB304">
      <w:start w:val="1"/>
      <w:numFmt w:val="decimal"/>
      <w:lvlText w:val="%1)"/>
      <w:lvlJc w:val="left"/>
      <w:pPr>
        <w:ind w:left="1429" w:hanging="360"/>
      </w:pPr>
      <w:rPr>
        <w:rFonts w:asciiTheme="majorBidi" w:eastAsia="Times New Roman" w:hAnsiTheme="majorBidi" w:cstheme="maj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1D"/>
    <w:rsid w:val="001611A0"/>
    <w:rsid w:val="002025F0"/>
    <w:rsid w:val="00280E13"/>
    <w:rsid w:val="002A1770"/>
    <w:rsid w:val="003A3320"/>
    <w:rsid w:val="00801FFA"/>
    <w:rsid w:val="00A174AE"/>
    <w:rsid w:val="00C03F1D"/>
    <w:rsid w:val="00C5536F"/>
    <w:rsid w:val="00CF0D4B"/>
    <w:rsid w:val="00D81107"/>
    <w:rsid w:val="00DA29A1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AD40"/>
  <w15:chartTrackingRefBased/>
  <w15:docId w15:val="{66324E2F-59B7-4795-92C0-2037DC42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1D"/>
    <w:pPr>
      <w:spacing w:after="120" w:line="264" w:lineRule="auto"/>
    </w:pPr>
    <w:rPr>
      <w:rFonts w:ascii="Calibri" w:eastAsia="Times New Roman" w:hAnsi="Calibri" w:cs="Times New Roman"/>
      <w:sz w:val="21"/>
      <w:szCs w:val="21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1D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C03F1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F1D"/>
    <w:rPr>
      <w:rFonts w:ascii="Calibri" w:eastAsia="Times New Roman" w:hAnsi="Calibri"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C03F1D"/>
    <w:rPr>
      <w:vertAlign w:val="superscript"/>
    </w:rPr>
  </w:style>
  <w:style w:type="character" w:customStyle="1" w:styleId="hl">
    <w:name w:val="hl"/>
    <w:basedOn w:val="DefaultParagraphFont"/>
    <w:rsid w:val="00C03F1D"/>
  </w:style>
  <w:style w:type="character" w:customStyle="1" w:styleId="hiddenspellerror">
    <w:name w:val="hiddenspellerror"/>
    <w:basedOn w:val="DefaultParagraphFont"/>
    <w:rsid w:val="00C03F1D"/>
  </w:style>
  <w:style w:type="character" w:customStyle="1" w:styleId="tlid-translation">
    <w:name w:val="tlid-translation"/>
    <w:basedOn w:val="DefaultParagraphFont"/>
    <w:rsid w:val="00C03F1D"/>
  </w:style>
  <w:style w:type="character" w:styleId="Hyperlink">
    <w:name w:val="Hyperlink"/>
    <w:basedOn w:val="DefaultParagraphFont"/>
    <w:uiPriority w:val="99"/>
    <w:unhideWhenUsed/>
    <w:rsid w:val="00C03F1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03F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03F1D"/>
    <w:rPr>
      <w:rFonts w:ascii="Calibri" w:eastAsia="Times New Roman" w:hAnsi="Calibri" w:cs="Times New Roman"/>
      <w:sz w:val="20"/>
      <w:szCs w:val="20"/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C03F1D"/>
    <w:pPr>
      <w:spacing w:after="0" w:line="240" w:lineRule="auto"/>
    </w:pPr>
    <w:rPr>
      <w:rFonts w:ascii="Consolas" w:eastAsiaTheme="minorHAnsi" w:hAnsi="Consolas" w:cstheme="minorBid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03F1D"/>
    <w:rPr>
      <w:rFonts w:ascii="Consolas" w:hAnsi="Consolas"/>
      <w:sz w:val="21"/>
      <w:szCs w:val="21"/>
    </w:rPr>
  </w:style>
  <w:style w:type="character" w:customStyle="1" w:styleId="fm-vol-iss-date">
    <w:name w:val="fm-vol-iss-date"/>
    <w:basedOn w:val="DefaultParagraphFont"/>
    <w:rsid w:val="00C03F1D"/>
  </w:style>
  <w:style w:type="character" w:customStyle="1" w:styleId="doi">
    <w:name w:val="doi"/>
    <w:basedOn w:val="DefaultParagraphFont"/>
    <w:rsid w:val="00C03F1D"/>
  </w:style>
  <w:style w:type="paragraph" w:styleId="BalloonText">
    <w:name w:val="Balloon Text"/>
    <w:basedOn w:val="Normal"/>
    <w:link w:val="BalloonTextChar"/>
    <w:uiPriority w:val="99"/>
    <w:semiHidden/>
    <w:unhideWhenUsed/>
    <w:rsid w:val="00C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cientificamerican.com/article/destroyed-habitat-creates-the-perfect-conditions-for-coronavirus-to-emer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asia-science.ru/wp-content/uploads/2020/07/05-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x.doi.org/10.1016%2Fj.envres.2020.109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heyj.135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2020-10-29T15:33:00Z</dcterms:created>
  <dcterms:modified xsi:type="dcterms:W3CDTF">2021-03-04T12:16:00Z</dcterms:modified>
</cp:coreProperties>
</file>