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5D" w:rsidRDefault="003B3301" w:rsidP="003B3301">
      <w:pPr>
        <w:spacing w:line="480" w:lineRule="auto"/>
        <w:jc w:val="center"/>
      </w:pPr>
      <w:r>
        <w:rPr>
          <w:b/>
        </w:rPr>
        <w:t>Agency and Incompatibilism</w:t>
      </w:r>
    </w:p>
    <w:p w:rsidR="003B3301" w:rsidRDefault="003B3301" w:rsidP="003B3301">
      <w:pPr>
        <w:spacing w:line="480" w:lineRule="auto"/>
        <w:jc w:val="center"/>
      </w:pPr>
      <w:r>
        <w:t>Randolph Clarke</w:t>
      </w:r>
    </w:p>
    <w:p w:rsidR="003B3301" w:rsidRDefault="003B3301" w:rsidP="003B3301">
      <w:pPr>
        <w:spacing w:line="480" w:lineRule="auto"/>
        <w:jc w:val="center"/>
      </w:pPr>
    </w:p>
    <w:p w:rsidR="00032D19" w:rsidRDefault="00976CB1" w:rsidP="003B3301">
      <w:pPr>
        <w:spacing w:line="480" w:lineRule="auto"/>
      </w:pPr>
      <w:r>
        <w:t>Helen Steward’s</w:t>
      </w:r>
      <w:r>
        <w:rPr>
          <w:i/>
        </w:rPr>
        <w:t xml:space="preserve"> </w:t>
      </w:r>
      <w:r w:rsidR="00E46CAB">
        <w:rPr>
          <w:i/>
        </w:rPr>
        <w:t>A Metaphysics for Freedom</w:t>
      </w:r>
      <w:r w:rsidR="00E46CAB">
        <w:t xml:space="preserve"> </w:t>
      </w:r>
      <w:r w:rsidR="00B30F36">
        <w:t xml:space="preserve">argues for </w:t>
      </w:r>
      <w:r w:rsidR="004B4813">
        <w:t xml:space="preserve">what she calls </w:t>
      </w:r>
      <w:r w:rsidR="003B3301">
        <w:t>Agency Incompatibilism</w:t>
      </w:r>
      <w:r w:rsidR="001D399F">
        <w:t xml:space="preserve">: </w:t>
      </w:r>
      <w:r w:rsidR="003B3301">
        <w:t xml:space="preserve"> agency </w:t>
      </w:r>
      <w:r w:rsidR="001D399F">
        <w:t xml:space="preserve">itself </w:t>
      </w:r>
      <w:r w:rsidR="003B3301">
        <w:t xml:space="preserve">is incompatible with determinism. The agency in question includes such things as </w:t>
      </w:r>
      <w:r w:rsidR="000523BC">
        <w:t>dancing,</w:t>
      </w:r>
      <w:r>
        <w:t xml:space="preserve"> </w:t>
      </w:r>
      <w:r w:rsidR="0030570C">
        <w:t xml:space="preserve">making a decision, </w:t>
      </w:r>
      <w:r w:rsidR="003B3301">
        <w:t xml:space="preserve">and </w:t>
      </w:r>
      <w:r w:rsidR="00265BF1">
        <w:t xml:space="preserve">absent-mindedly </w:t>
      </w:r>
      <w:r w:rsidR="003B3301">
        <w:t>scratching one’s head; it includes the activit</w:t>
      </w:r>
      <w:r w:rsidR="00655AEC">
        <w:t>ies</w:t>
      </w:r>
      <w:r w:rsidR="003B3301">
        <w:t xml:space="preserve"> of </w:t>
      </w:r>
      <w:r w:rsidR="00EA4978">
        <w:t xml:space="preserve">infant and </w:t>
      </w:r>
      <w:r w:rsidR="003B3301">
        <w:t>adult human be</w:t>
      </w:r>
      <w:r w:rsidR="00357BD5">
        <w:t>ings as well as th</w:t>
      </w:r>
      <w:r w:rsidR="00987AB7">
        <w:t>ose</w:t>
      </w:r>
      <w:r w:rsidR="00357BD5">
        <w:t xml:space="preserve"> of </w:t>
      </w:r>
      <w:r w:rsidR="00600127">
        <w:t xml:space="preserve">cows and </w:t>
      </w:r>
      <w:r w:rsidR="003B3301">
        <w:t>spiders</w:t>
      </w:r>
      <w:r w:rsidR="000523BC">
        <w:t xml:space="preserve"> (and perhaps earthworms)</w:t>
      </w:r>
      <w:r w:rsidR="003B3301">
        <w:t xml:space="preserve">. </w:t>
      </w:r>
      <w:r w:rsidR="00674E09">
        <w:t xml:space="preserve">On Steward’s view, </w:t>
      </w:r>
      <w:r w:rsidR="003B3301">
        <w:t>it is metaphysically impossible for there to be agents of any kind in</w:t>
      </w:r>
      <w:r w:rsidR="00A23D8D">
        <w:t xml:space="preserve"> a d</w:t>
      </w:r>
      <w:r w:rsidR="003B3301">
        <w:t>eterministic world. Indeed, it is impossible for any exercise of agency to be</w:t>
      </w:r>
      <w:r w:rsidR="00502A9E">
        <w:t xml:space="preserve"> determined by what precedes it,</w:t>
      </w:r>
      <w:r w:rsidR="003B3301">
        <w:t xml:space="preserve"> and </w:t>
      </w:r>
      <w:r w:rsidR="00032D19">
        <w:t xml:space="preserve">necessarily </w:t>
      </w:r>
      <w:r w:rsidR="003B3301">
        <w:t xml:space="preserve">any instance of activity </w:t>
      </w:r>
      <w:r w:rsidR="00E46CAB">
        <w:t xml:space="preserve">evolves indeterministically </w:t>
      </w:r>
      <w:r w:rsidR="00E31932">
        <w:t>from start to finish</w:t>
      </w:r>
      <w:r w:rsidR="003B3301">
        <w:t>.</w:t>
      </w:r>
      <w:r w:rsidR="00357BD5">
        <w:t xml:space="preserve"> Free will requires indeterminism</w:t>
      </w:r>
      <w:r w:rsidR="001D399F">
        <w:t xml:space="preserve"> </w:t>
      </w:r>
      <w:r w:rsidR="00357BD5">
        <w:t>because it requires agency</w:t>
      </w:r>
      <w:r w:rsidR="00977126">
        <w:t xml:space="preserve">, which </w:t>
      </w:r>
      <w:r w:rsidR="00357BD5">
        <w:t xml:space="preserve">requires </w:t>
      </w:r>
      <w:r w:rsidR="00317130">
        <w:t>i</w:t>
      </w:r>
      <w:r w:rsidR="00357BD5">
        <w:t>ndeterminism.</w:t>
      </w:r>
    </w:p>
    <w:p w:rsidR="003B3301" w:rsidRDefault="00BC6AD1" w:rsidP="003B3301">
      <w:pPr>
        <w:spacing w:line="480" w:lineRule="auto"/>
      </w:pPr>
      <w:r>
        <w:tab/>
      </w:r>
      <w:r w:rsidR="00977126">
        <w:t xml:space="preserve">I’ll focus </w:t>
      </w:r>
      <w:r w:rsidR="00AF7554">
        <w:t>here</w:t>
      </w:r>
      <w:r w:rsidR="00977126">
        <w:t xml:space="preserve"> </w:t>
      </w:r>
      <w:r w:rsidR="009B4C64">
        <w:t xml:space="preserve">on </w:t>
      </w:r>
      <w:r w:rsidR="00712697">
        <w:t>Steward’s</w:t>
      </w:r>
      <w:r w:rsidR="009B4C64">
        <w:t xml:space="preserve"> </w:t>
      </w:r>
      <w:r w:rsidR="000D20A6">
        <w:t xml:space="preserve">main argument for this view. </w:t>
      </w:r>
      <w:r>
        <w:t xml:space="preserve">It </w:t>
      </w:r>
      <w:r w:rsidR="000D20A6">
        <w:t xml:space="preserve">seems to me to suffer from a </w:t>
      </w:r>
      <w:r w:rsidR="006E431C">
        <w:t>serious</w:t>
      </w:r>
      <w:r w:rsidR="00317130">
        <w:t xml:space="preserve"> shortcoming.</w:t>
      </w:r>
    </w:p>
    <w:p w:rsidR="00502A9E" w:rsidRDefault="00502A9E" w:rsidP="003B3301">
      <w:pPr>
        <w:spacing w:line="480" w:lineRule="auto"/>
      </w:pPr>
    </w:p>
    <w:p w:rsidR="00502A9E" w:rsidRPr="00502A9E" w:rsidRDefault="00BC6AD1" w:rsidP="00502A9E">
      <w:pPr>
        <w:pStyle w:val="ListParagraph"/>
        <w:numPr>
          <w:ilvl w:val="0"/>
          <w:numId w:val="1"/>
        </w:numPr>
        <w:spacing w:line="480" w:lineRule="auto"/>
        <w:jc w:val="center"/>
        <w:rPr>
          <w:i/>
        </w:rPr>
      </w:pPr>
      <w:r>
        <w:rPr>
          <w:i/>
        </w:rPr>
        <w:t xml:space="preserve">The </w:t>
      </w:r>
      <w:r w:rsidR="004914BE">
        <w:rPr>
          <w:i/>
        </w:rPr>
        <w:t xml:space="preserve">Settling </w:t>
      </w:r>
      <w:r>
        <w:rPr>
          <w:i/>
        </w:rPr>
        <w:t>Argument</w:t>
      </w:r>
    </w:p>
    <w:p w:rsidR="001F713A" w:rsidRDefault="002B1DB0" w:rsidP="00502A9E">
      <w:pPr>
        <w:spacing w:line="480" w:lineRule="auto"/>
      </w:pPr>
      <w:r>
        <w:t xml:space="preserve">An agent, Steward maintains, is a self-mover, </w:t>
      </w:r>
      <w:r w:rsidR="00C03C7E">
        <w:t xml:space="preserve">a being </w:t>
      </w:r>
      <w:r w:rsidR="008357ED">
        <w:t xml:space="preserve">with a power </w:t>
      </w:r>
      <w:r>
        <w:t xml:space="preserve">to make its body, or parts of its body, move. </w:t>
      </w:r>
      <w:r w:rsidR="00A973D6">
        <w:t xml:space="preserve">The making-one’s-body-move that </w:t>
      </w:r>
      <w:r w:rsidR="00265BF1">
        <w:t xml:space="preserve">we have when this power is exercised is </w:t>
      </w:r>
      <w:r w:rsidR="00A973D6">
        <w:t xml:space="preserve">a matter of </w:t>
      </w:r>
      <w:r w:rsidR="0096578A">
        <w:t xml:space="preserve">causation by the </w:t>
      </w:r>
      <w:r w:rsidR="00A973D6">
        <w:t>agent</w:t>
      </w:r>
      <w:r w:rsidR="00C03C7E">
        <w:t>,</w:t>
      </w:r>
      <w:r w:rsidR="00F35A0D">
        <w:t xml:space="preserve"> and a</w:t>
      </w:r>
      <w:r w:rsidR="001F713A">
        <w:t xml:space="preserve">n action is a causing by the agent of some </w:t>
      </w:r>
      <w:r w:rsidR="00313D5F">
        <w:t>movement</w:t>
      </w:r>
      <w:r w:rsidR="001F713A">
        <w:t xml:space="preserve"> of its body, or some </w:t>
      </w:r>
      <w:r w:rsidR="00E81F1D">
        <w:t xml:space="preserve">part </w:t>
      </w:r>
      <w:r w:rsidR="0096578A">
        <w:t>thereof</w:t>
      </w:r>
      <w:r w:rsidR="001F713A">
        <w:t>.</w:t>
      </w:r>
      <w:r w:rsidR="00C060EE">
        <w:rPr>
          <w:rStyle w:val="FootnoteReference"/>
        </w:rPr>
        <w:footnoteReference w:id="1"/>
      </w:r>
      <w:r w:rsidR="00EA4978">
        <w:t xml:space="preserve"> W</w:t>
      </w:r>
      <w:r w:rsidR="00313D5F">
        <w:t xml:space="preserve">hen I raise my arm, I cause a movement </w:t>
      </w:r>
      <w:r w:rsidR="00EA4978">
        <w:t>of my arm</w:t>
      </w:r>
      <w:r w:rsidR="0034741D">
        <w:t>, namely, its rising</w:t>
      </w:r>
      <w:r w:rsidR="00EA4978">
        <w:t xml:space="preserve">. When I make a decision, I cause some </w:t>
      </w:r>
      <w:r w:rsidR="00313D5F">
        <w:t xml:space="preserve">movement </w:t>
      </w:r>
      <w:r w:rsidR="0096578A">
        <w:t xml:space="preserve">within me, presumably </w:t>
      </w:r>
      <w:r w:rsidR="00C43FE9">
        <w:t xml:space="preserve">somewhere within </w:t>
      </w:r>
      <w:r w:rsidR="00EA4978">
        <w:t>my brain.</w:t>
      </w:r>
    </w:p>
    <w:p w:rsidR="0096578A" w:rsidRDefault="0096578A" w:rsidP="00502A9E">
      <w:pPr>
        <w:spacing w:line="480" w:lineRule="auto"/>
      </w:pPr>
      <w:r w:rsidRPr="0096578A">
        <w:lastRenderedPageBreak/>
        <w:tab/>
        <w:t>At one point, Steward suggests that once we</w:t>
      </w:r>
      <w:r w:rsidR="00655AEC">
        <w:t>’</w:t>
      </w:r>
      <w:r w:rsidRPr="0096578A">
        <w:t xml:space="preserve">re clear that actions are movings rather than </w:t>
      </w:r>
      <w:r w:rsidR="00E81F1D">
        <w:t>mo</w:t>
      </w:r>
      <w:r w:rsidR="00313D5F">
        <w:t>vements</w:t>
      </w:r>
      <w:r w:rsidR="00E81F1D">
        <w:t xml:space="preserve">—causings </w:t>
      </w:r>
      <w:r w:rsidRPr="0096578A">
        <w:t xml:space="preserve">by agents rather than </w:t>
      </w:r>
      <w:r w:rsidR="00D13FB3">
        <w:t>movements caused by antecedents</w:t>
      </w:r>
      <w:r w:rsidR="00E81F1D">
        <w:t xml:space="preserve">—the </w:t>
      </w:r>
      <w:r w:rsidRPr="0096578A">
        <w:t>tension with determinism becomes “readily palpable” (35).</w:t>
      </w:r>
      <w:r w:rsidR="003451CA">
        <w:rPr>
          <w:rStyle w:val="FootnoteReference"/>
        </w:rPr>
        <w:footnoteReference w:id="2"/>
      </w:r>
      <w:r w:rsidRPr="0096578A">
        <w:t xml:space="preserve"> But the notion of a moving</w:t>
      </w:r>
      <w:r w:rsidR="00E81F1D">
        <w:t>,</w:t>
      </w:r>
      <w:r w:rsidRPr="0096578A">
        <w:t xml:space="preserve"> or of a causing</w:t>
      </w:r>
      <w:r w:rsidR="00DA6DDD">
        <w:t xml:space="preserve"> of a </w:t>
      </w:r>
      <w:r w:rsidR="00F35A0D">
        <w:t>movement</w:t>
      </w:r>
      <w:r w:rsidR="00E81F1D">
        <w:t>,</w:t>
      </w:r>
      <w:r w:rsidRPr="0096578A">
        <w:t xml:space="preserve"> doesn’t itself </w:t>
      </w:r>
      <w:r w:rsidR="00E81F1D">
        <w:t xml:space="preserve">generate </w:t>
      </w:r>
      <w:r w:rsidRPr="0096578A">
        <w:t xml:space="preserve">the tension. When the wind </w:t>
      </w:r>
      <w:r w:rsidR="00BC6AD1">
        <w:t>ripples the surface of a pond</w:t>
      </w:r>
      <w:r w:rsidRPr="0096578A">
        <w:t xml:space="preserve">, we have </w:t>
      </w:r>
      <w:r w:rsidR="00CA7AFB">
        <w:t>a causing of a movement</w:t>
      </w:r>
      <w:r w:rsidRPr="0096578A">
        <w:t xml:space="preserve">. </w:t>
      </w:r>
      <w:r w:rsidR="00BC6AD1">
        <w:t xml:space="preserve">But I see no reason to think—and I don’t see that Steward </w:t>
      </w:r>
      <w:r w:rsidR="00F35A0D">
        <w:t xml:space="preserve">offers </w:t>
      </w:r>
      <w:r w:rsidR="00BC6AD1">
        <w:t xml:space="preserve">any reason to think—that </w:t>
      </w:r>
      <w:r w:rsidRPr="0096578A">
        <w:t>a moving of this kind can</w:t>
      </w:r>
      <w:r w:rsidR="00F35A0D">
        <w:t>’t</w:t>
      </w:r>
      <w:r w:rsidRPr="0096578A">
        <w:t xml:space="preserve"> be</w:t>
      </w:r>
      <w:r w:rsidR="00BC6AD1">
        <w:t xml:space="preserve"> determined by what precedes it</w:t>
      </w:r>
      <w:r w:rsidRPr="0096578A">
        <w:t>.</w:t>
      </w:r>
    </w:p>
    <w:p w:rsidR="001D399F" w:rsidRDefault="001D399F" w:rsidP="00584E51">
      <w:pPr>
        <w:spacing w:line="480" w:lineRule="auto"/>
      </w:pPr>
      <w:r>
        <w:tab/>
      </w:r>
      <w:r w:rsidR="00BC6AD1">
        <w:t xml:space="preserve">Now, </w:t>
      </w:r>
      <w:r w:rsidR="002F0182">
        <w:t xml:space="preserve">Steward takes </w:t>
      </w:r>
      <w:r w:rsidR="001D5676">
        <w:t xml:space="preserve">the </w:t>
      </w:r>
      <w:r w:rsidR="002F0182">
        <w:t xml:space="preserve">causation by an agent </w:t>
      </w:r>
      <w:r w:rsidR="001D5676">
        <w:t xml:space="preserve">that we have in </w:t>
      </w:r>
      <w:r w:rsidR="00BC6AD1">
        <w:t xml:space="preserve">any </w:t>
      </w:r>
      <w:r w:rsidR="001D5676">
        <w:t xml:space="preserve">instance of action </w:t>
      </w:r>
      <w:r w:rsidR="002F0182">
        <w:t xml:space="preserve">to be irreducible substance causation. </w:t>
      </w:r>
      <w:r w:rsidR="00BC6AD1">
        <w:t xml:space="preserve">And one might think that it is with substance causation that </w:t>
      </w:r>
      <w:r w:rsidR="00DA6DDD">
        <w:t>she</w:t>
      </w:r>
      <w:r w:rsidR="00BC6AD1">
        <w:t xml:space="preserve"> takes the conflict with determinism to arise. But this isn’t so. </w:t>
      </w:r>
      <w:r w:rsidR="001D5676">
        <w:t>S</w:t>
      </w:r>
      <w:r w:rsidR="00DA6DDD">
        <w:t>teward</w:t>
      </w:r>
      <w:r w:rsidR="001D5676">
        <w:t xml:space="preserve"> takes i</w:t>
      </w:r>
      <w:r w:rsidR="00584E51">
        <w:t>rreducible s</w:t>
      </w:r>
      <w:r>
        <w:t>ubstance causation</w:t>
      </w:r>
      <w:r w:rsidR="001D5676">
        <w:t xml:space="preserve"> to be </w:t>
      </w:r>
      <w:r>
        <w:t xml:space="preserve">ubiquitous: </w:t>
      </w:r>
      <w:r w:rsidR="00584E51">
        <w:t xml:space="preserve">ions, molecules, stones, and masses of air and water </w:t>
      </w:r>
      <w:r>
        <w:t xml:space="preserve">are all causes. </w:t>
      </w:r>
      <w:r w:rsidR="00584E51">
        <w:t xml:space="preserve">And </w:t>
      </w:r>
      <w:r>
        <w:t xml:space="preserve">nowhere does </w:t>
      </w:r>
      <w:r w:rsidR="001D5676">
        <w:t>she</w:t>
      </w:r>
      <w:r>
        <w:t xml:space="preserve"> </w:t>
      </w:r>
      <w:r w:rsidR="002F0182">
        <w:t xml:space="preserve">suggest </w:t>
      </w:r>
      <w:r>
        <w:t xml:space="preserve">that </w:t>
      </w:r>
      <w:r w:rsidR="00584E51">
        <w:t>there can’t be causation by these things in a deterministic world</w:t>
      </w:r>
      <w:r>
        <w:t>.</w:t>
      </w:r>
    </w:p>
    <w:p w:rsidR="008357ED" w:rsidRDefault="0096578A" w:rsidP="00502A9E">
      <w:pPr>
        <w:spacing w:line="480" w:lineRule="auto"/>
      </w:pPr>
      <w:r>
        <w:tab/>
      </w:r>
      <w:r w:rsidR="00D04236">
        <w:t xml:space="preserve">Rather, </w:t>
      </w:r>
      <w:r w:rsidR="00F35A0D">
        <w:t xml:space="preserve">Steward’s principal argument </w:t>
      </w:r>
      <w:r w:rsidR="001D399F">
        <w:t xml:space="preserve">for Agency Incompatibilism </w:t>
      </w:r>
      <w:r>
        <w:t>stems</w:t>
      </w:r>
      <w:r w:rsidR="001D5676">
        <w:t xml:space="preserve"> from </w:t>
      </w:r>
      <w:r w:rsidR="00F35A0D">
        <w:t>her</w:t>
      </w:r>
      <w:r w:rsidR="001D5676">
        <w:t xml:space="preserve"> </w:t>
      </w:r>
      <w:r>
        <w:t xml:space="preserve">claim that </w:t>
      </w:r>
      <w:r w:rsidR="00265BF1">
        <w:t xml:space="preserve">we have </w:t>
      </w:r>
      <w:r w:rsidR="00EF56D9">
        <w:t xml:space="preserve">the self-movement </w:t>
      </w:r>
      <w:r w:rsidR="00757F62">
        <w:t xml:space="preserve">of </w:t>
      </w:r>
      <w:r w:rsidR="00265BF1">
        <w:t xml:space="preserve">agency only when </w:t>
      </w:r>
      <w:r w:rsidR="00A408AC">
        <w:t>some</w:t>
      </w:r>
      <w:r w:rsidR="002B1DB0">
        <w:t xml:space="preserve"> matters </w:t>
      </w:r>
      <w:r w:rsidR="00265BF1">
        <w:t>are</w:t>
      </w:r>
      <w:r w:rsidR="002B1DB0">
        <w:t xml:space="preserve"> </w:t>
      </w:r>
      <w:r w:rsidR="002B1DB0" w:rsidRPr="0096578A">
        <w:rPr>
          <w:i/>
        </w:rPr>
        <w:t>up to</w:t>
      </w:r>
      <w:r w:rsidR="002B1DB0">
        <w:t xml:space="preserve"> the agent </w:t>
      </w:r>
      <w:r w:rsidR="00D021EA">
        <w:t>when she</w:t>
      </w:r>
      <w:r w:rsidR="002B1DB0">
        <w:t xml:space="preserve"> acts</w:t>
      </w:r>
      <w:r w:rsidR="00EF56D9">
        <w:t xml:space="preserve"> (24)</w:t>
      </w:r>
      <w:r w:rsidR="002B1DB0">
        <w:t xml:space="preserve">. </w:t>
      </w:r>
      <w:r w:rsidR="00D04236">
        <w:t>And f</w:t>
      </w:r>
      <w:r w:rsidR="002B1DB0">
        <w:t>or some matter to be up to an agent</w:t>
      </w:r>
      <w:r w:rsidR="007E28A4">
        <w:t xml:space="preserve"> when she acts, </w:t>
      </w:r>
      <w:r w:rsidR="00904F94">
        <w:t xml:space="preserve">Steward maintains, </w:t>
      </w:r>
      <w:r w:rsidR="007E28A4">
        <w:t xml:space="preserve">it must be the case </w:t>
      </w:r>
      <w:r w:rsidR="00904F94">
        <w:t>the agent</w:t>
      </w:r>
      <w:r w:rsidR="007E28A4">
        <w:t xml:space="preserve"> </w:t>
      </w:r>
      <w:r w:rsidR="007E28A4" w:rsidRPr="00667119">
        <w:rPr>
          <w:i/>
        </w:rPr>
        <w:t>settles</w:t>
      </w:r>
      <w:r w:rsidR="007E28A4">
        <w:t xml:space="preserve"> some matter </w:t>
      </w:r>
      <w:r w:rsidR="00D021EA">
        <w:t>then</w:t>
      </w:r>
      <w:r w:rsidR="007E28A4">
        <w:t>.</w:t>
      </w:r>
      <w:r w:rsidR="007E28A4">
        <w:rPr>
          <w:rStyle w:val="FootnoteReference"/>
        </w:rPr>
        <w:footnoteReference w:id="3"/>
      </w:r>
      <w:r w:rsidR="002B1DB0">
        <w:t xml:space="preserve"> </w:t>
      </w:r>
      <w:r w:rsidR="001F713A">
        <w:t>F</w:t>
      </w:r>
      <w:r w:rsidR="00251FF1">
        <w:t>urther</w:t>
      </w:r>
      <w:r w:rsidR="002B1DB0">
        <w:t xml:space="preserve">, </w:t>
      </w:r>
      <w:r w:rsidR="00DE2024">
        <w:t>one can settle some matter at a time only if that matter isn</w:t>
      </w:r>
      <w:r w:rsidR="001F2DC2">
        <w:t>’</w:t>
      </w:r>
      <w:r w:rsidR="00DE2024">
        <w:t>t already settled (26</w:t>
      </w:r>
      <w:r w:rsidR="003D713C">
        <w:t xml:space="preserve">, 39, </w:t>
      </w:r>
      <w:r w:rsidR="002620F8">
        <w:t xml:space="preserve">and </w:t>
      </w:r>
      <w:r w:rsidR="003D713C">
        <w:t>40</w:t>
      </w:r>
      <w:r w:rsidR="00DE2024">
        <w:t xml:space="preserve">). But if determinism </w:t>
      </w:r>
      <w:r w:rsidR="00A84035">
        <w:t>were</w:t>
      </w:r>
      <w:r w:rsidR="00DE2024">
        <w:t xml:space="preserve"> true, every matter </w:t>
      </w:r>
      <w:r w:rsidR="00A84035">
        <w:t xml:space="preserve">would </w:t>
      </w:r>
      <w:r w:rsidR="00927626">
        <w:t>have been</w:t>
      </w:r>
      <w:r w:rsidR="00DE2024">
        <w:t xml:space="preserve"> settled from the beginning of time</w:t>
      </w:r>
      <w:r w:rsidR="005F6BA2">
        <w:t xml:space="preserve"> (or forever, if there</w:t>
      </w:r>
      <w:r w:rsidR="001F2DC2">
        <w:t>’</w:t>
      </w:r>
      <w:r w:rsidR="005F6BA2">
        <w:t>s no beginning)</w:t>
      </w:r>
      <w:r w:rsidR="00DE2024">
        <w:t>. Hence, there can be agenc</w:t>
      </w:r>
      <w:r w:rsidR="005F6BA2">
        <w:t>y only if determinism is false.</w:t>
      </w:r>
      <w:r w:rsidR="00C75745">
        <w:rPr>
          <w:rStyle w:val="FootnoteReference"/>
        </w:rPr>
        <w:footnoteReference w:id="4"/>
      </w:r>
    </w:p>
    <w:p w:rsidR="007318FA" w:rsidRDefault="0034741D" w:rsidP="00502A9E">
      <w:pPr>
        <w:spacing w:line="480" w:lineRule="auto"/>
      </w:pPr>
      <w:r>
        <w:lastRenderedPageBreak/>
        <w:tab/>
      </w:r>
      <w:r w:rsidR="00977126">
        <w:t xml:space="preserve">Steward takes </w:t>
      </w:r>
      <w:r w:rsidR="00962619">
        <w:t>this line of thought</w:t>
      </w:r>
      <w:r w:rsidR="00216421">
        <w:t xml:space="preserve">—I’ll call it the Settling Argument—to </w:t>
      </w:r>
      <w:r w:rsidR="00962619">
        <w:t xml:space="preserve">explicate our </w:t>
      </w:r>
      <w:r w:rsidR="00904F94">
        <w:t xml:space="preserve">ordinary </w:t>
      </w:r>
      <w:r w:rsidR="00962619">
        <w:t xml:space="preserve">concept of agency, and thereby to show </w:t>
      </w:r>
      <w:r w:rsidR="004E1152">
        <w:t xml:space="preserve">what must be the case </w:t>
      </w:r>
      <w:r w:rsidR="00962619">
        <w:t>given that</w:t>
      </w:r>
      <w:r w:rsidR="004E1152">
        <w:t xml:space="preserve">, as we </w:t>
      </w:r>
      <w:r w:rsidR="00962619">
        <w:t>firmly believe</w:t>
      </w:r>
      <w:r w:rsidR="004E1152">
        <w:t xml:space="preserve">, there are </w:t>
      </w:r>
      <w:r w:rsidR="00F35A0D">
        <w:t>beings who</w:t>
      </w:r>
      <w:r w:rsidR="004E1152">
        <w:t xml:space="preserve"> are agents, and there are exercises of agency</w:t>
      </w:r>
      <w:r w:rsidR="00977126">
        <w:t xml:space="preserve">. </w:t>
      </w:r>
      <w:r w:rsidR="004E1152">
        <w:t xml:space="preserve">Our concept of agency, </w:t>
      </w:r>
      <w:r w:rsidR="00977126">
        <w:t xml:space="preserve">she </w:t>
      </w:r>
      <w:r w:rsidR="00F35A0D">
        <w:t>holds</w:t>
      </w:r>
      <w:r w:rsidR="00977126">
        <w:t xml:space="preserve">, includes </w:t>
      </w:r>
      <w:r w:rsidR="000523BC">
        <w:t xml:space="preserve">the idea </w:t>
      </w:r>
      <w:r>
        <w:t>of matters being up to an agent</w:t>
      </w:r>
      <w:r w:rsidR="00962619">
        <w:t>,</w:t>
      </w:r>
      <w:r>
        <w:t xml:space="preserve"> </w:t>
      </w:r>
      <w:r w:rsidR="002A3E56">
        <w:t xml:space="preserve">and </w:t>
      </w:r>
      <w:r>
        <w:t>the idea of an agent’s settling some matters</w:t>
      </w:r>
      <w:r w:rsidR="00962619">
        <w:t xml:space="preserve"> when it acts</w:t>
      </w:r>
      <w:r>
        <w:t xml:space="preserve">. </w:t>
      </w:r>
      <w:r w:rsidR="000523BC">
        <w:t>And it is these ideas th</w:t>
      </w:r>
      <w:r w:rsidR="00584E51">
        <w:t>at</w:t>
      </w:r>
      <w:r w:rsidR="000523BC">
        <w:t xml:space="preserve"> generate the conflict with </w:t>
      </w:r>
      <w:r>
        <w:t>determinism.</w:t>
      </w:r>
      <w:r w:rsidR="00213F31">
        <w:t xml:space="preserve"> </w:t>
      </w:r>
    </w:p>
    <w:p w:rsidR="001D213D" w:rsidRDefault="001D213D" w:rsidP="00502A9E">
      <w:pPr>
        <w:spacing w:line="480" w:lineRule="auto"/>
      </w:pPr>
    </w:p>
    <w:p w:rsidR="001D213D" w:rsidRPr="001D213D" w:rsidRDefault="00732309" w:rsidP="001D213D">
      <w:pPr>
        <w:pStyle w:val="ListParagraph"/>
        <w:numPr>
          <w:ilvl w:val="0"/>
          <w:numId w:val="1"/>
        </w:numPr>
        <w:spacing w:line="480" w:lineRule="auto"/>
        <w:jc w:val="center"/>
        <w:rPr>
          <w:i/>
        </w:rPr>
      </w:pPr>
      <w:r>
        <w:rPr>
          <w:i/>
        </w:rPr>
        <w:t xml:space="preserve">Steward on </w:t>
      </w:r>
      <w:r w:rsidR="001D213D">
        <w:rPr>
          <w:i/>
        </w:rPr>
        <w:t>Settling</w:t>
      </w:r>
    </w:p>
    <w:p w:rsidR="00904F94" w:rsidRDefault="00904F94" w:rsidP="00626440">
      <w:pPr>
        <w:spacing w:line="480" w:lineRule="auto"/>
      </w:pPr>
      <w:r w:rsidRPr="00904F94">
        <w:t>I’m happy to count cows and s</w:t>
      </w:r>
      <w:r>
        <w:t>piders as agents. As to whether</w:t>
      </w:r>
      <w:r w:rsidRPr="00904F94">
        <w:t xml:space="preserve"> matters are up to a cow or a spider when it acts, I’m </w:t>
      </w:r>
      <w:r>
        <w:t xml:space="preserve">not </w:t>
      </w:r>
      <w:r w:rsidR="008E03A6">
        <w:t xml:space="preserve">quite </w:t>
      </w:r>
      <w:r>
        <w:t>sure what to say</w:t>
      </w:r>
      <w:r w:rsidRPr="00904F94">
        <w:t>. But let’s suppose that in some context one might truly say such a thing. What thought would one thereby express?</w:t>
      </w:r>
    </w:p>
    <w:p w:rsidR="007C39A5" w:rsidRDefault="00904F94" w:rsidP="00626440">
      <w:pPr>
        <w:spacing w:line="480" w:lineRule="auto"/>
      </w:pPr>
      <w:r>
        <w:tab/>
      </w:r>
      <w:r w:rsidR="00CA7AFB">
        <w:t xml:space="preserve">As Steward sees it, </w:t>
      </w:r>
      <w:r w:rsidR="0045220A">
        <w:t>the things that can be up to an agent aren’t particular events</w:t>
      </w:r>
      <w:r w:rsidR="00E35933">
        <w:t>. Rather, what</w:t>
      </w:r>
      <w:r w:rsidR="00DA3299">
        <w:t>’</w:t>
      </w:r>
      <w:r w:rsidR="007C39A5">
        <w:t xml:space="preserve">s up to me are “the answers to a whole range of questions that are settled by my action when I act” (37). </w:t>
      </w:r>
      <w:r w:rsidR="00E35933">
        <w:t xml:space="preserve">The questions concern </w:t>
      </w:r>
      <w:r w:rsidR="00E35933" w:rsidRPr="00E35933">
        <w:rPr>
          <w:i/>
        </w:rPr>
        <w:t>whether</w:t>
      </w:r>
      <w:r w:rsidR="00E35933" w:rsidRPr="00E35933">
        <w:t xml:space="preserve">, </w:t>
      </w:r>
      <w:r w:rsidR="00E35933" w:rsidRPr="00E35933">
        <w:rPr>
          <w:i/>
        </w:rPr>
        <w:t>when</w:t>
      </w:r>
      <w:r w:rsidR="00E35933" w:rsidRPr="00E35933">
        <w:t xml:space="preserve">, </w:t>
      </w:r>
      <w:r w:rsidR="004914BE" w:rsidRPr="004914BE">
        <w:rPr>
          <w:i/>
        </w:rPr>
        <w:t>where</w:t>
      </w:r>
      <w:r w:rsidR="004914BE">
        <w:t xml:space="preserve">, or </w:t>
      </w:r>
      <w:r w:rsidR="00E35933" w:rsidRPr="00E35933">
        <w:rPr>
          <w:i/>
        </w:rPr>
        <w:t>how</w:t>
      </w:r>
      <w:r w:rsidR="00E35933" w:rsidRPr="00E35933">
        <w:t xml:space="preserve"> one will </w:t>
      </w:r>
      <w:r w:rsidR="00E35933" w:rsidRPr="007E28A4">
        <w:rPr>
          <w:i/>
        </w:rPr>
        <w:t>A</w:t>
      </w:r>
      <w:r w:rsidR="00E35933" w:rsidRPr="00E35933">
        <w:t xml:space="preserve"> (where </w:t>
      </w:r>
      <w:r w:rsidR="00E35933" w:rsidRPr="007E28A4">
        <w:rPr>
          <w:i/>
        </w:rPr>
        <w:t>A</w:t>
      </w:r>
      <w:r w:rsidR="00E35933" w:rsidRPr="00E35933">
        <w:t>-ing is some act type).</w:t>
      </w:r>
      <w:r w:rsidR="004914BE">
        <w:t xml:space="preserve"> Since when, where, or how one will </w:t>
      </w:r>
      <w:r w:rsidR="004914BE" w:rsidRPr="00C07902">
        <w:rPr>
          <w:i/>
        </w:rPr>
        <w:t>A</w:t>
      </w:r>
      <w:r w:rsidR="004914BE">
        <w:t xml:space="preserve"> can be expressed as whether one will </w:t>
      </w:r>
      <w:r w:rsidR="004914BE" w:rsidRPr="00C07902">
        <w:rPr>
          <w:i/>
        </w:rPr>
        <w:t>A</w:t>
      </w:r>
      <w:r w:rsidR="004914BE">
        <w:t xml:space="preserve"> then, there, or that way, it seems that the </w:t>
      </w:r>
      <w:r w:rsidR="008D441A">
        <w:t>questions</w:t>
      </w:r>
      <w:r w:rsidR="004914BE">
        <w:t xml:space="preserve"> can all be expressed in terms of </w:t>
      </w:r>
      <w:r w:rsidR="004914BE" w:rsidRPr="004914BE">
        <w:rPr>
          <w:i/>
        </w:rPr>
        <w:t>whether</w:t>
      </w:r>
      <w:r w:rsidR="004914BE">
        <w:t xml:space="preserve"> something or other.</w:t>
      </w:r>
    </w:p>
    <w:p w:rsidR="006A1671" w:rsidRDefault="006A1671" w:rsidP="00626440">
      <w:pPr>
        <w:spacing w:line="480" w:lineRule="auto"/>
      </w:pPr>
      <w:r>
        <w:tab/>
        <w:t xml:space="preserve">Whenever an agent acts, then, some </w:t>
      </w:r>
      <w:r w:rsidR="008D441A">
        <w:t>question is</w:t>
      </w:r>
      <w:r>
        <w:t xml:space="preserve"> up to that agent, and the </w:t>
      </w:r>
      <w:r w:rsidR="00A115D6">
        <w:t xml:space="preserve">agent settles some question then—or, as Steward sometimes puts it, the </w:t>
      </w:r>
      <w:r>
        <w:t xml:space="preserve">agent’s action settles some </w:t>
      </w:r>
      <w:r w:rsidR="008D441A">
        <w:t>question</w:t>
      </w:r>
      <w:r>
        <w:t xml:space="preserve"> </w:t>
      </w:r>
      <w:r w:rsidR="00A115D6">
        <w:t>then</w:t>
      </w:r>
      <w:r w:rsidR="00904F94">
        <w:t xml:space="preserve">. </w:t>
      </w:r>
    </w:p>
    <w:p w:rsidR="007C39A5" w:rsidRDefault="007C39A5" w:rsidP="007C39A5">
      <w:pPr>
        <w:spacing w:line="480" w:lineRule="auto"/>
      </w:pPr>
      <w:r>
        <w:tab/>
        <w:t xml:space="preserve">What is it for </w:t>
      </w:r>
      <w:r w:rsidR="006A1671">
        <w:t>an</w:t>
      </w:r>
      <w:r>
        <w:t xml:space="preserve"> action to settle a question when </w:t>
      </w:r>
      <w:r w:rsidR="006A1671">
        <w:t>one</w:t>
      </w:r>
      <w:r>
        <w:t xml:space="preserve"> act</w:t>
      </w:r>
      <w:r w:rsidR="006A1671">
        <w:t>s</w:t>
      </w:r>
      <w:r>
        <w:t xml:space="preserve">? The core idea, Steward says, “is that of a question that is capable of being resolved in different ways at all times up until a certain moment—the moment of settling—at which point something that happens causes it to </w:t>
      </w:r>
      <w:r>
        <w:lastRenderedPageBreak/>
        <w:t>become resolved in one particular way” (39).</w:t>
      </w:r>
      <w:r w:rsidR="00847451">
        <w:rPr>
          <w:rStyle w:val="FootnoteReference"/>
        </w:rPr>
        <w:footnoteReference w:id="5"/>
      </w:r>
      <w:r>
        <w:t xml:space="preserve"> Further, “we can think of each matter that is subject to settling as expressible by means of a question [of] the form [</w:t>
      </w:r>
      <w:r w:rsidRPr="00841D14">
        <w:rPr>
          <w:i/>
        </w:rPr>
        <w:t>p</w:t>
      </w:r>
      <w:r>
        <w:t xml:space="preserve"> v ¬ </w:t>
      </w:r>
      <w:r w:rsidRPr="00841D14">
        <w:rPr>
          <w:i/>
        </w:rPr>
        <w:t>p</w:t>
      </w:r>
      <w:r>
        <w:t xml:space="preserve">], whose answer is (metaphorically) decided at a certain point in time, when it becomes impossible either that </w:t>
      </w:r>
      <w:r w:rsidRPr="00841D14">
        <w:rPr>
          <w:i/>
        </w:rPr>
        <w:t>p</w:t>
      </w:r>
      <w:r>
        <w:t xml:space="preserve"> should obtain or that ¬ </w:t>
      </w:r>
      <w:r w:rsidRPr="00841D14">
        <w:rPr>
          <w:i/>
        </w:rPr>
        <w:t>p</w:t>
      </w:r>
      <w:r>
        <w:t xml:space="preserve"> should” (39). </w:t>
      </w:r>
      <w:r w:rsidR="00841D14">
        <w:t xml:space="preserve">(She </w:t>
      </w:r>
      <w:r w:rsidR="00DD4F3E">
        <w:t>sometimes</w:t>
      </w:r>
      <w:r w:rsidR="00841D14">
        <w:t xml:space="preserve"> expresses the matters that can be settled as having the </w:t>
      </w:r>
      <w:r w:rsidR="009B2F81">
        <w:t xml:space="preserve">simpler </w:t>
      </w:r>
      <w:r w:rsidR="00841D14">
        <w:t xml:space="preserve">form </w:t>
      </w:r>
      <w:r w:rsidR="00841D14" w:rsidRPr="0095355F">
        <w:rPr>
          <w:i/>
        </w:rPr>
        <w:t>whether p</w:t>
      </w:r>
      <w:r w:rsidR="00841D14">
        <w:t xml:space="preserve">; I’ll do the same.) </w:t>
      </w:r>
    </w:p>
    <w:p w:rsidR="007C39A5" w:rsidRDefault="007C39A5" w:rsidP="007C39A5">
      <w:pPr>
        <w:spacing w:line="480" w:lineRule="auto"/>
      </w:pPr>
      <w:r>
        <w:tab/>
        <w:t xml:space="preserve">If we want to put the point non-metaphorically, how might we </w:t>
      </w:r>
      <w:r w:rsidR="00A84035">
        <w:t xml:space="preserve">spell out this idea of </w:t>
      </w:r>
      <w:r w:rsidR="00DD4F3E">
        <w:t xml:space="preserve">an action’s settling some matter </w:t>
      </w:r>
      <w:r w:rsidR="009E6AE2">
        <w:t xml:space="preserve">when </w:t>
      </w:r>
      <w:r w:rsidR="0043723A">
        <w:t>one acts</w:t>
      </w:r>
      <w:r>
        <w:t xml:space="preserve">? I don’t see that Steward is very explicit on this point, but perhaps she would accept </w:t>
      </w:r>
      <w:r w:rsidR="004B4D89">
        <w:t xml:space="preserve">something like </w:t>
      </w:r>
      <w:r>
        <w:t xml:space="preserve">the following: </w:t>
      </w:r>
    </w:p>
    <w:p w:rsidR="007C39A5" w:rsidRDefault="007C39A5" w:rsidP="007C39A5">
      <w:pPr>
        <w:spacing w:line="480" w:lineRule="auto"/>
      </w:pPr>
    </w:p>
    <w:p w:rsidR="007C39A5" w:rsidRDefault="007C39A5" w:rsidP="007C39A5">
      <w:pPr>
        <w:spacing w:line="480" w:lineRule="auto"/>
        <w:ind w:left="576" w:right="576"/>
      </w:pPr>
      <w:r>
        <w:t xml:space="preserve">(S) </w:t>
      </w:r>
      <w:r w:rsidR="00263089">
        <w:t>An</w:t>
      </w:r>
      <w:r w:rsidR="004B4D89">
        <w:t xml:space="preserve"> action </w:t>
      </w:r>
      <w:r w:rsidR="00B53DD7" w:rsidRPr="00B53DD7">
        <w:rPr>
          <w:i/>
        </w:rPr>
        <w:t>a</w:t>
      </w:r>
      <w:r w:rsidR="004B4D89">
        <w:t xml:space="preserve"> </w:t>
      </w:r>
      <w:r w:rsidR="00B53DD7">
        <w:t xml:space="preserve">that </w:t>
      </w:r>
      <w:r w:rsidR="004B4D89">
        <w:t>is performed at</w:t>
      </w:r>
      <w:r w:rsidR="00263089">
        <w:t xml:space="preserve"> time</w:t>
      </w:r>
      <w:r w:rsidR="004B4D89">
        <w:t xml:space="preserve"> </w:t>
      </w:r>
      <w:r w:rsidR="004B4D89" w:rsidRPr="004B4D89">
        <w:rPr>
          <w:i/>
        </w:rPr>
        <w:t>t</w:t>
      </w:r>
      <w:r w:rsidR="004B4D89">
        <w:t xml:space="preserve"> settles at </w:t>
      </w:r>
      <w:r w:rsidR="004B4D89" w:rsidRPr="004B4D89">
        <w:rPr>
          <w:i/>
        </w:rPr>
        <w:t>t</w:t>
      </w:r>
      <w:r w:rsidR="004B4D89">
        <w:t xml:space="preserve"> whether </w:t>
      </w:r>
      <w:r w:rsidR="004B4D89" w:rsidRPr="004B4D89">
        <w:rPr>
          <w:i/>
        </w:rPr>
        <w:t>p</w:t>
      </w:r>
      <w:r w:rsidR="004B4D89">
        <w:t xml:space="preserve"> iff </w:t>
      </w:r>
      <w:r w:rsidR="006A1671">
        <w:t xml:space="preserve">(i) </w:t>
      </w:r>
      <w:r>
        <w:t xml:space="preserve">either it is impossible that </w:t>
      </w:r>
      <w:r w:rsidR="00B53DD7" w:rsidRPr="00B53DD7">
        <w:rPr>
          <w:i/>
        </w:rPr>
        <w:t>a</w:t>
      </w:r>
      <w:r w:rsidR="00732309">
        <w:t xml:space="preserve"> be performed then </w:t>
      </w:r>
      <w:r>
        <w:t xml:space="preserve">and the actual laws of nature hold and </w:t>
      </w:r>
      <w:r w:rsidRPr="00841D14">
        <w:rPr>
          <w:i/>
        </w:rPr>
        <w:t>p</w:t>
      </w:r>
      <w:r>
        <w:t xml:space="preserve">, or it is impossible that </w:t>
      </w:r>
      <w:r w:rsidR="00B53DD7" w:rsidRPr="00B53DD7">
        <w:rPr>
          <w:i/>
        </w:rPr>
        <w:t>a</w:t>
      </w:r>
      <w:r w:rsidR="00732309">
        <w:t xml:space="preserve"> be performed then </w:t>
      </w:r>
      <w:r>
        <w:t xml:space="preserve">and the actual laws hold and </w:t>
      </w:r>
      <w:r w:rsidR="008446C2">
        <w:t>not-</w:t>
      </w:r>
      <w:r w:rsidRPr="00841D14">
        <w:rPr>
          <w:i/>
        </w:rPr>
        <w:t>p</w:t>
      </w:r>
      <w:r>
        <w:t xml:space="preserve">, and </w:t>
      </w:r>
      <w:r w:rsidR="006A1671">
        <w:t xml:space="preserve">(ii) there is </w:t>
      </w:r>
      <w:r w:rsidR="00DD4F3E">
        <w:t xml:space="preserve">nothing </w:t>
      </w:r>
      <w:r w:rsidR="00CA7AFB">
        <w:t xml:space="preserve">existing at any time </w:t>
      </w:r>
      <w:r w:rsidR="00CA7AFB" w:rsidRPr="00CA7AFB">
        <w:rPr>
          <w:i/>
        </w:rPr>
        <w:t>t’</w:t>
      </w:r>
      <w:r w:rsidR="00CA7AFB">
        <w:t xml:space="preserve"> </w:t>
      </w:r>
      <w:r w:rsidR="004B4D89">
        <w:t xml:space="preserve">prior to </w:t>
      </w:r>
      <w:r w:rsidR="004B4D89" w:rsidRPr="004B4D89">
        <w:rPr>
          <w:i/>
        </w:rPr>
        <w:t>t</w:t>
      </w:r>
      <w:r w:rsidR="00CA7AFB">
        <w:t xml:space="preserve"> such that either it is impossible that </w:t>
      </w:r>
      <w:r w:rsidR="000A7CF4">
        <w:t xml:space="preserve">that </w:t>
      </w:r>
      <w:r w:rsidR="00CA7AFB">
        <w:t xml:space="preserve">thing exist at </w:t>
      </w:r>
      <w:r w:rsidR="00CA7AFB" w:rsidRPr="00CA7AFB">
        <w:rPr>
          <w:i/>
        </w:rPr>
        <w:t>t’</w:t>
      </w:r>
      <w:r w:rsidR="00CA7AFB">
        <w:t xml:space="preserve"> and the actual laws hold and </w:t>
      </w:r>
      <w:r w:rsidR="00CA7AFB" w:rsidRPr="00CA7AFB">
        <w:rPr>
          <w:i/>
        </w:rPr>
        <w:t>p</w:t>
      </w:r>
      <w:r w:rsidR="00CA7AFB">
        <w:t xml:space="preserve">, or it is impossible that that thing exist at </w:t>
      </w:r>
      <w:r w:rsidR="00CA7AFB" w:rsidRPr="00CA7AFB">
        <w:rPr>
          <w:i/>
        </w:rPr>
        <w:t>t’</w:t>
      </w:r>
      <w:r w:rsidR="00CA7AFB">
        <w:t xml:space="preserve"> and the actual laws hold and not-</w:t>
      </w:r>
      <w:r w:rsidR="004B4D89" w:rsidRPr="004B4D89">
        <w:rPr>
          <w:i/>
        </w:rPr>
        <w:t>p</w:t>
      </w:r>
      <w:r>
        <w:t>.</w:t>
      </w:r>
      <w:r>
        <w:rPr>
          <w:rStyle w:val="FootnoteReference"/>
        </w:rPr>
        <w:footnoteReference w:id="6"/>
      </w:r>
    </w:p>
    <w:p w:rsidR="00CA7AFB" w:rsidRDefault="00CA7AFB" w:rsidP="007C39A5">
      <w:pPr>
        <w:spacing w:line="480" w:lineRule="auto"/>
        <w:ind w:left="576" w:right="576"/>
      </w:pPr>
    </w:p>
    <w:p w:rsidR="00CA7AFB" w:rsidRDefault="00CA7AFB" w:rsidP="00CA7AFB">
      <w:pPr>
        <w:spacing w:line="480" w:lineRule="auto"/>
        <w:ind w:right="576"/>
      </w:pPr>
      <w:r w:rsidRPr="00CA7AFB">
        <w:lastRenderedPageBreak/>
        <w:t xml:space="preserve">As it might be put, an action </w:t>
      </w:r>
      <w:r w:rsidR="00EB7AAC">
        <w:t xml:space="preserve">performed at time </w:t>
      </w:r>
      <w:r w:rsidR="00EB7AAC" w:rsidRPr="00EB7AAC">
        <w:rPr>
          <w:i/>
        </w:rPr>
        <w:t>t</w:t>
      </w:r>
      <w:r w:rsidR="00EB7AAC">
        <w:t xml:space="preserve"> </w:t>
      </w:r>
      <w:r w:rsidRPr="00CA7AFB">
        <w:t xml:space="preserve">settles at </w:t>
      </w:r>
      <w:r w:rsidRPr="00CA7AFB">
        <w:rPr>
          <w:i/>
        </w:rPr>
        <w:t>t</w:t>
      </w:r>
      <w:r w:rsidRPr="00CA7AFB">
        <w:t xml:space="preserve"> whether </w:t>
      </w:r>
      <w:r w:rsidRPr="00CA7AFB">
        <w:rPr>
          <w:i/>
        </w:rPr>
        <w:t>p</w:t>
      </w:r>
      <w:r w:rsidRPr="00CA7AFB">
        <w:t xml:space="preserve"> just in case that action either suffices for its being the case that </w:t>
      </w:r>
      <w:r w:rsidRPr="00EB7AAC">
        <w:rPr>
          <w:i/>
        </w:rPr>
        <w:t>p</w:t>
      </w:r>
      <w:r w:rsidRPr="00CA7AFB">
        <w:t xml:space="preserve"> or suffices for its being the case that not-</w:t>
      </w:r>
      <w:r w:rsidRPr="00EB7AAC">
        <w:rPr>
          <w:i/>
        </w:rPr>
        <w:t>p</w:t>
      </w:r>
      <w:r w:rsidRPr="00CA7AFB">
        <w:t xml:space="preserve">, and nothing prior to </w:t>
      </w:r>
      <w:r w:rsidRPr="00EB7AAC">
        <w:rPr>
          <w:i/>
        </w:rPr>
        <w:t>t</w:t>
      </w:r>
      <w:r w:rsidRPr="00CA7AFB">
        <w:t xml:space="preserve"> suffices for either of these.</w:t>
      </w:r>
    </w:p>
    <w:p w:rsidR="007C39A5" w:rsidRDefault="00EB7AAC" w:rsidP="008446C2">
      <w:pPr>
        <w:spacing w:line="480" w:lineRule="auto"/>
        <w:ind w:right="576"/>
      </w:pPr>
      <w:r>
        <w:tab/>
      </w:r>
      <w:r w:rsidR="007C39A5">
        <w:t xml:space="preserve">If this is on the right track, then when I raise my arm at a certain </w:t>
      </w:r>
      <w:r w:rsidR="00987AB7">
        <w:t>time</w:t>
      </w:r>
      <w:r w:rsidR="007C39A5">
        <w:t xml:space="preserve">, </w:t>
      </w:r>
      <w:r w:rsidR="007C39A5" w:rsidRPr="00841D14">
        <w:rPr>
          <w:i/>
        </w:rPr>
        <w:t>t</w:t>
      </w:r>
      <w:r w:rsidR="007C39A5">
        <w:t xml:space="preserve">, my action of raising my arm might settle at </w:t>
      </w:r>
      <w:r w:rsidR="007C39A5" w:rsidRPr="00841D14">
        <w:rPr>
          <w:i/>
        </w:rPr>
        <w:t>t</w:t>
      </w:r>
      <w:r w:rsidR="007C39A5">
        <w:t xml:space="preserve"> whether I raise my arm </w:t>
      </w:r>
      <w:r w:rsidR="00BB49A8">
        <w:t>then</w:t>
      </w:r>
      <w:r w:rsidR="007C39A5">
        <w:t xml:space="preserve">, provided that </w:t>
      </w:r>
      <w:r w:rsidR="0067655F">
        <w:t xml:space="preserve">nothing </w:t>
      </w:r>
      <w:r w:rsidR="007C39A5">
        <w:t xml:space="preserve">prior to </w:t>
      </w:r>
      <w:r w:rsidR="00BB49A8">
        <w:t xml:space="preserve">that </w:t>
      </w:r>
      <w:r w:rsidR="00987AB7">
        <w:t>time</w:t>
      </w:r>
      <w:r w:rsidR="007C39A5">
        <w:t xml:space="preserve"> </w:t>
      </w:r>
      <w:r w:rsidR="00354E24">
        <w:t xml:space="preserve">suffices for its being the case </w:t>
      </w:r>
      <w:r w:rsidR="007C39A5">
        <w:t xml:space="preserve">that I raise my arm then. And </w:t>
      </w:r>
      <w:r w:rsidR="009B2F81">
        <w:t xml:space="preserve">given that my action of raising my arm settles at </w:t>
      </w:r>
      <w:r w:rsidR="009B2F81" w:rsidRPr="009B2F81">
        <w:rPr>
          <w:i/>
        </w:rPr>
        <w:t>t</w:t>
      </w:r>
      <w:r w:rsidR="009B2F81">
        <w:t xml:space="preserve"> whether I raise my arm then, </w:t>
      </w:r>
      <w:r w:rsidR="007C39A5">
        <w:t xml:space="preserve">it might be said that </w:t>
      </w:r>
      <w:r w:rsidR="007C39A5" w:rsidRPr="00841D14">
        <w:rPr>
          <w:i/>
        </w:rPr>
        <w:t>I</w:t>
      </w:r>
      <w:r w:rsidR="007C39A5">
        <w:t xml:space="preserve"> settle at </w:t>
      </w:r>
      <w:r w:rsidR="007C39A5" w:rsidRPr="00841D14">
        <w:rPr>
          <w:i/>
        </w:rPr>
        <w:t>t</w:t>
      </w:r>
      <w:r w:rsidR="007C39A5">
        <w:t xml:space="preserve"> whether I raise my arm </w:t>
      </w:r>
      <w:r w:rsidR="00BB49A8">
        <w:t>then</w:t>
      </w:r>
      <w:r w:rsidR="007C39A5">
        <w:t xml:space="preserve">, and </w:t>
      </w:r>
      <w:r w:rsidR="002C0FE8">
        <w:t xml:space="preserve">that </w:t>
      </w:r>
      <w:r w:rsidR="007C39A5">
        <w:t xml:space="preserve">I </w:t>
      </w:r>
      <w:r w:rsidR="002C0FE8">
        <w:t xml:space="preserve">settle this matter at </w:t>
      </w:r>
      <w:r w:rsidR="002C0FE8" w:rsidRPr="00841D14">
        <w:rPr>
          <w:i/>
        </w:rPr>
        <w:t>t</w:t>
      </w:r>
      <w:r w:rsidR="002C0FE8">
        <w:t xml:space="preserve"> </w:t>
      </w:r>
      <w:r w:rsidR="007C39A5">
        <w:t xml:space="preserve">by raising my arm </w:t>
      </w:r>
      <w:r w:rsidR="002C0FE8">
        <w:t>then</w:t>
      </w:r>
      <w:r w:rsidR="007C39A5">
        <w:t>.</w:t>
      </w:r>
    </w:p>
    <w:p w:rsidR="006A1671" w:rsidRDefault="006A1671" w:rsidP="008446C2">
      <w:pPr>
        <w:spacing w:line="480" w:lineRule="auto"/>
        <w:ind w:right="576"/>
      </w:pPr>
      <w:r>
        <w:tab/>
        <w:t>The conflict with determinism arises if we consider matters concerning any moment in history</w:t>
      </w:r>
      <w:r w:rsidR="004D558D">
        <w:t xml:space="preserve"> (</w:t>
      </w:r>
      <w:r>
        <w:t>except a first moment, if there is one</w:t>
      </w:r>
      <w:r w:rsidR="004D558D">
        <w:t>)</w:t>
      </w:r>
      <w:r>
        <w:t xml:space="preserve">. </w:t>
      </w:r>
      <w:r w:rsidR="00283E29">
        <w:t>If determinism is true, then f</w:t>
      </w:r>
      <w:r>
        <w:t xml:space="preserve">or any </w:t>
      </w:r>
      <w:r w:rsidR="004D558D">
        <w:t>such</w:t>
      </w:r>
      <w:r>
        <w:t xml:space="preserve"> moment, something prior to </w:t>
      </w:r>
      <w:r w:rsidR="004F6CB3">
        <w:t>that moment</w:t>
      </w:r>
      <w:r>
        <w:t xml:space="preserve"> suffices for all matters concerning what happens </w:t>
      </w:r>
      <w:r w:rsidR="0027112C">
        <w:t>then and thereafter</w:t>
      </w:r>
      <w:r>
        <w:t xml:space="preserve">. </w:t>
      </w:r>
      <w:r w:rsidR="000C4B28">
        <w:t xml:space="preserve">No action, then, can settle </w:t>
      </w:r>
      <w:r w:rsidR="00EB7AAC">
        <w:t>when it occurs</w:t>
      </w:r>
      <w:r w:rsidR="000C4B28">
        <w:t xml:space="preserve"> any matters concerning what happens then or later. </w:t>
      </w:r>
      <w:r w:rsidR="0043723A">
        <w:t xml:space="preserve">No agent, then, can ever settle any matter when she acts. </w:t>
      </w:r>
      <w:r w:rsidR="000C4B28">
        <w:t>Nothing, then, can be up to any agent. There can’t be any agency.</w:t>
      </w:r>
      <w:r w:rsidR="00D4798E">
        <w:t xml:space="preserve"> This, I take it, is the gist of the Settling Argument.</w:t>
      </w:r>
    </w:p>
    <w:p w:rsidR="00732309" w:rsidRDefault="00EA0A51" w:rsidP="000C4B28">
      <w:pPr>
        <w:spacing w:line="480" w:lineRule="auto"/>
        <w:ind w:right="576"/>
      </w:pPr>
      <w:r>
        <w:tab/>
      </w:r>
      <w:r w:rsidR="00732309">
        <w:t xml:space="preserve">I grant that </w:t>
      </w:r>
      <w:r w:rsidR="0097721F">
        <w:t xml:space="preserve">‘up to you’ and ‘settle whether’ can be used to express ideas </w:t>
      </w:r>
      <w:r w:rsidR="000C4B28">
        <w:t>like the ones that Steward spells out</w:t>
      </w:r>
      <w:r w:rsidR="00E05B20">
        <w:t xml:space="preserve"> in advancing this argument</w:t>
      </w:r>
      <w:r w:rsidR="000C4B28">
        <w:t xml:space="preserve">. </w:t>
      </w:r>
      <w:r w:rsidR="00216421">
        <w:t>And</w:t>
      </w:r>
      <w:r w:rsidR="00732309">
        <w:t xml:space="preserve"> I</w:t>
      </w:r>
      <w:r w:rsidR="001F2DC2">
        <w:t>’ll</w:t>
      </w:r>
      <w:r w:rsidR="0067655F">
        <w:t xml:space="preserve"> </w:t>
      </w:r>
      <w:r w:rsidR="00B856B9">
        <w:t xml:space="preserve">accept for the sake of discussion that </w:t>
      </w:r>
      <w:r w:rsidR="00895FD7">
        <w:t>some idea of matters being up to agents</w:t>
      </w:r>
      <w:r w:rsidR="004D558D">
        <w:t xml:space="preserve"> </w:t>
      </w:r>
      <w:r w:rsidR="0043723A">
        <w:t xml:space="preserve">and </w:t>
      </w:r>
      <w:r w:rsidR="00DA6DDD">
        <w:t xml:space="preserve">some </w:t>
      </w:r>
      <w:r w:rsidR="000C4B28">
        <w:t xml:space="preserve">idea of agents </w:t>
      </w:r>
      <w:r w:rsidR="00895FD7">
        <w:t xml:space="preserve">settling matters </w:t>
      </w:r>
      <w:r w:rsidR="004D558D">
        <w:t xml:space="preserve">when they act </w:t>
      </w:r>
      <w:r w:rsidR="00895FD7">
        <w:t xml:space="preserve">are </w:t>
      </w:r>
      <w:r w:rsidR="000C4B28">
        <w:t xml:space="preserve">implicated in our </w:t>
      </w:r>
      <w:r w:rsidR="00895FD7">
        <w:t>concept of agency. Still, unless it can be shown that the ideas tied up with the concept of agency are the ideas</w:t>
      </w:r>
      <w:r w:rsidR="000C4B28">
        <w:t xml:space="preserve"> that Steward has spelled out—or ideas sufficiently similar to them—we </w:t>
      </w:r>
      <w:r w:rsidR="00895FD7">
        <w:t>don’t have</w:t>
      </w:r>
      <w:r w:rsidR="0043723A">
        <w:t xml:space="preserve"> the</w:t>
      </w:r>
      <w:r w:rsidR="00895FD7">
        <w:t xml:space="preserve"> </w:t>
      </w:r>
      <w:r w:rsidR="00B856B9">
        <w:t xml:space="preserve">support </w:t>
      </w:r>
      <w:r w:rsidR="0043723A">
        <w:t xml:space="preserve">that is needed </w:t>
      </w:r>
      <w:r w:rsidR="00B856B9">
        <w:t xml:space="preserve">for </w:t>
      </w:r>
      <w:r w:rsidR="00895FD7">
        <w:t xml:space="preserve">Agency Incompatibilism. </w:t>
      </w:r>
    </w:p>
    <w:p w:rsidR="000C4B28" w:rsidRDefault="000C4B28" w:rsidP="000C4B28">
      <w:pPr>
        <w:spacing w:line="480" w:lineRule="auto"/>
        <w:ind w:right="576"/>
      </w:pPr>
    </w:p>
    <w:p w:rsidR="00732309" w:rsidRPr="00732309" w:rsidRDefault="00732309" w:rsidP="00732309">
      <w:pPr>
        <w:pStyle w:val="ListParagraph"/>
        <w:numPr>
          <w:ilvl w:val="0"/>
          <w:numId w:val="1"/>
        </w:numPr>
        <w:spacing w:line="480" w:lineRule="auto"/>
        <w:jc w:val="center"/>
        <w:rPr>
          <w:i/>
        </w:rPr>
      </w:pPr>
      <w:r>
        <w:rPr>
          <w:i/>
        </w:rPr>
        <w:t xml:space="preserve">‘Settle </w:t>
      </w:r>
      <w:r w:rsidR="00E372AC">
        <w:rPr>
          <w:i/>
        </w:rPr>
        <w:t>at a Time</w:t>
      </w:r>
      <w:r>
        <w:rPr>
          <w:i/>
        </w:rPr>
        <w:t>’</w:t>
      </w:r>
      <w:r w:rsidR="00E50143">
        <w:rPr>
          <w:i/>
        </w:rPr>
        <w:t xml:space="preserve"> and ‘Up to You’</w:t>
      </w:r>
    </w:p>
    <w:p w:rsidR="007C39A5" w:rsidRDefault="003B319B" w:rsidP="00626440">
      <w:pPr>
        <w:spacing w:line="480" w:lineRule="auto"/>
      </w:pPr>
      <w:r>
        <w:t>Steward ackno</w:t>
      </w:r>
      <w:r w:rsidR="00270A6F">
        <w:t xml:space="preserve">wledges </w:t>
      </w:r>
      <w:r w:rsidR="007C39A5">
        <w:t>that ‘settle</w:t>
      </w:r>
      <w:r w:rsidR="00F919CB">
        <w:t xml:space="preserve"> whether’</w:t>
      </w:r>
      <w:r w:rsidR="007C39A5">
        <w:t xml:space="preserve"> can be used to express </w:t>
      </w:r>
      <w:r w:rsidR="00DA6DDD">
        <w:t xml:space="preserve">an idea </w:t>
      </w:r>
      <w:r w:rsidR="00E50143" w:rsidRPr="009F48CC">
        <w:rPr>
          <w:i/>
        </w:rPr>
        <w:t>different</w:t>
      </w:r>
      <w:r w:rsidR="00E50143">
        <w:t xml:space="preserve"> from the one to which </w:t>
      </w:r>
      <w:r w:rsidR="0026228D">
        <w:t>the Settling Argument</w:t>
      </w:r>
      <w:r w:rsidR="00E50143">
        <w:t xml:space="preserve"> appeals. </w:t>
      </w:r>
      <w:r w:rsidR="007A2687">
        <w:t xml:space="preserve">She </w:t>
      </w:r>
      <w:r w:rsidR="0026228D">
        <w:t>allows that “</w:t>
      </w:r>
      <w:r w:rsidR="007C39A5">
        <w:t xml:space="preserve">it might be reasonable to speak of some person or event’s having settled a matter which was nevertheless determined to occur well in advance of that person’s intervention or that event’s occurrence” (41). For example, if four dominoes are lined up and the first one is knocked over, the fall of the third might settle whether the fourth one falls, even if it was determined, once the first one was knocked over, that the fourth one would fall. But what we </w:t>
      </w:r>
      <w:r w:rsidR="007C39A5" w:rsidRPr="002E3A56">
        <w:rPr>
          <w:i/>
        </w:rPr>
        <w:t>can’t</w:t>
      </w:r>
      <w:r w:rsidR="007C39A5">
        <w:t xml:space="preserve"> have in this case, Steward insists, is </w:t>
      </w:r>
      <w:r w:rsidR="007A2687">
        <w:t xml:space="preserve">the fall of the third domino </w:t>
      </w:r>
      <w:r w:rsidR="007A2687" w:rsidRPr="007A2687">
        <w:rPr>
          <w:i/>
        </w:rPr>
        <w:t xml:space="preserve">settling some matter </w:t>
      </w:r>
      <w:r w:rsidR="007C39A5" w:rsidRPr="007A2687">
        <w:rPr>
          <w:i/>
        </w:rPr>
        <w:t>at a time</w:t>
      </w:r>
      <w:r w:rsidR="007C39A5">
        <w:t xml:space="preserve">. “An event can only settle a matter at the time at which it occurs, if that matter is not already </w:t>
      </w:r>
      <w:r w:rsidR="00EC3C44">
        <w:t>settled before that time” (40).</w:t>
      </w:r>
      <w:r w:rsidR="00B679CE">
        <w:t xml:space="preserve"> And, she adds, “</w:t>
      </w:r>
      <w:r w:rsidR="00B679CE" w:rsidRPr="00B679CE">
        <w:t>it is this feature of the concept of settling on which my argument against universal determinism depends” (40).</w:t>
      </w:r>
    </w:p>
    <w:p w:rsidR="000F4465" w:rsidRDefault="009C1DCA" w:rsidP="000F4465">
      <w:pPr>
        <w:spacing w:line="480" w:lineRule="auto"/>
      </w:pPr>
      <w:r>
        <w:tab/>
      </w:r>
      <w:r w:rsidR="009F48CC">
        <w:t xml:space="preserve">Is it true that </w:t>
      </w:r>
      <w:r w:rsidR="00304F36">
        <w:t xml:space="preserve">an </w:t>
      </w:r>
      <w:r w:rsidR="00304F36" w:rsidRPr="008521D1">
        <w:rPr>
          <w:i/>
        </w:rPr>
        <w:t>agent</w:t>
      </w:r>
      <w:r w:rsidR="00304F36">
        <w:t xml:space="preserve"> can</w:t>
      </w:r>
      <w:r w:rsidR="009F48CC">
        <w:t>’t</w:t>
      </w:r>
      <w:r w:rsidR="008521D1">
        <w:t xml:space="preserve"> </w:t>
      </w:r>
      <w:r w:rsidR="00304F36">
        <w:t xml:space="preserve">settle </w:t>
      </w:r>
      <w:r w:rsidR="008521D1">
        <w:t xml:space="preserve">(in some way) </w:t>
      </w:r>
      <w:r w:rsidR="00304F36">
        <w:t>at a time some matter that</w:t>
      </w:r>
      <w:r w:rsidR="008521D1">
        <w:t xml:space="preserve"> </w:t>
      </w:r>
      <w:r w:rsidR="00304F36">
        <w:t xml:space="preserve">has </w:t>
      </w:r>
      <w:r w:rsidR="008521D1">
        <w:t xml:space="preserve">already </w:t>
      </w:r>
      <w:r w:rsidR="00304F36">
        <w:t>been settled</w:t>
      </w:r>
      <w:r w:rsidR="009F48CC">
        <w:t xml:space="preserve"> (in some way</w:t>
      </w:r>
      <w:r w:rsidR="008521D1">
        <w:t>)</w:t>
      </w:r>
      <w:r w:rsidR="009F48CC">
        <w:t>?</w:t>
      </w:r>
      <w:r w:rsidR="00512E65">
        <w:t xml:space="preserve"> </w:t>
      </w:r>
      <w:r w:rsidR="008521D1">
        <w:t xml:space="preserve">Consider: </w:t>
      </w:r>
      <w:r w:rsidR="000F4465">
        <w:t>I set out to determine whether Oswald acted alone</w:t>
      </w:r>
      <w:r w:rsidR="00A27A87">
        <w:t xml:space="preserve"> in </w:t>
      </w:r>
      <w:r w:rsidR="008521D1">
        <w:t xml:space="preserve">killing </w:t>
      </w:r>
      <w:r w:rsidR="00A27A87">
        <w:t>Kennedy</w:t>
      </w:r>
      <w:r w:rsidR="00E00BCF">
        <w:t xml:space="preserve">. I </w:t>
      </w:r>
      <w:r w:rsidR="000F4465">
        <w:t xml:space="preserve">read </w:t>
      </w:r>
      <w:r w:rsidR="00E50205">
        <w:t xml:space="preserve">various </w:t>
      </w:r>
      <w:r w:rsidR="0041477D">
        <w:t xml:space="preserve">things, </w:t>
      </w:r>
      <w:r w:rsidR="000F4465">
        <w:t xml:space="preserve">talk with knowledgeable folks, and </w:t>
      </w:r>
      <w:r w:rsidR="00A27A87">
        <w:t>then</w:t>
      </w:r>
      <w:r w:rsidR="000F4465">
        <w:t xml:space="preserve"> make up my mind. When I do</w:t>
      </w:r>
      <w:r w:rsidR="005840F3">
        <w:t xml:space="preserve"> the last of these things, of course I don’t</w:t>
      </w:r>
      <w:r w:rsidR="000F4465">
        <w:t xml:space="preserve"> do anything that suffices either for its being </w:t>
      </w:r>
      <w:r w:rsidR="00A27A87">
        <w:t xml:space="preserve">the case </w:t>
      </w:r>
      <w:r w:rsidR="000F4465">
        <w:t xml:space="preserve">that Oswald acted alone or for its being </w:t>
      </w:r>
      <w:r w:rsidR="00A27A87">
        <w:t xml:space="preserve">the case </w:t>
      </w:r>
      <w:r w:rsidR="000F4465">
        <w:t xml:space="preserve">that he didn’t. But I </w:t>
      </w:r>
      <w:r w:rsidR="000F4465" w:rsidRPr="000F4465">
        <w:rPr>
          <w:i/>
        </w:rPr>
        <w:t>do</w:t>
      </w:r>
      <w:r w:rsidR="000F4465">
        <w:t xml:space="preserve"> do something that suffices for its being </w:t>
      </w:r>
      <w:r w:rsidR="00A27A87">
        <w:t xml:space="preserve">the case </w:t>
      </w:r>
      <w:r w:rsidR="000F4465">
        <w:t>that I believe a certain thing</w:t>
      </w:r>
      <w:r w:rsidR="00A27A87">
        <w:t>—I come to believe that thing</w:t>
      </w:r>
      <w:r w:rsidR="00D4115D">
        <w:t xml:space="preserve">. I settle </w:t>
      </w:r>
      <w:r w:rsidR="000F4465">
        <w:t xml:space="preserve">whether I believe </w:t>
      </w:r>
      <w:r w:rsidR="00A27A87">
        <w:t xml:space="preserve">that </w:t>
      </w:r>
      <w:r w:rsidR="000F4465">
        <w:t>Oswald acted alone</w:t>
      </w:r>
      <w:r w:rsidR="00A27A87">
        <w:t>, and I settle th</w:t>
      </w:r>
      <w:r w:rsidR="000A78E8">
        <w:t>is</w:t>
      </w:r>
      <w:r w:rsidR="00A27A87">
        <w:t xml:space="preserve"> matter when I make up my mind</w:t>
      </w:r>
      <w:r w:rsidR="0041477D">
        <w:t>, by making it up.</w:t>
      </w:r>
    </w:p>
    <w:p w:rsidR="000F4465" w:rsidRDefault="000F4465" w:rsidP="000F4465">
      <w:pPr>
        <w:spacing w:line="480" w:lineRule="auto"/>
      </w:pPr>
      <w:r>
        <w:tab/>
        <w:t xml:space="preserve">Saying this, I submit, </w:t>
      </w:r>
      <w:r w:rsidR="008521D1">
        <w:t xml:space="preserve">is </w:t>
      </w:r>
      <w:r w:rsidR="00E50205">
        <w:t>saying something true</w:t>
      </w:r>
      <w:r w:rsidR="003B4770">
        <w:t>,</w:t>
      </w:r>
      <w:r w:rsidR="00E50205">
        <w:t xml:space="preserve"> and </w:t>
      </w:r>
      <w:r w:rsidR="003B4770">
        <w:t xml:space="preserve">it is </w:t>
      </w:r>
      <w:r>
        <w:t>using ‘settle</w:t>
      </w:r>
      <w:r w:rsidR="00057D56">
        <w:t xml:space="preserve"> </w:t>
      </w:r>
      <w:r w:rsidR="005F05B8">
        <w:t>whether</w:t>
      </w:r>
      <w:r>
        <w:t xml:space="preserve">’ in a perfectly </w:t>
      </w:r>
      <w:r w:rsidR="00E50205">
        <w:t xml:space="preserve">ordinary </w:t>
      </w:r>
      <w:r>
        <w:t xml:space="preserve">way. Indeed, it might </w:t>
      </w:r>
      <w:r w:rsidR="00E50205">
        <w:t xml:space="preserve">be fair to say </w:t>
      </w:r>
      <w:r>
        <w:t xml:space="preserve">that it’s up to me whether I come to </w:t>
      </w:r>
      <w:r>
        <w:lastRenderedPageBreak/>
        <w:t>believe one thing or another on this matter. As does every rational being, I have a kind of freedom of belief, and I might exercise that freedom on this occasion.</w:t>
      </w:r>
      <w:r w:rsidR="00057D56">
        <w:rPr>
          <w:rStyle w:val="FootnoteReference"/>
        </w:rPr>
        <w:footnoteReference w:id="7"/>
      </w:r>
    </w:p>
    <w:p w:rsidR="002905DB" w:rsidRDefault="000F4465" w:rsidP="000F4465">
      <w:pPr>
        <w:spacing w:line="480" w:lineRule="auto"/>
      </w:pPr>
      <w:r>
        <w:tab/>
      </w:r>
      <w:r w:rsidR="00A27A87">
        <w:t xml:space="preserve">Do these observations give us reason to </w:t>
      </w:r>
      <w:r w:rsidR="0041477D">
        <w:t>think</w:t>
      </w:r>
      <w:r w:rsidR="00A27A87">
        <w:t xml:space="preserve"> that making up one’s mind in this way </w:t>
      </w:r>
      <w:r>
        <w:t xml:space="preserve">can’t be determined by anything that precedes it? Of course, as Steward sees things, </w:t>
      </w:r>
      <w:r w:rsidR="002905DB">
        <w:t xml:space="preserve">it can’t be </w:t>
      </w:r>
      <w:r>
        <w:t xml:space="preserve">that any of my </w:t>
      </w:r>
      <w:r w:rsidRPr="00A27A87">
        <w:rPr>
          <w:i/>
        </w:rPr>
        <w:t>actions</w:t>
      </w:r>
      <w:r>
        <w:t xml:space="preserve"> are determined by antecedent</w:t>
      </w:r>
      <w:r w:rsidR="00473B0A">
        <w:t>s</w:t>
      </w:r>
      <w:r>
        <w:t xml:space="preserve">. But what about my coming to hold a certain belief on the question at hand? I settle whether I do, and I settle </w:t>
      </w:r>
      <w:r w:rsidR="00674A54">
        <w:t>this matter</w:t>
      </w:r>
      <w:r>
        <w:t xml:space="preserve"> at a certain time. </w:t>
      </w:r>
      <w:r w:rsidR="0041477D">
        <w:t xml:space="preserve">If, for </w:t>
      </w:r>
      <w:r>
        <w:t xml:space="preserve">this to be </w:t>
      </w:r>
      <w:r w:rsidR="0041477D">
        <w:t xml:space="preserve">so, </w:t>
      </w:r>
      <w:r>
        <w:t xml:space="preserve">the event of my coming to hold this belief </w:t>
      </w:r>
      <w:r w:rsidR="0041477D">
        <w:t xml:space="preserve">must </w:t>
      </w:r>
      <w:r>
        <w:t>be undetermined by what precedes it</w:t>
      </w:r>
      <w:r w:rsidR="0041477D">
        <w:t xml:space="preserve">, then </w:t>
      </w:r>
      <w:r w:rsidR="00473B0A">
        <w:t xml:space="preserve">the </w:t>
      </w:r>
      <w:r w:rsidR="002905DB">
        <w:t>Settling Argument support</w:t>
      </w:r>
      <w:r w:rsidR="00D4115D">
        <w:t>s</w:t>
      </w:r>
      <w:r w:rsidR="002905DB">
        <w:t xml:space="preserve"> </w:t>
      </w:r>
      <w:r>
        <w:t xml:space="preserve">a considerably stronger conclusion than </w:t>
      </w:r>
      <w:r w:rsidR="002905DB">
        <w:t xml:space="preserve">Steward </w:t>
      </w:r>
      <w:r>
        <w:t xml:space="preserve">draws in the book. </w:t>
      </w:r>
      <w:r w:rsidR="009449E1">
        <w:t>But if</w:t>
      </w:r>
      <w:r w:rsidR="00E00BCF">
        <w:t>, as it seems to me,</w:t>
      </w:r>
      <w:r w:rsidR="009449E1">
        <w:t xml:space="preserve"> we needn’t have indeterminism here, </w:t>
      </w:r>
      <w:r>
        <w:t>then we have a use of ‘settle</w:t>
      </w:r>
      <w:r w:rsidR="009449E1">
        <w:t xml:space="preserve"> at a time</w:t>
      </w:r>
      <w:r>
        <w:t xml:space="preserve">’ that doesn’t express </w:t>
      </w:r>
      <w:r w:rsidR="00674A54">
        <w:t xml:space="preserve">an idea in conflict with </w:t>
      </w:r>
      <w:r>
        <w:t>determinism.</w:t>
      </w:r>
      <w:r w:rsidR="003B4770">
        <w:t xml:space="preserve"> And then, even if some notion of settling matters when one acts is wrapped up on our concept of agency, this fact doesn’t suffice to establish Agency Incompatibilism.</w:t>
      </w:r>
    </w:p>
    <w:p w:rsidR="005840F3" w:rsidRDefault="005840F3" w:rsidP="000F4465">
      <w:pPr>
        <w:spacing w:line="480" w:lineRule="auto"/>
      </w:pPr>
      <w:r>
        <w:tab/>
      </w:r>
      <w:r w:rsidR="0010353F">
        <w:t xml:space="preserve">There </w:t>
      </w:r>
      <w:r w:rsidR="008521D1">
        <w:t xml:space="preserve">need be </w:t>
      </w:r>
      <w:r w:rsidR="0010353F">
        <w:t xml:space="preserve">no conflict </w:t>
      </w:r>
      <w:r>
        <w:t xml:space="preserve">in the idea of </w:t>
      </w:r>
      <w:r w:rsidR="003E294E">
        <w:t xml:space="preserve">one’s </w:t>
      </w:r>
      <w:r>
        <w:t xml:space="preserve">settling at a time something that has </w:t>
      </w:r>
      <w:r w:rsidR="008521D1">
        <w:t xml:space="preserve">already </w:t>
      </w:r>
      <w:r>
        <w:t xml:space="preserve">been settled if in fact different kinds of settling are involved. When I come to have the belief, I settle </w:t>
      </w:r>
      <w:r w:rsidR="001E083C">
        <w:t xml:space="preserve">some matter at that time by making up my mind. My mind wasn’t made up on this matter at any previous time. The matter was not previously settled in this way. But if determinism is true, then </w:t>
      </w:r>
      <w:r w:rsidR="004B72A6">
        <w:t>from the beginning of the world</w:t>
      </w:r>
      <w:r w:rsidR="001E083C">
        <w:t xml:space="preserve"> there have been conditions that sufficed for its being the case that at this moment I come to hold this belief. The matter has forever been settled in this second way. But we have here two different kinds of settling. There is no contradiction in saying that what was forever settled in one of these ways came only at this moment to be settled </w:t>
      </w:r>
      <w:r w:rsidR="0010353F">
        <w:t xml:space="preserve">by me </w:t>
      </w:r>
      <w:r w:rsidR="001E083C">
        <w:t>in the other way.</w:t>
      </w:r>
    </w:p>
    <w:p w:rsidR="002905DB" w:rsidRDefault="00270A6F" w:rsidP="000F4465">
      <w:pPr>
        <w:spacing w:line="480" w:lineRule="auto"/>
      </w:pPr>
      <w:r>
        <w:lastRenderedPageBreak/>
        <w:tab/>
        <w:t xml:space="preserve">There is also a </w:t>
      </w:r>
      <w:r w:rsidR="000F4465">
        <w:t xml:space="preserve">use </w:t>
      </w:r>
      <w:r w:rsidR="003B4770">
        <w:t xml:space="preserve">of ‘settle at a time’ </w:t>
      </w:r>
      <w:r w:rsidR="000F4465">
        <w:t xml:space="preserve">expressing something that doesn’t imply that </w:t>
      </w:r>
      <w:r w:rsidR="00BC0BB5">
        <w:t xml:space="preserve">settled </w:t>
      </w:r>
      <w:r w:rsidR="000F4465">
        <w:t xml:space="preserve">matters </w:t>
      </w:r>
      <w:r w:rsidR="00183457">
        <w:t xml:space="preserve">must </w:t>
      </w:r>
      <w:r w:rsidR="00183457" w:rsidRPr="00961B4E">
        <w:rPr>
          <w:i/>
        </w:rPr>
        <w:t>remain</w:t>
      </w:r>
      <w:r w:rsidR="00183457">
        <w:t xml:space="preserve"> settled.</w:t>
      </w:r>
      <w:r w:rsidR="000F4465">
        <w:t xml:space="preserve"> </w:t>
      </w:r>
      <w:r w:rsidR="002905DB">
        <w:t>(The point here doesn’t directly challenge the Settling Argument, but it is worth noting</w:t>
      </w:r>
      <w:r w:rsidR="00EE0A02">
        <w:t xml:space="preserve"> nonetheless</w:t>
      </w:r>
      <w:r w:rsidR="003B4770">
        <w:t>, for it further indicates the variety of things that can be expressed using this phrase</w:t>
      </w:r>
      <w:r w:rsidR="002905DB">
        <w:t xml:space="preserve">.) </w:t>
      </w:r>
      <w:r w:rsidR="000F4465">
        <w:t xml:space="preserve">I might settle </w:t>
      </w:r>
      <w:r w:rsidR="003B4770">
        <w:t xml:space="preserve">now </w:t>
      </w:r>
      <w:r w:rsidR="000F4465">
        <w:t>the question whether I’ll attend a conference</w:t>
      </w:r>
      <w:r w:rsidR="00270098">
        <w:t xml:space="preserve"> next year</w:t>
      </w:r>
      <w:r w:rsidR="000F4465">
        <w:t xml:space="preserve">, </w:t>
      </w:r>
      <w:r w:rsidR="0041477D">
        <w:t xml:space="preserve">even if the question can be reopened should </w:t>
      </w:r>
      <w:r w:rsidR="000F4465">
        <w:t>I receive new information. I settle the question when I make a firm decision; but firm decisions are revocable.</w:t>
      </w:r>
      <w:r w:rsidR="00E50205">
        <w:rPr>
          <w:rStyle w:val="FootnoteReference"/>
        </w:rPr>
        <w:footnoteReference w:id="8"/>
      </w:r>
      <w:r w:rsidR="000F4465">
        <w:t xml:space="preserve"> </w:t>
      </w:r>
    </w:p>
    <w:p w:rsidR="00270098" w:rsidRDefault="000F4465" w:rsidP="000F4465">
      <w:pPr>
        <w:spacing w:line="480" w:lineRule="auto"/>
      </w:pPr>
      <w:r>
        <w:tab/>
      </w:r>
      <w:r w:rsidR="002905DB">
        <w:t xml:space="preserve">There are, as well, uses of </w:t>
      </w:r>
      <w:r>
        <w:t>‘up to you’</w:t>
      </w:r>
      <w:r w:rsidR="002905DB">
        <w:t xml:space="preserve"> that don’t express what Steward has characterized. </w:t>
      </w:r>
      <w:r w:rsidR="001B6C72">
        <w:t>Generally w</w:t>
      </w:r>
      <w:r>
        <w:t xml:space="preserve">hen my wife and I take a walk through the neighborhood, </w:t>
      </w:r>
      <w:r w:rsidR="001B6C72">
        <w:t xml:space="preserve">by mutual consent it’s </w:t>
      </w:r>
      <w:r>
        <w:t xml:space="preserve">up to her </w:t>
      </w:r>
      <w:r w:rsidR="0065347A">
        <w:t xml:space="preserve">whether we take </w:t>
      </w:r>
      <w:r w:rsidR="00C074B2">
        <w:t xml:space="preserve">this route or that one. </w:t>
      </w:r>
      <w:r w:rsidR="00270098">
        <w:t>Now,</w:t>
      </w:r>
      <w:r>
        <w:t xml:space="preserve"> </w:t>
      </w:r>
      <w:r w:rsidRPr="00270098">
        <w:rPr>
          <w:i/>
        </w:rPr>
        <w:t>we</w:t>
      </w:r>
      <w:r>
        <w:t xml:space="preserve"> don’t take a certain route unless she and I </w:t>
      </w:r>
      <w:r w:rsidRPr="00270098">
        <w:rPr>
          <w:i/>
        </w:rPr>
        <w:t>both</w:t>
      </w:r>
      <w:r>
        <w:t xml:space="preserve"> do; and we don’t </w:t>
      </w:r>
      <w:r w:rsidRPr="00270098">
        <w:rPr>
          <w:i/>
        </w:rPr>
        <w:t>both</w:t>
      </w:r>
      <w:r>
        <w:t xml:space="preserve"> take that route unless </w:t>
      </w:r>
      <w:r w:rsidRPr="00270098">
        <w:rPr>
          <w:i/>
        </w:rPr>
        <w:t>I</w:t>
      </w:r>
      <w:r>
        <w:t xml:space="preserve"> do. </w:t>
      </w:r>
      <w:r w:rsidR="00E50205">
        <w:t>O</w:t>
      </w:r>
      <w:r w:rsidR="00473B0A">
        <w:t xml:space="preserve">f course, </w:t>
      </w:r>
      <w:r w:rsidR="001B6C72">
        <w:t xml:space="preserve">even when it’s up to </w:t>
      </w:r>
      <w:r>
        <w:t xml:space="preserve">her </w:t>
      </w:r>
      <w:r w:rsidR="0065347A">
        <w:t>whether we take a given route</w:t>
      </w:r>
      <w:r>
        <w:t xml:space="preserve">, I remain free not to go along. </w:t>
      </w:r>
      <w:r w:rsidR="00473B0A">
        <w:t xml:space="preserve">Perhaps there’s </w:t>
      </w:r>
      <w:r>
        <w:t xml:space="preserve">nothing that she can do that will suffice for my taking </w:t>
      </w:r>
      <w:r w:rsidR="0065347A">
        <w:t xml:space="preserve">that </w:t>
      </w:r>
      <w:r>
        <w:t xml:space="preserve">route. Still, </w:t>
      </w:r>
      <w:r w:rsidR="0091007B">
        <w:t>by mutual co</w:t>
      </w:r>
      <w:r w:rsidR="00537FBD">
        <w:t>nsent, the matter is up to her.</w:t>
      </w:r>
    </w:p>
    <w:p w:rsidR="000F4465" w:rsidRDefault="00CF1FAC" w:rsidP="000F4465">
      <w:pPr>
        <w:spacing w:line="480" w:lineRule="auto"/>
      </w:pPr>
      <w:r>
        <w:tab/>
      </w:r>
      <w:r w:rsidR="0065347A" w:rsidRPr="0065347A">
        <w:t xml:space="preserve">Sometimes a graduate student comes to </w:t>
      </w:r>
      <w:r w:rsidR="0091007B">
        <w:t xml:space="preserve">my office </w:t>
      </w:r>
      <w:r w:rsidR="0065347A" w:rsidRPr="0065347A">
        <w:t>to ask wh</w:t>
      </w:r>
      <w:r w:rsidR="00BC0453">
        <w:t xml:space="preserve">ether she might </w:t>
      </w:r>
      <w:r w:rsidR="000B7F8D">
        <w:t>arrange her studies in this way or that</w:t>
      </w:r>
      <w:r w:rsidR="00BC0453">
        <w:t xml:space="preserve">. If the Graduate Handbook </w:t>
      </w:r>
      <w:r w:rsidR="00C63DF3">
        <w:t>neither require</w:t>
      </w:r>
      <w:r w:rsidR="00BC0453">
        <w:t>s</w:t>
      </w:r>
      <w:r w:rsidR="00C63DF3">
        <w:t xml:space="preserve"> nor forbid</w:t>
      </w:r>
      <w:r w:rsidR="00BC0453">
        <w:t>s</w:t>
      </w:r>
      <w:r w:rsidR="00C63DF3">
        <w:t xml:space="preserve"> the thing</w:t>
      </w:r>
      <w:r w:rsidR="003E7CAF">
        <w:t>s</w:t>
      </w:r>
      <w:r w:rsidR="00C63DF3">
        <w:t xml:space="preserve"> in question, </w:t>
      </w:r>
      <w:r w:rsidR="0065347A" w:rsidRPr="0065347A">
        <w:t xml:space="preserve">I might </w:t>
      </w:r>
      <w:r w:rsidR="003E7CAF">
        <w:t>respond</w:t>
      </w:r>
      <w:r w:rsidR="0065347A" w:rsidRPr="0065347A">
        <w:t>, “It’s up to you</w:t>
      </w:r>
      <w:r w:rsidR="0091007B">
        <w:t xml:space="preserve">.” </w:t>
      </w:r>
      <w:r w:rsidR="000F4465">
        <w:t>Sometimes someone wants you to make a decision for her</w:t>
      </w:r>
      <w:r w:rsidR="000B7F8D">
        <w:t>; s</w:t>
      </w:r>
      <w:r w:rsidR="000F4465">
        <w:t>he doesn’t want the bother or the responsibility of making it herself. You might tell her that you can’t</w:t>
      </w:r>
      <w:r w:rsidR="001B6C72">
        <w:t xml:space="preserve"> or won’t</w:t>
      </w:r>
      <w:r w:rsidR="000F4465">
        <w:t xml:space="preserve">; </w:t>
      </w:r>
      <w:r w:rsidR="002905DB">
        <w:t>“I</w:t>
      </w:r>
      <w:r w:rsidR="000F4465">
        <w:t xml:space="preserve">t’s up to </w:t>
      </w:r>
      <w:r w:rsidR="00B64F8F">
        <w:t>you,” you might say</w:t>
      </w:r>
      <w:r w:rsidR="000F4465">
        <w:t xml:space="preserve">. </w:t>
      </w:r>
      <w:r w:rsidR="00F40C04">
        <w:t>It</w:t>
      </w:r>
      <w:r w:rsidR="003E7CAF">
        <w:t>’</w:t>
      </w:r>
      <w:r w:rsidR="00F40C04">
        <w:t xml:space="preserve">s far from clear, and I think rather implausible, that these </w:t>
      </w:r>
      <w:r w:rsidR="000F4465">
        <w:t xml:space="preserve">uses of ‘up to you’ </w:t>
      </w:r>
      <w:r w:rsidR="00F40C04">
        <w:t xml:space="preserve">express </w:t>
      </w:r>
      <w:r w:rsidR="00BC0453">
        <w:t>a commitment to indeterminism.</w:t>
      </w:r>
    </w:p>
    <w:p w:rsidR="001B6C72" w:rsidRDefault="000F4465" w:rsidP="000F4465">
      <w:pPr>
        <w:spacing w:line="480" w:lineRule="auto"/>
      </w:pPr>
      <w:r>
        <w:tab/>
        <w:t>‘Settle</w:t>
      </w:r>
      <w:r w:rsidR="00C65BE8">
        <w:t xml:space="preserve"> at a time</w:t>
      </w:r>
      <w:r>
        <w:t xml:space="preserve">’ and </w:t>
      </w:r>
      <w:r w:rsidR="00473B0A">
        <w:t xml:space="preserve">‘up to you’ </w:t>
      </w:r>
      <w:r>
        <w:t xml:space="preserve">express modal notions. But which modal notions do they express? My conjecture is that we use them to express a variety </w:t>
      </w:r>
      <w:r w:rsidR="000B7F8D">
        <w:t xml:space="preserve">of </w:t>
      </w:r>
      <w:r w:rsidR="00E92BE8">
        <w:t xml:space="preserve">different </w:t>
      </w:r>
      <w:r w:rsidR="00537FBD">
        <w:t>ideas</w:t>
      </w:r>
      <w:r>
        <w:t>, many of them presenting no conflict with determinism</w:t>
      </w:r>
      <w:r w:rsidR="00EE0A02">
        <w:t>, even if some of them do.</w:t>
      </w:r>
    </w:p>
    <w:p w:rsidR="009C1DCA" w:rsidRDefault="001B6C72" w:rsidP="000F4465">
      <w:pPr>
        <w:spacing w:line="480" w:lineRule="auto"/>
      </w:pPr>
      <w:r>
        <w:lastRenderedPageBreak/>
        <w:tab/>
        <w:t xml:space="preserve">Suppose, then, that </w:t>
      </w:r>
      <w:r w:rsidR="00F40C04">
        <w:t xml:space="preserve">it is part of our concept of agency that </w:t>
      </w:r>
      <w:r>
        <w:t xml:space="preserve">whenever an agent acts, certain matters are up to </w:t>
      </w:r>
      <w:r w:rsidR="00F40C04">
        <w:t xml:space="preserve">her, and she settles </w:t>
      </w:r>
      <w:r w:rsidR="000F4465">
        <w:t xml:space="preserve">certain matters when she acts, by acting. More </w:t>
      </w:r>
      <w:r w:rsidR="00F40C04">
        <w:t xml:space="preserve">will </w:t>
      </w:r>
      <w:r w:rsidR="000F4465">
        <w:t xml:space="preserve">need to be said to show that there is anything here </w:t>
      </w:r>
      <w:r w:rsidR="00F40C04">
        <w:t xml:space="preserve">that is </w:t>
      </w:r>
      <w:r w:rsidR="000F4465">
        <w:t>incompatible with determinism.</w:t>
      </w:r>
    </w:p>
    <w:p w:rsidR="008561DF" w:rsidRDefault="008561DF" w:rsidP="000F4465">
      <w:pPr>
        <w:spacing w:line="480" w:lineRule="auto"/>
      </w:pPr>
    </w:p>
    <w:p w:rsidR="008561DF" w:rsidRPr="00AA30A1" w:rsidRDefault="000E01F4" w:rsidP="00AA30A1">
      <w:pPr>
        <w:pStyle w:val="ListParagraph"/>
        <w:numPr>
          <w:ilvl w:val="0"/>
          <w:numId w:val="1"/>
        </w:numPr>
        <w:spacing w:line="480" w:lineRule="auto"/>
        <w:jc w:val="center"/>
        <w:rPr>
          <w:i/>
        </w:rPr>
      </w:pPr>
      <w:r>
        <w:rPr>
          <w:i/>
        </w:rPr>
        <w:t xml:space="preserve">Power, </w:t>
      </w:r>
      <w:r w:rsidR="002C4F99">
        <w:rPr>
          <w:i/>
        </w:rPr>
        <w:t>Ability</w:t>
      </w:r>
      <w:r>
        <w:rPr>
          <w:i/>
        </w:rPr>
        <w:t>,</w:t>
      </w:r>
      <w:r w:rsidR="002C4F99">
        <w:rPr>
          <w:i/>
        </w:rPr>
        <w:t xml:space="preserve"> </w:t>
      </w:r>
      <w:r w:rsidR="00473B0A">
        <w:rPr>
          <w:i/>
        </w:rPr>
        <w:t>and Dependence</w:t>
      </w:r>
    </w:p>
    <w:p w:rsidR="00720EAD" w:rsidRDefault="00720EAD" w:rsidP="00FB4718">
      <w:pPr>
        <w:spacing w:line="480" w:lineRule="auto"/>
      </w:pPr>
      <w:r>
        <w:t xml:space="preserve">Many uses of ‘up to you’ express </w:t>
      </w:r>
      <w:r w:rsidR="00C17B72">
        <w:t xml:space="preserve">something concerning </w:t>
      </w:r>
      <w:r w:rsidR="00EE0A02">
        <w:t xml:space="preserve">power, </w:t>
      </w:r>
      <w:r>
        <w:t>ability</w:t>
      </w:r>
      <w:r w:rsidR="00EE0A02">
        <w:t>,</w:t>
      </w:r>
      <w:r>
        <w:t xml:space="preserve"> and dependence. In</w:t>
      </w:r>
      <w:r w:rsidR="007D084A">
        <w:t xml:space="preserve"> </w:t>
      </w:r>
      <w:r w:rsidR="00561B13">
        <w:t xml:space="preserve">saying </w:t>
      </w:r>
      <w:r w:rsidR="007D084A">
        <w:t xml:space="preserve">that some matter </w:t>
      </w:r>
      <w:r w:rsidRPr="00720EAD">
        <w:rPr>
          <w:i/>
        </w:rPr>
        <w:t>p</w:t>
      </w:r>
      <w:r w:rsidR="007D084A">
        <w:rPr>
          <w:i/>
        </w:rPr>
        <w:t xml:space="preserve"> </w:t>
      </w:r>
      <w:r w:rsidR="007D084A">
        <w:t>is up to you,</w:t>
      </w:r>
      <w:r>
        <w:t xml:space="preserve"> I </w:t>
      </w:r>
      <w:r w:rsidR="00EE0A02">
        <w:t xml:space="preserve">might say </w:t>
      </w:r>
      <w:r w:rsidR="00C17B72">
        <w:t xml:space="preserve">that you have certain </w:t>
      </w:r>
      <w:r>
        <w:t xml:space="preserve">cognitive or agential powers that you’re able to exercise, and able not to exercise, and whether </w:t>
      </w:r>
      <w:r w:rsidRPr="00720EAD">
        <w:rPr>
          <w:i/>
        </w:rPr>
        <w:t>p</w:t>
      </w:r>
      <w:r>
        <w:t xml:space="preserve"> depends on whether you exercise them. </w:t>
      </w:r>
      <w:r w:rsidR="00C17B72">
        <w:t>(</w:t>
      </w:r>
      <w:r>
        <w:t xml:space="preserve">When the fact that </w:t>
      </w:r>
      <w:r w:rsidRPr="00EE0A02">
        <w:rPr>
          <w:i/>
        </w:rPr>
        <w:t>p</w:t>
      </w:r>
      <w:r>
        <w:t xml:space="preserve"> is the fact that you exercise those powers, the dependence is </w:t>
      </w:r>
      <w:r w:rsidR="009022CB">
        <w:t xml:space="preserve">a </w:t>
      </w:r>
      <w:r>
        <w:t>simple</w:t>
      </w:r>
      <w:r w:rsidR="009022CB">
        <w:t xml:space="preserve"> matter</w:t>
      </w:r>
      <w:r>
        <w:t xml:space="preserve">. Sometimes the dependence might obtain </w:t>
      </w:r>
      <w:r w:rsidR="008839A4">
        <w:t xml:space="preserve">only </w:t>
      </w:r>
      <w:r>
        <w:t xml:space="preserve">given </w:t>
      </w:r>
      <w:r w:rsidR="008839A4">
        <w:t xml:space="preserve">certain </w:t>
      </w:r>
      <w:r>
        <w:t>further facts, such as others’ commitments to go along with what you decide.</w:t>
      </w:r>
      <w:r w:rsidR="00C17B72">
        <w:t>)</w:t>
      </w:r>
    </w:p>
    <w:p w:rsidR="00C17B72" w:rsidRDefault="00C17B72" w:rsidP="00FB4718">
      <w:pPr>
        <w:spacing w:line="480" w:lineRule="auto"/>
      </w:pPr>
      <w:r>
        <w:tab/>
      </w:r>
      <w:r w:rsidR="007D084A">
        <w:t xml:space="preserve">The observation here </w:t>
      </w:r>
      <w:r w:rsidR="000E01F4">
        <w:t>fall</w:t>
      </w:r>
      <w:r w:rsidR="009022CB">
        <w:t>s</w:t>
      </w:r>
      <w:r w:rsidR="000E01F4">
        <w:t xml:space="preserve"> short of what is needed to establish Agency Incompatibilism. </w:t>
      </w:r>
      <w:r>
        <w:t xml:space="preserve">For </w:t>
      </w:r>
      <w:r w:rsidR="009022CB">
        <w:t xml:space="preserve">there are different kinds of thing that we can attribute </w:t>
      </w:r>
      <w:r>
        <w:t xml:space="preserve">in attributing </w:t>
      </w:r>
      <w:r w:rsidR="00EE0A02">
        <w:t xml:space="preserve">powers and </w:t>
      </w:r>
      <w:r>
        <w:t xml:space="preserve">abilities—there are different kinds of </w:t>
      </w:r>
      <w:r w:rsidR="00EE0A02">
        <w:t xml:space="preserve">power and </w:t>
      </w:r>
      <w:r>
        <w:t xml:space="preserve">ability. Some are such that we can </w:t>
      </w:r>
      <w:r w:rsidR="000E01F4">
        <w:t xml:space="preserve">possess them unexercised </w:t>
      </w:r>
      <w:r>
        <w:t xml:space="preserve">even on occasions when prior things determine that </w:t>
      </w:r>
      <w:r w:rsidR="009022CB">
        <w:t>they remain unexercised</w:t>
      </w:r>
      <w:r>
        <w:t>.</w:t>
      </w:r>
    </w:p>
    <w:p w:rsidR="002E12D5" w:rsidRDefault="00C17B72" w:rsidP="00626440">
      <w:pPr>
        <w:spacing w:line="480" w:lineRule="auto"/>
      </w:pPr>
      <w:r>
        <w:tab/>
        <w:t xml:space="preserve">It seems to me that Steward agrees with me on this point. </w:t>
      </w:r>
      <w:r w:rsidR="002E12D5">
        <w:t xml:space="preserve">For she agrees </w:t>
      </w:r>
      <w:r w:rsidR="007D084A">
        <w:t xml:space="preserve">with compatibilists about what we express when we say certain things about </w:t>
      </w:r>
      <w:r w:rsidR="002E12D5">
        <w:t xml:space="preserve">agents’ powers. </w:t>
      </w:r>
      <w:r w:rsidR="000E01F4">
        <w:t xml:space="preserve">For example, </w:t>
      </w:r>
      <w:r w:rsidR="007D084A">
        <w:t xml:space="preserve">Steward says, </w:t>
      </w:r>
      <w:r w:rsidR="000E01F4">
        <w:t>o</w:t>
      </w:r>
      <w:r w:rsidR="00076DE2">
        <w:t>fte</w:t>
      </w:r>
      <w:r w:rsidR="000071A5">
        <w:t xml:space="preserve">n </w:t>
      </w:r>
      <w:r w:rsidR="00076DE2">
        <w:t xml:space="preserve">in saying </w:t>
      </w:r>
      <w:r w:rsidR="000071A5">
        <w:t>that a certain agent could have decided otherwise</w:t>
      </w:r>
      <w:r w:rsidR="00777D0F">
        <w:t>,</w:t>
      </w:r>
      <w:r w:rsidR="007D084A">
        <w:t xml:space="preserve"> </w:t>
      </w:r>
      <w:r w:rsidR="000071A5">
        <w:t xml:space="preserve">we simply </w:t>
      </w:r>
      <w:r w:rsidR="0095130D">
        <w:t xml:space="preserve">say </w:t>
      </w:r>
      <w:r w:rsidR="000071A5">
        <w:t xml:space="preserve">that no one forced </w:t>
      </w:r>
      <w:r w:rsidR="00076DE2">
        <w:t>th</w:t>
      </w:r>
      <w:r w:rsidR="008242E1">
        <w:t>e</w:t>
      </w:r>
      <w:r w:rsidR="00076DE2">
        <w:t xml:space="preserve"> agent</w:t>
      </w:r>
      <w:r w:rsidR="000071A5">
        <w:t xml:space="preserve"> to decide as she did, or “that [she] possessed a general decision-making capacity at the time that was in perfect working order and which [she] could then have exercised so as to have made the opposite decision, if [she] had seen good reason to do so” (140). </w:t>
      </w:r>
      <w:r w:rsidR="008A49FF">
        <w:t xml:space="preserve">All this can be so, Steward insists, even if it isn’t compossible with the prior course of events and the laws of nature that the agent have made the opposite decision. </w:t>
      </w:r>
    </w:p>
    <w:p w:rsidR="008A49FF" w:rsidRDefault="002E12D5" w:rsidP="00626440">
      <w:pPr>
        <w:spacing w:line="480" w:lineRule="auto"/>
      </w:pPr>
      <w:r>
        <w:lastRenderedPageBreak/>
        <w:tab/>
      </w:r>
      <w:r w:rsidR="008A49FF">
        <w:t xml:space="preserve">But now, similar </w:t>
      </w:r>
      <w:r w:rsidR="009022CB">
        <w:t xml:space="preserve">things can be </w:t>
      </w:r>
      <w:r w:rsidR="000E01F4">
        <w:t xml:space="preserve">said with respect to </w:t>
      </w:r>
      <w:r w:rsidR="008A49FF">
        <w:t xml:space="preserve">‘power to refrain’, ‘open alternative’, </w:t>
      </w:r>
      <w:r w:rsidR="005B3B38">
        <w:t xml:space="preserve">‘spontaneity’, </w:t>
      </w:r>
      <w:r w:rsidR="008A49FF">
        <w:t>and other</w:t>
      </w:r>
      <w:r w:rsidR="000E01F4">
        <w:t xml:space="preserve"> expressions </w:t>
      </w:r>
      <w:r w:rsidR="008A49FF">
        <w:t xml:space="preserve">that Steward insists must be applicable whenever any agent acts. And </w:t>
      </w:r>
      <w:r w:rsidR="001B6C72">
        <w:t xml:space="preserve">similar things </w:t>
      </w:r>
      <w:r w:rsidR="009E7435">
        <w:t xml:space="preserve">can be said </w:t>
      </w:r>
      <w:r w:rsidR="008A49FF">
        <w:t xml:space="preserve">about ‘up to you’ and ‘settle at a time’. </w:t>
      </w:r>
    </w:p>
    <w:p w:rsidR="006C26FA" w:rsidRDefault="006C26FA" w:rsidP="006C26FA">
      <w:pPr>
        <w:spacing w:line="480" w:lineRule="auto"/>
        <w:jc w:val="both"/>
      </w:pPr>
    </w:p>
    <w:p w:rsidR="006C26FA" w:rsidRPr="0098724D" w:rsidRDefault="0098724D" w:rsidP="0098724D">
      <w:pPr>
        <w:pStyle w:val="ListParagraph"/>
        <w:numPr>
          <w:ilvl w:val="0"/>
          <w:numId w:val="1"/>
        </w:numPr>
        <w:spacing w:line="480" w:lineRule="auto"/>
        <w:jc w:val="center"/>
        <w:rPr>
          <w:i/>
        </w:rPr>
      </w:pPr>
      <w:r w:rsidRPr="0098724D">
        <w:rPr>
          <w:i/>
        </w:rPr>
        <w:t>Separating Issues</w:t>
      </w:r>
    </w:p>
    <w:p w:rsidR="00841822" w:rsidRDefault="0066533C" w:rsidP="00FE349C">
      <w:pPr>
        <w:spacing w:line="480" w:lineRule="auto"/>
      </w:pPr>
      <w:r>
        <w:t xml:space="preserve">Steward does devote much of a chapter to countering </w:t>
      </w:r>
      <w:r w:rsidR="00F942F6">
        <w:t xml:space="preserve">an objection to </w:t>
      </w:r>
      <w:r w:rsidR="0098724D">
        <w:t>the Argument from Se</w:t>
      </w:r>
      <w:r w:rsidR="00FE349C">
        <w:t>ttling</w:t>
      </w:r>
      <w:r w:rsidR="00F942F6">
        <w:t xml:space="preserve">. </w:t>
      </w:r>
      <w:r>
        <w:t>However, the ob</w:t>
      </w:r>
      <w:r w:rsidR="001B6C72">
        <w:t xml:space="preserve">jection that she considers </w:t>
      </w:r>
      <w:r>
        <w:t xml:space="preserve">combines two claims: that settling some matter at </w:t>
      </w:r>
      <w:r w:rsidR="00390B47">
        <w:t xml:space="preserve">the </w:t>
      </w:r>
      <w:r>
        <w:t xml:space="preserve">time </w:t>
      </w:r>
      <w:r w:rsidR="005B3B38">
        <w:t xml:space="preserve">one acts </w:t>
      </w:r>
      <w:r>
        <w:t xml:space="preserve">need not involve indeterminism, and that </w:t>
      </w:r>
      <w:r w:rsidR="002E12D5">
        <w:t>settling some matter at a time</w:t>
      </w:r>
      <w:r w:rsidR="005B3B38">
        <w:t xml:space="preserve"> can </w:t>
      </w:r>
      <w:r>
        <w:t>be analyzed in terms of causation by mental states or events</w:t>
      </w:r>
      <w:r w:rsidR="005B3B38">
        <w:t xml:space="preserve">, as a proponent of the </w:t>
      </w:r>
      <w:r w:rsidR="001B6C72">
        <w:t>C</w:t>
      </w:r>
      <w:r w:rsidR="005B3B38">
        <w:t xml:space="preserve">ausal </w:t>
      </w:r>
      <w:r w:rsidR="001B6C72">
        <w:t>T</w:t>
      </w:r>
      <w:r w:rsidR="005B3B38">
        <w:t xml:space="preserve">heory of </w:t>
      </w:r>
      <w:r w:rsidR="001B6C72">
        <w:t>A</w:t>
      </w:r>
      <w:r w:rsidR="005B3B38">
        <w:t xml:space="preserve">ction might </w:t>
      </w:r>
      <w:r w:rsidR="00FE349C">
        <w:t xml:space="preserve">contend. </w:t>
      </w:r>
      <w:r w:rsidR="002E12D5">
        <w:t xml:space="preserve">Her responses are responses to the latter claim. But the former </w:t>
      </w:r>
      <w:r w:rsidR="00D978CB">
        <w:t xml:space="preserve">claim </w:t>
      </w:r>
      <w:r w:rsidR="002E12D5">
        <w:t xml:space="preserve">is independent of the latter. </w:t>
      </w:r>
      <w:r>
        <w:t xml:space="preserve"> </w:t>
      </w:r>
    </w:p>
    <w:p w:rsidR="00005723" w:rsidRDefault="00F942F6" w:rsidP="003B3301">
      <w:pPr>
        <w:spacing w:line="480" w:lineRule="auto"/>
      </w:pPr>
      <w:r>
        <w:tab/>
        <w:t xml:space="preserve">Determinism says nothing about what </w:t>
      </w:r>
      <w:r w:rsidR="00FE349C">
        <w:t>causes are or what actions are.</w:t>
      </w:r>
      <w:r w:rsidR="00FE349C">
        <w:rPr>
          <w:rStyle w:val="FootnoteReference"/>
        </w:rPr>
        <w:footnoteReference w:id="9"/>
      </w:r>
      <w:r w:rsidR="00FE349C">
        <w:t xml:space="preserve"> It </w:t>
      </w:r>
      <w:r w:rsidR="005B3B38">
        <w:t xml:space="preserve">doesn’t </w:t>
      </w:r>
      <w:r w:rsidR="00D1097A">
        <w:t xml:space="preserve">say that only events </w:t>
      </w:r>
      <w:r w:rsidR="00FE349C">
        <w:t xml:space="preserve">or states </w:t>
      </w:r>
      <w:r w:rsidR="00D1097A">
        <w:t xml:space="preserve">are causes. It doesn’t </w:t>
      </w:r>
      <w:r w:rsidR="00D978CB">
        <w:t xml:space="preserve">expressly </w:t>
      </w:r>
      <w:r w:rsidR="00D1097A">
        <w:t>rule</w:t>
      </w:r>
      <w:r>
        <w:t xml:space="preserve"> out the view that </w:t>
      </w:r>
      <w:r w:rsidR="00FE349C">
        <w:t xml:space="preserve">animals cause </w:t>
      </w:r>
      <w:r>
        <w:t>movements of their bodies (or parts thereof)</w:t>
      </w:r>
      <w:r w:rsidR="008242E1">
        <w:t xml:space="preserve"> when they act</w:t>
      </w:r>
      <w:r>
        <w:t xml:space="preserve">. Thus, one might challenge Agency Incompatibilism without </w:t>
      </w:r>
      <w:r w:rsidR="00FE349C">
        <w:t xml:space="preserve">appealing to the Causal Theory of Action, </w:t>
      </w:r>
      <w:r w:rsidR="00D1097A">
        <w:t xml:space="preserve">and indeed without </w:t>
      </w:r>
      <w:r>
        <w:t xml:space="preserve">rejecting </w:t>
      </w:r>
      <w:r w:rsidR="00FE349C">
        <w:t xml:space="preserve">the </w:t>
      </w:r>
      <w:r>
        <w:t xml:space="preserve">view </w:t>
      </w:r>
      <w:r w:rsidR="00D1097A">
        <w:t xml:space="preserve">that actions are agent causings. </w:t>
      </w:r>
      <w:r>
        <w:t xml:space="preserve">Steward’s </w:t>
      </w:r>
      <w:r w:rsidR="00FE349C">
        <w:t xml:space="preserve">objections to the </w:t>
      </w:r>
      <w:r w:rsidR="001B6C72">
        <w:t>Causal Theory of A</w:t>
      </w:r>
      <w:r w:rsidR="00D1097A">
        <w:t xml:space="preserve">ction, </w:t>
      </w:r>
      <w:r>
        <w:t xml:space="preserve">then, fail to meet the </w:t>
      </w:r>
      <w:r w:rsidR="001809FC">
        <w:t xml:space="preserve">challenge </w:t>
      </w:r>
      <w:r w:rsidR="00D1097A">
        <w:t>that I</w:t>
      </w:r>
      <w:r w:rsidR="00777D0F">
        <w:t>’</w:t>
      </w:r>
      <w:r w:rsidR="00D1097A">
        <w:t>ve raised, for they aren’t addressed to that challenge.</w:t>
      </w:r>
    </w:p>
    <w:p w:rsidR="003A4437" w:rsidRDefault="003A4437" w:rsidP="003B3301">
      <w:pPr>
        <w:spacing w:line="480" w:lineRule="auto"/>
      </w:pPr>
    </w:p>
    <w:p w:rsidR="003A4437" w:rsidRPr="003A4437" w:rsidRDefault="003A4437" w:rsidP="003A4437">
      <w:pPr>
        <w:pStyle w:val="ListParagraph"/>
        <w:numPr>
          <w:ilvl w:val="0"/>
          <w:numId w:val="1"/>
        </w:numPr>
        <w:spacing w:line="480" w:lineRule="auto"/>
        <w:jc w:val="center"/>
        <w:rPr>
          <w:i/>
        </w:rPr>
      </w:pPr>
      <w:r w:rsidRPr="003A4437">
        <w:rPr>
          <w:i/>
        </w:rPr>
        <w:t>Further Argument?</w:t>
      </w:r>
    </w:p>
    <w:p w:rsidR="003A4437" w:rsidRDefault="00E36077" w:rsidP="003A4437">
      <w:pPr>
        <w:spacing w:line="480" w:lineRule="auto"/>
      </w:pPr>
      <w:r>
        <w:lastRenderedPageBreak/>
        <w:t xml:space="preserve">I’ve </w:t>
      </w:r>
      <w:r w:rsidR="0035677F">
        <w:t xml:space="preserve">examined </w:t>
      </w:r>
      <w:r>
        <w:t>what Steward presents in the book as her main argument for Agency Incompatibilism.</w:t>
      </w:r>
      <w:r>
        <w:rPr>
          <w:rStyle w:val="FootnoteReference"/>
        </w:rPr>
        <w:footnoteReference w:id="10"/>
      </w:r>
      <w:r>
        <w:t xml:space="preserve"> At the meeting at which these comments were presented,</w:t>
      </w:r>
      <w:r>
        <w:rPr>
          <w:rStyle w:val="FootnoteReference"/>
        </w:rPr>
        <w:footnoteReference w:id="11"/>
      </w:r>
      <w:r>
        <w:t xml:space="preserve"> Steward </w:t>
      </w:r>
      <w:r w:rsidR="007E4ED3">
        <w:t xml:space="preserve">replied </w:t>
      </w:r>
      <w:r>
        <w:t xml:space="preserve">that further argument later in the book addresses </w:t>
      </w:r>
      <w:r w:rsidR="00615E23">
        <w:t xml:space="preserve">the problem I’ve raised. </w:t>
      </w:r>
      <w:bookmarkStart w:id="0" w:name="_GoBack"/>
      <w:bookmarkEnd w:id="0"/>
      <w:r w:rsidR="0035677F">
        <w:t>But s</w:t>
      </w:r>
      <w:r>
        <w:t xml:space="preserve">he </w:t>
      </w:r>
      <w:r w:rsidR="0035677F">
        <w:t xml:space="preserve">didn’t </w:t>
      </w:r>
      <w:r>
        <w:t xml:space="preserve">on that occasion say what the further argument is, and I’ve been unable to identify it. I look forward to learning </w:t>
      </w:r>
      <w:r w:rsidR="0035677F">
        <w:t xml:space="preserve">more about the </w:t>
      </w:r>
      <w:r w:rsidR="009F71BB">
        <w:t>matter</w:t>
      </w:r>
      <w:r w:rsidR="0035677F">
        <w:t xml:space="preserve"> </w:t>
      </w:r>
      <w:r>
        <w:t xml:space="preserve">from her response here </w:t>
      </w:r>
    </w:p>
    <w:sectPr w:rsidR="003A4437" w:rsidSect="00F773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220" w:rsidRDefault="00E37220" w:rsidP="00F7735B">
      <w:r>
        <w:separator/>
      </w:r>
    </w:p>
  </w:endnote>
  <w:endnote w:type="continuationSeparator" w:id="0">
    <w:p w:rsidR="00E37220" w:rsidRDefault="00E37220" w:rsidP="00F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69" w:rsidRDefault="0006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69" w:rsidRDefault="00066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69" w:rsidRDefault="00066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220" w:rsidRDefault="00E37220" w:rsidP="00F7735B">
      <w:r>
        <w:separator/>
      </w:r>
    </w:p>
  </w:footnote>
  <w:footnote w:type="continuationSeparator" w:id="0">
    <w:p w:rsidR="00E37220" w:rsidRDefault="00E37220" w:rsidP="00F7735B">
      <w:r>
        <w:continuationSeparator/>
      </w:r>
    </w:p>
  </w:footnote>
  <w:footnote w:id="1">
    <w:p w:rsidR="00C060EE" w:rsidRPr="00C060EE" w:rsidRDefault="00C060EE">
      <w:pPr>
        <w:pStyle w:val="FootnoteText"/>
      </w:pPr>
      <w:r>
        <w:rPr>
          <w:rStyle w:val="FootnoteReference"/>
        </w:rPr>
        <w:footnoteRef/>
      </w:r>
      <w:r>
        <w:t xml:space="preserve"> The movement that is caused </w:t>
      </w:r>
      <w:r w:rsidR="004D2885">
        <w:t xml:space="preserve">when an action is performed </w:t>
      </w:r>
      <w:r>
        <w:t>is what Hornsby (</w:t>
      </w:r>
      <w:r w:rsidRPr="00C060EE">
        <w:rPr>
          <w:i/>
        </w:rPr>
        <w:t>Actions</w:t>
      </w:r>
      <w:r>
        <w:t xml:space="preserve"> [London: Routledge &amp; Kegan Paul, 1980</w:t>
      </w:r>
      <w:r w:rsidR="004D2885">
        <w:t>]</w:t>
      </w:r>
      <w:r>
        <w:t>, p. 2</w:t>
      </w:r>
      <w:r w:rsidR="004D2885">
        <w:t>)</w:t>
      </w:r>
      <w:r>
        <w:t xml:space="preserve"> </w:t>
      </w:r>
      <w:r w:rsidRPr="00C060EE">
        <w:t>calls</w:t>
      </w:r>
      <w:r>
        <w:t xml:space="preserve"> a movement</w:t>
      </w:r>
      <w:r w:rsidRPr="00C060EE">
        <w:rPr>
          <w:vertAlign w:val="subscript"/>
        </w:rPr>
        <w:t>I</w:t>
      </w:r>
      <w:r>
        <w:t>. It is, for example, the motion of my arm, rather than my act of moving my arm.</w:t>
      </w:r>
    </w:p>
  </w:footnote>
  <w:footnote w:id="2">
    <w:p w:rsidR="003451CA" w:rsidRDefault="003451CA">
      <w:pPr>
        <w:pStyle w:val="FootnoteText"/>
      </w:pPr>
      <w:r>
        <w:rPr>
          <w:rStyle w:val="FootnoteReference"/>
        </w:rPr>
        <w:footnoteRef/>
      </w:r>
      <w:r>
        <w:t xml:space="preserve"> All page references are to Steward’s </w:t>
      </w:r>
      <w:r w:rsidRPr="003451CA">
        <w:rPr>
          <w:i/>
        </w:rPr>
        <w:t>A Metaphysics of Freedom</w:t>
      </w:r>
      <w:r>
        <w:t xml:space="preserve"> (Oxford: Oxford University Press, 2012).</w:t>
      </w:r>
    </w:p>
  </w:footnote>
  <w:footnote w:id="3">
    <w:p w:rsidR="007E28A4" w:rsidRDefault="007E28A4">
      <w:pPr>
        <w:pStyle w:val="FootnoteText"/>
      </w:pPr>
      <w:r>
        <w:rPr>
          <w:rStyle w:val="FootnoteReference"/>
        </w:rPr>
        <w:footnoteRef/>
      </w:r>
      <w:r>
        <w:t xml:space="preserve"> </w:t>
      </w:r>
      <w:r w:rsidR="00761EA6">
        <w:t xml:space="preserve">At one point, Steward says that “in order that some question or matter be up to me…what I have to be able to do…is to </w:t>
      </w:r>
      <w:r w:rsidR="00761EA6" w:rsidRPr="00761EA6">
        <w:rPr>
          <w:i/>
        </w:rPr>
        <w:t>settle</w:t>
      </w:r>
      <w:r w:rsidR="00761EA6">
        <w:t xml:space="preserve"> that matter” (26). However, she also says, “When an agent acts…various matters are thereby </w:t>
      </w:r>
      <w:r w:rsidR="00761EA6" w:rsidRPr="00761EA6">
        <w:rPr>
          <w:i/>
        </w:rPr>
        <w:t>settled</w:t>
      </w:r>
      <w:r w:rsidR="00761EA6">
        <w:t xml:space="preserve"> by that agent at the time of action” (31). The argument appears to need this stronger claim</w:t>
      </w:r>
      <w:r w:rsidR="00A511A2">
        <w:t xml:space="preserve">, on which it isn’t just the </w:t>
      </w:r>
      <w:r w:rsidR="00A511A2" w:rsidRPr="007E4B4E">
        <w:rPr>
          <w:i/>
        </w:rPr>
        <w:t>ability</w:t>
      </w:r>
      <w:r w:rsidR="00A511A2">
        <w:t xml:space="preserve"> to settle matters but the </w:t>
      </w:r>
      <w:r w:rsidR="00A511A2" w:rsidRPr="007E4B4E">
        <w:rPr>
          <w:i/>
        </w:rPr>
        <w:t>actual settling</w:t>
      </w:r>
      <w:r w:rsidR="00A511A2">
        <w:t xml:space="preserve"> of matters that is required</w:t>
      </w:r>
      <w:r w:rsidR="00761EA6">
        <w:t xml:space="preserve">.  </w:t>
      </w:r>
    </w:p>
  </w:footnote>
  <w:footnote w:id="4">
    <w:p w:rsidR="00004653" w:rsidRDefault="00C75745">
      <w:pPr>
        <w:pStyle w:val="FootnoteText"/>
      </w:pPr>
      <w:r>
        <w:rPr>
          <w:rStyle w:val="FootnoteReference"/>
        </w:rPr>
        <w:footnoteRef/>
      </w:r>
      <w:r>
        <w:t xml:space="preserve"> The argument that I’ve summarized here is presented in chapter two of Steward’s book, with the heart of it appearing in the sections titled “The argument: agency is inconsistent with universal determinism” and “Settling.”</w:t>
      </w:r>
    </w:p>
  </w:footnote>
  <w:footnote w:id="5">
    <w:p w:rsidR="00847451" w:rsidRDefault="00847451">
      <w:pPr>
        <w:pStyle w:val="FootnoteText"/>
      </w:pPr>
      <w:r>
        <w:rPr>
          <w:rStyle w:val="FootnoteReference"/>
        </w:rPr>
        <w:footnoteRef/>
      </w:r>
      <w:r>
        <w:t xml:space="preserve"> Suppose that what happens is that an event of type </w:t>
      </w:r>
      <w:r w:rsidRPr="00847451">
        <w:rPr>
          <w:i/>
        </w:rPr>
        <w:t>E</w:t>
      </w:r>
      <w:r>
        <w:t xml:space="preserve"> occurs at </w:t>
      </w:r>
      <w:r w:rsidRPr="00847451">
        <w:rPr>
          <w:i/>
        </w:rPr>
        <w:t>t</w:t>
      </w:r>
      <w:r>
        <w:t xml:space="preserve">. If the question that is resolved by the occurrence of this event is whether an event of type </w:t>
      </w:r>
      <w:r w:rsidRPr="00847451">
        <w:rPr>
          <w:i/>
        </w:rPr>
        <w:t>E</w:t>
      </w:r>
      <w:r>
        <w:t xml:space="preserve"> occurs at </w:t>
      </w:r>
      <w:r w:rsidRPr="00847451">
        <w:rPr>
          <w:i/>
        </w:rPr>
        <w:t>t</w:t>
      </w:r>
      <w:r>
        <w:t xml:space="preserve">, it seems odd to say that the event </w:t>
      </w:r>
      <w:r w:rsidRPr="009B4C64">
        <w:rPr>
          <w:i/>
        </w:rPr>
        <w:t>causes</w:t>
      </w:r>
      <w:r>
        <w:t xml:space="preserve"> the resolution of this question. In the interpretation of Steward that I proceed to offer, I don’t put any weight on her use of ‘causes’ here.</w:t>
      </w:r>
    </w:p>
  </w:footnote>
  <w:footnote w:id="6">
    <w:p w:rsidR="007C39A5" w:rsidRDefault="007C39A5">
      <w:pPr>
        <w:pStyle w:val="FootnoteText"/>
      </w:pPr>
      <w:r>
        <w:rPr>
          <w:rStyle w:val="FootnoteReference"/>
        </w:rPr>
        <w:footnoteRef/>
      </w:r>
      <w:r>
        <w:t xml:space="preserve"> S</w:t>
      </w:r>
      <w:r w:rsidR="0067655F">
        <w:t>teward</w:t>
      </w:r>
      <w:r>
        <w:t xml:space="preserve"> says that undetermined events</w:t>
      </w:r>
      <w:r w:rsidR="0067655F">
        <w:t>, such as the spontaneous emission of a particle by an unstable atom,</w:t>
      </w:r>
      <w:r>
        <w:t xml:space="preserve"> can settle matters at the time of their occurrence, “both matters whose settling is </w:t>
      </w:r>
      <w:r w:rsidRPr="002C0FE8">
        <w:rPr>
          <w:i/>
        </w:rPr>
        <w:t>constituted</w:t>
      </w:r>
      <w:r>
        <w:t xml:space="preserve"> by the occurrence of those very events…or matters which are deterministically connected to the occurrence of those indeterministic events” (40). </w:t>
      </w:r>
      <w:r w:rsidR="002C0FE8">
        <w:t xml:space="preserve">I don’t see that </w:t>
      </w:r>
      <w:r w:rsidR="00DD4F3E">
        <w:t>she</w:t>
      </w:r>
      <w:r w:rsidR="002C0FE8">
        <w:t xml:space="preserve"> ever says explicitly what it is for the settling of some matter to be constituted by the occurrence of some event. In S I’ve suggested what I think she might mean by this</w:t>
      </w:r>
      <w:r w:rsidR="0067655F">
        <w:t>, for the case of action</w:t>
      </w:r>
      <w:r w:rsidR="002C0FE8">
        <w:t>.</w:t>
      </w:r>
    </w:p>
    <w:p w:rsidR="00DD4F3E" w:rsidRDefault="00DD4F3E">
      <w:pPr>
        <w:pStyle w:val="FootnoteText"/>
      </w:pPr>
      <w:r>
        <w:tab/>
        <w:t xml:space="preserve">Perhaps, in order to capture Steward’s idea, S would need the further proviso that nothing at </w:t>
      </w:r>
      <w:r w:rsidRPr="009E40E7">
        <w:rPr>
          <w:i/>
        </w:rPr>
        <w:t>t</w:t>
      </w:r>
      <w:r>
        <w:t xml:space="preserve"> that </w:t>
      </w:r>
      <w:r w:rsidR="009E40E7">
        <w:t xml:space="preserve">is </w:t>
      </w:r>
      <w:r>
        <w:t>distinct from the action in question</w:t>
      </w:r>
      <w:r w:rsidR="009E40E7">
        <w:t xml:space="preserve"> </w:t>
      </w:r>
      <w:r>
        <w:t>settles whether</w:t>
      </w:r>
      <w:r w:rsidR="009E40E7">
        <w:t xml:space="preserve"> </w:t>
      </w:r>
      <w:r w:rsidR="009E40E7" w:rsidRPr="009E40E7">
        <w:rPr>
          <w:i/>
        </w:rPr>
        <w:t>p</w:t>
      </w:r>
      <w:r>
        <w:t>. Since nothing in what I say hinges on this issue, I’ll set it aside.</w:t>
      </w:r>
    </w:p>
  </w:footnote>
  <w:footnote w:id="7">
    <w:p w:rsidR="00057D56" w:rsidRDefault="00057D56">
      <w:pPr>
        <w:pStyle w:val="FootnoteText"/>
      </w:pPr>
      <w:r>
        <w:rPr>
          <w:rStyle w:val="FootnoteReference"/>
        </w:rPr>
        <w:footnoteRef/>
      </w:r>
      <w:r>
        <w:t xml:space="preserve"> </w:t>
      </w:r>
      <w:r w:rsidR="00E50205" w:rsidRPr="00E50205">
        <w:t>It is for reasons such as these that some philosophers take forming a belief in this way to be an exercise of a kind of agency, even if it isn’t something that one does intentionally or purposively</w:t>
      </w:r>
      <w:r w:rsidR="00E50205">
        <w:t xml:space="preserve">. </w:t>
      </w:r>
      <w:r w:rsidRPr="00057D56">
        <w:t xml:space="preserve">I don’t myself </w:t>
      </w:r>
      <w:r w:rsidR="00E50205">
        <w:t>claim</w:t>
      </w:r>
      <w:r w:rsidRPr="00057D56">
        <w:t xml:space="preserve"> such a thing, but I also don’t think that the i</w:t>
      </w:r>
      <w:r>
        <w:t>ssue is one of great substance.</w:t>
      </w:r>
    </w:p>
  </w:footnote>
  <w:footnote w:id="8">
    <w:p w:rsidR="00E50205" w:rsidRDefault="00E50205">
      <w:pPr>
        <w:pStyle w:val="FootnoteText"/>
      </w:pPr>
      <w:r>
        <w:rPr>
          <w:rStyle w:val="FootnoteReference"/>
        </w:rPr>
        <w:footnoteRef/>
      </w:r>
      <w:r>
        <w:t xml:space="preserve"> </w:t>
      </w:r>
      <w:r w:rsidRPr="00E50205">
        <w:t>One might insist that in this case</w:t>
      </w:r>
      <w:r w:rsidR="001D3EFA">
        <w:t>, when I make the decision</w:t>
      </w:r>
      <w:r w:rsidR="007B2651">
        <w:t>,</w:t>
      </w:r>
      <w:r w:rsidRPr="00E50205">
        <w:t xml:space="preserve"> I don’t settle </w:t>
      </w:r>
      <w:r w:rsidRPr="001D3EFA">
        <w:rPr>
          <w:i/>
        </w:rPr>
        <w:t>whether I’ll go</w:t>
      </w:r>
      <w:r w:rsidRPr="00E50205">
        <w:t xml:space="preserve"> but only </w:t>
      </w:r>
      <w:r w:rsidRPr="001D3EFA">
        <w:rPr>
          <w:i/>
        </w:rPr>
        <w:t>whether I’ll intend to go</w:t>
      </w:r>
      <w:r w:rsidRPr="00E50205">
        <w:t xml:space="preserve">. However, </w:t>
      </w:r>
      <w:r w:rsidR="00940622">
        <w:t xml:space="preserve">if after I’ve decided not to go someone tries to persuade me to go, I might cut them off by saying, “I’ve already settled the matter.” </w:t>
      </w:r>
    </w:p>
  </w:footnote>
  <w:footnote w:id="9">
    <w:p w:rsidR="00FE349C" w:rsidRDefault="00FE349C">
      <w:pPr>
        <w:pStyle w:val="FootnoteText"/>
      </w:pPr>
      <w:r>
        <w:rPr>
          <w:rStyle w:val="FootnoteReference"/>
        </w:rPr>
        <w:footnoteRef/>
      </w:r>
      <w:r>
        <w:t xml:space="preserve"> </w:t>
      </w:r>
      <w:r w:rsidRPr="00FE349C">
        <w:t xml:space="preserve">It is common to state the thesis in terms of entailments, but we can get an ontic thesis as follows. Let </w:t>
      </w:r>
      <w:r w:rsidRPr="00FE349C">
        <w:rPr>
          <w:i/>
        </w:rPr>
        <w:t>W</w:t>
      </w:r>
      <w:r w:rsidRPr="00FE349C">
        <w:t xml:space="preserve"> be the set of all possible worlds with the same laws of nature as our world. The thesis that our world is deterministic is the claim that any world in </w:t>
      </w:r>
      <w:r w:rsidRPr="00FE349C">
        <w:rPr>
          <w:i/>
        </w:rPr>
        <w:t>W</w:t>
      </w:r>
      <w:r w:rsidRPr="00FE349C">
        <w:t xml:space="preserve"> that is exactly like our world at any moment in time is exactly like our world at every moment in time.</w:t>
      </w:r>
    </w:p>
  </w:footnote>
  <w:footnote w:id="10">
    <w:p w:rsidR="00E36077" w:rsidRDefault="00E36077">
      <w:pPr>
        <w:pStyle w:val="FootnoteText"/>
      </w:pPr>
      <w:r>
        <w:rPr>
          <w:rStyle w:val="FootnoteReference"/>
        </w:rPr>
        <w:footnoteRef/>
      </w:r>
      <w:r>
        <w:t xml:space="preserve"> </w:t>
      </w:r>
      <w:r w:rsidRPr="00E36077">
        <w:t>She says at several points in chapter two (e.g., 26 and 31) that her argument for Agency Incompatibilism is located in the final sections of that chapter, which are the ones on which I’ve focused.</w:t>
      </w:r>
    </w:p>
  </w:footnote>
  <w:footnote w:id="11">
    <w:p w:rsidR="00E36077" w:rsidRDefault="00E36077">
      <w:pPr>
        <w:pStyle w:val="FootnoteText"/>
      </w:pPr>
      <w:r>
        <w:rPr>
          <w:rStyle w:val="FootnoteReference"/>
        </w:rPr>
        <w:footnoteRef/>
      </w:r>
      <w:r>
        <w:t xml:space="preserve"> The 2014 Pacific Division Meeting of the American Philosophical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69" w:rsidRDefault="00066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266576"/>
      <w:docPartObj>
        <w:docPartGallery w:val="Page Numbers (Top of Page)"/>
        <w:docPartUnique/>
      </w:docPartObj>
    </w:sdtPr>
    <w:sdtEndPr>
      <w:rPr>
        <w:noProof/>
      </w:rPr>
    </w:sdtEndPr>
    <w:sdtContent>
      <w:p w:rsidR="00F7735B" w:rsidRDefault="00F7735B">
        <w:pPr>
          <w:pStyle w:val="Header"/>
          <w:jc w:val="right"/>
        </w:pPr>
        <w:r>
          <w:fldChar w:fldCharType="begin"/>
        </w:r>
        <w:r>
          <w:instrText xml:space="preserve"> PAGE   \* MERGEFORMAT </w:instrText>
        </w:r>
        <w:r>
          <w:fldChar w:fldCharType="separate"/>
        </w:r>
        <w:r w:rsidR="00615E23">
          <w:rPr>
            <w:noProof/>
          </w:rPr>
          <w:t>11</w:t>
        </w:r>
        <w:r>
          <w:rPr>
            <w:noProof/>
          </w:rPr>
          <w:fldChar w:fldCharType="end"/>
        </w:r>
      </w:p>
    </w:sdtContent>
  </w:sdt>
  <w:p w:rsidR="00F7735B" w:rsidRDefault="00F77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69" w:rsidRDefault="00066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2FFA"/>
    <w:multiLevelType w:val="hybridMultilevel"/>
    <w:tmpl w:val="562C6DE2"/>
    <w:lvl w:ilvl="0" w:tplc="750A5AE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76EE2"/>
    <w:multiLevelType w:val="hybridMultilevel"/>
    <w:tmpl w:val="533A2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01"/>
    <w:rsid w:val="00001957"/>
    <w:rsid w:val="00004653"/>
    <w:rsid w:val="00005723"/>
    <w:rsid w:val="000071A5"/>
    <w:rsid w:val="00013DBC"/>
    <w:rsid w:val="00024CA4"/>
    <w:rsid w:val="00032D19"/>
    <w:rsid w:val="00036FDF"/>
    <w:rsid w:val="00040CC9"/>
    <w:rsid w:val="0004347B"/>
    <w:rsid w:val="00045C19"/>
    <w:rsid w:val="000464E9"/>
    <w:rsid w:val="000500FB"/>
    <w:rsid w:val="000518F3"/>
    <w:rsid w:val="000523BC"/>
    <w:rsid w:val="00053526"/>
    <w:rsid w:val="0005429B"/>
    <w:rsid w:val="00054545"/>
    <w:rsid w:val="0005520C"/>
    <w:rsid w:val="000553E1"/>
    <w:rsid w:val="00057D56"/>
    <w:rsid w:val="00066069"/>
    <w:rsid w:val="000743C4"/>
    <w:rsid w:val="00076DE2"/>
    <w:rsid w:val="0008306E"/>
    <w:rsid w:val="00091E44"/>
    <w:rsid w:val="000922A6"/>
    <w:rsid w:val="000A1E79"/>
    <w:rsid w:val="000A4BA4"/>
    <w:rsid w:val="000A78E8"/>
    <w:rsid w:val="000A7CF4"/>
    <w:rsid w:val="000B0AC2"/>
    <w:rsid w:val="000B7F8D"/>
    <w:rsid w:val="000C4B28"/>
    <w:rsid w:val="000C77F9"/>
    <w:rsid w:val="000D10DD"/>
    <w:rsid w:val="000D1EE8"/>
    <w:rsid w:val="000D20A6"/>
    <w:rsid w:val="000D2719"/>
    <w:rsid w:val="000D29B6"/>
    <w:rsid w:val="000D5F6B"/>
    <w:rsid w:val="000D6C3A"/>
    <w:rsid w:val="000D7E24"/>
    <w:rsid w:val="000E01F4"/>
    <w:rsid w:val="000E114F"/>
    <w:rsid w:val="000E315A"/>
    <w:rsid w:val="000E411F"/>
    <w:rsid w:val="000F02D6"/>
    <w:rsid w:val="000F3278"/>
    <w:rsid w:val="000F3F99"/>
    <w:rsid w:val="000F4465"/>
    <w:rsid w:val="000F56C7"/>
    <w:rsid w:val="000F58DF"/>
    <w:rsid w:val="000F6C42"/>
    <w:rsid w:val="000F7A5A"/>
    <w:rsid w:val="00101147"/>
    <w:rsid w:val="0010353F"/>
    <w:rsid w:val="0011511C"/>
    <w:rsid w:val="0012097F"/>
    <w:rsid w:val="00120F33"/>
    <w:rsid w:val="00122C51"/>
    <w:rsid w:val="0012553C"/>
    <w:rsid w:val="00125638"/>
    <w:rsid w:val="00126F43"/>
    <w:rsid w:val="00136DB2"/>
    <w:rsid w:val="00145549"/>
    <w:rsid w:val="00145B95"/>
    <w:rsid w:val="001476C9"/>
    <w:rsid w:val="0015564D"/>
    <w:rsid w:val="00156F54"/>
    <w:rsid w:val="0016195F"/>
    <w:rsid w:val="00175B82"/>
    <w:rsid w:val="001800B1"/>
    <w:rsid w:val="0018018F"/>
    <w:rsid w:val="001809FC"/>
    <w:rsid w:val="00183457"/>
    <w:rsid w:val="00185A44"/>
    <w:rsid w:val="00190288"/>
    <w:rsid w:val="001A67FD"/>
    <w:rsid w:val="001B035F"/>
    <w:rsid w:val="001B108D"/>
    <w:rsid w:val="001B48F6"/>
    <w:rsid w:val="001B6C72"/>
    <w:rsid w:val="001B70AF"/>
    <w:rsid w:val="001C661D"/>
    <w:rsid w:val="001D0BB2"/>
    <w:rsid w:val="001D213D"/>
    <w:rsid w:val="001D399F"/>
    <w:rsid w:val="001D3EFA"/>
    <w:rsid w:val="001D4BF7"/>
    <w:rsid w:val="001D5676"/>
    <w:rsid w:val="001D6950"/>
    <w:rsid w:val="001E03C4"/>
    <w:rsid w:val="001E083C"/>
    <w:rsid w:val="001E0D18"/>
    <w:rsid w:val="001F2DC2"/>
    <w:rsid w:val="001F713A"/>
    <w:rsid w:val="00201422"/>
    <w:rsid w:val="00201F2E"/>
    <w:rsid w:val="00201F8B"/>
    <w:rsid w:val="00213F31"/>
    <w:rsid w:val="00216421"/>
    <w:rsid w:val="0022361B"/>
    <w:rsid w:val="00223867"/>
    <w:rsid w:val="00224ADB"/>
    <w:rsid w:val="002318B7"/>
    <w:rsid w:val="002351B5"/>
    <w:rsid w:val="0024274C"/>
    <w:rsid w:val="0024624F"/>
    <w:rsid w:val="00247394"/>
    <w:rsid w:val="00251FF1"/>
    <w:rsid w:val="002545D9"/>
    <w:rsid w:val="002620F8"/>
    <w:rsid w:val="0026228D"/>
    <w:rsid w:val="00263089"/>
    <w:rsid w:val="00265BF1"/>
    <w:rsid w:val="00270098"/>
    <w:rsid w:val="00270A6F"/>
    <w:rsid w:val="0027112C"/>
    <w:rsid w:val="00273506"/>
    <w:rsid w:val="002824A5"/>
    <w:rsid w:val="002834E0"/>
    <w:rsid w:val="00283E29"/>
    <w:rsid w:val="002905DB"/>
    <w:rsid w:val="00290E76"/>
    <w:rsid w:val="002934B7"/>
    <w:rsid w:val="002944F9"/>
    <w:rsid w:val="002A1874"/>
    <w:rsid w:val="002A216F"/>
    <w:rsid w:val="002A3E56"/>
    <w:rsid w:val="002B1DB0"/>
    <w:rsid w:val="002B4283"/>
    <w:rsid w:val="002B43E3"/>
    <w:rsid w:val="002B731B"/>
    <w:rsid w:val="002B798E"/>
    <w:rsid w:val="002C0FE8"/>
    <w:rsid w:val="002C482D"/>
    <w:rsid w:val="002C4F99"/>
    <w:rsid w:val="002E12D5"/>
    <w:rsid w:val="002E3A56"/>
    <w:rsid w:val="002E3E6E"/>
    <w:rsid w:val="002E5C20"/>
    <w:rsid w:val="002F0182"/>
    <w:rsid w:val="002F4499"/>
    <w:rsid w:val="002F5A98"/>
    <w:rsid w:val="002F62FF"/>
    <w:rsid w:val="002F7C95"/>
    <w:rsid w:val="00301131"/>
    <w:rsid w:val="00303282"/>
    <w:rsid w:val="00304F36"/>
    <w:rsid w:val="003054EC"/>
    <w:rsid w:val="0030570C"/>
    <w:rsid w:val="0030626B"/>
    <w:rsid w:val="00311E25"/>
    <w:rsid w:val="00312A68"/>
    <w:rsid w:val="00313D5F"/>
    <w:rsid w:val="00313DD7"/>
    <w:rsid w:val="00317130"/>
    <w:rsid w:val="003248F1"/>
    <w:rsid w:val="003432A0"/>
    <w:rsid w:val="003451CA"/>
    <w:rsid w:val="003458AD"/>
    <w:rsid w:val="0034741D"/>
    <w:rsid w:val="00354B13"/>
    <w:rsid w:val="00354E24"/>
    <w:rsid w:val="0035677F"/>
    <w:rsid w:val="00357BD5"/>
    <w:rsid w:val="003603BD"/>
    <w:rsid w:val="00362474"/>
    <w:rsid w:val="00366982"/>
    <w:rsid w:val="00390B47"/>
    <w:rsid w:val="0039143F"/>
    <w:rsid w:val="00391D39"/>
    <w:rsid w:val="00395DC1"/>
    <w:rsid w:val="003A4437"/>
    <w:rsid w:val="003A50F2"/>
    <w:rsid w:val="003B319B"/>
    <w:rsid w:val="003B3301"/>
    <w:rsid w:val="003B38F3"/>
    <w:rsid w:val="003B3E6F"/>
    <w:rsid w:val="003B4770"/>
    <w:rsid w:val="003C2813"/>
    <w:rsid w:val="003C4398"/>
    <w:rsid w:val="003C54AD"/>
    <w:rsid w:val="003D1B1D"/>
    <w:rsid w:val="003D328B"/>
    <w:rsid w:val="003D49A4"/>
    <w:rsid w:val="003D713C"/>
    <w:rsid w:val="003E0FD8"/>
    <w:rsid w:val="003E17F3"/>
    <w:rsid w:val="003E1ECE"/>
    <w:rsid w:val="003E294E"/>
    <w:rsid w:val="003E2BF3"/>
    <w:rsid w:val="003E5AD3"/>
    <w:rsid w:val="003E7A7D"/>
    <w:rsid w:val="003E7CAF"/>
    <w:rsid w:val="003F3E3A"/>
    <w:rsid w:val="003F4CD8"/>
    <w:rsid w:val="003F69C7"/>
    <w:rsid w:val="003F7DA7"/>
    <w:rsid w:val="00401DAC"/>
    <w:rsid w:val="0040419A"/>
    <w:rsid w:val="00412D42"/>
    <w:rsid w:val="004136C3"/>
    <w:rsid w:val="00413E58"/>
    <w:rsid w:val="0041477D"/>
    <w:rsid w:val="00421384"/>
    <w:rsid w:val="00426E9B"/>
    <w:rsid w:val="00432AA0"/>
    <w:rsid w:val="0043723A"/>
    <w:rsid w:val="00442988"/>
    <w:rsid w:val="00443426"/>
    <w:rsid w:val="00447C3F"/>
    <w:rsid w:val="00447EE3"/>
    <w:rsid w:val="0045004B"/>
    <w:rsid w:val="004507B8"/>
    <w:rsid w:val="00451692"/>
    <w:rsid w:val="0045220A"/>
    <w:rsid w:val="00467F23"/>
    <w:rsid w:val="00473B0A"/>
    <w:rsid w:val="00474F7C"/>
    <w:rsid w:val="0048097D"/>
    <w:rsid w:val="00482918"/>
    <w:rsid w:val="00483E9A"/>
    <w:rsid w:val="00485C20"/>
    <w:rsid w:val="00486A22"/>
    <w:rsid w:val="0048733D"/>
    <w:rsid w:val="00490BFA"/>
    <w:rsid w:val="004914BE"/>
    <w:rsid w:val="004A27B2"/>
    <w:rsid w:val="004A33C6"/>
    <w:rsid w:val="004B0C4D"/>
    <w:rsid w:val="004B4813"/>
    <w:rsid w:val="004B4D89"/>
    <w:rsid w:val="004B4FA0"/>
    <w:rsid w:val="004B72A6"/>
    <w:rsid w:val="004C1AD2"/>
    <w:rsid w:val="004C2001"/>
    <w:rsid w:val="004C3742"/>
    <w:rsid w:val="004D1707"/>
    <w:rsid w:val="004D220C"/>
    <w:rsid w:val="004D2460"/>
    <w:rsid w:val="004D2885"/>
    <w:rsid w:val="004D288E"/>
    <w:rsid w:val="004D4581"/>
    <w:rsid w:val="004D558D"/>
    <w:rsid w:val="004E1152"/>
    <w:rsid w:val="004E179D"/>
    <w:rsid w:val="004F0027"/>
    <w:rsid w:val="004F267C"/>
    <w:rsid w:val="004F3A48"/>
    <w:rsid w:val="004F6CB3"/>
    <w:rsid w:val="005002D8"/>
    <w:rsid w:val="00502A9E"/>
    <w:rsid w:val="00510131"/>
    <w:rsid w:val="00512E65"/>
    <w:rsid w:val="00516BAF"/>
    <w:rsid w:val="00522EE4"/>
    <w:rsid w:val="00522FD2"/>
    <w:rsid w:val="00522FE8"/>
    <w:rsid w:val="005309F2"/>
    <w:rsid w:val="00534482"/>
    <w:rsid w:val="00534DD4"/>
    <w:rsid w:val="00537FBD"/>
    <w:rsid w:val="00546F44"/>
    <w:rsid w:val="00547EF2"/>
    <w:rsid w:val="00555C4C"/>
    <w:rsid w:val="005600D6"/>
    <w:rsid w:val="00561B13"/>
    <w:rsid w:val="00581D83"/>
    <w:rsid w:val="005840F3"/>
    <w:rsid w:val="00584D8D"/>
    <w:rsid w:val="00584E51"/>
    <w:rsid w:val="00585B11"/>
    <w:rsid w:val="0059051E"/>
    <w:rsid w:val="005A01C8"/>
    <w:rsid w:val="005A2C2D"/>
    <w:rsid w:val="005A31A8"/>
    <w:rsid w:val="005A6564"/>
    <w:rsid w:val="005B3B38"/>
    <w:rsid w:val="005B6954"/>
    <w:rsid w:val="005C043B"/>
    <w:rsid w:val="005C5CFE"/>
    <w:rsid w:val="005E3E7F"/>
    <w:rsid w:val="005F05B8"/>
    <w:rsid w:val="005F183E"/>
    <w:rsid w:val="005F365D"/>
    <w:rsid w:val="005F6BA2"/>
    <w:rsid w:val="00600127"/>
    <w:rsid w:val="0060669B"/>
    <w:rsid w:val="0060743B"/>
    <w:rsid w:val="00613922"/>
    <w:rsid w:val="00615E23"/>
    <w:rsid w:val="00616C8E"/>
    <w:rsid w:val="0062507F"/>
    <w:rsid w:val="00626440"/>
    <w:rsid w:val="00633588"/>
    <w:rsid w:val="006339B5"/>
    <w:rsid w:val="006348D7"/>
    <w:rsid w:val="006354E4"/>
    <w:rsid w:val="00640187"/>
    <w:rsid w:val="006403F3"/>
    <w:rsid w:val="00640C37"/>
    <w:rsid w:val="00641C07"/>
    <w:rsid w:val="00643FAF"/>
    <w:rsid w:val="00645317"/>
    <w:rsid w:val="00645FAA"/>
    <w:rsid w:val="00647799"/>
    <w:rsid w:val="00651E10"/>
    <w:rsid w:val="006525C0"/>
    <w:rsid w:val="0065347A"/>
    <w:rsid w:val="006553BB"/>
    <w:rsid w:val="00655AEC"/>
    <w:rsid w:val="006602B9"/>
    <w:rsid w:val="00664FDB"/>
    <w:rsid w:val="0066533C"/>
    <w:rsid w:val="00667119"/>
    <w:rsid w:val="00671320"/>
    <w:rsid w:val="0067457F"/>
    <w:rsid w:val="0067473E"/>
    <w:rsid w:val="00674A54"/>
    <w:rsid w:val="00674E09"/>
    <w:rsid w:val="0067655F"/>
    <w:rsid w:val="0068013D"/>
    <w:rsid w:val="00681066"/>
    <w:rsid w:val="00681384"/>
    <w:rsid w:val="00686861"/>
    <w:rsid w:val="00694B9D"/>
    <w:rsid w:val="00696A36"/>
    <w:rsid w:val="006A142F"/>
    <w:rsid w:val="006A1671"/>
    <w:rsid w:val="006A1C8C"/>
    <w:rsid w:val="006A1FC3"/>
    <w:rsid w:val="006A2FF2"/>
    <w:rsid w:val="006A3CFD"/>
    <w:rsid w:val="006A4C97"/>
    <w:rsid w:val="006B0246"/>
    <w:rsid w:val="006B7912"/>
    <w:rsid w:val="006C26FA"/>
    <w:rsid w:val="006C6D9A"/>
    <w:rsid w:val="006C6E72"/>
    <w:rsid w:val="006D0685"/>
    <w:rsid w:val="006D27AF"/>
    <w:rsid w:val="006E431C"/>
    <w:rsid w:val="006E4CCC"/>
    <w:rsid w:val="006E6659"/>
    <w:rsid w:val="006F2462"/>
    <w:rsid w:val="006F4C23"/>
    <w:rsid w:val="006F55DD"/>
    <w:rsid w:val="00711852"/>
    <w:rsid w:val="00712697"/>
    <w:rsid w:val="00714D5B"/>
    <w:rsid w:val="007154B2"/>
    <w:rsid w:val="00716927"/>
    <w:rsid w:val="00716998"/>
    <w:rsid w:val="00720EAD"/>
    <w:rsid w:val="00724EB8"/>
    <w:rsid w:val="00726B8F"/>
    <w:rsid w:val="007318FA"/>
    <w:rsid w:val="00732309"/>
    <w:rsid w:val="007347CB"/>
    <w:rsid w:val="00737AD9"/>
    <w:rsid w:val="00737EA7"/>
    <w:rsid w:val="007440A5"/>
    <w:rsid w:val="00744666"/>
    <w:rsid w:val="00752E4F"/>
    <w:rsid w:val="00756266"/>
    <w:rsid w:val="0075785F"/>
    <w:rsid w:val="00757F62"/>
    <w:rsid w:val="00761EA6"/>
    <w:rsid w:val="00774977"/>
    <w:rsid w:val="00777D0F"/>
    <w:rsid w:val="007838F1"/>
    <w:rsid w:val="0078470F"/>
    <w:rsid w:val="007875DD"/>
    <w:rsid w:val="007876D2"/>
    <w:rsid w:val="007877D0"/>
    <w:rsid w:val="00795F23"/>
    <w:rsid w:val="007962E5"/>
    <w:rsid w:val="007A2687"/>
    <w:rsid w:val="007A2C88"/>
    <w:rsid w:val="007A7FC1"/>
    <w:rsid w:val="007B2651"/>
    <w:rsid w:val="007B29BC"/>
    <w:rsid w:val="007B6D31"/>
    <w:rsid w:val="007C07EF"/>
    <w:rsid w:val="007C133A"/>
    <w:rsid w:val="007C39A5"/>
    <w:rsid w:val="007D084A"/>
    <w:rsid w:val="007D0A1E"/>
    <w:rsid w:val="007D179B"/>
    <w:rsid w:val="007D17F4"/>
    <w:rsid w:val="007D2AED"/>
    <w:rsid w:val="007D516D"/>
    <w:rsid w:val="007E0D6E"/>
    <w:rsid w:val="007E28A4"/>
    <w:rsid w:val="007E3AE7"/>
    <w:rsid w:val="007E4B4E"/>
    <w:rsid w:val="007E4ED3"/>
    <w:rsid w:val="007F36D4"/>
    <w:rsid w:val="007F457C"/>
    <w:rsid w:val="007F52D6"/>
    <w:rsid w:val="007F7E56"/>
    <w:rsid w:val="00800917"/>
    <w:rsid w:val="0080198F"/>
    <w:rsid w:val="008027BE"/>
    <w:rsid w:val="00811900"/>
    <w:rsid w:val="00811E59"/>
    <w:rsid w:val="00812318"/>
    <w:rsid w:val="00813E92"/>
    <w:rsid w:val="0081596B"/>
    <w:rsid w:val="008169E9"/>
    <w:rsid w:val="00817F88"/>
    <w:rsid w:val="0082099E"/>
    <w:rsid w:val="008242E1"/>
    <w:rsid w:val="00825A06"/>
    <w:rsid w:val="00831453"/>
    <w:rsid w:val="00833B24"/>
    <w:rsid w:val="00833F90"/>
    <w:rsid w:val="008357ED"/>
    <w:rsid w:val="00840B23"/>
    <w:rsid w:val="00841822"/>
    <w:rsid w:val="00841D14"/>
    <w:rsid w:val="008436C0"/>
    <w:rsid w:val="008446C2"/>
    <w:rsid w:val="008449E4"/>
    <w:rsid w:val="00847451"/>
    <w:rsid w:val="00850386"/>
    <w:rsid w:val="008521D1"/>
    <w:rsid w:val="00855BA7"/>
    <w:rsid w:val="00855BBD"/>
    <w:rsid w:val="00855CF6"/>
    <w:rsid w:val="008561DF"/>
    <w:rsid w:val="00860E0B"/>
    <w:rsid w:val="00871B7A"/>
    <w:rsid w:val="00881C63"/>
    <w:rsid w:val="008839A4"/>
    <w:rsid w:val="00891641"/>
    <w:rsid w:val="00892132"/>
    <w:rsid w:val="008940D6"/>
    <w:rsid w:val="00895FD7"/>
    <w:rsid w:val="008964FD"/>
    <w:rsid w:val="008A49FF"/>
    <w:rsid w:val="008A6FE1"/>
    <w:rsid w:val="008A73FB"/>
    <w:rsid w:val="008B2738"/>
    <w:rsid w:val="008B6CE3"/>
    <w:rsid w:val="008C25A0"/>
    <w:rsid w:val="008C2DBF"/>
    <w:rsid w:val="008C56FE"/>
    <w:rsid w:val="008D1665"/>
    <w:rsid w:val="008D441A"/>
    <w:rsid w:val="008D46B9"/>
    <w:rsid w:val="008E03A6"/>
    <w:rsid w:val="008E0B7D"/>
    <w:rsid w:val="008E4F8F"/>
    <w:rsid w:val="008F1E52"/>
    <w:rsid w:val="008F5165"/>
    <w:rsid w:val="009022CB"/>
    <w:rsid w:val="00903374"/>
    <w:rsid w:val="00904BBF"/>
    <w:rsid w:val="00904F94"/>
    <w:rsid w:val="00906380"/>
    <w:rsid w:val="009064AF"/>
    <w:rsid w:val="0091007B"/>
    <w:rsid w:val="009103C8"/>
    <w:rsid w:val="00915047"/>
    <w:rsid w:val="0091530D"/>
    <w:rsid w:val="009261F1"/>
    <w:rsid w:val="00927626"/>
    <w:rsid w:val="00934598"/>
    <w:rsid w:val="00940622"/>
    <w:rsid w:val="009411A8"/>
    <w:rsid w:val="00941996"/>
    <w:rsid w:val="009449E1"/>
    <w:rsid w:val="00950604"/>
    <w:rsid w:val="0095130D"/>
    <w:rsid w:val="00952FE7"/>
    <w:rsid w:val="0095355F"/>
    <w:rsid w:val="0095700F"/>
    <w:rsid w:val="00961B4E"/>
    <w:rsid w:val="00961C95"/>
    <w:rsid w:val="00962619"/>
    <w:rsid w:val="0096578A"/>
    <w:rsid w:val="00970C70"/>
    <w:rsid w:val="0097211A"/>
    <w:rsid w:val="0097219D"/>
    <w:rsid w:val="00976CB1"/>
    <w:rsid w:val="00977126"/>
    <w:rsid w:val="0097721F"/>
    <w:rsid w:val="00977B3B"/>
    <w:rsid w:val="00980030"/>
    <w:rsid w:val="00984FAD"/>
    <w:rsid w:val="0098724D"/>
    <w:rsid w:val="00987AB7"/>
    <w:rsid w:val="009905E2"/>
    <w:rsid w:val="009908C3"/>
    <w:rsid w:val="00991F21"/>
    <w:rsid w:val="00996311"/>
    <w:rsid w:val="009A06D2"/>
    <w:rsid w:val="009A1A07"/>
    <w:rsid w:val="009A28FD"/>
    <w:rsid w:val="009B02C6"/>
    <w:rsid w:val="009B2F81"/>
    <w:rsid w:val="009B4C64"/>
    <w:rsid w:val="009C1DCA"/>
    <w:rsid w:val="009C2124"/>
    <w:rsid w:val="009C2935"/>
    <w:rsid w:val="009C6B3B"/>
    <w:rsid w:val="009D6516"/>
    <w:rsid w:val="009E40E7"/>
    <w:rsid w:val="009E49FB"/>
    <w:rsid w:val="009E6AE2"/>
    <w:rsid w:val="009E7435"/>
    <w:rsid w:val="009F48CC"/>
    <w:rsid w:val="009F668E"/>
    <w:rsid w:val="009F6AF3"/>
    <w:rsid w:val="009F71BB"/>
    <w:rsid w:val="00A00420"/>
    <w:rsid w:val="00A115D6"/>
    <w:rsid w:val="00A16EFA"/>
    <w:rsid w:val="00A22365"/>
    <w:rsid w:val="00A22B37"/>
    <w:rsid w:val="00A23D8D"/>
    <w:rsid w:val="00A24236"/>
    <w:rsid w:val="00A257EE"/>
    <w:rsid w:val="00A2702A"/>
    <w:rsid w:val="00A27954"/>
    <w:rsid w:val="00A27A87"/>
    <w:rsid w:val="00A31F4D"/>
    <w:rsid w:val="00A408AC"/>
    <w:rsid w:val="00A511A2"/>
    <w:rsid w:val="00A518A9"/>
    <w:rsid w:val="00A51D04"/>
    <w:rsid w:val="00A558E3"/>
    <w:rsid w:val="00A567DB"/>
    <w:rsid w:val="00A56D47"/>
    <w:rsid w:val="00A57242"/>
    <w:rsid w:val="00A60944"/>
    <w:rsid w:val="00A625B3"/>
    <w:rsid w:val="00A63AC7"/>
    <w:rsid w:val="00A7795A"/>
    <w:rsid w:val="00A84035"/>
    <w:rsid w:val="00A8750F"/>
    <w:rsid w:val="00A91205"/>
    <w:rsid w:val="00A917D0"/>
    <w:rsid w:val="00A93193"/>
    <w:rsid w:val="00A93441"/>
    <w:rsid w:val="00A95B63"/>
    <w:rsid w:val="00A95FE8"/>
    <w:rsid w:val="00A973D6"/>
    <w:rsid w:val="00AA00A9"/>
    <w:rsid w:val="00AA30A1"/>
    <w:rsid w:val="00AA6203"/>
    <w:rsid w:val="00AB03EE"/>
    <w:rsid w:val="00AB3234"/>
    <w:rsid w:val="00AC3F86"/>
    <w:rsid w:val="00AC4E38"/>
    <w:rsid w:val="00AC7CF6"/>
    <w:rsid w:val="00AD0AFB"/>
    <w:rsid w:val="00AD3D64"/>
    <w:rsid w:val="00AD44A5"/>
    <w:rsid w:val="00AD69CC"/>
    <w:rsid w:val="00AE33D4"/>
    <w:rsid w:val="00AE3839"/>
    <w:rsid w:val="00AE4531"/>
    <w:rsid w:val="00AE6521"/>
    <w:rsid w:val="00AF36F1"/>
    <w:rsid w:val="00AF45DA"/>
    <w:rsid w:val="00AF6991"/>
    <w:rsid w:val="00AF7554"/>
    <w:rsid w:val="00B01D88"/>
    <w:rsid w:val="00B0607E"/>
    <w:rsid w:val="00B15989"/>
    <w:rsid w:val="00B30F36"/>
    <w:rsid w:val="00B35F7D"/>
    <w:rsid w:val="00B37649"/>
    <w:rsid w:val="00B4050E"/>
    <w:rsid w:val="00B45FA0"/>
    <w:rsid w:val="00B46F2C"/>
    <w:rsid w:val="00B47DBB"/>
    <w:rsid w:val="00B5025D"/>
    <w:rsid w:val="00B511A1"/>
    <w:rsid w:val="00B5139C"/>
    <w:rsid w:val="00B5228B"/>
    <w:rsid w:val="00B52D88"/>
    <w:rsid w:val="00B53DD7"/>
    <w:rsid w:val="00B64023"/>
    <w:rsid w:val="00B64F8F"/>
    <w:rsid w:val="00B65308"/>
    <w:rsid w:val="00B679CE"/>
    <w:rsid w:val="00B70C42"/>
    <w:rsid w:val="00B77E81"/>
    <w:rsid w:val="00B84875"/>
    <w:rsid w:val="00B84FE3"/>
    <w:rsid w:val="00B856B9"/>
    <w:rsid w:val="00B971EA"/>
    <w:rsid w:val="00B97FD2"/>
    <w:rsid w:val="00BA2910"/>
    <w:rsid w:val="00BA2BAB"/>
    <w:rsid w:val="00BA50EF"/>
    <w:rsid w:val="00BA757A"/>
    <w:rsid w:val="00BB0B9A"/>
    <w:rsid w:val="00BB2D3A"/>
    <w:rsid w:val="00BB38AC"/>
    <w:rsid w:val="00BB49A8"/>
    <w:rsid w:val="00BB4E0B"/>
    <w:rsid w:val="00BB6844"/>
    <w:rsid w:val="00BC030B"/>
    <w:rsid w:val="00BC0453"/>
    <w:rsid w:val="00BC0BB5"/>
    <w:rsid w:val="00BC2CB0"/>
    <w:rsid w:val="00BC527C"/>
    <w:rsid w:val="00BC6AD1"/>
    <w:rsid w:val="00BD1206"/>
    <w:rsid w:val="00BD3D77"/>
    <w:rsid w:val="00BD598A"/>
    <w:rsid w:val="00BD720E"/>
    <w:rsid w:val="00BE425D"/>
    <w:rsid w:val="00BE489A"/>
    <w:rsid w:val="00BE564D"/>
    <w:rsid w:val="00BE5B3D"/>
    <w:rsid w:val="00BE7A25"/>
    <w:rsid w:val="00BF1F64"/>
    <w:rsid w:val="00BF7506"/>
    <w:rsid w:val="00BF7D44"/>
    <w:rsid w:val="00C0362F"/>
    <w:rsid w:val="00C03C7E"/>
    <w:rsid w:val="00C0458F"/>
    <w:rsid w:val="00C060EE"/>
    <w:rsid w:val="00C074B2"/>
    <w:rsid w:val="00C07902"/>
    <w:rsid w:val="00C07C31"/>
    <w:rsid w:val="00C11376"/>
    <w:rsid w:val="00C14BB8"/>
    <w:rsid w:val="00C17B72"/>
    <w:rsid w:val="00C20265"/>
    <w:rsid w:val="00C2793C"/>
    <w:rsid w:val="00C27FE3"/>
    <w:rsid w:val="00C32EA6"/>
    <w:rsid w:val="00C35678"/>
    <w:rsid w:val="00C36D53"/>
    <w:rsid w:val="00C36FB1"/>
    <w:rsid w:val="00C41073"/>
    <w:rsid w:val="00C43FE9"/>
    <w:rsid w:val="00C532F1"/>
    <w:rsid w:val="00C618CA"/>
    <w:rsid w:val="00C63DF3"/>
    <w:rsid w:val="00C63F52"/>
    <w:rsid w:val="00C64979"/>
    <w:rsid w:val="00C65BE8"/>
    <w:rsid w:val="00C71621"/>
    <w:rsid w:val="00C74835"/>
    <w:rsid w:val="00C75745"/>
    <w:rsid w:val="00C758A7"/>
    <w:rsid w:val="00C77725"/>
    <w:rsid w:val="00C92D45"/>
    <w:rsid w:val="00C976CB"/>
    <w:rsid w:val="00CA1EFC"/>
    <w:rsid w:val="00CA3871"/>
    <w:rsid w:val="00CA6F3D"/>
    <w:rsid w:val="00CA7AFB"/>
    <w:rsid w:val="00CB0F1F"/>
    <w:rsid w:val="00CB1F0A"/>
    <w:rsid w:val="00CB34D9"/>
    <w:rsid w:val="00CC1D81"/>
    <w:rsid w:val="00CC3E86"/>
    <w:rsid w:val="00CC4E7D"/>
    <w:rsid w:val="00CF1FAC"/>
    <w:rsid w:val="00D021EA"/>
    <w:rsid w:val="00D04236"/>
    <w:rsid w:val="00D04A8F"/>
    <w:rsid w:val="00D04AF8"/>
    <w:rsid w:val="00D05F29"/>
    <w:rsid w:val="00D0605D"/>
    <w:rsid w:val="00D1097A"/>
    <w:rsid w:val="00D13564"/>
    <w:rsid w:val="00D13FB3"/>
    <w:rsid w:val="00D15BD9"/>
    <w:rsid w:val="00D15F88"/>
    <w:rsid w:val="00D2526D"/>
    <w:rsid w:val="00D30EE7"/>
    <w:rsid w:val="00D31A3C"/>
    <w:rsid w:val="00D34602"/>
    <w:rsid w:val="00D402AE"/>
    <w:rsid w:val="00D4115D"/>
    <w:rsid w:val="00D42DAC"/>
    <w:rsid w:val="00D4371A"/>
    <w:rsid w:val="00D46D09"/>
    <w:rsid w:val="00D4798E"/>
    <w:rsid w:val="00D47C19"/>
    <w:rsid w:val="00D50E15"/>
    <w:rsid w:val="00D5275E"/>
    <w:rsid w:val="00D55090"/>
    <w:rsid w:val="00D63A6B"/>
    <w:rsid w:val="00D708C2"/>
    <w:rsid w:val="00D70A00"/>
    <w:rsid w:val="00D74907"/>
    <w:rsid w:val="00D82C00"/>
    <w:rsid w:val="00D85CD1"/>
    <w:rsid w:val="00D978CB"/>
    <w:rsid w:val="00D97B01"/>
    <w:rsid w:val="00DA127B"/>
    <w:rsid w:val="00DA3247"/>
    <w:rsid w:val="00DA3299"/>
    <w:rsid w:val="00DA415D"/>
    <w:rsid w:val="00DA6DDD"/>
    <w:rsid w:val="00DB12A7"/>
    <w:rsid w:val="00DB3853"/>
    <w:rsid w:val="00DB53B2"/>
    <w:rsid w:val="00DC594E"/>
    <w:rsid w:val="00DC6CB7"/>
    <w:rsid w:val="00DD0270"/>
    <w:rsid w:val="00DD0673"/>
    <w:rsid w:val="00DD2CBC"/>
    <w:rsid w:val="00DD367B"/>
    <w:rsid w:val="00DD38ED"/>
    <w:rsid w:val="00DD4F3E"/>
    <w:rsid w:val="00DE09F6"/>
    <w:rsid w:val="00DE2024"/>
    <w:rsid w:val="00DE2252"/>
    <w:rsid w:val="00DE6FBA"/>
    <w:rsid w:val="00DE76AC"/>
    <w:rsid w:val="00DF728A"/>
    <w:rsid w:val="00DF7AA6"/>
    <w:rsid w:val="00E00BCF"/>
    <w:rsid w:val="00E01D64"/>
    <w:rsid w:val="00E01D8A"/>
    <w:rsid w:val="00E05B20"/>
    <w:rsid w:val="00E06964"/>
    <w:rsid w:val="00E14931"/>
    <w:rsid w:val="00E213BA"/>
    <w:rsid w:val="00E315C3"/>
    <w:rsid w:val="00E31932"/>
    <w:rsid w:val="00E33DC4"/>
    <w:rsid w:val="00E35933"/>
    <w:rsid w:val="00E36071"/>
    <w:rsid w:val="00E36077"/>
    <w:rsid w:val="00E37220"/>
    <w:rsid w:val="00E372AC"/>
    <w:rsid w:val="00E432F1"/>
    <w:rsid w:val="00E43937"/>
    <w:rsid w:val="00E46CAB"/>
    <w:rsid w:val="00E47A43"/>
    <w:rsid w:val="00E50143"/>
    <w:rsid w:val="00E50205"/>
    <w:rsid w:val="00E539D2"/>
    <w:rsid w:val="00E54701"/>
    <w:rsid w:val="00E702CC"/>
    <w:rsid w:val="00E74FE0"/>
    <w:rsid w:val="00E77748"/>
    <w:rsid w:val="00E81F1D"/>
    <w:rsid w:val="00E90E4D"/>
    <w:rsid w:val="00E92BE8"/>
    <w:rsid w:val="00E934D4"/>
    <w:rsid w:val="00E95741"/>
    <w:rsid w:val="00E96EF5"/>
    <w:rsid w:val="00EA0A51"/>
    <w:rsid w:val="00EA4978"/>
    <w:rsid w:val="00EA4B65"/>
    <w:rsid w:val="00EA4FDD"/>
    <w:rsid w:val="00EB5788"/>
    <w:rsid w:val="00EB7AAC"/>
    <w:rsid w:val="00EC3C44"/>
    <w:rsid w:val="00EC43D0"/>
    <w:rsid w:val="00ED055D"/>
    <w:rsid w:val="00ED1C8C"/>
    <w:rsid w:val="00EE0A02"/>
    <w:rsid w:val="00EE0D85"/>
    <w:rsid w:val="00EE3726"/>
    <w:rsid w:val="00EF19BA"/>
    <w:rsid w:val="00EF56D9"/>
    <w:rsid w:val="00EF7DD1"/>
    <w:rsid w:val="00F006A0"/>
    <w:rsid w:val="00F06233"/>
    <w:rsid w:val="00F06A04"/>
    <w:rsid w:val="00F12826"/>
    <w:rsid w:val="00F1738C"/>
    <w:rsid w:val="00F24E51"/>
    <w:rsid w:val="00F26956"/>
    <w:rsid w:val="00F31D89"/>
    <w:rsid w:val="00F35A0D"/>
    <w:rsid w:val="00F40C04"/>
    <w:rsid w:val="00F568C8"/>
    <w:rsid w:val="00F6363E"/>
    <w:rsid w:val="00F70284"/>
    <w:rsid w:val="00F77310"/>
    <w:rsid w:val="00F7735B"/>
    <w:rsid w:val="00F776FE"/>
    <w:rsid w:val="00F80E25"/>
    <w:rsid w:val="00F8569D"/>
    <w:rsid w:val="00F919CB"/>
    <w:rsid w:val="00F91D53"/>
    <w:rsid w:val="00F942F6"/>
    <w:rsid w:val="00F95AED"/>
    <w:rsid w:val="00F96654"/>
    <w:rsid w:val="00F96D7E"/>
    <w:rsid w:val="00FA128C"/>
    <w:rsid w:val="00FA39B3"/>
    <w:rsid w:val="00FB4718"/>
    <w:rsid w:val="00FC55A7"/>
    <w:rsid w:val="00FC69E5"/>
    <w:rsid w:val="00FD1218"/>
    <w:rsid w:val="00FD6422"/>
    <w:rsid w:val="00FE081B"/>
    <w:rsid w:val="00FE349C"/>
    <w:rsid w:val="00FE3952"/>
    <w:rsid w:val="00FE7CEA"/>
    <w:rsid w:val="00FF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4E1B3B-533E-44DE-B9FA-64D08980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9E"/>
    <w:pPr>
      <w:ind w:left="720"/>
      <w:contextualSpacing/>
    </w:pPr>
  </w:style>
  <w:style w:type="paragraph" w:styleId="Header">
    <w:name w:val="header"/>
    <w:basedOn w:val="Normal"/>
    <w:link w:val="HeaderChar"/>
    <w:uiPriority w:val="99"/>
    <w:unhideWhenUsed/>
    <w:rsid w:val="00F7735B"/>
    <w:pPr>
      <w:tabs>
        <w:tab w:val="center" w:pos="4680"/>
        <w:tab w:val="right" w:pos="9360"/>
      </w:tabs>
    </w:pPr>
  </w:style>
  <w:style w:type="character" w:customStyle="1" w:styleId="HeaderChar">
    <w:name w:val="Header Char"/>
    <w:basedOn w:val="DefaultParagraphFont"/>
    <w:link w:val="Header"/>
    <w:uiPriority w:val="99"/>
    <w:rsid w:val="00F7735B"/>
  </w:style>
  <w:style w:type="paragraph" w:styleId="Footer">
    <w:name w:val="footer"/>
    <w:basedOn w:val="Normal"/>
    <w:link w:val="FooterChar"/>
    <w:uiPriority w:val="99"/>
    <w:unhideWhenUsed/>
    <w:rsid w:val="00F7735B"/>
    <w:pPr>
      <w:tabs>
        <w:tab w:val="center" w:pos="4680"/>
        <w:tab w:val="right" w:pos="9360"/>
      </w:tabs>
    </w:pPr>
  </w:style>
  <w:style w:type="character" w:customStyle="1" w:styleId="FooterChar">
    <w:name w:val="Footer Char"/>
    <w:basedOn w:val="DefaultParagraphFont"/>
    <w:link w:val="Footer"/>
    <w:uiPriority w:val="99"/>
    <w:rsid w:val="00F7735B"/>
  </w:style>
  <w:style w:type="character" w:styleId="PlaceholderText">
    <w:name w:val="Placeholder Text"/>
    <w:basedOn w:val="DefaultParagraphFont"/>
    <w:uiPriority w:val="99"/>
    <w:semiHidden/>
    <w:rsid w:val="00BF1F64"/>
    <w:rPr>
      <w:color w:val="808080"/>
    </w:rPr>
  </w:style>
  <w:style w:type="paragraph" w:styleId="FootnoteText">
    <w:name w:val="footnote text"/>
    <w:basedOn w:val="Normal"/>
    <w:link w:val="FootnoteTextChar"/>
    <w:uiPriority w:val="99"/>
    <w:semiHidden/>
    <w:unhideWhenUsed/>
    <w:rsid w:val="00366982"/>
    <w:rPr>
      <w:sz w:val="20"/>
    </w:rPr>
  </w:style>
  <w:style w:type="character" w:customStyle="1" w:styleId="FootnoteTextChar">
    <w:name w:val="Footnote Text Char"/>
    <w:basedOn w:val="DefaultParagraphFont"/>
    <w:link w:val="FootnoteText"/>
    <w:uiPriority w:val="99"/>
    <w:semiHidden/>
    <w:rsid w:val="00366982"/>
    <w:rPr>
      <w:sz w:val="20"/>
    </w:rPr>
  </w:style>
  <w:style w:type="character" w:styleId="FootnoteReference">
    <w:name w:val="footnote reference"/>
    <w:basedOn w:val="DefaultParagraphFont"/>
    <w:uiPriority w:val="99"/>
    <w:semiHidden/>
    <w:unhideWhenUsed/>
    <w:rsid w:val="00366982"/>
    <w:rPr>
      <w:vertAlign w:val="superscript"/>
    </w:rPr>
  </w:style>
  <w:style w:type="paragraph" w:styleId="BalloonText">
    <w:name w:val="Balloon Text"/>
    <w:basedOn w:val="Normal"/>
    <w:link w:val="BalloonTextChar"/>
    <w:uiPriority w:val="99"/>
    <w:semiHidden/>
    <w:unhideWhenUsed/>
    <w:rsid w:val="000F6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CCEF-7B98-40CC-80F6-EB8C5814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dc:description/>
  <cp:lastModifiedBy>Clarke</cp:lastModifiedBy>
  <cp:revision>4</cp:revision>
  <cp:lastPrinted>2014-05-19T13:28:00Z</cp:lastPrinted>
  <dcterms:created xsi:type="dcterms:W3CDTF">2014-05-19T13:54:00Z</dcterms:created>
  <dcterms:modified xsi:type="dcterms:W3CDTF">2014-05-19T14:01:00Z</dcterms:modified>
</cp:coreProperties>
</file>