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8F1F" w14:textId="1CDA00D8" w:rsidR="00650EEE" w:rsidRDefault="00650EEE" w:rsidP="00650EEE">
      <w:pPr>
        <w:spacing w:after="280" w:line="240" w:lineRule="auto"/>
        <w:jc w:val="center"/>
        <w:rPr>
          <w:rFonts w:eastAsia="Times New Roman"/>
          <w:color w:val="FF0000"/>
        </w:rPr>
      </w:pPr>
      <w:bookmarkStart w:id="0" w:name="_Hlk106377438"/>
      <w:bookmarkStart w:id="1" w:name="_Toc66190357"/>
      <w:bookmarkStart w:id="2" w:name="_Toc66191045"/>
      <w:bookmarkStart w:id="3" w:name="_Toc66191154"/>
      <w:bookmarkStart w:id="4" w:name="_Toc100180100"/>
    </w:p>
    <w:p w14:paraId="6AFAFA12" w14:textId="77777777" w:rsidR="00650EEE" w:rsidRPr="00A821E7" w:rsidRDefault="00650EEE" w:rsidP="00650EEE">
      <w:pPr>
        <w:spacing w:after="280" w:line="240" w:lineRule="auto"/>
        <w:jc w:val="center"/>
        <w:rPr>
          <w:rFonts w:eastAsia="Times New Roman"/>
        </w:rPr>
      </w:pPr>
    </w:p>
    <w:p w14:paraId="2232FCA1" w14:textId="77777777" w:rsidR="00650EEE" w:rsidRPr="00173899" w:rsidRDefault="00650EEE" w:rsidP="00650EEE">
      <w:pPr>
        <w:spacing w:after="280" w:line="240" w:lineRule="auto"/>
        <w:jc w:val="center"/>
        <w:rPr>
          <w:rFonts w:eastAsia="Times New Roman"/>
          <w:b/>
        </w:rPr>
      </w:pPr>
      <w:r w:rsidRPr="00173899">
        <w:rPr>
          <w:rFonts w:eastAsia="Times New Roman"/>
          <w:b/>
        </w:rPr>
        <w:t>Orangutans are persons with rights:</w:t>
      </w:r>
    </w:p>
    <w:p w14:paraId="19127A57" w14:textId="77777777" w:rsidR="00650EEE" w:rsidRPr="00173899" w:rsidRDefault="00650EEE" w:rsidP="00650EEE">
      <w:pPr>
        <w:spacing w:after="280" w:line="240" w:lineRule="auto"/>
        <w:jc w:val="center"/>
        <w:rPr>
          <w:rFonts w:eastAsia="Times New Roman"/>
          <w:b/>
        </w:rPr>
      </w:pPr>
    </w:p>
    <w:p w14:paraId="74EC2AE0" w14:textId="0D4DB304" w:rsidR="00650EEE" w:rsidRPr="00173899" w:rsidRDefault="00650EEE" w:rsidP="00650EEE">
      <w:pPr>
        <w:spacing w:after="280" w:line="240" w:lineRule="auto"/>
        <w:jc w:val="center"/>
        <w:rPr>
          <w:rFonts w:eastAsia="Times New Roman"/>
          <w:b/>
        </w:rPr>
      </w:pPr>
      <w:r w:rsidRPr="00173899">
        <w:rPr>
          <w:rFonts w:eastAsia="Times New Roman"/>
          <w:b/>
        </w:rPr>
        <w:t xml:space="preserve">Amicus Curiae brief in the </w:t>
      </w:r>
      <w:proofErr w:type="spellStart"/>
      <w:r w:rsidRPr="00173899">
        <w:rPr>
          <w:rFonts w:eastAsia="Times New Roman"/>
          <w:b/>
        </w:rPr>
        <w:t>Sandai</w:t>
      </w:r>
      <w:proofErr w:type="spellEnd"/>
      <w:r w:rsidRPr="00173899">
        <w:rPr>
          <w:rFonts w:eastAsia="Times New Roman"/>
          <w:b/>
        </w:rPr>
        <w:t xml:space="preserve"> case, requested by the Interspecies Justice Foundation</w:t>
      </w:r>
    </w:p>
    <w:p w14:paraId="3C7C0A1C" w14:textId="77777777" w:rsidR="00650EEE" w:rsidRPr="00A821E7" w:rsidRDefault="00650EEE" w:rsidP="00650EEE">
      <w:pPr>
        <w:spacing w:after="280" w:line="240" w:lineRule="auto"/>
        <w:jc w:val="center"/>
        <w:rPr>
          <w:rFonts w:eastAsia="Times New Roman"/>
        </w:rPr>
      </w:pPr>
    </w:p>
    <w:p w14:paraId="7D9C99A1" w14:textId="6B0920DF" w:rsidR="00650EEE" w:rsidRPr="00173899" w:rsidRDefault="00DA6885" w:rsidP="00650EEE">
      <w:pPr>
        <w:spacing w:after="280" w:line="240" w:lineRule="auto"/>
        <w:jc w:val="center"/>
        <w:rPr>
          <w:rFonts w:eastAsia="Times New Roman"/>
          <w:b/>
        </w:rPr>
      </w:pPr>
      <w:r>
        <w:rPr>
          <w:rFonts w:eastAsia="Times New Roman"/>
          <w:noProof/>
          <w:color w:val="FF0000"/>
        </w:rPr>
        <w:drawing>
          <wp:anchor distT="0" distB="0" distL="114300" distR="114300" simplePos="0" relativeHeight="251658240" behindDoc="0" locked="0" layoutInCell="1" allowOverlap="1" wp14:anchorId="1283F1C2" wp14:editId="541BC182">
            <wp:simplePos x="0" y="0"/>
            <wp:positionH relativeFrom="column">
              <wp:posOffset>180236</wp:posOffset>
            </wp:positionH>
            <wp:positionV relativeFrom="paragraph">
              <wp:posOffset>273080</wp:posOffset>
            </wp:positionV>
            <wp:extent cx="1522095" cy="513715"/>
            <wp:effectExtent l="0" t="0" r="1905" b="635"/>
            <wp:wrapSquare wrapText="bothSides"/>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rot="10800000">
                      <a:off x="0" y="0"/>
                      <a:ext cx="1522095" cy="513715"/>
                    </a:xfrm>
                    <a:prstGeom prst="rect">
                      <a:avLst/>
                    </a:prstGeom>
                  </pic:spPr>
                </pic:pic>
              </a:graphicData>
            </a:graphic>
          </wp:anchor>
        </w:drawing>
      </w:r>
      <w:r w:rsidR="00650EEE" w:rsidRPr="00173899">
        <w:rPr>
          <w:rFonts w:eastAsia="Times New Roman"/>
          <w:b/>
        </w:rPr>
        <w:t>Gary Comstock</w:t>
      </w:r>
      <w:r w:rsidR="003C475C" w:rsidRPr="00173899">
        <w:rPr>
          <w:rFonts w:eastAsia="Times New Roman"/>
          <w:b/>
        </w:rPr>
        <w:t>, Adam Lerner, Macarena Montes Franceschini</w:t>
      </w:r>
      <w:r w:rsidR="009B61F6" w:rsidRPr="00173899">
        <w:rPr>
          <w:rFonts w:eastAsia="Times New Roman"/>
          <w:b/>
        </w:rPr>
        <w:t>,</w:t>
      </w:r>
      <w:r w:rsidR="003C475C" w:rsidRPr="00173899">
        <w:rPr>
          <w:rFonts w:eastAsia="Times New Roman"/>
          <w:b/>
        </w:rPr>
        <w:t xml:space="preserve"> Peter Singer, </w:t>
      </w:r>
      <w:r w:rsidR="00650EEE" w:rsidRPr="00173899">
        <w:rPr>
          <w:rFonts w:eastAsia="Times New Roman"/>
          <w:b/>
          <w:vertAlign w:val="superscript"/>
        </w:rPr>
        <w:footnoteReference w:id="1"/>
      </w:r>
    </w:p>
    <w:p w14:paraId="7BBE9DEF" w14:textId="56007804" w:rsidR="00650EEE" w:rsidRPr="00A821E7" w:rsidRDefault="001470D0" w:rsidP="001470D0">
      <w:pPr>
        <w:spacing w:after="280" w:line="240" w:lineRule="auto"/>
        <w:ind w:left="6480" w:firstLine="720"/>
        <w:jc w:val="center"/>
        <w:rPr>
          <w:rFonts w:eastAsia="Times New Roman"/>
        </w:rPr>
      </w:pPr>
      <w:r>
        <w:rPr>
          <w:rFonts w:eastAsia="Times New Roman"/>
          <w:noProof/>
          <w:color w:val="FF0000"/>
        </w:rPr>
        <w:drawing>
          <wp:inline distT="0" distB="0" distL="0" distR="0" wp14:anchorId="4CEA3A54" wp14:editId="46B0DFAA">
            <wp:extent cx="1063782" cy="563320"/>
            <wp:effectExtent l="0" t="0" r="317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inger digital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3995" cy="584615"/>
                    </a:xfrm>
                    <a:prstGeom prst="rect">
                      <a:avLst/>
                    </a:prstGeom>
                  </pic:spPr>
                </pic:pic>
              </a:graphicData>
            </a:graphic>
          </wp:inline>
        </w:drawing>
      </w:r>
    </w:p>
    <w:p w14:paraId="5ABDE21E" w14:textId="77777777" w:rsidR="00650EEE" w:rsidRPr="00A821E7" w:rsidRDefault="00650EEE" w:rsidP="00650EEE">
      <w:pPr>
        <w:spacing w:after="280" w:line="240" w:lineRule="auto"/>
        <w:jc w:val="center"/>
        <w:rPr>
          <w:rFonts w:eastAsia="Times New Roman"/>
        </w:rPr>
      </w:pPr>
    </w:p>
    <w:p w14:paraId="56FBF27B" w14:textId="77777777" w:rsidR="001470D0" w:rsidRDefault="001470D0" w:rsidP="00650EEE">
      <w:pPr>
        <w:spacing w:after="280" w:line="240" w:lineRule="auto"/>
        <w:jc w:val="center"/>
        <w:rPr>
          <w:rFonts w:eastAsia="Times New Roman"/>
          <w:b/>
        </w:rPr>
      </w:pPr>
    </w:p>
    <w:p w14:paraId="78F0311D" w14:textId="77777777" w:rsidR="001470D0" w:rsidRDefault="001470D0" w:rsidP="00650EEE">
      <w:pPr>
        <w:spacing w:after="280" w:line="240" w:lineRule="auto"/>
        <w:jc w:val="center"/>
        <w:rPr>
          <w:rFonts w:eastAsia="Times New Roman"/>
          <w:b/>
        </w:rPr>
      </w:pPr>
    </w:p>
    <w:p w14:paraId="5D07216F" w14:textId="77777777" w:rsidR="001470D0" w:rsidRDefault="001470D0" w:rsidP="00650EEE">
      <w:pPr>
        <w:spacing w:after="280" w:line="240" w:lineRule="auto"/>
        <w:jc w:val="center"/>
        <w:rPr>
          <w:rFonts w:eastAsia="Times New Roman"/>
          <w:b/>
        </w:rPr>
      </w:pPr>
    </w:p>
    <w:p w14:paraId="41988253" w14:textId="3199315A" w:rsidR="00650EEE" w:rsidRPr="00173899" w:rsidRDefault="003C475C" w:rsidP="00650EEE">
      <w:pPr>
        <w:spacing w:after="280" w:line="240" w:lineRule="auto"/>
        <w:jc w:val="center"/>
        <w:rPr>
          <w:rFonts w:eastAsia="Times New Roman"/>
          <w:b/>
        </w:rPr>
      </w:pPr>
      <w:r w:rsidRPr="00173899">
        <w:rPr>
          <w:rFonts w:eastAsia="Times New Roman"/>
          <w:b/>
        </w:rPr>
        <w:t>July 17</w:t>
      </w:r>
      <w:r w:rsidR="00650EEE" w:rsidRPr="00173899">
        <w:rPr>
          <w:rFonts w:eastAsia="Times New Roman"/>
          <w:b/>
        </w:rPr>
        <w:t>, 2022</w:t>
      </w:r>
    </w:p>
    <w:bookmarkEnd w:id="0"/>
    <w:p w14:paraId="019F0A82" w14:textId="77777777" w:rsidR="00650EEE" w:rsidRPr="00A821E7" w:rsidRDefault="00650EEE" w:rsidP="00650EEE">
      <w:pPr>
        <w:rPr>
          <w:rFonts w:eastAsia="Times New Roman"/>
        </w:rPr>
      </w:pPr>
      <w:r w:rsidRPr="00A821E7">
        <w:rPr>
          <w:rFonts w:eastAsia="Times New Roman"/>
        </w:rPr>
        <w:br w:type="page"/>
      </w:r>
    </w:p>
    <w:p w14:paraId="30AE27D1" w14:textId="77777777" w:rsidR="00650EEE" w:rsidRPr="00A821E7" w:rsidRDefault="00650EEE" w:rsidP="00650EEE">
      <w:pPr>
        <w:spacing w:before="280" w:after="280" w:line="240" w:lineRule="auto"/>
        <w:jc w:val="center"/>
        <w:rPr>
          <w:rFonts w:eastAsia="Times New Roman"/>
        </w:rPr>
      </w:pPr>
      <w:r w:rsidRPr="00A821E7">
        <w:rPr>
          <w:rFonts w:eastAsia="Times New Roman"/>
        </w:rPr>
        <w:lastRenderedPageBreak/>
        <w:t>Attorney Affirmation</w:t>
      </w:r>
    </w:p>
    <w:p w14:paraId="243A4F33" w14:textId="77777777" w:rsidR="00650EEE" w:rsidRPr="00A821E7" w:rsidRDefault="00650EEE" w:rsidP="00650EEE">
      <w:pPr>
        <w:spacing w:before="280" w:after="280" w:line="240" w:lineRule="auto"/>
        <w:jc w:val="center"/>
        <w:rPr>
          <w:rFonts w:eastAsia="Times New Roman"/>
        </w:rPr>
      </w:pPr>
      <w:r w:rsidRPr="00A821E7">
        <w:rPr>
          <w:rFonts w:eastAsia="Times New Roman"/>
          <w:i/>
        </w:rPr>
        <w:t>Amici</w:t>
      </w:r>
      <w:r w:rsidRPr="00A821E7">
        <w:rPr>
          <w:rFonts w:eastAsia="Times New Roman"/>
        </w:rPr>
        <w:t xml:space="preserve"> biographies</w:t>
      </w:r>
    </w:p>
    <w:p w14:paraId="1327F7F8" w14:textId="4E92D2EB" w:rsidR="003C475C" w:rsidRPr="00650EEE" w:rsidRDefault="00650EEE" w:rsidP="003C475C">
      <w:pPr>
        <w:spacing w:before="280" w:after="280" w:line="240" w:lineRule="auto"/>
        <w:rPr>
          <w:rFonts w:eastAsia="Times New Roman"/>
        </w:rPr>
      </w:pPr>
      <w:r w:rsidRPr="00A821E7">
        <w:rPr>
          <w:rFonts w:eastAsia="Times New Roman"/>
        </w:rPr>
        <w:t xml:space="preserve">1. </w:t>
      </w:r>
      <w:r w:rsidR="003C475C" w:rsidRPr="00650EEE">
        <w:rPr>
          <w:rFonts w:eastAsia="Times New Roman"/>
          <w:b/>
        </w:rPr>
        <w:t>Gary Comstock</w:t>
      </w:r>
      <w:r w:rsidR="003C475C" w:rsidRPr="00650EEE">
        <w:rPr>
          <w:rFonts w:eastAsia="Times New Roman"/>
        </w:rPr>
        <w:t xml:space="preserve"> is Alumni Distinguished Undergraduate Professor of Philosophy at North Carolina State University. He conducts research on ethical questions in the biological sciences. He is especially interested in animal minds and the moral relevance of what's known and not known about the brains and behaviors of nonhuman mammals. In his book,</w:t>
      </w:r>
      <w:r w:rsidR="003C475C" w:rsidRPr="00650EEE">
        <w:rPr>
          <w:rFonts w:eastAsia="Times New Roman"/>
          <w:i/>
        </w:rPr>
        <w:t xml:space="preserve"> Research Ethics: A Philosophical Guide to the Responsible Conduct of Research</w:t>
      </w:r>
      <w:r w:rsidR="003C475C" w:rsidRPr="00650EEE">
        <w:rPr>
          <w:rFonts w:eastAsia="Times New Roman"/>
        </w:rPr>
        <w:t xml:space="preserve"> (Cambridge, 2013), Comstock shows how Peter Singer’s expanding circle metaphor lends coherence to an otherwise disparate set of issues in research ethics.</w:t>
      </w:r>
    </w:p>
    <w:p w14:paraId="7F609CD7" w14:textId="71B269E5" w:rsidR="003C475C" w:rsidRPr="00650EEE" w:rsidRDefault="003C475C" w:rsidP="003C475C">
      <w:pPr>
        <w:spacing w:before="280" w:after="280" w:line="240" w:lineRule="auto"/>
        <w:rPr>
          <w:rFonts w:eastAsia="Times New Roman"/>
        </w:rPr>
      </w:pPr>
      <w:r>
        <w:rPr>
          <w:rFonts w:eastAsia="Times New Roman"/>
        </w:rPr>
        <w:t>2.</w:t>
      </w:r>
      <w:r w:rsidRPr="00650EEE">
        <w:rPr>
          <w:rFonts w:eastAsia="Times New Roman"/>
        </w:rPr>
        <w:t xml:space="preserve"> An award-winning researcher and teacher, Comstock's </w:t>
      </w:r>
      <w:r w:rsidRPr="00650EEE">
        <w:rPr>
          <w:rFonts w:eastAsia="Times New Roman"/>
          <w:i/>
        </w:rPr>
        <w:t>New York Times</w:t>
      </w:r>
      <w:r w:rsidRPr="00650EEE">
        <w:rPr>
          <w:rFonts w:eastAsia="Times New Roman"/>
        </w:rPr>
        <w:t xml:space="preserve"> essay, "You Should Not Have Let Your Baby Die," received Honorable Mention in the PEA Soup 2017 Ethics Prize competition.  Two years earlier, he was named an NC State Alumni Association Outstanding Teacher of the Year. A coauthor of </w:t>
      </w:r>
      <w:r w:rsidRPr="00650EEE">
        <w:rPr>
          <w:rFonts w:eastAsia="Times New Roman"/>
          <w:i/>
        </w:rPr>
        <w:t>Chimpanzee Rights: The Philosophers'</w:t>
      </w:r>
      <w:r w:rsidRPr="00650EEE">
        <w:rPr>
          <w:rFonts w:eastAsia="Times New Roman"/>
        </w:rPr>
        <w:t xml:space="preserve"> </w:t>
      </w:r>
      <w:r w:rsidRPr="00650EEE">
        <w:rPr>
          <w:rFonts w:eastAsia="Times New Roman"/>
          <w:i/>
        </w:rPr>
        <w:t>Brief,</w:t>
      </w:r>
      <w:r w:rsidRPr="00650EEE">
        <w:rPr>
          <w:rFonts w:eastAsia="Times New Roman"/>
        </w:rPr>
        <w:t xml:space="preserve"> and co-editor of </w:t>
      </w:r>
      <w:r w:rsidRPr="00650EEE">
        <w:rPr>
          <w:rFonts w:eastAsia="Times New Roman"/>
          <w:i/>
        </w:rPr>
        <w:t>The Moral Rights of Animals</w:t>
      </w:r>
      <w:r w:rsidRPr="00650EEE">
        <w:rPr>
          <w:rFonts w:eastAsia="Times New Roman"/>
        </w:rPr>
        <w:t xml:space="preserve">, Comstock wrote </w:t>
      </w:r>
      <w:r w:rsidRPr="00650EEE">
        <w:rPr>
          <w:rFonts w:eastAsia="Times New Roman"/>
          <w:i/>
        </w:rPr>
        <w:t>Vexing Nature? On the Ethical Case Against Agricultural Biotechnology</w:t>
      </w:r>
      <w:r w:rsidRPr="00650EEE">
        <w:rPr>
          <w:rFonts w:eastAsia="Times New Roman"/>
        </w:rPr>
        <w:t xml:space="preserve">.  </w:t>
      </w:r>
    </w:p>
    <w:p w14:paraId="386DDA58" w14:textId="360033E5" w:rsidR="003C475C" w:rsidRDefault="003C475C" w:rsidP="003C475C">
      <w:pPr>
        <w:spacing w:before="280" w:after="280" w:line="240" w:lineRule="auto"/>
        <w:rPr>
          <w:rFonts w:eastAsia="Times New Roman"/>
        </w:rPr>
      </w:pPr>
      <w:r>
        <w:rPr>
          <w:rFonts w:eastAsia="Times New Roman"/>
        </w:rPr>
        <w:t>3</w:t>
      </w:r>
      <w:r w:rsidRPr="00650EEE">
        <w:rPr>
          <w:rFonts w:eastAsia="Times New Roman"/>
        </w:rPr>
        <w:t xml:space="preserve">. For two years, Comstock was ASC Fellow of the National Humanities Center. He continued there as Editor-in-Chief of </w:t>
      </w:r>
      <w:r w:rsidRPr="00650EEE">
        <w:rPr>
          <w:rFonts w:eastAsia="Times New Roman"/>
          <w:i/>
        </w:rPr>
        <w:t>On the Human</w:t>
      </w:r>
      <w:r w:rsidRPr="00650EEE">
        <w:rPr>
          <w:rFonts w:eastAsia="Times New Roman"/>
        </w:rPr>
        <w:t xml:space="preserve">, one of the Center's online projects. Comstock directed the </w:t>
      </w:r>
      <w:proofErr w:type="spellStart"/>
      <w:r w:rsidRPr="00650EEE">
        <w:rPr>
          <w:rFonts w:eastAsia="Times New Roman"/>
        </w:rPr>
        <w:t>OpenSeminar</w:t>
      </w:r>
      <w:proofErr w:type="spellEnd"/>
      <w:r w:rsidRPr="00650EEE">
        <w:rPr>
          <w:rFonts w:eastAsia="Times New Roman"/>
        </w:rPr>
        <w:t xml:space="preserve"> in Research Ethics, and is editor of two more books, </w:t>
      </w:r>
      <w:r w:rsidRPr="00650EEE">
        <w:rPr>
          <w:rFonts w:eastAsia="Times New Roman"/>
          <w:i/>
        </w:rPr>
        <w:t>Life Science Ethics</w:t>
      </w:r>
      <w:r w:rsidRPr="00650EEE">
        <w:rPr>
          <w:rFonts w:eastAsia="Times New Roman"/>
        </w:rPr>
        <w:t xml:space="preserve">, and </w:t>
      </w:r>
      <w:r w:rsidRPr="00650EEE">
        <w:rPr>
          <w:rFonts w:eastAsia="Times New Roman"/>
          <w:i/>
        </w:rPr>
        <w:t>Is There a Moral Obligation to Save the Family Farm?</w:t>
      </w:r>
      <w:r w:rsidRPr="00650EEE">
        <w:rPr>
          <w:rFonts w:eastAsia="Times New Roman"/>
        </w:rPr>
        <w:t xml:space="preserve"> He served on the committee that co-authored the third edition of </w:t>
      </w:r>
      <w:r w:rsidRPr="00650EEE">
        <w:rPr>
          <w:rFonts w:eastAsia="Times New Roman"/>
          <w:i/>
        </w:rPr>
        <w:t>On Being a Scientist</w:t>
      </w:r>
      <w:r w:rsidRPr="00650EEE">
        <w:rPr>
          <w:rFonts w:eastAsia="Times New Roman"/>
        </w:rPr>
        <w:t>.</w:t>
      </w:r>
    </w:p>
    <w:p w14:paraId="6BFD1BEF" w14:textId="65752D31" w:rsidR="00650EEE" w:rsidRPr="00A821E7" w:rsidRDefault="003C475C" w:rsidP="00650EEE">
      <w:pPr>
        <w:spacing w:before="280" w:after="280" w:line="240" w:lineRule="auto"/>
        <w:rPr>
          <w:rFonts w:eastAsia="Times New Roman"/>
        </w:rPr>
      </w:pPr>
      <w:r>
        <w:rPr>
          <w:rFonts w:eastAsia="Times New Roman"/>
          <w:b/>
        </w:rPr>
        <w:t xml:space="preserve">4. </w:t>
      </w:r>
      <w:r w:rsidR="00650EEE" w:rsidRPr="00A821E7">
        <w:rPr>
          <w:rFonts w:eastAsia="Times New Roman"/>
          <w:b/>
        </w:rPr>
        <w:t>Adam Lerner</w:t>
      </w:r>
      <w:r w:rsidR="00650EEE" w:rsidRPr="00A821E7">
        <w:rPr>
          <w:rFonts w:eastAsia="Times New Roman"/>
        </w:rPr>
        <w:t> is</w:t>
      </w:r>
      <w:r w:rsidR="007A4EF7">
        <w:rPr>
          <w:rFonts w:eastAsia="Times New Roman"/>
        </w:rPr>
        <w:t xml:space="preserve"> incoming Post-Doctoral Associate in the Center for Population-Lev</w:t>
      </w:r>
      <w:r w:rsidR="009B61F6">
        <w:rPr>
          <w:rFonts w:eastAsia="Times New Roman"/>
        </w:rPr>
        <w:t>e</w:t>
      </w:r>
      <w:r w:rsidR="007A4EF7">
        <w:rPr>
          <w:rFonts w:eastAsia="Times New Roman"/>
        </w:rPr>
        <w:t>l Bioethics at Rutgers University.</w:t>
      </w:r>
      <w:r w:rsidR="00650EEE" w:rsidRPr="00A821E7">
        <w:rPr>
          <w:rFonts w:eastAsia="Times New Roman"/>
        </w:rPr>
        <w:t> </w:t>
      </w:r>
      <w:r w:rsidR="007A4EF7">
        <w:rPr>
          <w:rFonts w:eastAsia="Times New Roman"/>
        </w:rPr>
        <w:t xml:space="preserve">Previously, he was </w:t>
      </w:r>
      <w:r w:rsidR="00650EEE" w:rsidRPr="00A821E7">
        <w:rPr>
          <w:rFonts w:eastAsia="Times New Roman"/>
        </w:rPr>
        <w:t xml:space="preserve">Lecturer </w:t>
      </w:r>
      <w:r w:rsidR="007A4EF7">
        <w:rPr>
          <w:rFonts w:eastAsia="Times New Roman"/>
        </w:rPr>
        <w:t xml:space="preserve">in the Department of Philosophy </w:t>
      </w:r>
      <w:r w:rsidR="00650EEE" w:rsidRPr="00A821E7">
        <w:rPr>
          <w:rFonts w:eastAsia="Times New Roman"/>
        </w:rPr>
        <w:t>at Princeton University</w:t>
      </w:r>
      <w:r w:rsidR="007A4EF7">
        <w:rPr>
          <w:rFonts w:eastAsia="Times New Roman"/>
        </w:rPr>
        <w:t xml:space="preserve"> and</w:t>
      </w:r>
      <w:r w:rsidR="00650EEE" w:rsidRPr="00A821E7">
        <w:rPr>
          <w:rFonts w:eastAsia="Times New Roman"/>
        </w:rPr>
        <w:t> Assistant Professor/Faculty Fellow in the Center for Bioethics at New York University. He earned his PhD in philosophy from Princeton University, where he earned the Porter Ogden Jacobus Fellowship, Princeton's top honor for graduate students.</w:t>
      </w:r>
    </w:p>
    <w:p w14:paraId="682599CE" w14:textId="5B53AC22" w:rsidR="00650EEE" w:rsidRPr="00A821E7" w:rsidRDefault="003C475C" w:rsidP="00650EEE">
      <w:pPr>
        <w:spacing w:before="280" w:after="280" w:line="240" w:lineRule="auto"/>
        <w:rPr>
          <w:rFonts w:eastAsia="Times New Roman"/>
        </w:rPr>
      </w:pPr>
      <w:r>
        <w:rPr>
          <w:rFonts w:eastAsia="Times New Roman"/>
        </w:rPr>
        <w:t>5</w:t>
      </w:r>
      <w:r w:rsidR="00650EEE" w:rsidRPr="00A821E7">
        <w:rPr>
          <w:rFonts w:eastAsia="Times New Roman"/>
        </w:rPr>
        <w:t>. Lerner’s work lies at the intersection of ethics, metaethics, and moral psychology. In his dissertation, he argued that appreciating the role of empathy in moral inquiry can help us make progress on debates about the strength of our obligations to reduce animal suffering and extreme poverty. He also works on questions in political philosophy, population ethics, and moral epistemology. His work has appeared in venues such as </w:t>
      </w:r>
      <w:r w:rsidR="00650EEE" w:rsidRPr="00A821E7">
        <w:rPr>
          <w:rFonts w:eastAsia="Times New Roman"/>
          <w:i/>
        </w:rPr>
        <w:t>The Journal of Moral Philosophy</w:t>
      </w:r>
      <w:r w:rsidR="00650EEE" w:rsidRPr="00A821E7">
        <w:rPr>
          <w:rFonts w:eastAsia="Times New Roman"/>
        </w:rPr>
        <w:t>, </w:t>
      </w:r>
      <w:r w:rsidR="00650EEE" w:rsidRPr="00A821E7">
        <w:rPr>
          <w:rFonts w:eastAsia="Times New Roman"/>
          <w:i/>
        </w:rPr>
        <w:t>Oxford Studies in Metaethics</w:t>
      </w:r>
      <w:r w:rsidR="00650EEE" w:rsidRPr="00A821E7">
        <w:rPr>
          <w:rFonts w:eastAsia="Times New Roman"/>
        </w:rPr>
        <w:t>, </w:t>
      </w:r>
      <w:r w:rsidR="00650EEE" w:rsidRPr="00A821E7">
        <w:rPr>
          <w:rFonts w:eastAsia="Times New Roman"/>
          <w:i/>
        </w:rPr>
        <w:t>Philosophical Studies</w:t>
      </w:r>
      <w:r w:rsidR="00650EEE" w:rsidRPr="00A821E7">
        <w:rPr>
          <w:rFonts w:eastAsia="Times New Roman"/>
        </w:rPr>
        <w:t>, and </w:t>
      </w:r>
      <w:r w:rsidR="00650EEE" w:rsidRPr="00A821E7">
        <w:rPr>
          <w:rFonts w:eastAsia="Times New Roman"/>
          <w:i/>
        </w:rPr>
        <w:t>Philosophical Perspectives.</w:t>
      </w:r>
    </w:p>
    <w:p w14:paraId="21CC039C" w14:textId="1810574E" w:rsidR="003C475C" w:rsidRPr="008252E9" w:rsidRDefault="003C475C" w:rsidP="003C475C">
      <w:pPr>
        <w:spacing w:before="280" w:after="280" w:line="240" w:lineRule="auto"/>
        <w:jc w:val="both"/>
        <w:rPr>
          <w:rFonts w:eastAsia="Times New Roman"/>
        </w:rPr>
      </w:pPr>
      <w:r>
        <w:rPr>
          <w:rFonts w:eastAsia="Times New Roman"/>
          <w:color w:val="000000"/>
        </w:rPr>
        <w:t>6</w:t>
      </w:r>
      <w:r w:rsidR="00650EEE" w:rsidRPr="00650EEE">
        <w:rPr>
          <w:rFonts w:eastAsia="Times New Roman"/>
          <w:color w:val="000000"/>
        </w:rPr>
        <w:t xml:space="preserve">. </w:t>
      </w:r>
      <w:bookmarkStart w:id="5" w:name="_Hlk106377680"/>
      <w:r w:rsidRPr="00E36D99">
        <w:rPr>
          <w:rFonts w:eastAsia="Times New Roman"/>
          <w:b/>
          <w:bCs/>
        </w:rPr>
        <w:t>Macarena Montes Franceschini</w:t>
      </w:r>
      <w:r w:rsidRPr="008252E9">
        <w:rPr>
          <w:rFonts w:eastAsia="Times New Roman"/>
        </w:rPr>
        <w:t xml:space="preserve"> is an attorney and doctoral researcher at </w:t>
      </w:r>
      <w:proofErr w:type="spellStart"/>
      <w:r w:rsidRPr="008252E9">
        <w:rPr>
          <w:rFonts w:eastAsia="Times New Roman"/>
        </w:rPr>
        <w:t>Universitat</w:t>
      </w:r>
      <w:proofErr w:type="spellEnd"/>
      <w:r w:rsidRPr="008252E9">
        <w:rPr>
          <w:rFonts w:eastAsia="Times New Roman"/>
        </w:rPr>
        <w:t xml:space="preserve"> Pompeu Fabra’s Law Department. She has been a visiting researcher at Max Planck Institute for Comparative Public Law and International Law in Heidelberg and a Rights Research Fellow at the Brooks McCormick Jr. Animal Law &amp; Policy Program at Harvard Law School, where she will begin a visiting fellowship in 2023. She is also a board member of the UPF-Centre for Animal Ethics, editor of the journal </w:t>
      </w:r>
      <w:r w:rsidRPr="008252E9">
        <w:rPr>
          <w:rFonts w:eastAsia="Times New Roman"/>
          <w:i/>
          <w:iCs/>
        </w:rPr>
        <w:t>Law, Ethics and Philosophy</w:t>
      </w:r>
      <w:r w:rsidRPr="008252E9">
        <w:rPr>
          <w:rFonts w:eastAsia="Times New Roman"/>
        </w:rPr>
        <w:t xml:space="preserve"> (LEAP), a member of the Editorial Committee of the Chilean Journal of Animal Law, and the treasurer of the Great Ape Project - </w:t>
      </w:r>
      <w:r w:rsidRPr="008252E9">
        <w:rPr>
          <w:rFonts w:eastAsia="Times New Roman"/>
        </w:rPr>
        <w:lastRenderedPageBreak/>
        <w:t>Spain. She has written several articles on nonhuman animal personhood, animal rights, and animal law and a book titled </w:t>
      </w:r>
      <w:r>
        <w:rPr>
          <w:rFonts w:eastAsia="Times New Roman"/>
          <w:i/>
          <w:iCs/>
        </w:rPr>
        <w:t xml:space="preserve">Derecho Animal </w:t>
      </w:r>
      <w:proofErr w:type="spellStart"/>
      <w:r>
        <w:rPr>
          <w:rFonts w:eastAsia="Times New Roman"/>
          <w:i/>
          <w:iCs/>
        </w:rPr>
        <w:t>en</w:t>
      </w:r>
      <w:proofErr w:type="spellEnd"/>
      <w:r>
        <w:rPr>
          <w:rFonts w:eastAsia="Times New Roman"/>
          <w:i/>
          <w:iCs/>
        </w:rPr>
        <w:t xml:space="preserve"> Chile </w:t>
      </w:r>
      <w:r>
        <w:rPr>
          <w:rFonts w:eastAsia="Times New Roman"/>
        </w:rPr>
        <w:t>(</w:t>
      </w:r>
      <w:proofErr w:type="spellStart"/>
      <w:r>
        <w:rPr>
          <w:rFonts w:eastAsia="Times New Roman"/>
        </w:rPr>
        <w:t>Libromar</w:t>
      </w:r>
      <w:proofErr w:type="spellEnd"/>
      <w:r>
        <w:rPr>
          <w:rFonts w:eastAsia="Times New Roman"/>
        </w:rPr>
        <w:t>, 2018)</w:t>
      </w:r>
      <w:r w:rsidRPr="008252E9">
        <w:rPr>
          <w:rFonts w:eastAsia="Times New Roman"/>
        </w:rPr>
        <w:t>.</w:t>
      </w:r>
    </w:p>
    <w:p w14:paraId="058A68F4" w14:textId="4F71BD09" w:rsidR="00650EEE" w:rsidRPr="00650EEE" w:rsidRDefault="003C475C" w:rsidP="00650EEE">
      <w:pPr>
        <w:spacing w:before="280" w:after="280" w:line="240" w:lineRule="auto"/>
        <w:rPr>
          <w:rFonts w:eastAsia="Times New Roman"/>
          <w:color w:val="000000"/>
        </w:rPr>
      </w:pPr>
      <w:r>
        <w:rPr>
          <w:rFonts w:eastAsia="Times New Roman"/>
          <w:b/>
          <w:color w:val="000000"/>
        </w:rPr>
        <w:t xml:space="preserve">7. </w:t>
      </w:r>
      <w:r w:rsidR="00650EEE" w:rsidRPr="00650EEE">
        <w:rPr>
          <w:rFonts w:eastAsia="Times New Roman"/>
          <w:b/>
          <w:color w:val="000000"/>
        </w:rPr>
        <w:t>Peter Singer</w:t>
      </w:r>
      <w:r w:rsidR="00650EEE" w:rsidRPr="00650EEE">
        <w:rPr>
          <w:rFonts w:eastAsia="Times New Roman"/>
          <w:color w:val="000000"/>
        </w:rPr>
        <w:t xml:space="preserve"> is the Ira W. DeCamp Professor of Bioethics at Princeton University. Journalists have called him the “world’s most influential living philosopher.” </w:t>
      </w:r>
      <w:bookmarkEnd w:id="5"/>
      <w:r w:rsidR="00650EEE" w:rsidRPr="00650EEE">
        <w:rPr>
          <w:rFonts w:eastAsia="Times New Roman"/>
          <w:color w:val="000000"/>
        </w:rPr>
        <w:t xml:space="preserve">His most influential work has focused on the ethics of our treatment of animals, which is often credited with starting the modern animal rights movement, and on obligations to alleviate extreme poverty, which inspired and continues to influence the movement of effective altruism. Key figures </w:t>
      </w:r>
      <w:r w:rsidR="00650EEE" w:rsidRPr="00650EEE">
        <w:rPr>
          <w:rFonts w:eastAsia="Times New Roman"/>
        </w:rPr>
        <w:t xml:space="preserve">concerned with animal welfare, including Jane Goodall and Ingrid Newkirk </w:t>
      </w:r>
      <w:r w:rsidR="00650EEE" w:rsidRPr="00650EEE">
        <w:rPr>
          <w:rFonts w:eastAsia="Times New Roman"/>
          <w:color w:val="000000"/>
        </w:rPr>
        <w:t xml:space="preserve">have said that his book, </w:t>
      </w:r>
      <w:r w:rsidR="00650EEE" w:rsidRPr="00650EEE">
        <w:rPr>
          <w:rFonts w:eastAsia="Times New Roman"/>
          <w:i/>
          <w:color w:val="000000"/>
        </w:rPr>
        <w:t>Animal Liberation</w:t>
      </w:r>
      <w:r w:rsidR="00650EEE" w:rsidRPr="00650EEE">
        <w:rPr>
          <w:rFonts w:eastAsia="Times New Roman"/>
          <w:color w:val="000000"/>
        </w:rPr>
        <w:t xml:space="preserve"> (</w:t>
      </w:r>
      <w:r w:rsidR="00EB3C9D">
        <w:rPr>
          <w:rFonts w:eastAsia="Times New Roman"/>
          <w:color w:val="000000"/>
        </w:rPr>
        <w:t>1</w:t>
      </w:r>
      <w:r w:rsidR="00EB3C9D" w:rsidRPr="00EB3C9D">
        <w:rPr>
          <w:rFonts w:eastAsia="Times New Roman"/>
          <w:color w:val="000000"/>
          <w:vertAlign w:val="superscript"/>
        </w:rPr>
        <w:t>st</w:t>
      </w:r>
      <w:r w:rsidR="00EB3C9D">
        <w:rPr>
          <w:rFonts w:eastAsia="Times New Roman"/>
          <w:color w:val="000000"/>
        </w:rPr>
        <w:t xml:space="preserve"> ed. </w:t>
      </w:r>
      <w:r w:rsidR="00650EEE" w:rsidRPr="00650EEE">
        <w:rPr>
          <w:rFonts w:eastAsia="Times New Roman"/>
          <w:color w:val="000000"/>
        </w:rPr>
        <w:t>1975</w:t>
      </w:r>
      <w:r w:rsidR="00EB3C9D">
        <w:rPr>
          <w:rFonts w:eastAsia="Times New Roman"/>
          <w:color w:val="000000"/>
        </w:rPr>
        <w:t>, 3</w:t>
      </w:r>
      <w:r w:rsidR="00EB3C9D" w:rsidRPr="00EB3C9D">
        <w:rPr>
          <w:rFonts w:eastAsia="Times New Roman"/>
          <w:color w:val="000000"/>
          <w:vertAlign w:val="superscript"/>
        </w:rPr>
        <w:t>rd</w:t>
      </w:r>
      <w:r w:rsidR="00EB3C9D">
        <w:rPr>
          <w:rFonts w:eastAsia="Times New Roman"/>
          <w:color w:val="000000"/>
        </w:rPr>
        <w:t xml:space="preserve"> ed., HarperCollins, 2009</w:t>
      </w:r>
      <w:r w:rsidR="00650EEE" w:rsidRPr="00650EEE">
        <w:rPr>
          <w:rFonts w:eastAsia="Times New Roman"/>
          <w:color w:val="000000"/>
        </w:rPr>
        <w:t>), led them to get involved in the struggle to reduce the vast amount of suffering we inflict on animals.  To that end, he co-founded the Australian Federation of Animal Societies, now Animals Australia, the country's largest and most effective animal advo</w:t>
      </w:r>
      <w:r w:rsidR="00650EEE" w:rsidRPr="00650EEE">
        <w:rPr>
          <w:rFonts w:eastAsia="Times New Roman"/>
        </w:rPr>
        <w:t>cacy</w:t>
      </w:r>
      <w:r w:rsidR="00650EEE" w:rsidRPr="00650EEE">
        <w:rPr>
          <w:rFonts w:eastAsia="Times New Roman"/>
          <w:color w:val="000000"/>
        </w:rPr>
        <w:t xml:space="preserve"> organization. In 2021 he was awarded the Berggruen Prize for Philosophy and Culture, a $1 million award given annually to "thinkers whose ideas have profoundly shaped human self-understanding and advancement in a rapidly changing world."</w:t>
      </w:r>
    </w:p>
    <w:p w14:paraId="29E90872" w14:textId="45F2197C" w:rsidR="00650EEE" w:rsidRPr="00650EEE" w:rsidRDefault="003C475C" w:rsidP="00650EEE">
      <w:pPr>
        <w:spacing w:before="280" w:after="280" w:line="240" w:lineRule="auto"/>
        <w:rPr>
          <w:rFonts w:eastAsia="Times New Roman"/>
          <w:color w:val="000000"/>
        </w:rPr>
      </w:pPr>
      <w:r>
        <w:rPr>
          <w:rFonts w:eastAsia="Times New Roman"/>
          <w:color w:val="000000"/>
        </w:rPr>
        <w:t>8</w:t>
      </w:r>
      <w:r w:rsidR="00650EEE" w:rsidRPr="00650EEE">
        <w:rPr>
          <w:rFonts w:eastAsia="Times New Roman"/>
          <w:color w:val="000000"/>
        </w:rPr>
        <w:t xml:space="preserve">. Singer is the founder of The Life You Can Save, an organization based on his book of the same name.  It aims to spread his ideas about why </w:t>
      </w:r>
      <w:r w:rsidR="00650EEE" w:rsidRPr="00650EEE">
        <w:rPr>
          <w:rFonts w:eastAsia="Times New Roman"/>
        </w:rPr>
        <w:t>people in developed countries</w:t>
      </w:r>
      <w:r w:rsidR="00650EEE" w:rsidRPr="00650EEE">
        <w:rPr>
          <w:rFonts w:eastAsia="Times New Roman"/>
          <w:color w:val="000000"/>
        </w:rPr>
        <w:t xml:space="preserve"> should be doing much more to improve the lives of people living in extreme poverty, and how we can best do this.</w:t>
      </w:r>
    </w:p>
    <w:p w14:paraId="6BF5D2E8" w14:textId="73C89531" w:rsidR="00650EEE" w:rsidRPr="00650EEE" w:rsidRDefault="003C475C" w:rsidP="00650EEE">
      <w:pPr>
        <w:spacing w:before="280" w:after="280" w:line="240" w:lineRule="auto"/>
        <w:rPr>
          <w:rFonts w:eastAsia="Times New Roman"/>
          <w:color w:val="000000"/>
        </w:rPr>
      </w:pPr>
      <w:r>
        <w:rPr>
          <w:rFonts w:eastAsia="Times New Roman"/>
          <w:color w:val="000000"/>
        </w:rPr>
        <w:t>9</w:t>
      </w:r>
      <w:r w:rsidR="00650EEE" w:rsidRPr="00650EEE">
        <w:rPr>
          <w:rFonts w:eastAsia="Times New Roman"/>
          <w:color w:val="000000"/>
        </w:rPr>
        <w:t>. Singer’s writings on poverty include: the 1972 essay “Famine, Affluence, and Morality” in which he argues for donating to help the global poor; and two books that make the case for effective giving</w:t>
      </w:r>
      <w:r w:rsidR="00650EEE" w:rsidRPr="00650EEE">
        <w:rPr>
          <w:rFonts w:eastAsia="Times New Roman"/>
        </w:rPr>
        <w:t>:</w:t>
      </w:r>
      <w:r w:rsidR="00650EEE" w:rsidRPr="00650EEE">
        <w:rPr>
          <w:rFonts w:eastAsia="Times New Roman"/>
          <w:color w:val="000000"/>
        </w:rPr>
        <w:t xml:space="preserve"> </w:t>
      </w:r>
      <w:r w:rsidR="00650EEE" w:rsidRPr="00650EEE">
        <w:rPr>
          <w:rFonts w:eastAsia="Times New Roman"/>
          <w:i/>
          <w:color w:val="000000"/>
        </w:rPr>
        <w:t>The Life You Can Save</w:t>
      </w:r>
      <w:r w:rsidR="00650EEE" w:rsidRPr="00650EEE">
        <w:rPr>
          <w:rFonts w:eastAsia="Times New Roman"/>
          <w:color w:val="000000"/>
        </w:rPr>
        <w:t xml:space="preserve"> (Random House, 2009) and </w:t>
      </w:r>
      <w:r w:rsidR="00650EEE" w:rsidRPr="00650EEE">
        <w:rPr>
          <w:rFonts w:eastAsia="Times New Roman"/>
          <w:i/>
          <w:color w:val="000000"/>
        </w:rPr>
        <w:t>The Most Good You Can Do</w:t>
      </w:r>
      <w:r w:rsidR="00650EEE" w:rsidRPr="00650EEE">
        <w:rPr>
          <w:rFonts w:eastAsia="Times New Roman"/>
          <w:color w:val="000000"/>
        </w:rPr>
        <w:t xml:space="preserve"> (Yale, 2015).</w:t>
      </w:r>
    </w:p>
    <w:p w14:paraId="50A8F1C9" w14:textId="71106F42" w:rsidR="00650EEE" w:rsidRPr="00650EEE" w:rsidRDefault="003C475C" w:rsidP="00650EEE">
      <w:pPr>
        <w:spacing w:before="280" w:after="280" w:line="240" w:lineRule="auto"/>
        <w:rPr>
          <w:rFonts w:eastAsia="Times New Roman"/>
          <w:color w:val="000000"/>
        </w:rPr>
      </w:pPr>
      <w:r>
        <w:rPr>
          <w:rFonts w:eastAsia="Times New Roman"/>
          <w:color w:val="000000"/>
        </w:rPr>
        <w:t>10</w:t>
      </w:r>
      <w:r w:rsidR="00650EEE" w:rsidRPr="00650EEE">
        <w:rPr>
          <w:rFonts w:eastAsia="Times New Roman"/>
          <w:color w:val="000000"/>
        </w:rPr>
        <w:t xml:space="preserve">. Singer has written, co-authored, edited or co-edited more than 50 books, including </w:t>
      </w:r>
      <w:r w:rsidR="00650EEE" w:rsidRPr="00650EEE">
        <w:rPr>
          <w:rFonts w:eastAsia="Times New Roman"/>
          <w:i/>
          <w:color w:val="000000"/>
        </w:rPr>
        <w:t>Practical Ethics</w:t>
      </w:r>
      <w:r w:rsidR="00650EEE" w:rsidRPr="00650EEE">
        <w:rPr>
          <w:rFonts w:eastAsia="Times New Roman"/>
          <w:color w:val="000000"/>
        </w:rPr>
        <w:t xml:space="preserve">, </w:t>
      </w:r>
      <w:r w:rsidR="00650EEE" w:rsidRPr="00650EEE">
        <w:rPr>
          <w:rFonts w:eastAsia="Times New Roman"/>
          <w:i/>
          <w:color w:val="000000"/>
        </w:rPr>
        <w:t>The Expanding Circle</w:t>
      </w:r>
      <w:r w:rsidR="00650EEE" w:rsidRPr="00650EEE">
        <w:rPr>
          <w:rFonts w:eastAsia="Times New Roman"/>
          <w:color w:val="000000"/>
        </w:rPr>
        <w:t xml:space="preserve">, </w:t>
      </w:r>
      <w:r w:rsidR="00650EEE" w:rsidRPr="00650EEE">
        <w:rPr>
          <w:rFonts w:eastAsia="Times New Roman"/>
          <w:i/>
          <w:color w:val="000000"/>
        </w:rPr>
        <w:t>Rethinking Life and Death</w:t>
      </w:r>
      <w:r w:rsidR="00650EEE" w:rsidRPr="00650EEE">
        <w:rPr>
          <w:rFonts w:eastAsia="Times New Roman"/>
          <w:color w:val="000000"/>
        </w:rPr>
        <w:t xml:space="preserve">, </w:t>
      </w:r>
      <w:r w:rsidR="00650EEE" w:rsidRPr="00650EEE">
        <w:rPr>
          <w:rFonts w:eastAsia="Times New Roman"/>
          <w:i/>
          <w:color w:val="000000"/>
        </w:rPr>
        <w:t>One World</w:t>
      </w:r>
      <w:r w:rsidR="00650EEE" w:rsidRPr="00650EEE">
        <w:rPr>
          <w:rFonts w:eastAsia="Times New Roman"/>
          <w:color w:val="000000"/>
        </w:rPr>
        <w:t xml:space="preserve">, </w:t>
      </w:r>
      <w:r w:rsidR="00650EEE" w:rsidRPr="00650EEE">
        <w:rPr>
          <w:rFonts w:eastAsia="Times New Roman"/>
          <w:i/>
          <w:color w:val="000000"/>
        </w:rPr>
        <w:t>The Ethics of What We Eat</w:t>
      </w:r>
      <w:r w:rsidR="00650EEE" w:rsidRPr="00650EEE">
        <w:rPr>
          <w:rFonts w:eastAsia="Times New Roman"/>
          <w:color w:val="000000"/>
        </w:rPr>
        <w:t xml:space="preserve"> (with Jim Mason) and </w:t>
      </w:r>
      <w:r w:rsidR="00650EEE" w:rsidRPr="00650EEE">
        <w:rPr>
          <w:rFonts w:eastAsia="Times New Roman"/>
          <w:i/>
          <w:color w:val="000000"/>
        </w:rPr>
        <w:t>The Point of View of the Universe</w:t>
      </w:r>
      <w:r w:rsidR="00650EEE" w:rsidRPr="00650EEE">
        <w:rPr>
          <w:rFonts w:eastAsia="Times New Roman"/>
          <w:color w:val="000000"/>
        </w:rPr>
        <w:t xml:space="preserve"> (with Katarzyna de Lazari-Radek). His writings have appeared in more than 30 languages.</w:t>
      </w:r>
    </w:p>
    <w:p w14:paraId="7C508E3F" w14:textId="1E893DED" w:rsidR="00650EEE" w:rsidRPr="00650EEE" w:rsidRDefault="003C475C" w:rsidP="00650EEE">
      <w:pPr>
        <w:spacing w:before="280" w:after="280" w:line="240" w:lineRule="auto"/>
        <w:rPr>
          <w:rFonts w:eastAsia="Times New Roman"/>
          <w:color w:val="000000"/>
        </w:rPr>
      </w:pPr>
      <w:r>
        <w:rPr>
          <w:rFonts w:eastAsia="Times New Roman"/>
          <w:color w:val="000000"/>
        </w:rPr>
        <w:t>11</w:t>
      </w:r>
      <w:r w:rsidR="00650EEE" w:rsidRPr="00650EEE">
        <w:rPr>
          <w:rFonts w:eastAsia="Times New Roman"/>
          <w:color w:val="000000"/>
        </w:rPr>
        <w:t>. Singer was educated at the University of Melbourne and the University of Oxford.  After teaching in England, the United States, and Australia, in 1999 he became Ira W. DeCamp Professor of Bioethics in the University Center for Human Values at Princeton University</w:t>
      </w:r>
    </w:p>
    <w:p w14:paraId="79F124B2" w14:textId="77777777" w:rsidR="008252E9" w:rsidRPr="008252E9" w:rsidRDefault="008252E9" w:rsidP="008252E9">
      <w:pPr>
        <w:spacing w:before="280" w:after="280" w:line="240" w:lineRule="auto"/>
        <w:rPr>
          <w:rFonts w:eastAsia="Times New Roman"/>
        </w:rPr>
      </w:pPr>
      <w:bookmarkStart w:id="6" w:name="_gjdgxs" w:colFirst="0" w:colLast="0"/>
      <w:bookmarkEnd w:id="6"/>
    </w:p>
    <w:p w14:paraId="24B369D7" w14:textId="3319C25E" w:rsidR="008252E9" w:rsidRPr="00650EEE" w:rsidRDefault="008252E9" w:rsidP="00650EEE">
      <w:pPr>
        <w:spacing w:before="280" w:after="280" w:line="240" w:lineRule="auto"/>
        <w:rPr>
          <w:rFonts w:eastAsia="Times New Roman"/>
        </w:rPr>
      </w:pPr>
    </w:p>
    <w:p w14:paraId="5934B55A" w14:textId="77777777" w:rsidR="00BB711A" w:rsidRDefault="00BB711A" w:rsidP="0076269F">
      <w:pPr>
        <w:widowControl w:val="0"/>
        <w:spacing w:after="0" w:line="240" w:lineRule="auto"/>
        <w:contextualSpacing/>
        <w:jc w:val="both"/>
        <w:outlineLvl w:val="0"/>
        <w:rPr>
          <w:rFonts w:eastAsia="Times New Roman"/>
        </w:rPr>
      </w:pPr>
    </w:p>
    <w:p w14:paraId="53B68186" w14:textId="26B71887" w:rsidR="00650EEE" w:rsidRDefault="00650EEE" w:rsidP="0076269F">
      <w:pPr>
        <w:widowControl w:val="0"/>
        <w:spacing w:after="0" w:line="240" w:lineRule="auto"/>
        <w:contextualSpacing/>
        <w:jc w:val="both"/>
        <w:outlineLvl w:val="0"/>
      </w:pPr>
      <w:r w:rsidRPr="00650EEE">
        <w:rPr>
          <w:rFonts w:eastAsia="Times New Roman"/>
        </w:rPr>
        <w:br w:type="page"/>
      </w:r>
    </w:p>
    <w:p w14:paraId="4C9A446E" w14:textId="77777777" w:rsidR="00650EEE" w:rsidRDefault="00650EEE" w:rsidP="00213435">
      <w:pPr>
        <w:widowControl w:val="0"/>
        <w:spacing w:after="0" w:line="240" w:lineRule="auto"/>
        <w:ind w:left="1080" w:hanging="720"/>
        <w:contextualSpacing/>
        <w:jc w:val="both"/>
        <w:outlineLvl w:val="0"/>
      </w:pPr>
    </w:p>
    <w:p w14:paraId="3A615D16" w14:textId="0618C1C3" w:rsidR="00213435" w:rsidRPr="00213435" w:rsidRDefault="00B417B2" w:rsidP="00213435">
      <w:pPr>
        <w:widowControl w:val="0"/>
        <w:numPr>
          <w:ilvl w:val="0"/>
          <w:numId w:val="2"/>
        </w:numPr>
        <w:spacing w:after="0" w:line="240" w:lineRule="auto"/>
        <w:contextualSpacing/>
        <w:jc w:val="both"/>
        <w:outlineLvl w:val="0"/>
        <w:rPr>
          <w:rFonts w:eastAsia="Calibri"/>
          <w:b/>
          <w:caps/>
        </w:rPr>
      </w:pPr>
      <w:r w:rsidRPr="00213435">
        <w:rPr>
          <w:rFonts w:eastAsia="Calibri"/>
          <w:b/>
          <w:caps/>
        </w:rPr>
        <w:t>Statement of Interest of AmicI Curiae</w:t>
      </w:r>
      <w:bookmarkEnd w:id="1"/>
      <w:bookmarkEnd w:id="2"/>
      <w:bookmarkEnd w:id="3"/>
      <w:bookmarkEnd w:id="4"/>
    </w:p>
    <w:p w14:paraId="443CF1AE" w14:textId="132F5F30" w:rsidR="00213435" w:rsidRPr="00A821E7" w:rsidRDefault="00213435" w:rsidP="00213435">
      <w:pPr>
        <w:spacing w:before="280" w:after="280" w:line="240" w:lineRule="auto"/>
        <w:rPr>
          <w:rFonts w:eastAsia="Times New Roman"/>
        </w:rPr>
      </w:pPr>
      <w:bookmarkStart w:id="7" w:name="_Toc66190358"/>
      <w:bookmarkStart w:id="8" w:name="_Toc66191046"/>
      <w:bookmarkStart w:id="9" w:name="_Toc66191155"/>
      <w:bookmarkStart w:id="10" w:name="_Toc100180101"/>
      <w:r w:rsidRPr="00213435">
        <w:rPr>
          <w:rFonts w:eastAsia="Times New Roman"/>
          <w:i/>
          <w:color w:val="FF0000"/>
        </w:rPr>
        <w:tab/>
      </w:r>
      <w:r w:rsidR="003C475C" w:rsidRPr="00A821E7">
        <w:rPr>
          <w:rFonts w:eastAsia="Times New Roman"/>
          <w:i/>
        </w:rPr>
        <w:t xml:space="preserve">Amicus </w:t>
      </w:r>
      <w:r w:rsidR="003C475C" w:rsidRPr="00A821E7">
        <w:rPr>
          <w:rFonts w:eastAsia="Times New Roman"/>
        </w:rPr>
        <w:t>Gary Comstock, an award-winning researcher and teacher, is Alumni Distinguished Undergraduate Professor of Philosophy at North Carolina State University. His book,</w:t>
      </w:r>
      <w:r w:rsidR="003C475C" w:rsidRPr="00A821E7">
        <w:rPr>
          <w:rFonts w:eastAsia="Times New Roman"/>
          <w:i/>
        </w:rPr>
        <w:t xml:space="preserve"> Research Ethics: A Philosophical Guide to the Responsible Conduct of Research</w:t>
      </w:r>
      <w:r w:rsidR="003C475C" w:rsidRPr="00A821E7">
        <w:rPr>
          <w:rFonts w:eastAsia="Times New Roman"/>
        </w:rPr>
        <w:t xml:space="preserve">, shows how Singer’s expanding circle metaphor lends coherence to an otherwise disparate set of issues in research ethics. </w:t>
      </w:r>
      <w:r w:rsidRPr="00A821E7">
        <w:rPr>
          <w:rFonts w:eastAsia="Times New Roman"/>
          <w:i/>
        </w:rPr>
        <w:t xml:space="preserve">Amicus </w:t>
      </w:r>
      <w:r w:rsidRPr="00A821E7">
        <w:rPr>
          <w:rFonts w:eastAsia="Times New Roman"/>
          <w:iCs/>
        </w:rPr>
        <w:t xml:space="preserve">Adam Lerner is </w:t>
      </w:r>
      <w:r w:rsidR="009B61F6">
        <w:rPr>
          <w:rFonts w:eastAsia="Times New Roman"/>
          <w:iCs/>
        </w:rPr>
        <w:t>incoming Post-Doctoral Associate in the Center for Population-Level Bioethics at Rutgers University</w:t>
      </w:r>
      <w:r w:rsidRPr="00A821E7">
        <w:rPr>
          <w:rFonts w:eastAsia="Times New Roman"/>
          <w:iCs/>
        </w:rPr>
        <w:t>. His work has appeared in venues such as The Journal of Moral Philosophy, Oxford Studies in Metaethics, and Philosophical Studies.</w:t>
      </w:r>
      <w:r w:rsidRPr="00A821E7">
        <w:rPr>
          <w:rFonts w:eastAsia="Times New Roman"/>
          <w:i/>
        </w:rPr>
        <w:t xml:space="preserve"> </w:t>
      </w:r>
      <w:r w:rsidR="002D796F">
        <w:rPr>
          <w:rFonts w:eastAsia="Times New Roman"/>
          <w:i/>
        </w:rPr>
        <w:t xml:space="preserve">Amicus </w:t>
      </w:r>
      <w:r w:rsidR="002D796F" w:rsidRPr="005B6F56">
        <w:rPr>
          <w:rFonts w:eastAsia="Times New Roman"/>
          <w:bCs/>
        </w:rPr>
        <w:t>Macarena Montes Franceschini</w:t>
      </w:r>
      <w:r w:rsidR="002D796F" w:rsidRPr="00A821E7">
        <w:rPr>
          <w:rFonts w:eastAsia="Times New Roman"/>
          <w:i/>
        </w:rPr>
        <w:t xml:space="preserve"> </w:t>
      </w:r>
      <w:r w:rsidR="002D796F" w:rsidRPr="008252E9">
        <w:rPr>
          <w:rFonts w:eastAsia="Times New Roman"/>
        </w:rPr>
        <w:t xml:space="preserve">is an attorney and doctoral researcher at </w:t>
      </w:r>
      <w:proofErr w:type="spellStart"/>
      <w:r w:rsidR="002D796F" w:rsidRPr="008252E9">
        <w:rPr>
          <w:rFonts w:eastAsia="Times New Roman"/>
        </w:rPr>
        <w:t>Universitat</w:t>
      </w:r>
      <w:proofErr w:type="spellEnd"/>
      <w:r w:rsidR="002D796F" w:rsidRPr="008252E9">
        <w:rPr>
          <w:rFonts w:eastAsia="Times New Roman"/>
        </w:rPr>
        <w:t xml:space="preserve"> Pompeu Fabra’s Law Department</w:t>
      </w:r>
      <w:r w:rsidR="002D796F">
        <w:rPr>
          <w:rFonts w:eastAsia="Times New Roman"/>
        </w:rPr>
        <w:t xml:space="preserve">, and the author of </w:t>
      </w:r>
      <w:r w:rsidR="002D796F">
        <w:rPr>
          <w:rFonts w:eastAsia="Times New Roman"/>
          <w:i/>
        </w:rPr>
        <w:t xml:space="preserve">Derecho Animal </w:t>
      </w:r>
      <w:proofErr w:type="spellStart"/>
      <w:r w:rsidR="002D796F">
        <w:rPr>
          <w:rFonts w:eastAsia="Times New Roman"/>
          <w:i/>
        </w:rPr>
        <w:t>en</w:t>
      </w:r>
      <w:proofErr w:type="spellEnd"/>
      <w:r w:rsidR="002D796F">
        <w:rPr>
          <w:rFonts w:eastAsia="Times New Roman"/>
          <w:i/>
        </w:rPr>
        <w:t xml:space="preserve"> Chile. </w:t>
      </w:r>
      <w:r w:rsidRPr="00A821E7">
        <w:rPr>
          <w:rFonts w:eastAsia="Times New Roman"/>
          <w:i/>
        </w:rPr>
        <w:t xml:space="preserve">Amicus </w:t>
      </w:r>
      <w:r w:rsidRPr="00A821E7">
        <w:rPr>
          <w:rFonts w:eastAsia="Times New Roman"/>
        </w:rPr>
        <w:t>Peter Singer is the Ira W. DeCamp Professor of Bioethics at Princeton University. His publications in the 1970s are widely credited with creating the philosophical basis of the modern animal rights movement. His work in this area and in the area of our duties to those living in extreme poverty, are some of the most excerpted and reprinted essays in applied ethics anthologies.</w:t>
      </w:r>
      <w:r w:rsidR="00411D40">
        <w:rPr>
          <w:rFonts w:eastAsia="Times New Roman"/>
        </w:rPr>
        <w:t xml:space="preserve"> </w:t>
      </w:r>
      <w:r w:rsidRPr="00A821E7">
        <w:rPr>
          <w:rFonts w:eastAsia="Times New Roman"/>
          <w:i/>
        </w:rPr>
        <w:t>Amici</w:t>
      </w:r>
      <w:r w:rsidRPr="00A821E7">
        <w:rPr>
          <w:rFonts w:eastAsia="Times New Roman"/>
        </w:rPr>
        <w:t xml:space="preserve"> specialize in ethics and ha</w:t>
      </w:r>
      <w:r w:rsidR="005B6F56">
        <w:rPr>
          <w:rFonts w:eastAsia="Times New Roman"/>
        </w:rPr>
        <w:t>ve</w:t>
      </w:r>
      <w:r w:rsidRPr="00A821E7">
        <w:rPr>
          <w:rFonts w:eastAsia="Times New Roman"/>
        </w:rPr>
        <w:t xml:space="preserve"> particular expertise in the analysis of issues relating to the moral status of animals.</w:t>
      </w:r>
    </w:p>
    <w:p w14:paraId="71106E22" w14:textId="1AF5ED0C" w:rsidR="00213435" w:rsidRPr="00A821E7" w:rsidRDefault="00213435" w:rsidP="00213435">
      <w:pPr>
        <w:spacing w:before="280" w:after="280" w:line="240" w:lineRule="auto"/>
        <w:rPr>
          <w:rFonts w:eastAsia="Times New Roman"/>
        </w:rPr>
      </w:pPr>
      <w:r w:rsidRPr="00A821E7">
        <w:rPr>
          <w:rFonts w:eastAsia="Times New Roman"/>
          <w:i/>
        </w:rPr>
        <w:tab/>
      </w:r>
      <w:r w:rsidRPr="00A821E7">
        <w:rPr>
          <w:rFonts w:eastAsia="Times New Roman"/>
        </w:rPr>
        <w:t xml:space="preserve">We present ethical reasons that the court should grant the Interspecies Justice Foundation’s (IJF) request for habeas corpus relief for </w:t>
      </w:r>
      <w:proofErr w:type="spellStart"/>
      <w:r w:rsidRPr="00A821E7">
        <w:rPr>
          <w:rFonts w:eastAsia="Times New Roman"/>
        </w:rPr>
        <w:t>Sandai</w:t>
      </w:r>
      <w:proofErr w:type="spellEnd"/>
      <w:r w:rsidRPr="00A821E7">
        <w:rPr>
          <w:rFonts w:eastAsia="Times New Roman"/>
        </w:rPr>
        <w:t xml:space="preserve">, an orangutan. </w:t>
      </w:r>
      <w:proofErr w:type="spellStart"/>
      <w:r w:rsidRPr="00A821E7">
        <w:rPr>
          <w:rFonts w:eastAsia="Times New Roman"/>
        </w:rPr>
        <w:t>Sandai</w:t>
      </w:r>
      <w:proofErr w:type="spellEnd"/>
      <w:r w:rsidRPr="00A821E7">
        <w:rPr>
          <w:rFonts w:eastAsia="Times New Roman"/>
        </w:rPr>
        <w:t xml:space="preserve"> has a basic interest in not being confined, an interest that should be legally protected just as the human interest in not being confined is legally protected. </w:t>
      </w:r>
    </w:p>
    <w:p w14:paraId="1D4A6A6C" w14:textId="7ECE0BB6" w:rsidR="00B417B2" w:rsidRPr="00A821E7" w:rsidRDefault="00B417B2" w:rsidP="00213435">
      <w:pPr>
        <w:widowControl w:val="0"/>
        <w:spacing w:after="0" w:line="240" w:lineRule="auto"/>
        <w:ind w:left="1080" w:hanging="720"/>
        <w:contextualSpacing/>
        <w:jc w:val="both"/>
        <w:outlineLvl w:val="0"/>
        <w:rPr>
          <w:rFonts w:eastAsia="Calibri"/>
          <w:b/>
          <w:caps/>
        </w:rPr>
      </w:pPr>
      <w:r w:rsidRPr="00A821E7">
        <w:rPr>
          <w:rFonts w:eastAsia="Calibri"/>
          <w:b/>
          <w:caps/>
        </w:rPr>
        <w:t>Summary of the Argument</w:t>
      </w:r>
      <w:bookmarkEnd w:id="7"/>
      <w:bookmarkEnd w:id="8"/>
      <w:bookmarkEnd w:id="9"/>
      <w:bookmarkEnd w:id="10"/>
    </w:p>
    <w:p w14:paraId="41A435F6" w14:textId="77777777" w:rsidR="00213435" w:rsidRPr="00A821E7" w:rsidRDefault="00213435" w:rsidP="00213435">
      <w:pPr>
        <w:widowControl w:val="0"/>
        <w:spacing w:after="0" w:line="240" w:lineRule="auto"/>
        <w:ind w:left="1080" w:hanging="720"/>
        <w:contextualSpacing/>
        <w:jc w:val="both"/>
        <w:outlineLvl w:val="0"/>
        <w:rPr>
          <w:rFonts w:eastAsia="Calibri"/>
          <w:b/>
          <w:caps/>
        </w:rPr>
      </w:pPr>
    </w:p>
    <w:p w14:paraId="4AE1787E" w14:textId="0106559E" w:rsidR="00B417B2" w:rsidRPr="00A821E7" w:rsidRDefault="00B417B2" w:rsidP="00213435">
      <w:pPr>
        <w:widowControl w:val="0"/>
        <w:spacing w:after="0" w:line="240" w:lineRule="auto"/>
        <w:ind w:firstLine="720"/>
        <w:contextualSpacing/>
        <w:jc w:val="both"/>
        <w:rPr>
          <w:rFonts w:eastAsia="Times New Roman"/>
        </w:rPr>
      </w:pPr>
      <w:r w:rsidRPr="00A821E7">
        <w:rPr>
          <w:rFonts w:eastAsia="Times New Roman"/>
        </w:rPr>
        <w:t xml:space="preserve">This Brief argues on consequentialist grounds for the transfer of </w:t>
      </w:r>
      <w:proofErr w:type="spellStart"/>
      <w:r w:rsidR="00066EC1" w:rsidRPr="00A821E7">
        <w:rPr>
          <w:rFonts w:eastAsia="Times New Roman"/>
        </w:rPr>
        <w:t>Sandai</w:t>
      </w:r>
      <w:proofErr w:type="spellEnd"/>
      <w:r w:rsidR="00066EC1" w:rsidRPr="00A821E7" w:rsidDel="00066EC1">
        <w:rPr>
          <w:rFonts w:eastAsia="Times New Roman"/>
        </w:rPr>
        <w:t xml:space="preserve"> </w:t>
      </w:r>
      <w:r w:rsidRPr="00A821E7">
        <w:rPr>
          <w:rFonts w:eastAsia="Times New Roman"/>
        </w:rPr>
        <w:t xml:space="preserve">to an </w:t>
      </w:r>
      <w:r w:rsidR="00213435" w:rsidRPr="00A821E7">
        <w:rPr>
          <w:rFonts w:eastAsia="Times New Roman"/>
        </w:rPr>
        <w:t xml:space="preserve">orangutan </w:t>
      </w:r>
      <w:r w:rsidRPr="00A821E7">
        <w:rPr>
          <w:rFonts w:eastAsia="Times New Roman"/>
        </w:rPr>
        <w:t xml:space="preserve">sanctuary. First, we show that satisfying </w:t>
      </w:r>
      <w:r w:rsidR="00080F11">
        <w:rPr>
          <w:rFonts w:eastAsia="Times New Roman"/>
        </w:rPr>
        <w:t>his</w:t>
      </w:r>
      <w:r w:rsidR="00080F11" w:rsidRPr="00A821E7">
        <w:rPr>
          <w:rFonts w:eastAsia="Times New Roman"/>
        </w:rPr>
        <w:t xml:space="preserve"> </w:t>
      </w:r>
      <w:r w:rsidRPr="00A821E7">
        <w:rPr>
          <w:rFonts w:eastAsia="Times New Roman"/>
        </w:rPr>
        <w:t xml:space="preserve">interest in being transferred brings far greater value than the value achieved by keeping </w:t>
      </w:r>
      <w:r w:rsidR="00080F11">
        <w:rPr>
          <w:rFonts w:eastAsia="Times New Roman"/>
        </w:rPr>
        <w:t xml:space="preserve">him </w:t>
      </w:r>
      <w:r w:rsidRPr="00A821E7">
        <w:rPr>
          <w:rFonts w:eastAsia="Times New Roman"/>
        </w:rPr>
        <w:t xml:space="preserve">confined. Second, we show that he has the capacities sufficient for personhood. Third, we show that all persons have a right to relative liberty insofar as they have interests they can exercise only under conditions of relative liberty. Fourth, we show that individuals need not be able to assume social obligations and duties in order to be rights holders. </w:t>
      </w:r>
    </w:p>
    <w:p w14:paraId="46D849A6" w14:textId="0FE49BAC" w:rsidR="00B417B2" w:rsidRDefault="00B417B2" w:rsidP="00213435">
      <w:pPr>
        <w:widowControl w:val="0"/>
        <w:spacing w:after="0" w:line="240" w:lineRule="auto"/>
        <w:ind w:firstLine="720"/>
        <w:contextualSpacing/>
        <w:jc w:val="both"/>
        <w:rPr>
          <w:rFonts w:eastAsia="Times New Roman"/>
        </w:rPr>
      </w:pPr>
      <w:r w:rsidRPr="00A821E7">
        <w:rPr>
          <w:rFonts w:eastAsia="Times New Roman"/>
        </w:rPr>
        <w:t xml:space="preserve">Our argument reflects commitments, as we say, to consequentialist reasoning about moral problems. However, we note that influential representatives of the other dominant ethical traditions—the deontological and Aristotelian traditions—reach our conclusion, too. It makes no difference, in this instance, which ethical theory one adopts. Under all of them, </w:t>
      </w:r>
      <w:proofErr w:type="spellStart"/>
      <w:r w:rsidR="00066EC1" w:rsidRPr="00A821E7">
        <w:rPr>
          <w:rFonts w:eastAsia="Times New Roman"/>
        </w:rPr>
        <w:t>Sandai</w:t>
      </w:r>
      <w:proofErr w:type="spellEnd"/>
      <w:r w:rsidR="00066EC1" w:rsidRPr="00A821E7">
        <w:rPr>
          <w:rFonts w:eastAsia="Times New Roman"/>
        </w:rPr>
        <w:t xml:space="preserve"> </w:t>
      </w:r>
      <w:r w:rsidRPr="00A821E7">
        <w:rPr>
          <w:rFonts w:eastAsia="Times New Roman"/>
        </w:rPr>
        <w:t xml:space="preserve">is a </w:t>
      </w:r>
      <w:r w:rsidRPr="00213435">
        <w:rPr>
          <w:rFonts w:eastAsia="Times New Roman"/>
        </w:rPr>
        <w:t>person with an interest in relative liberty entitled to habeas corpus protection.</w:t>
      </w:r>
    </w:p>
    <w:p w14:paraId="103D146D" w14:textId="77777777" w:rsidR="00213435" w:rsidRPr="00213435" w:rsidRDefault="00213435" w:rsidP="00213435">
      <w:pPr>
        <w:widowControl w:val="0"/>
        <w:spacing w:after="0" w:line="240" w:lineRule="auto"/>
        <w:ind w:firstLine="720"/>
        <w:contextualSpacing/>
        <w:jc w:val="both"/>
        <w:rPr>
          <w:rFonts w:eastAsia="Times New Roman"/>
        </w:rPr>
      </w:pPr>
    </w:p>
    <w:p w14:paraId="728E30E8" w14:textId="77777777" w:rsidR="00B417B2" w:rsidRPr="00213435" w:rsidRDefault="00B417B2" w:rsidP="00213435">
      <w:pPr>
        <w:widowControl w:val="0"/>
        <w:spacing w:after="0" w:line="240" w:lineRule="auto"/>
        <w:ind w:left="1080" w:hanging="720"/>
        <w:contextualSpacing/>
        <w:jc w:val="both"/>
        <w:outlineLvl w:val="0"/>
        <w:rPr>
          <w:rFonts w:eastAsia="Calibri"/>
          <w:b/>
          <w:caps/>
        </w:rPr>
      </w:pPr>
      <w:bookmarkStart w:id="11" w:name="_Toc66190359"/>
      <w:bookmarkStart w:id="12" w:name="_Toc66191047"/>
      <w:bookmarkStart w:id="13" w:name="_Toc66191156"/>
      <w:bookmarkStart w:id="14" w:name="_Toc100180102"/>
      <w:r w:rsidRPr="00213435">
        <w:rPr>
          <w:rFonts w:eastAsia="Calibri"/>
          <w:b/>
          <w:caps/>
        </w:rPr>
        <w:t>Argument</w:t>
      </w:r>
      <w:bookmarkEnd w:id="11"/>
      <w:bookmarkEnd w:id="12"/>
      <w:bookmarkEnd w:id="13"/>
      <w:bookmarkEnd w:id="14"/>
    </w:p>
    <w:p w14:paraId="090F138B" w14:textId="77777777" w:rsidR="00213435" w:rsidRDefault="00213435" w:rsidP="00213435">
      <w:pPr>
        <w:spacing w:after="0" w:line="240" w:lineRule="auto"/>
        <w:ind w:firstLine="720"/>
        <w:contextualSpacing/>
        <w:jc w:val="both"/>
        <w:rPr>
          <w:rFonts w:eastAsia="Times New Roman"/>
        </w:rPr>
      </w:pPr>
    </w:p>
    <w:p w14:paraId="53F718AF" w14:textId="5034DAA4" w:rsidR="00B417B2" w:rsidRPr="00213435" w:rsidRDefault="00B417B2" w:rsidP="00213435">
      <w:pPr>
        <w:spacing w:after="0" w:line="240" w:lineRule="auto"/>
        <w:ind w:firstLine="720"/>
        <w:contextualSpacing/>
        <w:jc w:val="both"/>
        <w:rPr>
          <w:rFonts w:eastAsia="Times New Roman"/>
        </w:rPr>
      </w:pPr>
      <w:r w:rsidRPr="00213435">
        <w:rPr>
          <w:rFonts w:eastAsia="Times New Roman"/>
        </w:rPr>
        <w:t xml:space="preserve">We argue on consequentialist grounds and, specifically, on utilitarian grounds, for </w:t>
      </w:r>
      <w:proofErr w:type="spellStart"/>
      <w:r w:rsidR="008E57FE">
        <w:rPr>
          <w:rFonts w:eastAsia="Times New Roman"/>
        </w:rPr>
        <w:t>Sandai</w:t>
      </w:r>
      <w:r w:rsidRPr="00213435">
        <w:rPr>
          <w:rFonts w:eastAsia="Times New Roman"/>
        </w:rPr>
        <w:t>’s</w:t>
      </w:r>
      <w:proofErr w:type="spellEnd"/>
      <w:r w:rsidRPr="00213435">
        <w:rPr>
          <w:rFonts w:eastAsia="Times New Roman"/>
        </w:rPr>
        <w:t xml:space="preserve"> release. Contemporary utilitarianism originates in the writings of the 19</w:t>
      </w:r>
      <w:r w:rsidRPr="00213435">
        <w:rPr>
          <w:rFonts w:eastAsia="Times New Roman"/>
          <w:vertAlign w:val="superscript"/>
        </w:rPr>
        <w:t>th</w:t>
      </w:r>
      <w:r w:rsidRPr="00213435">
        <w:rPr>
          <w:rFonts w:eastAsia="Times New Roman"/>
        </w:rPr>
        <w:t xml:space="preserve"> century thinkers Jeremy </w:t>
      </w:r>
      <w:r w:rsidRPr="00213435">
        <w:rPr>
          <w:rFonts w:eastAsia="Times New Roman"/>
        </w:rPr>
        <w:lastRenderedPageBreak/>
        <w:t>Bentham,</w:t>
      </w:r>
      <w:r w:rsidRPr="00213435">
        <w:rPr>
          <w:rFonts w:eastAsia="Times New Roman"/>
          <w:vertAlign w:val="superscript"/>
        </w:rPr>
        <w:footnoteReference w:id="2"/>
      </w:r>
      <w:r w:rsidRPr="00213435">
        <w:rPr>
          <w:rFonts w:eastAsia="Times New Roman"/>
        </w:rPr>
        <w:t xml:space="preserve"> John Stuart Mill,</w:t>
      </w:r>
      <w:r w:rsidRPr="00213435">
        <w:rPr>
          <w:rFonts w:eastAsia="Times New Roman"/>
          <w:vertAlign w:val="superscript"/>
        </w:rPr>
        <w:footnoteReference w:id="3"/>
      </w:r>
      <w:r w:rsidRPr="00213435">
        <w:rPr>
          <w:rFonts w:eastAsia="Times New Roman"/>
        </w:rPr>
        <w:t xml:space="preserve"> and Henry Sidgwick.</w:t>
      </w:r>
      <w:r w:rsidRPr="00213435">
        <w:rPr>
          <w:rFonts w:eastAsia="Times New Roman"/>
          <w:vertAlign w:val="superscript"/>
        </w:rPr>
        <w:footnoteReference w:id="4"/>
      </w:r>
      <w:r w:rsidRPr="00213435">
        <w:rPr>
          <w:rFonts w:eastAsia="Times New Roman"/>
        </w:rPr>
        <w:t xml:space="preserve"> Today, </w:t>
      </w:r>
      <w:r w:rsidRPr="00213435">
        <w:rPr>
          <w:rFonts w:eastAsia="Times New Roman"/>
          <w:i/>
        </w:rPr>
        <w:t xml:space="preserve">amicus </w:t>
      </w:r>
      <w:r w:rsidRPr="00213435">
        <w:rPr>
          <w:rFonts w:eastAsia="Times New Roman"/>
        </w:rPr>
        <w:t>Peter Singer is perhaps the most widely recognized proponent of the theory.</w:t>
      </w:r>
      <w:r w:rsidRPr="00213435">
        <w:rPr>
          <w:rFonts w:eastAsia="Times New Roman"/>
          <w:vertAlign w:val="superscript"/>
        </w:rPr>
        <w:footnoteReference w:id="5"/>
      </w:r>
      <w:r w:rsidRPr="00213435">
        <w:rPr>
          <w:rFonts w:eastAsia="Times New Roman"/>
        </w:rPr>
        <w:t xml:space="preserve"> In his book, </w:t>
      </w:r>
      <w:r w:rsidRPr="00213435">
        <w:rPr>
          <w:rFonts w:eastAsia="Times New Roman"/>
          <w:i/>
        </w:rPr>
        <w:t>The Expanding Circle</w:t>
      </w:r>
      <w:r w:rsidRPr="00213435">
        <w:rPr>
          <w:rFonts w:eastAsia="Times New Roman"/>
        </w:rPr>
        <w:t>, he argues that altruism evolved because environments selected for humans with strong desires to protect their family and community members. Subsequently, people, acting on the basis of reason, can choose to recognize strangers—who may possess interests very different from their own—as moral equals. This idea, that all persons are equal, is a key utilitarian commitment and explains why utilitarians have consistently defended arguments widely regarded as being on the right side of history.</w:t>
      </w:r>
      <w:r w:rsidRPr="00213435">
        <w:rPr>
          <w:rFonts w:eastAsia="Times New Roman"/>
          <w:vertAlign w:val="superscript"/>
        </w:rPr>
        <w:footnoteReference w:id="6"/>
      </w:r>
      <w:r w:rsidRPr="00213435">
        <w:rPr>
          <w:rFonts w:eastAsia="Times New Roman"/>
        </w:rPr>
        <w:t xml:space="preserve"> This is especially true in the case of controversies about the legal rights of persons. For example, when African-Americans were treated as slaves, utilitarians provided arguments for abolition long before courts recognized their probity. Again, when women were denied the ballot, utilitarians joined hands with suffragists arguing on behalf of women’s rights. Once again, when lesbians, gay men, and transgender people faced discrimination in employment, utilitarians objected to this rights violation. </w:t>
      </w:r>
    </w:p>
    <w:p w14:paraId="497ADAB3" w14:textId="2E179238" w:rsidR="00B417B2" w:rsidRPr="00213435" w:rsidRDefault="00B417B2" w:rsidP="00213435">
      <w:pPr>
        <w:spacing w:after="0" w:line="240" w:lineRule="auto"/>
        <w:ind w:firstLine="720"/>
        <w:contextualSpacing/>
        <w:jc w:val="both"/>
        <w:rPr>
          <w:rFonts w:eastAsia="Times New Roman"/>
        </w:rPr>
      </w:pPr>
      <w:r w:rsidRPr="00213435">
        <w:rPr>
          <w:rFonts w:eastAsia="Times New Roman"/>
        </w:rPr>
        <w:t xml:space="preserve">This Court faces a new controversy involving the denial of rights to persons. Following earlier consequentialists, we here argue that the rights of another person, this time a nonhuman person, demand legal protection. </w:t>
      </w:r>
      <w:proofErr w:type="spellStart"/>
      <w:r w:rsidR="008E57FE">
        <w:rPr>
          <w:rFonts w:eastAsia="Times New Roman"/>
        </w:rPr>
        <w:t>Sandai</w:t>
      </w:r>
      <w:r w:rsidRPr="00213435">
        <w:rPr>
          <w:rFonts w:eastAsia="Times New Roman"/>
        </w:rPr>
        <w:t>’s</w:t>
      </w:r>
      <w:proofErr w:type="spellEnd"/>
      <w:r w:rsidRPr="00213435">
        <w:rPr>
          <w:rFonts w:eastAsia="Times New Roman"/>
        </w:rPr>
        <w:t xml:space="preserve"> interest in relative freedom</w:t>
      </w:r>
      <w:r w:rsidR="008E57FE">
        <w:rPr>
          <w:rFonts w:eastAsia="Times New Roman"/>
        </w:rPr>
        <w:t xml:space="preserve"> must be acknowledged.</w:t>
      </w:r>
    </w:p>
    <w:p w14:paraId="7A4EBD4D" w14:textId="254F87BF" w:rsidR="00457C57" w:rsidRDefault="0089020A" w:rsidP="00457C57">
      <w:pPr>
        <w:spacing w:after="0" w:line="240" w:lineRule="auto"/>
        <w:rPr>
          <w:rFonts w:eastAsia="Times New Roman"/>
        </w:rPr>
      </w:pPr>
      <w:r w:rsidRPr="0089020A">
        <w:rPr>
          <w:rFonts w:eastAsia="Times New Roman"/>
          <w:color w:val="222222"/>
          <w:highlight w:val="white"/>
        </w:rPr>
        <w:t xml:space="preserve">We are pleased to see </w:t>
      </w:r>
      <w:r w:rsidRPr="0089020A">
        <w:rPr>
          <w:rFonts w:eastAsia="Times New Roman"/>
          <w:color w:val="222222"/>
        </w:rPr>
        <w:t>that in 2016 Argentina recognized the personhood of a chimpanzee named Cecilia and ordered her release from the Mendoza Zoo to Brazil’s Great Ape Sanctuary (</w:t>
      </w:r>
      <w:proofErr w:type="spellStart"/>
      <w:r w:rsidRPr="0089020A">
        <w:rPr>
          <w:rFonts w:eastAsia="Times New Roman"/>
          <w:color w:val="222222"/>
        </w:rPr>
        <w:t>Tercer</w:t>
      </w:r>
      <w:proofErr w:type="spellEnd"/>
      <w:r w:rsidRPr="0089020A">
        <w:rPr>
          <w:rFonts w:eastAsia="Times New Roman"/>
          <w:color w:val="222222"/>
        </w:rPr>
        <w:t xml:space="preserve"> </w:t>
      </w:r>
      <w:proofErr w:type="spellStart"/>
      <w:r w:rsidRPr="0089020A">
        <w:rPr>
          <w:rFonts w:eastAsia="Times New Roman"/>
          <w:color w:val="222222"/>
        </w:rPr>
        <w:t>Juzgado</w:t>
      </w:r>
      <w:proofErr w:type="spellEnd"/>
      <w:r w:rsidRPr="0089020A">
        <w:rPr>
          <w:rFonts w:eastAsia="Times New Roman"/>
          <w:color w:val="222222"/>
        </w:rPr>
        <w:t xml:space="preserve"> de </w:t>
      </w:r>
      <w:proofErr w:type="spellStart"/>
      <w:r w:rsidRPr="0089020A">
        <w:rPr>
          <w:rFonts w:eastAsia="Times New Roman"/>
          <w:color w:val="222222"/>
        </w:rPr>
        <w:t>Garantías</w:t>
      </w:r>
      <w:proofErr w:type="spellEnd"/>
      <w:r w:rsidRPr="0089020A">
        <w:rPr>
          <w:rFonts w:eastAsia="Times New Roman"/>
          <w:color w:val="222222"/>
        </w:rPr>
        <w:t xml:space="preserve"> de Mendoza [</w:t>
      </w:r>
      <w:proofErr w:type="spellStart"/>
      <w:r w:rsidRPr="0089020A">
        <w:rPr>
          <w:rFonts w:eastAsia="Times New Roman"/>
          <w:color w:val="222222"/>
        </w:rPr>
        <w:t>J.</w:t>
      </w:r>
      <w:proofErr w:type="gramStart"/>
      <w:r w:rsidRPr="0089020A">
        <w:rPr>
          <w:rFonts w:eastAsia="Times New Roman"/>
          <w:color w:val="222222"/>
        </w:rPr>
        <w:t>G.Men</w:t>
      </w:r>
      <w:proofErr w:type="spellEnd"/>
      <w:proofErr w:type="gramEnd"/>
      <w:r w:rsidRPr="0089020A">
        <w:rPr>
          <w:rFonts w:eastAsia="Times New Roman"/>
          <w:color w:val="222222"/>
        </w:rPr>
        <w:t xml:space="preserve">.] </w:t>
      </w:r>
      <w:r w:rsidRPr="00AC63B8">
        <w:rPr>
          <w:rFonts w:eastAsia="Times New Roman"/>
          <w:color w:val="222222"/>
          <w:lang w:val="es-ES"/>
        </w:rPr>
        <w:t>[</w:t>
      </w:r>
      <w:proofErr w:type="spellStart"/>
      <w:r w:rsidRPr="00AC63B8">
        <w:rPr>
          <w:rFonts w:eastAsia="Times New Roman"/>
          <w:color w:val="222222"/>
          <w:lang w:val="es-ES"/>
        </w:rPr>
        <w:t>Third</w:t>
      </w:r>
      <w:proofErr w:type="spellEnd"/>
      <w:r w:rsidRPr="00AC63B8">
        <w:rPr>
          <w:rFonts w:eastAsia="Times New Roman"/>
          <w:color w:val="222222"/>
          <w:lang w:val="es-ES"/>
        </w:rPr>
        <w:t xml:space="preserve"> Criminal </w:t>
      </w:r>
      <w:proofErr w:type="spellStart"/>
      <w:r w:rsidRPr="00AC63B8">
        <w:rPr>
          <w:rFonts w:eastAsia="Times New Roman"/>
          <w:color w:val="222222"/>
          <w:lang w:val="es-ES"/>
        </w:rPr>
        <w:t>Court</w:t>
      </w:r>
      <w:proofErr w:type="spellEnd"/>
      <w:r w:rsidRPr="00AC63B8">
        <w:rPr>
          <w:rFonts w:eastAsia="Times New Roman"/>
          <w:color w:val="222222"/>
          <w:lang w:val="es-ES"/>
        </w:rPr>
        <w:t xml:space="preserve"> </w:t>
      </w:r>
      <w:proofErr w:type="spellStart"/>
      <w:r w:rsidRPr="00AC63B8">
        <w:rPr>
          <w:rFonts w:eastAsia="Times New Roman"/>
          <w:color w:val="222222"/>
          <w:lang w:val="es-ES"/>
        </w:rPr>
        <w:t>of</w:t>
      </w:r>
      <w:proofErr w:type="spellEnd"/>
      <w:r w:rsidRPr="00AC63B8">
        <w:rPr>
          <w:rFonts w:eastAsia="Times New Roman"/>
          <w:color w:val="222222"/>
          <w:lang w:val="es-ES"/>
        </w:rPr>
        <w:t xml:space="preserve"> Mendoza], 3/11/2016, “Presentación Efectuada Por AFADA Respecto del Chimpancé ‘Cecilia’ Sujeto No Humano,” [</w:t>
      </w:r>
      <w:proofErr w:type="spellStart"/>
      <w:r w:rsidRPr="00AC63B8">
        <w:rPr>
          <w:rFonts w:eastAsia="Times New Roman"/>
          <w:color w:val="222222"/>
          <w:lang w:val="es-ES"/>
        </w:rPr>
        <w:t>Expte</w:t>
      </w:r>
      <w:proofErr w:type="spellEnd"/>
      <w:r w:rsidRPr="00AC63B8">
        <w:rPr>
          <w:rFonts w:eastAsia="Times New Roman"/>
          <w:color w:val="222222"/>
          <w:lang w:val="es-ES"/>
        </w:rPr>
        <w:t xml:space="preserve">. Nro.] P-72.254/15, (Arg.). 3 Pablo Giuliano, El Santuario de los Primates de Brasil, la Ventana). </w:t>
      </w:r>
      <w:r w:rsidRPr="0089020A">
        <w:rPr>
          <w:rFonts w:eastAsia="Times New Roman"/>
          <w:color w:val="222222"/>
          <w:highlight w:val="white"/>
        </w:rPr>
        <w:t xml:space="preserve">Justices in our country, the United States, are also beginning to recognize that nonhuman animals should no longer be considered as property rather than persons. </w:t>
      </w:r>
      <w:r w:rsidRPr="0089020A">
        <w:rPr>
          <w:rFonts w:eastAsia="Times New Roman"/>
        </w:rPr>
        <w:t xml:space="preserve">In </w:t>
      </w:r>
      <w:r w:rsidRPr="0089020A">
        <w:rPr>
          <w:rFonts w:eastAsia="Times New Roman"/>
          <w:i/>
        </w:rPr>
        <w:t>Matter of Nonhuman Rights Project, Inc. v Lavery</w:t>
      </w:r>
      <w:r w:rsidRPr="0089020A">
        <w:rPr>
          <w:rFonts w:eastAsia="Times New Roman"/>
        </w:rPr>
        <w:t>, 31 NY3d 1054, 1058 “(</w:t>
      </w:r>
      <w:r w:rsidRPr="0089020A">
        <w:rPr>
          <w:rFonts w:eastAsia="Times New Roman"/>
          <w:i/>
        </w:rPr>
        <w:t>Tommy</w:t>
      </w:r>
      <w:r w:rsidRPr="0089020A">
        <w:rPr>
          <w:rFonts w:eastAsia="Times New Roman"/>
        </w:rPr>
        <w:t xml:space="preserve">”) 1059 [Eugene Fahey, J., concurring]), Judge Fahey wrote that “…there is no doubt” that a chimpanzee, named Tommy, is not a mere thing and questioned “whether the Court was right to deny leave” for habeas corpus relief for Tommy. </w:t>
      </w:r>
      <w:r w:rsidR="001935E9">
        <w:rPr>
          <w:rFonts w:eastAsia="Times New Roman"/>
        </w:rPr>
        <w:t>I</w:t>
      </w:r>
      <w:r w:rsidRPr="0089020A">
        <w:rPr>
          <w:rFonts w:eastAsia="Times New Roman"/>
        </w:rPr>
        <w:t xml:space="preserve">n </w:t>
      </w:r>
      <w:r w:rsidRPr="0089020A">
        <w:rPr>
          <w:rFonts w:eastAsia="Times New Roman"/>
          <w:i/>
        </w:rPr>
        <w:t>People v. Graves</w:t>
      </w:r>
      <w:r w:rsidRPr="0089020A">
        <w:rPr>
          <w:rFonts w:eastAsia="Times New Roman"/>
        </w:rPr>
        <w:t>, 163 A.D.3d 16, 21 (4th Dept. June 15, 2018), the 4</w:t>
      </w:r>
      <w:r w:rsidRPr="0089020A">
        <w:rPr>
          <w:rFonts w:eastAsia="Times New Roman"/>
          <w:vertAlign w:val="superscript"/>
        </w:rPr>
        <w:t>th</w:t>
      </w:r>
      <w:r w:rsidRPr="0089020A">
        <w:rPr>
          <w:rFonts w:eastAsia="Times New Roman"/>
        </w:rPr>
        <w:t xml:space="preserve"> Department affirmed that it is “common knowledge that personhood can and sometimes does attach to nonhuman entities like … animals.” </w:t>
      </w:r>
      <w:r w:rsidR="001935E9" w:rsidRPr="0089020A">
        <w:rPr>
          <w:rFonts w:eastAsia="Times New Roman"/>
          <w:color w:val="222222"/>
        </w:rPr>
        <w:t xml:space="preserve">In his dissent in </w:t>
      </w:r>
      <w:r w:rsidR="001935E9" w:rsidRPr="0089020A">
        <w:rPr>
          <w:rFonts w:eastAsia="Times New Roman"/>
          <w:i/>
        </w:rPr>
        <w:t>The Nonhuman Rights Project, Inc. v Breheny</w:t>
      </w:r>
      <w:r w:rsidR="001935E9" w:rsidRPr="0089020A">
        <w:rPr>
          <w:rFonts w:eastAsia="Times New Roman"/>
        </w:rPr>
        <w:t xml:space="preserve"> (2020 WL 1670735, [Sup C., Bronx County, Feb. 18, 2020, Tuitt, J., index No. 260441/19, </w:t>
      </w:r>
      <w:proofErr w:type="spellStart"/>
      <w:r w:rsidR="001935E9" w:rsidRPr="0089020A">
        <w:rPr>
          <w:rFonts w:eastAsia="Times New Roman"/>
          <w:i/>
        </w:rPr>
        <w:t>affd</w:t>
      </w:r>
      <w:proofErr w:type="spellEnd"/>
      <w:r w:rsidR="001935E9" w:rsidRPr="0089020A">
        <w:rPr>
          <w:rFonts w:eastAsia="Times New Roman"/>
        </w:rPr>
        <w:t xml:space="preserve"> 189 AD3d 583 [2020])</w:t>
      </w:r>
      <w:r w:rsidR="001935E9" w:rsidRPr="0089020A">
        <w:rPr>
          <w:rFonts w:eastAsia="Times New Roman"/>
          <w:i/>
        </w:rPr>
        <w:t xml:space="preserve"> </w:t>
      </w:r>
      <w:r w:rsidR="001935E9" w:rsidRPr="0089020A">
        <w:rPr>
          <w:rFonts w:eastAsia="Times New Roman"/>
        </w:rPr>
        <w:t xml:space="preserve">at *10), </w:t>
      </w:r>
      <w:r w:rsidR="001935E9" w:rsidRPr="0089020A">
        <w:rPr>
          <w:rFonts w:eastAsia="Times New Roman"/>
          <w:color w:val="000000"/>
        </w:rPr>
        <w:t>Justice Tuitt wrote that an elephant, Happy, “…</w:t>
      </w:r>
      <w:r w:rsidR="001935E9" w:rsidRPr="0089020A">
        <w:rPr>
          <w:rFonts w:eastAsia="Times New Roman"/>
        </w:rPr>
        <w:t>is an intelligent, autonomous being who should be treated with respect and dignity, and who may be entitled to liberty.”</w:t>
      </w:r>
      <w:r w:rsidR="001935E9">
        <w:rPr>
          <w:rFonts w:eastAsia="Times New Roman"/>
        </w:rPr>
        <w:t xml:space="preserve"> And in</w:t>
      </w:r>
      <w:r w:rsidR="00AF061F">
        <w:rPr>
          <w:rFonts w:eastAsia="Times New Roman"/>
        </w:rPr>
        <w:t xml:space="preserve"> their dissenting opinions in </w:t>
      </w:r>
      <w:r w:rsidR="00B81296">
        <w:rPr>
          <w:rFonts w:eastAsia="Times New Roman"/>
        </w:rPr>
        <w:t>a subsequent appeal case</w:t>
      </w:r>
      <w:r w:rsidR="00AF061F">
        <w:rPr>
          <w:rFonts w:eastAsia="Times New Roman"/>
        </w:rPr>
        <w:t xml:space="preserve">, </w:t>
      </w:r>
      <w:r w:rsidR="0005281C">
        <w:rPr>
          <w:i/>
          <w:iCs/>
          <w:color w:val="212121"/>
          <w:shd w:val="clear" w:color="auto" w:fill="FFFFFF"/>
        </w:rPr>
        <w:t>Nonhuman Rights Project, Inc. v. Breheny</w:t>
      </w:r>
      <w:r w:rsidR="0005281C">
        <w:rPr>
          <w:color w:val="212121"/>
          <w:shd w:val="clear" w:color="auto" w:fill="FFFFFF"/>
        </w:rPr>
        <w:t>, 2022 N.Y. Slip Op. 3859 (N.Y. 2022)</w:t>
      </w:r>
      <w:r w:rsidR="00B81296">
        <w:rPr>
          <w:rFonts w:eastAsia="Times New Roman"/>
        </w:rPr>
        <w:t xml:space="preserve"> Judge Rivera and Judge Wilson both affirm that nonhuman animals have the characteristics that make them </w:t>
      </w:r>
      <w:r w:rsidR="00B81296">
        <w:rPr>
          <w:rFonts w:eastAsia="Times New Roman"/>
        </w:rPr>
        <w:lastRenderedPageBreak/>
        <w:t xml:space="preserve">entitled to protection as legal persons. Judge Rivera writes, </w:t>
      </w:r>
      <w:r w:rsidR="000E1E6C" w:rsidRPr="000E1E6C">
        <w:rPr>
          <w:rFonts w:eastAsia="Times New Roman"/>
        </w:rPr>
        <w:t>“I conclude that history, logic, justice, and our humanity must lead us to recognize that if humans without full rights and responsibilities under the law may invoke the writ to challenge an unjust denial of freedom, so too may any other autonomous being, regardless of species.”</w:t>
      </w:r>
      <w:r w:rsidR="00B81296">
        <w:rPr>
          <w:rFonts w:eastAsia="Times New Roman"/>
        </w:rPr>
        <w:t xml:space="preserve"> </w:t>
      </w:r>
      <w:r w:rsidR="009E2F71">
        <w:rPr>
          <w:rFonts w:eastAsia="Times New Roman"/>
        </w:rPr>
        <w:t xml:space="preserve">Echoing the arguments that Comstock, Lerner, and Singer offered in an amicus brief submitted in </w:t>
      </w:r>
      <w:r w:rsidR="001D5E92">
        <w:rPr>
          <w:rFonts w:eastAsia="Times New Roman"/>
        </w:rPr>
        <w:t>favor of Happy</w:t>
      </w:r>
      <w:r w:rsidR="009E2F71">
        <w:rPr>
          <w:rFonts w:eastAsia="Times New Roman"/>
        </w:rPr>
        <w:t>, Judge Wilson argues that “</w:t>
      </w:r>
      <w:r w:rsidR="009E2F71" w:rsidRPr="009E2F71">
        <w:rPr>
          <w:rFonts w:eastAsia="Times New Roman"/>
        </w:rPr>
        <w:t>Once a court is engaged in a merits analysis of a habeas petition, it must undertake a normative analysis that weighs the value of keeping the petitioner confined with the value of releasing the petitioner from confinement.</w:t>
      </w:r>
      <w:r w:rsidR="009E2F71">
        <w:rPr>
          <w:rFonts w:eastAsia="Times New Roman"/>
        </w:rPr>
        <w:t xml:space="preserve">” Judge Wilson concludes </w:t>
      </w:r>
      <w:r w:rsidR="001D5E92">
        <w:rPr>
          <w:rFonts w:eastAsia="Times New Roman"/>
        </w:rPr>
        <w:t xml:space="preserve">that such an analysis favors granting </w:t>
      </w:r>
      <w:r w:rsidR="009E2F71">
        <w:rPr>
          <w:rFonts w:eastAsia="Times New Roman"/>
        </w:rPr>
        <w:t xml:space="preserve">Happy the right to habeas corpus, and that the fact that </w:t>
      </w:r>
      <w:r w:rsidR="001D5E92">
        <w:rPr>
          <w:rFonts w:eastAsia="Times New Roman"/>
        </w:rPr>
        <w:t xml:space="preserve">Happy </w:t>
      </w:r>
      <w:r w:rsidR="009E2F71">
        <w:rPr>
          <w:rFonts w:eastAsia="Times New Roman"/>
        </w:rPr>
        <w:t xml:space="preserve">is an animal is no reason for </w:t>
      </w:r>
      <w:r w:rsidR="001D5E92">
        <w:rPr>
          <w:rFonts w:eastAsia="Times New Roman"/>
        </w:rPr>
        <w:t>denying them this right</w:t>
      </w:r>
      <w:r w:rsidR="009E2F71">
        <w:rPr>
          <w:rFonts w:eastAsia="Times New Roman"/>
        </w:rPr>
        <w:t>: “</w:t>
      </w:r>
      <w:r w:rsidR="009E2F71" w:rsidRPr="009E2F71">
        <w:rPr>
          <w:rFonts w:eastAsia="Times New Roman"/>
        </w:rPr>
        <w:t xml:space="preserve">When the majority answers, </w:t>
      </w:r>
      <w:r w:rsidR="009E2F71">
        <w:rPr>
          <w:rFonts w:eastAsia="Times New Roman"/>
        </w:rPr>
        <w:t>‘</w:t>
      </w:r>
      <w:r w:rsidR="009E2F71" w:rsidRPr="009E2F71">
        <w:rPr>
          <w:rFonts w:eastAsia="Times New Roman"/>
        </w:rPr>
        <w:t>No, animals cannot have rights,</w:t>
      </w:r>
      <w:r w:rsidR="009E2F71">
        <w:rPr>
          <w:rFonts w:eastAsia="Times New Roman"/>
        </w:rPr>
        <w:t>’</w:t>
      </w:r>
      <w:r w:rsidR="009E2F71" w:rsidRPr="009E2F71">
        <w:rPr>
          <w:rFonts w:eastAsia="Times New Roman"/>
        </w:rPr>
        <w:t xml:space="preserve"> I worry for that animal, but I worry even more greatly about how that answer denies and denigrates the human capacity for understanding, empathy and compassion.</w:t>
      </w:r>
      <w:r w:rsidR="009E2F71">
        <w:rPr>
          <w:rFonts w:eastAsia="Times New Roman"/>
        </w:rPr>
        <w:t>”</w:t>
      </w:r>
      <w:r w:rsidR="00255F1D">
        <w:rPr>
          <w:rStyle w:val="FootnoteReference"/>
          <w:rFonts w:eastAsia="Times New Roman"/>
        </w:rPr>
        <w:footnoteReference w:id="7"/>
      </w:r>
    </w:p>
    <w:p w14:paraId="75ABEE08" w14:textId="0E5D2E37" w:rsidR="00B417B2" w:rsidRPr="00213435" w:rsidRDefault="00B417B2" w:rsidP="00213435">
      <w:pPr>
        <w:spacing w:after="0" w:line="240" w:lineRule="auto"/>
        <w:ind w:firstLine="720"/>
        <w:contextualSpacing/>
        <w:jc w:val="both"/>
        <w:rPr>
          <w:rFonts w:eastAsia="Times New Roman"/>
        </w:rPr>
      </w:pPr>
      <w:r w:rsidRPr="00213435">
        <w:rPr>
          <w:rFonts w:eastAsia="Times New Roman"/>
          <w:highlight w:val="white"/>
        </w:rPr>
        <w:t xml:space="preserve">We are pleased to see these favorable judicial assessments concluding that </w:t>
      </w:r>
      <w:r w:rsidR="0089020A">
        <w:rPr>
          <w:rFonts w:eastAsia="Times New Roman"/>
          <w:highlight w:val="white"/>
        </w:rPr>
        <w:t xml:space="preserve">nonhuman animals </w:t>
      </w:r>
      <w:r w:rsidRPr="00213435">
        <w:rPr>
          <w:rFonts w:eastAsia="Times New Roman"/>
          <w:highlight w:val="white"/>
        </w:rPr>
        <w:t xml:space="preserve">may </w:t>
      </w:r>
      <w:r w:rsidR="00457C57">
        <w:rPr>
          <w:rFonts w:eastAsia="Times New Roman"/>
          <w:highlight w:val="white"/>
        </w:rPr>
        <w:t>be entitled to the right to habeas corpus</w:t>
      </w:r>
      <w:r w:rsidRPr="00213435">
        <w:rPr>
          <w:rFonts w:eastAsia="Times New Roman"/>
          <w:highlight w:val="white"/>
        </w:rPr>
        <w:t>. These legal opinions represent the leading edge of the expanding circle.</w:t>
      </w:r>
      <w:r w:rsidRPr="00213435">
        <w:rPr>
          <w:rFonts w:eastAsia="Times New Roman"/>
        </w:rPr>
        <w:t xml:space="preserve"> </w:t>
      </w:r>
      <w:r w:rsidRPr="00213435">
        <w:rPr>
          <w:rFonts w:eastAsia="Times New Roman"/>
          <w:highlight w:val="white"/>
        </w:rPr>
        <w:t xml:space="preserve">We write to defend the implicit claim that these animals are </w:t>
      </w:r>
      <w:r w:rsidR="00457C57">
        <w:rPr>
          <w:rFonts w:eastAsia="Times New Roman"/>
          <w:highlight w:val="white"/>
        </w:rPr>
        <w:t xml:space="preserve">in the relevant sense </w:t>
      </w:r>
      <w:r w:rsidRPr="00213435">
        <w:rPr>
          <w:rFonts w:eastAsia="Times New Roman"/>
          <w:highlight w:val="white"/>
        </w:rPr>
        <w:t xml:space="preserve">persons and have, as a consequence of their personhood, a suitably qualified right to liberty. </w:t>
      </w:r>
      <w:r w:rsidRPr="00213435">
        <w:rPr>
          <w:rFonts w:eastAsia="Times New Roman"/>
        </w:rPr>
        <w:t>Philosophical reflection leads inevitably to these conclusions.</w:t>
      </w:r>
    </w:p>
    <w:p w14:paraId="5FD7A583" w14:textId="27C2A596" w:rsidR="00B417B2" w:rsidRDefault="00B417B2" w:rsidP="00213435">
      <w:pPr>
        <w:spacing w:after="0" w:line="240" w:lineRule="auto"/>
        <w:ind w:firstLine="720"/>
        <w:contextualSpacing/>
        <w:jc w:val="both"/>
        <w:rPr>
          <w:rFonts w:eastAsia="Times New Roman"/>
        </w:rPr>
      </w:pPr>
      <w:r w:rsidRPr="00213435">
        <w:rPr>
          <w:rFonts w:eastAsia="Times New Roman"/>
        </w:rPr>
        <w:t xml:space="preserve">Since </w:t>
      </w:r>
      <w:proofErr w:type="spellStart"/>
      <w:r w:rsidR="008E57FE">
        <w:rPr>
          <w:rFonts w:eastAsia="Times New Roman"/>
        </w:rPr>
        <w:t>Sandai</w:t>
      </w:r>
      <w:proofErr w:type="spellEnd"/>
      <w:r w:rsidRPr="00213435">
        <w:rPr>
          <w:rFonts w:eastAsia="Times New Roman"/>
        </w:rPr>
        <w:t xml:space="preserve"> has the capacities required for personhood and is entitled to be treated with respect, the Court must consider </w:t>
      </w:r>
      <w:r w:rsidR="00415109" w:rsidRPr="00213435">
        <w:rPr>
          <w:rFonts w:eastAsia="Times New Roman"/>
        </w:rPr>
        <w:t>h</w:t>
      </w:r>
      <w:r w:rsidR="00415109">
        <w:rPr>
          <w:rFonts w:eastAsia="Times New Roman"/>
        </w:rPr>
        <w:t>im</w:t>
      </w:r>
      <w:r w:rsidR="00415109" w:rsidRPr="00213435">
        <w:rPr>
          <w:rFonts w:eastAsia="Times New Roman"/>
        </w:rPr>
        <w:t xml:space="preserve"> </w:t>
      </w:r>
      <w:r w:rsidRPr="00213435">
        <w:rPr>
          <w:rFonts w:eastAsia="Times New Roman"/>
        </w:rPr>
        <w:t xml:space="preserve">for protection under </w:t>
      </w:r>
      <w:r w:rsidR="00B24295">
        <w:rPr>
          <w:rFonts w:eastAsia="Times New Roman"/>
        </w:rPr>
        <w:t xml:space="preserve">the writ of </w:t>
      </w:r>
      <w:r w:rsidRPr="00213435">
        <w:rPr>
          <w:rFonts w:eastAsia="Times New Roman"/>
        </w:rPr>
        <w:t xml:space="preserve">habeas corpus. A decision to deny the appeal on </w:t>
      </w:r>
      <w:r w:rsidR="00415109" w:rsidRPr="00213435">
        <w:rPr>
          <w:rFonts w:eastAsia="Times New Roman"/>
        </w:rPr>
        <w:t>h</w:t>
      </w:r>
      <w:r w:rsidR="00415109">
        <w:rPr>
          <w:rFonts w:eastAsia="Times New Roman"/>
        </w:rPr>
        <w:t>is</w:t>
      </w:r>
      <w:r w:rsidR="00415109" w:rsidRPr="00213435">
        <w:rPr>
          <w:rFonts w:eastAsia="Times New Roman"/>
        </w:rPr>
        <w:t xml:space="preserve"> </w:t>
      </w:r>
      <w:r w:rsidRPr="00213435">
        <w:rPr>
          <w:rFonts w:eastAsia="Times New Roman"/>
        </w:rPr>
        <w:t xml:space="preserve">behalf would carry a grave moral risk. The Court cannot avoid moral risk by deferring judgment. A decision </w:t>
      </w:r>
      <w:r w:rsidRPr="00213435">
        <w:rPr>
          <w:rFonts w:eastAsia="Times New Roman"/>
          <w:i/>
        </w:rPr>
        <w:t xml:space="preserve">not </w:t>
      </w:r>
      <w:r w:rsidRPr="00213435">
        <w:rPr>
          <w:rFonts w:eastAsia="Times New Roman"/>
        </w:rPr>
        <w:t xml:space="preserve">to grant </w:t>
      </w:r>
      <w:proofErr w:type="spellStart"/>
      <w:r w:rsidR="00B24295">
        <w:rPr>
          <w:rFonts w:eastAsia="Times New Roman"/>
        </w:rPr>
        <w:t>Sandai</w:t>
      </w:r>
      <w:proofErr w:type="spellEnd"/>
      <w:r w:rsidR="00B24295">
        <w:rPr>
          <w:rFonts w:eastAsia="Times New Roman"/>
        </w:rPr>
        <w:t xml:space="preserve"> the right to </w:t>
      </w:r>
      <w:r w:rsidRPr="00213435">
        <w:rPr>
          <w:rFonts w:eastAsia="Times New Roman"/>
        </w:rPr>
        <w:t xml:space="preserve">habeas corpus is subject to ethical evaluation just as much as a decision to recognize it. Whatever verdict it reaches, the Court faces the potential of doing wrong. In this case, as we will show, the potential for doing wrong is much greater if </w:t>
      </w:r>
      <w:proofErr w:type="spellStart"/>
      <w:r w:rsidR="008E57FE">
        <w:rPr>
          <w:rFonts w:eastAsia="Times New Roman"/>
        </w:rPr>
        <w:t>Sandai</w:t>
      </w:r>
      <w:r w:rsidRPr="00213435">
        <w:rPr>
          <w:rFonts w:eastAsia="Times New Roman"/>
        </w:rPr>
        <w:t>’s</w:t>
      </w:r>
      <w:proofErr w:type="spellEnd"/>
      <w:r w:rsidRPr="00213435">
        <w:rPr>
          <w:rFonts w:eastAsia="Times New Roman"/>
        </w:rPr>
        <w:t xml:space="preserve"> </w:t>
      </w:r>
      <w:r w:rsidR="00B24295">
        <w:rPr>
          <w:rFonts w:eastAsia="Times New Roman"/>
        </w:rPr>
        <w:t xml:space="preserve">right </w:t>
      </w:r>
      <w:r w:rsidR="00010984">
        <w:rPr>
          <w:rFonts w:eastAsia="Times New Roman"/>
        </w:rPr>
        <w:t xml:space="preserve">to habeas corpus </w:t>
      </w:r>
      <w:r w:rsidR="00B24295">
        <w:rPr>
          <w:rFonts w:eastAsia="Times New Roman"/>
        </w:rPr>
        <w:t>is</w:t>
      </w:r>
      <w:r w:rsidRPr="00213435">
        <w:rPr>
          <w:rFonts w:eastAsia="Times New Roman"/>
        </w:rPr>
        <w:t xml:space="preserve"> not protected.</w:t>
      </w:r>
    </w:p>
    <w:p w14:paraId="4AF130FC" w14:textId="77777777" w:rsidR="0076269F" w:rsidRDefault="0076269F" w:rsidP="00213435">
      <w:pPr>
        <w:spacing w:after="0" w:line="240" w:lineRule="auto"/>
        <w:ind w:firstLine="720"/>
        <w:contextualSpacing/>
        <w:jc w:val="both"/>
        <w:rPr>
          <w:rFonts w:eastAsia="Times New Roman"/>
        </w:rPr>
      </w:pPr>
    </w:p>
    <w:p w14:paraId="6EF56F20" w14:textId="5FCFA271" w:rsidR="00B417B2" w:rsidRPr="00213435" w:rsidRDefault="0089020A" w:rsidP="00213435">
      <w:pPr>
        <w:widowControl w:val="0"/>
        <w:numPr>
          <w:ilvl w:val="1"/>
          <w:numId w:val="0"/>
        </w:numPr>
        <w:spacing w:after="0" w:line="240" w:lineRule="auto"/>
        <w:ind w:left="1440" w:hanging="360"/>
        <w:contextualSpacing/>
        <w:jc w:val="both"/>
        <w:outlineLvl w:val="1"/>
        <w:rPr>
          <w:rFonts w:eastAsia="Calibri"/>
          <w:b/>
        </w:rPr>
      </w:pPr>
      <w:bookmarkStart w:id="15" w:name="_Toc100180103"/>
      <w:r>
        <w:rPr>
          <w:rFonts w:eastAsia="Calibri"/>
          <w:b/>
        </w:rPr>
        <w:t xml:space="preserve">1. </w:t>
      </w:r>
      <w:r w:rsidR="00B417B2" w:rsidRPr="00213435">
        <w:rPr>
          <w:rFonts w:eastAsia="Calibri"/>
          <w:b/>
        </w:rPr>
        <w:t>The Consequentialist Reasoning Defended by Peter Singer in The Expanding Circle and Other Work Has a Consistent Track Record of Being on the Right Side of History When It Comes to Controversial Decisions About Legal Rights</w:t>
      </w:r>
      <w:bookmarkEnd w:id="15"/>
      <w:r w:rsidR="00B417B2" w:rsidRPr="00213435">
        <w:rPr>
          <w:rFonts w:eastAsia="Calibri"/>
          <w:b/>
        </w:rPr>
        <w:t xml:space="preserve"> </w:t>
      </w:r>
    </w:p>
    <w:p w14:paraId="58B504FA" w14:textId="77777777" w:rsidR="00B417B2" w:rsidRPr="00213435" w:rsidRDefault="00B417B2" w:rsidP="00213435">
      <w:pPr>
        <w:spacing w:after="0" w:line="240" w:lineRule="auto"/>
        <w:rPr>
          <w:rFonts w:eastAsia="Times New Roman"/>
        </w:rPr>
      </w:pPr>
    </w:p>
    <w:p w14:paraId="338CC975" w14:textId="5DD81144" w:rsidR="00B417B2" w:rsidRDefault="00B417B2" w:rsidP="00213435">
      <w:pPr>
        <w:widowControl w:val="0"/>
        <w:spacing w:after="0" w:line="240" w:lineRule="auto"/>
        <w:contextualSpacing/>
        <w:jc w:val="both"/>
        <w:rPr>
          <w:rFonts w:eastAsia="Times New Roman"/>
          <w:shd w:val="clear" w:color="auto" w:fill="FFFFFF"/>
        </w:rPr>
      </w:pPr>
      <w:r w:rsidRPr="00213435">
        <w:rPr>
          <w:rFonts w:eastAsia="Times New Roman"/>
          <w:shd w:val="clear" w:color="auto" w:fill="FFFFFF"/>
        </w:rPr>
        <w:tab/>
        <w:t xml:space="preserve">Most of us have a natural affection for family members. On the basis of our recognition that those outside of our intimate circle have interests like ours, we have come to recognize that our obligations extend to all human beings. Persons beyond our family, tribe, and even nation, are persons. Like us, they have basic interests in life and liberty. In </w:t>
      </w:r>
      <w:r w:rsidRPr="00213435">
        <w:rPr>
          <w:rFonts w:eastAsia="Times New Roman"/>
          <w:i/>
          <w:shd w:val="clear" w:color="auto" w:fill="FFFFFF"/>
        </w:rPr>
        <w:t>The Expanding Circle</w:t>
      </w:r>
      <w:r w:rsidRPr="00213435">
        <w:rPr>
          <w:rFonts w:eastAsia="Times New Roman"/>
          <w:shd w:val="clear" w:color="auto" w:fill="FFFFFF"/>
        </w:rPr>
        <w:t>, Singer shows that the circle is even larger than previously recognized because it includes all</w:t>
      </w:r>
      <w:r w:rsidR="00AC63B8">
        <w:rPr>
          <w:rFonts w:eastAsia="Times New Roman"/>
          <w:shd w:val="clear" w:color="auto" w:fill="FFFFFF"/>
        </w:rPr>
        <w:t xml:space="preserve"> </w:t>
      </w:r>
      <w:r w:rsidRPr="00213435">
        <w:rPr>
          <w:rFonts w:eastAsia="Times New Roman"/>
          <w:shd w:val="clear" w:color="auto" w:fill="FFFFFF"/>
        </w:rPr>
        <w:t>sentient animals</w:t>
      </w:r>
      <w:r w:rsidR="00AC63B8">
        <w:rPr>
          <w:rFonts w:eastAsia="Times New Roman"/>
          <w:shd w:val="clear" w:color="auto" w:fill="FFFFFF"/>
        </w:rPr>
        <w:t xml:space="preserve"> (that is, all beings able to </w:t>
      </w:r>
      <w:r w:rsidR="00C202F7">
        <w:rPr>
          <w:rFonts w:eastAsia="Times New Roman"/>
          <w:shd w:val="clear" w:color="auto" w:fill="FFFFFF"/>
        </w:rPr>
        <w:t xml:space="preserve">have conscious </w:t>
      </w:r>
      <w:r w:rsidR="00AC63B8">
        <w:rPr>
          <w:rFonts w:eastAsia="Times New Roman"/>
          <w:shd w:val="clear" w:color="auto" w:fill="FFFFFF"/>
        </w:rPr>
        <w:t>experience</w:t>
      </w:r>
      <w:r w:rsidR="00C202F7">
        <w:rPr>
          <w:rFonts w:eastAsia="Times New Roman"/>
          <w:shd w:val="clear" w:color="auto" w:fill="FFFFFF"/>
        </w:rPr>
        <w:t>s, including</w:t>
      </w:r>
      <w:r w:rsidR="00AC63B8">
        <w:rPr>
          <w:rFonts w:eastAsia="Times New Roman"/>
          <w:shd w:val="clear" w:color="auto" w:fill="FFFFFF"/>
        </w:rPr>
        <w:t xml:space="preserve"> pain or pleasure</w:t>
      </w:r>
      <w:r w:rsidR="00C202F7">
        <w:rPr>
          <w:rFonts w:eastAsia="Times New Roman"/>
          <w:shd w:val="clear" w:color="auto" w:fill="FFFFFF"/>
        </w:rPr>
        <w:t>)</w:t>
      </w:r>
      <w:r w:rsidRPr="00213435">
        <w:rPr>
          <w:rFonts w:eastAsia="Times New Roman"/>
          <w:shd w:val="clear" w:color="auto" w:fill="FFFFFF"/>
        </w:rPr>
        <w:t>:</w:t>
      </w:r>
    </w:p>
    <w:p w14:paraId="451B40E8" w14:textId="77777777" w:rsidR="00457C57" w:rsidRPr="00213435" w:rsidRDefault="00457C57" w:rsidP="00213435">
      <w:pPr>
        <w:widowControl w:val="0"/>
        <w:spacing w:after="0" w:line="240" w:lineRule="auto"/>
        <w:contextualSpacing/>
        <w:jc w:val="both"/>
        <w:rPr>
          <w:rFonts w:eastAsia="Times New Roman"/>
          <w:shd w:val="clear" w:color="auto" w:fill="FFFFFF"/>
        </w:rPr>
      </w:pPr>
    </w:p>
    <w:p w14:paraId="553D3391" w14:textId="384FD7AB" w:rsidR="00B417B2" w:rsidRPr="00213435" w:rsidRDefault="00B417B2" w:rsidP="0076269F">
      <w:pPr>
        <w:widowControl w:val="0"/>
        <w:spacing w:after="0" w:line="240" w:lineRule="auto"/>
        <w:ind w:left="720" w:right="720"/>
        <w:contextualSpacing/>
        <w:jc w:val="both"/>
        <w:rPr>
          <w:rFonts w:eastAsia="Times New Roman"/>
          <w:shd w:val="clear" w:color="auto" w:fill="FFFFFF"/>
        </w:rPr>
      </w:pPr>
      <w:r w:rsidRPr="00213435">
        <w:rPr>
          <w:rFonts w:eastAsia="Times New Roman"/>
          <w:shd w:val="clear" w:color="auto" w:fill="FFFFFF"/>
        </w:rPr>
        <w:t>The only justifiable stopping place for the expansion of altruism is the point at which all whose welfare can be affected by our actions are included within the circle of altruism. This means that all beings with the capacity to feel pleasure or pain should be included; we can improve their welfare by increasing their pleasures and diminishing their pains.</w:t>
      </w:r>
      <w:r w:rsidRPr="00213435">
        <w:rPr>
          <w:rFonts w:eastAsia="Times New Roman"/>
          <w:shd w:val="clear" w:color="auto" w:fill="FFFFFF"/>
          <w:vertAlign w:val="superscript"/>
        </w:rPr>
        <w:footnoteReference w:id="8"/>
      </w:r>
    </w:p>
    <w:p w14:paraId="27F027E1" w14:textId="203362AA" w:rsidR="00B417B2" w:rsidRPr="00A821E7" w:rsidRDefault="00B417B2" w:rsidP="00A821E7">
      <w:pPr>
        <w:spacing w:before="280" w:after="280" w:line="240" w:lineRule="auto"/>
        <w:rPr>
          <w:rFonts w:eastAsia="Times New Roman"/>
          <w:color w:val="000000"/>
        </w:rPr>
      </w:pPr>
      <w:r w:rsidRPr="00213435">
        <w:rPr>
          <w:rFonts w:eastAsia="Times New Roman"/>
          <w:shd w:val="clear" w:color="auto" w:fill="FFFFFF"/>
        </w:rPr>
        <w:tab/>
        <w:t xml:space="preserve">Singer’s argument for including sentient animals is motivated by his consequentialist commitments. Consequentialism refers to a group of ethical theories that judge actions by their </w:t>
      </w:r>
      <w:r w:rsidRPr="00213435">
        <w:rPr>
          <w:rFonts w:eastAsia="Times New Roman"/>
          <w:shd w:val="clear" w:color="auto" w:fill="FFFFFF"/>
        </w:rPr>
        <w:lastRenderedPageBreak/>
        <w:t xml:space="preserve">outcomes. According to the dominant version of consequentialism, an act is right if and only if it produces the best outcome. What is the best outcome? “Best” is defined in various ways, perhaps most persuasively as the greatest sum of relevant benefits over harms for all concerned. “Benefits” and “harms” are also defined in various ways, but pain and frustration are harms on every account. </w:t>
      </w:r>
      <w:r w:rsidR="0089020A" w:rsidRPr="0089020A">
        <w:rPr>
          <w:rFonts w:eastAsia="Times New Roman"/>
          <w:color w:val="000000"/>
        </w:rPr>
        <w:t xml:space="preserve">There is no question about </w:t>
      </w:r>
      <w:proofErr w:type="spellStart"/>
      <w:r w:rsidR="0089020A" w:rsidRPr="0089020A">
        <w:rPr>
          <w:rFonts w:eastAsia="Times New Roman"/>
          <w:color w:val="000000"/>
        </w:rPr>
        <w:t>Sandai’s</w:t>
      </w:r>
      <w:proofErr w:type="spellEnd"/>
      <w:r w:rsidR="0089020A" w:rsidRPr="0089020A">
        <w:rPr>
          <w:rFonts w:eastAsia="Times New Roman"/>
          <w:color w:val="000000"/>
        </w:rPr>
        <w:t xml:space="preserve"> sentience.</w:t>
      </w:r>
      <w:r w:rsidR="00677596">
        <w:rPr>
          <w:rStyle w:val="FootnoteReference"/>
          <w:rFonts w:eastAsia="Times New Roman"/>
          <w:color w:val="000000"/>
        </w:rPr>
        <w:footnoteReference w:id="9"/>
      </w:r>
      <w:r w:rsidR="0089020A" w:rsidRPr="0089020A">
        <w:rPr>
          <w:rFonts w:eastAsia="Times New Roman"/>
          <w:color w:val="000000"/>
        </w:rPr>
        <w:t xml:space="preserve"> The </w:t>
      </w:r>
      <w:r w:rsidR="0089020A" w:rsidRPr="0089020A">
        <w:rPr>
          <w:rFonts w:eastAsia="Times New Roman"/>
          <w:i/>
          <w:color w:val="000000"/>
        </w:rPr>
        <w:t>ethical</w:t>
      </w:r>
      <w:r w:rsidR="0089020A" w:rsidRPr="0089020A">
        <w:rPr>
          <w:rFonts w:eastAsia="Times New Roman"/>
          <w:color w:val="000000"/>
        </w:rPr>
        <w:t xml:space="preserve"> question, then, is this. Should </w:t>
      </w:r>
      <w:proofErr w:type="spellStart"/>
      <w:r w:rsidR="0089020A" w:rsidRPr="0089020A">
        <w:rPr>
          <w:rFonts w:eastAsia="Times New Roman"/>
          <w:color w:val="000000"/>
        </w:rPr>
        <w:t>Sandai’s</w:t>
      </w:r>
      <w:proofErr w:type="spellEnd"/>
      <w:r w:rsidR="0089020A" w:rsidRPr="0089020A">
        <w:rPr>
          <w:rFonts w:eastAsia="Times New Roman"/>
          <w:color w:val="000000"/>
        </w:rPr>
        <w:t xml:space="preserve"> interests be taken into account as we try to achieve the best outcome? And, if they should, how should they be weighted? </w:t>
      </w:r>
    </w:p>
    <w:p w14:paraId="4336B349" w14:textId="703D643E" w:rsidR="00B417B2" w:rsidRPr="00213435" w:rsidRDefault="00B417B2" w:rsidP="00213435">
      <w:pPr>
        <w:widowControl w:val="0"/>
        <w:spacing w:after="0" w:line="240" w:lineRule="auto"/>
        <w:contextualSpacing/>
        <w:jc w:val="both"/>
        <w:rPr>
          <w:rFonts w:eastAsia="Times New Roman"/>
          <w:shd w:val="clear" w:color="auto" w:fill="FFFFFF"/>
        </w:rPr>
      </w:pPr>
      <w:r w:rsidRPr="00213435">
        <w:rPr>
          <w:rFonts w:eastAsia="Times New Roman"/>
          <w:shd w:val="clear" w:color="auto" w:fill="FFFFFF"/>
        </w:rPr>
        <w:t>        </w:t>
      </w:r>
      <w:r w:rsidRPr="00213435">
        <w:rPr>
          <w:rFonts w:eastAsia="Times New Roman"/>
          <w:shd w:val="clear" w:color="auto" w:fill="FFFFFF"/>
        </w:rPr>
        <w:tab/>
      </w:r>
      <w:proofErr w:type="spellStart"/>
      <w:r w:rsidR="008E57FE">
        <w:rPr>
          <w:rFonts w:eastAsia="Times New Roman"/>
          <w:shd w:val="clear" w:color="auto" w:fill="FFFFFF"/>
        </w:rPr>
        <w:t>Sandai</w:t>
      </w:r>
      <w:r w:rsidRPr="00213435">
        <w:rPr>
          <w:rFonts w:eastAsia="Times New Roman"/>
          <w:shd w:val="clear" w:color="auto" w:fill="FFFFFF"/>
        </w:rPr>
        <w:t>’s</w:t>
      </w:r>
      <w:proofErr w:type="spellEnd"/>
      <w:r w:rsidRPr="00213435">
        <w:rPr>
          <w:rFonts w:eastAsia="Times New Roman"/>
          <w:shd w:val="clear" w:color="auto" w:fill="FFFFFF"/>
        </w:rPr>
        <w:t xml:space="preserve"> confinement is the cause of </w:t>
      </w:r>
      <w:r w:rsidR="00415109" w:rsidRPr="00213435">
        <w:rPr>
          <w:rFonts w:eastAsia="Times New Roman"/>
          <w:shd w:val="clear" w:color="auto" w:fill="FFFFFF"/>
        </w:rPr>
        <w:t>h</w:t>
      </w:r>
      <w:r w:rsidR="00415109">
        <w:rPr>
          <w:rFonts w:eastAsia="Times New Roman"/>
          <w:shd w:val="clear" w:color="auto" w:fill="FFFFFF"/>
        </w:rPr>
        <w:t>is</w:t>
      </w:r>
      <w:r w:rsidR="00415109" w:rsidRPr="00213435">
        <w:rPr>
          <w:rFonts w:eastAsia="Times New Roman"/>
          <w:shd w:val="clear" w:color="auto" w:fill="FFFFFF"/>
        </w:rPr>
        <w:t xml:space="preserve"> </w:t>
      </w:r>
      <w:r w:rsidRPr="00213435">
        <w:rPr>
          <w:rFonts w:eastAsia="Times New Roman"/>
          <w:shd w:val="clear" w:color="auto" w:fill="FFFFFF"/>
        </w:rPr>
        <w:t xml:space="preserve">pain and frustration. </w:t>
      </w:r>
      <w:r w:rsidR="00415109">
        <w:rPr>
          <w:rFonts w:eastAsia="Times New Roman"/>
          <w:shd w:val="clear" w:color="auto" w:fill="FFFFFF"/>
        </w:rPr>
        <w:t>H</w:t>
      </w:r>
      <w:r w:rsidR="00415109" w:rsidRPr="00213435">
        <w:rPr>
          <w:rFonts w:eastAsia="Times New Roman"/>
          <w:shd w:val="clear" w:color="auto" w:fill="FFFFFF"/>
        </w:rPr>
        <w:t xml:space="preserve">e </w:t>
      </w:r>
      <w:r w:rsidRPr="00213435">
        <w:rPr>
          <w:rFonts w:eastAsia="Times New Roman"/>
          <w:shd w:val="clear" w:color="auto" w:fill="FFFFFF"/>
        </w:rPr>
        <w:t xml:space="preserve">is alternately anxious and frustrated, or bored and isolated. Release to a sanctuary would remove these harms and initiate a cascade of goods. In cases where we can prevent grave harms with a minimum of effort, ethical principles dictate that we should do so. If one can save a drowning child simply by reaching down and picking them up, one ought to do so. The obligation to prevent harms is especially acute in cases where significant harms can be prevented or removed at very little cost. The Court has this power in </w:t>
      </w:r>
      <w:proofErr w:type="spellStart"/>
      <w:r w:rsidR="008E57FE">
        <w:rPr>
          <w:rFonts w:eastAsia="Times New Roman"/>
          <w:shd w:val="clear" w:color="auto" w:fill="FFFFFF"/>
        </w:rPr>
        <w:t>Sandai</w:t>
      </w:r>
      <w:r w:rsidRPr="00213435">
        <w:rPr>
          <w:rFonts w:eastAsia="Times New Roman"/>
          <w:shd w:val="clear" w:color="auto" w:fill="FFFFFF"/>
        </w:rPr>
        <w:t>’s</w:t>
      </w:r>
      <w:proofErr w:type="spellEnd"/>
      <w:r w:rsidRPr="00213435">
        <w:rPr>
          <w:rFonts w:eastAsia="Times New Roman"/>
          <w:shd w:val="clear" w:color="auto" w:fill="FFFFFF"/>
        </w:rPr>
        <w:t xml:space="preserve"> case. The harms being visited upon </w:t>
      </w:r>
      <w:r w:rsidR="00415109" w:rsidRPr="00213435">
        <w:rPr>
          <w:rFonts w:eastAsia="Times New Roman"/>
          <w:shd w:val="clear" w:color="auto" w:fill="FFFFFF"/>
        </w:rPr>
        <w:t>h</w:t>
      </w:r>
      <w:r w:rsidR="00415109">
        <w:rPr>
          <w:rFonts w:eastAsia="Times New Roman"/>
          <w:shd w:val="clear" w:color="auto" w:fill="FFFFFF"/>
        </w:rPr>
        <w:t>im</w:t>
      </w:r>
      <w:r w:rsidR="00415109" w:rsidRPr="00213435">
        <w:rPr>
          <w:rFonts w:eastAsia="Times New Roman"/>
          <w:shd w:val="clear" w:color="auto" w:fill="FFFFFF"/>
        </w:rPr>
        <w:t xml:space="preserve"> </w:t>
      </w:r>
      <w:r w:rsidRPr="00213435">
        <w:rPr>
          <w:rFonts w:eastAsia="Times New Roman"/>
          <w:shd w:val="clear" w:color="auto" w:fill="FFFFFF"/>
        </w:rPr>
        <w:t xml:space="preserve">presently can easily be relieved by transferring </w:t>
      </w:r>
      <w:r w:rsidR="00415109" w:rsidRPr="00213435">
        <w:rPr>
          <w:rFonts w:eastAsia="Times New Roman"/>
          <w:shd w:val="clear" w:color="auto" w:fill="FFFFFF"/>
        </w:rPr>
        <w:t>h</w:t>
      </w:r>
      <w:r w:rsidR="00415109">
        <w:rPr>
          <w:rFonts w:eastAsia="Times New Roman"/>
          <w:shd w:val="clear" w:color="auto" w:fill="FFFFFF"/>
        </w:rPr>
        <w:t>im</w:t>
      </w:r>
      <w:r w:rsidR="00415109" w:rsidRPr="00213435">
        <w:rPr>
          <w:rFonts w:eastAsia="Times New Roman"/>
          <w:shd w:val="clear" w:color="auto" w:fill="FFFFFF"/>
        </w:rPr>
        <w:t xml:space="preserve"> </w:t>
      </w:r>
      <w:r w:rsidRPr="00213435">
        <w:rPr>
          <w:rFonts w:eastAsia="Times New Roman"/>
          <w:shd w:val="clear" w:color="auto" w:fill="FFFFFF"/>
        </w:rPr>
        <w:t xml:space="preserve">to a sanctuary, and the costs involved in doing so, if any, are minimal. Consequently, as we shall argue, rigorous analysis—based not only on utilitarian foundations but also on the other two moral theories most widely accepted among ethicists—leads inevitably to our conclusion. </w:t>
      </w:r>
    </w:p>
    <w:p w14:paraId="2488DB7A" w14:textId="77777777" w:rsidR="00B417B2" w:rsidRPr="00213435" w:rsidRDefault="00B417B2" w:rsidP="00213435">
      <w:pPr>
        <w:widowControl w:val="0"/>
        <w:spacing w:after="0" w:line="240" w:lineRule="auto"/>
        <w:contextualSpacing/>
        <w:jc w:val="both"/>
        <w:rPr>
          <w:rFonts w:eastAsia="Times New Roman"/>
          <w:shd w:val="clear" w:color="auto" w:fill="FFFFFF"/>
        </w:rPr>
      </w:pPr>
    </w:p>
    <w:p w14:paraId="315896A3" w14:textId="422619B9" w:rsidR="00B417B2" w:rsidRPr="00213435" w:rsidRDefault="0089020A" w:rsidP="00010984">
      <w:pPr>
        <w:widowControl w:val="0"/>
        <w:numPr>
          <w:ilvl w:val="1"/>
          <w:numId w:val="0"/>
        </w:numPr>
        <w:spacing w:after="0" w:line="240" w:lineRule="auto"/>
        <w:ind w:left="1440" w:hanging="360"/>
        <w:contextualSpacing/>
        <w:jc w:val="both"/>
        <w:outlineLvl w:val="1"/>
        <w:rPr>
          <w:rFonts w:eastAsia="Calibri"/>
          <w:b/>
        </w:rPr>
      </w:pPr>
      <w:bookmarkStart w:id="16" w:name="_Toc100180104"/>
      <w:r>
        <w:rPr>
          <w:rFonts w:eastAsia="Calibri"/>
          <w:b/>
        </w:rPr>
        <w:t xml:space="preserve">2. </w:t>
      </w:r>
      <w:proofErr w:type="spellStart"/>
      <w:r w:rsidR="008E57FE">
        <w:rPr>
          <w:rFonts w:eastAsia="Calibri"/>
          <w:b/>
        </w:rPr>
        <w:t>Sandai</w:t>
      </w:r>
      <w:r w:rsidR="00B417B2" w:rsidRPr="00213435">
        <w:rPr>
          <w:rFonts w:eastAsia="Calibri"/>
          <w:b/>
        </w:rPr>
        <w:t>’s</w:t>
      </w:r>
      <w:proofErr w:type="spellEnd"/>
      <w:r w:rsidR="00B417B2" w:rsidRPr="00213435">
        <w:rPr>
          <w:rFonts w:eastAsia="Calibri"/>
          <w:b/>
        </w:rPr>
        <w:t xml:space="preserve"> Strong Interest in Being Transferred Has Greater Moral Weight Than Anyone Else’s Interest in Keeping </w:t>
      </w:r>
      <w:r w:rsidR="00415109" w:rsidRPr="00213435">
        <w:rPr>
          <w:rFonts w:eastAsia="Calibri"/>
          <w:b/>
        </w:rPr>
        <w:t>H</w:t>
      </w:r>
      <w:r w:rsidR="00415109">
        <w:rPr>
          <w:rFonts w:eastAsia="Calibri"/>
          <w:b/>
        </w:rPr>
        <w:t>im</w:t>
      </w:r>
      <w:r w:rsidR="00415109" w:rsidRPr="00213435">
        <w:rPr>
          <w:rFonts w:eastAsia="Calibri"/>
          <w:b/>
        </w:rPr>
        <w:t xml:space="preserve"> </w:t>
      </w:r>
      <w:r w:rsidR="00B417B2" w:rsidRPr="00213435">
        <w:rPr>
          <w:rFonts w:eastAsia="Calibri"/>
          <w:b/>
        </w:rPr>
        <w:t>Confined.</w:t>
      </w:r>
      <w:bookmarkEnd w:id="16"/>
      <w:r w:rsidR="00B417B2" w:rsidRPr="00213435">
        <w:rPr>
          <w:rFonts w:eastAsia="Calibri"/>
          <w:b/>
        </w:rPr>
        <w:t xml:space="preserve"> </w:t>
      </w:r>
    </w:p>
    <w:p w14:paraId="2E97B159" w14:textId="77777777" w:rsidR="00B417B2" w:rsidRPr="00213435" w:rsidRDefault="00B417B2" w:rsidP="00213435">
      <w:pPr>
        <w:widowControl w:val="0"/>
        <w:spacing w:after="0" w:line="240" w:lineRule="auto"/>
        <w:jc w:val="both"/>
        <w:rPr>
          <w:rFonts w:eastAsia="Times New Roman"/>
          <w:b/>
        </w:rPr>
      </w:pPr>
    </w:p>
    <w:p w14:paraId="0C7B7DC6" w14:textId="0193F66C"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According to consequentialism, the permissibility of transferring </w:t>
      </w:r>
      <w:proofErr w:type="spellStart"/>
      <w:r w:rsidR="008E57FE">
        <w:rPr>
          <w:rFonts w:eastAsia="Times New Roman"/>
          <w:bCs/>
        </w:rPr>
        <w:t>Sandai</w:t>
      </w:r>
      <w:proofErr w:type="spellEnd"/>
      <w:r w:rsidRPr="00213435">
        <w:rPr>
          <w:rFonts w:eastAsia="Times New Roman"/>
          <w:bCs/>
        </w:rPr>
        <w:t xml:space="preserve"> to a sanctuary depends on the moral value of the outcome where </w:t>
      </w:r>
      <w:proofErr w:type="spellStart"/>
      <w:r w:rsidR="008E57FE">
        <w:rPr>
          <w:rFonts w:eastAsia="Times New Roman"/>
          <w:bCs/>
        </w:rPr>
        <w:t>Sandai</w:t>
      </w:r>
      <w:proofErr w:type="spellEnd"/>
      <w:r w:rsidRPr="00213435">
        <w:rPr>
          <w:rFonts w:eastAsia="Times New Roman"/>
          <w:bCs/>
        </w:rPr>
        <w:t xml:space="preserve"> is confined indefinitely, compared to the moral value of the outcome where </w:t>
      </w:r>
      <w:proofErr w:type="spellStart"/>
      <w:r w:rsidR="008E57FE">
        <w:rPr>
          <w:rFonts w:eastAsia="Times New Roman"/>
          <w:bCs/>
        </w:rPr>
        <w:t>Sandai</w:t>
      </w:r>
      <w:proofErr w:type="spellEnd"/>
      <w:r w:rsidRPr="00213435">
        <w:rPr>
          <w:rFonts w:eastAsia="Times New Roman"/>
          <w:bCs/>
        </w:rPr>
        <w:t xml:space="preserve"> is transferred to a sanctuary. The moral value of each of these outcomes is equal to the total value of the benefits to everyone who is benefited in that outcome minus the total disvalue of the harms to everyone who is harmed in that outcome. The right action is the one whose outcome has the greatest moral value.</w:t>
      </w:r>
    </w:p>
    <w:p w14:paraId="7894D19E" w14:textId="4C376614"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In the case of </w:t>
      </w:r>
      <w:proofErr w:type="spellStart"/>
      <w:r w:rsidR="008E57FE">
        <w:rPr>
          <w:rFonts w:eastAsia="Times New Roman"/>
          <w:bCs/>
        </w:rPr>
        <w:t>Sandai</w:t>
      </w:r>
      <w:proofErr w:type="spellEnd"/>
      <w:r w:rsidRPr="00213435">
        <w:rPr>
          <w:rFonts w:eastAsia="Times New Roman"/>
          <w:bCs/>
        </w:rPr>
        <w:t xml:space="preserve">, the most salient stakeholder by far is </w:t>
      </w:r>
      <w:proofErr w:type="spellStart"/>
      <w:r w:rsidR="008E57FE">
        <w:rPr>
          <w:rFonts w:eastAsia="Times New Roman"/>
          <w:bCs/>
        </w:rPr>
        <w:t>Sandai</w:t>
      </w:r>
      <w:proofErr w:type="spellEnd"/>
      <w:r w:rsidRPr="00213435">
        <w:rPr>
          <w:rFonts w:eastAsia="Times New Roman"/>
          <w:bCs/>
        </w:rPr>
        <w:t xml:space="preserve">. In contrast to the very great benefits to </w:t>
      </w:r>
      <w:proofErr w:type="spellStart"/>
      <w:r w:rsidR="008E57FE">
        <w:rPr>
          <w:rFonts w:eastAsia="Times New Roman"/>
          <w:bCs/>
        </w:rPr>
        <w:t>Sandai</w:t>
      </w:r>
      <w:proofErr w:type="spellEnd"/>
      <w:r w:rsidRPr="00213435">
        <w:rPr>
          <w:rFonts w:eastAsia="Times New Roman"/>
          <w:bCs/>
        </w:rPr>
        <w:t xml:space="preserve"> from being allowed to go to a sanctuary where he could flourish with other </w:t>
      </w:r>
      <w:r w:rsidR="00E61892">
        <w:rPr>
          <w:rFonts w:eastAsia="Times New Roman"/>
          <w:bCs/>
        </w:rPr>
        <w:t>orangutan</w:t>
      </w:r>
      <w:r w:rsidRPr="00213435">
        <w:rPr>
          <w:rFonts w:eastAsia="Times New Roman"/>
          <w:bCs/>
        </w:rPr>
        <w:t xml:space="preserve">s, the marginal benefits to zoo visitors of seeing an </w:t>
      </w:r>
      <w:r w:rsidR="00E61892">
        <w:rPr>
          <w:rFonts w:eastAsia="Times New Roman"/>
          <w:bCs/>
        </w:rPr>
        <w:t>orangutan</w:t>
      </w:r>
      <w:r w:rsidRPr="00213435">
        <w:rPr>
          <w:rFonts w:eastAsia="Times New Roman"/>
          <w:bCs/>
        </w:rPr>
        <w:t xml:space="preserve"> from a monorail, as to opposed to in a documentary—if there are any—do not outweigh the profound harm of living as an </w:t>
      </w:r>
      <w:r w:rsidR="00E61892">
        <w:rPr>
          <w:rFonts w:eastAsia="Times New Roman"/>
          <w:bCs/>
        </w:rPr>
        <w:t>orangutan</w:t>
      </w:r>
      <w:r w:rsidRPr="00213435">
        <w:rPr>
          <w:rFonts w:eastAsia="Times New Roman"/>
          <w:bCs/>
        </w:rPr>
        <w:t xml:space="preserve"> in confinement. </w:t>
      </w:r>
    </w:p>
    <w:p w14:paraId="003A9F8D" w14:textId="0453EC34"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This is why a consequentialist approach to ethics implies that moving </w:t>
      </w:r>
      <w:proofErr w:type="spellStart"/>
      <w:r w:rsidR="008E57FE">
        <w:rPr>
          <w:rFonts w:eastAsia="Times New Roman"/>
          <w:bCs/>
        </w:rPr>
        <w:t>Sandai</w:t>
      </w:r>
      <w:proofErr w:type="spellEnd"/>
      <w:r w:rsidRPr="00213435">
        <w:rPr>
          <w:rFonts w:eastAsia="Times New Roman"/>
          <w:bCs/>
        </w:rPr>
        <w:t xml:space="preserve"> to a sanctuary is right and keeping </w:t>
      </w:r>
      <w:r w:rsidR="00415109" w:rsidRPr="00213435">
        <w:rPr>
          <w:rFonts w:eastAsia="Times New Roman"/>
          <w:bCs/>
        </w:rPr>
        <w:t>h</w:t>
      </w:r>
      <w:r w:rsidR="00415109">
        <w:rPr>
          <w:rFonts w:eastAsia="Times New Roman"/>
          <w:bCs/>
        </w:rPr>
        <w:t>im</w:t>
      </w:r>
      <w:r w:rsidR="00415109" w:rsidRPr="00213435">
        <w:rPr>
          <w:rFonts w:eastAsia="Times New Roman"/>
          <w:bCs/>
        </w:rPr>
        <w:t xml:space="preserve"> </w:t>
      </w:r>
      <w:r w:rsidRPr="00213435">
        <w:rPr>
          <w:rFonts w:eastAsia="Times New Roman"/>
          <w:bCs/>
        </w:rPr>
        <w:t>confined is wrong.</w:t>
      </w:r>
    </w:p>
    <w:p w14:paraId="64078F28" w14:textId="22993FB0"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lastRenderedPageBreak/>
        <w:t xml:space="preserve">The argument so far assumes that the benefits of keeping </w:t>
      </w:r>
      <w:proofErr w:type="spellStart"/>
      <w:r w:rsidR="008E57FE">
        <w:rPr>
          <w:rFonts w:eastAsia="Times New Roman"/>
          <w:bCs/>
        </w:rPr>
        <w:t>Sandai</w:t>
      </w:r>
      <w:proofErr w:type="spellEnd"/>
      <w:r w:rsidRPr="00213435">
        <w:rPr>
          <w:rFonts w:eastAsia="Times New Roman"/>
          <w:bCs/>
        </w:rPr>
        <w:t xml:space="preserve"> confined are limited to the positive experiences people have seeing </w:t>
      </w:r>
      <w:proofErr w:type="spellStart"/>
      <w:r w:rsidR="008E57FE">
        <w:rPr>
          <w:rFonts w:eastAsia="Times New Roman"/>
          <w:bCs/>
        </w:rPr>
        <w:t>Sandai</w:t>
      </w:r>
      <w:proofErr w:type="spellEnd"/>
      <w:r w:rsidRPr="00213435">
        <w:rPr>
          <w:rFonts w:eastAsia="Times New Roman"/>
          <w:bCs/>
        </w:rPr>
        <w:t xml:space="preserve">. One might also wish to include other benefits that </w:t>
      </w:r>
      <w:proofErr w:type="spellStart"/>
      <w:r w:rsidR="008E57FE">
        <w:rPr>
          <w:rFonts w:eastAsia="Times New Roman"/>
          <w:bCs/>
        </w:rPr>
        <w:t>Sandai</w:t>
      </w:r>
      <w:r w:rsidRPr="00213435">
        <w:rPr>
          <w:rFonts w:eastAsia="Times New Roman"/>
          <w:bCs/>
        </w:rPr>
        <w:t>’s</w:t>
      </w:r>
      <w:proofErr w:type="spellEnd"/>
      <w:r w:rsidRPr="00213435">
        <w:rPr>
          <w:rFonts w:eastAsia="Times New Roman"/>
          <w:bCs/>
        </w:rPr>
        <w:t xml:space="preserve"> confinement makes possible. For example, keeping </w:t>
      </w:r>
      <w:proofErr w:type="spellStart"/>
      <w:r w:rsidR="008E57FE">
        <w:rPr>
          <w:rFonts w:eastAsia="Times New Roman"/>
          <w:bCs/>
        </w:rPr>
        <w:t>Sandai</w:t>
      </w:r>
      <w:proofErr w:type="spellEnd"/>
      <w:r w:rsidRPr="00213435">
        <w:rPr>
          <w:rFonts w:eastAsia="Times New Roman"/>
          <w:bCs/>
        </w:rPr>
        <w:t xml:space="preserve"> at </w:t>
      </w:r>
      <w:r w:rsidR="00886D60">
        <w:rPr>
          <w:rFonts w:eastAsia="Times New Roman"/>
          <w:bCs/>
        </w:rPr>
        <w:t>Buin</w:t>
      </w:r>
      <w:r w:rsidRPr="00213435">
        <w:rPr>
          <w:rFonts w:eastAsia="Times New Roman"/>
          <w:bCs/>
        </w:rPr>
        <w:t xml:space="preserve"> Zoo may bring in additional revenue for the Zoo, making it possible to employ more people and to fund conservation efforts. Or perhaps seeing </w:t>
      </w:r>
      <w:proofErr w:type="spellStart"/>
      <w:r w:rsidR="008E57FE">
        <w:rPr>
          <w:rFonts w:eastAsia="Times New Roman"/>
          <w:bCs/>
        </w:rPr>
        <w:t>Sandai</w:t>
      </w:r>
      <w:proofErr w:type="spellEnd"/>
      <w:r w:rsidRPr="00213435">
        <w:rPr>
          <w:rFonts w:eastAsia="Times New Roman"/>
          <w:bCs/>
        </w:rPr>
        <w:t xml:space="preserve"> confined leads visitors to take tangible steps to improve the lives of </w:t>
      </w:r>
      <w:r w:rsidR="00E61892">
        <w:rPr>
          <w:rFonts w:eastAsia="Times New Roman"/>
          <w:bCs/>
        </w:rPr>
        <w:t>orangutan</w:t>
      </w:r>
      <w:r w:rsidRPr="00213435">
        <w:rPr>
          <w:rFonts w:eastAsia="Times New Roman"/>
          <w:bCs/>
        </w:rPr>
        <w:t>s in the wild.</w:t>
      </w:r>
    </w:p>
    <w:p w14:paraId="110BCE72" w14:textId="561FB907" w:rsidR="00B417B2" w:rsidRPr="00213435"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We exclude these benefits, because these count in favor of </w:t>
      </w:r>
      <w:proofErr w:type="spellStart"/>
      <w:r w:rsidR="008E57FE">
        <w:rPr>
          <w:rFonts w:eastAsia="Times New Roman"/>
          <w:bCs/>
        </w:rPr>
        <w:t>Sandai</w:t>
      </w:r>
      <w:r w:rsidRPr="00213435">
        <w:rPr>
          <w:rFonts w:eastAsia="Times New Roman"/>
          <w:bCs/>
        </w:rPr>
        <w:t>’s</w:t>
      </w:r>
      <w:proofErr w:type="spellEnd"/>
      <w:r w:rsidRPr="00213435">
        <w:rPr>
          <w:rFonts w:eastAsia="Times New Roman"/>
          <w:bCs/>
        </w:rPr>
        <w:t xml:space="preserve"> confinement only if obtaining them requires </w:t>
      </w:r>
      <w:proofErr w:type="spellStart"/>
      <w:r w:rsidR="008E57FE">
        <w:rPr>
          <w:rFonts w:eastAsia="Times New Roman"/>
          <w:bCs/>
        </w:rPr>
        <w:t>Sandai</w:t>
      </w:r>
      <w:r w:rsidRPr="00213435">
        <w:rPr>
          <w:rFonts w:eastAsia="Times New Roman"/>
          <w:bCs/>
        </w:rPr>
        <w:t>’s</w:t>
      </w:r>
      <w:proofErr w:type="spellEnd"/>
      <w:r w:rsidRPr="00213435">
        <w:rPr>
          <w:rFonts w:eastAsia="Times New Roman"/>
          <w:bCs/>
        </w:rPr>
        <w:t xml:space="preserve"> confinement. And that is far from obvious. There are other ways to employ people, fund conservation efforts, and improve wild </w:t>
      </w:r>
      <w:r w:rsidR="00E61892">
        <w:rPr>
          <w:rFonts w:eastAsia="Times New Roman"/>
          <w:bCs/>
        </w:rPr>
        <w:t>orangutan</w:t>
      </w:r>
      <w:r w:rsidRPr="00213435">
        <w:rPr>
          <w:rFonts w:eastAsia="Times New Roman"/>
          <w:bCs/>
        </w:rPr>
        <w:t xml:space="preserve">s’ lives. Consequentialists would need a strong case that </w:t>
      </w:r>
      <w:proofErr w:type="spellStart"/>
      <w:r w:rsidR="008E57FE">
        <w:rPr>
          <w:rFonts w:eastAsia="Times New Roman"/>
          <w:bCs/>
        </w:rPr>
        <w:t>Sandai</w:t>
      </w:r>
      <w:r w:rsidRPr="00213435">
        <w:rPr>
          <w:rFonts w:eastAsia="Times New Roman"/>
          <w:bCs/>
        </w:rPr>
        <w:t>’s</w:t>
      </w:r>
      <w:proofErr w:type="spellEnd"/>
      <w:r w:rsidRPr="00213435">
        <w:rPr>
          <w:rFonts w:eastAsia="Times New Roman"/>
          <w:bCs/>
        </w:rPr>
        <w:t xml:space="preserve"> confinement was necessary for these benefits before they should consider keeping </w:t>
      </w:r>
      <w:proofErr w:type="spellStart"/>
      <w:r w:rsidR="008E57FE">
        <w:rPr>
          <w:rFonts w:eastAsia="Times New Roman"/>
          <w:bCs/>
        </w:rPr>
        <w:t>Sandai</w:t>
      </w:r>
      <w:proofErr w:type="spellEnd"/>
      <w:r w:rsidRPr="00213435">
        <w:rPr>
          <w:rFonts w:eastAsia="Times New Roman"/>
          <w:bCs/>
        </w:rPr>
        <w:t xml:space="preserve"> confined in order to promote them.</w:t>
      </w:r>
    </w:p>
    <w:p w14:paraId="0CFBB645" w14:textId="1FE01259" w:rsidR="00B417B2" w:rsidRDefault="00B417B2" w:rsidP="00213435">
      <w:pPr>
        <w:widowControl w:val="0"/>
        <w:spacing w:after="0" w:line="240" w:lineRule="auto"/>
        <w:ind w:firstLine="720"/>
        <w:contextualSpacing/>
        <w:jc w:val="both"/>
        <w:rPr>
          <w:rFonts w:eastAsia="Times New Roman"/>
          <w:bCs/>
        </w:rPr>
      </w:pPr>
      <w:r w:rsidRPr="00213435">
        <w:rPr>
          <w:rFonts w:eastAsia="Times New Roman"/>
          <w:bCs/>
        </w:rPr>
        <w:t xml:space="preserve">Indeed, this objection gets to the heart of the consequentialist case for granting legal personhood to nonhuman persons. Unless nonhuman persons are granted legal personhood, their mistreatment will be rationalized by the ever-present possibility of downstream benefits. Without legal protection, the temptation to frustrate animals’ interests will prove too strong, leading humans to overlook alternatives that are less convenient but better for animals and the world as a whole. </w:t>
      </w:r>
    </w:p>
    <w:p w14:paraId="722CA5DD" w14:textId="77777777" w:rsidR="0076269F" w:rsidRPr="00213435" w:rsidRDefault="0076269F" w:rsidP="00213435">
      <w:pPr>
        <w:widowControl w:val="0"/>
        <w:spacing w:after="0" w:line="240" w:lineRule="auto"/>
        <w:ind w:firstLine="720"/>
        <w:contextualSpacing/>
        <w:jc w:val="both"/>
        <w:rPr>
          <w:rFonts w:eastAsia="Times New Roman"/>
          <w:bCs/>
        </w:rPr>
      </w:pPr>
    </w:p>
    <w:p w14:paraId="2F8C3A27" w14:textId="3B552537" w:rsidR="00B417B2" w:rsidRPr="00213435" w:rsidRDefault="0076269F" w:rsidP="00213435">
      <w:pPr>
        <w:widowControl w:val="0"/>
        <w:numPr>
          <w:ilvl w:val="1"/>
          <w:numId w:val="0"/>
        </w:numPr>
        <w:spacing w:after="0" w:line="240" w:lineRule="auto"/>
        <w:ind w:left="1440" w:hanging="360"/>
        <w:contextualSpacing/>
        <w:jc w:val="both"/>
        <w:outlineLvl w:val="1"/>
        <w:rPr>
          <w:rFonts w:eastAsia="Calibri"/>
          <w:b/>
        </w:rPr>
      </w:pPr>
      <w:bookmarkStart w:id="17" w:name="_Toc100180105"/>
      <w:r>
        <w:rPr>
          <w:rFonts w:eastAsia="Calibri"/>
          <w:b/>
        </w:rPr>
        <w:t xml:space="preserve">3. </w:t>
      </w:r>
      <w:proofErr w:type="spellStart"/>
      <w:r w:rsidR="008E57FE">
        <w:rPr>
          <w:rFonts w:eastAsia="Calibri"/>
          <w:b/>
        </w:rPr>
        <w:t>Sandai</w:t>
      </w:r>
      <w:proofErr w:type="spellEnd"/>
      <w:r w:rsidR="00B417B2" w:rsidRPr="00213435">
        <w:rPr>
          <w:rFonts w:eastAsia="Calibri"/>
          <w:b/>
        </w:rPr>
        <w:t xml:space="preserve"> Has the Capacities Sufficient for Personhood.</w:t>
      </w:r>
      <w:bookmarkEnd w:id="17"/>
      <w:r w:rsidR="00B417B2" w:rsidRPr="00213435">
        <w:rPr>
          <w:rFonts w:eastAsia="Calibri"/>
          <w:b/>
        </w:rPr>
        <w:t xml:space="preserve"> </w:t>
      </w:r>
    </w:p>
    <w:p w14:paraId="319FAFC7" w14:textId="77777777" w:rsidR="00B417B2" w:rsidRPr="00213435" w:rsidRDefault="00B417B2" w:rsidP="00213435">
      <w:pPr>
        <w:widowControl w:val="0"/>
        <w:spacing w:after="0" w:line="240" w:lineRule="auto"/>
        <w:jc w:val="both"/>
        <w:rPr>
          <w:rFonts w:eastAsia="Times New Roman"/>
          <w:b/>
        </w:rPr>
      </w:pPr>
    </w:p>
    <w:p w14:paraId="56273551" w14:textId="77777777" w:rsidR="00B417B2" w:rsidRPr="00213435" w:rsidRDefault="00B417B2" w:rsidP="00213435">
      <w:pPr>
        <w:widowControl w:val="0"/>
        <w:spacing w:after="0" w:line="240" w:lineRule="auto"/>
        <w:ind w:firstLine="720"/>
        <w:contextualSpacing/>
        <w:jc w:val="both"/>
        <w:rPr>
          <w:rFonts w:eastAsia="Times New Roman"/>
        </w:rPr>
      </w:pPr>
      <w:r w:rsidRPr="00213435">
        <w:rPr>
          <w:rFonts w:eastAsia="Times New Roman"/>
        </w:rPr>
        <w:t>A person, according to the Lockean tradition, is an autonomous individual with a unified, continuous, sense of self. Persons identify with their memories of the past and project themselves into the future. They can reflect on where they have been, but they can also plan, aspire, and anticipate where they will go. These time-traveling abilities give persons access to novel benefits, but they also expose them to novel harms. When persons are confined, for example, this does not only frustrate their present interests. It robs them of their future.</w:t>
      </w:r>
    </w:p>
    <w:p w14:paraId="5E17E53F" w14:textId="71572868" w:rsidR="0053458B" w:rsidRPr="00213435" w:rsidRDefault="00B417B2" w:rsidP="00213435">
      <w:pPr>
        <w:widowControl w:val="0"/>
        <w:spacing w:after="0" w:line="240" w:lineRule="auto"/>
        <w:ind w:firstLine="720"/>
        <w:contextualSpacing/>
        <w:jc w:val="both"/>
        <w:rPr>
          <w:rFonts w:eastAsia="Times New Roman"/>
        </w:rPr>
      </w:pPr>
      <w:bookmarkStart w:id="18" w:name="_30j0zll" w:colFirst="0" w:colLast="0"/>
      <w:bookmarkEnd w:id="18"/>
      <w:r w:rsidRPr="00213435">
        <w:rPr>
          <w:rFonts w:eastAsia="Times New Roman"/>
        </w:rPr>
        <w:t xml:space="preserve">On a yet richer conception of personhood, persons not only have memories and projects, but they are also sentient, rational, emotional, social, and autonomous individuals. These characteristics of persons further strengthen their interests in avoiding isolation and confinement. </w:t>
      </w:r>
      <w:proofErr w:type="spellStart"/>
      <w:r w:rsidR="008E57FE">
        <w:rPr>
          <w:rFonts w:eastAsia="Times New Roman"/>
        </w:rPr>
        <w:t>Sandai</w:t>
      </w:r>
      <w:proofErr w:type="spellEnd"/>
      <w:r w:rsidRPr="00213435">
        <w:rPr>
          <w:rFonts w:eastAsia="Times New Roman"/>
        </w:rPr>
        <w:t xml:space="preserve"> has these characteristics. </w:t>
      </w:r>
    </w:p>
    <w:p w14:paraId="2F5B5811" w14:textId="77777777" w:rsidR="0001404B" w:rsidRDefault="00883A31" w:rsidP="0001404B">
      <w:pPr>
        <w:widowControl w:val="0"/>
        <w:spacing w:after="0" w:line="240" w:lineRule="auto"/>
        <w:ind w:firstLine="720"/>
        <w:contextualSpacing/>
        <w:jc w:val="both"/>
        <w:rPr>
          <w:rFonts w:eastAsia="Times New Roman"/>
          <w:color w:val="333333"/>
        </w:rPr>
      </w:pPr>
      <w:r>
        <w:rPr>
          <w:rFonts w:eastAsia="Times New Roman"/>
          <w:color w:val="333333"/>
        </w:rPr>
        <w:t xml:space="preserve">Orangutans </w:t>
      </w:r>
      <w:r w:rsidR="0058297B">
        <w:rPr>
          <w:rFonts w:eastAsia="Times New Roman"/>
          <w:color w:val="333333"/>
        </w:rPr>
        <w:t>pass</w:t>
      </w:r>
      <w:r>
        <w:rPr>
          <w:rFonts w:eastAsia="Times New Roman"/>
          <w:color w:val="333333"/>
        </w:rPr>
        <w:t xml:space="preserve"> the mirror test of self-recognition</w:t>
      </w:r>
      <w:r w:rsidR="00BA3982">
        <w:rPr>
          <w:rFonts w:eastAsia="Times New Roman"/>
          <w:color w:val="333333"/>
        </w:rPr>
        <w:t>, which means they are self-aware</w:t>
      </w:r>
      <w:r>
        <w:rPr>
          <w:rFonts w:eastAsia="Times New Roman"/>
          <w:color w:val="333333"/>
        </w:rPr>
        <w:t>.</w:t>
      </w:r>
      <w:r w:rsidR="002E3354">
        <w:rPr>
          <w:rStyle w:val="FootnoteReference"/>
          <w:rFonts w:eastAsia="Times New Roman"/>
          <w:color w:val="333333"/>
        </w:rPr>
        <w:footnoteReference w:id="10"/>
      </w:r>
      <w:r>
        <w:rPr>
          <w:rFonts w:eastAsia="Times New Roman"/>
          <w:color w:val="333333"/>
        </w:rPr>
        <w:t xml:space="preserve"> They also have the capacity to learn sign language</w:t>
      </w:r>
      <w:r w:rsidR="00BA3982">
        <w:rPr>
          <w:rFonts w:eastAsia="Times New Roman"/>
          <w:color w:val="333333"/>
        </w:rPr>
        <w:t xml:space="preserve"> and understand spoken human languages</w:t>
      </w:r>
      <w:r>
        <w:rPr>
          <w:rFonts w:eastAsia="Times New Roman"/>
          <w:color w:val="333333"/>
        </w:rPr>
        <w:t>.</w:t>
      </w:r>
      <w:r w:rsidR="002E3354">
        <w:rPr>
          <w:rStyle w:val="FootnoteReference"/>
          <w:rFonts w:eastAsia="Times New Roman"/>
          <w:color w:val="333333"/>
        </w:rPr>
        <w:footnoteReference w:id="11"/>
      </w:r>
      <w:r>
        <w:rPr>
          <w:rFonts w:eastAsia="Times New Roman"/>
          <w:color w:val="333333"/>
        </w:rPr>
        <w:t xml:space="preserve"> For example, orangutan </w:t>
      </w:r>
      <w:proofErr w:type="spellStart"/>
      <w:r>
        <w:rPr>
          <w:rFonts w:eastAsia="Times New Roman"/>
          <w:color w:val="333333"/>
        </w:rPr>
        <w:t>Chantek</w:t>
      </w:r>
      <w:proofErr w:type="spellEnd"/>
      <w:r>
        <w:rPr>
          <w:rFonts w:eastAsia="Times New Roman"/>
          <w:color w:val="333333"/>
        </w:rPr>
        <w:t xml:space="preserve"> learned American Sign Language and invented his own words to refer to </w:t>
      </w:r>
      <w:r w:rsidR="007F3068">
        <w:rPr>
          <w:rFonts w:eastAsia="Times New Roman"/>
          <w:color w:val="333333"/>
        </w:rPr>
        <w:t>particular</w:t>
      </w:r>
      <w:r>
        <w:rPr>
          <w:rFonts w:eastAsia="Times New Roman"/>
          <w:color w:val="333333"/>
        </w:rPr>
        <w:t xml:space="preserve"> objects, like contact lens </w:t>
      </w:r>
      <w:r w:rsidR="008A081D">
        <w:rPr>
          <w:rFonts w:eastAsia="Times New Roman"/>
          <w:color w:val="333333"/>
        </w:rPr>
        <w:t>solution</w:t>
      </w:r>
      <w:r>
        <w:rPr>
          <w:rFonts w:eastAsia="Times New Roman"/>
          <w:color w:val="333333"/>
        </w:rPr>
        <w:t xml:space="preserve">, which he </w:t>
      </w:r>
      <w:r w:rsidR="00BA3982">
        <w:rPr>
          <w:rFonts w:eastAsia="Times New Roman"/>
          <w:color w:val="333333"/>
        </w:rPr>
        <w:t>called</w:t>
      </w:r>
      <w:r>
        <w:rPr>
          <w:rFonts w:eastAsia="Times New Roman"/>
          <w:color w:val="333333"/>
        </w:rPr>
        <w:t xml:space="preserve"> </w:t>
      </w:r>
      <w:r w:rsidR="008A081D">
        <w:rPr>
          <w:rFonts w:eastAsia="Times New Roman"/>
          <w:color w:val="333333"/>
        </w:rPr>
        <w:t>EYE-DRINK</w:t>
      </w:r>
      <w:r>
        <w:rPr>
          <w:rFonts w:eastAsia="Times New Roman"/>
          <w:color w:val="333333"/>
        </w:rPr>
        <w:t>.</w:t>
      </w:r>
      <w:r w:rsidR="002E3354">
        <w:rPr>
          <w:rStyle w:val="FootnoteReference"/>
          <w:rFonts w:eastAsia="Times New Roman"/>
          <w:color w:val="333333"/>
        </w:rPr>
        <w:footnoteReference w:id="12"/>
      </w:r>
      <w:r>
        <w:rPr>
          <w:rFonts w:eastAsia="Times New Roman"/>
          <w:color w:val="333333"/>
        </w:rPr>
        <w:t xml:space="preserve"> </w:t>
      </w:r>
      <w:r w:rsidR="0058297B">
        <w:rPr>
          <w:rFonts w:eastAsia="Times New Roman"/>
          <w:color w:val="333333"/>
        </w:rPr>
        <w:t>He also invented nicknames like DAV</w:t>
      </w:r>
      <w:r w:rsidR="008A081D">
        <w:rPr>
          <w:rFonts w:eastAsia="Times New Roman"/>
          <w:color w:val="333333"/>
        </w:rPr>
        <w:t xml:space="preserve">E-MISSING-FINGER </w:t>
      </w:r>
      <w:r w:rsidR="0058297B">
        <w:rPr>
          <w:rFonts w:eastAsia="Times New Roman"/>
          <w:color w:val="333333"/>
        </w:rPr>
        <w:t xml:space="preserve">for </w:t>
      </w:r>
      <w:r w:rsidR="00BA3982">
        <w:rPr>
          <w:rFonts w:eastAsia="Times New Roman"/>
          <w:color w:val="333333"/>
        </w:rPr>
        <w:t xml:space="preserve">his favorite </w:t>
      </w:r>
      <w:r w:rsidR="008A081D">
        <w:rPr>
          <w:rFonts w:eastAsia="Times New Roman"/>
          <w:color w:val="333333"/>
        </w:rPr>
        <w:t>university employee who had a hand injury</w:t>
      </w:r>
      <w:r w:rsidR="0058297B">
        <w:rPr>
          <w:rFonts w:eastAsia="Times New Roman"/>
          <w:color w:val="333333"/>
        </w:rPr>
        <w:t>.</w:t>
      </w:r>
      <w:r w:rsidR="002E3354">
        <w:rPr>
          <w:rStyle w:val="FootnoteReference"/>
          <w:rFonts w:eastAsia="Times New Roman"/>
          <w:color w:val="333333"/>
        </w:rPr>
        <w:footnoteReference w:id="13"/>
      </w:r>
      <w:r w:rsidR="0058297B">
        <w:rPr>
          <w:rFonts w:eastAsia="Times New Roman"/>
          <w:color w:val="333333"/>
        </w:rPr>
        <w:t xml:space="preserve"> </w:t>
      </w:r>
      <w:r w:rsidR="00496E2C">
        <w:rPr>
          <w:rFonts w:eastAsia="Times New Roman"/>
          <w:color w:val="333333"/>
        </w:rPr>
        <w:t>Additionally, he would sign NO-TEETH to show that he would not use his teeth during rough play.</w:t>
      </w:r>
      <w:r w:rsidR="00496E2C">
        <w:rPr>
          <w:rStyle w:val="FootnoteReference"/>
          <w:rFonts w:eastAsia="Times New Roman"/>
          <w:color w:val="333333"/>
        </w:rPr>
        <w:footnoteReference w:id="14"/>
      </w:r>
      <w:r w:rsidR="00496E2C">
        <w:rPr>
          <w:rFonts w:eastAsia="Times New Roman"/>
          <w:color w:val="333333"/>
        </w:rPr>
        <w:t xml:space="preserve"> </w:t>
      </w:r>
      <w:proofErr w:type="spellStart"/>
      <w:r w:rsidR="0058297B">
        <w:rPr>
          <w:rFonts w:eastAsia="Times New Roman"/>
          <w:color w:val="333333"/>
        </w:rPr>
        <w:t>Chantek</w:t>
      </w:r>
      <w:proofErr w:type="spellEnd"/>
      <w:r w:rsidR="0058297B">
        <w:rPr>
          <w:rFonts w:eastAsia="Times New Roman"/>
          <w:color w:val="333333"/>
        </w:rPr>
        <w:t xml:space="preserve"> was capable of labeling certain conducts as good or bad, like when </w:t>
      </w:r>
      <w:r w:rsidR="0058297B">
        <w:rPr>
          <w:rFonts w:eastAsia="Times New Roman"/>
          <w:color w:val="333333"/>
        </w:rPr>
        <w:lastRenderedPageBreak/>
        <w:t>he grabbed the cat.</w:t>
      </w:r>
      <w:r w:rsidR="002E3354">
        <w:rPr>
          <w:rStyle w:val="FootnoteReference"/>
          <w:rFonts w:eastAsia="Times New Roman"/>
          <w:color w:val="333333"/>
        </w:rPr>
        <w:footnoteReference w:id="15"/>
      </w:r>
      <w:r w:rsidR="0058297B">
        <w:rPr>
          <w:rFonts w:eastAsia="Times New Roman"/>
          <w:color w:val="333333"/>
        </w:rPr>
        <w:t xml:space="preserve"> </w:t>
      </w:r>
      <w:proofErr w:type="spellStart"/>
      <w:r w:rsidR="0058297B">
        <w:rPr>
          <w:rFonts w:eastAsia="Times New Roman"/>
          <w:color w:val="333333"/>
        </w:rPr>
        <w:t>Chantek’s</w:t>
      </w:r>
      <w:proofErr w:type="spellEnd"/>
      <w:r w:rsidR="0058297B">
        <w:rPr>
          <w:rFonts w:eastAsia="Times New Roman"/>
          <w:color w:val="333333"/>
        </w:rPr>
        <w:t xml:space="preserve"> linguistic abilities are comparable to those that two or three-year-old human child</w:t>
      </w:r>
      <w:r w:rsidR="00BD01B1">
        <w:rPr>
          <w:rFonts w:eastAsia="Times New Roman"/>
          <w:color w:val="333333"/>
        </w:rPr>
        <w:t>ren</w:t>
      </w:r>
      <w:r w:rsidR="0058297B">
        <w:rPr>
          <w:rFonts w:eastAsia="Times New Roman"/>
          <w:color w:val="333333"/>
        </w:rPr>
        <w:t xml:space="preserve"> possess.</w:t>
      </w:r>
      <w:r w:rsidR="00494DA8">
        <w:rPr>
          <w:rStyle w:val="FootnoteReference"/>
          <w:rFonts w:eastAsia="Times New Roman"/>
          <w:color w:val="333333"/>
        </w:rPr>
        <w:footnoteReference w:id="16"/>
      </w:r>
      <w:r w:rsidR="0058297B">
        <w:rPr>
          <w:rFonts w:eastAsia="Times New Roman"/>
          <w:color w:val="333333"/>
        </w:rPr>
        <w:t xml:space="preserve"> </w:t>
      </w:r>
      <w:r w:rsidR="00BD01B1">
        <w:rPr>
          <w:rFonts w:eastAsia="Times New Roman"/>
          <w:color w:val="333333"/>
        </w:rPr>
        <w:t>Orangutans</w:t>
      </w:r>
      <w:r w:rsidR="00F348F8">
        <w:rPr>
          <w:rFonts w:eastAsia="Times New Roman"/>
          <w:color w:val="333333"/>
        </w:rPr>
        <w:t xml:space="preserve"> can </w:t>
      </w:r>
      <w:r w:rsidR="008B535B">
        <w:rPr>
          <w:rFonts w:eastAsia="Times New Roman"/>
          <w:color w:val="333333"/>
        </w:rPr>
        <w:t xml:space="preserve">also </w:t>
      </w:r>
      <w:r w:rsidR="00F348F8">
        <w:rPr>
          <w:rFonts w:eastAsia="Times New Roman"/>
          <w:color w:val="333333"/>
        </w:rPr>
        <w:t>put themselves in the place of other</w:t>
      </w:r>
      <w:r w:rsidR="00BD01B1">
        <w:rPr>
          <w:rFonts w:eastAsia="Times New Roman"/>
          <w:color w:val="333333"/>
        </w:rPr>
        <w:t>s</w:t>
      </w:r>
      <w:r w:rsidR="00F348F8">
        <w:rPr>
          <w:rFonts w:eastAsia="Times New Roman"/>
          <w:color w:val="333333"/>
        </w:rPr>
        <w:t xml:space="preserve">, showing altruism, empathy, and </w:t>
      </w:r>
      <w:r w:rsidR="008B535B">
        <w:rPr>
          <w:rFonts w:eastAsia="Times New Roman"/>
          <w:color w:val="333333"/>
        </w:rPr>
        <w:t>deception</w:t>
      </w:r>
      <w:r w:rsidR="00F348F8">
        <w:rPr>
          <w:rFonts w:eastAsia="Times New Roman"/>
          <w:color w:val="333333"/>
        </w:rPr>
        <w:t>.</w:t>
      </w:r>
      <w:r w:rsidR="002E3354">
        <w:rPr>
          <w:rStyle w:val="FootnoteReference"/>
          <w:rFonts w:eastAsia="Times New Roman"/>
          <w:color w:val="333333"/>
        </w:rPr>
        <w:footnoteReference w:id="17"/>
      </w:r>
      <w:r w:rsidR="00BA3982">
        <w:rPr>
          <w:rFonts w:eastAsia="Times New Roman"/>
          <w:color w:val="333333"/>
        </w:rPr>
        <w:t xml:space="preserve"> For example, </w:t>
      </w:r>
      <w:proofErr w:type="spellStart"/>
      <w:r w:rsidR="00BA3982">
        <w:rPr>
          <w:rFonts w:eastAsia="Times New Roman"/>
          <w:color w:val="333333"/>
        </w:rPr>
        <w:t>Chantek</w:t>
      </w:r>
      <w:proofErr w:type="spellEnd"/>
      <w:r w:rsidR="00BA3982">
        <w:rPr>
          <w:rFonts w:eastAsia="Times New Roman"/>
          <w:color w:val="333333"/>
        </w:rPr>
        <w:t xml:space="preserve"> would sign DIRTY to </w:t>
      </w:r>
      <w:r w:rsidR="00BD01B1">
        <w:rPr>
          <w:rFonts w:eastAsia="Times New Roman"/>
          <w:color w:val="333333"/>
        </w:rPr>
        <w:t>go to the</w:t>
      </w:r>
      <w:r w:rsidR="00BA3982">
        <w:rPr>
          <w:rFonts w:eastAsia="Times New Roman"/>
          <w:color w:val="333333"/>
        </w:rPr>
        <w:t xml:space="preserve"> bathroom to play with soap</w:t>
      </w:r>
      <w:r w:rsidR="00A82F61">
        <w:rPr>
          <w:rFonts w:eastAsia="Times New Roman"/>
          <w:color w:val="333333"/>
        </w:rPr>
        <w:t xml:space="preserve"> instead of using the toilet</w:t>
      </w:r>
      <w:r w:rsidR="00BA3982">
        <w:rPr>
          <w:rFonts w:eastAsia="Times New Roman"/>
          <w:color w:val="333333"/>
        </w:rPr>
        <w:t>.</w:t>
      </w:r>
      <w:r w:rsidR="00BA3982">
        <w:rPr>
          <w:rStyle w:val="FootnoteReference"/>
          <w:rFonts w:eastAsia="Times New Roman"/>
          <w:color w:val="333333"/>
        </w:rPr>
        <w:footnoteReference w:id="18"/>
      </w:r>
      <w:r w:rsidR="00A82F61">
        <w:rPr>
          <w:rFonts w:eastAsia="Times New Roman"/>
          <w:color w:val="333333"/>
        </w:rPr>
        <w:t xml:space="preserve"> On a different occasion, </w:t>
      </w:r>
      <w:proofErr w:type="spellStart"/>
      <w:r w:rsidR="00A82F61">
        <w:rPr>
          <w:rFonts w:eastAsia="Times New Roman"/>
          <w:color w:val="333333"/>
        </w:rPr>
        <w:t>Chantek</w:t>
      </w:r>
      <w:proofErr w:type="spellEnd"/>
      <w:r w:rsidR="00A82F61">
        <w:rPr>
          <w:rFonts w:eastAsia="Times New Roman"/>
          <w:color w:val="333333"/>
        </w:rPr>
        <w:t xml:space="preserve"> stole an eraser</w:t>
      </w:r>
      <w:r w:rsidR="009B0AD0">
        <w:rPr>
          <w:rFonts w:eastAsia="Times New Roman"/>
          <w:color w:val="333333"/>
        </w:rPr>
        <w:t>, pretended to swallow it, and signed FOOD-EAT to say he had swallowed it, but</w:t>
      </w:r>
      <w:r w:rsidR="00BD01B1">
        <w:rPr>
          <w:rFonts w:eastAsia="Times New Roman"/>
          <w:color w:val="333333"/>
        </w:rPr>
        <w:t xml:space="preserve"> </w:t>
      </w:r>
      <w:r w:rsidR="009B0AD0">
        <w:rPr>
          <w:rFonts w:eastAsia="Times New Roman"/>
          <w:color w:val="333333"/>
        </w:rPr>
        <w:t xml:space="preserve">held it in his cheek and later </w:t>
      </w:r>
      <w:r w:rsidR="00BD01B1">
        <w:rPr>
          <w:rFonts w:eastAsia="Times New Roman"/>
          <w:color w:val="333333"/>
        </w:rPr>
        <w:t>hid it</w:t>
      </w:r>
      <w:r w:rsidR="009B0AD0">
        <w:rPr>
          <w:rFonts w:eastAsia="Times New Roman"/>
          <w:color w:val="333333"/>
        </w:rPr>
        <w:t xml:space="preserve"> among his things.</w:t>
      </w:r>
      <w:r w:rsidR="009B0AD0">
        <w:rPr>
          <w:rStyle w:val="FootnoteReference"/>
          <w:rFonts w:eastAsia="Times New Roman"/>
          <w:color w:val="333333"/>
        </w:rPr>
        <w:footnoteReference w:id="19"/>
      </w:r>
      <w:r w:rsidR="002E3354">
        <w:rPr>
          <w:rFonts w:eastAsia="Times New Roman"/>
          <w:color w:val="333333"/>
        </w:rPr>
        <w:t xml:space="preserve"> </w:t>
      </w:r>
    </w:p>
    <w:p w14:paraId="298C09AB" w14:textId="113EC013" w:rsidR="00F939EC" w:rsidRDefault="002342AC" w:rsidP="0001404B">
      <w:pPr>
        <w:widowControl w:val="0"/>
        <w:spacing w:after="0" w:line="240" w:lineRule="auto"/>
        <w:ind w:firstLine="720"/>
        <w:contextualSpacing/>
        <w:jc w:val="both"/>
        <w:rPr>
          <w:rFonts w:eastAsia="Times New Roman"/>
          <w:color w:val="333333"/>
        </w:rPr>
      </w:pPr>
      <w:r>
        <w:rPr>
          <w:rFonts w:eastAsia="Times New Roman"/>
          <w:color w:val="333333"/>
        </w:rPr>
        <w:t>Orangutans</w:t>
      </w:r>
      <w:r w:rsidR="00810FF3">
        <w:rPr>
          <w:rFonts w:eastAsia="Times New Roman"/>
          <w:color w:val="333333"/>
        </w:rPr>
        <w:t xml:space="preserve"> are the most skilled apes at manipulating objects.</w:t>
      </w:r>
      <w:r w:rsidR="00810FF3">
        <w:rPr>
          <w:rStyle w:val="FootnoteReference"/>
          <w:rFonts w:eastAsia="Times New Roman"/>
          <w:color w:val="333333"/>
        </w:rPr>
        <w:footnoteReference w:id="20"/>
      </w:r>
      <w:r>
        <w:rPr>
          <w:rFonts w:eastAsia="Times New Roman"/>
          <w:color w:val="333333"/>
        </w:rPr>
        <w:t xml:space="preserve"> </w:t>
      </w:r>
      <w:r w:rsidR="00810FF3">
        <w:rPr>
          <w:rFonts w:eastAsia="Times New Roman"/>
          <w:color w:val="333333"/>
        </w:rPr>
        <w:t xml:space="preserve">In </w:t>
      </w:r>
      <w:r>
        <w:rPr>
          <w:rFonts w:eastAsia="Times New Roman"/>
          <w:color w:val="333333"/>
        </w:rPr>
        <w:t>the wild</w:t>
      </w:r>
      <w:r w:rsidR="00810FF3">
        <w:rPr>
          <w:rFonts w:eastAsia="Times New Roman"/>
          <w:color w:val="333333"/>
        </w:rPr>
        <w:t>, orangutans</w:t>
      </w:r>
      <w:r>
        <w:rPr>
          <w:rFonts w:eastAsia="Times New Roman"/>
          <w:color w:val="333333"/>
        </w:rPr>
        <w:t xml:space="preserve"> use </w:t>
      </w:r>
      <w:r w:rsidR="00F62173">
        <w:rPr>
          <w:rFonts w:eastAsia="Times New Roman"/>
          <w:color w:val="333333"/>
        </w:rPr>
        <w:t>more than 38 tools, including bee covers, fans, umbrellas, swatters, napkins, straws, toothpicks, blankets, pillows, and roofs for their nests.</w:t>
      </w:r>
      <w:r w:rsidR="002E3354">
        <w:rPr>
          <w:rStyle w:val="FootnoteReference"/>
          <w:rFonts w:eastAsia="Times New Roman"/>
          <w:color w:val="333333"/>
        </w:rPr>
        <w:footnoteReference w:id="21"/>
      </w:r>
      <w:r w:rsidR="00F62173">
        <w:rPr>
          <w:rFonts w:eastAsia="Times New Roman"/>
          <w:color w:val="333333"/>
        </w:rPr>
        <w:t xml:space="preserve"> </w:t>
      </w:r>
      <w:r w:rsidR="00810FF3">
        <w:rPr>
          <w:rFonts w:eastAsia="Times New Roman"/>
          <w:color w:val="333333"/>
        </w:rPr>
        <w:t>In zoos, orangutans are known as escape artists</w:t>
      </w:r>
      <w:r w:rsidR="008B34A8">
        <w:rPr>
          <w:rFonts w:eastAsia="Times New Roman"/>
          <w:color w:val="333333"/>
        </w:rPr>
        <w:t xml:space="preserve"> because of their ability to manipulate </w:t>
      </w:r>
      <w:r w:rsidR="008172EF">
        <w:rPr>
          <w:rFonts w:eastAsia="Times New Roman"/>
          <w:color w:val="333333"/>
        </w:rPr>
        <w:t>objects</w:t>
      </w:r>
      <w:r w:rsidR="00810FF3">
        <w:rPr>
          <w:rFonts w:eastAsia="Times New Roman"/>
          <w:color w:val="333333"/>
        </w:rPr>
        <w:t>.</w:t>
      </w:r>
      <w:r w:rsidR="00810FF3">
        <w:rPr>
          <w:rStyle w:val="FootnoteReference"/>
          <w:rFonts w:eastAsia="Times New Roman"/>
          <w:color w:val="333333"/>
        </w:rPr>
        <w:footnoteReference w:id="22"/>
      </w:r>
      <w:r w:rsidR="00B373FE">
        <w:rPr>
          <w:rFonts w:eastAsia="Times New Roman"/>
          <w:color w:val="333333"/>
        </w:rPr>
        <w:t xml:space="preserve"> </w:t>
      </w:r>
      <w:r w:rsidR="007F3068">
        <w:rPr>
          <w:rFonts w:eastAsia="Times New Roman"/>
          <w:color w:val="333333"/>
        </w:rPr>
        <w:t>Indeed, r</w:t>
      </w:r>
      <w:r w:rsidR="00B373FE">
        <w:rPr>
          <w:rFonts w:eastAsia="Times New Roman"/>
          <w:color w:val="333333"/>
        </w:rPr>
        <w:t xml:space="preserve">esearch has shown that </w:t>
      </w:r>
      <w:r w:rsidR="00581603">
        <w:rPr>
          <w:rFonts w:eastAsia="Times New Roman"/>
          <w:color w:val="333333"/>
        </w:rPr>
        <w:t>orangutans can complete</w:t>
      </w:r>
      <w:r w:rsidR="00B373FE">
        <w:rPr>
          <w:rFonts w:eastAsia="Times New Roman"/>
          <w:color w:val="333333"/>
        </w:rPr>
        <w:t xml:space="preserve"> tasks using tools with more tha</w:t>
      </w:r>
      <w:r w:rsidR="00496E2C">
        <w:rPr>
          <w:rFonts w:eastAsia="Times New Roman"/>
          <w:color w:val="333333"/>
        </w:rPr>
        <w:t>n</w:t>
      </w:r>
      <w:r w:rsidR="00B373FE">
        <w:rPr>
          <w:rFonts w:eastAsia="Times New Roman"/>
          <w:color w:val="333333"/>
        </w:rPr>
        <w:t xml:space="preserve"> twenty problem-solving steps.</w:t>
      </w:r>
      <w:r w:rsidR="00B373FE">
        <w:rPr>
          <w:rStyle w:val="FootnoteReference"/>
          <w:rFonts w:eastAsia="Times New Roman"/>
          <w:color w:val="333333"/>
        </w:rPr>
        <w:footnoteReference w:id="23"/>
      </w:r>
      <w:r w:rsidR="00496E2C">
        <w:rPr>
          <w:rFonts w:eastAsia="Times New Roman"/>
          <w:color w:val="333333"/>
        </w:rPr>
        <w:t xml:space="preserve"> </w:t>
      </w:r>
      <w:r w:rsidR="007F3068">
        <w:rPr>
          <w:rFonts w:eastAsia="Times New Roman"/>
          <w:color w:val="333333"/>
        </w:rPr>
        <w:t>Orangutans also have the capacity to plan. For example, wild male orangutans plan and communicate their travel direction one day in advance to females</w:t>
      </w:r>
      <w:r w:rsidR="000D02A9">
        <w:rPr>
          <w:rFonts w:eastAsia="Times New Roman"/>
          <w:color w:val="333333"/>
        </w:rPr>
        <w:t>, which attracts sexually active females and allows dominant males to defend females from the harassment of other males</w:t>
      </w:r>
      <w:r w:rsidR="007F3068">
        <w:rPr>
          <w:rFonts w:eastAsia="Times New Roman"/>
          <w:color w:val="333333"/>
        </w:rPr>
        <w:t>.</w:t>
      </w:r>
      <w:r w:rsidR="007F3068">
        <w:rPr>
          <w:rStyle w:val="FootnoteReference"/>
          <w:rFonts w:eastAsia="Times New Roman"/>
          <w:color w:val="333333"/>
        </w:rPr>
        <w:footnoteReference w:id="24"/>
      </w:r>
      <w:r w:rsidR="007F3068">
        <w:rPr>
          <w:rFonts w:eastAsia="Times New Roman"/>
          <w:color w:val="333333"/>
        </w:rPr>
        <w:t xml:space="preserve"> </w:t>
      </w:r>
    </w:p>
    <w:p w14:paraId="63F86964" w14:textId="77777777" w:rsidR="00AC5621" w:rsidRDefault="00A70E77" w:rsidP="00AC5621">
      <w:pPr>
        <w:spacing w:after="0" w:line="240" w:lineRule="auto"/>
        <w:ind w:firstLine="720"/>
        <w:contextualSpacing/>
        <w:jc w:val="both"/>
        <w:rPr>
          <w:rFonts w:eastAsia="Times New Roman"/>
        </w:rPr>
      </w:pPr>
      <w:r>
        <w:rPr>
          <w:rFonts w:eastAsia="Times New Roman"/>
        </w:rPr>
        <w:t>F</w:t>
      </w:r>
      <w:r w:rsidRPr="00A218E5">
        <w:rPr>
          <w:rFonts w:eastAsia="Times New Roman"/>
        </w:rPr>
        <w:t>emale orangutans breastfeed their offspring between seven and nine years and transmit their culture to them so they can survive in the forest.</w:t>
      </w:r>
      <w:r>
        <w:rPr>
          <w:rStyle w:val="FootnoteReference"/>
          <w:rFonts w:eastAsia="Times New Roman"/>
        </w:rPr>
        <w:footnoteReference w:id="25"/>
      </w:r>
      <w:r w:rsidRPr="00A218E5">
        <w:rPr>
          <w:rFonts w:eastAsia="Times New Roman"/>
        </w:rPr>
        <w:t xml:space="preserve"> </w:t>
      </w:r>
      <w:r>
        <w:rPr>
          <w:rFonts w:eastAsia="Times New Roman"/>
        </w:rPr>
        <w:t>Dominant male orangutans defend females who call them when other males are harassing them, and even plan their travel and communicate it, so females know where they are in case they need them.</w:t>
      </w:r>
      <w:r>
        <w:rPr>
          <w:rStyle w:val="FootnoteReference"/>
          <w:rFonts w:eastAsia="Times New Roman"/>
        </w:rPr>
        <w:footnoteReference w:id="26"/>
      </w:r>
      <w:r>
        <w:rPr>
          <w:rFonts w:eastAsia="Times New Roman"/>
        </w:rPr>
        <w:t xml:space="preserve"> Many animals can reciprocate because empathy </w:t>
      </w:r>
      <w:r w:rsidRPr="00231951">
        <w:rPr>
          <w:rFonts w:eastAsia="Times New Roman"/>
          <w:bCs/>
          <w:color w:val="000000"/>
          <w:lang w:eastAsia="es-ES_tradnl"/>
        </w:rPr>
        <w:t>is a phylogenetically continuous trait across species</w:t>
      </w:r>
      <w:r>
        <w:rPr>
          <w:rFonts w:eastAsia="Times New Roman"/>
        </w:rPr>
        <w:t>.</w:t>
      </w:r>
      <w:r>
        <w:rPr>
          <w:rStyle w:val="FootnoteReference"/>
          <w:rFonts w:eastAsia="Times New Roman"/>
        </w:rPr>
        <w:footnoteReference w:id="27"/>
      </w:r>
      <w:r>
        <w:rPr>
          <w:rFonts w:eastAsia="Times New Roman"/>
        </w:rPr>
        <w:t xml:space="preserve"> In a token exchange experiment, researchers found that orangutans reciprocated by transferring numerous valuable tokens to their partner, suggesting they understand each other’s needs.</w:t>
      </w:r>
      <w:r>
        <w:rPr>
          <w:rStyle w:val="FootnoteReference"/>
          <w:rFonts w:eastAsia="Times New Roman"/>
        </w:rPr>
        <w:footnoteReference w:id="28"/>
      </w:r>
    </w:p>
    <w:p w14:paraId="72E469C2" w14:textId="58FFAF64" w:rsidR="00E61892" w:rsidRPr="00213435" w:rsidRDefault="00496E2C" w:rsidP="00AC5621">
      <w:pPr>
        <w:spacing w:after="0" w:line="240" w:lineRule="auto"/>
        <w:ind w:firstLine="720"/>
        <w:contextualSpacing/>
        <w:jc w:val="both"/>
        <w:rPr>
          <w:rFonts w:eastAsia="Times New Roman"/>
        </w:rPr>
      </w:pPr>
      <w:r>
        <w:rPr>
          <w:rFonts w:eastAsia="Times New Roman"/>
          <w:color w:val="333333"/>
        </w:rPr>
        <w:lastRenderedPageBreak/>
        <w:t xml:space="preserve">In short, orangutans have problem-solving intelligence, reason, mental representations, communication and language skills, inventiveness, self-awareness, </w:t>
      </w:r>
      <w:r w:rsidR="008B535B">
        <w:rPr>
          <w:rFonts w:eastAsia="Times New Roman"/>
          <w:color w:val="333333"/>
        </w:rPr>
        <w:t xml:space="preserve">self-reflection, </w:t>
      </w:r>
      <w:r w:rsidR="00F939EC">
        <w:rPr>
          <w:rFonts w:eastAsia="Times New Roman"/>
          <w:color w:val="333333"/>
        </w:rPr>
        <w:t>psychological continuity, the capacity to plan, memory</w:t>
      </w:r>
      <w:r w:rsidR="006160FD">
        <w:rPr>
          <w:rFonts w:eastAsia="Times New Roman"/>
          <w:color w:val="333333"/>
        </w:rPr>
        <w:t>,</w:t>
      </w:r>
      <w:r w:rsidR="00F939EC">
        <w:rPr>
          <w:rFonts w:eastAsia="Times New Roman"/>
          <w:color w:val="333333"/>
        </w:rPr>
        <w:t xml:space="preserve"> </w:t>
      </w:r>
      <w:r w:rsidR="008B535B">
        <w:rPr>
          <w:rFonts w:eastAsia="Times New Roman"/>
          <w:color w:val="333333"/>
        </w:rPr>
        <w:t xml:space="preserve">and </w:t>
      </w:r>
      <w:r w:rsidR="004B7F35">
        <w:rPr>
          <w:rFonts w:eastAsia="Times New Roman"/>
          <w:color w:val="333333"/>
        </w:rPr>
        <w:t>the capacity to put themselves in the place of others</w:t>
      </w:r>
      <w:r w:rsidR="008B535B">
        <w:rPr>
          <w:rFonts w:eastAsia="Times New Roman"/>
          <w:color w:val="333333"/>
        </w:rPr>
        <w:t>.</w:t>
      </w:r>
      <w:r w:rsidR="008B535B">
        <w:rPr>
          <w:rStyle w:val="FootnoteReference"/>
          <w:rFonts w:eastAsia="Times New Roman"/>
          <w:color w:val="333333"/>
        </w:rPr>
        <w:footnoteReference w:id="29"/>
      </w:r>
      <w:r>
        <w:rPr>
          <w:rFonts w:eastAsia="Times New Roman"/>
          <w:color w:val="333333"/>
        </w:rPr>
        <w:t xml:space="preserve"> </w:t>
      </w:r>
    </w:p>
    <w:p w14:paraId="61FF7E55" w14:textId="52548EBD" w:rsidR="00B417B2" w:rsidRDefault="001B3946" w:rsidP="00213435">
      <w:pPr>
        <w:widowControl w:val="0"/>
        <w:spacing w:after="0" w:line="240" w:lineRule="auto"/>
        <w:ind w:firstLine="720"/>
        <w:contextualSpacing/>
        <w:jc w:val="both"/>
        <w:rPr>
          <w:rFonts w:eastAsia="Times New Roman"/>
        </w:rPr>
      </w:pPr>
      <w:r>
        <w:rPr>
          <w:rFonts w:eastAsia="Times New Roman"/>
        </w:rPr>
        <w:t>We e</w:t>
      </w:r>
      <w:r w:rsidR="00B417B2" w:rsidRPr="00213435">
        <w:rPr>
          <w:rFonts w:eastAsia="Times New Roman"/>
        </w:rPr>
        <w:t>mphasize the</w:t>
      </w:r>
      <w:r>
        <w:rPr>
          <w:rFonts w:eastAsia="Times New Roman"/>
        </w:rPr>
        <w:t xml:space="preserve">se facts </w:t>
      </w:r>
      <w:r w:rsidR="00B417B2" w:rsidRPr="00213435">
        <w:rPr>
          <w:rFonts w:eastAsia="Times New Roman"/>
        </w:rPr>
        <w:t xml:space="preserve">to underscore the importance of the </w:t>
      </w:r>
      <w:r>
        <w:rPr>
          <w:rFonts w:eastAsia="Times New Roman"/>
        </w:rPr>
        <w:t xml:space="preserve">claim </w:t>
      </w:r>
      <w:r w:rsidR="00B417B2" w:rsidRPr="00213435">
        <w:rPr>
          <w:rFonts w:eastAsia="Times New Roman"/>
        </w:rPr>
        <w:t xml:space="preserve">that </w:t>
      </w:r>
      <w:proofErr w:type="spellStart"/>
      <w:r w:rsidR="008E57FE">
        <w:rPr>
          <w:rFonts w:eastAsia="Times New Roman"/>
        </w:rPr>
        <w:t>Sandai</w:t>
      </w:r>
      <w:proofErr w:type="spellEnd"/>
      <w:r w:rsidR="00B417B2" w:rsidRPr="00213435">
        <w:rPr>
          <w:rFonts w:eastAsia="Times New Roman"/>
        </w:rPr>
        <w:t xml:space="preserve"> is a sentient, rational, emotional, and autonomous individual with beliefs and desires.</w:t>
      </w:r>
      <w:r w:rsidR="00A51085">
        <w:rPr>
          <w:rFonts w:eastAsia="Times New Roman"/>
        </w:rPr>
        <w:t xml:space="preserve"> </w:t>
      </w:r>
      <w:r w:rsidR="00B417B2" w:rsidRPr="00213435">
        <w:rPr>
          <w:rFonts w:eastAsia="Times New Roman"/>
        </w:rPr>
        <w:t xml:space="preserve">We add only that these cognitive capacities suffice to qualify </w:t>
      </w:r>
      <w:proofErr w:type="spellStart"/>
      <w:r w:rsidR="008E57FE">
        <w:rPr>
          <w:rFonts w:eastAsia="Times New Roman"/>
        </w:rPr>
        <w:t>Sandai</w:t>
      </w:r>
      <w:proofErr w:type="spellEnd"/>
      <w:r w:rsidR="00B417B2" w:rsidRPr="00213435">
        <w:rPr>
          <w:rFonts w:eastAsia="Times New Roman"/>
        </w:rPr>
        <w:t xml:space="preserve"> as a </w:t>
      </w:r>
      <w:r w:rsidR="00B417B2" w:rsidRPr="00213435">
        <w:rPr>
          <w:rFonts w:eastAsia="Times New Roman"/>
          <w:i/>
        </w:rPr>
        <w:t>person</w:t>
      </w:r>
      <w:r w:rsidR="00B417B2" w:rsidRPr="00213435">
        <w:rPr>
          <w:rFonts w:eastAsia="Times New Roman"/>
        </w:rPr>
        <w:t>. Any human being with the capacities just named is undoubtedly a person. As such, they have strong interests that demand legal protection. This is so even if they lack additional cognitive capacities, such as the ability to act on moral principle. To that capacity we now turn.</w:t>
      </w:r>
    </w:p>
    <w:p w14:paraId="0ABA72FD" w14:textId="77777777" w:rsidR="001B3946" w:rsidRPr="00213435" w:rsidRDefault="001B3946" w:rsidP="00213435">
      <w:pPr>
        <w:widowControl w:val="0"/>
        <w:spacing w:after="0" w:line="240" w:lineRule="auto"/>
        <w:ind w:firstLine="720"/>
        <w:contextualSpacing/>
        <w:jc w:val="both"/>
        <w:rPr>
          <w:rFonts w:eastAsia="Times New Roman"/>
        </w:rPr>
      </w:pPr>
    </w:p>
    <w:p w14:paraId="219E7359" w14:textId="5429C084" w:rsidR="00B417B2" w:rsidRDefault="001B3946" w:rsidP="00213435">
      <w:pPr>
        <w:widowControl w:val="0"/>
        <w:numPr>
          <w:ilvl w:val="1"/>
          <w:numId w:val="0"/>
        </w:numPr>
        <w:spacing w:after="0" w:line="240" w:lineRule="auto"/>
        <w:ind w:left="1440" w:hanging="360"/>
        <w:contextualSpacing/>
        <w:jc w:val="both"/>
        <w:outlineLvl w:val="1"/>
        <w:rPr>
          <w:rFonts w:eastAsia="Calibri"/>
          <w:b/>
        </w:rPr>
      </w:pPr>
      <w:bookmarkStart w:id="19" w:name="_Toc100180106"/>
      <w:r>
        <w:rPr>
          <w:rFonts w:eastAsia="Calibri"/>
          <w:b/>
        </w:rPr>
        <w:t xml:space="preserve">4. </w:t>
      </w:r>
      <w:r w:rsidR="00B417B2" w:rsidRPr="00213435">
        <w:rPr>
          <w:rFonts w:eastAsia="Calibri"/>
          <w:b/>
        </w:rPr>
        <w:t>Rights Holders Need Not be Capable of Bearing Social Obligations.</w:t>
      </w:r>
      <w:bookmarkEnd w:id="19"/>
    </w:p>
    <w:p w14:paraId="60CB611E" w14:textId="77777777" w:rsidR="001B3946" w:rsidRPr="00213435" w:rsidRDefault="001B3946" w:rsidP="00213435">
      <w:pPr>
        <w:widowControl w:val="0"/>
        <w:numPr>
          <w:ilvl w:val="1"/>
          <w:numId w:val="0"/>
        </w:numPr>
        <w:spacing w:after="0" w:line="240" w:lineRule="auto"/>
        <w:ind w:left="1440" w:hanging="360"/>
        <w:contextualSpacing/>
        <w:jc w:val="both"/>
        <w:outlineLvl w:val="1"/>
        <w:rPr>
          <w:rFonts w:eastAsia="Calibri"/>
          <w:b/>
        </w:rPr>
      </w:pPr>
    </w:p>
    <w:p w14:paraId="56BBE975" w14:textId="1BAAE9E5" w:rsidR="00B417B2" w:rsidRPr="00213435" w:rsidRDefault="00B417B2" w:rsidP="00213435">
      <w:pPr>
        <w:spacing w:after="0" w:line="240" w:lineRule="auto"/>
        <w:ind w:firstLine="720"/>
        <w:jc w:val="both"/>
        <w:rPr>
          <w:rFonts w:eastAsia="Times New Roman"/>
        </w:rPr>
      </w:pPr>
      <w:r w:rsidRPr="00213435">
        <w:rPr>
          <w:rFonts w:eastAsia="Times New Roman"/>
        </w:rPr>
        <w:t xml:space="preserve">We here discuss an important objection to our view, that to be a rights holder one must be capable of agreeing to uphold certain social obligations. We grant for the sake of argument that </w:t>
      </w:r>
      <w:r w:rsidR="001B3946">
        <w:rPr>
          <w:rFonts w:eastAsia="Times New Roman"/>
        </w:rPr>
        <w:t>orangutans</w:t>
      </w:r>
      <w:r w:rsidRPr="00213435">
        <w:rPr>
          <w:rFonts w:eastAsia="Times New Roman"/>
        </w:rPr>
        <w:t xml:space="preserve"> can</w:t>
      </w:r>
      <w:r w:rsidR="001B3946">
        <w:rPr>
          <w:rFonts w:eastAsia="Times New Roman"/>
        </w:rPr>
        <w:t>not</w:t>
      </w:r>
      <w:r w:rsidRPr="00213435">
        <w:rPr>
          <w:rFonts w:eastAsia="Times New Roman"/>
        </w:rPr>
        <w:t xml:space="preserve"> assume social duties. However, we here show that, contrary to th</w:t>
      </w:r>
      <w:r w:rsidR="00F47E43">
        <w:rPr>
          <w:rFonts w:eastAsia="Times New Roman"/>
        </w:rPr>
        <w:t>is objection</w:t>
      </w:r>
      <w:r w:rsidRPr="00213435">
        <w:rPr>
          <w:rFonts w:eastAsia="Times New Roman"/>
        </w:rPr>
        <w:t xml:space="preserve">, rights holders need not meet this requirement. </w:t>
      </w:r>
    </w:p>
    <w:p w14:paraId="01F81C54" w14:textId="41328813" w:rsidR="00B417B2" w:rsidRDefault="00B417B2" w:rsidP="00213435">
      <w:pPr>
        <w:spacing w:after="0" w:line="240" w:lineRule="auto"/>
        <w:jc w:val="both"/>
        <w:rPr>
          <w:rFonts w:eastAsia="Times New Roman"/>
        </w:rPr>
      </w:pPr>
      <w:r w:rsidRPr="00213435">
        <w:rPr>
          <w:rFonts w:eastAsia="Times New Roman"/>
        </w:rPr>
        <w:tab/>
        <w:t xml:space="preserve">The objection is a significant one, because it has misled many reasonable persons. It demands rebuttal as previous rulings have relied on its misconceptions. </w:t>
      </w:r>
      <w:r w:rsidR="00F47E43" w:rsidRPr="00F47E43">
        <w:rPr>
          <w:rFonts w:eastAsia="Times New Roman"/>
          <w:color w:val="000000"/>
        </w:rPr>
        <w:t xml:space="preserve">For example, in the case seeking habeas corpus relief for Tommy, a chimpanzee, Richard Cupp </w:t>
      </w:r>
      <w:r w:rsidRPr="00213435">
        <w:rPr>
          <w:rFonts w:eastAsia="Times New Roman"/>
        </w:rPr>
        <w:t>mistakenly asserts that the “principles of the social contract support recognizing that legal rights are intertwined with a norm of legal accountability.”</w:t>
      </w:r>
      <w:r w:rsidRPr="00213435">
        <w:rPr>
          <w:rFonts w:eastAsia="Times New Roman"/>
          <w:vertAlign w:val="superscript"/>
        </w:rPr>
        <w:footnoteReference w:id="30"/>
      </w:r>
      <w:r w:rsidRPr="00213435">
        <w:rPr>
          <w:rFonts w:eastAsia="Times New Roman"/>
        </w:rPr>
        <w:t xml:space="preserve"> Cupp further contends that the concept of rights was created by humans and is “rooted in” and “has force” “only within that world.” Cupp’s mis-construal made its way</w:t>
      </w:r>
      <w:r w:rsidR="00F47E43">
        <w:rPr>
          <w:rFonts w:eastAsia="Times New Roman"/>
        </w:rPr>
        <w:t>, unfortunately,</w:t>
      </w:r>
      <w:r w:rsidRPr="00213435">
        <w:rPr>
          <w:rFonts w:eastAsia="Times New Roman"/>
        </w:rPr>
        <w:t xml:space="preserve"> into the </w:t>
      </w:r>
      <w:r w:rsidR="00F47E43">
        <w:rPr>
          <w:rFonts w:eastAsia="Times New Roman"/>
        </w:rPr>
        <w:t xml:space="preserve">court’s reasoning when it, </w:t>
      </w:r>
      <w:r w:rsidRPr="00213435">
        <w:rPr>
          <w:rFonts w:eastAsia="Times New Roman"/>
        </w:rPr>
        <w:t>the Third Department</w:t>
      </w:r>
      <w:r w:rsidR="00F47E43">
        <w:rPr>
          <w:rFonts w:eastAsia="Times New Roman"/>
        </w:rPr>
        <w:t>,</w:t>
      </w:r>
      <w:r w:rsidRPr="00213435">
        <w:rPr>
          <w:rFonts w:eastAsia="Times New Roman"/>
        </w:rPr>
        <w:t xml:space="preserve"> decided against granting habeas corpus for Tommy</w:t>
      </w:r>
      <w:r w:rsidR="00F47E43">
        <w:rPr>
          <w:rFonts w:eastAsia="Times New Roman"/>
        </w:rPr>
        <w:t>, the chimpanzee,</w:t>
      </w:r>
      <w:r w:rsidRPr="00213435">
        <w:rPr>
          <w:rFonts w:eastAsia="Times New Roman"/>
        </w:rPr>
        <w:t xml:space="preserve"> on the grounds that Tommy could not assume any duties.</w:t>
      </w:r>
      <w:r w:rsidR="00DD68CE">
        <w:rPr>
          <w:rFonts w:eastAsia="Times New Roman"/>
        </w:rPr>
        <w:t xml:space="preserve"> </w:t>
      </w:r>
      <w:r w:rsidR="00F47E43">
        <w:rPr>
          <w:rFonts w:eastAsia="Times New Roman"/>
        </w:rPr>
        <w:t>C</w:t>
      </w:r>
      <w:r w:rsidRPr="00213435">
        <w:rPr>
          <w:rFonts w:eastAsia="Times New Roman"/>
        </w:rPr>
        <w:t xml:space="preserve">iting Cupp, </w:t>
      </w:r>
      <w:r w:rsidR="00F47E43">
        <w:rPr>
          <w:rFonts w:eastAsia="Times New Roman"/>
        </w:rPr>
        <w:t xml:space="preserve">the Third Department </w:t>
      </w:r>
      <w:r w:rsidRPr="00213435">
        <w:rPr>
          <w:rFonts w:eastAsia="Times New Roman"/>
        </w:rPr>
        <w:t>assert</w:t>
      </w:r>
      <w:r w:rsidR="00F47E43">
        <w:rPr>
          <w:rFonts w:eastAsia="Times New Roman"/>
        </w:rPr>
        <w:t>ed</w:t>
      </w:r>
      <w:r w:rsidRPr="00213435">
        <w:rPr>
          <w:rFonts w:eastAsia="Times New Roman"/>
        </w:rPr>
        <w:t>:</w:t>
      </w:r>
    </w:p>
    <w:p w14:paraId="4A9B2070" w14:textId="77777777" w:rsidR="00010984" w:rsidRPr="00213435" w:rsidRDefault="00010984" w:rsidP="00213435">
      <w:pPr>
        <w:spacing w:after="0" w:line="240" w:lineRule="auto"/>
        <w:jc w:val="both"/>
        <w:rPr>
          <w:rFonts w:eastAsia="Times New Roman"/>
        </w:rPr>
      </w:pPr>
    </w:p>
    <w:p w14:paraId="2663686E" w14:textId="3C3832DE" w:rsidR="00B417B2" w:rsidRDefault="00B417B2" w:rsidP="00213435">
      <w:pPr>
        <w:spacing w:after="0" w:line="240" w:lineRule="auto"/>
        <w:ind w:left="720" w:right="720"/>
        <w:jc w:val="both"/>
        <w:rPr>
          <w:rFonts w:eastAsia="Times New Roman"/>
        </w:rPr>
      </w:pPr>
      <w:r w:rsidRPr="00213435">
        <w:rPr>
          <w:rFonts w:eastAsia="Times New Roman"/>
        </w:rPr>
        <w:t>While petitioner proffers various justifications for affording chimpanzees, such as Tommy, the liberty rights protected by such writ, the ascription of rights has historically been connected with the imposition of societal obligations and duties. Reciprocity between rights and responsibilities stems from principles of social contract, which inspired the ideals of freedom and democracy at the core of our system of government.</w:t>
      </w:r>
      <w:r w:rsidRPr="00213435">
        <w:rPr>
          <w:rFonts w:eastAsia="Times New Roman"/>
          <w:vertAlign w:val="superscript"/>
        </w:rPr>
        <w:footnoteReference w:id="31"/>
      </w:r>
    </w:p>
    <w:p w14:paraId="530441BE" w14:textId="77777777" w:rsidR="00010984" w:rsidRPr="00213435" w:rsidRDefault="00010984" w:rsidP="00213435">
      <w:pPr>
        <w:spacing w:after="0" w:line="240" w:lineRule="auto"/>
        <w:ind w:left="720" w:right="720"/>
        <w:jc w:val="both"/>
        <w:rPr>
          <w:rFonts w:eastAsia="Times New Roman"/>
        </w:rPr>
      </w:pPr>
    </w:p>
    <w:p w14:paraId="4EAA1A5B" w14:textId="4C5CEC35" w:rsidR="00B417B2" w:rsidRDefault="00B417B2" w:rsidP="00213435">
      <w:pPr>
        <w:spacing w:after="0" w:line="240" w:lineRule="auto"/>
        <w:jc w:val="both"/>
        <w:rPr>
          <w:rFonts w:eastAsia="Times New Roman"/>
        </w:rPr>
      </w:pPr>
      <w:r w:rsidRPr="00213435">
        <w:rPr>
          <w:rFonts w:eastAsia="Times New Roman"/>
        </w:rPr>
        <w:t>The Third Department further relie</w:t>
      </w:r>
      <w:r w:rsidR="00F47E43">
        <w:rPr>
          <w:rFonts w:eastAsia="Times New Roman"/>
        </w:rPr>
        <w:t>d</w:t>
      </w:r>
      <w:r w:rsidRPr="00213435">
        <w:rPr>
          <w:rFonts w:eastAsia="Times New Roman"/>
        </w:rPr>
        <w:t xml:space="preserve"> on Cupp when it claim</w:t>
      </w:r>
      <w:r w:rsidR="00F47E43">
        <w:rPr>
          <w:rFonts w:eastAsia="Times New Roman"/>
        </w:rPr>
        <w:t>ed</w:t>
      </w:r>
      <w:r w:rsidRPr="00213435">
        <w:rPr>
          <w:rFonts w:eastAsia="Times New Roman"/>
        </w:rPr>
        <w:t xml:space="preserve"> that:</w:t>
      </w:r>
    </w:p>
    <w:p w14:paraId="23DE82E6" w14:textId="77777777" w:rsidR="0053458B" w:rsidRPr="00213435" w:rsidRDefault="0053458B" w:rsidP="00213435">
      <w:pPr>
        <w:spacing w:after="0" w:line="240" w:lineRule="auto"/>
        <w:jc w:val="both"/>
        <w:rPr>
          <w:rFonts w:eastAsia="Times New Roman"/>
        </w:rPr>
      </w:pPr>
    </w:p>
    <w:p w14:paraId="6EC1F018" w14:textId="655B00B8" w:rsidR="00B417B2" w:rsidRDefault="00B417B2" w:rsidP="00213435">
      <w:pPr>
        <w:spacing w:after="0" w:line="240" w:lineRule="auto"/>
        <w:ind w:left="720" w:right="720"/>
        <w:jc w:val="both"/>
        <w:rPr>
          <w:rFonts w:eastAsia="Times New Roman"/>
        </w:rPr>
      </w:pPr>
      <w:r w:rsidRPr="00213435">
        <w:rPr>
          <w:rFonts w:eastAsia="Times New Roman"/>
        </w:rPr>
        <w:t xml:space="preserve">Under this view, society extends rights in exchange for an express or implied agreement from its members to submit to social responsibilities. In other words, </w:t>
      </w:r>
      <w:r w:rsidRPr="00213435">
        <w:rPr>
          <w:rFonts w:eastAsia="Times New Roman"/>
        </w:rPr>
        <w:lastRenderedPageBreak/>
        <w:t>“rights [are] connected to moral agency and the ability to accept societal responsibility in exchange for [those] rights.”</w:t>
      </w:r>
      <w:r w:rsidRPr="00213435">
        <w:rPr>
          <w:rFonts w:eastAsia="Times New Roman"/>
          <w:vertAlign w:val="superscript"/>
        </w:rPr>
        <w:footnoteReference w:id="32"/>
      </w:r>
      <w:r w:rsidRPr="00213435">
        <w:rPr>
          <w:rFonts w:eastAsia="Times New Roman"/>
        </w:rPr>
        <w:t xml:space="preserve"> </w:t>
      </w:r>
    </w:p>
    <w:p w14:paraId="6F3785DB" w14:textId="77777777" w:rsidR="00010984" w:rsidRPr="00213435" w:rsidRDefault="00010984" w:rsidP="00213435">
      <w:pPr>
        <w:spacing w:after="0" w:line="240" w:lineRule="auto"/>
        <w:ind w:left="720" w:right="720"/>
        <w:jc w:val="both"/>
        <w:rPr>
          <w:rFonts w:eastAsia="Times New Roman"/>
        </w:rPr>
      </w:pPr>
    </w:p>
    <w:p w14:paraId="2124BD29" w14:textId="77777777" w:rsidR="00B417B2" w:rsidRPr="00213435" w:rsidRDefault="00B417B2" w:rsidP="00213435">
      <w:pPr>
        <w:spacing w:after="0" w:line="240" w:lineRule="auto"/>
        <w:contextualSpacing/>
        <w:jc w:val="both"/>
        <w:rPr>
          <w:rFonts w:eastAsia="Times New Roman"/>
        </w:rPr>
      </w:pPr>
      <w:r w:rsidRPr="00213435">
        <w:rPr>
          <w:rFonts w:eastAsia="Times New Roman"/>
        </w:rPr>
        <w:t xml:space="preserve">These claims are subject to decisive counterexample. If the liberty rights protected by habeas corpus were confined to those able to bear societal obligations, then infants, the senile, and people with profound congenital cognitive disabilities would lack liberty rights. Such persons are not now, have never been, and should never be thought to lack the protections of habeas corpus. </w:t>
      </w:r>
      <w:bookmarkStart w:id="20" w:name="_1fob9te" w:colFirst="0" w:colLast="0"/>
      <w:bookmarkStart w:id="21" w:name="_Hlk87886061"/>
      <w:bookmarkEnd w:id="20"/>
    </w:p>
    <w:p w14:paraId="19798BDD" w14:textId="77777777" w:rsidR="00B417B2" w:rsidRPr="00213435" w:rsidRDefault="00B417B2" w:rsidP="00213435">
      <w:pPr>
        <w:spacing w:after="0" w:line="240" w:lineRule="auto"/>
        <w:ind w:firstLine="720"/>
        <w:contextualSpacing/>
        <w:jc w:val="both"/>
        <w:rPr>
          <w:rFonts w:eastAsia="Times New Roman"/>
        </w:rPr>
      </w:pPr>
      <w:r w:rsidRPr="00213435">
        <w:rPr>
          <w:rFonts w:eastAsia="Times New Roman"/>
        </w:rPr>
        <w:t xml:space="preserve">The Third Department and Cupp arrive at these erroneous conclusions because they misunderstand the </w:t>
      </w:r>
      <w:proofErr w:type="spellStart"/>
      <w:r w:rsidRPr="00213435">
        <w:rPr>
          <w:rFonts w:eastAsia="Times New Roman"/>
        </w:rPr>
        <w:t>contractualist</w:t>
      </w:r>
      <w:proofErr w:type="spellEnd"/>
      <w:r w:rsidRPr="00213435">
        <w:rPr>
          <w:rFonts w:eastAsia="Times New Roman"/>
        </w:rPr>
        <w:t xml:space="preserve"> tradition they invoke. According to the social contract theorists whose work most strongly influenced the U.S. system of government—Locke</w:t>
      </w:r>
      <w:r w:rsidRPr="00213435">
        <w:rPr>
          <w:rFonts w:eastAsia="Times New Roman"/>
          <w:vertAlign w:val="superscript"/>
        </w:rPr>
        <w:footnoteReference w:id="33"/>
      </w:r>
      <w:r w:rsidRPr="00213435">
        <w:rPr>
          <w:rFonts w:eastAsia="Times New Roman"/>
        </w:rPr>
        <w:t xml:space="preserve"> and Rousseau</w:t>
      </w:r>
      <w:r w:rsidRPr="00213435">
        <w:rPr>
          <w:rFonts w:eastAsia="Times New Roman"/>
          <w:vertAlign w:val="superscript"/>
        </w:rPr>
        <w:footnoteReference w:id="34"/>
      </w:r>
      <w:r w:rsidRPr="00213435">
        <w:rPr>
          <w:rFonts w:eastAsia="Times New Roman"/>
        </w:rPr>
        <w:t xml:space="preserve">—individuals have </w:t>
      </w:r>
      <w:r w:rsidRPr="00213435">
        <w:rPr>
          <w:rFonts w:eastAsia="Times New Roman"/>
          <w:i/>
        </w:rPr>
        <w:t>natural rights</w:t>
      </w:r>
      <w:r w:rsidRPr="00213435">
        <w:rPr>
          <w:rFonts w:eastAsia="Times New Roman"/>
        </w:rPr>
        <w:t xml:space="preserve"> even </w:t>
      </w:r>
      <w:r w:rsidRPr="00213435">
        <w:rPr>
          <w:rFonts w:eastAsia="Times New Roman"/>
          <w:i/>
        </w:rPr>
        <w:t>before</w:t>
      </w:r>
      <w:r w:rsidRPr="00213435">
        <w:rPr>
          <w:rFonts w:eastAsia="Times New Roman"/>
        </w:rPr>
        <w:t xml:space="preserve"> they enter into social contracts. They </w:t>
      </w:r>
      <w:r w:rsidRPr="00213435">
        <w:rPr>
          <w:rFonts w:eastAsia="Times New Roman"/>
          <w:i/>
        </w:rPr>
        <w:t>surrender</w:t>
      </w:r>
      <w:r w:rsidRPr="00213435">
        <w:rPr>
          <w:rFonts w:eastAsia="Times New Roman"/>
        </w:rPr>
        <w:t xml:space="preserve"> some of their rights in order to form stable governments. One cannot surrender what one does not have. It follows that, on the </w:t>
      </w:r>
      <w:proofErr w:type="spellStart"/>
      <w:r w:rsidRPr="00213435">
        <w:rPr>
          <w:rFonts w:eastAsia="Times New Roman"/>
        </w:rPr>
        <w:t>contractualist</w:t>
      </w:r>
      <w:proofErr w:type="spellEnd"/>
      <w:r w:rsidRPr="00213435">
        <w:rPr>
          <w:rFonts w:eastAsia="Times New Roman"/>
        </w:rPr>
        <w:t xml:space="preserve"> tradition, people need not enter into an agreement and assume social obligations to have rights.</w:t>
      </w:r>
    </w:p>
    <w:p w14:paraId="27001861" w14:textId="35CDED33" w:rsidR="00255F1D" w:rsidRDefault="00B417B2" w:rsidP="00255F1D">
      <w:pPr>
        <w:rPr>
          <w:rFonts w:eastAsia="Times New Roman"/>
        </w:rPr>
      </w:pPr>
      <w:r w:rsidRPr="00213435">
        <w:rPr>
          <w:rFonts w:eastAsia="Times New Roman"/>
        </w:rPr>
        <w:t>Nor must they be able to do so. As Judge Fahey writes, human neonates, like nonhuman animals, cannot bear duties and “yet no one would suppose that it is improper to seek a writ of habeas corpus on behalf of one’s infant child.”</w:t>
      </w:r>
      <w:r w:rsidRPr="00213435">
        <w:rPr>
          <w:rFonts w:eastAsia="Times New Roman"/>
          <w:vertAlign w:val="superscript"/>
        </w:rPr>
        <w:footnoteReference w:id="35"/>
      </w:r>
      <w:r w:rsidR="005B4B32">
        <w:rPr>
          <w:rFonts w:eastAsia="Times New Roman"/>
        </w:rPr>
        <w:t xml:space="preserve"> </w:t>
      </w:r>
      <w:r w:rsidR="00255F1D" w:rsidRPr="00255F1D">
        <w:rPr>
          <w:rFonts w:eastAsia="Times New Roman"/>
        </w:rPr>
        <w:t>Likewise, Judge Rivera recognizes, “</w:t>
      </w:r>
      <w:r w:rsidR="00255F1D" w:rsidRPr="0022164C">
        <w:rPr>
          <w:rFonts w:eastAsia="Times New Roman"/>
        </w:rPr>
        <w:t>We afford legal protections to those unable</w:t>
      </w:r>
      <w:r w:rsidR="00255F1D" w:rsidRPr="00255F1D">
        <w:rPr>
          <w:rFonts w:eastAsia="Times New Roman"/>
        </w:rPr>
        <w:t xml:space="preserve"> </w:t>
      </w:r>
      <w:r w:rsidR="00255F1D" w:rsidRPr="0022164C">
        <w:rPr>
          <w:rFonts w:eastAsia="Times New Roman"/>
        </w:rPr>
        <w:t>to exercise rights or bear responsibilities, such as minors and people with certain cognitive</w:t>
      </w:r>
      <w:r w:rsidR="00255F1D" w:rsidRPr="00255F1D">
        <w:rPr>
          <w:rFonts w:eastAsia="Times New Roman"/>
        </w:rPr>
        <w:t xml:space="preserve"> </w:t>
      </w:r>
      <w:r w:rsidR="00255F1D" w:rsidRPr="0022164C">
        <w:rPr>
          <w:rFonts w:eastAsia="Times New Roman"/>
        </w:rPr>
        <w:t>disabilitie</w:t>
      </w:r>
      <w:r w:rsidR="00255F1D" w:rsidRPr="00255F1D">
        <w:rPr>
          <w:rFonts w:eastAsia="Times New Roman"/>
        </w:rPr>
        <w:t>s.”</w:t>
      </w:r>
      <w:r w:rsidR="00255F1D" w:rsidRPr="00255F1D">
        <w:rPr>
          <w:rStyle w:val="FootnoteReference"/>
          <w:rFonts w:eastAsia="Times New Roman"/>
        </w:rPr>
        <w:footnoteReference w:id="36"/>
      </w:r>
    </w:p>
    <w:p w14:paraId="66F75913" w14:textId="77C3A0E3" w:rsidR="00B417B2" w:rsidRPr="00213435" w:rsidRDefault="00B417B2" w:rsidP="0022164C">
      <w:pPr>
        <w:ind w:firstLine="720"/>
        <w:rPr>
          <w:rFonts w:eastAsia="Times New Roman"/>
        </w:rPr>
      </w:pPr>
      <w:r w:rsidRPr="00213435">
        <w:rPr>
          <w:rFonts w:eastAsia="Times New Roman"/>
        </w:rPr>
        <w:t xml:space="preserve"> One may be inclined to think that infants have such rights only because they have the </w:t>
      </w:r>
      <w:r w:rsidRPr="00213435">
        <w:rPr>
          <w:rFonts w:eastAsia="Times New Roman"/>
          <w:i/>
          <w:iCs/>
        </w:rPr>
        <w:t>potential</w:t>
      </w:r>
      <w:r w:rsidRPr="00213435">
        <w:rPr>
          <w:rFonts w:eastAsia="Times New Roman"/>
        </w:rPr>
        <w:t xml:space="preserve"> to develop the abilities needed to acquire social obligations. If so, we could explain why infants have rights but </w:t>
      </w:r>
      <w:proofErr w:type="spellStart"/>
      <w:r w:rsidR="008E57FE">
        <w:rPr>
          <w:rFonts w:eastAsia="Times New Roman"/>
        </w:rPr>
        <w:t>Sandai</w:t>
      </w:r>
      <w:proofErr w:type="spellEnd"/>
      <w:r w:rsidRPr="00213435">
        <w:rPr>
          <w:rFonts w:eastAsia="Times New Roman"/>
        </w:rPr>
        <w:t xml:space="preserve"> does not. </w:t>
      </w:r>
    </w:p>
    <w:p w14:paraId="3A212C28" w14:textId="77777777" w:rsidR="00B417B2" w:rsidRPr="00213435" w:rsidRDefault="00B417B2" w:rsidP="00213435">
      <w:pPr>
        <w:spacing w:after="0" w:line="240" w:lineRule="auto"/>
        <w:ind w:firstLine="720"/>
        <w:contextualSpacing/>
        <w:jc w:val="both"/>
        <w:rPr>
          <w:rFonts w:eastAsia="Times New Roman"/>
        </w:rPr>
      </w:pPr>
      <w:r w:rsidRPr="00213435">
        <w:rPr>
          <w:rFonts w:eastAsia="Times New Roman"/>
        </w:rPr>
        <w:t xml:space="preserve">But we cannot limit rights to individuals who have the potential to develop moral autonomy. Such an approach is inconsistent with the idea of the equality of all human beings, because it implies that </w:t>
      </w:r>
      <w:proofErr w:type="spellStart"/>
      <w:r w:rsidRPr="00213435">
        <w:rPr>
          <w:rFonts w:eastAsia="Times New Roman"/>
        </w:rPr>
        <w:t>neurally</w:t>
      </w:r>
      <w:proofErr w:type="spellEnd"/>
      <w:r w:rsidRPr="00213435">
        <w:rPr>
          <w:rFonts w:eastAsia="Times New Roman"/>
        </w:rPr>
        <w:t xml:space="preserve"> diverse, congenitally cognitively disabled children without the capacity to develop into moral agents are not persons. These children do not have the potential to develop moral autonomy. However, this is not a reason to exclude them from the circle of protections afforded persons. It would not be improper to seek a writ of habeas corpus on behalf of one’s cognitively disabled child. To think otherwise is counterintuitive and offensive.</w:t>
      </w:r>
    </w:p>
    <w:p w14:paraId="25A7D6D8" w14:textId="033C323F" w:rsidR="00B417B2" w:rsidRDefault="00B417B2" w:rsidP="00213435">
      <w:pPr>
        <w:spacing w:after="0" w:line="240" w:lineRule="auto"/>
        <w:contextualSpacing/>
        <w:jc w:val="both"/>
        <w:rPr>
          <w:rFonts w:eastAsia="Times New Roman"/>
        </w:rPr>
      </w:pPr>
      <w:r w:rsidRPr="00213435">
        <w:rPr>
          <w:rFonts w:eastAsia="Times New Roman"/>
        </w:rPr>
        <w:tab/>
        <w:t xml:space="preserve">It is worth pausing a moment here to examine an argument briefly stated in fn. 3, on p. 152 of the judgment in </w:t>
      </w:r>
      <w:r w:rsidRPr="00213435">
        <w:rPr>
          <w:rFonts w:eastAsia="Times New Roman"/>
          <w:i/>
        </w:rPr>
        <w:t>Tommy.</w:t>
      </w:r>
      <w:r w:rsidRPr="00213435">
        <w:rPr>
          <w:rFonts w:eastAsia="Times New Roman"/>
          <w:iCs/>
          <w:vertAlign w:val="superscript"/>
        </w:rPr>
        <w:footnoteReference w:id="37"/>
      </w:r>
      <w:r w:rsidRPr="00213435">
        <w:rPr>
          <w:rFonts w:eastAsia="Times New Roman"/>
          <w:iCs/>
        </w:rPr>
        <w:t xml:space="preserve"> </w:t>
      </w:r>
      <w:r w:rsidRPr="00213435">
        <w:rPr>
          <w:rFonts w:eastAsia="Times New Roman"/>
        </w:rPr>
        <w:t>At the point in which the judgment emphasizes that “Case law has always recognized the correlative rights and duties that attach to legal personhood,” the footnote seeks to repudiate the apparent implication that humans who are unable to reciprocate, or carry out any duties at all, therefore must lack legal personhood.</w:t>
      </w:r>
      <w:r w:rsidRPr="00213435">
        <w:rPr>
          <w:rFonts w:eastAsia="Times New Roman"/>
          <w:vertAlign w:val="superscript"/>
        </w:rPr>
        <w:footnoteReference w:id="38"/>
      </w:r>
      <w:r w:rsidRPr="00213435">
        <w:rPr>
          <w:rFonts w:eastAsia="Times New Roman"/>
        </w:rPr>
        <w:t xml:space="preserve"> The footnote acknowledges, as of course </w:t>
      </w:r>
      <w:r w:rsidRPr="00213435">
        <w:rPr>
          <w:rFonts w:eastAsia="Times New Roman"/>
        </w:rPr>
        <w:lastRenderedPageBreak/>
        <w:t xml:space="preserve">we all must, that some humans are less able to bear legal duties or responsibilities than others.  Then it states: </w:t>
      </w:r>
    </w:p>
    <w:p w14:paraId="3760424D" w14:textId="77777777" w:rsidR="00255F1D" w:rsidRPr="00213435" w:rsidRDefault="00255F1D" w:rsidP="00213435">
      <w:pPr>
        <w:spacing w:after="0" w:line="240" w:lineRule="auto"/>
        <w:contextualSpacing/>
        <w:jc w:val="both"/>
        <w:rPr>
          <w:rFonts w:eastAsia="Times New Roman"/>
        </w:rPr>
      </w:pPr>
    </w:p>
    <w:p w14:paraId="32E9EDEB" w14:textId="77777777" w:rsidR="00B417B2" w:rsidRPr="00213435" w:rsidRDefault="00B417B2" w:rsidP="00213435">
      <w:pPr>
        <w:spacing w:after="0" w:line="240" w:lineRule="auto"/>
        <w:ind w:left="720" w:right="720"/>
        <w:contextualSpacing/>
        <w:jc w:val="both"/>
        <w:rPr>
          <w:rFonts w:eastAsia="Times New Roman"/>
        </w:rPr>
      </w:pPr>
      <w:r w:rsidRPr="00213435">
        <w:rPr>
          <w:rFonts w:eastAsia="Times New Roman"/>
        </w:rPr>
        <w:t>These differences do not alter our analysis, as it is undeniable that, collectively, human beings possess the unique ability to bear legal responsibility.  Accordingly, nothing in this decision should be read as limiting the rights of human beings in the context of habeas corpus proceedings or otherwise.</w:t>
      </w:r>
      <w:r w:rsidRPr="00213435">
        <w:rPr>
          <w:rFonts w:eastAsia="Times New Roman"/>
          <w:vertAlign w:val="superscript"/>
        </w:rPr>
        <w:footnoteReference w:id="39"/>
      </w:r>
    </w:p>
    <w:p w14:paraId="535914DB" w14:textId="77777777" w:rsidR="00B417B2" w:rsidRPr="00213435" w:rsidRDefault="00B417B2" w:rsidP="00213435">
      <w:pPr>
        <w:spacing w:after="0" w:line="240" w:lineRule="auto"/>
        <w:ind w:firstLine="720"/>
        <w:contextualSpacing/>
        <w:jc w:val="both"/>
        <w:rPr>
          <w:rFonts w:eastAsia="Times New Roman"/>
        </w:rPr>
      </w:pPr>
    </w:p>
    <w:p w14:paraId="1B81F026" w14:textId="09CBE146" w:rsidR="00B417B2" w:rsidRPr="00213435" w:rsidRDefault="00B417B2" w:rsidP="00213435">
      <w:pPr>
        <w:spacing w:after="0" w:line="240" w:lineRule="auto"/>
        <w:ind w:firstLine="720"/>
        <w:contextualSpacing/>
        <w:jc w:val="both"/>
        <w:rPr>
          <w:rFonts w:eastAsia="Times New Roman"/>
        </w:rPr>
      </w:pPr>
      <w:r w:rsidRPr="00213435">
        <w:rPr>
          <w:rFonts w:eastAsia="Times New Roman"/>
        </w:rPr>
        <w:t xml:space="preserve">The problem with the passage is simple: the second sentence does not follow from the first. From the fact that human beings </w:t>
      </w:r>
      <w:r w:rsidRPr="00213435">
        <w:rPr>
          <w:rFonts w:eastAsia="Times New Roman"/>
          <w:i/>
        </w:rPr>
        <w:t xml:space="preserve">collectively </w:t>
      </w:r>
      <w:r w:rsidRPr="00213435">
        <w:rPr>
          <w:rFonts w:eastAsia="Times New Roman"/>
        </w:rPr>
        <w:t xml:space="preserve">possess the ability to bear legal responsibility, we are not entitled to conclude that all human beings, whether or not they can individually bear legal responsibility, are entitled to the rights which, as the judgement has just emphasized, have always been recognized as requiring correlative duties.  One might just as well argue: “It is undeniable that </w:t>
      </w:r>
      <w:r w:rsidR="00E9184E">
        <w:rPr>
          <w:rFonts w:eastAsia="Times New Roman"/>
        </w:rPr>
        <w:t>Chileans</w:t>
      </w:r>
      <w:r w:rsidRPr="00213435">
        <w:rPr>
          <w:rFonts w:eastAsia="Times New Roman"/>
        </w:rPr>
        <w:t xml:space="preserve">, collectively, possess the unique ability to elect the President of </w:t>
      </w:r>
      <w:r w:rsidR="00E9184E">
        <w:rPr>
          <w:rFonts w:eastAsia="Times New Roman"/>
        </w:rPr>
        <w:t>Chile</w:t>
      </w:r>
      <w:r w:rsidRPr="00213435">
        <w:rPr>
          <w:rFonts w:eastAsia="Times New Roman"/>
        </w:rPr>
        <w:t xml:space="preserve">. Accordingly, nothing should limit the rights of </w:t>
      </w:r>
      <w:r w:rsidR="00823CCB">
        <w:rPr>
          <w:rFonts w:eastAsia="Times New Roman"/>
        </w:rPr>
        <w:t>Chileans</w:t>
      </w:r>
      <w:r w:rsidRPr="00213435">
        <w:rPr>
          <w:rFonts w:eastAsia="Times New Roman"/>
        </w:rPr>
        <w:t xml:space="preserve"> (including children) to vote.”</w:t>
      </w:r>
    </w:p>
    <w:p w14:paraId="62E6AC6E" w14:textId="77777777" w:rsidR="00B417B2" w:rsidRPr="00213435" w:rsidRDefault="00B417B2" w:rsidP="00213435">
      <w:pPr>
        <w:spacing w:after="0" w:line="240" w:lineRule="auto"/>
        <w:ind w:firstLine="720"/>
        <w:contextualSpacing/>
        <w:jc w:val="both"/>
        <w:rPr>
          <w:rFonts w:eastAsia="Times New Roman"/>
        </w:rPr>
      </w:pPr>
      <w:r w:rsidRPr="00213435">
        <w:rPr>
          <w:rFonts w:eastAsia="Times New Roman"/>
        </w:rPr>
        <w:t>Such arguments are not valid.  We are familiar with many examples of rights without correlative duties, and these examples cannot be explained by an appeal to the collective abilities of humans. Nor can they be explained, as might also be attempted, by claiming that certain abilities are typical or characteristic of the species. Our treatment of others should be dictated by their own characteristics, not the characteristics of their relatives.</w:t>
      </w:r>
      <w:r w:rsidRPr="00213435">
        <w:rPr>
          <w:rFonts w:eastAsia="Times New Roman"/>
          <w:vertAlign w:val="superscript"/>
        </w:rPr>
        <w:footnoteReference w:id="40"/>
      </w:r>
      <w:r w:rsidRPr="00213435">
        <w:rPr>
          <w:rFonts w:eastAsia="Times New Roman"/>
        </w:rPr>
        <w:t xml:space="preserve"> Hence we cannot base the legal rights that beings have on their ability to understand and carry out their duties.  We should, instead, base the legal rights of different beings on their interests.  </w:t>
      </w:r>
    </w:p>
    <w:bookmarkEnd w:id="21"/>
    <w:p w14:paraId="4AA4B882" w14:textId="238D97C3" w:rsidR="007F6E37" w:rsidRDefault="00B417B2" w:rsidP="00213435">
      <w:pPr>
        <w:spacing w:after="0" w:line="240" w:lineRule="auto"/>
        <w:contextualSpacing/>
        <w:jc w:val="both"/>
        <w:rPr>
          <w:rFonts w:eastAsia="Times New Roman"/>
        </w:rPr>
      </w:pPr>
      <w:r w:rsidRPr="00213435">
        <w:rPr>
          <w:rFonts w:eastAsia="Times New Roman"/>
        </w:rPr>
        <w:tab/>
      </w:r>
      <w:proofErr w:type="spellStart"/>
      <w:r w:rsidR="008E57FE">
        <w:rPr>
          <w:rFonts w:eastAsia="Times New Roman"/>
        </w:rPr>
        <w:t>Sandai</w:t>
      </w:r>
      <w:proofErr w:type="spellEnd"/>
      <w:r w:rsidRPr="00213435">
        <w:rPr>
          <w:rFonts w:eastAsia="Times New Roman"/>
        </w:rPr>
        <w:t xml:space="preserve"> cannot and, for all we know, does not, have the potential to be able to participate in our conversations about promises and obligations. </w:t>
      </w:r>
      <w:r w:rsidR="005F16DE">
        <w:rPr>
          <w:rFonts w:eastAsia="Times New Roman"/>
        </w:rPr>
        <w:t>H</w:t>
      </w:r>
      <w:r w:rsidR="005F16DE" w:rsidRPr="00213435">
        <w:rPr>
          <w:rFonts w:eastAsia="Times New Roman"/>
        </w:rPr>
        <w:t xml:space="preserve">e </w:t>
      </w:r>
      <w:r w:rsidRPr="00213435">
        <w:rPr>
          <w:rFonts w:eastAsia="Times New Roman"/>
        </w:rPr>
        <w:t xml:space="preserve">cannot reciprocate with us or bear legal duties. However, these facts about </w:t>
      </w:r>
      <w:r w:rsidR="005F16DE" w:rsidRPr="00213435">
        <w:rPr>
          <w:rFonts w:eastAsia="Times New Roman"/>
        </w:rPr>
        <w:t>h</w:t>
      </w:r>
      <w:r w:rsidR="005F16DE">
        <w:rPr>
          <w:rFonts w:eastAsia="Times New Roman"/>
        </w:rPr>
        <w:t>im</w:t>
      </w:r>
      <w:r w:rsidRPr="00213435">
        <w:rPr>
          <w:rFonts w:eastAsia="Times New Roman"/>
        </w:rPr>
        <w:t xml:space="preserve">, if they are facts, no more eliminate </w:t>
      </w:r>
      <w:r w:rsidR="005F16DE" w:rsidRPr="00213435">
        <w:rPr>
          <w:rFonts w:eastAsia="Times New Roman"/>
        </w:rPr>
        <w:t>h</w:t>
      </w:r>
      <w:r w:rsidR="005F16DE">
        <w:rPr>
          <w:rFonts w:eastAsia="Times New Roman"/>
        </w:rPr>
        <w:t>im</w:t>
      </w:r>
      <w:r w:rsidR="005F16DE" w:rsidRPr="00213435">
        <w:rPr>
          <w:rFonts w:eastAsia="Times New Roman"/>
        </w:rPr>
        <w:t xml:space="preserve"> </w:t>
      </w:r>
      <w:r w:rsidRPr="00213435">
        <w:rPr>
          <w:rFonts w:eastAsia="Times New Roman"/>
        </w:rPr>
        <w:t xml:space="preserve">from the circle of persons than does the fact that some humans cannot contract, reciprocate, or assume </w:t>
      </w:r>
      <w:r w:rsidRPr="00213435">
        <w:rPr>
          <w:rFonts w:eastAsia="Times New Roman"/>
        </w:rPr>
        <w:lastRenderedPageBreak/>
        <w:t xml:space="preserve">responsibilities. The assertion that individuals must be capable of accepting social duties to be persons is a nonstarter. We reject </w:t>
      </w:r>
      <w:r w:rsidR="000D3E31">
        <w:rPr>
          <w:rFonts w:eastAsia="Times New Roman"/>
        </w:rPr>
        <w:t>this way of thinking</w:t>
      </w:r>
      <w:r w:rsidRPr="00213435">
        <w:rPr>
          <w:rFonts w:eastAsia="Times New Roman"/>
        </w:rPr>
        <w:t xml:space="preserve"> in unqualified terms and urge an end to this unsound line of reasoning.</w:t>
      </w:r>
    </w:p>
    <w:p w14:paraId="403797A6" w14:textId="25C7F5AE" w:rsidR="00A218E5" w:rsidRPr="00A218E5" w:rsidRDefault="00A218E5" w:rsidP="00A218E5">
      <w:pPr>
        <w:spacing w:after="0" w:line="240" w:lineRule="auto"/>
        <w:contextualSpacing/>
        <w:jc w:val="both"/>
        <w:rPr>
          <w:rFonts w:eastAsia="Times New Roman"/>
        </w:rPr>
      </w:pPr>
      <w:r>
        <w:rPr>
          <w:rFonts w:eastAsia="Times New Roman"/>
        </w:rPr>
        <w:tab/>
      </w:r>
    </w:p>
    <w:p w14:paraId="4E34E65E" w14:textId="77777777" w:rsidR="00A218E5" w:rsidRPr="00213435" w:rsidRDefault="00A218E5" w:rsidP="00213435">
      <w:pPr>
        <w:spacing w:after="0" w:line="240" w:lineRule="auto"/>
        <w:contextualSpacing/>
        <w:jc w:val="both"/>
        <w:rPr>
          <w:rFonts w:eastAsia="Times New Roman"/>
        </w:rPr>
      </w:pPr>
    </w:p>
    <w:p w14:paraId="1CCBBA9F" w14:textId="3B6036F6" w:rsidR="00B417B2" w:rsidRPr="0076269F" w:rsidRDefault="000D3E31" w:rsidP="00213435">
      <w:pPr>
        <w:widowControl w:val="0"/>
        <w:numPr>
          <w:ilvl w:val="1"/>
          <w:numId w:val="0"/>
        </w:numPr>
        <w:spacing w:after="0" w:line="240" w:lineRule="auto"/>
        <w:ind w:left="1440" w:hanging="360"/>
        <w:contextualSpacing/>
        <w:jc w:val="both"/>
        <w:outlineLvl w:val="1"/>
        <w:rPr>
          <w:rFonts w:eastAsia="Calibri"/>
          <w:b/>
          <w:color w:val="4472C4" w:themeColor="accent1"/>
        </w:rPr>
      </w:pPr>
      <w:bookmarkStart w:id="22" w:name="_Toc100180107"/>
      <w:bookmarkStart w:id="23" w:name="_Hlk106913593"/>
      <w:r w:rsidRPr="0076269F">
        <w:rPr>
          <w:rFonts w:eastAsia="Calibri"/>
          <w:b/>
          <w:color w:val="4472C4" w:themeColor="accent1"/>
        </w:rPr>
        <w:t xml:space="preserve">5. </w:t>
      </w:r>
      <w:r w:rsidR="00B417B2" w:rsidRPr="0076269F">
        <w:rPr>
          <w:rFonts w:eastAsia="Calibri"/>
          <w:b/>
          <w:color w:val="4472C4" w:themeColor="accent1"/>
        </w:rPr>
        <w:t xml:space="preserve">The Question of </w:t>
      </w:r>
      <w:proofErr w:type="spellStart"/>
      <w:r w:rsidR="008E57FE" w:rsidRPr="0076269F">
        <w:rPr>
          <w:rFonts w:eastAsia="Calibri"/>
          <w:b/>
          <w:color w:val="4472C4" w:themeColor="accent1"/>
        </w:rPr>
        <w:t>Sandai</w:t>
      </w:r>
      <w:r w:rsidR="00B417B2" w:rsidRPr="0076269F">
        <w:rPr>
          <w:rFonts w:eastAsia="Calibri"/>
          <w:b/>
          <w:color w:val="4472C4" w:themeColor="accent1"/>
        </w:rPr>
        <w:t>’s</w:t>
      </w:r>
      <w:proofErr w:type="spellEnd"/>
      <w:r w:rsidR="00B417B2" w:rsidRPr="0076269F">
        <w:rPr>
          <w:rFonts w:eastAsia="Calibri"/>
          <w:b/>
          <w:color w:val="4472C4" w:themeColor="accent1"/>
        </w:rPr>
        <w:t xml:space="preserve"> Standing Must Not Await Legislative Debate.</w:t>
      </w:r>
      <w:bookmarkEnd w:id="22"/>
    </w:p>
    <w:p w14:paraId="12593F72" w14:textId="77777777" w:rsidR="000D3E31" w:rsidRPr="0076269F" w:rsidRDefault="000D3E31" w:rsidP="00213435">
      <w:pPr>
        <w:widowControl w:val="0"/>
        <w:numPr>
          <w:ilvl w:val="1"/>
          <w:numId w:val="0"/>
        </w:numPr>
        <w:spacing w:after="0" w:line="240" w:lineRule="auto"/>
        <w:ind w:left="1440" w:hanging="360"/>
        <w:contextualSpacing/>
        <w:jc w:val="both"/>
        <w:outlineLvl w:val="1"/>
        <w:rPr>
          <w:rFonts w:eastAsia="Calibri"/>
          <w:b/>
          <w:color w:val="4472C4" w:themeColor="accent1"/>
        </w:rPr>
      </w:pPr>
    </w:p>
    <w:p w14:paraId="64D75D8D" w14:textId="483A1774" w:rsidR="00B417B2" w:rsidRPr="0076269F" w:rsidRDefault="00B417B2" w:rsidP="007146A4">
      <w:pPr>
        <w:shd w:val="clear" w:color="auto" w:fill="FFFFFF"/>
        <w:spacing w:after="0" w:line="240" w:lineRule="auto"/>
        <w:ind w:firstLine="720"/>
        <w:contextualSpacing/>
        <w:jc w:val="both"/>
        <w:rPr>
          <w:rFonts w:eastAsia="Times New Roman"/>
          <w:color w:val="4472C4" w:themeColor="accent1"/>
        </w:rPr>
      </w:pPr>
      <w:r w:rsidRPr="0076269F">
        <w:rPr>
          <w:rFonts w:eastAsia="Times New Roman"/>
          <w:color w:val="4472C4" w:themeColor="accent1"/>
        </w:rPr>
        <w:t xml:space="preserve">One might think </w:t>
      </w:r>
      <w:proofErr w:type="spellStart"/>
      <w:r w:rsidR="008E57FE" w:rsidRPr="0076269F">
        <w:rPr>
          <w:rFonts w:eastAsia="Times New Roman"/>
          <w:color w:val="4472C4" w:themeColor="accent1"/>
        </w:rPr>
        <w:t>Sandai</w:t>
      </w:r>
      <w:r w:rsidRPr="0076269F">
        <w:rPr>
          <w:rFonts w:eastAsia="Times New Roman"/>
          <w:color w:val="4472C4" w:themeColor="accent1"/>
        </w:rPr>
        <w:t>’s</w:t>
      </w:r>
      <w:proofErr w:type="spellEnd"/>
      <w:r w:rsidRPr="0076269F">
        <w:rPr>
          <w:rFonts w:eastAsia="Times New Roman"/>
          <w:color w:val="4472C4" w:themeColor="accent1"/>
        </w:rPr>
        <w:t xml:space="preserve"> treatment is not unlawful because the legislative branch has not ruled on whether nonhumans can be persons. This is a grave error. While no nonhuman has previously been the recipient of a habeas corpus order</w:t>
      </w:r>
      <w:r w:rsidR="00D47183">
        <w:rPr>
          <w:rFonts w:eastAsia="Times New Roman"/>
          <w:color w:val="4472C4" w:themeColor="accent1"/>
        </w:rPr>
        <w:t xml:space="preserve"> in Chile</w:t>
      </w:r>
      <w:r w:rsidRPr="0076269F">
        <w:rPr>
          <w:rFonts w:eastAsia="Times New Roman"/>
          <w:color w:val="4472C4" w:themeColor="accent1"/>
        </w:rPr>
        <w:t xml:space="preserve">, this fact does not prevent </w:t>
      </w:r>
      <w:proofErr w:type="spellStart"/>
      <w:r w:rsidR="008E57FE" w:rsidRPr="0076269F">
        <w:rPr>
          <w:rFonts w:eastAsia="Times New Roman"/>
          <w:color w:val="4472C4" w:themeColor="accent1"/>
        </w:rPr>
        <w:t>Sandai</w:t>
      </w:r>
      <w:proofErr w:type="spellEnd"/>
      <w:r w:rsidRPr="0076269F">
        <w:rPr>
          <w:rFonts w:eastAsia="Times New Roman"/>
          <w:color w:val="4472C4" w:themeColor="accent1"/>
        </w:rPr>
        <w:t xml:space="preserve"> from being the first. </w:t>
      </w:r>
      <w:r w:rsidR="00ED0A61">
        <w:rPr>
          <w:rFonts w:eastAsia="Times New Roman"/>
          <w:color w:val="4472C4" w:themeColor="accent1"/>
        </w:rPr>
        <w:t xml:space="preserve">As Judge Wilson </w:t>
      </w:r>
      <w:r w:rsidR="00305B98">
        <w:rPr>
          <w:rFonts w:eastAsia="Times New Roman"/>
          <w:color w:val="4472C4" w:themeColor="accent1"/>
        </w:rPr>
        <w:t>argues</w:t>
      </w:r>
      <w:r w:rsidR="00ED0A61">
        <w:rPr>
          <w:rFonts w:eastAsia="Times New Roman"/>
          <w:color w:val="4472C4" w:themeColor="accent1"/>
        </w:rPr>
        <w:t xml:space="preserve">, numerous examples </w:t>
      </w:r>
      <w:r w:rsidR="00305B98">
        <w:rPr>
          <w:rFonts w:eastAsia="Times New Roman"/>
          <w:color w:val="4472C4" w:themeColor="accent1"/>
        </w:rPr>
        <w:t>confirm</w:t>
      </w:r>
      <w:r w:rsidR="00ED0A61">
        <w:rPr>
          <w:rFonts w:eastAsia="Times New Roman"/>
          <w:color w:val="4472C4" w:themeColor="accent1"/>
        </w:rPr>
        <w:t xml:space="preserve"> </w:t>
      </w:r>
      <w:r w:rsidR="00305B98">
        <w:rPr>
          <w:rFonts w:eastAsia="Times New Roman"/>
          <w:color w:val="4472C4" w:themeColor="accent1"/>
        </w:rPr>
        <w:t>“the maxim that habeas corpus is an innovative writ—one used to advocate for relief that was slightly or significantly ahead of the statutory and common law of the time.”</w:t>
      </w:r>
      <w:r w:rsidR="00305B98">
        <w:rPr>
          <w:rStyle w:val="FootnoteReference"/>
          <w:rFonts w:eastAsia="Times New Roman"/>
          <w:color w:val="4472C4" w:themeColor="accent1"/>
        </w:rPr>
        <w:footnoteReference w:id="41"/>
      </w:r>
      <w:r w:rsidR="00305B98">
        <w:rPr>
          <w:rFonts w:eastAsia="Times New Roman"/>
          <w:color w:val="4472C4" w:themeColor="accent1"/>
        </w:rPr>
        <w:t xml:space="preserve"> T</w:t>
      </w:r>
      <w:r w:rsidR="00AB45D2">
        <w:rPr>
          <w:rFonts w:eastAsia="Times New Roman"/>
          <w:color w:val="4472C4" w:themeColor="accent1"/>
        </w:rPr>
        <w:t>his flexibility of the</w:t>
      </w:r>
      <w:r w:rsidR="00305B98">
        <w:rPr>
          <w:rFonts w:eastAsia="Times New Roman"/>
          <w:color w:val="4472C4" w:themeColor="accent1"/>
        </w:rPr>
        <w:t xml:space="preserve"> writ </w:t>
      </w:r>
      <w:r w:rsidR="00AB45D2">
        <w:rPr>
          <w:rFonts w:eastAsia="Times New Roman"/>
          <w:color w:val="4472C4" w:themeColor="accent1"/>
        </w:rPr>
        <w:t>has allowed it</w:t>
      </w:r>
      <w:r w:rsidR="00305B98">
        <w:rPr>
          <w:rFonts w:eastAsia="Times New Roman"/>
          <w:color w:val="4472C4" w:themeColor="accent1"/>
        </w:rPr>
        <w:t xml:space="preserve"> to be used to free slaves from slavery, and to free women and children </w:t>
      </w:r>
      <w:r w:rsidR="001A60BB">
        <w:rPr>
          <w:rFonts w:eastAsia="Times New Roman"/>
          <w:color w:val="4472C4" w:themeColor="accent1"/>
        </w:rPr>
        <w:t>from abusive husbands and fathers. As Judge Rivera writes, these comparisons are meant not to equate the experience of these humans with the experiences of animals, but to show that “even when those classes of human beings have, by operation of law, been denied legal recognition of their humanity, the writ of habeas corpus was still available to them.”</w:t>
      </w:r>
      <w:r w:rsidR="00AB45D2">
        <w:rPr>
          <w:rFonts w:eastAsia="Times New Roman"/>
          <w:color w:val="4472C4" w:themeColor="accent1"/>
        </w:rPr>
        <w:t xml:space="preserve"> In short, Judge Rivera writes, the writ of habeas corpus can be used to “develop the law”, even these developments go beyond or even contravene existing </w:t>
      </w:r>
      <w:r w:rsidR="00564421">
        <w:rPr>
          <w:rFonts w:eastAsia="Times New Roman"/>
          <w:color w:val="4472C4" w:themeColor="accent1"/>
        </w:rPr>
        <w:t>law.</w:t>
      </w:r>
      <w:r w:rsidR="00564421">
        <w:rPr>
          <w:rStyle w:val="FootnoteReference"/>
          <w:rFonts w:eastAsia="Times New Roman"/>
          <w:color w:val="4472C4" w:themeColor="accent1"/>
        </w:rPr>
        <w:footnoteReference w:id="42"/>
      </w:r>
    </w:p>
    <w:p w14:paraId="352CC63C" w14:textId="28B5F88F" w:rsidR="00B417B2" w:rsidRDefault="008E57FE" w:rsidP="00213435">
      <w:pPr>
        <w:shd w:val="clear" w:color="auto" w:fill="FFFFFF"/>
        <w:spacing w:after="0" w:line="240" w:lineRule="auto"/>
        <w:ind w:firstLine="720"/>
        <w:contextualSpacing/>
        <w:jc w:val="both"/>
        <w:rPr>
          <w:rFonts w:eastAsia="Times New Roman"/>
          <w:color w:val="4472C4" w:themeColor="accent1"/>
        </w:rPr>
      </w:pPr>
      <w:proofErr w:type="spellStart"/>
      <w:r w:rsidRPr="0076269F">
        <w:rPr>
          <w:rFonts w:eastAsia="Times New Roman"/>
          <w:color w:val="4472C4" w:themeColor="accent1"/>
        </w:rPr>
        <w:t>Sandai</w:t>
      </w:r>
      <w:proofErr w:type="spellEnd"/>
      <w:r w:rsidR="00B417B2" w:rsidRPr="0076269F">
        <w:rPr>
          <w:rFonts w:eastAsia="Times New Roman"/>
          <w:color w:val="4472C4" w:themeColor="accent1"/>
        </w:rPr>
        <w:t xml:space="preserve"> presents a case in which vagueness in the law fails to address a manifest injustice. Since statute and precedent do not settle whether </w:t>
      </w:r>
      <w:proofErr w:type="spellStart"/>
      <w:r w:rsidRPr="0076269F">
        <w:rPr>
          <w:rFonts w:eastAsia="Times New Roman"/>
          <w:color w:val="4472C4" w:themeColor="accent1"/>
        </w:rPr>
        <w:t>Sandai</w:t>
      </w:r>
      <w:proofErr w:type="spellEnd"/>
      <w:r w:rsidR="00B417B2" w:rsidRPr="0076269F">
        <w:rPr>
          <w:rFonts w:eastAsia="Times New Roman"/>
          <w:color w:val="4472C4" w:themeColor="accent1"/>
        </w:rPr>
        <w:t xml:space="preserve"> is a legal person, the decision whether to grant h</w:t>
      </w:r>
      <w:r w:rsidR="007146A4">
        <w:rPr>
          <w:rFonts w:eastAsia="Times New Roman"/>
          <w:color w:val="4472C4" w:themeColor="accent1"/>
        </w:rPr>
        <w:t>im</w:t>
      </w:r>
      <w:r w:rsidR="00B417B2" w:rsidRPr="0076269F">
        <w:rPr>
          <w:rFonts w:eastAsia="Times New Roman"/>
          <w:color w:val="4472C4" w:themeColor="accent1"/>
        </w:rPr>
        <w:t xml:space="preserve"> legal personhood must be based on basic moral principles. We argue that these moral principles univocally support granting </w:t>
      </w:r>
      <w:proofErr w:type="spellStart"/>
      <w:r w:rsidRPr="0076269F">
        <w:rPr>
          <w:rFonts w:eastAsia="Times New Roman"/>
          <w:color w:val="4472C4" w:themeColor="accent1"/>
        </w:rPr>
        <w:t>Sandai</w:t>
      </w:r>
      <w:proofErr w:type="spellEnd"/>
      <w:r w:rsidR="00B417B2" w:rsidRPr="0076269F">
        <w:rPr>
          <w:rFonts w:eastAsia="Times New Roman"/>
          <w:color w:val="4472C4" w:themeColor="accent1"/>
        </w:rPr>
        <w:t xml:space="preserve"> the status of legal person.</w:t>
      </w:r>
    </w:p>
    <w:p w14:paraId="680D4184" w14:textId="19353F8F" w:rsidR="00C234C2" w:rsidRPr="0076269F" w:rsidRDefault="0028036F" w:rsidP="00564421">
      <w:pPr>
        <w:shd w:val="clear" w:color="auto" w:fill="FFFFFF"/>
        <w:spacing w:after="0" w:line="240" w:lineRule="auto"/>
        <w:ind w:firstLine="720"/>
        <w:contextualSpacing/>
        <w:jc w:val="both"/>
        <w:rPr>
          <w:rFonts w:eastAsia="Times New Roman"/>
          <w:color w:val="4472C4" w:themeColor="accent1"/>
        </w:rPr>
      </w:pPr>
      <w:r>
        <w:rPr>
          <w:rFonts w:eastAsia="Times New Roman"/>
          <w:color w:val="4472C4" w:themeColor="accent1"/>
        </w:rPr>
        <w:t xml:space="preserve">Research has shown that animals with big brains like great apes (including orangutans), orcas, and elephants suffer greatly in captivity regardless of the environmental enrichment in their </w:t>
      </w:r>
      <w:r w:rsidR="00D74C88">
        <w:rPr>
          <w:rFonts w:eastAsia="Times New Roman"/>
          <w:color w:val="4472C4" w:themeColor="accent1"/>
        </w:rPr>
        <w:t>enclosure</w:t>
      </w:r>
      <w:r>
        <w:rPr>
          <w:rFonts w:eastAsia="Times New Roman"/>
          <w:color w:val="4472C4" w:themeColor="accent1"/>
        </w:rPr>
        <w:t>s.</w:t>
      </w:r>
      <w:r>
        <w:rPr>
          <w:rStyle w:val="FootnoteReference"/>
          <w:rFonts w:eastAsia="Times New Roman"/>
          <w:color w:val="4472C4" w:themeColor="accent1"/>
        </w:rPr>
        <w:footnoteReference w:id="43"/>
      </w:r>
      <w:r>
        <w:rPr>
          <w:rFonts w:eastAsia="Times New Roman"/>
          <w:color w:val="4472C4" w:themeColor="accent1"/>
        </w:rPr>
        <w:t xml:space="preserve"> Their brains are designed to learn </w:t>
      </w:r>
      <w:r w:rsidR="00002D53">
        <w:rPr>
          <w:rFonts w:eastAsia="Times New Roman"/>
          <w:color w:val="4472C4" w:themeColor="accent1"/>
        </w:rPr>
        <w:t xml:space="preserve">from their conspecifics, so </w:t>
      </w:r>
      <w:r w:rsidR="00002D53" w:rsidRPr="00002D53">
        <w:rPr>
          <w:rFonts w:eastAsia="Times New Roman"/>
          <w:color w:val="4472C4" w:themeColor="accent1"/>
        </w:rPr>
        <w:t xml:space="preserve">the lack of stimulation </w:t>
      </w:r>
      <w:r w:rsidR="00002D53">
        <w:rPr>
          <w:rFonts w:eastAsia="Times New Roman"/>
          <w:color w:val="4472C4" w:themeColor="accent1"/>
        </w:rPr>
        <w:t>causes</w:t>
      </w:r>
      <w:r w:rsidR="00002D53" w:rsidRPr="00002D53">
        <w:rPr>
          <w:rFonts w:eastAsia="Times New Roman"/>
          <w:color w:val="4472C4" w:themeColor="accent1"/>
        </w:rPr>
        <w:t xml:space="preserve"> thinning of the cortex, decreased blood supply, less support for neurons, and decreased connectivity among neurons.</w:t>
      </w:r>
      <w:r w:rsidR="00002D53">
        <w:rPr>
          <w:rStyle w:val="FootnoteReference"/>
          <w:rFonts w:eastAsia="Times New Roman"/>
          <w:color w:val="4472C4" w:themeColor="accent1"/>
        </w:rPr>
        <w:footnoteReference w:id="44"/>
      </w:r>
      <w:r w:rsidR="00002D53" w:rsidRPr="00002D53">
        <w:rPr>
          <w:rFonts w:eastAsia="Times New Roman"/>
          <w:color w:val="4472C4" w:themeColor="accent1"/>
        </w:rPr>
        <w:t xml:space="preserve"> </w:t>
      </w:r>
      <w:r w:rsidR="00002D53">
        <w:rPr>
          <w:rFonts w:eastAsia="Times New Roman"/>
          <w:color w:val="4472C4" w:themeColor="accent1"/>
        </w:rPr>
        <w:t>The brain’s</w:t>
      </w:r>
      <w:r w:rsidR="00002D53" w:rsidRPr="00002D53">
        <w:rPr>
          <w:rFonts w:eastAsia="Times New Roman"/>
          <w:color w:val="4472C4" w:themeColor="accent1"/>
        </w:rPr>
        <w:t xml:space="preserve"> physical damage affects memory functions and the processing of emotions, leading to depression, anxiety, mood disorders, and</w:t>
      </w:r>
      <w:r w:rsidR="00002D53">
        <w:rPr>
          <w:rFonts w:eastAsia="Times New Roman"/>
          <w:color w:val="4472C4" w:themeColor="accent1"/>
        </w:rPr>
        <w:t xml:space="preserve"> </w:t>
      </w:r>
      <w:r w:rsidR="00C07D3D">
        <w:rPr>
          <w:rFonts w:eastAsia="Times New Roman"/>
          <w:color w:val="4472C4" w:themeColor="accent1"/>
        </w:rPr>
        <w:t>post-traumatic stress disorder</w:t>
      </w:r>
      <w:r w:rsidR="00002D53">
        <w:rPr>
          <w:rFonts w:eastAsia="Times New Roman"/>
          <w:color w:val="4472C4" w:themeColor="accent1"/>
        </w:rPr>
        <w:t>.</w:t>
      </w:r>
      <w:r w:rsidR="00002D53">
        <w:rPr>
          <w:rStyle w:val="FootnoteReference"/>
          <w:rFonts w:eastAsia="Times New Roman"/>
          <w:color w:val="4472C4" w:themeColor="accent1"/>
        </w:rPr>
        <w:footnoteReference w:id="45"/>
      </w:r>
      <w:r w:rsidR="00002D53">
        <w:rPr>
          <w:rFonts w:eastAsia="Times New Roman"/>
          <w:color w:val="4472C4" w:themeColor="accent1"/>
        </w:rPr>
        <w:t xml:space="preserve"> </w:t>
      </w:r>
      <w:r w:rsidR="00C07D3D">
        <w:rPr>
          <w:rFonts w:eastAsia="Times New Roman"/>
          <w:color w:val="4472C4" w:themeColor="accent1"/>
        </w:rPr>
        <w:t>Legislative processes granting legal personhood to these animals typically take year</w:t>
      </w:r>
      <w:r w:rsidR="00A34B67">
        <w:rPr>
          <w:rFonts w:eastAsia="Times New Roman"/>
          <w:color w:val="4472C4" w:themeColor="accent1"/>
        </w:rPr>
        <w:t>s</w:t>
      </w:r>
      <w:r w:rsidR="00564421">
        <w:rPr>
          <w:rFonts w:eastAsia="Times New Roman"/>
          <w:color w:val="4472C4" w:themeColor="accent1"/>
        </w:rPr>
        <w:t xml:space="preserve">. In the interim, </w:t>
      </w:r>
      <w:r w:rsidR="00C07D3D">
        <w:rPr>
          <w:rFonts w:eastAsia="Times New Roman"/>
          <w:color w:val="4472C4" w:themeColor="accent1"/>
        </w:rPr>
        <w:t xml:space="preserve">animals </w:t>
      </w:r>
      <w:r w:rsidR="00564421">
        <w:rPr>
          <w:rFonts w:eastAsia="Times New Roman"/>
          <w:color w:val="4472C4" w:themeColor="accent1"/>
        </w:rPr>
        <w:t>suffer enormously from these conditions and are likely to die</w:t>
      </w:r>
      <w:r w:rsidR="00C07D3D">
        <w:rPr>
          <w:rFonts w:eastAsia="Times New Roman"/>
          <w:color w:val="4472C4" w:themeColor="accent1"/>
        </w:rPr>
        <w:t xml:space="preserve">, </w:t>
      </w:r>
      <w:r w:rsidR="00F2614D">
        <w:rPr>
          <w:rFonts w:eastAsia="Times New Roman"/>
          <w:color w:val="4472C4" w:themeColor="accent1"/>
        </w:rPr>
        <w:t>as has happened several times in different countries</w:t>
      </w:r>
      <w:r w:rsidR="00C72BCD">
        <w:rPr>
          <w:rFonts w:eastAsia="Times New Roman"/>
          <w:color w:val="4472C4" w:themeColor="accent1"/>
        </w:rPr>
        <w:t>.</w:t>
      </w:r>
      <w:r w:rsidR="00F2614D">
        <w:rPr>
          <w:rStyle w:val="FootnoteReference"/>
          <w:rFonts w:eastAsia="Times New Roman"/>
          <w:color w:val="4472C4" w:themeColor="accent1"/>
        </w:rPr>
        <w:footnoteReference w:id="46"/>
      </w:r>
      <w:r w:rsidR="00E9183B">
        <w:rPr>
          <w:rFonts w:eastAsia="Times New Roman"/>
          <w:color w:val="4472C4" w:themeColor="accent1"/>
        </w:rPr>
        <w:t xml:space="preserve"> </w:t>
      </w:r>
      <w:r w:rsidR="00F2614D">
        <w:rPr>
          <w:rFonts w:eastAsia="Times New Roman"/>
          <w:color w:val="4472C4" w:themeColor="accent1"/>
        </w:rPr>
        <w:t>For this reason,</w:t>
      </w:r>
      <w:r w:rsidR="00D74C88">
        <w:rPr>
          <w:rFonts w:eastAsia="Times New Roman"/>
          <w:color w:val="4472C4" w:themeColor="accent1"/>
        </w:rPr>
        <w:t xml:space="preserve"> j</w:t>
      </w:r>
      <w:r w:rsidR="00C72BCD">
        <w:rPr>
          <w:rFonts w:eastAsia="Times New Roman"/>
          <w:color w:val="4472C4" w:themeColor="accent1"/>
        </w:rPr>
        <w:t xml:space="preserve">udges from </w:t>
      </w:r>
      <w:r w:rsidR="00515B18">
        <w:rPr>
          <w:rFonts w:eastAsia="Times New Roman"/>
          <w:color w:val="4472C4" w:themeColor="accent1"/>
        </w:rPr>
        <w:t>the highest courts in</w:t>
      </w:r>
      <w:r w:rsidR="00C72BCD">
        <w:rPr>
          <w:rFonts w:eastAsia="Times New Roman"/>
          <w:color w:val="4472C4" w:themeColor="accent1"/>
        </w:rPr>
        <w:t xml:space="preserve"> Colombia, Ecuador, and Argentina have recognized that the </w:t>
      </w:r>
      <w:r w:rsidR="00515B18">
        <w:rPr>
          <w:rFonts w:eastAsia="Times New Roman"/>
          <w:color w:val="4472C4" w:themeColor="accent1"/>
        </w:rPr>
        <w:t xml:space="preserve">writ of </w:t>
      </w:r>
      <w:r w:rsidR="00C72BCD" w:rsidRPr="0022164C">
        <w:rPr>
          <w:rFonts w:eastAsia="Times New Roman"/>
          <w:i/>
          <w:iCs/>
          <w:color w:val="4472C4" w:themeColor="accent1"/>
        </w:rPr>
        <w:t>habeas corpus</w:t>
      </w:r>
      <w:r w:rsidR="00C72BCD">
        <w:rPr>
          <w:rFonts w:eastAsia="Times New Roman"/>
          <w:color w:val="4472C4" w:themeColor="accent1"/>
        </w:rPr>
        <w:t xml:space="preserve"> is an adequate </w:t>
      </w:r>
      <w:r w:rsidR="00C72BCD">
        <w:rPr>
          <w:rFonts w:eastAsia="Times New Roman"/>
          <w:color w:val="4472C4" w:themeColor="accent1"/>
        </w:rPr>
        <w:lastRenderedPageBreak/>
        <w:t>mechanism to request an animal’s freedom and transfer to a sanctuary</w:t>
      </w:r>
      <w:r w:rsidR="00F2614D">
        <w:rPr>
          <w:rFonts w:eastAsia="Times New Roman"/>
          <w:color w:val="4472C4" w:themeColor="accent1"/>
        </w:rPr>
        <w:t xml:space="preserve"> and thus, consider that courts are competent to resolve these types of cases</w:t>
      </w:r>
      <w:r w:rsidR="00002D53">
        <w:rPr>
          <w:rFonts w:eastAsia="Times New Roman"/>
          <w:color w:val="4472C4" w:themeColor="accent1"/>
        </w:rPr>
        <w:t>.</w:t>
      </w:r>
      <w:r w:rsidR="00C72BCD">
        <w:rPr>
          <w:rStyle w:val="FootnoteReference"/>
          <w:rFonts w:eastAsia="Times New Roman"/>
          <w:color w:val="4472C4" w:themeColor="accent1"/>
        </w:rPr>
        <w:footnoteReference w:id="47"/>
      </w:r>
      <w:r w:rsidR="00002D53">
        <w:rPr>
          <w:rFonts w:eastAsia="Times New Roman"/>
          <w:color w:val="4472C4" w:themeColor="accent1"/>
        </w:rPr>
        <w:t xml:space="preserve"> </w:t>
      </w:r>
      <w:r w:rsidR="00E9183B">
        <w:rPr>
          <w:rFonts w:eastAsia="Times New Roman"/>
          <w:color w:val="4472C4" w:themeColor="accent1"/>
        </w:rPr>
        <w:t xml:space="preserve"> </w:t>
      </w:r>
    </w:p>
    <w:bookmarkEnd w:id="23"/>
    <w:p w14:paraId="37B0D10B" w14:textId="77777777" w:rsidR="003912A7" w:rsidRPr="00213435" w:rsidRDefault="003912A7" w:rsidP="00213435">
      <w:pPr>
        <w:shd w:val="clear" w:color="auto" w:fill="FFFFFF"/>
        <w:spacing w:after="0" w:line="240" w:lineRule="auto"/>
        <w:ind w:firstLine="720"/>
        <w:contextualSpacing/>
        <w:jc w:val="both"/>
        <w:rPr>
          <w:rFonts w:eastAsia="Times New Roman"/>
        </w:rPr>
      </w:pPr>
    </w:p>
    <w:p w14:paraId="0F07CE65" w14:textId="07E9AAB3" w:rsidR="003912A7" w:rsidRPr="00213435" w:rsidRDefault="003912A7" w:rsidP="007253EC">
      <w:pPr>
        <w:widowControl w:val="0"/>
        <w:numPr>
          <w:ilvl w:val="1"/>
          <w:numId w:val="0"/>
        </w:numPr>
        <w:spacing w:after="0" w:line="240" w:lineRule="auto"/>
        <w:ind w:left="1440" w:hanging="360"/>
        <w:contextualSpacing/>
        <w:jc w:val="both"/>
        <w:outlineLvl w:val="1"/>
        <w:rPr>
          <w:rFonts w:eastAsia="Calibri"/>
          <w:b/>
        </w:rPr>
      </w:pPr>
      <w:bookmarkStart w:id="24" w:name="_Toc100180108"/>
      <w:r>
        <w:rPr>
          <w:rFonts w:eastAsia="Calibri"/>
          <w:b/>
        </w:rPr>
        <w:t xml:space="preserve">6. </w:t>
      </w:r>
      <w:r w:rsidR="00B417B2" w:rsidRPr="00213435">
        <w:rPr>
          <w:rFonts w:eastAsia="Calibri"/>
          <w:b/>
        </w:rPr>
        <w:t xml:space="preserve">The Three Most Widely Accepted Moral Theories Agree on </w:t>
      </w:r>
      <w:proofErr w:type="spellStart"/>
      <w:r w:rsidR="008E57FE">
        <w:rPr>
          <w:rFonts w:eastAsia="Calibri"/>
          <w:b/>
        </w:rPr>
        <w:t>Sandai</w:t>
      </w:r>
      <w:r w:rsidR="00B417B2" w:rsidRPr="00213435">
        <w:rPr>
          <w:rFonts w:eastAsia="Calibri"/>
          <w:b/>
        </w:rPr>
        <w:t>’s</w:t>
      </w:r>
      <w:proofErr w:type="spellEnd"/>
      <w:r w:rsidR="00B417B2" w:rsidRPr="00213435">
        <w:rPr>
          <w:rFonts w:eastAsia="Calibri"/>
          <w:b/>
        </w:rPr>
        <w:t xml:space="preserve"> Case.</w:t>
      </w:r>
      <w:bookmarkEnd w:id="24"/>
    </w:p>
    <w:p w14:paraId="27DCE099" w14:textId="35B99095" w:rsidR="003912A7" w:rsidRPr="003912A7" w:rsidRDefault="00B417B2" w:rsidP="003912A7">
      <w:pPr>
        <w:shd w:val="clear" w:color="auto" w:fill="FFFFFF"/>
        <w:spacing w:before="280" w:after="280" w:line="240" w:lineRule="auto"/>
        <w:rPr>
          <w:rFonts w:eastAsia="Times New Roman"/>
        </w:rPr>
      </w:pPr>
      <w:r w:rsidRPr="00213435">
        <w:rPr>
          <w:rFonts w:eastAsia="Times New Roman"/>
        </w:rPr>
        <w:t xml:space="preserve">We have argued on consequentialist grounds that </w:t>
      </w:r>
      <w:proofErr w:type="spellStart"/>
      <w:r w:rsidR="008E57FE">
        <w:rPr>
          <w:rFonts w:eastAsia="Times New Roman"/>
        </w:rPr>
        <w:t>Sandai</w:t>
      </w:r>
      <w:proofErr w:type="spellEnd"/>
      <w:r w:rsidRPr="00213435">
        <w:rPr>
          <w:rFonts w:eastAsia="Times New Roman"/>
        </w:rPr>
        <w:t xml:space="preserve"> should be released. However, one need not be a consequentialist to reach this judgment. While no ethical theory enjoys universal acceptance, ethics textbooks tend to recognize three dominant schools of thought: consequentialism, deontology, and the Aristotelian tradition. </w:t>
      </w:r>
      <w:r w:rsidRPr="0022164C">
        <w:rPr>
          <w:rFonts w:eastAsia="Times New Roman"/>
        </w:rPr>
        <w:t xml:space="preserve">The Court may not know which of these theories is correct. Fortunately, it does not have to know because, in this matter, all three theories lead to the same conclusion. Christine Korsgaard, arguing from a deontological perspective, argues for </w:t>
      </w:r>
      <w:r w:rsidR="003912A7" w:rsidRPr="0022164C">
        <w:rPr>
          <w:rFonts w:eastAsia="Times New Roman"/>
        </w:rPr>
        <w:t xml:space="preserve">the </w:t>
      </w:r>
      <w:r w:rsidRPr="0022164C">
        <w:rPr>
          <w:rFonts w:eastAsia="Times New Roman"/>
        </w:rPr>
        <w:t xml:space="preserve">release </w:t>
      </w:r>
      <w:r w:rsidR="003912A7" w:rsidRPr="0022164C">
        <w:rPr>
          <w:rFonts w:eastAsia="Times New Roman"/>
        </w:rPr>
        <w:t xml:space="preserve">of Happy, </w:t>
      </w:r>
      <w:r w:rsidR="007146A4" w:rsidRPr="0022164C">
        <w:rPr>
          <w:rFonts w:eastAsia="Times New Roman"/>
        </w:rPr>
        <w:t>an</w:t>
      </w:r>
      <w:r w:rsidR="003912A7" w:rsidRPr="0022164C">
        <w:rPr>
          <w:rFonts w:eastAsia="Times New Roman"/>
        </w:rPr>
        <w:t xml:space="preserve"> elephant, </w:t>
      </w:r>
      <w:r w:rsidRPr="0022164C">
        <w:rPr>
          <w:rFonts w:eastAsia="Times New Roman"/>
        </w:rPr>
        <w:t>on the basis of our duties to</w:t>
      </w:r>
      <w:r w:rsidR="0076269F" w:rsidRPr="0022164C">
        <w:rPr>
          <w:rFonts w:eastAsia="Times New Roman"/>
        </w:rPr>
        <w:t xml:space="preserve"> </w:t>
      </w:r>
      <w:r w:rsidRPr="0022164C">
        <w:rPr>
          <w:rFonts w:eastAsia="Times New Roman"/>
        </w:rPr>
        <w:t>Happy</w:t>
      </w:r>
      <w:r w:rsidR="008E22C1" w:rsidRPr="0022164C">
        <w:rPr>
          <w:rFonts w:eastAsia="Times New Roman"/>
        </w:rPr>
        <w:t>.</w:t>
      </w:r>
      <w:r w:rsidR="008E22C1" w:rsidRPr="0022164C">
        <w:rPr>
          <w:rStyle w:val="FootnoteReference"/>
          <w:rFonts w:eastAsia="Times New Roman"/>
        </w:rPr>
        <w:footnoteReference w:id="48"/>
      </w:r>
      <w:r w:rsidR="008E22C1" w:rsidRPr="0022164C">
        <w:rPr>
          <w:rFonts w:eastAsia="Times New Roman"/>
        </w:rPr>
        <w:t xml:space="preserve"> </w:t>
      </w:r>
      <w:r w:rsidRPr="0022164C">
        <w:rPr>
          <w:rFonts w:eastAsia="Times New Roman"/>
        </w:rPr>
        <w:t>Martha Nussbaum, arguing from the Aristotelian tradition, argues for Happy’s release on the basis of Happy’s capacities</w:t>
      </w:r>
      <w:r w:rsidRPr="0022164C">
        <w:rPr>
          <w:rFonts w:eastAsia="Times New Roman"/>
          <w:color w:val="FF0000"/>
        </w:rPr>
        <w:t>.</w:t>
      </w:r>
      <w:r w:rsidR="000F2834" w:rsidRPr="00AC5621">
        <w:rPr>
          <w:rStyle w:val="FootnoteReference"/>
          <w:rFonts w:eastAsia="Times New Roman"/>
        </w:rPr>
        <w:footnoteReference w:id="49"/>
      </w:r>
      <w:r w:rsidR="003912A7" w:rsidRPr="0022164C">
        <w:rPr>
          <w:rFonts w:eastAsia="Times New Roman"/>
          <w:color w:val="FF0000"/>
        </w:rPr>
        <w:t xml:space="preserve"> </w:t>
      </w:r>
      <w:proofErr w:type="spellStart"/>
      <w:r w:rsidR="003912A7" w:rsidRPr="0022164C">
        <w:rPr>
          <w:rFonts w:eastAsia="Times New Roman"/>
          <w:color w:val="222222"/>
        </w:rPr>
        <w:t>Sandai</w:t>
      </w:r>
      <w:proofErr w:type="spellEnd"/>
      <w:r w:rsidR="003912A7" w:rsidRPr="0022164C">
        <w:rPr>
          <w:rFonts w:eastAsia="Times New Roman"/>
          <w:color w:val="222222"/>
        </w:rPr>
        <w:t xml:space="preserve"> has cognitive capacities similar to Happy’s.</w:t>
      </w:r>
      <w:r w:rsidR="0076269F" w:rsidRPr="0022164C">
        <w:rPr>
          <w:rFonts w:eastAsia="Times New Roman"/>
          <w:color w:val="222222"/>
        </w:rPr>
        <w:t xml:space="preserve"> </w:t>
      </w:r>
      <w:r w:rsidR="003912A7" w:rsidRPr="0022164C">
        <w:rPr>
          <w:rFonts w:eastAsia="Times New Roman"/>
          <w:color w:val="222222"/>
        </w:rPr>
        <w:t xml:space="preserve">Kantian and Aristotelian arguments </w:t>
      </w:r>
      <w:r w:rsidR="0076269F" w:rsidRPr="0022164C">
        <w:rPr>
          <w:rFonts w:eastAsia="Times New Roman"/>
          <w:color w:val="222222"/>
        </w:rPr>
        <w:t xml:space="preserve">very probably </w:t>
      </w:r>
      <w:r w:rsidR="003912A7" w:rsidRPr="0022164C">
        <w:rPr>
          <w:rFonts w:eastAsia="Times New Roman"/>
          <w:color w:val="222222"/>
        </w:rPr>
        <w:t>apply equally to orangutans as to elephants.</w:t>
      </w:r>
    </w:p>
    <w:p w14:paraId="120EA5CC" w14:textId="36A12F2B" w:rsidR="00B417B2" w:rsidRPr="00213435" w:rsidRDefault="00B417B2" w:rsidP="00213435">
      <w:pPr>
        <w:shd w:val="clear" w:color="auto" w:fill="FFFFFF"/>
        <w:spacing w:after="0" w:line="240" w:lineRule="auto"/>
        <w:contextualSpacing/>
        <w:jc w:val="both"/>
        <w:rPr>
          <w:rFonts w:eastAsia="Times New Roman"/>
        </w:rPr>
      </w:pPr>
      <w:r w:rsidRPr="00213435">
        <w:rPr>
          <w:rFonts w:eastAsia="Times New Roman"/>
        </w:rPr>
        <w:t> </w:t>
      </w:r>
      <w:r w:rsidRPr="00213435">
        <w:rPr>
          <w:rFonts w:eastAsia="Times New Roman"/>
        </w:rPr>
        <w:tab/>
        <w:t xml:space="preserve">These circumstances place the Court in an enviable position. The major traditions in moral philosophy converge on the same judgment. It is unusual to find such convergence among ethics specialists. But </w:t>
      </w:r>
      <w:r w:rsidR="007253EC">
        <w:rPr>
          <w:rFonts w:eastAsia="Times New Roman"/>
        </w:rPr>
        <w:t xml:space="preserve">the </w:t>
      </w:r>
      <w:r w:rsidRPr="00213435">
        <w:rPr>
          <w:rFonts w:eastAsia="Times New Roman"/>
        </w:rPr>
        <w:t xml:space="preserve">most influential ethicists </w:t>
      </w:r>
      <w:r w:rsidR="007253EC">
        <w:rPr>
          <w:rFonts w:eastAsia="Times New Roman"/>
        </w:rPr>
        <w:t xml:space="preserve">from distinct traditions </w:t>
      </w:r>
      <w:r w:rsidRPr="00213435">
        <w:rPr>
          <w:rFonts w:eastAsia="Times New Roman"/>
        </w:rPr>
        <w:t xml:space="preserve">agree; some nonhuman animals have rights. The grounds of the claim that </w:t>
      </w:r>
      <w:proofErr w:type="spellStart"/>
      <w:r w:rsidR="008E57FE">
        <w:rPr>
          <w:rFonts w:eastAsia="Times New Roman"/>
        </w:rPr>
        <w:t>Sandai</w:t>
      </w:r>
      <w:proofErr w:type="spellEnd"/>
      <w:r w:rsidRPr="00213435">
        <w:rPr>
          <w:rFonts w:eastAsia="Times New Roman"/>
        </w:rPr>
        <w:t xml:space="preserve"> ought to be transferred are as strong in moral philosophy as the grounds of any claim in this field are likely to be. </w:t>
      </w:r>
    </w:p>
    <w:p w14:paraId="7E3ECC1A" w14:textId="609B558B" w:rsidR="00B417B2" w:rsidRDefault="00B417B2" w:rsidP="00B42AF7">
      <w:pPr>
        <w:shd w:val="clear" w:color="auto" w:fill="FFFFFF"/>
        <w:spacing w:after="0" w:line="240" w:lineRule="auto"/>
        <w:ind w:firstLine="720"/>
        <w:contextualSpacing/>
        <w:jc w:val="both"/>
        <w:rPr>
          <w:rFonts w:eastAsia="Times New Roman"/>
        </w:rPr>
      </w:pPr>
      <w:r w:rsidRPr="00213435">
        <w:rPr>
          <w:rFonts w:eastAsia="Times New Roman"/>
        </w:rPr>
        <w:t xml:space="preserve">Moreover, these views are not limited to academic philosophy. This philosophical convergence parallels public sentiments that increasingly oppose the confinement of cognitively complex animals like </w:t>
      </w:r>
      <w:r w:rsidR="00AB2A78">
        <w:rPr>
          <w:rFonts w:eastAsia="Times New Roman"/>
        </w:rPr>
        <w:t>orangutans</w:t>
      </w:r>
      <w:r w:rsidRPr="00213435">
        <w:rPr>
          <w:rFonts w:eastAsia="Times New Roman"/>
        </w:rPr>
        <w:t>.</w:t>
      </w:r>
    </w:p>
    <w:p w14:paraId="661F47A4" w14:textId="77777777" w:rsidR="00C83647" w:rsidRPr="00213435" w:rsidRDefault="00C83647" w:rsidP="00C83647">
      <w:pPr>
        <w:shd w:val="clear" w:color="auto" w:fill="FFFFFF"/>
        <w:spacing w:after="0" w:line="240" w:lineRule="auto"/>
        <w:contextualSpacing/>
        <w:jc w:val="both"/>
        <w:rPr>
          <w:rFonts w:eastAsia="Times New Roman"/>
        </w:rPr>
      </w:pPr>
    </w:p>
    <w:p w14:paraId="4A28F249" w14:textId="7CDDB2B2" w:rsidR="00B417B2" w:rsidRDefault="00AB2A78" w:rsidP="00213435">
      <w:pPr>
        <w:widowControl w:val="0"/>
        <w:numPr>
          <w:ilvl w:val="1"/>
          <w:numId w:val="0"/>
        </w:numPr>
        <w:spacing w:after="0" w:line="240" w:lineRule="auto"/>
        <w:ind w:left="1440" w:hanging="360"/>
        <w:contextualSpacing/>
        <w:jc w:val="both"/>
        <w:outlineLvl w:val="1"/>
        <w:rPr>
          <w:rFonts w:eastAsia="Calibri"/>
          <w:b/>
        </w:rPr>
      </w:pPr>
      <w:bookmarkStart w:id="25" w:name="_Toc100180109"/>
      <w:r>
        <w:rPr>
          <w:rFonts w:eastAsia="Calibri"/>
          <w:b/>
        </w:rPr>
        <w:t xml:space="preserve">7. </w:t>
      </w:r>
      <w:r w:rsidR="00B417B2" w:rsidRPr="00213435">
        <w:rPr>
          <w:rFonts w:eastAsia="Calibri"/>
          <w:b/>
        </w:rPr>
        <w:t>Other Jurisdictions Increasingly Edge Toward Recognizing Nonhuman Personhood.</w:t>
      </w:r>
      <w:bookmarkEnd w:id="25"/>
    </w:p>
    <w:p w14:paraId="601D52BE" w14:textId="77777777" w:rsidR="00AB2A78" w:rsidRPr="00213435" w:rsidRDefault="00AB2A78" w:rsidP="00213435">
      <w:pPr>
        <w:widowControl w:val="0"/>
        <w:numPr>
          <w:ilvl w:val="1"/>
          <w:numId w:val="0"/>
        </w:numPr>
        <w:spacing w:after="0" w:line="240" w:lineRule="auto"/>
        <w:ind w:left="1440" w:hanging="360"/>
        <w:contextualSpacing/>
        <w:jc w:val="both"/>
        <w:outlineLvl w:val="1"/>
        <w:rPr>
          <w:rFonts w:eastAsia="Calibri"/>
          <w:b/>
        </w:rPr>
      </w:pPr>
    </w:p>
    <w:p w14:paraId="1FE3C9A4" w14:textId="5EBFBA4C" w:rsidR="00B417B2" w:rsidRDefault="00AB2A78" w:rsidP="00213435">
      <w:pPr>
        <w:spacing w:after="0" w:line="240" w:lineRule="auto"/>
        <w:ind w:firstLine="720"/>
        <w:contextualSpacing/>
        <w:jc w:val="both"/>
        <w:rPr>
          <w:rFonts w:eastAsia="Times New Roman"/>
        </w:rPr>
      </w:pPr>
      <w:r>
        <w:rPr>
          <w:rFonts w:eastAsia="Times New Roman"/>
          <w:highlight w:val="white"/>
        </w:rPr>
        <w:t xml:space="preserve">Jurisdictions around the world have begun to directly recognized the personhood of cognitively complex animals. </w:t>
      </w:r>
      <w:r w:rsidR="00B417B2" w:rsidRPr="00213435">
        <w:rPr>
          <w:rFonts w:eastAsia="Times New Roman"/>
          <w:highlight w:val="white"/>
        </w:rPr>
        <w:t>In 2015</w:t>
      </w:r>
      <w:r>
        <w:rPr>
          <w:rFonts w:eastAsia="Times New Roman"/>
          <w:highlight w:val="white"/>
        </w:rPr>
        <w:t xml:space="preserve"> in the U.S.</w:t>
      </w:r>
      <w:r w:rsidR="00B417B2" w:rsidRPr="00213435">
        <w:rPr>
          <w:rFonts w:eastAsia="Times New Roman"/>
          <w:highlight w:val="white"/>
        </w:rPr>
        <w:t xml:space="preserve">, the Oregon </w:t>
      </w:r>
      <w:r w:rsidR="007253EC">
        <w:rPr>
          <w:rFonts w:eastAsia="Times New Roman"/>
          <w:highlight w:val="white"/>
        </w:rPr>
        <w:t>s</w:t>
      </w:r>
      <w:r w:rsidR="00B417B2" w:rsidRPr="00213435">
        <w:rPr>
          <w:rFonts w:eastAsia="Times New Roman"/>
          <w:highlight w:val="white"/>
        </w:rPr>
        <w:t xml:space="preserve">tate legislature </w:t>
      </w:r>
      <w:r w:rsidR="00B417B2" w:rsidRPr="00213435">
        <w:rPr>
          <w:rFonts w:eastAsia="Times New Roman"/>
        </w:rPr>
        <w:t>declared that “Animals are sentient beings capable of experiencing pain, stress and fear”; “Animals should be cared for in ways that minimize pain, stress, fear and suffering”; and, “The suffering of animals can be mitigated by expediting the disposition of abused animals that would otherwise languish in cages while their defendant owners await trial.”</w:t>
      </w:r>
      <w:r w:rsidR="00B417B2" w:rsidRPr="00213435">
        <w:rPr>
          <w:rFonts w:eastAsia="Times New Roman"/>
          <w:vertAlign w:val="superscript"/>
        </w:rPr>
        <w:footnoteReference w:id="50"/>
      </w:r>
      <w:r w:rsidR="00B417B2" w:rsidRPr="00213435">
        <w:rPr>
          <w:rFonts w:eastAsia="Times New Roman"/>
        </w:rPr>
        <w:t xml:space="preserve"> Article 13 of the Treaty on the Functioning of the European Union (2016) recognizes</w:t>
      </w:r>
      <w:r>
        <w:rPr>
          <w:rFonts w:eastAsia="Times New Roman"/>
        </w:rPr>
        <w:t xml:space="preserve"> some nonhuman animals</w:t>
      </w:r>
      <w:r w:rsidR="00EA0BF7">
        <w:rPr>
          <w:rFonts w:eastAsia="Times New Roman"/>
        </w:rPr>
        <w:t xml:space="preserve"> </w:t>
      </w:r>
      <w:r w:rsidR="00B417B2" w:rsidRPr="00213435">
        <w:rPr>
          <w:rFonts w:eastAsia="Times New Roman"/>
        </w:rPr>
        <w:t>as “sentient beings.”</w:t>
      </w:r>
      <w:r w:rsidR="00B417B2" w:rsidRPr="00213435">
        <w:rPr>
          <w:rFonts w:eastAsia="Times New Roman"/>
          <w:vertAlign w:val="superscript"/>
        </w:rPr>
        <w:footnoteReference w:id="51"/>
      </w:r>
      <w:r w:rsidR="00B417B2" w:rsidRPr="00213435">
        <w:rPr>
          <w:rFonts w:eastAsia="Times New Roman"/>
        </w:rPr>
        <w:t xml:space="preserve"> So does </w:t>
      </w:r>
      <w:r w:rsidR="00B417B2" w:rsidRPr="00213435">
        <w:rPr>
          <w:rFonts w:eastAsia="Times New Roman"/>
        </w:rPr>
        <w:lastRenderedPageBreak/>
        <w:t>legislation in France, the Netherlands, New Zealand, Sweden,</w:t>
      </w:r>
      <w:r w:rsidR="005E0E05">
        <w:rPr>
          <w:rFonts w:eastAsia="Times New Roman"/>
        </w:rPr>
        <w:t xml:space="preserve"> Colombia, Portugal, Spain,</w:t>
      </w:r>
      <w:r w:rsidR="00B417B2" w:rsidRPr="00213435">
        <w:rPr>
          <w:rFonts w:eastAsia="Times New Roman"/>
        </w:rPr>
        <w:t xml:space="preserve"> Quebec and the Australian Capital Territory.</w:t>
      </w:r>
      <w:r w:rsidR="00B417B2" w:rsidRPr="00213435">
        <w:rPr>
          <w:rFonts w:eastAsia="Times New Roman"/>
          <w:vertAlign w:val="superscript"/>
        </w:rPr>
        <w:footnoteReference w:id="52"/>
      </w:r>
      <w:r w:rsidR="00B417B2" w:rsidRPr="00213435">
        <w:rPr>
          <w:rFonts w:eastAsia="Times New Roman"/>
        </w:rPr>
        <w:t xml:space="preserve"> </w:t>
      </w:r>
    </w:p>
    <w:p w14:paraId="7A7241A3" w14:textId="77777777" w:rsidR="00A377B2" w:rsidRPr="00213435" w:rsidRDefault="00A377B2" w:rsidP="00213435">
      <w:pPr>
        <w:spacing w:after="0" w:line="240" w:lineRule="auto"/>
        <w:ind w:firstLine="720"/>
        <w:contextualSpacing/>
        <w:jc w:val="both"/>
        <w:rPr>
          <w:rFonts w:eastAsia="Times New Roman"/>
          <w:highlight w:val="white"/>
        </w:rPr>
      </w:pPr>
    </w:p>
    <w:p w14:paraId="00BB5A5F" w14:textId="0B9D75D8" w:rsidR="00B417B2" w:rsidRDefault="00B417B2" w:rsidP="00213435">
      <w:pPr>
        <w:spacing w:after="0" w:line="240" w:lineRule="auto"/>
        <w:contextualSpacing/>
        <w:jc w:val="both"/>
        <w:rPr>
          <w:rFonts w:eastAsia="Times New Roman"/>
          <w:highlight w:val="white"/>
        </w:rPr>
      </w:pPr>
      <w:r w:rsidRPr="00213435">
        <w:rPr>
          <w:rFonts w:eastAsia="Times New Roman"/>
          <w:highlight w:val="white"/>
        </w:rPr>
        <w:t xml:space="preserve">In 2014, India’s Supreme Court recognized that Raju, </w:t>
      </w:r>
      <w:r w:rsidR="00EA0BF7">
        <w:rPr>
          <w:rFonts w:eastAsia="Times New Roman"/>
          <w:highlight w:val="white"/>
        </w:rPr>
        <w:t>an</w:t>
      </w:r>
      <w:r w:rsidRPr="00213435">
        <w:rPr>
          <w:rFonts w:eastAsia="Times New Roman"/>
          <w:highlight w:val="white"/>
        </w:rPr>
        <w:t xml:space="preserve"> elephant, had a right to be freed after 50 years of confinement.</w:t>
      </w:r>
      <w:r w:rsidRPr="00213435">
        <w:rPr>
          <w:rFonts w:eastAsia="Times New Roman"/>
          <w:highlight w:val="white"/>
          <w:vertAlign w:val="superscript"/>
        </w:rPr>
        <w:footnoteReference w:id="53"/>
      </w:r>
      <w:r w:rsidRPr="00213435">
        <w:rPr>
          <w:rFonts w:eastAsia="Times New Roman"/>
          <w:highlight w:val="white"/>
        </w:rPr>
        <w:t xml:space="preserve"> </w:t>
      </w:r>
      <w:r w:rsidR="00905604">
        <w:rPr>
          <w:rFonts w:eastAsia="Times New Roman"/>
          <w:highlight w:val="white"/>
        </w:rPr>
        <w:t>In 2014, the Argentine Federal Criminal Cassation Court, one of the highest courts in the country, recognized orangutan Sandra as a subject of rights</w:t>
      </w:r>
      <w:r w:rsidR="00A75C2C">
        <w:rPr>
          <w:rFonts w:eastAsia="Times New Roman"/>
          <w:highlight w:val="white"/>
        </w:rPr>
        <w:t xml:space="preserve"> in a proceeding initiated with a </w:t>
      </w:r>
      <w:r w:rsidR="00A75C2C" w:rsidRPr="007146A4">
        <w:rPr>
          <w:rFonts w:eastAsia="Times New Roman"/>
          <w:i/>
          <w:iCs/>
          <w:highlight w:val="white"/>
        </w:rPr>
        <w:t>habeas corpus</w:t>
      </w:r>
      <w:r w:rsidR="00905604">
        <w:rPr>
          <w:rFonts w:eastAsia="Times New Roman"/>
          <w:highlight w:val="white"/>
        </w:rPr>
        <w:t>.</w:t>
      </w:r>
      <w:r w:rsidR="00905604">
        <w:rPr>
          <w:rStyle w:val="FootnoteReference"/>
          <w:rFonts w:eastAsia="Times New Roman"/>
          <w:highlight w:val="white"/>
        </w:rPr>
        <w:footnoteReference w:id="54"/>
      </w:r>
      <w:r w:rsidR="00905604">
        <w:rPr>
          <w:rFonts w:eastAsia="Times New Roman"/>
          <w:highlight w:val="white"/>
        </w:rPr>
        <w:t xml:space="preserve"> </w:t>
      </w:r>
      <w:r w:rsidR="0020562D">
        <w:rPr>
          <w:rFonts w:eastAsia="Times New Roman"/>
          <w:highlight w:val="white"/>
        </w:rPr>
        <w:t>Later on, Judge Elena Liberatori recognized Sandra as a nonhuman person and a subject of rights.</w:t>
      </w:r>
      <w:r w:rsidR="0020562D">
        <w:rPr>
          <w:rStyle w:val="FootnoteReference"/>
          <w:rFonts w:eastAsia="Times New Roman"/>
          <w:highlight w:val="white"/>
        </w:rPr>
        <w:footnoteReference w:id="55"/>
      </w:r>
      <w:r w:rsidR="0020562D">
        <w:rPr>
          <w:rFonts w:eastAsia="Times New Roman"/>
          <w:highlight w:val="white"/>
        </w:rPr>
        <w:t xml:space="preserve"> </w:t>
      </w:r>
      <w:r w:rsidR="00905604">
        <w:rPr>
          <w:rFonts w:eastAsia="Times New Roman"/>
          <w:highlight w:val="white"/>
        </w:rPr>
        <w:t xml:space="preserve">Sandra’s case has been used as </w:t>
      </w:r>
      <w:r w:rsidR="00305A5D">
        <w:rPr>
          <w:rFonts w:eastAsia="Times New Roman"/>
          <w:highlight w:val="white"/>
        </w:rPr>
        <w:t xml:space="preserve">a </w:t>
      </w:r>
      <w:r w:rsidR="00905604">
        <w:rPr>
          <w:rFonts w:eastAsia="Times New Roman"/>
          <w:highlight w:val="white"/>
        </w:rPr>
        <w:t xml:space="preserve">precedent by other judges in Argentina and </w:t>
      </w:r>
      <w:r w:rsidR="00A75C2C">
        <w:rPr>
          <w:rFonts w:eastAsia="Times New Roman"/>
          <w:highlight w:val="white"/>
        </w:rPr>
        <w:t>worldwide</w:t>
      </w:r>
      <w:r w:rsidR="00905604">
        <w:rPr>
          <w:rFonts w:eastAsia="Times New Roman"/>
          <w:highlight w:val="white"/>
        </w:rPr>
        <w:t xml:space="preserve"> </w:t>
      </w:r>
      <w:r w:rsidR="00A75C2C">
        <w:rPr>
          <w:rFonts w:eastAsia="Times New Roman"/>
          <w:highlight w:val="white"/>
        </w:rPr>
        <w:t>to grant animals legal personhood or recognize them as subjects of rights</w:t>
      </w:r>
      <w:r w:rsidR="00905604">
        <w:rPr>
          <w:rFonts w:eastAsia="Times New Roman"/>
          <w:highlight w:val="white"/>
        </w:rPr>
        <w:t>.</w:t>
      </w:r>
      <w:r w:rsidR="00A75C2C">
        <w:rPr>
          <w:rFonts w:eastAsia="Times New Roman"/>
          <w:highlight w:val="white"/>
        </w:rPr>
        <w:t xml:space="preserve"> For example, the judge that decided to recognize animals as rights holders and close the </w:t>
      </w:r>
      <w:proofErr w:type="spellStart"/>
      <w:r w:rsidR="00A75C2C">
        <w:rPr>
          <w:rFonts w:eastAsia="Times New Roman"/>
          <w:highlight w:val="white"/>
        </w:rPr>
        <w:t>Marghazar</w:t>
      </w:r>
      <w:proofErr w:type="spellEnd"/>
      <w:r w:rsidR="00A75C2C">
        <w:rPr>
          <w:rFonts w:eastAsia="Times New Roman"/>
          <w:highlight w:val="white"/>
        </w:rPr>
        <w:t xml:space="preserve"> Zoo in Islamabad and transfer the animals to sanctuaries cited Sandra’s case as an example of case</w:t>
      </w:r>
      <w:r w:rsidR="00D36FD8">
        <w:rPr>
          <w:rFonts w:eastAsia="Times New Roman"/>
          <w:highlight w:val="white"/>
        </w:rPr>
        <w:t xml:space="preserve"> </w:t>
      </w:r>
      <w:r w:rsidR="00A75C2C">
        <w:rPr>
          <w:rFonts w:eastAsia="Times New Roman"/>
          <w:highlight w:val="white"/>
        </w:rPr>
        <w:t>law on animal rights.</w:t>
      </w:r>
      <w:r w:rsidR="00A75C2C">
        <w:rPr>
          <w:rStyle w:val="FootnoteReference"/>
          <w:rFonts w:eastAsia="Times New Roman"/>
          <w:highlight w:val="white"/>
        </w:rPr>
        <w:footnoteReference w:id="56"/>
      </w:r>
      <w:r w:rsidR="00A75C2C">
        <w:rPr>
          <w:rFonts w:eastAsia="Times New Roman"/>
          <w:highlight w:val="white"/>
        </w:rPr>
        <w:t xml:space="preserve"> In 2016, an Argentine court recognized Cecilia the chimp as a nonhuman person and a subject of rights and </w:t>
      </w:r>
      <w:r w:rsidR="00DB1BC2">
        <w:rPr>
          <w:rFonts w:eastAsia="Times New Roman"/>
          <w:highlight w:val="white"/>
        </w:rPr>
        <w:t>transferred</w:t>
      </w:r>
      <w:r w:rsidR="00A75C2C">
        <w:rPr>
          <w:rFonts w:eastAsia="Times New Roman"/>
          <w:highlight w:val="white"/>
        </w:rPr>
        <w:t xml:space="preserve"> her to a great ape sanctuary in Brazil.</w:t>
      </w:r>
      <w:r w:rsidR="00A75C2C">
        <w:rPr>
          <w:rStyle w:val="FootnoteReference"/>
          <w:rFonts w:eastAsia="Times New Roman"/>
          <w:highlight w:val="white"/>
        </w:rPr>
        <w:footnoteReference w:id="57"/>
      </w:r>
      <w:r w:rsidR="00D36FD8">
        <w:rPr>
          <w:rFonts w:eastAsia="Times New Roman"/>
          <w:highlight w:val="white"/>
        </w:rPr>
        <w:t xml:space="preserve"> </w:t>
      </w:r>
      <w:r w:rsidR="00305A5D">
        <w:rPr>
          <w:rFonts w:eastAsia="Times New Roman"/>
          <w:highlight w:val="white"/>
        </w:rPr>
        <w:t>In 2021, Argentine courts also recognized elephants Guillermina and Pocha as nonhuman persons</w:t>
      </w:r>
      <w:r w:rsidR="00305A5D">
        <w:rPr>
          <w:rStyle w:val="FootnoteReference"/>
          <w:rFonts w:eastAsia="Times New Roman"/>
          <w:highlight w:val="white"/>
        </w:rPr>
        <w:footnoteReference w:id="58"/>
      </w:r>
      <w:r w:rsidR="00305A5D">
        <w:rPr>
          <w:rFonts w:eastAsia="Times New Roman"/>
          <w:highlight w:val="white"/>
        </w:rPr>
        <w:t xml:space="preserve"> and howler monkey Coco as a subject of rights.</w:t>
      </w:r>
      <w:r w:rsidR="00305A5D">
        <w:rPr>
          <w:rStyle w:val="FootnoteReference"/>
          <w:rFonts w:eastAsia="Times New Roman"/>
          <w:highlight w:val="white"/>
        </w:rPr>
        <w:footnoteReference w:id="59"/>
      </w:r>
      <w:r w:rsidR="00305A5D">
        <w:rPr>
          <w:rFonts w:eastAsia="Times New Roman"/>
          <w:highlight w:val="white"/>
        </w:rPr>
        <w:t xml:space="preserve"> </w:t>
      </w:r>
      <w:r w:rsidRPr="00213435">
        <w:rPr>
          <w:rFonts w:eastAsia="Times New Roman"/>
          <w:highlight w:val="white"/>
        </w:rPr>
        <w:t xml:space="preserve">More recently, the Constitutional Court of Ecuador has recognized the legal right of </w:t>
      </w:r>
      <w:r w:rsidR="00905604">
        <w:rPr>
          <w:rFonts w:eastAsia="Times New Roman"/>
          <w:highlight w:val="white"/>
        </w:rPr>
        <w:t xml:space="preserve">wild animals </w:t>
      </w:r>
      <w:r w:rsidRPr="00213435">
        <w:rPr>
          <w:rFonts w:eastAsia="Times New Roman"/>
          <w:highlight w:val="white"/>
        </w:rPr>
        <w:t xml:space="preserve">to be released from confinement via a writ of </w:t>
      </w:r>
      <w:r w:rsidRPr="007146A4">
        <w:rPr>
          <w:rFonts w:eastAsia="Times New Roman"/>
          <w:i/>
          <w:iCs/>
          <w:highlight w:val="white"/>
        </w:rPr>
        <w:t>habeas corpus</w:t>
      </w:r>
      <w:r w:rsidR="00905604" w:rsidRPr="00905604">
        <w:rPr>
          <w:rFonts w:eastAsia="Times New Roman"/>
          <w:highlight w:val="white"/>
        </w:rPr>
        <w:t xml:space="preserve"> </w:t>
      </w:r>
      <w:r w:rsidR="00905604">
        <w:rPr>
          <w:rFonts w:eastAsia="Times New Roman"/>
          <w:highlight w:val="white"/>
        </w:rPr>
        <w:t>in certain circumstances</w:t>
      </w:r>
      <w:r w:rsidRPr="00213435">
        <w:rPr>
          <w:rFonts w:eastAsia="Times New Roman"/>
          <w:highlight w:val="white"/>
        </w:rPr>
        <w:t>.</w:t>
      </w:r>
      <w:r w:rsidRPr="00213435">
        <w:rPr>
          <w:rFonts w:eastAsia="Times New Roman"/>
          <w:highlight w:val="white"/>
          <w:vertAlign w:val="superscript"/>
        </w:rPr>
        <w:footnoteReference w:id="60"/>
      </w:r>
      <w:r w:rsidRPr="00213435">
        <w:rPr>
          <w:rFonts w:eastAsia="Times New Roman"/>
          <w:highlight w:val="white"/>
        </w:rPr>
        <w:t xml:space="preserve"> The decision cites Peter Singer in support of the </w:t>
      </w:r>
      <w:r w:rsidRPr="00213435">
        <w:rPr>
          <w:rFonts w:eastAsia="Times New Roman"/>
          <w:highlight w:val="white"/>
        </w:rPr>
        <w:lastRenderedPageBreak/>
        <w:t>view that denying animals rights on the basis of species is an objectionable prejudice, “speciesism,” and that speciesism violates the law’s commitment to rights of equality and non-discrimination.</w:t>
      </w:r>
      <w:r w:rsidRPr="00213435">
        <w:rPr>
          <w:rFonts w:eastAsia="Times New Roman"/>
          <w:highlight w:val="white"/>
          <w:vertAlign w:val="superscript"/>
        </w:rPr>
        <w:footnoteReference w:id="61"/>
      </w:r>
      <w:r w:rsidRPr="00213435">
        <w:rPr>
          <w:rFonts w:eastAsia="Times New Roman"/>
          <w:highlight w:val="white"/>
        </w:rPr>
        <w:t xml:space="preserve"> We encourage this Court to apply this line of reasoning to the case of </w:t>
      </w:r>
      <w:proofErr w:type="spellStart"/>
      <w:r w:rsidR="008E57FE">
        <w:rPr>
          <w:rFonts w:eastAsia="Times New Roman"/>
          <w:highlight w:val="white"/>
        </w:rPr>
        <w:t>Sandai</w:t>
      </w:r>
      <w:proofErr w:type="spellEnd"/>
      <w:r w:rsidRPr="00213435">
        <w:rPr>
          <w:rFonts w:eastAsia="Times New Roman"/>
          <w:highlight w:val="white"/>
        </w:rPr>
        <w:t>.</w:t>
      </w:r>
    </w:p>
    <w:p w14:paraId="38F38433" w14:textId="2ECB59A1" w:rsidR="00AB2A78" w:rsidRDefault="00AB2A78" w:rsidP="00213435">
      <w:pPr>
        <w:spacing w:after="0" w:line="240" w:lineRule="auto"/>
        <w:contextualSpacing/>
        <w:jc w:val="both"/>
        <w:rPr>
          <w:rFonts w:eastAsia="Times New Roman"/>
          <w:highlight w:val="white"/>
        </w:rPr>
      </w:pPr>
    </w:p>
    <w:p w14:paraId="6A17C99D" w14:textId="77777777" w:rsidR="00AB2A78" w:rsidRPr="00213435" w:rsidRDefault="00AB2A78" w:rsidP="00213435">
      <w:pPr>
        <w:spacing w:after="0" w:line="240" w:lineRule="auto"/>
        <w:contextualSpacing/>
        <w:jc w:val="both"/>
        <w:rPr>
          <w:rFonts w:eastAsia="Times New Roman"/>
          <w:highlight w:val="white"/>
        </w:rPr>
      </w:pPr>
    </w:p>
    <w:p w14:paraId="2E868E0F" w14:textId="77777777" w:rsidR="00B417B2" w:rsidRPr="00213435" w:rsidRDefault="00B417B2" w:rsidP="00213435">
      <w:pPr>
        <w:widowControl w:val="0"/>
        <w:spacing w:after="0" w:line="240" w:lineRule="auto"/>
        <w:ind w:left="1080" w:hanging="720"/>
        <w:contextualSpacing/>
        <w:jc w:val="both"/>
        <w:outlineLvl w:val="0"/>
        <w:rPr>
          <w:rFonts w:eastAsia="Calibri"/>
          <w:b/>
          <w:caps/>
        </w:rPr>
      </w:pPr>
      <w:bookmarkStart w:id="26" w:name="_Toc66190363"/>
      <w:bookmarkStart w:id="27" w:name="_Toc66191051"/>
      <w:bookmarkStart w:id="28" w:name="_Toc66191160"/>
      <w:bookmarkStart w:id="29" w:name="_Toc100180110"/>
      <w:r w:rsidRPr="00213435">
        <w:rPr>
          <w:rFonts w:eastAsia="Calibri"/>
          <w:b/>
          <w:caps/>
        </w:rPr>
        <w:t>Conclusion</w:t>
      </w:r>
      <w:bookmarkEnd w:id="26"/>
      <w:bookmarkEnd w:id="27"/>
      <w:bookmarkEnd w:id="28"/>
      <w:bookmarkEnd w:id="29"/>
    </w:p>
    <w:p w14:paraId="7ABA8A1A" w14:textId="1D71FE20" w:rsidR="00B417B2" w:rsidRPr="00213435" w:rsidRDefault="00B417B2" w:rsidP="00A821E7">
      <w:pPr>
        <w:widowControl w:val="0"/>
        <w:spacing w:after="0" w:line="240" w:lineRule="auto"/>
        <w:contextualSpacing/>
        <w:jc w:val="both"/>
        <w:rPr>
          <w:rFonts w:eastAsia="Times New Roman"/>
        </w:rPr>
      </w:pPr>
      <w:r w:rsidRPr="00213435">
        <w:rPr>
          <w:rFonts w:eastAsia="Times New Roman"/>
          <w:i/>
        </w:rPr>
        <w:t xml:space="preserve">Amici </w:t>
      </w:r>
      <w:r w:rsidRPr="00213435">
        <w:rPr>
          <w:rFonts w:eastAsia="Times New Roman"/>
          <w:iCs/>
        </w:rPr>
        <w:t xml:space="preserve">respectfully assert that </w:t>
      </w:r>
      <w:proofErr w:type="spellStart"/>
      <w:r w:rsidR="008E57FE">
        <w:rPr>
          <w:rFonts w:eastAsia="Times New Roman"/>
        </w:rPr>
        <w:t>Sandai</w:t>
      </w:r>
      <w:r w:rsidRPr="00213435">
        <w:rPr>
          <w:rFonts w:eastAsia="Times New Roman"/>
        </w:rPr>
        <w:t>’s</w:t>
      </w:r>
      <w:proofErr w:type="spellEnd"/>
      <w:r w:rsidRPr="00213435">
        <w:rPr>
          <w:rFonts w:eastAsia="Times New Roman"/>
        </w:rPr>
        <w:t xml:space="preserve"> interest in relative liberty is being violated. </w:t>
      </w:r>
      <w:r w:rsidR="005E0E05">
        <w:rPr>
          <w:rFonts w:eastAsia="Times New Roman"/>
        </w:rPr>
        <w:t>His</w:t>
      </w:r>
      <w:r w:rsidR="005E0E05" w:rsidRPr="00213435">
        <w:rPr>
          <w:rFonts w:eastAsia="Times New Roman"/>
        </w:rPr>
        <w:t xml:space="preserve"> </w:t>
      </w:r>
      <w:r w:rsidRPr="00213435">
        <w:rPr>
          <w:rFonts w:eastAsia="Times New Roman"/>
        </w:rPr>
        <w:t xml:space="preserve">interest in relative liberty is equal to any similar interest of a confined human being’s interest in relative liberty. In both cases, a basic right is at stake. To right the wrong and produce the best consequences, the Court should honor the </w:t>
      </w:r>
      <w:r w:rsidR="00701956">
        <w:rPr>
          <w:rFonts w:eastAsia="Times New Roman"/>
        </w:rPr>
        <w:t>IJF</w:t>
      </w:r>
      <w:r w:rsidRPr="00213435">
        <w:rPr>
          <w:rFonts w:eastAsia="Times New Roman"/>
        </w:rPr>
        <w:t xml:space="preserve">’s request to move </w:t>
      </w:r>
      <w:proofErr w:type="spellStart"/>
      <w:r w:rsidR="008E57FE">
        <w:rPr>
          <w:rFonts w:eastAsia="Times New Roman"/>
        </w:rPr>
        <w:t>Sandai</w:t>
      </w:r>
      <w:proofErr w:type="spellEnd"/>
      <w:r w:rsidRPr="00213435">
        <w:rPr>
          <w:rFonts w:eastAsia="Times New Roman"/>
        </w:rPr>
        <w:t xml:space="preserve"> to a sanctuary.</w:t>
      </w:r>
    </w:p>
    <w:p w14:paraId="5ADB5FE2" w14:textId="77777777" w:rsidR="00382413" w:rsidRPr="00213435" w:rsidRDefault="00382413" w:rsidP="00213435">
      <w:pPr>
        <w:spacing w:after="0" w:line="240" w:lineRule="auto"/>
      </w:pPr>
    </w:p>
    <w:sectPr w:rsidR="00382413" w:rsidRPr="002134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066D" w14:textId="77777777" w:rsidR="00717C49" w:rsidRDefault="00717C49" w:rsidP="00B417B2">
      <w:pPr>
        <w:spacing w:after="0" w:line="240" w:lineRule="auto"/>
      </w:pPr>
      <w:r>
        <w:separator/>
      </w:r>
    </w:p>
  </w:endnote>
  <w:endnote w:type="continuationSeparator" w:id="0">
    <w:p w14:paraId="79669F7A" w14:textId="77777777" w:rsidR="00717C49" w:rsidRDefault="00717C49" w:rsidP="00B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422F" w14:textId="77777777" w:rsidR="001B3946" w:rsidRDefault="001B3946">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53C288B" w14:textId="77777777" w:rsidR="001B3946" w:rsidRDefault="001B3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CE45" w14:textId="77777777" w:rsidR="00717C49" w:rsidRDefault="00717C49" w:rsidP="00B417B2">
      <w:pPr>
        <w:spacing w:after="0" w:line="240" w:lineRule="auto"/>
      </w:pPr>
      <w:r>
        <w:separator/>
      </w:r>
    </w:p>
  </w:footnote>
  <w:footnote w:type="continuationSeparator" w:id="0">
    <w:p w14:paraId="1F09AA17" w14:textId="77777777" w:rsidR="00717C49" w:rsidRDefault="00717C49" w:rsidP="00B417B2">
      <w:pPr>
        <w:spacing w:after="0" w:line="240" w:lineRule="auto"/>
      </w:pPr>
      <w:r>
        <w:continuationSeparator/>
      </w:r>
    </w:p>
  </w:footnote>
  <w:footnote w:id="1">
    <w:p w14:paraId="12CC736F" w14:textId="41E60160" w:rsidR="00650EEE" w:rsidRDefault="00650EEE" w:rsidP="00650EEE">
      <w:pPr>
        <w:pStyle w:val="FootnoteText"/>
      </w:pPr>
      <w:r>
        <w:rPr>
          <w:rStyle w:val="FootnoteReference"/>
        </w:rPr>
        <w:footnoteRef/>
      </w:r>
      <w:r>
        <w:t xml:space="preserve"> </w:t>
      </w:r>
      <w:r w:rsidRPr="00116383">
        <w:rPr>
          <w:b/>
          <w:color w:val="000000"/>
        </w:rPr>
        <w:t>Gary Comstock</w:t>
      </w:r>
      <w:r w:rsidRPr="00116383">
        <w:rPr>
          <w:color w:val="000000"/>
        </w:rPr>
        <w:t xml:space="preserve"> is Alumni Distinguished Undergraduate Professor of Philosophy at North Carolina State University.</w:t>
      </w:r>
      <w:r>
        <w:rPr>
          <w:color w:val="000000"/>
        </w:rPr>
        <w:t xml:space="preserve"> </w:t>
      </w:r>
      <w:r w:rsidRPr="00116383">
        <w:rPr>
          <w:b/>
          <w:color w:val="000000"/>
        </w:rPr>
        <w:t>Adam Lerner</w:t>
      </w:r>
      <w:r w:rsidRPr="00116383">
        <w:rPr>
          <w:color w:val="000000"/>
        </w:rPr>
        <w:t> is </w:t>
      </w:r>
      <w:r w:rsidR="00630CAD">
        <w:rPr>
          <w:color w:val="000000"/>
        </w:rPr>
        <w:t xml:space="preserve">incoming Post-Doctoral Associate </w:t>
      </w:r>
      <w:r w:rsidR="007A4EF7">
        <w:rPr>
          <w:color w:val="000000"/>
        </w:rPr>
        <w:t xml:space="preserve">in the Center for Population-Level Bioethics </w:t>
      </w:r>
      <w:r w:rsidR="00630CAD">
        <w:rPr>
          <w:color w:val="000000"/>
        </w:rPr>
        <w:t xml:space="preserve">at Rutgers University. </w:t>
      </w:r>
      <w:r w:rsidR="003C475C">
        <w:rPr>
          <w:rFonts w:eastAsia="Times New Roman"/>
        </w:rPr>
        <w:t>Macarena Montes Franceschini</w:t>
      </w:r>
      <w:r w:rsidRPr="00116383">
        <w:rPr>
          <w:color w:val="000000"/>
        </w:rPr>
        <w:t> </w:t>
      </w:r>
      <w:r w:rsidR="003C475C" w:rsidRPr="008252E9">
        <w:rPr>
          <w:rFonts w:eastAsia="Times New Roman"/>
        </w:rPr>
        <w:t xml:space="preserve">is an attorney and doctoral researcher at </w:t>
      </w:r>
      <w:proofErr w:type="spellStart"/>
      <w:r w:rsidR="003C475C" w:rsidRPr="008252E9">
        <w:rPr>
          <w:rFonts w:eastAsia="Times New Roman"/>
        </w:rPr>
        <w:t>Universitat</w:t>
      </w:r>
      <w:proofErr w:type="spellEnd"/>
      <w:r w:rsidR="003C475C" w:rsidRPr="008252E9">
        <w:rPr>
          <w:rFonts w:eastAsia="Times New Roman"/>
        </w:rPr>
        <w:t xml:space="preserve"> Pompeu Fabra’s Law Department.</w:t>
      </w:r>
      <w:r w:rsidR="003C475C">
        <w:rPr>
          <w:rFonts w:eastAsia="Times New Roman"/>
        </w:rPr>
        <w:t xml:space="preserve"> </w:t>
      </w:r>
      <w:r w:rsidR="003C475C">
        <w:rPr>
          <w:b/>
          <w:color w:val="000000"/>
        </w:rPr>
        <w:t>Peter Singer</w:t>
      </w:r>
      <w:r w:rsidR="003C475C">
        <w:rPr>
          <w:color w:val="000000"/>
        </w:rPr>
        <w:t xml:space="preserve"> is the Ira W. DeCamp Professor of Bioethics at Princeton University. Journalists have called him the “world’s most influential living philosopher.”</w:t>
      </w:r>
    </w:p>
  </w:footnote>
  <w:footnote w:id="2">
    <w:p w14:paraId="25CA61FE" w14:textId="77777777" w:rsidR="00B417B2" w:rsidRPr="00B417B2" w:rsidRDefault="00B417B2" w:rsidP="00B417B2">
      <w:pPr>
        <w:pBdr>
          <w:top w:val="nil"/>
          <w:left w:val="nil"/>
          <w:bottom w:val="nil"/>
          <w:right w:val="nil"/>
          <w:between w:val="nil"/>
        </w:pBdr>
        <w:tabs>
          <w:tab w:val="left" w:pos="0"/>
        </w:tabs>
        <w:spacing w:after="240"/>
        <w:contextualSpacing/>
        <w:jc w:val="both"/>
        <w:rPr>
          <w:color w:val="000000"/>
        </w:rPr>
      </w:pPr>
      <w:r w:rsidRPr="00B417B2">
        <w:rPr>
          <w:color w:val="000000"/>
        </w:rPr>
        <w:tab/>
      </w:r>
      <w:r w:rsidRPr="00B417B2">
        <w:rPr>
          <w:rStyle w:val="FootnoteReference"/>
          <w:color w:val="000000"/>
        </w:rPr>
        <w:footnoteRef/>
      </w:r>
      <w:r w:rsidRPr="00B417B2">
        <w:rPr>
          <w:color w:val="000000"/>
        </w:rPr>
        <w:t xml:space="preserve"> Jeremy Bentham, </w:t>
      </w:r>
      <w:r w:rsidRPr="00B417B2">
        <w:rPr>
          <w:i/>
          <w:iCs/>
          <w:color w:val="000000"/>
        </w:rPr>
        <w:t>An Introduction to the Principles of Morals and Legislation</w:t>
      </w:r>
      <w:r w:rsidRPr="00B417B2">
        <w:rPr>
          <w:color w:val="000000"/>
        </w:rPr>
        <w:t xml:space="preserve"> (J.H. Burns et al. eds., 1996)</w:t>
      </w:r>
      <w:r w:rsidRPr="00B417B2">
        <w:rPr>
          <w:color w:val="000000"/>
        </w:rPr>
        <w:fldChar w:fldCharType="begin"/>
      </w:r>
      <w:r w:rsidRPr="00904AAC">
        <w:instrText xml:space="preserve"> TA \l "</w:instrText>
      </w:r>
      <w:r w:rsidRPr="00B417B2">
        <w:rPr>
          <w:color w:val="000000"/>
        </w:rPr>
        <w:instrText xml:space="preserve">Jeremy Bentham, </w:instrText>
      </w:r>
      <w:r w:rsidRPr="00B417B2">
        <w:rPr>
          <w:i/>
          <w:iCs/>
          <w:color w:val="000000"/>
        </w:rPr>
        <w:instrText>An Introduction to the Principles of Morals and Legislation</w:instrText>
      </w:r>
      <w:r w:rsidRPr="00B417B2">
        <w:rPr>
          <w:color w:val="000000"/>
        </w:rPr>
        <w:instrText xml:space="preserve"> (J.H. Burns et al. eds., 1996).</w:instrText>
      </w:r>
      <w:r w:rsidRPr="00904AAC">
        <w:instrText xml:space="preserve">" \s "Jeremy Bentham, An Introduction to the Principles of Morals and Legislation (J.H. Burns et al. eds., 1996)" \c 3 </w:instrText>
      </w:r>
      <w:r w:rsidRPr="00B417B2">
        <w:rPr>
          <w:color w:val="000000"/>
        </w:rPr>
        <w:fldChar w:fldCharType="end"/>
      </w:r>
      <w:r w:rsidRPr="00B417B2">
        <w:rPr>
          <w:color w:val="000000"/>
        </w:rPr>
        <w:t>.</w:t>
      </w:r>
    </w:p>
  </w:footnote>
  <w:footnote w:id="3">
    <w:p w14:paraId="601E2337" w14:textId="77777777" w:rsidR="00B417B2" w:rsidRPr="00B417B2" w:rsidRDefault="00B417B2" w:rsidP="00B417B2">
      <w:pPr>
        <w:spacing w:before="280" w:after="280"/>
        <w:ind w:firstLine="720"/>
        <w:contextualSpacing/>
        <w:jc w:val="both"/>
        <w:rPr>
          <w:color w:val="000000"/>
        </w:rPr>
      </w:pPr>
      <w:r w:rsidRPr="00B417B2">
        <w:rPr>
          <w:rStyle w:val="FootnoteReference"/>
          <w:color w:val="000000"/>
        </w:rPr>
        <w:footnoteRef/>
      </w:r>
      <w:r w:rsidRPr="00B417B2">
        <w:rPr>
          <w:color w:val="000000"/>
        </w:rPr>
        <w:t xml:space="preserve"> John Stuart Mill, </w:t>
      </w:r>
      <w:r w:rsidRPr="00B417B2">
        <w:rPr>
          <w:i/>
          <w:iCs/>
          <w:color w:val="000000"/>
        </w:rPr>
        <w:t>Utilitarianism and On Liberty</w:t>
      </w:r>
      <w:r w:rsidRPr="00B417B2">
        <w:rPr>
          <w:color w:val="000000"/>
        </w:rPr>
        <w:t> (Mary Warnock ed., 2d ed. 2003).</w:t>
      </w:r>
      <w:r w:rsidRPr="00B417B2">
        <w:rPr>
          <w:color w:val="000000"/>
        </w:rPr>
        <w:fldChar w:fldCharType="begin"/>
      </w:r>
      <w:r w:rsidRPr="00904AAC">
        <w:instrText xml:space="preserve"> TA \l "</w:instrText>
      </w:r>
      <w:r w:rsidRPr="00B417B2">
        <w:rPr>
          <w:color w:val="000000"/>
        </w:rPr>
        <w:instrText xml:space="preserve">John Stuart Mill, </w:instrText>
      </w:r>
      <w:r w:rsidRPr="00B417B2">
        <w:rPr>
          <w:i/>
          <w:iCs/>
          <w:color w:val="000000"/>
        </w:rPr>
        <w:instrText>Utilitarianism and On Liberty</w:instrText>
      </w:r>
      <w:r w:rsidRPr="00B417B2">
        <w:rPr>
          <w:color w:val="000000"/>
        </w:rPr>
        <w:instrText> (Mary Warnock ed., 2d ed. 2003).</w:instrText>
      </w:r>
      <w:r w:rsidRPr="00904AAC">
        <w:instrText xml:space="preserve">" \s "John Stuart Mill, Utilitarianism and On Liberty (Mary Warnock ed., 2d ed. 2003)." \c 3 </w:instrText>
      </w:r>
      <w:r w:rsidRPr="00B417B2">
        <w:rPr>
          <w:color w:val="000000"/>
        </w:rPr>
        <w:fldChar w:fldCharType="end"/>
      </w:r>
      <w:r w:rsidRPr="00B417B2">
        <w:rPr>
          <w:color w:val="000000"/>
        </w:rPr>
        <w:t xml:space="preserve"> </w:t>
      </w:r>
    </w:p>
  </w:footnote>
  <w:footnote w:id="4">
    <w:p w14:paraId="7F39DBEE" w14:textId="77777777" w:rsidR="00B417B2" w:rsidRPr="00B417B2" w:rsidRDefault="00B417B2" w:rsidP="00B417B2">
      <w:pPr>
        <w:ind w:firstLine="720"/>
        <w:contextualSpacing/>
        <w:jc w:val="both"/>
        <w:rPr>
          <w:color w:val="000000"/>
        </w:rPr>
      </w:pPr>
      <w:r w:rsidRPr="00B417B2">
        <w:rPr>
          <w:rStyle w:val="FootnoteReference"/>
          <w:color w:val="000000"/>
        </w:rPr>
        <w:footnoteRef/>
      </w:r>
      <w:r w:rsidRPr="00B417B2">
        <w:rPr>
          <w:color w:val="000000"/>
        </w:rPr>
        <w:t xml:space="preserve"> Henry Sidgwick, </w:t>
      </w:r>
      <w:r w:rsidRPr="00B417B2">
        <w:rPr>
          <w:i/>
          <w:iCs/>
          <w:color w:val="000000"/>
        </w:rPr>
        <w:t>The Methods of Ethics</w:t>
      </w:r>
      <w:r w:rsidRPr="00B417B2">
        <w:rPr>
          <w:color w:val="000000"/>
        </w:rPr>
        <w:t xml:space="preserve"> (7th ed. 1907).</w:t>
      </w:r>
      <w:r w:rsidRPr="00B417B2">
        <w:rPr>
          <w:color w:val="000000"/>
        </w:rPr>
        <w:fldChar w:fldCharType="begin"/>
      </w:r>
      <w:r w:rsidRPr="00904AAC">
        <w:instrText xml:space="preserve"> TA \l "</w:instrText>
      </w:r>
      <w:r w:rsidRPr="00B417B2">
        <w:rPr>
          <w:color w:val="000000"/>
        </w:rPr>
        <w:instrText xml:space="preserve">Henry Sidgwick, </w:instrText>
      </w:r>
      <w:r w:rsidRPr="00B417B2">
        <w:rPr>
          <w:i/>
          <w:iCs/>
          <w:color w:val="000000"/>
        </w:rPr>
        <w:instrText>The Methods of Ethics</w:instrText>
      </w:r>
      <w:r w:rsidRPr="00B417B2">
        <w:rPr>
          <w:color w:val="000000"/>
        </w:rPr>
        <w:instrText xml:space="preserve"> (7th ed. 1907).</w:instrText>
      </w:r>
      <w:r w:rsidRPr="00904AAC">
        <w:instrText xml:space="preserve">" \s "Henry Sidgwick, The Methods of Ethics (7th ed. 1907)." \c 3 </w:instrText>
      </w:r>
      <w:r w:rsidRPr="00B417B2">
        <w:rPr>
          <w:color w:val="000000"/>
        </w:rPr>
        <w:fldChar w:fldCharType="end"/>
      </w:r>
    </w:p>
  </w:footnote>
  <w:footnote w:id="5">
    <w:p w14:paraId="69B72954" w14:textId="77777777" w:rsidR="00B417B2" w:rsidRPr="00B417B2" w:rsidRDefault="00B417B2" w:rsidP="00B417B2">
      <w:pPr>
        <w:spacing w:before="280" w:after="280"/>
        <w:ind w:firstLine="720"/>
        <w:contextualSpacing/>
        <w:jc w:val="both"/>
        <w:rPr>
          <w:color w:val="000000"/>
        </w:rPr>
      </w:pPr>
      <w:r w:rsidRPr="00B417B2">
        <w:rPr>
          <w:color w:val="000000"/>
          <w:vertAlign w:val="superscript"/>
        </w:rPr>
        <w:footnoteRef/>
      </w:r>
      <w:r w:rsidRPr="00B417B2">
        <w:rPr>
          <w:color w:val="000000"/>
        </w:rPr>
        <w:t xml:space="preserve"> Singer first published his argument in a book review in 1979. </w:t>
      </w:r>
      <w:r w:rsidRPr="00B417B2">
        <w:rPr>
          <w:i/>
          <w:iCs/>
          <w:color w:val="000000"/>
        </w:rPr>
        <w:t>See</w:t>
      </w:r>
      <w:r w:rsidRPr="00B417B2">
        <w:rPr>
          <w:color w:val="000000"/>
        </w:rPr>
        <w:t xml:space="preserve"> Peter Singer, </w:t>
      </w:r>
      <w:r w:rsidRPr="00B417B2">
        <w:rPr>
          <w:i/>
          <w:iCs/>
          <w:color w:val="000000"/>
        </w:rPr>
        <w:t>Animal Liberation</w:t>
      </w:r>
      <w:r w:rsidRPr="00B417B2">
        <w:rPr>
          <w:color w:val="000000"/>
        </w:rPr>
        <w:t>, N.Y. Rev. of Books (Apr. 5, 1973).</w:t>
      </w:r>
      <w:r w:rsidRPr="00B417B2">
        <w:rPr>
          <w:color w:val="000000"/>
        </w:rPr>
        <w:fldChar w:fldCharType="begin"/>
      </w:r>
      <w:r w:rsidRPr="00904AAC">
        <w:instrText xml:space="preserve"> TA \l "</w:instrText>
      </w:r>
      <w:r w:rsidRPr="00B417B2">
        <w:rPr>
          <w:color w:val="000000"/>
        </w:rPr>
        <w:instrText xml:space="preserve">Peter Singer, </w:instrText>
      </w:r>
      <w:r w:rsidRPr="00B417B2">
        <w:rPr>
          <w:i/>
          <w:iCs/>
          <w:color w:val="000000"/>
        </w:rPr>
        <w:instrText>Animal Liberation</w:instrText>
      </w:r>
      <w:r w:rsidRPr="00B417B2">
        <w:rPr>
          <w:color w:val="000000"/>
        </w:rPr>
        <w:instrText>, N.Y. Rev. of Books (Apr. 5, 1973).</w:instrText>
      </w:r>
      <w:r w:rsidRPr="00904AAC">
        <w:instrText xml:space="preserve">" \s "Peter Singer, Animal Liberation, N.Y. Rev. of Books (Apr. 5, 1973)." \c 3 </w:instrText>
      </w:r>
      <w:r w:rsidRPr="00B417B2">
        <w:rPr>
          <w:color w:val="000000"/>
        </w:rPr>
        <w:fldChar w:fldCharType="end"/>
      </w:r>
      <w:r w:rsidRPr="00B417B2">
        <w:rPr>
          <w:color w:val="000000"/>
        </w:rPr>
        <w:t xml:space="preserve"> Two years later, in </w:t>
      </w:r>
      <w:r w:rsidRPr="00B417B2">
        <w:rPr>
          <w:i/>
          <w:color w:val="000000"/>
        </w:rPr>
        <w:t>Animal Liberation</w:t>
      </w:r>
      <w:r w:rsidRPr="00B417B2">
        <w:rPr>
          <w:color w:val="000000"/>
        </w:rPr>
        <w:t xml:space="preserve"> he argued that the ideal of moral equality demands that we give equal weight to the like interests of all parties affected by an action.</w:t>
      </w:r>
    </w:p>
  </w:footnote>
  <w:footnote w:id="6">
    <w:p w14:paraId="32B95CB3" w14:textId="77777777" w:rsidR="00B417B2" w:rsidRPr="00B417B2" w:rsidRDefault="00B417B2" w:rsidP="00B417B2">
      <w:pPr>
        <w:pBdr>
          <w:top w:val="nil"/>
          <w:left w:val="nil"/>
          <w:bottom w:val="nil"/>
          <w:right w:val="nil"/>
          <w:between w:val="nil"/>
        </w:pBdr>
        <w:ind w:firstLine="720"/>
        <w:contextualSpacing/>
        <w:jc w:val="both"/>
        <w:rPr>
          <w:color w:val="000000"/>
        </w:rPr>
      </w:pPr>
      <w:r w:rsidRPr="00B417B2">
        <w:rPr>
          <w:color w:val="000000"/>
          <w:vertAlign w:val="superscript"/>
        </w:rPr>
        <w:footnoteRef/>
      </w:r>
      <w:r w:rsidRPr="00B417B2">
        <w:rPr>
          <w:color w:val="000000"/>
        </w:rPr>
        <w:t xml:space="preserve"> Peter Singer, </w:t>
      </w:r>
      <w:r w:rsidRPr="00B417B2">
        <w:rPr>
          <w:i/>
          <w:color w:val="000000"/>
        </w:rPr>
        <w:t>The Expanding Circle: Ethics, Evolution, and Moral Progress</w:t>
      </w:r>
      <w:r w:rsidRPr="00B417B2">
        <w:rPr>
          <w:iCs/>
          <w:color w:val="000000"/>
        </w:rPr>
        <w:t xml:space="preserve"> (2d ed.</w:t>
      </w:r>
      <w:r w:rsidRPr="00B417B2">
        <w:rPr>
          <w:color w:val="000000"/>
        </w:rPr>
        <w:t xml:space="preserve"> 2011).</w:t>
      </w:r>
      <w:r w:rsidRPr="00B417B2">
        <w:rPr>
          <w:color w:val="000000"/>
        </w:rPr>
        <w:fldChar w:fldCharType="begin"/>
      </w:r>
      <w:r w:rsidRPr="00904AAC">
        <w:instrText xml:space="preserve"> TA \l "</w:instrText>
      </w:r>
      <w:r w:rsidRPr="00B417B2">
        <w:rPr>
          <w:color w:val="000000"/>
        </w:rPr>
        <w:instrText xml:space="preserve">Peter Singer, </w:instrText>
      </w:r>
      <w:r w:rsidRPr="00B417B2">
        <w:rPr>
          <w:i/>
          <w:color w:val="000000"/>
        </w:rPr>
        <w:instrText>The Expanding Circle: Ethics, Evolution, and Moral Progress</w:instrText>
      </w:r>
      <w:r w:rsidRPr="00B417B2">
        <w:rPr>
          <w:iCs/>
          <w:color w:val="000000"/>
        </w:rPr>
        <w:instrText xml:space="preserve"> (2d ed.</w:instrText>
      </w:r>
      <w:r w:rsidRPr="00B417B2">
        <w:rPr>
          <w:color w:val="000000"/>
        </w:rPr>
        <w:instrText xml:space="preserve"> 2011).</w:instrText>
      </w:r>
      <w:r w:rsidRPr="00904AAC">
        <w:instrText xml:space="preserve">" \s "Peter Singer, The Expanding Circle: Ethics, Evolution, and Moral Progress (2d ed. 2011)." \c 3 </w:instrText>
      </w:r>
      <w:r w:rsidRPr="00B417B2">
        <w:rPr>
          <w:color w:val="000000"/>
        </w:rPr>
        <w:fldChar w:fldCharType="end"/>
      </w:r>
    </w:p>
  </w:footnote>
  <w:footnote w:id="7">
    <w:p w14:paraId="27514A94" w14:textId="16EB57E1" w:rsidR="00255F1D" w:rsidRDefault="00255F1D">
      <w:pPr>
        <w:pStyle w:val="FootnoteText"/>
      </w:pPr>
      <w:r>
        <w:rPr>
          <w:rStyle w:val="FootnoteReference"/>
        </w:rPr>
        <w:footnoteRef/>
      </w:r>
      <w:r>
        <w:t xml:space="preserve"> </w:t>
      </w:r>
      <w:r w:rsidRPr="00255F1D">
        <w:t>https://www.nycourts.gov/ctapps/Decisions/2022/Jun22/52opn22-Decision.pdf</w:t>
      </w:r>
    </w:p>
  </w:footnote>
  <w:footnote w:id="8">
    <w:p w14:paraId="439E6B28" w14:textId="77777777" w:rsidR="00B417B2" w:rsidRPr="00B417B2" w:rsidRDefault="00B417B2" w:rsidP="00A14C72">
      <w:pPr>
        <w:pStyle w:val="FootnoteText1"/>
        <w:contextualSpacing/>
        <w:jc w:val="both"/>
        <w:rPr>
          <w:color w:val="000000"/>
          <w:sz w:val="24"/>
          <w:szCs w:val="24"/>
        </w:rPr>
      </w:pPr>
      <w:r w:rsidRPr="00B417B2">
        <w:rPr>
          <w:rStyle w:val="FootnoteReference"/>
          <w:color w:val="000000"/>
          <w:sz w:val="24"/>
          <w:szCs w:val="24"/>
        </w:rPr>
        <w:footnoteRef/>
      </w:r>
      <w:r w:rsidRPr="00B417B2">
        <w:rPr>
          <w:color w:val="000000"/>
          <w:sz w:val="24"/>
          <w:szCs w:val="24"/>
        </w:rPr>
        <w:t xml:space="preserve"> Singer, </w:t>
      </w:r>
      <w:r w:rsidRPr="00B417B2">
        <w:rPr>
          <w:i/>
          <w:iCs/>
          <w:color w:val="000000"/>
          <w:sz w:val="24"/>
          <w:szCs w:val="24"/>
        </w:rPr>
        <w:t>supra</w:t>
      </w:r>
      <w:r w:rsidRPr="00B417B2">
        <w:rPr>
          <w:color w:val="000000"/>
          <w:sz w:val="24"/>
          <w:szCs w:val="24"/>
        </w:rPr>
        <w:t xml:space="preserve"> note 7, at 120</w:t>
      </w:r>
      <w:r w:rsidRPr="00B417B2">
        <w:rPr>
          <w:color w:val="000000"/>
          <w:sz w:val="24"/>
          <w:szCs w:val="24"/>
        </w:rPr>
        <w:fldChar w:fldCharType="begin"/>
      </w:r>
      <w:r w:rsidRPr="005C150E">
        <w:rPr>
          <w:sz w:val="24"/>
          <w:szCs w:val="24"/>
        </w:rPr>
        <w:instrText xml:space="preserve"> TA \s "Peter Singer, The Expanding Circle: Ethics, Evolution, and Moral Progress (2d ed. 2011)." </w:instrText>
      </w:r>
      <w:r w:rsidRPr="00B417B2">
        <w:rPr>
          <w:color w:val="000000"/>
          <w:sz w:val="24"/>
          <w:szCs w:val="24"/>
        </w:rPr>
        <w:fldChar w:fldCharType="end"/>
      </w:r>
      <w:r w:rsidRPr="00B417B2">
        <w:rPr>
          <w:color w:val="000000"/>
          <w:sz w:val="24"/>
          <w:szCs w:val="24"/>
        </w:rPr>
        <w:t>.</w:t>
      </w:r>
    </w:p>
  </w:footnote>
  <w:footnote w:id="9">
    <w:p w14:paraId="6E5CE846" w14:textId="1CF96971" w:rsidR="00677596" w:rsidRPr="00594361" w:rsidRDefault="00677596" w:rsidP="001D0FDC">
      <w:pPr>
        <w:pStyle w:val="FootnoteText"/>
        <w:ind w:firstLine="720"/>
        <w:jc w:val="both"/>
        <w:rPr>
          <w:sz w:val="24"/>
          <w:szCs w:val="24"/>
        </w:rPr>
      </w:pPr>
      <w:r w:rsidRPr="001D0FDC">
        <w:rPr>
          <w:rStyle w:val="FootnoteReference"/>
          <w:sz w:val="24"/>
          <w:szCs w:val="24"/>
        </w:rPr>
        <w:footnoteRef/>
      </w:r>
      <w:r w:rsidRPr="00594361">
        <w:rPr>
          <w:sz w:val="24"/>
          <w:szCs w:val="24"/>
        </w:rPr>
        <w:t xml:space="preserve"> </w:t>
      </w:r>
      <w:r w:rsidR="0038470C" w:rsidRPr="0038470C">
        <w:rPr>
          <w:sz w:val="24"/>
          <w:szCs w:val="24"/>
        </w:rPr>
        <w:t>Chilean law has protected animals against suffering for the past hundreds of years. For example, the lawmaker abolished bullfighting in 1823.</w:t>
      </w:r>
      <w:r w:rsidR="00163BC9">
        <w:rPr>
          <w:sz w:val="24"/>
          <w:szCs w:val="24"/>
        </w:rPr>
        <w:t xml:space="preserve"> </w:t>
      </w:r>
      <w:r w:rsidR="0038470C" w:rsidRPr="0038470C">
        <w:rPr>
          <w:sz w:val="24"/>
          <w:szCs w:val="24"/>
        </w:rPr>
        <w:t xml:space="preserve">In 2003, Chile celebrated a Free Trade Agreement with the European Union, where Chile </w:t>
      </w:r>
      <w:r w:rsidR="00163BC9">
        <w:rPr>
          <w:sz w:val="24"/>
          <w:szCs w:val="24"/>
        </w:rPr>
        <w:t>agreed</w:t>
      </w:r>
      <w:r w:rsidR="0038470C" w:rsidRPr="0038470C">
        <w:rPr>
          <w:sz w:val="24"/>
          <w:szCs w:val="24"/>
        </w:rPr>
        <w:t xml:space="preserve"> to develop animal welfare legislation </w:t>
      </w:r>
      <w:r w:rsidR="00163BC9">
        <w:rPr>
          <w:sz w:val="24"/>
          <w:szCs w:val="24"/>
        </w:rPr>
        <w:t>grounded</w:t>
      </w:r>
      <w:r w:rsidR="0038470C" w:rsidRPr="0038470C">
        <w:rPr>
          <w:sz w:val="24"/>
          <w:szCs w:val="24"/>
        </w:rPr>
        <w:t xml:space="preserve"> on </w:t>
      </w:r>
      <w:r w:rsidR="00163BC9">
        <w:rPr>
          <w:sz w:val="24"/>
          <w:szCs w:val="24"/>
        </w:rPr>
        <w:t xml:space="preserve">animals’ </w:t>
      </w:r>
      <w:r w:rsidR="0038470C" w:rsidRPr="0038470C">
        <w:rPr>
          <w:sz w:val="24"/>
          <w:szCs w:val="24"/>
        </w:rPr>
        <w:t xml:space="preserve">sentience. In 2009, Law </w:t>
      </w:r>
      <w:r w:rsidR="00163BC9">
        <w:rPr>
          <w:sz w:val="24"/>
          <w:szCs w:val="24"/>
        </w:rPr>
        <w:t>No.</w:t>
      </w:r>
      <w:r w:rsidR="0038470C" w:rsidRPr="0038470C">
        <w:rPr>
          <w:sz w:val="24"/>
          <w:szCs w:val="24"/>
        </w:rPr>
        <w:t xml:space="preserve"> 20,380 on animal protection expressly recognize</w:t>
      </w:r>
      <w:r w:rsidR="009C5558">
        <w:rPr>
          <w:sz w:val="24"/>
          <w:szCs w:val="24"/>
        </w:rPr>
        <w:t>d</w:t>
      </w:r>
      <w:r w:rsidR="0038470C" w:rsidRPr="0038470C">
        <w:rPr>
          <w:sz w:val="24"/>
          <w:szCs w:val="24"/>
        </w:rPr>
        <w:t xml:space="preserve"> animals as sentient beings. Currently, there a</w:t>
      </w:r>
      <w:r w:rsidR="009C5558">
        <w:rPr>
          <w:sz w:val="24"/>
          <w:szCs w:val="24"/>
        </w:rPr>
        <w:t>re</w:t>
      </w:r>
      <w:r w:rsidR="0038470C" w:rsidRPr="0038470C">
        <w:rPr>
          <w:sz w:val="24"/>
          <w:szCs w:val="24"/>
        </w:rPr>
        <w:t xml:space="preserve"> </w:t>
      </w:r>
      <w:r w:rsidR="00163BC9">
        <w:rPr>
          <w:sz w:val="24"/>
          <w:szCs w:val="24"/>
        </w:rPr>
        <w:t>several</w:t>
      </w:r>
      <w:r w:rsidR="00163BC9" w:rsidRPr="0038470C">
        <w:rPr>
          <w:sz w:val="24"/>
          <w:szCs w:val="24"/>
        </w:rPr>
        <w:t xml:space="preserve"> </w:t>
      </w:r>
      <w:r w:rsidR="00163BC9">
        <w:rPr>
          <w:sz w:val="24"/>
          <w:szCs w:val="24"/>
        </w:rPr>
        <w:t>statutes</w:t>
      </w:r>
      <w:r w:rsidR="0038470C" w:rsidRPr="0038470C">
        <w:rPr>
          <w:sz w:val="24"/>
          <w:szCs w:val="24"/>
        </w:rPr>
        <w:t xml:space="preserve"> in Chile recognizing sentience</w:t>
      </w:r>
      <w:r w:rsidR="009C5558">
        <w:rPr>
          <w:sz w:val="24"/>
          <w:szCs w:val="24"/>
        </w:rPr>
        <w:t>,</w:t>
      </w:r>
      <w:r w:rsidR="001512E5">
        <w:rPr>
          <w:sz w:val="24"/>
          <w:szCs w:val="24"/>
        </w:rPr>
        <w:t xml:space="preserve"> like Decree </w:t>
      </w:r>
      <w:r w:rsidR="00163BC9">
        <w:rPr>
          <w:sz w:val="24"/>
          <w:szCs w:val="24"/>
        </w:rPr>
        <w:t>No.</w:t>
      </w:r>
      <w:r w:rsidR="001512E5">
        <w:rPr>
          <w:sz w:val="24"/>
          <w:szCs w:val="24"/>
        </w:rPr>
        <w:t xml:space="preserve"> 30 (transportation), 29 (husbandry), and 28 (slaughter)</w:t>
      </w:r>
      <w:r w:rsidR="0038470C" w:rsidRPr="0038470C">
        <w:rPr>
          <w:sz w:val="24"/>
          <w:szCs w:val="24"/>
        </w:rPr>
        <w:t xml:space="preserve">. Additionally, </w:t>
      </w:r>
      <w:r w:rsidR="00163BC9">
        <w:rPr>
          <w:sz w:val="24"/>
          <w:szCs w:val="24"/>
        </w:rPr>
        <w:t>there is a bill</w:t>
      </w:r>
      <w:r w:rsidR="0038470C" w:rsidRPr="0038470C">
        <w:rPr>
          <w:sz w:val="24"/>
          <w:szCs w:val="24"/>
        </w:rPr>
        <w:t xml:space="preserve"> in Congress seek</w:t>
      </w:r>
      <w:r w:rsidR="00163BC9">
        <w:rPr>
          <w:sz w:val="24"/>
          <w:szCs w:val="24"/>
        </w:rPr>
        <w:t>ing</w:t>
      </w:r>
      <w:r w:rsidR="0038470C" w:rsidRPr="0038470C">
        <w:rPr>
          <w:sz w:val="24"/>
          <w:szCs w:val="24"/>
        </w:rPr>
        <w:t xml:space="preserve"> to amend the Civil Code to recognize animals’ sentience, and the draft of the new Constitution also recognize</w:t>
      </w:r>
      <w:r w:rsidR="009C5558">
        <w:rPr>
          <w:sz w:val="24"/>
          <w:szCs w:val="24"/>
        </w:rPr>
        <w:t>s</w:t>
      </w:r>
      <w:r w:rsidR="0038470C" w:rsidRPr="0038470C">
        <w:rPr>
          <w:sz w:val="24"/>
          <w:szCs w:val="24"/>
        </w:rPr>
        <w:t xml:space="preserve"> animals as sentient beings.</w:t>
      </w:r>
      <w:r w:rsidR="009C5558">
        <w:rPr>
          <w:sz w:val="24"/>
          <w:szCs w:val="24"/>
        </w:rPr>
        <w:t xml:space="preserve"> </w:t>
      </w:r>
      <w:r w:rsidR="009C5558" w:rsidRPr="00594361">
        <w:rPr>
          <w:i/>
          <w:iCs/>
          <w:sz w:val="24"/>
          <w:szCs w:val="24"/>
        </w:rPr>
        <w:t>See</w:t>
      </w:r>
      <w:r w:rsidR="009C5558">
        <w:rPr>
          <w:sz w:val="24"/>
          <w:szCs w:val="24"/>
        </w:rPr>
        <w:t>,</w:t>
      </w:r>
      <w:r w:rsidR="00C004F0" w:rsidRPr="00594361">
        <w:rPr>
          <w:sz w:val="24"/>
          <w:szCs w:val="24"/>
        </w:rPr>
        <w:t xml:space="preserve"> </w:t>
      </w:r>
      <w:r w:rsidR="00384ABB">
        <w:rPr>
          <w:sz w:val="24"/>
          <w:szCs w:val="24"/>
        </w:rPr>
        <w:t xml:space="preserve">Macarena Montes, </w:t>
      </w:r>
      <w:r w:rsidR="00384ABB" w:rsidRPr="00594361">
        <w:rPr>
          <w:i/>
          <w:iCs/>
          <w:sz w:val="24"/>
          <w:szCs w:val="24"/>
        </w:rPr>
        <w:t>Derecho Animal in Chile</w:t>
      </w:r>
      <w:r w:rsidR="00384ABB">
        <w:rPr>
          <w:sz w:val="24"/>
          <w:szCs w:val="24"/>
        </w:rPr>
        <w:t xml:space="preserve"> (</w:t>
      </w:r>
      <w:proofErr w:type="spellStart"/>
      <w:r w:rsidR="00384ABB">
        <w:rPr>
          <w:sz w:val="24"/>
          <w:szCs w:val="24"/>
        </w:rPr>
        <w:t>Libromar</w:t>
      </w:r>
      <w:proofErr w:type="spellEnd"/>
      <w:r w:rsidR="00384ABB">
        <w:rPr>
          <w:sz w:val="24"/>
          <w:szCs w:val="24"/>
        </w:rPr>
        <w:t xml:space="preserve">, 2018). </w:t>
      </w:r>
    </w:p>
  </w:footnote>
  <w:footnote w:id="10">
    <w:p w14:paraId="5AE78C2F" w14:textId="395FA935" w:rsidR="002E3354" w:rsidRPr="00594361" w:rsidRDefault="002E3354"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00D073BD" w:rsidRPr="00594361">
        <w:rPr>
          <w:sz w:val="24"/>
          <w:szCs w:val="24"/>
        </w:rPr>
        <w:t xml:space="preserve">J. Anderson and G. Gallup Jr </w:t>
      </w:r>
      <w:r w:rsidR="004F043F" w:rsidRPr="00594361">
        <w:rPr>
          <w:sz w:val="24"/>
          <w:szCs w:val="24"/>
        </w:rPr>
        <w:t xml:space="preserve">(2015), </w:t>
      </w:r>
      <w:r w:rsidR="00D073BD" w:rsidRPr="00594361">
        <w:rPr>
          <w:sz w:val="24"/>
          <w:szCs w:val="24"/>
        </w:rPr>
        <w:t xml:space="preserve">“Mirror self-recognition: a review and critique of attempts to promote and engineer self-recognition in primates,” </w:t>
      </w:r>
      <w:r w:rsidR="00D073BD" w:rsidRPr="00594361">
        <w:rPr>
          <w:i/>
          <w:iCs/>
          <w:sz w:val="24"/>
          <w:szCs w:val="24"/>
        </w:rPr>
        <w:t>Primates</w:t>
      </w:r>
      <w:r w:rsidR="00D073BD" w:rsidRPr="00594361">
        <w:rPr>
          <w:sz w:val="24"/>
          <w:szCs w:val="24"/>
        </w:rPr>
        <w:t xml:space="preserve"> 56,</w:t>
      </w:r>
      <w:r w:rsidR="00A82F61" w:rsidRPr="00594361">
        <w:rPr>
          <w:sz w:val="24"/>
          <w:szCs w:val="24"/>
        </w:rPr>
        <w:t xml:space="preserve"> </w:t>
      </w:r>
      <w:r w:rsidR="00D073BD" w:rsidRPr="00594361">
        <w:rPr>
          <w:sz w:val="24"/>
          <w:szCs w:val="24"/>
        </w:rPr>
        <w:t xml:space="preserve">317–326. </w:t>
      </w:r>
    </w:p>
  </w:footnote>
  <w:footnote w:id="11">
    <w:p w14:paraId="1529D417" w14:textId="2DB68018" w:rsidR="002E3354" w:rsidRPr="00594361" w:rsidRDefault="002E3354" w:rsidP="00594361">
      <w:pPr>
        <w:pStyle w:val="FootnoteText"/>
        <w:ind w:firstLine="720"/>
        <w:rPr>
          <w:sz w:val="24"/>
          <w:szCs w:val="24"/>
        </w:rPr>
      </w:pPr>
      <w:r w:rsidRPr="00594361">
        <w:rPr>
          <w:rStyle w:val="FootnoteReference"/>
          <w:sz w:val="24"/>
          <w:szCs w:val="24"/>
        </w:rPr>
        <w:footnoteRef/>
      </w:r>
      <w:r w:rsidRPr="00594361">
        <w:rPr>
          <w:sz w:val="24"/>
          <w:szCs w:val="24"/>
        </w:rPr>
        <w:t xml:space="preserve"> H. L</w:t>
      </w:r>
      <w:r w:rsidR="004F043F" w:rsidRPr="00594361">
        <w:rPr>
          <w:sz w:val="24"/>
          <w:szCs w:val="24"/>
        </w:rPr>
        <w:t>.</w:t>
      </w:r>
      <w:r w:rsidRPr="00594361">
        <w:rPr>
          <w:sz w:val="24"/>
          <w:szCs w:val="24"/>
        </w:rPr>
        <w:t xml:space="preserve"> White Miles</w:t>
      </w:r>
      <w:r w:rsidR="00494DA8" w:rsidRPr="00594361">
        <w:rPr>
          <w:sz w:val="24"/>
          <w:szCs w:val="24"/>
        </w:rPr>
        <w:t xml:space="preserve">, </w:t>
      </w:r>
      <w:r w:rsidRPr="00594361">
        <w:rPr>
          <w:sz w:val="24"/>
          <w:szCs w:val="24"/>
        </w:rPr>
        <w:t>“Language and the Orang-</w:t>
      </w:r>
      <w:proofErr w:type="spellStart"/>
      <w:r w:rsidRPr="00594361">
        <w:rPr>
          <w:sz w:val="24"/>
          <w:szCs w:val="24"/>
        </w:rPr>
        <w:t>utan</w:t>
      </w:r>
      <w:proofErr w:type="spellEnd"/>
      <w:r w:rsidRPr="00594361">
        <w:rPr>
          <w:sz w:val="24"/>
          <w:szCs w:val="24"/>
        </w:rPr>
        <w:t>: The Old ‘Person’ of the Forest</w:t>
      </w:r>
      <w:r w:rsidR="00494DA8" w:rsidRPr="00594361">
        <w:rPr>
          <w:sz w:val="24"/>
          <w:szCs w:val="24"/>
        </w:rPr>
        <w:t>.</w:t>
      </w:r>
      <w:r w:rsidRPr="00594361">
        <w:rPr>
          <w:sz w:val="24"/>
          <w:szCs w:val="24"/>
        </w:rPr>
        <w:t>” In</w:t>
      </w:r>
      <w:r w:rsidR="00494DA8" w:rsidRPr="00594361">
        <w:rPr>
          <w:sz w:val="24"/>
          <w:szCs w:val="24"/>
        </w:rPr>
        <w:t>:</w:t>
      </w:r>
      <w:r w:rsidRPr="00594361">
        <w:rPr>
          <w:sz w:val="24"/>
          <w:szCs w:val="24"/>
        </w:rPr>
        <w:t xml:space="preserve"> P. Cavalieri and P. Singer (eds.) </w:t>
      </w:r>
      <w:r w:rsidRPr="00594361">
        <w:rPr>
          <w:i/>
          <w:iCs/>
          <w:sz w:val="24"/>
          <w:szCs w:val="24"/>
        </w:rPr>
        <w:t>The Great Ape Project. Equality Beyond Humanity</w:t>
      </w:r>
      <w:r w:rsidR="00494DA8" w:rsidRPr="00594361">
        <w:rPr>
          <w:sz w:val="24"/>
          <w:szCs w:val="24"/>
        </w:rPr>
        <w:t>.</w:t>
      </w:r>
      <w:r w:rsidRPr="00594361">
        <w:rPr>
          <w:i/>
          <w:iCs/>
          <w:sz w:val="24"/>
          <w:szCs w:val="24"/>
        </w:rPr>
        <w:t xml:space="preserve"> </w:t>
      </w:r>
      <w:r w:rsidRPr="00594361">
        <w:rPr>
          <w:sz w:val="24"/>
          <w:szCs w:val="24"/>
        </w:rPr>
        <w:t xml:space="preserve">(St. Martin’s Griffin, </w:t>
      </w:r>
      <w:r w:rsidR="00494DA8" w:rsidRPr="00594361">
        <w:rPr>
          <w:sz w:val="24"/>
          <w:szCs w:val="24"/>
        </w:rPr>
        <w:t>1993</w:t>
      </w:r>
      <w:r w:rsidRPr="00594361">
        <w:rPr>
          <w:sz w:val="24"/>
          <w:szCs w:val="24"/>
        </w:rPr>
        <w:t>), 42–57.</w:t>
      </w:r>
    </w:p>
  </w:footnote>
  <w:footnote w:id="12">
    <w:p w14:paraId="47E2F7CC" w14:textId="6680A484" w:rsidR="002E3354" w:rsidRPr="00594361" w:rsidRDefault="002E3354"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008A081D" w:rsidRPr="00594361">
        <w:rPr>
          <w:i/>
          <w:iCs/>
          <w:sz w:val="24"/>
          <w:szCs w:val="24"/>
        </w:rPr>
        <w:t>Id</w:t>
      </w:r>
      <w:r w:rsidR="008A081D" w:rsidRPr="00594361">
        <w:rPr>
          <w:sz w:val="24"/>
          <w:szCs w:val="24"/>
        </w:rPr>
        <w:t xml:space="preserve">. </w:t>
      </w:r>
      <w:r w:rsidR="00A82F61" w:rsidRPr="00594361">
        <w:rPr>
          <w:sz w:val="24"/>
          <w:szCs w:val="24"/>
        </w:rPr>
        <w:t>at</w:t>
      </w:r>
      <w:r w:rsidR="000A3C04" w:rsidRPr="00594361">
        <w:rPr>
          <w:sz w:val="24"/>
          <w:szCs w:val="24"/>
        </w:rPr>
        <w:t xml:space="preserve"> </w:t>
      </w:r>
      <w:r w:rsidR="008A081D" w:rsidRPr="00594361">
        <w:rPr>
          <w:sz w:val="24"/>
          <w:szCs w:val="24"/>
        </w:rPr>
        <w:t xml:space="preserve">50. </w:t>
      </w:r>
    </w:p>
  </w:footnote>
  <w:footnote w:id="13">
    <w:p w14:paraId="46F24793" w14:textId="72271BD2" w:rsidR="002E3354" w:rsidRPr="00594361" w:rsidRDefault="002E3354"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008A081D" w:rsidRPr="00594361">
        <w:rPr>
          <w:i/>
          <w:iCs/>
          <w:sz w:val="24"/>
          <w:szCs w:val="24"/>
        </w:rPr>
        <w:t>Id</w:t>
      </w:r>
      <w:r w:rsidR="008A081D" w:rsidRPr="00594361">
        <w:rPr>
          <w:sz w:val="24"/>
          <w:szCs w:val="24"/>
        </w:rPr>
        <w:t xml:space="preserve">. </w:t>
      </w:r>
    </w:p>
  </w:footnote>
  <w:footnote w:id="14">
    <w:p w14:paraId="22E73259" w14:textId="3E1E1BFC" w:rsidR="00496E2C" w:rsidRPr="00594361" w:rsidRDefault="00496E2C" w:rsidP="00594361">
      <w:pPr>
        <w:pStyle w:val="FootnoteText"/>
        <w:ind w:firstLine="720"/>
        <w:rPr>
          <w:sz w:val="24"/>
          <w:szCs w:val="24"/>
          <w:lang w:val="es-ES"/>
        </w:rPr>
      </w:pPr>
      <w:r w:rsidRPr="00594361">
        <w:rPr>
          <w:rStyle w:val="FootnoteReference"/>
          <w:sz w:val="24"/>
          <w:szCs w:val="24"/>
        </w:rPr>
        <w:footnoteRef/>
      </w:r>
      <w:r w:rsidRPr="00594361">
        <w:rPr>
          <w:sz w:val="24"/>
          <w:szCs w:val="24"/>
        </w:rPr>
        <w:t xml:space="preserve"> </w:t>
      </w:r>
      <w:r w:rsidRPr="00594361">
        <w:rPr>
          <w:i/>
          <w:iCs/>
          <w:sz w:val="24"/>
          <w:szCs w:val="24"/>
          <w:lang w:val="es-ES"/>
        </w:rPr>
        <w:t>Id</w:t>
      </w:r>
      <w:r w:rsidRPr="00594361">
        <w:rPr>
          <w:sz w:val="24"/>
          <w:szCs w:val="24"/>
          <w:lang w:val="es-ES"/>
        </w:rPr>
        <w:t xml:space="preserve">. </w:t>
      </w:r>
    </w:p>
  </w:footnote>
  <w:footnote w:id="15">
    <w:p w14:paraId="72E90E91" w14:textId="53B843EE" w:rsidR="002E3354" w:rsidRPr="00594361" w:rsidRDefault="002E3354"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008A081D" w:rsidRPr="00594361">
        <w:rPr>
          <w:i/>
          <w:iCs/>
          <w:sz w:val="24"/>
          <w:szCs w:val="24"/>
        </w:rPr>
        <w:t>Id</w:t>
      </w:r>
      <w:r w:rsidR="008A081D" w:rsidRPr="00594361">
        <w:rPr>
          <w:sz w:val="24"/>
          <w:szCs w:val="24"/>
        </w:rPr>
        <w:t xml:space="preserve">. </w:t>
      </w:r>
      <w:r w:rsidR="00A82F61" w:rsidRPr="00594361">
        <w:rPr>
          <w:sz w:val="24"/>
          <w:szCs w:val="24"/>
        </w:rPr>
        <w:t>at</w:t>
      </w:r>
      <w:r w:rsidR="000A3C04" w:rsidRPr="00594361">
        <w:rPr>
          <w:sz w:val="24"/>
          <w:szCs w:val="24"/>
        </w:rPr>
        <w:t xml:space="preserve"> </w:t>
      </w:r>
      <w:r w:rsidR="008A081D" w:rsidRPr="00594361">
        <w:rPr>
          <w:sz w:val="24"/>
          <w:szCs w:val="24"/>
        </w:rPr>
        <w:t xml:space="preserve">48. </w:t>
      </w:r>
    </w:p>
  </w:footnote>
  <w:footnote w:id="16">
    <w:p w14:paraId="13AB8870" w14:textId="550EC886" w:rsidR="00494DA8" w:rsidRPr="00594361" w:rsidRDefault="00494DA8" w:rsidP="00594361">
      <w:pPr>
        <w:pStyle w:val="FootnoteText"/>
        <w:ind w:firstLine="720"/>
        <w:rPr>
          <w:sz w:val="24"/>
          <w:szCs w:val="24"/>
          <w:lang w:val="es-ES"/>
        </w:rPr>
      </w:pPr>
      <w:r w:rsidRPr="00594361">
        <w:rPr>
          <w:rStyle w:val="FootnoteReference"/>
          <w:sz w:val="24"/>
          <w:szCs w:val="24"/>
        </w:rPr>
        <w:footnoteRef/>
      </w:r>
      <w:r w:rsidRPr="00594361">
        <w:rPr>
          <w:sz w:val="24"/>
          <w:szCs w:val="24"/>
          <w:lang w:val="es-ES"/>
        </w:rPr>
        <w:t xml:space="preserve"> P. Casal and P. Singer, Los derechos de los simios (Editorial Trotta, 2022), </w:t>
      </w:r>
      <w:r w:rsidR="00A82F61" w:rsidRPr="00594361">
        <w:rPr>
          <w:sz w:val="24"/>
          <w:szCs w:val="24"/>
          <w:lang w:val="es-ES"/>
        </w:rPr>
        <w:t>at</w:t>
      </w:r>
      <w:r w:rsidRPr="00594361">
        <w:rPr>
          <w:sz w:val="24"/>
          <w:szCs w:val="24"/>
          <w:lang w:val="es-ES"/>
        </w:rPr>
        <w:t xml:space="preserve"> 199.</w:t>
      </w:r>
    </w:p>
  </w:footnote>
  <w:footnote w:id="17">
    <w:p w14:paraId="5BAC5170" w14:textId="3FD83F56" w:rsidR="002E3354" w:rsidRPr="00594361" w:rsidRDefault="002E3354"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00494DA8" w:rsidRPr="00594361">
        <w:rPr>
          <w:i/>
          <w:iCs/>
          <w:sz w:val="24"/>
          <w:szCs w:val="24"/>
        </w:rPr>
        <w:t>Id</w:t>
      </w:r>
      <w:r w:rsidR="00494DA8" w:rsidRPr="00594361">
        <w:rPr>
          <w:sz w:val="24"/>
          <w:szCs w:val="24"/>
        </w:rPr>
        <w:t xml:space="preserve">. </w:t>
      </w:r>
      <w:r w:rsidR="00A82F61" w:rsidRPr="00594361">
        <w:rPr>
          <w:sz w:val="24"/>
          <w:szCs w:val="24"/>
        </w:rPr>
        <w:t>at</w:t>
      </w:r>
      <w:r w:rsidR="00494DA8" w:rsidRPr="00594361">
        <w:rPr>
          <w:sz w:val="24"/>
          <w:szCs w:val="24"/>
        </w:rPr>
        <w:t xml:space="preserve"> 200.</w:t>
      </w:r>
    </w:p>
  </w:footnote>
  <w:footnote w:id="18">
    <w:p w14:paraId="444A7EB4" w14:textId="715E9AE4" w:rsidR="00BA3982" w:rsidRPr="00594361" w:rsidRDefault="00BA3982"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00A82F61" w:rsidRPr="00594361">
        <w:rPr>
          <w:sz w:val="24"/>
          <w:szCs w:val="24"/>
        </w:rPr>
        <w:t xml:space="preserve">White, </w:t>
      </w:r>
      <w:r w:rsidR="00A82F61" w:rsidRPr="00594361">
        <w:rPr>
          <w:i/>
          <w:iCs/>
          <w:sz w:val="24"/>
          <w:szCs w:val="24"/>
        </w:rPr>
        <w:t>s</w:t>
      </w:r>
      <w:r w:rsidRPr="00594361">
        <w:rPr>
          <w:i/>
          <w:iCs/>
          <w:sz w:val="24"/>
          <w:szCs w:val="24"/>
        </w:rPr>
        <w:t>upra</w:t>
      </w:r>
      <w:r w:rsidRPr="00594361">
        <w:rPr>
          <w:sz w:val="24"/>
          <w:szCs w:val="24"/>
        </w:rPr>
        <w:t xml:space="preserve"> note 10, </w:t>
      </w:r>
      <w:r w:rsidR="00A82F61" w:rsidRPr="00594361">
        <w:rPr>
          <w:sz w:val="24"/>
          <w:szCs w:val="24"/>
        </w:rPr>
        <w:t>at</w:t>
      </w:r>
      <w:r w:rsidRPr="00594361">
        <w:rPr>
          <w:sz w:val="24"/>
          <w:szCs w:val="24"/>
        </w:rPr>
        <w:t xml:space="preserve"> 48. </w:t>
      </w:r>
    </w:p>
  </w:footnote>
  <w:footnote w:id="19">
    <w:p w14:paraId="36F85E42" w14:textId="3EDD4BE2" w:rsidR="009B0AD0" w:rsidRPr="00594361" w:rsidRDefault="009B0AD0"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Pr="00594361">
        <w:rPr>
          <w:i/>
          <w:iCs/>
          <w:sz w:val="24"/>
          <w:szCs w:val="24"/>
        </w:rPr>
        <w:t>Id</w:t>
      </w:r>
      <w:r w:rsidRPr="00594361">
        <w:rPr>
          <w:sz w:val="24"/>
          <w:szCs w:val="24"/>
        </w:rPr>
        <w:t xml:space="preserve">. </w:t>
      </w:r>
    </w:p>
  </w:footnote>
  <w:footnote w:id="20">
    <w:p w14:paraId="07DC61A6" w14:textId="6087A130" w:rsidR="00810FF3" w:rsidRPr="00594361" w:rsidRDefault="00810FF3"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Pr="00594361">
        <w:rPr>
          <w:i/>
          <w:iCs/>
          <w:sz w:val="24"/>
          <w:szCs w:val="24"/>
        </w:rPr>
        <w:t>Id.</w:t>
      </w:r>
      <w:r w:rsidRPr="00594361">
        <w:rPr>
          <w:sz w:val="24"/>
          <w:szCs w:val="24"/>
        </w:rPr>
        <w:t xml:space="preserve"> at 45. </w:t>
      </w:r>
    </w:p>
  </w:footnote>
  <w:footnote w:id="21">
    <w:p w14:paraId="6D3371F3" w14:textId="0DB99B01" w:rsidR="00494DA8" w:rsidRPr="00594361" w:rsidRDefault="002E3354"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00494DA8" w:rsidRPr="00594361">
        <w:rPr>
          <w:sz w:val="24"/>
          <w:szCs w:val="24"/>
        </w:rPr>
        <w:t xml:space="preserve">E. </w:t>
      </w:r>
      <w:proofErr w:type="spellStart"/>
      <w:r w:rsidR="00494DA8" w:rsidRPr="00594361">
        <w:rPr>
          <w:sz w:val="24"/>
          <w:szCs w:val="24"/>
        </w:rPr>
        <w:t>Meulman</w:t>
      </w:r>
      <w:proofErr w:type="spellEnd"/>
      <w:r w:rsidR="00494DA8" w:rsidRPr="00594361">
        <w:rPr>
          <w:sz w:val="24"/>
          <w:szCs w:val="24"/>
        </w:rPr>
        <w:t xml:space="preserve"> and C. van Schaik, “Orangutan tool use and the evolution of technology.” In: C. Sanz,</w:t>
      </w:r>
    </w:p>
    <w:p w14:paraId="29C0FFC0" w14:textId="3E67E357" w:rsidR="002E3354" w:rsidRPr="00594361" w:rsidRDefault="00494DA8" w:rsidP="00494DA8">
      <w:pPr>
        <w:pStyle w:val="FootnoteText"/>
        <w:rPr>
          <w:sz w:val="24"/>
          <w:szCs w:val="24"/>
        </w:rPr>
      </w:pPr>
      <w:r w:rsidRPr="00594361">
        <w:rPr>
          <w:sz w:val="24"/>
          <w:szCs w:val="24"/>
        </w:rPr>
        <w:t xml:space="preserve">J. Call, C. Boesch (eds.) </w:t>
      </w:r>
      <w:r w:rsidRPr="00594361">
        <w:rPr>
          <w:i/>
          <w:iCs/>
          <w:sz w:val="24"/>
          <w:szCs w:val="24"/>
        </w:rPr>
        <w:t>Tool Use in Animals. Cognition and Ecology</w:t>
      </w:r>
      <w:r w:rsidRPr="00594361">
        <w:rPr>
          <w:sz w:val="24"/>
          <w:szCs w:val="24"/>
        </w:rPr>
        <w:t>. (Cambridge University Press, 2013), pp. 176-202.</w:t>
      </w:r>
    </w:p>
  </w:footnote>
  <w:footnote w:id="22">
    <w:p w14:paraId="32D8BBA9" w14:textId="2A97D3DC" w:rsidR="00810FF3" w:rsidRPr="00594361" w:rsidRDefault="00810FF3" w:rsidP="00594361">
      <w:pPr>
        <w:pStyle w:val="FootnoteText"/>
        <w:ind w:firstLine="720"/>
        <w:rPr>
          <w:sz w:val="24"/>
          <w:szCs w:val="24"/>
        </w:rPr>
      </w:pPr>
      <w:r w:rsidRPr="00594361">
        <w:rPr>
          <w:rStyle w:val="FootnoteReference"/>
          <w:sz w:val="24"/>
          <w:szCs w:val="24"/>
        </w:rPr>
        <w:footnoteRef/>
      </w:r>
      <w:r w:rsidRPr="00594361">
        <w:rPr>
          <w:sz w:val="24"/>
          <w:szCs w:val="24"/>
        </w:rPr>
        <w:t xml:space="preserve"> White, </w:t>
      </w:r>
      <w:r w:rsidRPr="00594361">
        <w:rPr>
          <w:i/>
          <w:iCs/>
          <w:sz w:val="24"/>
          <w:szCs w:val="24"/>
        </w:rPr>
        <w:t xml:space="preserve">supra </w:t>
      </w:r>
      <w:r w:rsidRPr="00594361">
        <w:rPr>
          <w:sz w:val="24"/>
          <w:szCs w:val="24"/>
        </w:rPr>
        <w:t xml:space="preserve">note 10, at 45. </w:t>
      </w:r>
    </w:p>
  </w:footnote>
  <w:footnote w:id="23">
    <w:p w14:paraId="2C496B34" w14:textId="513DDCDB" w:rsidR="00B373FE" w:rsidRPr="00594361" w:rsidRDefault="00B373FE"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Pr="00594361">
        <w:rPr>
          <w:i/>
          <w:iCs/>
          <w:sz w:val="24"/>
          <w:szCs w:val="24"/>
        </w:rPr>
        <w:t>Id</w:t>
      </w:r>
      <w:r w:rsidRPr="00594361">
        <w:rPr>
          <w:sz w:val="24"/>
          <w:szCs w:val="24"/>
        </w:rPr>
        <w:t xml:space="preserve">. at 49. </w:t>
      </w:r>
    </w:p>
  </w:footnote>
  <w:footnote w:id="24">
    <w:p w14:paraId="1C57072B" w14:textId="53D6EFCF" w:rsidR="00D109B5" w:rsidRPr="00594361" w:rsidRDefault="007F3068" w:rsidP="00594361">
      <w:pPr>
        <w:pStyle w:val="FootnoteText"/>
        <w:ind w:firstLine="720"/>
        <w:rPr>
          <w:sz w:val="24"/>
          <w:szCs w:val="24"/>
        </w:rPr>
      </w:pPr>
      <w:r w:rsidRPr="00594361">
        <w:rPr>
          <w:rStyle w:val="FootnoteReference"/>
          <w:sz w:val="24"/>
          <w:szCs w:val="24"/>
        </w:rPr>
        <w:footnoteRef/>
      </w:r>
      <w:r w:rsidRPr="00594361">
        <w:rPr>
          <w:sz w:val="24"/>
          <w:szCs w:val="24"/>
        </w:rPr>
        <w:t xml:space="preserve"> C. van Schaik,</w:t>
      </w:r>
      <w:r w:rsidR="00D109B5" w:rsidRPr="00594361">
        <w:rPr>
          <w:sz w:val="24"/>
          <w:szCs w:val="24"/>
        </w:rPr>
        <w:t xml:space="preserve"> L. Damerius, and K. Isler (2013), “Wild Orangutan Males Plan and Communicate Their Travel Direction One Day in Advance,” </w:t>
      </w:r>
      <w:proofErr w:type="spellStart"/>
      <w:r w:rsidR="00D109B5" w:rsidRPr="00594361">
        <w:rPr>
          <w:i/>
          <w:iCs/>
          <w:sz w:val="24"/>
          <w:szCs w:val="24"/>
        </w:rPr>
        <w:t>PLoS</w:t>
      </w:r>
      <w:proofErr w:type="spellEnd"/>
      <w:r w:rsidR="00D109B5" w:rsidRPr="00594361">
        <w:rPr>
          <w:i/>
          <w:iCs/>
          <w:sz w:val="24"/>
          <w:szCs w:val="24"/>
        </w:rPr>
        <w:t xml:space="preserve"> ONE</w:t>
      </w:r>
      <w:r w:rsidR="00D109B5" w:rsidRPr="00594361">
        <w:rPr>
          <w:sz w:val="24"/>
          <w:szCs w:val="24"/>
        </w:rPr>
        <w:t xml:space="preserve"> 8(9), 1–10.</w:t>
      </w:r>
    </w:p>
  </w:footnote>
  <w:footnote w:id="25">
    <w:p w14:paraId="1DC96A0C" w14:textId="77777777" w:rsidR="00A70E77" w:rsidRPr="00594361" w:rsidRDefault="00A70E77" w:rsidP="00A70E77">
      <w:pPr>
        <w:pStyle w:val="FootnoteText"/>
        <w:ind w:firstLine="720"/>
        <w:rPr>
          <w:sz w:val="24"/>
          <w:szCs w:val="24"/>
        </w:rPr>
      </w:pPr>
      <w:r w:rsidRPr="00594361">
        <w:rPr>
          <w:rStyle w:val="FootnoteReference"/>
          <w:sz w:val="24"/>
          <w:szCs w:val="24"/>
        </w:rPr>
        <w:footnoteRef/>
      </w:r>
      <w:r w:rsidRPr="00594361">
        <w:rPr>
          <w:sz w:val="24"/>
          <w:szCs w:val="24"/>
        </w:rPr>
        <w:t xml:space="preserve"> </w:t>
      </w:r>
      <w:r w:rsidRPr="00594361">
        <w:rPr>
          <w:i/>
          <w:iCs/>
          <w:sz w:val="24"/>
          <w:szCs w:val="24"/>
        </w:rPr>
        <w:t>Id</w:t>
      </w:r>
      <w:r w:rsidRPr="00594361">
        <w:rPr>
          <w:sz w:val="24"/>
          <w:szCs w:val="24"/>
        </w:rPr>
        <w:t xml:space="preserve">. at 194. </w:t>
      </w:r>
    </w:p>
  </w:footnote>
  <w:footnote w:id="26">
    <w:p w14:paraId="52F61F6E" w14:textId="77777777" w:rsidR="00A70E77" w:rsidRPr="00594361" w:rsidRDefault="00A70E77" w:rsidP="00A70E77">
      <w:pPr>
        <w:pStyle w:val="FootnoteText"/>
        <w:ind w:firstLine="720"/>
        <w:rPr>
          <w:sz w:val="24"/>
          <w:szCs w:val="24"/>
        </w:rPr>
      </w:pPr>
      <w:r w:rsidRPr="00594361">
        <w:rPr>
          <w:rStyle w:val="FootnoteReference"/>
          <w:sz w:val="24"/>
          <w:szCs w:val="24"/>
        </w:rPr>
        <w:footnoteRef/>
      </w:r>
      <w:r w:rsidRPr="00594361">
        <w:rPr>
          <w:sz w:val="24"/>
          <w:szCs w:val="24"/>
        </w:rPr>
        <w:t xml:space="preserve"> Van Schaik et al., </w:t>
      </w:r>
      <w:r w:rsidRPr="00594361">
        <w:rPr>
          <w:i/>
          <w:iCs/>
          <w:sz w:val="24"/>
          <w:szCs w:val="24"/>
        </w:rPr>
        <w:t>supra</w:t>
      </w:r>
      <w:r w:rsidRPr="00594361">
        <w:rPr>
          <w:sz w:val="24"/>
          <w:szCs w:val="24"/>
        </w:rPr>
        <w:t xml:space="preserve"> note 23, at 2.</w:t>
      </w:r>
    </w:p>
  </w:footnote>
  <w:footnote w:id="27">
    <w:p w14:paraId="4720AD55" w14:textId="77777777" w:rsidR="00A70E77" w:rsidRPr="00594361" w:rsidRDefault="00A70E77" w:rsidP="00A70E77">
      <w:pPr>
        <w:pStyle w:val="FootnoteText"/>
        <w:ind w:firstLine="720"/>
        <w:rPr>
          <w:sz w:val="24"/>
          <w:szCs w:val="24"/>
        </w:rPr>
      </w:pPr>
      <w:r w:rsidRPr="00594361">
        <w:rPr>
          <w:rStyle w:val="FootnoteReference"/>
          <w:sz w:val="24"/>
          <w:szCs w:val="24"/>
        </w:rPr>
        <w:footnoteRef/>
      </w:r>
      <w:r w:rsidRPr="00594361">
        <w:rPr>
          <w:sz w:val="24"/>
          <w:szCs w:val="24"/>
        </w:rPr>
        <w:t xml:space="preserve"> S. Preston and F. de Waal (2002), “Empathy: Its ultimate and proximate bases,” </w:t>
      </w:r>
      <w:r w:rsidRPr="00594361">
        <w:rPr>
          <w:i/>
          <w:iCs/>
          <w:sz w:val="24"/>
          <w:szCs w:val="24"/>
        </w:rPr>
        <w:t>Behavioral and Brain Sciences</w:t>
      </w:r>
      <w:r w:rsidRPr="00594361">
        <w:rPr>
          <w:sz w:val="24"/>
          <w:szCs w:val="24"/>
        </w:rPr>
        <w:t xml:space="preserve"> 25, at 2. </w:t>
      </w:r>
    </w:p>
  </w:footnote>
  <w:footnote w:id="28">
    <w:p w14:paraId="4BA65EB5" w14:textId="77777777" w:rsidR="00A70E77" w:rsidRPr="00594361" w:rsidRDefault="00A70E77" w:rsidP="00A70E77">
      <w:pPr>
        <w:pStyle w:val="FootnoteText"/>
        <w:ind w:firstLine="720"/>
        <w:rPr>
          <w:sz w:val="24"/>
          <w:szCs w:val="24"/>
        </w:rPr>
      </w:pPr>
      <w:r w:rsidRPr="00594361">
        <w:rPr>
          <w:rStyle w:val="FootnoteReference"/>
          <w:sz w:val="24"/>
          <w:szCs w:val="24"/>
        </w:rPr>
        <w:footnoteRef/>
      </w:r>
      <w:r w:rsidRPr="00594361">
        <w:rPr>
          <w:sz w:val="24"/>
          <w:szCs w:val="24"/>
        </w:rPr>
        <w:t xml:space="preserve"> V. Dufour, M. Pelé, M. Neumann, B. Thierry, and J. Call (2009), “Calculated reciprocity after all: computation behind token transfers in </w:t>
      </w:r>
      <w:proofErr w:type="spellStart"/>
      <w:r w:rsidRPr="00594361">
        <w:rPr>
          <w:sz w:val="24"/>
          <w:szCs w:val="24"/>
        </w:rPr>
        <w:t>orang-utans</w:t>
      </w:r>
      <w:proofErr w:type="spellEnd"/>
      <w:r w:rsidRPr="00594361">
        <w:rPr>
          <w:sz w:val="24"/>
          <w:szCs w:val="24"/>
        </w:rPr>
        <w:t xml:space="preserve">,” </w:t>
      </w:r>
      <w:r w:rsidRPr="00594361">
        <w:rPr>
          <w:i/>
          <w:iCs/>
          <w:sz w:val="24"/>
          <w:szCs w:val="24"/>
        </w:rPr>
        <w:t>Biology Letter</w:t>
      </w:r>
      <w:r w:rsidRPr="00594361">
        <w:rPr>
          <w:sz w:val="24"/>
          <w:szCs w:val="24"/>
        </w:rPr>
        <w:t xml:space="preserve"> 5, 172–175. </w:t>
      </w:r>
    </w:p>
  </w:footnote>
  <w:footnote w:id="29">
    <w:p w14:paraId="4A0C859B" w14:textId="5BB8C0EE" w:rsidR="008B535B" w:rsidRPr="008B535B" w:rsidRDefault="008B535B" w:rsidP="00594361">
      <w:pPr>
        <w:pStyle w:val="FootnoteText"/>
        <w:ind w:firstLine="720"/>
      </w:pPr>
      <w:r w:rsidRPr="00594361">
        <w:rPr>
          <w:rStyle w:val="FootnoteReference"/>
          <w:sz w:val="24"/>
          <w:szCs w:val="24"/>
        </w:rPr>
        <w:footnoteRef/>
      </w:r>
      <w:r w:rsidRPr="00594361">
        <w:rPr>
          <w:sz w:val="24"/>
          <w:szCs w:val="24"/>
        </w:rPr>
        <w:t xml:space="preserve"> </w:t>
      </w:r>
      <w:r w:rsidR="007F3068" w:rsidRPr="00594361">
        <w:rPr>
          <w:sz w:val="24"/>
          <w:szCs w:val="24"/>
        </w:rPr>
        <w:t xml:space="preserve">White, </w:t>
      </w:r>
      <w:r w:rsidR="007F3068" w:rsidRPr="00594361">
        <w:rPr>
          <w:i/>
          <w:iCs/>
          <w:sz w:val="24"/>
          <w:szCs w:val="24"/>
        </w:rPr>
        <w:t>supra</w:t>
      </w:r>
      <w:r w:rsidR="007F3068" w:rsidRPr="00594361">
        <w:rPr>
          <w:sz w:val="24"/>
          <w:szCs w:val="24"/>
        </w:rPr>
        <w:t xml:space="preserve"> note 10,</w:t>
      </w:r>
      <w:r w:rsidRPr="00594361">
        <w:rPr>
          <w:sz w:val="24"/>
          <w:szCs w:val="24"/>
        </w:rPr>
        <w:t xml:space="preserve"> at 51–52</w:t>
      </w:r>
      <w:r w:rsidR="006160FD" w:rsidRPr="00594361">
        <w:rPr>
          <w:sz w:val="24"/>
          <w:szCs w:val="24"/>
        </w:rPr>
        <w:t xml:space="preserve">, van Schaik et al., </w:t>
      </w:r>
      <w:r w:rsidR="006160FD" w:rsidRPr="00594361">
        <w:rPr>
          <w:i/>
          <w:iCs/>
          <w:sz w:val="24"/>
          <w:szCs w:val="24"/>
        </w:rPr>
        <w:t>supra</w:t>
      </w:r>
      <w:r w:rsidR="006160FD" w:rsidRPr="00594361">
        <w:rPr>
          <w:sz w:val="24"/>
          <w:szCs w:val="24"/>
        </w:rPr>
        <w:t xml:space="preserve"> note 23, at 8–9.</w:t>
      </w:r>
    </w:p>
  </w:footnote>
  <w:footnote w:id="30">
    <w:p w14:paraId="36DC3141" w14:textId="55DF8CA7" w:rsidR="00B417B2" w:rsidRPr="00B417B2" w:rsidRDefault="00B417B2" w:rsidP="00B417B2">
      <w:pPr>
        <w:ind w:firstLine="720"/>
        <w:contextualSpacing/>
        <w:jc w:val="both"/>
        <w:rPr>
          <w:color w:val="000000"/>
        </w:rPr>
      </w:pPr>
      <w:r w:rsidRPr="00B417B2">
        <w:rPr>
          <w:color w:val="000000"/>
          <w:vertAlign w:val="superscript"/>
        </w:rPr>
        <w:footnoteRef/>
      </w:r>
      <w:r w:rsidRPr="00B417B2">
        <w:rPr>
          <w:color w:val="000000"/>
        </w:rPr>
        <w:t xml:space="preserve"> Brief of Richard L. Cupp as </w:t>
      </w:r>
      <w:r w:rsidRPr="00B417B2">
        <w:rPr>
          <w:i/>
          <w:iCs/>
          <w:color w:val="000000"/>
        </w:rPr>
        <w:t>Amicus Curiae</w:t>
      </w:r>
      <w:r w:rsidRPr="00B417B2">
        <w:rPr>
          <w:color w:val="000000"/>
        </w:rPr>
        <w:t xml:space="preserve"> Supporting </w:t>
      </w:r>
      <w:r w:rsidR="00ED714E">
        <w:rPr>
          <w:color w:val="000000"/>
        </w:rPr>
        <w:t>Respondents</w:t>
      </w:r>
      <w:r w:rsidRPr="00B417B2">
        <w:rPr>
          <w:color w:val="000000"/>
        </w:rPr>
        <w:t>-</w:t>
      </w:r>
      <w:r w:rsidR="00ED714E">
        <w:rPr>
          <w:color w:val="000000"/>
        </w:rPr>
        <w:t>Respondents</w:t>
      </w:r>
      <w:r w:rsidRPr="00B417B2">
        <w:rPr>
          <w:color w:val="000000"/>
        </w:rPr>
        <w:t>,</w:t>
      </w:r>
      <w:r w:rsidRPr="00B417B2">
        <w:rPr>
          <w:i/>
          <w:iCs/>
          <w:color w:val="000000"/>
        </w:rPr>
        <w:t xml:space="preserve"> Nonhuman Rights Project v. Breheny</w:t>
      </w:r>
      <w:r w:rsidRPr="00B417B2">
        <w:rPr>
          <w:color w:val="000000"/>
        </w:rPr>
        <w:t>, No. 2020-02581 (2020) [hereinafter Brief of Cupp]</w:t>
      </w:r>
      <w:r w:rsidRPr="00B417B2">
        <w:rPr>
          <w:color w:val="000000"/>
        </w:rPr>
        <w:fldChar w:fldCharType="begin"/>
      </w:r>
      <w:r w:rsidRPr="00904AAC">
        <w:instrText xml:space="preserve"> TA \l "</w:instrText>
      </w:r>
      <w:r w:rsidRPr="00B417B2">
        <w:rPr>
          <w:color w:val="000000"/>
        </w:rPr>
        <w:instrText xml:space="preserve">Brief of Richard L. Cupp as </w:instrText>
      </w:r>
      <w:r w:rsidRPr="00B417B2">
        <w:rPr>
          <w:i/>
          <w:iCs/>
          <w:color w:val="000000"/>
        </w:rPr>
        <w:instrText>Amicus Curiae</w:instrText>
      </w:r>
      <w:r w:rsidRPr="00B417B2">
        <w:rPr>
          <w:color w:val="000000"/>
        </w:rPr>
        <w:instrText xml:space="preserve"> Supporting Petitioner-Appellant,</w:instrText>
      </w:r>
      <w:r w:rsidRPr="00B417B2">
        <w:rPr>
          <w:i/>
          <w:iCs/>
          <w:color w:val="000000"/>
        </w:rPr>
        <w:instrText xml:space="preserve"> Nonhuman Rights Project v. Breheny</w:instrText>
      </w:r>
      <w:r w:rsidRPr="00B417B2">
        <w:rPr>
          <w:color w:val="000000"/>
        </w:rPr>
        <w:instrText>, No. 2020-02581 (2020).</w:instrText>
      </w:r>
      <w:r w:rsidRPr="00904AAC">
        <w:instrText xml:space="preserve">" \s "Brief of Richard L. Cupp as Amicus Curiae Supporting Petitioner-Appellant, Nonhuman Rights Project v. Breheny, No. 2020-02581 (2020) [hereinafter Brief of Cupp]" \c 3 </w:instrText>
      </w:r>
      <w:r w:rsidRPr="00B417B2">
        <w:rPr>
          <w:color w:val="000000"/>
        </w:rPr>
        <w:fldChar w:fldCharType="end"/>
      </w:r>
      <w:r w:rsidRPr="00B417B2">
        <w:rPr>
          <w:color w:val="000000"/>
        </w:rPr>
        <w:t>.</w:t>
      </w:r>
    </w:p>
  </w:footnote>
  <w:footnote w:id="31">
    <w:p w14:paraId="385A529F" w14:textId="77777777" w:rsidR="00B417B2" w:rsidRPr="00B417B2" w:rsidRDefault="00B417B2" w:rsidP="00B417B2">
      <w:pPr>
        <w:pStyle w:val="FootnoteText1"/>
        <w:ind w:firstLine="720"/>
        <w:contextualSpacing/>
        <w:jc w:val="both"/>
        <w:rPr>
          <w:color w:val="000000"/>
          <w:sz w:val="24"/>
          <w:szCs w:val="24"/>
        </w:rPr>
      </w:pPr>
      <w:r w:rsidRPr="00B417B2">
        <w:rPr>
          <w:rStyle w:val="FootnoteReference"/>
          <w:color w:val="000000"/>
          <w:sz w:val="24"/>
          <w:szCs w:val="24"/>
        </w:rPr>
        <w:footnoteRef/>
      </w:r>
      <w:r w:rsidRPr="00B417B2">
        <w:rPr>
          <w:color w:val="000000"/>
          <w:sz w:val="24"/>
          <w:szCs w:val="24"/>
        </w:rPr>
        <w:t xml:space="preserve"> </w:t>
      </w:r>
      <w:r w:rsidRPr="00B417B2">
        <w:rPr>
          <w:i/>
          <w:iCs/>
          <w:color w:val="000000"/>
          <w:sz w:val="24"/>
          <w:szCs w:val="24"/>
        </w:rPr>
        <w:t xml:space="preserve">See </w:t>
      </w:r>
      <w:r w:rsidRPr="00B417B2">
        <w:rPr>
          <w:i/>
          <w:color w:val="000000"/>
          <w:sz w:val="24"/>
          <w:szCs w:val="24"/>
        </w:rPr>
        <w:t>Lavery III</w:t>
      </w:r>
      <w:r w:rsidRPr="00B417B2">
        <w:rPr>
          <w:color w:val="000000"/>
          <w:sz w:val="24"/>
          <w:szCs w:val="24"/>
        </w:rPr>
        <w:t xml:space="preserve">, </w:t>
      </w:r>
      <w:r w:rsidRPr="00B417B2">
        <w:rPr>
          <w:i/>
          <w:iCs/>
          <w:color w:val="000000"/>
          <w:sz w:val="24"/>
          <w:szCs w:val="24"/>
        </w:rPr>
        <w:t xml:space="preserve">supra </w:t>
      </w:r>
      <w:r w:rsidRPr="00B417B2">
        <w:rPr>
          <w:color w:val="000000"/>
          <w:sz w:val="24"/>
          <w:szCs w:val="24"/>
        </w:rPr>
        <w:t>note 13 at *151</w:t>
      </w:r>
      <w:r w:rsidRPr="00B417B2">
        <w:rPr>
          <w:color w:val="000000"/>
          <w:sz w:val="24"/>
          <w:szCs w:val="24"/>
        </w:rPr>
        <w:fldChar w:fldCharType="begin"/>
      </w:r>
      <w:r w:rsidRPr="005C150E">
        <w:rPr>
          <w:sz w:val="24"/>
          <w:szCs w:val="24"/>
        </w:rPr>
        <w:instrText xml:space="preserve"> TA \s "Nonhuman Rights Project, Inc. v. Lavery, 124 A.D.3d 148 (N.Y. App. Div. 2014)" </w:instrText>
      </w:r>
      <w:r w:rsidRPr="00B417B2">
        <w:rPr>
          <w:color w:val="000000"/>
          <w:sz w:val="24"/>
          <w:szCs w:val="24"/>
        </w:rPr>
        <w:fldChar w:fldCharType="end"/>
      </w:r>
      <w:r w:rsidRPr="00B417B2">
        <w:rPr>
          <w:color w:val="000000"/>
          <w:sz w:val="24"/>
          <w:szCs w:val="24"/>
        </w:rPr>
        <w:t xml:space="preserve"> (citing Richard L. Cupp, Jr., </w:t>
      </w:r>
      <w:r w:rsidRPr="00B417B2">
        <w:rPr>
          <w:i/>
          <w:iCs/>
          <w:color w:val="000000"/>
          <w:sz w:val="24"/>
          <w:szCs w:val="24"/>
        </w:rPr>
        <w:t>Children, Chimps and Rights: Arguments from “Marginal” Cases</w:t>
      </w:r>
      <w:r w:rsidRPr="00B417B2">
        <w:rPr>
          <w:color w:val="000000"/>
          <w:sz w:val="24"/>
          <w:szCs w:val="24"/>
        </w:rPr>
        <w:t>, 45 Ariz. L. J. 1, 12-14 (2013)</w:t>
      </w:r>
      <w:r w:rsidRPr="00B417B2">
        <w:rPr>
          <w:color w:val="000000"/>
          <w:sz w:val="24"/>
          <w:szCs w:val="24"/>
        </w:rPr>
        <w:fldChar w:fldCharType="begin"/>
      </w:r>
      <w:r w:rsidRPr="005C150E">
        <w:rPr>
          <w:sz w:val="24"/>
          <w:szCs w:val="24"/>
        </w:rPr>
        <w:instrText xml:space="preserve"> TA \l "</w:instrText>
      </w:r>
      <w:r w:rsidRPr="00B417B2">
        <w:rPr>
          <w:color w:val="000000"/>
          <w:sz w:val="24"/>
          <w:szCs w:val="24"/>
        </w:rPr>
        <w:instrText xml:space="preserve">Richard L. Cupp, Jr., </w:instrText>
      </w:r>
      <w:r w:rsidRPr="00B417B2">
        <w:rPr>
          <w:i/>
          <w:iCs/>
          <w:color w:val="000000"/>
          <w:sz w:val="24"/>
          <w:szCs w:val="24"/>
        </w:rPr>
        <w:instrText xml:space="preserve">Children, Chimps and Rights: Arguments from </w:instrText>
      </w:r>
      <w:r w:rsidRPr="005C150E">
        <w:rPr>
          <w:rFonts w:eastAsia="Times New Roman"/>
          <w:sz w:val="24"/>
          <w:szCs w:val="24"/>
        </w:rPr>
        <w:instrText>\</w:instrText>
      </w:r>
      <w:r w:rsidRPr="00B417B2">
        <w:rPr>
          <w:i/>
          <w:iCs/>
          <w:color w:val="000000"/>
          <w:sz w:val="24"/>
          <w:szCs w:val="24"/>
        </w:rPr>
        <w:instrText>“Marginal</w:instrText>
      </w:r>
      <w:r w:rsidRPr="005C150E">
        <w:rPr>
          <w:rFonts w:eastAsia="Times New Roman"/>
          <w:sz w:val="24"/>
          <w:szCs w:val="24"/>
        </w:rPr>
        <w:instrText>\</w:instrText>
      </w:r>
      <w:r w:rsidRPr="00B417B2">
        <w:rPr>
          <w:i/>
          <w:iCs/>
          <w:color w:val="000000"/>
          <w:sz w:val="24"/>
          <w:szCs w:val="24"/>
        </w:rPr>
        <w:instrText>” Cases</w:instrText>
      </w:r>
      <w:r w:rsidRPr="00B417B2">
        <w:rPr>
          <w:color w:val="000000"/>
          <w:sz w:val="24"/>
          <w:szCs w:val="24"/>
        </w:rPr>
        <w:instrText>, 45 Ariz. L. J. 1 (2013)</w:instrText>
      </w:r>
      <w:r w:rsidRPr="005C150E">
        <w:rPr>
          <w:sz w:val="24"/>
          <w:szCs w:val="24"/>
        </w:rPr>
        <w:instrText xml:space="preserve">." \s "Richard L. Cupp, Jr., Children, Chimps and Rights: Arguments from \"Marginal\" Cases, 45 Ariz. L. J. 1, 12-14 (2013)" \c 3 </w:instrText>
      </w:r>
      <w:r w:rsidRPr="00B417B2">
        <w:rPr>
          <w:color w:val="000000"/>
          <w:sz w:val="24"/>
          <w:szCs w:val="24"/>
        </w:rPr>
        <w:fldChar w:fldCharType="end"/>
      </w:r>
      <w:r w:rsidRPr="00B417B2">
        <w:rPr>
          <w:color w:val="000000"/>
          <w:sz w:val="24"/>
          <w:szCs w:val="24"/>
        </w:rPr>
        <w:t>) (internal citations omitted).</w:t>
      </w:r>
    </w:p>
  </w:footnote>
  <w:footnote w:id="32">
    <w:p w14:paraId="7C206697" w14:textId="77777777" w:rsidR="00B417B2" w:rsidRPr="00B417B2" w:rsidRDefault="00B417B2" w:rsidP="00B417B2">
      <w:pPr>
        <w:pStyle w:val="FootnoteText1"/>
        <w:ind w:firstLine="720"/>
        <w:jc w:val="both"/>
        <w:rPr>
          <w:color w:val="000000"/>
          <w:sz w:val="24"/>
          <w:szCs w:val="24"/>
        </w:rPr>
      </w:pPr>
      <w:r w:rsidRPr="00B417B2">
        <w:rPr>
          <w:rStyle w:val="FootnoteReference"/>
          <w:color w:val="000000"/>
          <w:sz w:val="24"/>
          <w:szCs w:val="24"/>
        </w:rPr>
        <w:footnoteRef/>
      </w:r>
      <w:r w:rsidRPr="00B417B2">
        <w:rPr>
          <w:color w:val="000000"/>
          <w:sz w:val="24"/>
          <w:szCs w:val="24"/>
        </w:rPr>
        <w:t xml:space="preserve"> </w:t>
      </w:r>
      <w:r w:rsidRPr="00B417B2">
        <w:rPr>
          <w:i/>
          <w:iCs/>
          <w:color w:val="000000"/>
          <w:sz w:val="24"/>
          <w:szCs w:val="24"/>
        </w:rPr>
        <w:t xml:space="preserve">Id. </w:t>
      </w:r>
      <w:r w:rsidRPr="00B417B2">
        <w:rPr>
          <w:color w:val="000000"/>
          <w:sz w:val="24"/>
          <w:szCs w:val="24"/>
        </w:rPr>
        <w:t>at 151.</w:t>
      </w:r>
      <w:r w:rsidRPr="00B417B2">
        <w:rPr>
          <w:color w:val="000000"/>
          <w:sz w:val="24"/>
          <w:szCs w:val="24"/>
        </w:rPr>
        <w:fldChar w:fldCharType="begin"/>
      </w:r>
      <w:r w:rsidRPr="005C150E">
        <w:rPr>
          <w:sz w:val="24"/>
          <w:szCs w:val="24"/>
        </w:rPr>
        <w:instrText xml:space="preserve"> TA \s "Nonhuman Rights Project, Inc. v. Lavery, 124 A.D.3d 148 (N.Y. App. Div. 2014)" </w:instrText>
      </w:r>
      <w:r w:rsidRPr="00B417B2">
        <w:rPr>
          <w:color w:val="000000"/>
          <w:sz w:val="24"/>
          <w:szCs w:val="24"/>
        </w:rPr>
        <w:fldChar w:fldCharType="end"/>
      </w:r>
      <w:r w:rsidRPr="00B417B2">
        <w:rPr>
          <w:color w:val="000000"/>
          <w:sz w:val="24"/>
          <w:szCs w:val="24"/>
        </w:rPr>
        <w:t xml:space="preserve"> </w:t>
      </w:r>
    </w:p>
  </w:footnote>
  <w:footnote w:id="33">
    <w:p w14:paraId="020C9DFA" w14:textId="77777777" w:rsidR="00B417B2" w:rsidRPr="00B417B2" w:rsidRDefault="00B417B2" w:rsidP="00B417B2">
      <w:pPr>
        <w:ind w:firstLine="720"/>
        <w:contextualSpacing/>
        <w:jc w:val="both"/>
        <w:rPr>
          <w:color w:val="000000"/>
        </w:rPr>
      </w:pPr>
      <w:r w:rsidRPr="00B417B2">
        <w:rPr>
          <w:rStyle w:val="FootnoteReference"/>
          <w:color w:val="000000"/>
        </w:rPr>
        <w:footnoteRef/>
      </w:r>
      <w:r w:rsidRPr="00B417B2">
        <w:rPr>
          <w:color w:val="000000"/>
        </w:rPr>
        <w:t xml:space="preserve"> John Locke, </w:t>
      </w:r>
      <w:r w:rsidRPr="00B417B2">
        <w:rPr>
          <w:i/>
          <w:iCs/>
          <w:color w:val="000000"/>
        </w:rPr>
        <w:t>Second Treatise of Government</w:t>
      </w:r>
      <w:r w:rsidRPr="00B417B2">
        <w:rPr>
          <w:color w:val="000000"/>
        </w:rPr>
        <w:t xml:space="preserve"> (C. B. Macpherson ed., 1980).</w:t>
      </w:r>
      <w:r w:rsidRPr="00B417B2">
        <w:rPr>
          <w:color w:val="000000"/>
        </w:rPr>
        <w:fldChar w:fldCharType="begin"/>
      </w:r>
      <w:r w:rsidRPr="00904AAC">
        <w:instrText xml:space="preserve"> TA \l "</w:instrText>
      </w:r>
      <w:r w:rsidRPr="00B417B2">
        <w:rPr>
          <w:color w:val="000000"/>
        </w:rPr>
        <w:instrText xml:space="preserve">John Locke, </w:instrText>
      </w:r>
      <w:r w:rsidRPr="00B417B2">
        <w:rPr>
          <w:i/>
          <w:iCs/>
          <w:color w:val="000000"/>
        </w:rPr>
        <w:instrText>Second Treatise of Government</w:instrText>
      </w:r>
      <w:r w:rsidRPr="00B417B2">
        <w:rPr>
          <w:color w:val="000000"/>
        </w:rPr>
        <w:instrText xml:space="preserve"> (C. B. Macpherson ed., 1980).</w:instrText>
      </w:r>
      <w:r w:rsidRPr="00904AAC">
        <w:instrText xml:space="preserve">" \s "John Locke, Second Treatise of Government (C. B. Macpherson ed., 1980)." \c 3 </w:instrText>
      </w:r>
      <w:r w:rsidRPr="00B417B2">
        <w:rPr>
          <w:color w:val="000000"/>
        </w:rPr>
        <w:fldChar w:fldCharType="end"/>
      </w:r>
    </w:p>
  </w:footnote>
  <w:footnote w:id="34">
    <w:p w14:paraId="391541AF" w14:textId="77777777" w:rsidR="00B417B2" w:rsidRPr="00B417B2" w:rsidRDefault="00B417B2" w:rsidP="00B417B2">
      <w:pPr>
        <w:ind w:firstLine="720"/>
        <w:contextualSpacing/>
        <w:jc w:val="both"/>
        <w:rPr>
          <w:color w:val="000000"/>
        </w:rPr>
      </w:pPr>
      <w:r w:rsidRPr="00B417B2">
        <w:rPr>
          <w:rStyle w:val="FootnoteReference"/>
          <w:color w:val="000000"/>
        </w:rPr>
        <w:footnoteRef/>
      </w:r>
      <w:r w:rsidRPr="00B417B2">
        <w:rPr>
          <w:color w:val="000000"/>
        </w:rPr>
        <w:t xml:space="preserve"> Jean Jacques Rousseau, </w:t>
      </w:r>
      <w:r w:rsidRPr="00B417B2">
        <w:rPr>
          <w:i/>
          <w:iCs/>
          <w:color w:val="000000"/>
        </w:rPr>
        <w:t>The Social Contract and Other Later Political Writings</w:t>
      </w:r>
      <w:r w:rsidRPr="00B417B2">
        <w:rPr>
          <w:color w:val="000000"/>
        </w:rPr>
        <w:t xml:space="preserve"> (Victor </w:t>
      </w:r>
      <w:proofErr w:type="spellStart"/>
      <w:r w:rsidRPr="00B417B2">
        <w:rPr>
          <w:color w:val="000000"/>
        </w:rPr>
        <w:t>Gourevitch</w:t>
      </w:r>
      <w:proofErr w:type="spellEnd"/>
      <w:r w:rsidRPr="00B417B2">
        <w:rPr>
          <w:color w:val="000000"/>
        </w:rPr>
        <w:t xml:space="preserve"> ed. and trans., 1997).</w:t>
      </w:r>
      <w:r w:rsidRPr="00B417B2">
        <w:rPr>
          <w:color w:val="000000"/>
        </w:rPr>
        <w:fldChar w:fldCharType="begin"/>
      </w:r>
      <w:r w:rsidRPr="00904AAC">
        <w:instrText xml:space="preserve"> TA \l "</w:instrText>
      </w:r>
      <w:r w:rsidRPr="00B417B2">
        <w:rPr>
          <w:color w:val="000000"/>
        </w:rPr>
        <w:instrText xml:space="preserve">Jean Jacques Rousseau, </w:instrText>
      </w:r>
      <w:r w:rsidRPr="00B417B2">
        <w:rPr>
          <w:i/>
          <w:iCs/>
          <w:color w:val="000000"/>
        </w:rPr>
        <w:instrText>The Social Contract and Other Later Political Writings</w:instrText>
      </w:r>
      <w:r w:rsidRPr="00B417B2">
        <w:rPr>
          <w:color w:val="000000"/>
        </w:rPr>
        <w:instrText xml:space="preserve"> (Victor Gourevitch ed. and trans., 1997).</w:instrText>
      </w:r>
      <w:r w:rsidRPr="00904AAC">
        <w:instrText xml:space="preserve">" \s "Jean Jacques Rousseau, The Social Contract and Other Later Political Writings (Victor Gourevitch ed. and trans., 1997)." \c 3 </w:instrText>
      </w:r>
      <w:r w:rsidRPr="00B417B2">
        <w:rPr>
          <w:color w:val="000000"/>
        </w:rPr>
        <w:fldChar w:fldCharType="end"/>
      </w:r>
    </w:p>
  </w:footnote>
  <w:footnote w:id="35">
    <w:p w14:paraId="7F85A373" w14:textId="77777777" w:rsidR="00B417B2" w:rsidRPr="00B417B2" w:rsidRDefault="00B417B2" w:rsidP="00B417B2">
      <w:pPr>
        <w:pStyle w:val="FootnoteText1"/>
        <w:ind w:firstLine="720"/>
        <w:contextualSpacing/>
        <w:jc w:val="both"/>
        <w:rPr>
          <w:iCs/>
          <w:color w:val="000000"/>
          <w:sz w:val="24"/>
          <w:szCs w:val="24"/>
        </w:rPr>
      </w:pPr>
      <w:r w:rsidRPr="00B417B2">
        <w:rPr>
          <w:rStyle w:val="FootnoteReference"/>
          <w:color w:val="000000"/>
          <w:sz w:val="24"/>
          <w:szCs w:val="24"/>
        </w:rPr>
        <w:footnoteRef/>
      </w:r>
      <w:r w:rsidRPr="00B417B2">
        <w:rPr>
          <w:color w:val="000000"/>
          <w:sz w:val="24"/>
          <w:szCs w:val="24"/>
        </w:rPr>
        <w:t xml:space="preserve"> </w:t>
      </w:r>
      <w:r w:rsidRPr="00B417B2">
        <w:rPr>
          <w:i/>
          <w:color w:val="000000"/>
          <w:sz w:val="24"/>
          <w:szCs w:val="24"/>
        </w:rPr>
        <w:t>See Lavery III</w:t>
      </w:r>
      <w:r w:rsidRPr="00B417B2">
        <w:rPr>
          <w:iCs/>
          <w:color w:val="000000"/>
          <w:sz w:val="24"/>
          <w:szCs w:val="24"/>
        </w:rPr>
        <w:t xml:space="preserve">, </w:t>
      </w:r>
      <w:r w:rsidRPr="00B417B2">
        <w:rPr>
          <w:i/>
          <w:color w:val="000000"/>
          <w:sz w:val="24"/>
          <w:szCs w:val="24"/>
        </w:rPr>
        <w:t xml:space="preserve">supra </w:t>
      </w:r>
      <w:r w:rsidRPr="00B417B2">
        <w:rPr>
          <w:iCs/>
          <w:color w:val="000000"/>
          <w:sz w:val="24"/>
          <w:szCs w:val="24"/>
        </w:rPr>
        <w:t>note 13</w:t>
      </w:r>
      <w:r w:rsidRPr="00B417B2">
        <w:rPr>
          <w:iCs/>
          <w:color w:val="000000"/>
          <w:sz w:val="24"/>
          <w:szCs w:val="24"/>
        </w:rPr>
        <w:fldChar w:fldCharType="begin"/>
      </w:r>
      <w:r w:rsidRPr="005C150E">
        <w:rPr>
          <w:sz w:val="24"/>
          <w:szCs w:val="24"/>
        </w:rPr>
        <w:instrText xml:space="preserve"> TA \s "Nonhuman Rights Project, Inc. v. Lavery, 124 A.D.3d 148 (N.Y. App. Div. 2014)" </w:instrText>
      </w:r>
      <w:r w:rsidRPr="00B417B2">
        <w:rPr>
          <w:iCs/>
          <w:color w:val="000000"/>
          <w:sz w:val="24"/>
          <w:szCs w:val="24"/>
        </w:rPr>
        <w:fldChar w:fldCharType="end"/>
      </w:r>
      <w:r w:rsidRPr="00B417B2">
        <w:rPr>
          <w:iCs/>
          <w:color w:val="000000"/>
          <w:sz w:val="24"/>
          <w:szCs w:val="24"/>
        </w:rPr>
        <w:t>.</w:t>
      </w:r>
    </w:p>
  </w:footnote>
  <w:footnote w:id="36">
    <w:p w14:paraId="3811920C" w14:textId="7F86F450" w:rsidR="00255F1D" w:rsidRDefault="00255F1D" w:rsidP="00594361">
      <w:pPr>
        <w:pStyle w:val="FootnoteText"/>
        <w:ind w:firstLine="720"/>
      </w:pPr>
      <w:r>
        <w:rPr>
          <w:rStyle w:val="FootnoteReference"/>
        </w:rPr>
        <w:footnoteRef/>
      </w:r>
      <w:r>
        <w:t xml:space="preserve"> </w:t>
      </w:r>
      <w:r w:rsidRPr="00255F1D">
        <w:t>https://www.nycourts.gov/ctapps/Decisions/2022/Jun22/52opn22-Decision.pdf</w:t>
      </w:r>
    </w:p>
  </w:footnote>
  <w:footnote w:id="37">
    <w:p w14:paraId="44DC718E" w14:textId="77777777" w:rsidR="00B417B2" w:rsidRPr="00B417B2" w:rsidRDefault="00B417B2" w:rsidP="00B417B2">
      <w:pPr>
        <w:pStyle w:val="FootnoteText1"/>
        <w:ind w:firstLine="720"/>
        <w:jc w:val="both"/>
        <w:rPr>
          <w:color w:val="000000"/>
          <w:sz w:val="24"/>
          <w:szCs w:val="24"/>
        </w:rPr>
      </w:pPr>
      <w:r w:rsidRPr="00B417B2">
        <w:rPr>
          <w:rStyle w:val="FootnoteReference"/>
          <w:color w:val="000000"/>
          <w:sz w:val="24"/>
          <w:szCs w:val="24"/>
        </w:rPr>
        <w:footnoteRef/>
      </w:r>
      <w:r w:rsidRPr="00B417B2">
        <w:rPr>
          <w:color w:val="000000"/>
          <w:sz w:val="24"/>
          <w:szCs w:val="24"/>
        </w:rPr>
        <w:t xml:space="preserve"> </w:t>
      </w:r>
      <w:r w:rsidRPr="00B417B2">
        <w:rPr>
          <w:i/>
          <w:color w:val="000000"/>
          <w:sz w:val="24"/>
          <w:szCs w:val="24"/>
        </w:rPr>
        <w:t>See Lavery III</w:t>
      </w:r>
      <w:r w:rsidRPr="00B417B2">
        <w:rPr>
          <w:iCs/>
          <w:color w:val="000000"/>
          <w:sz w:val="24"/>
          <w:szCs w:val="24"/>
        </w:rPr>
        <w:t xml:space="preserve">, </w:t>
      </w:r>
      <w:r w:rsidRPr="00B417B2">
        <w:rPr>
          <w:i/>
          <w:color w:val="000000"/>
          <w:sz w:val="24"/>
          <w:szCs w:val="24"/>
        </w:rPr>
        <w:t xml:space="preserve">supra </w:t>
      </w:r>
      <w:r w:rsidRPr="00B417B2">
        <w:rPr>
          <w:iCs/>
          <w:color w:val="000000"/>
          <w:sz w:val="24"/>
          <w:szCs w:val="24"/>
        </w:rPr>
        <w:t>note 13.</w:t>
      </w:r>
      <w:r w:rsidRPr="00B417B2">
        <w:rPr>
          <w:iCs/>
          <w:color w:val="000000"/>
          <w:sz w:val="24"/>
          <w:szCs w:val="24"/>
        </w:rPr>
        <w:fldChar w:fldCharType="begin"/>
      </w:r>
      <w:r w:rsidRPr="005C150E">
        <w:rPr>
          <w:sz w:val="24"/>
          <w:szCs w:val="24"/>
        </w:rPr>
        <w:instrText xml:space="preserve"> TA \s "Nonhuman Rights Project, Inc. v. Lavery, 124 A.D.3d 148 (N.Y. App. Div. 2014)" </w:instrText>
      </w:r>
      <w:r w:rsidRPr="00B417B2">
        <w:rPr>
          <w:iCs/>
          <w:color w:val="000000"/>
          <w:sz w:val="24"/>
          <w:szCs w:val="24"/>
        </w:rPr>
        <w:fldChar w:fldCharType="end"/>
      </w:r>
    </w:p>
  </w:footnote>
  <w:footnote w:id="38">
    <w:p w14:paraId="57FD3B50" w14:textId="77777777" w:rsidR="00B417B2" w:rsidRPr="00B417B2" w:rsidRDefault="00B417B2" w:rsidP="00B417B2">
      <w:pPr>
        <w:pStyle w:val="FootnoteText1"/>
        <w:ind w:firstLine="720"/>
        <w:jc w:val="both"/>
        <w:rPr>
          <w:color w:val="000000"/>
          <w:sz w:val="24"/>
          <w:szCs w:val="24"/>
        </w:rPr>
      </w:pPr>
      <w:r w:rsidRPr="00B417B2">
        <w:rPr>
          <w:rStyle w:val="FootnoteReference"/>
          <w:color w:val="000000"/>
          <w:sz w:val="24"/>
          <w:szCs w:val="24"/>
        </w:rPr>
        <w:footnoteRef/>
      </w:r>
      <w:r w:rsidRPr="00B417B2">
        <w:rPr>
          <w:color w:val="000000"/>
          <w:sz w:val="24"/>
          <w:szCs w:val="24"/>
        </w:rPr>
        <w:t xml:space="preserve"> </w:t>
      </w:r>
      <w:r w:rsidRPr="00B417B2">
        <w:rPr>
          <w:i/>
          <w:iCs/>
          <w:color w:val="000000"/>
          <w:sz w:val="24"/>
          <w:szCs w:val="24"/>
        </w:rPr>
        <w:t xml:space="preserve">Id. </w:t>
      </w:r>
      <w:r w:rsidRPr="00B417B2">
        <w:rPr>
          <w:color w:val="000000"/>
          <w:sz w:val="24"/>
          <w:szCs w:val="24"/>
        </w:rPr>
        <w:t>at 152 n.3.</w:t>
      </w:r>
      <w:r w:rsidRPr="00B417B2">
        <w:rPr>
          <w:color w:val="000000"/>
          <w:sz w:val="24"/>
          <w:szCs w:val="24"/>
        </w:rPr>
        <w:fldChar w:fldCharType="begin"/>
      </w:r>
      <w:r w:rsidRPr="005C150E">
        <w:rPr>
          <w:sz w:val="24"/>
          <w:szCs w:val="24"/>
        </w:rPr>
        <w:instrText xml:space="preserve"> TA \s "Nonhuman Rights Project, Inc. v. Lavery, 124 A.D.3d 148 (N.Y. App. Div. 2014)" </w:instrText>
      </w:r>
      <w:r w:rsidRPr="00B417B2">
        <w:rPr>
          <w:color w:val="000000"/>
          <w:sz w:val="24"/>
          <w:szCs w:val="24"/>
        </w:rPr>
        <w:fldChar w:fldCharType="end"/>
      </w:r>
      <w:r w:rsidRPr="00B417B2">
        <w:rPr>
          <w:color w:val="000000"/>
          <w:sz w:val="24"/>
          <w:szCs w:val="24"/>
        </w:rPr>
        <w:t xml:space="preserve"> </w:t>
      </w:r>
    </w:p>
  </w:footnote>
  <w:footnote w:id="39">
    <w:p w14:paraId="28D94707" w14:textId="77777777" w:rsidR="00B417B2" w:rsidRPr="00B417B2" w:rsidRDefault="00B417B2" w:rsidP="00B417B2">
      <w:pPr>
        <w:pStyle w:val="FootnoteText1"/>
        <w:ind w:firstLine="720"/>
        <w:jc w:val="both"/>
        <w:rPr>
          <w:i/>
          <w:iCs/>
          <w:color w:val="000000"/>
          <w:sz w:val="24"/>
          <w:szCs w:val="24"/>
        </w:rPr>
      </w:pPr>
      <w:r w:rsidRPr="00B417B2">
        <w:rPr>
          <w:rStyle w:val="FootnoteReference"/>
          <w:color w:val="000000"/>
          <w:sz w:val="24"/>
          <w:szCs w:val="24"/>
        </w:rPr>
        <w:footnoteRef/>
      </w:r>
      <w:r w:rsidRPr="00B417B2">
        <w:rPr>
          <w:color w:val="000000"/>
          <w:sz w:val="24"/>
          <w:szCs w:val="24"/>
        </w:rPr>
        <w:t xml:space="preserve"> </w:t>
      </w:r>
      <w:r w:rsidRPr="00B417B2">
        <w:rPr>
          <w:i/>
          <w:iCs/>
          <w:color w:val="000000"/>
          <w:sz w:val="24"/>
          <w:szCs w:val="24"/>
        </w:rPr>
        <w:t>Id</w:t>
      </w:r>
      <w:r w:rsidRPr="00B417B2">
        <w:rPr>
          <w:i/>
          <w:iCs/>
          <w:color w:val="000000"/>
          <w:sz w:val="24"/>
          <w:szCs w:val="24"/>
        </w:rPr>
        <w:fldChar w:fldCharType="begin"/>
      </w:r>
      <w:r w:rsidRPr="005C150E">
        <w:rPr>
          <w:sz w:val="24"/>
          <w:szCs w:val="24"/>
        </w:rPr>
        <w:instrText xml:space="preserve"> TA \s "Nonhuman Rights Project, Inc. v. Lavery, 124 A.D.3d 148 (N.Y. App. Div. 2014)" </w:instrText>
      </w:r>
      <w:r w:rsidRPr="00B417B2">
        <w:rPr>
          <w:i/>
          <w:iCs/>
          <w:color w:val="000000"/>
          <w:sz w:val="24"/>
          <w:szCs w:val="24"/>
        </w:rPr>
        <w:fldChar w:fldCharType="end"/>
      </w:r>
      <w:r w:rsidRPr="00B417B2">
        <w:rPr>
          <w:i/>
          <w:iCs/>
          <w:color w:val="000000"/>
          <w:sz w:val="24"/>
          <w:szCs w:val="24"/>
        </w:rPr>
        <w:t>.</w:t>
      </w:r>
    </w:p>
  </w:footnote>
  <w:footnote w:id="40">
    <w:p w14:paraId="32869EA7" w14:textId="1631D873" w:rsidR="00B417B2" w:rsidRPr="00B417B2" w:rsidRDefault="00B417B2" w:rsidP="00B417B2">
      <w:pPr>
        <w:pStyle w:val="FootnoteText1"/>
        <w:ind w:firstLine="720"/>
        <w:contextualSpacing/>
        <w:jc w:val="both"/>
        <w:rPr>
          <w:color w:val="000000"/>
          <w:sz w:val="24"/>
          <w:szCs w:val="24"/>
        </w:rPr>
      </w:pPr>
      <w:r w:rsidRPr="00B417B2">
        <w:rPr>
          <w:rStyle w:val="FootnoteReference"/>
          <w:color w:val="000000"/>
          <w:sz w:val="24"/>
          <w:szCs w:val="24"/>
        </w:rPr>
        <w:footnoteRef/>
      </w:r>
      <w:r w:rsidRPr="00B417B2">
        <w:rPr>
          <w:color w:val="000000"/>
          <w:sz w:val="24"/>
          <w:szCs w:val="24"/>
        </w:rPr>
        <w:t xml:space="preserve"> Imagine an </w:t>
      </w:r>
      <w:r w:rsidR="00F47E43">
        <w:rPr>
          <w:color w:val="000000"/>
          <w:sz w:val="24"/>
          <w:szCs w:val="24"/>
        </w:rPr>
        <w:t xml:space="preserve">orangutan </w:t>
      </w:r>
      <w:r w:rsidRPr="00B417B2">
        <w:rPr>
          <w:color w:val="000000"/>
          <w:sz w:val="24"/>
          <w:szCs w:val="24"/>
        </w:rPr>
        <w:t>who, through neuroscientific enhancement, has obtained all of the abilities characteristic of human beings. See</w:t>
      </w:r>
      <w:r w:rsidRPr="00B417B2">
        <w:rPr>
          <w:i/>
          <w:iCs/>
          <w:color w:val="000000"/>
          <w:sz w:val="24"/>
          <w:szCs w:val="24"/>
        </w:rPr>
        <w:t xml:space="preserve"> </w:t>
      </w:r>
      <w:r w:rsidRPr="00B417B2">
        <w:rPr>
          <w:color w:val="000000"/>
          <w:sz w:val="24"/>
          <w:szCs w:val="24"/>
        </w:rPr>
        <w:t>the case of the “</w:t>
      </w:r>
      <w:proofErr w:type="spellStart"/>
      <w:r w:rsidRPr="00B417B2">
        <w:rPr>
          <w:color w:val="000000"/>
          <w:sz w:val="24"/>
          <w:szCs w:val="24"/>
        </w:rPr>
        <w:t>Superchimp</w:t>
      </w:r>
      <w:proofErr w:type="spellEnd"/>
      <w:r w:rsidRPr="00B417B2">
        <w:rPr>
          <w:color w:val="000000"/>
          <w:sz w:val="24"/>
          <w:szCs w:val="24"/>
        </w:rPr>
        <w:t xml:space="preserve">” in Jeff McMahan, </w:t>
      </w:r>
      <w:r w:rsidRPr="00B417B2">
        <w:rPr>
          <w:i/>
          <w:iCs/>
          <w:color w:val="000000"/>
          <w:sz w:val="24"/>
          <w:szCs w:val="24"/>
        </w:rPr>
        <w:t>Cognitive Disability, Misfortune, and Justice</w:t>
      </w:r>
      <w:r w:rsidRPr="00B417B2">
        <w:rPr>
          <w:color w:val="000000"/>
          <w:sz w:val="24"/>
          <w:szCs w:val="24"/>
        </w:rPr>
        <w:t>, 25 Philosophy &amp; Pub. Affairs 13 (1996).</w:t>
      </w:r>
      <w:r w:rsidRPr="00B417B2">
        <w:rPr>
          <w:color w:val="000000"/>
          <w:sz w:val="24"/>
          <w:szCs w:val="24"/>
        </w:rPr>
        <w:fldChar w:fldCharType="begin"/>
      </w:r>
      <w:r w:rsidRPr="005C150E">
        <w:rPr>
          <w:sz w:val="24"/>
          <w:szCs w:val="24"/>
        </w:rPr>
        <w:instrText xml:space="preserve"> TA \l "</w:instrText>
      </w:r>
      <w:r w:rsidRPr="00B417B2">
        <w:rPr>
          <w:color w:val="000000"/>
          <w:sz w:val="24"/>
          <w:szCs w:val="24"/>
        </w:rPr>
        <w:instrText xml:space="preserve">Jefferson McMahan, </w:instrText>
      </w:r>
      <w:r w:rsidRPr="00B417B2">
        <w:rPr>
          <w:i/>
          <w:iCs/>
          <w:color w:val="000000"/>
          <w:sz w:val="24"/>
          <w:szCs w:val="24"/>
        </w:rPr>
        <w:instrText>Cognitive Disability, Misfortune, and Justice</w:instrText>
      </w:r>
      <w:r w:rsidRPr="00B417B2">
        <w:rPr>
          <w:color w:val="000000"/>
          <w:sz w:val="24"/>
          <w:szCs w:val="24"/>
        </w:rPr>
        <w:instrText>, 25 Philosophy &amp; Pub. Affairs 13 (1996).</w:instrText>
      </w:r>
      <w:r w:rsidRPr="005C150E">
        <w:rPr>
          <w:sz w:val="24"/>
          <w:szCs w:val="24"/>
        </w:rPr>
        <w:instrText xml:space="preserve">" \s "Jefferson McMahan, Cognitive Disability, Misfortune, and Justice, 25 Philosophy &amp; Pub. Affairs 13 (1996)." \c 3 </w:instrText>
      </w:r>
      <w:r w:rsidRPr="00B417B2">
        <w:rPr>
          <w:color w:val="000000"/>
          <w:sz w:val="24"/>
          <w:szCs w:val="24"/>
        </w:rPr>
        <w:fldChar w:fldCharType="end"/>
      </w:r>
      <w:r w:rsidRPr="00B417B2">
        <w:rPr>
          <w:color w:val="000000"/>
          <w:sz w:val="24"/>
          <w:szCs w:val="24"/>
        </w:rPr>
        <w:t xml:space="preserve"> If individuals had rights only because they are members of a species that typically or characteristically possess such abilities, then we would be forced to withhold rights from this </w:t>
      </w:r>
      <w:r w:rsidR="000D3E31">
        <w:rPr>
          <w:color w:val="000000"/>
          <w:sz w:val="24"/>
          <w:szCs w:val="24"/>
        </w:rPr>
        <w:t>orangutan</w:t>
      </w:r>
      <w:r w:rsidRPr="00B417B2">
        <w:rPr>
          <w:color w:val="000000"/>
          <w:sz w:val="24"/>
          <w:szCs w:val="24"/>
        </w:rPr>
        <w:t xml:space="preserve">, because </w:t>
      </w:r>
      <w:r w:rsidR="000D3E31">
        <w:rPr>
          <w:color w:val="000000"/>
          <w:sz w:val="24"/>
          <w:szCs w:val="24"/>
        </w:rPr>
        <w:t>orangutan</w:t>
      </w:r>
      <w:r w:rsidRPr="00B417B2">
        <w:rPr>
          <w:color w:val="000000"/>
          <w:sz w:val="24"/>
          <w:szCs w:val="24"/>
        </w:rPr>
        <w:t xml:space="preserve">s do not typically or characteristically possess these abilities. This is absurd. To avoid this implication, one may endorse a disjunctive view, on which individuals have rights </w:t>
      </w:r>
      <w:r w:rsidRPr="00B417B2">
        <w:rPr>
          <w:i/>
          <w:iCs/>
          <w:color w:val="000000"/>
          <w:sz w:val="24"/>
          <w:szCs w:val="24"/>
        </w:rPr>
        <w:t>either</w:t>
      </w:r>
      <w:r w:rsidRPr="00B417B2">
        <w:rPr>
          <w:color w:val="000000"/>
          <w:sz w:val="24"/>
          <w:szCs w:val="24"/>
        </w:rPr>
        <w:t xml:space="preserve"> because they have such abilities themselves </w:t>
      </w:r>
      <w:r w:rsidRPr="00B417B2">
        <w:rPr>
          <w:i/>
          <w:iCs/>
          <w:color w:val="000000"/>
          <w:sz w:val="24"/>
          <w:szCs w:val="24"/>
        </w:rPr>
        <w:t xml:space="preserve">or </w:t>
      </w:r>
      <w:r w:rsidRPr="00B417B2">
        <w:rPr>
          <w:color w:val="000000"/>
          <w:sz w:val="24"/>
          <w:szCs w:val="24"/>
        </w:rPr>
        <w:t>because they are members of a species whose members typically or characteristically possess such abilities. This disjunctive view faces several problems. First, it is theoretically unmotivated. Again, membership in a species whose members typically or characteristically possess such abilities does not by itself allow one to take on social obligations that, according to Cupp and the 3rd Department, grounds one’s possession of rights. Second, this disjunctive view implies that human beings who lack these abilities have rights for a fundamentally different reason than other human beings. This offends against ideals of human equality. Third, we have strong reason to be suspicious of any view that makes the possession of rights depend on group membership. Humans have a long history of defending such group-based views (e.g., racism, sexism), and time has invariably proven these views to be mistaken.</w:t>
      </w:r>
    </w:p>
  </w:footnote>
  <w:footnote w:id="41">
    <w:p w14:paraId="2B0F3108" w14:textId="7EC49AEE" w:rsidR="00305B98" w:rsidRDefault="00305B98">
      <w:pPr>
        <w:pStyle w:val="FootnoteText"/>
      </w:pPr>
      <w:r>
        <w:rPr>
          <w:rStyle w:val="FootnoteReference"/>
        </w:rPr>
        <w:footnoteRef/>
      </w:r>
      <w:r>
        <w:t xml:space="preserve"> </w:t>
      </w:r>
      <w:r w:rsidRPr="00305B98">
        <w:t>https://www.nycourts.gov/ctapps/Decisions/2022/Jun22/52opn22-Decision.pdf</w:t>
      </w:r>
    </w:p>
  </w:footnote>
  <w:footnote w:id="42">
    <w:p w14:paraId="77A2A104" w14:textId="26D48293" w:rsidR="00564421" w:rsidRDefault="00564421">
      <w:pPr>
        <w:pStyle w:val="FootnoteText"/>
      </w:pPr>
      <w:r>
        <w:rPr>
          <w:rStyle w:val="FootnoteReference"/>
        </w:rPr>
        <w:footnoteRef/>
      </w:r>
      <w:r>
        <w:t xml:space="preserve"> </w:t>
      </w:r>
      <w:r w:rsidRPr="00564421">
        <w:t>https://www.nycourts.gov/ctapps/Decisions/2022/Jun22/52opn22-Decision.pdf</w:t>
      </w:r>
    </w:p>
  </w:footnote>
  <w:footnote w:id="43">
    <w:p w14:paraId="5EB5E240" w14:textId="236F4FF2" w:rsidR="0028036F" w:rsidRPr="00594361" w:rsidRDefault="0028036F"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00002D53" w:rsidRPr="00594361">
        <w:rPr>
          <w:sz w:val="24"/>
          <w:szCs w:val="24"/>
        </w:rPr>
        <w:t xml:space="preserve">Casal and Singer, </w:t>
      </w:r>
      <w:r w:rsidR="00002D53" w:rsidRPr="00594361">
        <w:rPr>
          <w:i/>
          <w:iCs/>
          <w:sz w:val="24"/>
          <w:szCs w:val="24"/>
        </w:rPr>
        <w:t>supra</w:t>
      </w:r>
      <w:r w:rsidR="00002D53" w:rsidRPr="00594361">
        <w:rPr>
          <w:sz w:val="24"/>
          <w:szCs w:val="24"/>
        </w:rPr>
        <w:t xml:space="preserve"> note 15, at 34.</w:t>
      </w:r>
    </w:p>
  </w:footnote>
  <w:footnote w:id="44">
    <w:p w14:paraId="477CBF80" w14:textId="543BD9CE" w:rsidR="00002D53" w:rsidRPr="00594361" w:rsidRDefault="00002D53" w:rsidP="00594361">
      <w:pPr>
        <w:pStyle w:val="FootnoteText"/>
        <w:ind w:firstLine="720"/>
        <w:rPr>
          <w:sz w:val="24"/>
          <w:szCs w:val="24"/>
        </w:rPr>
      </w:pPr>
      <w:r w:rsidRPr="00594361">
        <w:rPr>
          <w:rStyle w:val="FootnoteReference"/>
          <w:sz w:val="24"/>
          <w:szCs w:val="24"/>
        </w:rPr>
        <w:footnoteRef/>
      </w:r>
      <w:r w:rsidRPr="00594361">
        <w:rPr>
          <w:sz w:val="24"/>
          <w:szCs w:val="24"/>
        </w:rPr>
        <w:t xml:space="preserve"> B. Jacobs and L. Marino (2020), “The Neural Cruelty of Captivity: Keeping Large Mammals in Zoos and Aquariums Damages Their Brains,” </w:t>
      </w:r>
      <w:r w:rsidRPr="00594361">
        <w:rPr>
          <w:i/>
          <w:iCs/>
          <w:sz w:val="24"/>
          <w:szCs w:val="24"/>
        </w:rPr>
        <w:t>The Conversation</w:t>
      </w:r>
      <w:r w:rsidRPr="00594361">
        <w:rPr>
          <w:sz w:val="24"/>
          <w:szCs w:val="24"/>
        </w:rPr>
        <w:t xml:space="preserve">. Available at: </w:t>
      </w:r>
      <w:r w:rsidRPr="00594361">
        <w:rPr>
          <w:rFonts w:ascii="Calibri" w:hAnsi="Calibri" w:cs="Calibri"/>
          <w:sz w:val="24"/>
          <w:szCs w:val="24"/>
        </w:rPr>
        <w:t>﻿</w:t>
      </w:r>
      <w:r w:rsidRPr="00594361">
        <w:rPr>
          <w:sz w:val="24"/>
          <w:szCs w:val="24"/>
        </w:rPr>
        <w:t xml:space="preserve">https://theconversation.com/the-neural-cruelty-of-captivity-keeping-large-mammals-in-zoos-and-aquariums-damages-their-brains-142240 (Accessed: July 13, 2022). </w:t>
      </w:r>
    </w:p>
  </w:footnote>
  <w:footnote w:id="45">
    <w:p w14:paraId="5AE27CE3" w14:textId="21DA2727" w:rsidR="00002D53" w:rsidRPr="00594361" w:rsidRDefault="00002D53" w:rsidP="00594361">
      <w:pPr>
        <w:pStyle w:val="FootnoteText"/>
        <w:ind w:firstLine="720"/>
        <w:rPr>
          <w:sz w:val="24"/>
          <w:szCs w:val="24"/>
        </w:rPr>
      </w:pPr>
      <w:r w:rsidRPr="00594361">
        <w:rPr>
          <w:rStyle w:val="FootnoteReference"/>
          <w:sz w:val="24"/>
          <w:szCs w:val="24"/>
        </w:rPr>
        <w:footnoteRef/>
      </w:r>
      <w:r w:rsidRPr="00594361">
        <w:rPr>
          <w:sz w:val="24"/>
          <w:szCs w:val="24"/>
        </w:rPr>
        <w:t xml:space="preserve"> </w:t>
      </w:r>
      <w:r w:rsidRPr="00594361">
        <w:rPr>
          <w:i/>
          <w:iCs/>
          <w:sz w:val="24"/>
          <w:szCs w:val="24"/>
        </w:rPr>
        <w:t>Id</w:t>
      </w:r>
      <w:r w:rsidRPr="00594361">
        <w:rPr>
          <w:sz w:val="24"/>
          <w:szCs w:val="24"/>
        </w:rPr>
        <w:t xml:space="preserve">. </w:t>
      </w:r>
    </w:p>
  </w:footnote>
  <w:footnote w:id="46">
    <w:p w14:paraId="1F6D512C" w14:textId="066A71E2" w:rsidR="00F2614D" w:rsidRPr="00594361" w:rsidRDefault="00F2614D" w:rsidP="00594361">
      <w:pPr>
        <w:pStyle w:val="FootnoteText"/>
        <w:ind w:firstLine="720"/>
        <w:rPr>
          <w:sz w:val="24"/>
          <w:szCs w:val="24"/>
        </w:rPr>
      </w:pPr>
      <w:r w:rsidRPr="00594361">
        <w:rPr>
          <w:rStyle w:val="FootnoteReference"/>
          <w:sz w:val="24"/>
          <w:szCs w:val="24"/>
        </w:rPr>
        <w:footnoteRef/>
      </w:r>
      <w:r w:rsidRPr="00594361">
        <w:rPr>
          <w:sz w:val="24"/>
          <w:szCs w:val="24"/>
        </w:rPr>
        <w:t xml:space="preserve"> M. Montes (2021), “Animal Personhood: The Quest for Recognition,” </w:t>
      </w:r>
      <w:r w:rsidRPr="00594361">
        <w:rPr>
          <w:i/>
          <w:iCs/>
          <w:sz w:val="24"/>
          <w:szCs w:val="24"/>
        </w:rPr>
        <w:t>Animal &amp; Natural Resource Law Review</w:t>
      </w:r>
      <w:r w:rsidRPr="00594361">
        <w:rPr>
          <w:sz w:val="24"/>
          <w:szCs w:val="24"/>
        </w:rPr>
        <w:t xml:space="preserve"> 17, at 147.</w:t>
      </w:r>
    </w:p>
  </w:footnote>
  <w:footnote w:id="47">
    <w:p w14:paraId="03A04D4A" w14:textId="715E9F5B" w:rsidR="00C72BCD" w:rsidRPr="0022164C" w:rsidRDefault="00C72BCD" w:rsidP="00594361">
      <w:pPr>
        <w:pStyle w:val="FootnoteText"/>
        <w:ind w:firstLine="720"/>
      </w:pPr>
      <w:r w:rsidRPr="0022164C">
        <w:rPr>
          <w:rStyle w:val="FootnoteReference"/>
          <w:sz w:val="24"/>
          <w:szCs w:val="24"/>
        </w:rPr>
        <w:footnoteRef/>
      </w:r>
      <w:r w:rsidRPr="0022164C">
        <w:rPr>
          <w:sz w:val="24"/>
          <w:szCs w:val="24"/>
        </w:rPr>
        <w:t xml:space="preserve"> </w:t>
      </w:r>
      <w:r w:rsidR="00F2614D" w:rsidRPr="0022164C">
        <w:rPr>
          <w:iCs/>
          <w:sz w:val="24"/>
          <w:szCs w:val="24"/>
        </w:rPr>
        <w:t>Id</w:t>
      </w:r>
      <w:r w:rsidR="00F2614D" w:rsidRPr="0022164C">
        <w:rPr>
          <w:sz w:val="24"/>
          <w:szCs w:val="24"/>
        </w:rPr>
        <w:t>.</w:t>
      </w:r>
      <w:r w:rsidR="00F2614D" w:rsidRPr="0022164C">
        <w:t xml:space="preserve"> </w:t>
      </w:r>
    </w:p>
  </w:footnote>
  <w:footnote w:id="48">
    <w:p w14:paraId="667827F9" w14:textId="60C6513F" w:rsidR="008E22C1" w:rsidRPr="0022164C" w:rsidRDefault="008E22C1" w:rsidP="00EC470E">
      <w:pPr>
        <w:ind w:left="720"/>
        <w:rPr>
          <w:rFonts w:eastAsia="Times New Roman"/>
        </w:rPr>
      </w:pPr>
      <w:r w:rsidRPr="0022164C">
        <w:rPr>
          <w:rStyle w:val="FootnoteReference"/>
        </w:rPr>
        <w:footnoteRef/>
      </w:r>
      <w:r w:rsidRPr="0022164C">
        <w:t xml:space="preserve"> </w:t>
      </w:r>
      <w:hyperlink r:id="rId1" w:history="1">
        <w:r w:rsidR="00EC470E" w:rsidRPr="00E36D99">
          <w:rPr>
            <w:rStyle w:val="Hyperlink"/>
            <w:rFonts w:eastAsia="Times New Roman"/>
            <w:sz w:val="22"/>
            <w:szCs w:val="22"/>
          </w:rPr>
          <w:t>https://www.nonhumanrights.org/content/uploads/Christine-M.-Korsgaard-Amicus-Brief-</w:t>
        </w:r>
      </w:hyperlink>
      <w:r w:rsidR="00EC470E" w:rsidRPr="00E36D99">
        <w:rPr>
          <w:rFonts w:eastAsia="Times New Roman"/>
          <w:sz w:val="22"/>
          <w:szCs w:val="22"/>
        </w:rPr>
        <w:t>Happy-Case.pdf</w:t>
      </w:r>
    </w:p>
  </w:footnote>
  <w:footnote w:id="49">
    <w:p w14:paraId="7F407C5B" w14:textId="194D49E7" w:rsidR="000F2834" w:rsidRDefault="000F2834" w:rsidP="00EC470E">
      <w:pPr>
        <w:pStyle w:val="FootnoteText"/>
        <w:ind w:left="720"/>
      </w:pPr>
      <w:r>
        <w:rPr>
          <w:rStyle w:val="FootnoteReference"/>
        </w:rPr>
        <w:footnoteRef/>
      </w:r>
      <w:hyperlink r:id="rId2" w:history="1">
        <w:r w:rsidR="00EC470E" w:rsidRPr="00E36D99">
          <w:rPr>
            <w:rStyle w:val="Hyperlink"/>
            <w:sz w:val="22"/>
            <w:szCs w:val="22"/>
          </w:rPr>
          <w:t>https://www.nonhumanrights.org/content/uploads/IMOTheNonhumanRightsProjectIncvBreheny-amicus-</w:t>
        </w:r>
      </w:hyperlink>
      <w:r w:rsidR="00EC470E" w:rsidRPr="00E36D99">
        <w:rPr>
          <w:sz w:val="22"/>
          <w:szCs w:val="22"/>
        </w:rPr>
        <w:t>ProfessorMarthaCNussbaum-AmicusBrf.pdf</w:t>
      </w:r>
      <w:r>
        <w:t xml:space="preserve"> </w:t>
      </w:r>
    </w:p>
  </w:footnote>
  <w:footnote w:id="50">
    <w:p w14:paraId="3B573803" w14:textId="77777777" w:rsidR="00B417B2" w:rsidRPr="00B417B2" w:rsidRDefault="00B417B2" w:rsidP="00B417B2">
      <w:pPr>
        <w:pBdr>
          <w:top w:val="nil"/>
          <w:left w:val="nil"/>
          <w:bottom w:val="nil"/>
          <w:right w:val="nil"/>
          <w:between w:val="nil"/>
        </w:pBdr>
        <w:ind w:firstLine="720"/>
        <w:jc w:val="both"/>
        <w:rPr>
          <w:color w:val="000000"/>
        </w:rPr>
      </w:pPr>
      <w:r w:rsidRPr="00B417B2">
        <w:rPr>
          <w:color w:val="000000"/>
          <w:vertAlign w:val="superscript"/>
        </w:rPr>
        <w:footnoteRef/>
      </w:r>
      <w:r w:rsidRPr="00B417B2">
        <w:rPr>
          <w:color w:val="000000"/>
        </w:rPr>
        <w:t xml:space="preserve"> Or. Revised Statues § 167.305(1) (2015).</w:t>
      </w:r>
      <w:r w:rsidRPr="00B417B2">
        <w:rPr>
          <w:color w:val="000000"/>
        </w:rPr>
        <w:fldChar w:fldCharType="begin"/>
      </w:r>
      <w:r w:rsidRPr="00904AAC">
        <w:instrText xml:space="preserve"> TA \l "</w:instrText>
      </w:r>
      <w:r w:rsidRPr="00B417B2">
        <w:rPr>
          <w:color w:val="000000"/>
        </w:rPr>
        <w:instrText>Or. Revised Statues § 167.305(1) (2015).</w:instrText>
      </w:r>
      <w:r w:rsidRPr="00904AAC">
        <w:instrText xml:space="preserve">" \s "Or. Revised Statues § 167.305(1) (2015)." \c 2 </w:instrText>
      </w:r>
      <w:r w:rsidRPr="00B417B2">
        <w:rPr>
          <w:color w:val="000000"/>
        </w:rPr>
        <w:fldChar w:fldCharType="end"/>
      </w:r>
      <w:r w:rsidRPr="00B417B2">
        <w:rPr>
          <w:color w:val="000000"/>
        </w:rPr>
        <w:t xml:space="preserve"> </w:t>
      </w:r>
    </w:p>
  </w:footnote>
  <w:footnote w:id="51">
    <w:p w14:paraId="1C0CA468" w14:textId="222CBD4F" w:rsidR="00B417B2" w:rsidRPr="00B417B2" w:rsidRDefault="00B417B2" w:rsidP="00EC470E">
      <w:pPr>
        <w:pStyle w:val="FootnoteText1"/>
        <w:ind w:left="720" w:firstLine="340"/>
        <w:jc w:val="both"/>
        <w:rPr>
          <w:color w:val="000000"/>
          <w:sz w:val="24"/>
          <w:szCs w:val="24"/>
        </w:rPr>
      </w:pPr>
      <w:r w:rsidRPr="00B417B2">
        <w:rPr>
          <w:i/>
          <w:iCs/>
          <w:color w:val="000000"/>
          <w:sz w:val="24"/>
          <w:szCs w:val="24"/>
        </w:rPr>
        <w:t xml:space="preserve">See </w:t>
      </w:r>
      <w:r w:rsidRPr="00B417B2">
        <w:rPr>
          <w:color w:val="000000"/>
          <w:sz w:val="24"/>
          <w:szCs w:val="24"/>
        </w:rPr>
        <w:t xml:space="preserve">59 Official Journal of the European Union (June 7, 2016), </w:t>
      </w:r>
      <w:hyperlink r:id="rId3" w:history="1">
        <w:r w:rsidR="00EC470E" w:rsidRPr="00C20286">
          <w:rPr>
            <w:rStyle w:val="Hyperlink"/>
            <w:sz w:val="24"/>
            <w:szCs w:val="24"/>
          </w:rPr>
          <w:t>https://eur-</w:t>
        </w:r>
      </w:hyperlink>
      <w:r w:rsidRPr="00B417B2">
        <w:rPr>
          <w:color w:val="000000"/>
          <w:sz w:val="24"/>
          <w:szCs w:val="24"/>
        </w:rPr>
        <w:t>lex.europa.eu/legal-content/EN/TXT/HTML/?uri=OJ:C:2016:202:FULL&amp;from=EN</w:t>
      </w:r>
      <w:r w:rsidRPr="00B417B2">
        <w:rPr>
          <w:color w:val="000000"/>
          <w:sz w:val="24"/>
          <w:szCs w:val="24"/>
        </w:rPr>
        <w:fldChar w:fldCharType="begin"/>
      </w:r>
      <w:r w:rsidRPr="005C150E">
        <w:rPr>
          <w:sz w:val="24"/>
          <w:szCs w:val="24"/>
        </w:rPr>
        <w:instrText xml:space="preserve"> TA \l "</w:instrText>
      </w:r>
      <w:r w:rsidRPr="00B417B2">
        <w:rPr>
          <w:color w:val="000000"/>
          <w:sz w:val="24"/>
          <w:szCs w:val="24"/>
        </w:rPr>
        <w:instrText>59 Official Journal of the European Union (June 7, 2016).</w:instrText>
      </w:r>
      <w:r w:rsidRPr="005C150E">
        <w:rPr>
          <w:sz w:val="24"/>
          <w:szCs w:val="24"/>
        </w:rPr>
        <w:instrText xml:space="preserve">" \s "59 Official Journal of the European Union (June 7, 2016), https://eur-lex.europa.eu/legal-content/EN/TXT/HTML/?uri=OJ:C:2016:202:FULL&amp;from=EN" \c 3 </w:instrText>
      </w:r>
      <w:r w:rsidRPr="00B417B2">
        <w:rPr>
          <w:color w:val="000000"/>
          <w:sz w:val="24"/>
          <w:szCs w:val="24"/>
        </w:rPr>
        <w:fldChar w:fldCharType="end"/>
      </w:r>
      <w:r w:rsidRPr="00B417B2">
        <w:rPr>
          <w:color w:val="000000"/>
          <w:sz w:val="24"/>
          <w:szCs w:val="24"/>
        </w:rPr>
        <w:t>.</w:t>
      </w:r>
    </w:p>
  </w:footnote>
  <w:footnote w:id="52">
    <w:p w14:paraId="2C0BF10A" w14:textId="77777777" w:rsidR="00B417B2" w:rsidRPr="00B417B2" w:rsidRDefault="00B417B2" w:rsidP="00B417B2">
      <w:pPr>
        <w:pBdr>
          <w:top w:val="nil"/>
          <w:left w:val="nil"/>
          <w:bottom w:val="nil"/>
          <w:right w:val="nil"/>
          <w:between w:val="nil"/>
        </w:pBdr>
        <w:ind w:firstLine="720"/>
        <w:jc w:val="both"/>
        <w:rPr>
          <w:color w:val="000000"/>
        </w:rPr>
      </w:pPr>
      <w:r w:rsidRPr="00B417B2">
        <w:rPr>
          <w:color w:val="000000"/>
          <w:vertAlign w:val="superscript"/>
        </w:rPr>
        <w:footnoteRef/>
      </w:r>
      <w:r w:rsidRPr="00B417B2">
        <w:rPr>
          <w:color w:val="000000"/>
        </w:rPr>
        <w:t xml:space="preserve"> Ross Kelly, </w:t>
      </w:r>
      <w:r w:rsidRPr="00B417B2">
        <w:rPr>
          <w:i/>
          <w:iCs/>
          <w:color w:val="000000"/>
        </w:rPr>
        <w:t>Recognition of Animal Sentience on the Rise</w:t>
      </w:r>
      <w:r w:rsidRPr="00B417B2">
        <w:rPr>
          <w:color w:val="000000"/>
        </w:rPr>
        <w:t xml:space="preserve">, VIN News Service (May 14, 2020), </w:t>
      </w:r>
      <w:r w:rsidRPr="00B417B2">
        <w:rPr>
          <w:color w:val="000000"/>
          <w:highlight w:val="white"/>
        </w:rPr>
        <w:t>https://news.vin.com/default.aspx?pid=210&amp;Id=9639465</w:t>
      </w:r>
      <w:r w:rsidRPr="00B417B2">
        <w:rPr>
          <w:color w:val="000000"/>
          <w:highlight w:val="white"/>
        </w:rPr>
        <w:fldChar w:fldCharType="begin"/>
      </w:r>
      <w:r w:rsidRPr="00904AAC">
        <w:instrText xml:space="preserve"> TA \l "</w:instrText>
      </w:r>
      <w:r w:rsidRPr="00B417B2">
        <w:rPr>
          <w:color w:val="000000"/>
        </w:rPr>
        <w:instrText xml:space="preserve">Ross Kelly, </w:instrText>
      </w:r>
      <w:r w:rsidRPr="00B417B2">
        <w:rPr>
          <w:i/>
          <w:iCs/>
          <w:color w:val="000000"/>
        </w:rPr>
        <w:instrText>Recognition of Animal Sentience on the Rise</w:instrText>
      </w:r>
      <w:r w:rsidRPr="00B417B2">
        <w:rPr>
          <w:color w:val="000000"/>
        </w:rPr>
        <w:instrText xml:space="preserve">, VIN News Service (May 14, 2020), </w:instrText>
      </w:r>
      <w:r w:rsidRPr="00B417B2">
        <w:rPr>
          <w:color w:val="000000"/>
          <w:highlight w:val="white"/>
        </w:rPr>
        <w:instrText>https://news.vin.com/default.aspx?pid=210&amp;Id=9639465</w:instrText>
      </w:r>
      <w:r w:rsidRPr="00904AAC">
        <w:instrText xml:space="preserve">" \s "Ross Kelly, Recognition of Animal Sentience on the Rise, VIN News Service (May 14, 2020), https://news.vin.com/default.aspx?pid=210&amp;Id=9639465" \c 3 </w:instrText>
      </w:r>
      <w:r w:rsidRPr="00B417B2">
        <w:rPr>
          <w:color w:val="000000"/>
          <w:highlight w:val="white"/>
        </w:rPr>
        <w:fldChar w:fldCharType="end"/>
      </w:r>
      <w:r w:rsidRPr="00B417B2">
        <w:rPr>
          <w:color w:val="000000"/>
        </w:rPr>
        <w:t>.</w:t>
      </w:r>
    </w:p>
  </w:footnote>
  <w:footnote w:id="53">
    <w:p w14:paraId="14950097" w14:textId="08B31452" w:rsidR="00A709EA" w:rsidRPr="00664EA3" w:rsidRDefault="00B417B2" w:rsidP="00664EA3">
      <w:pPr>
        <w:pStyle w:val="FootnoteText1"/>
        <w:ind w:firstLine="720"/>
        <w:jc w:val="both"/>
        <w:rPr>
          <w:sz w:val="24"/>
          <w:szCs w:val="24"/>
        </w:rPr>
      </w:pPr>
      <w:r w:rsidRPr="00904AAC">
        <w:rPr>
          <w:rStyle w:val="FootnoteReference"/>
          <w:sz w:val="24"/>
          <w:szCs w:val="24"/>
        </w:rPr>
        <w:footnoteRef/>
      </w:r>
      <w:r w:rsidRPr="00904AAC">
        <w:rPr>
          <w:sz w:val="24"/>
          <w:szCs w:val="24"/>
        </w:rPr>
        <w:t xml:space="preserve"> </w:t>
      </w:r>
      <w:proofErr w:type="spellStart"/>
      <w:r w:rsidRPr="00904AAC">
        <w:rPr>
          <w:sz w:val="24"/>
          <w:szCs w:val="24"/>
        </w:rPr>
        <w:t>Krishnadev</w:t>
      </w:r>
      <w:proofErr w:type="spellEnd"/>
      <w:r w:rsidRPr="00904AAC">
        <w:rPr>
          <w:sz w:val="24"/>
          <w:szCs w:val="24"/>
        </w:rPr>
        <w:t xml:space="preserve"> </w:t>
      </w:r>
      <w:proofErr w:type="spellStart"/>
      <w:r w:rsidRPr="00904AAC">
        <w:rPr>
          <w:sz w:val="24"/>
          <w:szCs w:val="24"/>
        </w:rPr>
        <w:t>Calamur</w:t>
      </w:r>
      <w:proofErr w:type="spellEnd"/>
      <w:r w:rsidRPr="00904AAC">
        <w:rPr>
          <w:sz w:val="24"/>
          <w:szCs w:val="24"/>
        </w:rPr>
        <w:t xml:space="preserve">, </w:t>
      </w:r>
      <w:r w:rsidRPr="00904AAC">
        <w:rPr>
          <w:i/>
          <w:iCs/>
          <w:sz w:val="24"/>
          <w:szCs w:val="24"/>
        </w:rPr>
        <w:t>Indian Court Says Elephant Who Was Chained for 50 Years is Free</w:t>
      </w:r>
      <w:r w:rsidRPr="00904AAC">
        <w:rPr>
          <w:sz w:val="24"/>
          <w:szCs w:val="24"/>
        </w:rPr>
        <w:t>, NPR (Dec. 2, 2014), https://www.npr.org/sections/thetwo-way/2014/12/02/368028114/indian-court-says-elephant-who-was-chained-for-50-years-is-free.</w:t>
      </w:r>
      <w:r w:rsidRPr="00904AAC">
        <w:rPr>
          <w:sz w:val="24"/>
          <w:szCs w:val="24"/>
        </w:rPr>
        <w:fldChar w:fldCharType="begin"/>
      </w:r>
      <w:r w:rsidRPr="005C150E">
        <w:rPr>
          <w:sz w:val="24"/>
          <w:szCs w:val="24"/>
        </w:rPr>
        <w:instrText xml:space="preserve"> TA \l "Krishnadev Calamur, </w:instrText>
      </w:r>
      <w:r w:rsidRPr="005C150E">
        <w:rPr>
          <w:i/>
          <w:iCs/>
          <w:sz w:val="24"/>
          <w:szCs w:val="24"/>
        </w:rPr>
        <w:instrText>Indian Court Says Elephant Who Was Chained for 50 Years is Free</w:instrText>
      </w:r>
      <w:r w:rsidRPr="005C150E">
        <w:rPr>
          <w:sz w:val="24"/>
          <w:szCs w:val="24"/>
        </w:rPr>
        <w:instrText xml:space="preserve">, NPR (Dec. 2, 2014), https://www.npr.org/sections/thetwo-way/2014/12/02/368028114/indian-court-says-elephant-who-was-chained-for-50-years-is-free." \s "Krishnadev Calamur, Indian Court Says Elephant Who Was Chained for 50 Years is Free, NPR (Dec. 2, 2014), https://www.npr.org/sections/thetwo-way/2014/12/02/368028114/indian-court-says-elephant-who-was-chained-for-50-years-is-free." \c 3 </w:instrText>
      </w:r>
      <w:r w:rsidRPr="00904AAC">
        <w:rPr>
          <w:sz w:val="24"/>
          <w:szCs w:val="24"/>
        </w:rPr>
        <w:fldChar w:fldCharType="end"/>
      </w:r>
      <w:r w:rsidRPr="00904AAC">
        <w:rPr>
          <w:sz w:val="24"/>
          <w:szCs w:val="24"/>
        </w:rPr>
        <w:t xml:space="preserve"> </w:t>
      </w:r>
    </w:p>
  </w:footnote>
  <w:footnote w:id="54">
    <w:p w14:paraId="3D314B95" w14:textId="6570D850" w:rsidR="00905604" w:rsidRPr="0022164C" w:rsidRDefault="00905604" w:rsidP="0022164C">
      <w:pPr>
        <w:pStyle w:val="FootnoteText1"/>
        <w:ind w:firstLine="720"/>
        <w:jc w:val="both"/>
        <w:rPr>
          <w:rStyle w:val="FootnoteReference"/>
          <w:sz w:val="24"/>
          <w:szCs w:val="24"/>
          <w:vertAlign w:val="baseline"/>
        </w:rPr>
      </w:pPr>
      <w:r w:rsidRPr="0022164C">
        <w:rPr>
          <w:rStyle w:val="FootnoteReference"/>
          <w:sz w:val="24"/>
          <w:szCs w:val="24"/>
        </w:rPr>
        <w:footnoteRef/>
      </w:r>
      <w:r w:rsidRPr="0022164C">
        <w:rPr>
          <w:rStyle w:val="FootnoteReference"/>
          <w:sz w:val="24"/>
          <w:szCs w:val="24"/>
        </w:rPr>
        <w:t xml:space="preserve"> </w:t>
      </w:r>
      <w:r w:rsidR="00D36FD8" w:rsidRPr="0022164C">
        <w:rPr>
          <w:rStyle w:val="FootnoteReference"/>
          <w:sz w:val="24"/>
          <w:szCs w:val="24"/>
          <w:vertAlign w:val="baseline"/>
        </w:rPr>
        <w:t xml:space="preserve">Cámara Federal de </w:t>
      </w:r>
      <w:proofErr w:type="spellStart"/>
      <w:r w:rsidR="00D36FD8" w:rsidRPr="0022164C">
        <w:rPr>
          <w:rStyle w:val="FootnoteReference"/>
          <w:sz w:val="24"/>
          <w:szCs w:val="24"/>
          <w:vertAlign w:val="baseline"/>
        </w:rPr>
        <w:t>Casación</w:t>
      </w:r>
      <w:proofErr w:type="spellEnd"/>
      <w:r w:rsidR="00D36FD8" w:rsidRPr="0022164C">
        <w:rPr>
          <w:rStyle w:val="FootnoteReference"/>
          <w:sz w:val="24"/>
          <w:szCs w:val="24"/>
          <w:vertAlign w:val="baseline"/>
        </w:rPr>
        <w:t xml:space="preserve"> Penal [C.F.C.P.] [Federal Criminal Cassation Court], Second Chamber, 18/12/2014, “</w:t>
      </w:r>
      <w:proofErr w:type="spellStart"/>
      <w:r w:rsidR="00D36FD8" w:rsidRPr="0022164C">
        <w:rPr>
          <w:rStyle w:val="FootnoteReference"/>
          <w:sz w:val="24"/>
          <w:szCs w:val="24"/>
          <w:vertAlign w:val="baseline"/>
        </w:rPr>
        <w:t>Orangutana</w:t>
      </w:r>
      <w:proofErr w:type="spellEnd"/>
      <w:r w:rsidR="00D36FD8" w:rsidRPr="0022164C">
        <w:rPr>
          <w:rStyle w:val="FootnoteReference"/>
          <w:sz w:val="24"/>
          <w:szCs w:val="24"/>
          <w:vertAlign w:val="baseline"/>
        </w:rPr>
        <w:t xml:space="preserve"> Sandra s/ </w:t>
      </w:r>
      <w:proofErr w:type="spellStart"/>
      <w:r w:rsidR="00D36FD8" w:rsidRPr="0022164C">
        <w:rPr>
          <w:rStyle w:val="FootnoteReference"/>
          <w:sz w:val="24"/>
          <w:szCs w:val="24"/>
          <w:vertAlign w:val="baseline"/>
        </w:rPr>
        <w:t>Recurso</w:t>
      </w:r>
      <w:proofErr w:type="spellEnd"/>
      <w:r w:rsidR="00D36FD8" w:rsidRPr="0022164C">
        <w:rPr>
          <w:rStyle w:val="FootnoteReference"/>
          <w:sz w:val="24"/>
          <w:szCs w:val="24"/>
          <w:vertAlign w:val="baseline"/>
        </w:rPr>
        <w:t xml:space="preserve"> de </w:t>
      </w:r>
      <w:proofErr w:type="spellStart"/>
      <w:r w:rsidR="00D36FD8" w:rsidRPr="0022164C">
        <w:rPr>
          <w:rStyle w:val="FootnoteReference"/>
          <w:sz w:val="24"/>
          <w:szCs w:val="24"/>
          <w:vertAlign w:val="baseline"/>
        </w:rPr>
        <w:t>Casación</w:t>
      </w:r>
      <w:proofErr w:type="spellEnd"/>
      <w:r w:rsidR="00D36FD8" w:rsidRPr="0022164C">
        <w:rPr>
          <w:rStyle w:val="FootnoteReference"/>
          <w:sz w:val="24"/>
          <w:szCs w:val="24"/>
          <w:vertAlign w:val="baseline"/>
        </w:rPr>
        <w:t xml:space="preserve"> s/ Habeas Corpus,” No 2603/14 (Arg.).</w:t>
      </w:r>
    </w:p>
  </w:footnote>
  <w:footnote w:id="55">
    <w:p w14:paraId="3053E155" w14:textId="4CD546B4" w:rsidR="0020562D" w:rsidRPr="0022164C" w:rsidRDefault="0020562D" w:rsidP="0022164C">
      <w:pPr>
        <w:pStyle w:val="FootnoteText1"/>
        <w:ind w:firstLine="720"/>
        <w:jc w:val="both"/>
        <w:rPr>
          <w:rStyle w:val="FootnoteReference"/>
          <w:sz w:val="24"/>
          <w:szCs w:val="24"/>
          <w:vertAlign w:val="baseline"/>
        </w:rPr>
      </w:pPr>
      <w:r w:rsidRPr="0022164C">
        <w:rPr>
          <w:rStyle w:val="FootnoteReference"/>
          <w:sz w:val="24"/>
          <w:szCs w:val="24"/>
        </w:rPr>
        <w:footnoteRef/>
      </w:r>
      <w:r w:rsidRPr="0022164C">
        <w:rPr>
          <w:rStyle w:val="FootnoteReference"/>
          <w:sz w:val="24"/>
          <w:szCs w:val="24"/>
          <w:vertAlign w:val="baseline"/>
        </w:rPr>
        <w:t xml:space="preserve"> </w:t>
      </w:r>
      <w:proofErr w:type="spellStart"/>
      <w:r w:rsidRPr="0022164C">
        <w:rPr>
          <w:rStyle w:val="FootnoteReference"/>
          <w:sz w:val="24"/>
          <w:szCs w:val="24"/>
          <w:vertAlign w:val="baseline"/>
        </w:rPr>
        <w:t>Juzgado</w:t>
      </w:r>
      <w:proofErr w:type="spellEnd"/>
      <w:r w:rsidRPr="0022164C">
        <w:rPr>
          <w:rStyle w:val="FootnoteReference"/>
          <w:sz w:val="24"/>
          <w:szCs w:val="24"/>
          <w:vertAlign w:val="baseline"/>
        </w:rPr>
        <w:t xml:space="preserve"> </w:t>
      </w:r>
      <w:proofErr w:type="spellStart"/>
      <w:r w:rsidRPr="0022164C">
        <w:rPr>
          <w:rStyle w:val="FootnoteReference"/>
          <w:sz w:val="24"/>
          <w:szCs w:val="24"/>
          <w:vertAlign w:val="baseline"/>
        </w:rPr>
        <w:t>Contencioso</w:t>
      </w:r>
      <w:proofErr w:type="spellEnd"/>
      <w:r w:rsidRPr="0022164C">
        <w:rPr>
          <w:rStyle w:val="FootnoteReference"/>
          <w:sz w:val="24"/>
          <w:szCs w:val="24"/>
          <w:vertAlign w:val="baseline"/>
        </w:rPr>
        <w:t xml:space="preserve"> </w:t>
      </w:r>
      <w:proofErr w:type="spellStart"/>
      <w:r w:rsidRPr="0022164C">
        <w:rPr>
          <w:rStyle w:val="FootnoteReference"/>
          <w:sz w:val="24"/>
          <w:szCs w:val="24"/>
          <w:vertAlign w:val="baseline"/>
        </w:rPr>
        <w:t>Administrativo</w:t>
      </w:r>
      <w:proofErr w:type="spellEnd"/>
      <w:r w:rsidRPr="0022164C">
        <w:rPr>
          <w:rStyle w:val="FootnoteReference"/>
          <w:sz w:val="24"/>
          <w:szCs w:val="24"/>
          <w:vertAlign w:val="baseline"/>
        </w:rPr>
        <w:t xml:space="preserve"> y </w:t>
      </w:r>
      <w:proofErr w:type="spellStart"/>
      <w:r w:rsidRPr="0022164C">
        <w:rPr>
          <w:rStyle w:val="FootnoteReference"/>
          <w:sz w:val="24"/>
          <w:szCs w:val="24"/>
          <w:vertAlign w:val="baseline"/>
        </w:rPr>
        <w:t>Tributario</w:t>
      </w:r>
      <w:proofErr w:type="spellEnd"/>
      <w:r w:rsidRPr="0022164C">
        <w:rPr>
          <w:rStyle w:val="FootnoteReference"/>
          <w:sz w:val="24"/>
          <w:szCs w:val="24"/>
          <w:vertAlign w:val="baseline"/>
        </w:rPr>
        <w:t xml:space="preserve"> No. 4 de la ciudad de Buenos Aires [J.C.A.T.] [Court for Contentious-Administrative and Tax Proceedings No. 4 of the city of Buenos Aires], 21.10.2015, “</w:t>
      </w:r>
      <w:proofErr w:type="spellStart"/>
      <w:r w:rsidRPr="0022164C">
        <w:rPr>
          <w:rStyle w:val="FootnoteReference"/>
          <w:sz w:val="24"/>
          <w:szCs w:val="24"/>
          <w:vertAlign w:val="baseline"/>
        </w:rPr>
        <w:t>Asociación</w:t>
      </w:r>
      <w:proofErr w:type="spellEnd"/>
      <w:r w:rsidRPr="0022164C">
        <w:rPr>
          <w:rStyle w:val="FootnoteReference"/>
          <w:sz w:val="24"/>
          <w:szCs w:val="24"/>
          <w:vertAlign w:val="baseline"/>
        </w:rPr>
        <w:t xml:space="preserve"> de </w:t>
      </w:r>
      <w:proofErr w:type="spellStart"/>
      <w:r w:rsidRPr="0022164C">
        <w:rPr>
          <w:rStyle w:val="FootnoteReference"/>
          <w:sz w:val="24"/>
          <w:szCs w:val="24"/>
          <w:vertAlign w:val="baseline"/>
        </w:rPr>
        <w:t>Funcionarios</w:t>
      </w:r>
      <w:proofErr w:type="spellEnd"/>
      <w:r w:rsidRPr="0022164C">
        <w:rPr>
          <w:rStyle w:val="FootnoteReference"/>
          <w:sz w:val="24"/>
          <w:szCs w:val="24"/>
          <w:vertAlign w:val="baseline"/>
        </w:rPr>
        <w:t xml:space="preserve"> y Abogados por los Derechos de </w:t>
      </w:r>
      <w:proofErr w:type="spellStart"/>
      <w:r w:rsidRPr="0022164C">
        <w:rPr>
          <w:rStyle w:val="FootnoteReference"/>
          <w:sz w:val="24"/>
          <w:szCs w:val="24"/>
          <w:vertAlign w:val="baseline"/>
        </w:rPr>
        <w:t>los</w:t>
      </w:r>
      <w:proofErr w:type="spellEnd"/>
      <w:r w:rsidRPr="0022164C">
        <w:rPr>
          <w:rStyle w:val="FootnoteReference"/>
          <w:sz w:val="24"/>
          <w:szCs w:val="24"/>
          <w:vertAlign w:val="baseline"/>
        </w:rPr>
        <w:t xml:space="preserve"> </w:t>
      </w:r>
      <w:proofErr w:type="spellStart"/>
      <w:r w:rsidRPr="0022164C">
        <w:rPr>
          <w:rStyle w:val="FootnoteReference"/>
          <w:sz w:val="24"/>
          <w:szCs w:val="24"/>
          <w:vertAlign w:val="baseline"/>
        </w:rPr>
        <w:t>Animales</w:t>
      </w:r>
      <w:proofErr w:type="spellEnd"/>
      <w:r w:rsidRPr="0022164C">
        <w:rPr>
          <w:rStyle w:val="FootnoteReference"/>
          <w:sz w:val="24"/>
          <w:szCs w:val="24"/>
          <w:vertAlign w:val="baseline"/>
        </w:rPr>
        <w:t xml:space="preserve"> y </w:t>
      </w:r>
      <w:proofErr w:type="spellStart"/>
      <w:r w:rsidRPr="0022164C">
        <w:rPr>
          <w:rStyle w:val="FootnoteReference"/>
          <w:sz w:val="24"/>
          <w:szCs w:val="24"/>
          <w:vertAlign w:val="baseline"/>
        </w:rPr>
        <w:t>otros</w:t>
      </w:r>
      <w:proofErr w:type="spellEnd"/>
      <w:r w:rsidRPr="0022164C">
        <w:rPr>
          <w:rStyle w:val="FootnoteReference"/>
          <w:sz w:val="24"/>
          <w:szCs w:val="24"/>
          <w:vertAlign w:val="baseline"/>
        </w:rPr>
        <w:t xml:space="preserve"> c. GBCA </w:t>
      </w:r>
      <w:proofErr w:type="spellStart"/>
      <w:r w:rsidRPr="0022164C">
        <w:rPr>
          <w:rStyle w:val="FootnoteReference"/>
          <w:sz w:val="24"/>
          <w:szCs w:val="24"/>
          <w:vertAlign w:val="baseline"/>
        </w:rPr>
        <w:t>sobre</w:t>
      </w:r>
      <w:proofErr w:type="spellEnd"/>
      <w:r w:rsidRPr="0022164C">
        <w:rPr>
          <w:rStyle w:val="FootnoteReference"/>
          <w:sz w:val="24"/>
          <w:szCs w:val="24"/>
          <w:vertAlign w:val="baseline"/>
        </w:rPr>
        <w:t xml:space="preserve"> amparo,” No. A2174-2015/0 (Arg.)</w:t>
      </w:r>
      <w:r>
        <w:rPr>
          <w:sz w:val="24"/>
          <w:szCs w:val="24"/>
        </w:rPr>
        <w:t>.</w:t>
      </w:r>
    </w:p>
  </w:footnote>
  <w:footnote w:id="56">
    <w:p w14:paraId="69132D55" w14:textId="2D0641D5" w:rsidR="00A75C2C" w:rsidRPr="0022164C" w:rsidRDefault="00A75C2C" w:rsidP="0022164C">
      <w:pPr>
        <w:pStyle w:val="FootnoteText1"/>
        <w:ind w:firstLine="720"/>
        <w:jc w:val="both"/>
        <w:rPr>
          <w:rStyle w:val="FootnoteReference"/>
          <w:sz w:val="24"/>
          <w:szCs w:val="24"/>
          <w:vertAlign w:val="baseline"/>
        </w:rPr>
      </w:pPr>
      <w:r w:rsidRPr="0069555A">
        <w:rPr>
          <w:rStyle w:val="FootnoteReference"/>
          <w:sz w:val="24"/>
          <w:szCs w:val="24"/>
        </w:rPr>
        <w:footnoteRef/>
      </w:r>
      <w:r w:rsidRPr="0022164C">
        <w:rPr>
          <w:rStyle w:val="FootnoteReference"/>
        </w:rPr>
        <w:t xml:space="preserve"> </w:t>
      </w:r>
      <w:r w:rsidR="00D36FD8" w:rsidRPr="0022164C">
        <w:rPr>
          <w:rStyle w:val="FootnoteReference"/>
          <w:sz w:val="24"/>
          <w:szCs w:val="24"/>
          <w:vertAlign w:val="baseline"/>
        </w:rPr>
        <w:t xml:space="preserve">Islamabad Wildlife Management Board v. Metropolitan Corporation Islamabad, etc., (2020) W.P. No. 1155/2019 PLD (ISL) 1, 4 (Pak.). </w:t>
      </w:r>
    </w:p>
  </w:footnote>
  <w:footnote w:id="57">
    <w:p w14:paraId="3E85B821" w14:textId="2F809783" w:rsidR="00A709EA" w:rsidRPr="0022164C" w:rsidRDefault="00A75C2C" w:rsidP="0022164C">
      <w:pPr>
        <w:pStyle w:val="FootnoteText1"/>
        <w:ind w:firstLine="720"/>
        <w:jc w:val="both"/>
        <w:rPr>
          <w:rStyle w:val="FootnoteReference"/>
          <w:sz w:val="24"/>
          <w:szCs w:val="24"/>
          <w:vertAlign w:val="baseline"/>
        </w:rPr>
      </w:pPr>
      <w:r w:rsidRPr="0069555A">
        <w:rPr>
          <w:rStyle w:val="FootnoteReference"/>
          <w:sz w:val="24"/>
          <w:szCs w:val="24"/>
        </w:rPr>
        <w:footnoteRef/>
      </w:r>
      <w:r w:rsidRPr="0022164C">
        <w:rPr>
          <w:rStyle w:val="FootnoteReference"/>
          <w:sz w:val="24"/>
          <w:szCs w:val="24"/>
          <w:vertAlign w:val="baseline"/>
        </w:rPr>
        <w:t xml:space="preserve"> </w:t>
      </w:r>
      <w:proofErr w:type="spellStart"/>
      <w:r w:rsidR="00A709EA" w:rsidRPr="0022164C">
        <w:rPr>
          <w:rStyle w:val="FootnoteReference"/>
          <w:vertAlign w:val="baseline"/>
        </w:rPr>
        <w:t>Tercer</w:t>
      </w:r>
      <w:proofErr w:type="spellEnd"/>
      <w:r w:rsidR="00A709EA" w:rsidRPr="0022164C">
        <w:rPr>
          <w:rStyle w:val="FootnoteReference"/>
          <w:vertAlign w:val="baseline"/>
        </w:rPr>
        <w:t xml:space="preserve"> </w:t>
      </w:r>
      <w:proofErr w:type="spellStart"/>
      <w:r w:rsidR="00A709EA" w:rsidRPr="0022164C">
        <w:rPr>
          <w:rStyle w:val="FootnoteReference"/>
          <w:vertAlign w:val="baseline"/>
        </w:rPr>
        <w:t>Juzgado</w:t>
      </w:r>
      <w:proofErr w:type="spellEnd"/>
      <w:r w:rsidR="00A709EA" w:rsidRPr="0022164C">
        <w:rPr>
          <w:rStyle w:val="FootnoteReference"/>
          <w:vertAlign w:val="baseline"/>
        </w:rPr>
        <w:t xml:space="preserve"> de </w:t>
      </w:r>
      <w:proofErr w:type="spellStart"/>
      <w:r w:rsidR="00A709EA" w:rsidRPr="0022164C">
        <w:rPr>
          <w:rStyle w:val="FootnoteReference"/>
          <w:vertAlign w:val="baseline"/>
        </w:rPr>
        <w:t>Garantías</w:t>
      </w:r>
      <w:proofErr w:type="spellEnd"/>
      <w:r w:rsidR="00A709EA" w:rsidRPr="0022164C">
        <w:rPr>
          <w:rStyle w:val="FootnoteReference"/>
          <w:vertAlign w:val="baseline"/>
        </w:rPr>
        <w:t xml:space="preserve"> de Mendoza [</w:t>
      </w:r>
      <w:proofErr w:type="spellStart"/>
      <w:r w:rsidR="00A709EA" w:rsidRPr="0022164C">
        <w:rPr>
          <w:rStyle w:val="FootnoteReference"/>
          <w:vertAlign w:val="baseline"/>
        </w:rPr>
        <w:t>J.G.Men</w:t>
      </w:r>
      <w:proofErr w:type="spellEnd"/>
      <w:r w:rsidR="00A709EA" w:rsidRPr="0022164C">
        <w:rPr>
          <w:rStyle w:val="FootnoteReference"/>
          <w:vertAlign w:val="baseline"/>
        </w:rPr>
        <w:t xml:space="preserve">.] [Third Criminal Court of Mendoza], 3/11/2016, “Presentación </w:t>
      </w:r>
      <w:proofErr w:type="spellStart"/>
      <w:r w:rsidR="00A709EA" w:rsidRPr="0022164C">
        <w:rPr>
          <w:rStyle w:val="FootnoteReference"/>
          <w:vertAlign w:val="baseline"/>
        </w:rPr>
        <w:t>Efectuada</w:t>
      </w:r>
      <w:proofErr w:type="spellEnd"/>
      <w:r w:rsidR="00A709EA" w:rsidRPr="0022164C">
        <w:rPr>
          <w:rStyle w:val="FootnoteReference"/>
          <w:vertAlign w:val="baseline"/>
        </w:rPr>
        <w:t xml:space="preserve"> Por AFADA </w:t>
      </w:r>
      <w:proofErr w:type="spellStart"/>
      <w:r w:rsidR="00A709EA" w:rsidRPr="0022164C">
        <w:rPr>
          <w:rStyle w:val="FootnoteReference"/>
          <w:vertAlign w:val="baseline"/>
        </w:rPr>
        <w:t>Respecto</w:t>
      </w:r>
      <w:proofErr w:type="spellEnd"/>
      <w:r w:rsidR="00A709EA" w:rsidRPr="0022164C">
        <w:rPr>
          <w:rStyle w:val="FootnoteReference"/>
          <w:vertAlign w:val="baseline"/>
        </w:rPr>
        <w:t xml:space="preserve"> del </w:t>
      </w:r>
      <w:proofErr w:type="spellStart"/>
      <w:r w:rsidR="00A709EA" w:rsidRPr="0022164C">
        <w:rPr>
          <w:rStyle w:val="FootnoteReference"/>
          <w:vertAlign w:val="baseline"/>
        </w:rPr>
        <w:t>Chimpancé</w:t>
      </w:r>
      <w:proofErr w:type="spellEnd"/>
      <w:r w:rsidR="00A709EA" w:rsidRPr="0022164C">
        <w:rPr>
          <w:rStyle w:val="FootnoteReference"/>
          <w:vertAlign w:val="baseline"/>
        </w:rPr>
        <w:t xml:space="preserve"> ‘Cecilia’ </w:t>
      </w:r>
      <w:proofErr w:type="spellStart"/>
      <w:r w:rsidR="00A709EA" w:rsidRPr="0022164C">
        <w:rPr>
          <w:rStyle w:val="FootnoteReference"/>
          <w:vertAlign w:val="baseline"/>
        </w:rPr>
        <w:t>Sujeto</w:t>
      </w:r>
      <w:proofErr w:type="spellEnd"/>
      <w:r w:rsidR="00A709EA" w:rsidRPr="0022164C">
        <w:rPr>
          <w:rStyle w:val="FootnoteReference"/>
          <w:vertAlign w:val="baseline"/>
        </w:rPr>
        <w:t xml:space="preserve"> No Humano,” [</w:t>
      </w:r>
      <w:proofErr w:type="spellStart"/>
      <w:r w:rsidR="00A709EA" w:rsidRPr="0022164C">
        <w:rPr>
          <w:rStyle w:val="FootnoteReference"/>
          <w:vertAlign w:val="baseline"/>
        </w:rPr>
        <w:t>Expte</w:t>
      </w:r>
      <w:proofErr w:type="spellEnd"/>
      <w:r w:rsidR="00A709EA" w:rsidRPr="0022164C">
        <w:rPr>
          <w:rStyle w:val="FootnoteReference"/>
          <w:vertAlign w:val="baseline"/>
        </w:rPr>
        <w:t xml:space="preserve">. </w:t>
      </w:r>
      <w:proofErr w:type="spellStart"/>
      <w:r w:rsidR="00A709EA" w:rsidRPr="0022164C">
        <w:rPr>
          <w:rStyle w:val="FootnoteReference"/>
          <w:vertAlign w:val="baseline"/>
        </w:rPr>
        <w:t>Nro</w:t>
      </w:r>
      <w:proofErr w:type="spellEnd"/>
      <w:r w:rsidR="00A709EA" w:rsidRPr="0022164C">
        <w:rPr>
          <w:rStyle w:val="FootnoteReference"/>
          <w:vertAlign w:val="baseline"/>
        </w:rPr>
        <w:t>.] P-72.254/15, (Arg.).</w:t>
      </w:r>
    </w:p>
  </w:footnote>
  <w:footnote w:id="58">
    <w:p w14:paraId="7E957D8E" w14:textId="79CB355C" w:rsidR="00A709EA" w:rsidRPr="0022164C" w:rsidRDefault="00305A5D" w:rsidP="0022164C">
      <w:pPr>
        <w:pStyle w:val="FootnoteText1"/>
        <w:ind w:firstLine="720"/>
        <w:jc w:val="both"/>
        <w:rPr>
          <w:rStyle w:val="FootnoteReference"/>
          <w:sz w:val="24"/>
          <w:szCs w:val="24"/>
          <w:vertAlign w:val="baseline"/>
        </w:rPr>
      </w:pPr>
      <w:r w:rsidRPr="0022164C">
        <w:rPr>
          <w:rStyle w:val="FootnoteReference"/>
          <w:sz w:val="24"/>
          <w:szCs w:val="24"/>
        </w:rPr>
        <w:footnoteRef/>
      </w:r>
      <w:r w:rsidRPr="0022164C">
        <w:rPr>
          <w:rStyle w:val="FootnoteReference"/>
          <w:sz w:val="24"/>
          <w:szCs w:val="24"/>
          <w:vertAlign w:val="baseline"/>
        </w:rPr>
        <w:t xml:space="preserve"> </w:t>
      </w:r>
      <w:r w:rsidR="00A709EA" w:rsidRPr="0022164C">
        <w:rPr>
          <w:rStyle w:val="FootnoteReference"/>
          <w:sz w:val="24"/>
          <w:szCs w:val="24"/>
          <w:vertAlign w:val="baseline"/>
        </w:rPr>
        <w:t>Cámara Federal de Mendoza [C.F.M.] [Mendoza Federal Court], 14/09/2021, “</w:t>
      </w:r>
      <w:proofErr w:type="spellStart"/>
      <w:r w:rsidR="00A709EA" w:rsidRPr="0022164C">
        <w:rPr>
          <w:rStyle w:val="FootnoteReference"/>
          <w:sz w:val="24"/>
          <w:szCs w:val="24"/>
          <w:vertAlign w:val="baseline"/>
        </w:rPr>
        <w:t>Presentante</w:t>
      </w:r>
      <w:proofErr w:type="spellEnd"/>
      <w:r w:rsidR="00A709EA" w:rsidRPr="0022164C">
        <w:rPr>
          <w:rStyle w:val="FootnoteReference"/>
          <w:sz w:val="24"/>
          <w:szCs w:val="24"/>
          <w:vertAlign w:val="baseline"/>
        </w:rPr>
        <w:t xml:space="preserve">: Fundación </w:t>
      </w:r>
      <w:proofErr w:type="spellStart"/>
      <w:r w:rsidR="00A709EA" w:rsidRPr="0022164C">
        <w:rPr>
          <w:rStyle w:val="FootnoteReference"/>
          <w:sz w:val="24"/>
          <w:szCs w:val="24"/>
          <w:vertAlign w:val="baseline"/>
        </w:rPr>
        <w:t>Tekove</w:t>
      </w:r>
      <w:proofErr w:type="spellEnd"/>
      <w:r w:rsidR="00A709EA" w:rsidRPr="0022164C">
        <w:rPr>
          <w:rStyle w:val="FootnoteReference"/>
          <w:sz w:val="24"/>
          <w:szCs w:val="24"/>
          <w:vertAlign w:val="baseline"/>
        </w:rPr>
        <w:t xml:space="preserve"> </w:t>
      </w:r>
      <w:proofErr w:type="spellStart"/>
      <w:r w:rsidR="00A709EA" w:rsidRPr="0022164C">
        <w:rPr>
          <w:rStyle w:val="FootnoteReference"/>
          <w:sz w:val="24"/>
          <w:szCs w:val="24"/>
          <w:vertAlign w:val="baseline"/>
        </w:rPr>
        <w:t>Mymbra</w:t>
      </w:r>
      <w:proofErr w:type="spellEnd"/>
      <w:r w:rsidR="00A709EA" w:rsidRPr="0022164C">
        <w:rPr>
          <w:rStyle w:val="FootnoteReference"/>
          <w:sz w:val="24"/>
          <w:szCs w:val="24"/>
          <w:vertAlign w:val="baseline"/>
        </w:rPr>
        <w:t xml:space="preserve"> s/ Habeas Corpus” [</w:t>
      </w:r>
      <w:proofErr w:type="spellStart"/>
      <w:r w:rsidR="00A709EA" w:rsidRPr="0022164C">
        <w:rPr>
          <w:rStyle w:val="FootnoteReference"/>
          <w:sz w:val="24"/>
          <w:szCs w:val="24"/>
          <w:vertAlign w:val="baseline"/>
        </w:rPr>
        <w:t>Expte</w:t>
      </w:r>
      <w:proofErr w:type="spellEnd"/>
      <w:r w:rsidR="00A709EA" w:rsidRPr="0022164C">
        <w:rPr>
          <w:rStyle w:val="FootnoteReference"/>
          <w:sz w:val="24"/>
          <w:szCs w:val="24"/>
          <w:vertAlign w:val="baseline"/>
        </w:rPr>
        <w:t xml:space="preserve">. </w:t>
      </w:r>
      <w:proofErr w:type="spellStart"/>
      <w:r w:rsidR="00A709EA" w:rsidRPr="0022164C">
        <w:rPr>
          <w:rStyle w:val="FootnoteReference"/>
          <w:sz w:val="24"/>
          <w:szCs w:val="24"/>
          <w:vertAlign w:val="baseline"/>
        </w:rPr>
        <w:t>Nro</w:t>
      </w:r>
      <w:proofErr w:type="spellEnd"/>
      <w:r w:rsidR="00A709EA" w:rsidRPr="0022164C">
        <w:rPr>
          <w:rStyle w:val="FootnoteReference"/>
          <w:sz w:val="24"/>
          <w:szCs w:val="24"/>
          <w:vertAlign w:val="baseline"/>
        </w:rPr>
        <w:t>.] FMZ 13623/2021/CA1, (Arg.),</w:t>
      </w:r>
    </w:p>
  </w:footnote>
  <w:footnote w:id="59">
    <w:p w14:paraId="1FAA069C" w14:textId="35CD0DF3" w:rsidR="00305A5D" w:rsidRPr="0022164C" w:rsidRDefault="00305A5D" w:rsidP="0022164C">
      <w:pPr>
        <w:pStyle w:val="FootnoteText1"/>
        <w:ind w:firstLine="720"/>
        <w:jc w:val="both"/>
        <w:rPr>
          <w:rStyle w:val="FootnoteReference"/>
          <w:sz w:val="24"/>
          <w:szCs w:val="24"/>
          <w:vertAlign w:val="baseline"/>
        </w:rPr>
      </w:pPr>
      <w:r w:rsidRPr="0022164C">
        <w:rPr>
          <w:rStyle w:val="FootnoteReference"/>
          <w:sz w:val="24"/>
          <w:szCs w:val="24"/>
        </w:rPr>
        <w:footnoteRef/>
      </w:r>
      <w:r w:rsidRPr="0022164C">
        <w:rPr>
          <w:rStyle w:val="FootnoteReference"/>
          <w:sz w:val="24"/>
          <w:szCs w:val="24"/>
        </w:rPr>
        <w:t xml:space="preserve"> </w:t>
      </w:r>
      <w:proofErr w:type="spellStart"/>
      <w:r w:rsidR="00A709EA" w:rsidRPr="0022164C">
        <w:rPr>
          <w:rStyle w:val="FootnoteReference"/>
          <w:sz w:val="24"/>
          <w:szCs w:val="24"/>
          <w:vertAlign w:val="baseline"/>
        </w:rPr>
        <w:t>Juzgado</w:t>
      </w:r>
      <w:proofErr w:type="spellEnd"/>
      <w:r w:rsidR="00A709EA" w:rsidRPr="0022164C">
        <w:rPr>
          <w:rStyle w:val="FootnoteReference"/>
          <w:sz w:val="24"/>
          <w:szCs w:val="24"/>
          <w:vertAlign w:val="baseline"/>
        </w:rPr>
        <w:t xml:space="preserve"> de Primera </w:t>
      </w:r>
      <w:proofErr w:type="spellStart"/>
      <w:r w:rsidR="00A709EA" w:rsidRPr="0022164C">
        <w:rPr>
          <w:rStyle w:val="FootnoteReference"/>
          <w:sz w:val="24"/>
          <w:szCs w:val="24"/>
          <w:vertAlign w:val="baseline"/>
        </w:rPr>
        <w:t>Instancia</w:t>
      </w:r>
      <w:proofErr w:type="spellEnd"/>
      <w:r w:rsidR="00A709EA" w:rsidRPr="0022164C">
        <w:rPr>
          <w:rStyle w:val="FootnoteReference"/>
          <w:sz w:val="24"/>
          <w:szCs w:val="24"/>
          <w:vertAlign w:val="baseline"/>
        </w:rPr>
        <w:t xml:space="preserve"> </w:t>
      </w:r>
      <w:proofErr w:type="spellStart"/>
      <w:r w:rsidR="00A709EA" w:rsidRPr="0022164C">
        <w:rPr>
          <w:rStyle w:val="FootnoteReference"/>
          <w:sz w:val="24"/>
          <w:szCs w:val="24"/>
          <w:vertAlign w:val="baseline"/>
        </w:rPr>
        <w:t>en</w:t>
      </w:r>
      <w:proofErr w:type="spellEnd"/>
      <w:r w:rsidR="00A709EA" w:rsidRPr="0022164C">
        <w:rPr>
          <w:rStyle w:val="FootnoteReference"/>
          <w:sz w:val="24"/>
          <w:szCs w:val="24"/>
          <w:vertAlign w:val="baseline"/>
        </w:rPr>
        <w:t xml:space="preserve"> lo Penal </w:t>
      </w:r>
      <w:proofErr w:type="spellStart"/>
      <w:r w:rsidR="00A709EA" w:rsidRPr="0022164C">
        <w:rPr>
          <w:rStyle w:val="FootnoteReference"/>
          <w:sz w:val="24"/>
          <w:szCs w:val="24"/>
          <w:vertAlign w:val="baseline"/>
        </w:rPr>
        <w:t>Contravencional</w:t>
      </w:r>
      <w:proofErr w:type="spellEnd"/>
      <w:r w:rsidR="00A709EA" w:rsidRPr="0022164C">
        <w:rPr>
          <w:rStyle w:val="FootnoteReference"/>
          <w:sz w:val="24"/>
          <w:szCs w:val="24"/>
          <w:vertAlign w:val="baseline"/>
        </w:rPr>
        <w:t xml:space="preserve"> y de Faltas 4 [</w:t>
      </w:r>
      <w:proofErr w:type="spellStart"/>
      <w:r w:rsidR="00A709EA" w:rsidRPr="0022164C">
        <w:rPr>
          <w:rStyle w:val="FootnoteReference"/>
          <w:sz w:val="24"/>
          <w:szCs w:val="24"/>
          <w:vertAlign w:val="baseline"/>
        </w:rPr>
        <w:t>Juzgado</w:t>
      </w:r>
      <w:proofErr w:type="spellEnd"/>
      <w:r w:rsidR="00A709EA" w:rsidRPr="0022164C">
        <w:rPr>
          <w:rStyle w:val="FootnoteReference"/>
          <w:sz w:val="24"/>
          <w:szCs w:val="24"/>
          <w:vertAlign w:val="baseline"/>
        </w:rPr>
        <w:t xml:space="preserve"> de Primera </w:t>
      </w:r>
      <w:proofErr w:type="spellStart"/>
      <w:r w:rsidR="00A709EA" w:rsidRPr="0022164C">
        <w:rPr>
          <w:rStyle w:val="FootnoteReference"/>
          <w:sz w:val="24"/>
          <w:szCs w:val="24"/>
          <w:vertAlign w:val="baseline"/>
        </w:rPr>
        <w:t>Instancia</w:t>
      </w:r>
      <w:proofErr w:type="spellEnd"/>
      <w:r w:rsidR="00A709EA" w:rsidRPr="0022164C">
        <w:rPr>
          <w:rStyle w:val="FootnoteReference"/>
          <w:sz w:val="24"/>
          <w:szCs w:val="24"/>
          <w:vertAlign w:val="baseline"/>
        </w:rPr>
        <w:t xml:space="preserve"> Penal 4] [Court of First Instance in Criminal Matters and Misdemeanors] 22/12/2021, “Robledo, Leandro Nicolas y </w:t>
      </w:r>
      <w:proofErr w:type="spellStart"/>
      <w:r w:rsidR="00A709EA" w:rsidRPr="0022164C">
        <w:rPr>
          <w:rStyle w:val="FootnoteReference"/>
          <w:sz w:val="24"/>
          <w:szCs w:val="24"/>
          <w:vertAlign w:val="baseline"/>
        </w:rPr>
        <w:t>otros</w:t>
      </w:r>
      <w:proofErr w:type="spellEnd"/>
      <w:r w:rsidR="00A709EA" w:rsidRPr="0022164C">
        <w:rPr>
          <w:rStyle w:val="FootnoteReference"/>
          <w:sz w:val="24"/>
          <w:szCs w:val="24"/>
          <w:vertAlign w:val="baseline"/>
        </w:rPr>
        <w:t xml:space="preserve"> </w:t>
      </w:r>
      <w:proofErr w:type="spellStart"/>
      <w:r w:rsidR="00A709EA" w:rsidRPr="0022164C">
        <w:rPr>
          <w:rStyle w:val="FootnoteReference"/>
          <w:sz w:val="24"/>
          <w:szCs w:val="24"/>
          <w:vertAlign w:val="baseline"/>
        </w:rPr>
        <w:t>sobre</w:t>
      </w:r>
      <w:proofErr w:type="spellEnd"/>
      <w:r w:rsidR="00A709EA" w:rsidRPr="0022164C">
        <w:rPr>
          <w:rStyle w:val="FootnoteReference"/>
          <w:sz w:val="24"/>
          <w:szCs w:val="24"/>
          <w:vertAlign w:val="baseline"/>
        </w:rPr>
        <w:t xml:space="preserve"> 239 – Resistencia o </w:t>
      </w:r>
      <w:proofErr w:type="spellStart"/>
      <w:r w:rsidR="00A709EA" w:rsidRPr="0022164C">
        <w:rPr>
          <w:rStyle w:val="FootnoteReference"/>
          <w:sz w:val="24"/>
          <w:szCs w:val="24"/>
          <w:vertAlign w:val="baseline"/>
        </w:rPr>
        <w:t>desobediencia</w:t>
      </w:r>
      <w:proofErr w:type="spellEnd"/>
      <w:r w:rsidR="00A709EA" w:rsidRPr="0022164C">
        <w:rPr>
          <w:rStyle w:val="FootnoteReference"/>
          <w:sz w:val="24"/>
          <w:szCs w:val="24"/>
          <w:vertAlign w:val="baseline"/>
        </w:rPr>
        <w:t xml:space="preserve"> a la </w:t>
      </w:r>
      <w:proofErr w:type="spellStart"/>
      <w:r w:rsidR="00A709EA" w:rsidRPr="0022164C">
        <w:rPr>
          <w:rStyle w:val="FootnoteReference"/>
          <w:sz w:val="24"/>
          <w:szCs w:val="24"/>
          <w:vertAlign w:val="baseline"/>
        </w:rPr>
        <w:t>autoridad</w:t>
      </w:r>
      <w:proofErr w:type="spellEnd"/>
      <w:r w:rsidR="00A709EA" w:rsidRPr="0022164C">
        <w:rPr>
          <w:rStyle w:val="FootnoteReference"/>
          <w:sz w:val="24"/>
          <w:szCs w:val="24"/>
          <w:vertAlign w:val="baseline"/>
        </w:rPr>
        <w:t>” [</w:t>
      </w:r>
      <w:proofErr w:type="spellStart"/>
      <w:r w:rsidR="00A709EA" w:rsidRPr="0022164C">
        <w:rPr>
          <w:rStyle w:val="FootnoteReference"/>
          <w:sz w:val="24"/>
          <w:szCs w:val="24"/>
          <w:vertAlign w:val="baseline"/>
        </w:rPr>
        <w:t>Expte</w:t>
      </w:r>
      <w:proofErr w:type="spellEnd"/>
      <w:r w:rsidR="00A709EA" w:rsidRPr="0022164C">
        <w:rPr>
          <w:rStyle w:val="FootnoteReference"/>
          <w:sz w:val="24"/>
          <w:szCs w:val="24"/>
          <w:vertAlign w:val="baseline"/>
        </w:rPr>
        <w:t xml:space="preserve">. </w:t>
      </w:r>
      <w:proofErr w:type="spellStart"/>
      <w:r w:rsidR="00A709EA" w:rsidRPr="0022164C">
        <w:rPr>
          <w:rStyle w:val="FootnoteReference"/>
          <w:sz w:val="24"/>
          <w:szCs w:val="24"/>
          <w:vertAlign w:val="baseline"/>
        </w:rPr>
        <w:t>Nro</w:t>
      </w:r>
      <w:proofErr w:type="spellEnd"/>
      <w:r w:rsidR="00A709EA" w:rsidRPr="0022164C">
        <w:rPr>
          <w:rStyle w:val="FootnoteReference"/>
          <w:sz w:val="24"/>
          <w:szCs w:val="24"/>
          <w:vertAlign w:val="baseline"/>
        </w:rPr>
        <w:t>.] IPP 246466/2021-0, (Arg.).</w:t>
      </w:r>
    </w:p>
  </w:footnote>
  <w:footnote w:id="60">
    <w:p w14:paraId="535CD36B" w14:textId="77777777" w:rsidR="00B417B2" w:rsidRPr="00904AAC" w:rsidRDefault="00B417B2" w:rsidP="00B417B2">
      <w:pPr>
        <w:pStyle w:val="FootnoteText1"/>
        <w:ind w:firstLine="720"/>
        <w:jc w:val="both"/>
        <w:rPr>
          <w:sz w:val="24"/>
          <w:szCs w:val="24"/>
        </w:rPr>
      </w:pPr>
      <w:r w:rsidRPr="00904AAC">
        <w:rPr>
          <w:rStyle w:val="FootnoteReference"/>
          <w:sz w:val="24"/>
          <w:szCs w:val="24"/>
        </w:rPr>
        <w:footnoteRef/>
      </w:r>
      <w:r w:rsidRPr="00904AAC">
        <w:rPr>
          <w:sz w:val="24"/>
          <w:szCs w:val="24"/>
        </w:rPr>
        <w:t xml:space="preserve"> Nonhuman Rights Project, </w:t>
      </w:r>
      <w:r w:rsidRPr="00904AAC">
        <w:rPr>
          <w:i/>
          <w:iCs/>
          <w:sz w:val="24"/>
          <w:szCs w:val="24"/>
        </w:rPr>
        <w:t>Constitutional Court of Ecuador Recognizes Animal Rights in Landmark Ruling</w:t>
      </w:r>
      <w:r w:rsidRPr="00904AAC">
        <w:rPr>
          <w:sz w:val="24"/>
          <w:szCs w:val="24"/>
        </w:rPr>
        <w:t>, PR Newswire (Mar. 23, 2022), https://www.prnewswire.com/news-releases/constitutional-court-of-ecuador-recognizes-animal-rights-in-landmark-ruling-301509297.html.</w:t>
      </w:r>
      <w:r w:rsidRPr="00904AAC">
        <w:rPr>
          <w:sz w:val="24"/>
          <w:szCs w:val="24"/>
        </w:rPr>
        <w:fldChar w:fldCharType="begin"/>
      </w:r>
      <w:r w:rsidRPr="005C150E">
        <w:rPr>
          <w:sz w:val="24"/>
          <w:szCs w:val="24"/>
        </w:rPr>
        <w:instrText xml:space="preserve"> TA \l "Nonhuman Rights Project, </w:instrText>
      </w:r>
      <w:r w:rsidRPr="005C150E">
        <w:rPr>
          <w:i/>
          <w:iCs/>
          <w:sz w:val="24"/>
          <w:szCs w:val="24"/>
        </w:rPr>
        <w:instrText>Constitutional Court of Ecuador Recognizes Animal Rights in Landmark Ruling</w:instrText>
      </w:r>
      <w:r w:rsidRPr="005C150E">
        <w:rPr>
          <w:sz w:val="24"/>
          <w:szCs w:val="24"/>
        </w:rPr>
        <w:instrText xml:space="preserve">, PR Newswire (Mar. 23, 2022), https://www.prnewswire.com/news-releases/constitutional-court-of-ecuador-recognizes-animal-rights-in-landmark-ruling-301509297.html." \s "Nonhuman Rights Project, Constitutional Court of Ecuador Recognizes Animal Rights in Landmark Ruling, PR Newswire (Mar. 23, 2022), https://www.prnewswire.com/news-releases/constitutional-court-of-ecuador-recognizes-animal-rights-in-landmark-ruling-3015092" \c 3 </w:instrText>
      </w:r>
      <w:r w:rsidRPr="00904AAC">
        <w:rPr>
          <w:sz w:val="24"/>
          <w:szCs w:val="24"/>
        </w:rPr>
        <w:fldChar w:fldCharType="end"/>
      </w:r>
    </w:p>
  </w:footnote>
  <w:footnote w:id="61">
    <w:p w14:paraId="2B2798FF" w14:textId="77777777" w:rsidR="00B417B2" w:rsidRPr="0022164C" w:rsidRDefault="00B417B2" w:rsidP="00B417B2">
      <w:pPr>
        <w:ind w:firstLine="720"/>
        <w:jc w:val="both"/>
        <w:rPr>
          <w:lang w:val="es-ES"/>
        </w:rPr>
      </w:pPr>
      <w:r w:rsidRPr="00337283">
        <w:rPr>
          <w:rStyle w:val="FootnoteReference"/>
        </w:rPr>
        <w:footnoteRef/>
      </w:r>
      <w:r w:rsidRPr="0022164C">
        <w:rPr>
          <w:lang w:val="es-ES"/>
        </w:rPr>
        <w:t xml:space="preserve"> Caso Mona Estrellita [El Pleno de la Corte Constitucional del Ecuador] </w:t>
      </w:r>
      <w:proofErr w:type="gramStart"/>
      <w:r w:rsidRPr="0022164C">
        <w:rPr>
          <w:lang w:val="es-ES"/>
        </w:rPr>
        <w:t>Febr.</w:t>
      </w:r>
      <w:proofErr w:type="gramEnd"/>
      <w:r w:rsidRPr="0022164C">
        <w:rPr>
          <w:lang w:val="es-ES"/>
        </w:rPr>
        <w:t xml:space="preserve"> 22, 2022, No. 253-20-JH, at 25 n.77, 26 n.80 (</w:t>
      </w:r>
      <w:proofErr w:type="spellStart"/>
      <w:r w:rsidRPr="0022164C">
        <w:rPr>
          <w:lang w:val="es-ES"/>
        </w:rPr>
        <w:t>available</w:t>
      </w:r>
      <w:proofErr w:type="spellEnd"/>
      <w:r w:rsidRPr="0022164C">
        <w:rPr>
          <w:lang w:val="es-ES"/>
        </w:rPr>
        <w:t xml:space="preserve"> in English at https://animal.law.harvard.edu/wp-content/uploads/Final-Judgment-Estrellita-w-Translation-Certification.pdf (</w:t>
      </w:r>
      <w:proofErr w:type="spellStart"/>
      <w:r w:rsidRPr="0022164C">
        <w:rPr>
          <w:lang w:val="es-ES"/>
        </w:rPr>
        <w:t>last</w:t>
      </w:r>
      <w:proofErr w:type="spellEnd"/>
      <w:r w:rsidRPr="0022164C">
        <w:rPr>
          <w:lang w:val="es-ES"/>
        </w:rPr>
        <w:t xml:space="preserve"> </w:t>
      </w:r>
      <w:proofErr w:type="spellStart"/>
      <w:r w:rsidRPr="0022164C">
        <w:rPr>
          <w:lang w:val="es-ES"/>
        </w:rPr>
        <w:t>visited</w:t>
      </w:r>
      <w:proofErr w:type="spellEnd"/>
      <w:r w:rsidRPr="0022164C">
        <w:rPr>
          <w:lang w:val="es-ES"/>
        </w:rPr>
        <w:t xml:space="preserve"> </w:t>
      </w:r>
      <w:proofErr w:type="spellStart"/>
      <w:r w:rsidRPr="0022164C">
        <w:rPr>
          <w:lang w:val="es-ES"/>
        </w:rPr>
        <w:t>Apr</w:t>
      </w:r>
      <w:proofErr w:type="spellEnd"/>
      <w:r w:rsidRPr="0022164C">
        <w:rPr>
          <w:lang w:val="es-ES"/>
        </w:rPr>
        <w:t xml:space="preserve">. 7,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28DC"/>
    <w:multiLevelType w:val="hybridMultilevel"/>
    <w:tmpl w:val="8FBA6D48"/>
    <w:lvl w:ilvl="0" w:tplc="52FA9102">
      <w:start w:val="1"/>
      <w:numFmt w:val="upperRoman"/>
      <w:pStyle w:val="Heading1"/>
      <w:lvlText w:val="%1."/>
      <w:lvlJc w:val="left"/>
      <w:pPr>
        <w:ind w:left="1080" w:hanging="720"/>
      </w:pPr>
      <w:rPr>
        <w:rFonts w:hint="default"/>
      </w:rPr>
    </w:lvl>
    <w:lvl w:ilvl="1" w:tplc="E604B544">
      <w:start w:val="1"/>
      <w:numFmt w:val="decimal"/>
      <w:pStyle w:val="Heading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3151431">
    <w:abstractNumId w:val="0"/>
  </w:num>
  <w:num w:numId="2" w16cid:durableId="1910261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7B2"/>
    <w:rsid w:val="0000054A"/>
    <w:rsid w:val="00000DCE"/>
    <w:rsid w:val="00002D53"/>
    <w:rsid w:val="00003808"/>
    <w:rsid w:val="00010984"/>
    <w:rsid w:val="0001404B"/>
    <w:rsid w:val="0005281C"/>
    <w:rsid w:val="00066EC1"/>
    <w:rsid w:val="00080F11"/>
    <w:rsid w:val="000A3C04"/>
    <w:rsid w:val="000B5F36"/>
    <w:rsid w:val="000D02A9"/>
    <w:rsid w:val="000D3E31"/>
    <w:rsid w:val="000E1E6C"/>
    <w:rsid w:val="000F2834"/>
    <w:rsid w:val="001026E6"/>
    <w:rsid w:val="00141A39"/>
    <w:rsid w:val="001427C8"/>
    <w:rsid w:val="001470D0"/>
    <w:rsid w:val="001512E5"/>
    <w:rsid w:val="00155960"/>
    <w:rsid w:val="00163BC9"/>
    <w:rsid w:val="0016594F"/>
    <w:rsid w:val="00173899"/>
    <w:rsid w:val="001759B0"/>
    <w:rsid w:val="001935E9"/>
    <w:rsid w:val="001A60BB"/>
    <w:rsid w:val="001B3946"/>
    <w:rsid w:val="001B6E06"/>
    <w:rsid w:val="001D0FDC"/>
    <w:rsid w:val="001D5E92"/>
    <w:rsid w:val="001F0CAD"/>
    <w:rsid w:val="0020562D"/>
    <w:rsid w:val="00211A7A"/>
    <w:rsid w:val="00213435"/>
    <w:rsid w:val="0022164C"/>
    <w:rsid w:val="002342AC"/>
    <w:rsid w:val="002347A0"/>
    <w:rsid w:val="00255F1D"/>
    <w:rsid w:val="0028036F"/>
    <w:rsid w:val="0029393F"/>
    <w:rsid w:val="002A5AAE"/>
    <w:rsid w:val="002D7534"/>
    <w:rsid w:val="002D796F"/>
    <w:rsid w:val="002E064B"/>
    <w:rsid w:val="002E08C9"/>
    <w:rsid w:val="002E3354"/>
    <w:rsid w:val="0030007C"/>
    <w:rsid w:val="00305A5D"/>
    <w:rsid w:val="00305B98"/>
    <w:rsid w:val="00320CB2"/>
    <w:rsid w:val="00327449"/>
    <w:rsid w:val="003738B1"/>
    <w:rsid w:val="00382413"/>
    <w:rsid w:val="0038470C"/>
    <w:rsid w:val="00384ABB"/>
    <w:rsid w:val="003912A7"/>
    <w:rsid w:val="00394001"/>
    <w:rsid w:val="0039651D"/>
    <w:rsid w:val="003C455F"/>
    <w:rsid w:val="003C475C"/>
    <w:rsid w:val="003D4C52"/>
    <w:rsid w:val="003F18EB"/>
    <w:rsid w:val="003F4CC7"/>
    <w:rsid w:val="00411D40"/>
    <w:rsid w:val="00415109"/>
    <w:rsid w:val="0044541D"/>
    <w:rsid w:val="00453D98"/>
    <w:rsid w:val="00457C57"/>
    <w:rsid w:val="0047790C"/>
    <w:rsid w:val="00494DA8"/>
    <w:rsid w:val="00496E2C"/>
    <w:rsid w:val="004A3A3B"/>
    <w:rsid w:val="004B5F71"/>
    <w:rsid w:val="004B7F35"/>
    <w:rsid w:val="004D0EE1"/>
    <w:rsid w:val="004F043F"/>
    <w:rsid w:val="00500505"/>
    <w:rsid w:val="00515B18"/>
    <w:rsid w:val="00517F6D"/>
    <w:rsid w:val="005225BA"/>
    <w:rsid w:val="0052681A"/>
    <w:rsid w:val="0053458B"/>
    <w:rsid w:val="005420BD"/>
    <w:rsid w:val="0054306F"/>
    <w:rsid w:val="0055216E"/>
    <w:rsid w:val="00564421"/>
    <w:rsid w:val="00566EAD"/>
    <w:rsid w:val="00581603"/>
    <w:rsid w:val="0058297B"/>
    <w:rsid w:val="00594361"/>
    <w:rsid w:val="0059664A"/>
    <w:rsid w:val="00597086"/>
    <w:rsid w:val="005A256F"/>
    <w:rsid w:val="005B4B32"/>
    <w:rsid w:val="005B6F56"/>
    <w:rsid w:val="005E0E05"/>
    <w:rsid w:val="005F16DE"/>
    <w:rsid w:val="006160FD"/>
    <w:rsid w:val="00630CAD"/>
    <w:rsid w:val="00644739"/>
    <w:rsid w:val="00650EEE"/>
    <w:rsid w:val="00656042"/>
    <w:rsid w:val="00664EA3"/>
    <w:rsid w:val="00677596"/>
    <w:rsid w:val="0068647B"/>
    <w:rsid w:val="00691F91"/>
    <w:rsid w:val="0069555A"/>
    <w:rsid w:val="006D19D9"/>
    <w:rsid w:val="006F40A7"/>
    <w:rsid w:val="00701956"/>
    <w:rsid w:val="00702664"/>
    <w:rsid w:val="00706521"/>
    <w:rsid w:val="007146A4"/>
    <w:rsid w:val="00717C49"/>
    <w:rsid w:val="007253EC"/>
    <w:rsid w:val="0076269F"/>
    <w:rsid w:val="00774819"/>
    <w:rsid w:val="007A4EF7"/>
    <w:rsid w:val="007F3068"/>
    <w:rsid w:val="007F3C2E"/>
    <w:rsid w:val="007F6E37"/>
    <w:rsid w:val="008001BA"/>
    <w:rsid w:val="008001EB"/>
    <w:rsid w:val="008003AC"/>
    <w:rsid w:val="00810FF3"/>
    <w:rsid w:val="008172EF"/>
    <w:rsid w:val="00823CCB"/>
    <w:rsid w:val="008252E9"/>
    <w:rsid w:val="008302A7"/>
    <w:rsid w:val="00830A08"/>
    <w:rsid w:val="00846E36"/>
    <w:rsid w:val="00851FBA"/>
    <w:rsid w:val="008524EB"/>
    <w:rsid w:val="0086373B"/>
    <w:rsid w:val="008734AF"/>
    <w:rsid w:val="00883A31"/>
    <w:rsid w:val="00886D60"/>
    <w:rsid w:val="0089020A"/>
    <w:rsid w:val="008A081D"/>
    <w:rsid w:val="008A251C"/>
    <w:rsid w:val="008B34A8"/>
    <w:rsid w:val="008B535B"/>
    <w:rsid w:val="008D6FCE"/>
    <w:rsid w:val="008E22C1"/>
    <w:rsid w:val="008E39B6"/>
    <w:rsid w:val="008E57FE"/>
    <w:rsid w:val="008F25E0"/>
    <w:rsid w:val="008F6A38"/>
    <w:rsid w:val="00905604"/>
    <w:rsid w:val="00952FFF"/>
    <w:rsid w:val="00995530"/>
    <w:rsid w:val="009B0AD0"/>
    <w:rsid w:val="009B61F6"/>
    <w:rsid w:val="009C5558"/>
    <w:rsid w:val="009E2F71"/>
    <w:rsid w:val="009F659B"/>
    <w:rsid w:val="00A07EA4"/>
    <w:rsid w:val="00A148F6"/>
    <w:rsid w:val="00A14C72"/>
    <w:rsid w:val="00A218E5"/>
    <w:rsid w:val="00A34B67"/>
    <w:rsid w:val="00A377B2"/>
    <w:rsid w:val="00A51085"/>
    <w:rsid w:val="00A709EA"/>
    <w:rsid w:val="00A70E77"/>
    <w:rsid w:val="00A75C2C"/>
    <w:rsid w:val="00A821E7"/>
    <w:rsid w:val="00A82F61"/>
    <w:rsid w:val="00AA1870"/>
    <w:rsid w:val="00AB2A78"/>
    <w:rsid w:val="00AB45D2"/>
    <w:rsid w:val="00AC5621"/>
    <w:rsid w:val="00AC63B8"/>
    <w:rsid w:val="00AF061F"/>
    <w:rsid w:val="00B24295"/>
    <w:rsid w:val="00B373FE"/>
    <w:rsid w:val="00B417B2"/>
    <w:rsid w:val="00B42AF7"/>
    <w:rsid w:val="00B765DA"/>
    <w:rsid w:val="00B81296"/>
    <w:rsid w:val="00B85327"/>
    <w:rsid w:val="00BA3982"/>
    <w:rsid w:val="00BB23D5"/>
    <w:rsid w:val="00BB4DAF"/>
    <w:rsid w:val="00BB711A"/>
    <w:rsid w:val="00BD01B1"/>
    <w:rsid w:val="00C004F0"/>
    <w:rsid w:val="00C07D3D"/>
    <w:rsid w:val="00C202F7"/>
    <w:rsid w:val="00C234C2"/>
    <w:rsid w:val="00C72BCD"/>
    <w:rsid w:val="00C73A8E"/>
    <w:rsid w:val="00C83647"/>
    <w:rsid w:val="00C921EF"/>
    <w:rsid w:val="00C94668"/>
    <w:rsid w:val="00D01C6D"/>
    <w:rsid w:val="00D03F1D"/>
    <w:rsid w:val="00D073BD"/>
    <w:rsid w:val="00D109B5"/>
    <w:rsid w:val="00D22164"/>
    <w:rsid w:val="00D275EE"/>
    <w:rsid w:val="00D36FD8"/>
    <w:rsid w:val="00D47183"/>
    <w:rsid w:val="00D74C88"/>
    <w:rsid w:val="00DA6885"/>
    <w:rsid w:val="00DA7E67"/>
    <w:rsid w:val="00DB1BC2"/>
    <w:rsid w:val="00DB590A"/>
    <w:rsid w:val="00DC0DAC"/>
    <w:rsid w:val="00DD68CE"/>
    <w:rsid w:val="00DE280E"/>
    <w:rsid w:val="00DE287C"/>
    <w:rsid w:val="00E2275C"/>
    <w:rsid w:val="00E27587"/>
    <w:rsid w:val="00E61892"/>
    <w:rsid w:val="00E70B9A"/>
    <w:rsid w:val="00E7322F"/>
    <w:rsid w:val="00E9183B"/>
    <w:rsid w:val="00E9184E"/>
    <w:rsid w:val="00EA0BF7"/>
    <w:rsid w:val="00EB3C9D"/>
    <w:rsid w:val="00EC470E"/>
    <w:rsid w:val="00EC5EA4"/>
    <w:rsid w:val="00ED0A61"/>
    <w:rsid w:val="00ED714E"/>
    <w:rsid w:val="00F0381A"/>
    <w:rsid w:val="00F2050B"/>
    <w:rsid w:val="00F2614D"/>
    <w:rsid w:val="00F314C2"/>
    <w:rsid w:val="00F348F8"/>
    <w:rsid w:val="00F37664"/>
    <w:rsid w:val="00F47E43"/>
    <w:rsid w:val="00F62173"/>
    <w:rsid w:val="00F63D71"/>
    <w:rsid w:val="00F65B7C"/>
    <w:rsid w:val="00F939EC"/>
    <w:rsid w:val="00F93D8E"/>
    <w:rsid w:val="00F97B79"/>
    <w:rsid w:val="00FB561C"/>
    <w:rsid w:val="00FC50E6"/>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B181"/>
  <w15:chartTrackingRefBased/>
  <w15:docId w15:val="{8940D59E-342A-4629-9E26-02986B73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B417B2"/>
    <w:pPr>
      <w:widowControl w:val="0"/>
      <w:numPr>
        <w:numId w:val="1"/>
      </w:numPr>
      <w:spacing w:after="0" w:line="480" w:lineRule="auto"/>
      <w:jc w:val="both"/>
      <w:outlineLvl w:val="0"/>
    </w:pPr>
    <w:rPr>
      <w:b/>
      <w:caps/>
      <w:sz w:val="28"/>
      <w:szCs w:val="28"/>
    </w:rPr>
  </w:style>
  <w:style w:type="paragraph" w:styleId="Heading2">
    <w:name w:val="heading 2"/>
    <w:basedOn w:val="ListParagraph"/>
    <w:next w:val="Normal"/>
    <w:link w:val="Heading2Char"/>
    <w:uiPriority w:val="9"/>
    <w:unhideWhenUsed/>
    <w:qFormat/>
    <w:rsid w:val="00B417B2"/>
    <w:pPr>
      <w:widowControl w:val="0"/>
      <w:numPr>
        <w:ilvl w:val="1"/>
        <w:numId w:val="1"/>
      </w:numPr>
      <w:spacing w:after="0" w:line="240" w:lineRule="auto"/>
      <w:jc w:val="both"/>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7B2"/>
    <w:rPr>
      <w:b/>
      <w:caps/>
      <w:sz w:val="28"/>
      <w:szCs w:val="28"/>
    </w:rPr>
  </w:style>
  <w:style w:type="character" w:customStyle="1" w:styleId="Heading2Char">
    <w:name w:val="Heading 2 Char"/>
    <w:basedOn w:val="DefaultParagraphFont"/>
    <w:link w:val="Heading2"/>
    <w:uiPriority w:val="9"/>
    <w:rsid w:val="00B417B2"/>
    <w:rPr>
      <w:b/>
      <w:sz w:val="28"/>
      <w:szCs w:val="28"/>
    </w:rPr>
  </w:style>
  <w:style w:type="paragraph" w:customStyle="1" w:styleId="FootnoteText1">
    <w:name w:val="Footnote Text1"/>
    <w:basedOn w:val="Normal"/>
    <w:next w:val="FootnoteText"/>
    <w:link w:val="FootnoteTextChar"/>
    <w:uiPriority w:val="99"/>
    <w:unhideWhenUsed/>
    <w:qFormat/>
    <w:rsid w:val="00B417B2"/>
    <w:pPr>
      <w:spacing w:after="0" w:line="240" w:lineRule="auto"/>
    </w:pPr>
    <w:rPr>
      <w:sz w:val="20"/>
      <w:szCs w:val="20"/>
    </w:rPr>
  </w:style>
  <w:style w:type="character" w:customStyle="1" w:styleId="FootnoteTextChar">
    <w:name w:val="Footnote Text Char"/>
    <w:basedOn w:val="DefaultParagraphFont"/>
    <w:link w:val="FootnoteText1"/>
    <w:uiPriority w:val="99"/>
    <w:rsid w:val="00B417B2"/>
    <w:rPr>
      <w:sz w:val="20"/>
      <w:szCs w:val="20"/>
    </w:rPr>
  </w:style>
  <w:style w:type="character" w:styleId="FootnoteReference">
    <w:name w:val="footnote reference"/>
    <w:aliases w:val="fr"/>
    <w:basedOn w:val="DefaultParagraphFont"/>
    <w:uiPriority w:val="99"/>
    <w:unhideWhenUsed/>
    <w:rsid w:val="00B417B2"/>
    <w:rPr>
      <w:vertAlign w:val="superscript"/>
    </w:rPr>
  </w:style>
  <w:style w:type="character" w:styleId="CommentReference">
    <w:name w:val="annotation reference"/>
    <w:basedOn w:val="DefaultParagraphFont"/>
    <w:uiPriority w:val="99"/>
    <w:semiHidden/>
    <w:unhideWhenUsed/>
    <w:rsid w:val="00B417B2"/>
    <w:rPr>
      <w:sz w:val="16"/>
      <w:szCs w:val="16"/>
    </w:rPr>
  </w:style>
  <w:style w:type="paragraph" w:customStyle="1" w:styleId="CommentText1">
    <w:name w:val="Comment Text1"/>
    <w:basedOn w:val="Normal"/>
    <w:next w:val="CommentText"/>
    <w:link w:val="CommentTextChar"/>
    <w:uiPriority w:val="99"/>
    <w:unhideWhenUsed/>
    <w:rsid w:val="00B417B2"/>
    <w:pPr>
      <w:spacing w:after="0" w:line="240" w:lineRule="auto"/>
    </w:pPr>
    <w:rPr>
      <w:sz w:val="20"/>
      <w:szCs w:val="20"/>
    </w:rPr>
  </w:style>
  <w:style w:type="character" w:customStyle="1" w:styleId="CommentTextChar">
    <w:name w:val="Comment Text Char"/>
    <w:basedOn w:val="DefaultParagraphFont"/>
    <w:link w:val="CommentText1"/>
    <w:uiPriority w:val="99"/>
    <w:rsid w:val="00B417B2"/>
    <w:rPr>
      <w:sz w:val="20"/>
      <w:szCs w:val="20"/>
    </w:rPr>
  </w:style>
  <w:style w:type="paragraph" w:styleId="ListParagraph">
    <w:name w:val="List Paragraph"/>
    <w:basedOn w:val="Normal"/>
    <w:uiPriority w:val="34"/>
    <w:qFormat/>
    <w:rsid w:val="00B417B2"/>
    <w:pPr>
      <w:ind w:left="720"/>
      <w:contextualSpacing/>
    </w:pPr>
  </w:style>
  <w:style w:type="paragraph" w:styleId="FootnoteText">
    <w:name w:val="footnote text"/>
    <w:basedOn w:val="Normal"/>
    <w:link w:val="FootnoteTextChar1"/>
    <w:uiPriority w:val="99"/>
    <w:semiHidden/>
    <w:unhideWhenUsed/>
    <w:rsid w:val="00B417B2"/>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B417B2"/>
    <w:rPr>
      <w:sz w:val="20"/>
      <w:szCs w:val="20"/>
    </w:rPr>
  </w:style>
  <w:style w:type="paragraph" w:styleId="CommentText">
    <w:name w:val="annotation text"/>
    <w:basedOn w:val="Normal"/>
    <w:link w:val="CommentTextChar1"/>
    <w:uiPriority w:val="99"/>
    <w:unhideWhenUsed/>
    <w:rsid w:val="00B417B2"/>
    <w:pPr>
      <w:spacing w:line="240" w:lineRule="auto"/>
    </w:pPr>
    <w:rPr>
      <w:sz w:val="20"/>
      <w:szCs w:val="20"/>
    </w:rPr>
  </w:style>
  <w:style w:type="character" w:customStyle="1" w:styleId="CommentTextChar1">
    <w:name w:val="Comment Text Char1"/>
    <w:basedOn w:val="DefaultParagraphFont"/>
    <w:link w:val="CommentText"/>
    <w:uiPriority w:val="99"/>
    <w:rsid w:val="00B417B2"/>
    <w:rPr>
      <w:sz w:val="20"/>
      <w:szCs w:val="20"/>
    </w:rPr>
  </w:style>
  <w:style w:type="paragraph" w:styleId="Revision">
    <w:name w:val="Revision"/>
    <w:hidden/>
    <w:uiPriority w:val="99"/>
    <w:semiHidden/>
    <w:rsid w:val="00213435"/>
    <w:pPr>
      <w:spacing w:after="0" w:line="240" w:lineRule="auto"/>
    </w:pPr>
  </w:style>
  <w:style w:type="paragraph" w:styleId="Header">
    <w:name w:val="header"/>
    <w:basedOn w:val="Normal"/>
    <w:link w:val="HeaderChar"/>
    <w:uiPriority w:val="99"/>
    <w:unhideWhenUsed/>
    <w:rsid w:val="001B3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946"/>
  </w:style>
  <w:style w:type="paragraph" w:styleId="Footer">
    <w:name w:val="footer"/>
    <w:basedOn w:val="Normal"/>
    <w:link w:val="FooterChar"/>
    <w:uiPriority w:val="99"/>
    <w:unhideWhenUsed/>
    <w:rsid w:val="001B3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946"/>
  </w:style>
  <w:style w:type="paragraph" w:styleId="BalloonText">
    <w:name w:val="Balloon Text"/>
    <w:basedOn w:val="Normal"/>
    <w:link w:val="BalloonTextChar"/>
    <w:uiPriority w:val="99"/>
    <w:semiHidden/>
    <w:unhideWhenUsed/>
    <w:rsid w:val="00886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D6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651D"/>
    <w:rPr>
      <w:b/>
      <w:bCs/>
    </w:rPr>
  </w:style>
  <w:style w:type="character" w:customStyle="1" w:styleId="CommentSubjectChar">
    <w:name w:val="Comment Subject Char"/>
    <w:basedOn w:val="CommentTextChar1"/>
    <w:link w:val="CommentSubject"/>
    <w:uiPriority w:val="99"/>
    <w:semiHidden/>
    <w:rsid w:val="0039651D"/>
    <w:rPr>
      <w:b/>
      <w:bCs/>
      <w:sz w:val="20"/>
      <w:szCs w:val="20"/>
    </w:rPr>
  </w:style>
  <w:style w:type="character" w:styleId="Hyperlink">
    <w:name w:val="Hyperlink"/>
    <w:basedOn w:val="DefaultParagraphFont"/>
    <w:uiPriority w:val="99"/>
    <w:unhideWhenUsed/>
    <w:rsid w:val="00905604"/>
    <w:rPr>
      <w:color w:val="0563C1" w:themeColor="hyperlink"/>
      <w:u w:val="single"/>
    </w:rPr>
  </w:style>
  <w:style w:type="character" w:styleId="UnresolvedMention">
    <w:name w:val="Unresolved Mention"/>
    <w:basedOn w:val="DefaultParagraphFont"/>
    <w:uiPriority w:val="99"/>
    <w:semiHidden/>
    <w:unhideWhenUsed/>
    <w:rsid w:val="00905604"/>
    <w:rPr>
      <w:color w:val="605E5C"/>
      <w:shd w:val="clear" w:color="auto" w:fill="E1DFDD"/>
    </w:rPr>
  </w:style>
  <w:style w:type="character" w:styleId="FollowedHyperlink">
    <w:name w:val="FollowedHyperlink"/>
    <w:basedOn w:val="DefaultParagraphFont"/>
    <w:uiPriority w:val="99"/>
    <w:semiHidden/>
    <w:unhideWhenUsed/>
    <w:rsid w:val="00C94668"/>
    <w:rPr>
      <w:color w:val="954F72" w:themeColor="followedHyperlink"/>
      <w:u w:val="single"/>
    </w:rPr>
  </w:style>
  <w:style w:type="character" w:customStyle="1" w:styleId="markedcontent">
    <w:name w:val="markedcontent"/>
    <w:basedOn w:val="DefaultParagraphFont"/>
    <w:rsid w:val="008E22C1"/>
  </w:style>
  <w:style w:type="character" w:customStyle="1" w:styleId="highlight">
    <w:name w:val="highlight"/>
    <w:basedOn w:val="DefaultParagraphFont"/>
    <w:rsid w:val="008E22C1"/>
  </w:style>
  <w:style w:type="character" w:styleId="Emphasis">
    <w:name w:val="Emphasis"/>
    <w:basedOn w:val="DefaultParagraphFont"/>
    <w:uiPriority w:val="20"/>
    <w:qFormat/>
    <w:rsid w:val="001D5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2778">
      <w:bodyDiv w:val="1"/>
      <w:marLeft w:val="0"/>
      <w:marRight w:val="0"/>
      <w:marTop w:val="0"/>
      <w:marBottom w:val="0"/>
      <w:divBdr>
        <w:top w:val="none" w:sz="0" w:space="0" w:color="auto"/>
        <w:left w:val="none" w:sz="0" w:space="0" w:color="auto"/>
        <w:bottom w:val="none" w:sz="0" w:space="0" w:color="auto"/>
        <w:right w:val="none" w:sz="0" w:space="0" w:color="auto"/>
      </w:divBdr>
    </w:div>
    <w:div w:id="448933765">
      <w:bodyDiv w:val="1"/>
      <w:marLeft w:val="0"/>
      <w:marRight w:val="0"/>
      <w:marTop w:val="0"/>
      <w:marBottom w:val="0"/>
      <w:divBdr>
        <w:top w:val="none" w:sz="0" w:space="0" w:color="auto"/>
        <w:left w:val="none" w:sz="0" w:space="0" w:color="auto"/>
        <w:bottom w:val="none" w:sz="0" w:space="0" w:color="auto"/>
        <w:right w:val="none" w:sz="0" w:space="0" w:color="auto"/>
      </w:divBdr>
    </w:div>
    <w:div w:id="468934332">
      <w:bodyDiv w:val="1"/>
      <w:marLeft w:val="0"/>
      <w:marRight w:val="0"/>
      <w:marTop w:val="0"/>
      <w:marBottom w:val="0"/>
      <w:divBdr>
        <w:top w:val="none" w:sz="0" w:space="0" w:color="auto"/>
        <w:left w:val="none" w:sz="0" w:space="0" w:color="auto"/>
        <w:bottom w:val="none" w:sz="0" w:space="0" w:color="auto"/>
        <w:right w:val="none" w:sz="0" w:space="0" w:color="auto"/>
      </w:divBdr>
    </w:div>
    <w:div w:id="1285624474">
      <w:bodyDiv w:val="1"/>
      <w:marLeft w:val="0"/>
      <w:marRight w:val="0"/>
      <w:marTop w:val="0"/>
      <w:marBottom w:val="0"/>
      <w:divBdr>
        <w:top w:val="none" w:sz="0" w:space="0" w:color="auto"/>
        <w:left w:val="none" w:sz="0" w:space="0" w:color="auto"/>
        <w:bottom w:val="none" w:sz="0" w:space="0" w:color="auto"/>
        <w:right w:val="none" w:sz="0" w:space="0" w:color="auto"/>
      </w:divBdr>
    </w:div>
    <w:div w:id="1543205067">
      <w:bodyDiv w:val="1"/>
      <w:marLeft w:val="0"/>
      <w:marRight w:val="0"/>
      <w:marTop w:val="0"/>
      <w:marBottom w:val="0"/>
      <w:divBdr>
        <w:top w:val="none" w:sz="0" w:space="0" w:color="auto"/>
        <w:left w:val="none" w:sz="0" w:space="0" w:color="auto"/>
        <w:bottom w:val="none" w:sz="0" w:space="0" w:color="auto"/>
        <w:right w:val="none" w:sz="0" w:space="0" w:color="auto"/>
      </w:divBdr>
    </w:div>
    <w:div w:id="1692224064">
      <w:bodyDiv w:val="1"/>
      <w:marLeft w:val="0"/>
      <w:marRight w:val="0"/>
      <w:marTop w:val="0"/>
      <w:marBottom w:val="0"/>
      <w:divBdr>
        <w:top w:val="none" w:sz="0" w:space="0" w:color="auto"/>
        <w:left w:val="none" w:sz="0" w:space="0" w:color="auto"/>
        <w:bottom w:val="none" w:sz="0" w:space="0" w:color="auto"/>
        <w:right w:val="none" w:sz="0" w:space="0" w:color="auto"/>
      </w:divBdr>
    </w:div>
    <w:div w:id="1708799141">
      <w:bodyDiv w:val="1"/>
      <w:marLeft w:val="0"/>
      <w:marRight w:val="0"/>
      <w:marTop w:val="0"/>
      <w:marBottom w:val="0"/>
      <w:divBdr>
        <w:top w:val="none" w:sz="0" w:space="0" w:color="auto"/>
        <w:left w:val="none" w:sz="0" w:space="0" w:color="auto"/>
        <w:bottom w:val="none" w:sz="0" w:space="0" w:color="auto"/>
        <w:right w:val="none" w:sz="0" w:space="0" w:color="auto"/>
      </w:divBdr>
    </w:div>
    <w:div w:id="1750691044">
      <w:bodyDiv w:val="1"/>
      <w:marLeft w:val="0"/>
      <w:marRight w:val="0"/>
      <w:marTop w:val="0"/>
      <w:marBottom w:val="0"/>
      <w:divBdr>
        <w:top w:val="none" w:sz="0" w:space="0" w:color="auto"/>
        <w:left w:val="none" w:sz="0" w:space="0" w:color="auto"/>
        <w:bottom w:val="none" w:sz="0" w:space="0" w:color="auto"/>
        <w:right w:val="none" w:sz="0" w:space="0" w:color="auto"/>
      </w:divBdr>
    </w:div>
    <w:div w:id="2106657280">
      <w:bodyDiv w:val="1"/>
      <w:marLeft w:val="0"/>
      <w:marRight w:val="0"/>
      <w:marTop w:val="0"/>
      <w:marBottom w:val="0"/>
      <w:divBdr>
        <w:top w:val="none" w:sz="0" w:space="0" w:color="auto"/>
        <w:left w:val="none" w:sz="0" w:space="0" w:color="auto"/>
        <w:bottom w:val="none" w:sz="0" w:space="0" w:color="auto"/>
        <w:right w:val="none" w:sz="0" w:space="0" w:color="auto"/>
      </w:divBdr>
    </w:div>
    <w:div w:id="21073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eur-" TargetMode="External"/><Relationship Id="rId2" Type="http://schemas.openxmlformats.org/officeDocument/2006/relationships/hyperlink" Target="https://www.nonhumanrights.org/content/uploads/IMOTheNonhumanRightsProjectIncvBreheny-amicus-" TargetMode="External"/><Relationship Id="rId1" Type="http://schemas.openxmlformats.org/officeDocument/2006/relationships/hyperlink" Target="https://www.nonhumanrights.org/content/uploads/Christine-M.-Korsgaard-Amicus-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2BFBE-C58B-4629-8850-E2C3A0CF7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5726</Words>
  <Characters>32643</Characters>
  <Application>Microsoft Office Word</Application>
  <DocSecurity>0</DocSecurity>
  <Lines>272</Lines>
  <Paragraphs>76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Comstock</dc:creator>
  <cp:keywords/>
  <dc:description/>
  <cp:lastModifiedBy>Gary Comstock</cp:lastModifiedBy>
  <cp:revision>2</cp:revision>
  <dcterms:created xsi:type="dcterms:W3CDTF">2022-07-21T23:24:00Z</dcterms:created>
  <dcterms:modified xsi:type="dcterms:W3CDTF">2022-07-21T23:24:00Z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Unique User Id_1">
    <vt:lpwstr>088c335e-11da-3752-85ee-231932e82e5b</vt:lpwstr>
  </property>
  <property fmtid="{D5CDD505-2E9C-101B-9397-08002B2CF9AE}" pid="23" name="Mendeley Citation Style_1">
    <vt:lpwstr>http://www.zotero.org/styles/harvard-cite-them-right</vt:lpwstr>
  </property>
</Properties>
</file>