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2B5" w14:textId="1C0C3CEF" w:rsidR="00DB5DA9" w:rsidRPr="00BF3E3B" w:rsidRDefault="00DB5DA9" w:rsidP="00407CF1">
      <w:pPr>
        <w:spacing w:after="0" w:line="240" w:lineRule="auto"/>
        <w:jc w:val="center"/>
        <w:rPr>
          <w:rFonts w:cstheme="minorHAnsi"/>
          <w:b/>
          <w:bCs/>
          <w:sz w:val="28"/>
          <w:szCs w:val="28"/>
        </w:rPr>
      </w:pPr>
      <w:r w:rsidRPr="00DB5DA9">
        <w:rPr>
          <w:rFonts w:cstheme="minorHAnsi"/>
          <w:b/>
          <w:bCs/>
          <w:sz w:val="28"/>
          <w:szCs w:val="28"/>
        </w:rPr>
        <w:t xml:space="preserve">Pain in </w:t>
      </w:r>
      <w:proofErr w:type="spellStart"/>
      <w:r w:rsidRPr="00DB5DA9">
        <w:rPr>
          <w:rFonts w:cstheme="minorHAnsi"/>
          <w:b/>
          <w:bCs/>
          <w:sz w:val="28"/>
          <w:szCs w:val="28"/>
        </w:rPr>
        <w:t>Pleocyemata</w:t>
      </w:r>
      <w:proofErr w:type="spellEnd"/>
      <w:r w:rsidRPr="00DB5DA9">
        <w:rPr>
          <w:rFonts w:cstheme="minorHAnsi"/>
          <w:b/>
          <w:bCs/>
          <w:sz w:val="28"/>
          <w:szCs w:val="28"/>
        </w:rPr>
        <w:t xml:space="preserve">, </w:t>
      </w:r>
      <w:r w:rsidR="00BC6D3C">
        <w:rPr>
          <w:rFonts w:cstheme="minorHAnsi"/>
          <w:b/>
          <w:bCs/>
          <w:sz w:val="28"/>
          <w:szCs w:val="28"/>
        </w:rPr>
        <w:t xml:space="preserve">but </w:t>
      </w:r>
      <w:r w:rsidRPr="00DB5DA9">
        <w:rPr>
          <w:rFonts w:cstheme="minorHAnsi"/>
          <w:b/>
          <w:bCs/>
          <w:sz w:val="28"/>
          <w:szCs w:val="28"/>
        </w:rPr>
        <w:t xml:space="preserve">not </w:t>
      </w:r>
      <w:r w:rsidR="004E51BA">
        <w:rPr>
          <w:rFonts w:cstheme="minorHAnsi"/>
          <w:b/>
          <w:bCs/>
          <w:sz w:val="28"/>
          <w:szCs w:val="28"/>
        </w:rPr>
        <w:t xml:space="preserve">in </w:t>
      </w:r>
      <w:proofErr w:type="spellStart"/>
      <w:r w:rsidRPr="00DB5DA9">
        <w:rPr>
          <w:rFonts w:cstheme="minorHAnsi"/>
          <w:b/>
          <w:bCs/>
          <w:sz w:val="28"/>
          <w:szCs w:val="28"/>
        </w:rPr>
        <w:t>Dendrobranchiata</w:t>
      </w:r>
      <w:proofErr w:type="spellEnd"/>
      <w:r w:rsidRPr="00DB5DA9">
        <w:rPr>
          <w:rFonts w:cstheme="minorHAnsi"/>
          <w:b/>
          <w:bCs/>
          <w:sz w:val="28"/>
          <w:szCs w:val="28"/>
        </w:rPr>
        <w:t>?</w:t>
      </w:r>
    </w:p>
    <w:p w14:paraId="457C44C4" w14:textId="2D0CD9B1" w:rsidR="00D274C1" w:rsidRPr="00652980" w:rsidRDefault="001253D9" w:rsidP="00407CF1">
      <w:pPr>
        <w:spacing w:after="0" w:line="240" w:lineRule="auto"/>
        <w:jc w:val="center"/>
        <w:rPr>
          <w:rFonts w:cstheme="minorHAnsi"/>
          <w:sz w:val="20"/>
          <w:szCs w:val="20"/>
          <w:lang w:val="en-AU"/>
        </w:rPr>
      </w:pPr>
      <w:r w:rsidRPr="001253D9">
        <w:rPr>
          <w:rFonts w:cstheme="minorHAnsi"/>
          <w:sz w:val="20"/>
          <w:szCs w:val="20"/>
          <w:lang w:val="en-AU"/>
        </w:rPr>
        <w:t xml:space="preserve">Commentary on </w:t>
      </w:r>
      <w:hyperlink r:id="rId8" w:history="1">
        <w:r w:rsidR="00DB5DA9" w:rsidRPr="004E0899">
          <w:rPr>
            <w:rStyle w:val="Hyperlink"/>
            <w:b/>
            <w:bCs/>
            <w:sz w:val="20"/>
          </w:rPr>
          <w:t>Crump et al.</w:t>
        </w:r>
      </w:hyperlink>
      <w:r w:rsidR="00DB5DA9" w:rsidRPr="00DB5DA9">
        <w:rPr>
          <w:b/>
          <w:bCs/>
          <w:sz w:val="20"/>
        </w:rPr>
        <w:t xml:space="preserve"> </w:t>
      </w:r>
      <w:r w:rsidR="00DB5DA9" w:rsidRPr="00BF3E3B">
        <w:rPr>
          <w:sz w:val="20"/>
        </w:rPr>
        <w:t xml:space="preserve">on </w:t>
      </w:r>
      <w:r w:rsidR="00BF3E3B" w:rsidRPr="00BF3E3B">
        <w:rPr>
          <w:i/>
          <w:sz w:val="20"/>
        </w:rPr>
        <w:t>Decapod Sentience</w:t>
      </w:r>
    </w:p>
    <w:p w14:paraId="13C90D88" w14:textId="77777777" w:rsidR="001253D9" w:rsidRDefault="001253D9" w:rsidP="00407CF1">
      <w:pPr>
        <w:spacing w:after="0" w:line="240" w:lineRule="auto"/>
        <w:jc w:val="center"/>
        <w:rPr>
          <w:rFonts w:cstheme="minorHAnsi"/>
          <w:sz w:val="24"/>
          <w:szCs w:val="24"/>
          <w:lang w:val="en-AU"/>
        </w:rPr>
      </w:pPr>
    </w:p>
    <w:p w14:paraId="3FEF8821" w14:textId="0E12E631" w:rsidR="002B24CF" w:rsidRDefault="00DB5DA9" w:rsidP="00407CF1">
      <w:pPr>
        <w:spacing w:after="0" w:line="240" w:lineRule="auto"/>
        <w:jc w:val="center"/>
        <w:rPr>
          <w:rFonts w:cstheme="minorHAnsi"/>
          <w:sz w:val="24"/>
          <w:szCs w:val="24"/>
          <w:lang w:val="en-AU"/>
        </w:rPr>
      </w:pPr>
      <w:r>
        <w:rPr>
          <w:rFonts w:cstheme="minorHAnsi"/>
          <w:b/>
          <w:bCs/>
          <w:sz w:val="24"/>
          <w:szCs w:val="24"/>
          <w:lang w:val="en-AU"/>
        </w:rPr>
        <w:t>Gary Comstock</w:t>
      </w:r>
    </w:p>
    <w:p w14:paraId="2769FFE9" w14:textId="5335544A" w:rsidR="001253D9" w:rsidRDefault="00652980" w:rsidP="00407CF1">
      <w:pPr>
        <w:spacing w:after="0" w:line="240" w:lineRule="auto"/>
        <w:jc w:val="center"/>
        <w:rPr>
          <w:rFonts w:cstheme="minorHAnsi"/>
          <w:sz w:val="24"/>
          <w:szCs w:val="24"/>
          <w:lang w:val="en-AU"/>
        </w:rPr>
      </w:pPr>
      <w:r>
        <w:rPr>
          <w:rFonts w:cstheme="minorHAnsi"/>
          <w:sz w:val="24"/>
          <w:szCs w:val="24"/>
          <w:lang w:val="en-AU"/>
        </w:rPr>
        <w:t>Department</w:t>
      </w:r>
      <w:r w:rsidR="00DB5DA9">
        <w:rPr>
          <w:rFonts w:cstheme="minorHAnsi"/>
          <w:sz w:val="24"/>
          <w:szCs w:val="24"/>
          <w:lang w:val="en-AU"/>
        </w:rPr>
        <w:t xml:space="preserve"> of Philosophy &amp; Religious Studies</w:t>
      </w:r>
      <w:r>
        <w:rPr>
          <w:rFonts w:cstheme="minorHAnsi"/>
          <w:sz w:val="24"/>
          <w:szCs w:val="24"/>
          <w:lang w:val="en-AU"/>
        </w:rPr>
        <w:t xml:space="preserve">, </w:t>
      </w:r>
      <w:r w:rsidR="00DB5DA9">
        <w:rPr>
          <w:rFonts w:cstheme="minorHAnsi"/>
          <w:sz w:val="24"/>
          <w:szCs w:val="24"/>
          <w:lang w:val="en-AU"/>
        </w:rPr>
        <w:t>North Carolina State University</w:t>
      </w:r>
    </w:p>
    <w:p w14:paraId="0AF81942" w14:textId="6AEDB032" w:rsidR="001253D9" w:rsidRDefault="001253D9" w:rsidP="00407CF1">
      <w:pPr>
        <w:spacing w:after="0" w:line="240" w:lineRule="auto"/>
        <w:jc w:val="center"/>
        <w:rPr>
          <w:rFonts w:cstheme="minorHAnsi"/>
          <w:sz w:val="24"/>
          <w:szCs w:val="24"/>
          <w:lang w:val="en-AU"/>
        </w:rPr>
      </w:pPr>
    </w:p>
    <w:p w14:paraId="5FD9CB88" w14:textId="2A7550FA" w:rsidR="007E01F4" w:rsidRDefault="001253D9" w:rsidP="00407CF1">
      <w:pPr>
        <w:spacing w:after="0" w:line="240" w:lineRule="auto"/>
        <w:jc w:val="both"/>
        <w:rPr>
          <w:rFonts w:ascii="Times New Roman" w:eastAsia="Times New Roman" w:hAnsi="Times New Roman" w:cs="Times New Roman"/>
          <w:noProof/>
          <w:sz w:val="24"/>
          <w:szCs w:val="24"/>
          <w:lang w:val="en-CA"/>
        </w:rPr>
      </w:pPr>
      <w:r w:rsidRPr="0012049D">
        <w:rPr>
          <w:rFonts w:cstheme="minorHAnsi"/>
          <w:b/>
          <w:bCs/>
          <w:lang w:val="en-AU"/>
        </w:rPr>
        <w:t>Abstract</w:t>
      </w:r>
      <w:r w:rsidR="0087051A" w:rsidRPr="0087051A">
        <w:rPr>
          <w:rFonts w:cstheme="minorHAnsi"/>
          <w:lang w:val="en-AU"/>
        </w:rPr>
        <w:t>:</w:t>
      </w:r>
      <w:r w:rsidR="00003C97">
        <w:rPr>
          <w:rFonts w:cstheme="minorHAnsi"/>
          <w:lang w:val="en-AU"/>
        </w:rPr>
        <w:t xml:space="preserve"> </w:t>
      </w:r>
      <w:r w:rsidR="000C3764">
        <w:rPr>
          <w:rFonts w:cstheme="minorHAnsi"/>
          <w:lang w:val="en-AU"/>
        </w:rPr>
        <w:t xml:space="preserve"> </w:t>
      </w:r>
      <w:r w:rsidR="007C5AD0" w:rsidRPr="007C5AD0">
        <w:rPr>
          <w:rFonts w:cstheme="minorHAnsi"/>
        </w:rPr>
        <w:t>Crump et al.</w:t>
      </w:r>
      <w:r w:rsidR="009B2FBA">
        <w:rPr>
          <w:rFonts w:cstheme="minorHAnsi"/>
        </w:rPr>
        <w:t>’s</w:t>
      </w:r>
      <w:r w:rsidR="007C5AD0" w:rsidRPr="007C5AD0">
        <w:rPr>
          <w:rFonts w:cstheme="minorHAnsi"/>
        </w:rPr>
        <w:t xml:space="preserve"> </w:t>
      </w:r>
      <w:r w:rsidR="009B2FBA">
        <w:rPr>
          <w:rFonts w:cstheme="minorHAnsi"/>
        </w:rPr>
        <w:t>contribution</w:t>
      </w:r>
      <w:r w:rsidR="007C5AD0" w:rsidRPr="007C5AD0">
        <w:rPr>
          <w:rFonts w:cstheme="minorHAnsi"/>
        </w:rPr>
        <w:t xml:space="preserve"> </w:t>
      </w:r>
      <w:r w:rsidR="009B2FBA">
        <w:rPr>
          <w:rFonts w:cstheme="minorHAnsi"/>
        </w:rPr>
        <w:t>to assessing</w:t>
      </w:r>
      <w:r w:rsidR="007C5AD0" w:rsidRPr="007C5AD0">
        <w:rPr>
          <w:rFonts w:cstheme="minorHAnsi"/>
        </w:rPr>
        <w:t xml:space="preserve"> whether decapods feel </w:t>
      </w:r>
      <w:r w:rsidR="003B3DDE">
        <w:rPr>
          <w:rFonts w:cstheme="minorHAnsi"/>
        </w:rPr>
        <w:t xml:space="preserve">pain </w:t>
      </w:r>
      <w:r w:rsidR="009B2FBA">
        <w:rPr>
          <w:rFonts w:cstheme="minorHAnsi"/>
        </w:rPr>
        <w:t>raises</w:t>
      </w:r>
      <w:r w:rsidR="007C5AD0" w:rsidRPr="007C5AD0">
        <w:rPr>
          <w:rFonts w:cstheme="minorHAnsi"/>
        </w:rPr>
        <w:t xml:space="preserve"> an </w:t>
      </w:r>
      <w:r w:rsidR="00725146">
        <w:rPr>
          <w:rFonts w:cstheme="minorHAnsi"/>
        </w:rPr>
        <w:t>important</w:t>
      </w:r>
      <w:r w:rsidR="007C5AD0" w:rsidRPr="007C5AD0">
        <w:rPr>
          <w:rFonts w:cstheme="minorHAnsi"/>
        </w:rPr>
        <w:t xml:space="preserve"> </w:t>
      </w:r>
      <w:r w:rsidR="003B3DDE">
        <w:rPr>
          <w:rFonts w:cstheme="minorHAnsi"/>
        </w:rPr>
        <w:t>question</w:t>
      </w:r>
      <w:r w:rsidR="009B2FBA">
        <w:rPr>
          <w:rFonts w:cstheme="minorHAnsi"/>
        </w:rPr>
        <w:t>:</w:t>
      </w:r>
      <w:r w:rsidR="007C5AD0" w:rsidRPr="007C5AD0">
        <w:rPr>
          <w:rFonts w:cstheme="minorHAnsi"/>
        </w:rPr>
        <w:t xml:space="preserve"> </w:t>
      </w:r>
      <w:r w:rsidR="009B2FBA">
        <w:rPr>
          <w:rFonts w:cstheme="minorHAnsi"/>
        </w:rPr>
        <w:t>Is</w:t>
      </w:r>
      <w:r w:rsidR="007C5AD0" w:rsidRPr="007C5AD0">
        <w:rPr>
          <w:rFonts w:cstheme="minorHAnsi"/>
        </w:rPr>
        <w:t xml:space="preserve"> pain distributed </w:t>
      </w:r>
      <w:r w:rsidR="009B2FBA">
        <w:rPr>
          <w:rFonts w:cstheme="minorHAnsi"/>
        </w:rPr>
        <w:t xml:space="preserve">unevenly </w:t>
      </w:r>
      <w:r w:rsidR="007C5AD0" w:rsidRPr="007C5AD0">
        <w:rPr>
          <w:rFonts w:cstheme="minorHAnsi"/>
        </w:rPr>
        <w:t>across the order</w:t>
      </w:r>
      <w:r w:rsidR="004E0899">
        <w:rPr>
          <w:rFonts w:cstheme="minorHAnsi"/>
        </w:rPr>
        <w:t>?</w:t>
      </w:r>
      <w:r w:rsidR="007C5AD0" w:rsidRPr="007C5AD0">
        <w:rPr>
          <w:rFonts w:cstheme="minorHAnsi"/>
        </w:rPr>
        <w:t xml:space="preserve"> The case </w:t>
      </w:r>
      <w:r w:rsidR="0057759D">
        <w:rPr>
          <w:rFonts w:cstheme="minorHAnsi"/>
        </w:rPr>
        <w:t xml:space="preserve">for pain </w:t>
      </w:r>
      <w:r w:rsidR="007C5AD0" w:rsidRPr="007C5AD0">
        <w:rPr>
          <w:rFonts w:cstheme="minorHAnsi"/>
        </w:rPr>
        <w:t xml:space="preserve">appears stronger </w:t>
      </w:r>
      <w:r w:rsidR="0057759D">
        <w:rPr>
          <w:rFonts w:cstheme="minorHAnsi"/>
        </w:rPr>
        <w:t xml:space="preserve">in </w:t>
      </w:r>
      <w:proofErr w:type="spellStart"/>
      <w:r w:rsidR="007C5AD0" w:rsidRPr="007C5AD0">
        <w:rPr>
          <w:rFonts w:cstheme="minorHAnsi"/>
        </w:rPr>
        <w:t>Pleocyemata</w:t>
      </w:r>
      <w:proofErr w:type="spellEnd"/>
      <w:r w:rsidR="007C5AD0" w:rsidRPr="007C5AD0">
        <w:rPr>
          <w:rFonts w:cstheme="minorHAnsi"/>
        </w:rPr>
        <w:t xml:space="preserve"> than </w:t>
      </w:r>
      <w:r w:rsidR="0057759D">
        <w:rPr>
          <w:rFonts w:cstheme="minorHAnsi"/>
        </w:rPr>
        <w:t xml:space="preserve">in </w:t>
      </w:r>
      <w:proofErr w:type="spellStart"/>
      <w:r w:rsidR="007C5AD0" w:rsidRPr="007C5AD0">
        <w:rPr>
          <w:rFonts w:cstheme="minorHAnsi"/>
        </w:rPr>
        <w:t>Dendrobranchiata</w:t>
      </w:r>
      <w:proofErr w:type="spellEnd"/>
      <w:r w:rsidR="007C5AD0" w:rsidRPr="007C5AD0">
        <w:rPr>
          <w:rFonts w:cstheme="minorHAnsi"/>
        </w:rPr>
        <w:t xml:space="preserve">. </w:t>
      </w:r>
      <w:r w:rsidR="009B2FBA">
        <w:rPr>
          <w:rFonts w:cstheme="minorHAnsi"/>
        </w:rPr>
        <w:t>S</w:t>
      </w:r>
      <w:r w:rsidR="007C5AD0" w:rsidRPr="007C5AD0">
        <w:rPr>
          <w:rFonts w:cstheme="minorHAnsi"/>
        </w:rPr>
        <w:t xml:space="preserve">ome studies </w:t>
      </w:r>
      <w:r w:rsidR="00725146">
        <w:rPr>
          <w:rFonts w:cstheme="minorHAnsi"/>
        </w:rPr>
        <w:t>report</w:t>
      </w:r>
      <w:r w:rsidR="007C5AD0" w:rsidRPr="007C5AD0">
        <w:rPr>
          <w:rFonts w:cstheme="minorHAnsi"/>
        </w:rPr>
        <w:t xml:space="preserve"> pain avoidance behaviors in </w:t>
      </w:r>
      <w:proofErr w:type="spellStart"/>
      <w:r w:rsidR="007C5AD0" w:rsidRPr="007C5AD0">
        <w:rPr>
          <w:rFonts w:cstheme="minorHAnsi"/>
        </w:rPr>
        <w:t>Dendrobranchiata</w:t>
      </w:r>
      <w:proofErr w:type="spellEnd"/>
      <w:r w:rsidR="007C5AD0" w:rsidRPr="007C5AD0">
        <w:rPr>
          <w:rFonts w:cstheme="minorHAnsi"/>
        </w:rPr>
        <w:t xml:space="preserve"> (</w:t>
      </w:r>
      <w:proofErr w:type="spellStart"/>
      <w:r w:rsidR="007C5AD0" w:rsidRPr="007C5AD0">
        <w:rPr>
          <w:rFonts w:cstheme="minorHAnsi"/>
        </w:rPr>
        <w:t>Penaeidae</w:t>
      </w:r>
      <w:proofErr w:type="spellEnd"/>
      <w:r w:rsidR="007C5AD0" w:rsidRPr="007C5AD0">
        <w:rPr>
          <w:rFonts w:cstheme="minorHAnsi"/>
        </w:rPr>
        <w:t xml:space="preserve">) shrimp, </w:t>
      </w:r>
      <w:r w:rsidR="009B2FBA">
        <w:rPr>
          <w:rFonts w:cstheme="minorHAnsi"/>
        </w:rPr>
        <w:t xml:space="preserve">but </w:t>
      </w:r>
      <w:r w:rsidR="007C5AD0" w:rsidRPr="007C5AD0">
        <w:rPr>
          <w:rFonts w:cstheme="minorHAnsi"/>
        </w:rPr>
        <w:t xml:space="preserve">further studies are needed to determine whether the chemicals used are acting as analgesics to relieve pain, or as soporifics to reduce overall alertness. If the latter, the most farmed shrimp species may not </w:t>
      </w:r>
      <w:r w:rsidR="009B2FBA">
        <w:rPr>
          <w:rFonts w:cstheme="minorHAnsi"/>
        </w:rPr>
        <w:t>require</w:t>
      </w:r>
      <w:r w:rsidR="007C5AD0" w:rsidRPr="007C5AD0">
        <w:rPr>
          <w:rFonts w:cstheme="minorHAnsi"/>
        </w:rPr>
        <w:t xml:space="preserve"> the </w:t>
      </w:r>
      <w:r w:rsidR="009B2FBA">
        <w:rPr>
          <w:rFonts w:cstheme="minorHAnsi"/>
        </w:rPr>
        <w:t xml:space="preserve">same </w:t>
      </w:r>
      <w:r w:rsidR="007C5AD0" w:rsidRPr="007C5AD0">
        <w:rPr>
          <w:rFonts w:cstheme="minorHAnsi"/>
        </w:rPr>
        <w:t xml:space="preserve">level of protection </w:t>
      </w:r>
      <w:r w:rsidR="009B2FBA">
        <w:rPr>
          <w:rFonts w:cstheme="minorHAnsi"/>
        </w:rPr>
        <w:t xml:space="preserve">as </w:t>
      </w:r>
      <w:r w:rsidR="007C5AD0" w:rsidRPr="007C5AD0">
        <w:rPr>
          <w:rFonts w:cstheme="minorHAnsi"/>
        </w:rPr>
        <w:t>crabs,</w:t>
      </w:r>
      <w:r w:rsidR="007C5AD0" w:rsidRPr="007C5AD0">
        <w:rPr>
          <w:rFonts w:ascii="Times New Roman" w:eastAsia="Times New Roman" w:hAnsi="Times New Roman" w:cs="Times New Roman"/>
          <w:noProof/>
          <w:sz w:val="24"/>
          <w:szCs w:val="24"/>
          <w:lang w:val="en-CA"/>
        </w:rPr>
        <w:t xml:space="preserve"> </w:t>
      </w:r>
      <w:r w:rsidR="007C5AD0" w:rsidRPr="007C5AD0">
        <w:rPr>
          <w:rFonts w:cstheme="minorHAnsi"/>
        </w:rPr>
        <w:t>crayfish, and lobsters.</w:t>
      </w:r>
      <w:r w:rsidR="007C5AD0" w:rsidRPr="007C5AD0">
        <w:rPr>
          <w:rFonts w:ascii="Times New Roman" w:eastAsia="Times New Roman" w:hAnsi="Times New Roman" w:cs="Times New Roman"/>
          <w:noProof/>
          <w:sz w:val="24"/>
          <w:szCs w:val="24"/>
          <w:lang w:val="en-CA"/>
        </w:rPr>
        <w:t xml:space="preserve"> </w:t>
      </w:r>
    </w:p>
    <w:p w14:paraId="7B342922" w14:textId="09C9DBD0" w:rsidR="00CC052D" w:rsidRDefault="00CC052D" w:rsidP="00407CF1">
      <w:pPr>
        <w:spacing w:after="0" w:line="240" w:lineRule="auto"/>
        <w:jc w:val="both"/>
        <w:rPr>
          <w:rFonts w:cstheme="minorHAnsi"/>
          <w:sz w:val="20"/>
          <w:szCs w:val="20"/>
          <w:lang w:val="en-AU"/>
        </w:rPr>
      </w:pPr>
      <w:r>
        <w:rPr>
          <w:b/>
          <w:bCs/>
          <w:noProof/>
          <w:sz w:val="20"/>
          <w:szCs w:val="20"/>
        </w:rPr>
        <w:drawing>
          <wp:anchor distT="0" distB="0" distL="114300" distR="114300" simplePos="0" relativeHeight="251658240" behindDoc="0" locked="0" layoutInCell="1" allowOverlap="1" wp14:anchorId="5FD90B1B" wp14:editId="7491A881">
            <wp:simplePos x="0" y="0"/>
            <wp:positionH relativeFrom="margin">
              <wp:posOffset>4641850</wp:posOffset>
            </wp:positionH>
            <wp:positionV relativeFrom="margin">
              <wp:posOffset>2462530</wp:posOffset>
            </wp:positionV>
            <wp:extent cx="939800" cy="838200"/>
            <wp:effectExtent l="0" t="0" r="0" b="0"/>
            <wp:wrapSquare wrapText="bothSides"/>
            <wp:docPr id="2" name="Picture 2" descr="A picture containing grass, outdoor,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tree,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9800" cy="838200"/>
                    </a:xfrm>
                    <a:prstGeom prst="rect">
                      <a:avLst/>
                    </a:prstGeom>
                  </pic:spPr>
                </pic:pic>
              </a:graphicData>
            </a:graphic>
          </wp:anchor>
        </w:drawing>
      </w:r>
    </w:p>
    <w:p w14:paraId="0467F646" w14:textId="457A8EEC" w:rsidR="005B1AEC" w:rsidRPr="00407CF1" w:rsidRDefault="00273DF9" w:rsidP="00407CF1">
      <w:pPr>
        <w:spacing w:line="240" w:lineRule="auto"/>
        <w:ind w:left="3600"/>
        <w:jc w:val="both"/>
        <w:rPr>
          <w:b/>
          <w:bCs/>
          <w:sz w:val="20"/>
          <w:szCs w:val="20"/>
        </w:rPr>
      </w:pPr>
      <w:r w:rsidRPr="00273DF9">
        <w:rPr>
          <w:b/>
          <w:bCs/>
          <w:sz w:val="20"/>
          <w:szCs w:val="20"/>
        </w:rPr>
        <w:t xml:space="preserve">Gary Comstock, </w:t>
      </w:r>
      <w:r w:rsidRPr="00273DF9">
        <w:rPr>
          <w:sz w:val="20"/>
          <w:szCs w:val="20"/>
        </w:rPr>
        <w:t>Alumni Distinguished Undergraduate Professor of Philosophy at North Carolina State University,</w:t>
      </w:r>
      <w:r>
        <w:rPr>
          <w:sz w:val="20"/>
          <w:szCs w:val="20"/>
        </w:rPr>
        <w:t xml:space="preserve"> </w:t>
      </w:r>
      <w:r w:rsidR="002B24CF">
        <w:rPr>
          <w:sz w:val="20"/>
          <w:szCs w:val="20"/>
        </w:rPr>
        <w:t>conducts research on</w:t>
      </w:r>
      <w:r w:rsidRPr="00273DF9">
        <w:rPr>
          <w:sz w:val="20"/>
          <w:szCs w:val="20"/>
        </w:rPr>
        <w:t xml:space="preserve"> </w:t>
      </w:r>
      <w:r>
        <w:rPr>
          <w:sz w:val="20"/>
          <w:szCs w:val="20"/>
        </w:rPr>
        <w:t xml:space="preserve">the </w:t>
      </w:r>
      <w:r w:rsidRPr="00273DF9">
        <w:rPr>
          <w:sz w:val="20"/>
          <w:szCs w:val="20"/>
        </w:rPr>
        <w:t>minds</w:t>
      </w:r>
      <w:r>
        <w:rPr>
          <w:sz w:val="20"/>
          <w:szCs w:val="20"/>
        </w:rPr>
        <w:t xml:space="preserve"> and moral status</w:t>
      </w:r>
      <w:r w:rsidR="00F2417D">
        <w:rPr>
          <w:sz w:val="20"/>
          <w:szCs w:val="20"/>
        </w:rPr>
        <w:t>es</w:t>
      </w:r>
      <w:r>
        <w:rPr>
          <w:sz w:val="20"/>
          <w:szCs w:val="20"/>
        </w:rPr>
        <w:t xml:space="preserve"> of domesticated animals</w:t>
      </w:r>
      <w:r w:rsidR="00F2417D">
        <w:rPr>
          <w:sz w:val="20"/>
          <w:szCs w:val="20"/>
        </w:rPr>
        <w:t xml:space="preserve">. </w:t>
      </w:r>
      <w:r w:rsidR="00407CF1">
        <w:rPr>
          <w:b/>
          <w:bCs/>
          <w:sz w:val="20"/>
          <w:szCs w:val="20"/>
        </w:rPr>
        <w:t xml:space="preserve"> </w:t>
      </w:r>
      <w:hyperlink r:id="rId10" w:history="1">
        <w:r w:rsidR="00003C97" w:rsidRPr="00407CF1">
          <w:rPr>
            <w:rStyle w:val="Hyperlink"/>
            <w:rFonts w:cstheme="minorHAnsi"/>
            <w:b/>
            <w:bCs/>
            <w:sz w:val="20"/>
            <w:szCs w:val="20"/>
            <w:lang w:val="en-AU"/>
          </w:rPr>
          <w:t>Website</w:t>
        </w:r>
      </w:hyperlink>
    </w:p>
    <w:p w14:paraId="6924EAE9" w14:textId="4D8820E7" w:rsidR="0087051A" w:rsidRPr="00D92858" w:rsidRDefault="0087051A" w:rsidP="00407CF1">
      <w:pPr>
        <w:spacing w:after="0" w:line="240" w:lineRule="auto"/>
        <w:rPr>
          <w:rFonts w:cstheme="minorHAnsi"/>
          <w:lang w:val="en-AU"/>
        </w:rPr>
      </w:pPr>
    </w:p>
    <w:p w14:paraId="64B591FA" w14:textId="7274BA57" w:rsidR="00F2417D" w:rsidRPr="00F2417D" w:rsidRDefault="00F2417D" w:rsidP="00407CF1">
      <w:pPr>
        <w:spacing w:after="120" w:line="240" w:lineRule="auto"/>
        <w:jc w:val="both"/>
        <w:rPr>
          <w:rFonts w:cstheme="minorHAnsi"/>
          <w:sz w:val="24"/>
          <w:szCs w:val="24"/>
        </w:rPr>
      </w:pPr>
      <w:r w:rsidRPr="00F2417D">
        <w:rPr>
          <w:rFonts w:cstheme="minorHAnsi"/>
          <w:sz w:val="24"/>
          <w:szCs w:val="24"/>
        </w:rPr>
        <w:t xml:space="preserve">More than 160 billion Pacific </w:t>
      </w:r>
      <w:proofErr w:type="spellStart"/>
      <w:r w:rsidRPr="00F2417D">
        <w:rPr>
          <w:rFonts w:cstheme="minorHAnsi"/>
          <w:sz w:val="24"/>
          <w:szCs w:val="24"/>
        </w:rPr>
        <w:t>whiteleg</w:t>
      </w:r>
      <w:proofErr w:type="spellEnd"/>
      <w:r w:rsidRPr="00F2417D">
        <w:rPr>
          <w:rFonts w:cstheme="minorHAnsi"/>
          <w:sz w:val="24"/>
          <w:szCs w:val="24"/>
        </w:rPr>
        <w:t xml:space="preserve"> shrimp were harvested for food last year </w:t>
      </w:r>
      <w:r w:rsidRPr="00F2417D">
        <w:rPr>
          <w:rFonts w:cstheme="minorHAnsi"/>
          <w:sz w:val="24"/>
          <w:szCs w:val="24"/>
        </w:rPr>
        <w:fldChar w:fldCharType="begin"/>
      </w:r>
      <w:r w:rsidRPr="00F2417D">
        <w:rPr>
          <w:rFonts w:cstheme="minorHAnsi"/>
          <w:sz w:val="24"/>
          <w:szCs w:val="24"/>
        </w:rPr>
        <w:instrText xml:space="preserve"> ADDIN ZOTERO_ITEM CSL_CITATION {"citationID":"rIV1BZOv","properties":{"formattedCitation":"(Albalat et al., 2022)","plainCitation":"(Albalat et al., 2022)","noteIndex":0},"citationItems":[{"id":7124,"uris":["http://zotero.org/users/3589/items/JNV6VUJR"],"itemData":{"id":7124,"type":"article-journal","abstract":"The farming of decapod crustaceans is a key economic driver in many countries, with production reaching around 9.4 million tonnes (USD 69.3 billion) in 2018. These efforts are currently dominated by the farming of Pacific whiteleg shrimp, Penaeus vannamei, which translates into approximately 167 billion farmed P. vannamei being harvested annually. Further production growth is expected in the future and hence the need for more research into its health and welfare is required. Herein, from an extensive survey of the available literature, we scrutinise farming practices and the challenges associated with the production of P. vannamei from an animal-centric welfare perspective (1), we propose potential welfare indicators (2) and we critically review current scientific evidence of sentience in penaeid shrimp among other commercially important decapods (3), since it is plausible that in the near future not only the largest, but in fact all decapod crustaceans will receive welfare protection. This review highlights that despite the wide knowledge on crustacean stress physiology and immunology as well as disease control, still little is known about some key parameters related to the five welfare dimensions. We recommend that further research should focus on developing a systematic integrated welfare assessment encompassing all the different aspects of the crustaceans farming and life cycle up to slaughter. Furthermore, direct and indirect species-specific operational welfare indicators should be developed for all decapod crustaceans currently farmed, similar to the ones suggested in this review for P. vannamei.","container-title":"Frontiers in Marine Science","ISSN":"2296-7745","source":"Frontiers","title":"Welfare in Farmed Decapod Crustaceans, With Particular Reference to Penaeus vannamei","URL":"https://www.frontiersin.org/article/10.3389/fmars.2022.886024","volume":"9","author":[{"family":"Albalat","given":"Amaya"},{"family":"Zacarias","given":"Simão"},{"family":"Coates","given":"Christopher J."},{"family":"Neil","given":"Douglas M."},{"family":"Planellas","given":"Sonia Rey"}],"accessed":{"date-parts":[["2022",6,20]]},"issued":{"date-parts":[["2022"]]}}}],"schema":"https://github.com/citation-style-language/schema/raw/master/csl-citation.json"}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(Albalat et al., 2022)</w:t>
      </w:r>
      <w:r w:rsidRPr="00F2417D">
        <w:rPr>
          <w:rFonts w:cstheme="minorHAnsi"/>
          <w:sz w:val="24"/>
          <w:szCs w:val="24"/>
          <w:lang w:val="en-AU"/>
        </w:rPr>
        <w:fldChar w:fldCharType="end"/>
      </w:r>
      <w:r w:rsidRPr="00F2417D">
        <w:rPr>
          <w:rFonts w:cstheme="minorHAnsi"/>
          <w:sz w:val="24"/>
          <w:szCs w:val="24"/>
        </w:rPr>
        <w:t xml:space="preserve">. If in the process they felt pain, then extensive reform of one of the world’s largest food animal industries is necessary. If the shrimp did not feel pain, but other decapods—perhaps crabs—did, then policy makers </w:t>
      </w:r>
      <w:r w:rsidR="009B2FBA">
        <w:rPr>
          <w:rFonts w:cstheme="minorHAnsi"/>
          <w:sz w:val="24"/>
          <w:szCs w:val="24"/>
        </w:rPr>
        <w:t xml:space="preserve">should </w:t>
      </w:r>
      <w:r w:rsidRPr="00F2417D">
        <w:rPr>
          <w:rFonts w:cstheme="minorHAnsi"/>
          <w:sz w:val="24"/>
          <w:szCs w:val="24"/>
        </w:rPr>
        <w:t xml:space="preserve">concentrate efforts on protecting the decapods most at risk </w:t>
      </w:r>
      <w:r w:rsidR="00CC3EFF">
        <w:rPr>
          <w:rFonts w:cstheme="minorHAnsi"/>
          <w:sz w:val="24"/>
          <w:szCs w:val="24"/>
        </w:rPr>
        <w:t>of</w:t>
      </w:r>
      <w:r w:rsidRPr="00F2417D">
        <w:rPr>
          <w:rFonts w:cstheme="minorHAnsi"/>
          <w:sz w:val="24"/>
          <w:szCs w:val="24"/>
        </w:rPr>
        <w:t xml:space="preserve"> suffering.</w:t>
      </w:r>
    </w:p>
    <w:p w14:paraId="24AE0C80" w14:textId="648C0EBA" w:rsidR="00F2417D" w:rsidRPr="00F2417D" w:rsidRDefault="00F2417D" w:rsidP="00407CF1">
      <w:pPr>
        <w:spacing w:after="120" w:line="240" w:lineRule="auto"/>
        <w:jc w:val="both"/>
        <w:rPr>
          <w:rFonts w:cstheme="minorHAnsi"/>
          <w:sz w:val="24"/>
          <w:szCs w:val="24"/>
        </w:rPr>
      </w:pPr>
      <w:r w:rsidRPr="00F2417D">
        <w:rPr>
          <w:rFonts w:cstheme="minorHAnsi"/>
          <w:sz w:val="24"/>
          <w:szCs w:val="24"/>
        </w:rPr>
        <w:t xml:space="preserve">Crump et al. </w:t>
      </w:r>
      <w:r w:rsidR="009B2FBA">
        <w:rPr>
          <w:rFonts w:cstheme="minorHAnsi"/>
          <w:sz w:val="24"/>
          <w:szCs w:val="24"/>
        </w:rPr>
        <w:t>make</w:t>
      </w:r>
      <w:r w:rsidRPr="00F2417D">
        <w:rPr>
          <w:rFonts w:cstheme="minorHAnsi"/>
          <w:sz w:val="24"/>
          <w:szCs w:val="24"/>
        </w:rPr>
        <w:t xml:space="preserve"> a significant </w:t>
      </w:r>
      <w:r w:rsidR="009B2FBA">
        <w:rPr>
          <w:rFonts w:cstheme="minorHAnsi"/>
          <w:sz w:val="24"/>
          <w:szCs w:val="24"/>
        </w:rPr>
        <w:t>contribution to</w:t>
      </w:r>
      <w:r w:rsidRPr="00F2417D">
        <w:rPr>
          <w:rFonts w:cstheme="minorHAnsi"/>
          <w:sz w:val="24"/>
          <w:szCs w:val="24"/>
        </w:rPr>
        <w:t xml:space="preserve"> </w:t>
      </w:r>
      <w:r w:rsidR="009B2FBA">
        <w:rPr>
          <w:rFonts w:cstheme="minorHAnsi"/>
          <w:sz w:val="24"/>
          <w:szCs w:val="24"/>
        </w:rPr>
        <w:t>this</w:t>
      </w:r>
      <w:r w:rsidRPr="00F2417D">
        <w:rPr>
          <w:rFonts w:cstheme="minorHAnsi"/>
          <w:sz w:val="24"/>
          <w:szCs w:val="24"/>
        </w:rPr>
        <w:t xml:space="preserve"> question. They present a plausible theory of sentience, identify a set of criteria to recognize it</w:t>
      </w:r>
      <w:r w:rsidR="003038D4">
        <w:rPr>
          <w:rFonts w:cstheme="minorHAnsi"/>
          <w:sz w:val="24"/>
          <w:szCs w:val="24"/>
        </w:rPr>
        <w:t>,</w:t>
      </w:r>
      <w:r w:rsidRPr="00F2417D">
        <w:rPr>
          <w:rFonts w:cstheme="minorHAnsi"/>
          <w:sz w:val="24"/>
          <w:szCs w:val="24"/>
        </w:rPr>
        <w:t xml:space="preserve"> and</w:t>
      </w:r>
      <w:r w:rsidR="009B2FBA">
        <w:rPr>
          <w:rFonts w:cstheme="minorHAnsi"/>
          <w:sz w:val="24"/>
          <w:szCs w:val="24"/>
        </w:rPr>
        <w:t xml:space="preserve"> provide a</w:t>
      </w:r>
      <w:r w:rsidRPr="00F2417D">
        <w:rPr>
          <w:rFonts w:cstheme="minorHAnsi"/>
          <w:sz w:val="24"/>
          <w:szCs w:val="24"/>
        </w:rPr>
        <w:t xml:space="preserve"> comprehensive survey </w:t>
      </w:r>
      <w:r w:rsidR="009B2FBA">
        <w:rPr>
          <w:rFonts w:cstheme="minorHAnsi"/>
          <w:sz w:val="24"/>
          <w:szCs w:val="24"/>
        </w:rPr>
        <w:t xml:space="preserve">of </w:t>
      </w:r>
      <w:r w:rsidRPr="00F2417D">
        <w:rPr>
          <w:rFonts w:cstheme="minorHAnsi"/>
          <w:sz w:val="24"/>
          <w:szCs w:val="24"/>
        </w:rPr>
        <w:t>the relevant</w:t>
      </w:r>
      <w:r w:rsidR="00812C48">
        <w:rPr>
          <w:rFonts w:cstheme="minorHAnsi"/>
          <w:sz w:val="24"/>
          <w:szCs w:val="24"/>
        </w:rPr>
        <w:t xml:space="preserve"> studies</w:t>
      </w:r>
      <w:r w:rsidRPr="00F2417D">
        <w:rPr>
          <w:rFonts w:cstheme="minorHAnsi"/>
          <w:sz w:val="24"/>
          <w:szCs w:val="24"/>
        </w:rPr>
        <w:t xml:space="preserve">. Their work lays </w:t>
      </w:r>
      <w:r w:rsidR="00812C48">
        <w:rPr>
          <w:rFonts w:cstheme="minorHAnsi"/>
          <w:sz w:val="24"/>
          <w:szCs w:val="24"/>
        </w:rPr>
        <w:t xml:space="preserve">critical </w:t>
      </w:r>
      <w:r w:rsidRPr="00F2417D">
        <w:rPr>
          <w:rFonts w:cstheme="minorHAnsi"/>
          <w:sz w:val="24"/>
          <w:szCs w:val="24"/>
        </w:rPr>
        <w:t>foundatio</w:t>
      </w:r>
      <w:r w:rsidR="00812C48">
        <w:rPr>
          <w:rFonts w:cstheme="minorHAnsi"/>
          <w:sz w:val="24"/>
          <w:szCs w:val="24"/>
        </w:rPr>
        <w:t>ns</w:t>
      </w:r>
      <w:r w:rsidRPr="00F2417D">
        <w:rPr>
          <w:rFonts w:cstheme="minorHAnsi"/>
          <w:sz w:val="24"/>
          <w:szCs w:val="24"/>
        </w:rPr>
        <w:t xml:space="preserve"> on which others </w:t>
      </w:r>
      <w:r w:rsidR="00812C48">
        <w:rPr>
          <w:rFonts w:cstheme="minorHAnsi"/>
          <w:sz w:val="24"/>
          <w:szCs w:val="24"/>
        </w:rPr>
        <w:t>will</w:t>
      </w:r>
      <w:r w:rsidRPr="00F2417D">
        <w:rPr>
          <w:rFonts w:cstheme="minorHAnsi"/>
          <w:sz w:val="24"/>
          <w:szCs w:val="24"/>
        </w:rPr>
        <w:t xml:space="preserve"> build.</w:t>
      </w:r>
    </w:p>
    <w:p w14:paraId="11920B08" w14:textId="62C57D5B" w:rsidR="00193592" w:rsidRPr="00AB52C3" w:rsidRDefault="00F2417D" w:rsidP="007425A6">
      <w:pPr>
        <w:spacing w:after="120" w:line="240" w:lineRule="auto"/>
        <w:jc w:val="both"/>
        <w:rPr>
          <w:rFonts w:cstheme="minorHAnsi"/>
          <w:sz w:val="24"/>
          <w:szCs w:val="24"/>
        </w:rPr>
      </w:pPr>
      <w:r w:rsidRPr="00F2417D">
        <w:rPr>
          <w:rFonts w:cstheme="minorHAnsi"/>
          <w:sz w:val="24"/>
          <w:szCs w:val="24"/>
        </w:rPr>
        <w:t xml:space="preserve">The findings of the target article suggest a positive, tentative, answer; yes, some decapods probably feel pain. </w:t>
      </w:r>
      <w:r w:rsidR="00CC3EFF">
        <w:rPr>
          <w:rFonts w:cstheme="minorHAnsi"/>
          <w:sz w:val="24"/>
          <w:szCs w:val="24"/>
        </w:rPr>
        <w:t>T</w:t>
      </w:r>
      <w:r w:rsidRPr="00F2417D">
        <w:rPr>
          <w:rFonts w:cstheme="minorHAnsi"/>
          <w:sz w:val="24"/>
          <w:szCs w:val="24"/>
        </w:rPr>
        <w:t xml:space="preserve">his assessment is far from conclusive, </w:t>
      </w:r>
      <w:r w:rsidR="00CC3EFF">
        <w:rPr>
          <w:rFonts w:cstheme="minorHAnsi"/>
          <w:sz w:val="24"/>
          <w:szCs w:val="24"/>
        </w:rPr>
        <w:t xml:space="preserve">however, </w:t>
      </w:r>
      <w:r w:rsidRPr="00F2417D">
        <w:rPr>
          <w:rFonts w:cstheme="minorHAnsi"/>
          <w:sz w:val="24"/>
          <w:szCs w:val="24"/>
        </w:rPr>
        <w:t xml:space="preserve">as the authors </w:t>
      </w:r>
      <w:r w:rsidR="007425A6">
        <w:rPr>
          <w:rFonts w:cstheme="minorHAnsi"/>
          <w:sz w:val="24"/>
          <w:szCs w:val="24"/>
        </w:rPr>
        <w:t>point out</w:t>
      </w:r>
      <w:r w:rsidRPr="00F2417D">
        <w:rPr>
          <w:rFonts w:cstheme="minorHAnsi"/>
          <w:sz w:val="24"/>
          <w:szCs w:val="24"/>
        </w:rPr>
        <w:t xml:space="preserve">, because empirical investigations of the possibility of invertebrate sentience are just beginning. </w:t>
      </w:r>
      <w:r w:rsidR="007425A6">
        <w:rPr>
          <w:rFonts w:cstheme="minorHAnsi"/>
          <w:sz w:val="24"/>
          <w:szCs w:val="24"/>
        </w:rPr>
        <w:t>Crump et al.</w:t>
      </w:r>
      <w:r w:rsidRPr="00F2417D">
        <w:rPr>
          <w:rFonts w:cstheme="minorHAnsi"/>
          <w:sz w:val="24"/>
          <w:szCs w:val="24"/>
        </w:rPr>
        <w:t xml:space="preserve"> are cautious about their judgments and couch them in probabilistic terms</w:t>
      </w:r>
      <w:r w:rsidR="00350A92">
        <w:rPr>
          <w:rFonts w:cstheme="minorHAnsi"/>
          <w:sz w:val="24"/>
          <w:szCs w:val="24"/>
        </w:rPr>
        <w:t xml:space="preserve"> (</w:t>
      </w:r>
      <w:r w:rsidR="003038D4">
        <w:rPr>
          <w:rFonts w:cstheme="minorHAnsi"/>
          <w:sz w:val="24"/>
          <w:szCs w:val="24"/>
        </w:rPr>
        <w:t xml:space="preserve">with </w:t>
      </w:r>
      <w:r w:rsidR="00350A92">
        <w:rPr>
          <w:rFonts w:cstheme="minorHAnsi"/>
          <w:sz w:val="24"/>
          <w:szCs w:val="24"/>
        </w:rPr>
        <w:t>level</w:t>
      </w:r>
      <w:r w:rsidR="00CC3EFF">
        <w:rPr>
          <w:rFonts w:cstheme="minorHAnsi"/>
          <w:sz w:val="24"/>
          <w:szCs w:val="24"/>
        </w:rPr>
        <w:t>s</w:t>
      </w:r>
      <w:r w:rsidR="00350A92">
        <w:rPr>
          <w:rFonts w:cstheme="minorHAnsi"/>
          <w:sz w:val="24"/>
          <w:szCs w:val="24"/>
        </w:rPr>
        <w:t xml:space="preserve"> of confidence from Very High to Very Low)</w:t>
      </w:r>
      <w:r w:rsidRPr="00F2417D">
        <w:rPr>
          <w:rFonts w:cstheme="minorHAnsi"/>
          <w:sz w:val="24"/>
          <w:szCs w:val="24"/>
        </w:rPr>
        <w:t xml:space="preserve">. </w:t>
      </w:r>
    </w:p>
    <w:p w14:paraId="173AA8E3" w14:textId="201A6E97" w:rsidR="00AB52C3" w:rsidRDefault="00AB52C3" w:rsidP="00AB52C3">
      <w:pPr>
        <w:spacing w:after="0" w:line="240" w:lineRule="auto"/>
        <w:ind w:left="1440"/>
        <w:rPr>
          <w:rFonts w:cstheme="minorHAnsi"/>
          <w:sz w:val="13"/>
          <w:szCs w:val="13"/>
        </w:rPr>
      </w:pPr>
      <w:r>
        <w:rPr>
          <w:rFonts w:cstheme="minorHAnsi"/>
          <w:sz w:val="13"/>
          <w:szCs w:val="13"/>
        </w:rPr>
        <w:t xml:space="preserve">                </w:t>
      </w:r>
    </w:p>
    <w:p w14:paraId="7FD36FBF" w14:textId="637980C8" w:rsidR="00AB52C3" w:rsidRDefault="00AB52C3" w:rsidP="00AB52C3">
      <w:pPr>
        <w:spacing w:after="0" w:line="240" w:lineRule="auto"/>
        <w:ind w:left="4320"/>
        <w:rPr>
          <w:rFonts w:cstheme="minorHAnsi"/>
          <w:sz w:val="13"/>
          <w:szCs w:val="13"/>
        </w:rPr>
      </w:pPr>
      <w:r>
        <w:rPr>
          <w:rFonts w:cstheme="minorHAnsi"/>
          <w:b/>
          <w:bCs/>
          <w:sz w:val="13"/>
          <w:szCs w:val="13"/>
        </w:rPr>
        <w:t xml:space="preserve">                                       </w:t>
      </w:r>
    </w:p>
    <w:p w14:paraId="0653A701" w14:textId="58730AA8" w:rsidR="00E74812" w:rsidRDefault="002B4AB2" w:rsidP="00E74812">
      <w:pPr>
        <w:spacing w:after="120" w:line="240" w:lineRule="auto"/>
        <w:jc w:val="both"/>
        <w:rPr>
          <w:rFonts w:cstheme="minorHAnsi"/>
          <w:sz w:val="24"/>
          <w:szCs w:val="24"/>
        </w:rPr>
      </w:pPr>
      <w:r w:rsidRPr="00AB52C3">
        <w:rPr>
          <w:noProof/>
          <w:sz w:val="13"/>
          <w:szCs w:val="13"/>
        </w:rPr>
        <mc:AlternateContent>
          <mc:Choice Requires="wps">
            <w:drawing>
              <wp:anchor distT="0" distB="0" distL="114300" distR="114300" simplePos="0" relativeHeight="251661312" behindDoc="0" locked="0" layoutInCell="1" allowOverlap="1" wp14:anchorId="30920E7D" wp14:editId="48CB6AC2">
                <wp:simplePos x="0" y="0"/>
                <wp:positionH relativeFrom="margin">
                  <wp:posOffset>-66675</wp:posOffset>
                </wp:positionH>
                <wp:positionV relativeFrom="margin">
                  <wp:posOffset>6395720</wp:posOffset>
                </wp:positionV>
                <wp:extent cx="3299460" cy="2164715"/>
                <wp:effectExtent l="0" t="0" r="15240" b="6985"/>
                <wp:wrapSquare wrapText="bothSides"/>
                <wp:docPr id="1" name="Text Box 1"/>
                <wp:cNvGraphicFramePr/>
                <a:graphic xmlns:a="http://schemas.openxmlformats.org/drawingml/2006/main">
                  <a:graphicData uri="http://schemas.microsoft.com/office/word/2010/wordprocessingShape">
                    <wps:wsp>
                      <wps:cNvSpPr txBox="1"/>
                      <wps:spPr>
                        <a:xfrm>
                          <a:off x="0" y="0"/>
                          <a:ext cx="3299460" cy="2164715"/>
                        </a:xfrm>
                        <a:prstGeom prst="rect">
                          <a:avLst/>
                        </a:prstGeom>
                        <a:noFill/>
                        <a:ln w="6350">
                          <a:solidFill>
                            <a:prstClr val="black"/>
                          </a:solidFill>
                        </a:ln>
                      </wps:spPr>
                      <wps:txbx>
                        <w:txbxContent>
                          <w:tbl>
                            <w:tblPr>
                              <w:tblW w:w="6379" w:type="dxa"/>
                              <w:tblLook w:val="04A0" w:firstRow="1" w:lastRow="0" w:firstColumn="1" w:lastColumn="0" w:noHBand="0" w:noVBand="1"/>
                            </w:tblPr>
                            <w:tblGrid>
                              <w:gridCol w:w="6379"/>
                            </w:tblGrid>
                            <w:tr w:rsidR="00AB52C3" w:rsidRPr="00C35EBC" w14:paraId="4C1CA61C" w14:textId="77777777" w:rsidTr="003B0698">
                              <w:trPr>
                                <w:trHeight w:val="320"/>
                              </w:trPr>
                              <w:tc>
                                <w:tcPr>
                                  <w:tcW w:w="6379" w:type="dxa"/>
                                  <w:tcBorders>
                                    <w:top w:val="nil"/>
                                    <w:left w:val="nil"/>
                                    <w:bottom w:val="nil"/>
                                    <w:right w:val="nil"/>
                                  </w:tcBorders>
                                  <w:shd w:val="clear" w:color="auto" w:fill="auto"/>
                                  <w:noWrap/>
                                  <w:vAlign w:val="center"/>
                                  <w:hideMark/>
                                </w:tcPr>
                                <w:p w14:paraId="40D1CFC6"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1. Nociception</w:t>
                                  </w:r>
                                  <w:r w:rsidRPr="00361553">
                                    <w:rPr>
                                      <w:rFonts w:ascii="Cambria" w:hAnsi="Cambria" w:cs="Calibri"/>
                                      <w:color w:val="000000"/>
                                      <w:sz w:val="16"/>
                                      <w:szCs w:val="16"/>
                                      <w:lang w:val="en-AU"/>
                                    </w:rPr>
                                    <w:t xml:space="preserve"> </w:t>
                                  </w:r>
                                </w:p>
                              </w:tc>
                            </w:tr>
                            <w:tr w:rsidR="00AB52C3" w:rsidRPr="00C35EBC" w14:paraId="3E4911C6" w14:textId="77777777" w:rsidTr="003B0698">
                              <w:trPr>
                                <w:trHeight w:val="320"/>
                              </w:trPr>
                              <w:tc>
                                <w:tcPr>
                                  <w:tcW w:w="6379" w:type="dxa"/>
                                  <w:tcBorders>
                                    <w:top w:val="nil"/>
                                    <w:left w:val="nil"/>
                                    <w:bottom w:val="nil"/>
                                    <w:right w:val="nil"/>
                                  </w:tcBorders>
                                  <w:shd w:val="clear" w:color="auto" w:fill="auto"/>
                                  <w:noWrap/>
                                  <w:vAlign w:val="center"/>
                                  <w:hideMark/>
                                </w:tcPr>
                                <w:p w14:paraId="021D6F72"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2. Sensory integration</w:t>
                                  </w:r>
                                </w:p>
                              </w:tc>
                            </w:tr>
                            <w:tr w:rsidR="00AB52C3" w:rsidRPr="00C35EBC" w14:paraId="52CD06A7" w14:textId="77777777" w:rsidTr="003B0698">
                              <w:trPr>
                                <w:trHeight w:val="320"/>
                              </w:trPr>
                              <w:tc>
                                <w:tcPr>
                                  <w:tcW w:w="6379" w:type="dxa"/>
                                  <w:tcBorders>
                                    <w:top w:val="nil"/>
                                    <w:left w:val="nil"/>
                                    <w:bottom w:val="nil"/>
                                    <w:right w:val="nil"/>
                                  </w:tcBorders>
                                  <w:shd w:val="clear" w:color="auto" w:fill="auto"/>
                                  <w:noWrap/>
                                  <w:vAlign w:val="center"/>
                                  <w:hideMark/>
                                </w:tcPr>
                                <w:p w14:paraId="143BBCF7"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3. Integrated</w:t>
                                  </w:r>
                                  <w:r w:rsidRPr="00361553">
                                    <w:rPr>
                                      <w:rFonts w:ascii="Cambria" w:hAnsi="Cambria" w:cs="Calibri"/>
                                      <w:color w:val="000000"/>
                                      <w:sz w:val="16"/>
                                      <w:szCs w:val="16"/>
                                      <w:lang w:val="en-AU"/>
                                    </w:rPr>
                                    <w:t xml:space="preserve"> </w:t>
                                  </w:r>
                                  <w:r w:rsidRPr="00361553">
                                    <w:rPr>
                                      <w:rFonts w:ascii="Cambria" w:hAnsi="Cambria" w:cs="Calibri"/>
                                      <w:b/>
                                      <w:bCs/>
                                      <w:color w:val="000000"/>
                                      <w:sz w:val="16"/>
                                      <w:szCs w:val="16"/>
                                      <w:lang w:val="en-AU"/>
                                    </w:rPr>
                                    <w:t>nociception</w:t>
                                  </w:r>
                                </w:p>
                              </w:tc>
                            </w:tr>
                            <w:tr w:rsidR="00AB52C3" w:rsidRPr="00C35EBC" w14:paraId="725C3974" w14:textId="77777777" w:rsidTr="003B0698">
                              <w:trPr>
                                <w:trHeight w:val="320"/>
                              </w:trPr>
                              <w:tc>
                                <w:tcPr>
                                  <w:tcW w:w="6379" w:type="dxa"/>
                                  <w:tcBorders>
                                    <w:top w:val="nil"/>
                                    <w:left w:val="nil"/>
                                    <w:bottom w:val="nil"/>
                                    <w:right w:val="nil"/>
                                  </w:tcBorders>
                                  <w:shd w:val="clear" w:color="auto" w:fill="auto"/>
                                  <w:noWrap/>
                                  <w:vAlign w:val="center"/>
                                  <w:hideMark/>
                                </w:tcPr>
                                <w:p w14:paraId="1E8513FB"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fr-CA"/>
                                    </w:rPr>
                                    <w:t xml:space="preserve">4. </w:t>
                                  </w:r>
                                  <w:proofErr w:type="spellStart"/>
                                  <w:r w:rsidRPr="00361553">
                                    <w:rPr>
                                      <w:rFonts w:ascii="Cambria" w:hAnsi="Cambria" w:cs="Calibri"/>
                                      <w:b/>
                                      <w:bCs/>
                                      <w:color w:val="000000"/>
                                      <w:sz w:val="16"/>
                                      <w:szCs w:val="16"/>
                                      <w:lang w:val="fr-CA"/>
                                    </w:rPr>
                                    <w:t>Analgesia</w:t>
                                  </w:r>
                                  <w:proofErr w:type="spellEnd"/>
                                  <w:r w:rsidRPr="00361553">
                                    <w:rPr>
                                      <w:rFonts w:ascii="Cambria" w:hAnsi="Cambria" w:cs="Calibri"/>
                                      <w:color w:val="000000"/>
                                      <w:sz w:val="16"/>
                                      <w:szCs w:val="16"/>
                                      <w:lang w:val="fr-CA"/>
                                    </w:rPr>
                                    <w:t xml:space="preserve">: (a) </w:t>
                                  </w:r>
                                  <w:proofErr w:type="spellStart"/>
                                  <w:r w:rsidRPr="00361553">
                                    <w:rPr>
                                      <w:rFonts w:ascii="Cambria" w:hAnsi="Cambria" w:cs="Calibri"/>
                                      <w:color w:val="000000"/>
                                      <w:sz w:val="16"/>
                                      <w:szCs w:val="16"/>
                                      <w:lang w:val="fr-CA"/>
                                    </w:rPr>
                                    <w:t>endogenous</w:t>
                                  </w:r>
                                  <w:proofErr w:type="spellEnd"/>
                                  <w:r w:rsidRPr="00361553">
                                    <w:rPr>
                                      <w:rFonts w:ascii="Cambria" w:hAnsi="Cambria" w:cs="Calibri"/>
                                      <w:color w:val="000000"/>
                                      <w:sz w:val="16"/>
                                      <w:szCs w:val="16"/>
                                      <w:lang w:val="fr-CA"/>
                                    </w:rPr>
                                    <w:t xml:space="preserve"> (b) </w:t>
                                  </w:r>
                                  <w:proofErr w:type="spellStart"/>
                                  <w:r w:rsidRPr="00361553">
                                    <w:rPr>
                                      <w:rFonts w:ascii="Cambria" w:hAnsi="Cambria" w:cs="Calibri"/>
                                      <w:color w:val="000000"/>
                                      <w:sz w:val="16"/>
                                      <w:szCs w:val="16"/>
                                      <w:lang w:val="fr-CA"/>
                                    </w:rPr>
                                    <w:t>exogenous</w:t>
                                  </w:r>
                                  <w:proofErr w:type="spellEnd"/>
                                </w:p>
                              </w:tc>
                            </w:tr>
                            <w:tr w:rsidR="00AB52C3" w:rsidRPr="00C35EBC" w14:paraId="6004F317" w14:textId="77777777" w:rsidTr="003B0698">
                              <w:trPr>
                                <w:trHeight w:val="320"/>
                              </w:trPr>
                              <w:tc>
                                <w:tcPr>
                                  <w:tcW w:w="6379" w:type="dxa"/>
                                  <w:tcBorders>
                                    <w:top w:val="nil"/>
                                    <w:left w:val="nil"/>
                                    <w:bottom w:val="nil"/>
                                    <w:right w:val="nil"/>
                                  </w:tcBorders>
                                  <w:shd w:val="clear" w:color="auto" w:fill="auto"/>
                                  <w:noWrap/>
                                  <w:vAlign w:val="center"/>
                                  <w:hideMark/>
                                </w:tcPr>
                                <w:p w14:paraId="57151CF6"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5. Motivational trade-offs</w:t>
                                  </w:r>
                                </w:p>
                              </w:tc>
                            </w:tr>
                            <w:tr w:rsidR="00AB52C3" w:rsidRPr="00C35EBC" w14:paraId="3543C34F" w14:textId="77777777" w:rsidTr="003B0698">
                              <w:trPr>
                                <w:trHeight w:val="320"/>
                              </w:trPr>
                              <w:tc>
                                <w:tcPr>
                                  <w:tcW w:w="6379" w:type="dxa"/>
                                  <w:tcBorders>
                                    <w:top w:val="nil"/>
                                    <w:left w:val="nil"/>
                                    <w:bottom w:val="nil"/>
                                    <w:right w:val="nil"/>
                                  </w:tcBorders>
                                  <w:shd w:val="clear" w:color="auto" w:fill="auto"/>
                                  <w:noWrap/>
                                  <w:vAlign w:val="center"/>
                                  <w:hideMark/>
                                </w:tcPr>
                                <w:p w14:paraId="38EE9E82"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6. Flexible self-protection</w:t>
                                  </w:r>
                                  <w:r w:rsidRPr="00361553">
                                    <w:rPr>
                                      <w:rFonts w:ascii="Cambria" w:hAnsi="Cambria" w:cs="Calibri"/>
                                      <w:color w:val="000000"/>
                                      <w:sz w:val="16"/>
                                      <w:szCs w:val="16"/>
                                      <w:lang w:val="en-AU"/>
                                    </w:rPr>
                                    <w:t xml:space="preserve"> </w:t>
                                  </w:r>
                                </w:p>
                              </w:tc>
                            </w:tr>
                            <w:tr w:rsidR="00AB52C3" w:rsidRPr="00C35EBC" w14:paraId="720E7A31" w14:textId="77777777" w:rsidTr="003B0698">
                              <w:trPr>
                                <w:trHeight w:val="320"/>
                              </w:trPr>
                              <w:tc>
                                <w:tcPr>
                                  <w:tcW w:w="6379" w:type="dxa"/>
                                  <w:tcBorders>
                                    <w:top w:val="nil"/>
                                    <w:left w:val="nil"/>
                                    <w:bottom w:val="nil"/>
                                    <w:right w:val="nil"/>
                                  </w:tcBorders>
                                  <w:shd w:val="clear" w:color="auto" w:fill="auto"/>
                                  <w:noWrap/>
                                  <w:vAlign w:val="center"/>
                                  <w:hideMark/>
                                </w:tcPr>
                                <w:p w14:paraId="03A87EA0"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7. Associative Learning</w:t>
                                  </w:r>
                                </w:p>
                              </w:tc>
                            </w:tr>
                            <w:tr w:rsidR="00AB52C3" w:rsidRPr="00C35EBC" w14:paraId="38A06951" w14:textId="77777777" w:rsidTr="003B0698">
                              <w:trPr>
                                <w:trHeight w:val="320"/>
                              </w:trPr>
                              <w:tc>
                                <w:tcPr>
                                  <w:tcW w:w="6379" w:type="dxa"/>
                                  <w:tcBorders>
                                    <w:top w:val="nil"/>
                                    <w:left w:val="nil"/>
                                    <w:bottom w:val="nil"/>
                                    <w:right w:val="nil"/>
                                  </w:tcBorders>
                                  <w:shd w:val="clear" w:color="auto" w:fill="auto"/>
                                  <w:noWrap/>
                                  <w:vAlign w:val="center"/>
                                  <w:hideMark/>
                                </w:tcPr>
                                <w:p w14:paraId="3072A13D" w14:textId="77777777" w:rsidR="00AB52C3" w:rsidRPr="00361553" w:rsidRDefault="00AB52C3" w:rsidP="000B2417">
                                  <w:pPr>
                                    <w:spacing w:after="120"/>
                                    <w:jc w:val="both"/>
                                    <w:rPr>
                                      <w:rFonts w:ascii="Cambria" w:hAnsi="Cambria" w:cs="Calibri"/>
                                      <w:b/>
                                      <w:bCs/>
                                      <w:color w:val="000000"/>
                                      <w:sz w:val="16"/>
                                      <w:szCs w:val="16"/>
                                    </w:rPr>
                                  </w:pPr>
                                  <w:r w:rsidRPr="00361553">
                                    <w:rPr>
                                      <w:rFonts w:ascii="Cambria" w:hAnsi="Cambria" w:cs="Calibri"/>
                                      <w:b/>
                                      <w:bCs/>
                                      <w:color w:val="000000"/>
                                      <w:sz w:val="16"/>
                                      <w:szCs w:val="16"/>
                                      <w:lang w:val="en-AU"/>
                                    </w:rPr>
                                    <w:t>8. Analgesia preference</w:t>
                                  </w:r>
                                  <w:r w:rsidRPr="00361553">
                                    <w:rPr>
                                      <w:rFonts w:ascii="Cambria" w:hAnsi="Cambria" w:cs="Calibri"/>
                                      <w:color w:val="000000"/>
                                      <w:sz w:val="16"/>
                                      <w:szCs w:val="16"/>
                                      <w:lang w:val="en-AU"/>
                                    </w:rPr>
                                    <w:t>: (a) self-administer (b) location (c) prioritise</w:t>
                                  </w:r>
                                  <w:r w:rsidRPr="00C35EBC">
                                    <w:rPr>
                                      <w:rFonts w:ascii="Cambria" w:hAnsi="Cambria" w:cs="Calibri"/>
                                      <w:color w:val="000000"/>
                                      <w:sz w:val="16"/>
                                      <w:szCs w:val="16"/>
                                      <w:lang w:val="en-AU"/>
                                    </w:rPr>
                                    <w:t>d</w:t>
                                  </w:r>
                                  <w:r w:rsidRPr="00361553">
                                    <w:rPr>
                                      <w:rFonts w:ascii="Cambria" w:hAnsi="Cambria" w:cs="Calibri"/>
                                      <w:color w:val="000000"/>
                                      <w:sz w:val="16"/>
                                      <w:szCs w:val="16"/>
                                      <w:lang w:val="en-AU"/>
                                    </w:rPr>
                                    <w:t xml:space="preserve"> </w:t>
                                  </w:r>
                                </w:p>
                              </w:tc>
                            </w:tr>
                          </w:tbl>
                          <w:p w14:paraId="7CF51F30" w14:textId="77777777" w:rsidR="00AB52C3" w:rsidRPr="00B43D72" w:rsidRDefault="00AB52C3" w:rsidP="00AB52C3">
                            <w:pPr>
                              <w:jc w:val="center"/>
                              <w:rPr>
                                <w:rFonts w:ascii="Cambria" w:hAnsi="Cambria"/>
                                <w:b/>
                                <w:bCs/>
                                <w:sz w:val="20"/>
                                <w:szCs w:val="20"/>
                              </w:rPr>
                            </w:pPr>
                            <w:r w:rsidRPr="00B43D72">
                              <w:rPr>
                                <w:rFonts w:ascii="Cambria" w:hAnsi="Cambria"/>
                                <w:b/>
                                <w:bCs/>
                                <w:sz w:val="20"/>
                                <w:szCs w:val="20"/>
                              </w:rPr>
                              <w:t>Crump et al.’s 8 criteria</w:t>
                            </w:r>
                          </w:p>
                          <w:p w14:paraId="62BA81AD" w14:textId="77777777" w:rsidR="00AB52C3" w:rsidRPr="00C35EBC" w:rsidRDefault="00AB52C3" w:rsidP="00AB52C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20E7D" id="_x0000_t202" coordsize="21600,21600" o:spt="202" path="m,l,21600r21600,l21600,xe">
                <v:stroke joinstyle="miter"/>
                <v:path gradientshapeok="t" o:connecttype="rect"/>
              </v:shapetype>
              <v:shape id="Text Box 1" o:spid="_x0000_s1026" type="#_x0000_t202" style="position:absolute;left:0;text-align:left;margin-left:-5.25pt;margin-top:503.6pt;width:259.8pt;height:17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" filled="f" strokeweight=".5pt">
                <v:textbox>
                  <w:txbxContent>
                    <w:tbl>
                      <w:tblPr>
                        <w:tblW w:w="6379" w:type="dxa"/>
                        <w:tblLook w:val="04A0" w:firstRow="1" w:lastRow="0" w:firstColumn="1" w:lastColumn="0" w:noHBand="0" w:noVBand="1"/>
                      </w:tblPr>
                      <w:tblGrid>
                        <w:gridCol w:w="6379"/>
                      </w:tblGrid>
                      <w:tr w:rsidR="00AB52C3" w:rsidRPr="00C35EBC" w14:paraId="4C1CA61C" w14:textId="77777777" w:rsidTr="003B0698">
                        <w:trPr>
                          <w:trHeight w:val="320"/>
                        </w:trPr>
                        <w:tc>
                          <w:tcPr>
                            <w:tcW w:w="6379" w:type="dxa"/>
                            <w:tcBorders>
                              <w:top w:val="nil"/>
                              <w:left w:val="nil"/>
                              <w:bottom w:val="nil"/>
                              <w:right w:val="nil"/>
                            </w:tcBorders>
                            <w:shd w:val="clear" w:color="auto" w:fill="auto"/>
                            <w:noWrap/>
                            <w:vAlign w:val="center"/>
                            <w:hideMark/>
                          </w:tcPr>
                          <w:p w14:paraId="40D1CFC6"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1. Nociception</w:t>
                            </w:r>
                            <w:r w:rsidRPr="00361553">
                              <w:rPr>
                                <w:rFonts w:ascii="Cambria" w:hAnsi="Cambria" w:cs="Calibri"/>
                                <w:color w:val="000000"/>
                                <w:sz w:val="16"/>
                                <w:szCs w:val="16"/>
                                <w:lang w:val="en-AU"/>
                              </w:rPr>
                              <w:t xml:space="preserve"> </w:t>
                            </w:r>
                          </w:p>
                        </w:tc>
                      </w:tr>
                      <w:tr w:rsidR="00AB52C3" w:rsidRPr="00C35EBC" w14:paraId="3E4911C6" w14:textId="77777777" w:rsidTr="003B0698">
                        <w:trPr>
                          <w:trHeight w:val="320"/>
                        </w:trPr>
                        <w:tc>
                          <w:tcPr>
                            <w:tcW w:w="6379" w:type="dxa"/>
                            <w:tcBorders>
                              <w:top w:val="nil"/>
                              <w:left w:val="nil"/>
                              <w:bottom w:val="nil"/>
                              <w:right w:val="nil"/>
                            </w:tcBorders>
                            <w:shd w:val="clear" w:color="auto" w:fill="auto"/>
                            <w:noWrap/>
                            <w:vAlign w:val="center"/>
                            <w:hideMark/>
                          </w:tcPr>
                          <w:p w14:paraId="021D6F72"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2. Sensory integration</w:t>
                            </w:r>
                          </w:p>
                        </w:tc>
                      </w:tr>
                      <w:tr w:rsidR="00AB52C3" w:rsidRPr="00C35EBC" w14:paraId="52CD06A7" w14:textId="77777777" w:rsidTr="003B0698">
                        <w:trPr>
                          <w:trHeight w:val="320"/>
                        </w:trPr>
                        <w:tc>
                          <w:tcPr>
                            <w:tcW w:w="6379" w:type="dxa"/>
                            <w:tcBorders>
                              <w:top w:val="nil"/>
                              <w:left w:val="nil"/>
                              <w:bottom w:val="nil"/>
                              <w:right w:val="nil"/>
                            </w:tcBorders>
                            <w:shd w:val="clear" w:color="auto" w:fill="auto"/>
                            <w:noWrap/>
                            <w:vAlign w:val="center"/>
                            <w:hideMark/>
                          </w:tcPr>
                          <w:p w14:paraId="143BBCF7"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3. Integrated</w:t>
                            </w:r>
                            <w:r w:rsidRPr="00361553">
                              <w:rPr>
                                <w:rFonts w:ascii="Cambria" w:hAnsi="Cambria" w:cs="Calibri"/>
                                <w:color w:val="000000"/>
                                <w:sz w:val="16"/>
                                <w:szCs w:val="16"/>
                                <w:lang w:val="en-AU"/>
                              </w:rPr>
                              <w:t xml:space="preserve"> </w:t>
                            </w:r>
                            <w:r w:rsidRPr="00361553">
                              <w:rPr>
                                <w:rFonts w:ascii="Cambria" w:hAnsi="Cambria" w:cs="Calibri"/>
                                <w:b/>
                                <w:bCs/>
                                <w:color w:val="000000"/>
                                <w:sz w:val="16"/>
                                <w:szCs w:val="16"/>
                                <w:lang w:val="en-AU"/>
                              </w:rPr>
                              <w:t>nociception</w:t>
                            </w:r>
                          </w:p>
                        </w:tc>
                      </w:tr>
                      <w:tr w:rsidR="00AB52C3" w:rsidRPr="00C35EBC" w14:paraId="725C3974" w14:textId="77777777" w:rsidTr="003B0698">
                        <w:trPr>
                          <w:trHeight w:val="320"/>
                        </w:trPr>
                        <w:tc>
                          <w:tcPr>
                            <w:tcW w:w="6379" w:type="dxa"/>
                            <w:tcBorders>
                              <w:top w:val="nil"/>
                              <w:left w:val="nil"/>
                              <w:bottom w:val="nil"/>
                              <w:right w:val="nil"/>
                            </w:tcBorders>
                            <w:shd w:val="clear" w:color="auto" w:fill="auto"/>
                            <w:noWrap/>
                            <w:vAlign w:val="center"/>
                            <w:hideMark/>
                          </w:tcPr>
                          <w:p w14:paraId="1E8513FB"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fr-CA"/>
                              </w:rPr>
                              <w:t xml:space="preserve">4. </w:t>
                            </w:r>
                            <w:proofErr w:type="spellStart"/>
                            <w:r w:rsidRPr="00361553">
                              <w:rPr>
                                <w:rFonts w:ascii="Cambria" w:hAnsi="Cambria" w:cs="Calibri"/>
                                <w:b/>
                                <w:bCs/>
                                <w:color w:val="000000"/>
                                <w:sz w:val="16"/>
                                <w:szCs w:val="16"/>
                                <w:lang w:val="fr-CA"/>
                              </w:rPr>
                              <w:t>Analgesia</w:t>
                            </w:r>
                            <w:proofErr w:type="spellEnd"/>
                            <w:r w:rsidRPr="00361553">
                              <w:rPr>
                                <w:rFonts w:ascii="Cambria" w:hAnsi="Cambria" w:cs="Calibri"/>
                                <w:color w:val="000000"/>
                                <w:sz w:val="16"/>
                                <w:szCs w:val="16"/>
                                <w:lang w:val="fr-CA"/>
                              </w:rPr>
                              <w:t xml:space="preserve">: (a) </w:t>
                            </w:r>
                            <w:proofErr w:type="spellStart"/>
                            <w:r w:rsidRPr="00361553">
                              <w:rPr>
                                <w:rFonts w:ascii="Cambria" w:hAnsi="Cambria" w:cs="Calibri"/>
                                <w:color w:val="000000"/>
                                <w:sz w:val="16"/>
                                <w:szCs w:val="16"/>
                                <w:lang w:val="fr-CA"/>
                              </w:rPr>
                              <w:t>endogenous</w:t>
                            </w:r>
                            <w:proofErr w:type="spellEnd"/>
                            <w:r w:rsidRPr="00361553">
                              <w:rPr>
                                <w:rFonts w:ascii="Cambria" w:hAnsi="Cambria" w:cs="Calibri"/>
                                <w:color w:val="000000"/>
                                <w:sz w:val="16"/>
                                <w:szCs w:val="16"/>
                                <w:lang w:val="fr-CA"/>
                              </w:rPr>
                              <w:t xml:space="preserve"> (b) </w:t>
                            </w:r>
                            <w:proofErr w:type="spellStart"/>
                            <w:r w:rsidRPr="00361553">
                              <w:rPr>
                                <w:rFonts w:ascii="Cambria" w:hAnsi="Cambria" w:cs="Calibri"/>
                                <w:color w:val="000000"/>
                                <w:sz w:val="16"/>
                                <w:szCs w:val="16"/>
                                <w:lang w:val="fr-CA"/>
                              </w:rPr>
                              <w:t>exogenous</w:t>
                            </w:r>
                            <w:proofErr w:type="spellEnd"/>
                          </w:p>
                        </w:tc>
                      </w:tr>
                      <w:tr w:rsidR="00AB52C3" w:rsidRPr="00C35EBC" w14:paraId="6004F317" w14:textId="77777777" w:rsidTr="003B0698">
                        <w:trPr>
                          <w:trHeight w:val="320"/>
                        </w:trPr>
                        <w:tc>
                          <w:tcPr>
                            <w:tcW w:w="6379" w:type="dxa"/>
                            <w:tcBorders>
                              <w:top w:val="nil"/>
                              <w:left w:val="nil"/>
                              <w:bottom w:val="nil"/>
                              <w:right w:val="nil"/>
                            </w:tcBorders>
                            <w:shd w:val="clear" w:color="auto" w:fill="auto"/>
                            <w:noWrap/>
                            <w:vAlign w:val="center"/>
                            <w:hideMark/>
                          </w:tcPr>
                          <w:p w14:paraId="57151CF6"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5. Motivational trade-offs</w:t>
                            </w:r>
                          </w:p>
                        </w:tc>
                      </w:tr>
                      <w:tr w:rsidR="00AB52C3" w:rsidRPr="00C35EBC" w14:paraId="3543C34F" w14:textId="77777777" w:rsidTr="003B0698">
                        <w:trPr>
                          <w:trHeight w:val="320"/>
                        </w:trPr>
                        <w:tc>
                          <w:tcPr>
                            <w:tcW w:w="6379" w:type="dxa"/>
                            <w:tcBorders>
                              <w:top w:val="nil"/>
                              <w:left w:val="nil"/>
                              <w:bottom w:val="nil"/>
                              <w:right w:val="nil"/>
                            </w:tcBorders>
                            <w:shd w:val="clear" w:color="auto" w:fill="auto"/>
                            <w:noWrap/>
                            <w:vAlign w:val="center"/>
                            <w:hideMark/>
                          </w:tcPr>
                          <w:p w14:paraId="38EE9E82"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6. Flexible self-protection</w:t>
                            </w:r>
                            <w:r w:rsidRPr="00361553">
                              <w:rPr>
                                <w:rFonts w:ascii="Cambria" w:hAnsi="Cambria" w:cs="Calibri"/>
                                <w:color w:val="000000"/>
                                <w:sz w:val="16"/>
                                <w:szCs w:val="16"/>
                                <w:lang w:val="en-AU"/>
                              </w:rPr>
                              <w:t xml:space="preserve"> </w:t>
                            </w:r>
                          </w:p>
                        </w:tc>
                      </w:tr>
                      <w:tr w:rsidR="00AB52C3" w:rsidRPr="00C35EBC" w14:paraId="720E7A31" w14:textId="77777777" w:rsidTr="003B0698">
                        <w:trPr>
                          <w:trHeight w:val="320"/>
                        </w:trPr>
                        <w:tc>
                          <w:tcPr>
                            <w:tcW w:w="6379" w:type="dxa"/>
                            <w:tcBorders>
                              <w:top w:val="nil"/>
                              <w:left w:val="nil"/>
                              <w:bottom w:val="nil"/>
                              <w:right w:val="nil"/>
                            </w:tcBorders>
                            <w:shd w:val="clear" w:color="auto" w:fill="auto"/>
                            <w:noWrap/>
                            <w:vAlign w:val="center"/>
                            <w:hideMark/>
                          </w:tcPr>
                          <w:p w14:paraId="03A87EA0" w14:textId="77777777" w:rsidR="00AB52C3" w:rsidRPr="00361553" w:rsidRDefault="00AB52C3" w:rsidP="00851BBE">
                            <w:pPr>
                              <w:jc w:val="both"/>
                              <w:rPr>
                                <w:rFonts w:ascii="Cambria" w:hAnsi="Cambria" w:cs="Calibri"/>
                                <w:b/>
                                <w:bCs/>
                                <w:color w:val="000000"/>
                                <w:sz w:val="16"/>
                                <w:szCs w:val="16"/>
                              </w:rPr>
                            </w:pPr>
                            <w:r w:rsidRPr="00361553">
                              <w:rPr>
                                <w:rFonts w:ascii="Cambria" w:hAnsi="Cambria" w:cs="Calibri"/>
                                <w:b/>
                                <w:bCs/>
                                <w:color w:val="000000"/>
                                <w:sz w:val="16"/>
                                <w:szCs w:val="16"/>
                                <w:lang w:val="en-AU"/>
                              </w:rPr>
                              <w:t>7. Associative Learning</w:t>
                            </w:r>
                          </w:p>
                        </w:tc>
                      </w:tr>
                      <w:tr w:rsidR="00AB52C3" w:rsidRPr="00C35EBC" w14:paraId="38A06951" w14:textId="77777777" w:rsidTr="003B0698">
                        <w:trPr>
                          <w:trHeight w:val="320"/>
                        </w:trPr>
                        <w:tc>
                          <w:tcPr>
                            <w:tcW w:w="6379" w:type="dxa"/>
                            <w:tcBorders>
                              <w:top w:val="nil"/>
                              <w:left w:val="nil"/>
                              <w:bottom w:val="nil"/>
                              <w:right w:val="nil"/>
                            </w:tcBorders>
                            <w:shd w:val="clear" w:color="auto" w:fill="auto"/>
                            <w:noWrap/>
                            <w:vAlign w:val="center"/>
                            <w:hideMark/>
                          </w:tcPr>
                          <w:p w14:paraId="3072A13D" w14:textId="77777777" w:rsidR="00AB52C3" w:rsidRPr="00361553" w:rsidRDefault="00AB52C3" w:rsidP="000B2417">
                            <w:pPr>
                              <w:spacing w:after="120"/>
                              <w:jc w:val="both"/>
                              <w:rPr>
                                <w:rFonts w:ascii="Cambria" w:hAnsi="Cambria" w:cs="Calibri"/>
                                <w:b/>
                                <w:bCs/>
                                <w:color w:val="000000"/>
                                <w:sz w:val="16"/>
                                <w:szCs w:val="16"/>
                              </w:rPr>
                            </w:pPr>
                            <w:r w:rsidRPr="00361553">
                              <w:rPr>
                                <w:rFonts w:ascii="Cambria" w:hAnsi="Cambria" w:cs="Calibri"/>
                                <w:b/>
                                <w:bCs/>
                                <w:color w:val="000000"/>
                                <w:sz w:val="16"/>
                                <w:szCs w:val="16"/>
                                <w:lang w:val="en-AU"/>
                              </w:rPr>
                              <w:t>8. Analgesia preference</w:t>
                            </w:r>
                            <w:r w:rsidRPr="00361553">
                              <w:rPr>
                                <w:rFonts w:ascii="Cambria" w:hAnsi="Cambria" w:cs="Calibri"/>
                                <w:color w:val="000000"/>
                                <w:sz w:val="16"/>
                                <w:szCs w:val="16"/>
                                <w:lang w:val="en-AU"/>
                              </w:rPr>
                              <w:t>: (a) self-administer (b) location (c) prioritise</w:t>
                            </w:r>
                            <w:r w:rsidRPr="00C35EBC">
                              <w:rPr>
                                <w:rFonts w:ascii="Cambria" w:hAnsi="Cambria" w:cs="Calibri"/>
                                <w:color w:val="000000"/>
                                <w:sz w:val="16"/>
                                <w:szCs w:val="16"/>
                                <w:lang w:val="en-AU"/>
                              </w:rPr>
                              <w:t>d</w:t>
                            </w:r>
                            <w:r w:rsidRPr="00361553">
                              <w:rPr>
                                <w:rFonts w:ascii="Cambria" w:hAnsi="Cambria" w:cs="Calibri"/>
                                <w:color w:val="000000"/>
                                <w:sz w:val="16"/>
                                <w:szCs w:val="16"/>
                                <w:lang w:val="en-AU"/>
                              </w:rPr>
                              <w:t xml:space="preserve"> </w:t>
                            </w:r>
                          </w:p>
                        </w:tc>
                      </w:tr>
                    </w:tbl>
                    <w:p w14:paraId="7CF51F30" w14:textId="77777777" w:rsidR="00AB52C3" w:rsidRPr="00B43D72" w:rsidRDefault="00AB52C3" w:rsidP="00AB52C3">
                      <w:pPr>
                        <w:jc w:val="center"/>
                        <w:rPr>
                          <w:rFonts w:ascii="Cambria" w:hAnsi="Cambria"/>
                          <w:b/>
                          <w:bCs/>
                          <w:sz w:val="20"/>
                          <w:szCs w:val="20"/>
                        </w:rPr>
                      </w:pPr>
                      <w:r w:rsidRPr="00B43D72">
                        <w:rPr>
                          <w:rFonts w:ascii="Cambria" w:hAnsi="Cambria"/>
                          <w:b/>
                          <w:bCs/>
                          <w:sz w:val="20"/>
                          <w:szCs w:val="20"/>
                        </w:rPr>
                        <w:t>Crump et al.’s 8 criteria</w:t>
                      </w:r>
                    </w:p>
                    <w:p w14:paraId="62BA81AD" w14:textId="77777777" w:rsidR="00AB52C3" w:rsidRPr="00C35EBC" w:rsidRDefault="00AB52C3" w:rsidP="00AB52C3">
                      <w:pPr>
                        <w:rPr>
                          <w:sz w:val="16"/>
                          <w:szCs w:val="16"/>
                        </w:rPr>
                      </w:pPr>
                    </w:p>
                  </w:txbxContent>
                </v:textbox>
                <w10:wrap type="square" anchorx="margin" anchory="margin"/>
              </v:shape>
            </w:pict>
          </mc:Fallback>
        </mc:AlternateContent>
      </w:r>
      <w:r w:rsidR="00D42784">
        <w:rPr>
          <w:rFonts w:cstheme="minorHAnsi"/>
          <w:noProof/>
          <w:sz w:val="24"/>
          <w:szCs w:val="24"/>
        </w:rPr>
        <w:drawing>
          <wp:anchor distT="0" distB="0" distL="114300" distR="114300" simplePos="0" relativeHeight="251659264" behindDoc="0" locked="0" layoutInCell="1" allowOverlap="1" wp14:anchorId="4FC4B767" wp14:editId="1A26DD97">
            <wp:simplePos x="0" y="0"/>
            <wp:positionH relativeFrom="margin">
              <wp:posOffset>3448050</wp:posOffset>
            </wp:positionH>
            <wp:positionV relativeFrom="margin">
              <wp:posOffset>6565265</wp:posOffset>
            </wp:positionV>
            <wp:extent cx="2296795" cy="1562100"/>
            <wp:effectExtent l="0" t="0" r="1905" b="0"/>
            <wp:wrapSquare wrapText="bothSides"/>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96795" cy="1562100"/>
                    </a:xfrm>
                    <a:prstGeom prst="rect">
                      <a:avLst/>
                    </a:prstGeom>
                  </pic:spPr>
                </pic:pic>
              </a:graphicData>
            </a:graphic>
          </wp:anchor>
        </w:drawing>
      </w:r>
      <w:bookmarkStart w:id="0" w:name="_Hlk106734338"/>
    </w:p>
    <w:p w14:paraId="4DFC3E38" w14:textId="3D21E5A0" w:rsidR="002B4AB2" w:rsidRDefault="00E74812" w:rsidP="00D42784">
      <w:pPr>
        <w:spacing w:after="0" w:line="240" w:lineRule="auto"/>
        <w:ind w:left="2880"/>
        <w:rPr>
          <w:rFonts w:cstheme="minorHAnsi"/>
          <w:sz w:val="13"/>
          <w:szCs w:val="13"/>
        </w:rPr>
      </w:pPr>
      <w:r>
        <w:rPr>
          <w:rFonts w:cstheme="minorHAnsi"/>
          <w:sz w:val="13"/>
          <w:szCs w:val="13"/>
        </w:rPr>
        <w:t xml:space="preserve">                                   </w:t>
      </w:r>
      <w:r w:rsidR="002B4AB2">
        <w:rPr>
          <w:rFonts w:cstheme="minorHAnsi"/>
          <w:sz w:val="13"/>
          <w:szCs w:val="13"/>
        </w:rPr>
        <w:t xml:space="preserve">    </w:t>
      </w:r>
    </w:p>
    <w:p w14:paraId="523A7A0C" w14:textId="2C1E3F14" w:rsidR="00E74812" w:rsidRPr="00CC052D" w:rsidRDefault="002B4AB2" w:rsidP="00D42784">
      <w:pPr>
        <w:spacing w:after="0" w:line="240" w:lineRule="auto"/>
        <w:ind w:left="2880"/>
        <w:rPr>
          <w:rFonts w:cstheme="minorHAnsi"/>
          <w:sz w:val="16"/>
          <w:szCs w:val="16"/>
        </w:rPr>
      </w:pPr>
      <w:r>
        <w:rPr>
          <w:rFonts w:cstheme="minorHAnsi"/>
          <w:sz w:val="13"/>
          <w:szCs w:val="13"/>
        </w:rPr>
        <w:t xml:space="preserve">                                     </w:t>
      </w:r>
      <w:r w:rsidR="00E74812" w:rsidRPr="00B43D72">
        <w:rPr>
          <w:rFonts w:cstheme="minorHAnsi"/>
          <w:b/>
          <w:bCs/>
          <w:sz w:val="20"/>
          <w:szCs w:val="20"/>
        </w:rPr>
        <w:t xml:space="preserve">Table </w:t>
      </w:r>
      <w:proofErr w:type="gramStart"/>
      <w:r w:rsidR="00E74812" w:rsidRPr="00B43D72">
        <w:rPr>
          <w:rFonts w:cstheme="minorHAnsi"/>
          <w:b/>
          <w:bCs/>
          <w:sz w:val="20"/>
          <w:szCs w:val="20"/>
        </w:rPr>
        <w:t xml:space="preserve">1  </w:t>
      </w:r>
      <w:r w:rsidR="00CC052D" w:rsidRPr="00CC052D">
        <w:rPr>
          <w:rFonts w:cstheme="minorHAnsi"/>
          <w:sz w:val="16"/>
          <w:szCs w:val="16"/>
        </w:rPr>
        <w:t>(</w:t>
      </w:r>
      <w:proofErr w:type="gramEnd"/>
      <w:r w:rsidR="00CC052D" w:rsidRPr="00CC052D">
        <w:rPr>
          <w:rFonts w:cstheme="minorHAnsi"/>
          <w:sz w:val="16"/>
          <w:szCs w:val="16"/>
        </w:rPr>
        <w:t>from Crump et al. 2022)</w:t>
      </w:r>
      <w:r w:rsidR="00E74812" w:rsidRPr="00CC052D">
        <w:rPr>
          <w:rFonts w:cstheme="minorHAnsi"/>
          <w:sz w:val="16"/>
          <w:szCs w:val="16"/>
        </w:rPr>
        <w:t xml:space="preserve">         </w:t>
      </w:r>
    </w:p>
    <w:p w14:paraId="35A217BC" w14:textId="41C43B12" w:rsidR="00D42784" w:rsidRPr="00D42784" w:rsidRDefault="00D42784" w:rsidP="00D42784">
      <w:pPr>
        <w:spacing w:after="0" w:line="240" w:lineRule="auto"/>
        <w:ind w:left="2880"/>
        <w:rPr>
          <w:rFonts w:cstheme="minorHAnsi"/>
          <w:sz w:val="15"/>
          <w:szCs w:val="15"/>
        </w:rPr>
      </w:pPr>
      <w:r w:rsidRPr="00D42784">
        <w:rPr>
          <w:rFonts w:cstheme="minorHAnsi"/>
          <w:sz w:val="15"/>
          <w:szCs w:val="15"/>
        </w:rPr>
        <w:t xml:space="preserve"> </w:t>
      </w:r>
      <w:r w:rsidR="002B4AB2">
        <w:rPr>
          <w:rFonts w:cstheme="minorHAnsi"/>
          <w:sz w:val="15"/>
          <w:szCs w:val="15"/>
        </w:rPr>
        <w:t xml:space="preserve">  </w:t>
      </w:r>
      <w:r w:rsidRPr="00D42784">
        <w:rPr>
          <w:rFonts w:cstheme="minorHAnsi"/>
          <w:sz w:val="15"/>
          <w:szCs w:val="15"/>
        </w:rPr>
        <w:t>Confidence</w:t>
      </w:r>
      <w:r w:rsidR="00CC052D">
        <w:rPr>
          <w:rFonts w:cstheme="minorHAnsi"/>
          <w:sz w:val="15"/>
          <w:szCs w:val="15"/>
        </w:rPr>
        <w:t>:</w:t>
      </w:r>
      <w:r w:rsidRPr="00D42784">
        <w:rPr>
          <w:rFonts w:cstheme="minorHAnsi"/>
          <w:sz w:val="15"/>
          <w:szCs w:val="15"/>
        </w:rPr>
        <w:t xml:space="preserve"> Very High (VH), High (H), Low (L) Very Low (VL)</w:t>
      </w:r>
    </w:p>
    <w:p w14:paraId="1679A23C" w14:textId="26754BB5" w:rsidR="00034DFB" w:rsidRDefault="00034DFB" w:rsidP="00193592">
      <w:pPr>
        <w:spacing w:after="120" w:line="240" w:lineRule="auto"/>
        <w:jc w:val="both"/>
        <w:rPr>
          <w:rFonts w:cstheme="minorHAnsi"/>
          <w:sz w:val="24"/>
          <w:szCs w:val="24"/>
        </w:rPr>
      </w:pPr>
    </w:p>
    <w:p w14:paraId="4635F20F" w14:textId="41439952" w:rsidR="00BA1DAB" w:rsidRDefault="00193592" w:rsidP="00193592">
      <w:pPr>
        <w:spacing w:after="120" w:line="240" w:lineRule="auto"/>
        <w:jc w:val="both"/>
        <w:rPr>
          <w:rFonts w:cstheme="minorHAnsi"/>
          <w:sz w:val="24"/>
          <w:szCs w:val="24"/>
        </w:rPr>
      </w:pPr>
      <w:r>
        <w:rPr>
          <w:rFonts w:cstheme="minorHAnsi"/>
          <w:sz w:val="24"/>
          <w:szCs w:val="24"/>
        </w:rPr>
        <w:lastRenderedPageBreak/>
        <w:t>The</w:t>
      </w:r>
      <w:r w:rsidRPr="00F2417D">
        <w:rPr>
          <w:rFonts w:cstheme="minorHAnsi"/>
          <w:sz w:val="24"/>
          <w:szCs w:val="24"/>
        </w:rPr>
        <w:t xml:space="preserve"> findings raise the possibility that pain in decapods </w:t>
      </w:r>
      <w:r w:rsidR="008505E6">
        <w:rPr>
          <w:rFonts w:cstheme="minorHAnsi"/>
          <w:sz w:val="24"/>
          <w:szCs w:val="24"/>
        </w:rPr>
        <w:t>is</w:t>
      </w:r>
      <w:r w:rsidR="008505E6" w:rsidRPr="00F2417D">
        <w:rPr>
          <w:rFonts w:cstheme="minorHAnsi"/>
          <w:sz w:val="24"/>
          <w:szCs w:val="24"/>
        </w:rPr>
        <w:t xml:space="preserve"> </w:t>
      </w:r>
      <w:r w:rsidRPr="00F2417D">
        <w:rPr>
          <w:rFonts w:cstheme="minorHAnsi"/>
          <w:sz w:val="24"/>
          <w:szCs w:val="24"/>
        </w:rPr>
        <w:t xml:space="preserve">not evenly distributed. As </w:t>
      </w:r>
      <w:r>
        <w:rPr>
          <w:rFonts w:cstheme="minorHAnsi"/>
          <w:sz w:val="24"/>
          <w:szCs w:val="24"/>
        </w:rPr>
        <w:t xml:space="preserve">illustrated </w:t>
      </w:r>
      <w:r w:rsidRPr="00F2417D">
        <w:rPr>
          <w:rFonts w:cstheme="minorHAnsi"/>
          <w:sz w:val="24"/>
          <w:szCs w:val="24"/>
        </w:rPr>
        <w:t xml:space="preserve">in </w:t>
      </w:r>
      <w:r>
        <w:rPr>
          <w:rFonts w:cstheme="minorHAnsi"/>
          <w:sz w:val="24"/>
          <w:szCs w:val="24"/>
        </w:rPr>
        <w:t xml:space="preserve">Crump et al.’s </w:t>
      </w:r>
      <w:r w:rsidRPr="00F2417D">
        <w:rPr>
          <w:rFonts w:cstheme="minorHAnsi"/>
          <w:sz w:val="24"/>
          <w:szCs w:val="24"/>
        </w:rPr>
        <w:t>Table 1, the case for pain is strongest in true crabs and hermit crabs (infraorders Brachyura and Anomura), followed by crayfish (</w:t>
      </w:r>
      <w:proofErr w:type="spellStart"/>
      <w:r w:rsidRPr="00F2417D">
        <w:rPr>
          <w:rFonts w:cstheme="minorHAnsi"/>
          <w:sz w:val="24"/>
          <w:szCs w:val="24"/>
        </w:rPr>
        <w:t>Astacidea</w:t>
      </w:r>
      <w:proofErr w:type="spellEnd"/>
      <w:r w:rsidRPr="00F2417D">
        <w:rPr>
          <w:rFonts w:cstheme="minorHAnsi"/>
          <w:sz w:val="24"/>
          <w:szCs w:val="24"/>
        </w:rPr>
        <w:t>), and spiny lobsters (</w:t>
      </w:r>
      <w:proofErr w:type="spellStart"/>
      <w:r w:rsidRPr="00F2417D">
        <w:rPr>
          <w:rFonts w:cstheme="minorHAnsi"/>
          <w:sz w:val="24"/>
          <w:szCs w:val="24"/>
        </w:rPr>
        <w:t>Achelata</w:t>
      </w:r>
      <w:proofErr w:type="spellEnd"/>
      <w:r w:rsidRPr="00F2417D">
        <w:rPr>
          <w:rFonts w:cstheme="minorHAnsi"/>
          <w:sz w:val="24"/>
          <w:szCs w:val="24"/>
        </w:rPr>
        <w:t>). The case for pain in true shrimps (</w:t>
      </w:r>
      <w:proofErr w:type="spellStart"/>
      <w:r w:rsidRPr="00F2417D">
        <w:rPr>
          <w:rFonts w:cstheme="minorHAnsi"/>
          <w:sz w:val="24"/>
          <w:szCs w:val="24"/>
        </w:rPr>
        <w:t>Caridea</w:t>
      </w:r>
      <w:proofErr w:type="spellEnd"/>
      <w:r w:rsidRPr="00F2417D">
        <w:rPr>
          <w:rFonts w:cstheme="minorHAnsi"/>
          <w:sz w:val="24"/>
          <w:szCs w:val="24"/>
        </w:rPr>
        <w:t xml:space="preserve">) is somewhat weaker. These five infraorders belong to the largest of the two decapod subfamilies, the </w:t>
      </w:r>
      <w:proofErr w:type="spellStart"/>
      <w:r w:rsidRPr="00F2417D">
        <w:rPr>
          <w:rFonts w:cstheme="minorHAnsi"/>
          <w:sz w:val="24"/>
          <w:szCs w:val="24"/>
        </w:rPr>
        <w:t>Pleocyemata</w:t>
      </w:r>
      <w:proofErr w:type="spellEnd"/>
      <w:r w:rsidRPr="00F2417D">
        <w:rPr>
          <w:rFonts w:cstheme="minorHAnsi"/>
          <w:sz w:val="24"/>
          <w:szCs w:val="24"/>
        </w:rPr>
        <w:t xml:space="preserve">, a subfamily of roughly 14,500 species. The second, smaller, subfamily, the </w:t>
      </w:r>
      <w:proofErr w:type="spellStart"/>
      <w:r w:rsidRPr="00F2417D">
        <w:rPr>
          <w:rFonts w:cstheme="minorHAnsi"/>
          <w:sz w:val="24"/>
          <w:szCs w:val="24"/>
        </w:rPr>
        <w:t>Dendrobranchiata</w:t>
      </w:r>
      <w:proofErr w:type="spellEnd"/>
      <w:r w:rsidRPr="00F2417D">
        <w:rPr>
          <w:rFonts w:cstheme="minorHAnsi"/>
          <w:sz w:val="24"/>
          <w:szCs w:val="24"/>
        </w:rPr>
        <w:t xml:space="preserve">, has less than 500 species. Crump et al. mention only two studies focused on the </w:t>
      </w:r>
      <w:proofErr w:type="spellStart"/>
      <w:r w:rsidRPr="00F2417D">
        <w:rPr>
          <w:rFonts w:cstheme="minorHAnsi"/>
          <w:sz w:val="24"/>
          <w:szCs w:val="24"/>
        </w:rPr>
        <w:t>Dendrobranchiata</w:t>
      </w:r>
      <w:proofErr w:type="spellEnd"/>
      <w:r w:rsidRPr="00F2417D">
        <w:rPr>
          <w:rFonts w:cstheme="minorHAnsi"/>
          <w:sz w:val="24"/>
          <w:szCs w:val="24"/>
        </w:rPr>
        <w:t xml:space="preserve"> (</w:t>
      </w:r>
      <w:proofErr w:type="spellStart"/>
      <w:r w:rsidRPr="00F2417D">
        <w:rPr>
          <w:rFonts w:cstheme="minorHAnsi"/>
          <w:sz w:val="24"/>
          <w:szCs w:val="24"/>
        </w:rPr>
        <w:t>Penaeidae</w:t>
      </w:r>
      <w:proofErr w:type="spellEnd"/>
      <w:r w:rsidRPr="00F2417D">
        <w:rPr>
          <w:rFonts w:cstheme="minorHAnsi"/>
          <w:sz w:val="24"/>
          <w:szCs w:val="24"/>
        </w:rPr>
        <w:t xml:space="preserve">) shrimp: </w:t>
      </w:r>
      <w:r w:rsidRPr="00F2417D">
        <w:rPr>
          <w:rFonts w:cstheme="minorHAnsi"/>
          <w:sz w:val="24"/>
          <w:szCs w:val="24"/>
        </w:rPr>
        <w:fldChar w:fldCharType="begin"/>
      </w:r>
      <w:r w:rsidRPr="00F2417D">
        <w:rPr>
          <w:rFonts w:cstheme="minorHAnsi"/>
          <w:sz w:val="24"/>
          <w:szCs w:val="24"/>
        </w:rPr>
        <w:instrText xml:space="preserve"> ADDIN ZOTERO_ITEM CSL_CITATION {"citationID":"VM5p959U","properties":{"formattedCitation":"(Taylor et al., 2004)","plainCitation":"(Taylor et al., 2004)","noteIndex":0},"citationItems":[{"id":6778,"uris":["http://zotero.org/users/3589/items/QRDVCRNU"],"itemData":{"id":6778,"type":"article-journal","abstract":"A topical anesthetic and a coagulating agent were employed in this study to determine if observable signs of eyestalk ablation stress could be alleviated in adult female Litopenaeus vannamei broodstock. The experimental design included four separate treatments, with each tested group consisting of 15 female shrimp weighing approximately 40 g. Results show that survival of the shrimp was 100% for all treatments, but reaction to the eyestalk ablation event varied between treatments. Initiation of normal swimming or recovery and the onset of feeding following ablation and treatment also varied among the four groups. The results suggest that the use of a topical anesthetic prior to eyestalk ablation reduces the visible reactions to stress experienced by L. vannamei broodstock, allowing for a more humane eyestalk ablation method.","container-title":"Aquaculture","DOI":"10.1016/j.aquaculture.2003.09.034","ISSN":"0044-8486","issue":"1","journalAbbreviation":"Aquaculture","language":"en","page":"173-179","source":"ScienceDirect","title":"Minimizing the effects of stress during eyestalk ablation of Litopenaeus vannamei females with topical anesthetic and a coagulating agent","volume":"233","author":[{"family":"Taylor","given":"J."},{"family":"Vinatea","given":"L."},{"family":"Ozorio","given":"R."},{"family":"Schuweitzer","given":"R."},{"family":"Andreatta","given":"E. R."}],"issued":{"date-parts":[["2004",4,26]]}}}],"schema":"https://github.com/citation-style-language/schema/raw/master/csl-citation.json"}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Taylor et al. (2004</w:t>
      </w:r>
      <w:r w:rsidRPr="00F2417D">
        <w:rPr>
          <w:rFonts w:cstheme="minorHAnsi"/>
          <w:sz w:val="24"/>
          <w:szCs w:val="24"/>
          <w:lang w:val="en-AU"/>
        </w:rPr>
        <w:fldChar w:fldCharType="end"/>
      </w:r>
      <w:r w:rsidRPr="00F2417D">
        <w:rPr>
          <w:rFonts w:cstheme="minorHAnsi"/>
          <w:sz w:val="24"/>
          <w:szCs w:val="24"/>
        </w:rPr>
        <w:t>)</w:t>
      </w:r>
      <w:r w:rsidR="00CC3EFF">
        <w:rPr>
          <w:rFonts w:cstheme="minorHAnsi"/>
          <w:sz w:val="24"/>
          <w:szCs w:val="24"/>
        </w:rPr>
        <w:t xml:space="preserve">, </w:t>
      </w:r>
      <w:r w:rsidRPr="00F2417D">
        <w:rPr>
          <w:rFonts w:cstheme="minorHAnsi"/>
          <w:sz w:val="24"/>
          <w:szCs w:val="24"/>
        </w:rPr>
        <w:t xml:space="preserve">who experimented with the above-mentioned intensively-farmed </w:t>
      </w:r>
      <w:proofErr w:type="spellStart"/>
      <w:r w:rsidRPr="00F2417D">
        <w:rPr>
          <w:rFonts w:cstheme="minorHAnsi"/>
          <w:sz w:val="24"/>
          <w:szCs w:val="24"/>
        </w:rPr>
        <w:t>whiteleg</w:t>
      </w:r>
      <w:proofErr w:type="spellEnd"/>
      <w:r w:rsidRPr="00F2417D">
        <w:rPr>
          <w:rFonts w:cstheme="minorHAnsi"/>
          <w:sz w:val="24"/>
          <w:szCs w:val="24"/>
        </w:rPr>
        <w:t xml:space="preserve"> shrimp </w:t>
      </w:r>
      <w:bookmarkStart w:id="1" w:name="_Hlk106733163"/>
      <w:proofErr w:type="spellStart"/>
      <w:r w:rsidRPr="00F2417D">
        <w:rPr>
          <w:rFonts w:cstheme="minorHAnsi"/>
          <w:i/>
          <w:iCs/>
          <w:sz w:val="24"/>
          <w:szCs w:val="24"/>
        </w:rPr>
        <w:t>Litopenaeus</w:t>
      </w:r>
      <w:proofErr w:type="spellEnd"/>
      <w:r w:rsidRPr="00F2417D">
        <w:rPr>
          <w:rFonts w:cstheme="minorHAnsi"/>
          <w:i/>
          <w:iCs/>
          <w:sz w:val="24"/>
          <w:szCs w:val="24"/>
        </w:rPr>
        <w:t xml:space="preserve"> </w:t>
      </w:r>
      <w:proofErr w:type="spellStart"/>
      <w:r w:rsidRPr="00F2417D">
        <w:rPr>
          <w:rFonts w:cstheme="minorHAnsi"/>
          <w:i/>
          <w:iCs/>
          <w:sz w:val="24"/>
          <w:szCs w:val="24"/>
        </w:rPr>
        <w:t>vannamei</w:t>
      </w:r>
      <w:bookmarkEnd w:id="1"/>
      <w:proofErr w:type="spellEnd"/>
      <w:r w:rsidRPr="00F2417D">
        <w:rPr>
          <w:rFonts w:cstheme="minorHAnsi"/>
          <w:i/>
          <w:iCs/>
          <w:sz w:val="24"/>
          <w:szCs w:val="24"/>
        </w:rPr>
        <w:t xml:space="preserve">; </w:t>
      </w:r>
      <w:r w:rsidRPr="00F2417D">
        <w:rPr>
          <w:rFonts w:cstheme="minorHAnsi"/>
          <w:sz w:val="24"/>
          <w:szCs w:val="24"/>
        </w:rPr>
        <w:t xml:space="preserve">and Puri &amp; Faulkes, </w:t>
      </w:r>
      <w:r>
        <w:rPr>
          <w:rFonts w:cstheme="minorHAnsi"/>
          <w:sz w:val="24"/>
          <w:szCs w:val="24"/>
        </w:rPr>
        <w:t>(</w:t>
      </w:r>
      <w:r w:rsidRPr="00F2417D">
        <w:rPr>
          <w:rFonts w:cstheme="minorHAnsi"/>
          <w:sz w:val="24"/>
          <w:szCs w:val="24"/>
        </w:rPr>
        <w:t>2010</w:t>
      </w:r>
      <w:r>
        <w:rPr>
          <w:rFonts w:cstheme="minorHAnsi"/>
          <w:sz w:val="24"/>
          <w:szCs w:val="24"/>
        </w:rPr>
        <w:t>)</w:t>
      </w:r>
      <w:r w:rsidRPr="00F2417D">
        <w:rPr>
          <w:rFonts w:cstheme="minorHAnsi"/>
          <w:sz w:val="24"/>
          <w:szCs w:val="24"/>
        </w:rPr>
        <w:t xml:space="preserve">, who worked with the equally important aquaculture species, </w:t>
      </w:r>
      <w:r w:rsidRPr="00F2417D">
        <w:rPr>
          <w:rFonts w:cstheme="minorHAnsi"/>
          <w:i/>
          <w:iCs/>
          <w:sz w:val="24"/>
          <w:szCs w:val="24"/>
        </w:rPr>
        <w:t xml:space="preserve">L. </w:t>
      </w:r>
      <w:proofErr w:type="spellStart"/>
      <w:r w:rsidRPr="00F2417D">
        <w:rPr>
          <w:rFonts w:cstheme="minorHAnsi"/>
          <w:i/>
          <w:iCs/>
          <w:sz w:val="24"/>
          <w:szCs w:val="24"/>
        </w:rPr>
        <w:t>setiferus</w:t>
      </w:r>
      <w:proofErr w:type="spellEnd"/>
      <w:r w:rsidRPr="00F2417D">
        <w:rPr>
          <w:rFonts w:cstheme="minorHAnsi"/>
          <w:sz w:val="24"/>
          <w:szCs w:val="24"/>
        </w:rPr>
        <w:t xml:space="preserve">. Based on Crump et al.’s survey, roughly 20 of the 15,000 total decapod species have been examined for the possibility of pain. </w:t>
      </w:r>
    </w:p>
    <w:p w14:paraId="6F258951" w14:textId="59E029B6" w:rsidR="00F2417D" w:rsidRPr="00BA1DAB" w:rsidRDefault="00BA1DAB" w:rsidP="00407CF1">
      <w:pPr>
        <w:spacing w:after="120" w:line="240" w:lineRule="auto"/>
        <w:jc w:val="both"/>
        <w:rPr>
          <w:rFonts w:cstheme="minorHAnsi"/>
          <w:sz w:val="24"/>
          <w:szCs w:val="24"/>
        </w:rPr>
      </w:pPr>
      <w:r>
        <w:rPr>
          <w:rFonts w:cstheme="minorHAnsi"/>
          <w:sz w:val="24"/>
          <w:szCs w:val="24"/>
        </w:rPr>
        <w:t>A</w:t>
      </w:r>
      <w:r w:rsidR="00193592" w:rsidRPr="00F2417D">
        <w:rPr>
          <w:rFonts w:cstheme="minorHAnsi"/>
          <w:sz w:val="24"/>
          <w:szCs w:val="24"/>
        </w:rPr>
        <w:t>ny inferences drawn from such a narrow knowledge base are preliminary</w:t>
      </w:r>
      <w:r>
        <w:rPr>
          <w:rFonts w:cstheme="minorHAnsi"/>
          <w:sz w:val="24"/>
          <w:szCs w:val="24"/>
        </w:rPr>
        <w:t xml:space="preserve">, but might </w:t>
      </w:r>
      <w:r w:rsidR="00812C48">
        <w:rPr>
          <w:rFonts w:cstheme="minorHAnsi"/>
          <w:sz w:val="24"/>
          <w:szCs w:val="24"/>
        </w:rPr>
        <w:t xml:space="preserve">the </w:t>
      </w:r>
      <w:proofErr w:type="spellStart"/>
      <w:r w:rsidR="00F2417D" w:rsidRPr="00F2417D">
        <w:rPr>
          <w:rFonts w:cstheme="minorHAnsi"/>
          <w:sz w:val="24"/>
          <w:szCs w:val="24"/>
        </w:rPr>
        <w:t>Pleocyemata</w:t>
      </w:r>
      <w:proofErr w:type="spellEnd"/>
      <w:r w:rsidR="00F2417D" w:rsidRPr="00F2417D">
        <w:rPr>
          <w:rFonts w:cstheme="minorHAnsi"/>
          <w:sz w:val="24"/>
          <w:szCs w:val="24"/>
        </w:rPr>
        <w:t xml:space="preserve"> </w:t>
      </w:r>
      <w:r w:rsidR="00812C48">
        <w:rPr>
          <w:rFonts w:cstheme="minorHAnsi"/>
          <w:sz w:val="24"/>
          <w:szCs w:val="24"/>
        </w:rPr>
        <w:t xml:space="preserve">experience pain and the </w:t>
      </w:r>
      <w:proofErr w:type="spellStart"/>
      <w:r w:rsidR="00F2417D" w:rsidRPr="00F2417D">
        <w:rPr>
          <w:rFonts w:cstheme="minorHAnsi"/>
          <w:sz w:val="24"/>
          <w:szCs w:val="24"/>
        </w:rPr>
        <w:t>Dendrobranchiata</w:t>
      </w:r>
      <w:proofErr w:type="spellEnd"/>
      <w:r w:rsidR="00812C48">
        <w:rPr>
          <w:rFonts w:cstheme="minorHAnsi"/>
          <w:sz w:val="24"/>
          <w:szCs w:val="24"/>
        </w:rPr>
        <w:t xml:space="preserve"> not?</w:t>
      </w:r>
      <w:r w:rsidR="00F2417D" w:rsidRPr="00F2417D">
        <w:rPr>
          <w:rFonts w:cstheme="minorHAnsi"/>
          <w:sz w:val="24"/>
          <w:szCs w:val="24"/>
        </w:rPr>
        <w:t xml:space="preserve"> </w:t>
      </w:r>
      <w:r>
        <w:rPr>
          <w:rFonts w:cstheme="minorHAnsi"/>
          <w:sz w:val="24"/>
          <w:szCs w:val="24"/>
        </w:rPr>
        <w:t xml:space="preserve">In </w:t>
      </w:r>
      <w:r w:rsidR="007425A6">
        <w:rPr>
          <w:rFonts w:cstheme="minorHAnsi"/>
          <w:sz w:val="24"/>
          <w:szCs w:val="24"/>
        </w:rPr>
        <w:t xml:space="preserve">Crump et al.’s </w:t>
      </w:r>
      <w:r w:rsidR="00F2417D" w:rsidRPr="00F2417D">
        <w:rPr>
          <w:rFonts w:cstheme="minorHAnsi"/>
          <w:sz w:val="24"/>
          <w:szCs w:val="24"/>
        </w:rPr>
        <w:t>Table 1</w:t>
      </w:r>
      <w:r w:rsidR="00C068D1">
        <w:rPr>
          <w:rFonts w:cstheme="minorHAnsi"/>
          <w:sz w:val="24"/>
          <w:szCs w:val="24"/>
        </w:rPr>
        <w:t>,</w:t>
      </w:r>
      <w:r w:rsidR="00812C48">
        <w:rPr>
          <w:rFonts w:cstheme="minorHAnsi"/>
          <w:sz w:val="24"/>
          <w:szCs w:val="24"/>
        </w:rPr>
        <w:t xml:space="preserve"> </w:t>
      </w:r>
      <w:bookmarkEnd w:id="0"/>
      <w:r>
        <w:rPr>
          <w:rFonts w:cstheme="minorHAnsi"/>
          <w:sz w:val="24"/>
          <w:szCs w:val="24"/>
        </w:rPr>
        <w:t>t</w:t>
      </w:r>
      <w:r w:rsidR="00F2417D" w:rsidRPr="00F2417D">
        <w:rPr>
          <w:rFonts w:cstheme="minorHAnsi"/>
          <w:sz w:val="24"/>
          <w:szCs w:val="24"/>
        </w:rPr>
        <w:t xml:space="preserve">he </w:t>
      </w:r>
      <w:r w:rsidR="00F2417D" w:rsidRPr="00F2417D">
        <w:rPr>
          <w:rFonts w:cstheme="minorHAnsi"/>
          <w:bCs/>
          <w:sz w:val="24"/>
          <w:szCs w:val="24"/>
        </w:rPr>
        <w:t xml:space="preserve">top five rows represent five orders of </w:t>
      </w:r>
      <w:proofErr w:type="spellStart"/>
      <w:r w:rsidR="00F2417D" w:rsidRPr="00F2417D">
        <w:rPr>
          <w:rFonts w:cstheme="minorHAnsi"/>
          <w:bCs/>
          <w:sz w:val="24"/>
          <w:szCs w:val="24"/>
        </w:rPr>
        <w:t>Pleocyemata</w:t>
      </w:r>
      <w:proofErr w:type="spellEnd"/>
      <w:r w:rsidR="00F2417D" w:rsidRPr="00F2417D">
        <w:rPr>
          <w:rFonts w:cstheme="minorHAnsi"/>
          <w:bCs/>
          <w:sz w:val="24"/>
          <w:szCs w:val="24"/>
        </w:rPr>
        <w:t xml:space="preserve">; the bottom row contains the Dendrobranchiate shrimp, or </w:t>
      </w:r>
      <w:proofErr w:type="spellStart"/>
      <w:r w:rsidR="00F2417D" w:rsidRPr="00F2417D">
        <w:rPr>
          <w:rFonts w:cstheme="minorHAnsi"/>
          <w:bCs/>
          <w:sz w:val="24"/>
          <w:szCs w:val="24"/>
        </w:rPr>
        <w:t>Penaeidae</w:t>
      </w:r>
      <w:proofErr w:type="spellEnd"/>
      <w:r w:rsidR="00F2417D" w:rsidRPr="00F2417D">
        <w:rPr>
          <w:rFonts w:cstheme="minorHAnsi"/>
          <w:bCs/>
          <w:sz w:val="24"/>
          <w:szCs w:val="24"/>
        </w:rPr>
        <w:t xml:space="preserve">. In the top rows, the authors express 20 judgments of medium (M), high (H) or very high (VH) confidence that the </w:t>
      </w:r>
      <w:proofErr w:type="spellStart"/>
      <w:r w:rsidR="00F2417D" w:rsidRPr="00F2417D">
        <w:rPr>
          <w:rFonts w:cstheme="minorHAnsi"/>
          <w:bCs/>
          <w:sz w:val="24"/>
          <w:szCs w:val="24"/>
        </w:rPr>
        <w:t>Pleocyemata</w:t>
      </w:r>
      <w:proofErr w:type="spellEnd"/>
      <w:r w:rsidR="00F2417D" w:rsidRPr="00F2417D">
        <w:rPr>
          <w:rFonts w:cstheme="minorHAnsi"/>
          <w:bCs/>
          <w:sz w:val="24"/>
          <w:szCs w:val="24"/>
        </w:rPr>
        <w:t xml:space="preserve"> meet various pain criteria. </w:t>
      </w:r>
      <w:r>
        <w:rPr>
          <w:rFonts w:cstheme="minorHAnsi"/>
          <w:bCs/>
          <w:sz w:val="24"/>
          <w:szCs w:val="24"/>
        </w:rPr>
        <w:t>I</w:t>
      </w:r>
      <w:r w:rsidR="00F2417D" w:rsidRPr="00F2417D">
        <w:rPr>
          <w:rFonts w:cstheme="minorHAnsi"/>
          <w:bCs/>
          <w:sz w:val="24"/>
          <w:szCs w:val="24"/>
        </w:rPr>
        <w:t xml:space="preserve">n the bottom row they express high confidence for only one of the criteria for the </w:t>
      </w:r>
      <w:proofErr w:type="spellStart"/>
      <w:r w:rsidR="00F2417D" w:rsidRPr="00F2417D">
        <w:rPr>
          <w:rFonts w:cstheme="minorHAnsi"/>
          <w:bCs/>
          <w:sz w:val="24"/>
          <w:szCs w:val="24"/>
        </w:rPr>
        <w:t>Dendrobranchiata</w:t>
      </w:r>
      <w:proofErr w:type="spellEnd"/>
      <w:r w:rsidR="00F2417D" w:rsidRPr="00F2417D">
        <w:rPr>
          <w:rFonts w:cstheme="minorHAnsi"/>
          <w:bCs/>
          <w:sz w:val="24"/>
          <w:szCs w:val="24"/>
        </w:rPr>
        <w:t xml:space="preserve">, and medium confidence for another. They have low confidence in the rest of their judgments about </w:t>
      </w:r>
      <w:proofErr w:type="spellStart"/>
      <w:r w:rsidR="00F2417D" w:rsidRPr="00F2417D">
        <w:rPr>
          <w:rFonts w:cstheme="minorHAnsi"/>
          <w:bCs/>
          <w:sz w:val="24"/>
          <w:szCs w:val="24"/>
        </w:rPr>
        <w:t>Dendrobranchiata</w:t>
      </w:r>
      <w:proofErr w:type="spellEnd"/>
      <w:r w:rsidR="00F2417D" w:rsidRPr="00F2417D">
        <w:rPr>
          <w:rFonts w:cstheme="minorHAnsi"/>
          <w:bCs/>
          <w:sz w:val="24"/>
          <w:szCs w:val="24"/>
        </w:rPr>
        <w:t>. A low confidence judgment</w:t>
      </w:r>
      <w:r w:rsidR="00F72100">
        <w:rPr>
          <w:rFonts w:cstheme="minorHAnsi"/>
          <w:bCs/>
          <w:sz w:val="24"/>
          <w:szCs w:val="24"/>
        </w:rPr>
        <w:t>, however,</w:t>
      </w:r>
      <w:r w:rsidR="00F2417D" w:rsidRPr="00F2417D">
        <w:rPr>
          <w:rFonts w:cstheme="minorHAnsi"/>
          <w:bCs/>
          <w:sz w:val="24"/>
          <w:szCs w:val="24"/>
        </w:rPr>
        <w:t xml:space="preserve"> “</w:t>
      </w:r>
      <w:r w:rsidR="00F2417D" w:rsidRPr="00F2417D">
        <w:rPr>
          <w:rFonts w:cstheme="minorHAnsi"/>
          <w:sz w:val="24"/>
          <w:szCs w:val="24"/>
        </w:rPr>
        <w:t xml:space="preserve">implies only that the scientific evidence one way or the other is weak, not that the animal fails or is likely to fail the criterion.” </w:t>
      </w:r>
      <w:proofErr w:type="gramStart"/>
      <w:r w:rsidR="00F2417D" w:rsidRPr="00F2417D">
        <w:rPr>
          <w:rFonts w:cstheme="minorHAnsi"/>
          <w:bCs/>
          <w:sz w:val="24"/>
          <w:szCs w:val="24"/>
        </w:rPr>
        <w:t>So</w:t>
      </w:r>
      <w:proofErr w:type="gramEnd"/>
      <w:r w:rsidR="00F2417D" w:rsidRPr="00F2417D">
        <w:rPr>
          <w:rFonts w:cstheme="minorHAnsi"/>
          <w:bCs/>
          <w:sz w:val="24"/>
          <w:szCs w:val="24"/>
        </w:rPr>
        <w:t xml:space="preserve"> we </w:t>
      </w:r>
      <w:r>
        <w:rPr>
          <w:rFonts w:cstheme="minorHAnsi"/>
          <w:bCs/>
          <w:sz w:val="24"/>
          <w:szCs w:val="24"/>
        </w:rPr>
        <w:t>cannot</w:t>
      </w:r>
      <w:r w:rsidR="00F2417D" w:rsidRPr="00F2417D">
        <w:rPr>
          <w:rFonts w:cstheme="minorHAnsi"/>
          <w:bCs/>
          <w:sz w:val="24"/>
          <w:szCs w:val="24"/>
        </w:rPr>
        <w:t xml:space="preserve"> infer from Table 1 that the </w:t>
      </w:r>
      <w:proofErr w:type="spellStart"/>
      <w:r w:rsidR="00F2417D" w:rsidRPr="00F2417D">
        <w:rPr>
          <w:rFonts w:cstheme="minorHAnsi"/>
          <w:bCs/>
          <w:sz w:val="24"/>
          <w:szCs w:val="24"/>
        </w:rPr>
        <w:t>Dendrobranchiata</w:t>
      </w:r>
      <w:proofErr w:type="spellEnd"/>
      <w:r w:rsidR="00F2417D" w:rsidRPr="00F2417D">
        <w:rPr>
          <w:rFonts w:cstheme="minorHAnsi"/>
          <w:bCs/>
          <w:sz w:val="24"/>
          <w:szCs w:val="24"/>
        </w:rPr>
        <w:t xml:space="preserve"> are likely not to feel pain. Table 1 only shows that the </w:t>
      </w:r>
      <w:proofErr w:type="spellStart"/>
      <w:r w:rsidR="00F2417D" w:rsidRPr="00F2417D">
        <w:rPr>
          <w:rFonts w:cstheme="minorHAnsi"/>
          <w:bCs/>
          <w:sz w:val="24"/>
          <w:szCs w:val="24"/>
        </w:rPr>
        <w:t>Dendrobranchiata</w:t>
      </w:r>
      <w:proofErr w:type="spellEnd"/>
      <w:r w:rsidR="00F2417D" w:rsidRPr="00F2417D">
        <w:rPr>
          <w:rFonts w:cstheme="minorHAnsi"/>
          <w:bCs/>
          <w:sz w:val="24"/>
          <w:szCs w:val="24"/>
        </w:rPr>
        <w:t xml:space="preserve"> have not been much studied.</w:t>
      </w:r>
    </w:p>
    <w:p w14:paraId="0E11E6D5" w14:textId="0B6D7431" w:rsidR="00F2417D" w:rsidRPr="00F2417D" w:rsidRDefault="00BA1DAB" w:rsidP="00407CF1">
      <w:pPr>
        <w:spacing w:after="120" w:line="240" w:lineRule="auto"/>
        <w:jc w:val="both"/>
        <w:rPr>
          <w:rFonts w:cstheme="minorHAnsi"/>
          <w:sz w:val="24"/>
          <w:szCs w:val="24"/>
        </w:rPr>
      </w:pPr>
      <w:r>
        <w:rPr>
          <w:rFonts w:cstheme="minorHAnsi"/>
          <w:bCs/>
          <w:sz w:val="24"/>
          <w:szCs w:val="24"/>
        </w:rPr>
        <w:t>T</w:t>
      </w:r>
      <w:r w:rsidR="00F2417D" w:rsidRPr="00F2417D">
        <w:rPr>
          <w:rFonts w:cstheme="minorHAnsi"/>
          <w:bCs/>
          <w:sz w:val="24"/>
          <w:szCs w:val="24"/>
        </w:rPr>
        <w:t xml:space="preserve">he authors </w:t>
      </w:r>
      <w:r>
        <w:rPr>
          <w:rFonts w:cstheme="minorHAnsi"/>
          <w:bCs/>
          <w:sz w:val="24"/>
          <w:szCs w:val="24"/>
        </w:rPr>
        <w:t>might</w:t>
      </w:r>
      <w:r w:rsidR="00F2417D" w:rsidRPr="00F2417D">
        <w:rPr>
          <w:rFonts w:cstheme="minorHAnsi"/>
          <w:bCs/>
          <w:sz w:val="24"/>
          <w:szCs w:val="24"/>
        </w:rPr>
        <w:t xml:space="preserve"> still </w:t>
      </w:r>
      <w:r>
        <w:rPr>
          <w:rFonts w:cstheme="minorHAnsi"/>
          <w:bCs/>
          <w:sz w:val="24"/>
          <w:szCs w:val="24"/>
        </w:rPr>
        <w:t xml:space="preserve">be </w:t>
      </w:r>
      <w:r w:rsidR="00F2417D" w:rsidRPr="00F2417D">
        <w:rPr>
          <w:rFonts w:cstheme="minorHAnsi"/>
          <w:bCs/>
          <w:sz w:val="24"/>
          <w:szCs w:val="24"/>
        </w:rPr>
        <w:t>over-estimat</w:t>
      </w:r>
      <w:r>
        <w:rPr>
          <w:rFonts w:cstheme="minorHAnsi"/>
          <w:bCs/>
          <w:sz w:val="24"/>
          <w:szCs w:val="24"/>
        </w:rPr>
        <w:t>ing</w:t>
      </w:r>
      <w:r w:rsidR="00F2417D" w:rsidRPr="00F2417D">
        <w:rPr>
          <w:rFonts w:cstheme="minorHAnsi"/>
          <w:bCs/>
          <w:sz w:val="24"/>
          <w:szCs w:val="24"/>
        </w:rPr>
        <w:t xml:space="preserve"> the case for pain in </w:t>
      </w:r>
      <w:proofErr w:type="spellStart"/>
      <w:r w:rsidR="00F2417D" w:rsidRPr="00F2417D">
        <w:rPr>
          <w:rFonts w:cstheme="minorHAnsi"/>
          <w:bCs/>
          <w:sz w:val="24"/>
          <w:szCs w:val="24"/>
        </w:rPr>
        <w:t>Dendrobranchiata</w:t>
      </w:r>
      <w:proofErr w:type="spellEnd"/>
      <w:r w:rsidR="00812C48">
        <w:rPr>
          <w:rFonts w:cstheme="minorHAnsi"/>
          <w:bCs/>
          <w:sz w:val="24"/>
          <w:szCs w:val="24"/>
        </w:rPr>
        <w:t xml:space="preserve"> (Comstock 2022)</w:t>
      </w:r>
      <w:r w:rsidR="00F2417D" w:rsidRPr="00F2417D">
        <w:rPr>
          <w:rFonts w:cstheme="minorHAnsi"/>
          <w:bCs/>
          <w:sz w:val="24"/>
          <w:szCs w:val="24"/>
        </w:rPr>
        <w:t xml:space="preserve">. The two traits that receive a high and a medium vote of confidence are Criteria 1 and 4. </w:t>
      </w:r>
      <w:bookmarkStart w:id="2" w:name="_Hlk106623800"/>
      <w:r w:rsidR="00F2417D" w:rsidRPr="00F2417D">
        <w:rPr>
          <w:rFonts w:cstheme="minorHAnsi"/>
          <w:bCs/>
          <w:sz w:val="24"/>
          <w:szCs w:val="24"/>
        </w:rPr>
        <w:t xml:space="preserve">Criterion 1 is the possession of nociceptors. Yet as </w:t>
      </w:r>
      <w:r>
        <w:rPr>
          <w:rFonts w:cstheme="minorHAnsi"/>
          <w:bCs/>
          <w:sz w:val="24"/>
          <w:szCs w:val="24"/>
        </w:rPr>
        <w:t>Crump et al.</w:t>
      </w:r>
      <w:r w:rsidR="00F2417D" w:rsidRPr="00F2417D">
        <w:rPr>
          <w:rFonts w:cstheme="minorHAnsi"/>
          <w:bCs/>
          <w:sz w:val="24"/>
          <w:szCs w:val="24"/>
        </w:rPr>
        <w:t xml:space="preserve"> point out, even if an animal has nociceptors, that fact is not sufficient to conclude it is sentient. Nociception is not pain. But the situation may be worse for the </w:t>
      </w:r>
      <w:proofErr w:type="spellStart"/>
      <w:r w:rsidR="00F2417D" w:rsidRPr="00F2417D">
        <w:rPr>
          <w:rFonts w:cstheme="minorHAnsi"/>
          <w:bCs/>
          <w:sz w:val="24"/>
          <w:szCs w:val="24"/>
        </w:rPr>
        <w:t>Penaeidae</w:t>
      </w:r>
      <w:proofErr w:type="spellEnd"/>
      <w:r w:rsidR="00F2417D" w:rsidRPr="00F2417D">
        <w:rPr>
          <w:rFonts w:cstheme="minorHAnsi"/>
          <w:bCs/>
          <w:sz w:val="24"/>
          <w:szCs w:val="24"/>
        </w:rPr>
        <w:t xml:space="preserve"> because the authors’ high confidence level that </w:t>
      </w:r>
      <w:bookmarkEnd w:id="2"/>
      <w:proofErr w:type="spellStart"/>
      <w:r w:rsidR="00F2417D" w:rsidRPr="00F2417D">
        <w:rPr>
          <w:rFonts w:cstheme="minorHAnsi"/>
          <w:bCs/>
          <w:sz w:val="24"/>
          <w:szCs w:val="24"/>
        </w:rPr>
        <w:t>Penaeidae</w:t>
      </w:r>
      <w:proofErr w:type="spellEnd"/>
      <w:r w:rsidR="00F2417D" w:rsidRPr="00F2417D">
        <w:rPr>
          <w:rFonts w:cstheme="minorHAnsi"/>
          <w:bCs/>
          <w:sz w:val="24"/>
          <w:szCs w:val="24"/>
        </w:rPr>
        <w:t xml:space="preserve"> have nociceptors is not borne out by any of the studies they cite and is questioned by three of them </w:t>
      </w:r>
      <w:r w:rsidR="00F2417D" w:rsidRPr="00F2417D">
        <w:rPr>
          <w:rFonts w:cstheme="minorHAnsi"/>
          <w:bCs/>
          <w:sz w:val="24"/>
          <w:szCs w:val="24"/>
        </w:rPr>
        <w:fldChar w:fldCharType="begin"/>
      </w:r>
      <w:r w:rsidR="00F2417D" w:rsidRPr="00F2417D">
        <w:rPr>
          <w:rFonts w:cstheme="minorHAnsi"/>
          <w:bCs/>
          <w:sz w:val="24"/>
          <w:szCs w:val="24"/>
        </w:rPr>
        <w:instrText xml:space="preserve"> ADDIN ZOTERO_ITEM CSL_CITATION {"citationID":"L001enTM","properties":{"formattedCitation":"(Puri and Faulkes, 2010; Sneddon et al., 2014; Walters, 2018)","plainCitation":"(Puri and Faulkes, 2010; Sneddon et al., 2014; Walters, 2018)","noteIndex":0},"citationItems":[{"id":4009,"uris":["http://zotero.org/users/3589/items/RV4B8JWM"],"itemData":{"id":4009,"type":"article-journal","abstract":"Previously reported responses to extreme pH are either not consistently evoked across species or were mischaracterized as nociception. There was no behavioural or physiological evidence that the antennae contained specialized nociceptors that responded to pH.","container-title":"PLoS One","DOI":"http://dx.doi.org.prox.lib.ncsu.edu/10.1371/journal.pone.0010244","issue":"4","language":"en","page":"1-10","title":"Do Decapod Crustaceans Have Nociceptors for Extreme pH?","title-short":"Do Decapod Crustaceans Have Nociceptors for Extreme pH?","volume":"5","author":[{"family":"Puri","given":"S."},{"family":"Faulkes","given":"Z."}],"issued":{"date-parts":[["2010",4]]}}},{"id":3712,"uris":["http://zotero.org/users/3589/items/AE6V98Y9"],"itemData":{"id":3712,"type":"article-journal","abstract":"The detection and assessment of pain in animals is crucial to improving their welfare in a variety of contexts in which humans are ethically or legally bound to do so. Thus clear standards to judge whether pain is likely to occur in any animal species is vital to inform whether to alleviate pain or to drive the refinement of procedures to reduce invasiveness, thereby minimizing pain. We define two key concepts that can be used to evaluate the potential for pain in both invertebrate and vertebrate taxa. First, responses to noxious, potentially painful events should affect neurobiology, physiology and behaviour in a different manner to innocuous stimuli and subsequent behaviour should be modified including avoidance learning and protective responses. Second, animals should show a change in motivational state after experiencing a painful event such that future behavioural decision making is altered and can be measured as a change in conditioned place preference, self-administration of analgesia, paying a cost to access analgesia or avoidance of painful stimuli and reduced performance in concurrent events. The extent to which vertebrate and selected invertebrate groups fulfil these criteria is discussed in light of the empirical evidence and where there are gaps in our knowledge we propose future studies are vital to improve our assessment of pain. This review highlights arguments regarding animal pain and defines criteria that demonstrate, beyond a reasonable doubt, whether animals of a given species experience pain.","container-title":"Animal Behaviour","DOI":"10.1016/j.anbehav.2014.09.007","ISSN":"0003-3472","journalAbbreviation":"Animal Behaviour","language":"en","page":"201-212","source":"ScienceDirect","title":"Defining and assessing animal pain","volume":"97","author":[{"family":"Sneddon","given":"Lynne U."},{"family":"Elwood","given":"Robert W."},{"family":"Adamo","given":"Shelley A."},{"family":"Leach","given":"Matthew C."}],"issued":{"date-parts":[["2014",11,1]]}}},{"id":4030,"uris":["http://zotero.org/users/3589/items/NBBKEM6T"],"itemData":{"id":4030,"type":"article-journal","abstract":"Important insights into the selection pressures and core molecular modules contributing to the evolution of pain-related processes have come from studies of nociceptive systems in several molluscan and arthropod species. These phyla, and the chordates that include humans, last shared a common ancestor approximately 550 million years ago. Since then, animals in these phyla have continued to be subject to traumatic injury, often from predators, which has led to similar adaptive behaviors (e.g., withdrawal, escape, recuperative behavior) and physiological responses to injury in each group. Comparisons across these taxa provide clues about the contributions of convergent evolution and of conservation of ancient adaptive mechanisms to general nociceptive and pain-related functions. Primary nociceptors have been investigated extensively in a few molluscan and arthropod species, with studies of long-lasting nociceptive sensitization in the gastropod, Aplysia, and the insect, Drosophila, being especially fruitful. In Aplysia, nociceptive sensitization has been investigated as a model for aversive memory and for hyperalgesia. Neuromodulator-induced, activity-dependent, and axotomy-induced plasticity mechanisms have been defined in synapses, cell bodies, and axons of Aplysia primary nociceptors. Studies of nociceptive sensitization in Drosophila larvae have revealed numerous molecular contributors in primary nociceptors and interacting cells. Interestingly, molecular contributors examined thus far in Aplysia and Drosophila are largely different, but both sets overlap extensively with those in mammalian pain-related pathways. In contrast to results from Aplysia and Drosophila, nociceptive sensitization examined in moth larvae (Manduca) disclosed central hyperactivity but no obvious peripheral sensitization of nociceptive responses. Squid (Doryteuthis) show injury-induced sensitization manifested as behavioral hypersensitivity to tactile and especially visual stimuli, and as hypersensitivity and spontaneous activity in nociceptor terminals. Temporary blockade of nociceptor activity during injury subsequently increased mortality when injured squid were exposed to fish predators, providing the first demonstration in any animal of the adaptiveness of nociceptive sensitization. Immediate responses to noxious stimulation and nociceptive sensitization have also been examined behaviorally and physiologically in a snail (Helix), octopus (Adopus), crayfish (Astacus), hermit crab (Pagurus), and shore crab (Hemigrapsus). Molluscs and arthropods have systems that suppress nociceptive responses, but whether opioid systems play antinociceptive roles in these phyla is uncertain.","container-title":"Frontiers in Physiology","DOI":"10.3389/fphys.2018.01049","ISSN":"1664-042X","page":"1049","title":"Nociceptive Biology of Molluscs and Arthropods: Evolutionary Clues About Functions and Mechanisms Potentially Related to Pain","volume":"9","author":[{"family":"Walters","given":"Edgar T."}],"issued":{"date-parts":[["2018"]]}}}],"schema":"https://github.com/citation-style-language/schema/raw/master/csl-citation.json"} </w:instrText>
      </w:r>
      <w:r w:rsidR="00F2417D" w:rsidRPr="00F2417D">
        <w:rPr>
          <w:rFonts w:cstheme="minorHAnsi"/>
          <w:bCs/>
          <w:sz w:val="24"/>
          <w:szCs w:val="24"/>
        </w:rPr>
        <w:fldChar w:fldCharType="separate"/>
      </w:r>
      <w:r w:rsidR="00F2417D" w:rsidRPr="00F2417D">
        <w:rPr>
          <w:rFonts w:cstheme="minorHAnsi"/>
          <w:sz w:val="24"/>
          <w:szCs w:val="24"/>
        </w:rPr>
        <w:t>(Puri and Faulkes, 2010; Sneddon et al., 2014; Walters, 2018)</w:t>
      </w:r>
      <w:r w:rsidR="00F2417D" w:rsidRPr="00F2417D">
        <w:rPr>
          <w:rFonts w:cstheme="minorHAnsi"/>
          <w:sz w:val="24"/>
          <w:szCs w:val="24"/>
          <w:lang w:val="en-AU"/>
        </w:rPr>
        <w:fldChar w:fldCharType="end"/>
      </w:r>
      <w:r w:rsidR="00F2417D" w:rsidRPr="00F2417D">
        <w:rPr>
          <w:rFonts w:cstheme="minorHAnsi"/>
          <w:bCs/>
          <w:sz w:val="24"/>
          <w:szCs w:val="24"/>
        </w:rPr>
        <w:t xml:space="preserve">. With respect specifically to the </w:t>
      </w:r>
      <w:proofErr w:type="spellStart"/>
      <w:r w:rsidR="00F2417D" w:rsidRPr="00F2417D">
        <w:rPr>
          <w:rFonts w:cstheme="minorHAnsi"/>
          <w:bCs/>
          <w:sz w:val="24"/>
          <w:szCs w:val="24"/>
        </w:rPr>
        <w:t>Penaeidae</w:t>
      </w:r>
      <w:proofErr w:type="spellEnd"/>
      <w:r w:rsidR="00F2417D" w:rsidRPr="00F2417D">
        <w:rPr>
          <w:rFonts w:cstheme="minorHAnsi"/>
          <w:bCs/>
          <w:sz w:val="24"/>
          <w:szCs w:val="24"/>
        </w:rPr>
        <w:t xml:space="preserve">, the evidence Crump et al. offer seems to be that “nociceptors are widespread across the animal kingdom” and “decapod crustaceans” are “a sister group” to insects, known to have nociceptors. Yet </w:t>
      </w:r>
      <w:r w:rsidR="00F2417D" w:rsidRPr="00F2417D">
        <w:rPr>
          <w:rFonts w:cstheme="minorHAnsi"/>
          <w:bCs/>
          <w:sz w:val="24"/>
          <w:szCs w:val="24"/>
        </w:rPr>
        <w:fldChar w:fldCharType="begin"/>
      </w:r>
      <w:r w:rsidR="00F2417D" w:rsidRPr="00F2417D">
        <w:rPr>
          <w:rFonts w:cstheme="minorHAnsi"/>
          <w:bCs/>
          <w:sz w:val="24"/>
          <w:szCs w:val="24"/>
        </w:rPr>
        <w:instrText xml:space="preserve"> ADDIN ZOTERO_ITEM CSL_CITATION {"citationID":"HDiXMP4X","properties":{"formattedCitation":"(Puri and Faulkes, 2008)","plainCitation":"(Puri and Faulkes, 2008)","noteIndex":0},"citationItems":[{"id":7117,"uris":["http://zotero.org/users/3589/items/DKUL95KL"],"itemData":{"id":7117,"type":"article-journal","container-title":"Crustacean Society. Summer Meeting (2008 : Galveston, Texas)","title":"Failure to replicate evidence of decapod crustacean nociception","URL":"https://scholarworks.utrgv.edu/bio_fac/46","author":[{"family":"Puri","given":"Sakshi"},{"family":"Faulkes","given":"Zen"}],"issued":{"date-parts":[["2008",1,1]]}}}],"schema":"https://github.com/citation-style-language/schema/raw/master/csl-citation.json"} </w:instrText>
      </w:r>
      <w:r w:rsidR="00F2417D" w:rsidRPr="00F2417D">
        <w:rPr>
          <w:rFonts w:cstheme="minorHAnsi"/>
          <w:bCs/>
          <w:sz w:val="24"/>
          <w:szCs w:val="24"/>
        </w:rPr>
        <w:fldChar w:fldCharType="separate"/>
      </w:r>
      <w:r w:rsidR="00F2417D" w:rsidRPr="00F2417D">
        <w:rPr>
          <w:rFonts w:cstheme="minorHAnsi"/>
          <w:sz w:val="24"/>
          <w:szCs w:val="24"/>
        </w:rPr>
        <w:t>Puri and Faulkes (2008)</w:t>
      </w:r>
      <w:r w:rsidR="00F2417D" w:rsidRPr="00F2417D">
        <w:rPr>
          <w:rFonts w:cstheme="minorHAnsi"/>
          <w:sz w:val="24"/>
          <w:szCs w:val="24"/>
          <w:lang w:val="en-AU"/>
        </w:rPr>
        <w:fldChar w:fldCharType="end"/>
      </w:r>
      <w:r w:rsidR="00F2417D" w:rsidRPr="00F2417D">
        <w:rPr>
          <w:rFonts w:cstheme="minorHAnsi"/>
          <w:bCs/>
          <w:sz w:val="24"/>
          <w:szCs w:val="24"/>
        </w:rPr>
        <w:t xml:space="preserve"> found no behavioral evidence of nociception in </w:t>
      </w:r>
      <w:proofErr w:type="spellStart"/>
      <w:r w:rsidR="00F2417D" w:rsidRPr="00F2417D">
        <w:rPr>
          <w:rFonts w:cstheme="minorHAnsi"/>
          <w:i/>
          <w:sz w:val="24"/>
          <w:szCs w:val="24"/>
        </w:rPr>
        <w:t>Litopenaeus</w:t>
      </w:r>
      <w:proofErr w:type="spellEnd"/>
      <w:r w:rsidR="00F2417D" w:rsidRPr="00F2417D">
        <w:rPr>
          <w:rFonts w:cstheme="minorHAnsi"/>
          <w:i/>
          <w:sz w:val="24"/>
          <w:szCs w:val="24"/>
        </w:rPr>
        <w:t xml:space="preserve"> </w:t>
      </w:r>
      <w:proofErr w:type="spellStart"/>
      <w:r w:rsidR="00F2417D" w:rsidRPr="00F2417D">
        <w:rPr>
          <w:rFonts w:cstheme="minorHAnsi"/>
          <w:i/>
          <w:sz w:val="24"/>
          <w:szCs w:val="24"/>
        </w:rPr>
        <w:t>setiferus</w:t>
      </w:r>
      <w:proofErr w:type="spellEnd"/>
      <w:r w:rsidR="00F2417D" w:rsidRPr="00F2417D">
        <w:rPr>
          <w:rFonts w:cstheme="minorHAnsi"/>
          <w:i/>
          <w:sz w:val="24"/>
          <w:szCs w:val="24"/>
        </w:rPr>
        <w:t xml:space="preserve">, </w:t>
      </w:r>
      <w:r w:rsidR="00F2417D" w:rsidRPr="00F2417D">
        <w:rPr>
          <w:rFonts w:cstheme="minorHAnsi"/>
          <w:bCs/>
          <w:sz w:val="24"/>
          <w:szCs w:val="24"/>
        </w:rPr>
        <w:t xml:space="preserve">and no neurophysiological evidence of nociceptors for extreme pH in the animal’s primary exploratory organ, the antennae </w:t>
      </w:r>
      <w:r w:rsidR="00F2417D" w:rsidRPr="00F2417D">
        <w:rPr>
          <w:rFonts w:cstheme="minorHAnsi"/>
          <w:i/>
          <w:sz w:val="24"/>
          <w:szCs w:val="24"/>
        </w:rPr>
        <w:fldChar w:fldCharType="begin"/>
      </w:r>
      <w:r w:rsidR="00F2417D" w:rsidRPr="00F2417D">
        <w:rPr>
          <w:rFonts w:cstheme="minorHAnsi"/>
          <w:i/>
          <w:sz w:val="24"/>
          <w:szCs w:val="24"/>
        </w:rPr>
        <w:instrText xml:space="preserve"> ADDIN ZOTERO_ITEM CSL_CITATION {"citationID":"zVP6z8j7","properties":{"formattedCitation":"(Puri and Faulkes, 2010)","plainCitation":"(Puri and Faulkes, 2010)","noteIndex":0},"citationItems":[{"id":4009,"uris":["http://zotero.org/users/3589/items/RV4B8JWM"],"itemData":{"id":4009,"type":"article-journal","abstract":"Previously reported responses to extreme pH are either not consistently evoked across species or were mischaracterized as nociception. There was no behavioural or physiological evidence that the antennae contained specialized nociceptors that responded to pH.","container-title":"PLoS One","DOI":"http://dx.doi.org.prox.lib.ncsu.edu/10.1371/journal.pone.0010244","issue":"4","language":"en","page":"1-10","title":"Do Decapod Crustaceans Have Nociceptors for Extreme pH?","title-short":"Do Decapod Crustaceans Have Nociceptors for Extreme pH?","volume":"5","author":[{"family":"Puri","given":"S."},{"family":"Faulkes","given":"Z."}],"issued":{"date-parts":[["2010",4]]}}}],"schema":"https://github.com/citation-style-language/schema/raw/master/csl-citation.json"} </w:instrText>
      </w:r>
      <w:r w:rsidR="00F2417D" w:rsidRPr="00F2417D">
        <w:rPr>
          <w:rFonts w:cstheme="minorHAnsi"/>
          <w:i/>
          <w:sz w:val="24"/>
          <w:szCs w:val="24"/>
        </w:rPr>
        <w:fldChar w:fldCharType="separate"/>
      </w:r>
      <w:r w:rsidR="00F2417D" w:rsidRPr="00F2417D">
        <w:rPr>
          <w:rFonts w:cstheme="minorHAnsi"/>
          <w:sz w:val="24"/>
          <w:szCs w:val="24"/>
        </w:rPr>
        <w:t>(2010)</w:t>
      </w:r>
      <w:r w:rsidR="00F2417D" w:rsidRPr="00F2417D">
        <w:rPr>
          <w:rFonts w:cstheme="minorHAnsi"/>
          <w:sz w:val="24"/>
          <w:szCs w:val="24"/>
          <w:lang w:val="en-AU"/>
        </w:rPr>
        <w:fldChar w:fldCharType="end"/>
      </w:r>
      <w:r w:rsidR="00F2417D" w:rsidRPr="00F2417D">
        <w:rPr>
          <w:rFonts w:cstheme="minorHAnsi"/>
          <w:sz w:val="24"/>
          <w:szCs w:val="24"/>
        </w:rPr>
        <w:t xml:space="preserve">. Parenthetically, </w:t>
      </w:r>
      <w:r w:rsidR="00F2417D" w:rsidRPr="00F2417D">
        <w:rPr>
          <w:rFonts w:cstheme="minorHAnsi"/>
          <w:sz w:val="24"/>
          <w:szCs w:val="24"/>
        </w:rPr>
        <w:fldChar w:fldCharType="begin"/>
      </w:r>
      <w:r w:rsidR="00F2417D" w:rsidRPr="00F2417D">
        <w:rPr>
          <w:rFonts w:cstheme="minorHAnsi"/>
          <w:sz w:val="24"/>
          <w:szCs w:val="24"/>
        </w:rPr>
        <w:instrText xml:space="preserve"> ADDIN ZOTERO_ITEM CSL_CITATION {"citationID":"dDgIscEp","properties":{"formattedCitation":"(Puri and Faulkes, 2010)","plainCitation":"(Puri and Faulkes, 2010)","noteIndex":0},"citationItems":[{"id":4009,"uris":["http://zotero.org/users/3589/items/RV4B8JWM"],"itemData":{"id":4009,"type":"article-journal","abstract":"Previously reported responses to extreme pH are either not consistently evoked across species or were mischaracterized as nociception. There was no behavioural or physiological evidence that the antennae contained specialized nociceptors that responded to pH.","container-title":"PLoS One","DOI":"http://dx.doi.org.prox.lib.ncsu.edu/10.1371/journal.pone.0010244","issue":"4","language":"en","page":"1-10","title":"Do Decapod Crustaceans Have Nociceptors for Extreme pH?","title-short":"Do Decapod Crustaceans Have Nociceptors for Extreme pH?","volume":"5","author":[{"family":"Puri","given":"S."},{"family":"Faulkes","given":"Z."}],"issued":{"date-parts":[["2010",4]]}}}],"schema":"https://github.com/citation-style-language/schema/raw/master/csl-citation.json"} </w:instrText>
      </w:r>
      <w:r w:rsidR="00F2417D" w:rsidRPr="00F2417D">
        <w:rPr>
          <w:rFonts w:cstheme="minorHAnsi"/>
          <w:sz w:val="24"/>
          <w:szCs w:val="24"/>
        </w:rPr>
        <w:fldChar w:fldCharType="separate"/>
      </w:r>
      <w:r w:rsidR="00F2417D" w:rsidRPr="00F2417D">
        <w:rPr>
          <w:rFonts w:cstheme="minorHAnsi"/>
          <w:sz w:val="24"/>
          <w:szCs w:val="24"/>
        </w:rPr>
        <w:t>Puri and Faulkes (2010</w:t>
      </w:r>
      <w:r w:rsidR="00F2417D" w:rsidRPr="00F2417D">
        <w:rPr>
          <w:rFonts w:cstheme="minorHAnsi"/>
          <w:sz w:val="24"/>
          <w:szCs w:val="24"/>
          <w:lang w:val="en-AU"/>
        </w:rPr>
        <w:fldChar w:fldCharType="end"/>
      </w:r>
      <w:r w:rsidR="00F2417D" w:rsidRPr="00F2417D">
        <w:rPr>
          <w:rFonts w:cstheme="minorHAnsi"/>
          <w:sz w:val="24"/>
          <w:szCs w:val="24"/>
        </w:rPr>
        <w:t xml:space="preserve">) also found no nociception for extreme pH in two </w:t>
      </w:r>
      <w:proofErr w:type="spellStart"/>
      <w:r w:rsidR="00F2417D" w:rsidRPr="00F2417D">
        <w:rPr>
          <w:rFonts w:cstheme="minorHAnsi"/>
          <w:sz w:val="24"/>
          <w:szCs w:val="24"/>
        </w:rPr>
        <w:t>Pleocyemata</w:t>
      </w:r>
      <w:proofErr w:type="spellEnd"/>
      <w:r w:rsidR="00F2417D" w:rsidRPr="00F2417D">
        <w:rPr>
          <w:rFonts w:cstheme="minorHAnsi"/>
          <w:sz w:val="24"/>
          <w:szCs w:val="24"/>
        </w:rPr>
        <w:t xml:space="preserve"> species, swamp crayfish (</w:t>
      </w:r>
      <w:proofErr w:type="spellStart"/>
      <w:r w:rsidR="00F2417D" w:rsidRPr="00F2417D">
        <w:rPr>
          <w:rFonts w:cstheme="minorHAnsi"/>
          <w:i/>
          <w:iCs/>
          <w:sz w:val="24"/>
          <w:szCs w:val="24"/>
        </w:rPr>
        <w:t>Procambarus</w:t>
      </w:r>
      <w:proofErr w:type="spellEnd"/>
      <w:r w:rsidR="00F2417D" w:rsidRPr="00F2417D">
        <w:rPr>
          <w:rFonts w:cstheme="minorHAnsi"/>
          <w:i/>
          <w:iCs/>
          <w:sz w:val="24"/>
          <w:szCs w:val="24"/>
        </w:rPr>
        <w:t xml:space="preserve"> </w:t>
      </w:r>
      <w:proofErr w:type="spellStart"/>
      <w:r w:rsidR="00F2417D" w:rsidRPr="00F2417D">
        <w:rPr>
          <w:rFonts w:cstheme="minorHAnsi"/>
          <w:i/>
          <w:iCs/>
          <w:sz w:val="24"/>
          <w:szCs w:val="24"/>
        </w:rPr>
        <w:t>clarkii</w:t>
      </w:r>
      <w:proofErr w:type="spellEnd"/>
      <w:r w:rsidR="00F2417D" w:rsidRPr="00F2417D">
        <w:rPr>
          <w:rFonts w:cstheme="minorHAnsi"/>
          <w:sz w:val="24"/>
          <w:szCs w:val="24"/>
        </w:rPr>
        <w:t>), and grass shrimp (</w:t>
      </w:r>
      <w:proofErr w:type="spellStart"/>
      <w:r w:rsidR="00F2417D" w:rsidRPr="00F2417D">
        <w:rPr>
          <w:rFonts w:cstheme="minorHAnsi"/>
          <w:i/>
          <w:iCs/>
          <w:sz w:val="24"/>
          <w:szCs w:val="24"/>
        </w:rPr>
        <w:t>Palaemonetes</w:t>
      </w:r>
      <w:proofErr w:type="spellEnd"/>
      <w:r w:rsidR="00F2417D" w:rsidRPr="00F2417D">
        <w:rPr>
          <w:rFonts w:cstheme="minorHAnsi"/>
          <w:sz w:val="24"/>
          <w:szCs w:val="24"/>
        </w:rPr>
        <w:t xml:space="preserve"> sp.). </w:t>
      </w:r>
      <w:r w:rsidR="00F72100">
        <w:rPr>
          <w:rFonts w:cstheme="minorHAnsi"/>
          <w:sz w:val="24"/>
          <w:szCs w:val="24"/>
        </w:rPr>
        <w:t>This suggests that</w:t>
      </w:r>
      <w:r w:rsidR="00F2417D" w:rsidRPr="00F2417D">
        <w:rPr>
          <w:rFonts w:cstheme="minorHAnsi"/>
          <w:sz w:val="24"/>
          <w:szCs w:val="24"/>
        </w:rPr>
        <w:t xml:space="preserve"> Crump et al. </w:t>
      </w:r>
      <w:r w:rsidR="00F72100">
        <w:rPr>
          <w:rFonts w:cstheme="minorHAnsi"/>
          <w:sz w:val="24"/>
          <w:szCs w:val="24"/>
        </w:rPr>
        <w:t>may need to</w:t>
      </w:r>
      <w:r w:rsidR="00F2417D" w:rsidRPr="00F2417D">
        <w:rPr>
          <w:rFonts w:cstheme="minorHAnsi"/>
          <w:sz w:val="24"/>
          <w:szCs w:val="24"/>
        </w:rPr>
        <w:t xml:space="preserve"> revise downward their confidence level that the </w:t>
      </w:r>
      <w:proofErr w:type="spellStart"/>
      <w:r w:rsidR="00F2417D" w:rsidRPr="00F2417D">
        <w:rPr>
          <w:rFonts w:cstheme="minorHAnsi"/>
          <w:sz w:val="24"/>
          <w:szCs w:val="24"/>
        </w:rPr>
        <w:t>Penaeidae</w:t>
      </w:r>
      <w:proofErr w:type="spellEnd"/>
      <w:r w:rsidR="00F2417D" w:rsidRPr="00F2417D">
        <w:rPr>
          <w:rFonts w:cstheme="minorHAnsi"/>
          <w:sz w:val="24"/>
          <w:szCs w:val="24"/>
        </w:rPr>
        <w:t xml:space="preserve"> have nociceptors.</w:t>
      </w:r>
    </w:p>
    <w:p w14:paraId="5FD13D56" w14:textId="64E9CFB1" w:rsidR="00F2417D" w:rsidRPr="00F2417D" w:rsidRDefault="00F2417D" w:rsidP="00407CF1">
      <w:pPr>
        <w:spacing w:after="120" w:line="240" w:lineRule="auto"/>
        <w:jc w:val="both"/>
        <w:rPr>
          <w:rFonts w:cstheme="minorHAnsi"/>
          <w:sz w:val="24"/>
          <w:szCs w:val="24"/>
        </w:rPr>
      </w:pPr>
      <w:r w:rsidRPr="00F2417D">
        <w:rPr>
          <w:rFonts w:cstheme="minorHAnsi"/>
          <w:bCs/>
          <w:sz w:val="24"/>
          <w:szCs w:val="24"/>
        </w:rPr>
        <w:t xml:space="preserve">Crump et al. express medium confidence that the </w:t>
      </w:r>
      <w:proofErr w:type="spellStart"/>
      <w:r w:rsidRPr="00F2417D">
        <w:rPr>
          <w:rFonts w:cstheme="minorHAnsi"/>
          <w:bCs/>
          <w:sz w:val="24"/>
          <w:szCs w:val="24"/>
        </w:rPr>
        <w:t>Penaeidae</w:t>
      </w:r>
      <w:proofErr w:type="spellEnd"/>
      <w:r w:rsidRPr="00F2417D">
        <w:rPr>
          <w:rFonts w:cstheme="minorHAnsi"/>
          <w:bCs/>
          <w:sz w:val="24"/>
          <w:szCs w:val="24"/>
        </w:rPr>
        <w:t xml:space="preserve"> meet Criterion 4 and possess endogenous neurotransmitters modulating pain or respond to local anesthetics.</w:t>
      </w:r>
      <w:r w:rsidRPr="00F2417D">
        <w:rPr>
          <w:rFonts w:cstheme="minorHAnsi"/>
          <w:sz w:val="24"/>
          <w:szCs w:val="24"/>
        </w:rPr>
        <w:t xml:space="preserve"> </w:t>
      </w:r>
      <w:r w:rsidRPr="00F2417D">
        <w:rPr>
          <w:rFonts w:cstheme="minorHAnsi"/>
          <w:sz w:val="24"/>
          <w:szCs w:val="24"/>
        </w:rPr>
        <w:fldChar w:fldCharType="begin"/>
      </w:r>
      <w:r w:rsidRPr="00F2417D">
        <w:rPr>
          <w:rFonts w:cstheme="minorHAnsi"/>
          <w:sz w:val="24"/>
          <w:szCs w:val="24"/>
        </w:rPr>
        <w:instrText xml:space="preserve"> ADDIN ZOTERO_ITEM CSL_CITATION {"citationID":"LBs0qsal","properties":{"formattedCitation":"(Taylor et al., 2004)","plainCitation":"(Taylor et al., 2004)","noteIndex":0},"citationItems":[{"id":6778,"uris":["http://zotero.org/users/3589/items/QRDVCRNU"],"itemData":{"id":6778,"type":"article-journal","abstract":"A topical anesthetic and a coagulating agent were employed in this study to determine if observable signs of eyestalk ablation stress could be alleviated in adult female Litopenaeus vannamei broodstock. The experimental design included four separate treatments, with each tested group consisting of 15 female shrimp weighing approximately 40 g. Results show that survival of the shrimp was 100% for all treatments, but reaction to the eyestalk ablation event varied between treatments. Initiation of normal swimming or recovery and the onset of feeding following ablation and treatment also varied among the four groups. The results suggest that the use of a topical anesthetic prior to eyestalk ablation reduces the visible reactions to stress experienced by L. vannamei broodstock, allowing for a more humane eyestalk ablation method.","container-title":"Aquaculture","DOI":"10.1016/j.aquaculture.2003.09.034","ISSN":"0044-8486","issue":"1","journalAbbreviation":"Aquaculture","language":"en","page":"173-179","source":"ScienceDirect","title":"Minimizing the effects of stress during eyestalk ablation of Litopenaeus vannamei females with topical anesthetic and a coagulating agent","volume":"233","author":[{"family":"Taylor","given":"J."},{"family":"Vinatea","given":"L."},{"family":"Ozorio","given":"R."},{"family":"Schuweitzer","given":"R."},{"family":"Andreatta","given":"E. R."}],"issued":{"date-parts":[["2004",4,26]]}}}],"schema":"https://github.com/citation-style-language/schema/raw/master/csl-citation.json"}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Taylor et al</w:t>
      </w:r>
      <w:r w:rsidR="00F72100">
        <w:rPr>
          <w:rFonts w:cstheme="minorHAnsi"/>
          <w:sz w:val="24"/>
          <w:szCs w:val="24"/>
        </w:rPr>
        <w:t xml:space="preserve">. </w:t>
      </w:r>
      <w:r w:rsidR="00AB27AD">
        <w:rPr>
          <w:rFonts w:cstheme="minorHAnsi"/>
          <w:sz w:val="24"/>
          <w:szCs w:val="24"/>
        </w:rPr>
        <w:t>(</w:t>
      </w:r>
      <w:r w:rsidRPr="00F2417D">
        <w:rPr>
          <w:rFonts w:cstheme="minorHAnsi"/>
          <w:sz w:val="24"/>
          <w:szCs w:val="24"/>
        </w:rPr>
        <w:t>2004</w:t>
      </w:r>
      <w:r w:rsidR="00AB27AD">
        <w:rPr>
          <w:rFonts w:cstheme="minorHAnsi"/>
          <w:sz w:val="24"/>
          <w:szCs w:val="24"/>
        </w:rPr>
        <w:t>)</w:t>
      </w:r>
      <w:r w:rsidRPr="00F2417D">
        <w:rPr>
          <w:rFonts w:cstheme="minorHAnsi"/>
          <w:sz w:val="24"/>
          <w:szCs w:val="24"/>
        </w:rPr>
        <w:t xml:space="preserve"> </w:t>
      </w:r>
      <w:r w:rsidRPr="00F2417D">
        <w:rPr>
          <w:rFonts w:cstheme="minorHAnsi"/>
          <w:sz w:val="24"/>
          <w:szCs w:val="24"/>
          <w:lang w:val="en-AU"/>
        </w:rPr>
        <w:fldChar w:fldCharType="end"/>
      </w:r>
      <w:r w:rsidRPr="00F2417D">
        <w:rPr>
          <w:rFonts w:cstheme="minorHAnsi"/>
          <w:sz w:val="24"/>
          <w:szCs w:val="24"/>
        </w:rPr>
        <w:t>lend support</w:t>
      </w:r>
      <w:r w:rsidR="00AB27AD">
        <w:rPr>
          <w:rFonts w:cstheme="minorHAnsi"/>
          <w:sz w:val="24"/>
          <w:szCs w:val="24"/>
        </w:rPr>
        <w:t>. They</w:t>
      </w:r>
      <w:r w:rsidRPr="00F2417D">
        <w:rPr>
          <w:rFonts w:cstheme="minorHAnsi"/>
          <w:sz w:val="24"/>
          <w:szCs w:val="24"/>
        </w:rPr>
        <w:t xml:space="preserve"> applied a topical anesthetic, lidocaine, before ablating the eyestalks of 15 </w:t>
      </w:r>
      <w:proofErr w:type="spellStart"/>
      <w:r w:rsidRPr="00F2417D">
        <w:rPr>
          <w:rFonts w:cstheme="minorHAnsi"/>
          <w:i/>
          <w:sz w:val="24"/>
          <w:szCs w:val="24"/>
        </w:rPr>
        <w:t>Litopenaeus</w:t>
      </w:r>
      <w:proofErr w:type="spellEnd"/>
      <w:r w:rsidRPr="00F2417D">
        <w:rPr>
          <w:rFonts w:cstheme="minorHAnsi"/>
          <w:i/>
          <w:sz w:val="24"/>
          <w:szCs w:val="24"/>
        </w:rPr>
        <w:t xml:space="preserve"> </w:t>
      </w:r>
      <w:proofErr w:type="spellStart"/>
      <w:r w:rsidRPr="00F2417D">
        <w:rPr>
          <w:rFonts w:cstheme="minorHAnsi"/>
          <w:i/>
          <w:sz w:val="24"/>
          <w:szCs w:val="24"/>
        </w:rPr>
        <w:t>vannamei</w:t>
      </w:r>
      <w:proofErr w:type="spellEnd"/>
      <w:r w:rsidRPr="00F2417D">
        <w:rPr>
          <w:rFonts w:cstheme="minorHAnsi"/>
          <w:sz w:val="24"/>
          <w:szCs w:val="24"/>
        </w:rPr>
        <w:t xml:space="preserve">. After ablation, non-treated animals swam erratically, recoiled, seemed disoriented, and self-groomed injured parts. Treated animals did not exhibit these avoidance behaviors. The results suggest an anesthetic response. </w:t>
      </w:r>
    </w:p>
    <w:p w14:paraId="792B02C7" w14:textId="05683C4B" w:rsidR="00F2417D" w:rsidRPr="00F2417D" w:rsidRDefault="00F2417D" w:rsidP="00407CF1">
      <w:pPr>
        <w:spacing w:after="120" w:line="240" w:lineRule="auto"/>
        <w:jc w:val="both"/>
        <w:rPr>
          <w:rFonts w:cstheme="minorHAnsi"/>
          <w:sz w:val="24"/>
          <w:szCs w:val="24"/>
        </w:rPr>
      </w:pPr>
      <w:r w:rsidRPr="00F2417D">
        <w:rPr>
          <w:rFonts w:cstheme="minorHAnsi"/>
          <w:sz w:val="24"/>
          <w:szCs w:val="24"/>
        </w:rPr>
        <w:lastRenderedPageBreak/>
        <w:t xml:space="preserve">However, it is unclear whether </w:t>
      </w:r>
      <w:r w:rsidR="00812C48">
        <w:rPr>
          <w:rFonts w:cstheme="minorHAnsi"/>
          <w:sz w:val="24"/>
          <w:szCs w:val="24"/>
        </w:rPr>
        <w:t>l</w:t>
      </w:r>
      <w:r w:rsidRPr="00F2417D">
        <w:rPr>
          <w:rFonts w:cstheme="minorHAnsi"/>
          <w:sz w:val="24"/>
          <w:szCs w:val="24"/>
        </w:rPr>
        <w:t xml:space="preserve">idocaine acts as an analgesic or a soporific. When </w:t>
      </w:r>
      <w:r w:rsidRPr="00F2417D">
        <w:rPr>
          <w:rFonts w:cstheme="minorHAnsi"/>
          <w:sz w:val="24"/>
          <w:szCs w:val="24"/>
        </w:rPr>
        <w:fldChar w:fldCharType="begin"/>
      </w:r>
      <w:r w:rsidRPr="00F2417D">
        <w:rPr>
          <w:rFonts w:cstheme="minorHAnsi"/>
          <w:sz w:val="24"/>
          <w:szCs w:val="24"/>
        </w:rPr>
        <w:instrText xml:space="preserve"> ADDIN ZOTERO_ITEM CSL_CITATION {"citationID":"Mx9ZwKM9","properties":{"formattedCitation":"(Parodi et al., 2012)","plainCitation":"(Parodi et al., 2012)","noteIndex":0},"citationItems":[{"id":7121,"uris":["http://zotero.org/users/3589/items/3PB9S4FP"],"itemData":{"id":7121,"type":"article-journal","abstract":"The aim of this study was to evaluate the anesthesia induction and recovery times of sub-adult and post-larvae white shrimp (Litopenaeus vannamei) that were treated with eugenol and the essential oils (EOs) from Lippia alba and Aloysia triphylla. Oxidative stress parameters in the hemolymph of this species were also analyzed. The concentrations of eugenol, A. triphylla EO and L. alba EO recommended for anesthesia were 200, 300 and 750μLL−1 for sub-adults and 175, 300 and 500μLL−1 for post-larvae, respectively. The concentrations studied during the transport of sub-adults were between 20 and 50μLL−1 eugenol, 20–30μLL−1 A. triphylla EO and 50μLL−1 L. alba EO. For post-larvae, the optimal concentrations for transport were 20μLL−1 eugenol and between 20 and 50μLL−1 A. triphylla EO. The white shrimp sub-adults that were exposed to A. triphylla EO (20μLL−1) showed increases in their total antioxidant capacities (150%), catalase (70%) and glutathione-S-transferase (615%) activity after 6h. L. alba EO (50μLL−1) and eugenol (20μLL−1) also increased GST activity (1292 and 1315%) after 6h, and eugenol (20μLL−1) decreased the total antioxidant capacity (100%). Moreover, concentrations above 30μLL−1 for the EOs of A. triphylla and L. alba and 20μLL−1 eugenol were effective at inducing anesthesia and improving the antioxidant system against reactive oxygen species (ROS) after 6h.","container-title":"Comparative Biochemistry and Physiology Part C: Toxicology &amp; Pharmacology","DOI":"10.1016/j.cbpc.2011.12.003","ISSN":"1532-0456","issue":"3","journalAbbreviation":"Comparative Biochemistry and Physiology Part C: Toxicology &amp; Pharmacology","language":"en","page":"462-468","source":"ScienceDirect","title":"The anesthetic efficacy of eugenol and the essential oils of Lippia alba and Aloysia triphylla in post-larvae and sub-adults of Litopenaeus vannamei (Crustacea, Penaeidae)","volume":"155","author":[{"family":"Parodi","given":"Thaylise V."},{"family":"Cunha","given":"Mauro A."},{"family":"Heldwein","given":"Clarissa G."},{"family":"Souza","given":"Diego M.","non-dropping-particle":"de"},{"family":"Martins","given":"Átila Clivea"},{"family":"Garcia","given":"Luciano de O."},{"family":"Junior","given":"Wilson Wasielesky"},{"family":"Monserrat","given":"José María"},{"family":"Schmidt","given":"Denise"},{"family":"Caron","given":"Braulio O."},{"family":"Heinzmann","given":"Berta"},{"family":"Baldisserotto","given":"Bernardo"}],"issued":{"date-parts":[["2012",4,1]]}}}],"schema":"https://github.com/citation-style-language/schema/raw/master/csl-citation.json"}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Parodi et al. (2012)</w:t>
      </w:r>
      <w:r w:rsidRPr="00F2417D">
        <w:rPr>
          <w:rFonts w:cstheme="minorHAnsi"/>
          <w:sz w:val="24"/>
          <w:szCs w:val="24"/>
          <w:lang w:val="en-AU"/>
        </w:rPr>
        <w:fldChar w:fldCharType="end"/>
      </w:r>
      <w:r w:rsidRPr="00F2417D">
        <w:rPr>
          <w:rFonts w:cstheme="minorHAnsi"/>
          <w:sz w:val="24"/>
          <w:szCs w:val="24"/>
        </w:rPr>
        <w:t xml:space="preserve"> treated </w:t>
      </w:r>
      <w:r w:rsidRPr="00F2417D">
        <w:rPr>
          <w:rFonts w:cstheme="minorHAnsi"/>
          <w:i/>
          <w:iCs/>
          <w:sz w:val="24"/>
          <w:szCs w:val="24"/>
        </w:rPr>
        <w:t xml:space="preserve">L. </w:t>
      </w:r>
      <w:proofErr w:type="spellStart"/>
      <w:r w:rsidRPr="00F2417D">
        <w:rPr>
          <w:rFonts w:cstheme="minorHAnsi"/>
          <w:i/>
          <w:iCs/>
          <w:sz w:val="24"/>
          <w:szCs w:val="24"/>
        </w:rPr>
        <w:t>vannamei</w:t>
      </w:r>
      <w:proofErr w:type="spellEnd"/>
      <w:r w:rsidRPr="00F2417D">
        <w:rPr>
          <w:rFonts w:cstheme="minorHAnsi"/>
          <w:sz w:val="24"/>
          <w:szCs w:val="24"/>
        </w:rPr>
        <w:t xml:space="preserve"> with eugenol (the active ingredient in clove oil, used to treat toothaches in humans) or lemon verbena oil (</w:t>
      </w:r>
      <w:r w:rsidRPr="00F2417D">
        <w:rPr>
          <w:rFonts w:cstheme="minorHAnsi"/>
          <w:i/>
          <w:iCs/>
          <w:sz w:val="24"/>
          <w:szCs w:val="24"/>
        </w:rPr>
        <w:t xml:space="preserve">Aloysia </w:t>
      </w:r>
      <w:proofErr w:type="spellStart"/>
      <w:r w:rsidRPr="00F2417D">
        <w:rPr>
          <w:rFonts w:cstheme="minorHAnsi"/>
          <w:i/>
          <w:iCs/>
          <w:sz w:val="24"/>
          <w:szCs w:val="24"/>
        </w:rPr>
        <w:t>triphylla</w:t>
      </w:r>
      <w:proofErr w:type="spellEnd"/>
      <w:r w:rsidRPr="00F2417D">
        <w:rPr>
          <w:rFonts w:cstheme="minorHAnsi"/>
          <w:sz w:val="24"/>
          <w:szCs w:val="24"/>
        </w:rPr>
        <w:t xml:space="preserve">), the animals became immobilized. Both chemicals induced loss of equilibrium, an effect </w:t>
      </w:r>
      <w:proofErr w:type="gramStart"/>
      <w:r w:rsidRPr="00F2417D">
        <w:rPr>
          <w:rFonts w:cstheme="minorHAnsi"/>
          <w:sz w:val="24"/>
          <w:szCs w:val="24"/>
        </w:rPr>
        <w:t>similar to</w:t>
      </w:r>
      <w:proofErr w:type="gramEnd"/>
      <w:r w:rsidRPr="00F2417D">
        <w:rPr>
          <w:rFonts w:cstheme="minorHAnsi"/>
          <w:sz w:val="24"/>
          <w:szCs w:val="24"/>
        </w:rPr>
        <w:t xml:space="preserve"> that observed by Taylor et al. Once the animals were transferred to a tank without the chemical, they returned to normal upright posture within 5 minutes </w:t>
      </w:r>
      <w:r w:rsidRPr="00F2417D">
        <w:rPr>
          <w:rFonts w:cstheme="minorHAnsi"/>
          <w:sz w:val="24"/>
          <w:szCs w:val="24"/>
        </w:rPr>
        <w:fldChar w:fldCharType="begin"/>
      </w:r>
      <w:r w:rsidRPr="00F2417D">
        <w:rPr>
          <w:rFonts w:cstheme="minorHAnsi"/>
          <w:sz w:val="24"/>
          <w:szCs w:val="24"/>
        </w:rPr>
        <w:instrText xml:space="preserve"> ADDIN ZOTERO_ITEM CSL_CITATION {"citationID":"6WcRSxiq","properties":{"formattedCitation":"(Parodi et al., 2012)","plainCitation":"(Parodi et al., 2012)","noteIndex":0},"citationItems":[{"id":7121,"uris":["http://zotero.org/users/3589/items/3PB9S4FP"],"itemData":{"id":7121,"type":"article-journal","abstract":"The aim of this study was to evaluate the anesthesia induction and recovery times of sub-adult and post-larvae white shrimp (Litopenaeus vannamei) that were treated with eugenol and the essential oils (EOs) from Lippia alba and Aloysia triphylla. Oxidative stress parameters in the hemolymph of this species were also analyzed. The concentrations of eugenol, A. triphylla EO and L. alba EO recommended for anesthesia were 200, 300 and 750μLL−1 for sub-adults and 175, 300 and 500μLL−1 for post-larvae, respectively. The concentrations studied during the transport of sub-adults were between 20 and 50μLL−1 eugenol, 20–30μLL−1 A. triphylla EO and 50μLL−1 L. alba EO. For post-larvae, the optimal concentrations for transport were 20μLL−1 eugenol and between 20 and 50μLL−1 A. triphylla EO. The white shrimp sub-adults that were exposed to A. triphylla EO (20μLL−1) showed increases in their total antioxidant capacities (150%), catalase (70%) and glutathione-S-transferase (615%) activity after 6h. L. alba EO (50μLL−1) and eugenol (20μLL−1) also increased GST activity (1292 and 1315%) after 6h, and eugenol (20μLL−1) decreased the total antioxidant capacity (100%). Moreover, concentrations above 30μLL−1 for the EOs of A. triphylla and L. alba and 20μLL−1 eugenol were effective at inducing anesthesia and improving the antioxidant system against reactive oxygen species (ROS) after 6h.","container-title":"Comparative Biochemistry and Physiology Part C: Toxicology &amp; Pharmacology","DOI":"10.1016/j.cbpc.2011.12.003","ISSN":"1532-0456","issue":"3","journalAbbreviation":"Comparative Biochemistry and Physiology Part C: Toxicology &amp; Pharmacology","language":"en","page":"462-468","source":"ScienceDirect","title":"The anesthetic efficacy of eugenol and the essential oils of Lippia alba and Aloysia triphylla in post-larvae and sub-adults of Litopenaeus vannamei (Crustacea, Penaeidae)","volume":"155","author":[{"family":"Parodi","given":"Thaylise V."},{"family":"Cunha","given":"Mauro A."},{"family":"Heldwein","given":"Clarissa G."},{"family":"Souza","given":"Diego M.","non-dropping-particle":"de"},{"family":"Martins","given":"Átila Clivea"},{"family":"Garcia","given":"Luciano de O."},{"family":"Junior","given":"Wilson Wasielesky"},{"family":"Monserrat","given":"José María"},{"family":"Schmidt","given":"Denise"},{"family":"Caron","given":"Braulio O."},{"family":"Heinzmann","given":"Berta"},{"family":"Baldisserotto","given":"Bernardo"}],"issued":{"date-parts":[["2012",4,1]]}}}],"schema":"https://github.com/citation-style-language/schema/raw/master/csl-citation.json"}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(Parodi et al., 2012)</w:t>
      </w:r>
      <w:r w:rsidRPr="00F2417D">
        <w:rPr>
          <w:rFonts w:cstheme="minorHAnsi"/>
          <w:sz w:val="24"/>
          <w:szCs w:val="24"/>
          <w:lang w:val="en-AU"/>
        </w:rPr>
        <w:fldChar w:fldCharType="end"/>
      </w:r>
      <w:r w:rsidRPr="00F2417D">
        <w:rPr>
          <w:rFonts w:cstheme="minorHAnsi"/>
          <w:sz w:val="24"/>
          <w:szCs w:val="24"/>
        </w:rPr>
        <w:t xml:space="preserve">. Did eugenol relieve their pain or their proprioception? In another study, </w:t>
      </w:r>
      <w:r w:rsidRPr="00F2417D">
        <w:rPr>
          <w:rFonts w:cstheme="minorHAnsi"/>
          <w:sz w:val="24"/>
          <w:szCs w:val="24"/>
        </w:rPr>
        <w:fldChar w:fldCharType="begin"/>
      </w:r>
      <w:r w:rsidRPr="00F2417D">
        <w:rPr>
          <w:rFonts w:cstheme="minorHAnsi"/>
          <w:sz w:val="24"/>
          <w:szCs w:val="24"/>
        </w:rPr>
        <w:instrText xml:space="preserve"> ADDIN ZOTERO_ITEM CSL_CITATION {"citationID":"YvMcI3EC","properties":{"formattedCitation":"(Wycoff et al., 2018)","plainCitation":"(Wycoff et al., 2018)","noteIndex":0},"citationItems":[{"id":7139,"uris":["http://zotero.org/users/3589/items/DMH2AGHC"],"itemData":{"id":7139,"type":"article-journal","abstract":"Institutions: Department of Biology, University of Kentucky, Lexington, KY, USA; Goethe University Frankfurt am Main, Germany; Swansea University, United Kingdom; Aquaculture Research Center, Kentucky State University; Sea Farms Limited, Redditch, Worcestershire, United Kingdom","container-title":"IMPULSE","issue":"1","language":"en","source":"impulse.pubpub.org","title":"Effects of clove oil (eugenol) on proprioceptive neurons, heart rate, and behavior in model crustaceans","URL":"https://impulse.pubpub.org/pub/urrl4rjh/release/1","volume":"15","author":[{"family":"Wycoff","given":"Samuel"},{"family":"Weineck","given":"Kristin"},{"family":"Conlin","given":"Shannon"},{"family":"Suryadevara","given":"Chinni"},{"family":"Grau","given":"Elizabeth"},{"family":"Bradley","given":"Alec"},{"family":"Cantrell","given":"Danielle"},{"family":"Eversole","given":"Samantha"},{"family":"Grachen","given":"Carolyn"},{"family":"Hall","given":"Kaylee"},{"family":"Hawthorne","given":"Danielle"},{"family":"Kinmon","given":"Claire"},{"family":"Guerrero","given":"Paula Ortiz"},{"family":"Patel","given":"Bhavik"},{"family":"Samuels","given":"Kaitlyn"},{"family":"Valdes","given":"Gia"},{"family":"Ray","given":"Andrew"},{"family":"Fleckenstein","given":"Leo"},{"family":"Piana","given":"Elena"},{"family":"Cooper","given":"Robin"}],"accessed":{"date-parts":[["2022",6,21]]},"issued":{"date-parts":[["2018",1,31]]}}}],"schema":"https://github.com/citation-style-language/schema/raw/master/csl-citation.json"} </w:instrText>
      </w:r>
      <w:r w:rsidRPr="00F2417D">
        <w:rPr>
          <w:rFonts w:cstheme="minorHAnsi"/>
          <w:sz w:val="24"/>
          <w:szCs w:val="24"/>
        </w:rPr>
        <w:fldChar w:fldCharType="separate"/>
      </w:r>
      <w:r w:rsidRPr="00F2417D">
        <w:rPr>
          <w:rFonts w:cstheme="minorHAnsi"/>
          <w:sz w:val="24"/>
          <w:szCs w:val="24"/>
        </w:rPr>
        <w:t>Wycoff et al. (2018</w:t>
      </w:r>
      <w:r w:rsidRPr="00F2417D">
        <w:rPr>
          <w:rFonts w:cstheme="minorHAnsi"/>
          <w:sz w:val="24"/>
          <w:szCs w:val="24"/>
          <w:lang w:val="en-AU"/>
        </w:rPr>
        <w:fldChar w:fldCharType="end"/>
      </w:r>
      <w:r w:rsidRPr="00F2417D">
        <w:rPr>
          <w:rFonts w:cstheme="minorHAnsi"/>
          <w:sz w:val="24"/>
          <w:szCs w:val="24"/>
        </w:rPr>
        <w:t xml:space="preserve">) found that eugenol slows the heart rate and activity of </w:t>
      </w:r>
      <w:r w:rsidRPr="00F2417D">
        <w:rPr>
          <w:rFonts w:cstheme="minorHAnsi"/>
          <w:i/>
          <w:iCs/>
          <w:sz w:val="24"/>
          <w:szCs w:val="24"/>
        </w:rPr>
        <w:t xml:space="preserve">L. </w:t>
      </w:r>
      <w:proofErr w:type="spellStart"/>
      <w:r w:rsidRPr="00F2417D">
        <w:rPr>
          <w:rFonts w:cstheme="minorHAnsi"/>
          <w:i/>
          <w:iCs/>
          <w:sz w:val="24"/>
          <w:szCs w:val="24"/>
        </w:rPr>
        <w:t>vannamei</w:t>
      </w:r>
      <w:proofErr w:type="spellEnd"/>
      <w:r w:rsidRPr="00F2417D">
        <w:rPr>
          <w:rFonts w:cstheme="minorHAnsi"/>
          <w:sz w:val="24"/>
          <w:szCs w:val="24"/>
        </w:rPr>
        <w:t xml:space="preserve">. Within 2 minutes of being injected, shrimp failed to respond to pinches with their characteristic (nociceptive) tail flip. As eugenol’s mechanism of action is not well understood, these results </w:t>
      </w:r>
      <w:r w:rsidR="00BC6D3C">
        <w:rPr>
          <w:rFonts w:cstheme="minorHAnsi"/>
          <w:sz w:val="24"/>
          <w:szCs w:val="24"/>
        </w:rPr>
        <w:t xml:space="preserve">would also be consistent </w:t>
      </w:r>
      <w:r w:rsidRPr="00F2417D">
        <w:rPr>
          <w:rFonts w:cstheme="minorHAnsi"/>
          <w:sz w:val="24"/>
          <w:szCs w:val="24"/>
        </w:rPr>
        <w:t>with general paralysis. Further studies are needed to determine whether the chemicals are truly acting as analgesics and relieving pain by</w:t>
      </w:r>
      <w:r w:rsidR="00DB53FE">
        <w:rPr>
          <w:rFonts w:cstheme="minorHAnsi"/>
          <w:sz w:val="24"/>
          <w:szCs w:val="24"/>
        </w:rPr>
        <w:t xml:space="preserve">, for example, </w:t>
      </w:r>
      <w:r w:rsidRPr="00F2417D">
        <w:rPr>
          <w:rFonts w:cstheme="minorHAnsi"/>
          <w:sz w:val="24"/>
          <w:szCs w:val="24"/>
        </w:rPr>
        <w:t>blocking signals from tissue damage, or acting as soporifics and relieving stress by</w:t>
      </w:r>
      <w:r w:rsidR="00DB53FE">
        <w:rPr>
          <w:rFonts w:cstheme="minorHAnsi"/>
          <w:sz w:val="24"/>
          <w:szCs w:val="24"/>
        </w:rPr>
        <w:t xml:space="preserve">, for example, </w:t>
      </w:r>
      <w:r w:rsidRPr="00F2417D">
        <w:rPr>
          <w:rFonts w:cstheme="minorHAnsi"/>
          <w:sz w:val="24"/>
          <w:szCs w:val="24"/>
        </w:rPr>
        <w:t>reducing overall alertness. Meanwhile, Criterion 4 might merit less than medium confidence.</w:t>
      </w:r>
    </w:p>
    <w:p w14:paraId="6160AF0A" w14:textId="14B0E391" w:rsidR="003A7FDD" w:rsidRDefault="003A7FDD" w:rsidP="00407CF1">
      <w:pPr>
        <w:spacing w:after="120" w:line="240" w:lineRule="auto"/>
        <w:jc w:val="both"/>
        <w:rPr>
          <w:rFonts w:ascii="Arial" w:hAnsi="Arial" w:cs="Arial"/>
          <w:color w:val="222222"/>
          <w:shd w:val="clear" w:color="auto" w:fill="FFFFFF"/>
        </w:rPr>
      </w:pPr>
      <w:r>
        <w:rPr>
          <w:rFonts w:ascii="Arial" w:hAnsi="Arial" w:cs="Arial"/>
          <w:color w:val="222222"/>
          <w:shd w:val="clear" w:color="auto" w:fill="FFFFFF"/>
        </w:rPr>
        <w:t xml:space="preserve">The framework proposed by Crump et al. </w:t>
      </w:r>
      <w:r w:rsidR="00810C04">
        <w:rPr>
          <w:rFonts w:ascii="Arial" w:hAnsi="Arial" w:cs="Arial"/>
          <w:color w:val="222222"/>
          <w:shd w:val="clear" w:color="auto" w:fill="FFFFFF"/>
        </w:rPr>
        <w:t xml:space="preserve">seems to have </w:t>
      </w:r>
      <w:r w:rsidR="003038D4">
        <w:rPr>
          <w:rFonts w:ascii="Arial" w:hAnsi="Arial" w:cs="Arial"/>
          <w:color w:val="222222"/>
          <w:shd w:val="clear" w:color="auto" w:fill="FFFFFF"/>
        </w:rPr>
        <w:t>an important</w:t>
      </w:r>
      <w:r w:rsidR="0032731B">
        <w:rPr>
          <w:rFonts w:ascii="Arial" w:hAnsi="Arial" w:cs="Arial"/>
          <w:color w:val="222222"/>
          <w:shd w:val="clear" w:color="auto" w:fill="FFFFFF"/>
        </w:rPr>
        <w:t xml:space="preserve"> weakness. </w:t>
      </w:r>
      <w:r w:rsidR="003038D4">
        <w:rPr>
          <w:rFonts w:ascii="Arial" w:hAnsi="Arial" w:cs="Arial"/>
          <w:color w:val="222222"/>
          <w:shd w:val="clear" w:color="auto" w:fill="FFFFFF"/>
        </w:rPr>
        <w:t>It d</w:t>
      </w:r>
      <w:r w:rsidR="00810C04">
        <w:rPr>
          <w:rFonts w:ascii="Arial" w:hAnsi="Arial" w:cs="Arial"/>
          <w:color w:val="222222"/>
          <w:shd w:val="clear" w:color="auto" w:fill="FFFFFF"/>
        </w:rPr>
        <w:t>oes not</w:t>
      </w:r>
      <w:r>
        <w:rPr>
          <w:rFonts w:ascii="Arial" w:hAnsi="Arial" w:cs="Arial"/>
          <w:color w:val="222222"/>
          <w:shd w:val="clear" w:color="auto" w:fill="FFFFFF"/>
        </w:rPr>
        <w:t xml:space="preserve"> </w:t>
      </w:r>
      <w:r w:rsidR="0032731B">
        <w:rPr>
          <w:rFonts w:ascii="Arial" w:hAnsi="Arial" w:cs="Arial"/>
          <w:color w:val="222222"/>
          <w:shd w:val="clear" w:color="auto" w:fill="FFFFFF"/>
        </w:rPr>
        <w:t xml:space="preserve">provide a way to </w:t>
      </w:r>
      <w:r>
        <w:rPr>
          <w:rFonts w:ascii="Arial" w:hAnsi="Arial" w:cs="Arial"/>
          <w:color w:val="222222"/>
          <w:shd w:val="clear" w:color="auto" w:fill="FFFFFF"/>
        </w:rPr>
        <w:t xml:space="preserve">distinguish between negative evidence and lack of evidence. For example, evidence for pain in </w:t>
      </w:r>
      <w:proofErr w:type="spellStart"/>
      <w:r>
        <w:rPr>
          <w:rFonts w:ascii="Arial" w:hAnsi="Arial" w:cs="Arial"/>
          <w:color w:val="222222"/>
          <w:shd w:val="clear" w:color="auto" w:fill="FFFFFF"/>
        </w:rPr>
        <w:t>Pleocyemata</w:t>
      </w:r>
      <w:proofErr w:type="spellEnd"/>
      <w:r>
        <w:rPr>
          <w:rFonts w:ascii="Arial" w:hAnsi="Arial" w:cs="Arial"/>
          <w:color w:val="222222"/>
          <w:shd w:val="clear" w:color="auto" w:fill="FFFFFF"/>
        </w:rPr>
        <w:t xml:space="preserve"> gets weighted with a </w:t>
      </w:r>
      <w:r w:rsidR="0032731B">
        <w:rPr>
          <w:rFonts w:ascii="Arial" w:hAnsi="Arial" w:cs="Arial"/>
          <w:color w:val="222222"/>
          <w:shd w:val="clear" w:color="auto" w:fill="FFFFFF"/>
        </w:rPr>
        <w:t xml:space="preserve">(positive) </w:t>
      </w:r>
      <w:r>
        <w:rPr>
          <w:rFonts w:ascii="Arial" w:hAnsi="Arial" w:cs="Arial"/>
          <w:color w:val="222222"/>
          <w:shd w:val="clear" w:color="auto" w:fill="FFFFFF"/>
        </w:rPr>
        <w:t xml:space="preserve">confidence judgment, but evidence against pain in </w:t>
      </w:r>
      <w:proofErr w:type="spellStart"/>
      <w:r>
        <w:rPr>
          <w:rFonts w:ascii="Arial" w:hAnsi="Arial" w:cs="Arial"/>
          <w:color w:val="222222"/>
          <w:shd w:val="clear" w:color="auto" w:fill="FFFFFF"/>
        </w:rPr>
        <w:t>Dendrobranchiata</w:t>
      </w:r>
      <w:proofErr w:type="spellEnd"/>
      <w:r>
        <w:rPr>
          <w:rFonts w:ascii="Arial" w:hAnsi="Arial" w:cs="Arial"/>
          <w:color w:val="222222"/>
          <w:shd w:val="clear" w:color="auto" w:fill="FFFFFF"/>
        </w:rPr>
        <w:t xml:space="preserve"> </w:t>
      </w:r>
      <w:r w:rsidR="00E95C1B">
        <w:rPr>
          <w:rFonts w:ascii="Arial" w:hAnsi="Arial" w:cs="Arial"/>
          <w:color w:val="222222"/>
          <w:shd w:val="clear" w:color="auto" w:fill="FFFFFF"/>
        </w:rPr>
        <w:t xml:space="preserve">receives </w:t>
      </w:r>
      <w:r>
        <w:rPr>
          <w:rFonts w:ascii="Arial" w:hAnsi="Arial" w:cs="Arial"/>
          <w:color w:val="222222"/>
          <w:shd w:val="clear" w:color="auto" w:fill="FFFFFF"/>
        </w:rPr>
        <w:t>a "low confidence" judgment</w:t>
      </w:r>
      <w:r w:rsidR="00E95C1B">
        <w:rPr>
          <w:rFonts w:ascii="Arial" w:hAnsi="Arial" w:cs="Arial"/>
          <w:color w:val="222222"/>
          <w:shd w:val="clear" w:color="auto" w:fill="FFFFFF"/>
        </w:rPr>
        <w:t xml:space="preserve">. </w:t>
      </w:r>
      <w:r>
        <w:rPr>
          <w:rFonts w:ascii="Arial" w:hAnsi="Arial" w:cs="Arial"/>
          <w:color w:val="222222"/>
          <w:shd w:val="clear" w:color="auto" w:fill="FFFFFF"/>
        </w:rPr>
        <w:t xml:space="preserve">This </w:t>
      </w:r>
      <w:r w:rsidR="00810C04">
        <w:rPr>
          <w:rFonts w:ascii="Arial" w:hAnsi="Arial" w:cs="Arial"/>
          <w:color w:val="222222"/>
          <w:shd w:val="clear" w:color="auto" w:fill="FFFFFF"/>
        </w:rPr>
        <w:t xml:space="preserve">is </w:t>
      </w:r>
      <w:r>
        <w:rPr>
          <w:rFonts w:ascii="Arial" w:hAnsi="Arial" w:cs="Arial"/>
          <w:color w:val="222222"/>
          <w:shd w:val="clear" w:color="auto" w:fill="FFFFFF"/>
        </w:rPr>
        <w:t>misleading</w:t>
      </w:r>
      <w:r w:rsidR="00E95C1B">
        <w:rPr>
          <w:rFonts w:ascii="Arial" w:hAnsi="Arial" w:cs="Arial"/>
          <w:color w:val="222222"/>
          <w:shd w:val="clear" w:color="auto" w:fill="FFFFFF"/>
        </w:rPr>
        <w:t xml:space="preserve"> because “low confidence” is the </w:t>
      </w:r>
      <w:r w:rsidR="00E95C1B" w:rsidRPr="00D42784">
        <w:rPr>
          <w:rFonts w:ascii="Arial" w:hAnsi="Arial" w:cs="Arial"/>
          <w:i/>
          <w:iCs/>
          <w:color w:val="222222"/>
          <w:shd w:val="clear" w:color="auto" w:fill="FFFFFF"/>
        </w:rPr>
        <w:t>same</w:t>
      </w:r>
      <w:r w:rsidR="00E95C1B">
        <w:rPr>
          <w:rFonts w:ascii="Arial" w:hAnsi="Arial" w:cs="Arial"/>
          <w:color w:val="222222"/>
          <w:shd w:val="clear" w:color="auto" w:fill="FFFFFF"/>
        </w:rPr>
        <w:t xml:space="preserve"> judgment used when no evidence is available. The model needs a</w:t>
      </w:r>
      <w:r w:rsidR="0032731B">
        <w:rPr>
          <w:rFonts w:ascii="Arial" w:hAnsi="Arial" w:cs="Arial"/>
          <w:color w:val="222222"/>
          <w:shd w:val="clear" w:color="auto" w:fill="FFFFFF"/>
        </w:rPr>
        <w:t xml:space="preserve"> </w:t>
      </w:r>
      <w:r w:rsidR="0032731B">
        <w:rPr>
          <w:rFonts w:cstheme="minorHAnsi"/>
          <w:bCs/>
          <w:sz w:val="24"/>
          <w:szCs w:val="24"/>
        </w:rPr>
        <w:t xml:space="preserve">way to indicate </w:t>
      </w:r>
      <w:r w:rsidR="00E95C1B">
        <w:rPr>
          <w:rFonts w:cstheme="minorHAnsi"/>
          <w:bCs/>
          <w:sz w:val="24"/>
          <w:szCs w:val="24"/>
        </w:rPr>
        <w:t xml:space="preserve">(negative) evidence when an </w:t>
      </w:r>
      <w:r w:rsidR="0032731B">
        <w:rPr>
          <w:rFonts w:cstheme="minorHAnsi"/>
          <w:bCs/>
          <w:sz w:val="24"/>
          <w:szCs w:val="24"/>
        </w:rPr>
        <w:t>animal</w:t>
      </w:r>
      <w:r w:rsidR="00E95C1B">
        <w:rPr>
          <w:rFonts w:cstheme="minorHAnsi"/>
          <w:bCs/>
          <w:sz w:val="24"/>
          <w:szCs w:val="24"/>
        </w:rPr>
        <w:t xml:space="preserve"> </w:t>
      </w:r>
      <w:r w:rsidR="0032731B">
        <w:rPr>
          <w:rFonts w:cstheme="minorHAnsi"/>
          <w:bCs/>
          <w:sz w:val="24"/>
          <w:szCs w:val="24"/>
        </w:rPr>
        <w:t>do</w:t>
      </w:r>
      <w:r w:rsidR="00E95C1B">
        <w:rPr>
          <w:rFonts w:cstheme="minorHAnsi"/>
          <w:bCs/>
          <w:sz w:val="24"/>
          <w:szCs w:val="24"/>
        </w:rPr>
        <w:t xml:space="preserve">es </w:t>
      </w:r>
      <w:r w:rsidR="0032731B">
        <w:rPr>
          <w:rFonts w:cstheme="minorHAnsi"/>
          <w:bCs/>
          <w:sz w:val="24"/>
          <w:szCs w:val="24"/>
        </w:rPr>
        <w:t xml:space="preserve">not satisfy </w:t>
      </w:r>
      <w:r w:rsidR="00E95C1B">
        <w:rPr>
          <w:rFonts w:cstheme="minorHAnsi"/>
          <w:bCs/>
          <w:sz w:val="24"/>
          <w:szCs w:val="24"/>
        </w:rPr>
        <w:t xml:space="preserve">this or that </w:t>
      </w:r>
      <w:r w:rsidR="0032731B">
        <w:rPr>
          <w:rFonts w:cstheme="minorHAnsi"/>
          <w:bCs/>
          <w:sz w:val="24"/>
          <w:szCs w:val="24"/>
        </w:rPr>
        <w:t xml:space="preserve">criterion. </w:t>
      </w:r>
      <w:r>
        <w:rPr>
          <w:rFonts w:ascii="Arial" w:hAnsi="Arial" w:cs="Arial"/>
          <w:color w:val="222222"/>
          <w:shd w:val="clear" w:color="auto" w:fill="FFFFFF"/>
        </w:rPr>
        <w:t xml:space="preserve">A better framework </w:t>
      </w:r>
      <w:r w:rsidR="00810C04">
        <w:rPr>
          <w:rFonts w:ascii="Arial" w:hAnsi="Arial" w:cs="Arial"/>
          <w:color w:val="222222"/>
          <w:shd w:val="clear" w:color="auto" w:fill="FFFFFF"/>
        </w:rPr>
        <w:t>might be</w:t>
      </w:r>
      <w:r w:rsidR="00CC052D">
        <w:rPr>
          <w:rFonts w:ascii="Arial" w:hAnsi="Arial" w:cs="Arial"/>
          <w:color w:val="222222"/>
          <w:shd w:val="clear" w:color="auto" w:fill="FFFFFF"/>
        </w:rPr>
        <w:t xml:space="preserve"> to provide</w:t>
      </w:r>
      <w:r w:rsidR="00725146">
        <w:rPr>
          <w:rFonts w:ascii="Arial" w:hAnsi="Arial" w:cs="Arial"/>
          <w:color w:val="222222"/>
          <w:shd w:val="clear" w:color="auto" w:fill="FFFFFF"/>
        </w:rPr>
        <w:t xml:space="preserve"> --</w:t>
      </w:r>
      <w:r w:rsidR="00810C04">
        <w:rPr>
          <w:rFonts w:ascii="Arial" w:hAnsi="Arial" w:cs="Arial"/>
          <w:color w:val="222222"/>
          <w:shd w:val="clear" w:color="auto" w:fill="FFFFFF"/>
        </w:rPr>
        <w:t xml:space="preserve"> for each criterion for each species</w:t>
      </w:r>
      <w:r w:rsidR="00725146">
        <w:rPr>
          <w:rFonts w:ascii="Arial" w:hAnsi="Arial" w:cs="Arial"/>
          <w:color w:val="222222"/>
          <w:shd w:val="clear" w:color="auto" w:fill="FFFFFF"/>
        </w:rPr>
        <w:t xml:space="preserve"> --</w:t>
      </w:r>
      <w:r w:rsidR="00810C04">
        <w:rPr>
          <w:rFonts w:ascii="Arial" w:hAnsi="Arial" w:cs="Arial"/>
          <w:color w:val="222222"/>
          <w:shd w:val="clear" w:color="auto" w:fill="FFFFFF"/>
        </w:rPr>
        <w:t xml:space="preserve"> a </w:t>
      </w:r>
      <w:r>
        <w:rPr>
          <w:rFonts w:ascii="Arial" w:hAnsi="Arial" w:cs="Arial"/>
          <w:color w:val="222222"/>
          <w:shd w:val="clear" w:color="auto" w:fill="FFFFFF"/>
        </w:rPr>
        <w:t xml:space="preserve">positive (+) </w:t>
      </w:r>
      <w:r w:rsidR="00810C04">
        <w:rPr>
          <w:rFonts w:ascii="Arial" w:hAnsi="Arial" w:cs="Arial"/>
          <w:color w:val="222222"/>
          <w:shd w:val="clear" w:color="auto" w:fill="FFFFFF"/>
        </w:rPr>
        <w:t>or</w:t>
      </w:r>
      <w:r>
        <w:rPr>
          <w:rFonts w:ascii="Arial" w:hAnsi="Arial" w:cs="Arial"/>
          <w:color w:val="222222"/>
          <w:shd w:val="clear" w:color="auto" w:fill="FFFFFF"/>
        </w:rPr>
        <w:t xml:space="preserve"> negative (-) score </w:t>
      </w:r>
      <w:r w:rsidR="00810C04">
        <w:rPr>
          <w:rFonts w:ascii="Arial" w:hAnsi="Arial" w:cs="Arial"/>
          <w:color w:val="222222"/>
          <w:shd w:val="clear" w:color="auto" w:fill="FFFFFF"/>
        </w:rPr>
        <w:t>and</w:t>
      </w:r>
      <w:r>
        <w:rPr>
          <w:rFonts w:ascii="Arial" w:hAnsi="Arial" w:cs="Arial"/>
          <w:color w:val="222222"/>
          <w:shd w:val="clear" w:color="auto" w:fill="FFFFFF"/>
        </w:rPr>
        <w:t xml:space="preserve"> </w:t>
      </w:r>
      <w:r w:rsidR="00810C04">
        <w:rPr>
          <w:rFonts w:ascii="Arial" w:hAnsi="Arial" w:cs="Arial"/>
          <w:color w:val="222222"/>
          <w:shd w:val="clear" w:color="auto" w:fill="FFFFFF"/>
        </w:rPr>
        <w:t>a zero</w:t>
      </w:r>
      <w:r>
        <w:rPr>
          <w:rFonts w:ascii="Arial" w:hAnsi="Arial" w:cs="Arial"/>
          <w:color w:val="222222"/>
          <w:shd w:val="clear" w:color="auto" w:fill="FFFFFF"/>
        </w:rPr>
        <w:t xml:space="preserve"> score (0) for absence of evidence.</w:t>
      </w:r>
    </w:p>
    <w:p w14:paraId="021673C6" w14:textId="0AFE85D3" w:rsidR="00F2417D" w:rsidRPr="00F2417D" w:rsidRDefault="00F2417D" w:rsidP="00407CF1">
      <w:pPr>
        <w:spacing w:after="120" w:line="240" w:lineRule="auto"/>
        <w:jc w:val="both"/>
        <w:rPr>
          <w:rFonts w:cstheme="minorHAnsi"/>
          <w:sz w:val="24"/>
          <w:szCs w:val="24"/>
        </w:rPr>
      </w:pPr>
      <w:r w:rsidRPr="00F2417D">
        <w:rPr>
          <w:rFonts w:cstheme="minorHAnsi"/>
          <w:sz w:val="24"/>
          <w:szCs w:val="24"/>
        </w:rPr>
        <w:t xml:space="preserve">Whether decapod crustaceans feel pain matters morally, scientifically, and economically. Justice requires that we consider the needs of any animal that suffers </w:t>
      </w:r>
      <w:r w:rsidRPr="00F2417D">
        <w:rPr>
          <w:rFonts w:cstheme="minorHAnsi"/>
          <w:sz w:val="24"/>
          <w:szCs w:val="24"/>
        </w:rPr>
        <w:fldChar w:fldCharType="begin"/>
      </w:r>
      <w:r w:rsidRPr="00F2417D">
        <w:rPr>
          <w:rFonts w:cstheme="minorHAnsi"/>
          <w:sz w:val="24"/>
          <w:szCs w:val="24"/>
        </w:rPr>
        <w:instrText xml:space="preserve"> ADDIN ZOTERO_ITEM CSL_CITATION {"citationID":"stAAbnqO","properties":{"formattedCitation":"(Birch, 2017; Birch et al., 2021; Conte et al., 2021; Passantino et al., 2021)","plainCitation":"(Birch, 2017; Birch et al., 2021; Conte et al., 2021; Passantino et al., 2021)","noteIndex":0},"citationItems":[{"id":3995,"uris":["http://zotero.org/users/3589/items/78LCS6GM"],"itemData":{"id":3995,"type":"article-journal","container-title":"Animal Sentience","note":"publisher: Humane Society Institute for Science and Policy","page":"16(1)","title":"Animal Sentience and the Precautionary Principle","volume":"2","author":[{"family":"Birch","given":"Jonathan"}],"issued":{"date-parts":[["2017"]]}}},{"id":6928,"uris":["http://zotero.org/users/3589/items/WMVU834H"],"itemData":{"id":6928,"type":"report","event-place":"London","note":"publisher: London, UK: Department for Environment, Food and Rural Affairs","page":"107","publisher":"London School of Economics and Political Science","publisher-place":"London","source":"PhilPapers","title":"Review of the Evidence of Sentience in Cephalopod Molluscs and Decapod Crustaceans","author":[{"family":"Birch","given":"Jonathan"},{"family":"Burn","given":"Charlotte"},{"family":"Schnell","given":"Alexandra"},{"family":"Browning","given":"Heather"},{"family":"Crump","given":"Andrew"}],"issued":{"date-parts":[["2021",11]]}}},{"id":"59SuJFii/nCG58H8G","uris":["http://zotero.org/users/3589/items/GH82T4HU"],"itemData":{"id":6837,"type":"article-journal","abstract":"Simple Summary\nDecapods respond to noxious stimuli in ways that are consistent with the experience of pain; thus, we accept the need to provide a legal framework for their protection when they are used for human food. We review the main methods used to slaughter the major decapod crustaceans, highlighting problems posed by each method for animal welfare. The aim is to identify methods that are the least likely to cause suffering. These methods can then be recommended, whereas other methods that are more likely to cause suffering may be banned. We thus request changes in the legal status of this group of animals, to protect them from slaughter techniques that are not viewed as being acceptable.\n\nAbstract\nVast numbers of crustaceans are produced by aquaculture and caught in fisheries to meet the increasing demand for seafood and freshwater crustaceans. Simultaneously, the public is increasingly concerned about current methods employed in their handling and killing. Recent evidence has shown that decapod crustaceans probably have the capacity to suffer because they show responses consistent with pain and have a relatively complex cognitive capacity. For these reasons, they should receive protection. Despite the large numbers of crustaceans transported and slaughtered, legislation protecting their welfare, by using agreed, standardized methods, is lacking. We review various stunning and killing systems proposed for crustaceans, and assess welfare concerns. We suggest the use of methods least likely to cause suffering and call for the implementation of welfare guidelines covering the slaughter of these economically important animals.","container-title":"Animals : an Open Access Journal from MDPI","DOI":"10.3390/ani11041089","ISSN":"2076-2615","issue":"4","journalAbbreviation":"Animals (Basel)","note":"PMID: 33920380\nPMCID: PMC8069407","page":"1089","source":"PubMed Central","title":"Humane Slaughter of Edible Decapod Crustaceans","volume":"11","author":[{"family":"Conte","given":"Francesca"},{"family":"Voslarova","given":"Eva"},{"family":"Vecerek","given":"Vladimir"},{"family":"Elwood","given":"Robert William"},{"family":"Coluccio","given":"Paolo"},{"family":"Pugliese","given":"Michela"},{"family":"Passantino","given":"Annamaria"}],"issued":{"date-parts":[["2021",4,11]]}}},{"id":7136,"uris":["http://zotero.org/users/3589/items/MFPNAHMX"],"itemData":{"id":7136,"type":"article-journal","abstract":"Decapod crustaceans are widely used as experimental models, due to their biology, their sensitivity to pollutants and/or their convenience of collection and use. Decapods have been viewed as being non-sentient, and are not covered by current legislation from the European Parliament. However, recent studies suggest it is likely that they experience pain and may have the capacity to suffer. Accordingly, there is ethical concern regarding their continued use in research in the absence of protective measures. We argue that their welfare should b</w:instrText>
      </w:r>
      <w:r w:rsidRPr="00BF3E3B">
        <w:rPr>
          <w:rFonts w:cstheme="minorHAnsi"/>
          <w:sz w:val="24"/>
          <w:szCs w:val="24"/>
          <w:lang w:val="fr-CA"/>
        </w:rPr>
        <w:instrText xml:space="preserve">e taken into account and included in ethical review processes that include the assessment of welfare and the minimization or alleviation of potential pain. We review the current use of these animals in research and the recent experiments that suggest sentience in this group. We also review recent changes in the views of scientists, veterinary scientists and animal charity groups, and their conclusion that these animals are likely to be sentient, and that changes in legislation are needed to protect them. A precautionary approach should be adopted to safeguard these animals from possible pain and suffering. Finally, we recommend that decapods be included in the European legislation concerning the welfare of animals used in experimentation.","container-title":"Animals","DOI":"10.3390/ani11010073","ISSN":"2076-2615","issue":"1","language":"en","note":"number: 1\npublisher: Multidisciplinary Digital Publishing Institute","page":"73","source":"www.mdpi.com","title":"Why Protect Decapod Crustaceans Used as Models in Biomedical Research and in Ecotoxicology? Ethical and Legislative Considerations","title-short":"Why Protect Decapod Crustaceans Used as Models in Biomedical Research and in Ecotoxicology?","volume":"11","author":[{"family":"Passantino","given":"Annamaria"},{"family":"Elwood","given":"Robert William"},{"family":"Coluccio","given":"Paolo"}],"issued":{"date-parts":[["2021",1]]}}}],"schema":"https://github.com/citation-style-language/schema/raw/master/csl-citation.json"} </w:instrText>
      </w:r>
      <w:r w:rsidRPr="00F2417D">
        <w:rPr>
          <w:rFonts w:cstheme="minorHAnsi"/>
          <w:sz w:val="24"/>
          <w:szCs w:val="24"/>
        </w:rPr>
        <w:fldChar w:fldCharType="separate"/>
      </w:r>
      <w:r w:rsidRPr="00BF3E3B">
        <w:rPr>
          <w:rFonts w:cstheme="minorHAnsi"/>
          <w:sz w:val="24"/>
          <w:szCs w:val="24"/>
          <w:lang w:val="fr-CA"/>
        </w:rPr>
        <w:t>(Birch, 2017; Birch et al., 2021; Conte et al., 2021; Passantino et al., 2021)</w:t>
      </w:r>
      <w:r w:rsidRPr="00F2417D">
        <w:rPr>
          <w:rFonts w:cstheme="minorHAnsi"/>
          <w:sz w:val="24"/>
          <w:szCs w:val="24"/>
          <w:lang w:val="en-AU"/>
        </w:rPr>
        <w:fldChar w:fldCharType="end"/>
      </w:r>
      <w:r w:rsidRPr="00BF3E3B">
        <w:rPr>
          <w:rFonts w:cstheme="minorHAnsi"/>
          <w:sz w:val="24"/>
          <w:szCs w:val="24"/>
          <w:lang w:val="fr-CA"/>
        </w:rPr>
        <w:t xml:space="preserve">. </w:t>
      </w:r>
      <w:r w:rsidRPr="00F2417D">
        <w:rPr>
          <w:rFonts w:cstheme="minorHAnsi"/>
          <w:sz w:val="24"/>
          <w:szCs w:val="24"/>
        </w:rPr>
        <w:t xml:space="preserve">If </w:t>
      </w:r>
      <w:r w:rsidR="00BC6D3C">
        <w:rPr>
          <w:rFonts w:cstheme="minorHAnsi"/>
          <w:sz w:val="24"/>
          <w:szCs w:val="24"/>
        </w:rPr>
        <w:t xml:space="preserve">there were strong evidence that </w:t>
      </w:r>
      <w:r w:rsidRPr="00F2417D">
        <w:rPr>
          <w:rFonts w:cstheme="minorHAnsi"/>
          <w:sz w:val="24"/>
          <w:szCs w:val="24"/>
        </w:rPr>
        <w:t xml:space="preserve">Dendrobranchiates do not feel pain, policy makers </w:t>
      </w:r>
      <w:r w:rsidR="00BC6D3C">
        <w:rPr>
          <w:rFonts w:cstheme="minorHAnsi"/>
          <w:sz w:val="24"/>
          <w:szCs w:val="24"/>
        </w:rPr>
        <w:t xml:space="preserve">would need to </w:t>
      </w:r>
      <w:r w:rsidR="00DB53FE">
        <w:rPr>
          <w:rFonts w:cstheme="minorHAnsi"/>
          <w:sz w:val="24"/>
          <w:szCs w:val="24"/>
        </w:rPr>
        <w:t>know that</w:t>
      </w:r>
      <w:r w:rsidR="00BC6D3C">
        <w:rPr>
          <w:rFonts w:cstheme="minorHAnsi"/>
          <w:sz w:val="24"/>
          <w:szCs w:val="24"/>
        </w:rPr>
        <w:t>,</w:t>
      </w:r>
      <w:r w:rsidR="00DB53FE">
        <w:rPr>
          <w:rFonts w:cstheme="minorHAnsi"/>
          <w:sz w:val="24"/>
          <w:szCs w:val="24"/>
        </w:rPr>
        <w:t xml:space="preserve"> </w:t>
      </w:r>
      <w:proofErr w:type="gramStart"/>
      <w:r w:rsidR="00DB53FE">
        <w:rPr>
          <w:rFonts w:cstheme="minorHAnsi"/>
          <w:sz w:val="24"/>
          <w:szCs w:val="24"/>
        </w:rPr>
        <w:t>so as to</w:t>
      </w:r>
      <w:proofErr w:type="gramEnd"/>
      <w:r w:rsidR="00DB53FE">
        <w:rPr>
          <w:rFonts w:cstheme="minorHAnsi"/>
          <w:sz w:val="24"/>
          <w:szCs w:val="24"/>
        </w:rPr>
        <w:t xml:space="preserve"> </w:t>
      </w:r>
      <w:r w:rsidRPr="00F2417D">
        <w:rPr>
          <w:rFonts w:cstheme="minorHAnsi"/>
          <w:sz w:val="24"/>
          <w:szCs w:val="24"/>
        </w:rPr>
        <w:t>focus attention on decapods that do.</w:t>
      </w:r>
    </w:p>
    <w:p w14:paraId="2C68723F" w14:textId="32642090" w:rsidR="00B479F7" w:rsidRDefault="00B479F7" w:rsidP="00407CF1">
      <w:pPr>
        <w:spacing w:after="120" w:line="240" w:lineRule="auto"/>
        <w:jc w:val="both"/>
        <w:rPr>
          <w:rFonts w:cstheme="minorHAnsi"/>
          <w:sz w:val="24"/>
          <w:szCs w:val="24"/>
          <w:lang w:val="en-AU"/>
        </w:rPr>
      </w:pPr>
    </w:p>
    <w:p w14:paraId="15058B4D" w14:textId="265D320C" w:rsidR="00ED315A" w:rsidRDefault="00AF48C0" w:rsidP="00407CF1">
      <w:pPr>
        <w:spacing w:after="0" w:line="240" w:lineRule="auto"/>
        <w:jc w:val="both"/>
        <w:rPr>
          <w:rFonts w:cstheme="minorHAnsi"/>
          <w:b/>
          <w:bCs/>
          <w:sz w:val="24"/>
          <w:szCs w:val="24"/>
          <w:lang w:val="en-AU"/>
        </w:rPr>
      </w:pPr>
      <w:r w:rsidRPr="001253D9">
        <w:rPr>
          <w:rFonts w:cstheme="minorHAnsi"/>
          <w:b/>
          <w:bCs/>
          <w:sz w:val="24"/>
          <w:szCs w:val="24"/>
          <w:lang w:val="en-AU"/>
        </w:rPr>
        <w:t>References</w:t>
      </w:r>
      <w:r w:rsidR="007A5941">
        <w:rPr>
          <w:rFonts w:cstheme="minorHAnsi"/>
          <w:b/>
          <w:bCs/>
          <w:sz w:val="24"/>
          <w:szCs w:val="24"/>
          <w:lang w:val="en-AU"/>
        </w:rPr>
        <w:t xml:space="preserve"> </w:t>
      </w:r>
    </w:p>
    <w:p w14:paraId="59970F5D" w14:textId="77777777" w:rsidR="00F20E9C" w:rsidRDefault="00F20E9C" w:rsidP="00407CF1">
      <w:pPr>
        <w:spacing w:after="0" w:line="240" w:lineRule="auto"/>
        <w:rPr>
          <w:rFonts w:cstheme="minorHAnsi"/>
          <w:b/>
          <w:bCs/>
          <w:sz w:val="24"/>
          <w:szCs w:val="24"/>
          <w:lang w:val="en-AU"/>
        </w:rPr>
      </w:pPr>
    </w:p>
    <w:p w14:paraId="0BEC1C1C" w14:textId="77777777" w:rsidR="004E51BA" w:rsidRPr="00407CF1" w:rsidRDefault="004E51BA" w:rsidP="00407CF1">
      <w:pPr>
        <w:spacing w:after="40" w:line="240" w:lineRule="auto"/>
        <w:ind w:left="720" w:hanging="720"/>
        <w:rPr>
          <w:rFonts w:cstheme="minorHAnsi"/>
        </w:rPr>
      </w:pPr>
      <w:r w:rsidRPr="00407CF1">
        <w:rPr>
          <w:rFonts w:cstheme="minorHAnsi"/>
        </w:rPr>
        <w:t xml:space="preserve">Albalat, A., Zacarias, S., Coates, C.J., Neil, D.M., Planellas, S.R., 2022. </w:t>
      </w:r>
      <w:hyperlink r:id="rId12" w:history="1">
        <w:r w:rsidRPr="00407CF1">
          <w:rPr>
            <w:rFonts w:cstheme="minorHAnsi"/>
            <w:color w:val="0563C1" w:themeColor="hyperlink"/>
            <w:u w:val="single"/>
          </w:rPr>
          <w:t xml:space="preserve">Welfare in Farmed Decapod Crustaceans, With Particular Reference to Penaeus </w:t>
        </w:r>
        <w:proofErr w:type="spellStart"/>
        <w:r w:rsidRPr="00407CF1">
          <w:rPr>
            <w:rFonts w:cstheme="minorHAnsi"/>
            <w:color w:val="0563C1" w:themeColor="hyperlink"/>
            <w:u w:val="single"/>
          </w:rPr>
          <w:t>vannamei</w:t>
        </w:r>
        <w:proofErr w:type="spellEnd"/>
      </w:hyperlink>
      <w:r w:rsidRPr="00407CF1">
        <w:rPr>
          <w:rFonts w:cstheme="minorHAnsi"/>
        </w:rPr>
        <w:t xml:space="preserve">. </w:t>
      </w:r>
      <w:r w:rsidRPr="00407CF1">
        <w:rPr>
          <w:rFonts w:cstheme="minorHAnsi"/>
          <w:i/>
          <w:iCs/>
        </w:rPr>
        <w:t>Frontiers in Marine Science</w:t>
      </w:r>
      <w:r w:rsidRPr="00407CF1">
        <w:rPr>
          <w:rFonts w:cstheme="minorHAnsi"/>
        </w:rPr>
        <w:t xml:space="preserve"> 9.</w:t>
      </w:r>
    </w:p>
    <w:p w14:paraId="7BFF177D" w14:textId="51FE4406" w:rsidR="004E51BA" w:rsidRPr="00407CF1" w:rsidRDefault="004E51BA" w:rsidP="00407CF1">
      <w:pPr>
        <w:spacing w:after="40" w:line="240" w:lineRule="auto"/>
        <w:ind w:left="720" w:hanging="720"/>
        <w:rPr>
          <w:rFonts w:cstheme="minorHAnsi"/>
        </w:rPr>
      </w:pPr>
      <w:r w:rsidRPr="00407CF1">
        <w:rPr>
          <w:rFonts w:cstheme="minorHAnsi"/>
        </w:rPr>
        <w:t xml:space="preserve">Birch, J., 2017. </w:t>
      </w:r>
      <w:hyperlink r:id="rId13" w:history="1">
        <w:r w:rsidRPr="00407CF1">
          <w:rPr>
            <w:rFonts w:cstheme="minorHAnsi"/>
            <w:color w:val="0563C1" w:themeColor="hyperlink"/>
            <w:u w:val="single"/>
          </w:rPr>
          <w:t>Animal Sentience and the Precautionary Principle</w:t>
        </w:r>
      </w:hyperlink>
      <w:r w:rsidRPr="00407CF1">
        <w:rPr>
          <w:rFonts w:cstheme="minorHAnsi"/>
        </w:rPr>
        <w:t xml:space="preserve">. </w:t>
      </w:r>
      <w:r w:rsidRPr="00407CF1">
        <w:rPr>
          <w:rFonts w:cstheme="minorHAnsi"/>
          <w:i/>
          <w:iCs/>
        </w:rPr>
        <w:t>Animal Sentience</w:t>
      </w:r>
      <w:r w:rsidRPr="00407CF1">
        <w:rPr>
          <w:rFonts w:cstheme="minorHAnsi"/>
        </w:rPr>
        <w:t xml:space="preserve"> 16(1).</w:t>
      </w:r>
    </w:p>
    <w:p w14:paraId="043514E5" w14:textId="3AB2EB39" w:rsidR="004E51BA" w:rsidRPr="00407CF1" w:rsidRDefault="004E51BA" w:rsidP="00407CF1">
      <w:pPr>
        <w:spacing w:after="40" w:line="240" w:lineRule="auto"/>
        <w:ind w:left="720" w:hanging="720"/>
        <w:rPr>
          <w:rFonts w:cstheme="minorHAnsi"/>
        </w:rPr>
      </w:pPr>
      <w:r w:rsidRPr="00407CF1">
        <w:rPr>
          <w:rFonts w:cstheme="minorHAnsi"/>
        </w:rPr>
        <w:t xml:space="preserve">Birch, J., Burn, C., Schnell, A., Browning, H., Crump, A., 2021. </w:t>
      </w:r>
      <w:hyperlink r:id="rId14" w:history="1">
        <w:r w:rsidRPr="00407CF1">
          <w:rPr>
            <w:rFonts w:cstheme="minorHAnsi"/>
            <w:color w:val="0563C1" w:themeColor="hyperlink"/>
            <w:u w:val="single"/>
          </w:rPr>
          <w:t xml:space="preserve">Review of the Evidence of Sentience in Cephalopod </w:t>
        </w:r>
        <w:proofErr w:type="spellStart"/>
        <w:r w:rsidRPr="00407CF1">
          <w:rPr>
            <w:rFonts w:cstheme="minorHAnsi"/>
            <w:color w:val="0563C1" w:themeColor="hyperlink"/>
            <w:u w:val="single"/>
          </w:rPr>
          <w:t>Molluscs</w:t>
        </w:r>
        <w:proofErr w:type="spellEnd"/>
        <w:r w:rsidRPr="00407CF1">
          <w:rPr>
            <w:rFonts w:cstheme="minorHAnsi"/>
            <w:color w:val="0563C1" w:themeColor="hyperlink"/>
            <w:u w:val="single"/>
          </w:rPr>
          <w:t xml:space="preserve"> and Decapod Crustaceans</w:t>
        </w:r>
      </w:hyperlink>
      <w:r w:rsidRPr="00407CF1">
        <w:rPr>
          <w:rFonts w:cstheme="minorHAnsi"/>
        </w:rPr>
        <w:t>. London School of Economics and Political Science, London.</w:t>
      </w:r>
    </w:p>
    <w:p w14:paraId="67AF5102" w14:textId="52068C76" w:rsidR="00812C48" w:rsidRPr="00407CF1" w:rsidRDefault="00812C48" w:rsidP="00407CF1">
      <w:pPr>
        <w:spacing w:after="40" w:line="240" w:lineRule="auto"/>
        <w:ind w:left="720" w:hanging="720"/>
        <w:rPr>
          <w:b/>
          <w:bCs/>
        </w:rPr>
      </w:pPr>
      <w:r w:rsidRPr="00407CF1">
        <w:rPr>
          <w:rFonts w:cstheme="minorHAnsi"/>
        </w:rPr>
        <w:t>Comstock, G.</w:t>
      </w:r>
      <w:r w:rsidR="00407CF1" w:rsidRPr="00407CF1">
        <w:rPr>
          <w:rFonts w:cstheme="minorHAnsi"/>
        </w:rPr>
        <w:t xml:space="preserve"> 2022</w:t>
      </w:r>
      <w:r w:rsidR="003A7FDD">
        <w:rPr>
          <w:rFonts w:cstheme="minorHAnsi"/>
        </w:rPr>
        <w:t>.</w:t>
      </w:r>
      <w:r w:rsidRPr="00407CF1">
        <w:rPr>
          <w:rFonts w:cstheme="minorHAnsi"/>
        </w:rPr>
        <w:t xml:space="preserve"> </w:t>
      </w:r>
      <w:hyperlink r:id="rId15" w:history="1">
        <w:r w:rsidRPr="00407CF1">
          <w:rPr>
            <w:rStyle w:val="Hyperlink"/>
          </w:rPr>
          <w:t>The Shrimp Hypothesis</w:t>
        </w:r>
      </w:hyperlink>
      <w:r w:rsidRPr="00407CF1">
        <w:t xml:space="preserve">, </w:t>
      </w:r>
      <w:r w:rsidRPr="00407CF1">
        <w:rPr>
          <w:rFonts w:cstheme="minorHAnsi"/>
        </w:rPr>
        <w:t xml:space="preserve">unpublished conference paper, </w:t>
      </w:r>
      <w:r w:rsidRPr="00407CF1">
        <w:rPr>
          <w:i/>
          <w:iCs/>
        </w:rPr>
        <w:t>Interspecies Comparisons of Welfare</w:t>
      </w:r>
      <w:r w:rsidRPr="00407CF1">
        <w:t xml:space="preserve"> conference, London School of Economics, April 2022.</w:t>
      </w:r>
    </w:p>
    <w:p w14:paraId="036F39AF" w14:textId="5DD9EA19" w:rsidR="004E51BA" w:rsidRPr="00407CF1" w:rsidRDefault="004E51BA" w:rsidP="00407CF1">
      <w:pPr>
        <w:spacing w:after="40" w:line="240" w:lineRule="auto"/>
        <w:ind w:left="720" w:hanging="720"/>
        <w:rPr>
          <w:rFonts w:cstheme="minorHAnsi"/>
        </w:rPr>
      </w:pPr>
      <w:r w:rsidRPr="00407CF1">
        <w:rPr>
          <w:rFonts w:cstheme="minorHAnsi"/>
        </w:rPr>
        <w:t xml:space="preserve">Conte, F., </w:t>
      </w:r>
      <w:proofErr w:type="spellStart"/>
      <w:r w:rsidRPr="00407CF1">
        <w:rPr>
          <w:rFonts w:cstheme="minorHAnsi"/>
        </w:rPr>
        <w:t>Voslarova</w:t>
      </w:r>
      <w:proofErr w:type="spellEnd"/>
      <w:r w:rsidRPr="00407CF1">
        <w:rPr>
          <w:rFonts w:cstheme="minorHAnsi"/>
        </w:rPr>
        <w:t xml:space="preserve">, E., </w:t>
      </w:r>
      <w:proofErr w:type="spellStart"/>
      <w:r w:rsidRPr="00407CF1">
        <w:rPr>
          <w:rFonts w:cstheme="minorHAnsi"/>
        </w:rPr>
        <w:t>Vecerek</w:t>
      </w:r>
      <w:proofErr w:type="spellEnd"/>
      <w:r w:rsidRPr="00407CF1">
        <w:rPr>
          <w:rFonts w:cstheme="minorHAnsi"/>
        </w:rPr>
        <w:t xml:space="preserve">, V., Elwood, R.W., Coluccio, P., Pugliese, M., Passantino, A., 2021. </w:t>
      </w:r>
      <w:hyperlink r:id="rId16" w:history="1">
        <w:r w:rsidRPr="00407CF1">
          <w:rPr>
            <w:rFonts w:cstheme="minorHAnsi"/>
            <w:color w:val="0563C1" w:themeColor="hyperlink"/>
            <w:u w:val="single"/>
          </w:rPr>
          <w:t>Humane Slaughter of Edible Dec</w:t>
        </w:r>
        <w:r w:rsidR="00407CF1" w:rsidRPr="00407CF1">
          <w:rPr>
            <w:rFonts w:cstheme="minorHAnsi"/>
            <w:color w:val="0563C1" w:themeColor="hyperlink"/>
            <w:u w:val="single"/>
          </w:rPr>
          <w:t xml:space="preserve"> </w:t>
        </w:r>
        <w:proofErr w:type="spellStart"/>
        <w:r w:rsidRPr="00407CF1">
          <w:rPr>
            <w:rFonts w:cstheme="minorHAnsi"/>
            <w:color w:val="0563C1" w:themeColor="hyperlink"/>
            <w:u w:val="single"/>
          </w:rPr>
          <w:t>apod</w:t>
        </w:r>
        <w:proofErr w:type="spellEnd"/>
        <w:r w:rsidRPr="00407CF1">
          <w:rPr>
            <w:rFonts w:cstheme="minorHAnsi"/>
            <w:color w:val="0563C1" w:themeColor="hyperlink"/>
            <w:u w:val="single"/>
          </w:rPr>
          <w:t xml:space="preserve"> Crustaceans</w:t>
        </w:r>
      </w:hyperlink>
      <w:r w:rsidRPr="00407CF1">
        <w:rPr>
          <w:rFonts w:cstheme="minorHAnsi"/>
        </w:rPr>
        <w:t xml:space="preserve">. </w:t>
      </w:r>
      <w:r w:rsidRPr="00407CF1">
        <w:rPr>
          <w:rFonts w:cstheme="minorHAnsi"/>
          <w:i/>
          <w:iCs/>
        </w:rPr>
        <w:t>Animals</w:t>
      </w:r>
      <w:r w:rsidRPr="00407CF1">
        <w:rPr>
          <w:rFonts w:cstheme="minorHAnsi"/>
        </w:rPr>
        <w:t xml:space="preserve"> (Basel) 11, 1089. </w:t>
      </w:r>
    </w:p>
    <w:p w14:paraId="0BF6A62A" w14:textId="2F569543" w:rsidR="00407CF1" w:rsidRPr="00407CF1" w:rsidRDefault="00407CF1" w:rsidP="00407CF1">
      <w:pPr>
        <w:spacing w:after="40" w:line="240" w:lineRule="auto"/>
        <w:ind w:left="720" w:hanging="720"/>
        <w:rPr>
          <w:rFonts w:cstheme="minorHAnsi"/>
          <w:lang w:val="en-GB"/>
        </w:rPr>
      </w:pPr>
      <w:r w:rsidRPr="00407CF1">
        <w:rPr>
          <w:rFonts w:cstheme="minorHAnsi"/>
          <w:lang w:val="en-GB"/>
        </w:rPr>
        <w:t>Crump, Andrew; Browning, Heather; Schnell, Alex; Burn, Charlotte; and Birch, Jonathan 2022</w:t>
      </w:r>
      <w:r w:rsidR="003A7FDD">
        <w:rPr>
          <w:rFonts w:cstheme="minorHAnsi"/>
          <w:lang w:val="en-GB"/>
        </w:rPr>
        <w:t>.</w:t>
      </w:r>
      <w:r w:rsidRPr="00407CF1">
        <w:rPr>
          <w:rFonts w:cstheme="minorHAnsi"/>
          <w:lang w:val="en-GB"/>
        </w:rPr>
        <w:t xml:space="preserve"> </w:t>
      </w:r>
      <w:hyperlink r:id="rId17" w:history="1">
        <w:r w:rsidRPr="00407CF1">
          <w:rPr>
            <w:rStyle w:val="Hyperlink"/>
            <w:rFonts w:cstheme="minorHAnsi"/>
            <w:lang w:val="en-GB"/>
          </w:rPr>
          <w:t>Sentience in decapod crustaceans: A general framework and review of the evidence</w:t>
        </w:r>
      </w:hyperlink>
      <w:r w:rsidRPr="00407CF1">
        <w:rPr>
          <w:rFonts w:cstheme="minorHAnsi"/>
          <w:lang w:val="en-GB"/>
        </w:rPr>
        <w:t xml:space="preserve">. </w:t>
      </w:r>
      <w:r w:rsidRPr="00407CF1">
        <w:rPr>
          <w:rFonts w:cstheme="minorHAnsi"/>
          <w:i/>
          <w:iCs/>
          <w:lang w:val="en-GB"/>
        </w:rPr>
        <w:t>Animal Sentience</w:t>
      </w:r>
      <w:r w:rsidRPr="00407CF1">
        <w:rPr>
          <w:rFonts w:cstheme="minorHAnsi"/>
          <w:lang w:val="en-GB"/>
        </w:rPr>
        <w:t xml:space="preserve"> 32(1)</w:t>
      </w:r>
    </w:p>
    <w:p w14:paraId="5D04B3A8" w14:textId="33785E2E" w:rsidR="004E51BA" w:rsidRPr="00407CF1" w:rsidRDefault="004E51BA" w:rsidP="00407CF1">
      <w:pPr>
        <w:spacing w:after="40" w:line="240" w:lineRule="auto"/>
        <w:ind w:left="720" w:hanging="720"/>
        <w:rPr>
          <w:rFonts w:cstheme="minorHAnsi"/>
        </w:rPr>
      </w:pPr>
      <w:r w:rsidRPr="00407CF1">
        <w:rPr>
          <w:rFonts w:cstheme="minorHAnsi"/>
        </w:rPr>
        <w:t xml:space="preserve">Parodi, T.V., Cunha, M.A., </w:t>
      </w:r>
      <w:proofErr w:type="spellStart"/>
      <w:r w:rsidRPr="00407CF1">
        <w:rPr>
          <w:rFonts w:cstheme="minorHAnsi"/>
        </w:rPr>
        <w:t>Heldwein</w:t>
      </w:r>
      <w:proofErr w:type="spellEnd"/>
      <w:r w:rsidRPr="00407CF1">
        <w:rPr>
          <w:rFonts w:cstheme="minorHAnsi"/>
        </w:rPr>
        <w:t xml:space="preserve">, C.G., de Souza, D.M., Martins, Á.C., Garcia, L. de O., Junior, W.W., Monserrat, J.M., Schmidt, D., Caron, B.O., Heinzmann, B., </w:t>
      </w:r>
      <w:proofErr w:type="spellStart"/>
      <w:r w:rsidRPr="00407CF1">
        <w:rPr>
          <w:rFonts w:cstheme="minorHAnsi"/>
        </w:rPr>
        <w:t>Baldisserotto</w:t>
      </w:r>
      <w:proofErr w:type="spellEnd"/>
      <w:r w:rsidRPr="00407CF1">
        <w:rPr>
          <w:rFonts w:cstheme="minorHAnsi"/>
        </w:rPr>
        <w:t xml:space="preserve">, B., 2012. </w:t>
      </w:r>
      <w:hyperlink r:id="rId18" w:history="1">
        <w:r w:rsidRPr="00407CF1">
          <w:rPr>
            <w:rFonts w:cstheme="minorHAnsi"/>
            <w:color w:val="0563C1" w:themeColor="hyperlink"/>
            <w:u w:val="single"/>
          </w:rPr>
          <w:t xml:space="preserve">The anesthetic efficacy of eugenol and the essential oils of </w:t>
        </w:r>
        <w:proofErr w:type="spellStart"/>
        <w:r w:rsidRPr="00407CF1">
          <w:rPr>
            <w:rFonts w:cstheme="minorHAnsi"/>
            <w:color w:val="0563C1" w:themeColor="hyperlink"/>
            <w:u w:val="single"/>
          </w:rPr>
          <w:t>Lippia</w:t>
        </w:r>
        <w:proofErr w:type="spellEnd"/>
        <w:r w:rsidRPr="00407CF1">
          <w:rPr>
            <w:rFonts w:cstheme="minorHAnsi"/>
            <w:color w:val="0563C1" w:themeColor="hyperlink"/>
            <w:u w:val="single"/>
          </w:rPr>
          <w:t xml:space="preserve"> alba and Aloysia </w:t>
        </w:r>
        <w:proofErr w:type="spellStart"/>
        <w:r w:rsidRPr="00407CF1">
          <w:rPr>
            <w:rFonts w:cstheme="minorHAnsi"/>
            <w:color w:val="0563C1" w:themeColor="hyperlink"/>
            <w:u w:val="single"/>
          </w:rPr>
          <w:t>triphylla</w:t>
        </w:r>
        <w:proofErr w:type="spellEnd"/>
        <w:r w:rsidRPr="00407CF1">
          <w:rPr>
            <w:rFonts w:cstheme="minorHAnsi"/>
            <w:color w:val="0563C1" w:themeColor="hyperlink"/>
            <w:u w:val="single"/>
          </w:rPr>
          <w:t xml:space="preserve"> in </w:t>
        </w:r>
        <w:r w:rsidRPr="00407CF1">
          <w:rPr>
            <w:rFonts w:cstheme="minorHAnsi"/>
            <w:color w:val="0563C1" w:themeColor="hyperlink"/>
            <w:u w:val="single"/>
          </w:rPr>
          <w:lastRenderedPageBreak/>
          <w:t xml:space="preserve">post-larvae and sub-adults of </w:t>
        </w:r>
        <w:proofErr w:type="spellStart"/>
        <w:r w:rsidRPr="00407CF1">
          <w:rPr>
            <w:rFonts w:cstheme="minorHAnsi"/>
            <w:color w:val="0563C1" w:themeColor="hyperlink"/>
            <w:u w:val="single"/>
          </w:rPr>
          <w:t>Litopenaeus</w:t>
        </w:r>
        <w:proofErr w:type="spellEnd"/>
        <w:r w:rsidRPr="00407CF1">
          <w:rPr>
            <w:rFonts w:cstheme="minorHAnsi"/>
            <w:color w:val="0563C1" w:themeColor="hyperlink"/>
            <w:u w:val="single"/>
          </w:rPr>
          <w:t xml:space="preserve"> </w:t>
        </w:r>
        <w:proofErr w:type="spellStart"/>
        <w:r w:rsidRPr="00407CF1">
          <w:rPr>
            <w:rFonts w:cstheme="minorHAnsi"/>
            <w:color w:val="0563C1" w:themeColor="hyperlink"/>
            <w:u w:val="single"/>
          </w:rPr>
          <w:t>vannamei</w:t>
        </w:r>
        <w:proofErr w:type="spellEnd"/>
        <w:r w:rsidRPr="00407CF1">
          <w:rPr>
            <w:rFonts w:cstheme="minorHAnsi"/>
            <w:color w:val="0563C1" w:themeColor="hyperlink"/>
            <w:u w:val="single"/>
          </w:rPr>
          <w:t xml:space="preserve"> (Crustacea, </w:t>
        </w:r>
        <w:proofErr w:type="spellStart"/>
        <w:r w:rsidRPr="00407CF1">
          <w:rPr>
            <w:rFonts w:cstheme="minorHAnsi"/>
            <w:color w:val="0563C1" w:themeColor="hyperlink"/>
            <w:u w:val="single"/>
          </w:rPr>
          <w:t>Penaeidae</w:t>
        </w:r>
        <w:proofErr w:type="spellEnd"/>
      </w:hyperlink>
      <w:r w:rsidRPr="00407CF1">
        <w:rPr>
          <w:rFonts w:cstheme="minorHAnsi"/>
        </w:rPr>
        <w:t xml:space="preserve">). </w:t>
      </w:r>
      <w:r w:rsidRPr="00407CF1">
        <w:rPr>
          <w:rFonts w:cstheme="minorHAnsi"/>
          <w:i/>
          <w:iCs/>
        </w:rPr>
        <w:t xml:space="preserve">Comparative Biochemistry and Physiology Part C: Toxicology &amp; Pharmacology </w:t>
      </w:r>
      <w:r w:rsidRPr="00407CF1">
        <w:rPr>
          <w:rFonts w:cstheme="minorHAnsi"/>
        </w:rPr>
        <w:t xml:space="preserve">155, 462–468. </w:t>
      </w:r>
    </w:p>
    <w:p w14:paraId="186D2001" w14:textId="4E223D5B" w:rsidR="004E51BA" w:rsidRPr="00407CF1" w:rsidRDefault="004E51BA" w:rsidP="00407CF1">
      <w:pPr>
        <w:spacing w:after="40" w:line="240" w:lineRule="auto"/>
        <w:ind w:left="720" w:hanging="720"/>
        <w:rPr>
          <w:rFonts w:cstheme="minorHAnsi"/>
        </w:rPr>
      </w:pPr>
      <w:r w:rsidRPr="00407CF1">
        <w:rPr>
          <w:rFonts w:cstheme="minorHAnsi"/>
        </w:rPr>
        <w:t xml:space="preserve">Passantino, A., Elwood, R.W., Coluccio, P., 2021. </w:t>
      </w:r>
      <w:hyperlink r:id="rId19" w:history="1">
        <w:r w:rsidRPr="00407CF1">
          <w:rPr>
            <w:rFonts w:cstheme="minorHAnsi"/>
            <w:color w:val="0563C1" w:themeColor="hyperlink"/>
            <w:u w:val="single"/>
          </w:rPr>
          <w:t>Why Protect Decapod Crustaceans Used as Models in Biomedical Research and in Ecotoxicology? Ethical and Legislative Considerations</w:t>
        </w:r>
      </w:hyperlink>
      <w:r w:rsidRPr="00407CF1">
        <w:rPr>
          <w:rFonts w:cstheme="minorHAnsi"/>
        </w:rPr>
        <w:t xml:space="preserve">. </w:t>
      </w:r>
      <w:r w:rsidRPr="00407CF1">
        <w:rPr>
          <w:rFonts w:cstheme="minorHAnsi"/>
          <w:i/>
          <w:iCs/>
        </w:rPr>
        <w:t>Animals</w:t>
      </w:r>
      <w:r w:rsidRPr="00407CF1">
        <w:rPr>
          <w:rFonts w:cstheme="minorHAnsi"/>
        </w:rPr>
        <w:t xml:space="preserve"> 11, 73. </w:t>
      </w:r>
    </w:p>
    <w:p w14:paraId="2D719663" w14:textId="7AFF8732" w:rsidR="004E51BA" w:rsidRPr="00407CF1" w:rsidRDefault="004E51BA" w:rsidP="00407CF1">
      <w:pPr>
        <w:spacing w:after="40" w:line="240" w:lineRule="auto"/>
        <w:ind w:left="720" w:hanging="720"/>
        <w:rPr>
          <w:rFonts w:cstheme="minorHAnsi"/>
        </w:rPr>
      </w:pPr>
      <w:r w:rsidRPr="00407CF1">
        <w:rPr>
          <w:rFonts w:cstheme="minorHAnsi"/>
        </w:rPr>
        <w:t xml:space="preserve">Puri, S., Faulkes, Z., 2010. </w:t>
      </w:r>
      <w:hyperlink r:id="rId20" w:history="1">
        <w:r w:rsidRPr="00407CF1">
          <w:rPr>
            <w:rFonts w:cstheme="minorHAnsi"/>
            <w:color w:val="0563C1" w:themeColor="hyperlink"/>
            <w:u w:val="single"/>
          </w:rPr>
          <w:t>Do Decapod Crustaceans Have Nociceptors for Extreme pH?</w:t>
        </w:r>
      </w:hyperlink>
      <w:r w:rsidRPr="00407CF1">
        <w:rPr>
          <w:rFonts w:cstheme="minorHAnsi"/>
        </w:rPr>
        <w:t xml:space="preserve"> </w:t>
      </w:r>
      <w:proofErr w:type="spellStart"/>
      <w:r w:rsidRPr="00407CF1">
        <w:rPr>
          <w:rFonts w:cstheme="minorHAnsi"/>
          <w:i/>
          <w:iCs/>
        </w:rPr>
        <w:t>PLoS</w:t>
      </w:r>
      <w:proofErr w:type="spellEnd"/>
      <w:r w:rsidRPr="00407CF1">
        <w:rPr>
          <w:rFonts w:cstheme="minorHAnsi"/>
          <w:i/>
          <w:iCs/>
        </w:rPr>
        <w:t xml:space="preserve"> One</w:t>
      </w:r>
      <w:r w:rsidRPr="00407CF1">
        <w:rPr>
          <w:rFonts w:cstheme="minorHAnsi"/>
        </w:rPr>
        <w:t xml:space="preserve"> 5, 1–10. </w:t>
      </w:r>
    </w:p>
    <w:p w14:paraId="79A32D80" w14:textId="77777777" w:rsidR="004E51BA" w:rsidRPr="00407CF1" w:rsidRDefault="004E51BA" w:rsidP="00407CF1">
      <w:pPr>
        <w:spacing w:after="40" w:line="240" w:lineRule="auto"/>
        <w:ind w:left="720" w:hanging="720"/>
        <w:rPr>
          <w:rFonts w:cstheme="minorHAnsi"/>
        </w:rPr>
      </w:pPr>
      <w:r w:rsidRPr="00407CF1">
        <w:rPr>
          <w:rFonts w:cstheme="minorHAnsi"/>
        </w:rPr>
        <w:t xml:space="preserve">Puri, S., Faulkes, Z., 2008. </w:t>
      </w:r>
      <w:hyperlink r:id="rId21" w:history="1">
        <w:r w:rsidRPr="00407CF1">
          <w:rPr>
            <w:rFonts w:cstheme="minorHAnsi"/>
            <w:color w:val="0563C1" w:themeColor="hyperlink"/>
            <w:u w:val="single"/>
          </w:rPr>
          <w:t>Failure to replicate evidence of decapod crustacean nociception.</w:t>
        </w:r>
      </w:hyperlink>
      <w:r w:rsidRPr="00407CF1">
        <w:rPr>
          <w:rFonts w:cstheme="minorHAnsi"/>
        </w:rPr>
        <w:t xml:space="preserve"> </w:t>
      </w:r>
      <w:r w:rsidRPr="00407CF1">
        <w:rPr>
          <w:rFonts w:cstheme="minorHAnsi"/>
          <w:i/>
          <w:iCs/>
        </w:rPr>
        <w:t>Crustacean Society</w:t>
      </w:r>
      <w:r w:rsidRPr="00407CF1">
        <w:rPr>
          <w:rFonts w:cstheme="minorHAnsi"/>
        </w:rPr>
        <w:t>. Summer Meeting (</w:t>
      </w:r>
      <w:proofErr w:type="gramStart"/>
      <w:r w:rsidRPr="00407CF1">
        <w:rPr>
          <w:rFonts w:cstheme="minorHAnsi"/>
        </w:rPr>
        <w:t>2008 :</w:t>
      </w:r>
      <w:proofErr w:type="gramEnd"/>
      <w:r w:rsidRPr="00407CF1">
        <w:rPr>
          <w:rFonts w:cstheme="minorHAnsi"/>
        </w:rPr>
        <w:t xml:space="preserve"> Galveston, Texas).</w:t>
      </w:r>
    </w:p>
    <w:p w14:paraId="04158A07" w14:textId="603CB99D" w:rsidR="004E51BA" w:rsidRPr="00407CF1" w:rsidRDefault="004E51BA" w:rsidP="00407CF1">
      <w:pPr>
        <w:spacing w:after="40" w:line="240" w:lineRule="auto"/>
        <w:ind w:left="720" w:hanging="720"/>
        <w:rPr>
          <w:rFonts w:cstheme="minorHAnsi"/>
        </w:rPr>
      </w:pPr>
      <w:r w:rsidRPr="00407CF1">
        <w:rPr>
          <w:rFonts w:cstheme="minorHAnsi"/>
        </w:rPr>
        <w:t xml:space="preserve">Sneddon, L.U., Elwood, R.W., Adamo, S.A., Leach, M.C., 2014. </w:t>
      </w:r>
      <w:hyperlink r:id="rId22" w:history="1">
        <w:r w:rsidRPr="00407CF1">
          <w:rPr>
            <w:rFonts w:cstheme="minorHAnsi"/>
            <w:color w:val="0563C1" w:themeColor="hyperlink"/>
            <w:u w:val="single"/>
          </w:rPr>
          <w:t>Defining and assessing animal pain</w:t>
        </w:r>
      </w:hyperlink>
      <w:r w:rsidRPr="00407CF1">
        <w:rPr>
          <w:rFonts w:cstheme="minorHAnsi"/>
        </w:rPr>
        <w:t xml:space="preserve">. </w:t>
      </w:r>
      <w:r w:rsidRPr="00407CF1">
        <w:rPr>
          <w:rFonts w:cstheme="minorHAnsi"/>
          <w:i/>
          <w:iCs/>
        </w:rPr>
        <w:t xml:space="preserve">Animal </w:t>
      </w:r>
      <w:proofErr w:type="spellStart"/>
      <w:r w:rsidRPr="00407CF1">
        <w:rPr>
          <w:rFonts w:cstheme="minorHAnsi"/>
          <w:i/>
          <w:iCs/>
        </w:rPr>
        <w:t>Behaviour</w:t>
      </w:r>
      <w:proofErr w:type="spellEnd"/>
      <w:r w:rsidRPr="00407CF1">
        <w:rPr>
          <w:rFonts w:cstheme="minorHAnsi"/>
        </w:rPr>
        <w:t xml:space="preserve"> 97, 201–212. </w:t>
      </w:r>
    </w:p>
    <w:p w14:paraId="495CF234" w14:textId="0B3C01B0" w:rsidR="004E51BA" w:rsidRPr="00407CF1" w:rsidRDefault="004E51BA" w:rsidP="00407CF1">
      <w:pPr>
        <w:spacing w:after="40" w:line="240" w:lineRule="auto"/>
        <w:ind w:left="720" w:hanging="720"/>
        <w:rPr>
          <w:rFonts w:cstheme="minorHAnsi"/>
        </w:rPr>
      </w:pPr>
      <w:r w:rsidRPr="00407CF1">
        <w:rPr>
          <w:rFonts w:cstheme="minorHAnsi"/>
        </w:rPr>
        <w:t xml:space="preserve">Taylor, J., </w:t>
      </w:r>
      <w:proofErr w:type="spellStart"/>
      <w:r w:rsidRPr="00407CF1">
        <w:rPr>
          <w:rFonts w:cstheme="minorHAnsi"/>
        </w:rPr>
        <w:t>Vinatea</w:t>
      </w:r>
      <w:proofErr w:type="spellEnd"/>
      <w:r w:rsidRPr="00407CF1">
        <w:rPr>
          <w:rFonts w:cstheme="minorHAnsi"/>
        </w:rPr>
        <w:t xml:space="preserve">, L., Ozorio, R., </w:t>
      </w:r>
      <w:proofErr w:type="spellStart"/>
      <w:r w:rsidRPr="00407CF1">
        <w:rPr>
          <w:rFonts w:cstheme="minorHAnsi"/>
        </w:rPr>
        <w:t>Schuweitzer</w:t>
      </w:r>
      <w:proofErr w:type="spellEnd"/>
      <w:r w:rsidRPr="00407CF1">
        <w:rPr>
          <w:rFonts w:cstheme="minorHAnsi"/>
        </w:rPr>
        <w:t xml:space="preserve">, R., Andreatta, E.R., 2004. </w:t>
      </w:r>
      <w:hyperlink r:id="rId23" w:history="1">
        <w:r w:rsidRPr="00407CF1">
          <w:rPr>
            <w:rFonts w:cstheme="minorHAnsi"/>
            <w:color w:val="0563C1" w:themeColor="hyperlink"/>
            <w:u w:val="single"/>
          </w:rPr>
          <w:t xml:space="preserve">Minimizing the effects of stress during eyestalk ablation of </w:t>
        </w:r>
        <w:proofErr w:type="spellStart"/>
        <w:r w:rsidRPr="00407CF1">
          <w:rPr>
            <w:rFonts w:cstheme="minorHAnsi"/>
            <w:color w:val="0563C1" w:themeColor="hyperlink"/>
            <w:u w:val="single"/>
          </w:rPr>
          <w:t>Litopenaeus</w:t>
        </w:r>
        <w:proofErr w:type="spellEnd"/>
        <w:r w:rsidRPr="00407CF1">
          <w:rPr>
            <w:rFonts w:cstheme="minorHAnsi"/>
            <w:color w:val="0563C1" w:themeColor="hyperlink"/>
            <w:u w:val="single"/>
          </w:rPr>
          <w:t xml:space="preserve"> </w:t>
        </w:r>
        <w:proofErr w:type="spellStart"/>
        <w:r w:rsidRPr="00407CF1">
          <w:rPr>
            <w:rFonts w:cstheme="minorHAnsi"/>
            <w:color w:val="0563C1" w:themeColor="hyperlink"/>
            <w:u w:val="single"/>
          </w:rPr>
          <w:t>vannamei</w:t>
        </w:r>
        <w:proofErr w:type="spellEnd"/>
        <w:r w:rsidRPr="00407CF1">
          <w:rPr>
            <w:rFonts w:cstheme="minorHAnsi"/>
            <w:color w:val="0563C1" w:themeColor="hyperlink"/>
            <w:u w:val="single"/>
          </w:rPr>
          <w:t xml:space="preserve"> females with topical anesthetic and a coagulating agent</w:t>
        </w:r>
      </w:hyperlink>
      <w:r w:rsidRPr="00407CF1">
        <w:rPr>
          <w:rFonts w:cstheme="minorHAnsi"/>
        </w:rPr>
        <w:t>. Aquaculture 233, 173–179.</w:t>
      </w:r>
      <w:r w:rsidR="00407CF1" w:rsidRPr="00407CF1">
        <w:rPr>
          <w:rFonts w:cstheme="minorHAnsi"/>
        </w:rPr>
        <w:t xml:space="preserve">  </w:t>
      </w:r>
    </w:p>
    <w:p w14:paraId="0DC48F8F" w14:textId="17B1C47C" w:rsidR="004E51BA" w:rsidRPr="00407CF1" w:rsidRDefault="004E51BA" w:rsidP="00407CF1">
      <w:pPr>
        <w:spacing w:after="40" w:line="240" w:lineRule="auto"/>
        <w:ind w:left="720" w:hanging="720"/>
        <w:rPr>
          <w:rFonts w:cstheme="minorHAnsi"/>
        </w:rPr>
      </w:pPr>
      <w:r w:rsidRPr="00407CF1">
        <w:rPr>
          <w:rFonts w:cstheme="minorHAnsi"/>
        </w:rPr>
        <w:t xml:space="preserve">Wycoff, S., </w:t>
      </w:r>
      <w:proofErr w:type="spellStart"/>
      <w:r w:rsidRPr="00407CF1">
        <w:rPr>
          <w:rFonts w:cstheme="minorHAnsi"/>
        </w:rPr>
        <w:t>Weineck</w:t>
      </w:r>
      <w:proofErr w:type="spellEnd"/>
      <w:r w:rsidRPr="00407CF1">
        <w:rPr>
          <w:rFonts w:cstheme="minorHAnsi"/>
        </w:rPr>
        <w:t xml:space="preserve">, K., Conlin, S., Suryadevara, C., Grau, E., Bradley, A., Cantrell, D., Eversole, S., </w:t>
      </w:r>
      <w:proofErr w:type="spellStart"/>
      <w:r w:rsidRPr="00407CF1">
        <w:rPr>
          <w:rFonts w:cstheme="minorHAnsi"/>
        </w:rPr>
        <w:t>Grachen</w:t>
      </w:r>
      <w:proofErr w:type="spellEnd"/>
      <w:r w:rsidRPr="00407CF1">
        <w:rPr>
          <w:rFonts w:cstheme="minorHAnsi"/>
        </w:rPr>
        <w:t xml:space="preserve">, C., Hall, K., Hawthorne, D., Kinmon, C., Guerrero, P.O., Patel, B., Samuels, K., Valdes, G., Ray, A., Fleckenstein, L., Piana, E., Cooper, R., 2018. </w:t>
      </w:r>
      <w:hyperlink r:id="rId24" w:history="1">
        <w:r w:rsidRPr="00407CF1">
          <w:rPr>
            <w:rFonts w:cstheme="minorHAnsi"/>
            <w:color w:val="0563C1" w:themeColor="hyperlink"/>
            <w:u w:val="single"/>
          </w:rPr>
          <w:t>Effects of clove oil (eugenol) on proprioceptive neurons, heart rate, and behavior in model crustaceans</w:t>
        </w:r>
      </w:hyperlink>
      <w:r w:rsidRPr="00407CF1">
        <w:rPr>
          <w:rFonts w:cstheme="minorHAnsi"/>
        </w:rPr>
        <w:t>. IMPULSE 15</w:t>
      </w:r>
      <w:r w:rsidR="00112D74">
        <w:rPr>
          <w:rFonts w:cstheme="minorHAnsi"/>
        </w:rPr>
        <w:t>(1)</w:t>
      </w:r>
      <w:r w:rsidRPr="00407CF1">
        <w:rPr>
          <w:rFonts w:cstheme="minorHAnsi"/>
        </w:rPr>
        <w:t>.</w:t>
      </w:r>
    </w:p>
    <w:p w14:paraId="49E945C3" w14:textId="3B461DA5" w:rsidR="002B24CF" w:rsidRPr="004E51BA" w:rsidRDefault="002B24CF" w:rsidP="00407CF1">
      <w:pPr>
        <w:spacing w:after="0" w:line="240" w:lineRule="auto"/>
        <w:ind w:left="720" w:hanging="720"/>
        <w:rPr>
          <w:rFonts w:cstheme="minorHAnsi"/>
          <w:sz w:val="24"/>
          <w:szCs w:val="24"/>
          <w:lang w:val="en-AU"/>
        </w:rPr>
      </w:pPr>
    </w:p>
    <w:p w14:paraId="4E99658C" w14:textId="77777777" w:rsidR="00BF3E3B" w:rsidRPr="004E51BA" w:rsidRDefault="00BF3E3B" w:rsidP="00407CF1">
      <w:pPr>
        <w:spacing w:after="0" w:line="240" w:lineRule="auto"/>
        <w:ind w:left="720" w:hanging="720"/>
        <w:rPr>
          <w:rFonts w:cstheme="minorHAnsi"/>
          <w:sz w:val="24"/>
          <w:szCs w:val="24"/>
          <w:lang w:val="en-AU"/>
        </w:rPr>
      </w:pPr>
    </w:p>
    <w:sectPr w:rsidR="00BF3E3B" w:rsidRPr="004E51BA" w:rsidSect="009F6437">
      <w:headerReference w:type="default" r:id="rId25"/>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3E40" w14:textId="77777777" w:rsidR="00655742" w:rsidRDefault="00655742" w:rsidP="00BE5399">
      <w:pPr>
        <w:spacing w:after="0" w:line="240" w:lineRule="auto"/>
      </w:pPr>
      <w:r>
        <w:separator/>
      </w:r>
    </w:p>
  </w:endnote>
  <w:endnote w:type="continuationSeparator" w:id="0">
    <w:p w14:paraId="3C2B487C" w14:textId="77777777" w:rsidR="00655742" w:rsidRDefault="00655742" w:rsidP="00BE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106923"/>
      <w:docPartObj>
        <w:docPartGallery w:val="Page Numbers (Bottom of Page)"/>
        <w:docPartUnique/>
      </w:docPartObj>
    </w:sdtPr>
    <w:sdtEndPr>
      <w:rPr>
        <w:rStyle w:val="PageNumber"/>
      </w:rPr>
    </w:sdtEndPr>
    <w:sdtContent>
      <w:p w14:paraId="476C5EF1" w14:textId="79BA8399" w:rsidR="000861BB" w:rsidRDefault="000861BB" w:rsidP="00BF3E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08357129"/>
      <w:docPartObj>
        <w:docPartGallery w:val="Page Numbers (Bottom of Page)"/>
        <w:docPartUnique/>
      </w:docPartObj>
    </w:sdtPr>
    <w:sdtEndPr>
      <w:rPr>
        <w:rStyle w:val="PageNumber"/>
      </w:rPr>
    </w:sdtEndPr>
    <w:sdtContent>
      <w:p w14:paraId="5EB9CE90" w14:textId="560EADBB" w:rsidR="00D0751D" w:rsidRDefault="00655742" w:rsidP="00BF3E3B">
        <w:pPr>
          <w:pStyle w:val="Footer"/>
          <w:framePr w:wrap="none" w:vAnchor="text" w:hAnchor="margin" w:xAlign="center" w:y="1"/>
          <w:rPr>
            <w:rStyle w:val="PageNumber"/>
          </w:rPr>
        </w:pPr>
      </w:p>
    </w:sdtContent>
  </w:sdt>
  <w:p w14:paraId="70DCB933" w14:textId="77777777" w:rsidR="00D0751D" w:rsidRDefault="00D0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76369323"/>
      <w:docPartObj>
        <w:docPartGallery w:val="Page Numbers (Bottom of Page)"/>
        <w:docPartUnique/>
      </w:docPartObj>
    </w:sdtPr>
    <w:sdtEndPr>
      <w:rPr>
        <w:rStyle w:val="PageNumber"/>
      </w:rPr>
    </w:sdtEndPr>
    <w:sdtContent>
      <w:p w14:paraId="2F9B20CB" w14:textId="61B07C34" w:rsidR="00BF3E3B" w:rsidRPr="00BF3E3B" w:rsidRDefault="00BF3E3B" w:rsidP="00BF3E3B">
        <w:pPr>
          <w:pStyle w:val="Footer"/>
          <w:framePr w:wrap="none" w:vAnchor="text" w:hAnchor="page" w:x="1415" w:y="-37"/>
          <w:jc w:val="center"/>
          <w:rPr>
            <w:rStyle w:val="PageNumber"/>
            <w:sz w:val="20"/>
            <w:szCs w:val="20"/>
          </w:rPr>
        </w:pPr>
        <w:r w:rsidRPr="00BF3E3B">
          <w:rPr>
            <w:rStyle w:val="PageNumber"/>
            <w:sz w:val="20"/>
            <w:szCs w:val="20"/>
          </w:rPr>
          <w:fldChar w:fldCharType="begin"/>
        </w:r>
        <w:r w:rsidRPr="00BF3E3B">
          <w:rPr>
            <w:rStyle w:val="PageNumber"/>
            <w:sz w:val="20"/>
            <w:szCs w:val="20"/>
          </w:rPr>
          <w:instrText xml:space="preserve"> PAGE </w:instrText>
        </w:r>
        <w:r w:rsidRPr="00BF3E3B">
          <w:rPr>
            <w:rStyle w:val="PageNumber"/>
            <w:sz w:val="20"/>
            <w:szCs w:val="20"/>
          </w:rPr>
          <w:fldChar w:fldCharType="separate"/>
        </w:r>
        <w:r w:rsidRPr="00BF3E3B">
          <w:rPr>
            <w:rStyle w:val="PageNumber"/>
            <w:noProof/>
            <w:sz w:val="20"/>
            <w:szCs w:val="20"/>
          </w:rPr>
          <w:t>2</w:t>
        </w:r>
        <w:r w:rsidRPr="00BF3E3B">
          <w:rPr>
            <w:rStyle w:val="PageNumber"/>
            <w:sz w:val="20"/>
            <w:szCs w:val="20"/>
          </w:rPr>
          <w:fldChar w:fldCharType="end"/>
        </w:r>
      </w:p>
    </w:sdtContent>
  </w:sdt>
  <w:p w14:paraId="7FF39A8E" w14:textId="53E33A9B" w:rsidR="000861BB" w:rsidRDefault="000861BB" w:rsidP="00BF3E3B">
    <w:pPr>
      <w:pStyle w:val="Footer"/>
      <w:framePr w:wrap="none" w:vAnchor="text" w:hAnchor="page" w:x="1415" w:y="-37"/>
      <w:rPr>
        <w:rStyle w:val="PageNumber"/>
      </w:rPr>
    </w:pPr>
  </w:p>
  <w:p w14:paraId="0FE999AA" w14:textId="5BFA5A75" w:rsidR="00D0751D" w:rsidRDefault="00D0751D" w:rsidP="00BF3E3B">
    <w:pPr>
      <w:pStyle w:val="Footer"/>
      <w:framePr w:wrap="none" w:vAnchor="text" w:hAnchor="page" w:x="1415" w:y="-37"/>
      <w:jc w:val="center"/>
      <w:rPr>
        <w:rStyle w:val="PageNumber"/>
      </w:rPr>
    </w:pPr>
  </w:p>
  <w:p w14:paraId="7CC0EA4D" w14:textId="77777777" w:rsidR="00D0751D" w:rsidRDefault="00D0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853" w14:textId="77777777" w:rsidR="00655742" w:rsidRDefault="00655742" w:rsidP="00BE5399">
      <w:pPr>
        <w:spacing w:after="0" w:line="240" w:lineRule="auto"/>
      </w:pPr>
      <w:r>
        <w:separator/>
      </w:r>
    </w:p>
  </w:footnote>
  <w:footnote w:type="continuationSeparator" w:id="0">
    <w:p w14:paraId="72B0AF4B" w14:textId="77777777" w:rsidR="00655742" w:rsidRDefault="00655742" w:rsidP="00BE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C4D" w14:textId="7AA2E9DF" w:rsidR="00D0751D" w:rsidRPr="007E01F4" w:rsidRDefault="00D0751D" w:rsidP="007E01F4">
    <w:pPr>
      <w:pStyle w:val="Header"/>
      <w:jc w:val="right"/>
      <w:rPr>
        <w:sz w:val="20"/>
      </w:rPr>
    </w:pPr>
    <w:r w:rsidRPr="007E0004">
      <w:rPr>
        <w:i/>
        <w:sz w:val="20"/>
      </w:rPr>
      <w:t>Animal Sentience</w:t>
    </w:r>
    <w:r w:rsidRPr="007E0004">
      <w:rPr>
        <w:sz w:val="20"/>
      </w:rPr>
      <w:t xml:space="preserve"> 20</w:t>
    </w:r>
    <w:r>
      <w:rPr>
        <w:sz w:val="20"/>
      </w:rPr>
      <w:t>2</w:t>
    </w:r>
    <w:r w:rsidR="00A36E31">
      <w:rPr>
        <w:sz w:val="20"/>
      </w:rPr>
      <w:t>2</w:t>
    </w:r>
    <w:r w:rsidRPr="007E0004">
      <w:rPr>
        <w:sz w:val="20"/>
      </w:rPr>
      <w:t>.</w:t>
    </w:r>
    <w:r w:rsidR="00462761">
      <w:rPr>
        <w:sz w:val="20"/>
      </w:rPr>
      <w:t>427</w:t>
    </w:r>
    <w:r w:rsidRPr="007E0004">
      <w:rPr>
        <w:sz w:val="20"/>
      </w:rPr>
      <w:t xml:space="preserve">:  </w:t>
    </w:r>
    <w:r w:rsidR="00DB5DA9">
      <w:rPr>
        <w:sz w:val="20"/>
      </w:rPr>
      <w:t>Comstock</w:t>
    </w:r>
    <w:r>
      <w:rPr>
        <w:sz w:val="20"/>
      </w:rPr>
      <w:t xml:space="preserve"> on </w:t>
    </w:r>
    <w:bookmarkStart w:id="3" w:name="_Hlk106726565"/>
    <w:r w:rsidR="00DB5DA9">
      <w:rPr>
        <w:sz w:val="20"/>
      </w:rPr>
      <w:t>Crump et al.</w:t>
    </w:r>
    <w:r w:rsidR="007E01F4">
      <w:rPr>
        <w:sz w:val="20"/>
      </w:rPr>
      <w:t xml:space="preserve"> </w:t>
    </w:r>
    <w:r w:rsidRPr="007E0004">
      <w:rPr>
        <w:sz w:val="20"/>
      </w:rPr>
      <w:t xml:space="preserve">on </w:t>
    </w:r>
    <w:bookmarkEnd w:id="3"/>
    <w:r w:rsidR="00BF3E3B">
      <w:rPr>
        <w:i/>
        <w:sz w:val="20"/>
      </w:rPr>
      <w:t>Decapod Sentience</w:t>
    </w:r>
  </w:p>
  <w:p w14:paraId="45FE9497" w14:textId="1CFEEE66" w:rsidR="00BE5399" w:rsidRPr="00D0751D" w:rsidRDefault="00BE5399" w:rsidP="00D0751D">
    <w:pPr>
      <w:pStyle w:val="Header"/>
      <w:jc w:val="right"/>
      <w:rPr>
        <w:sz w:val="20"/>
        <w:szCs w:val="20"/>
      </w:rPr>
    </w:pPr>
  </w:p>
  <w:p w14:paraId="59FC6744" w14:textId="77777777" w:rsidR="00BE5399" w:rsidRDefault="00BE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157"/>
    <w:multiLevelType w:val="multilevel"/>
    <w:tmpl w:val="28C0D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6694"/>
    <w:multiLevelType w:val="multilevel"/>
    <w:tmpl w:val="1C64B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41E3"/>
    <w:multiLevelType w:val="multilevel"/>
    <w:tmpl w:val="BBAE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F7DC2"/>
    <w:multiLevelType w:val="multilevel"/>
    <w:tmpl w:val="89C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86F08"/>
    <w:multiLevelType w:val="multilevel"/>
    <w:tmpl w:val="8DC07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A0BFD"/>
    <w:multiLevelType w:val="hybridMultilevel"/>
    <w:tmpl w:val="10C0E3D4"/>
    <w:lvl w:ilvl="0" w:tplc="F46EB42A">
      <w:start w:val="2"/>
      <w:numFmt w:val="lowerLetter"/>
      <w:lvlText w:val="%1."/>
      <w:lvlJc w:val="left"/>
      <w:pPr>
        <w:tabs>
          <w:tab w:val="num" w:pos="720"/>
        </w:tabs>
        <w:ind w:left="720" w:hanging="360"/>
      </w:pPr>
    </w:lvl>
    <w:lvl w:ilvl="1" w:tplc="6382C7EA" w:tentative="1">
      <w:start w:val="1"/>
      <w:numFmt w:val="decimal"/>
      <w:lvlText w:val="%2."/>
      <w:lvlJc w:val="left"/>
      <w:pPr>
        <w:tabs>
          <w:tab w:val="num" w:pos="1440"/>
        </w:tabs>
        <w:ind w:left="1440" w:hanging="360"/>
      </w:pPr>
    </w:lvl>
    <w:lvl w:ilvl="2" w:tplc="DF46074E" w:tentative="1">
      <w:start w:val="1"/>
      <w:numFmt w:val="decimal"/>
      <w:lvlText w:val="%3."/>
      <w:lvlJc w:val="left"/>
      <w:pPr>
        <w:tabs>
          <w:tab w:val="num" w:pos="2160"/>
        </w:tabs>
        <w:ind w:left="2160" w:hanging="360"/>
      </w:pPr>
    </w:lvl>
    <w:lvl w:ilvl="3" w:tplc="A288E9D2" w:tentative="1">
      <w:start w:val="1"/>
      <w:numFmt w:val="decimal"/>
      <w:lvlText w:val="%4."/>
      <w:lvlJc w:val="left"/>
      <w:pPr>
        <w:tabs>
          <w:tab w:val="num" w:pos="2880"/>
        </w:tabs>
        <w:ind w:left="2880" w:hanging="360"/>
      </w:pPr>
    </w:lvl>
    <w:lvl w:ilvl="4" w:tplc="D9C6FB12" w:tentative="1">
      <w:start w:val="1"/>
      <w:numFmt w:val="decimal"/>
      <w:lvlText w:val="%5."/>
      <w:lvlJc w:val="left"/>
      <w:pPr>
        <w:tabs>
          <w:tab w:val="num" w:pos="3600"/>
        </w:tabs>
        <w:ind w:left="3600" w:hanging="360"/>
      </w:pPr>
    </w:lvl>
    <w:lvl w:ilvl="5" w:tplc="635E6708" w:tentative="1">
      <w:start w:val="1"/>
      <w:numFmt w:val="decimal"/>
      <w:lvlText w:val="%6."/>
      <w:lvlJc w:val="left"/>
      <w:pPr>
        <w:tabs>
          <w:tab w:val="num" w:pos="4320"/>
        </w:tabs>
        <w:ind w:left="4320" w:hanging="360"/>
      </w:pPr>
    </w:lvl>
    <w:lvl w:ilvl="6" w:tplc="F940D934" w:tentative="1">
      <w:start w:val="1"/>
      <w:numFmt w:val="decimal"/>
      <w:lvlText w:val="%7."/>
      <w:lvlJc w:val="left"/>
      <w:pPr>
        <w:tabs>
          <w:tab w:val="num" w:pos="5040"/>
        </w:tabs>
        <w:ind w:left="5040" w:hanging="360"/>
      </w:pPr>
    </w:lvl>
    <w:lvl w:ilvl="7" w:tplc="37C636C8" w:tentative="1">
      <w:start w:val="1"/>
      <w:numFmt w:val="decimal"/>
      <w:lvlText w:val="%8."/>
      <w:lvlJc w:val="left"/>
      <w:pPr>
        <w:tabs>
          <w:tab w:val="num" w:pos="5760"/>
        </w:tabs>
        <w:ind w:left="5760" w:hanging="360"/>
      </w:pPr>
    </w:lvl>
    <w:lvl w:ilvl="8" w:tplc="F5EE50FC" w:tentative="1">
      <w:start w:val="1"/>
      <w:numFmt w:val="decimal"/>
      <w:lvlText w:val="%9."/>
      <w:lvlJc w:val="left"/>
      <w:pPr>
        <w:tabs>
          <w:tab w:val="num" w:pos="6480"/>
        </w:tabs>
        <w:ind w:left="6480" w:hanging="360"/>
      </w:pPr>
    </w:lvl>
  </w:abstractNum>
  <w:abstractNum w:abstractNumId="6" w15:restartNumberingAfterBreak="0">
    <w:nsid w:val="43EF5BD3"/>
    <w:multiLevelType w:val="multilevel"/>
    <w:tmpl w:val="FEE6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614CF"/>
    <w:multiLevelType w:val="multilevel"/>
    <w:tmpl w:val="03202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A73F70"/>
    <w:multiLevelType w:val="multilevel"/>
    <w:tmpl w:val="E28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A12CA"/>
    <w:multiLevelType w:val="multilevel"/>
    <w:tmpl w:val="EE4E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D56FF"/>
    <w:multiLevelType w:val="multilevel"/>
    <w:tmpl w:val="8F3E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F56D1"/>
    <w:multiLevelType w:val="multilevel"/>
    <w:tmpl w:val="91E21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D0AE5"/>
    <w:multiLevelType w:val="multilevel"/>
    <w:tmpl w:val="6EC28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429BA"/>
    <w:multiLevelType w:val="multilevel"/>
    <w:tmpl w:val="EECE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26E74"/>
    <w:multiLevelType w:val="multilevel"/>
    <w:tmpl w:val="5548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003799">
    <w:abstractNumId w:val="2"/>
  </w:num>
  <w:num w:numId="2" w16cid:durableId="1062295779">
    <w:abstractNumId w:val="11"/>
    <w:lvlOverride w:ilvl="0">
      <w:lvl w:ilvl="0">
        <w:numFmt w:val="decimal"/>
        <w:lvlText w:val="%1."/>
        <w:lvlJc w:val="left"/>
      </w:lvl>
    </w:lvlOverride>
  </w:num>
  <w:num w:numId="3" w16cid:durableId="866023060">
    <w:abstractNumId w:val="14"/>
  </w:num>
  <w:num w:numId="4" w16cid:durableId="1803422942">
    <w:abstractNumId w:val="8"/>
  </w:num>
  <w:num w:numId="5" w16cid:durableId="603535962">
    <w:abstractNumId w:val="6"/>
  </w:num>
  <w:num w:numId="6" w16cid:durableId="1630672282">
    <w:abstractNumId w:val="13"/>
    <w:lvlOverride w:ilvl="0">
      <w:lvl w:ilvl="0">
        <w:numFmt w:val="lowerLetter"/>
        <w:lvlText w:val="%1."/>
        <w:lvlJc w:val="left"/>
      </w:lvl>
    </w:lvlOverride>
  </w:num>
  <w:num w:numId="7" w16cid:durableId="899560281">
    <w:abstractNumId w:val="7"/>
    <w:lvlOverride w:ilvl="0">
      <w:lvl w:ilvl="0">
        <w:numFmt w:val="lowerLetter"/>
        <w:lvlText w:val="%1."/>
        <w:lvlJc w:val="left"/>
      </w:lvl>
    </w:lvlOverride>
  </w:num>
  <w:num w:numId="8" w16cid:durableId="712467727">
    <w:abstractNumId w:val="7"/>
    <w:lvlOverride w:ilvl="0">
      <w:lvl w:ilvl="0">
        <w:numFmt w:val="lowerLetter"/>
        <w:lvlText w:val="%1."/>
        <w:lvlJc w:val="left"/>
      </w:lvl>
    </w:lvlOverride>
    <w:lvlOverride w:ilvl="1">
      <w:lvl w:ilvl="1">
        <w:numFmt w:val="lowerRoman"/>
        <w:lvlText w:val="%2."/>
        <w:lvlJc w:val="right"/>
      </w:lvl>
    </w:lvlOverride>
  </w:num>
  <w:num w:numId="9" w16cid:durableId="934217367">
    <w:abstractNumId w:val="0"/>
    <w:lvlOverride w:ilvl="0">
      <w:lvl w:ilvl="0">
        <w:numFmt w:val="lowerLetter"/>
        <w:lvlText w:val="%1."/>
        <w:lvlJc w:val="left"/>
      </w:lvl>
    </w:lvlOverride>
  </w:num>
  <w:num w:numId="10" w16cid:durableId="42219968">
    <w:abstractNumId w:val="0"/>
    <w:lvlOverride w:ilvl="0">
      <w:lvl w:ilvl="0">
        <w:numFmt w:val="lowerLetter"/>
        <w:lvlText w:val="%1."/>
        <w:lvlJc w:val="left"/>
      </w:lvl>
    </w:lvlOverride>
    <w:lvlOverride w:ilvl="1">
      <w:lvl w:ilvl="1">
        <w:numFmt w:val="lowerRoman"/>
        <w:lvlText w:val="%2."/>
        <w:lvlJc w:val="right"/>
      </w:lvl>
    </w:lvlOverride>
  </w:num>
  <w:num w:numId="11" w16cid:durableId="249852816">
    <w:abstractNumId w:val="1"/>
    <w:lvlOverride w:ilvl="0">
      <w:lvl w:ilvl="0">
        <w:numFmt w:val="lowerLetter"/>
        <w:lvlText w:val="%1."/>
        <w:lvlJc w:val="left"/>
      </w:lvl>
    </w:lvlOverride>
  </w:num>
  <w:num w:numId="12" w16cid:durableId="1809742119">
    <w:abstractNumId w:val="1"/>
    <w:lvlOverride w:ilvl="0">
      <w:lvl w:ilvl="0">
        <w:numFmt w:val="lowerLetter"/>
        <w:lvlText w:val="%1."/>
        <w:lvlJc w:val="left"/>
      </w:lvl>
    </w:lvlOverride>
    <w:lvlOverride w:ilvl="1">
      <w:lvl w:ilvl="1">
        <w:numFmt w:val="lowerRoman"/>
        <w:lvlText w:val="%2."/>
        <w:lvlJc w:val="right"/>
      </w:lvl>
    </w:lvlOverride>
  </w:num>
  <w:num w:numId="13" w16cid:durableId="1860779040">
    <w:abstractNumId w:val="4"/>
    <w:lvlOverride w:ilvl="0">
      <w:lvl w:ilvl="0">
        <w:numFmt w:val="lowerLetter"/>
        <w:lvlText w:val="%1."/>
        <w:lvlJc w:val="left"/>
      </w:lvl>
    </w:lvlOverride>
  </w:num>
  <w:num w:numId="14" w16cid:durableId="1348364777">
    <w:abstractNumId w:val="4"/>
    <w:lvlOverride w:ilvl="0">
      <w:lvl w:ilvl="0">
        <w:numFmt w:val="lowerLetter"/>
        <w:lvlText w:val="%1."/>
        <w:lvlJc w:val="left"/>
      </w:lvl>
    </w:lvlOverride>
    <w:lvlOverride w:ilvl="1">
      <w:lvl w:ilvl="1">
        <w:numFmt w:val="lowerRoman"/>
        <w:lvlText w:val="%2."/>
        <w:lvlJc w:val="right"/>
      </w:lvl>
    </w:lvlOverride>
  </w:num>
  <w:num w:numId="15" w16cid:durableId="1562407191">
    <w:abstractNumId w:val="9"/>
    <w:lvlOverride w:ilvl="0">
      <w:lvl w:ilvl="0">
        <w:numFmt w:val="lowerLetter"/>
        <w:lvlText w:val="%1."/>
        <w:lvlJc w:val="left"/>
      </w:lvl>
    </w:lvlOverride>
  </w:num>
  <w:num w:numId="16" w16cid:durableId="1630549689">
    <w:abstractNumId w:val="3"/>
    <w:lvlOverride w:ilvl="0">
      <w:lvl w:ilvl="0">
        <w:numFmt w:val="lowerLetter"/>
        <w:lvlText w:val="%1."/>
        <w:lvlJc w:val="left"/>
      </w:lvl>
    </w:lvlOverride>
  </w:num>
  <w:num w:numId="17" w16cid:durableId="1591280929">
    <w:abstractNumId w:val="10"/>
    <w:lvlOverride w:ilvl="0">
      <w:lvl w:ilvl="0">
        <w:numFmt w:val="lowerLetter"/>
        <w:lvlText w:val="%1."/>
        <w:lvlJc w:val="left"/>
      </w:lvl>
    </w:lvlOverride>
  </w:num>
  <w:num w:numId="18" w16cid:durableId="1886017917">
    <w:abstractNumId w:val="10"/>
    <w:lvlOverride w:ilvl="0">
      <w:lvl w:ilvl="0">
        <w:numFmt w:val="lowerLetter"/>
        <w:lvlText w:val="%1."/>
        <w:lvlJc w:val="left"/>
      </w:lvl>
    </w:lvlOverride>
    <w:lvlOverride w:ilvl="1">
      <w:lvl w:ilvl="1">
        <w:numFmt w:val="lowerRoman"/>
        <w:lvlText w:val="%2."/>
        <w:lvlJc w:val="right"/>
      </w:lvl>
    </w:lvlOverride>
  </w:num>
  <w:num w:numId="19" w16cid:durableId="560750930">
    <w:abstractNumId w:val="5"/>
  </w:num>
  <w:num w:numId="20" w16cid:durableId="1779257405">
    <w:abstractNumId w:val="12"/>
    <w:lvlOverride w:ilvl="0">
      <w:lvl w:ilvl="0">
        <w:numFmt w:val="lowerLetter"/>
        <w:lvlText w:val="%1."/>
        <w:lvlJc w:val="left"/>
      </w:lvl>
    </w:lvlOverride>
  </w:num>
  <w:num w:numId="21" w16cid:durableId="1607813446">
    <w:abstractNumId w:val="12"/>
    <w:lvlOverride w:ilvl="0">
      <w:lvl w:ilvl="0">
        <w:numFmt w:val="lowerLetter"/>
        <w:lvlText w:val="%1."/>
        <w:lvlJc w:val="left"/>
      </w:lvl>
    </w:lvlOverride>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36"/>
    <w:rsid w:val="00003C97"/>
    <w:rsid w:val="00003E4D"/>
    <w:rsid w:val="00013B4B"/>
    <w:rsid w:val="000255E4"/>
    <w:rsid w:val="00032B64"/>
    <w:rsid w:val="00034DFB"/>
    <w:rsid w:val="000546FF"/>
    <w:rsid w:val="000562A4"/>
    <w:rsid w:val="00064E4D"/>
    <w:rsid w:val="00075621"/>
    <w:rsid w:val="000861BB"/>
    <w:rsid w:val="00090AF6"/>
    <w:rsid w:val="000A4F62"/>
    <w:rsid w:val="000C3764"/>
    <w:rsid w:val="000C3C7E"/>
    <w:rsid w:val="000C65B8"/>
    <w:rsid w:val="000E265B"/>
    <w:rsid w:val="000E6036"/>
    <w:rsid w:val="000F3F40"/>
    <w:rsid w:val="00106A02"/>
    <w:rsid w:val="00112D74"/>
    <w:rsid w:val="00113FDB"/>
    <w:rsid w:val="0012049D"/>
    <w:rsid w:val="001237DB"/>
    <w:rsid w:val="00123D2D"/>
    <w:rsid w:val="00124C43"/>
    <w:rsid w:val="001253D9"/>
    <w:rsid w:val="00162706"/>
    <w:rsid w:val="00166F2C"/>
    <w:rsid w:val="00170E84"/>
    <w:rsid w:val="00192B91"/>
    <w:rsid w:val="00193592"/>
    <w:rsid w:val="001945A6"/>
    <w:rsid w:val="00194C26"/>
    <w:rsid w:val="00195A7E"/>
    <w:rsid w:val="001F250B"/>
    <w:rsid w:val="001F5A1C"/>
    <w:rsid w:val="002002BC"/>
    <w:rsid w:val="00211C0C"/>
    <w:rsid w:val="00216839"/>
    <w:rsid w:val="00237655"/>
    <w:rsid w:val="00242C63"/>
    <w:rsid w:val="00244962"/>
    <w:rsid w:val="002509FB"/>
    <w:rsid w:val="00273DF9"/>
    <w:rsid w:val="00281C81"/>
    <w:rsid w:val="002A05D1"/>
    <w:rsid w:val="002A401A"/>
    <w:rsid w:val="002B24CF"/>
    <w:rsid w:val="002B4AB2"/>
    <w:rsid w:val="002C435A"/>
    <w:rsid w:val="002C75BF"/>
    <w:rsid w:val="002D331B"/>
    <w:rsid w:val="003038D4"/>
    <w:rsid w:val="003070CD"/>
    <w:rsid w:val="00323D0E"/>
    <w:rsid w:val="00325E32"/>
    <w:rsid w:val="0032731B"/>
    <w:rsid w:val="003342C1"/>
    <w:rsid w:val="00350A92"/>
    <w:rsid w:val="0037656B"/>
    <w:rsid w:val="00376E80"/>
    <w:rsid w:val="00382DA0"/>
    <w:rsid w:val="00395691"/>
    <w:rsid w:val="00395754"/>
    <w:rsid w:val="003A7FDD"/>
    <w:rsid w:val="003B3DDE"/>
    <w:rsid w:val="003D593D"/>
    <w:rsid w:val="003E5B33"/>
    <w:rsid w:val="004051C4"/>
    <w:rsid w:val="00407CF1"/>
    <w:rsid w:val="00421314"/>
    <w:rsid w:val="00422624"/>
    <w:rsid w:val="00437671"/>
    <w:rsid w:val="00443998"/>
    <w:rsid w:val="00451F34"/>
    <w:rsid w:val="00462761"/>
    <w:rsid w:val="00477762"/>
    <w:rsid w:val="00477F11"/>
    <w:rsid w:val="00485CED"/>
    <w:rsid w:val="00496D0E"/>
    <w:rsid w:val="004A6983"/>
    <w:rsid w:val="004C6A0C"/>
    <w:rsid w:val="004D768F"/>
    <w:rsid w:val="004D7AFC"/>
    <w:rsid w:val="004E0899"/>
    <w:rsid w:val="004E4AE7"/>
    <w:rsid w:val="004E51BA"/>
    <w:rsid w:val="005169BB"/>
    <w:rsid w:val="005210BB"/>
    <w:rsid w:val="0052608A"/>
    <w:rsid w:val="00541E76"/>
    <w:rsid w:val="00560BC7"/>
    <w:rsid w:val="005710E2"/>
    <w:rsid w:val="005722A1"/>
    <w:rsid w:val="00573583"/>
    <w:rsid w:val="0057759D"/>
    <w:rsid w:val="0059285D"/>
    <w:rsid w:val="005A2F5D"/>
    <w:rsid w:val="005B1AEC"/>
    <w:rsid w:val="005C10C5"/>
    <w:rsid w:val="005C2482"/>
    <w:rsid w:val="005D137A"/>
    <w:rsid w:val="005D6FB8"/>
    <w:rsid w:val="005E011F"/>
    <w:rsid w:val="005E0D22"/>
    <w:rsid w:val="005E4B68"/>
    <w:rsid w:val="005F27E1"/>
    <w:rsid w:val="0060238F"/>
    <w:rsid w:val="006269FF"/>
    <w:rsid w:val="00636611"/>
    <w:rsid w:val="00641328"/>
    <w:rsid w:val="00644321"/>
    <w:rsid w:val="006453D2"/>
    <w:rsid w:val="00645DAB"/>
    <w:rsid w:val="00652980"/>
    <w:rsid w:val="00655742"/>
    <w:rsid w:val="006563F7"/>
    <w:rsid w:val="00656E2C"/>
    <w:rsid w:val="00660147"/>
    <w:rsid w:val="0066582E"/>
    <w:rsid w:val="00665F4B"/>
    <w:rsid w:val="00666250"/>
    <w:rsid w:val="00682BDE"/>
    <w:rsid w:val="006964E5"/>
    <w:rsid w:val="006A372E"/>
    <w:rsid w:val="006B2DA9"/>
    <w:rsid w:val="006B469D"/>
    <w:rsid w:val="006C33D8"/>
    <w:rsid w:val="006D53D5"/>
    <w:rsid w:val="006E72A3"/>
    <w:rsid w:val="00715C35"/>
    <w:rsid w:val="00725146"/>
    <w:rsid w:val="007425A6"/>
    <w:rsid w:val="00742636"/>
    <w:rsid w:val="00751255"/>
    <w:rsid w:val="0075164A"/>
    <w:rsid w:val="00761D67"/>
    <w:rsid w:val="007709DA"/>
    <w:rsid w:val="007773D9"/>
    <w:rsid w:val="007800C9"/>
    <w:rsid w:val="007804F3"/>
    <w:rsid w:val="00787762"/>
    <w:rsid w:val="007948E3"/>
    <w:rsid w:val="007A1F44"/>
    <w:rsid w:val="007A40FB"/>
    <w:rsid w:val="007A4C31"/>
    <w:rsid w:val="007A5941"/>
    <w:rsid w:val="007B259F"/>
    <w:rsid w:val="007C5AD0"/>
    <w:rsid w:val="007E01F4"/>
    <w:rsid w:val="007E0CD9"/>
    <w:rsid w:val="007E3B40"/>
    <w:rsid w:val="00801839"/>
    <w:rsid w:val="00810C04"/>
    <w:rsid w:val="008122F9"/>
    <w:rsid w:val="0081250B"/>
    <w:rsid w:val="00812C48"/>
    <w:rsid w:val="008459AF"/>
    <w:rsid w:val="008505E6"/>
    <w:rsid w:val="0085497B"/>
    <w:rsid w:val="00863B6A"/>
    <w:rsid w:val="0087051A"/>
    <w:rsid w:val="008901EC"/>
    <w:rsid w:val="008926DC"/>
    <w:rsid w:val="0089476F"/>
    <w:rsid w:val="008A7BDD"/>
    <w:rsid w:val="008E2CD0"/>
    <w:rsid w:val="008E653B"/>
    <w:rsid w:val="00900DC5"/>
    <w:rsid w:val="00912DE1"/>
    <w:rsid w:val="00924084"/>
    <w:rsid w:val="00925DBD"/>
    <w:rsid w:val="00925F26"/>
    <w:rsid w:val="0093080E"/>
    <w:rsid w:val="00931301"/>
    <w:rsid w:val="009601D8"/>
    <w:rsid w:val="00960977"/>
    <w:rsid w:val="0098381A"/>
    <w:rsid w:val="009867B8"/>
    <w:rsid w:val="00992D49"/>
    <w:rsid w:val="009A46FA"/>
    <w:rsid w:val="009A6786"/>
    <w:rsid w:val="009A6F8D"/>
    <w:rsid w:val="009B2FBA"/>
    <w:rsid w:val="009B79C9"/>
    <w:rsid w:val="009C05C7"/>
    <w:rsid w:val="009C74EC"/>
    <w:rsid w:val="009D4713"/>
    <w:rsid w:val="009D56FA"/>
    <w:rsid w:val="009D6961"/>
    <w:rsid w:val="009E4022"/>
    <w:rsid w:val="009F391A"/>
    <w:rsid w:val="009F6437"/>
    <w:rsid w:val="009F6D65"/>
    <w:rsid w:val="00A14CD2"/>
    <w:rsid w:val="00A1773F"/>
    <w:rsid w:val="00A20F1B"/>
    <w:rsid w:val="00A22F9E"/>
    <w:rsid w:val="00A36E31"/>
    <w:rsid w:val="00A53DD9"/>
    <w:rsid w:val="00A6501B"/>
    <w:rsid w:val="00A7214F"/>
    <w:rsid w:val="00A80575"/>
    <w:rsid w:val="00A85F4A"/>
    <w:rsid w:val="00AA0D7E"/>
    <w:rsid w:val="00AB27AD"/>
    <w:rsid w:val="00AB38A3"/>
    <w:rsid w:val="00AB52C3"/>
    <w:rsid w:val="00AC7EA3"/>
    <w:rsid w:val="00AD7D60"/>
    <w:rsid w:val="00AE2A69"/>
    <w:rsid w:val="00AE35AB"/>
    <w:rsid w:val="00AF35F6"/>
    <w:rsid w:val="00AF37DB"/>
    <w:rsid w:val="00AF48C0"/>
    <w:rsid w:val="00B1742E"/>
    <w:rsid w:val="00B406AE"/>
    <w:rsid w:val="00B43909"/>
    <w:rsid w:val="00B43D72"/>
    <w:rsid w:val="00B479F7"/>
    <w:rsid w:val="00B508FA"/>
    <w:rsid w:val="00B74EFC"/>
    <w:rsid w:val="00B8411F"/>
    <w:rsid w:val="00B8561A"/>
    <w:rsid w:val="00B8602A"/>
    <w:rsid w:val="00B95A75"/>
    <w:rsid w:val="00B96962"/>
    <w:rsid w:val="00BA19FE"/>
    <w:rsid w:val="00BA1DAB"/>
    <w:rsid w:val="00BC6D3C"/>
    <w:rsid w:val="00BE5399"/>
    <w:rsid w:val="00BF3E3B"/>
    <w:rsid w:val="00C04CD4"/>
    <w:rsid w:val="00C068D1"/>
    <w:rsid w:val="00C228C4"/>
    <w:rsid w:val="00C27DA1"/>
    <w:rsid w:val="00C331FF"/>
    <w:rsid w:val="00C455F7"/>
    <w:rsid w:val="00C612E4"/>
    <w:rsid w:val="00C7216F"/>
    <w:rsid w:val="00C80BD5"/>
    <w:rsid w:val="00C85287"/>
    <w:rsid w:val="00C87DA6"/>
    <w:rsid w:val="00CA2B34"/>
    <w:rsid w:val="00CB0519"/>
    <w:rsid w:val="00CC052D"/>
    <w:rsid w:val="00CC0587"/>
    <w:rsid w:val="00CC3EFF"/>
    <w:rsid w:val="00CD2148"/>
    <w:rsid w:val="00CE2ECE"/>
    <w:rsid w:val="00D02D31"/>
    <w:rsid w:val="00D0751D"/>
    <w:rsid w:val="00D13A3A"/>
    <w:rsid w:val="00D2609D"/>
    <w:rsid w:val="00D26D9F"/>
    <w:rsid w:val="00D26FEF"/>
    <w:rsid w:val="00D274C1"/>
    <w:rsid w:val="00D33879"/>
    <w:rsid w:val="00D42784"/>
    <w:rsid w:val="00D60A8A"/>
    <w:rsid w:val="00D64373"/>
    <w:rsid w:val="00D71005"/>
    <w:rsid w:val="00D863FE"/>
    <w:rsid w:val="00D92858"/>
    <w:rsid w:val="00DA0352"/>
    <w:rsid w:val="00DA66E3"/>
    <w:rsid w:val="00DA67B3"/>
    <w:rsid w:val="00DB3B3F"/>
    <w:rsid w:val="00DB53FE"/>
    <w:rsid w:val="00DB5DA9"/>
    <w:rsid w:val="00DE00C6"/>
    <w:rsid w:val="00DE796B"/>
    <w:rsid w:val="00DF32FA"/>
    <w:rsid w:val="00DF35FF"/>
    <w:rsid w:val="00E04D71"/>
    <w:rsid w:val="00E2345E"/>
    <w:rsid w:val="00E305D1"/>
    <w:rsid w:val="00E33497"/>
    <w:rsid w:val="00E45222"/>
    <w:rsid w:val="00E740F9"/>
    <w:rsid w:val="00E74812"/>
    <w:rsid w:val="00E95C1B"/>
    <w:rsid w:val="00EC187E"/>
    <w:rsid w:val="00ED315A"/>
    <w:rsid w:val="00ED4BF9"/>
    <w:rsid w:val="00F038CD"/>
    <w:rsid w:val="00F04583"/>
    <w:rsid w:val="00F20E9C"/>
    <w:rsid w:val="00F2417D"/>
    <w:rsid w:val="00F319CE"/>
    <w:rsid w:val="00F34927"/>
    <w:rsid w:val="00F35EFE"/>
    <w:rsid w:val="00F5079C"/>
    <w:rsid w:val="00F5238E"/>
    <w:rsid w:val="00F5272D"/>
    <w:rsid w:val="00F60E31"/>
    <w:rsid w:val="00F65BFF"/>
    <w:rsid w:val="00F67602"/>
    <w:rsid w:val="00F72100"/>
    <w:rsid w:val="00F773F8"/>
    <w:rsid w:val="00F83112"/>
    <w:rsid w:val="00FC1FE0"/>
    <w:rsid w:val="00FD1159"/>
    <w:rsid w:val="00FE3098"/>
    <w:rsid w:val="00FE7AFD"/>
  </w:rsids>
  <m:mathPr>
    <m:mathFont m:val="Cambria Math"/>
    <m:brkBin m:val="before"/>
    <m:brkBinSub m:val="--"/>
    <m:smallFrac m:val="0"/>
    <m:dispDef/>
    <m:lMargin m:val="0"/>
    <m:rMargin m:val="0"/>
    <m:defJc m:val="centerGroup"/>
    <m:wrapIndent m:val="1440"/>
    <m:intLim m:val="subSup"/>
    <m:naryLim m:val="undOvr"/>
  </m:mathPr>
  <w:themeFontLang w:val="en-A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AFCC"/>
  <w15:chartTrackingRefBased/>
  <w15:docId w15:val="{BAA63858-6FB6-49AC-B000-AEAAB96C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EC"/>
    <w:rPr>
      <w:color w:val="0563C1" w:themeColor="hyperlink"/>
      <w:u w:val="single"/>
    </w:rPr>
  </w:style>
  <w:style w:type="character" w:styleId="UnresolvedMention">
    <w:name w:val="Unresolved Mention"/>
    <w:basedOn w:val="DefaultParagraphFont"/>
    <w:uiPriority w:val="99"/>
    <w:semiHidden/>
    <w:unhideWhenUsed/>
    <w:rsid w:val="005B1AEC"/>
    <w:rPr>
      <w:color w:val="605E5C"/>
      <w:shd w:val="clear" w:color="auto" w:fill="E1DFDD"/>
    </w:rPr>
  </w:style>
  <w:style w:type="paragraph" w:styleId="BalloonText">
    <w:name w:val="Balloon Text"/>
    <w:basedOn w:val="Normal"/>
    <w:link w:val="BalloonTextChar"/>
    <w:uiPriority w:val="99"/>
    <w:semiHidden/>
    <w:unhideWhenUsed/>
    <w:rsid w:val="007E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D9"/>
    <w:rPr>
      <w:rFonts w:ascii="Segoe UI" w:hAnsi="Segoe UI" w:cs="Segoe UI"/>
      <w:sz w:val="18"/>
      <w:szCs w:val="18"/>
    </w:rPr>
  </w:style>
  <w:style w:type="paragraph" w:styleId="Header">
    <w:name w:val="header"/>
    <w:basedOn w:val="Normal"/>
    <w:link w:val="HeaderChar"/>
    <w:uiPriority w:val="99"/>
    <w:unhideWhenUsed/>
    <w:rsid w:val="00BE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99"/>
  </w:style>
  <w:style w:type="paragraph" w:styleId="Footer">
    <w:name w:val="footer"/>
    <w:basedOn w:val="Normal"/>
    <w:link w:val="FooterChar"/>
    <w:uiPriority w:val="99"/>
    <w:unhideWhenUsed/>
    <w:rsid w:val="00BE5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99"/>
  </w:style>
  <w:style w:type="character" w:styleId="PageNumber">
    <w:name w:val="page number"/>
    <w:basedOn w:val="DefaultParagraphFont"/>
    <w:uiPriority w:val="99"/>
    <w:semiHidden/>
    <w:unhideWhenUsed/>
    <w:rsid w:val="00D0751D"/>
  </w:style>
  <w:style w:type="character" w:styleId="FollowedHyperlink">
    <w:name w:val="FollowedHyperlink"/>
    <w:basedOn w:val="DefaultParagraphFont"/>
    <w:uiPriority w:val="99"/>
    <w:semiHidden/>
    <w:unhideWhenUsed/>
    <w:rsid w:val="00A85F4A"/>
    <w:rPr>
      <w:color w:val="954F72" w:themeColor="followedHyperlink"/>
      <w:u w:val="single"/>
    </w:rPr>
  </w:style>
  <w:style w:type="character" w:styleId="CommentReference">
    <w:name w:val="annotation reference"/>
    <w:basedOn w:val="DefaultParagraphFont"/>
    <w:uiPriority w:val="99"/>
    <w:semiHidden/>
    <w:unhideWhenUsed/>
    <w:rsid w:val="00CC0587"/>
    <w:rPr>
      <w:sz w:val="16"/>
      <w:szCs w:val="16"/>
    </w:rPr>
  </w:style>
  <w:style w:type="paragraph" w:styleId="CommentText">
    <w:name w:val="annotation text"/>
    <w:basedOn w:val="Normal"/>
    <w:link w:val="CommentTextChar"/>
    <w:uiPriority w:val="99"/>
    <w:unhideWhenUsed/>
    <w:rsid w:val="00CC0587"/>
    <w:pPr>
      <w:spacing w:line="240" w:lineRule="auto"/>
    </w:pPr>
    <w:rPr>
      <w:sz w:val="20"/>
      <w:szCs w:val="20"/>
    </w:rPr>
  </w:style>
  <w:style w:type="character" w:customStyle="1" w:styleId="CommentTextChar">
    <w:name w:val="Comment Text Char"/>
    <w:basedOn w:val="DefaultParagraphFont"/>
    <w:link w:val="CommentText"/>
    <w:uiPriority w:val="99"/>
    <w:rsid w:val="00CC0587"/>
    <w:rPr>
      <w:sz w:val="20"/>
      <w:szCs w:val="20"/>
    </w:rPr>
  </w:style>
  <w:style w:type="paragraph" w:styleId="CommentSubject">
    <w:name w:val="annotation subject"/>
    <w:basedOn w:val="CommentText"/>
    <w:next w:val="CommentText"/>
    <w:link w:val="CommentSubjectChar"/>
    <w:uiPriority w:val="99"/>
    <w:semiHidden/>
    <w:unhideWhenUsed/>
    <w:rsid w:val="00CC0587"/>
    <w:rPr>
      <w:b/>
      <w:bCs/>
    </w:rPr>
  </w:style>
  <w:style w:type="character" w:customStyle="1" w:styleId="CommentSubjectChar">
    <w:name w:val="Comment Subject Char"/>
    <w:basedOn w:val="CommentTextChar"/>
    <w:link w:val="CommentSubject"/>
    <w:uiPriority w:val="99"/>
    <w:semiHidden/>
    <w:rsid w:val="00CC0587"/>
    <w:rPr>
      <w:b/>
      <w:bCs/>
      <w:sz w:val="20"/>
      <w:szCs w:val="20"/>
    </w:rPr>
  </w:style>
  <w:style w:type="paragraph" w:styleId="ListParagraph">
    <w:name w:val="List Paragraph"/>
    <w:basedOn w:val="Normal"/>
    <w:uiPriority w:val="34"/>
    <w:qFormat/>
    <w:rsid w:val="00B479F7"/>
    <w:pPr>
      <w:ind w:left="720"/>
      <w:contextualSpacing/>
    </w:pPr>
  </w:style>
  <w:style w:type="paragraph" w:styleId="Bibliography">
    <w:name w:val="Bibliography"/>
    <w:basedOn w:val="Normal"/>
    <w:next w:val="Normal"/>
    <w:uiPriority w:val="37"/>
    <w:semiHidden/>
    <w:unhideWhenUsed/>
    <w:rsid w:val="002B24CF"/>
  </w:style>
  <w:style w:type="table" w:customStyle="1" w:styleId="TableGrid1">
    <w:name w:val="Table Grid1"/>
    <w:basedOn w:val="TableNormal"/>
    <w:next w:val="TableGrid"/>
    <w:uiPriority w:val="39"/>
    <w:rsid w:val="007425A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1948">
      <w:bodyDiv w:val="1"/>
      <w:marLeft w:val="0"/>
      <w:marRight w:val="0"/>
      <w:marTop w:val="0"/>
      <w:marBottom w:val="0"/>
      <w:divBdr>
        <w:top w:val="none" w:sz="0" w:space="0" w:color="auto"/>
        <w:left w:val="none" w:sz="0" w:space="0" w:color="auto"/>
        <w:bottom w:val="none" w:sz="0" w:space="0" w:color="auto"/>
        <w:right w:val="none" w:sz="0" w:space="0" w:color="auto"/>
      </w:divBdr>
      <w:divsChild>
        <w:div w:id="220337726">
          <w:marLeft w:val="720"/>
          <w:marRight w:val="0"/>
          <w:marTop w:val="0"/>
          <w:marBottom w:val="0"/>
          <w:divBdr>
            <w:top w:val="none" w:sz="0" w:space="0" w:color="auto"/>
            <w:left w:val="none" w:sz="0" w:space="0" w:color="auto"/>
            <w:bottom w:val="none" w:sz="0" w:space="0" w:color="auto"/>
            <w:right w:val="none" w:sz="0" w:space="0" w:color="auto"/>
          </w:divBdr>
        </w:div>
      </w:divsChild>
    </w:div>
    <w:div w:id="690913035">
      <w:bodyDiv w:val="1"/>
      <w:marLeft w:val="0"/>
      <w:marRight w:val="0"/>
      <w:marTop w:val="0"/>
      <w:marBottom w:val="0"/>
      <w:divBdr>
        <w:top w:val="none" w:sz="0" w:space="0" w:color="auto"/>
        <w:left w:val="none" w:sz="0" w:space="0" w:color="auto"/>
        <w:bottom w:val="none" w:sz="0" w:space="0" w:color="auto"/>
        <w:right w:val="none" w:sz="0" w:space="0" w:color="auto"/>
      </w:divBdr>
    </w:div>
    <w:div w:id="12546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beingintlstudiesrepository.org/animsent/vol7/iss32/1" TargetMode="External"/><Relationship Id="rId13" Type="http://schemas.openxmlformats.org/officeDocument/2006/relationships/hyperlink" Target="https://www.wellbeingintlstudiesrepository.org/animsent/vol2/iss16/1/" TargetMode="External"/><Relationship Id="rId18" Type="http://schemas.openxmlformats.org/officeDocument/2006/relationships/hyperlink" Target="https://doi.org/10.1016/j.cbpc.2011.12.00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cholarworks.utrgv.edu/cgi/viewcontent.cgi?article=1045&amp;context=bio_fac" TargetMode="External"/><Relationship Id="rId7" Type="http://schemas.openxmlformats.org/officeDocument/2006/relationships/endnotes" Target="endnotes.xml"/><Relationship Id="rId12" Type="http://schemas.openxmlformats.org/officeDocument/2006/relationships/hyperlink" Target="https://www.frontiersin.org/article/10.3389/fmars.2022.886024" TargetMode="External"/><Relationship Id="rId17" Type="http://schemas.openxmlformats.org/officeDocument/2006/relationships/hyperlink" Target="https://www.wellbeingintlstudiesrepository.org/animsent/vol7/iss3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ani11041089" TargetMode="External"/><Relationship Id="rId20" Type="http://schemas.openxmlformats.org/officeDocument/2006/relationships/hyperlink" Target="http://dx.doi.org.prox.lib.ncsu.edu/10.1371/journal.pone.00102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mpulse.pubpub.org/pub/urrl4rjh" TargetMode="External"/><Relationship Id="rId5" Type="http://schemas.openxmlformats.org/officeDocument/2006/relationships/webSettings" Target="webSettings.xml"/><Relationship Id="rId15" Type="http://schemas.openxmlformats.org/officeDocument/2006/relationships/hyperlink" Target="https://www.researchgate.net/publication/361451600_Shrimp_Hypothesis" TargetMode="External"/><Relationship Id="rId23" Type="http://schemas.openxmlformats.org/officeDocument/2006/relationships/hyperlink" Target="https://doi.org/10.1016/j.aquaculture.2003.09.034" TargetMode="External"/><Relationship Id="rId28" Type="http://schemas.openxmlformats.org/officeDocument/2006/relationships/fontTable" Target="fontTable.xml"/><Relationship Id="rId10" Type="http://schemas.openxmlformats.org/officeDocument/2006/relationships/hyperlink" Target="https://sites.google.com/ncsu.edu/garylcomstock/home" TargetMode="External"/><Relationship Id="rId19" Type="http://schemas.openxmlformats.org/officeDocument/2006/relationships/hyperlink" Target="https://doi.org/10.3390/ani11010073"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wellbeingintlstudiesrepository.org/cgi/viewcontent.cgi?article=1001&amp;context=af_gen" TargetMode="External"/><Relationship Id="rId22" Type="http://schemas.openxmlformats.org/officeDocument/2006/relationships/hyperlink" Target="https://doi.org/10.1016/j.anbehav.2014.09.007"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C171-D809-437E-899D-8FAD4D45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Clarke</dc:creator>
  <cp:keywords/>
  <dc:description/>
  <cp:lastModifiedBy>Gary Comstock</cp:lastModifiedBy>
  <cp:revision>2</cp:revision>
  <cp:lastPrinted>2022-06-21T23:47:00Z</cp:lastPrinted>
  <dcterms:created xsi:type="dcterms:W3CDTF">2022-06-24T00:44:00Z</dcterms:created>
  <dcterms:modified xsi:type="dcterms:W3CDTF">2022-06-24T00:44:00Z</dcterms:modified>
</cp:coreProperties>
</file>