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C1" w:rsidRPr="007741E6" w:rsidRDefault="00582DC1" w:rsidP="00B65E9F">
      <w:pPr>
        <w:spacing w:line="480" w:lineRule="auto"/>
        <w:rPr>
          <w:rFonts w:ascii="Times New Roman" w:hAnsi="Times New Roman" w:cs="Times New Roman"/>
          <w:b/>
        </w:rPr>
      </w:pPr>
      <w:r w:rsidRPr="007741E6">
        <w:rPr>
          <w:rFonts w:ascii="Times New Roman" w:hAnsi="Times New Roman" w:cs="Times New Roman"/>
          <w:b/>
        </w:rPr>
        <w:t>It’s better to be ignorant of our moral enhancement: A reply to Zambrano</w:t>
      </w:r>
    </w:p>
    <w:p w:rsidR="00B65E9F" w:rsidRPr="007741E6" w:rsidRDefault="00B65E9F" w:rsidP="00EE312A">
      <w:pPr>
        <w:rPr>
          <w:rFonts w:ascii="Times New Roman" w:hAnsi="Times New Roman" w:cs="Times New Roman"/>
        </w:rPr>
      </w:pPr>
    </w:p>
    <w:p w:rsidR="00EE312A" w:rsidRPr="007741E6" w:rsidRDefault="00EE312A" w:rsidP="00EE312A">
      <w:pPr>
        <w:rPr>
          <w:rFonts w:ascii="Times New Roman" w:hAnsi="Times New Roman" w:cs="Times New Roman"/>
        </w:rPr>
      </w:pPr>
      <w:r w:rsidRPr="007741E6">
        <w:rPr>
          <w:rFonts w:ascii="Times New Roman" w:hAnsi="Times New Roman" w:cs="Times New Roman"/>
        </w:rPr>
        <w:t xml:space="preserve">In </w:t>
      </w:r>
      <w:r w:rsidR="00185BD8" w:rsidRPr="007741E6">
        <w:rPr>
          <w:rFonts w:ascii="Times New Roman" w:hAnsi="Times New Roman" w:cs="Times New Roman"/>
        </w:rPr>
        <w:t xml:space="preserve">a recent issue </w:t>
      </w:r>
      <w:r w:rsidRPr="007741E6">
        <w:rPr>
          <w:rFonts w:ascii="Times New Roman" w:hAnsi="Times New Roman" w:cs="Times New Roman"/>
        </w:rPr>
        <w:t xml:space="preserve">of </w:t>
      </w:r>
      <w:r w:rsidRPr="007741E6">
        <w:rPr>
          <w:rFonts w:ascii="Times New Roman" w:hAnsi="Times New Roman" w:cs="Times New Roman"/>
          <w:i/>
        </w:rPr>
        <w:t>Bioethics</w:t>
      </w:r>
      <w:r w:rsidRPr="007741E6">
        <w:rPr>
          <w:rFonts w:ascii="Times New Roman" w:hAnsi="Times New Roman" w:cs="Times New Roman"/>
        </w:rPr>
        <w:t xml:space="preserve">, I argue that compulsory moral </w:t>
      </w:r>
      <w:proofErr w:type="spellStart"/>
      <w:r w:rsidRPr="007741E6">
        <w:rPr>
          <w:rFonts w:ascii="Times New Roman" w:hAnsi="Times New Roman" w:cs="Times New Roman"/>
        </w:rPr>
        <w:t>bioenhancement</w:t>
      </w:r>
      <w:proofErr w:type="spellEnd"/>
      <w:r w:rsidRPr="007741E6">
        <w:rPr>
          <w:rFonts w:ascii="Times New Roman" w:hAnsi="Times New Roman" w:cs="Times New Roman"/>
        </w:rPr>
        <w:t xml:space="preserve"> should be administered covertly. Alexander Zambrano has criticized this argument on two fronts. First, contrary to my claim, Zambrano claims that the prevention of ultimate harm by covert moral </w:t>
      </w:r>
      <w:proofErr w:type="spellStart"/>
      <w:r w:rsidRPr="007741E6">
        <w:rPr>
          <w:rFonts w:ascii="Times New Roman" w:hAnsi="Times New Roman" w:cs="Times New Roman"/>
        </w:rPr>
        <w:t>bioenhancement</w:t>
      </w:r>
      <w:proofErr w:type="spellEnd"/>
      <w:r w:rsidRPr="007741E6">
        <w:rPr>
          <w:rFonts w:ascii="Times New Roman" w:hAnsi="Times New Roman" w:cs="Times New Roman"/>
        </w:rPr>
        <w:t xml:space="preserve"> fails to meet conditions for permissible liberty-restricting public health interventions. Second, contrary to my claim, Zambrano claims that covert moral </w:t>
      </w:r>
      <w:proofErr w:type="spellStart"/>
      <w:r w:rsidRPr="007741E6">
        <w:rPr>
          <w:rFonts w:ascii="Times New Roman" w:hAnsi="Times New Roman" w:cs="Times New Roman"/>
        </w:rPr>
        <w:t>bioenhancement</w:t>
      </w:r>
      <w:proofErr w:type="spellEnd"/>
      <w:r w:rsidRPr="007741E6">
        <w:rPr>
          <w:rFonts w:ascii="Times New Roman" w:hAnsi="Times New Roman" w:cs="Times New Roman"/>
        </w:rPr>
        <w:t xml:space="preserve"> undermines autonomy to a greater degree than does overt moral </w:t>
      </w:r>
      <w:proofErr w:type="spellStart"/>
      <w:r w:rsidRPr="007741E6">
        <w:rPr>
          <w:rFonts w:ascii="Times New Roman" w:hAnsi="Times New Roman" w:cs="Times New Roman"/>
        </w:rPr>
        <w:t>bioenhancement</w:t>
      </w:r>
      <w:proofErr w:type="spellEnd"/>
      <w:r w:rsidRPr="007741E6">
        <w:rPr>
          <w:rFonts w:ascii="Times New Roman" w:hAnsi="Times New Roman" w:cs="Times New Roman"/>
        </w:rPr>
        <w:t>. In this paper, I rebut both of these arguments</w:t>
      </w:r>
      <w:r w:rsidR="004D148F" w:rsidRPr="007741E6">
        <w:rPr>
          <w:rFonts w:ascii="Times New Roman" w:hAnsi="Times New Roman" w:cs="Times New Roman"/>
        </w:rPr>
        <w:t>, then finish by noting important avenues of research that Zambrano’s arguments motivate.</w:t>
      </w:r>
    </w:p>
    <w:p w:rsidR="00EE312A" w:rsidRPr="007741E6" w:rsidRDefault="00EE312A" w:rsidP="00404B6B">
      <w:pPr>
        <w:spacing w:line="480" w:lineRule="auto"/>
        <w:rPr>
          <w:rFonts w:ascii="Times New Roman" w:hAnsi="Times New Roman" w:cs="Times New Roman"/>
        </w:rPr>
      </w:pPr>
    </w:p>
    <w:p w:rsidR="00B65E9F" w:rsidRPr="007741E6" w:rsidRDefault="00B65E9F" w:rsidP="00404B6B">
      <w:pPr>
        <w:spacing w:line="480" w:lineRule="auto"/>
        <w:rPr>
          <w:rFonts w:ascii="Times New Roman" w:hAnsi="Times New Roman" w:cs="Times New Roman"/>
        </w:rPr>
      </w:pPr>
    </w:p>
    <w:p w:rsidR="00714073" w:rsidRPr="007741E6" w:rsidRDefault="009803A4" w:rsidP="006B1298">
      <w:pPr>
        <w:spacing w:line="480" w:lineRule="auto"/>
        <w:ind w:firstLine="720"/>
        <w:rPr>
          <w:rFonts w:ascii="Times New Roman" w:hAnsi="Times New Roman" w:cs="Times New Roman"/>
        </w:rPr>
      </w:pPr>
      <w:r w:rsidRPr="007741E6">
        <w:rPr>
          <w:rFonts w:ascii="Times New Roman" w:hAnsi="Times New Roman" w:cs="Times New Roman"/>
        </w:rPr>
        <w:t>In a recent article in this journal,</w:t>
      </w:r>
      <w:r w:rsidR="009704F1" w:rsidRPr="007741E6">
        <w:rPr>
          <w:rStyle w:val="FootnoteReference"/>
          <w:rFonts w:ascii="Times New Roman" w:hAnsi="Times New Roman" w:cs="Times New Roman"/>
        </w:rPr>
        <w:footnoteReference w:id="1"/>
      </w:r>
      <w:r w:rsidRPr="007741E6">
        <w:rPr>
          <w:rFonts w:ascii="Times New Roman" w:hAnsi="Times New Roman" w:cs="Times New Roman"/>
        </w:rPr>
        <w:t xml:space="preserve"> </w:t>
      </w:r>
      <w:r w:rsidR="00C97B42" w:rsidRPr="007741E6">
        <w:rPr>
          <w:rFonts w:ascii="Times New Roman" w:hAnsi="Times New Roman" w:cs="Times New Roman"/>
        </w:rPr>
        <w:t>Alexander Zambrano has criticized my</w:t>
      </w:r>
      <w:r w:rsidRPr="007741E6">
        <w:rPr>
          <w:rFonts w:ascii="Times New Roman" w:hAnsi="Times New Roman" w:cs="Times New Roman"/>
        </w:rPr>
        <w:t xml:space="preserve"> argu</w:t>
      </w:r>
      <w:r w:rsidR="00C97B42" w:rsidRPr="007741E6">
        <w:rPr>
          <w:rFonts w:ascii="Times New Roman" w:hAnsi="Times New Roman" w:cs="Times New Roman"/>
        </w:rPr>
        <w:t>ment</w:t>
      </w:r>
      <w:r w:rsidRPr="007741E6">
        <w:rPr>
          <w:rFonts w:ascii="Times New Roman" w:hAnsi="Times New Roman" w:cs="Times New Roman"/>
        </w:rPr>
        <w:t xml:space="preserve"> that if moral </w:t>
      </w:r>
      <w:proofErr w:type="spellStart"/>
      <w:r w:rsidR="00A90082" w:rsidRPr="007741E6">
        <w:rPr>
          <w:rFonts w:ascii="Times New Roman" w:hAnsi="Times New Roman" w:cs="Times New Roman"/>
        </w:rPr>
        <w:t>bio</w:t>
      </w:r>
      <w:r w:rsidRPr="007741E6">
        <w:rPr>
          <w:rFonts w:ascii="Times New Roman" w:hAnsi="Times New Roman" w:cs="Times New Roman"/>
        </w:rPr>
        <w:t>enhancement</w:t>
      </w:r>
      <w:proofErr w:type="spellEnd"/>
      <w:r w:rsidRPr="007741E6">
        <w:rPr>
          <w:rFonts w:ascii="Times New Roman" w:hAnsi="Times New Roman" w:cs="Times New Roman"/>
        </w:rPr>
        <w:t xml:space="preserve"> </w:t>
      </w:r>
      <w:r w:rsidR="00A90082" w:rsidRPr="007741E6">
        <w:rPr>
          <w:rFonts w:ascii="Times New Roman" w:hAnsi="Times New Roman" w:cs="Times New Roman"/>
        </w:rPr>
        <w:t xml:space="preserve">(MBE) </w:t>
      </w:r>
      <w:r w:rsidRPr="007741E6">
        <w:rPr>
          <w:rFonts w:ascii="Times New Roman" w:hAnsi="Times New Roman" w:cs="Times New Roman"/>
        </w:rPr>
        <w:t>ought to be compulsory, as some authors claim</w:t>
      </w:r>
      <w:r w:rsidR="008A06A6" w:rsidRPr="007741E6">
        <w:rPr>
          <w:rFonts w:ascii="Times New Roman" w:hAnsi="Times New Roman" w:cs="Times New Roman"/>
        </w:rPr>
        <w:t>,</w:t>
      </w:r>
      <w:r w:rsidR="008C0B01" w:rsidRPr="007741E6">
        <w:rPr>
          <w:rStyle w:val="FootnoteReference"/>
          <w:rFonts w:ascii="Times New Roman" w:hAnsi="Times New Roman" w:cs="Times New Roman"/>
        </w:rPr>
        <w:footnoteReference w:id="2"/>
      </w:r>
      <w:r w:rsidR="008A06A6" w:rsidRPr="007741E6">
        <w:rPr>
          <w:rFonts w:ascii="Times New Roman" w:hAnsi="Times New Roman" w:cs="Times New Roman"/>
        </w:rPr>
        <w:t xml:space="preserve"> </w:t>
      </w:r>
      <w:r w:rsidRPr="007741E6">
        <w:rPr>
          <w:rFonts w:ascii="Times New Roman" w:hAnsi="Times New Roman" w:cs="Times New Roman"/>
        </w:rPr>
        <w:t>then it ought to be administered covertly—that it is morally preferable for compulsory</w:t>
      </w:r>
      <w:r w:rsidR="00714073" w:rsidRPr="007741E6">
        <w:rPr>
          <w:rFonts w:ascii="Times New Roman" w:hAnsi="Times New Roman" w:cs="Times New Roman"/>
        </w:rPr>
        <w:t xml:space="preserve"> </w:t>
      </w:r>
      <w:r w:rsidR="00A90082" w:rsidRPr="007741E6">
        <w:rPr>
          <w:rFonts w:ascii="Times New Roman" w:hAnsi="Times New Roman" w:cs="Times New Roman"/>
        </w:rPr>
        <w:t>MBE</w:t>
      </w:r>
      <w:r w:rsidRPr="007741E6">
        <w:rPr>
          <w:rFonts w:ascii="Times New Roman" w:hAnsi="Times New Roman" w:cs="Times New Roman"/>
        </w:rPr>
        <w:t xml:space="preserve"> to be administered covertly rather than overtly.</w:t>
      </w:r>
      <w:r w:rsidR="008C0B01" w:rsidRPr="007741E6">
        <w:rPr>
          <w:rStyle w:val="FootnoteReference"/>
          <w:rFonts w:ascii="Times New Roman" w:hAnsi="Times New Roman" w:cs="Times New Roman"/>
        </w:rPr>
        <w:footnoteReference w:id="3"/>
      </w:r>
      <w:r w:rsidRPr="007741E6">
        <w:rPr>
          <w:rFonts w:ascii="Times New Roman" w:hAnsi="Times New Roman" w:cs="Times New Roman"/>
        </w:rPr>
        <w:t xml:space="preserve"> Among other claims, my argument for the moral preferability of covert</w:t>
      </w:r>
      <w:r w:rsidR="00714073" w:rsidRPr="007741E6">
        <w:rPr>
          <w:rFonts w:ascii="Times New Roman" w:hAnsi="Times New Roman" w:cs="Times New Roman"/>
        </w:rPr>
        <w:t xml:space="preserve"> </w:t>
      </w:r>
      <w:r w:rsidR="00A90082" w:rsidRPr="007741E6">
        <w:rPr>
          <w:rFonts w:ascii="Times New Roman" w:hAnsi="Times New Roman" w:cs="Times New Roman"/>
        </w:rPr>
        <w:t>MBE</w:t>
      </w:r>
      <w:r w:rsidRPr="007741E6">
        <w:rPr>
          <w:rFonts w:ascii="Times New Roman" w:hAnsi="Times New Roman" w:cs="Times New Roman"/>
        </w:rPr>
        <w:t xml:space="preserve"> relies on a sub-argument that compulsory </w:t>
      </w:r>
      <w:r w:rsidR="00A90082" w:rsidRPr="007741E6">
        <w:rPr>
          <w:rFonts w:ascii="Times New Roman" w:hAnsi="Times New Roman" w:cs="Times New Roman"/>
        </w:rPr>
        <w:t>MBE</w:t>
      </w:r>
      <w:r w:rsidRPr="007741E6">
        <w:rPr>
          <w:rFonts w:ascii="Times New Roman" w:hAnsi="Times New Roman" w:cs="Times New Roman"/>
        </w:rPr>
        <w:t xml:space="preserve"> is a matter of public health</w:t>
      </w:r>
      <w:r w:rsidR="00714073" w:rsidRPr="007741E6">
        <w:rPr>
          <w:rFonts w:ascii="Times New Roman" w:hAnsi="Times New Roman" w:cs="Times New Roman"/>
        </w:rPr>
        <w:t xml:space="preserve">. Since its administration is a matter of public health, the ethics of public health interventions ought to guide judgments about the permissibility of the administration of compulsory </w:t>
      </w:r>
      <w:r w:rsidR="00A90082" w:rsidRPr="007741E6">
        <w:rPr>
          <w:rFonts w:ascii="Times New Roman" w:hAnsi="Times New Roman" w:cs="Times New Roman"/>
        </w:rPr>
        <w:t>MBE</w:t>
      </w:r>
      <w:r w:rsidR="00714073" w:rsidRPr="007741E6">
        <w:rPr>
          <w:rFonts w:ascii="Times New Roman" w:hAnsi="Times New Roman" w:cs="Times New Roman"/>
        </w:rPr>
        <w:t>. And under the frameworks for public health ethics, a covert administration turns out to be morally preferable to an overt administration.</w:t>
      </w:r>
    </w:p>
    <w:p w:rsidR="009803A4" w:rsidRPr="007741E6" w:rsidRDefault="00714073" w:rsidP="00404B6B">
      <w:pPr>
        <w:spacing w:line="480" w:lineRule="auto"/>
        <w:ind w:firstLine="720"/>
        <w:rPr>
          <w:rFonts w:ascii="Times New Roman" w:hAnsi="Times New Roman" w:cs="Times New Roman"/>
        </w:rPr>
      </w:pPr>
      <w:r w:rsidRPr="007741E6">
        <w:rPr>
          <w:rFonts w:ascii="Times New Roman" w:hAnsi="Times New Roman" w:cs="Times New Roman"/>
        </w:rPr>
        <w:lastRenderedPageBreak/>
        <w:t xml:space="preserve">I finish the article by considering a common objection to the notion that we ought to be morally enhanced, that to do so would be to undermine the autonomy of the enhanced. I argue that to the extent that compulsory </w:t>
      </w:r>
      <w:r w:rsidR="00A90082" w:rsidRPr="007741E6">
        <w:rPr>
          <w:rFonts w:ascii="Times New Roman" w:hAnsi="Times New Roman" w:cs="Times New Roman"/>
        </w:rPr>
        <w:t>MBE</w:t>
      </w:r>
      <w:r w:rsidRPr="007741E6">
        <w:rPr>
          <w:rFonts w:ascii="Times New Roman" w:hAnsi="Times New Roman" w:cs="Times New Roman"/>
        </w:rPr>
        <w:t xml:space="preserve"> undermines a person’s moral judgments’ independence from external influence</w:t>
      </w:r>
      <w:r w:rsidR="00A90082" w:rsidRPr="007741E6">
        <w:rPr>
          <w:rFonts w:ascii="Times New Roman" w:hAnsi="Times New Roman" w:cs="Times New Roman"/>
        </w:rPr>
        <w:t xml:space="preserve"> (but I don’t think it does)</w:t>
      </w:r>
      <w:r w:rsidRPr="007741E6">
        <w:rPr>
          <w:rFonts w:ascii="Times New Roman" w:hAnsi="Times New Roman" w:cs="Times New Roman"/>
        </w:rPr>
        <w:t>, it makes no difference whether the administration is covert or overt—if</w:t>
      </w:r>
      <w:r w:rsidR="00A90082" w:rsidRPr="007741E6">
        <w:rPr>
          <w:rFonts w:ascii="Times New Roman" w:hAnsi="Times New Roman" w:cs="Times New Roman"/>
        </w:rPr>
        <w:t xml:space="preserve"> compulsory</w:t>
      </w:r>
      <w:r w:rsidRPr="007741E6">
        <w:rPr>
          <w:rFonts w:ascii="Times New Roman" w:hAnsi="Times New Roman" w:cs="Times New Roman"/>
        </w:rPr>
        <w:t xml:space="preserve"> </w:t>
      </w:r>
      <w:r w:rsidR="00A90082" w:rsidRPr="007741E6">
        <w:rPr>
          <w:rFonts w:ascii="Times New Roman" w:hAnsi="Times New Roman" w:cs="Times New Roman"/>
        </w:rPr>
        <w:t>MBE</w:t>
      </w:r>
      <w:r w:rsidRPr="007741E6">
        <w:rPr>
          <w:rFonts w:ascii="Times New Roman" w:hAnsi="Times New Roman" w:cs="Times New Roman"/>
        </w:rPr>
        <w:t xml:space="preserve"> violate</w:t>
      </w:r>
      <w:r w:rsidR="00A90082" w:rsidRPr="007741E6">
        <w:rPr>
          <w:rFonts w:ascii="Times New Roman" w:hAnsi="Times New Roman" w:cs="Times New Roman"/>
        </w:rPr>
        <w:t>s</w:t>
      </w:r>
      <w:r w:rsidRPr="007741E6">
        <w:rPr>
          <w:rFonts w:ascii="Times New Roman" w:hAnsi="Times New Roman" w:cs="Times New Roman"/>
        </w:rPr>
        <w:t xml:space="preserve"> independence, </w:t>
      </w:r>
      <w:r w:rsidR="00A90082" w:rsidRPr="007741E6">
        <w:rPr>
          <w:rFonts w:ascii="Times New Roman" w:hAnsi="Times New Roman" w:cs="Times New Roman"/>
        </w:rPr>
        <w:t>covert and overt administrations</w:t>
      </w:r>
      <w:r w:rsidRPr="007741E6">
        <w:rPr>
          <w:rFonts w:ascii="Times New Roman" w:hAnsi="Times New Roman" w:cs="Times New Roman"/>
        </w:rPr>
        <w:t xml:space="preserve"> do so equally. However, I argue that an overt program </w:t>
      </w:r>
      <w:r w:rsidR="0023325E" w:rsidRPr="007741E6">
        <w:rPr>
          <w:rFonts w:ascii="Times New Roman" w:hAnsi="Times New Roman" w:cs="Times New Roman"/>
        </w:rPr>
        <w:t>undermine</w:t>
      </w:r>
      <w:r w:rsidRPr="007741E6">
        <w:rPr>
          <w:rFonts w:ascii="Times New Roman" w:hAnsi="Times New Roman" w:cs="Times New Roman"/>
        </w:rPr>
        <w:t>s to a greater degree the authenticity of a person’s moral judgments. Since authenticity is plausibly a component of autonomy, a covert administration undermines a person’s autonomy to a lesser degree than an overt administration.</w:t>
      </w:r>
    </w:p>
    <w:p w:rsidR="00EA07C9" w:rsidRPr="007741E6" w:rsidRDefault="00EA07C9" w:rsidP="00404B6B">
      <w:pPr>
        <w:spacing w:line="480" w:lineRule="auto"/>
        <w:ind w:firstLine="720"/>
        <w:rPr>
          <w:rFonts w:ascii="Times New Roman" w:hAnsi="Times New Roman" w:cs="Times New Roman"/>
        </w:rPr>
      </w:pPr>
      <w:r w:rsidRPr="007741E6">
        <w:rPr>
          <w:rFonts w:ascii="Times New Roman" w:hAnsi="Times New Roman" w:cs="Times New Roman"/>
        </w:rPr>
        <w:t xml:space="preserve">Zambrano rejects both the argument </w:t>
      </w:r>
      <w:r w:rsidR="00A90082" w:rsidRPr="007741E6">
        <w:rPr>
          <w:rFonts w:ascii="Times New Roman" w:hAnsi="Times New Roman" w:cs="Times New Roman"/>
        </w:rPr>
        <w:t>that compulsory MBE is a matter of public health as well as the argument that covert administration of MBE undermines autonomy to a lesser degree than an overt administration. In what follows, I offer a reply to his arguments and in doing so more firmly establish the moral preferability of a covert administration of MBE.</w:t>
      </w:r>
    </w:p>
    <w:p w:rsidR="003C7395" w:rsidRPr="007741E6" w:rsidRDefault="003C7395" w:rsidP="00404B6B">
      <w:pPr>
        <w:spacing w:line="480" w:lineRule="auto"/>
        <w:rPr>
          <w:rFonts w:ascii="Times New Roman" w:hAnsi="Times New Roman" w:cs="Times New Roman"/>
        </w:rPr>
      </w:pPr>
    </w:p>
    <w:p w:rsidR="003C7395" w:rsidRPr="007741E6" w:rsidRDefault="003C7395" w:rsidP="00404B6B">
      <w:pPr>
        <w:spacing w:line="480" w:lineRule="auto"/>
        <w:rPr>
          <w:rFonts w:ascii="Times New Roman" w:hAnsi="Times New Roman" w:cs="Times New Roman"/>
          <w:b/>
        </w:rPr>
      </w:pPr>
      <w:r w:rsidRPr="007741E6">
        <w:rPr>
          <w:rFonts w:ascii="Times New Roman" w:hAnsi="Times New Roman" w:cs="Times New Roman"/>
          <w:b/>
        </w:rPr>
        <w:t>Public health and covert MBE</w:t>
      </w:r>
    </w:p>
    <w:p w:rsidR="003C7395" w:rsidRPr="007741E6" w:rsidRDefault="003C7395" w:rsidP="00404B6B">
      <w:pPr>
        <w:spacing w:line="480" w:lineRule="auto"/>
        <w:rPr>
          <w:rFonts w:ascii="Times New Roman" w:hAnsi="Times New Roman" w:cs="Times New Roman"/>
          <w:b/>
        </w:rPr>
      </w:pPr>
    </w:p>
    <w:p w:rsidR="00082776" w:rsidRPr="007741E6" w:rsidRDefault="00A03948" w:rsidP="003B5099">
      <w:pPr>
        <w:spacing w:line="480" w:lineRule="auto"/>
        <w:ind w:left="2" w:firstLine="718"/>
        <w:rPr>
          <w:rFonts w:ascii="Times New Roman" w:hAnsi="Times New Roman" w:cs="Times New Roman"/>
        </w:rPr>
      </w:pPr>
      <w:r w:rsidRPr="007741E6">
        <w:rPr>
          <w:rFonts w:ascii="Times New Roman" w:hAnsi="Times New Roman" w:cs="Times New Roman"/>
        </w:rPr>
        <w:t xml:space="preserve">Persson and </w:t>
      </w:r>
      <w:proofErr w:type="spellStart"/>
      <w:r w:rsidRPr="007741E6">
        <w:rPr>
          <w:rFonts w:ascii="Times New Roman" w:hAnsi="Times New Roman" w:cs="Times New Roman"/>
        </w:rPr>
        <w:t>Savulescu</w:t>
      </w:r>
      <w:proofErr w:type="spellEnd"/>
      <w:r w:rsidR="002454A1" w:rsidRPr="007741E6">
        <w:rPr>
          <w:rFonts w:ascii="Times New Roman" w:hAnsi="Times New Roman" w:cs="Times New Roman"/>
        </w:rPr>
        <w:t xml:space="preserve"> argue that MBE ought to be compulsory on the grounds that to so improve the population’s moral capacities </w:t>
      </w:r>
      <w:r w:rsidR="003C7395" w:rsidRPr="007741E6">
        <w:rPr>
          <w:rFonts w:ascii="Times New Roman" w:hAnsi="Times New Roman" w:cs="Times New Roman"/>
        </w:rPr>
        <w:t>is necessary to prevent ultimate harm, the sort of harm that may result from</w:t>
      </w:r>
      <w:r w:rsidR="005E7B2F" w:rsidRPr="007741E6">
        <w:rPr>
          <w:rFonts w:ascii="Times New Roman" w:hAnsi="Times New Roman" w:cs="Times New Roman"/>
        </w:rPr>
        <w:t>, for examples,</w:t>
      </w:r>
      <w:r w:rsidR="003C7395" w:rsidRPr="007741E6">
        <w:rPr>
          <w:rFonts w:ascii="Times New Roman" w:hAnsi="Times New Roman" w:cs="Times New Roman"/>
        </w:rPr>
        <w:t xml:space="preserve"> catastrophic climate change or the proliferation of nuclear weapons or other weapons of mass destruction.</w:t>
      </w:r>
      <w:r w:rsidR="006B1298" w:rsidRPr="007741E6">
        <w:rPr>
          <w:rStyle w:val="FootnoteReference"/>
          <w:rFonts w:ascii="Times New Roman" w:hAnsi="Times New Roman" w:cs="Times New Roman"/>
        </w:rPr>
        <w:footnoteReference w:id="4"/>
      </w:r>
      <w:r w:rsidR="00082776" w:rsidRPr="007741E6">
        <w:rPr>
          <w:rFonts w:ascii="Times New Roman" w:hAnsi="Times New Roman" w:cs="Times New Roman"/>
        </w:rPr>
        <w:t xml:space="preserve"> </w:t>
      </w:r>
      <w:r w:rsidR="004C5C6B" w:rsidRPr="007741E6">
        <w:rPr>
          <w:rFonts w:ascii="Times New Roman" w:hAnsi="Times New Roman" w:cs="Times New Roman"/>
        </w:rPr>
        <w:t>Some authors</w:t>
      </w:r>
      <w:r w:rsidR="006B1298" w:rsidRPr="007741E6">
        <w:rPr>
          <w:rFonts w:ascii="Times New Roman" w:hAnsi="Times New Roman" w:cs="Times New Roman"/>
        </w:rPr>
        <w:t xml:space="preserve"> have argued that we ought to </w:t>
      </w:r>
      <w:r w:rsidR="006B1298" w:rsidRPr="007741E6">
        <w:rPr>
          <w:rFonts w:ascii="Times New Roman" w:hAnsi="Times New Roman" w:cs="Times New Roman"/>
        </w:rPr>
        <w:lastRenderedPageBreak/>
        <w:t xml:space="preserve">pursue </w:t>
      </w:r>
      <w:r w:rsidR="004C5C6B" w:rsidRPr="007741E6">
        <w:rPr>
          <w:rFonts w:ascii="Times New Roman" w:hAnsi="Times New Roman" w:cs="Times New Roman"/>
        </w:rPr>
        <w:t>MBE</w:t>
      </w:r>
      <w:r w:rsidR="006B1298" w:rsidRPr="007741E6">
        <w:rPr>
          <w:rFonts w:ascii="Times New Roman" w:hAnsi="Times New Roman" w:cs="Times New Roman"/>
        </w:rPr>
        <w:t>, but that it should be only voluntary</w:t>
      </w:r>
      <w:r w:rsidR="00D40E31" w:rsidRPr="007741E6">
        <w:rPr>
          <w:rFonts w:ascii="Times New Roman" w:hAnsi="Times New Roman" w:cs="Times New Roman"/>
        </w:rPr>
        <w:t xml:space="preserve"> rather than compulsory</w:t>
      </w:r>
      <w:r w:rsidR="006B1298" w:rsidRPr="007741E6">
        <w:rPr>
          <w:rFonts w:ascii="Times New Roman" w:hAnsi="Times New Roman" w:cs="Times New Roman"/>
        </w:rPr>
        <w:t>.</w:t>
      </w:r>
      <w:r w:rsidR="006B1298" w:rsidRPr="007741E6">
        <w:rPr>
          <w:rStyle w:val="FootnoteReference"/>
          <w:rFonts w:ascii="Times New Roman" w:hAnsi="Times New Roman" w:cs="Times New Roman"/>
        </w:rPr>
        <w:footnoteReference w:id="5"/>
      </w:r>
      <w:r w:rsidR="006B1298" w:rsidRPr="007741E6">
        <w:rPr>
          <w:rFonts w:ascii="Times New Roman" w:hAnsi="Times New Roman" w:cs="Times New Roman"/>
        </w:rPr>
        <w:t xml:space="preserve"> Further</w:t>
      </w:r>
      <w:r w:rsidR="00082776" w:rsidRPr="007741E6">
        <w:rPr>
          <w:rFonts w:ascii="Times New Roman" w:hAnsi="Times New Roman" w:cs="Times New Roman"/>
        </w:rPr>
        <w:t>,</w:t>
      </w:r>
      <w:r w:rsidR="006B1298" w:rsidRPr="007741E6">
        <w:rPr>
          <w:rFonts w:ascii="Times New Roman" w:hAnsi="Times New Roman" w:cs="Times New Roman"/>
        </w:rPr>
        <w:t xml:space="preserve"> </w:t>
      </w:r>
      <w:proofErr w:type="spellStart"/>
      <w:r w:rsidR="006B1298" w:rsidRPr="007741E6">
        <w:rPr>
          <w:rFonts w:ascii="Times New Roman" w:hAnsi="Times New Roman" w:cs="Times New Roman"/>
        </w:rPr>
        <w:t>Vojin</w:t>
      </w:r>
      <w:proofErr w:type="spellEnd"/>
      <w:r w:rsidR="006B1298" w:rsidRPr="007741E6">
        <w:rPr>
          <w:rFonts w:ascii="Times New Roman" w:hAnsi="Times New Roman" w:cs="Times New Roman"/>
        </w:rPr>
        <w:t xml:space="preserve"> </w:t>
      </w:r>
      <w:proofErr w:type="spellStart"/>
      <w:r w:rsidR="006B1298" w:rsidRPr="007741E6">
        <w:rPr>
          <w:rFonts w:ascii="Times New Roman" w:hAnsi="Times New Roman" w:cs="Times New Roman"/>
        </w:rPr>
        <w:t>Raki</w:t>
      </w:r>
      <w:r w:rsidRPr="007741E6">
        <w:rPr>
          <w:rFonts w:ascii="Times New Roman" w:hAnsi="Times New Roman" w:cs="Times New Roman"/>
        </w:rPr>
        <w:t>ć</w:t>
      </w:r>
      <w:proofErr w:type="spellEnd"/>
      <w:r w:rsidR="006B1298" w:rsidRPr="007741E6">
        <w:rPr>
          <w:rFonts w:ascii="Times New Roman" w:hAnsi="Times New Roman" w:cs="Times New Roman"/>
        </w:rPr>
        <w:t xml:space="preserve"> argues that </w:t>
      </w:r>
      <w:r w:rsidR="004C5C6B" w:rsidRPr="007741E6">
        <w:rPr>
          <w:rFonts w:ascii="Times New Roman" w:hAnsi="Times New Roman" w:cs="Times New Roman"/>
        </w:rPr>
        <w:t>the pursuit of happiness, rather than the prevention of ultimate harm, justifies MBE.</w:t>
      </w:r>
      <w:r w:rsidR="004C5C6B" w:rsidRPr="007741E6">
        <w:rPr>
          <w:rStyle w:val="FootnoteReference"/>
          <w:rFonts w:ascii="Times New Roman" w:hAnsi="Times New Roman" w:cs="Times New Roman"/>
        </w:rPr>
        <w:footnoteReference w:id="6"/>
      </w:r>
      <w:r w:rsidR="004C5C6B" w:rsidRPr="007741E6">
        <w:rPr>
          <w:rFonts w:ascii="Times New Roman" w:hAnsi="Times New Roman" w:cs="Times New Roman"/>
        </w:rPr>
        <w:t xml:space="preserve"> Alternatively, according to </w:t>
      </w:r>
      <w:proofErr w:type="spellStart"/>
      <w:r w:rsidR="004C5C6B" w:rsidRPr="007741E6">
        <w:rPr>
          <w:rFonts w:ascii="Times New Roman" w:hAnsi="Times New Roman" w:cs="Times New Roman"/>
        </w:rPr>
        <w:t>Raki</w:t>
      </w:r>
      <w:r w:rsidRPr="007741E6">
        <w:rPr>
          <w:rFonts w:ascii="Times New Roman" w:hAnsi="Times New Roman" w:cs="Times New Roman"/>
        </w:rPr>
        <w:t>ć</w:t>
      </w:r>
      <w:proofErr w:type="spellEnd"/>
      <w:r w:rsidR="004C5C6B" w:rsidRPr="007741E6">
        <w:rPr>
          <w:rFonts w:ascii="Times New Roman" w:hAnsi="Times New Roman" w:cs="Times New Roman"/>
        </w:rPr>
        <w:t xml:space="preserve"> we are obligated to improve our own moral judgments, and that the way to do this is to use MBE to create enhanced moral agents so that they can show us what and how to judge.</w:t>
      </w:r>
      <w:r w:rsidR="004C5C6B" w:rsidRPr="007741E6">
        <w:rPr>
          <w:rStyle w:val="FootnoteReference"/>
          <w:rFonts w:ascii="Times New Roman" w:hAnsi="Times New Roman" w:cs="Times New Roman"/>
        </w:rPr>
        <w:footnoteReference w:id="7"/>
      </w:r>
      <w:r w:rsidR="004C5C6B" w:rsidRPr="007741E6">
        <w:rPr>
          <w:rFonts w:ascii="Times New Roman" w:hAnsi="Times New Roman" w:cs="Times New Roman"/>
        </w:rPr>
        <w:t xml:space="preserve"> </w:t>
      </w:r>
      <w:r w:rsidR="002454A1" w:rsidRPr="007741E6">
        <w:rPr>
          <w:rFonts w:ascii="Times New Roman" w:hAnsi="Times New Roman" w:cs="Times New Roman"/>
        </w:rPr>
        <w:t xml:space="preserve">So although the prevention of ultimate harm is one way to justify MBE, it is not the only way. </w:t>
      </w:r>
      <w:r w:rsidR="004C5C6B" w:rsidRPr="007741E6">
        <w:rPr>
          <w:rFonts w:ascii="Times New Roman" w:hAnsi="Times New Roman" w:cs="Times New Roman"/>
        </w:rPr>
        <w:t xml:space="preserve">Other authors </w:t>
      </w:r>
      <w:r w:rsidR="00D40E31" w:rsidRPr="007741E6">
        <w:rPr>
          <w:rFonts w:ascii="Times New Roman" w:hAnsi="Times New Roman" w:cs="Times New Roman"/>
        </w:rPr>
        <w:t>claim that we shouldn’t pursue MBE</w:t>
      </w:r>
      <w:r w:rsidR="00EC7057" w:rsidRPr="007741E6">
        <w:rPr>
          <w:rFonts w:ascii="Times New Roman" w:hAnsi="Times New Roman" w:cs="Times New Roman"/>
        </w:rPr>
        <w:t xml:space="preserve"> not because </w:t>
      </w:r>
      <w:r w:rsidR="00246542" w:rsidRPr="007741E6">
        <w:rPr>
          <w:rFonts w:ascii="Times New Roman" w:hAnsi="Times New Roman" w:cs="Times New Roman"/>
        </w:rPr>
        <w:t xml:space="preserve">to do so would undermine freedom or autonomy, but because </w:t>
      </w:r>
      <w:r w:rsidR="004C5C6B" w:rsidRPr="007741E6">
        <w:rPr>
          <w:rFonts w:ascii="Times New Roman" w:hAnsi="Times New Roman" w:cs="Times New Roman"/>
        </w:rPr>
        <w:t>MBE is not something that is technologically feasible, given the social, psychological, and biological complexities of moral judgment and behavior.</w:t>
      </w:r>
      <w:r w:rsidR="004C5C6B" w:rsidRPr="007741E6">
        <w:rPr>
          <w:rStyle w:val="FootnoteReference"/>
          <w:rFonts w:ascii="Times New Roman" w:hAnsi="Times New Roman" w:cs="Times New Roman"/>
        </w:rPr>
        <w:footnoteReference w:id="8"/>
      </w:r>
    </w:p>
    <w:p w:rsidR="003C7395" w:rsidRPr="007741E6" w:rsidRDefault="0078029C" w:rsidP="003B5099">
      <w:pPr>
        <w:spacing w:line="480" w:lineRule="auto"/>
        <w:ind w:left="2" w:firstLine="718"/>
        <w:rPr>
          <w:rFonts w:ascii="Times New Roman" w:hAnsi="Times New Roman" w:cs="Times New Roman"/>
          <w:b/>
        </w:rPr>
      </w:pPr>
      <w:r w:rsidRPr="007741E6">
        <w:rPr>
          <w:rFonts w:ascii="Times New Roman" w:hAnsi="Times New Roman" w:cs="Times New Roman"/>
        </w:rPr>
        <w:t>My argument assumes that</w:t>
      </w:r>
      <w:r w:rsidR="00082776" w:rsidRPr="007741E6">
        <w:rPr>
          <w:rFonts w:ascii="Times New Roman" w:hAnsi="Times New Roman" w:cs="Times New Roman"/>
        </w:rPr>
        <w:t xml:space="preserve"> compulsory MBE is morally justified</w:t>
      </w:r>
      <w:r w:rsidR="00246542" w:rsidRPr="007741E6">
        <w:rPr>
          <w:rFonts w:ascii="Times New Roman" w:hAnsi="Times New Roman" w:cs="Times New Roman"/>
        </w:rPr>
        <w:t xml:space="preserve"> on the grounds that it is necessary to prevent ultimate harm. I then focus</w:t>
      </w:r>
      <w:r w:rsidR="00082776" w:rsidRPr="007741E6">
        <w:rPr>
          <w:rFonts w:ascii="Times New Roman" w:hAnsi="Times New Roman" w:cs="Times New Roman"/>
        </w:rPr>
        <w:t xml:space="preserve"> on the implications of this proposal. My argument that compulsory MBE ought to be covert starts with the claim </w:t>
      </w:r>
      <w:r w:rsidR="00426713" w:rsidRPr="007741E6">
        <w:rPr>
          <w:rFonts w:ascii="Times New Roman" w:hAnsi="Times New Roman" w:cs="Times New Roman"/>
        </w:rPr>
        <w:t xml:space="preserve">that preventing ultimate </w:t>
      </w:r>
      <w:r w:rsidR="00426713" w:rsidRPr="007741E6">
        <w:rPr>
          <w:rFonts w:ascii="Times New Roman" w:hAnsi="Times New Roman" w:cs="Times New Roman"/>
        </w:rPr>
        <w:lastRenderedPageBreak/>
        <w:t>harm is a matter of pub</w:t>
      </w:r>
      <w:r w:rsidR="007F5A44" w:rsidRPr="007741E6">
        <w:rPr>
          <w:rFonts w:ascii="Times New Roman" w:hAnsi="Times New Roman" w:cs="Times New Roman"/>
        </w:rPr>
        <w:t>l</w:t>
      </w:r>
      <w:r w:rsidR="00426713" w:rsidRPr="007741E6">
        <w:rPr>
          <w:rFonts w:ascii="Times New Roman" w:hAnsi="Times New Roman" w:cs="Times New Roman"/>
        </w:rPr>
        <w:t xml:space="preserve">ic health. </w:t>
      </w:r>
      <w:r w:rsidR="003C7395" w:rsidRPr="007741E6">
        <w:rPr>
          <w:rFonts w:ascii="Times New Roman" w:hAnsi="Times New Roman" w:cs="Times New Roman"/>
        </w:rPr>
        <w:t>Zambrano argues that public health interventions aimed at preventing or reducing harm (such as covert MBE) can permissibly restrict liberties if, and only if, three conditions obtain. These conditions are (a) that the harm is specific and identifiable; (b) that the mechanism by which the harm will occur is identifiable; and (c) that there is direct empirical evidence that the threat of harm is immediate or imminent or that it would be an immediate threat if there were no intervention.</w:t>
      </w:r>
      <w:r w:rsidR="00912978" w:rsidRPr="007741E6">
        <w:rPr>
          <w:rFonts w:ascii="Times New Roman" w:hAnsi="Times New Roman" w:cs="Times New Roman"/>
        </w:rPr>
        <w:t xml:space="preserve"> Zambrano offers examples of liberty-restricting public health interventions that meet these conditions. Quarantine meets all conditions: the spread of harmful disease is a specific and identifiable threat; we generally know how this spread occurs; and we have lots of evidence that these diseases can spread without proper isolation procedures. Similarly, pertussis vaccines meet the conditions. The harms associated with pertussis are specific and identifiable (whoop!); the mechanism by which it spreads is identifiable (whoop!); and we have direct empirical evidence that this threat </w:t>
      </w:r>
      <w:r w:rsidR="007431FC" w:rsidRPr="007741E6">
        <w:rPr>
          <w:rFonts w:ascii="Times New Roman" w:hAnsi="Times New Roman" w:cs="Times New Roman"/>
        </w:rPr>
        <w:t xml:space="preserve">was </w:t>
      </w:r>
      <w:r w:rsidR="00912978" w:rsidRPr="007741E6">
        <w:rPr>
          <w:rFonts w:ascii="Times New Roman" w:hAnsi="Times New Roman" w:cs="Times New Roman"/>
        </w:rPr>
        <w:t>immediate or imminent when “many children failed to become vaccinated.”</w:t>
      </w:r>
      <w:r w:rsidR="008C0B01" w:rsidRPr="007741E6">
        <w:rPr>
          <w:rStyle w:val="FootnoteReference"/>
          <w:rFonts w:ascii="Times New Roman" w:hAnsi="Times New Roman" w:cs="Times New Roman"/>
        </w:rPr>
        <w:footnoteReference w:id="9"/>
      </w:r>
    </w:p>
    <w:p w:rsidR="007431FC" w:rsidRPr="007741E6" w:rsidRDefault="007431FC" w:rsidP="00404B6B">
      <w:pPr>
        <w:spacing w:line="480" w:lineRule="auto"/>
        <w:rPr>
          <w:rFonts w:ascii="Times New Roman" w:hAnsi="Times New Roman" w:cs="Times New Roman"/>
        </w:rPr>
      </w:pPr>
      <w:r w:rsidRPr="007741E6">
        <w:rPr>
          <w:rFonts w:ascii="Times New Roman" w:hAnsi="Times New Roman" w:cs="Times New Roman"/>
          <w:b/>
        </w:rPr>
        <w:tab/>
      </w:r>
      <w:r w:rsidRPr="007741E6">
        <w:rPr>
          <w:rFonts w:ascii="Times New Roman" w:hAnsi="Times New Roman" w:cs="Times New Roman"/>
        </w:rPr>
        <w:t>The problem, according to Zambrano, is that the interventions aimed at preventing ultimate harm don’t satisfy these conditions. First, the harms that constitute ultimate harm are not specific or identifiable. Second, whatever these harms end up being, we have no idea how they are going to occur. Third, we have no direct empirical evidence that they are immediate or imminent</w:t>
      </w:r>
      <w:r w:rsidR="007A3A81" w:rsidRPr="007741E6">
        <w:rPr>
          <w:rFonts w:ascii="Times New Roman" w:hAnsi="Times New Roman" w:cs="Times New Roman"/>
        </w:rPr>
        <w:t>, even</w:t>
      </w:r>
      <w:r w:rsidRPr="007741E6">
        <w:rPr>
          <w:rFonts w:ascii="Times New Roman" w:hAnsi="Times New Roman" w:cs="Times New Roman"/>
        </w:rPr>
        <w:t xml:space="preserve"> in the absence of the liberty-restricting intervention. Since conditions (a)-(c) are necessary and </w:t>
      </w:r>
      <w:r w:rsidR="00AD2D5F" w:rsidRPr="007741E6">
        <w:rPr>
          <w:rFonts w:ascii="Times New Roman" w:hAnsi="Times New Roman" w:cs="Times New Roman"/>
        </w:rPr>
        <w:t xml:space="preserve">sufficient </w:t>
      </w:r>
      <w:r w:rsidRPr="007741E6">
        <w:rPr>
          <w:rFonts w:ascii="Times New Roman" w:hAnsi="Times New Roman" w:cs="Times New Roman"/>
        </w:rPr>
        <w:t xml:space="preserve">for the permissibility of liberty-restricting public health interventions aimed at preventing or reducing harm, and the prevention of ultimate harm </w:t>
      </w:r>
      <w:r w:rsidR="00426713" w:rsidRPr="007741E6">
        <w:rPr>
          <w:rFonts w:ascii="Times New Roman" w:hAnsi="Times New Roman" w:cs="Times New Roman"/>
        </w:rPr>
        <w:t xml:space="preserve">using MBE </w:t>
      </w:r>
      <w:r w:rsidRPr="007741E6">
        <w:rPr>
          <w:rFonts w:ascii="Times New Roman" w:hAnsi="Times New Roman" w:cs="Times New Roman"/>
        </w:rPr>
        <w:t xml:space="preserve">fails to meet these conditions, liberty-restricting public health interventions </w:t>
      </w:r>
      <w:r w:rsidR="00CB6901" w:rsidRPr="007741E6">
        <w:rPr>
          <w:rFonts w:ascii="Times New Roman" w:hAnsi="Times New Roman" w:cs="Times New Roman"/>
        </w:rPr>
        <w:t xml:space="preserve">such as covert MBE </w:t>
      </w:r>
      <w:r w:rsidRPr="007741E6">
        <w:rPr>
          <w:rFonts w:ascii="Times New Roman" w:hAnsi="Times New Roman" w:cs="Times New Roman"/>
        </w:rPr>
        <w:t xml:space="preserve">are not permissible. </w:t>
      </w:r>
      <w:r w:rsidR="00426713" w:rsidRPr="007741E6">
        <w:rPr>
          <w:rFonts w:ascii="Times New Roman" w:hAnsi="Times New Roman" w:cs="Times New Roman"/>
        </w:rPr>
        <w:t>Thus</w:t>
      </w:r>
      <w:r w:rsidRPr="007741E6">
        <w:rPr>
          <w:rFonts w:ascii="Times New Roman" w:hAnsi="Times New Roman" w:cs="Times New Roman"/>
        </w:rPr>
        <w:t>, the truth of the conditions (a)-(c) undermines my argument</w:t>
      </w:r>
      <w:r w:rsidR="00426713" w:rsidRPr="007741E6">
        <w:rPr>
          <w:rFonts w:ascii="Times New Roman" w:hAnsi="Times New Roman" w:cs="Times New Roman"/>
        </w:rPr>
        <w:t xml:space="preserve"> that considering </w:t>
      </w:r>
      <w:r w:rsidR="00426713" w:rsidRPr="007741E6">
        <w:rPr>
          <w:rFonts w:ascii="Times New Roman" w:hAnsi="Times New Roman" w:cs="Times New Roman"/>
        </w:rPr>
        <w:lastRenderedPageBreak/>
        <w:t>compulsory MBE through the lens of public health ethics warrants a covert administration of MBE</w:t>
      </w:r>
      <w:r w:rsidRPr="007741E6">
        <w:rPr>
          <w:rFonts w:ascii="Times New Roman" w:hAnsi="Times New Roman" w:cs="Times New Roman"/>
        </w:rPr>
        <w:t>.</w:t>
      </w:r>
    </w:p>
    <w:p w:rsidR="007431FC" w:rsidRPr="007741E6" w:rsidRDefault="007431FC" w:rsidP="00404B6B">
      <w:pPr>
        <w:spacing w:line="480" w:lineRule="auto"/>
        <w:rPr>
          <w:rFonts w:ascii="Times New Roman" w:hAnsi="Times New Roman" w:cs="Times New Roman"/>
        </w:rPr>
      </w:pPr>
      <w:r w:rsidRPr="007741E6">
        <w:rPr>
          <w:rFonts w:ascii="Times New Roman" w:hAnsi="Times New Roman" w:cs="Times New Roman"/>
        </w:rPr>
        <w:tab/>
      </w:r>
      <w:r w:rsidR="00F6088F" w:rsidRPr="007741E6">
        <w:rPr>
          <w:rFonts w:ascii="Times New Roman" w:hAnsi="Times New Roman" w:cs="Times New Roman"/>
        </w:rPr>
        <w:t>For the sake of expediency</w:t>
      </w:r>
      <w:r w:rsidR="00C31F53" w:rsidRPr="007741E6">
        <w:rPr>
          <w:rFonts w:ascii="Times New Roman" w:hAnsi="Times New Roman" w:cs="Times New Roman"/>
        </w:rPr>
        <w:t>,</w:t>
      </w:r>
      <w:r w:rsidR="00F6088F" w:rsidRPr="007741E6">
        <w:rPr>
          <w:rFonts w:ascii="Times New Roman" w:hAnsi="Times New Roman" w:cs="Times New Roman"/>
        </w:rPr>
        <w:t xml:space="preserve"> I</w:t>
      </w:r>
      <w:r w:rsidRPr="007741E6">
        <w:rPr>
          <w:rFonts w:ascii="Times New Roman" w:hAnsi="Times New Roman" w:cs="Times New Roman"/>
        </w:rPr>
        <w:t xml:space="preserve"> grant </w:t>
      </w:r>
      <w:r w:rsidR="00F6088F" w:rsidRPr="007741E6">
        <w:rPr>
          <w:rFonts w:ascii="Times New Roman" w:hAnsi="Times New Roman" w:cs="Times New Roman"/>
        </w:rPr>
        <w:t xml:space="preserve">that </w:t>
      </w:r>
      <w:r w:rsidRPr="007741E6">
        <w:rPr>
          <w:rFonts w:ascii="Times New Roman" w:hAnsi="Times New Roman" w:cs="Times New Roman"/>
        </w:rPr>
        <w:t xml:space="preserve">the prevention of ultimate harm using </w:t>
      </w:r>
      <w:r w:rsidR="00F6088F" w:rsidRPr="007741E6">
        <w:rPr>
          <w:rFonts w:ascii="Times New Roman" w:hAnsi="Times New Roman" w:cs="Times New Roman"/>
        </w:rPr>
        <w:t xml:space="preserve">covert </w:t>
      </w:r>
      <w:r w:rsidRPr="007741E6">
        <w:rPr>
          <w:rFonts w:ascii="Times New Roman" w:hAnsi="Times New Roman" w:cs="Times New Roman"/>
        </w:rPr>
        <w:t>MBE fails to meet the conditions. That leaves the conditions themselves. They are far too strong, setting the bar for permissible liberty</w:t>
      </w:r>
      <w:r w:rsidR="00B86AE8" w:rsidRPr="007741E6">
        <w:rPr>
          <w:rFonts w:ascii="Times New Roman" w:hAnsi="Times New Roman" w:cs="Times New Roman"/>
        </w:rPr>
        <w:t xml:space="preserve"> </w:t>
      </w:r>
      <w:r w:rsidRPr="007741E6">
        <w:rPr>
          <w:rFonts w:ascii="Times New Roman" w:hAnsi="Times New Roman" w:cs="Times New Roman"/>
        </w:rPr>
        <w:t>restrictions in the name of public health much too high. Here are some of the important liberty-restricting public health interventions that are impermissible, if conditions (a)-(c) are true: taxes on tobacco, fluoridated water</w:t>
      </w:r>
      <w:r w:rsidR="00EC1E76" w:rsidRPr="007741E6">
        <w:rPr>
          <w:rFonts w:ascii="Times New Roman" w:hAnsi="Times New Roman" w:cs="Times New Roman"/>
        </w:rPr>
        <w:t>,</w:t>
      </w:r>
      <w:r w:rsidR="00426713" w:rsidRPr="007741E6">
        <w:rPr>
          <w:rFonts w:ascii="Times New Roman" w:hAnsi="Times New Roman" w:cs="Times New Roman"/>
        </w:rPr>
        <w:t xml:space="preserve"> isolation of people who have newly discovered infectious disease,</w:t>
      </w:r>
      <w:r w:rsidR="00EC1E76" w:rsidRPr="007741E6">
        <w:rPr>
          <w:rFonts w:ascii="Times New Roman" w:hAnsi="Times New Roman" w:cs="Times New Roman"/>
        </w:rPr>
        <w:t xml:space="preserve"> or </w:t>
      </w:r>
      <w:r w:rsidR="005E7B2F" w:rsidRPr="007741E6">
        <w:rPr>
          <w:rFonts w:ascii="Times New Roman" w:hAnsi="Times New Roman" w:cs="Times New Roman"/>
        </w:rPr>
        <w:t>compulsory MMR</w:t>
      </w:r>
      <w:r w:rsidR="00EC1E76" w:rsidRPr="007741E6">
        <w:rPr>
          <w:rFonts w:ascii="Times New Roman" w:hAnsi="Times New Roman" w:cs="Times New Roman"/>
        </w:rPr>
        <w:t xml:space="preserve"> vaccine</w:t>
      </w:r>
      <w:r w:rsidR="005E7B2F" w:rsidRPr="007741E6">
        <w:rPr>
          <w:rFonts w:ascii="Times New Roman" w:hAnsi="Times New Roman" w:cs="Times New Roman"/>
        </w:rPr>
        <w:t>s</w:t>
      </w:r>
      <w:r w:rsidR="00EC1E76" w:rsidRPr="007741E6">
        <w:rPr>
          <w:rFonts w:ascii="Times New Roman" w:hAnsi="Times New Roman" w:cs="Times New Roman"/>
        </w:rPr>
        <w:t>.</w:t>
      </w:r>
    </w:p>
    <w:p w:rsidR="00EC1E76" w:rsidRPr="007741E6" w:rsidRDefault="00EC1E76" w:rsidP="00404B6B">
      <w:pPr>
        <w:spacing w:line="480" w:lineRule="auto"/>
        <w:rPr>
          <w:rFonts w:ascii="Times New Roman" w:hAnsi="Times New Roman" w:cs="Times New Roman"/>
        </w:rPr>
      </w:pPr>
      <w:r w:rsidRPr="007741E6">
        <w:rPr>
          <w:rFonts w:ascii="Times New Roman" w:hAnsi="Times New Roman" w:cs="Times New Roman"/>
        </w:rPr>
        <w:tab/>
        <w:t>Taxes by their nature restrict liberty. When they are levied on the purchase of tobacco products, a person’s liberty to use tobacco products is restricted. Taxes levied on tobacco products are public health interventions.</w:t>
      </w:r>
      <w:r w:rsidR="000F5B12" w:rsidRPr="007741E6">
        <w:rPr>
          <w:rStyle w:val="FootnoteReference"/>
          <w:rFonts w:ascii="Times New Roman" w:hAnsi="Times New Roman" w:cs="Times New Roman"/>
        </w:rPr>
        <w:footnoteReference w:id="10"/>
      </w:r>
      <w:r w:rsidRPr="007741E6">
        <w:rPr>
          <w:rFonts w:ascii="Times New Roman" w:hAnsi="Times New Roman" w:cs="Times New Roman"/>
        </w:rPr>
        <w:t xml:space="preserve"> However, for the person whose liberty is restricted (i.e., the person buying the product), the harm to them is not specific or identifiable. True, there is a wide variety of harms that the person might experience, or they might not experience any harm at all.</w:t>
      </w:r>
      <w:r w:rsidR="00A77C9A" w:rsidRPr="007741E6">
        <w:rPr>
          <w:rFonts w:ascii="Times New Roman" w:hAnsi="Times New Roman" w:cs="Times New Roman"/>
        </w:rPr>
        <w:t xml:space="preserve"> Thus, taxes on tobacco products fail to meet condition (a). Furthermore, of the merely potential harms of using tobacco, they are neither immediate nor imminent—often they occur many years later, if at all, which suggests taxes on tobacco products also fail to meet condition (c). Even if we consider, for example, the threat of cancer that is distal to the actual liberty</w:t>
      </w:r>
      <w:r w:rsidR="005F6F3D" w:rsidRPr="007741E6">
        <w:rPr>
          <w:rFonts w:ascii="Times New Roman" w:hAnsi="Times New Roman" w:cs="Times New Roman"/>
        </w:rPr>
        <w:t>-restricting intervention</w:t>
      </w:r>
      <w:r w:rsidR="005E7B2F" w:rsidRPr="007741E6">
        <w:rPr>
          <w:rFonts w:ascii="Times New Roman" w:hAnsi="Times New Roman" w:cs="Times New Roman"/>
        </w:rPr>
        <w:t xml:space="preserve"> and mediated by many other factors</w:t>
      </w:r>
      <w:r w:rsidR="00A77C9A" w:rsidRPr="007741E6">
        <w:rPr>
          <w:rFonts w:ascii="Times New Roman" w:hAnsi="Times New Roman" w:cs="Times New Roman"/>
        </w:rPr>
        <w:t xml:space="preserve">, we don’t know the mechanism by which the harm occurs. At some fine-grained level of specificity, we don’t know how inhaling cigarette smoke results in </w:t>
      </w:r>
      <w:r w:rsidR="005E7B2F" w:rsidRPr="007741E6">
        <w:rPr>
          <w:rFonts w:ascii="Times New Roman" w:hAnsi="Times New Roman" w:cs="Times New Roman"/>
        </w:rPr>
        <w:t xml:space="preserve">the harms associated with </w:t>
      </w:r>
      <w:r w:rsidR="00A77C9A" w:rsidRPr="007741E6">
        <w:rPr>
          <w:rFonts w:ascii="Times New Roman" w:hAnsi="Times New Roman" w:cs="Times New Roman"/>
        </w:rPr>
        <w:t xml:space="preserve">lung cancer. And even if we </w:t>
      </w:r>
      <w:r w:rsidR="00A77C9A" w:rsidRPr="007741E6">
        <w:rPr>
          <w:rFonts w:ascii="Times New Roman" w:hAnsi="Times New Roman" w:cs="Times New Roman"/>
        </w:rPr>
        <w:lastRenderedPageBreak/>
        <w:t xml:space="preserve">do know now, there was a time when we didn’t, a time when all we had were strong associations. But even </w:t>
      </w:r>
      <w:proofErr w:type="gramStart"/>
      <w:r w:rsidR="00A77C9A" w:rsidRPr="007741E6">
        <w:rPr>
          <w:rFonts w:ascii="Times New Roman" w:hAnsi="Times New Roman" w:cs="Times New Roman"/>
        </w:rPr>
        <w:t>then</w:t>
      </w:r>
      <w:proofErr w:type="gramEnd"/>
      <w:r w:rsidR="00A77C9A" w:rsidRPr="007741E6">
        <w:rPr>
          <w:rFonts w:ascii="Times New Roman" w:hAnsi="Times New Roman" w:cs="Times New Roman"/>
        </w:rPr>
        <w:t xml:space="preserve"> taxes on tobacco products were permissible. </w:t>
      </w:r>
    </w:p>
    <w:p w:rsidR="00F22167" w:rsidRPr="007741E6" w:rsidRDefault="00BF14A4" w:rsidP="00404B6B">
      <w:pPr>
        <w:spacing w:line="480" w:lineRule="auto"/>
        <w:rPr>
          <w:rFonts w:ascii="Times New Roman" w:hAnsi="Times New Roman" w:cs="Times New Roman"/>
        </w:rPr>
      </w:pPr>
      <w:r w:rsidRPr="007741E6">
        <w:rPr>
          <w:rFonts w:ascii="Times New Roman" w:hAnsi="Times New Roman" w:cs="Times New Roman"/>
        </w:rPr>
        <w:tab/>
      </w:r>
      <w:r w:rsidR="004F4A3B" w:rsidRPr="007741E6">
        <w:rPr>
          <w:rFonts w:ascii="Times New Roman" w:hAnsi="Times New Roman" w:cs="Times New Roman"/>
        </w:rPr>
        <w:t xml:space="preserve">Relatedly, Zambrano’s conditions imply that liberty-restricting public health interventions based on mere associations are impermissible, as they would fail to satisfy condition (b). </w:t>
      </w:r>
      <w:r w:rsidR="00B76D7D" w:rsidRPr="007741E6">
        <w:rPr>
          <w:rFonts w:ascii="Times New Roman" w:hAnsi="Times New Roman" w:cs="Times New Roman"/>
        </w:rPr>
        <w:t>S</w:t>
      </w:r>
      <w:r w:rsidR="004F4A3B" w:rsidRPr="007741E6">
        <w:rPr>
          <w:rFonts w:ascii="Times New Roman" w:hAnsi="Times New Roman" w:cs="Times New Roman"/>
        </w:rPr>
        <w:t xml:space="preserve">uppose a public health organization discovers a strong association between spinach from a particular geographic region and </w:t>
      </w:r>
      <w:r w:rsidR="005E7B2F" w:rsidRPr="007741E6">
        <w:rPr>
          <w:rFonts w:ascii="Times New Roman" w:hAnsi="Times New Roman" w:cs="Times New Roman"/>
        </w:rPr>
        <w:t xml:space="preserve">a high </w:t>
      </w:r>
      <w:r w:rsidR="004F4A3B" w:rsidRPr="007741E6">
        <w:rPr>
          <w:rFonts w:ascii="Times New Roman" w:hAnsi="Times New Roman" w:cs="Times New Roman"/>
        </w:rPr>
        <w:t>prevalence of a food-borne illness</w:t>
      </w:r>
      <w:r w:rsidRPr="007741E6">
        <w:rPr>
          <w:rFonts w:ascii="Times New Roman" w:hAnsi="Times New Roman" w:cs="Times New Roman"/>
        </w:rPr>
        <w:t>.</w:t>
      </w:r>
      <w:r w:rsidR="004F4A3B" w:rsidRPr="007741E6">
        <w:rPr>
          <w:rFonts w:ascii="Times New Roman" w:hAnsi="Times New Roman" w:cs="Times New Roman"/>
        </w:rPr>
        <w:t xml:space="preserve"> According to Zambrano’s conditions, it would be impermissible for that organization to intervene</w:t>
      </w:r>
      <w:r w:rsidR="00F6088F" w:rsidRPr="007741E6">
        <w:rPr>
          <w:rFonts w:ascii="Times New Roman" w:hAnsi="Times New Roman" w:cs="Times New Roman"/>
        </w:rPr>
        <w:t>,</w:t>
      </w:r>
      <w:r w:rsidR="004F4A3B" w:rsidRPr="007741E6">
        <w:rPr>
          <w:rFonts w:ascii="Times New Roman" w:hAnsi="Times New Roman" w:cs="Times New Roman"/>
        </w:rPr>
        <w:t xml:space="preserve"> </w:t>
      </w:r>
      <w:r w:rsidR="00F6088F" w:rsidRPr="007741E6">
        <w:rPr>
          <w:rFonts w:ascii="Times New Roman" w:hAnsi="Times New Roman" w:cs="Times New Roman"/>
        </w:rPr>
        <w:t>for example by</w:t>
      </w:r>
      <w:r w:rsidR="004F4A3B" w:rsidRPr="007741E6">
        <w:rPr>
          <w:rFonts w:ascii="Times New Roman" w:hAnsi="Times New Roman" w:cs="Times New Roman"/>
        </w:rPr>
        <w:t xml:space="preserve"> orchestrating a recall of spinach from that region, because the mechanism is not identifiable (i.e., which farm is making people sick). Or consider a less mundane example of an outbreak of a newly discovered disease. According to condition (b) it is impermissible to restrict liberties, </w:t>
      </w:r>
      <w:r w:rsidR="00F6088F" w:rsidRPr="007741E6">
        <w:rPr>
          <w:rFonts w:ascii="Times New Roman" w:hAnsi="Times New Roman" w:cs="Times New Roman"/>
        </w:rPr>
        <w:t>such as the liberty to travel</w:t>
      </w:r>
      <w:r w:rsidR="004F4A3B" w:rsidRPr="007741E6">
        <w:rPr>
          <w:rFonts w:ascii="Times New Roman" w:hAnsi="Times New Roman" w:cs="Times New Roman"/>
        </w:rPr>
        <w:t>, until we know the mechanism by which the harm occurs. But with newly discovered diseases that discovery can take a long time</w:t>
      </w:r>
      <w:r w:rsidR="00FC71D7" w:rsidRPr="007741E6">
        <w:rPr>
          <w:rFonts w:ascii="Times New Roman" w:hAnsi="Times New Roman" w:cs="Times New Roman"/>
        </w:rPr>
        <w:t>, a time during which many more people may acquire the disease in the absence of the liberty-restricting intervention</w:t>
      </w:r>
      <w:r w:rsidR="004F4A3B" w:rsidRPr="007741E6">
        <w:rPr>
          <w:rFonts w:ascii="Times New Roman" w:hAnsi="Times New Roman" w:cs="Times New Roman"/>
        </w:rPr>
        <w:t xml:space="preserve">. </w:t>
      </w:r>
      <w:r w:rsidR="00BD08BD" w:rsidRPr="007741E6">
        <w:rPr>
          <w:rFonts w:ascii="Times New Roman" w:hAnsi="Times New Roman" w:cs="Times New Roman"/>
        </w:rPr>
        <w:t>We might say the same thing about quarantine of a person who appears to have a previously unobserved infectious disease. Absent knowledge of the mechanism by which harm occurs (e.g., how it infects others), Zambrano’s conditions imply that quarantine of such an individual would be morally impermissible, even if there is strong evidence that the new disease is highly infectious</w:t>
      </w:r>
      <w:r w:rsidR="00CB6901" w:rsidRPr="007741E6">
        <w:rPr>
          <w:rFonts w:ascii="Times New Roman" w:hAnsi="Times New Roman" w:cs="Times New Roman"/>
        </w:rPr>
        <w:t xml:space="preserve"> and likely to harm others</w:t>
      </w:r>
      <w:r w:rsidR="005E7B2F" w:rsidRPr="007741E6">
        <w:rPr>
          <w:rFonts w:ascii="Times New Roman" w:hAnsi="Times New Roman" w:cs="Times New Roman"/>
        </w:rPr>
        <w:t xml:space="preserve"> (both of which are a matter of associated, not necessarily causal, factors)</w:t>
      </w:r>
      <w:r w:rsidR="00F80DF6" w:rsidRPr="007741E6">
        <w:rPr>
          <w:rFonts w:ascii="Times New Roman" w:hAnsi="Times New Roman" w:cs="Times New Roman"/>
        </w:rPr>
        <w:t>. Such a person couldn’t</w:t>
      </w:r>
      <w:r w:rsidR="005E7B2F" w:rsidRPr="007741E6">
        <w:rPr>
          <w:rFonts w:ascii="Times New Roman" w:hAnsi="Times New Roman" w:cs="Times New Roman"/>
        </w:rPr>
        <w:t xml:space="preserve"> be permissibly</w:t>
      </w:r>
      <w:r w:rsidR="00F80DF6" w:rsidRPr="007741E6">
        <w:rPr>
          <w:rFonts w:ascii="Times New Roman" w:hAnsi="Times New Roman" w:cs="Times New Roman"/>
        </w:rPr>
        <w:t xml:space="preserve"> quarantined until we knew the mechanism of infectio</w:t>
      </w:r>
      <w:r w:rsidR="00B76D7D" w:rsidRPr="007741E6">
        <w:rPr>
          <w:rFonts w:ascii="Times New Roman" w:hAnsi="Times New Roman" w:cs="Times New Roman"/>
        </w:rPr>
        <w:t>n</w:t>
      </w:r>
      <w:r w:rsidR="008241AE" w:rsidRPr="007741E6">
        <w:rPr>
          <w:rFonts w:ascii="Times New Roman" w:hAnsi="Times New Roman" w:cs="Times New Roman"/>
        </w:rPr>
        <w:t>, not even while researche</w:t>
      </w:r>
      <w:r w:rsidR="009605AB" w:rsidRPr="007741E6">
        <w:rPr>
          <w:rFonts w:ascii="Times New Roman" w:hAnsi="Times New Roman" w:cs="Times New Roman"/>
        </w:rPr>
        <w:t>r</w:t>
      </w:r>
      <w:r w:rsidR="008241AE" w:rsidRPr="007741E6">
        <w:rPr>
          <w:rFonts w:ascii="Times New Roman" w:hAnsi="Times New Roman" w:cs="Times New Roman"/>
        </w:rPr>
        <w:t>s investigate that mechanism</w:t>
      </w:r>
      <w:r w:rsidR="00F80DF6" w:rsidRPr="007741E6">
        <w:rPr>
          <w:rFonts w:ascii="Times New Roman" w:hAnsi="Times New Roman" w:cs="Times New Roman"/>
        </w:rPr>
        <w:t>.</w:t>
      </w:r>
    </w:p>
    <w:p w:rsidR="000B2D2E" w:rsidRPr="007741E6" w:rsidRDefault="000B2D2E" w:rsidP="00404B6B">
      <w:pPr>
        <w:spacing w:line="480" w:lineRule="auto"/>
        <w:ind w:firstLine="720"/>
        <w:rPr>
          <w:rFonts w:ascii="Times New Roman" w:hAnsi="Times New Roman" w:cs="Times New Roman"/>
        </w:rPr>
      </w:pPr>
      <w:r w:rsidRPr="007741E6">
        <w:rPr>
          <w:rFonts w:ascii="Times New Roman" w:hAnsi="Times New Roman" w:cs="Times New Roman"/>
        </w:rPr>
        <w:t xml:space="preserve">Other common and important liberty-restricting public health interventions aimed at preventing harm would also be impermissible, by Zambrano’s conditions. </w:t>
      </w:r>
      <w:proofErr w:type="spellStart"/>
      <w:r w:rsidRPr="007741E6">
        <w:rPr>
          <w:rFonts w:ascii="Times New Roman" w:hAnsi="Times New Roman" w:cs="Times New Roman"/>
        </w:rPr>
        <w:t>Flouridated</w:t>
      </w:r>
      <w:proofErr w:type="spellEnd"/>
      <w:r w:rsidRPr="007741E6">
        <w:rPr>
          <w:rFonts w:ascii="Times New Roman" w:hAnsi="Times New Roman" w:cs="Times New Roman"/>
        </w:rPr>
        <w:t xml:space="preserve"> water aims to prevent </w:t>
      </w:r>
      <w:r w:rsidR="00BD08BD" w:rsidRPr="007741E6">
        <w:rPr>
          <w:rFonts w:ascii="Times New Roman" w:hAnsi="Times New Roman" w:cs="Times New Roman"/>
        </w:rPr>
        <w:t xml:space="preserve">the harm that results from dental caries and imposes liberty restrictions on the consumption of public water. The harm </w:t>
      </w:r>
      <w:r w:rsidR="00CB6901" w:rsidRPr="007741E6">
        <w:rPr>
          <w:rFonts w:ascii="Times New Roman" w:hAnsi="Times New Roman" w:cs="Times New Roman"/>
        </w:rPr>
        <w:t>from</w:t>
      </w:r>
      <w:r w:rsidR="00BD08BD" w:rsidRPr="007741E6">
        <w:rPr>
          <w:rFonts w:ascii="Times New Roman" w:hAnsi="Times New Roman" w:cs="Times New Roman"/>
        </w:rPr>
        <w:t xml:space="preserve"> dental caries is neither immediate nor imminent, </w:t>
      </w:r>
      <w:r w:rsidR="00BD08BD" w:rsidRPr="007741E6">
        <w:rPr>
          <w:rFonts w:ascii="Times New Roman" w:hAnsi="Times New Roman" w:cs="Times New Roman"/>
        </w:rPr>
        <w:lastRenderedPageBreak/>
        <w:t xml:space="preserve">nor would it be without the intervention. Rather, it is distant and easily prevented by other means. </w:t>
      </w:r>
      <w:r w:rsidR="000B1A6C" w:rsidRPr="007741E6">
        <w:rPr>
          <w:rFonts w:ascii="Times New Roman" w:hAnsi="Times New Roman" w:cs="Times New Roman"/>
        </w:rPr>
        <w:t xml:space="preserve">Its permissibility is justified by the fact that it is the most efficient way to prevent dental caries in some segments of society for whom accessing those other means is difficult. </w:t>
      </w:r>
      <w:r w:rsidR="0006039C" w:rsidRPr="007741E6">
        <w:rPr>
          <w:rFonts w:ascii="Times New Roman" w:hAnsi="Times New Roman" w:cs="Times New Roman"/>
        </w:rPr>
        <w:t>The MMR vaccine wouldn’t be permissibly compulsory, for the threat of harm from not getting the vaccine is neither immediate nor imminent (the absolute risk of contracting measles is very low, even for those unvaccinated),</w:t>
      </w:r>
      <w:r w:rsidR="008C0B01" w:rsidRPr="007741E6">
        <w:rPr>
          <w:rStyle w:val="FootnoteReference"/>
          <w:rFonts w:ascii="Times New Roman" w:hAnsi="Times New Roman" w:cs="Times New Roman"/>
        </w:rPr>
        <w:footnoteReference w:id="11"/>
      </w:r>
      <w:r w:rsidR="0006039C" w:rsidRPr="007741E6">
        <w:rPr>
          <w:rFonts w:ascii="Times New Roman" w:hAnsi="Times New Roman" w:cs="Times New Roman"/>
        </w:rPr>
        <w:t xml:space="preserve"> and can be prevented by other interventions.</w:t>
      </w:r>
    </w:p>
    <w:p w:rsidR="0006039C" w:rsidRPr="007741E6" w:rsidRDefault="0006039C" w:rsidP="00404B6B">
      <w:pPr>
        <w:spacing w:line="480" w:lineRule="auto"/>
        <w:ind w:firstLine="720"/>
        <w:rPr>
          <w:rFonts w:ascii="Times New Roman" w:hAnsi="Times New Roman" w:cs="Times New Roman"/>
        </w:rPr>
      </w:pPr>
      <w:r w:rsidRPr="007741E6">
        <w:rPr>
          <w:rFonts w:ascii="Times New Roman" w:hAnsi="Times New Roman" w:cs="Times New Roman"/>
        </w:rPr>
        <w:t>In short, none of Zambrano’s conditions for permissible liberty-restricting public health interventions aimed at preventing or reducing harm are necessary. Such interventions may be permissible even if the harm is not specific or identifiable (e.g., tobacco use), the mechanism of harm is unknown (e.g., newly discovered diseases), or the threat is distant and mediated by other factors (e.g., fluoridated water). Zambrano’s conditions are too strong and should be rejected</w:t>
      </w:r>
      <w:r w:rsidR="005F6F3D" w:rsidRPr="007741E6">
        <w:rPr>
          <w:rFonts w:ascii="Times New Roman" w:hAnsi="Times New Roman" w:cs="Times New Roman"/>
        </w:rPr>
        <w:t>. T</w:t>
      </w:r>
      <w:r w:rsidRPr="007741E6">
        <w:rPr>
          <w:rFonts w:ascii="Times New Roman" w:hAnsi="Times New Roman" w:cs="Times New Roman"/>
        </w:rPr>
        <w:t>hey are</w:t>
      </w:r>
      <w:r w:rsidR="00CB6901" w:rsidRPr="007741E6">
        <w:rPr>
          <w:rFonts w:ascii="Times New Roman" w:hAnsi="Times New Roman" w:cs="Times New Roman"/>
        </w:rPr>
        <w:t xml:space="preserve"> therefore</w:t>
      </w:r>
      <w:r w:rsidRPr="007741E6">
        <w:rPr>
          <w:rFonts w:ascii="Times New Roman" w:hAnsi="Times New Roman" w:cs="Times New Roman"/>
        </w:rPr>
        <w:t xml:space="preserve"> no threat to my claim that</w:t>
      </w:r>
      <w:r w:rsidR="004E431C" w:rsidRPr="007741E6">
        <w:rPr>
          <w:rFonts w:ascii="Times New Roman" w:hAnsi="Times New Roman" w:cs="Times New Roman"/>
        </w:rPr>
        <w:t xml:space="preserve"> public health ethics warrants compulsory covert MBE.</w:t>
      </w:r>
    </w:p>
    <w:p w:rsidR="009605AB" w:rsidRPr="007741E6" w:rsidRDefault="009605AB" w:rsidP="00571799">
      <w:pPr>
        <w:spacing w:line="480" w:lineRule="auto"/>
        <w:ind w:firstLine="720"/>
        <w:rPr>
          <w:rFonts w:ascii="Times New Roman" w:hAnsi="Times New Roman" w:cs="Times New Roman"/>
        </w:rPr>
      </w:pPr>
      <w:r w:rsidRPr="007741E6">
        <w:rPr>
          <w:rFonts w:ascii="Times New Roman" w:hAnsi="Times New Roman" w:cs="Times New Roman"/>
        </w:rPr>
        <w:t xml:space="preserve">Zambrano might say that lung cancer or dental caries are immediate, or that even when we don’t know the specific mechanism of the spread of </w:t>
      </w:r>
      <w:proofErr w:type="gramStart"/>
      <w:r w:rsidRPr="007741E6">
        <w:rPr>
          <w:rFonts w:ascii="Times New Roman" w:hAnsi="Times New Roman" w:cs="Times New Roman"/>
        </w:rPr>
        <w:t>disease</w:t>
      </w:r>
      <w:proofErr w:type="gramEnd"/>
      <w:r w:rsidRPr="007741E6">
        <w:rPr>
          <w:rFonts w:ascii="Times New Roman" w:hAnsi="Times New Roman" w:cs="Times New Roman"/>
        </w:rPr>
        <w:t xml:space="preserve"> we know that it can be spread by human contact. But such replies would invite a greater problem for Zambrano’s conditions: all three of the conditions are so vague that they appear to not be very useful. What level of specificity is necessary or sufficient? Must we specify the harm at the genetic level? What degree of ignorance of the mechanism is allowable? </w:t>
      </w:r>
      <w:proofErr w:type="gramStart"/>
      <w:r w:rsidRPr="007741E6">
        <w:rPr>
          <w:rFonts w:ascii="Times New Roman" w:hAnsi="Times New Roman" w:cs="Times New Roman"/>
        </w:rPr>
        <w:t>Certainly</w:t>
      </w:r>
      <w:proofErr w:type="gramEnd"/>
      <w:r w:rsidRPr="007741E6">
        <w:rPr>
          <w:rFonts w:ascii="Times New Roman" w:hAnsi="Times New Roman" w:cs="Times New Roman"/>
        </w:rPr>
        <w:t xml:space="preserve"> too strict is a requirement that for a liberty-restricting public health intervention to be permissible we must have complete knowledge of the mechanism by which the harm occurs, because at every point at which we might ask, “Do </w:t>
      </w:r>
      <w:r w:rsidRPr="007741E6">
        <w:rPr>
          <w:rFonts w:ascii="Times New Roman" w:hAnsi="Times New Roman" w:cs="Times New Roman"/>
        </w:rPr>
        <w:lastRenderedPageBreak/>
        <w:t>we know everything?” the right answer will always be, “No.” What is immediate or imminent? If lung cancer is immediate, then why not the next generation’s displacement due to global warming?</w:t>
      </w:r>
    </w:p>
    <w:p w:rsidR="008D439D" w:rsidRPr="007741E6" w:rsidRDefault="008D439D" w:rsidP="00404B6B">
      <w:pPr>
        <w:spacing w:line="480" w:lineRule="auto"/>
        <w:rPr>
          <w:rFonts w:ascii="Times New Roman" w:hAnsi="Times New Roman" w:cs="Times New Roman"/>
        </w:rPr>
      </w:pPr>
    </w:p>
    <w:p w:rsidR="008D439D" w:rsidRPr="007741E6" w:rsidRDefault="008D439D" w:rsidP="00404B6B">
      <w:pPr>
        <w:spacing w:line="480" w:lineRule="auto"/>
        <w:rPr>
          <w:rFonts w:ascii="Times New Roman" w:hAnsi="Times New Roman" w:cs="Times New Roman"/>
          <w:b/>
        </w:rPr>
      </w:pPr>
      <w:r w:rsidRPr="007741E6">
        <w:rPr>
          <w:rFonts w:ascii="Times New Roman" w:hAnsi="Times New Roman" w:cs="Times New Roman"/>
          <w:b/>
        </w:rPr>
        <w:t>Autonomy and covert MBE</w:t>
      </w:r>
    </w:p>
    <w:p w:rsidR="008D439D" w:rsidRPr="007741E6" w:rsidRDefault="008D439D" w:rsidP="00404B6B">
      <w:pPr>
        <w:spacing w:line="480" w:lineRule="auto"/>
        <w:rPr>
          <w:rFonts w:ascii="Times New Roman" w:hAnsi="Times New Roman" w:cs="Times New Roman"/>
          <w:b/>
        </w:rPr>
      </w:pPr>
    </w:p>
    <w:p w:rsidR="008D439D" w:rsidRPr="007741E6" w:rsidRDefault="003B1A6E" w:rsidP="00404B6B">
      <w:pPr>
        <w:spacing w:line="480" w:lineRule="auto"/>
        <w:rPr>
          <w:rFonts w:ascii="Times New Roman" w:hAnsi="Times New Roman" w:cs="Times New Roman"/>
        </w:rPr>
      </w:pPr>
      <w:r w:rsidRPr="007741E6">
        <w:rPr>
          <w:rFonts w:ascii="Times New Roman" w:hAnsi="Times New Roman" w:cs="Times New Roman"/>
        </w:rPr>
        <w:tab/>
        <w:t xml:space="preserve">Zambrano’s second </w:t>
      </w:r>
      <w:r w:rsidR="005F6F3D" w:rsidRPr="007741E6">
        <w:rPr>
          <w:rFonts w:ascii="Times New Roman" w:hAnsi="Times New Roman" w:cs="Times New Roman"/>
        </w:rPr>
        <w:t xml:space="preserve">point of contention is that covert MBE undermines a person’s autonomy to a greater degree than does overt MBE, contrary to my claim that an overt MBE </w:t>
      </w:r>
      <w:r w:rsidR="00205335" w:rsidRPr="007741E6">
        <w:rPr>
          <w:rFonts w:ascii="Times New Roman" w:hAnsi="Times New Roman" w:cs="Times New Roman"/>
        </w:rPr>
        <w:t>is more undermining</w:t>
      </w:r>
      <w:r w:rsidR="005F6F3D" w:rsidRPr="007741E6">
        <w:rPr>
          <w:rFonts w:ascii="Times New Roman" w:hAnsi="Times New Roman" w:cs="Times New Roman"/>
        </w:rPr>
        <w:t xml:space="preserve">. For a thought or behavior to be autonomous, it plausibly must meet two conditions. First, autonomy requires independence from external influence. Second, autonomy requires that the thought or behavior be authentic to the person. I argue that </w:t>
      </w:r>
      <w:r w:rsidR="00F20AFC" w:rsidRPr="007741E6">
        <w:rPr>
          <w:rFonts w:ascii="Times New Roman" w:hAnsi="Times New Roman" w:cs="Times New Roman"/>
        </w:rPr>
        <w:t xml:space="preserve">when it comes to the independence condition, a covert MBE and overt MBE are on the same footing. If it’s external influence that undermines independence, and the intervention is the same whether it is administered covertly or overtly, it makes no difference to the independence of the thought or behavior whether one knows about it. </w:t>
      </w:r>
    </w:p>
    <w:p w:rsidR="00F20AFC" w:rsidRPr="007741E6" w:rsidRDefault="00F20AFC" w:rsidP="00404B6B">
      <w:pPr>
        <w:spacing w:line="480" w:lineRule="auto"/>
        <w:rPr>
          <w:rFonts w:ascii="Times New Roman" w:hAnsi="Times New Roman" w:cs="Times New Roman"/>
        </w:rPr>
      </w:pPr>
      <w:r w:rsidRPr="007741E6">
        <w:rPr>
          <w:rFonts w:ascii="Times New Roman" w:hAnsi="Times New Roman" w:cs="Times New Roman"/>
        </w:rPr>
        <w:tab/>
        <w:t>Zambrano disagrees. He claims that “under an</w:t>
      </w:r>
      <w:r w:rsidR="0034023E" w:rsidRPr="007741E6">
        <w:rPr>
          <w:rFonts w:ascii="Times New Roman" w:hAnsi="Times New Roman" w:cs="Times New Roman"/>
        </w:rPr>
        <w:t xml:space="preserve"> </w:t>
      </w:r>
      <w:r w:rsidRPr="007741E6">
        <w:rPr>
          <w:rFonts w:ascii="Times New Roman" w:hAnsi="Times New Roman" w:cs="Times New Roman"/>
        </w:rPr>
        <w:t>overt program in which people are aware that they are being morally enhanced, people will be put in an epistemic position to combat the effects of the manipulation, and then either embrace or reject their newfound desires, values, and beliefs.”</w:t>
      </w:r>
      <w:r w:rsidR="008C0B01" w:rsidRPr="007741E6">
        <w:rPr>
          <w:rStyle w:val="FootnoteReference"/>
          <w:rFonts w:ascii="Times New Roman" w:hAnsi="Times New Roman" w:cs="Times New Roman"/>
        </w:rPr>
        <w:footnoteReference w:id="12"/>
      </w:r>
      <w:r w:rsidRPr="007741E6">
        <w:rPr>
          <w:rFonts w:ascii="Times New Roman" w:hAnsi="Times New Roman" w:cs="Times New Roman"/>
          <w:b/>
        </w:rPr>
        <w:t xml:space="preserve"> </w:t>
      </w:r>
      <w:r w:rsidRPr="007741E6">
        <w:rPr>
          <w:rFonts w:ascii="Times New Roman" w:hAnsi="Times New Roman" w:cs="Times New Roman"/>
        </w:rPr>
        <w:t xml:space="preserve">But under an effective covert MBE program the enhanced would not be in such an epistemic position. This difference in epistemic position implies that the independence of those being covertly enhanced is compromised in a way that those being overtly enhanced are not. </w:t>
      </w:r>
    </w:p>
    <w:p w:rsidR="00F20AFC" w:rsidRPr="007741E6" w:rsidRDefault="00F20AFC" w:rsidP="00404B6B">
      <w:pPr>
        <w:spacing w:line="480" w:lineRule="auto"/>
        <w:rPr>
          <w:rFonts w:ascii="Times New Roman" w:hAnsi="Times New Roman" w:cs="Times New Roman"/>
        </w:rPr>
      </w:pPr>
      <w:r w:rsidRPr="007741E6">
        <w:rPr>
          <w:rFonts w:ascii="Times New Roman" w:hAnsi="Times New Roman" w:cs="Times New Roman"/>
        </w:rPr>
        <w:lastRenderedPageBreak/>
        <w:tab/>
        <w:t xml:space="preserve">In a 2016 article in this journal I argue that there is no such thing as an effective compulsory </w:t>
      </w:r>
      <w:r w:rsidR="00DC4AA8" w:rsidRPr="007741E6">
        <w:rPr>
          <w:rFonts w:ascii="Times New Roman" w:hAnsi="Times New Roman" w:cs="Times New Roman"/>
        </w:rPr>
        <w:t xml:space="preserve">overt </w:t>
      </w:r>
      <w:r w:rsidRPr="007741E6">
        <w:rPr>
          <w:rFonts w:ascii="Times New Roman" w:hAnsi="Times New Roman" w:cs="Times New Roman"/>
        </w:rPr>
        <w:t>MBE.</w:t>
      </w:r>
      <w:r w:rsidR="00CC51DC" w:rsidRPr="007741E6">
        <w:rPr>
          <w:rStyle w:val="FootnoteReference"/>
          <w:rFonts w:ascii="Times New Roman" w:hAnsi="Times New Roman" w:cs="Times New Roman"/>
        </w:rPr>
        <w:footnoteReference w:id="13"/>
      </w:r>
      <w:r w:rsidRPr="007741E6">
        <w:rPr>
          <w:rFonts w:ascii="Times New Roman" w:hAnsi="Times New Roman" w:cs="Times New Roman"/>
        </w:rPr>
        <w:t xml:space="preserve"> </w:t>
      </w:r>
      <w:r w:rsidR="00DC4AA8" w:rsidRPr="007741E6">
        <w:rPr>
          <w:rFonts w:ascii="Times New Roman" w:hAnsi="Times New Roman" w:cs="Times New Roman"/>
        </w:rPr>
        <w:t xml:space="preserve">The reasons for this claim are all centered by the idea that knowing one’s moral capacities are being manipulated undermines the achievement of the intended effect. The only way to make compulsory MBE effective, </w:t>
      </w:r>
      <w:r w:rsidR="0034023E" w:rsidRPr="007741E6">
        <w:rPr>
          <w:rFonts w:ascii="Times New Roman" w:hAnsi="Times New Roman" w:cs="Times New Roman"/>
        </w:rPr>
        <w:t>because of</w:t>
      </w:r>
      <w:r w:rsidR="00DC4AA8" w:rsidRPr="007741E6">
        <w:rPr>
          <w:rFonts w:ascii="Times New Roman" w:hAnsi="Times New Roman" w:cs="Times New Roman"/>
        </w:rPr>
        <w:t xml:space="preserve"> our epistemic positions and dispositions, is for it to be administered covertly.</w:t>
      </w:r>
      <w:r w:rsidR="0034023E" w:rsidRPr="007741E6">
        <w:rPr>
          <w:rFonts w:ascii="Times New Roman" w:hAnsi="Times New Roman" w:cs="Times New Roman"/>
        </w:rPr>
        <w:t xml:space="preserve"> Zambrano says this is beside the point, but it isn’t if we are to compare side by side covert and overt programs. </w:t>
      </w:r>
    </w:p>
    <w:p w:rsidR="00AB66F9" w:rsidRPr="007741E6" w:rsidRDefault="0034023E" w:rsidP="00404B6B">
      <w:pPr>
        <w:spacing w:line="480" w:lineRule="auto"/>
        <w:rPr>
          <w:rFonts w:ascii="Times New Roman" w:hAnsi="Times New Roman" w:cs="Times New Roman"/>
        </w:rPr>
      </w:pPr>
      <w:r w:rsidRPr="007741E6">
        <w:rPr>
          <w:rFonts w:ascii="Times New Roman" w:hAnsi="Times New Roman" w:cs="Times New Roman"/>
        </w:rPr>
        <w:tab/>
      </w:r>
      <w:r w:rsidR="00410371" w:rsidRPr="007741E6">
        <w:rPr>
          <w:rFonts w:ascii="Times New Roman" w:hAnsi="Times New Roman" w:cs="Times New Roman"/>
        </w:rPr>
        <w:t>If I am right in the 2016 article, then the epistemic position that Zambrano highlights undermines the effectiveness of MBE. If it is ineffective, then the program is not ethically justified. Effectiveness goes hand in hand with the population’s epistemic position</w:t>
      </w:r>
      <w:r w:rsidR="0071595A" w:rsidRPr="007741E6">
        <w:rPr>
          <w:rFonts w:ascii="Times New Roman" w:hAnsi="Times New Roman" w:cs="Times New Roman"/>
        </w:rPr>
        <w:t>: the stronger the population’s epistemic position, the less effective an overt program will be and vice versa</w:t>
      </w:r>
      <w:r w:rsidR="00410371" w:rsidRPr="007741E6">
        <w:rPr>
          <w:rFonts w:ascii="Times New Roman" w:hAnsi="Times New Roman" w:cs="Times New Roman"/>
        </w:rPr>
        <w:t xml:space="preserve">. If the overt MBE is presumed to be effective, as it must be if we are to compare side by side covert and overt MBE programs, then the </w:t>
      </w:r>
      <w:r w:rsidR="002403F7" w:rsidRPr="007741E6">
        <w:rPr>
          <w:rFonts w:ascii="Times New Roman" w:hAnsi="Times New Roman" w:cs="Times New Roman"/>
        </w:rPr>
        <w:t xml:space="preserve">population’s epistemic position must be much weaker </w:t>
      </w:r>
      <w:r w:rsidR="00410371" w:rsidRPr="007741E6">
        <w:rPr>
          <w:rFonts w:ascii="Times New Roman" w:hAnsi="Times New Roman" w:cs="Times New Roman"/>
        </w:rPr>
        <w:t>than Zambrano imagines.</w:t>
      </w:r>
      <w:r w:rsidR="00C67317" w:rsidRPr="007741E6">
        <w:rPr>
          <w:rFonts w:ascii="Times New Roman" w:hAnsi="Times New Roman" w:cs="Times New Roman"/>
        </w:rPr>
        <w:t xml:space="preserve"> </w:t>
      </w:r>
      <w:r w:rsidR="00D754F9" w:rsidRPr="007741E6">
        <w:rPr>
          <w:rFonts w:ascii="Times New Roman" w:hAnsi="Times New Roman" w:cs="Times New Roman"/>
        </w:rPr>
        <w:t xml:space="preserve">In particular, the degree to which people could </w:t>
      </w:r>
      <w:r w:rsidR="00B76D7D" w:rsidRPr="007741E6">
        <w:rPr>
          <w:rFonts w:ascii="Times New Roman" w:hAnsi="Times New Roman" w:cs="Times New Roman"/>
        </w:rPr>
        <w:t xml:space="preserve">access and </w:t>
      </w:r>
      <w:r w:rsidR="00D754F9" w:rsidRPr="007741E6">
        <w:rPr>
          <w:rFonts w:ascii="Times New Roman" w:hAnsi="Times New Roman" w:cs="Times New Roman"/>
        </w:rPr>
        <w:t>control their own mental states for an overt</w:t>
      </w:r>
      <w:r w:rsidR="00943A17" w:rsidRPr="007741E6">
        <w:rPr>
          <w:rFonts w:ascii="Times New Roman" w:hAnsi="Times New Roman" w:cs="Times New Roman"/>
        </w:rPr>
        <w:t xml:space="preserve"> MBE</w:t>
      </w:r>
      <w:r w:rsidR="00D754F9" w:rsidRPr="007741E6">
        <w:rPr>
          <w:rFonts w:ascii="Times New Roman" w:hAnsi="Times New Roman" w:cs="Times New Roman"/>
        </w:rPr>
        <w:t xml:space="preserve"> program to be effective would have to be very limited, certainly more limited than what Zambrano needs to support his claim that people could embrace or reject their newfound beliefs. </w:t>
      </w:r>
      <w:r w:rsidR="00AB66F9" w:rsidRPr="007741E6">
        <w:rPr>
          <w:rFonts w:ascii="Times New Roman" w:hAnsi="Times New Roman" w:cs="Times New Roman"/>
        </w:rPr>
        <w:t>In short, I deny that the enhanced population’s epistemic position in an effective</w:t>
      </w:r>
      <w:r w:rsidR="00C301F1" w:rsidRPr="007741E6">
        <w:rPr>
          <w:rFonts w:ascii="Times New Roman" w:hAnsi="Times New Roman" w:cs="Times New Roman"/>
        </w:rPr>
        <w:t xml:space="preserve"> overt</w:t>
      </w:r>
      <w:r w:rsidR="00AB66F9" w:rsidRPr="007741E6">
        <w:rPr>
          <w:rFonts w:ascii="Times New Roman" w:hAnsi="Times New Roman" w:cs="Times New Roman"/>
        </w:rPr>
        <w:t xml:space="preserve"> program can be what Zambrano says it would be.</w:t>
      </w:r>
    </w:p>
    <w:p w:rsidR="000B4129" w:rsidRPr="007741E6" w:rsidRDefault="00AB66F9" w:rsidP="00410371">
      <w:pPr>
        <w:spacing w:line="480" w:lineRule="auto"/>
        <w:ind w:firstLine="720"/>
        <w:rPr>
          <w:rFonts w:ascii="Times New Roman" w:hAnsi="Times New Roman" w:cs="Times New Roman"/>
        </w:rPr>
      </w:pPr>
      <w:r w:rsidRPr="007741E6">
        <w:rPr>
          <w:rFonts w:ascii="Times New Roman" w:hAnsi="Times New Roman" w:cs="Times New Roman"/>
        </w:rPr>
        <w:t>Even so, t</w:t>
      </w:r>
      <w:r w:rsidR="003B26BC" w:rsidRPr="007741E6">
        <w:rPr>
          <w:rFonts w:ascii="Times New Roman" w:hAnsi="Times New Roman" w:cs="Times New Roman"/>
        </w:rPr>
        <w:t xml:space="preserve">he route of enhancement, whatever it ends up being, need not be any more invasive to one’s moral capacities than </w:t>
      </w:r>
      <w:r w:rsidR="00205335" w:rsidRPr="007741E6">
        <w:rPr>
          <w:rFonts w:ascii="Times New Roman" w:hAnsi="Times New Roman" w:cs="Times New Roman"/>
        </w:rPr>
        <w:t xml:space="preserve">is </w:t>
      </w:r>
      <w:r w:rsidR="003B26BC" w:rsidRPr="007741E6">
        <w:rPr>
          <w:rFonts w:ascii="Times New Roman" w:hAnsi="Times New Roman" w:cs="Times New Roman"/>
        </w:rPr>
        <w:t xml:space="preserve">the frame of a belief to a person’s mental state. Framing effects are those effects upon the content of a mental state that result from the immediate context of the thought, such as the words used to express a proposition or, literally, the color of the frame surrounding an image. </w:t>
      </w:r>
      <w:r w:rsidR="000B4129" w:rsidRPr="007741E6">
        <w:rPr>
          <w:rFonts w:ascii="Times New Roman" w:hAnsi="Times New Roman" w:cs="Times New Roman"/>
        </w:rPr>
        <w:t xml:space="preserve">They happen all the time. </w:t>
      </w:r>
      <w:r w:rsidR="00205335" w:rsidRPr="007741E6">
        <w:rPr>
          <w:rFonts w:ascii="Times New Roman" w:hAnsi="Times New Roman" w:cs="Times New Roman"/>
        </w:rPr>
        <w:t>T</w:t>
      </w:r>
      <w:r w:rsidR="000B4129" w:rsidRPr="007741E6">
        <w:rPr>
          <w:rFonts w:ascii="Times New Roman" w:hAnsi="Times New Roman" w:cs="Times New Roman"/>
        </w:rPr>
        <w:t xml:space="preserve">hough it is not a safe </w:t>
      </w:r>
      <w:r w:rsidR="000B4129" w:rsidRPr="007741E6">
        <w:rPr>
          <w:rFonts w:ascii="Times New Roman" w:hAnsi="Times New Roman" w:cs="Times New Roman"/>
        </w:rPr>
        <w:lastRenderedPageBreak/>
        <w:t xml:space="preserve">and effective MBE for widespread use, oxytocin may enhance some people’s moral capacities in some conditions. </w:t>
      </w:r>
      <w:r w:rsidR="00205335" w:rsidRPr="007741E6">
        <w:rPr>
          <w:rFonts w:ascii="Times New Roman" w:hAnsi="Times New Roman" w:cs="Times New Roman"/>
        </w:rPr>
        <w:t>Indeed, r</w:t>
      </w:r>
      <w:r w:rsidR="000B4129" w:rsidRPr="007741E6">
        <w:rPr>
          <w:rFonts w:ascii="Times New Roman" w:hAnsi="Times New Roman" w:cs="Times New Roman"/>
        </w:rPr>
        <w:t>esearchers believe oxytocin works by making social cues more salient.</w:t>
      </w:r>
      <w:r w:rsidR="008C0B01" w:rsidRPr="007741E6">
        <w:rPr>
          <w:rStyle w:val="FootnoteReference"/>
          <w:rFonts w:ascii="Times New Roman" w:hAnsi="Times New Roman" w:cs="Times New Roman"/>
        </w:rPr>
        <w:footnoteReference w:id="14"/>
      </w:r>
      <w:r w:rsidR="000B4129" w:rsidRPr="007741E6">
        <w:rPr>
          <w:rFonts w:ascii="Times New Roman" w:hAnsi="Times New Roman" w:cs="Times New Roman"/>
        </w:rPr>
        <w:t xml:space="preserve"> That is, oxytocin, and </w:t>
      </w:r>
      <w:r w:rsidR="007C5865" w:rsidRPr="007741E6">
        <w:rPr>
          <w:rFonts w:ascii="Times New Roman" w:hAnsi="Times New Roman" w:cs="Times New Roman"/>
        </w:rPr>
        <w:t xml:space="preserve">so </w:t>
      </w:r>
      <w:r w:rsidR="000B4129" w:rsidRPr="007741E6">
        <w:rPr>
          <w:rFonts w:ascii="Times New Roman" w:hAnsi="Times New Roman" w:cs="Times New Roman"/>
        </w:rPr>
        <w:t xml:space="preserve">MBE, may work by exploiting framing effects. </w:t>
      </w:r>
    </w:p>
    <w:p w:rsidR="00ED2A6C" w:rsidRPr="007741E6" w:rsidRDefault="000B4129" w:rsidP="00404B6B">
      <w:pPr>
        <w:spacing w:line="480" w:lineRule="auto"/>
        <w:rPr>
          <w:rFonts w:ascii="Times New Roman" w:hAnsi="Times New Roman" w:cs="Times New Roman"/>
        </w:rPr>
      </w:pPr>
      <w:r w:rsidRPr="007741E6">
        <w:rPr>
          <w:rFonts w:ascii="Times New Roman" w:hAnsi="Times New Roman" w:cs="Times New Roman"/>
        </w:rPr>
        <w:tab/>
        <w:t>However, we are typically not in a position to “combat” framing effects, even when we are made aware of the effect</w:t>
      </w:r>
      <w:r w:rsidR="005F5BC5" w:rsidRPr="007741E6">
        <w:rPr>
          <w:rFonts w:ascii="Times New Roman" w:hAnsi="Times New Roman" w:cs="Times New Roman"/>
        </w:rPr>
        <w:t xml:space="preserve">. Relative to framing effects, our epistemic position is weak. </w:t>
      </w:r>
      <w:r w:rsidRPr="007741E6">
        <w:rPr>
          <w:rFonts w:ascii="Times New Roman" w:hAnsi="Times New Roman" w:cs="Times New Roman"/>
        </w:rPr>
        <w:t>A person looking at two squares of equal shade of gray, one framed by a darker gray and one framed by a lighter gray, is going to see the squares as different shades of gray even after being told that their apparent difference is due entirely to the difference in frames.</w:t>
      </w:r>
      <w:r w:rsidR="00645BDA" w:rsidRPr="007741E6">
        <w:rPr>
          <w:rFonts w:ascii="Times New Roman" w:hAnsi="Times New Roman" w:cs="Times New Roman"/>
        </w:rPr>
        <w:t xml:space="preserve"> </w:t>
      </w:r>
      <w:r w:rsidR="007C5865" w:rsidRPr="007741E6">
        <w:rPr>
          <w:rFonts w:ascii="Times New Roman" w:hAnsi="Times New Roman" w:cs="Times New Roman"/>
        </w:rPr>
        <w:t xml:space="preserve">Similar effects are frequent in our daily lives, such as when we get on the bus, buy groceries, or open our web browsers or social media. Even when we know about the effects, the second-order process of evaluating our own mental states is itself biased </w:t>
      </w:r>
      <w:r w:rsidR="00902678" w:rsidRPr="007741E6">
        <w:rPr>
          <w:rFonts w:ascii="Times New Roman" w:hAnsi="Times New Roman" w:cs="Times New Roman"/>
        </w:rPr>
        <w:t xml:space="preserve">and framed </w:t>
      </w:r>
      <w:r w:rsidR="007C5865" w:rsidRPr="007741E6">
        <w:rPr>
          <w:rFonts w:ascii="Times New Roman" w:hAnsi="Times New Roman" w:cs="Times New Roman"/>
        </w:rPr>
        <w:t>by external factors.</w:t>
      </w:r>
    </w:p>
    <w:p w:rsidR="0034023E" w:rsidRPr="007741E6" w:rsidRDefault="000B4129" w:rsidP="00404B6B">
      <w:pPr>
        <w:spacing w:line="480" w:lineRule="auto"/>
        <w:ind w:firstLine="720"/>
        <w:rPr>
          <w:rFonts w:ascii="Times New Roman" w:hAnsi="Times New Roman" w:cs="Times New Roman"/>
        </w:rPr>
      </w:pPr>
      <w:r w:rsidRPr="007741E6">
        <w:rPr>
          <w:rFonts w:ascii="Times New Roman" w:hAnsi="Times New Roman" w:cs="Times New Roman"/>
        </w:rPr>
        <w:t>If framing effects undermine autonomy by compromising the independence of mental states, then we are rather less autonomous than we think, in which case there is nothing unique about MBE. But if framing effects don’t undermine the independence condition</w:t>
      </w:r>
      <w:r w:rsidR="007C5865" w:rsidRPr="007741E6">
        <w:rPr>
          <w:rFonts w:ascii="Times New Roman" w:hAnsi="Times New Roman" w:cs="Times New Roman"/>
        </w:rPr>
        <w:t>, then there is no reason to think that MBE would undermine the independence condition</w:t>
      </w:r>
      <w:r w:rsidR="00902678" w:rsidRPr="007741E6">
        <w:rPr>
          <w:rFonts w:ascii="Times New Roman" w:hAnsi="Times New Roman" w:cs="Times New Roman"/>
        </w:rPr>
        <w:t>, regardless of whether the MBE is covert or overt.</w:t>
      </w:r>
    </w:p>
    <w:p w:rsidR="00902678" w:rsidRPr="007741E6" w:rsidRDefault="00902678" w:rsidP="00404B6B">
      <w:pPr>
        <w:spacing w:line="480" w:lineRule="auto"/>
        <w:ind w:firstLine="720"/>
        <w:rPr>
          <w:rFonts w:ascii="Times New Roman" w:hAnsi="Times New Roman" w:cs="Times New Roman"/>
        </w:rPr>
      </w:pPr>
      <w:r w:rsidRPr="007741E6">
        <w:rPr>
          <w:rFonts w:ascii="Times New Roman" w:hAnsi="Times New Roman" w:cs="Times New Roman"/>
        </w:rPr>
        <w:t xml:space="preserve">Zambrano also challenges my claim that an overt MBE program compromises the authenticity condition on autonomy to a greater degree than a covert MBE program. My claim is that in a covert MBE program the enhanced are more likely to accept the new moral capacities as their own. Since a covert and overt MBE program compromise the independence condition to the same degree, given that an overt MBE program compromises the authenticity condition more so </w:t>
      </w:r>
      <w:r w:rsidRPr="007741E6">
        <w:rPr>
          <w:rFonts w:ascii="Times New Roman" w:hAnsi="Times New Roman" w:cs="Times New Roman"/>
        </w:rPr>
        <w:lastRenderedPageBreak/>
        <w:t>than a covert program, an overt program undermines autonomy to a greater degree than a covert program.</w:t>
      </w:r>
      <w:r w:rsidR="00B47314" w:rsidRPr="007741E6">
        <w:rPr>
          <w:rFonts w:ascii="Times New Roman" w:hAnsi="Times New Roman" w:cs="Times New Roman"/>
        </w:rPr>
        <w:t xml:space="preserve"> </w:t>
      </w:r>
      <w:r w:rsidR="00B47314" w:rsidRPr="007741E6">
        <w:rPr>
          <w:rFonts w:ascii="Times New Roman" w:hAnsi="Times New Roman" w:cs="Times New Roman"/>
        </w:rPr>
        <w:tab/>
      </w:r>
    </w:p>
    <w:p w:rsidR="00B47314" w:rsidRPr="007741E6" w:rsidRDefault="00B47314" w:rsidP="00404B6B">
      <w:pPr>
        <w:spacing w:line="480" w:lineRule="auto"/>
        <w:ind w:firstLine="720"/>
        <w:rPr>
          <w:rFonts w:ascii="Times New Roman" w:hAnsi="Times New Roman" w:cs="Times New Roman"/>
        </w:rPr>
      </w:pPr>
      <w:r w:rsidRPr="007741E6">
        <w:rPr>
          <w:rFonts w:ascii="Times New Roman" w:hAnsi="Times New Roman" w:cs="Times New Roman"/>
        </w:rPr>
        <w:t xml:space="preserve">Zambrano appeals to the idea of an evil </w:t>
      </w:r>
      <w:r w:rsidR="00526217" w:rsidRPr="007741E6">
        <w:rPr>
          <w:rFonts w:ascii="Times New Roman" w:hAnsi="Times New Roman" w:cs="Times New Roman"/>
        </w:rPr>
        <w:t xml:space="preserve">genius </w:t>
      </w:r>
      <w:r w:rsidRPr="007741E6">
        <w:rPr>
          <w:rFonts w:ascii="Times New Roman" w:hAnsi="Times New Roman" w:cs="Times New Roman"/>
        </w:rPr>
        <w:t xml:space="preserve">who </w:t>
      </w:r>
      <w:r w:rsidR="00526217" w:rsidRPr="007741E6">
        <w:rPr>
          <w:rFonts w:ascii="Times New Roman" w:hAnsi="Times New Roman" w:cs="Times New Roman"/>
        </w:rPr>
        <w:t>directly and covertly manipulates the mental states of people such that their moral capacities are downgraded rather than enhanced. He claims that if I am right about covert MBE not compromising authenticity, then the authenticity of the evil genius’s victims’ newfound desires and beliefs is also not compromised—their downgraded moral capacities are similarly authentic. His response is that this is “surely implausible, for the people’s newfound desires are the product of the intentional manipulation of another agent, which means that the desires are not their own.”</w:t>
      </w:r>
      <w:r w:rsidR="00441365" w:rsidRPr="007741E6">
        <w:rPr>
          <w:rStyle w:val="FootnoteReference"/>
          <w:rFonts w:ascii="Times New Roman" w:hAnsi="Times New Roman" w:cs="Times New Roman"/>
        </w:rPr>
        <w:footnoteReference w:id="15"/>
      </w:r>
      <w:r w:rsidR="00526217" w:rsidRPr="007741E6">
        <w:rPr>
          <w:rFonts w:ascii="Times New Roman" w:hAnsi="Times New Roman" w:cs="Times New Roman"/>
        </w:rPr>
        <w:t xml:space="preserve"> </w:t>
      </w:r>
    </w:p>
    <w:p w:rsidR="00F22167" w:rsidRPr="007741E6" w:rsidRDefault="005553A9" w:rsidP="008D72F1">
      <w:pPr>
        <w:spacing w:line="480" w:lineRule="auto"/>
        <w:ind w:firstLine="720"/>
        <w:rPr>
          <w:rFonts w:ascii="Times New Roman" w:hAnsi="Times New Roman" w:cs="Times New Roman"/>
        </w:rPr>
      </w:pPr>
      <w:r w:rsidRPr="007741E6">
        <w:rPr>
          <w:rFonts w:ascii="Times New Roman" w:hAnsi="Times New Roman" w:cs="Times New Roman"/>
        </w:rPr>
        <w:t xml:space="preserve">Zambrano is right that I must say the same thing about the covert evil genius that I say about covert MBE. </w:t>
      </w:r>
      <w:r w:rsidR="00F523A4" w:rsidRPr="007741E6">
        <w:rPr>
          <w:rFonts w:ascii="Times New Roman" w:hAnsi="Times New Roman" w:cs="Times New Roman"/>
        </w:rPr>
        <w:t>However, i</w:t>
      </w:r>
      <w:r w:rsidRPr="007741E6">
        <w:rPr>
          <w:rFonts w:ascii="Times New Roman" w:hAnsi="Times New Roman" w:cs="Times New Roman"/>
        </w:rPr>
        <w:t>n neither case is authenticity compromised</w:t>
      </w:r>
      <w:r w:rsidR="00205335" w:rsidRPr="007741E6">
        <w:rPr>
          <w:rFonts w:ascii="Times New Roman" w:hAnsi="Times New Roman" w:cs="Times New Roman"/>
        </w:rPr>
        <w:t>.</w:t>
      </w:r>
      <w:r w:rsidR="008C0B01" w:rsidRPr="007741E6">
        <w:rPr>
          <w:rFonts w:ascii="Times New Roman" w:hAnsi="Times New Roman" w:cs="Times New Roman"/>
        </w:rPr>
        <w:t xml:space="preserve"> </w:t>
      </w:r>
      <w:r w:rsidR="00526217" w:rsidRPr="007741E6">
        <w:rPr>
          <w:rFonts w:ascii="Times New Roman" w:hAnsi="Times New Roman" w:cs="Times New Roman"/>
        </w:rPr>
        <w:t xml:space="preserve">Zambrano is thinking of the authenticity condition as being satisfied only if the new capacities are </w:t>
      </w:r>
      <w:r w:rsidR="00526217" w:rsidRPr="007741E6">
        <w:rPr>
          <w:rFonts w:ascii="Times New Roman" w:hAnsi="Times New Roman" w:cs="Times New Roman"/>
          <w:i/>
        </w:rPr>
        <w:t>in fact</w:t>
      </w:r>
      <w:r w:rsidR="00526217" w:rsidRPr="007741E6">
        <w:rPr>
          <w:rFonts w:ascii="Times New Roman" w:hAnsi="Times New Roman" w:cs="Times New Roman"/>
        </w:rPr>
        <w:t xml:space="preserve"> one’s own—that they merely appear to be one’s own is insufficient. But this conception of authenticity must be incorrect, if any of our mental states are authentic</w:t>
      </w:r>
      <w:r w:rsidRPr="007741E6">
        <w:rPr>
          <w:rFonts w:ascii="Times New Roman" w:hAnsi="Times New Roman" w:cs="Times New Roman"/>
        </w:rPr>
        <w:t xml:space="preserve">. </w:t>
      </w:r>
      <w:r w:rsidR="00FF4FB4" w:rsidRPr="007741E6">
        <w:rPr>
          <w:rFonts w:ascii="Times New Roman" w:hAnsi="Times New Roman" w:cs="Times New Roman"/>
        </w:rPr>
        <w:t xml:space="preserve">It can’t be that for a state to be authentic it must in fact be one’s own, </w:t>
      </w:r>
      <w:r w:rsidRPr="007741E6">
        <w:rPr>
          <w:rFonts w:ascii="Times New Roman" w:hAnsi="Times New Roman" w:cs="Times New Roman"/>
        </w:rPr>
        <w:t>because if it</w:t>
      </w:r>
      <w:r w:rsidR="00FF4FB4" w:rsidRPr="007741E6">
        <w:rPr>
          <w:rFonts w:ascii="Times New Roman" w:hAnsi="Times New Roman" w:cs="Times New Roman"/>
        </w:rPr>
        <w:t xml:space="preserve"> is necessary</w:t>
      </w:r>
      <w:r w:rsidR="00C301F1" w:rsidRPr="007741E6">
        <w:rPr>
          <w:rFonts w:ascii="Times New Roman" w:hAnsi="Times New Roman" w:cs="Times New Roman"/>
        </w:rPr>
        <w:t>,</w:t>
      </w:r>
      <w:r w:rsidRPr="007741E6">
        <w:rPr>
          <w:rFonts w:ascii="Times New Roman" w:hAnsi="Times New Roman" w:cs="Times New Roman"/>
        </w:rPr>
        <w:t xml:space="preserve"> then none of our states are authentic. All of a person’s mental states are caused by something external to them. </w:t>
      </w:r>
      <w:r w:rsidR="00C301F1" w:rsidRPr="007741E6">
        <w:rPr>
          <w:rFonts w:ascii="Times New Roman" w:hAnsi="Times New Roman" w:cs="Times New Roman"/>
        </w:rPr>
        <w:t>In the parlance of contemporary Bayesian accounts of belief formation, t</w:t>
      </w:r>
      <w:r w:rsidRPr="007741E6">
        <w:rPr>
          <w:rFonts w:ascii="Times New Roman" w:hAnsi="Times New Roman" w:cs="Times New Roman"/>
        </w:rPr>
        <w:t xml:space="preserve">hey are either caused by </w:t>
      </w:r>
      <w:r w:rsidR="00983E74" w:rsidRPr="007741E6">
        <w:rPr>
          <w:rFonts w:ascii="Times New Roman" w:hAnsi="Times New Roman" w:cs="Times New Roman"/>
        </w:rPr>
        <w:t xml:space="preserve">the “priors” that are the product of evolution and so external to our person, the “posteriors” in the form of information we gather from the world external to our person, or an interaction between the two. None of our mental states are </w:t>
      </w:r>
      <w:r w:rsidR="00983E74" w:rsidRPr="007741E6">
        <w:rPr>
          <w:rFonts w:ascii="Times New Roman" w:hAnsi="Times New Roman" w:cs="Times New Roman"/>
          <w:i/>
        </w:rPr>
        <w:t>in fact</w:t>
      </w:r>
      <w:r w:rsidR="00983E74" w:rsidRPr="007741E6">
        <w:rPr>
          <w:rFonts w:ascii="Times New Roman" w:hAnsi="Times New Roman" w:cs="Times New Roman"/>
        </w:rPr>
        <w:t xml:space="preserve"> our own. Covert MBE or a covert evil genius compromises authenticity no more so than the display of watermelons at the front of the grocery store which induces the thought, “I’d really like some watermelon.” Are we to say that when one reaches down and grabs a watermelon the thought and subsequent behavior are not autonomous? I’m </w:t>
      </w:r>
      <w:r w:rsidR="00983E74" w:rsidRPr="007741E6">
        <w:rPr>
          <w:rFonts w:ascii="Times New Roman" w:hAnsi="Times New Roman" w:cs="Times New Roman"/>
        </w:rPr>
        <w:lastRenderedPageBreak/>
        <w:t xml:space="preserve">indifferent to the answer. But if the answer is “Yes,” then we have rather less autonomy than we think, and covert MBE </w:t>
      </w:r>
      <w:r w:rsidR="00205335" w:rsidRPr="007741E6">
        <w:rPr>
          <w:rFonts w:ascii="Times New Roman" w:hAnsi="Times New Roman" w:cs="Times New Roman"/>
        </w:rPr>
        <w:t>is not uniquely problematic</w:t>
      </w:r>
      <w:r w:rsidR="00983E74" w:rsidRPr="007741E6">
        <w:rPr>
          <w:rFonts w:ascii="Times New Roman" w:hAnsi="Times New Roman" w:cs="Times New Roman"/>
        </w:rPr>
        <w:t>.</w:t>
      </w:r>
      <w:r w:rsidR="00205335" w:rsidRPr="007741E6">
        <w:rPr>
          <w:rFonts w:ascii="Times New Roman" w:hAnsi="Times New Roman" w:cs="Times New Roman"/>
        </w:rPr>
        <w:t xml:space="preserve"> </w:t>
      </w:r>
      <w:r w:rsidR="00983E74" w:rsidRPr="007741E6">
        <w:rPr>
          <w:rFonts w:ascii="Times New Roman" w:hAnsi="Times New Roman" w:cs="Times New Roman"/>
        </w:rPr>
        <w:t xml:space="preserve">If the answer is “No,” then covert MBE </w:t>
      </w:r>
      <w:r w:rsidR="00302432" w:rsidRPr="007741E6">
        <w:rPr>
          <w:rFonts w:ascii="Times New Roman" w:hAnsi="Times New Roman" w:cs="Times New Roman"/>
        </w:rPr>
        <w:t xml:space="preserve">doesn’t undermine authenticity. In either case covert MBE is no </w:t>
      </w:r>
      <w:r w:rsidR="0059012C" w:rsidRPr="007741E6">
        <w:rPr>
          <w:rFonts w:ascii="Times New Roman" w:hAnsi="Times New Roman" w:cs="Times New Roman"/>
        </w:rPr>
        <w:t xml:space="preserve">special </w:t>
      </w:r>
      <w:r w:rsidR="00302432" w:rsidRPr="007741E6">
        <w:rPr>
          <w:rFonts w:ascii="Times New Roman" w:hAnsi="Times New Roman" w:cs="Times New Roman"/>
        </w:rPr>
        <w:t>threat to our autonomy.</w:t>
      </w:r>
    </w:p>
    <w:p w:rsidR="006B46A0" w:rsidRPr="007741E6" w:rsidRDefault="006B46A0" w:rsidP="006B46A0">
      <w:pPr>
        <w:spacing w:line="480" w:lineRule="auto"/>
        <w:rPr>
          <w:rFonts w:ascii="Times New Roman" w:hAnsi="Times New Roman" w:cs="Times New Roman"/>
        </w:rPr>
      </w:pPr>
    </w:p>
    <w:p w:rsidR="006B46A0" w:rsidRPr="007741E6" w:rsidRDefault="006B46A0" w:rsidP="006B46A0">
      <w:pPr>
        <w:spacing w:line="480" w:lineRule="auto"/>
        <w:rPr>
          <w:rFonts w:ascii="Times New Roman" w:hAnsi="Times New Roman" w:cs="Times New Roman"/>
          <w:b/>
        </w:rPr>
      </w:pPr>
      <w:r w:rsidRPr="007741E6">
        <w:rPr>
          <w:rFonts w:ascii="Times New Roman" w:hAnsi="Times New Roman" w:cs="Times New Roman"/>
          <w:b/>
        </w:rPr>
        <w:t>Conclusion</w:t>
      </w:r>
    </w:p>
    <w:p w:rsidR="006B46A0" w:rsidRPr="007741E6" w:rsidRDefault="006B46A0" w:rsidP="006B46A0">
      <w:pPr>
        <w:spacing w:line="480" w:lineRule="auto"/>
        <w:rPr>
          <w:rFonts w:ascii="Times New Roman" w:hAnsi="Times New Roman" w:cs="Times New Roman"/>
          <w:b/>
        </w:rPr>
      </w:pPr>
    </w:p>
    <w:p w:rsidR="006B46A0" w:rsidRPr="006B46A0" w:rsidRDefault="00C301F1" w:rsidP="00C301F1">
      <w:pPr>
        <w:spacing w:line="480" w:lineRule="auto"/>
        <w:ind w:firstLine="720"/>
        <w:rPr>
          <w:rFonts w:ascii="Times New Roman" w:hAnsi="Times New Roman" w:cs="Times New Roman"/>
        </w:rPr>
      </w:pPr>
      <w:r w:rsidRPr="007741E6">
        <w:rPr>
          <w:rFonts w:ascii="Times New Roman" w:hAnsi="Times New Roman" w:cs="Times New Roman"/>
        </w:rPr>
        <w:t xml:space="preserve">The </w:t>
      </w:r>
      <w:r w:rsidR="006B46A0" w:rsidRPr="007741E6">
        <w:rPr>
          <w:rFonts w:ascii="Times New Roman" w:hAnsi="Times New Roman" w:cs="Times New Roman"/>
        </w:rPr>
        <w:t>relations between the epistemology of MBE, its effectiveness, and potential restrictions on a person’s liberty or autonomy are interesting and</w:t>
      </w:r>
      <w:r w:rsidRPr="007741E6">
        <w:rPr>
          <w:rFonts w:ascii="Times New Roman" w:hAnsi="Times New Roman" w:cs="Times New Roman"/>
        </w:rPr>
        <w:t xml:space="preserve"> understanding them</w:t>
      </w:r>
      <w:r w:rsidR="006B46A0" w:rsidRPr="007741E6">
        <w:rPr>
          <w:rFonts w:ascii="Times New Roman" w:hAnsi="Times New Roman" w:cs="Times New Roman"/>
        </w:rPr>
        <w:t xml:space="preserve"> critical to the realization of administering MBE, presuming</w:t>
      </w:r>
      <w:r w:rsidR="00A60D80" w:rsidRPr="007741E6">
        <w:rPr>
          <w:rFonts w:ascii="Times New Roman" w:hAnsi="Times New Roman" w:cs="Times New Roman"/>
        </w:rPr>
        <w:t xml:space="preserve"> in the first place</w:t>
      </w:r>
      <w:r w:rsidR="006B46A0" w:rsidRPr="007741E6">
        <w:rPr>
          <w:rFonts w:ascii="Times New Roman" w:hAnsi="Times New Roman" w:cs="Times New Roman"/>
        </w:rPr>
        <w:t xml:space="preserve"> that it’s possible to do</w:t>
      </w:r>
      <w:r w:rsidR="00AB0861" w:rsidRPr="007741E6">
        <w:rPr>
          <w:rFonts w:ascii="Times New Roman" w:hAnsi="Times New Roman" w:cs="Times New Roman"/>
        </w:rPr>
        <w:t xml:space="preserve"> so</w:t>
      </w:r>
      <w:r w:rsidR="006B46A0" w:rsidRPr="007741E6">
        <w:rPr>
          <w:rFonts w:ascii="Times New Roman" w:hAnsi="Times New Roman" w:cs="Times New Roman"/>
        </w:rPr>
        <w:t>.</w:t>
      </w:r>
      <w:r w:rsidR="00AB0861" w:rsidRPr="007741E6">
        <w:rPr>
          <w:rFonts w:ascii="Times New Roman" w:hAnsi="Times New Roman" w:cs="Times New Roman"/>
        </w:rPr>
        <w:t xml:space="preserve"> Zambrano is right to highlight these relations. Further, how </w:t>
      </w:r>
      <w:r w:rsidR="00CD6D80" w:rsidRPr="007741E6">
        <w:rPr>
          <w:rFonts w:ascii="Times New Roman" w:hAnsi="Times New Roman" w:cs="Times New Roman"/>
        </w:rPr>
        <w:t>epistemology</w:t>
      </w:r>
      <w:r w:rsidR="00AB0861" w:rsidRPr="007741E6">
        <w:rPr>
          <w:rFonts w:ascii="Times New Roman" w:hAnsi="Times New Roman" w:cs="Times New Roman"/>
        </w:rPr>
        <w:t xml:space="preserve">, effectiveness, liberty and autonomy </w:t>
      </w:r>
      <w:r w:rsidR="00FD1128" w:rsidRPr="007741E6">
        <w:rPr>
          <w:rFonts w:ascii="Times New Roman" w:hAnsi="Times New Roman" w:cs="Times New Roman"/>
        </w:rPr>
        <w:t xml:space="preserve">all </w:t>
      </w:r>
      <w:r w:rsidR="00AB0861" w:rsidRPr="007741E6">
        <w:rPr>
          <w:rFonts w:ascii="Times New Roman" w:hAnsi="Times New Roman" w:cs="Times New Roman"/>
        </w:rPr>
        <w:t>relate hinges in part on how strong the targeted population’s epistemic position is relative to the targeted effects. The stronger a p</w:t>
      </w:r>
      <w:r w:rsidR="00D817D8" w:rsidRPr="007741E6">
        <w:rPr>
          <w:rFonts w:ascii="Times New Roman" w:hAnsi="Times New Roman" w:cs="Times New Roman"/>
        </w:rPr>
        <w:t>opulation’</w:t>
      </w:r>
      <w:r w:rsidR="00AB0861" w:rsidRPr="007741E6">
        <w:rPr>
          <w:rFonts w:ascii="Times New Roman" w:hAnsi="Times New Roman" w:cs="Times New Roman"/>
        </w:rPr>
        <w:t>s epistemic position relative to the targeted effects</w:t>
      </w:r>
      <w:r w:rsidR="00AE1AB0" w:rsidRPr="007741E6">
        <w:rPr>
          <w:rFonts w:ascii="Times New Roman" w:hAnsi="Times New Roman" w:cs="Times New Roman"/>
        </w:rPr>
        <w:t xml:space="preserve">—the greater their ability to access and control their </w:t>
      </w:r>
      <w:r w:rsidR="001663E8" w:rsidRPr="007741E6">
        <w:rPr>
          <w:rFonts w:ascii="Times New Roman" w:hAnsi="Times New Roman" w:cs="Times New Roman"/>
        </w:rPr>
        <w:t xml:space="preserve">new moral </w:t>
      </w:r>
      <w:r w:rsidR="00AE1AB0" w:rsidRPr="007741E6">
        <w:rPr>
          <w:rFonts w:ascii="Times New Roman" w:hAnsi="Times New Roman" w:cs="Times New Roman"/>
        </w:rPr>
        <w:t>beliefs and the reasons for those beliefs—</w:t>
      </w:r>
      <w:r w:rsidR="00AB0861" w:rsidRPr="007741E6">
        <w:rPr>
          <w:rFonts w:ascii="Times New Roman" w:hAnsi="Times New Roman" w:cs="Times New Roman"/>
        </w:rPr>
        <w:t>the greater requirement that th</w:t>
      </w:r>
      <w:r w:rsidR="00D817D8" w:rsidRPr="007741E6">
        <w:rPr>
          <w:rFonts w:ascii="Times New Roman" w:hAnsi="Times New Roman" w:cs="Times New Roman"/>
        </w:rPr>
        <w:t>e</w:t>
      </w:r>
      <w:r w:rsidR="00AB0861" w:rsidRPr="007741E6">
        <w:rPr>
          <w:rFonts w:ascii="Times New Roman" w:hAnsi="Times New Roman" w:cs="Times New Roman"/>
        </w:rPr>
        <w:t xml:space="preserve"> enhancement be administered covertly</w:t>
      </w:r>
      <w:r w:rsidR="00DF5123" w:rsidRPr="007741E6">
        <w:rPr>
          <w:rFonts w:ascii="Times New Roman" w:hAnsi="Times New Roman" w:cs="Times New Roman"/>
        </w:rPr>
        <w:t xml:space="preserve"> for it to be effective</w:t>
      </w:r>
      <w:r w:rsidR="00D817D8" w:rsidRPr="007741E6">
        <w:rPr>
          <w:rFonts w:ascii="Times New Roman" w:hAnsi="Times New Roman" w:cs="Times New Roman"/>
        </w:rPr>
        <w:t>, which has controversial ethical implications.</w:t>
      </w:r>
      <w:r w:rsidR="00AB0861" w:rsidRPr="007741E6">
        <w:rPr>
          <w:rFonts w:ascii="Times New Roman" w:hAnsi="Times New Roman" w:cs="Times New Roman"/>
        </w:rPr>
        <w:t xml:space="preserve"> Although covert administration doesn’t threaten </w:t>
      </w:r>
      <w:r w:rsidR="00426713" w:rsidRPr="007741E6">
        <w:rPr>
          <w:rFonts w:ascii="Times New Roman" w:hAnsi="Times New Roman" w:cs="Times New Roman"/>
        </w:rPr>
        <w:t>liberty or</w:t>
      </w:r>
      <w:r w:rsidR="00AB0861" w:rsidRPr="007741E6">
        <w:rPr>
          <w:rFonts w:ascii="Times New Roman" w:hAnsi="Times New Roman" w:cs="Times New Roman"/>
        </w:rPr>
        <w:t xml:space="preserve"> autonomy</w:t>
      </w:r>
      <w:r w:rsidR="00D817D8" w:rsidRPr="007741E6">
        <w:rPr>
          <w:rFonts w:ascii="Times New Roman" w:hAnsi="Times New Roman" w:cs="Times New Roman"/>
        </w:rPr>
        <w:t xml:space="preserve"> in any</w:t>
      </w:r>
      <w:r w:rsidR="00426713" w:rsidRPr="007741E6">
        <w:rPr>
          <w:rFonts w:ascii="Times New Roman" w:hAnsi="Times New Roman" w:cs="Times New Roman"/>
        </w:rPr>
        <w:t xml:space="preserve"> impermissible</w:t>
      </w:r>
      <w:r w:rsidR="00D817D8" w:rsidRPr="007741E6">
        <w:rPr>
          <w:rFonts w:ascii="Times New Roman" w:hAnsi="Times New Roman" w:cs="Times New Roman"/>
        </w:rPr>
        <w:t xml:space="preserve"> way</w:t>
      </w:r>
      <w:r w:rsidR="00AB0861" w:rsidRPr="007741E6">
        <w:rPr>
          <w:rFonts w:ascii="Times New Roman" w:hAnsi="Times New Roman" w:cs="Times New Roman"/>
        </w:rPr>
        <w:t>,</w:t>
      </w:r>
      <w:r w:rsidR="00D817D8" w:rsidRPr="007741E6">
        <w:rPr>
          <w:rFonts w:ascii="Times New Roman" w:hAnsi="Times New Roman" w:cs="Times New Roman"/>
        </w:rPr>
        <w:t xml:space="preserve"> to understand whether covert or overt MBE is better, we need to know how strong the population’s epistemic position is likely to be. This is partly an empirical matter. If it’s a weak position, and members of the population are helpless to “combat” the enhancement, then an overt MBE may be preferable</w:t>
      </w:r>
      <w:r w:rsidR="00FD1128" w:rsidRPr="007741E6">
        <w:rPr>
          <w:rFonts w:ascii="Times New Roman" w:hAnsi="Times New Roman" w:cs="Times New Roman"/>
        </w:rPr>
        <w:t xml:space="preserve">; or the </w:t>
      </w:r>
      <w:r w:rsidR="0051259C" w:rsidRPr="007741E6">
        <w:rPr>
          <w:rFonts w:ascii="Times New Roman" w:hAnsi="Times New Roman" w:cs="Times New Roman"/>
        </w:rPr>
        <w:t>belief that one is being manipulated might be too great a burden, justifying instead a covert MBE</w:t>
      </w:r>
      <w:r w:rsidR="00FD1128" w:rsidRPr="007741E6">
        <w:rPr>
          <w:rFonts w:ascii="Times New Roman" w:hAnsi="Times New Roman" w:cs="Times New Roman"/>
        </w:rPr>
        <w:t>.</w:t>
      </w:r>
      <w:r w:rsidR="001A351A" w:rsidRPr="007741E6">
        <w:rPr>
          <w:rFonts w:ascii="Times New Roman" w:hAnsi="Times New Roman" w:cs="Times New Roman"/>
        </w:rPr>
        <w:t xml:space="preserve"> Either way, we need to better understand the epistemic positions of those who receive moral enhancements</w:t>
      </w:r>
      <w:r w:rsidR="00426713" w:rsidRPr="007741E6">
        <w:rPr>
          <w:rFonts w:ascii="Times New Roman" w:hAnsi="Times New Roman" w:cs="Times New Roman"/>
        </w:rPr>
        <w:t>, because it matters to the method of administering MBE</w:t>
      </w:r>
      <w:r w:rsidR="008F0DBC" w:rsidRPr="007741E6">
        <w:rPr>
          <w:rFonts w:ascii="Times New Roman" w:hAnsi="Times New Roman" w:cs="Times New Roman"/>
        </w:rPr>
        <w:t>.</w:t>
      </w:r>
      <w:r w:rsidR="008F0DBC">
        <w:rPr>
          <w:rFonts w:ascii="Times New Roman" w:hAnsi="Times New Roman" w:cs="Times New Roman"/>
        </w:rPr>
        <w:t xml:space="preserve"> </w:t>
      </w:r>
    </w:p>
    <w:sectPr w:rsidR="006B46A0" w:rsidRPr="006B46A0" w:rsidSect="007B2A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7FC" w:rsidRDefault="00ED27FC" w:rsidP="00404B6B">
      <w:r>
        <w:separator/>
      </w:r>
    </w:p>
  </w:endnote>
  <w:endnote w:type="continuationSeparator" w:id="0">
    <w:p w:rsidR="00ED27FC" w:rsidRDefault="00ED27FC" w:rsidP="0040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9594134"/>
      <w:docPartObj>
        <w:docPartGallery w:val="Page Numbers (Bottom of Page)"/>
        <w:docPartUnique/>
      </w:docPartObj>
    </w:sdtPr>
    <w:sdtEndPr>
      <w:rPr>
        <w:rStyle w:val="PageNumber"/>
      </w:rPr>
    </w:sdtEndPr>
    <w:sdtContent>
      <w:p w:rsidR="00404B6B" w:rsidRDefault="00404B6B" w:rsidP="005804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4B6B" w:rsidRDefault="0040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160123"/>
      <w:docPartObj>
        <w:docPartGallery w:val="Page Numbers (Bottom of Page)"/>
        <w:docPartUnique/>
      </w:docPartObj>
    </w:sdtPr>
    <w:sdtEndPr>
      <w:rPr>
        <w:rStyle w:val="PageNumber"/>
        <w:rFonts w:ascii="Times New Roman" w:hAnsi="Times New Roman" w:cs="Times New Roman"/>
      </w:rPr>
    </w:sdtEndPr>
    <w:sdtContent>
      <w:p w:rsidR="00404B6B" w:rsidRDefault="00404B6B" w:rsidP="00580495">
        <w:pPr>
          <w:pStyle w:val="Footer"/>
          <w:framePr w:wrap="none" w:vAnchor="text" w:hAnchor="margin" w:xAlign="center" w:y="1"/>
          <w:rPr>
            <w:rStyle w:val="PageNumber"/>
          </w:rPr>
        </w:pPr>
        <w:r w:rsidRPr="00404B6B">
          <w:rPr>
            <w:rStyle w:val="PageNumber"/>
            <w:rFonts w:ascii="Times New Roman" w:hAnsi="Times New Roman" w:cs="Times New Roman"/>
          </w:rPr>
          <w:fldChar w:fldCharType="begin"/>
        </w:r>
        <w:r w:rsidRPr="00404B6B">
          <w:rPr>
            <w:rStyle w:val="PageNumber"/>
            <w:rFonts w:ascii="Times New Roman" w:hAnsi="Times New Roman" w:cs="Times New Roman"/>
          </w:rPr>
          <w:instrText xml:space="preserve"> PAGE </w:instrText>
        </w:r>
        <w:r w:rsidRPr="00404B6B">
          <w:rPr>
            <w:rStyle w:val="PageNumber"/>
            <w:rFonts w:ascii="Times New Roman" w:hAnsi="Times New Roman" w:cs="Times New Roman"/>
          </w:rPr>
          <w:fldChar w:fldCharType="separate"/>
        </w:r>
        <w:r w:rsidRPr="00404B6B">
          <w:rPr>
            <w:rStyle w:val="PageNumber"/>
            <w:rFonts w:ascii="Times New Roman" w:hAnsi="Times New Roman" w:cs="Times New Roman"/>
            <w:noProof/>
          </w:rPr>
          <w:t>1</w:t>
        </w:r>
        <w:r w:rsidRPr="00404B6B">
          <w:rPr>
            <w:rStyle w:val="PageNumber"/>
            <w:rFonts w:ascii="Times New Roman" w:hAnsi="Times New Roman" w:cs="Times New Roman"/>
          </w:rPr>
          <w:fldChar w:fldCharType="end"/>
        </w:r>
      </w:p>
    </w:sdtContent>
  </w:sdt>
  <w:p w:rsidR="00404B6B" w:rsidRDefault="00404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85" w:rsidRDefault="00CD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7FC" w:rsidRDefault="00ED27FC" w:rsidP="00404B6B">
      <w:r>
        <w:separator/>
      </w:r>
    </w:p>
  </w:footnote>
  <w:footnote w:type="continuationSeparator" w:id="0">
    <w:p w:rsidR="00ED27FC" w:rsidRDefault="00ED27FC" w:rsidP="00404B6B">
      <w:r>
        <w:continuationSeparator/>
      </w:r>
    </w:p>
  </w:footnote>
  <w:footnote w:id="1">
    <w:p w:rsidR="009704F1" w:rsidRPr="007741E6" w:rsidRDefault="009704F1" w:rsidP="009756FD">
      <w:pPr>
        <w:pStyle w:val="NormalWeb"/>
        <w:keepLines/>
        <w:spacing w:before="0" w:beforeAutospacing="0" w:after="0" w:afterAutospacing="0"/>
      </w:pPr>
      <w:r w:rsidRPr="007741E6">
        <w:rPr>
          <w:rStyle w:val="FootnoteReference"/>
        </w:rPr>
        <w:footnoteRef/>
      </w:r>
      <w:r w:rsidRPr="007741E6">
        <w:t xml:space="preserve"> Zambrano, A. (2019). Covert moral </w:t>
      </w:r>
      <w:proofErr w:type="spellStart"/>
      <w:r w:rsidRPr="007741E6">
        <w:t>bioenhancement</w:t>
      </w:r>
      <w:proofErr w:type="spellEnd"/>
      <w:r w:rsidRPr="007741E6">
        <w:t xml:space="preserve">, public health, and autonomy. </w:t>
      </w:r>
      <w:r w:rsidRPr="007741E6">
        <w:rPr>
          <w:i/>
          <w:iCs/>
        </w:rPr>
        <w:t>Bioethics</w:t>
      </w:r>
      <w:r w:rsidRPr="007741E6">
        <w:t>, (October 2018), 2–5. https://doi.org/10.1111/bioe.12567</w:t>
      </w:r>
    </w:p>
    <w:p w:rsidR="009704F1" w:rsidRPr="007741E6" w:rsidRDefault="009704F1" w:rsidP="009756FD">
      <w:pPr>
        <w:pStyle w:val="FootnoteText"/>
        <w:keepLines/>
        <w:rPr>
          <w:rFonts w:ascii="Times New Roman" w:hAnsi="Times New Roman" w:cs="Times New Roman"/>
          <w:sz w:val="24"/>
          <w:szCs w:val="24"/>
        </w:rPr>
      </w:pPr>
    </w:p>
  </w:footnote>
  <w:footnote w:id="2">
    <w:p w:rsidR="008C0B01" w:rsidRPr="007741E6" w:rsidRDefault="008C0B01" w:rsidP="009756FD">
      <w:pPr>
        <w:pStyle w:val="NormalWeb"/>
        <w:keepLines/>
        <w:spacing w:before="0" w:beforeAutospacing="0" w:after="0" w:afterAutospacing="0"/>
      </w:pPr>
      <w:r w:rsidRPr="007741E6">
        <w:rPr>
          <w:rStyle w:val="FootnoteReference"/>
        </w:rPr>
        <w:footnoteRef/>
      </w:r>
      <w:r w:rsidRPr="007741E6">
        <w:t xml:space="preserve"> Persson, I., &amp; </w:t>
      </w:r>
      <w:proofErr w:type="spellStart"/>
      <w:r w:rsidRPr="007741E6">
        <w:t>Savulescu</w:t>
      </w:r>
      <w:proofErr w:type="spellEnd"/>
      <w:r w:rsidRPr="007741E6">
        <w:t xml:space="preserve">, J. (2008). The Perils of Cognitive Enhancement and the Urgent Imperative to Enhance the Moral Character of Humanity. </w:t>
      </w:r>
      <w:r w:rsidRPr="007741E6">
        <w:rPr>
          <w:i/>
          <w:iCs/>
        </w:rPr>
        <w:t>Journal of Applied Philosophy</w:t>
      </w:r>
      <w:r w:rsidRPr="007741E6">
        <w:t xml:space="preserve">, </w:t>
      </w:r>
      <w:r w:rsidRPr="007741E6">
        <w:rPr>
          <w:i/>
          <w:iCs/>
        </w:rPr>
        <w:t>25</w:t>
      </w:r>
      <w:r w:rsidRPr="007741E6">
        <w:t xml:space="preserve">(3), 162–177. </w:t>
      </w:r>
      <w:hyperlink r:id="rId1" w:history="1">
        <w:r w:rsidRPr="007741E6">
          <w:rPr>
            <w:rStyle w:val="Hyperlink"/>
          </w:rPr>
          <w:t>https://doi.org/10.1111/j.1468-5930.2008.00410.x</w:t>
        </w:r>
      </w:hyperlink>
      <w:r w:rsidRPr="007741E6">
        <w:t xml:space="preserve">; Persson, I., &amp; </w:t>
      </w:r>
      <w:proofErr w:type="spellStart"/>
      <w:r w:rsidRPr="007741E6">
        <w:t>Savulescu</w:t>
      </w:r>
      <w:proofErr w:type="spellEnd"/>
      <w:r w:rsidRPr="007741E6">
        <w:t xml:space="preserve">, J. (2014). </w:t>
      </w:r>
      <w:r w:rsidRPr="007741E6">
        <w:rPr>
          <w:i/>
          <w:iCs/>
        </w:rPr>
        <w:t>Unfit for the Future: The Need for Moral Enhancement</w:t>
      </w:r>
      <w:r w:rsidRPr="007741E6">
        <w:t>. Oxford University Press.</w:t>
      </w:r>
    </w:p>
    <w:p w:rsidR="008C0B01" w:rsidRPr="007741E6" w:rsidRDefault="008C0B01" w:rsidP="009756FD">
      <w:pPr>
        <w:pStyle w:val="FootnoteText"/>
        <w:keepLines/>
        <w:rPr>
          <w:rFonts w:ascii="Times New Roman" w:hAnsi="Times New Roman" w:cs="Times New Roman"/>
          <w:sz w:val="24"/>
          <w:szCs w:val="24"/>
        </w:rPr>
      </w:pPr>
    </w:p>
  </w:footnote>
  <w:footnote w:id="3">
    <w:p w:rsidR="008C0B01" w:rsidRPr="007741E6" w:rsidRDefault="008C0B01" w:rsidP="009756FD">
      <w:pPr>
        <w:pStyle w:val="NormalWeb"/>
        <w:keepLines/>
        <w:spacing w:before="0" w:beforeAutospacing="0" w:after="0" w:afterAutospacing="0"/>
      </w:pPr>
      <w:r w:rsidRPr="007741E6">
        <w:rPr>
          <w:rStyle w:val="FootnoteReference"/>
        </w:rPr>
        <w:footnoteRef/>
      </w:r>
      <w:r w:rsidRPr="007741E6">
        <w:t xml:space="preserve"> Crutchfield, P. (2019). Compulsory moral </w:t>
      </w:r>
      <w:proofErr w:type="spellStart"/>
      <w:r w:rsidRPr="007741E6">
        <w:t>bioenhancement</w:t>
      </w:r>
      <w:proofErr w:type="spellEnd"/>
      <w:r w:rsidRPr="007741E6">
        <w:t xml:space="preserve"> should be covert. </w:t>
      </w:r>
      <w:r w:rsidRPr="007741E6">
        <w:rPr>
          <w:i/>
          <w:iCs/>
        </w:rPr>
        <w:t>Bioethics</w:t>
      </w:r>
      <w:r w:rsidRPr="007741E6">
        <w:t xml:space="preserve">, </w:t>
      </w:r>
      <w:r w:rsidRPr="007741E6">
        <w:rPr>
          <w:i/>
          <w:iCs/>
        </w:rPr>
        <w:t>33</w:t>
      </w:r>
      <w:r w:rsidRPr="007741E6">
        <w:t>(1), 112–121. https://doi.org/10.1111/bioe.12496</w:t>
      </w:r>
    </w:p>
    <w:p w:rsidR="008C0B01" w:rsidRPr="007741E6" w:rsidRDefault="008C0B01" w:rsidP="009756FD">
      <w:pPr>
        <w:pStyle w:val="FootnoteText"/>
        <w:keepLines/>
        <w:rPr>
          <w:rFonts w:ascii="Times New Roman" w:hAnsi="Times New Roman" w:cs="Times New Roman"/>
          <w:sz w:val="24"/>
          <w:szCs w:val="24"/>
        </w:rPr>
      </w:pPr>
    </w:p>
  </w:footnote>
  <w:footnote w:id="4">
    <w:p w:rsidR="006B1298" w:rsidRPr="007741E6" w:rsidRDefault="006B1298" w:rsidP="009756FD">
      <w:pPr>
        <w:pStyle w:val="FootnoteText"/>
        <w:keepLines/>
        <w:rPr>
          <w:rFonts w:ascii="Times New Roman" w:hAnsi="Times New Roman" w:cs="Times New Roman"/>
          <w:sz w:val="24"/>
          <w:szCs w:val="24"/>
        </w:rPr>
      </w:pPr>
      <w:r w:rsidRPr="007741E6">
        <w:rPr>
          <w:rStyle w:val="FootnoteReference"/>
          <w:rFonts w:ascii="Times New Roman" w:hAnsi="Times New Roman" w:cs="Times New Roman"/>
          <w:sz w:val="24"/>
          <w:szCs w:val="24"/>
        </w:rPr>
        <w:footnoteRef/>
      </w:r>
      <w:r w:rsidRPr="007741E6">
        <w:rPr>
          <w:rFonts w:ascii="Times New Roman" w:hAnsi="Times New Roman" w:cs="Times New Roman"/>
          <w:sz w:val="24"/>
          <w:szCs w:val="24"/>
        </w:rPr>
        <w:t xml:space="preserve"> Op. cit. note 2</w:t>
      </w:r>
    </w:p>
  </w:footnote>
  <w:footnote w:id="5">
    <w:p w:rsidR="006B1298" w:rsidRPr="007741E6" w:rsidRDefault="006B1298" w:rsidP="009756FD">
      <w:pPr>
        <w:pStyle w:val="NormalWeb"/>
        <w:keepLines/>
      </w:pPr>
      <w:r w:rsidRPr="007741E6">
        <w:rPr>
          <w:rStyle w:val="FootnoteReference"/>
        </w:rPr>
        <w:footnoteRef/>
      </w:r>
      <w:r w:rsidRPr="007741E6">
        <w:t xml:space="preserve"> </w:t>
      </w:r>
      <w:proofErr w:type="spellStart"/>
      <w:r w:rsidR="00D40E31" w:rsidRPr="007741E6">
        <w:t>Rakić</w:t>
      </w:r>
      <w:proofErr w:type="spellEnd"/>
      <w:r w:rsidR="00D40E31" w:rsidRPr="007741E6">
        <w:t xml:space="preserve">, V. (2014). Voluntary moral enhancement and the survival-at-any-cost bias. </w:t>
      </w:r>
      <w:r w:rsidR="00D40E31" w:rsidRPr="007741E6">
        <w:rPr>
          <w:i/>
          <w:iCs/>
        </w:rPr>
        <w:t>Journal of Medical Ethics</w:t>
      </w:r>
      <w:r w:rsidR="00D40E31" w:rsidRPr="007741E6">
        <w:t xml:space="preserve">, </w:t>
      </w:r>
      <w:r w:rsidR="00D40E31" w:rsidRPr="007741E6">
        <w:rPr>
          <w:i/>
          <w:iCs/>
        </w:rPr>
        <w:t>40</w:t>
      </w:r>
      <w:r w:rsidR="00D40E31" w:rsidRPr="007741E6">
        <w:t xml:space="preserve">(4), 246–250. </w:t>
      </w:r>
      <w:hyperlink r:id="rId2" w:history="1">
        <w:r w:rsidR="00D40E31" w:rsidRPr="007741E6">
          <w:rPr>
            <w:rStyle w:val="Hyperlink"/>
          </w:rPr>
          <w:t>https://doi.org/10.1136/medethics-2012-100700</w:t>
        </w:r>
      </w:hyperlink>
      <w:r w:rsidR="00D40E31" w:rsidRPr="007741E6">
        <w:t xml:space="preserve">; </w:t>
      </w:r>
      <w:proofErr w:type="spellStart"/>
      <w:r w:rsidR="00D40E31" w:rsidRPr="007741E6">
        <w:t>Rakić</w:t>
      </w:r>
      <w:proofErr w:type="spellEnd"/>
      <w:r w:rsidR="00D40E31" w:rsidRPr="007741E6">
        <w:t xml:space="preserve">, V. (2014). Voluntary moral </w:t>
      </w:r>
      <w:proofErr w:type="spellStart"/>
      <w:r w:rsidR="00D40E31" w:rsidRPr="007741E6">
        <w:t>bioenhancement</w:t>
      </w:r>
      <w:proofErr w:type="spellEnd"/>
      <w:r w:rsidR="00D40E31" w:rsidRPr="007741E6">
        <w:t xml:space="preserve"> is a solution to Sparrow’s concerns. </w:t>
      </w:r>
      <w:r w:rsidR="00D40E31" w:rsidRPr="007741E6">
        <w:rPr>
          <w:i/>
          <w:iCs/>
        </w:rPr>
        <w:t xml:space="preserve">The American Journal of </w:t>
      </w:r>
      <w:proofErr w:type="gramStart"/>
      <w:r w:rsidR="00D40E31" w:rsidRPr="007741E6">
        <w:rPr>
          <w:i/>
          <w:iCs/>
        </w:rPr>
        <w:t>Bioethics :</w:t>
      </w:r>
      <w:proofErr w:type="gramEnd"/>
      <w:r w:rsidR="00D40E31" w:rsidRPr="007741E6">
        <w:rPr>
          <w:i/>
          <w:iCs/>
        </w:rPr>
        <w:t xml:space="preserve"> AJOB</w:t>
      </w:r>
      <w:r w:rsidR="00D40E31" w:rsidRPr="007741E6">
        <w:t xml:space="preserve">, </w:t>
      </w:r>
      <w:r w:rsidR="00D40E31" w:rsidRPr="007741E6">
        <w:rPr>
          <w:i/>
          <w:iCs/>
        </w:rPr>
        <w:t>14</w:t>
      </w:r>
      <w:r w:rsidR="00D40E31" w:rsidRPr="007741E6">
        <w:t>(4), 37–38. https://doi.org/10.1080/15265161.2014.88924</w:t>
      </w:r>
    </w:p>
  </w:footnote>
  <w:footnote w:id="6">
    <w:p w:rsidR="004C5C6B" w:rsidRPr="007741E6" w:rsidRDefault="004C5C6B" w:rsidP="009756FD">
      <w:pPr>
        <w:pStyle w:val="NormalWeb"/>
        <w:keepLines/>
      </w:pPr>
      <w:r w:rsidRPr="007741E6">
        <w:rPr>
          <w:rStyle w:val="FootnoteReference"/>
        </w:rPr>
        <w:footnoteRef/>
      </w:r>
      <w:r w:rsidRPr="007741E6">
        <w:t xml:space="preserve"> </w:t>
      </w:r>
      <w:proofErr w:type="spellStart"/>
      <w:r w:rsidR="00D40E31" w:rsidRPr="007741E6">
        <w:t>Rakić</w:t>
      </w:r>
      <w:proofErr w:type="spellEnd"/>
      <w:r w:rsidR="00D40E31" w:rsidRPr="007741E6">
        <w:t xml:space="preserve">, V. (2017). The Issues of Freedom and Happiness in Moral </w:t>
      </w:r>
      <w:proofErr w:type="spellStart"/>
      <w:r w:rsidR="00D40E31" w:rsidRPr="007741E6">
        <w:t>Bioenhancement</w:t>
      </w:r>
      <w:proofErr w:type="spellEnd"/>
      <w:r w:rsidR="00D40E31" w:rsidRPr="007741E6">
        <w:t xml:space="preserve">: Continuing the Debate </w:t>
      </w:r>
      <w:proofErr w:type="gramStart"/>
      <w:r w:rsidR="00D40E31" w:rsidRPr="007741E6">
        <w:t>With</w:t>
      </w:r>
      <w:proofErr w:type="gramEnd"/>
      <w:r w:rsidR="00D40E31" w:rsidRPr="007741E6">
        <w:t xml:space="preserve"> a Reply to Harris Wiseman. </w:t>
      </w:r>
      <w:r w:rsidR="00D40E31" w:rsidRPr="007741E6">
        <w:rPr>
          <w:i/>
          <w:iCs/>
        </w:rPr>
        <w:t>Journal of Bioethical Inquiry</w:t>
      </w:r>
      <w:r w:rsidR="00D40E31" w:rsidRPr="007741E6">
        <w:t xml:space="preserve">, </w:t>
      </w:r>
      <w:r w:rsidR="00D40E31" w:rsidRPr="007741E6">
        <w:rPr>
          <w:i/>
          <w:iCs/>
        </w:rPr>
        <w:t>14</w:t>
      </w:r>
      <w:r w:rsidR="00D40E31" w:rsidRPr="007741E6">
        <w:t>(4), 469–474. https://doi.org/10.1007/s11673-017-9805-x</w:t>
      </w:r>
    </w:p>
  </w:footnote>
  <w:footnote w:id="7">
    <w:p w:rsidR="004C5C6B" w:rsidRPr="007741E6" w:rsidRDefault="004C5C6B" w:rsidP="009756FD">
      <w:pPr>
        <w:pStyle w:val="NormalWeb"/>
        <w:keepLines/>
      </w:pPr>
      <w:r w:rsidRPr="007741E6">
        <w:rPr>
          <w:rStyle w:val="FootnoteReference"/>
        </w:rPr>
        <w:footnoteRef/>
      </w:r>
      <w:r w:rsidRPr="007741E6">
        <w:t xml:space="preserve"> </w:t>
      </w:r>
      <w:proofErr w:type="spellStart"/>
      <w:r w:rsidR="00D40E31" w:rsidRPr="007741E6">
        <w:t>Rakic</w:t>
      </w:r>
      <w:proofErr w:type="spellEnd"/>
      <w:r w:rsidR="00D40E31" w:rsidRPr="007741E6">
        <w:t xml:space="preserve">, V. (2015). How Moral Is (Moral) Enhancement? We Must Create Beings with Moral Standing Superior to Our Own. </w:t>
      </w:r>
      <w:r w:rsidR="00D40E31" w:rsidRPr="007741E6">
        <w:rPr>
          <w:i/>
          <w:iCs/>
        </w:rPr>
        <w:t>Cambridge Quarterly of Healthcare Ethics</w:t>
      </w:r>
      <w:r w:rsidR="00D40E31" w:rsidRPr="007741E6">
        <w:t xml:space="preserve">, </w:t>
      </w:r>
      <w:r w:rsidR="00D40E31" w:rsidRPr="007741E6">
        <w:rPr>
          <w:i/>
          <w:iCs/>
        </w:rPr>
        <w:t>24</w:t>
      </w:r>
      <w:r w:rsidR="00D40E31" w:rsidRPr="007741E6">
        <w:t>, 58–65. https://doi.org/10.1017/S0963180114000309</w:t>
      </w:r>
    </w:p>
  </w:footnote>
  <w:footnote w:id="8">
    <w:p w:rsidR="00D40E31" w:rsidRPr="007741E6" w:rsidRDefault="004C5C6B" w:rsidP="009756FD">
      <w:pPr>
        <w:pStyle w:val="NormalWeb"/>
        <w:keepLines/>
      </w:pPr>
      <w:r w:rsidRPr="007741E6">
        <w:rPr>
          <w:rStyle w:val="FootnoteReference"/>
        </w:rPr>
        <w:footnoteRef/>
      </w:r>
      <w:r w:rsidRPr="007741E6">
        <w:t xml:space="preserve"> </w:t>
      </w:r>
      <w:r w:rsidR="00D40E31" w:rsidRPr="007741E6">
        <w:t xml:space="preserve">Wiseman, H. (2014). SSRIs as Moral Enhancement Interventions: A Practical Dead End. </w:t>
      </w:r>
      <w:r w:rsidR="00D40E31" w:rsidRPr="007741E6">
        <w:rPr>
          <w:i/>
          <w:iCs/>
        </w:rPr>
        <w:t>AJOB Neuroscience</w:t>
      </w:r>
      <w:r w:rsidR="00D40E31" w:rsidRPr="007741E6">
        <w:t xml:space="preserve">, </w:t>
      </w:r>
      <w:r w:rsidR="00D40E31" w:rsidRPr="007741E6">
        <w:rPr>
          <w:i/>
          <w:iCs/>
        </w:rPr>
        <w:t>5</w:t>
      </w:r>
      <w:r w:rsidR="00D40E31" w:rsidRPr="007741E6">
        <w:t xml:space="preserve">(3), 21–30. </w:t>
      </w:r>
      <w:hyperlink r:id="rId3" w:history="1">
        <w:r w:rsidR="00D40E31" w:rsidRPr="007741E6">
          <w:rPr>
            <w:rStyle w:val="Hyperlink"/>
          </w:rPr>
          <w:t>https://doi.org/10.1080/21507740.2014.911214</w:t>
        </w:r>
      </w:hyperlink>
      <w:r w:rsidR="00D40E31" w:rsidRPr="007741E6">
        <w:t xml:space="preserve">; Crockett, M. J. (2014). Moral </w:t>
      </w:r>
      <w:proofErr w:type="spellStart"/>
      <w:r w:rsidR="00D40E31" w:rsidRPr="007741E6">
        <w:t>bioenhancement</w:t>
      </w:r>
      <w:proofErr w:type="spellEnd"/>
      <w:r w:rsidR="00D40E31" w:rsidRPr="007741E6">
        <w:t xml:space="preserve">: a neuroscientific perspective. </w:t>
      </w:r>
      <w:r w:rsidR="00D40E31" w:rsidRPr="007741E6">
        <w:rPr>
          <w:i/>
          <w:iCs/>
        </w:rPr>
        <w:t>Journal of Medical Ethics</w:t>
      </w:r>
      <w:r w:rsidR="00D40E31" w:rsidRPr="007741E6">
        <w:t xml:space="preserve">, </w:t>
      </w:r>
      <w:r w:rsidR="00D40E31" w:rsidRPr="007741E6">
        <w:rPr>
          <w:i/>
          <w:iCs/>
        </w:rPr>
        <w:t>40</w:t>
      </w:r>
      <w:r w:rsidR="00D40E31" w:rsidRPr="007741E6">
        <w:t xml:space="preserve">(6), 370–371. </w:t>
      </w:r>
      <w:hyperlink r:id="rId4" w:history="1">
        <w:r w:rsidR="00D40E31" w:rsidRPr="007741E6">
          <w:rPr>
            <w:rStyle w:val="Hyperlink"/>
          </w:rPr>
          <w:t>https://doi.org/10.1136/medethics-2012-101096</w:t>
        </w:r>
      </w:hyperlink>
      <w:r w:rsidR="00D40E31" w:rsidRPr="007741E6">
        <w:t xml:space="preserve">; Wiseman, H. (2016). </w:t>
      </w:r>
      <w:r w:rsidR="00D40E31" w:rsidRPr="007741E6">
        <w:rPr>
          <w:i/>
          <w:iCs/>
        </w:rPr>
        <w:t>The Myth of the Moral Brain: The Limits of Moral Enhancement</w:t>
      </w:r>
      <w:r w:rsidR="00D40E31" w:rsidRPr="007741E6">
        <w:t xml:space="preserve">. MIT Press; </w:t>
      </w:r>
    </w:p>
    <w:p w:rsidR="00D40E31" w:rsidRPr="007741E6" w:rsidRDefault="00D40E31" w:rsidP="009756FD">
      <w:pPr>
        <w:pStyle w:val="NormalWeb"/>
        <w:keepLines/>
      </w:pPr>
    </w:p>
    <w:p w:rsidR="004C5C6B" w:rsidRPr="007741E6" w:rsidRDefault="004C5C6B" w:rsidP="009756FD">
      <w:pPr>
        <w:pStyle w:val="FootnoteText"/>
        <w:keepLines/>
        <w:rPr>
          <w:rFonts w:ascii="Times New Roman" w:hAnsi="Times New Roman" w:cs="Times New Roman"/>
        </w:rPr>
      </w:pPr>
    </w:p>
  </w:footnote>
  <w:footnote w:id="9">
    <w:p w:rsidR="008C0B01" w:rsidRPr="007741E6" w:rsidRDefault="008C0B01" w:rsidP="009756FD">
      <w:pPr>
        <w:pStyle w:val="FootnoteText"/>
        <w:keepLines/>
        <w:rPr>
          <w:rFonts w:ascii="Times New Roman" w:hAnsi="Times New Roman" w:cs="Times New Roman"/>
          <w:sz w:val="24"/>
          <w:szCs w:val="24"/>
        </w:rPr>
      </w:pPr>
      <w:r w:rsidRPr="007741E6">
        <w:rPr>
          <w:rStyle w:val="FootnoteReference"/>
          <w:rFonts w:ascii="Times New Roman" w:hAnsi="Times New Roman" w:cs="Times New Roman"/>
          <w:sz w:val="24"/>
          <w:szCs w:val="24"/>
        </w:rPr>
        <w:footnoteRef/>
      </w:r>
      <w:r w:rsidRPr="007741E6">
        <w:rPr>
          <w:rFonts w:ascii="Times New Roman" w:hAnsi="Times New Roman" w:cs="Times New Roman"/>
          <w:sz w:val="24"/>
          <w:szCs w:val="24"/>
        </w:rPr>
        <w:t xml:space="preserve"> Op. cit. note </w:t>
      </w:r>
      <w:r w:rsidR="009704F1" w:rsidRPr="007741E6">
        <w:rPr>
          <w:rFonts w:ascii="Times New Roman" w:hAnsi="Times New Roman" w:cs="Times New Roman"/>
          <w:sz w:val="24"/>
          <w:szCs w:val="24"/>
        </w:rPr>
        <w:t>1</w:t>
      </w:r>
      <w:r w:rsidRPr="007741E6">
        <w:rPr>
          <w:rFonts w:ascii="Times New Roman" w:hAnsi="Times New Roman" w:cs="Times New Roman"/>
          <w:sz w:val="24"/>
          <w:szCs w:val="24"/>
        </w:rPr>
        <w:t>, p. 2</w:t>
      </w:r>
    </w:p>
  </w:footnote>
  <w:footnote w:id="10">
    <w:p w:rsidR="000F5B12" w:rsidRPr="007741E6" w:rsidRDefault="000F5B12" w:rsidP="009756FD">
      <w:pPr>
        <w:keepLines/>
        <w:rPr>
          <w:rFonts w:ascii="Times New Roman" w:hAnsi="Times New Roman" w:cs="Times New Roman"/>
        </w:rPr>
      </w:pPr>
      <w:r w:rsidRPr="007741E6">
        <w:rPr>
          <w:rStyle w:val="FootnoteReference"/>
          <w:rFonts w:ascii="Times New Roman" w:hAnsi="Times New Roman" w:cs="Times New Roman"/>
        </w:rPr>
        <w:footnoteRef/>
      </w:r>
      <w:r w:rsidRPr="007741E6">
        <w:rPr>
          <w:rFonts w:ascii="Times New Roman" w:hAnsi="Times New Roman" w:cs="Times New Roman"/>
        </w:rPr>
        <w:t xml:space="preserve"> The Centers for Disease Control and Prevention notes that tobacco control is one of the top ten public health achievements of 2001-2010. Ten Great Public Health Achievements—United State 2001-2010, </w:t>
      </w:r>
      <w:hyperlink r:id="rId5" w:history="1">
        <w:r w:rsidRPr="007741E6">
          <w:rPr>
            <w:rStyle w:val="Hyperlink"/>
            <w:rFonts w:ascii="Times New Roman" w:hAnsi="Times New Roman" w:cs="Times New Roman"/>
          </w:rPr>
          <w:t>https://www.cdc.gov/mmwr/preview/mmwrhtml/mm6019a5.htm</w:t>
        </w:r>
      </w:hyperlink>
      <w:r w:rsidRPr="007741E6">
        <w:rPr>
          <w:rFonts w:ascii="Times New Roman" w:hAnsi="Times New Roman" w:cs="Times New Roman"/>
        </w:rPr>
        <w:t>, accessed July 3, 2019.</w:t>
      </w:r>
    </w:p>
    <w:p w:rsidR="000F5B12" w:rsidRPr="007741E6" w:rsidRDefault="000F5B12" w:rsidP="009756FD">
      <w:pPr>
        <w:pStyle w:val="FootnoteText"/>
        <w:keepLines/>
        <w:rPr>
          <w:rFonts w:ascii="Times New Roman" w:hAnsi="Times New Roman" w:cs="Times New Roman"/>
        </w:rPr>
      </w:pPr>
    </w:p>
  </w:footnote>
  <w:footnote w:id="11">
    <w:p w:rsidR="008C0B01" w:rsidRPr="007741E6" w:rsidRDefault="008C0B01" w:rsidP="009756FD">
      <w:pPr>
        <w:pStyle w:val="NormalWeb"/>
        <w:keepLines/>
        <w:spacing w:before="0" w:beforeAutospacing="0" w:after="0" w:afterAutospacing="0"/>
      </w:pPr>
      <w:r w:rsidRPr="007741E6">
        <w:rPr>
          <w:rStyle w:val="FootnoteReference"/>
        </w:rPr>
        <w:footnoteRef/>
      </w:r>
      <w:r w:rsidRPr="007741E6">
        <w:t xml:space="preserve"> </w:t>
      </w:r>
      <w:proofErr w:type="spellStart"/>
      <w:r w:rsidRPr="007741E6">
        <w:t>Diekema</w:t>
      </w:r>
      <w:proofErr w:type="spellEnd"/>
      <w:r w:rsidRPr="007741E6">
        <w:t xml:space="preserve">, D. S. (2015). Physician Dismissal of Families Who Refuse Vaccination: An Ethical Assessment. </w:t>
      </w:r>
      <w:r w:rsidRPr="007741E6">
        <w:rPr>
          <w:i/>
          <w:iCs/>
        </w:rPr>
        <w:t>Journal of Law, Medicine and Ethics</w:t>
      </w:r>
      <w:r w:rsidRPr="007741E6">
        <w:t xml:space="preserve">, </w:t>
      </w:r>
      <w:r w:rsidRPr="007741E6">
        <w:rPr>
          <w:i/>
          <w:iCs/>
        </w:rPr>
        <w:t>43</w:t>
      </w:r>
      <w:r w:rsidRPr="007741E6">
        <w:t>(3), 654–660. https://doi.org/10.1111/jlme.12307</w:t>
      </w:r>
    </w:p>
    <w:p w:rsidR="008C0B01" w:rsidRPr="007741E6" w:rsidRDefault="008C0B01" w:rsidP="009756FD">
      <w:pPr>
        <w:pStyle w:val="FootnoteText"/>
        <w:keepLines/>
        <w:rPr>
          <w:rFonts w:ascii="Times New Roman" w:hAnsi="Times New Roman" w:cs="Times New Roman"/>
          <w:sz w:val="24"/>
          <w:szCs w:val="24"/>
        </w:rPr>
      </w:pPr>
    </w:p>
  </w:footnote>
  <w:footnote w:id="12">
    <w:p w:rsidR="008C0B01" w:rsidRPr="007741E6" w:rsidRDefault="008C0B01" w:rsidP="009756FD">
      <w:pPr>
        <w:pStyle w:val="FootnoteText"/>
        <w:keepLines/>
        <w:rPr>
          <w:rFonts w:ascii="Times New Roman" w:hAnsi="Times New Roman" w:cs="Times New Roman"/>
          <w:sz w:val="24"/>
          <w:szCs w:val="24"/>
        </w:rPr>
      </w:pPr>
      <w:r w:rsidRPr="007741E6">
        <w:rPr>
          <w:rStyle w:val="FootnoteReference"/>
          <w:rFonts w:ascii="Times New Roman" w:hAnsi="Times New Roman" w:cs="Times New Roman"/>
          <w:sz w:val="24"/>
          <w:szCs w:val="24"/>
        </w:rPr>
        <w:footnoteRef/>
      </w:r>
      <w:r w:rsidRPr="007741E6">
        <w:rPr>
          <w:rFonts w:ascii="Times New Roman" w:hAnsi="Times New Roman" w:cs="Times New Roman"/>
          <w:sz w:val="24"/>
          <w:szCs w:val="24"/>
        </w:rPr>
        <w:t xml:space="preserve"> Op. cit. note </w:t>
      </w:r>
      <w:r w:rsidR="009704F1" w:rsidRPr="007741E6">
        <w:rPr>
          <w:rFonts w:ascii="Times New Roman" w:hAnsi="Times New Roman" w:cs="Times New Roman"/>
          <w:sz w:val="24"/>
          <w:szCs w:val="24"/>
        </w:rPr>
        <w:t>1</w:t>
      </w:r>
      <w:r w:rsidRPr="007741E6">
        <w:rPr>
          <w:rFonts w:ascii="Times New Roman" w:hAnsi="Times New Roman" w:cs="Times New Roman"/>
          <w:sz w:val="24"/>
          <w:szCs w:val="24"/>
        </w:rPr>
        <w:t>, p. 4.</w:t>
      </w:r>
    </w:p>
  </w:footnote>
  <w:footnote w:id="13">
    <w:p w:rsidR="00CC51DC" w:rsidRPr="007741E6" w:rsidRDefault="00CC51DC" w:rsidP="009756FD">
      <w:pPr>
        <w:pStyle w:val="NormalWeb"/>
        <w:keepLines/>
        <w:spacing w:before="0" w:beforeAutospacing="0" w:after="0" w:afterAutospacing="0"/>
      </w:pPr>
      <w:r w:rsidRPr="007741E6">
        <w:rPr>
          <w:rStyle w:val="FootnoteReference"/>
        </w:rPr>
        <w:footnoteRef/>
      </w:r>
      <w:r w:rsidRPr="007741E6">
        <w:t xml:space="preserve"> Crutchfield, P. (2016). The Epistemology of Moral </w:t>
      </w:r>
      <w:proofErr w:type="spellStart"/>
      <w:r w:rsidRPr="007741E6">
        <w:t>Bioenhancement</w:t>
      </w:r>
      <w:proofErr w:type="spellEnd"/>
      <w:r w:rsidRPr="007741E6">
        <w:t xml:space="preserve">. </w:t>
      </w:r>
      <w:r w:rsidRPr="007741E6">
        <w:rPr>
          <w:i/>
          <w:iCs/>
        </w:rPr>
        <w:t>Bioethics</w:t>
      </w:r>
      <w:r w:rsidRPr="007741E6">
        <w:t xml:space="preserve">, </w:t>
      </w:r>
      <w:r w:rsidRPr="007741E6">
        <w:rPr>
          <w:i/>
          <w:iCs/>
        </w:rPr>
        <w:t>30</w:t>
      </w:r>
      <w:r w:rsidRPr="007741E6">
        <w:t xml:space="preserve">(6). </w:t>
      </w:r>
      <w:hyperlink r:id="rId6" w:history="1">
        <w:r w:rsidRPr="007741E6">
          <w:rPr>
            <w:rStyle w:val="Hyperlink"/>
          </w:rPr>
          <w:t>https://doi.org/10.1111/bioe.12239</w:t>
        </w:r>
      </w:hyperlink>
    </w:p>
    <w:p w:rsidR="00CC51DC" w:rsidRPr="007741E6" w:rsidRDefault="00CC51DC" w:rsidP="009756FD">
      <w:pPr>
        <w:pStyle w:val="NormalWeb"/>
        <w:keepLines/>
        <w:spacing w:before="0" w:beforeAutospacing="0" w:after="0" w:afterAutospacing="0"/>
      </w:pPr>
    </w:p>
  </w:footnote>
  <w:footnote w:id="14">
    <w:p w:rsidR="008C0B01" w:rsidRPr="007741E6" w:rsidRDefault="008C0B01" w:rsidP="009756FD">
      <w:pPr>
        <w:pStyle w:val="NormalWeb"/>
        <w:keepLines/>
        <w:spacing w:before="0" w:beforeAutospacing="0" w:after="0" w:afterAutospacing="0"/>
      </w:pPr>
      <w:r w:rsidRPr="007741E6">
        <w:rPr>
          <w:rStyle w:val="FootnoteReference"/>
        </w:rPr>
        <w:footnoteRef/>
      </w:r>
      <w:r w:rsidRPr="007741E6">
        <w:t xml:space="preserve"> </w:t>
      </w:r>
      <w:proofErr w:type="spellStart"/>
      <w:r w:rsidRPr="007741E6">
        <w:t>Shamay-Tsoory</w:t>
      </w:r>
      <w:proofErr w:type="spellEnd"/>
      <w:r w:rsidRPr="007741E6">
        <w:t>, S. G., &amp; Abu-</w:t>
      </w:r>
      <w:proofErr w:type="spellStart"/>
      <w:r w:rsidRPr="007741E6">
        <w:t>Akel</w:t>
      </w:r>
      <w:proofErr w:type="spellEnd"/>
      <w:r w:rsidRPr="007741E6">
        <w:t xml:space="preserve">, A. (2016). The Social Salience Hypothesis of Oxytocin. </w:t>
      </w:r>
      <w:r w:rsidRPr="007741E6">
        <w:rPr>
          <w:i/>
          <w:iCs/>
        </w:rPr>
        <w:t>Biological Psychiatry</w:t>
      </w:r>
      <w:r w:rsidRPr="007741E6">
        <w:t xml:space="preserve">, </w:t>
      </w:r>
      <w:r w:rsidRPr="007741E6">
        <w:rPr>
          <w:i/>
          <w:iCs/>
        </w:rPr>
        <w:t>79</w:t>
      </w:r>
      <w:r w:rsidRPr="007741E6">
        <w:t>(3), 194–202. https://doi.org/10.1016/j.biopsych.2015.07.02</w:t>
      </w:r>
    </w:p>
  </w:footnote>
  <w:footnote w:id="15">
    <w:p w:rsidR="00441365" w:rsidRPr="004E319B" w:rsidRDefault="00441365" w:rsidP="009756FD">
      <w:pPr>
        <w:pStyle w:val="FootnoteText"/>
        <w:keepLines/>
        <w:rPr>
          <w:rFonts w:ascii="Times New Roman" w:hAnsi="Times New Roman" w:cs="Times New Roman"/>
          <w:sz w:val="24"/>
          <w:szCs w:val="24"/>
        </w:rPr>
      </w:pPr>
      <w:r w:rsidRPr="007741E6">
        <w:rPr>
          <w:rStyle w:val="FootnoteReference"/>
          <w:rFonts w:ascii="Times New Roman" w:hAnsi="Times New Roman" w:cs="Times New Roman"/>
          <w:sz w:val="24"/>
          <w:szCs w:val="24"/>
        </w:rPr>
        <w:footnoteRef/>
      </w:r>
      <w:r w:rsidRPr="007741E6">
        <w:rPr>
          <w:rFonts w:ascii="Times New Roman" w:hAnsi="Times New Roman" w:cs="Times New Roman"/>
          <w:sz w:val="24"/>
          <w:szCs w:val="24"/>
        </w:rPr>
        <w:t xml:space="preserve"> Op. cit. note </w:t>
      </w:r>
      <w:r w:rsidR="009704F1" w:rsidRPr="007741E6">
        <w:rPr>
          <w:rFonts w:ascii="Times New Roman" w:hAnsi="Times New Roman" w:cs="Times New Roman"/>
          <w:sz w:val="24"/>
          <w:szCs w:val="24"/>
        </w:rPr>
        <w:t>1</w:t>
      </w:r>
      <w:r w:rsidRPr="007741E6">
        <w:rPr>
          <w:rFonts w:ascii="Times New Roman" w:hAnsi="Times New Roman" w:cs="Times New Roman"/>
          <w:sz w:val="24"/>
          <w:szCs w:val="24"/>
        </w:rPr>
        <w:t>,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85" w:rsidRDefault="00CD6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85" w:rsidRPr="00CD6285" w:rsidRDefault="00CD6285">
    <w:pPr>
      <w:pStyle w:val="Header"/>
      <w:rPr>
        <w:i/>
      </w:rPr>
    </w:pPr>
    <w:r>
      <w:t xml:space="preserve">Penultimate draft: please cite final version in </w:t>
    </w:r>
    <w:r>
      <w:rPr>
        <w:i/>
      </w:rPr>
      <w:t>Bioethics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85" w:rsidRDefault="00CD6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C3"/>
    <w:rsid w:val="0006039C"/>
    <w:rsid w:val="00082776"/>
    <w:rsid w:val="000B1A6C"/>
    <w:rsid w:val="000B2D2E"/>
    <w:rsid w:val="000B4129"/>
    <w:rsid w:val="000F5B12"/>
    <w:rsid w:val="001663E8"/>
    <w:rsid w:val="00166611"/>
    <w:rsid w:val="00185BD8"/>
    <w:rsid w:val="001A351A"/>
    <w:rsid w:val="001B342A"/>
    <w:rsid w:val="00205335"/>
    <w:rsid w:val="0023325E"/>
    <w:rsid w:val="002403F7"/>
    <w:rsid w:val="002454A1"/>
    <w:rsid w:val="00246542"/>
    <w:rsid w:val="00291499"/>
    <w:rsid w:val="002A47B2"/>
    <w:rsid w:val="002C17E3"/>
    <w:rsid w:val="002D6B57"/>
    <w:rsid w:val="00302432"/>
    <w:rsid w:val="00316704"/>
    <w:rsid w:val="0034023E"/>
    <w:rsid w:val="003B1A6E"/>
    <w:rsid w:val="003B26BC"/>
    <w:rsid w:val="003B5099"/>
    <w:rsid w:val="003C7395"/>
    <w:rsid w:val="003E5CC6"/>
    <w:rsid w:val="00403E04"/>
    <w:rsid w:val="00404B6B"/>
    <w:rsid w:val="00410371"/>
    <w:rsid w:val="00426713"/>
    <w:rsid w:val="00441365"/>
    <w:rsid w:val="004560E7"/>
    <w:rsid w:val="004803B2"/>
    <w:rsid w:val="004A6394"/>
    <w:rsid w:val="004A795D"/>
    <w:rsid w:val="004C5C6B"/>
    <w:rsid w:val="004D148F"/>
    <w:rsid w:val="004E319B"/>
    <w:rsid w:val="004E431C"/>
    <w:rsid w:val="004F4A3B"/>
    <w:rsid w:val="0051259C"/>
    <w:rsid w:val="0052223E"/>
    <w:rsid w:val="00526217"/>
    <w:rsid w:val="005553A9"/>
    <w:rsid w:val="00571799"/>
    <w:rsid w:val="00582DC1"/>
    <w:rsid w:val="0059012C"/>
    <w:rsid w:val="005A2E7B"/>
    <w:rsid w:val="005E7B2F"/>
    <w:rsid w:val="005F5BC5"/>
    <w:rsid w:val="005F6F3D"/>
    <w:rsid w:val="006124B6"/>
    <w:rsid w:val="0061417D"/>
    <w:rsid w:val="00644A73"/>
    <w:rsid w:val="00645BDA"/>
    <w:rsid w:val="0064616F"/>
    <w:rsid w:val="00661596"/>
    <w:rsid w:val="006A351B"/>
    <w:rsid w:val="006A73D4"/>
    <w:rsid w:val="006B1298"/>
    <w:rsid w:val="006B46A0"/>
    <w:rsid w:val="006C0D89"/>
    <w:rsid w:val="006C4964"/>
    <w:rsid w:val="006D4E3F"/>
    <w:rsid w:val="00714073"/>
    <w:rsid w:val="0071595A"/>
    <w:rsid w:val="007431FC"/>
    <w:rsid w:val="00766F47"/>
    <w:rsid w:val="00771353"/>
    <w:rsid w:val="007741E6"/>
    <w:rsid w:val="0078029C"/>
    <w:rsid w:val="007A3A81"/>
    <w:rsid w:val="007B2A1D"/>
    <w:rsid w:val="007C5865"/>
    <w:rsid w:val="007F5A44"/>
    <w:rsid w:val="00801E5F"/>
    <w:rsid w:val="008241AE"/>
    <w:rsid w:val="008662CF"/>
    <w:rsid w:val="00876C2C"/>
    <w:rsid w:val="008A06A6"/>
    <w:rsid w:val="008C0B01"/>
    <w:rsid w:val="008D439D"/>
    <w:rsid w:val="008D72F1"/>
    <w:rsid w:val="008F0DBC"/>
    <w:rsid w:val="008F445F"/>
    <w:rsid w:val="00902678"/>
    <w:rsid w:val="009102B3"/>
    <w:rsid w:val="00912978"/>
    <w:rsid w:val="00943A17"/>
    <w:rsid w:val="009605AB"/>
    <w:rsid w:val="009704F1"/>
    <w:rsid w:val="009756FD"/>
    <w:rsid w:val="009765E9"/>
    <w:rsid w:val="00977443"/>
    <w:rsid w:val="009803A4"/>
    <w:rsid w:val="00983E74"/>
    <w:rsid w:val="009922D2"/>
    <w:rsid w:val="009D7DA8"/>
    <w:rsid w:val="00A03948"/>
    <w:rsid w:val="00A5689D"/>
    <w:rsid w:val="00A60D80"/>
    <w:rsid w:val="00A77C9A"/>
    <w:rsid w:val="00A90082"/>
    <w:rsid w:val="00AB0861"/>
    <w:rsid w:val="00AB66F9"/>
    <w:rsid w:val="00AD2D5F"/>
    <w:rsid w:val="00AE1AB0"/>
    <w:rsid w:val="00AF0779"/>
    <w:rsid w:val="00B47314"/>
    <w:rsid w:val="00B65E9F"/>
    <w:rsid w:val="00B7662B"/>
    <w:rsid w:val="00B76D7D"/>
    <w:rsid w:val="00B86AE8"/>
    <w:rsid w:val="00BB2459"/>
    <w:rsid w:val="00BD08BD"/>
    <w:rsid w:val="00BD4C4F"/>
    <w:rsid w:val="00BF14A4"/>
    <w:rsid w:val="00BF76A5"/>
    <w:rsid w:val="00C03076"/>
    <w:rsid w:val="00C301F1"/>
    <w:rsid w:val="00C31557"/>
    <w:rsid w:val="00C31F53"/>
    <w:rsid w:val="00C67317"/>
    <w:rsid w:val="00C97B42"/>
    <w:rsid w:val="00CB48D5"/>
    <w:rsid w:val="00CB6901"/>
    <w:rsid w:val="00CC233E"/>
    <w:rsid w:val="00CC51DC"/>
    <w:rsid w:val="00CD6285"/>
    <w:rsid w:val="00CD6D80"/>
    <w:rsid w:val="00D40E31"/>
    <w:rsid w:val="00D754F9"/>
    <w:rsid w:val="00D817D8"/>
    <w:rsid w:val="00DA4867"/>
    <w:rsid w:val="00DC4AA8"/>
    <w:rsid w:val="00DE77EF"/>
    <w:rsid w:val="00DF5123"/>
    <w:rsid w:val="00EA07C9"/>
    <w:rsid w:val="00EC1E76"/>
    <w:rsid w:val="00EC7057"/>
    <w:rsid w:val="00ED27FC"/>
    <w:rsid w:val="00ED2A6C"/>
    <w:rsid w:val="00EE312A"/>
    <w:rsid w:val="00F17CC3"/>
    <w:rsid w:val="00F20AFC"/>
    <w:rsid w:val="00F22167"/>
    <w:rsid w:val="00F523A4"/>
    <w:rsid w:val="00F6088F"/>
    <w:rsid w:val="00F80DF6"/>
    <w:rsid w:val="00FC25B6"/>
    <w:rsid w:val="00FC71D7"/>
    <w:rsid w:val="00FD1128"/>
    <w:rsid w:val="00FF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A2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B6B"/>
    <w:pPr>
      <w:tabs>
        <w:tab w:val="center" w:pos="4680"/>
        <w:tab w:val="right" w:pos="9360"/>
      </w:tabs>
    </w:pPr>
  </w:style>
  <w:style w:type="character" w:customStyle="1" w:styleId="FooterChar">
    <w:name w:val="Footer Char"/>
    <w:basedOn w:val="DefaultParagraphFont"/>
    <w:link w:val="Footer"/>
    <w:uiPriority w:val="99"/>
    <w:rsid w:val="00404B6B"/>
  </w:style>
  <w:style w:type="character" w:styleId="PageNumber">
    <w:name w:val="page number"/>
    <w:basedOn w:val="DefaultParagraphFont"/>
    <w:uiPriority w:val="99"/>
    <w:semiHidden/>
    <w:unhideWhenUsed/>
    <w:rsid w:val="00404B6B"/>
  </w:style>
  <w:style w:type="paragraph" w:styleId="Header">
    <w:name w:val="header"/>
    <w:basedOn w:val="Normal"/>
    <w:link w:val="HeaderChar"/>
    <w:uiPriority w:val="99"/>
    <w:unhideWhenUsed/>
    <w:rsid w:val="00404B6B"/>
    <w:pPr>
      <w:tabs>
        <w:tab w:val="center" w:pos="4680"/>
        <w:tab w:val="right" w:pos="9360"/>
      </w:tabs>
    </w:pPr>
  </w:style>
  <w:style w:type="character" w:customStyle="1" w:styleId="HeaderChar">
    <w:name w:val="Header Char"/>
    <w:basedOn w:val="DefaultParagraphFont"/>
    <w:link w:val="Header"/>
    <w:uiPriority w:val="99"/>
    <w:rsid w:val="00404B6B"/>
  </w:style>
  <w:style w:type="paragraph" w:styleId="FootnoteText">
    <w:name w:val="footnote text"/>
    <w:basedOn w:val="Normal"/>
    <w:link w:val="FootnoteTextChar"/>
    <w:uiPriority w:val="99"/>
    <w:semiHidden/>
    <w:unhideWhenUsed/>
    <w:rsid w:val="008C0B01"/>
    <w:rPr>
      <w:sz w:val="20"/>
      <w:szCs w:val="20"/>
    </w:rPr>
  </w:style>
  <w:style w:type="character" w:customStyle="1" w:styleId="FootnoteTextChar">
    <w:name w:val="Footnote Text Char"/>
    <w:basedOn w:val="DefaultParagraphFont"/>
    <w:link w:val="FootnoteText"/>
    <w:uiPriority w:val="99"/>
    <w:semiHidden/>
    <w:rsid w:val="008C0B01"/>
    <w:rPr>
      <w:sz w:val="20"/>
      <w:szCs w:val="20"/>
    </w:rPr>
  </w:style>
  <w:style w:type="character" w:styleId="FootnoteReference">
    <w:name w:val="footnote reference"/>
    <w:basedOn w:val="DefaultParagraphFont"/>
    <w:uiPriority w:val="99"/>
    <w:semiHidden/>
    <w:unhideWhenUsed/>
    <w:rsid w:val="008C0B01"/>
    <w:rPr>
      <w:vertAlign w:val="superscript"/>
    </w:rPr>
  </w:style>
  <w:style w:type="paragraph" w:styleId="NormalWeb">
    <w:name w:val="Normal (Web)"/>
    <w:basedOn w:val="Normal"/>
    <w:uiPriority w:val="99"/>
    <w:unhideWhenUsed/>
    <w:rsid w:val="008C0B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0B01"/>
    <w:rPr>
      <w:color w:val="0563C1" w:themeColor="hyperlink"/>
      <w:u w:val="single"/>
    </w:rPr>
  </w:style>
  <w:style w:type="character" w:styleId="UnresolvedMention">
    <w:name w:val="Unresolved Mention"/>
    <w:basedOn w:val="DefaultParagraphFont"/>
    <w:uiPriority w:val="99"/>
    <w:semiHidden/>
    <w:unhideWhenUsed/>
    <w:rsid w:val="008C0B01"/>
    <w:rPr>
      <w:color w:val="605E5C"/>
      <w:shd w:val="clear" w:color="auto" w:fill="E1DFDD"/>
    </w:rPr>
  </w:style>
  <w:style w:type="paragraph" w:styleId="BalloonText">
    <w:name w:val="Balloon Text"/>
    <w:basedOn w:val="Normal"/>
    <w:link w:val="BalloonTextChar"/>
    <w:uiPriority w:val="99"/>
    <w:semiHidden/>
    <w:unhideWhenUsed/>
    <w:rsid w:val="006B12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2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722">
      <w:bodyDiv w:val="1"/>
      <w:marLeft w:val="0"/>
      <w:marRight w:val="0"/>
      <w:marTop w:val="0"/>
      <w:marBottom w:val="0"/>
      <w:divBdr>
        <w:top w:val="none" w:sz="0" w:space="0" w:color="auto"/>
        <w:left w:val="none" w:sz="0" w:space="0" w:color="auto"/>
        <w:bottom w:val="none" w:sz="0" w:space="0" w:color="auto"/>
        <w:right w:val="none" w:sz="0" w:space="0" w:color="auto"/>
      </w:divBdr>
    </w:div>
    <w:div w:id="407968818">
      <w:bodyDiv w:val="1"/>
      <w:marLeft w:val="0"/>
      <w:marRight w:val="0"/>
      <w:marTop w:val="0"/>
      <w:marBottom w:val="0"/>
      <w:divBdr>
        <w:top w:val="none" w:sz="0" w:space="0" w:color="auto"/>
        <w:left w:val="none" w:sz="0" w:space="0" w:color="auto"/>
        <w:bottom w:val="none" w:sz="0" w:space="0" w:color="auto"/>
        <w:right w:val="none" w:sz="0" w:space="0" w:color="auto"/>
      </w:divBdr>
    </w:div>
    <w:div w:id="418598926">
      <w:bodyDiv w:val="1"/>
      <w:marLeft w:val="0"/>
      <w:marRight w:val="0"/>
      <w:marTop w:val="0"/>
      <w:marBottom w:val="0"/>
      <w:divBdr>
        <w:top w:val="none" w:sz="0" w:space="0" w:color="auto"/>
        <w:left w:val="none" w:sz="0" w:space="0" w:color="auto"/>
        <w:bottom w:val="none" w:sz="0" w:space="0" w:color="auto"/>
        <w:right w:val="none" w:sz="0" w:space="0" w:color="auto"/>
      </w:divBdr>
    </w:div>
    <w:div w:id="470170471">
      <w:bodyDiv w:val="1"/>
      <w:marLeft w:val="0"/>
      <w:marRight w:val="0"/>
      <w:marTop w:val="0"/>
      <w:marBottom w:val="0"/>
      <w:divBdr>
        <w:top w:val="none" w:sz="0" w:space="0" w:color="auto"/>
        <w:left w:val="none" w:sz="0" w:space="0" w:color="auto"/>
        <w:bottom w:val="none" w:sz="0" w:space="0" w:color="auto"/>
        <w:right w:val="none" w:sz="0" w:space="0" w:color="auto"/>
      </w:divBdr>
    </w:div>
    <w:div w:id="547837786">
      <w:bodyDiv w:val="1"/>
      <w:marLeft w:val="0"/>
      <w:marRight w:val="0"/>
      <w:marTop w:val="0"/>
      <w:marBottom w:val="0"/>
      <w:divBdr>
        <w:top w:val="none" w:sz="0" w:space="0" w:color="auto"/>
        <w:left w:val="none" w:sz="0" w:space="0" w:color="auto"/>
        <w:bottom w:val="none" w:sz="0" w:space="0" w:color="auto"/>
        <w:right w:val="none" w:sz="0" w:space="0" w:color="auto"/>
      </w:divBdr>
    </w:div>
    <w:div w:id="561133808">
      <w:bodyDiv w:val="1"/>
      <w:marLeft w:val="0"/>
      <w:marRight w:val="0"/>
      <w:marTop w:val="0"/>
      <w:marBottom w:val="0"/>
      <w:divBdr>
        <w:top w:val="none" w:sz="0" w:space="0" w:color="auto"/>
        <w:left w:val="none" w:sz="0" w:space="0" w:color="auto"/>
        <w:bottom w:val="none" w:sz="0" w:space="0" w:color="auto"/>
        <w:right w:val="none" w:sz="0" w:space="0" w:color="auto"/>
      </w:divBdr>
    </w:div>
    <w:div w:id="645860412">
      <w:bodyDiv w:val="1"/>
      <w:marLeft w:val="0"/>
      <w:marRight w:val="0"/>
      <w:marTop w:val="0"/>
      <w:marBottom w:val="0"/>
      <w:divBdr>
        <w:top w:val="none" w:sz="0" w:space="0" w:color="auto"/>
        <w:left w:val="none" w:sz="0" w:space="0" w:color="auto"/>
        <w:bottom w:val="none" w:sz="0" w:space="0" w:color="auto"/>
        <w:right w:val="none" w:sz="0" w:space="0" w:color="auto"/>
      </w:divBdr>
    </w:div>
    <w:div w:id="850484466">
      <w:bodyDiv w:val="1"/>
      <w:marLeft w:val="0"/>
      <w:marRight w:val="0"/>
      <w:marTop w:val="0"/>
      <w:marBottom w:val="0"/>
      <w:divBdr>
        <w:top w:val="none" w:sz="0" w:space="0" w:color="auto"/>
        <w:left w:val="none" w:sz="0" w:space="0" w:color="auto"/>
        <w:bottom w:val="none" w:sz="0" w:space="0" w:color="auto"/>
        <w:right w:val="none" w:sz="0" w:space="0" w:color="auto"/>
      </w:divBdr>
    </w:div>
    <w:div w:id="1145002686">
      <w:bodyDiv w:val="1"/>
      <w:marLeft w:val="0"/>
      <w:marRight w:val="0"/>
      <w:marTop w:val="0"/>
      <w:marBottom w:val="0"/>
      <w:divBdr>
        <w:top w:val="none" w:sz="0" w:space="0" w:color="auto"/>
        <w:left w:val="none" w:sz="0" w:space="0" w:color="auto"/>
        <w:bottom w:val="none" w:sz="0" w:space="0" w:color="auto"/>
        <w:right w:val="none" w:sz="0" w:space="0" w:color="auto"/>
      </w:divBdr>
    </w:div>
    <w:div w:id="1419712511">
      <w:bodyDiv w:val="1"/>
      <w:marLeft w:val="0"/>
      <w:marRight w:val="0"/>
      <w:marTop w:val="0"/>
      <w:marBottom w:val="0"/>
      <w:divBdr>
        <w:top w:val="none" w:sz="0" w:space="0" w:color="auto"/>
        <w:left w:val="none" w:sz="0" w:space="0" w:color="auto"/>
        <w:bottom w:val="none" w:sz="0" w:space="0" w:color="auto"/>
        <w:right w:val="none" w:sz="0" w:space="0" w:color="auto"/>
      </w:divBdr>
    </w:div>
    <w:div w:id="1611542784">
      <w:bodyDiv w:val="1"/>
      <w:marLeft w:val="0"/>
      <w:marRight w:val="0"/>
      <w:marTop w:val="0"/>
      <w:marBottom w:val="0"/>
      <w:divBdr>
        <w:top w:val="none" w:sz="0" w:space="0" w:color="auto"/>
        <w:left w:val="none" w:sz="0" w:space="0" w:color="auto"/>
        <w:bottom w:val="none" w:sz="0" w:space="0" w:color="auto"/>
        <w:right w:val="none" w:sz="0" w:space="0" w:color="auto"/>
      </w:divBdr>
    </w:div>
    <w:div w:id="1822118765">
      <w:bodyDiv w:val="1"/>
      <w:marLeft w:val="0"/>
      <w:marRight w:val="0"/>
      <w:marTop w:val="0"/>
      <w:marBottom w:val="0"/>
      <w:divBdr>
        <w:top w:val="none" w:sz="0" w:space="0" w:color="auto"/>
        <w:left w:val="none" w:sz="0" w:space="0" w:color="auto"/>
        <w:bottom w:val="none" w:sz="0" w:space="0" w:color="auto"/>
        <w:right w:val="none" w:sz="0" w:space="0" w:color="auto"/>
      </w:divBdr>
    </w:div>
    <w:div w:id="1965697872">
      <w:bodyDiv w:val="1"/>
      <w:marLeft w:val="0"/>
      <w:marRight w:val="0"/>
      <w:marTop w:val="0"/>
      <w:marBottom w:val="0"/>
      <w:divBdr>
        <w:top w:val="none" w:sz="0" w:space="0" w:color="auto"/>
        <w:left w:val="none" w:sz="0" w:space="0" w:color="auto"/>
        <w:bottom w:val="none" w:sz="0" w:space="0" w:color="auto"/>
        <w:right w:val="none" w:sz="0" w:space="0" w:color="auto"/>
      </w:divBdr>
    </w:div>
    <w:div w:id="1998848508">
      <w:bodyDiv w:val="1"/>
      <w:marLeft w:val="0"/>
      <w:marRight w:val="0"/>
      <w:marTop w:val="0"/>
      <w:marBottom w:val="0"/>
      <w:divBdr>
        <w:top w:val="none" w:sz="0" w:space="0" w:color="auto"/>
        <w:left w:val="none" w:sz="0" w:space="0" w:color="auto"/>
        <w:bottom w:val="none" w:sz="0" w:space="0" w:color="auto"/>
        <w:right w:val="none" w:sz="0" w:space="0" w:color="auto"/>
      </w:divBdr>
    </w:div>
    <w:div w:id="2029285550">
      <w:bodyDiv w:val="1"/>
      <w:marLeft w:val="0"/>
      <w:marRight w:val="0"/>
      <w:marTop w:val="0"/>
      <w:marBottom w:val="0"/>
      <w:divBdr>
        <w:top w:val="none" w:sz="0" w:space="0" w:color="auto"/>
        <w:left w:val="none" w:sz="0" w:space="0" w:color="auto"/>
        <w:bottom w:val="none" w:sz="0" w:space="0" w:color="auto"/>
        <w:right w:val="none" w:sz="0" w:space="0" w:color="auto"/>
      </w:divBdr>
    </w:div>
    <w:div w:id="21404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21507740.2014.911214" TargetMode="External"/><Relationship Id="rId2" Type="http://schemas.openxmlformats.org/officeDocument/2006/relationships/hyperlink" Target="https://doi.org/10.1136/medethics-2012-100700" TargetMode="External"/><Relationship Id="rId1" Type="http://schemas.openxmlformats.org/officeDocument/2006/relationships/hyperlink" Target="https://doi.org/10.1111/j.1468-5930.2008.00410.x" TargetMode="External"/><Relationship Id="rId6" Type="http://schemas.openxmlformats.org/officeDocument/2006/relationships/hyperlink" Target="https://doi.org/10.1111/bioe.12239" TargetMode="External"/><Relationship Id="rId5" Type="http://schemas.openxmlformats.org/officeDocument/2006/relationships/hyperlink" Target="https://www.cdc.gov/mmwr/preview/mmwrhtml/mm6019a5.htm" TargetMode="External"/><Relationship Id="rId4" Type="http://schemas.openxmlformats.org/officeDocument/2006/relationships/hyperlink" Target="https://doi.org/10.1136/medethics-2012-101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DB30-034D-624B-8978-59F525F9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cp:lastPrinted>2019-07-03T17:12:00Z</cp:lastPrinted>
  <dcterms:created xsi:type="dcterms:W3CDTF">2019-07-04T09:41:00Z</dcterms:created>
  <dcterms:modified xsi:type="dcterms:W3CDTF">2019-09-13T12:43:00Z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c2fc1045-784a-3c7e-aeb5-12de8b64861e</vt:lpwstr>
  </property>
  <property fmtid="{D5CDD505-2E9C-101B-9397-08002B2CF9AE}" pid="24" name="Mendeley Citation Style_1">
    <vt:lpwstr>http://www.zotero.org/styles/apa</vt:lpwstr>
  </property>
</Properties>
</file>