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798" w:rsidRDefault="00CD6798" w:rsidP="00CD6798">
      <w:pPr>
        <w:pStyle w:val="Paper"/>
        <w:tabs>
          <w:tab w:val="clear" w:pos="425"/>
          <w:tab w:val="left" w:pos="284"/>
        </w:tabs>
        <w:spacing w:before="0" w:line="240" w:lineRule="auto"/>
        <w:ind w:left="2268"/>
        <w:jc w:val="right"/>
        <w:rPr>
          <w:bCs/>
          <w:sz w:val="20"/>
          <w:szCs w:val="20"/>
        </w:rPr>
      </w:pPr>
      <w:r>
        <w:rPr>
          <w:bCs/>
          <w:sz w:val="20"/>
          <w:szCs w:val="20"/>
        </w:rPr>
        <w:t>please cite published version:</w:t>
      </w:r>
    </w:p>
    <w:p w:rsidR="003E7224" w:rsidRDefault="00A96516" w:rsidP="00CD6798">
      <w:pPr>
        <w:pStyle w:val="Paper"/>
        <w:tabs>
          <w:tab w:val="clear" w:pos="425"/>
          <w:tab w:val="left" w:pos="284"/>
        </w:tabs>
        <w:spacing w:line="240" w:lineRule="auto"/>
        <w:ind w:left="2268"/>
        <w:jc w:val="right"/>
        <w:rPr>
          <w:iCs/>
          <w:sz w:val="20"/>
          <w:szCs w:val="20"/>
        </w:rPr>
      </w:pPr>
      <w:r w:rsidRPr="00A96516">
        <w:rPr>
          <w:bCs/>
          <w:sz w:val="20"/>
          <w:szCs w:val="20"/>
        </w:rPr>
        <w:t xml:space="preserve">in Stewart Braun and Noell Birondo (eds), </w:t>
      </w:r>
      <w:r w:rsidRPr="00A96516">
        <w:rPr>
          <w:i/>
          <w:iCs/>
          <w:sz w:val="20"/>
          <w:szCs w:val="20"/>
        </w:rPr>
        <w:t>Virtue’s Reasons: New Essays on Virtue, Character, and Reasons</w:t>
      </w:r>
      <w:r w:rsidRPr="00A96516">
        <w:rPr>
          <w:iCs/>
          <w:sz w:val="20"/>
          <w:szCs w:val="20"/>
        </w:rPr>
        <w:t xml:space="preserve"> (London: Routledge</w:t>
      </w:r>
      <w:r>
        <w:rPr>
          <w:iCs/>
          <w:sz w:val="20"/>
          <w:szCs w:val="20"/>
        </w:rPr>
        <w:t>)</w:t>
      </w:r>
      <w:r w:rsidR="002A7CE2">
        <w:rPr>
          <w:iCs/>
          <w:sz w:val="20"/>
          <w:szCs w:val="20"/>
        </w:rPr>
        <w:t>, pp.11-31</w:t>
      </w:r>
    </w:p>
    <w:p w:rsidR="00A96516" w:rsidRDefault="00A96516" w:rsidP="00A96516">
      <w:pPr>
        <w:pStyle w:val="Paper"/>
        <w:tabs>
          <w:tab w:val="clear" w:pos="425"/>
          <w:tab w:val="left" w:pos="284"/>
        </w:tabs>
        <w:spacing w:before="0" w:line="240" w:lineRule="auto"/>
        <w:ind w:left="2268"/>
        <w:jc w:val="left"/>
        <w:rPr>
          <w:iCs/>
          <w:sz w:val="20"/>
          <w:szCs w:val="20"/>
        </w:rPr>
      </w:pPr>
    </w:p>
    <w:p w:rsidR="00A96516" w:rsidRDefault="00A96516" w:rsidP="00A96516">
      <w:pPr>
        <w:pStyle w:val="Paper"/>
        <w:tabs>
          <w:tab w:val="clear" w:pos="425"/>
          <w:tab w:val="left" w:pos="284"/>
        </w:tabs>
        <w:spacing w:before="0" w:line="240" w:lineRule="auto"/>
        <w:ind w:left="2268"/>
        <w:jc w:val="left"/>
        <w:rPr>
          <w:iCs/>
          <w:sz w:val="20"/>
          <w:szCs w:val="20"/>
        </w:rPr>
      </w:pPr>
    </w:p>
    <w:p w:rsidR="00A96516" w:rsidRDefault="00A96516" w:rsidP="00A96516">
      <w:pPr>
        <w:pStyle w:val="Paper"/>
        <w:tabs>
          <w:tab w:val="clear" w:pos="425"/>
          <w:tab w:val="left" w:pos="284"/>
        </w:tabs>
        <w:spacing w:before="0" w:line="240" w:lineRule="auto"/>
        <w:ind w:left="2268"/>
        <w:jc w:val="left"/>
        <w:rPr>
          <w:iCs/>
          <w:sz w:val="20"/>
          <w:szCs w:val="20"/>
        </w:rPr>
      </w:pPr>
    </w:p>
    <w:p w:rsidR="00A96516" w:rsidRPr="00A96516" w:rsidRDefault="00A96516" w:rsidP="00A96516">
      <w:pPr>
        <w:pStyle w:val="Paper"/>
        <w:tabs>
          <w:tab w:val="clear" w:pos="425"/>
          <w:tab w:val="left" w:pos="284"/>
        </w:tabs>
        <w:spacing w:before="0" w:line="240" w:lineRule="auto"/>
        <w:ind w:left="2268"/>
        <w:jc w:val="left"/>
        <w:rPr>
          <w:bCs/>
          <w:sz w:val="20"/>
          <w:szCs w:val="20"/>
        </w:rPr>
      </w:pPr>
    </w:p>
    <w:p w:rsidR="0012114C" w:rsidRDefault="006043BE" w:rsidP="00D05F86">
      <w:pPr>
        <w:pStyle w:val="Paper"/>
        <w:tabs>
          <w:tab w:val="clear" w:pos="425"/>
          <w:tab w:val="left" w:pos="284"/>
        </w:tabs>
        <w:jc w:val="center"/>
        <w:rPr>
          <w:bCs/>
          <w:sz w:val="28"/>
        </w:rPr>
      </w:pPr>
      <w:r>
        <w:rPr>
          <w:b/>
          <w:bCs/>
          <w:sz w:val="28"/>
        </w:rPr>
        <w:t xml:space="preserve">Moral </w:t>
      </w:r>
      <w:r w:rsidR="00992EAD">
        <w:rPr>
          <w:b/>
          <w:bCs/>
          <w:sz w:val="28"/>
        </w:rPr>
        <w:t>Virtues</w:t>
      </w:r>
      <w:r w:rsidR="00403BC1">
        <w:rPr>
          <w:b/>
          <w:bCs/>
          <w:sz w:val="28"/>
        </w:rPr>
        <w:t xml:space="preserve"> an</w:t>
      </w:r>
      <w:bookmarkStart w:id="0" w:name="_GoBack"/>
      <w:bookmarkEnd w:id="0"/>
      <w:r w:rsidR="00403BC1">
        <w:rPr>
          <w:b/>
          <w:bCs/>
          <w:sz w:val="28"/>
        </w:rPr>
        <w:t xml:space="preserve">d Responsiveness </w:t>
      </w:r>
      <w:r w:rsidR="00BB3A24">
        <w:rPr>
          <w:b/>
          <w:bCs/>
          <w:sz w:val="28"/>
        </w:rPr>
        <w:t>for</w:t>
      </w:r>
      <w:r w:rsidR="00403BC1">
        <w:rPr>
          <w:b/>
          <w:bCs/>
          <w:sz w:val="28"/>
        </w:rPr>
        <w:t xml:space="preserve"> Reasons</w:t>
      </w:r>
    </w:p>
    <w:p w:rsidR="00403BC1" w:rsidRPr="00403BC1" w:rsidRDefault="00403BC1" w:rsidP="00D05F86">
      <w:pPr>
        <w:pStyle w:val="Paper"/>
        <w:tabs>
          <w:tab w:val="clear" w:pos="425"/>
          <w:tab w:val="left" w:pos="284"/>
        </w:tabs>
        <w:jc w:val="center"/>
        <w:rPr>
          <w:bCs/>
        </w:rPr>
      </w:pPr>
      <w:r w:rsidRPr="00403BC1">
        <w:rPr>
          <w:bCs/>
        </w:rPr>
        <w:t>Garrett Cullity</w:t>
      </w:r>
    </w:p>
    <w:p w:rsidR="0012114C" w:rsidRDefault="0012114C" w:rsidP="00D05F86">
      <w:pPr>
        <w:pStyle w:val="Paper"/>
        <w:tabs>
          <w:tab w:val="clear" w:pos="425"/>
          <w:tab w:val="left" w:pos="284"/>
        </w:tabs>
      </w:pPr>
    </w:p>
    <w:p w:rsidR="00477C60" w:rsidRDefault="00200D7C" w:rsidP="007564D4">
      <w:pPr>
        <w:spacing w:before="120" w:line="480" w:lineRule="auto"/>
        <w:jc w:val="both"/>
      </w:pPr>
      <w:r>
        <w:t>M</w:t>
      </w:r>
      <w:r w:rsidRPr="00A47A4D">
        <w:t xml:space="preserve">oral discourse </w:t>
      </w:r>
      <w:r>
        <w:t>contains</w:t>
      </w:r>
      <w:r w:rsidRPr="00A47A4D">
        <w:t xml:space="preserve"> judgements of two </w:t>
      </w:r>
      <w:r>
        <w:t>prominent</w:t>
      </w:r>
      <w:r w:rsidRPr="00A47A4D">
        <w:t xml:space="preserve"> kinds.</w:t>
      </w:r>
      <w:r>
        <w:t xml:space="preserve"> </w:t>
      </w:r>
      <w:r w:rsidR="00283BDA">
        <w:t>It contains</w:t>
      </w:r>
      <w:r>
        <w:t xml:space="preserve"> d</w:t>
      </w:r>
      <w:r w:rsidRPr="00A47A4D">
        <w:t>eontic judgements about right</w:t>
      </w:r>
      <w:r w:rsidR="00283BDA">
        <w:t>ness</w:t>
      </w:r>
      <w:r w:rsidRPr="00A47A4D">
        <w:t xml:space="preserve"> and wrong</w:t>
      </w:r>
      <w:r w:rsidR="00283BDA">
        <w:t>ness</w:t>
      </w:r>
      <w:r w:rsidRPr="00A47A4D">
        <w:t>, obligation and duty, and what a person ought to do.</w:t>
      </w:r>
      <w:r w:rsidR="00283BDA">
        <w:t xml:space="preserve"> </w:t>
      </w:r>
      <w:r w:rsidRPr="00A47A4D">
        <w:t>As I understand the</w:t>
      </w:r>
      <w:r w:rsidR="00283BDA">
        <w:t xml:space="preserve">m, these deontic judgements are normative: they express </w:t>
      </w:r>
      <w:r w:rsidRPr="00A47A4D">
        <w:t xml:space="preserve">conclusions about the bearing of </w:t>
      </w:r>
      <w:r w:rsidR="00283BDA">
        <w:t xml:space="preserve">normative </w:t>
      </w:r>
      <w:r w:rsidRPr="00A47A4D">
        <w:t xml:space="preserve">reasons on </w:t>
      </w:r>
      <w:r w:rsidR="00283BDA">
        <w:t xml:space="preserve">the </w:t>
      </w:r>
      <w:r w:rsidRPr="00A47A4D">
        <w:t>actions and other responses</w:t>
      </w:r>
      <w:r w:rsidR="00283BDA">
        <w:t xml:space="preserve"> that are available to us</w:t>
      </w:r>
      <w:r w:rsidRPr="00A47A4D">
        <w:t>.</w:t>
      </w:r>
      <w:r w:rsidR="00283BDA">
        <w:t xml:space="preserve"> And it contains evaluative judgements about goodness and badness. </w:t>
      </w:r>
      <w:r w:rsidR="00B350EA">
        <w:t>Prominent among these are the judgements that evaluate</w:t>
      </w:r>
      <w:r w:rsidR="00477C60">
        <w:t xml:space="preserve"> the quality of our responsiveness to </w:t>
      </w:r>
      <w:r w:rsidR="00B350EA">
        <w:t>morally relevant</w:t>
      </w:r>
      <w:r w:rsidR="00477C60">
        <w:t xml:space="preserve"> reasons. We have a rich vocabulary for making such evaluations – our vocabulary of aretaic terms. Aretaic terms are those which can be used to attribute virtues: terms such as “kind”, “honest”, “fair”, </w:t>
      </w:r>
      <w:r w:rsidR="00291671">
        <w:t>“tolerant” and “reliable”.</w:t>
      </w:r>
      <w:r w:rsidR="001861C7">
        <w:t xml:space="preserve"> </w:t>
      </w:r>
      <w:r w:rsidR="00002DF3">
        <w:t>However, w</w:t>
      </w:r>
      <w:r w:rsidR="001861C7">
        <w:t>hile t</w:t>
      </w:r>
      <w:r w:rsidR="00291671">
        <w:t xml:space="preserve">hey can be used to attribute virtues, </w:t>
      </w:r>
      <w:r w:rsidR="001861C7">
        <w:t>they</w:t>
      </w:r>
      <w:r w:rsidR="00291671">
        <w:t xml:space="preserve"> have other uses too; and they can be applied not only to persons but also to various states of persons, to actions and other responses, and to patterns of response.</w:t>
      </w:r>
      <w:r w:rsidR="00BC1B0B">
        <w:rPr>
          <w:rStyle w:val="EndnoteReference"/>
        </w:rPr>
        <w:endnoteReference w:id="2"/>
      </w:r>
      <w:r w:rsidR="00BC1B0B">
        <w:t xml:space="preserve"> </w:t>
      </w:r>
      <w:r w:rsidR="00291671">
        <w:t xml:space="preserve">In this </w:t>
      </w:r>
      <w:r w:rsidR="008B43F6">
        <w:t>paper</w:t>
      </w:r>
      <w:r w:rsidR="00291671">
        <w:t xml:space="preserve">, I offer an account of the relationship between </w:t>
      </w:r>
      <w:r w:rsidR="001861C7">
        <w:t>some of the principal</w:t>
      </w:r>
      <w:r w:rsidR="00291671">
        <w:t xml:space="preserve"> uses of aretaic terms; and I show how</w:t>
      </w:r>
      <w:r w:rsidR="00B350EA">
        <w:t xml:space="preserve"> a useful </w:t>
      </w:r>
      <w:r w:rsidR="005B0A07">
        <w:t>taxonomy of moral virtues</w:t>
      </w:r>
      <w:r w:rsidR="00B350EA">
        <w:t xml:space="preserve"> can be generated from the thought that these</w:t>
      </w:r>
      <w:r w:rsidR="005B0A07">
        <w:t xml:space="preserve"> are </w:t>
      </w:r>
      <w:r w:rsidR="007564D4">
        <w:t>ways of being well oriented to</w:t>
      </w:r>
      <w:r w:rsidR="005B0A07">
        <w:t xml:space="preserve"> moral</w:t>
      </w:r>
      <w:r w:rsidR="007564D4">
        <w:t>ly relevant</w:t>
      </w:r>
      <w:r w:rsidR="00B350EA">
        <w:t xml:space="preserve"> reasons</w:t>
      </w:r>
      <w:r w:rsidR="005B0A07">
        <w:t>.</w:t>
      </w:r>
      <w:r w:rsidR="009B3698">
        <w:rPr>
          <w:rStyle w:val="EndnoteReference"/>
        </w:rPr>
        <w:endnoteReference w:id="3"/>
      </w:r>
    </w:p>
    <w:p w:rsidR="00041DC9" w:rsidRDefault="00041DC9" w:rsidP="00F277F0">
      <w:pPr>
        <w:tabs>
          <w:tab w:val="left" w:pos="284"/>
        </w:tabs>
        <w:spacing w:before="120" w:line="480" w:lineRule="auto"/>
        <w:jc w:val="both"/>
      </w:pPr>
    </w:p>
    <w:p w:rsidR="00A96516" w:rsidRDefault="00A96516">
      <w:pPr>
        <w:rPr>
          <w:b/>
        </w:rPr>
      </w:pPr>
      <w:r>
        <w:rPr>
          <w:b/>
        </w:rPr>
        <w:br w:type="page"/>
      </w:r>
    </w:p>
    <w:p w:rsidR="00041DC9" w:rsidRPr="00B350EA" w:rsidRDefault="003437FA" w:rsidP="003437FA">
      <w:pPr>
        <w:jc w:val="center"/>
        <w:rPr>
          <w:b/>
        </w:rPr>
      </w:pPr>
      <w:r>
        <w:rPr>
          <w:b/>
        </w:rPr>
        <w:lastRenderedPageBreak/>
        <w:t>I:</w:t>
      </w:r>
      <w:r w:rsidR="00041DC9" w:rsidRPr="00B350EA">
        <w:rPr>
          <w:b/>
        </w:rPr>
        <w:t xml:space="preserve">  Dimensions of Evaluation</w:t>
      </w:r>
    </w:p>
    <w:p w:rsidR="00B350EA" w:rsidRDefault="00B350EA" w:rsidP="00C22B26">
      <w:pPr>
        <w:tabs>
          <w:tab w:val="left" w:pos="284"/>
        </w:tabs>
        <w:spacing w:before="120" w:line="480" w:lineRule="auto"/>
        <w:jc w:val="both"/>
      </w:pPr>
    </w:p>
    <w:p w:rsidR="00041DC9" w:rsidRPr="00A47A4D" w:rsidRDefault="00C22B26" w:rsidP="00C22B26">
      <w:pPr>
        <w:tabs>
          <w:tab w:val="left" w:pos="284"/>
        </w:tabs>
        <w:spacing w:before="120" w:line="480" w:lineRule="auto"/>
        <w:jc w:val="both"/>
      </w:pPr>
      <w:r>
        <w:t>When we judge that a response, or the p</w:t>
      </w:r>
      <w:r w:rsidR="006D164F">
        <w:t>erson who makes it, is virtuous</w:t>
      </w:r>
      <w:r>
        <w:t xml:space="preserve"> we are making an evaluative judgement, not a normative one. A misreading of Aristotle might seem to encourage the contrary view. </w:t>
      </w:r>
      <w:r w:rsidR="00041DC9">
        <w:t>H</w:t>
      </w:r>
      <w:r w:rsidR="00041DC9" w:rsidRPr="00A47A4D">
        <w:t xml:space="preserve">ere is the famous passage in which </w:t>
      </w:r>
      <w:r>
        <w:t>he</w:t>
      </w:r>
      <w:r w:rsidR="00041DC9" w:rsidRPr="00A47A4D">
        <w:t xml:space="preserve"> presents his doctrine of the mean:</w:t>
      </w:r>
    </w:p>
    <w:p w:rsidR="00041DC9" w:rsidRPr="00A47A4D" w:rsidRDefault="00041DC9" w:rsidP="00041DC9">
      <w:pPr>
        <w:spacing w:before="120" w:line="480" w:lineRule="auto"/>
        <w:ind w:left="567"/>
        <w:jc w:val="both"/>
      </w:pPr>
      <w:r w:rsidRPr="00A47A4D">
        <w:t>“We can be afraid, for instance, or be confident, or have appetites, or get angry, or feel pity, and in general have pleasure or pain, both too much and too little, and in both ways not well. But having these feelings at the right times, about the right things, toward the right people, for the right end, and in the right way, is the intermediate and best condition, and this is proper to virtue. Similarly, actions also admit of excess, deficiency, and an intermediate condition.”</w:t>
      </w:r>
      <w:r>
        <w:rPr>
          <w:rStyle w:val="EndnoteReference"/>
        </w:rPr>
        <w:endnoteReference w:id="4"/>
      </w:r>
    </w:p>
    <w:p w:rsidR="00041DC9" w:rsidRPr="00A47A4D" w:rsidRDefault="004E59AA" w:rsidP="00041DC9">
      <w:pPr>
        <w:spacing w:before="120" w:line="480" w:lineRule="auto"/>
        <w:jc w:val="both"/>
      </w:pPr>
      <w:r>
        <w:t>I</w:t>
      </w:r>
      <w:r w:rsidR="00041DC9" w:rsidRPr="00A47A4D">
        <w:t>n this translation (Irwin’s), “right” surely cannot have the deontic sense of “permissible”. Aristotle is surely not saying that what is proper to virtue is having these feelings at the permissible times, etc.</w:t>
      </w:r>
      <w:r w:rsidR="00957E1B">
        <w:t xml:space="preserve"> Questions of permissibility do not arise for feelings. Nor </w:t>
      </w:r>
      <w:r w:rsidR="00D26F4A">
        <w:t xml:space="preserve">should we read “the right times” as “the times there is sufficient reason to have them” or “the times there is decisive reason to have them”. </w:t>
      </w:r>
      <w:r w:rsidR="00767D5A">
        <w:t>Whether a</w:t>
      </w:r>
      <w:r w:rsidR="00D26F4A">
        <w:t xml:space="preserve"> normative reason </w:t>
      </w:r>
      <w:r w:rsidR="00562BBD">
        <w:t>does count</w:t>
      </w:r>
      <w:r w:rsidR="00D26F4A">
        <w:t xml:space="preserve"> in favour of </w:t>
      </w:r>
      <w:r w:rsidR="00767D5A">
        <w:t>a feeling</w:t>
      </w:r>
      <w:r w:rsidR="00D26F4A">
        <w:t xml:space="preserve"> </w:t>
      </w:r>
      <w:r w:rsidR="00767D5A">
        <w:t>or</w:t>
      </w:r>
      <w:r w:rsidR="00D26F4A">
        <w:t xml:space="preserve"> other</w:t>
      </w:r>
      <w:r w:rsidR="00767D5A">
        <w:t xml:space="preserve"> response is independent</w:t>
      </w:r>
      <w:r w:rsidR="00D26F4A">
        <w:t xml:space="preserve"> of </w:t>
      </w:r>
      <w:r w:rsidR="00562BBD">
        <w:t>whether you should think it does</w:t>
      </w:r>
      <w:r w:rsidR="00767D5A">
        <w:t xml:space="preserve">; but whether your response is virtuous is not. If </w:t>
      </w:r>
      <w:r w:rsidR="0036490E">
        <w:t xml:space="preserve">you are credibly told that </w:t>
      </w:r>
      <w:r w:rsidR="00767D5A">
        <w:t xml:space="preserve">your friend has died, then feeling sad is proper to virtue, but if </w:t>
      </w:r>
      <w:r w:rsidR="0036490E">
        <w:t xml:space="preserve">he has </w:t>
      </w:r>
      <w:r w:rsidR="00767D5A">
        <w:t>not actually</w:t>
      </w:r>
      <w:r w:rsidR="0036490E">
        <w:t xml:space="preserve"> died, then there is no fact about his death that actually counts in favour of sadness.</w:t>
      </w:r>
    </w:p>
    <w:p w:rsidR="00041DC9" w:rsidRPr="00A47A4D" w:rsidRDefault="0036490E" w:rsidP="00457B56">
      <w:pPr>
        <w:tabs>
          <w:tab w:val="left" w:pos="284"/>
        </w:tabs>
        <w:spacing w:before="120" w:line="480" w:lineRule="auto"/>
        <w:jc w:val="both"/>
      </w:pPr>
      <w:r>
        <w:tab/>
        <w:t xml:space="preserve">“Right”, then, should not be interpreted </w:t>
      </w:r>
      <w:r w:rsidR="004E59AA">
        <w:t>in this passage</w:t>
      </w:r>
      <w:r>
        <w:t xml:space="preserve"> as </w:t>
      </w:r>
      <w:r w:rsidR="00562BBD">
        <w:t>expressing a verdict about</w:t>
      </w:r>
      <w:r>
        <w:t xml:space="preserve"> objective normative reasons. Instead, </w:t>
      </w:r>
      <w:r w:rsidR="00562BBD">
        <w:t>we should read it</w:t>
      </w:r>
      <w:r w:rsidR="00041DC9" w:rsidRPr="00A47A4D">
        <w:t xml:space="preserve"> evaluatively</w:t>
      </w:r>
      <w:r w:rsidR="004E59AA">
        <w:t xml:space="preserve"> – in one of t</w:t>
      </w:r>
      <w:r w:rsidR="00041DC9" w:rsidRPr="00A47A4D">
        <w:t xml:space="preserve">wo </w:t>
      </w:r>
      <w:r w:rsidR="004E59AA">
        <w:t>available</w:t>
      </w:r>
      <w:r w:rsidR="00041DC9" w:rsidRPr="00A47A4D">
        <w:t xml:space="preserve"> </w:t>
      </w:r>
      <w:r w:rsidR="004E59AA">
        <w:t>ways</w:t>
      </w:r>
      <w:r w:rsidR="00041DC9" w:rsidRPr="00A47A4D">
        <w:t xml:space="preserve">. If </w:t>
      </w:r>
      <w:r w:rsidR="00562BBD">
        <w:t>our interest is in identifying</w:t>
      </w:r>
      <w:r w:rsidR="00041DC9" w:rsidRPr="00A47A4D">
        <w:t xml:space="preserve"> a state of perfect, unimprovable virtue, </w:t>
      </w:r>
      <w:r w:rsidR="00041DC9" w:rsidRPr="00A47A4D">
        <w:lastRenderedPageBreak/>
        <w:t xml:space="preserve">then we need to read “right” as meaning perfect or unimprovable. </w:t>
      </w:r>
      <w:r w:rsidR="00562BBD">
        <w:t>But if</w:t>
      </w:r>
      <w:r w:rsidR="00041DC9" w:rsidRPr="00A47A4D">
        <w:t xml:space="preserve"> we are </w:t>
      </w:r>
      <w:r w:rsidR="00562BBD">
        <w:t>looking for an account of</w:t>
      </w:r>
      <w:r w:rsidR="00041DC9" w:rsidRPr="00A47A4D">
        <w:t xml:space="preserve"> the kinds of virtue-attributions we ordinarily make, it must mean instead: good enough.</w:t>
      </w:r>
      <w:r w:rsidR="00562BBD">
        <w:t xml:space="preserve"> The responses that are proper to virtue are the ones that are good enough, in th</w:t>
      </w:r>
      <w:r w:rsidR="00C22B26">
        <w:t>e dimensions Aristotle mentions.</w:t>
      </w:r>
      <w:r w:rsidR="009B3698">
        <w:rPr>
          <w:rStyle w:val="EndnoteReference"/>
        </w:rPr>
        <w:endnoteReference w:id="5"/>
      </w:r>
      <w:r w:rsidR="00C22B26">
        <w:t xml:space="preserve"> </w:t>
      </w:r>
      <w:r w:rsidR="004E59AA">
        <w:t>He mentions five such dimensions</w:t>
      </w:r>
      <w:r w:rsidR="00C22B26">
        <w:t xml:space="preserve"> for feelings.</w:t>
      </w:r>
      <w:r w:rsidR="00457B56">
        <w:t xml:space="preserve"> </w:t>
      </w:r>
      <w:r w:rsidR="004E59AA">
        <w:t>However,</w:t>
      </w:r>
      <w:r w:rsidR="00041DC9" w:rsidRPr="00A47A4D">
        <w:t xml:space="preserve"> when the response in question is an action, </w:t>
      </w:r>
      <w:r w:rsidR="004E59AA">
        <w:t xml:space="preserve">there are </w:t>
      </w:r>
      <w:r w:rsidR="004E59AA" w:rsidRPr="00A47A4D">
        <w:t>two other dimensions of evaluation</w:t>
      </w:r>
      <w:r w:rsidR="004E59AA">
        <w:t xml:space="preserve"> which </w:t>
      </w:r>
      <w:r w:rsidR="00457B56">
        <w:t>it is important to distinguish</w:t>
      </w:r>
      <w:r w:rsidR="00041DC9" w:rsidRPr="00A47A4D">
        <w:t>.</w:t>
      </w:r>
    </w:p>
    <w:p w:rsidR="00041DC9" w:rsidRPr="00A47A4D" w:rsidRDefault="00041DC9" w:rsidP="00041DC9">
      <w:pPr>
        <w:spacing w:before="120" w:line="480" w:lineRule="auto"/>
        <w:jc w:val="both"/>
        <w:rPr>
          <w:i/>
        </w:rPr>
      </w:pPr>
      <w:r w:rsidRPr="00A47A4D">
        <w:rPr>
          <w:i/>
        </w:rPr>
        <w:t>Aim and Motive</w:t>
      </w:r>
    </w:p>
    <w:p w:rsidR="00457B56" w:rsidRDefault="00457B56" w:rsidP="00041DC9">
      <w:pPr>
        <w:spacing w:before="120" w:line="480" w:lineRule="auto"/>
        <w:jc w:val="both"/>
      </w:pPr>
      <w:r>
        <w:t>It sounds odd to talk of having feeling</w:t>
      </w:r>
      <w:r w:rsidR="00210520">
        <w:t>s</w:t>
      </w:r>
      <w:r>
        <w:t xml:space="preserve"> “for the right end”. That makes it sound as though Aristotle thinks we choose to have feelings like anger and pity because there is some further aim we are seeking to achieve by doing so – </w:t>
      </w:r>
      <w:r w:rsidR="00ED6F95">
        <w:t xml:space="preserve">but the relationship most of us have to our feelings </w:t>
      </w:r>
      <w:r w:rsidR="00D85034">
        <w:t xml:space="preserve">(trained actors aside) </w:t>
      </w:r>
      <w:r w:rsidR="006043BE">
        <w:t>is</w:t>
      </w:r>
      <w:r w:rsidR="00ED6F95">
        <w:t xml:space="preserve"> not like that</w:t>
      </w:r>
      <w:r>
        <w:t xml:space="preserve">. It also sounds a bit odd to have Aristotle </w:t>
      </w:r>
      <w:r w:rsidR="000C6DD9">
        <w:t>talking instead of having a feeling “</w:t>
      </w:r>
      <w:r>
        <w:t>with the right motive”</w:t>
      </w:r>
      <w:r w:rsidR="000C6DD9">
        <w:t xml:space="preserve"> (as Ross’s translation does).</w:t>
      </w:r>
      <w:r w:rsidR="009B3698">
        <w:rPr>
          <w:rStyle w:val="EndnoteReference"/>
        </w:rPr>
        <w:endnoteReference w:id="6"/>
      </w:r>
      <w:r w:rsidR="000C6DD9">
        <w:t xml:space="preserve"> We do have feelings because of our recognition of the normative reasons that count in their favour – I can feel pity because of my awareness of someone’s misfortune – but describing this as my “motive” for pity makes the response sound more deliberate than it is.</w:t>
      </w:r>
    </w:p>
    <w:p w:rsidR="00041DC9" w:rsidRPr="00A47A4D" w:rsidRDefault="000C6DD9" w:rsidP="000C6DD9">
      <w:pPr>
        <w:tabs>
          <w:tab w:val="left" w:pos="284"/>
        </w:tabs>
        <w:spacing w:before="120" w:line="480" w:lineRule="auto"/>
        <w:jc w:val="both"/>
      </w:pPr>
      <w:r>
        <w:tab/>
        <w:t>However that may be, w</w:t>
      </w:r>
      <w:r w:rsidR="00457B56">
        <w:t xml:space="preserve">hen we turn to actions, </w:t>
      </w:r>
      <w:r>
        <w:t xml:space="preserve">we find that every intentional action </w:t>
      </w:r>
      <w:r w:rsidR="00002DF3">
        <w:t xml:space="preserve">has an aim, most have a </w:t>
      </w:r>
      <w:r w:rsidR="00457B56">
        <w:t>motive</w:t>
      </w:r>
      <w:r>
        <w:t xml:space="preserve">, and </w:t>
      </w:r>
      <w:r w:rsidR="00002DF3">
        <w:t>that the distinction between them</w:t>
      </w:r>
      <w:r>
        <w:t xml:space="preserve"> is important. The aim of an action</w:t>
      </w:r>
      <w:r w:rsidR="00041DC9" w:rsidRPr="00A47A4D">
        <w:t xml:space="preserve"> is the goal towards which </w:t>
      </w:r>
      <w:r>
        <w:t>it</w:t>
      </w:r>
      <w:r w:rsidR="00041DC9" w:rsidRPr="00A47A4D">
        <w:t xml:space="preserve"> is directed. </w:t>
      </w:r>
      <w:r>
        <w:t>In order for something you do to be an intentional action, t</w:t>
      </w:r>
      <w:r w:rsidR="00041DC9" w:rsidRPr="00A47A4D">
        <w:t xml:space="preserve">here must be some </w:t>
      </w:r>
      <w:r w:rsidR="005B1C0B">
        <w:t xml:space="preserve">such </w:t>
      </w:r>
      <w:r w:rsidR="00041DC9" w:rsidRPr="00A47A4D">
        <w:t xml:space="preserve">goal – something that makes it successful or unsuccessful, </w:t>
      </w:r>
      <w:r w:rsidR="005B1C0B">
        <w:t>towards</w:t>
      </w:r>
      <w:r w:rsidR="00041DC9" w:rsidRPr="00A47A4D">
        <w:t xml:space="preserve"> which </w:t>
      </w:r>
      <w:r>
        <w:t>you exercise</w:t>
      </w:r>
      <w:r w:rsidR="00041DC9" w:rsidRPr="00A47A4D">
        <w:t xml:space="preserve"> control in performing it. Otherwise it would not </w:t>
      </w:r>
      <w:r>
        <w:t>qualify as</w:t>
      </w:r>
      <w:r w:rsidR="00041DC9" w:rsidRPr="00A47A4D">
        <w:t xml:space="preserve"> an intentional action, </w:t>
      </w:r>
      <w:r>
        <w:t>only</w:t>
      </w:r>
      <w:r w:rsidR="00041DC9" w:rsidRPr="00A47A4D">
        <w:t xml:space="preserve"> a bit of behaviour.</w:t>
      </w:r>
    </w:p>
    <w:p w:rsidR="00041DC9" w:rsidRDefault="000F71C1" w:rsidP="00264922">
      <w:pPr>
        <w:tabs>
          <w:tab w:val="left" w:pos="284"/>
        </w:tabs>
        <w:spacing w:before="120" w:line="480" w:lineRule="auto"/>
        <w:jc w:val="both"/>
      </w:pPr>
      <w:r>
        <w:tab/>
        <w:t xml:space="preserve">When aims are understood in this </w:t>
      </w:r>
      <w:r w:rsidR="00264922">
        <w:t xml:space="preserve">broad </w:t>
      </w:r>
      <w:r>
        <w:t>way</w:t>
      </w:r>
      <w:r w:rsidR="00264922">
        <w:t xml:space="preserve"> – as embracing</w:t>
      </w:r>
      <w:r w:rsidR="00041DC9" w:rsidRPr="00A47A4D">
        <w:t xml:space="preserve"> all </w:t>
      </w:r>
      <w:r w:rsidR="00264922">
        <w:t xml:space="preserve">the </w:t>
      </w:r>
      <w:r w:rsidR="00041DC9" w:rsidRPr="00A47A4D">
        <w:t>criteria of success for intentional actions –</w:t>
      </w:r>
      <w:r w:rsidR="005B1C0B">
        <w:t xml:space="preserve"> </w:t>
      </w:r>
      <w:r w:rsidR="00264922">
        <w:t xml:space="preserve">they include the further states of affairs that some actions are </w:t>
      </w:r>
      <w:r w:rsidR="00264922">
        <w:lastRenderedPageBreak/>
        <w:t>directed towards producing, but that is not the only kind of aim an action can have</w:t>
      </w:r>
      <w:r w:rsidR="00041DC9" w:rsidRPr="00A47A4D">
        <w:t>. What you are aiming to do might be expressive rather than productive.</w:t>
      </w:r>
      <w:r w:rsidR="00264922">
        <w:t xml:space="preserve"> A</w:t>
      </w:r>
      <w:r w:rsidR="00041DC9" w:rsidRPr="00A47A4D">
        <w:t>ctions, broadly speaking, may have two sorts of aims: they may be productive (of a state of affairs) or expressive (of a “meaning”), or both.</w:t>
      </w:r>
      <w:r w:rsidR="00747653">
        <w:rPr>
          <w:rStyle w:val="EndnoteReference"/>
        </w:rPr>
        <w:endnoteReference w:id="7"/>
      </w:r>
    </w:p>
    <w:p w:rsidR="00747653" w:rsidRDefault="00535388" w:rsidP="006E0E3D">
      <w:pPr>
        <w:tabs>
          <w:tab w:val="left" w:pos="284"/>
        </w:tabs>
        <w:spacing w:before="120" w:line="480" w:lineRule="auto"/>
        <w:jc w:val="both"/>
      </w:pPr>
      <w:r>
        <w:tab/>
      </w:r>
      <w:r w:rsidR="005B1C0B">
        <w:t xml:space="preserve">So: </w:t>
      </w:r>
      <w:r>
        <w:t xml:space="preserve">when </w:t>
      </w:r>
      <w:r w:rsidR="00D85034">
        <w:t>you</w:t>
      </w:r>
      <w:r>
        <w:t xml:space="preserve"> perform an intentional action,</w:t>
      </w:r>
      <w:r w:rsidR="005B1C0B">
        <w:t xml:space="preserve"> it has an aim.</w:t>
      </w:r>
      <w:r>
        <w:t xml:space="preserve"> </w:t>
      </w:r>
      <w:r w:rsidR="00D85034">
        <w:t>Normally, when you</w:t>
      </w:r>
      <w:r w:rsidR="005B1C0B">
        <w:t xml:space="preserve"> pursue an aim, </w:t>
      </w:r>
      <w:r w:rsidR="00D85034">
        <w:t xml:space="preserve">your doing so is explained by an attitude of yours towards it – an attitude </w:t>
      </w:r>
      <w:r w:rsidR="005E1391">
        <w:t xml:space="preserve">we can indicate by completing sentences of the form “She </w:t>
      </w:r>
      <w:r w:rsidR="005E1391">
        <w:rPr>
          <w:i/>
        </w:rPr>
        <w:t>F</w:t>
      </w:r>
      <w:r w:rsidR="005E1391">
        <w:t>-d out of…” or “from…” or “for the sake of…” or “in order to…” – where what is supplied in the first two cases is the name of the attitude and in the other two its content</w:t>
      </w:r>
      <w:r w:rsidR="006E0E3D">
        <w:t xml:space="preserve">. </w:t>
      </w:r>
      <w:r w:rsidR="003B48C7">
        <w:t>When a</w:t>
      </w:r>
      <w:r w:rsidR="005E1391">
        <w:t>n attitude plays this explanatory role</w:t>
      </w:r>
      <w:r w:rsidR="003B48C7">
        <w:t>, it</w:t>
      </w:r>
      <w:r w:rsidR="005E1391">
        <w:t xml:space="preserve"> is your motive for acting.</w:t>
      </w:r>
      <w:r w:rsidR="00910C27">
        <w:rPr>
          <w:rStyle w:val="EndnoteReference"/>
        </w:rPr>
        <w:endnoteReference w:id="8"/>
      </w:r>
      <w:r w:rsidR="00747653">
        <w:t xml:space="preserve"> </w:t>
      </w:r>
      <w:r w:rsidR="006E0E3D">
        <w:t xml:space="preserve">And normally, </w:t>
      </w:r>
      <w:r w:rsidR="00747653">
        <w:t xml:space="preserve">the attitude that explains why I </w:t>
      </w:r>
      <w:r w:rsidR="006D164F">
        <w:t>pursue</w:t>
      </w:r>
      <w:r w:rsidR="00747653">
        <w:t xml:space="preserve"> an aim includes the acceptance of </w:t>
      </w:r>
      <w:r w:rsidR="00041DC9" w:rsidRPr="00A47A4D">
        <w:t xml:space="preserve">some consideration as </w:t>
      </w:r>
      <w:r w:rsidR="003B48C7">
        <w:t>a reason for pursuing it</w:t>
      </w:r>
      <w:r w:rsidR="00041DC9" w:rsidRPr="00A47A4D">
        <w:t>.</w:t>
      </w:r>
      <w:r w:rsidR="006E0E3D">
        <w:t xml:space="preserve"> The</w:t>
      </w:r>
      <w:r w:rsidR="00B626BB">
        <w:t xml:space="preserve"> two</w:t>
      </w:r>
      <w:r w:rsidR="006E0E3D">
        <w:t xml:space="preserve"> “normally”s </w:t>
      </w:r>
      <w:r w:rsidR="00B626BB">
        <w:t xml:space="preserve">are included to </w:t>
      </w:r>
      <w:r w:rsidR="006E0E3D">
        <w:t>allow for exception</w:t>
      </w:r>
      <w:r w:rsidR="00B626BB">
        <w:t>s</w:t>
      </w:r>
      <w:r w:rsidR="006E0E3D">
        <w:t xml:space="preserve">. </w:t>
      </w:r>
      <w:r w:rsidR="00B626BB">
        <w:t xml:space="preserve">The first “normally” allows for </w:t>
      </w:r>
      <w:r w:rsidR="006E0E3D">
        <w:t>intentional action</w:t>
      </w:r>
      <w:r w:rsidR="00B626BB">
        <w:t>s</w:t>
      </w:r>
      <w:r w:rsidR="006E0E3D">
        <w:t xml:space="preserve"> </w:t>
      </w:r>
      <w:r w:rsidR="00B626BB">
        <w:t>that lack</w:t>
      </w:r>
      <w:r w:rsidR="006E0E3D">
        <w:t xml:space="preserve"> a motive. </w:t>
      </w:r>
      <w:r w:rsidR="005221FC">
        <w:t xml:space="preserve">I might </w:t>
      </w:r>
      <w:r w:rsidR="00747653">
        <w:t>idly pick up a crumb from the table without my adoption of this aim being explained by any further attitude towards it (not even “that I felt like it”).</w:t>
      </w:r>
      <w:r w:rsidR="005221FC">
        <w:rPr>
          <w:rStyle w:val="EndnoteReference"/>
        </w:rPr>
        <w:endnoteReference w:id="9"/>
      </w:r>
      <w:r w:rsidR="005221FC">
        <w:t xml:space="preserve"> </w:t>
      </w:r>
      <w:r w:rsidR="00B626BB">
        <w:t xml:space="preserve">The second “normally” allows for </w:t>
      </w:r>
      <w:r w:rsidR="005221FC">
        <w:t xml:space="preserve">cases of radical akrasia: cases which involve not </w:t>
      </w:r>
      <w:r w:rsidR="005B1C0B">
        <w:t>only</w:t>
      </w:r>
      <w:r w:rsidR="005221FC">
        <w:t xml:space="preserve"> deciding to do what I think I ought not to do, but deciding to do what I think there is </w:t>
      </w:r>
      <w:r w:rsidR="005221FC">
        <w:rPr>
          <w:i/>
        </w:rPr>
        <w:t>no</w:t>
      </w:r>
      <w:r w:rsidR="005221FC">
        <w:t xml:space="preserve"> reason at all</w:t>
      </w:r>
      <w:r w:rsidR="006324FB" w:rsidRPr="006324FB">
        <w:t xml:space="preserve"> </w:t>
      </w:r>
      <w:r w:rsidR="006324FB">
        <w:t>to do</w:t>
      </w:r>
      <w:r w:rsidR="005221FC">
        <w:t xml:space="preserve">. There might still be something for the sake of which I am doing it. </w:t>
      </w:r>
      <w:r w:rsidR="005B1C0B">
        <w:t xml:space="preserve">I might be acting for the sake of revenge, </w:t>
      </w:r>
      <w:r w:rsidR="007564D4">
        <w:t>despite knowing</w:t>
      </w:r>
      <w:r w:rsidR="005B1C0B">
        <w:t xml:space="preserve"> that revenge is</w:t>
      </w:r>
      <w:r w:rsidR="007564D4">
        <w:t xml:space="preserve"> not</w:t>
      </w:r>
      <w:r w:rsidR="005B1C0B">
        <w:t xml:space="preserve"> a normative reason for action. My action would then have a motive, but the motive would not be a state of reason-acceptance. </w:t>
      </w:r>
    </w:p>
    <w:p w:rsidR="00DA393B" w:rsidRDefault="00B626BB" w:rsidP="00B626BB">
      <w:pPr>
        <w:tabs>
          <w:tab w:val="left" w:pos="284"/>
        </w:tabs>
        <w:spacing w:before="120" w:line="480" w:lineRule="auto"/>
        <w:jc w:val="both"/>
      </w:pPr>
      <w:r>
        <w:tab/>
      </w:r>
      <w:r w:rsidR="00E11294">
        <w:t xml:space="preserve">But </w:t>
      </w:r>
      <w:r w:rsidR="006D164F">
        <w:t>in the normal cases</w:t>
      </w:r>
      <w:r w:rsidR="00E11294">
        <w:t>,</w:t>
      </w:r>
      <w:r w:rsidR="005B1C0B">
        <w:t xml:space="preserve"> a motive is a state </w:t>
      </w:r>
      <w:r w:rsidR="00E11294">
        <w:t>the content of which includes</w:t>
      </w:r>
      <w:r w:rsidR="005B1C0B">
        <w:t xml:space="preserve"> accepting some consideration as </w:t>
      </w:r>
      <w:r w:rsidR="003B48C7">
        <w:t>a reason</w:t>
      </w:r>
      <w:r w:rsidR="00E11294">
        <w:t xml:space="preserve"> in favour of my action</w:t>
      </w:r>
      <w:r w:rsidR="005B1C0B">
        <w:t>.</w:t>
      </w:r>
      <w:r w:rsidR="00E11294">
        <w:t xml:space="preserve"> Someone who hinders you out of malice is treating the annoyance to you as a reason for hindering you; someone who helps you from compassion treats the relief of your distress as a reason for helping; and </w:t>
      </w:r>
      <w:r w:rsidR="00E11294">
        <w:lastRenderedPageBreak/>
        <w:t xml:space="preserve">someone who attends your lectures for the sake of learning about philosophy </w:t>
      </w:r>
      <w:r w:rsidR="006D164F">
        <w:t>is treating</w:t>
      </w:r>
      <w:r w:rsidR="00E11294">
        <w:t xml:space="preserve"> that as a reason for attending. Notice </w:t>
      </w:r>
      <w:r w:rsidR="003B48C7">
        <w:t>how</w:t>
      </w:r>
      <w:r w:rsidR="00E11294">
        <w:t xml:space="preserve"> this</w:t>
      </w:r>
      <w:r w:rsidR="005B1C0B">
        <w:t xml:space="preserve"> gives us two</w:t>
      </w:r>
      <w:r>
        <w:t xml:space="preserve"> different ways of referring to agents’ motives. One is by giving the content</w:t>
      </w:r>
      <w:r w:rsidR="00F664A2">
        <w:t xml:space="preserve"> of </w:t>
      </w:r>
      <w:r w:rsidR="00DA393B">
        <w:t>the consideration which is accepted by the agent</w:t>
      </w:r>
      <w:r w:rsidR="003437FA">
        <w:t xml:space="preserve"> as reason-providing</w:t>
      </w:r>
      <w:r w:rsidR="00DA393B">
        <w:t xml:space="preserve"> (</w:t>
      </w:r>
      <w:r w:rsidR="005B1C0B">
        <w:t>“He is motivated by the prospect</w:t>
      </w:r>
      <w:r w:rsidR="00DA393B" w:rsidRPr="00A47A4D">
        <w:t xml:space="preserve"> of personal advancement</w:t>
      </w:r>
      <w:r w:rsidR="005B1C0B">
        <w:t>”</w:t>
      </w:r>
      <w:r w:rsidR="00DA393B">
        <w:t xml:space="preserve">); another is by naming the agent’s state of acceptance of that consideration </w:t>
      </w:r>
      <w:r w:rsidR="005B1C0B">
        <w:t xml:space="preserve">(“He is motivated by </w:t>
      </w:r>
      <w:r w:rsidR="00DA393B">
        <w:t>ambition</w:t>
      </w:r>
      <w:r w:rsidR="005B1C0B">
        <w:t>”</w:t>
      </w:r>
      <w:r w:rsidR="00DA393B">
        <w:t xml:space="preserve">). It is important not to confuse the two. When we say that </w:t>
      </w:r>
      <w:r w:rsidR="00DA393B" w:rsidRPr="00A47A4D">
        <w:t xml:space="preserve">the motive of your action is ambition, </w:t>
      </w:r>
      <w:r w:rsidR="00DA393B">
        <w:t xml:space="preserve">we are not saying that what explains it is your accepting your own ambition as a reason for what you do. Rather, “ambition” </w:t>
      </w:r>
      <w:r w:rsidR="00E11294">
        <w:t>names</w:t>
      </w:r>
      <w:r w:rsidR="00DA393B">
        <w:t xml:space="preserve"> a state </w:t>
      </w:r>
      <w:r w:rsidR="00E11294">
        <w:t>which includes the acceptance of</w:t>
      </w:r>
      <w:r w:rsidR="00DA393B">
        <w:t xml:space="preserve"> </w:t>
      </w:r>
      <w:r w:rsidR="00ED6F95">
        <w:t>an</w:t>
      </w:r>
      <w:r w:rsidR="00DA393B">
        <w:t xml:space="preserve">other consideration – </w:t>
      </w:r>
      <w:r w:rsidR="00DA393B" w:rsidRPr="00A47A4D">
        <w:t xml:space="preserve">the </w:t>
      </w:r>
      <w:r w:rsidR="00F0799D">
        <w:t>prospect</w:t>
      </w:r>
      <w:r w:rsidR="00DA393B" w:rsidRPr="00A47A4D">
        <w:t xml:space="preserve"> of personal advancement</w:t>
      </w:r>
      <w:r w:rsidR="00DA393B">
        <w:t xml:space="preserve"> – as a reason for action. Seeing this is important </w:t>
      </w:r>
      <w:r w:rsidR="008635DC">
        <w:t xml:space="preserve">in order not to misunderstand the other-regarding motives of morally virtuous action. To ascribe motives of kindness to an agent is to say that her action is performed for the sake of someone else’s welfare, not for the sake of her own kindness. </w:t>
      </w:r>
    </w:p>
    <w:p w:rsidR="00606A64" w:rsidRDefault="00E11294" w:rsidP="00B626BB">
      <w:pPr>
        <w:tabs>
          <w:tab w:val="left" w:pos="284"/>
        </w:tabs>
        <w:spacing w:before="120" w:line="480" w:lineRule="auto"/>
        <w:jc w:val="both"/>
      </w:pPr>
      <w:r>
        <w:tab/>
        <w:t xml:space="preserve">The plausibility of these claims </w:t>
      </w:r>
      <w:r w:rsidR="003B48C7">
        <w:t xml:space="preserve">about motivated intentional action </w:t>
      </w:r>
      <w:r>
        <w:t xml:space="preserve">relies on not </w:t>
      </w:r>
      <w:r w:rsidR="00606A64">
        <w:t xml:space="preserve">adopting an overly intellectualist conception of </w:t>
      </w:r>
      <w:r>
        <w:t xml:space="preserve">what it is for one’s action to be explained by accepting some consideration as a reason for acting. </w:t>
      </w:r>
      <w:r w:rsidR="00606A64">
        <w:t xml:space="preserve">Take, for example, the actions that psychologists explain as being performed unreflectively under the control of the brain’s “System 1”: actions like that of the experienced firefighter who responds immediately to subliminal cues </w:t>
      </w:r>
      <w:r w:rsidR="003B48C7">
        <w:t>by getting</w:t>
      </w:r>
      <w:r w:rsidR="00606A64">
        <w:t xml:space="preserve"> out of a dangerous building.</w:t>
      </w:r>
      <w:r w:rsidR="00606A64">
        <w:rPr>
          <w:rStyle w:val="EndnoteReference"/>
        </w:rPr>
        <w:endnoteReference w:id="10"/>
      </w:r>
      <w:r w:rsidR="00606A64">
        <w:t xml:space="preserve"> There, the firefighter’s action is intentional – it is directed towards the aim of getting out of the building. It is performed for the sake of safety: it has that motive. And here, too, we can say that there is a consideration – the fact that the building is unsafe – to which the firefighter is responsive, as a reason for getting out. Neither the fact itself, nor the </w:t>
      </w:r>
      <w:r w:rsidR="003B48C7">
        <w:t>acceptance of it as</w:t>
      </w:r>
      <w:r w:rsidR="00606A64">
        <w:t xml:space="preserve"> a reason, </w:t>
      </w:r>
      <w:r w:rsidR="00606CC4">
        <w:t xml:space="preserve">is tokened in an episode of conscious occurrent thought. But it is the firefighter’s sensitivity to </w:t>
      </w:r>
      <w:r w:rsidR="003B48C7">
        <w:t>the</w:t>
      </w:r>
      <w:r w:rsidR="00606CC4">
        <w:t xml:space="preserve"> fact</w:t>
      </w:r>
      <w:r w:rsidR="003B48C7">
        <w:t xml:space="preserve"> that the building is unsafe</w:t>
      </w:r>
      <w:r w:rsidR="00606CC4">
        <w:t xml:space="preserve">, and acceptance </w:t>
      </w:r>
      <w:r w:rsidR="00606CC4">
        <w:lastRenderedPageBreak/>
        <w:t xml:space="preserve">that </w:t>
      </w:r>
      <w:r w:rsidR="003B48C7">
        <w:t>there</w:t>
      </w:r>
      <w:r w:rsidR="00606CC4">
        <w:t xml:space="preserve"> is a reason to get out, that explains the action of getting out. To cover all cases of motivated intentional action, “accepting a consideration as a reason for action” has to be interpreted broadly enough to include such cases.</w:t>
      </w:r>
      <w:r w:rsidR="00606CC4">
        <w:rPr>
          <w:rStyle w:val="EndnoteReference"/>
        </w:rPr>
        <w:endnoteReference w:id="11"/>
      </w:r>
    </w:p>
    <w:p w:rsidR="00583D09" w:rsidRDefault="008635DC" w:rsidP="00127BB2">
      <w:pPr>
        <w:tabs>
          <w:tab w:val="left" w:pos="284"/>
        </w:tabs>
        <w:spacing w:before="120" w:line="480" w:lineRule="auto"/>
        <w:jc w:val="both"/>
      </w:pPr>
      <w:r>
        <w:tab/>
        <w:t>The distinction between aim and motive is important because t</w:t>
      </w:r>
      <w:r w:rsidR="00041DC9" w:rsidRPr="00A47A4D">
        <w:t xml:space="preserve">wo actions can have the same aim but different motives, and this </w:t>
      </w:r>
      <w:r w:rsidR="005B1C0B">
        <w:t>can affect</w:t>
      </w:r>
      <w:r w:rsidR="00041DC9" w:rsidRPr="00A47A4D">
        <w:t xml:space="preserve"> how morally virtuous they are.</w:t>
      </w:r>
      <w:r>
        <w:t xml:space="preserve"> </w:t>
      </w:r>
      <w:r w:rsidR="005B1C0B">
        <w:t>Kant describes a</w:t>
      </w:r>
      <w:r w:rsidR="00041DC9" w:rsidRPr="00A47A4D">
        <w:t xml:space="preserve"> shopkeeper</w:t>
      </w:r>
      <w:r w:rsidR="00127BB2">
        <w:t xml:space="preserve"> </w:t>
      </w:r>
      <w:r w:rsidR="00041DC9" w:rsidRPr="00A47A4D">
        <w:t xml:space="preserve">who scrupulously gives his customers the </w:t>
      </w:r>
      <w:r w:rsidR="00127BB2">
        <w:t>correct</w:t>
      </w:r>
      <w:r w:rsidR="00041DC9" w:rsidRPr="00A47A4D">
        <w:t xml:space="preserve"> change from motives of commercial prudence.</w:t>
      </w:r>
      <w:r w:rsidR="006043BE">
        <w:rPr>
          <w:rStyle w:val="EndnoteReference"/>
        </w:rPr>
        <w:endnoteReference w:id="12"/>
      </w:r>
      <w:r w:rsidR="00041DC9" w:rsidRPr="00A47A4D">
        <w:t xml:space="preserve"> </w:t>
      </w:r>
      <w:r w:rsidR="00127BB2">
        <w:t>Another shopkeeper might act with the same aim</w:t>
      </w:r>
      <w:r w:rsidR="00041DC9" w:rsidRPr="00A47A4D">
        <w:t xml:space="preserve"> </w:t>
      </w:r>
      <w:r w:rsidR="00127BB2">
        <w:t xml:space="preserve">– to give </w:t>
      </w:r>
      <w:r w:rsidR="00127BB2" w:rsidRPr="00A47A4D">
        <w:t xml:space="preserve">his customers the </w:t>
      </w:r>
      <w:r w:rsidR="00127BB2">
        <w:t>correct</w:t>
      </w:r>
      <w:r w:rsidR="00127BB2" w:rsidRPr="00A47A4D">
        <w:t xml:space="preserve"> change </w:t>
      </w:r>
      <w:r w:rsidR="00127BB2">
        <w:t xml:space="preserve">– but from a motive of respect: </w:t>
      </w:r>
      <w:r w:rsidR="006D164F">
        <w:t>out of respect for</w:t>
      </w:r>
      <w:r w:rsidR="00127BB2">
        <w:t xml:space="preserve"> their rights. </w:t>
      </w:r>
      <w:r w:rsidR="00041DC9" w:rsidRPr="00A47A4D">
        <w:t>Only the latter is morally virtuous.</w:t>
      </w:r>
      <w:r w:rsidR="00127BB2">
        <w:t xml:space="preserve"> </w:t>
      </w:r>
      <w:r w:rsidR="00264922">
        <w:t xml:space="preserve">However, </w:t>
      </w:r>
      <w:r w:rsidR="00127BB2">
        <w:t xml:space="preserve">notice that </w:t>
      </w:r>
      <w:r w:rsidR="00264922">
        <w:t xml:space="preserve">Kant is </w:t>
      </w:r>
      <w:r w:rsidR="00127BB2">
        <w:t>correct</w:t>
      </w:r>
      <w:r w:rsidR="00264922">
        <w:t xml:space="preserve"> that</w:t>
      </w:r>
      <w:r w:rsidR="00583D09">
        <w:t xml:space="preserve"> </w:t>
      </w:r>
      <w:r w:rsidR="005B1C0B">
        <w:t xml:space="preserve">when the first shopkeeper gives </w:t>
      </w:r>
      <w:r w:rsidR="005B1C0B" w:rsidRPr="00A47A4D">
        <w:t xml:space="preserve">his customers the </w:t>
      </w:r>
      <w:r w:rsidR="005B1C0B">
        <w:t>correct</w:t>
      </w:r>
      <w:r w:rsidR="005B1C0B" w:rsidRPr="00A47A4D">
        <w:t xml:space="preserve"> change</w:t>
      </w:r>
      <w:r w:rsidR="005B1C0B">
        <w:t>,</w:t>
      </w:r>
      <w:r w:rsidR="005B1C0B" w:rsidRPr="00A47A4D">
        <w:t xml:space="preserve"> </w:t>
      </w:r>
      <w:r w:rsidR="00583D09">
        <w:t>“[p]eople are thus served honestly”: hi</w:t>
      </w:r>
      <w:r w:rsidR="00264922">
        <w:t xml:space="preserve">s action is </w:t>
      </w:r>
      <w:r w:rsidR="00583D09">
        <w:t>honest.</w:t>
      </w:r>
      <w:r w:rsidR="00127BB2">
        <w:t xml:space="preserve"> </w:t>
      </w:r>
      <w:r w:rsidR="005B1C0B">
        <w:t>T</w:t>
      </w:r>
      <w:r w:rsidR="00583D09">
        <w:t xml:space="preserve">he </w:t>
      </w:r>
      <w:r w:rsidR="00127BB2">
        <w:t>applicability</w:t>
      </w:r>
      <w:r w:rsidR="00583D09">
        <w:t xml:space="preserve"> of the aretaic term</w:t>
      </w:r>
      <w:r w:rsidR="00127BB2">
        <w:t xml:space="preserve"> “honest”</w:t>
      </w:r>
      <w:r w:rsidR="00583D09">
        <w:t xml:space="preserve"> to </w:t>
      </w:r>
      <w:r w:rsidR="00127BB2">
        <w:t>an</w:t>
      </w:r>
      <w:r w:rsidR="00583D09">
        <w:t xml:space="preserve"> action</w:t>
      </w:r>
      <w:r w:rsidR="005B1C0B">
        <w:t xml:space="preserve"> is settled solely by reference to its aim</w:t>
      </w:r>
      <w:r w:rsidR="00127BB2">
        <w:t>. If an action has the aim of open dealing, then it is an honest action, whatever the quality of the motive from which it has been performed.</w:t>
      </w:r>
      <w:r w:rsidR="00E006ED">
        <w:t xml:space="preserve"> The motive, however, </w:t>
      </w:r>
      <w:r w:rsidR="00583D09">
        <w:t xml:space="preserve">is relevant to whether </w:t>
      </w:r>
      <w:r w:rsidR="00E006ED">
        <w:t>an action</w:t>
      </w:r>
      <w:r w:rsidR="00583D09">
        <w:t xml:space="preserve"> expresses </w:t>
      </w:r>
      <w:r w:rsidR="00E006ED">
        <w:t>the</w:t>
      </w:r>
      <w:r w:rsidR="00583D09">
        <w:t xml:space="preserve"> </w:t>
      </w:r>
      <w:r w:rsidR="00583D09" w:rsidRPr="00E006ED">
        <w:rPr>
          <w:i/>
        </w:rPr>
        <w:t>virtue</w:t>
      </w:r>
      <w:r w:rsidR="00E006ED">
        <w:t xml:space="preserve"> of honesty</w:t>
      </w:r>
      <w:r w:rsidR="00583D09">
        <w:t>.</w:t>
      </w:r>
    </w:p>
    <w:p w:rsidR="00E006ED" w:rsidRDefault="00E006ED" w:rsidP="00E006ED">
      <w:pPr>
        <w:tabs>
          <w:tab w:val="left" w:pos="284"/>
        </w:tabs>
        <w:spacing w:before="120" w:line="480" w:lineRule="auto"/>
        <w:jc w:val="both"/>
      </w:pPr>
      <w:r>
        <w:tab/>
      </w:r>
      <w:r w:rsidRPr="00A47A4D">
        <w:t xml:space="preserve">However, with other </w:t>
      </w:r>
      <w:r w:rsidR="005B1C0B">
        <w:t>aretaic terms</w:t>
      </w:r>
      <w:r w:rsidRPr="00A47A4D">
        <w:t xml:space="preserve">, matters are </w:t>
      </w:r>
      <w:r w:rsidR="005B1C0B">
        <w:t>not so simple</w:t>
      </w:r>
      <w:r w:rsidRPr="00A47A4D">
        <w:t>.</w:t>
      </w:r>
      <w:r>
        <w:t xml:space="preserve"> </w:t>
      </w:r>
      <w:r w:rsidRPr="00A47A4D">
        <w:t xml:space="preserve">Consider the aim of helping </w:t>
      </w:r>
      <w:r>
        <w:t>someone</w:t>
      </w:r>
      <w:r w:rsidRPr="00A47A4D">
        <w:t xml:space="preserve"> to get what </w:t>
      </w:r>
      <w:r>
        <w:t>he</w:t>
      </w:r>
      <w:r w:rsidRPr="00A47A4D">
        <w:t xml:space="preserve"> need</w:t>
      </w:r>
      <w:r>
        <w:t>s</w:t>
      </w:r>
      <w:r w:rsidRPr="00A47A4D">
        <w:t>.</w:t>
      </w:r>
      <w:r w:rsidR="005B1C0B">
        <w:t xml:space="preserve"> T</w:t>
      </w:r>
      <w:r w:rsidRPr="00A47A4D">
        <w:t>hat aim</w:t>
      </w:r>
      <w:r w:rsidR="005B1C0B">
        <w:t>, too,</w:t>
      </w:r>
      <w:r w:rsidRPr="00A47A4D">
        <w:t xml:space="preserve"> </w:t>
      </w:r>
      <w:r w:rsidR="005B1C0B">
        <w:t xml:space="preserve">can be pursued </w:t>
      </w:r>
      <w:r w:rsidRPr="00A47A4D">
        <w:t xml:space="preserve">from various different motives. Your motive might be to promote the person’s welfare, or to demonstrate your superiority, or to hurt </w:t>
      </w:r>
      <w:r w:rsidR="00C67DA7">
        <w:t>his</w:t>
      </w:r>
      <w:r w:rsidRPr="00A47A4D">
        <w:t xml:space="preserve"> pride, or to enhance your moral reputation</w:t>
      </w:r>
      <w:r w:rsidR="00C67DA7">
        <w:t xml:space="preserve">, </w:t>
      </w:r>
      <w:r>
        <w:t xml:space="preserve">or </w:t>
      </w:r>
      <w:r w:rsidR="00C67DA7">
        <w:t>(</w:t>
      </w:r>
      <w:r>
        <w:t>often?</w:t>
      </w:r>
      <w:r w:rsidR="00C67DA7">
        <w:t>)</w:t>
      </w:r>
      <w:r>
        <w:t xml:space="preserve"> some mixture of these</w:t>
      </w:r>
      <w:r w:rsidRPr="00A47A4D">
        <w:t>.</w:t>
      </w:r>
      <w:r>
        <w:t xml:space="preserve"> </w:t>
      </w:r>
      <w:r w:rsidR="003B0179">
        <w:t>However, o</w:t>
      </w:r>
      <w:r>
        <w:t xml:space="preserve">nly to the extent that your action has the first of these motives could it </w:t>
      </w:r>
      <w:r w:rsidR="003B0179">
        <w:t>qualify as</w:t>
      </w:r>
      <w:r>
        <w:t xml:space="preserve"> </w:t>
      </w:r>
      <w:r w:rsidRPr="003B0179">
        <w:rPr>
          <w:i/>
        </w:rPr>
        <w:t>kind</w:t>
      </w:r>
      <w:r>
        <w:t xml:space="preserve">. Moreover, having this </w:t>
      </w:r>
      <w:r w:rsidRPr="00A47A4D">
        <w:t xml:space="preserve">aim and motive does not suffice. </w:t>
      </w:r>
      <w:r w:rsidR="003B0179">
        <w:t>Your action</w:t>
      </w:r>
      <w:r w:rsidRPr="00A47A4D">
        <w:t xml:space="preserve"> must </w:t>
      </w:r>
      <w:r w:rsidR="003B0179">
        <w:t>be performed with</w:t>
      </w:r>
      <w:r w:rsidRPr="00A47A4D">
        <w:t xml:space="preserve"> the right manner as well. Helping in a cold</w:t>
      </w:r>
      <w:r w:rsidR="00D1753E">
        <w:t>,</w:t>
      </w:r>
      <w:r w:rsidRPr="00A47A4D">
        <w:t xml:space="preserve"> </w:t>
      </w:r>
      <w:r w:rsidR="00D1753E">
        <w:t>rough</w:t>
      </w:r>
      <w:r w:rsidRPr="00A47A4D">
        <w:t xml:space="preserve"> </w:t>
      </w:r>
      <w:r w:rsidR="00D1753E" w:rsidRPr="00A47A4D">
        <w:t xml:space="preserve">or </w:t>
      </w:r>
      <w:r w:rsidR="00D1753E">
        <w:t xml:space="preserve">overbearing </w:t>
      </w:r>
      <w:r w:rsidRPr="00A47A4D">
        <w:t xml:space="preserve">manner, even if for the right reasons, </w:t>
      </w:r>
      <w:r w:rsidR="003B48C7">
        <w:t>could disqualify your action from being</w:t>
      </w:r>
      <w:r w:rsidRPr="00A47A4D">
        <w:t xml:space="preserve"> kind.</w:t>
      </w:r>
    </w:p>
    <w:p w:rsidR="005A1C84" w:rsidRPr="00A47A4D" w:rsidRDefault="00E006ED" w:rsidP="005A1C84">
      <w:pPr>
        <w:tabs>
          <w:tab w:val="left" w:pos="284"/>
        </w:tabs>
        <w:spacing w:before="120" w:line="480" w:lineRule="auto"/>
        <w:jc w:val="both"/>
      </w:pPr>
      <w:r>
        <w:lastRenderedPageBreak/>
        <w:tab/>
        <w:t>Thus</w:t>
      </w:r>
      <w:r w:rsidR="00403BC1">
        <w:t>,</w:t>
      </w:r>
      <w:r>
        <w:t xml:space="preserve"> </w:t>
      </w:r>
      <w:r w:rsidR="00D1753E">
        <w:t>different aretaic terms are defined by reference to different dimensions of evaluation</w:t>
      </w:r>
      <w:r w:rsidR="005A1C84">
        <w:t>. For an action to be honest, it is enough that it has a certain aim: that of open dealing with others. Another aim-specific aretaic term is “generosity”. To act generously is to act with the aim of sharing one’s resources with others. It does not matter what one’s motive is: you might give me an ostentatiously generous gift in order to humiliate me, out of revenge for some perceived slight. Then you would still have performed a generous action, from a reprehensible motive.</w:t>
      </w:r>
      <w:r w:rsidR="007564D4">
        <w:rPr>
          <w:rStyle w:val="EndnoteReference"/>
        </w:rPr>
        <w:endnoteReference w:id="13"/>
      </w:r>
      <w:r w:rsidR="005A1C84">
        <w:t xml:space="preserve"> But “kindness” is defined by reference to three dimensions of evaluation, not one. To qualify as kind, an action </w:t>
      </w:r>
      <w:r w:rsidR="005A1C84" w:rsidRPr="00A47A4D">
        <w:t xml:space="preserve">must have a particular aim (procuring a good for someone), a particular motive (furthering his welfare), and a particular manner (a </w:t>
      </w:r>
      <w:r w:rsidR="00A34A65">
        <w:t>gentle</w:t>
      </w:r>
      <w:r w:rsidR="005A1C84" w:rsidRPr="00A47A4D">
        <w:t xml:space="preserve"> one).</w:t>
      </w:r>
      <w:r w:rsidR="00FD05C8">
        <w:rPr>
          <w:rStyle w:val="EndnoteReference"/>
        </w:rPr>
        <w:endnoteReference w:id="14"/>
      </w:r>
    </w:p>
    <w:p w:rsidR="005A1C84" w:rsidRDefault="00A34A65" w:rsidP="00A34A65">
      <w:pPr>
        <w:tabs>
          <w:tab w:val="left" w:pos="284"/>
        </w:tabs>
        <w:spacing w:before="120" w:line="480" w:lineRule="auto"/>
        <w:jc w:val="both"/>
      </w:pPr>
      <w:r>
        <w:tab/>
      </w:r>
      <w:r w:rsidR="005A1C84" w:rsidRPr="00A47A4D">
        <w:t xml:space="preserve">Why the difference? This </w:t>
      </w:r>
      <w:r>
        <w:t xml:space="preserve">evidently </w:t>
      </w:r>
      <w:r w:rsidR="005A1C84" w:rsidRPr="00A47A4D">
        <w:t xml:space="preserve">depends on the interests we have in making these attributions. </w:t>
      </w:r>
      <w:r>
        <w:t>A prominent interest we have</w:t>
      </w:r>
      <w:r w:rsidR="005A1C84" w:rsidRPr="00A47A4D">
        <w:t xml:space="preserve"> in distinguishing between different kinds of shopkeeper </w:t>
      </w:r>
      <w:r>
        <w:t>is to identify</w:t>
      </w:r>
      <w:r w:rsidR="005A1C84" w:rsidRPr="00A47A4D">
        <w:t xml:space="preserve"> those with an aim of open dealing, whatever their motives. But the kindness it makes sense to encourage</w:t>
      </w:r>
      <w:r>
        <w:t xml:space="preserve"> and care about is a way of interacting with others that</w:t>
      </w:r>
      <w:r w:rsidR="005A1C84" w:rsidRPr="00A47A4D">
        <w:t xml:space="preserve"> has all three qualities, because all three are relevant to the con</w:t>
      </w:r>
      <w:r>
        <w:t>ferring of fellowship-benefits, through receiving the assurance that we matter to others.</w:t>
      </w:r>
    </w:p>
    <w:p w:rsidR="009221CB" w:rsidRDefault="00814C58" w:rsidP="00A96516">
      <w:pPr>
        <w:tabs>
          <w:tab w:val="left" w:pos="284"/>
        </w:tabs>
        <w:spacing w:before="120" w:line="480" w:lineRule="auto"/>
        <w:jc w:val="both"/>
        <w:rPr>
          <w:b/>
        </w:rPr>
      </w:pPr>
      <w:r>
        <w:tab/>
        <w:t>I should add a qualification to these remarks.</w:t>
      </w:r>
      <w:r w:rsidR="00CD37CF">
        <w:t xml:space="preserve"> Is it true that kind action </w:t>
      </w:r>
      <w:r w:rsidR="00CD37CF">
        <w:rPr>
          <w:i/>
        </w:rPr>
        <w:t>must</w:t>
      </w:r>
      <w:r w:rsidR="00CD37CF">
        <w:t xml:space="preserve"> have a gentle manner? If I </w:t>
      </w:r>
      <w:r w:rsidR="007564D4">
        <w:t>abruptly</w:t>
      </w:r>
      <w:r w:rsidR="00CD37CF">
        <w:t xml:space="preserve"> grab you, alarmed that you are about to be run over, might that not be kind? Perhaps so. Here, I agree with those who say that aretaic concepts </w:t>
      </w:r>
      <w:r w:rsidR="004E635E">
        <w:t xml:space="preserve">are ones we possess in seeing the relationship of an instance to </w:t>
      </w:r>
      <w:r w:rsidR="0003075F">
        <w:t>a prototype</w:t>
      </w:r>
      <w:r w:rsidR="004E635E">
        <w:t>, rather than through the possession of a sharply bounded set of necessary and sufficient conditions.</w:t>
      </w:r>
      <w:r w:rsidR="007564D4">
        <w:rPr>
          <w:rStyle w:val="EndnoteReference"/>
        </w:rPr>
        <w:endnoteReference w:id="15"/>
      </w:r>
      <w:r w:rsidR="004E635E">
        <w:t xml:space="preserve"> So my remarks are intended to apply to the prototypical cases. Roughly grabbing you could qualify as kind, then, because of the relationship it bears to those cases. It could be an expression of the same dispositions that issue in prototypically kind action, motivated in the same way. </w:t>
      </w:r>
      <w:r w:rsidR="009221CB">
        <w:rPr>
          <w:b/>
        </w:rPr>
        <w:br w:type="page"/>
      </w:r>
    </w:p>
    <w:p w:rsidR="00D91C02" w:rsidRDefault="00B350EA" w:rsidP="00B350EA">
      <w:pPr>
        <w:spacing w:before="120" w:line="480" w:lineRule="auto"/>
        <w:jc w:val="center"/>
        <w:rPr>
          <w:b/>
        </w:rPr>
      </w:pPr>
      <w:r w:rsidRPr="00B350EA">
        <w:rPr>
          <w:b/>
        </w:rPr>
        <w:lastRenderedPageBreak/>
        <w:t>II:</w:t>
      </w:r>
      <w:r w:rsidR="00D91C02" w:rsidRPr="00B350EA">
        <w:rPr>
          <w:b/>
        </w:rPr>
        <w:t xml:space="preserve">  Virtue and the Aretaic</w:t>
      </w:r>
    </w:p>
    <w:p w:rsidR="00B350EA" w:rsidRPr="00B350EA" w:rsidRDefault="00B350EA" w:rsidP="00B350EA">
      <w:pPr>
        <w:spacing w:before="120" w:line="480" w:lineRule="auto"/>
        <w:jc w:val="center"/>
        <w:rPr>
          <w:b/>
        </w:rPr>
      </w:pPr>
    </w:p>
    <w:p w:rsidR="00D91C02" w:rsidRDefault="00953904" w:rsidP="00B350EA">
      <w:pPr>
        <w:spacing w:before="120" w:line="480" w:lineRule="auto"/>
        <w:jc w:val="both"/>
      </w:pPr>
      <w:r>
        <w:t xml:space="preserve">Aretaic terms are those – like “honesty” – that </w:t>
      </w:r>
      <w:r>
        <w:rPr>
          <w:i/>
        </w:rPr>
        <w:t xml:space="preserve">can </w:t>
      </w:r>
      <w:r>
        <w:t>be used to attribute virtues. But they do not always do so: Kant’s shopkeeper just showed us that. If we say that “an aretaic property” is what something has when an aretaic term applies to it, then t</w:t>
      </w:r>
      <w:r w:rsidR="00525EEC">
        <w:t xml:space="preserve">he </w:t>
      </w:r>
      <w:r w:rsidR="00D91C02" w:rsidRPr="00A47A4D">
        <w:t xml:space="preserve">relationship between </w:t>
      </w:r>
      <w:r w:rsidR="00525EEC" w:rsidRPr="00A47A4D">
        <w:t xml:space="preserve">virtue </w:t>
      </w:r>
      <w:r w:rsidR="00525EEC">
        <w:t xml:space="preserve">and </w:t>
      </w:r>
      <w:r w:rsidR="00D91C02" w:rsidRPr="00A47A4D">
        <w:t xml:space="preserve">the </w:t>
      </w:r>
      <w:r w:rsidR="00525EEC">
        <w:t xml:space="preserve">possession of </w:t>
      </w:r>
      <w:r w:rsidR="00D91C02" w:rsidRPr="00A47A4D">
        <w:t xml:space="preserve">aretaic </w:t>
      </w:r>
      <w:r w:rsidR="00525EEC">
        <w:t>properties</w:t>
      </w:r>
      <w:r w:rsidR="00D91C02" w:rsidRPr="00A47A4D">
        <w:t xml:space="preserve"> needs to be handled with care.</w:t>
      </w:r>
      <w:r w:rsidR="00525EEC">
        <w:t xml:space="preserve"> The case of honesty above shows us that this relationship is not straightforward. </w:t>
      </w:r>
      <w:r w:rsidR="00D91C02" w:rsidRPr="00A47A4D">
        <w:t>Kant’s shopkeeper performs honest actions. Indeed, he is an honest shopkeeper</w:t>
      </w:r>
      <w:r w:rsidR="00324F0F">
        <w:t>, since</w:t>
      </w:r>
      <w:r w:rsidR="00525EEC">
        <w:t xml:space="preserve"> it is characteristic of him that he performs such actions</w:t>
      </w:r>
      <w:r w:rsidR="00D91C02" w:rsidRPr="00A47A4D">
        <w:t>. But he lacks the virtue of honesty.</w:t>
      </w:r>
      <w:r w:rsidR="000848AC">
        <w:rPr>
          <w:rStyle w:val="EndnoteReference"/>
        </w:rPr>
        <w:endnoteReference w:id="16"/>
      </w:r>
      <w:r w:rsidR="00525EEC">
        <w:t xml:space="preserve"> And the corresponding possibility exists for kindness. An action could possess the aim, motive and manner distinctive of kindness, and therefore be a kind action, without expressing the virtue of kindness. An example of this would be an act of kindness to a perpetrator in front of his victim</w:t>
      </w:r>
      <w:r w:rsidR="00674D58">
        <w:t>: kindness needs to be properly discriminating in order to be virtuous. Having the three properties that are distinctive of kindn</w:t>
      </w:r>
      <w:r w:rsidR="000848AC">
        <w:t>ess is not a guarantee of that.</w:t>
      </w:r>
      <w:r>
        <w:rPr>
          <w:rStyle w:val="EndnoteReference"/>
        </w:rPr>
        <w:endnoteReference w:id="17"/>
      </w:r>
    </w:p>
    <w:p w:rsidR="00674D58" w:rsidRDefault="00674D58" w:rsidP="00674D58">
      <w:pPr>
        <w:tabs>
          <w:tab w:val="left" w:pos="284"/>
        </w:tabs>
        <w:spacing w:before="120" w:line="480" w:lineRule="auto"/>
        <w:jc w:val="both"/>
      </w:pPr>
      <w:r>
        <w:tab/>
        <w:t>How</w:t>
      </w:r>
      <w:r w:rsidR="00324F0F">
        <w:t>, then,</w:t>
      </w:r>
      <w:r>
        <w:t xml:space="preserve"> can we </w:t>
      </w:r>
      <w:r w:rsidR="00324F0F">
        <w:t xml:space="preserve">explain the </w:t>
      </w:r>
      <w:r w:rsidR="00324F0F" w:rsidRPr="00A47A4D">
        <w:t xml:space="preserve">relationship between virtue </w:t>
      </w:r>
      <w:r w:rsidR="00324F0F">
        <w:t xml:space="preserve">and </w:t>
      </w:r>
      <w:r w:rsidR="00324F0F" w:rsidRPr="00A47A4D">
        <w:t xml:space="preserve">the </w:t>
      </w:r>
      <w:r w:rsidR="00324F0F">
        <w:t xml:space="preserve">possession of </w:t>
      </w:r>
      <w:r w:rsidR="00324F0F" w:rsidRPr="00A47A4D">
        <w:t xml:space="preserve">aretaic </w:t>
      </w:r>
      <w:r w:rsidR="00324F0F">
        <w:t>properties</w:t>
      </w:r>
      <w:r>
        <w:t xml:space="preserve">? </w:t>
      </w:r>
      <w:r w:rsidR="00210520">
        <w:t>I have a two-part</w:t>
      </w:r>
      <w:r>
        <w:t xml:space="preserve"> </w:t>
      </w:r>
      <w:r w:rsidR="00210520">
        <w:t>proposal</w:t>
      </w:r>
      <w:r>
        <w:t>. T</w:t>
      </w:r>
      <w:r w:rsidR="00210520">
        <w:t xml:space="preserve">he first part concerns the evaluative use of aretaic terms. They also have a non-evaluative use: that will be the second part, which we will </w:t>
      </w:r>
      <w:r w:rsidR="00C67DA7">
        <w:t>get</w:t>
      </w:r>
      <w:r w:rsidR="00210520">
        <w:t xml:space="preserve"> to shortly.</w:t>
      </w:r>
    </w:p>
    <w:p w:rsidR="00D91C02" w:rsidRPr="00A47A4D" w:rsidRDefault="00210520" w:rsidP="00210520">
      <w:pPr>
        <w:tabs>
          <w:tab w:val="left" w:pos="284"/>
        </w:tabs>
        <w:spacing w:before="120" w:line="480" w:lineRule="auto"/>
        <w:jc w:val="both"/>
      </w:pPr>
      <w:r>
        <w:tab/>
        <w:t xml:space="preserve">To state the first part, we need to introduce some terminology. </w:t>
      </w:r>
      <w:r w:rsidR="007564D4">
        <w:t>When a pair</w:t>
      </w:r>
      <w:r w:rsidR="00D91C02" w:rsidRPr="00A47A4D">
        <w:t xml:space="preserve"> </w:t>
      </w:r>
      <w:r w:rsidR="007564D4">
        <w:t xml:space="preserve">of </w:t>
      </w:r>
      <w:r w:rsidR="00D91C02" w:rsidRPr="00A47A4D">
        <w:t>aretaic term</w:t>
      </w:r>
      <w:r w:rsidR="007564D4">
        <w:t>s</w:t>
      </w:r>
      <w:r w:rsidR="00D91C02" w:rsidRPr="00A47A4D">
        <w:t xml:space="preserve"> </w:t>
      </w:r>
      <w:r w:rsidR="00D91C02" w:rsidRPr="000848AC">
        <w:rPr>
          <w:i/>
        </w:rPr>
        <w:t>V</w:t>
      </w:r>
      <w:r w:rsidR="007564D4" w:rsidRPr="000848AC">
        <w:rPr>
          <w:i/>
          <w:vertAlign w:val="subscript"/>
        </w:rPr>
        <w:t>n</w:t>
      </w:r>
      <w:r w:rsidR="007564D4">
        <w:t xml:space="preserve"> (a noun</w:t>
      </w:r>
      <w:r w:rsidR="006324FB">
        <w:t xml:space="preserve"> such as “honesty”</w:t>
      </w:r>
      <w:r w:rsidR="007564D4">
        <w:t xml:space="preserve">) and </w:t>
      </w:r>
      <w:r w:rsidR="007564D4" w:rsidRPr="000848AC">
        <w:rPr>
          <w:i/>
        </w:rPr>
        <w:t>V</w:t>
      </w:r>
      <w:r w:rsidR="007564D4" w:rsidRPr="000848AC">
        <w:rPr>
          <w:i/>
          <w:vertAlign w:val="subscript"/>
        </w:rPr>
        <w:t>a</w:t>
      </w:r>
      <w:r w:rsidR="007564D4">
        <w:t xml:space="preserve"> (the associated adjective</w:t>
      </w:r>
      <w:r w:rsidR="006324FB">
        <w:t>, “honest”</w:t>
      </w:r>
      <w:r w:rsidR="007564D4">
        <w:t>)</w:t>
      </w:r>
      <w:r w:rsidR="00D91C02" w:rsidRPr="00A47A4D">
        <w:t xml:space="preserve"> is defined by reference to one or more dimensions of assessment, let us call those the </w:t>
      </w:r>
      <w:r w:rsidR="00D91C02" w:rsidRPr="000848AC">
        <w:rPr>
          <w:i/>
        </w:rPr>
        <w:t>V</w:t>
      </w:r>
      <w:r w:rsidR="007564D4" w:rsidRPr="000848AC">
        <w:rPr>
          <w:i/>
          <w:vertAlign w:val="subscript"/>
        </w:rPr>
        <w:t>n</w:t>
      </w:r>
      <w:r w:rsidR="00D91C02" w:rsidRPr="00A47A4D">
        <w:t xml:space="preserve">-defining dimensions, and the properties that </w:t>
      </w:r>
      <w:r w:rsidR="0003075F">
        <w:t>something</w:t>
      </w:r>
      <w:r w:rsidR="00D91C02" w:rsidRPr="00A47A4D">
        <w:t xml:space="preserve"> must have in those dimensions in order to qualify as </w:t>
      </w:r>
      <w:r w:rsidR="00D91C02" w:rsidRPr="000848AC">
        <w:rPr>
          <w:i/>
        </w:rPr>
        <w:t>V</w:t>
      </w:r>
      <w:r w:rsidR="007564D4" w:rsidRPr="000848AC">
        <w:rPr>
          <w:i/>
          <w:vertAlign w:val="subscript"/>
        </w:rPr>
        <w:t>a</w:t>
      </w:r>
      <w:r w:rsidR="00D91C02" w:rsidRPr="00A47A4D">
        <w:t xml:space="preserve"> the </w:t>
      </w:r>
      <w:r w:rsidR="00D91C02" w:rsidRPr="000848AC">
        <w:rPr>
          <w:i/>
        </w:rPr>
        <w:t>V</w:t>
      </w:r>
      <w:r w:rsidR="007564D4" w:rsidRPr="000848AC">
        <w:rPr>
          <w:i/>
          <w:vertAlign w:val="subscript"/>
        </w:rPr>
        <w:t>n</w:t>
      </w:r>
      <w:r w:rsidR="00D91C02" w:rsidRPr="00A47A4D">
        <w:t>-defining properties.</w:t>
      </w:r>
      <w:r>
        <w:t xml:space="preserve"> There is then one </w:t>
      </w:r>
      <w:r w:rsidR="00D91C02" w:rsidRPr="00A47A4D">
        <w:t xml:space="preserve">honesty-defining </w:t>
      </w:r>
      <w:r w:rsidR="00D91C02" w:rsidRPr="00A47A4D">
        <w:lastRenderedPageBreak/>
        <w:t>property</w:t>
      </w:r>
      <w:r w:rsidR="00324F0F">
        <w:t>:</w:t>
      </w:r>
      <w:r w:rsidR="00D91C02" w:rsidRPr="00A47A4D">
        <w:t xml:space="preserve"> the aim of open dealing with others. </w:t>
      </w:r>
      <w:r>
        <w:t xml:space="preserve">But there are three kindness-defining properties: the aim of </w:t>
      </w:r>
      <w:r w:rsidRPr="00A47A4D">
        <w:t>procuring a good for someone</w:t>
      </w:r>
      <w:r>
        <w:t>, the motive of furthering his welfare</w:t>
      </w:r>
      <w:r w:rsidRPr="00A47A4D">
        <w:t xml:space="preserve">, and a </w:t>
      </w:r>
      <w:r>
        <w:t>gentle</w:t>
      </w:r>
      <w:r w:rsidRPr="00A47A4D">
        <w:t xml:space="preserve"> </w:t>
      </w:r>
      <w:r>
        <w:t>manner.</w:t>
      </w:r>
    </w:p>
    <w:p w:rsidR="00D91C02" w:rsidRPr="00A47A4D" w:rsidRDefault="00210520" w:rsidP="00210520">
      <w:pPr>
        <w:tabs>
          <w:tab w:val="left" w:pos="284"/>
        </w:tabs>
        <w:spacing w:before="120" w:line="480" w:lineRule="auto"/>
        <w:jc w:val="both"/>
      </w:pPr>
      <w:r>
        <w:tab/>
        <w:t>H</w:t>
      </w:r>
      <w:r w:rsidR="00D91C02" w:rsidRPr="00A47A4D">
        <w:t>ere</w:t>
      </w:r>
      <w:r>
        <w:t>, then, is the first part of my proposal. An act</w:t>
      </w:r>
      <w:r w:rsidR="00D91C02" w:rsidRPr="00A47A4D">
        <w:t>ion</w:t>
      </w:r>
      <w:r>
        <w:t>,</w:t>
      </w:r>
      <w:r w:rsidR="00D91C02" w:rsidRPr="00A47A4D">
        <w:t xml:space="preserve"> or </w:t>
      </w:r>
      <w:r>
        <w:t xml:space="preserve">any </w:t>
      </w:r>
      <w:r w:rsidR="00D91C02" w:rsidRPr="00A47A4D">
        <w:t>other response</w:t>
      </w:r>
      <w:r>
        <w:t>,</w:t>
      </w:r>
      <w:r w:rsidR="00D91C02" w:rsidRPr="00A47A4D">
        <w:t xml:space="preserve"> is </w:t>
      </w:r>
      <w:r w:rsidR="007564D4">
        <w:t xml:space="preserve">prototypically </w:t>
      </w:r>
      <w:r w:rsidR="00D91C02" w:rsidRPr="000848AC">
        <w:rPr>
          <w:i/>
        </w:rPr>
        <w:t>V</w:t>
      </w:r>
      <w:r w:rsidR="007564D4" w:rsidRPr="000848AC">
        <w:rPr>
          <w:i/>
          <w:vertAlign w:val="subscript"/>
        </w:rPr>
        <w:t>a</w:t>
      </w:r>
      <w:r w:rsidR="00D91C02" w:rsidRPr="00A47A4D">
        <w:t xml:space="preserve"> when it has the </w:t>
      </w:r>
      <w:r w:rsidR="00D91C02" w:rsidRPr="000848AC">
        <w:rPr>
          <w:i/>
        </w:rPr>
        <w:t>V</w:t>
      </w:r>
      <w:r w:rsidR="007564D4" w:rsidRPr="000848AC">
        <w:rPr>
          <w:i/>
          <w:vertAlign w:val="subscript"/>
        </w:rPr>
        <w:t>n</w:t>
      </w:r>
      <w:r w:rsidR="006324FB">
        <w:t>-defining properties</w:t>
      </w:r>
      <w:r w:rsidR="00D91C02" w:rsidRPr="00A47A4D">
        <w:t>.</w:t>
      </w:r>
      <w:r>
        <w:t xml:space="preserve"> </w:t>
      </w:r>
      <w:r w:rsidR="007564D4">
        <w:t xml:space="preserve">A response is </w:t>
      </w:r>
      <w:r w:rsidR="007564D4" w:rsidRPr="000848AC">
        <w:rPr>
          <w:i/>
        </w:rPr>
        <w:t>V</w:t>
      </w:r>
      <w:r w:rsidR="007564D4" w:rsidRPr="000848AC">
        <w:rPr>
          <w:i/>
          <w:vertAlign w:val="subscript"/>
        </w:rPr>
        <w:t>a</w:t>
      </w:r>
      <w:r w:rsidR="007564D4">
        <w:t xml:space="preserve"> when </w:t>
      </w:r>
      <w:r w:rsidR="00281365">
        <w:t xml:space="preserve">when it has enough in common with prototypically </w:t>
      </w:r>
      <w:r w:rsidR="00281365" w:rsidRPr="000848AC">
        <w:rPr>
          <w:i/>
        </w:rPr>
        <w:t>V</w:t>
      </w:r>
      <w:r w:rsidR="00281365" w:rsidRPr="000848AC">
        <w:rPr>
          <w:i/>
          <w:vertAlign w:val="subscript"/>
        </w:rPr>
        <w:t>a</w:t>
      </w:r>
      <w:r w:rsidR="00281365">
        <w:t xml:space="preserve"> responses.</w:t>
      </w:r>
      <w:r w:rsidR="00E45EB9">
        <w:rPr>
          <w:rStyle w:val="EndnoteReference"/>
        </w:rPr>
        <w:endnoteReference w:id="18"/>
      </w:r>
      <w:r w:rsidR="007564D4">
        <w:t xml:space="preserve"> </w:t>
      </w:r>
      <w:r w:rsidR="00281365" w:rsidRPr="00A47A4D">
        <w:t xml:space="preserve">A person is </w:t>
      </w:r>
      <w:r w:rsidR="00281365" w:rsidRPr="000848AC">
        <w:rPr>
          <w:i/>
        </w:rPr>
        <w:t>V</w:t>
      </w:r>
      <w:r w:rsidR="00281365" w:rsidRPr="000848AC">
        <w:rPr>
          <w:i/>
          <w:vertAlign w:val="subscript"/>
        </w:rPr>
        <w:t>a</w:t>
      </w:r>
      <w:r w:rsidR="00281365" w:rsidRPr="00A47A4D">
        <w:t xml:space="preserve"> when she characteristically makes </w:t>
      </w:r>
      <w:r w:rsidR="00281365" w:rsidRPr="000848AC">
        <w:rPr>
          <w:i/>
        </w:rPr>
        <w:t>V</w:t>
      </w:r>
      <w:r w:rsidR="00281365" w:rsidRPr="000848AC">
        <w:rPr>
          <w:i/>
          <w:vertAlign w:val="subscript"/>
        </w:rPr>
        <w:t>a</w:t>
      </w:r>
      <w:r w:rsidR="00281365" w:rsidRPr="00A47A4D">
        <w:t xml:space="preserve"> responses.</w:t>
      </w:r>
      <w:r w:rsidR="00281365">
        <w:t xml:space="preserve"> </w:t>
      </w:r>
      <w:r w:rsidR="00D91C02" w:rsidRPr="00A47A4D">
        <w:t xml:space="preserve">A response </w:t>
      </w:r>
      <w:r w:rsidR="00281365">
        <w:t xml:space="preserve">is virtuous </w:t>
      </w:r>
      <w:r w:rsidR="00D91C02" w:rsidRPr="00A47A4D">
        <w:t>(</w:t>
      </w:r>
      <w:r w:rsidR="006324FB">
        <w:t>according to the standards</w:t>
      </w:r>
      <w:r w:rsidR="00D91C02" w:rsidRPr="00A47A4D">
        <w:t xml:space="preserve"> we ordinarily employ) when</w:t>
      </w:r>
      <w:r w:rsidR="00281365">
        <w:t>, for</w:t>
      </w:r>
      <w:r w:rsidR="00D91C02" w:rsidRPr="00A47A4D">
        <w:t xml:space="preserve"> </w:t>
      </w:r>
      <w:r w:rsidR="00281365">
        <w:t xml:space="preserve">some virtue </w:t>
      </w:r>
      <w:r w:rsidR="00281365" w:rsidRPr="000848AC">
        <w:rPr>
          <w:i/>
        </w:rPr>
        <w:t>V</w:t>
      </w:r>
      <w:r w:rsidR="00281365" w:rsidRPr="000848AC">
        <w:rPr>
          <w:i/>
          <w:vertAlign w:val="subscript"/>
        </w:rPr>
        <w:t>n</w:t>
      </w:r>
      <w:r w:rsidR="00281365" w:rsidRPr="00281365">
        <w:t>,</w:t>
      </w:r>
      <w:r w:rsidR="00D91C02" w:rsidRPr="00A47A4D">
        <w:t xml:space="preserve"> </w:t>
      </w:r>
      <w:r w:rsidR="00281365">
        <w:t xml:space="preserve">the response is </w:t>
      </w:r>
      <w:r w:rsidR="00281365" w:rsidRPr="000848AC">
        <w:rPr>
          <w:i/>
        </w:rPr>
        <w:t>V</w:t>
      </w:r>
      <w:r w:rsidR="00281365" w:rsidRPr="000848AC">
        <w:rPr>
          <w:i/>
          <w:vertAlign w:val="subscript"/>
        </w:rPr>
        <w:t>a</w:t>
      </w:r>
      <w:r w:rsidR="00281365">
        <w:t xml:space="preserve"> </w:t>
      </w:r>
      <w:r w:rsidR="00D91C02" w:rsidRPr="00A47A4D">
        <w:t>and is good enough in all dimensions.</w:t>
      </w:r>
      <w:r>
        <w:t xml:space="preserve"> </w:t>
      </w:r>
      <w:r w:rsidR="00D91C02" w:rsidRPr="00A47A4D">
        <w:t>A</w:t>
      </w:r>
      <w:r w:rsidR="00823930">
        <w:t>nd a</w:t>
      </w:r>
      <w:r w:rsidR="00D91C02" w:rsidRPr="00A47A4D">
        <w:t xml:space="preserve"> person has the virtue of </w:t>
      </w:r>
      <w:r w:rsidR="00D91C02" w:rsidRPr="000848AC">
        <w:rPr>
          <w:i/>
        </w:rPr>
        <w:t>V</w:t>
      </w:r>
      <w:r w:rsidR="00281365" w:rsidRPr="000848AC">
        <w:rPr>
          <w:i/>
          <w:vertAlign w:val="subscript"/>
        </w:rPr>
        <w:t>n</w:t>
      </w:r>
      <w:r w:rsidR="00D91C02" w:rsidRPr="00A47A4D">
        <w:t xml:space="preserve"> </w:t>
      </w:r>
      <w:r w:rsidR="00823930" w:rsidRPr="00A47A4D">
        <w:t>(</w:t>
      </w:r>
      <w:r w:rsidR="006324FB">
        <w:t>according to the standards</w:t>
      </w:r>
      <w:r w:rsidR="00823930" w:rsidRPr="00A47A4D">
        <w:t xml:space="preserve"> we ordinarily employ) </w:t>
      </w:r>
      <w:r w:rsidR="00D91C02" w:rsidRPr="00A47A4D">
        <w:t xml:space="preserve">when she characteristically makes responses that </w:t>
      </w:r>
      <w:r w:rsidR="00281365">
        <w:t xml:space="preserve">are </w:t>
      </w:r>
      <w:r w:rsidR="00281365" w:rsidRPr="000848AC">
        <w:rPr>
          <w:i/>
        </w:rPr>
        <w:t>V</w:t>
      </w:r>
      <w:r w:rsidR="00281365" w:rsidRPr="000848AC">
        <w:rPr>
          <w:i/>
          <w:vertAlign w:val="subscript"/>
        </w:rPr>
        <w:t>a</w:t>
      </w:r>
      <w:r w:rsidR="00D91C02" w:rsidRPr="00A47A4D">
        <w:t xml:space="preserve"> and are good enough in all dimensions.</w:t>
      </w:r>
      <w:r w:rsidR="008838D5" w:rsidRPr="00E038D6">
        <w:rPr>
          <w:rStyle w:val="EndnoteReference"/>
        </w:rPr>
        <w:endnoteReference w:id="19"/>
      </w:r>
    </w:p>
    <w:p w:rsidR="00D91C02" w:rsidRDefault="00823930" w:rsidP="00823930">
      <w:pPr>
        <w:tabs>
          <w:tab w:val="left" w:pos="284"/>
        </w:tabs>
        <w:spacing w:before="120" w:line="480" w:lineRule="auto"/>
        <w:jc w:val="both"/>
      </w:pPr>
      <w:r>
        <w:tab/>
        <w:t xml:space="preserve">The application to kindness and honesty is this. The actions of Kant’s shopkeeper are honest because they have the honesty-defining property (the right aim), and he is honest because he characteristically performs those actions. But his motive is morally </w:t>
      </w:r>
      <w:r w:rsidR="004D745A">
        <w:t>indiscriminate: he is honest only for the sake of commercial gain. So his actions are not virtuous, and he lacks the virtue of honesty. Likewise, the indiscriminately kind person performs actions with the kindness-defining properties (the right aim, motive and manner), but is insensitive to the circumstances in which he performs them. It is because his action is bad in that dimension that it is not virtuous, and if this insensitivity is characteristic of him, he lacks the virtue of kindness.</w:t>
      </w:r>
    </w:p>
    <w:p w:rsidR="00D91C02" w:rsidRPr="00A47A4D" w:rsidRDefault="004D745A" w:rsidP="004D745A">
      <w:pPr>
        <w:tabs>
          <w:tab w:val="left" w:pos="284"/>
        </w:tabs>
        <w:spacing w:before="120" w:line="480" w:lineRule="auto"/>
        <w:jc w:val="both"/>
      </w:pPr>
      <w:r>
        <w:tab/>
        <w:t xml:space="preserve">Notice that this </w:t>
      </w:r>
      <w:r w:rsidR="00D91C02" w:rsidRPr="00A47A4D">
        <w:t>does not derive the aretaic assessment of action from that of character.</w:t>
      </w:r>
      <w:r>
        <w:t xml:space="preserve"> </w:t>
      </w:r>
      <w:r w:rsidR="006324FB">
        <w:t>W</w:t>
      </w:r>
      <w:r>
        <w:t>hether a particular action is honest</w:t>
      </w:r>
      <w:r w:rsidR="006324FB">
        <w:t xml:space="preserve"> depends only on the</w:t>
      </w:r>
      <w:r>
        <w:t xml:space="preserve"> aim</w:t>
      </w:r>
      <w:r w:rsidR="006324FB">
        <w:t xml:space="preserve"> of that action: it is independent of whether the action is characteristic of</w:t>
      </w:r>
      <w:r>
        <w:t xml:space="preserve"> the agent. </w:t>
      </w:r>
      <w:r w:rsidR="00D21957">
        <w:t>There is no commitment to</w:t>
      </w:r>
      <w:r w:rsidR="00D91C02" w:rsidRPr="00A47A4D">
        <w:t xml:space="preserve"> the view sometimes made </w:t>
      </w:r>
      <w:r w:rsidR="006324FB">
        <w:t xml:space="preserve">definitive of “virtue ethics” </w:t>
      </w:r>
      <w:r w:rsidR="00D91C02" w:rsidRPr="00A47A4D">
        <w:t xml:space="preserve">that the rightness of an action is determined by whether it would be performed by a virtuous person </w:t>
      </w:r>
      <w:r w:rsidR="00D91C02" w:rsidRPr="00A47A4D">
        <w:lastRenderedPageBreak/>
        <w:t>(acting in character).</w:t>
      </w:r>
      <w:r>
        <w:rPr>
          <w:rStyle w:val="EndnoteReference"/>
        </w:rPr>
        <w:endnoteReference w:id="20"/>
      </w:r>
      <w:r>
        <w:t xml:space="preserve"> </w:t>
      </w:r>
      <w:r w:rsidR="00D91C02" w:rsidRPr="00A47A4D">
        <w:t xml:space="preserve">On the contrary, </w:t>
      </w:r>
      <w:r w:rsidR="00D21957">
        <w:t>this treatment</w:t>
      </w:r>
      <w:r w:rsidR="00D91C02" w:rsidRPr="00A47A4D">
        <w:t xml:space="preserve"> make</w:t>
      </w:r>
      <w:r>
        <w:t>s it easy to see how an action (or other response)</w:t>
      </w:r>
      <w:r w:rsidR="00D91C02" w:rsidRPr="00A47A4D">
        <w:t xml:space="preserve"> could be virtuous but wrong. </w:t>
      </w:r>
      <w:r w:rsidR="00411994">
        <w:t>“</w:t>
      </w:r>
      <w:r w:rsidR="00D91C02" w:rsidRPr="00A47A4D">
        <w:t>Wrong</w:t>
      </w:r>
      <w:r w:rsidR="00411994">
        <w:t>”, like other important parts of our moral vocabulary, is a word with different uses; but on one prominent</w:t>
      </w:r>
      <w:r w:rsidR="00D91C02" w:rsidRPr="00A47A4D">
        <w:t xml:space="preserve"> </w:t>
      </w:r>
      <w:r w:rsidR="00411994">
        <w:t>use, wrong action is</w:t>
      </w:r>
      <w:r w:rsidR="00D91C02" w:rsidRPr="00A47A4D">
        <w:t xml:space="preserve"> action that there is a set of one or more serious other-regarding reasons not to perform, with no adequate countervailing reason in its favour.</w:t>
      </w:r>
      <w:r w:rsidR="00411994">
        <w:rPr>
          <w:rStyle w:val="EndnoteReference"/>
        </w:rPr>
        <w:endnoteReference w:id="21"/>
      </w:r>
      <w:r w:rsidR="00D91C02" w:rsidRPr="00A47A4D">
        <w:t xml:space="preserve"> </w:t>
      </w:r>
      <w:r w:rsidR="001F51EF">
        <w:t>On that use, w</w:t>
      </w:r>
      <w:r w:rsidR="00D91C02" w:rsidRPr="00A47A4D">
        <w:t>rongness is settled by the bearing that those reasons do have, whether we appreciate it or not. Virtue is a matter of the goodness or badness of our responses</w:t>
      </w:r>
      <w:r>
        <w:t xml:space="preserve"> in all the dimensions in which that can be assessed</w:t>
      </w:r>
      <w:r w:rsidR="00D91C02" w:rsidRPr="00A47A4D">
        <w:t xml:space="preserve">, and this depends on </w:t>
      </w:r>
      <w:r w:rsidR="006324FB">
        <w:t>what we accept as the reasons bearing on those responses, and why</w:t>
      </w:r>
      <w:r w:rsidR="00D91C02" w:rsidRPr="00A47A4D">
        <w:t>.</w:t>
      </w:r>
    </w:p>
    <w:p w:rsidR="008838D5" w:rsidRPr="00C95F9D" w:rsidRDefault="008838D5" w:rsidP="008838D5">
      <w:pPr>
        <w:tabs>
          <w:tab w:val="left" w:pos="284"/>
        </w:tabs>
        <w:spacing w:before="120" w:line="480" w:lineRule="auto"/>
        <w:jc w:val="both"/>
      </w:pPr>
      <w:r>
        <w:tab/>
        <w:t>With this in mind, a more accurate statement can be given of the reasons-responsiveness view of virtue I am advocating. When a person makes a response because she accepts that consideration C is a reason for making it, let us call C “the reason for which she is responding”.</w:t>
      </w:r>
      <w:r>
        <w:rPr>
          <w:rStyle w:val="EndnoteReference"/>
        </w:rPr>
        <w:endnoteReference w:id="22"/>
      </w:r>
      <w:r>
        <w:t xml:space="preserve"> One’s virtue, we can then say, is a matter of the overall goodness or badness of one’s responsiveness </w:t>
      </w:r>
      <w:r>
        <w:rPr>
          <w:i/>
        </w:rPr>
        <w:t xml:space="preserve">for </w:t>
      </w:r>
      <w:r>
        <w:t>(rather than to) morally relevant reasons – where this includes cases of mistakenly accepting that C is a reason as well as cases where there is no mistake.</w:t>
      </w:r>
      <w:r>
        <w:rPr>
          <w:rStyle w:val="EndnoteReference"/>
        </w:rPr>
        <w:endnoteReference w:id="23"/>
      </w:r>
      <w:r>
        <w:t xml:space="preserve"> The virtuousness of a particular response is the goodness or badness of </w:t>
      </w:r>
      <w:r>
        <w:rPr>
          <w:i/>
        </w:rPr>
        <w:t>its</w:t>
      </w:r>
      <w:r>
        <w:t xml:space="preserve"> responsiveness for such reasons.</w:t>
      </w:r>
    </w:p>
    <w:p w:rsidR="009B11DA" w:rsidRDefault="009B11DA" w:rsidP="009B11DA">
      <w:pPr>
        <w:tabs>
          <w:tab w:val="left" w:pos="284"/>
        </w:tabs>
        <w:spacing w:before="120" w:line="480" w:lineRule="auto"/>
        <w:jc w:val="both"/>
      </w:pPr>
      <w:r>
        <w:tab/>
        <w:t xml:space="preserve">This proposal allows that a response can be virtuous even though the person who makes it is not. That might seem incoherent: how can a response express a virtue that the responder does not have? But this is not incoherent: </w:t>
      </w:r>
      <w:r w:rsidR="00411994">
        <w:t>the phenomenon</w:t>
      </w:r>
      <w:r>
        <w:t xml:space="preserve"> is ubiquitous, because of the patchiness of our proficiencies. I might be tactful with my parents but not my students. With my parents, I am sensitive to what will potentially upset them and perceptive about how to head off the disturbances; but my arrogance and self-consciousness around my students results in a pattern of clumsy, tactless behaviour. Given how common the latter pattern of behaviour is, I cannot be described as </w:t>
      </w:r>
      <w:r>
        <w:lastRenderedPageBreak/>
        <w:t xml:space="preserve">characteristically displaying the kind of sensitivity that is constitutive of tact; but </w:t>
      </w:r>
      <w:r w:rsidR="00281365">
        <w:t>in some contexts</w:t>
      </w:r>
      <w:r>
        <w:t xml:space="preserve"> I do, and on those occasions my action does not just possess the aretaic property of tact; it is virtuous.</w:t>
      </w:r>
    </w:p>
    <w:p w:rsidR="00D91C02" w:rsidRDefault="00823930" w:rsidP="00D91C02">
      <w:pPr>
        <w:tabs>
          <w:tab w:val="left" w:pos="284"/>
        </w:tabs>
        <w:spacing w:before="120" w:line="480" w:lineRule="auto"/>
        <w:jc w:val="both"/>
      </w:pPr>
      <w:r>
        <w:rPr>
          <w:i/>
        </w:rPr>
        <w:t>Aretaic Advice</w:t>
      </w:r>
    </w:p>
    <w:p w:rsidR="001B32B8" w:rsidRDefault="00D02889" w:rsidP="00D30DDB">
      <w:pPr>
        <w:spacing w:before="120" w:line="480" w:lineRule="auto"/>
        <w:jc w:val="both"/>
      </w:pPr>
      <w:r>
        <w:t xml:space="preserve">Some of the words we deploy in moral discourse (and practical discourse more broadly) have two prominent uses. We can use them </w:t>
      </w:r>
      <w:r w:rsidR="00584DF1">
        <w:t xml:space="preserve">either </w:t>
      </w:r>
      <w:r>
        <w:t xml:space="preserve">to </w:t>
      </w:r>
      <w:r w:rsidR="00584DF1">
        <w:t>give prospective advice</w:t>
      </w:r>
      <w:r w:rsidR="00CE5A7B">
        <w:t>,</w:t>
      </w:r>
      <w:r>
        <w:t xml:space="preserve"> or </w:t>
      </w:r>
      <w:r w:rsidR="00584DF1">
        <w:t>to make a retrospective evaluation</w:t>
      </w:r>
      <w:r>
        <w:t>.</w:t>
      </w:r>
      <w:r w:rsidR="001B32B8">
        <w:t xml:space="preserve"> In the first use, we can draw people’s attention to reasons they are not aware of.</w:t>
      </w:r>
      <w:r w:rsidR="001B32B8">
        <w:rPr>
          <w:rStyle w:val="EndnoteReference"/>
        </w:rPr>
        <w:endnoteReference w:id="24"/>
      </w:r>
      <w:r w:rsidR="001B32B8">
        <w:t xml:space="preserve"> In the second, we can evaluate the quality of their response</w:t>
      </w:r>
      <w:r w:rsidR="002A271E">
        <w:t>s for</w:t>
      </w:r>
      <w:r w:rsidR="001B32B8">
        <w:t xml:space="preserve"> the reasons they </w:t>
      </w:r>
      <w:r w:rsidR="00281365">
        <w:t>thought</w:t>
      </w:r>
      <w:r w:rsidR="00C67DA7">
        <w:t xml:space="preserve"> or should </w:t>
      </w:r>
      <w:r w:rsidR="00281365">
        <w:t>have thought they had</w:t>
      </w:r>
      <w:r w:rsidR="001B32B8">
        <w:t>.</w:t>
      </w:r>
      <w:r w:rsidR="001B32B8">
        <w:rPr>
          <w:rStyle w:val="EndnoteReference"/>
        </w:rPr>
        <w:endnoteReference w:id="25"/>
      </w:r>
      <w:r>
        <w:t xml:space="preserve"> </w:t>
      </w:r>
    </w:p>
    <w:p w:rsidR="00D02889" w:rsidRDefault="001B32B8" w:rsidP="00324F0F">
      <w:pPr>
        <w:tabs>
          <w:tab w:val="left" w:pos="284"/>
        </w:tabs>
        <w:spacing w:before="120" w:line="480" w:lineRule="auto"/>
        <w:jc w:val="both"/>
      </w:pPr>
      <w:r>
        <w:tab/>
        <w:t xml:space="preserve">One prominent word with these two uses is </w:t>
      </w:r>
      <w:r w:rsidR="00D02889">
        <w:t>“</w:t>
      </w:r>
      <w:r>
        <w:t>o</w:t>
      </w:r>
      <w:r w:rsidR="00D02889">
        <w:t>ught”.</w:t>
      </w:r>
      <w:r>
        <w:t xml:space="preserve"> </w:t>
      </w:r>
      <w:r w:rsidR="00D02889">
        <w:t xml:space="preserve">Suppose Arthur receives a suspicious-looking parcel. You think it is a bomb; I know it is not. If you are about to destroy it out of a concern to protect him, I can </w:t>
      </w:r>
      <w:r>
        <w:t>advise</w:t>
      </w:r>
      <w:r w:rsidR="00D02889">
        <w:t xml:space="preserve"> you by saying, “You ought not to destroy it.” </w:t>
      </w:r>
      <w:r>
        <w:t>In doing so,</w:t>
      </w:r>
      <w:r w:rsidR="00D02889">
        <w:t xml:space="preserve"> I need not be </w:t>
      </w:r>
      <w:r w:rsidR="00324F0F">
        <w:t xml:space="preserve">negatively </w:t>
      </w:r>
      <w:r w:rsidR="00D02889">
        <w:t>evaluating yo</w:t>
      </w:r>
      <w:r>
        <w:t xml:space="preserve">ur intended response. </w:t>
      </w:r>
      <w:r w:rsidR="00D02889">
        <w:t xml:space="preserve">On the contrary: if you </w:t>
      </w:r>
      <w:r w:rsidR="00324F0F">
        <w:t>thought</w:t>
      </w:r>
      <w:r w:rsidR="00D02889">
        <w:t xml:space="preserve"> Arthur’s parcel </w:t>
      </w:r>
      <w:r w:rsidR="00324F0F">
        <w:t>was</w:t>
      </w:r>
      <w:r w:rsidR="00D02889">
        <w:t xml:space="preserve"> a bomb, but fail</w:t>
      </w:r>
      <w:r w:rsidR="00324F0F">
        <w:t>ed</w:t>
      </w:r>
      <w:r w:rsidR="00D02889">
        <w:t xml:space="preserve"> to do anything, I </w:t>
      </w:r>
      <w:r w:rsidR="00324F0F">
        <w:t>could</w:t>
      </w:r>
      <w:r w:rsidR="00D02889">
        <w:t xml:space="preserve"> </w:t>
      </w:r>
      <w:r w:rsidR="00281365">
        <w:t>then</w:t>
      </w:r>
      <w:r w:rsidR="00D02889">
        <w:t xml:space="preserve"> express my </w:t>
      </w:r>
      <w:r w:rsidR="00D02889" w:rsidRPr="001B32B8">
        <w:rPr>
          <w:i/>
        </w:rPr>
        <w:t>criticism</w:t>
      </w:r>
      <w:r w:rsidR="00D02889">
        <w:t xml:space="preserve"> </w:t>
      </w:r>
      <w:r>
        <w:t xml:space="preserve">of you </w:t>
      </w:r>
      <w:r w:rsidR="00D02889">
        <w:t xml:space="preserve">by </w:t>
      </w:r>
      <w:r>
        <w:t>complaining</w:t>
      </w:r>
      <w:r w:rsidR="00D02889">
        <w:t>, “You ought to have destroyed it.”</w:t>
      </w:r>
      <w:r>
        <w:t xml:space="preserve"> </w:t>
      </w:r>
      <w:r w:rsidR="00D02889">
        <w:t xml:space="preserve">The first </w:t>
      </w:r>
      <w:r>
        <w:t>“</w:t>
      </w:r>
      <w:r w:rsidR="00D02889">
        <w:t>ought</w:t>
      </w:r>
      <w:r>
        <w:t>”</w:t>
      </w:r>
      <w:r w:rsidR="00324F0F">
        <w:t>-remark advises you by</w:t>
      </w:r>
      <w:r w:rsidR="0071347B">
        <w:t xml:space="preserve"> e</w:t>
      </w:r>
      <w:r w:rsidR="00324F0F">
        <w:t>xpressing</w:t>
      </w:r>
      <w:r w:rsidR="00D02889">
        <w:t xml:space="preserve"> a verdict about the objective reasons </w:t>
      </w:r>
      <w:r w:rsidR="0071347B">
        <w:t xml:space="preserve">bearing on your action. </w:t>
      </w:r>
      <w:r w:rsidR="00D02889">
        <w:t>(</w:t>
      </w:r>
      <w:r w:rsidR="0071347B">
        <w:t xml:space="preserve">Notice that </w:t>
      </w:r>
      <w:r w:rsidR="00D02889">
        <w:t xml:space="preserve">it </w:t>
      </w:r>
      <w:r w:rsidR="0071347B">
        <w:t>does not</w:t>
      </w:r>
      <w:r w:rsidR="00D02889">
        <w:t xml:space="preserve"> </w:t>
      </w:r>
      <w:r w:rsidR="0071347B">
        <w:t xml:space="preserve">identify </w:t>
      </w:r>
      <w:r w:rsidR="00324F0F">
        <w:t>those reasons – it</w:t>
      </w:r>
      <w:r w:rsidR="0071347B">
        <w:t xml:space="preserve"> just says that there are good </w:t>
      </w:r>
      <w:r w:rsidR="00DF182F">
        <w:t>ones</w:t>
      </w:r>
      <w:r w:rsidR="0071347B">
        <w:t>.)</w:t>
      </w:r>
      <w:r w:rsidR="00D02889">
        <w:t xml:space="preserve"> The second</w:t>
      </w:r>
      <w:r w:rsidR="006C6FE5">
        <w:t xml:space="preserve"> </w:t>
      </w:r>
      <w:r w:rsidR="00DF182F">
        <w:t xml:space="preserve">“ought”-remark </w:t>
      </w:r>
      <w:r w:rsidR="0071347B">
        <w:t>evaluates</w:t>
      </w:r>
      <w:r w:rsidR="006C6FE5">
        <w:t xml:space="preserve"> </w:t>
      </w:r>
      <w:r w:rsidR="0071347B">
        <w:t>something you have done</w:t>
      </w:r>
      <w:r w:rsidR="006C6FE5">
        <w:t xml:space="preserve">, </w:t>
      </w:r>
      <w:r w:rsidR="00DF182F">
        <w:t>in the light of</w:t>
      </w:r>
      <w:r w:rsidR="006324FB">
        <w:t xml:space="preserve"> the evidence available to you</w:t>
      </w:r>
      <w:r w:rsidR="0071347B">
        <w:t>.</w:t>
      </w:r>
    </w:p>
    <w:p w:rsidR="006C6FE5" w:rsidRDefault="005D1E09" w:rsidP="0039750A">
      <w:pPr>
        <w:tabs>
          <w:tab w:val="left" w:pos="284"/>
        </w:tabs>
        <w:spacing w:before="120" w:line="480" w:lineRule="auto"/>
        <w:jc w:val="both"/>
      </w:pPr>
      <w:r>
        <w:tab/>
      </w:r>
      <w:r w:rsidR="006C6FE5">
        <w:t xml:space="preserve">Aretaic terms </w:t>
      </w:r>
      <w:r>
        <w:t>can be used in the same two ways</w:t>
      </w:r>
      <w:r w:rsidR="006C6FE5">
        <w:t xml:space="preserve">. So far, we have been looking at their evaluative use. But they </w:t>
      </w:r>
      <w:r>
        <w:t>can also be used to give advice, by drawing the advisee’s attention to the existence of objective reasons</w:t>
      </w:r>
      <w:r w:rsidR="006C6FE5">
        <w:t>.</w:t>
      </w:r>
      <w:r w:rsidR="0039750A">
        <w:t xml:space="preserve"> A psychologist could advise you,</w:t>
      </w:r>
      <w:r w:rsidR="006C6FE5">
        <w:t xml:space="preserve"> “The kind thing to do is to explain to the children how their parents died.” </w:t>
      </w:r>
      <w:r w:rsidR="0039750A">
        <w:t xml:space="preserve">Experience of situations like this indicates that that would be better for them. In giving you this advice, </w:t>
      </w:r>
      <w:r w:rsidR="0039750A">
        <w:lastRenderedPageBreak/>
        <w:t>the psychologist</w:t>
      </w:r>
      <w:r w:rsidR="006C6FE5">
        <w:t xml:space="preserve"> need not be negatively evaluating your intention to spare them the details</w:t>
      </w:r>
      <w:r w:rsidR="0039750A">
        <w:t>. That intention</w:t>
      </w:r>
      <w:r w:rsidR="006C6FE5">
        <w:t xml:space="preserve"> may </w:t>
      </w:r>
      <w:r w:rsidR="00DF182F">
        <w:t>have been</w:t>
      </w:r>
      <w:r w:rsidR="006C6FE5">
        <w:t xml:space="preserve"> </w:t>
      </w:r>
      <w:r w:rsidR="0039750A">
        <w:t xml:space="preserve">good, if it </w:t>
      </w:r>
      <w:r w:rsidR="00DF182F">
        <w:t>was</w:t>
      </w:r>
      <w:r w:rsidR="0039750A">
        <w:t xml:space="preserve"> </w:t>
      </w:r>
      <w:r w:rsidR="006C6FE5">
        <w:t>motivated by a concern for their welfare</w:t>
      </w:r>
      <w:r w:rsidR="00CC19CF">
        <w:t xml:space="preserve"> and you </w:t>
      </w:r>
      <w:r w:rsidR="00DF182F">
        <w:t>were</w:t>
      </w:r>
      <w:r w:rsidR="00CC19CF">
        <w:t xml:space="preserve"> </w:t>
      </w:r>
      <w:r w:rsidR="0039750A">
        <w:t>blamelessly</w:t>
      </w:r>
      <w:r w:rsidR="00CC19CF">
        <w:t xml:space="preserve"> mistaken about</w:t>
      </w:r>
      <w:r w:rsidR="0039750A">
        <w:t xml:space="preserve"> what is in their interests, not having experienced such situations before. I</w:t>
      </w:r>
      <w:r w:rsidR="006C6FE5">
        <w:t xml:space="preserve">ndeed, </w:t>
      </w:r>
      <w:r w:rsidR="00A21CFA">
        <w:t xml:space="preserve">if (in the absence of this advice) you spared them the details </w:t>
      </w:r>
      <w:r w:rsidR="00CC19CF">
        <w:t>through justifiedly (but mistakenly) believing</w:t>
      </w:r>
      <w:r w:rsidR="00A21CFA">
        <w:t xml:space="preserve"> that this would be better for them, then we could properly evaluate your </w:t>
      </w:r>
      <w:r w:rsidR="00DF182F">
        <w:t>response</w:t>
      </w:r>
      <w:r w:rsidR="00A21CFA">
        <w:t xml:space="preserve"> as both kind</w:t>
      </w:r>
      <w:r w:rsidR="006C6FE5">
        <w:t xml:space="preserve"> and virtuous.</w:t>
      </w:r>
      <w:r w:rsidR="00A21CFA">
        <w:t xml:space="preserve"> </w:t>
      </w:r>
      <w:r w:rsidR="00DF182F">
        <w:t xml:space="preserve">This evaluative use of the aretaic </w:t>
      </w:r>
      <w:r w:rsidR="001F51EF">
        <w:t xml:space="preserve">term </w:t>
      </w:r>
      <w:r w:rsidR="00DF182F">
        <w:t>would be explained in the way I indicated above. Your response</w:t>
      </w:r>
      <w:r w:rsidR="00A21CFA">
        <w:t xml:space="preserve"> </w:t>
      </w:r>
      <w:r w:rsidR="00DF182F">
        <w:t>is both kind and virtuous as long as it has</w:t>
      </w:r>
      <w:r w:rsidR="00A21CFA">
        <w:t xml:space="preserve"> the kindness-defining properties and </w:t>
      </w:r>
      <w:r w:rsidR="008C4E2E">
        <w:t>is</w:t>
      </w:r>
      <w:r w:rsidR="00A21CFA">
        <w:t xml:space="preserve"> good enough in all other dimensions.</w:t>
      </w:r>
    </w:p>
    <w:p w:rsidR="006C6FE5" w:rsidRDefault="00A21CFA" w:rsidP="00A21CFA">
      <w:pPr>
        <w:tabs>
          <w:tab w:val="left" w:pos="284"/>
        </w:tabs>
        <w:spacing w:before="120" w:line="480" w:lineRule="auto"/>
        <w:jc w:val="both"/>
      </w:pPr>
      <w:r>
        <w:tab/>
      </w:r>
      <w:r w:rsidR="0079635F">
        <w:t>So what account can be given of the use of aretaic terms in advising, rather than evaluating? This is th</w:t>
      </w:r>
      <w:r>
        <w:t>e second part of my proposal</w:t>
      </w:r>
      <w:r w:rsidR="0079635F">
        <w:t>.</w:t>
      </w:r>
      <w:r>
        <w:t xml:space="preserve"> </w:t>
      </w:r>
      <w:r w:rsidR="00CC19CF">
        <w:t xml:space="preserve">In advising, we are drawing the advisee’s attention to the objective reasons that bear on </w:t>
      </w:r>
      <w:r w:rsidR="00B350EA">
        <w:t>her</w:t>
      </w:r>
      <w:r w:rsidR="00CC19CF">
        <w:t xml:space="preserve"> choices.</w:t>
      </w:r>
      <w:r w:rsidR="00CC19CF">
        <w:rPr>
          <w:rStyle w:val="EndnoteReference"/>
        </w:rPr>
        <w:endnoteReference w:id="26"/>
      </w:r>
      <w:r w:rsidR="0079635F">
        <w:t xml:space="preserve"> When I advise you that </w:t>
      </w:r>
      <w:r w:rsidR="003E2F1F">
        <w:t>“</w:t>
      </w:r>
      <w:r w:rsidR="003E2F1F" w:rsidRPr="003E2F1F">
        <w:rPr>
          <w:i/>
        </w:rPr>
        <w:t>F</w:t>
      </w:r>
      <w:r w:rsidR="003E2F1F">
        <w:t xml:space="preserve">-ing is </w:t>
      </w:r>
      <w:r w:rsidR="0079635F">
        <w:t xml:space="preserve">the </w:t>
      </w:r>
      <w:r w:rsidR="003E2F1F" w:rsidRPr="003E2F1F">
        <w:rPr>
          <w:i/>
        </w:rPr>
        <w:t>V</w:t>
      </w:r>
      <w:r w:rsidR="00B350EA">
        <w:rPr>
          <w:i/>
          <w:vertAlign w:val="subscript"/>
        </w:rPr>
        <w:t>a</w:t>
      </w:r>
      <w:r w:rsidR="0079635F">
        <w:t xml:space="preserve"> thing to do</w:t>
      </w:r>
      <w:r w:rsidR="003E2F1F">
        <w:t xml:space="preserve"> (or feel, or think, or say)</w:t>
      </w:r>
      <w:r w:rsidR="0079635F">
        <w:t xml:space="preserve">”, or advise you </w:t>
      </w:r>
      <w:r w:rsidR="003E2F1F">
        <w:t>“</w:t>
      </w:r>
      <w:r w:rsidR="0079635F">
        <w:t xml:space="preserve">to </w:t>
      </w:r>
      <w:r w:rsidR="003E2F1F">
        <w:rPr>
          <w:i/>
        </w:rPr>
        <w:t>F</w:t>
      </w:r>
      <w:r w:rsidR="0079635F">
        <w:t xml:space="preserve"> “because it is </w:t>
      </w:r>
      <w:r w:rsidR="0079635F" w:rsidRPr="003E2F1F">
        <w:rPr>
          <w:i/>
        </w:rPr>
        <w:t>V</w:t>
      </w:r>
      <w:r w:rsidR="00B350EA">
        <w:rPr>
          <w:i/>
          <w:vertAlign w:val="subscript"/>
        </w:rPr>
        <w:t>a</w:t>
      </w:r>
      <w:r w:rsidR="0079635F">
        <w:t xml:space="preserve">”, I am saying that it is </w:t>
      </w:r>
      <w:r w:rsidR="003E2F1F">
        <w:t xml:space="preserve">because it is </w:t>
      </w:r>
      <w:r w:rsidR="003E2F1F">
        <w:rPr>
          <w:i/>
        </w:rPr>
        <w:t>V</w:t>
      </w:r>
      <w:r w:rsidR="00B350EA">
        <w:rPr>
          <w:i/>
          <w:vertAlign w:val="subscript"/>
        </w:rPr>
        <w:t>a</w:t>
      </w:r>
      <w:r w:rsidR="003E2F1F">
        <w:t xml:space="preserve"> that there are good reasons to </w:t>
      </w:r>
      <w:r w:rsidR="003E2F1F">
        <w:rPr>
          <w:i/>
        </w:rPr>
        <w:t>F</w:t>
      </w:r>
      <w:r w:rsidR="0079635F">
        <w:t xml:space="preserve">. </w:t>
      </w:r>
    </w:p>
    <w:p w:rsidR="006C6FE5" w:rsidRPr="003137F6" w:rsidRDefault="0079635F" w:rsidP="00FE475F">
      <w:pPr>
        <w:tabs>
          <w:tab w:val="left" w:pos="284"/>
        </w:tabs>
        <w:spacing w:before="120" w:line="480" w:lineRule="auto"/>
        <w:jc w:val="both"/>
      </w:pPr>
      <w:r>
        <w:tab/>
      </w:r>
      <w:r w:rsidR="003E2F1F">
        <w:t xml:space="preserve">In giving aretaic advice in this way, we point to the existence of the reasons supporting </w:t>
      </w:r>
      <w:r w:rsidR="003E2F1F">
        <w:rPr>
          <w:i/>
        </w:rPr>
        <w:t>F</w:t>
      </w:r>
      <w:r w:rsidR="003E2F1F">
        <w:t>. However, that is not to say that we are spelling out what those reasons are. There are three cases to consider. Some aretaic terms, like “honesty”, are not motive-specific: there is no honesty-defining motive. So if I say that giving the correct change is the honest thing to do, I am saying that there are good reasons for acting honestly</w:t>
      </w:r>
      <w:r w:rsidR="00FE475F">
        <w:t xml:space="preserve">, and that those reasons support giving the correct change, but I have not said what they are. </w:t>
      </w:r>
      <w:r w:rsidR="006324FB">
        <w:t xml:space="preserve">Secondly, there are </w:t>
      </w:r>
      <w:r w:rsidR="00FE475F">
        <w:t xml:space="preserve">aretaic terms, like “kindness”, </w:t>
      </w:r>
      <w:r w:rsidR="006324FB">
        <w:t xml:space="preserve">which </w:t>
      </w:r>
      <w:r w:rsidR="00FE475F">
        <w:t xml:space="preserve">describe actions </w:t>
      </w:r>
      <w:r w:rsidR="006324FB">
        <w:t>that</w:t>
      </w:r>
      <w:r w:rsidR="00FE475F">
        <w:t xml:space="preserve"> are motivated for a distinctive reason, but without spelling out that reason directly.</w:t>
      </w:r>
      <w:r>
        <w:t xml:space="preserve"> The psychologist who </w:t>
      </w:r>
      <w:r w:rsidR="00DF182F">
        <w:t>advises</w:t>
      </w:r>
      <w:r>
        <w:t xml:space="preserve"> you </w:t>
      </w:r>
      <w:r w:rsidR="00FE475F">
        <w:t xml:space="preserve">that </w:t>
      </w:r>
      <w:r w:rsidR="003137F6">
        <w:t>informing the children</w:t>
      </w:r>
      <w:r>
        <w:t xml:space="preserve"> is the kind thing to do has told you </w:t>
      </w:r>
      <w:r w:rsidR="00FE475F">
        <w:t xml:space="preserve">that </w:t>
      </w:r>
      <w:r w:rsidR="003137F6" w:rsidRPr="003137F6">
        <w:t>this action</w:t>
      </w:r>
      <w:r>
        <w:t xml:space="preserve"> is given overall support by </w:t>
      </w:r>
      <w:r w:rsidR="00CE5A7B">
        <w:t xml:space="preserve">the reasons distinctive of </w:t>
      </w:r>
      <w:r w:rsidR="00CE5A7B">
        <w:lastRenderedPageBreak/>
        <w:t>kindness.</w:t>
      </w:r>
      <w:r>
        <w:t xml:space="preserve"> But those reasons are </w:t>
      </w:r>
      <w:r>
        <w:rPr>
          <w:i/>
        </w:rPr>
        <w:t>that this is in the children’s interests</w:t>
      </w:r>
      <w:r>
        <w:t xml:space="preserve"> and not </w:t>
      </w:r>
      <w:r>
        <w:rPr>
          <w:i/>
        </w:rPr>
        <w:t>that this is the kind thing to do</w:t>
      </w:r>
      <w:r>
        <w:t xml:space="preserve">. </w:t>
      </w:r>
      <w:r w:rsidR="00E37FC1">
        <w:t xml:space="preserve">The latter is not the reason </w:t>
      </w:r>
      <w:r w:rsidR="00867FF1">
        <w:t>for which a kind person is motivated</w:t>
      </w:r>
      <w:r w:rsidR="00E37FC1">
        <w:t>: it is too self-regarding.</w:t>
      </w:r>
      <w:r w:rsidR="00CA2151">
        <w:rPr>
          <w:rStyle w:val="EndnoteReference"/>
        </w:rPr>
        <w:endnoteReference w:id="27"/>
      </w:r>
      <w:r w:rsidR="003137F6">
        <w:t xml:space="preserve"> The third </w:t>
      </w:r>
      <w:r w:rsidR="006324FB">
        <w:t>sort</w:t>
      </w:r>
      <w:r w:rsidR="003137F6">
        <w:t xml:space="preserve"> of aretaic term is one that does not just refer to a reason but states it. </w:t>
      </w:r>
      <w:r w:rsidR="00ED21DF">
        <w:t xml:space="preserve">If I say that returning the stolen goods is the just thing to do, I </w:t>
      </w:r>
      <w:r w:rsidR="00ED21DF">
        <w:rPr>
          <w:i/>
        </w:rPr>
        <w:t xml:space="preserve">have </w:t>
      </w:r>
      <w:r w:rsidR="00ED21DF">
        <w:t xml:space="preserve">spelled out the reason for doing so. </w:t>
      </w:r>
      <w:r w:rsidR="003137F6">
        <w:t xml:space="preserve">The just person’s reason for </w:t>
      </w:r>
      <w:r w:rsidR="003137F6">
        <w:rPr>
          <w:i/>
        </w:rPr>
        <w:t>F</w:t>
      </w:r>
      <w:r w:rsidR="003137F6">
        <w:t xml:space="preserve">-ing is </w:t>
      </w:r>
      <w:r w:rsidR="003137F6">
        <w:rPr>
          <w:i/>
        </w:rPr>
        <w:t xml:space="preserve">that </w:t>
      </w:r>
      <w:r w:rsidR="00ED21DF">
        <w:rPr>
          <w:i/>
        </w:rPr>
        <w:br/>
      </w:r>
      <w:r w:rsidR="003137F6">
        <w:rPr>
          <w:i/>
        </w:rPr>
        <w:t>F-ing is just</w:t>
      </w:r>
      <w:r w:rsidR="003137F6">
        <w:t xml:space="preserve">. </w:t>
      </w:r>
    </w:p>
    <w:p w:rsidR="00D30DDB" w:rsidRDefault="00E37FC1" w:rsidP="00E37FC1">
      <w:pPr>
        <w:tabs>
          <w:tab w:val="left" w:pos="284"/>
        </w:tabs>
        <w:spacing w:before="120" w:line="480" w:lineRule="auto"/>
        <w:jc w:val="both"/>
      </w:pPr>
      <w:r>
        <w:tab/>
        <w:t xml:space="preserve">The use of aretaic terms to give advice is another respect in which </w:t>
      </w:r>
      <w:r w:rsidR="006C6FE5">
        <w:t>the relation</w:t>
      </w:r>
      <w:r>
        <w:t>ship</w:t>
      </w:r>
      <w:r w:rsidR="006C6FE5">
        <w:t xml:space="preserve"> between virtue and the attribution of aretaic properties is not straightforward.</w:t>
      </w:r>
      <w:r>
        <w:t xml:space="preserve"> </w:t>
      </w:r>
      <w:r w:rsidR="00D30DDB">
        <w:t>Virtue-attributions are always evaluative: to judge that a response or a person is virtuous is to make a judgement of goodness. However, aretaic judgements are not always evaluative.</w:t>
      </w:r>
    </w:p>
    <w:p w:rsidR="00D02889" w:rsidRDefault="00D02889" w:rsidP="00D30DDB">
      <w:pPr>
        <w:spacing w:before="120" w:line="480" w:lineRule="auto"/>
        <w:jc w:val="both"/>
      </w:pPr>
    </w:p>
    <w:p w:rsidR="008B795F" w:rsidRPr="000966FF" w:rsidRDefault="000966FF" w:rsidP="003E7224">
      <w:pPr>
        <w:jc w:val="center"/>
        <w:rPr>
          <w:b/>
        </w:rPr>
      </w:pPr>
      <w:r>
        <w:rPr>
          <w:b/>
        </w:rPr>
        <w:t>III:</w:t>
      </w:r>
      <w:r w:rsidR="00C24FD8" w:rsidRPr="000966FF">
        <w:rPr>
          <w:b/>
        </w:rPr>
        <w:t xml:space="preserve">  A Taxonomy of </w:t>
      </w:r>
      <w:r w:rsidR="00E24D5B">
        <w:rPr>
          <w:b/>
        </w:rPr>
        <w:t xml:space="preserve">Moral </w:t>
      </w:r>
      <w:r w:rsidR="00C24FD8" w:rsidRPr="000966FF">
        <w:rPr>
          <w:b/>
        </w:rPr>
        <w:t>Virtues</w:t>
      </w:r>
    </w:p>
    <w:p w:rsidR="000966FF" w:rsidRPr="00C24FD8" w:rsidRDefault="000966FF" w:rsidP="000966FF">
      <w:pPr>
        <w:spacing w:before="120" w:line="480" w:lineRule="auto"/>
        <w:jc w:val="center"/>
      </w:pPr>
    </w:p>
    <w:p w:rsidR="009867A4" w:rsidRDefault="009867A4" w:rsidP="00D30DDB">
      <w:pPr>
        <w:spacing w:before="120" w:line="480" w:lineRule="auto"/>
        <w:jc w:val="both"/>
      </w:pPr>
      <w:r>
        <w:t xml:space="preserve">Aretaic language, then, has a range of uses that extend beyond the attribution of virtue. But </w:t>
      </w:r>
      <w:r w:rsidR="00757E29">
        <w:t xml:space="preserve">the best way to present </w:t>
      </w:r>
      <w:r>
        <w:t xml:space="preserve">a taxonomy of aretaic categories </w:t>
      </w:r>
      <w:r w:rsidR="00503A53">
        <w:t>is</w:t>
      </w:r>
      <w:r>
        <w:t xml:space="preserve"> </w:t>
      </w:r>
      <w:r w:rsidR="00757E29">
        <w:t xml:space="preserve">as </w:t>
      </w:r>
      <w:r>
        <w:t>a taxonomy of virtue</w:t>
      </w:r>
      <w:r w:rsidR="00503A53">
        <w:t>s</w:t>
      </w:r>
      <w:r>
        <w:t xml:space="preserve">. </w:t>
      </w:r>
    </w:p>
    <w:p w:rsidR="00466F1E" w:rsidRDefault="00A66F78" w:rsidP="00A66F78">
      <w:pPr>
        <w:tabs>
          <w:tab w:val="left" w:pos="284"/>
        </w:tabs>
        <w:spacing w:before="120" w:line="480" w:lineRule="auto"/>
        <w:jc w:val="both"/>
      </w:pPr>
      <w:r>
        <w:tab/>
      </w:r>
      <w:r w:rsidR="00E24D5B">
        <w:t>Moral v</w:t>
      </w:r>
      <w:r w:rsidR="009867A4">
        <w:t xml:space="preserve">irtues are </w:t>
      </w:r>
      <w:r w:rsidR="00281365">
        <w:t>ways of being well oriented</w:t>
      </w:r>
      <w:r w:rsidR="009867A4">
        <w:t xml:space="preserve"> to morally relevant reasons</w:t>
      </w:r>
      <w:r w:rsidR="00D21957">
        <w:t xml:space="preserve"> – of responding well for such reasons</w:t>
      </w:r>
      <w:r w:rsidR="009867A4">
        <w:t>.</w:t>
      </w:r>
      <w:r>
        <w:t xml:space="preserve"> </w:t>
      </w:r>
      <w:r w:rsidR="008A6122">
        <w:t>W</w:t>
      </w:r>
      <w:r>
        <w:t>e have seen</w:t>
      </w:r>
      <w:r w:rsidR="008A6122">
        <w:t xml:space="preserve"> how</w:t>
      </w:r>
      <w:r>
        <w:t>, when evaluat</w:t>
      </w:r>
      <w:r w:rsidR="008A6122">
        <w:t>ing</w:t>
      </w:r>
      <w:r>
        <w:t xml:space="preserve"> the quality of this responsiveness, </w:t>
      </w:r>
      <w:r w:rsidR="00466F1E">
        <w:t>different dimensions of evaluation are relevant to the application of different aretaic terms. We should, I think, be suspicious of attempts to systematize the variety of our aretaic vocabulary too neatly: the purposes that our aretaic evaluations serve are likely to be multifarious and to some degree haphazard. Some languages happen to lack words for qualities that are clearly morally admirable: English contains no word for “Mitfreude”, for example</w:t>
      </w:r>
      <w:r w:rsidR="00757E29">
        <w:t xml:space="preserve"> –</w:t>
      </w:r>
      <w:r w:rsidR="00466F1E">
        <w:t xml:space="preserve"> the sympathetic sharing of others’ joy</w:t>
      </w:r>
      <w:r w:rsidR="008A6122">
        <w:t xml:space="preserve"> – and many languages lack a much needed word for responding well to the prospect of one’s own death</w:t>
      </w:r>
      <w:r w:rsidR="00466F1E">
        <w:t xml:space="preserve">. One might speculate on the cultural peculiarities that explain </w:t>
      </w:r>
      <w:r w:rsidR="008A6122">
        <w:t xml:space="preserve">such linguistic </w:t>
      </w:r>
      <w:r w:rsidR="008A6122">
        <w:lastRenderedPageBreak/>
        <w:t>facts</w:t>
      </w:r>
      <w:r w:rsidR="00B32F14">
        <w:t xml:space="preserve">; but that would not be relevant to a consideration of which qualities really are virtues. </w:t>
      </w:r>
      <w:r w:rsidR="003606FC">
        <w:t>It should not surprise us if our</w:t>
      </w:r>
      <w:r w:rsidR="00B32F14">
        <w:t xml:space="preserve"> actual aretaic vocabulary is to some degree a miscellaneous and accidental assortment of items.</w:t>
      </w:r>
      <w:r w:rsidR="003606FC">
        <w:t xml:space="preserve"> Some of the aretaic terms we happen to have do double duty, applying to more </w:t>
      </w:r>
      <w:r w:rsidR="008A6122">
        <w:t>than one distinguishable virtue;</w:t>
      </w:r>
      <w:r w:rsidR="003606FC">
        <w:t xml:space="preserve"> </w:t>
      </w:r>
      <w:r w:rsidR="00F84AEF">
        <w:t>s</w:t>
      </w:r>
      <w:r w:rsidR="003606FC">
        <w:t xml:space="preserve">ome </w:t>
      </w:r>
      <w:r w:rsidR="00F84AEF">
        <w:t xml:space="preserve">important </w:t>
      </w:r>
      <w:r w:rsidR="003606FC">
        <w:t xml:space="preserve">virtues </w:t>
      </w:r>
      <w:r w:rsidR="00F84AEF">
        <w:t>happen to lack names.</w:t>
      </w:r>
    </w:p>
    <w:p w:rsidR="00B32F14" w:rsidRDefault="00B32F14" w:rsidP="00A66F78">
      <w:pPr>
        <w:tabs>
          <w:tab w:val="left" w:pos="284"/>
        </w:tabs>
        <w:spacing w:before="120" w:line="480" w:lineRule="auto"/>
        <w:jc w:val="both"/>
      </w:pPr>
      <w:r>
        <w:tab/>
        <w:t xml:space="preserve">But having said that, </w:t>
      </w:r>
      <w:r w:rsidR="00503A53">
        <w:t xml:space="preserve">I think </w:t>
      </w:r>
      <w:r>
        <w:t xml:space="preserve">the following classificatory scheme </w:t>
      </w:r>
      <w:r w:rsidR="00503A53">
        <w:t>is helpful</w:t>
      </w:r>
      <w:r>
        <w:t xml:space="preserve">. When </w:t>
      </w:r>
      <w:r w:rsidR="00757E29">
        <w:t>you make a response (of action, thought</w:t>
      </w:r>
      <w:r w:rsidR="00BC1B0B" w:rsidRPr="00BC1B0B">
        <w:t xml:space="preserve"> </w:t>
      </w:r>
      <w:r w:rsidR="00BC1B0B">
        <w:t>or</w:t>
      </w:r>
      <w:r w:rsidR="00757E29">
        <w:t xml:space="preserve"> feeling) </w:t>
      </w:r>
      <w:r>
        <w:t>to an object</w:t>
      </w:r>
      <w:r w:rsidR="00963501">
        <w:t xml:space="preserve"> for a reason</w:t>
      </w:r>
      <w:r>
        <w:t xml:space="preserve">, there are three items in this relationship: the reason, the </w:t>
      </w:r>
      <w:r w:rsidR="00757E29">
        <w:t xml:space="preserve">object </w:t>
      </w:r>
      <w:r>
        <w:t>and the</w:t>
      </w:r>
      <w:r w:rsidR="00757E29" w:rsidRPr="00757E29">
        <w:t xml:space="preserve"> </w:t>
      </w:r>
      <w:r w:rsidR="00757E29">
        <w:t>response</w:t>
      </w:r>
      <w:r>
        <w:t>.</w:t>
      </w:r>
      <w:r w:rsidR="00CA2151">
        <w:rPr>
          <w:rStyle w:val="EndnoteReference"/>
        </w:rPr>
        <w:endnoteReference w:id="28"/>
      </w:r>
      <w:r>
        <w:t xml:space="preserve"> An illuminating way of organizing a taxonomy of </w:t>
      </w:r>
      <w:r w:rsidR="00E24D5B">
        <w:t>moral</w:t>
      </w:r>
      <w:r>
        <w:t xml:space="preserve"> virtues is to classify them into three corresponding categories. Some virtues are reason-categoric: they are virtues of </w:t>
      </w:r>
      <w:r w:rsidR="00963501">
        <w:t xml:space="preserve">good </w:t>
      </w:r>
      <w:r>
        <w:t xml:space="preserve">responsiveness </w:t>
      </w:r>
      <w:r w:rsidR="00C73161">
        <w:t>for</w:t>
      </w:r>
      <w:r>
        <w:t xml:space="preserve"> particular reasons. Some are object-categoric: they are virtues of responding well to particular objects, for a variety of different reasons. And some are response-categoric: they are virtues of making particular </w:t>
      </w:r>
      <w:r w:rsidR="00D21957">
        <w:t>types of response</w:t>
      </w:r>
      <w:r>
        <w:t xml:space="preserve"> well, towards a variety of different objects and for a variety of different reasons.</w:t>
      </w:r>
    </w:p>
    <w:p w:rsidR="00D60CFA" w:rsidRDefault="00D60CFA" w:rsidP="00A66F78">
      <w:pPr>
        <w:tabs>
          <w:tab w:val="left" w:pos="284"/>
        </w:tabs>
        <w:spacing w:before="120" w:line="480" w:lineRule="auto"/>
        <w:jc w:val="both"/>
      </w:pPr>
      <w:r>
        <w:tab/>
      </w:r>
      <w:r w:rsidR="00B320E1">
        <w:t xml:space="preserve">In the three sections that follow, </w:t>
      </w:r>
      <w:r w:rsidR="003606FC">
        <w:t xml:space="preserve">I discuss each of these categories in turn. The structure of the first category – the reason-categoric virtues – </w:t>
      </w:r>
      <w:r w:rsidR="00757E29">
        <w:t xml:space="preserve">can be understood by reference to the relationships between the reasons </w:t>
      </w:r>
      <w:r w:rsidR="00384DA8">
        <w:t>for</w:t>
      </w:r>
      <w:r w:rsidR="00757E29">
        <w:t xml:space="preserve"> which these virtues</w:t>
      </w:r>
      <w:r w:rsidR="003606FC">
        <w:t xml:space="preserve"> are responsive</w:t>
      </w:r>
      <w:r w:rsidR="00F84AEF">
        <w:t xml:space="preserve">. </w:t>
      </w:r>
      <w:r w:rsidR="000966FF">
        <w:t xml:space="preserve">If some of those reasons are fundamental </w:t>
      </w:r>
      <w:r w:rsidR="00C36FCD">
        <w:t xml:space="preserve">to morality </w:t>
      </w:r>
      <w:r w:rsidR="000966FF">
        <w:t xml:space="preserve">and others </w:t>
      </w:r>
      <w:r w:rsidR="00C36FCD">
        <w:t xml:space="preserve">derive their importance from those more fundamental ones, this will give us a way of understanding the relationship between the virtues of good </w:t>
      </w:r>
      <w:r w:rsidR="00F36768">
        <w:t xml:space="preserve">responsiveness </w:t>
      </w:r>
      <w:r w:rsidR="00C73161">
        <w:t>for</w:t>
      </w:r>
      <w:r w:rsidR="00F36768">
        <w:t xml:space="preserve"> </w:t>
      </w:r>
      <w:r w:rsidR="00757E29">
        <w:t>th</w:t>
      </w:r>
      <w:r w:rsidR="00C36FCD">
        <w:t>os</w:t>
      </w:r>
      <w:r w:rsidR="00757E29">
        <w:t>e reasons</w:t>
      </w:r>
      <w:r w:rsidR="00F36768">
        <w:t>.</w:t>
      </w:r>
    </w:p>
    <w:p w:rsidR="009F3C00" w:rsidRDefault="00F36768" w:rsidP="00A66F78">
      <w:pPr>
        <w:tabs>
          <w:tab w:val="left" w:pos="284"/>
        </w:tabs>
        <w:spacing w:before="120" w:line="480" w:lineRule="auto"/>
        <w:jc w:val="both"/>
      </w:pPr>
      <w:r>
        <w:tab/>
      </w:r>
      <w:r w:rsidR="00B6103B">
        <w:t xml:space="preserve">However, not all virtues can be identified with good forms of responsiveness </w:t>
      </w:r>
      <w:r w:rsidR="00C73161">
        <w:t>for</w:t>
      </w:r>
      <w:r w:rsidR="00B6103B">
        <w:t xml:space="preserve"> particular </w:t>
      </w:r>
      <w:r w:rsidR="00757E29">
        <w:t>reasons</w:t>
      </w:r>
      <w:r w:rsidR="00B6103B">
        <w:t xml:space="preserve">. </w:t>
      </w:r>
      <w:r w:rsidR="008A6122">
        <w:t>Courage is a prominent example.</w:t>
      </w:r>
      <w:r w:rsidR="009F3C00">
        <w:t xml:space="preserve"> </w:t>
      </w:r>
      <w:r w:rsidR="00E1236A">
        <w:t>C</w:t>
      </w:r>
      <w:r w:rsidR="009F3C00">
        <w:t>ourage can be required in acting for reasons of concern, respect or cooperation, to protect someone’s rights or to stand up for justice</w:t>
      </w:r>
      <w:r w:rsidR="00E1236A">
        <w:t xml:space="preserve">, or for many other reasons. The courage-defining properties do not include </w:t>
      </w:r>
      <w:r w:rsidR="00585B0D">
        <w:t xml:space="preserve">being motivated by </w:t>
      </w:r>
      <w:r w:rsidR="003956BB">
        <w:t xml:space="preserve">responsiveness </w:t>
      </w:r>
      <w:r w:rsidR="00C73161">
        <w:t>for</w:t>
      </w:r>
      <w:r w:rsidR="003956BB">
        <w:t xml:space="preserve"> a particular kind of reason. Rather, to have the </w:t>
      </w:r>
      <w:r w:rsidR="003956BB">
        <w:lastRenderedPageBreak/>
        <w:t xml:space="preserve">virtue of courage is to respond well to a particular kind of object: namely, the prospect of </w:t>
      </w:r>
      <w:r w:rsidR="00BD7C17">
        <w:t>harm</w:t>
      </w:r>
      <w:r w:rsidR="003956BB">
        <w:t xml:space="preserve"> or </w:t>
      </w:r>
      <w:r w:rsidR="00BD7C17">
        <w:t>humiliation</w:t>
      </w:r>
      <w:r w:rsidR="003956BB">
        <w:t>. There are many reasons why that can be morally important</w:t>
      </w:r>
      <w:r w:rsidR="00585B0D">
        <w:t xml:space="preserve">; </w:t>
      </w:r>
      <w:r w:rsidR="0054054F">
        <w:t xml:space="preserve">but because it </w:t>
      </w:r>
      <w:r w:rsidR="00384DA8">
        <w:t>is difficult to respond well</w:t>
      </w:r>
      <w:r w:rsidR="0054054F">
        <w:t xml:space="preserve"> when </w:t>
      </w:r>
      <w:r w:rsidR="0003075F">
        <w:t>it carries the risk of harm</w:t>
      </w:r>
      <w:r w:rsidR="0054054F">
        <w:t xml:space="preserve"> or </w:t>
      </w:r>
      <w:r w:rsidR="0003075F">
        <w:t>humiliation</w:t>
      </w:r>
      <w:r w:rsidR="0054054F">
        <w:t>, it makes sense for us to have a name for the quality of doing so, in order to encourage and support it.</w:t>
      </w:r>
      <w:r w:rsidR="00963501">
        <w:t xml:space="preserve"> </w:t>
      </w:r>
      <w:r w:rsidR="0054054F">
        <w:t xml:space="preserve">Courage, then, belongs to our second category of virtues: those that are object-categoric, not reason-categoric. </w:t>
      </w:r>
      <w:r w:rsidR="00963501">
        <w:t>O</w:t>
      </w:r>
      <w:r w:rsidR="0054054F">
        <w:t>bject-categoric virtue</w:t>
      </w:r>
      <w:r w:rsidR="00025E0F">
        <w:t>s</w:t>
      </w:r>
      <w:r w:rsidR="0054054F">
        <w:t xml:space="preserve"> are defined by reference to objects that warrant special attention in moral discourse, because of the special difficulty of responding to </w:t>
      </w:r>
      <w:r w:rsidR="00384DA8">
        <w:t>those objects</w:t>
      </w:r>
      <w:r w:rsidR="0054054F">
        <w:t xml:space="preserve"> well</w:t>
      </w:r>
      <w:r w:rsidR="00EE1FB8">
        <w:t xml:space="preserve">. </w:t>
      </w:r>
    </w:p>
    <w:p w:rsidR="007425E4" w:rsidRDefault="002A4F24" w:rsidP="002A4F24">
      <w:pPr>
        <w:tabs>
          <w:tab w:val="left" w:pos="284"/>
        </w:tabs>
        <w:spacing w:before="120" w:line="480" w:lineRule="auto"/>
        <w:jc w:val="both"/>
      </w:pPr>
      <w:r>
        <w:tab/>
      </w:r>
      <w:r w:rsidR="0054054F" w:rsidRPr="00A47A4D">
        <w:t>The third, counterpart category contains response-categoric virtues</w:t>
      </w:r>
      <w:r>
        <w:t>. These are defined by reference</w:t>
      </w:r>
      <w:r w:rsidR="0054054F" w:rsidRPr="00A47A4D">
        <w:t xml:space="preserve"> to</w:t>
      </w:r>
      <w:r>
        <w:t xml:space="preserve"> particular</w:t>
      </w:r>
      <w:r w:rsidR="0054054F" w:rsidRPr="00A47A4D">
        <w:t xml:space="preserve"> types of response that</w:t>
      </w:r>
      <w:r>
        <w:t xml:space="preserve"> it can be important </w:t>
      </w:r>
      <w:r w:rsidR="008A6122">
        <w:t>to</w:t>
      </w:r>
      <w:r>
        <w:t xml:space="preserve"> make towards many different objects, for many different reasons. </w:t>
      </w:r>
      <w:r w:rsidR="0054054F" w:rsidRPr="00A47A4D">
        <w:t>Fairness will be my main example of this.</w:t>
      </w:r>
      <w:r>
        <w:t xml:space="preserve"> As I see it, </w:t>
      </w:r>
      <w:r w:rsidR="0054054F" w:rsidRPr="00A47A4D">
        <w:t>what the many forms of fairness have in common is that</w:t>
      </w:r>
      <w:r>
        <w:t xml:space="preserve"> they are forms of </w:t>
      </w:r>
      <w:r w:rsidR="00F26B5C">
        <w:t>fitting</w:t>
      </w:r>
      <w:r w:rsidR="0054054F" w:rsidRPr="00A47A4D">
        <w:t xml:space="preserve"> impartiality. There are many proper objects of response</w:t>
      </w:r>
      <w:r w:rsidR="006324FB">
        <w:t>s of this type</w:t>
      </w:r>
      <w:r w:rsidR="0054054F" w:rsidRPr="00A47A4D">
        <w:t xml:space="preserve">. </w:t>
      </w:r>
      <w:r w:rsidR="007425E4">
        <w:t>Fairness can concern th</w:t>
      </w:r>
      <w:r w:rsidR="006324FB">
        <w:t xml:space="preserve">e distribution of </w:t>
      </w:r>
      <w:r w:rsidR="007425E4">
        <w:t>goods</w:t>
      </w:r>
      <w:r w:rsidR="006324FB">
        <w:t xml:space="preserve"> of various kinds</w:t>
      </w:r>
      <w:r w:rsidR="007425E4">
        <w:t xml:space="preserve">, the following of regulative procedures, </w:t>
      </w:r>
      <w:r w:rsidR="00724714">
        <w:t>the contribution one makes to collective enterprises, the response one makes to transgressions, the refusal to exploit others’ trust, and the judgements one makes about other people. What connects these</w:t>
      </w:r>
      <w:r w:rsidR="00961C4A">
        <w:t xml:space="preserve"> various objects is that responding well in each case requires a form of impartiality. The </w:t>
      </w:r>
      <w:r w:rsidR="008A6122">
        <w:t xml:space="preserve">feature that instances of fairness have in common – the </w:t>
      </w:r>
      <w:r w:rsidR="00961C4A">
        <w:t xml:space="preserve">fairness-defining property </w:t>
      </w:r>
      <w:r w:rsidR="008A6122">
        <w:t>–</w:t>
      </w:r>
      <w:r w:rsidR="0003075F">
        <w:t xml:space="preserve"> </w:t>
      </w:r>
      <w:r w:rsidR="00961C4A">
        <w:t>is a property of the response, and not the objects of that response, nor the reason for making it.</w:t>
      </w:r>
    </w:p>
    <w:p w:rsidR="00823930" w:rsidRDefault="00963501" w:rsidP="00D91C02">
      <w:pPr>
        <w:tabs>
          <w:tab w:val="left" w:pos="284"/>
        </w:tabs>
        <w:spacing w:before="120" w:line="480" w:lineRule="auto"/>
        <w:jc w:val="both"/>
      </w:pPr>
      <w:r>
        <w:tab/>
        <w:t xml:space="preserve">The taxonomy that follows is intended as a contribution to moral theory, not psychology. I </w:t>
      </w:r>
      <w:r w:rsidR="006324FB">
        <w:t>do not claim that</w:t>
      </w:r>
      <w:r>
        <w:t xml:space="preserve"> the aretaic </w:t>
      </w:r>
      <w:r w:rsidR="006324FB">
        <w:t xml:space="preserve">categories we use in attributions of virtue </w:t>
      </w:r>
      <w:r w:rsidR="00D42B11">
        <w:t xml:space="preserve">map onto the </w:t>
      </w:r>
      <w:r w:rsidR="006324FB">
        <w:t>structure</w:t>
      </w:r>
      <w:r w:rsidR="00823C48">
        <w:t>s</w:t>
      </w:r>
      <w:r w:rsidR="00D42B11">
        <w:t xml:space="preserve"> in terms of which we can best understand our psychological functioning.</w:t>
      </w:r>
      <w:r>
        <w:t xml:space="preserve"> </w:t>
      </w:r>
      <w:r w:rsidR="00D42B11">
        <w:t xml:space="preserve">Instead, </w:t>
      </w:r>
      <w:r w:rsidR="00095316">
        <w:t>my</w:t>
      </w:r>
      <w:r w:rsidR="00D42B11">
        <w:t xml:space="preserve"> interest </w:t>
      </w:r>
      <w:r w:rsidR="00095316">
        <w:t xml:space="preserve">here </w:t>
      </w:r>
      <w:r w:rsidR="00D42B11">
        <w:t xml:space="preserve">is in the </w:t>
      </w:r>
      <w:r w:rsidR="00823C48">
        <w:t>relationships between the</w:t>
      </w:r>
      <w:r w:rsidR="00D42B11">
        <w:t xml:space="preserve"> categories we use </w:t>
      </w:r>
      <w:r w:rsidR="00823C48">
        <w:t>in evaluating</w:t>
      </w:r>
      <w:r w:rsidR="00D42B11">
        <w:t xml:space="preserve"> person</w:t>
      </w:r>
      <w:r w:rsidR="00823C48">
        <w:t>s</w:t>
      </w:r>
      <w:r w:rsidR="00D42B11">
        <w:t xml:space="preserve"> and the</w:t>
      </w:r>
      <w:r w:rsidR="00823C48">
        <w:t>ir responses</w:t>
      </w:r>
      <w:r w:rsidR="00D42B11">
        <w:t xml:space="preserve">. The extent to which there is a mapping </w:t>
      </w:r>
      <w:r w:rsidR="00D42B11">
        <w:lastRenderedPageBreak/>
        <w:t>of that kind is relevant to whether we take virtue-discourse to be referring to stable psychological dispositions by reference to which we can identify right action.</w:t>
      </w:r>
      <w:r w:rsidR="00CA2151">
        <w:rPr>
          <w:rStyle w:val="EndnoteReference"/>
        </w:rPr>
        <w:endnoteReference w:id="29"/>
      </w:r>
      <w:r w:rsidR="00D42B11">
        <w:t xml:space="preserve"> But that is not my project; and the absence of such stable dispositions does not threaten the defensibility of our use of aretaic terms to evaluate either a person o</w:t>
      </w:r>
      <w:r w:rsidR="000D2EA6">
        <w:t xml:space="preserve">r her actions: it just means that moral generalizations about a person </w:t>
      </w:r>
      <w:r w:rsidR="008A6122">
        <w:t>are</w:t>
      </w:r>
      <w:r w:rsidR="000D2EA6">
        <w:t xml:space="preserve"> difficult.</w:t>
      </w:r>
      <w:r w:rsidR="00CA2151">
        <w:rPr>
          <w:rStyle w:val="EndnoteReference"/>
        </w:rPr>
        <w:endnoteReference w:id="30"/>
      </w:r>
    </w:p>
    <w:p w:rsidR="00963501" w:rsidRPr="00823930" w:rsidRDefault="00963501" w:rsidP="00D91C02">
      <w:pPr>
        <w:tabs>
          <w:tab w:val="left" w:pos="284"/>
        </w:tabs>
        <w:spacing w:before="120" w:line="480" w:lineRule="auto"/>
        <w:jc w:val="both"/>
      </w:pPr>
    </w:p>
    <w:p w:rsidR="00D2690E" w:rsidRDefault="00087BF0" w:rsidP="00087BF0">
      <w:pPr>
        <w:pStyle w:val="Paper"/>
        <w:tabs>
          <w:tab w:val="clear" w:pos="425"/>
          <w:tab w:val="left" w:pos="284"/>
        </w:tabs>
        <w:jc w:val="center"/>
        <w:rPr>
          <w:b/>
        </w:rPr>
      </w:pPr>
      <w:r>
        <w:rPr>
          <w:b/>
        </w:rPr>
        <w:t>IV:</w:t>
      </w:r>
      <w:r w:rsidR="00D2690E" w:rsidRPr="00087BF0">
        <w:rPr>
          <w:b/>
        </w:rPr>
        <w:t xml:space="preserve">  Reason-Categoric Virtues</w:t>
      </w:r>
    </w:p>
    <w:p w:rsidR="00087BF0" w:rsidRPr="00087BF0" w:rsidRDefault="00087BF0" w:rsidP="00087BF0">
      <w:pPr>
        <w:pStyle w:val="Paper"/>
        <w:tabs>
          <w:tab w:val="clear" w:pos="425"/>
          <w:tab w:val="left" w:pos="284"/>
        </w:tabs>
        <w:jc w:val="center"/>
        <w:rPr>
          <w:b/>
        </w:rPr>
      </w:pPr>
    </w:p>
    <w:p w:rsidR="00801ED4" w:rsidRDefault="00823C48" w:rsidP="00FE0DF6">
      <w:pPr>
        <w:tabs>
          <w:tab w:val="left" w:pos="284"/>
        </w:tabs>
        <w:spacing w:before="120" w:line="480" w:lineRule="auto"/>
        <w:jc w:val="both"/>
      </w:pPr>
      <w:r>
        <w:t>One important dimension of evaluation of our responses concerns the reasons for which we make them</w:t>
      </w:r>
      <w:r w:rsidR="002045FC">
        <w:t xml:space="preserve">. </w:t>
      </w:r>
      <w:r w:rsidR="00AB3D89">
        <w:t>When</w:t>
      </w:r>
      <w:r>
        <w:t xml:space="preserve"> one acts for a reason, one’s motive for acting can be described by specifying that reason. And motives for acting are morally important: the motives of agents </w:t>
      </w:r>
      <w:r w:rsidR="00AB3D89">
        <w:t>determine the quality of their will.</w:t>
      </w:r>
      <w:r w:rsidR="00CA2151">
        <w:rPr>
          <w:rStyle w:val="EndnoteReference"/>
        </w:rPr>
        <w:endnoteReference w:id="31"/>
      </w:r>
      <w:r w:rsidR="00801ED4">
        <w:t xml:space="preserve"> </w:t>
      </w:r>
      <w:r w:rsidR="00C43B60">
        <w:t>Whether they are maliciously, arrogantly, respectfully or cravenly motivated in their actions towards us constitutes a large part of the “meaning” of what they do, and the relation</w:t>
      </w:r>
      <w:r w:rsidR="00801ED4">
        <w:t xml:space="preserve">ships in which we stand to them. </w:t>
      </w:r>
    </w:p>
    <w:p w:rsidR="00C43B60" w:rsidRDefault="00801ED4" w:rsidP="00FE0DF6">
      <w:pPr>
        <w:tabs>
          <w:tab w:val="left" w:pos="284"/>
        </w:tabs>
        <w:spacing w:before="120" w:line="480" w:lineRule="auto"/>
        <w:jc w:val="both"/>
      </w:pPr>
      <w:r>
        <w:tab/>
      </w:r>
      <w:r w:rsidR="00C43B60">
        <w:t>The corresponding point applies to responses</w:t>
      </w:r>
      <w:r>
        <w:t xml:space="preserve"> other than action</w:t>
      </w:r>
      <w:r w:rsidR="00C43B60">
        <w:t xml:space="preserve">. Thoughts and feelings need not have </w:t>
      </w:r>
      <w:r w:rsidR="00C43B60">
        <w:rPr>
          <w:i/>
        </w:rPr>
        <w:t>motives</w:t>
      </w:r>
      <w:r w:rsidR="00095316">
        <w:t>,</w:t>
      </w:r>
      <w:r w:rsidR="000D11FD">
        <w:t xml:space="preserve"> and</w:t>
      </w:r>
      <w:r w:rsidR="00C43B60">
        <w:t xml:space="preserve"> </w:t>
      </w:r>
      <w:r w:rsidR="000D11FD">
        <w:t xml:space="preserve">need not be the product of any act of will; </w:t>
      </w:r>
      <w:r w:rsidR="00C43B60">
        <w:t xml:space="preserve">but we </w:t>
      </w:r>
      <w:r>
        <w:t>often</w:t>
      </w:r>
      <w:r w:rsidR="00C43B60">
        <w:t xml:space="preserve"> make these responses through the acceptance of reasons for them</w:t>
      </w:r>
      <w:r>
        <w:t xml:space="preserve">. This, again, is an important dimension of evaluation for the non-active responses. </w:t>
      </w:r>
      <w:r w:rsidR="000D11FD">
        <w:t>T</w:t>
      </w:r>
      <w:r>
        <w:t xml:space="preserve">he reasons </w:t>
      </w:r>
      <w:r w:rsidR="000D11FD">
        <w:t>one</w:t>
      </w:r>
      <w:r>
        <w:t xml:space="preserve"> accept</w:t>
      </w:r>
      <w:r w:rsidR="000D11FD">
        <w:t>s</w:t>
      </w:r>
      <w:r>
        <w:t xml:space="preserve"> for </w:t>
      </w:r>
      <w:r w:rsidR="000D11FD">
        <w:t>one’s</w:t>
      </w:r>
      <w:r>
        <w:t xml:space="preserve"> responses largely constitute the meaning</w:t>
      </w:r>
      <w:r w:rsidR="00823C48">
        <w:t>s</w:t>
      </w:r>
      <w:r>
        <w:t xml:space="preserve"> that those responses have in interpersonal relationships.</w:t>
      </w:r>
      <w:r w:rsidR="000D11FD">
        <w:rPr>
          <w:rStyle w:val="EndnoteReference"/>
        </w:rPr>
        <w:endnoteReference w:id="32"/>
      </w:r>
    </w:p>
    <w:p w:rsidR="00D01C24" w:rsidRDefault="00384DA8" w:rsidP="005E2DEC">
      <w:pPr>
        <w:tabs>
          <w:tab w:val="left" w:pos="284"/>
        </w:tabs>
        <w:spacing w:before="120" w:line="480" w:lineRule="auto"/>
        <w:jc w:val="both"/>
      </w:pPr>
      <w:r>
        <w:tab/>
        <w:t>C</w:t>
      </w:r>
      <w:r w:rsidR="004437B7">
        <w:t>onsequently, we have an extensive aretaic vocabulary that treats the reasons for which responses are made as</w:t>
      </w:r>
      <w:r w:rsidR="005E2DEC">
        <w:t xml:space="preserve"> </w:t>
      </w:r>
      <w:r w:rsidR="005E2DEC" w:rsidRPr="00087BF0">
        <w:rPr>
          <w:i/>
        </w:rPr>
        <w:t>V</w:t>
      </w:r>
      <w:r w:rsidR="00087BF0" w:rsidRPr="00087BF0">
        <w:rPr>
          <w:i/>
          <w:vertAlign w:val="subscript"/>
        </w:rPr>
        <w:t>n</w:t>
      </w:r>
      <w:r w:rsidR="00D36F9F">
        <w:t>-defining properties</w:t>
      </w:r>
      <w:r w:rsidR="005E2DEC">
        <w:t>.</w:t>
      </w:r>
      <w:r>
        <w:t xml:space="preserve"> </w:t>
      </w:r>
      <w:r w:rsidR="00095316" w:rsidRPr="00095316">
        <w:rPr>
          <w:i/>
        </w:rPr>
        <w:t>R</w:t>
      </w:r>
      <w:r w:rsidR="005E2DEC" w:rsidRPr="00095316">
        <w:rPr>
          <w:i/>
        </w:rPr>
        <w:t>eason-categoric virtues</w:t>
      </w:r>
      <w:r w:rsidR="00095316">
        <w:t xml:space="preserve"> are those</w:t>
      </w:r>
      <w:r w:rsidR="006F1A0E">
        <w:t xml:space="preserve"> for which there is a positive answer to the question, “In order for a response to express virtue </w:t>
      </w:r>
      <w:r w:rsidR="006F1A0E" w:rsidRPr="00087BF0">
        <w:rPr>
          <w:i/>
        </w:rPr>
        <w:t>V</w:t>
      </w:r>
      <w:r w:rsidR="00087BF0" w:rsidRPr="00087BF0">
        <w:rPr>
          <w:i/>
          <w:vertAlign w:val="subscript"/>
        </w:rPr>
        <w:t>n</w:t>
      </w:r>
      <w:r w:rsidR="006F1A0E">
        <w:t xml:space="preserve">, does it have to be made for a particular reason?” </w:t>
      </w:r>
      <w:r w:rsidR="00823C48">
        <w:t xml:space="preserve">When </w:t>
      </w:r>
      <w:r w:rsidR="00F56239">
        <w:t xml:space="preserve">a virtue requires </w:t>
      </w:r>
      <w:r w:rsidR="008A6122">
        <w:lastRenderedPageBreak/>
        <w:t>responding for a</w:t>
      </w:r>
      <w:r w:rsidR="00F56239">
        <w:t xml:space="preserve"> particular reason, we can</w:t>
      </w:r>
      <w:r w:rsidR="00095316">
        <w:t xml:space="preserve"> then</w:t>
      </w:r>
      <w:r w:rsidR="00F56239">
        <w:t xml:space="preserve"> ask</w:t>
      </w:r>
      <w:r w:rsidR="00F56239" w:rsidRPr="00F56239">
        <w:t xml:space="preserve"> </w:t>
      </w:r>
      <w:r w:rsidR="00F56239">
        <w:t xml:space="preserve">“What is the source of that reason?” The structure of the class of reason-categoric </w:t>
      </w:r>
      <w:r w:rsidR="0056405C">
        <w:t xml:space="preserve">moral </w:t>
      </w:r>
      <w:r w:rsidR="00F56239">
        <w:t xml:space="preserve">virtues is generated by the answers to that question. We can answer it by tracing the derivational </w:t>
      </w:r>
      <w:r w:rsidR="00087BF0">
        <w:t>relationships between</w:t>
      </w:r>
      <w:r w:rsidR="00F56239">
        <w:t xml:space="preserve"> morally relevant reasons</w:t>
      </w:r>
      <w:r w:rsidR="005E2DEC">
        <w:t>.</w:t>
      </w:r>
      <w:r w:rsidR="00D01C24">
        <w:t xml:space="preserve"> </w:t>
      </w:r>
    </w:p>
    <w:p w:rsidR="00A820C8" w:rsidRDefault="00A820C8" w:rsidP="005E2DEC">
      <w:pPr>
        <w:tabs>
          <w:tab w:val="left" w:pos="284"/>
        </w:tabs>
        <w:spacing w:before="120" w:line="480" w:lineRule="auto"/>
        <w:jc w:val="both"/>
      </w:pPr>
      <w:r>
        <w:tab/>
      </w:r>
      <w:r w:rsidR="00823C48">
        <w:t xml:space="preserve">When one reason derives from another, the relation </w:t>
      </w:r>
      <w:r w:rsidR="00DB65AB">
        <w:t>of derivation</w:t>
      </w:r>
      <w:r>
        <w:t xml:space="preserve"> is a relation of making the case: R’s being a reason for A derives from S’s being a reason for B when S’s being a reason for B is part of what makes it the case that R is a reason for A. Making-the-case is a linear, one-way relationship. So unless chains of derivation go on forever, there are foundational, underived reasons.</w:t>
      </w:r>
      <w:r w:rsidR="00DB65AB">
        <w:rPr>
          <w:rStyle w:val="EndnoteReference"/>
        </w:rPr>
        <w:endnoteReference w:id="33"/>
      </w:r>
      <w:r>
        <w:t xml:space="preserve"> </w:t>
      </w:r>
      <w:r w:rsidR="00785576">
        <w:t xml:space="preserve">Good forms of responsiveness </w:t>
      </w:r>
      <w:r w:rsidR="00C73161">
        <w:t>for</w:t>
      </w:r>
      <w:r w:rsidR="00785576">
        <w:t xml:space="preserve"> those </w:t>
      </w:r>
      <w:r w:rsidR="00823C48">
        <w:t xml:space="preserve">foundational </w:t>
      </w:r>
      <w:r w:rsidR="00785576">
        <w:t xml:space="preserve">reasons can be classified as fundamental reason-categoric virtues. </w:t>
      </w:r>
    </w:p>
    <w:p w:rsidR="00785576" w:rsidRDefault="00785576" w:rsidP="005E2DEC">
      <w:pPr>
        <w:tabs>
          <w:tab w:val="left" w:pos="284"/>
        </w:tabs>
        <w:spacing w:before="120" w:line="480" w:lineRule="auto"/>
        <w:jc w:val="both"/>
      </w:pPr>
      <w:r>
        <w:tab/>
      </w:r>
      <w:r w:rsidR="00C72D71">
        <w:t xml:space="preserve">To make this more concrete, we can </w:t>
      </w:r>
      <w:r w:rsidR="00DB65AB">
        <w:t xml:space="preserve">consider three </w:t>
      </w:r>
      <w:r w:rsidR="001E2A9F">
        <w:t xml:space="preserve">good </w:t>
      </w:r>
      <w:r w:rsidR="00DB65AB">
        <w:t>candidates for foundational</w:t>
      </w:r>
      <w:r w:rsidR="00C72D71">
        <w:t xml:space="preserve"> reasons, and </w:t>
      </w:r>
      <w:r w:rsidR="00DB65AB">
        <w:t xml:space="preserve">examine </w:t>
      </w:r>
      <w:r w:rsidR="00C72D71">
        <w:t xml:space="preserve">how others </w:t>
      </w:r>
      <w:r w:rsidR="00D45283">
        <w:t>can</w:t>
      </w:r>
      <w:r w:rsidR="00C72D71">
        <w:t xml:space="preserve"> derive from them. </w:t>
      </w:r>
      <w:r>
        <w:t>Three candidates for underived, morally relevant reasons are the reasons we have to promote others’ welfare, not to interfere with their self-asserting activity, and to join in worthwhile collective action.</w:t>
      </w:r>
      <w:r w:rsidR="00F65BB9">
        <w:rPr>
          <w:rStyle w:val="EndnoteReference"/>
        </w:rPr>
        <w:endnoteReference w:id="34"/>
      </w:r>
      <w:r>
        <w:t xml:space="preserve"> </w:t>
      </w:r>
      <w:r w:rsidR="006F2D9B">
        <w:t xml:space="preserve">If </w:t>
      </w:r>
      <w:r w:rsidR="001E2A9F">
        <w:t>we accept</w:t>
      </w:r>
      <w:r w:rsidR="00DB65AB">
        <w:t xml:space="preserve"> this, it give</w:t>
      </w:r>
      <w:r w:rsidR="001E2A9F">
        <w:t>s</w:t>
      </w:r>
      <w:r w:rsidR="00DB65AB">
        <w:t xml:space="preserve"> us three broad groups of</w:t>
      </w:r>
      <w:r w:rsidR="00372098">
        <w:t xml:space="preserve"> </w:t>
      </w:r>
      <w:r>
        <w:t>reason-categoric virtues</w:t>
      </w:r>
      <w:r w:rsidR="00C72D71">
        <w:t xml:space="preserve">: </w:t>
      </w:r>
      <w:r>
        <w:t>virtues of concern, respect and cooperation</w:t>
      </w:r>
      <w:r w:rsidR="0056405C">
        <w:t xml:space="preserve">. </w:t>
      </w:r>
      <w:r w:rsidR="00DB65AB">
        <w:t>To the reasons that derive from these three foundational sources, there will then correspond more specific reason-categoric virtues belonging to these three groups: virtues of responding well for those reasons</w:t>
      </w:r>
      <w:r>
        <w:t>.</w:t>
      </w:r>
    </w:p>
    <w:p w:rsidR="00CF6A11" w:rsidRPr="00D51781" w:rsidRDefault="00785576" w:rsidP="00120C8E">
      <w:pPr>
        <w:tabs>
          <w:tab w:val="left" w:pos="284"/>
        </w:tabs>
        <w:spacing w:before="120" w:line="480" w:lineRule="auto"/>
        <w:jc w:val="both"/>
      </w:pPr>
      <w:r>
        <w:tab/>
      </w:r>
      <w:r w:rsidR="00C72D71">
        <w:t xml:space="preserve">Perhaps the most obvious way </w:t>
      </w:r>
      <w:r w:rsidR="00EF2D3E">
        <w:t>in which one reason can derive from another</w:t>
      </w:r>
      <w:r w:rsidR="00C72D71">
        <w:t xml:space="preserve"> is by</w:t>
      </w:r>
      <w:r w:rsidR="00113C7A">
        <w:t xml:space="preserve"> subsumption, </w:t>
      </w:r>
      <w:r w:rsidR="00DB65AB">
        <w:t>where</w:t>
      </w:r>
      <w:r w:rsidR="00EC7207">
        <w:t xml:space="preserve"> making response A for reason R is a </w:t>
      </w:r>
      <w:r w:rsidR="00113C7A">
        <w:t xml:space="preserve">specification or a part </w:t>
      </w:r>
      <w:r w:rsidR="00113C7A" w:rsidRPr="00A47A4D">
        <w:t>of making</w:t>
      </w:r>
      <w:r w:rsidR="00EC7207">
        <w:t xml:space="preserve"> response</w:t>
      </w:r>
      <w:r w:rsidR="00113C7A" w:rsidRPr="00A47A4D">
        <w:t xml:space="preserve"> </w:t>
      </w:r>
      <w:r w:rsidR="00EC7207">
        <w:t>B</w:t>
      </w:r>
      <w:r w:rsidR="00113C7A" w:rsidRPr="00A47A4D">
        <w:t xml:space="preserve"> </w:t>
      </w:r>
      <w:r w:rsidR="00EC7207">
        <w:t xml:space="preserve">for reason S. </w:t>
      </w:r>
      <w:r w:rsidR="00C72D71">
        <w:t>For example,</w:t>
      </w:r>
      <w:r w:rsidR="00EC7207">
        <w:t xml:space="preserve"> considerateness</w:t>
      </w:r>
      <w:r w:rsidR="00DB65AB">
        <w:t xml:space="preserve"> – </w:t>
      </w:r>
      <w:r w:rsidR="00EC7207">
        <w:t xml:space="preserve">anticipating </w:t>
      </w:r>
      <w:r w:rsidR="00A14180">
        <w:t>others’ needs and acting preemptively to meet or forestall them</w:t>
      </w:r>
      <w:r w:rsidR="00DB65AB">
        <w:t xml:space="preserve"> – </w:t>
      </w:r>
      <w:r w:rsidR="00EC7207">
        <w:t xml:space="preserve">is a particular way of promoting others’ welfare. So considerateness </w:t>
      </w:r>
      <w:r w:rsidR="00C72D71">
        <w:t>qualifies as</w:t>
      </w:r>
      <w:r w:rsidR="00EC7207">
        <w:t xml:space="preserve"> a derivative </w:t>
      </w:r>
      <w:r w:rsidR="00DB65AB">
        <w:t xml:space="preserve">reason-categoric </w:t>
      </w:r>
      <w:r w:rsidR="00EC7207">
        <w:t xml:space="preserve">virtue of concern. </w:t>
      </w:r>
      <w:r w:rsidR="00C72D71">
        <w:t>However, there are other, non-subsumptive ways in which one reason can derive from another. The derivation can involve a</w:t>
      </w:r>
      <w:r w:rsidR="00EC7207">
        <w:t xml:space="preserve"> </w:t>
      </w:r>
      <w:r w:rsidR="00C72D71">
        <w:t>relationship</w:t>
      </w:r>
      <w:r w:rsidR="00EC7207">
        <w:t xml:space="preserve"> of enabling, </w:t>
      </w:r>
      <w:r w:rsidR="00C72D71">
        <w:t>where</w:t>
      </w:r>
      <w:r w:rsidR="00EC7207">
        <w:t xml:space="preserve"> </w:t>
      </w:r>
      <w:r w:rsidR="00EC7207">
        <w:lastRenderedPageBreak/>
        <w:t>m</w:t>
      </w:r>
      <w:r w:rsidR="00EC7207" w:rsidRPr="00A47A4D">
        <w:t xml:space="preserve">aking </w:t>
      </w:r>
      <w:r w:rsidR="00EC7207">
        <w:t xml:space="preserve">response A for reason </w:t>
      </w:r>
      <w:r w:rsidR="00EC7207" w:rsidRPr="00A47A4D">
        <w:t xml:space="preserve">R is </w:t>
      </w:r>
      <w:r w:rsidR="00EC7207">
        <w:t>an enabling condition for</w:t>
      </w:r>
      <w:r w:rsidR="00EC7207" w:rsidRPr="00A47A4D">
        <w:t xml:space="preserve"> making </w:t>
      </w:r>
      <w:r w:rsidR="00EC7207">
        <w:t>B for reason S</w:t>
      </w:r>
      <w:r w:rsidR="00B4646F">
        <w:t xml:space="preserve">. For </w:t>
      </w:r>
      <w:r w:rsidR="00C72D71">
        <w:t>example</w:t>
      </w:r>
      <w:r w:rsidR="00B4646F">
        <w:t xml:space="preserve">, </w:t>
      </w:r>
      <w:r w:rsidR="00D51781">
        <w:t>d</w:t>
      </w:r>
      <w:r w:rsidR="00F714EC">
        <w:t xml:space="preserve">eveloping a moral vocabulary can be morally valuable in enabling us </w:t>
      </w:r>
      <w:r w:rsidR="00D51781">
        <w:t>t</w:t>
      </w:r>
      <w:r w:rsidR="00F714EC">
        <w:t xml:space="preserve">o treat others respectfully by giving them reasons for the way we treat them. To the extent that </w:t>
      </w:r>
      <w:r w:rsidR="00B4646F">
        <w:t>this is what motivates you</w:t>
      </w:r>
      <w:r w:rsidR="00F714EC">
        <w:t xml:space="preserve"> to acquire that vocabulary, </w:t>
      </w:r>
      <w:r w:rsidR="00B4646F">
        <w:t>your</w:t>
      </w:r>
      <w:r w:rsidR="00F714EC">
        <w:t xml:space="preserve"> articulacy </w:t>
      </w:r>
      <w:r w:rsidR="00B4646F">
        <w:t xml:space="preserve">can itself be morally </w:t>
      </w:r>
      <w:r w:rsidR="00F714EC">
        <w:t>virtuous</w:t>
      </w:r>
      <w:r w:rsidR="00B4646F">
        <w:t>: it can be a subsidiary</w:t>
      </w:r>
      <w:r w:rsidR="00D51781">
        <w:t xml:space="preserve"> virtue of respect. A third </w:t>
      </w:r>
      <w:r w:rsidR="00C72D71">
        <w:t>sort</w:t>
      </w:r>
      <w:r w:rsidR="00D51781">
        <w:t xml:space="preserve"> of derivation is neither subsumptive nor enabling but rather responsive: here, </w:t>
      </w:r>
      <w:r w:rsidR="00DB65AB">
        <w:t xml:space="preserve">making response A for reason R is itself a response to </w:t>
      </w:r>
      <w:r w:rsidR="001E2A9F">
        <w:t xml:space="preserve">someone else’s making the further </w:t>
      </w:r>
      <w:r w:rsidR="00D51781">
        <w:t xml:space="preserve">response B for reason S. </w:t>
      </w:r>
      <w:r w:rsidR="00C72D71">
        <w:t>F</w:t>
      </w:r>
      <w:r w:rsidR="0056405C">
        <w:t>or an example of this third kind</w:t>
      </w:r>
      <w:r w:rsidR="00C72D71">
        <w:t>, consider</w:t>
      </w:r>
      <w:r w:rsidR="00D51781">
        <w:t xml:space="preserve"> </w:t>
      </w:r>
      <w:r w:rsidR="00DB65AB">
        <w:t>the</w:t>
      </w:r>
      <w:r w:rsidR="00D51781">
        <w:t xml:space="preserve"> </w:t>
      </w:r>
      <w:r w:rsidR="00FC7111">
        <w:t>form</w:t>
      </w:r>
      <w:r w:rsidR="00D51781">
        <w:t xml:space="preserve"> that </w:t>
      </w:r>
      <w:r w:rsidR="00CF6A11">
        <w:rPr>
          <w:color w:val="000000"/>
        </w:rPr>
        <w:t>patriotism</w:t>
      </w:r>
      <w:r w:rsidR="005608CD">
        <w:rPr>
          <w:color w:val="000000"/>
        </w:rPr>
        <w:t xml:space="preserve"> and other </w:t>
      </w:r>
      <w:r w:rsidR="00FC7111">
        <w:rPr>
          <w:color w:val="000000"/>
        </w:rPr>
        <w:t>kinds</w:t>
      </w:r>
      <w:r w:rsidR="005608CD">
        <w:rPr>
          <w:color w:val="000000"/>
        </w:rPr>
        <w:t xml:space="preserve"> of group </w:t>
      </w:r>
      <w:r w:rsidR="001E2A9F">
        <w:rPr>
          <w:color w:val="000000"/>
        </w:rPr>
        <w:t>loyalty</w:t>
      </w:r>
      <w:r w:rsidR="005608CD">
        <w:rPr>
          <w:color w:val="000000"/>
        </w:rPr>
        <w:t xml:space="preserve"> can take</w:t>
      </w:r>
      <w:r w:rsidR="00DB65AB">
        <w:rPr>
          <w:color w:val="000000"/>
        </w:rPr>
        <w:t xml:space="preserve"> when they express</w:t>
      </w:r>
      <w:r w:rsidR="00FC7111">
        <w:rPr>
          <w:color w:val="000000"/>
        </w:rPr>
        <w:t xml:space="preserve"> </w:t>
      </w:r>
      <w:r w:rsidR="005608CD">
        <w:rPr>
          <w:color w:val="000000"/>
        </w:rPr>
        <w:t xml:space="preserve">an appreciation of one’s place in a shared history. Here, what one is responsive to is others’ having </w:t>
      </w:r>
      <w:r w:rsidR="00C37D24">
        <w:rPr>
          <w:color w:val="000000"/>
        </w:rPr>
        <w:t xml:space="preserve">acted cooperatively – that is, their having responded </w:t>
      </w:r>
      <w:r w:rsidR="00384DA8">
        <w:rPr>
          <w:color w:val="000000"/>
        </w:rPr>
        <w:t>for</w:t>
      </w:r>
      <w:r w:rsidR="00C37D24">
        <w:rPr>
          <w:color w:val="000000"/>
        </w:rPr>
        <w:t xml:space="preserve"> reasons of cooperation – in sustaining </w:t>
      </w:r>
      <w:r w:rsidR="005608CD">
        <w:rPr>
          <w:color w:val="000000"/>
        </w:rPr>
        <w:t>the group to which one belongs. The reasons there are to be appreciative of that are reasons of responsiveness</w:t>
      </w:r>
      <w:r w:rsidR="002A1CCA">
        <w:rPr>
          <w:color w:val="000000"/>
        </w:rPr>
        <w:t xml:space="preserve"> to others’ having acted for other, more fundamental reasons</w:t>
      </w:r>
      <w:r w:rsidR="005608CD">
        <w:rPr>
          <w:color w:val="000000"/>
        </w:rPr>
        <w:t xml:space="preserve">. </w:t>
      </w:r>
      <w:r w:rsidR="00D51781">
        <w:rPr>
          <w:color w:val="000000"/>
        </w:rPr>
        <w:t xml:space="preserve">So </w:t>
      </w:r>
      <w:r w:rsidR="0001597C">
        <w:rPr>
          <w:color w:val="000000"/>
        </w:rPr>
        <w:t>this kind of</w:t>
      </w:r>
      <w:r w:rsidR="00D51781">
        <w:rPr>
          <w:color w:val="000000"/>
        </w:rPr>
        <w:t xml:space="preserve"> virtuous loyalty is a subsidiary virtue of (proper appreciation for) cooperation.</w:t>
      </w:r>
    </w:p>
    <w:p w:rsidR="000D287B" w:rsidRDefault="00D51781" w:rsidP="000D287B">
      <w:pPr>
        <w:tabs>
          <w:tab w:val="left" w:pos="284"/>
        </w:tabs>
        <w:spacing w:before="120" w:line="480" w:lineRule="auto"/>
        <w:jc w:val="both"/>
        <w:rPr>
          <w:color w:val="000000"/>
        </w:rPr>
      </w:pPr>
      <w:r>
        <w:rPr>
          <w:i/>
        </w:rPr>
        <w:tab/>
      </w:r>
      <w:r w:rsidR="000D287B">
        <w:rPr>
          <w:color w:val="000000"/>
        </w:rPr>
        <w:t xml:space="preserve">In these ways, </w:t>
      </w:r>
      <w:r w:rsidR="008D7804">
        <w:rPr>
          <w:color w:val="000000"/>
        </w:rPr>
        <w:t xml:space="preserve">we can explain </w:t>
      </w:r>
      <w:r w:rsidR="0056405C">
        <w:rPr>
          <w:color w:val="000000"/>
        </w:rPr>
        <w:t xml:space="preserve">the relationship between different reason-categoric virtues by </w:t>
      </w:r>
      <w:r w:rsidR="001E2A9F">
        <w:rPr>
          <w:color w:val="000000"/>
        </w:rPr>
        <w:t>reference to</w:t>
      </w:r>
      <w:r w:rsidR="0056405C">
        <w:rPr>
          <w:color w:val="000000"/>
        </w:rPr>
        <w:t xml:space="preserve"> the relationship between the reasons </w:t>
      </w:r>
      <w:r w:rsidR="002A1CCA">
        <w:rPr>
          <w:color w:val="000000"/>
        </w:rPr>
        <w:t>for</w:t>
      </w:r>
      <w:r w:rsidR="0056405C">
        <w:rPr>
          <w:color w:val="000000"/>
        </w:rPr>
        <w:t xml:space="preserve"> which </w:t>
      </w:r>
      <w:r w:rsidR="002A1CCA">
        <w:rPr>
          <w:color w:val="000000"/>
        </w:rPr>
        <w:t>the</w:t>
      </w:r>
      <w:r w:rsidR="0056405C">
        <w:rPr>
          <w:color w:val="000000"/>
        </w:rPr>
        <w:t xml:space="preserve"> virtue</w:t>
      </w:r>
      <w:r w:rsidR="002A1CCA">
        <w:rPr>
          <w:color w:val="000000"/>
        </w:rPr>
        <w:t>s</w:t>
      </w:r>
      <w:r w:rsidR="0056405C">
        <w:rPr>
          <w:color w:val="000000"/>
        </w:rPr>
        <w:t xml:space="preserve"> respond. </w:t>
      </w:r>
      <w:r w:rsidR="0001597C">
        <w:rPr>
          <w:color w:val="000000"/>
        </w:rPr>
        <w:t>They can be classified as virtues</w:t>
      </w:r>
      <w:r w:rsidR="0056405C">
        <w:rPr>
          <w:color w:val="000000"/>
        </w:rPr>
        <w:t xml:space="preserve"> of concern, respect, or cooperation</w:t>
      </w:r>
      <w:r w:rsidR="002A1CCA">
        <w:rPr>
          <w:color w:val="000000"/>
        </w:rPr>
        <w:t>, according to the</w:t>
      </w:r>
      <w:r w:rsidR="0001597C">
        <w:rPr>
          <w:color w:val="000000"/>
        </w:rPr>
        <w:t xml:space="preserve"> source</w:t>
      </w:r>
      <w:r w:rsidR="002A1CCA">
        <w:rPr>
          <w:color w:val="000000"/>
        </w:rPr>
        <w:t xml:space="preserve"> of the reasons for which they respond</w:t>
      </w:r>
      <w:r w:rsidR="0001597C">
        <w:rPr>
          <w:color w:val="000000"/>
        </w:rPr>
        <w:t xml:space="preserve">. However, </w:t>
      </w:r>
      <w:r w:rsidR="002A1CCA">
        <w:rPr>
          <w:color w:val="000000"/>
        </w:rPr>
        <w:t xml:space="preserve">a </w:t>
      </w:r>
      <w:r>
        <w:rPr>
          <w:color w:val="000000"/>
        </w:rPr>
        <w:t>reason-categoric virtue</w:t>
      </w:r>
      <w:r w:rsidR="002A1CCA">
        <w:rPr>
          <w:color w:val="000000"/>
        </w:rPr>
        <w:t xml:space="preserve"> can also respond for a reason which derives from more than on</w:t>
      </w:r>
      <w:r w:rsidR="008D7804">
        <w:rPr>
          <w:color w:val="000000"/>
        </w:rPr>
        <w:t>e foundation</w:t>
      </w:r>
      <w:r w:rsidR="002A1CCA">
        <w:rPr>
          <w:color w:val="000000"/>
        </w:rPr>
        <w:t>al source</w:t>
      </w:r>
      <w:r w:rsidR="008D7804">
        <w:rPr>
          <w:color w:val="000000"/>
        </w:rPr>
        <w:t xml:space="preserve">. Justice is a prominent example of </w:t>
      </w:r>
      <w:r w:rsidR="006357D1">
        <w:rPr>
          <w:color w:val="000000"/>
        </w:rPr>
        <w:t>this</w:t>
      </w:r>
      <w:r w:rsidR="008D7804">
        <w:rPr>
          <w:color w:val="000000"/>
        </w:rPr>
        <w:t xml:space="preserve">. The virtue of justice is a virtue of responsiveness </w:t>
      </w:r>
      <w:r w:rsidR="00C73161">
        <w:rPr>
          <w:color w:val="000000"/>
        </w:rPr>
        <w:t>for</w:t>
      </w:r>
      <w:r w:rsidR="008D7804">
        <w:rPr>
          <w:color w:val="000000"/>
        </w:rPr>
        <w:t xml:space="preserve"> a particular reason: namely, facts about justice. </w:t>
      </w:r>
      <w:r w:rsidR="004F1AD9">
        <w:rPr>
          <w:color w:val="000000"/>
        </w:rPr>
        <w:t xml:space="preserve">But </w:t>
      </w:r>
      <w:r w:rsidR="00C72D71">
        <w:rPr>
          <w:color w:val="000000"/>
        </w:rPr>
        <w:t>facts about justice, on one prominent view, are</w:t>
      </w:r>
      <w:r w:rsidR="00C42D00">
        <w:rPr>
          <w:color w:val="000000"/>
        </w:rPr>
        <w:t xml:space="preserve"> facts about whether </w:t>
      </w:r>
      <w:r w:rsidR="00C42D00">
        <w:t xml:space="preserve">a social structure is regulated by an authority as it morally </w:t>
      </w:r>
      <w:r w:rsidR="00C72D71">
        <w:t>ought, all things considered, to</w:t>
      </w:r>
      <w:r w:rsidR="00C42D00">
        <w:t xml:space="preserve"> be</w:t>
      </w:r>
      <w:r w:rsidR="00C42D00">
        <w:rPr>
          <w:color w:val="000000"/>
        </w:rPr>
        <w:t>.</w:t>
      </w:r>
      <w:r w:rsidR="004F1AD9">
        <w:rPr>
          <w:color w:val="000000"/>
        </w:rPr>
        <w:t xml:space="preserve"> If s</w:t>
      </w:r>
      <w:r w:rsidR="00C42D00">
        <w:rPr>
          <w:color w:val="000000"/>
        </w:rPr>
        <w:t>o</w:t>
      </w:r>
      <w:r w:rsidR="004F1AD9">
        <w:rPr>
          <w:color w:val="000000"/>
        </w:rPr>
        <w:t>,</w:t>
      </w:r>
      <w:r w:rsidR="00C42D00">
        <w:rPr>
          <w:color w:val="000000"/>
        </w:rPr>
        <w:t xml:space="preserve"> justice is a reason-categoric virtue, but its derivational sources </w:t>
      </w:r>
      <w:r w:rsidR="007B7567">
        <w:rPr>
          <w:color w:val="000000"/>
        </w:rPr>
        <w:t>lie in</w:t>
      </w:r>
      <w:r w:rsidR="00C42D00">
        <w:rPr>
          <w:color w:val="000000"/>
        </w:rPr>
        <w:t xml:space="preserve"> all of the foundations of morality, not one alone.</w:t>
      </w:r>
    </w:p>
    <w:p w:rsidR="00757576" w:rsidRDefault="00757576" w:rsidP="00CD04A2">
      <w:pPr>
        <w:spacing w:before="120" w:line="480" w:lineRule="auto"/>
        <w:jc w:val="both"/>
      </w:pPr>
    </w:p>
    <w:p w:rsidR="00EF7BB8" w:rsidRDefault="0079009A" w:rsidP="0079009A">
      <w:pPr>
        <w:spacing w:before="120" w:line="480" w:lineRule="auto"/>
        <w:jc w:val="center"/>
        <w:rPr>
          <w:b/>
        </w:rPr>
      </w:pPr>
      <w:r>
        <w:rPr>
          <w:b/>
        </w:rPr>
        <w:lastRenderedPageBreak/>
        <w:t>V:</w:t>
      </w:r>
      <w:r w:rsidR="00EF7BB8" w:rsidRPr="0079009A">
        <w:rPr>
          <w:b/>
        </w:rPr>
        <w:t xml:space="preserve">  Object-Categoric Virtues</w:t>
      </w:r>
    </w:p>
    <w:p w:rsidR="0079009A" w:rsidRPr="0079009A" w:rsidRDefault="0079009A" w:rsidP="0079009A">
      <w:pPr>
        <w:spacing w:before="120" w:line="480" w:lineRule="auto"/>
        <w:jc w:val="center"/>
        <w:rPr>
          <w:b/>
        </w:rPr>
      </w:pPr>
    </w:p>
    <w:p w:rsidR="00EF7BB8" w:rsidRDefault="00CD04A2" w:rsidP="00CD04A2">
      <w:pPr>
        <w:tabs>
          <w:tab w:val="left" w:pos="284"/>
        </w:tabs>
        <w:spacing w:before="120" w:line="480" w:lineRule="auto"/>
        <w:jc w:val="both"/>
        <w:rPr>
          <w:color w:val="000000"/>
        </w:rPr>
      </w:pPr>
      <w:r>
        <w:rPr>
          <w:color w:val="000000"/>
        </w:rPr>
        <w:t xml:space="preserve">Reason-categoric virtues are those whose exercise requires responsiveness </w:t>
      </w:r>
      <w:r w:rsidR="00C73161">
        <w:rPr>
          <w:color w:val="000000"/>
        </w:rPr>
        <w:t>for</w:t>
      </w:r>
      <w:r>
        <w:rPr>
          <w:color w:val="000000"/>
        </w:rPr>
        <w:t xml:space="preserve"> a particular kind of reason. But not all virtues are like that. The most obvious exceptions are the so-called “executive virtues” – virtues like courage, </w:t>
      </w:r>
      <w:r w:rsidR="00BD7C17">
        <w:rPr>
          <w:color w:val="000000"/>
        </w:rPr>
        <w:t xml:space="preserve">which are virtues of responding well to a particular object: in this case, the prospect of harm or humiliation. Given the strength of our aversion to </w:t>
      </w:r>
      <w:r w:rsidR="000B1887">
        <w:rPr>
          <w:color w:val="000000"/>
        </w:rPr>
        <w:t>that prospect</w:t>
      </w:r>
      <w:r w:rsidR="00BD7C17">
        <w:rPr>
          <w:color w:val="000000"/>
        </w:rPr>
        <w:t xml:space="preserve">, it can deflect </w:t>
      </w:r>
      <w:r w:rsidR="008716C9">
        <w:rPr>
          <w:color w:val="000000"/>
        </w:rPr>
        <w:t xml:space="preserve">us from doing what, all things (including that prospect) considered, we ought. The reasons for behaving courageously are reasons for not being deflected in that way, and they can come from anywhere. So there is no particular kind of reason for which a courageous person acts. Someone with the virtue of courage responds well to a certain kind of object, for whatever reasons may require doing so. </w:t>
      </w:r>
    </w:p>
    <w:p w:rsidR="002A6E34" w:rsidRPr="008716C9" w:rsidRDefault="008716C9" w:rsidP="00CD04A2">
      <w:pPr>
        <w:tabs>
          <w:tab w:val="left" w:pos="284"/>
        </w:tabs>
        <w:spacing w:before="120" w:line="480" w:lineRule="auto"/>
        <w:jc w:val="both"/>
        <w:rPr>
          <w:i/>
          <w:color w:val="000000"/>
        </w:rPr>
      </w:pPr>
      <w:r>
        <w:rPr>
          <w:i/>
          <w:color w:val="000000"/>
        </w:rPr>
        <w:t>Virtues of Self-Control</w:t>
      </w:r>
    </w:p>
    <w:p w:rsidR="002C5672" w:rsidRDefault="00C72D71" w:rsidP="002C5672">
      <w:pPr>
        <w:pStyle w:val="BodyTextIndent2"/>
        <w:tabs>
          <w:tab w:val="left" w:pos="369"/>
        </w:tabs>
        <w:spacing w:before="120"/>
        <w:ind w:left="0"/>
        <w:jc w:val="both"/>
      </w:pPr>
      <w:r>
        <w:t>Courage belongs to the</w:t>
      </w:r>
      <w:r w:rsidR="00954EB0">
        <w:t xml:space="preserve"> most prominent class of object-categoric virtues – the virtues of self-control.</w:t>
      </w:r>
      <w:r w:rsidR="00CA2151">
        <w:rPr>
          <w:rStyle w:val="EndnoteReference"/>
        </w:rPr>
        <w:endnoteReference w:id="35"/>
      </w:r>
      <w:r w:rsidR="00954EB0">
        <w:t xml:space="preserve"> </w:t>
      </w:r>
      <w:r w:rsidR="002C5672">
        <w:t xml:space="preserve">There are two generic virtues of self-control: temperance, </w:t>
      </w:r>
      <w:r w:rsidR="00B4646F">
        <w:t>which is control over</w:t>
      </w:r>
      <w:r w:rsidR="002C5672">
        <w:t xml:space="preserve"> our natural appetites, and fortitude</w:t>
      </w:r>
      <w:r w:rsidR="00B4646F">
        <w:t xml:space="preserve"> – control over</w:t>
      </w:r>
      <w:r w:rsidR="002C5672">
        <w:t xml:space="preserve"> our natural aversions. </w:t>
      </w:r>
      <w:r w:rsidR="00307CE8">
        <w:t xml:space="preserve">The point of calling these “executive” virtues is that they do not involve the pursuit of characteristic aims. Nor do they involve characteristic motives for pursuing aims. </w:t>
      </w:r>
      <w:r w:rsidR="00307CE8" w:rsidRPr="000C53EC">
        <w:t xml:space="preserve">When we talk of acts of </w:t>
      </w:r>
      <w:r w:rsidR="00307CE8">
        <w:t>fortitude</w:t>
      </w:r>
      <w:r w:rsidR="00307CE8" w:rsidRPr="000C53EC">
        <w:t xml:space="preserve"> and temperance, we are not </w:t>
      </w:r>
      <w:r w:rsidR="00307CE8">
        <w:t>drawing attention to</w:t>
      </w:r>
      <w:r w:rsidR="00307CE8" w:rsidRPr="000C53EC">
        <w:t xml:space="preserve"> particular aims or motives, but rather the overcoming of </w:t>
      </w:r>
      <w:r w:rsidR="00307CE8">
        <w:t xml:space="preserve">powerful natural </w:t>
      </w:r>
      <w:r w:rsidR="00307CE8" w:rsidRPr="000C53EC">
        <w:t xml:space="preserve">obstacles to </w:t>
      </w:r>
      <w:r w:rsidR="00307CE8">
        <w:t>doing the right thing</w:t>
      </w:r>
      <w:r w:rsidR="00307CE8" w:rsidRPr="000C53EC">
        <w:t>: obstacles that lie in our ave</w:t>
      </w:r>
      <w:r w:rsidR="00307CE8">
        <w:t xml:space="preserve">rsions and </w:t>
      </w:r>
      <w:r w:rsidR="00307CE8" w:rsidRPr="000C53EC">
        <w:t xml:space="preserve">appetites. </w:t>
      </w:r>
      <w:r w:rsidR="002C5672">
        <w:t xml:space="preserve">Saying this allows for two ways in which these motivational aversions or attractions can be controlled. We can resist them when they are present but we judge it inappropriate to act on them. This is overcoming-by-continence. Or, more fully, there is the kind of state which Aristotle </w:t>
      </w:r>
      <w:r w:rsidR="002C5672">
        <w:lastRenderedPageBreak/>
        <w:t>saw as the ideal for a virtuous agent, in which we train ourselves into only having a motivational aversion or attraction when it is appropriate to act on it. This state of full Aristotelian virtue, if we could achieve it, would be a state that supersedes continence.</w:t>
      </w:r>
      <w:r w:rsidR="002C5672">
        <w:rPr>
          <w:rStyle w:val="EndnoteReference"/>
        </w:rPr>
        <w:endnoteReference w:id="36"/>
      </w:r>
    </w:p>
    <w:p w:rsidR="00306DDD" w:rsidRDefault="002C5672" w:rsidP="002C5672">
      <w:pPr>
        <w:pStyle w:val="Paper"/>
        <w:tabs>
          <w:tab w:val="clear" w:pos="425"/>
          <w:tab w:val="left" w:pos="284"/>
        </w:tabs>
      </w:pPr>
      <w:r>
        <w:tab/>
        <w:t>The subsidiary virtues of self-control are all further specifications of temperance and fortitude. Thus, modesty is temperance with respect to the appetite for status</w:t>
      </w:r>
      <w:r w:rsidR="008C0377">
        <w:t>, which our nature as social animals endows us with</w:t>
      </w:r>
      <w:r w:rsidR="00B8483C">
        <w:t xml:space="preserve">; </w:t>
      </w:r>
      <w:r w:rsidR="00C72D71">
        <w:t>“</w:t>
      </w:r>
      <w:r w:rsidR="00B8483C">
        <w:t>chastity</w:t>
      </w:r>
      <w:r w:rsidR="00C72D71">
        <w:t>” is the only word we have for</w:t>
      </w:r>
      <w:r w:rsidR="00B8483C">
        <w:t xml:space="preserve"> temperance </w:t>
      </w:r>
      <w:r w:rsidR="000B1887">
        <w:t>with respect to the sexual appetite</w:t>
      </w:r>
      <w:r w:rsidR="00B8483C">
        <w:t>.</w:t>
      </w:r>
      <w:r w:rsidR="00B8483C">
        <w:rPr>
          <w:rStyle w:val="EndnoteReference"/>
        </w:rPr>
        <w:endnoteReference w:id="37"/>
      </w:r>
      <w:r w:rsidR="000B1887">
        <w:t xml:space="preserve"> Equanimity and patience are names for fortitude with respect to our aversion to frustration; perseverance and industry, for fortitude with respect to our aversion to hard work</w:t>
      </w:r>
      <w:r w:rsidR="00307CE8">
        <w:t>; resilience, to stress</w:t>
      </w:r>
      <w:r w:rsidR="000B1887">
        <w:t xml:space="preserve">; bravery and courage, </w:t>
      </w:r>
      <w:r w:rsidR="001A651B">
        <w:t>to the prospect of harm</w:t>
      </w:r>
      <w:r w:rsidR="000B1887">
        <w:t xml:space="preserve"> or humiliation. Those are </w:t>
      </w:r>
      <w:r w:rsidR="00306DDD">
        <w:t xml:space="preserve">object-categoric specifications of the two generic virtues: ways of more tightly specifying the </w:t>
      </w:r>
      <w:r w:rsidR="00B4646F">
        <w:t>objects</w:t>
      </w:r>
      <w:r w:rsidR="00306DDD">
        <w:t xml:space="preserve"> of appetite or aversion with respect to which self-control i</w:t>
      </w:r>
      <w:r w:rsidR="00C37D24">
        <w:t>s exercised</w:t>
      </w:r>
      <w:r w:rsidR="008C0377">
        <w:t>.</w:t>
      </w:r>
      <w:r w:rsidR="00035969">
        <w:rPr>
          <w:rStyle w:val="EndnoteReference"/>
        </w:rPr>
        <w:endnoteReference w:id="38"/>
      </w:r>
    </w:p>
    <w:p w:rsidR="008716C9" w:rsidRDefault="008716C9" w:rsidP="00CD04A2">
      <w:pPr>
        <w:tabs>
          <w:tab w:val="left" w:pos="284"/>
        </w:tabs>
        <w:spacing w:before="120" w:line="480" w:lineRule="auto"/>
        <w:jc w:val="both"/>
        <w:rPr>
          <w:color w:val="000000"/>
        </w:rPr>
      </w:pPr>
      <w:r>
        <w:rPr>
          <w:i/>
          <w:color w:val="000000"/>
        </w:rPr>
        <w:t>Virtues of Proficiency</w:t>
      </w:r>
    </w:p>
    <w:p w:rsidR="008716C9" w:rsidRDefault="008716C9" w:rsidP="00CD04A2">
      <w:pPr>
        <w:tabs>
          <w:tab w:val="left" w:pos="284"/>
        </w:tabs>
        <w:spacing w:before="120" w:line="480" w:lineRule="auto"/>
        <w:jc w:val="both"/>
        <w:rPr>
          <w:color w:val="000000"/>
        </w:rPr>
      </w:pPr>
      <w:r>
        <w:rPr>
          <w:color w:val="000000"/>
        </w:rPr>
        <w:t>Object-categoric virtues are not confined to virtues of self-control.</w:t>
      </w:r>
      <w:r w:rsidR="00307CE8">
        <w:rPr>
          <w:color w:val="000000"/>
        </w:rPr>
        <w:t xml:space="preserve"> There are also virtues of </w:t>
      </w:r>
      <w:r w:rsidR="00EE6842">
        <w:rPr>
          <w:color w:val="000000"/>
        </w:rPr>
        <w:t>proficiency: for example, tact. Tact involves a perceptiveness about the potential for disturbance, upset or conflict, and the ability to say or do what will avert or resolve it. So it is a good form of responsiveness to a certain sort of object: difficult situations of this kind. It is not a reason-categoric virtue: the reasons why finding a tactful response is important may be reasons of concern for welfare (as when it is tactful not to mention something upsetting), but they might be reasons to preserve the harmonious functioning of a group</w:t>
      </w:r>
      <w:r w:rsidR="00691BB7">
        <w:rPr>
          <w:color w:val="000000"/>
        </w:rPr>
        <w:t xml:space="preserve">, deriving from the </w:t>
      </w:r>
      <w:r w:rsidR="00865DB3">
        <w:rPr>
          <w:color w:val="000000"/>
        </w:rPr>
        <w:t>importance</w:t>
      </w:r>
      <w:r w:rsidR="00691BB7">
        <w:rPr>
          <w:color w:val="000000"/>
        </w:rPr>
        <w:t xml:space="preserve"> of cooperation, or reasons to treat two people respectfully – say, by giving them both a fair hearing.</w:t>
      </w:r>
      <w:r w:rsidR="00EE6842">
        <w:rPr>
          <w:color w:val="000000"/>
        </w:rPr>
        <w:t xml:space="preserve"> </w:t>
      </w:r>
      <w:r w:rsidR="00691BB7">
        <w:rPr>
          <w:color w:val="000000"/>
        </w:rPr>
        <w:t xml:space="preserve">And nor is tact response-categoric: there is no distinctive kind of response to difficult situations that is characteristic of tact. </w:t>
      </w:r>
      <w:r w:rsidR="0036294D">
        <w:rPr>
          <w:color w:val="000000"/>
        </w:rPr>
        <w:t xml:space="preserve">Not inviting two feuding friends to dinner might </w:t>
      </w:r>
      <w:r w:rsidR="0036294D">
        <w:rPr>
          <w:color w:val="000000"/>
        </w:rPr>
        <w:lastRenderedPageBreak/>
        <w:t>be tactful; but so might going ahead and inviting them, to show that one trusts them to handle their disagreement sensibly themselves.</w:t>
      </w:r>
    </w:p>
    <w:p w:rsidR="0036294D" w:rsidRPr="0036294D" w:rsidRDefault="0036294D" w:rsidP="00CD04A2">
      <w:pPr>
        <w:tabs>
          <w:tab w:val="left" w:pos="284"/>
        </w:tabs>
        <w:spacing w:before="120" w:line="480" w:lineRule="auto"/>
        <w:jc w:val="both"/>
        <w:rPr>
          <w:color w:val="000000"/>
        </w:rPr>
      </w:pPr>
      <w:r>
        <w:rPr>
          <w:color w:val="000000"/>
        </w:rPr>
        <w:tab/>
        <w:t>This may invite the question: If the kinds of skill to whic</w:t>
      </w:r>
      <w:r w:rsidR="00B4646F">
        <w:rPr>
          <w:color w:val="000000"/>
        </w:rPr>
        <w:t>h we give the name “tact” range</w:t>
      </w:r>
      <w:r>
        <w:rPr>
          <w:color w:val="000000"/>
        </w:rPr>
        <w:t xml:space="preserve"> so widely, should we really be prepared to say that this is the name of </w:t>
      </w:r>
      <w:r>
        <w:rPr>
          <w:i/>
          <w:color w:val="000000"/>
        </w:rPr>
        <w:t>one</w:t>
      </w:r>
      <w:r>
        <w:rPr>
          <w:color w:val="000000"/>
        </w:rPr>
        <w:t xml:space="preserve"> kind of proficiency? No: we should not be prepared to say that. But in that respect, tact is no worse qualified to be a virtue than any other. </w:t>
      </w:r>
      <w:r w:rsidR="008376D4">
        <w:rPr>
          <w:color w:val="000000"/>
        </w:rPr>
        <w:t>We should resist the temptation to think of virtue-terms as naming categories that describe elements within the structure of the psychology of a good moral agent. They are components of our vocabulary for talking about kinds of goodness. The psychological constituents that need to be possessed in order to qualify for the attribution of such evaluative terms are another matter.</w:t>
      </w:r>
    </w:p>
    <w:p w:rsidR="00DE7E3B" w:rsidRDefault="002A6E34" w:rsidP="00CD04A2">
      <w:pPr>
        <w:tabs>
          <w:tab w:val="left" w:pos="284"/>
        </w:tabs>
        <w:spacing w:before="120" w:line="480" w:lineRule="auto"/>
        <w:jc w:val="both"/>
      </w:pPr>
      <w:r>
        <w:tab/>
      </w:r>
      <w:r w:rsidR="008376D4">
        <w:t xml:space="preserve">Indeed, it should by now be obvious that </w:t>
      </w:r>
      <w:r w:rsidR="00643F08">
        <w:t xml:space="preserve">on </w:t>
      </w:r>
      <w:r w:rsidR="008376D4">
        <w:t xml:space="preserve">the taxonomy I am </w:t>
      </w:r>
      <w:r w:rsidR="00923962">
        <w:t>recommending, when a response is virtuous, it typically expresses more than one virtue.</w:t>
      </w:r>
      <w:r>
        <w:t xml:space="preserve"> </w:t>
      </w:r>
      <w:r w:rsidR="008376D4">
        <w:t>When</w:t>
      </w:r>
      <w:r>
        <w:t xml:space="preserve"> a particular </w:t>
      </w:r>
      <w:r w:rsidR="008376D4">
        <w:t>action expresses an object-categoric</w:t>
      </w:r>
      <w:r>
        <w:t xml:space="preserve"> virtue, </w:t>
      </w:r>
      <w:r w:rsidR="008376D4">
        <w:t xml:space="preserve">it always expresses a reason-categoric virtue too: </w:t>
      </w:r>
      <w:r w:rsidR="00DE7E3B">
        <w:t xml:space="preserve">whenever an action is morally courageous, it is </w:t>
      </w:r>
      <w:r>
        <w:t xml:space="preserve">also kind, or just, or public spirited, or… </w:t>
      </w:r>
      <w:r w:rsidR="00DE7E3B">
        <w:t>To be a virtuous</w:t>
      </w:r>
      <w:r>
        <w:t xml:space="preserve"> </w:t>
      </w:r>
      <w:r w:rsidR="00DE7E3B">
        <w:t xml:space="preserve">response to its </w:t>
      </w:r>
      <w:r>
        <w:t>object</w:t>
      </w:r>
      <w:r w:rsidR="00DE7E3B">
        <w:t>, it must be good in all dimensions of assessment. That includes its motive: the action must be pe</w:t>
      </w:r>
      <w:r w:rsidR="0003075F">
        <w:t>r</w:t>
      </w:r>
      <w:r w:rsidR="00DE7E3B">
        <w:t xml:space="preserve">formed for a good reason. So </w:t>
      </w:r>
      <w:r>
        <w:t xml:space="preserve">when one responds well to </w:t>
      </w:r>
      <w:r w:rsidR="00DE7E3B">
        <w:t>the</w:t>
      </w:r>
      <w:r>
        <w:t xml:space="preserve"> object</w:t>
      </w:r>
      <w:r w:rsidR="00DE7E3B">
        <w:t xml:space="preserve"> </w:t>
      </w:r>
      <w:r w:rsidR="0003075F">
        <w:t>that specifies</w:t>
      </w:r>
      <w:r w:rsidR="00DE7E3B">
        <w:t xml:space="preserve"> a virtue of self-control or proficiency</w:t>
      </w:r>
      <w:r>
        <w:t xml:space="preserve">, the reason for which one is responding supplies a reason-categoric aretaic property which is also possessed by the response. Indeed, </w:t>
      </w:r>
      <w:r w:rsidR="00DE7E3B">
        <w:t xml:space="preserve">as we will </w:t>
      </w:r>
      <w:r w:rsidR="0003075F">
        <w:t>shortly</w:t>
      </w:r>
      <w:r w:rsidR="00DE7E3B">
        <w:t xml:space="preserve"> see, there are response-categoric virtues as well, so nothing prevents the same action from expressing a virtue of that kind too.</w:t>
      </w:r>
      <w:r w:rsidR="00DE7E3B">
        <w:rPr>
          <w:rStyle w:val="EndnoteReference"/>
        </w:rPr>
        <w:endnoteReference w:id="39"/>
      </w:r>
      <w:r w:rsidR="00DE7E3B">
        <w:t xml:space="preserve"> </w:t>
      </w:r>
    </w:p>
    <w:p w:rsidR="002A6E34" w:rsidRDefault="00BA31D3" w:rsidP="005128F8">
      <w:pPr>
        <w:tabs>
          <w:tab w:val="left" w:pos="284"/>
        </w:tabs>
        <w:spacing w:before="120" w:line="480" w:lineRule="auto"/>
        <w:jc w:val="both"/>
        <w:rPr>
          <w:color w:val="000000"/>
        </w:rPr>
      </w:pPr>
      <w:r>
        <w:rPr>
          <w:i/>
          <w:color w:val="000000"/>
        </w:rPr>
        <w:t>Object-Categoric Virtues of Relationship-Responsiveness</w:t>
      </w:r>
    </w:p>
    <w:p w:rsidR="00FE2D62" w:rsidRDefault="00FE2D62" w:rsidP="005128F8">
      <w:pPr>
        <w:tabs>
          <w:tab w:val="left" w:pos="284"/>
        </w:tabs>
        <w:spacing w:before="120" w:line="480" w:lineRule="auto"/>
        <w:jc w:val="both"/>
        <w:rPr>
          <w:color w:val="000000"/>
        </w:rPr>
      </w:pPr>
      <w:r>
        <w:rPr>
          <w:color w:val="000000"/>
        </w:rPr>
        <w:t xml:space="preserve">There is a third </w:t>
      </w:r>
      <w:r w:rsidR="007F48D5">
        <w:rPr>
          <w:color w:val="000000"/>
        </w:rPr>
        <w:t>type</w:t>
      </w:r>
      <w:r>
        <w:rPr>
          <w:color w:val="000000"/>
        </w:rPr>
        <w:t xml:space="preserve"> of object-categoric virtue. Some virtues are good forms of responsiveness to particular kinds of relationship. </w:t>
      </w:r>
      <w:r w:rsidR="00B4646F">
        <w:rPr>
          <w:color w:val="000000"/>
        </w:rPr>
        <w:t xml:space="preserve">These, too, are virtues of responding </w:t>
      </w:r>
      <w:r w:rsidR="00B4646F">
        <w:rPr>
          <w:color w:val="000000"/>
        </w:rPr>
        <w:lastRenderedPageBreak/>
        <w:t xml:space="preserve">well to a particular object – the relationship-type – </w:t>
      </w:r>
      <w:r>
        <w:rPr>
          <w:color w:val="000000"/>
        </w:rPr>
        <w:t>in a variety of ways, for a variety of reasons. Loyalty and trustworthiness are examples of this. Loyalty is the virtue of responding well to the history of a relationship of special connection with some other individual or group. Relationships of special connection need not have a history in order to be important, of course – the relationship of a parent to a newborn child is an obvious example of that – but then it ceases to be appropriate to think of them in terms of loyalty. The virtuous forms of loyalty are those that show a proper appreciation of the history of one’s relationship to an in</w:t>
      </w:r>
      <w:r w:rsidR="00E1574D">
        <w:rPr>
          <w:color w:val="000000"/>
        </w:rPr>
        <w:t>dividual or group, and how the meaning of that temporally extended relationship bestows upon my responses to it the significance of forms of fidelity or betrayal.</w:t>
      </w:r>
      <w:r w:rsidR="00CA2151" w:rsidRPr="00E038D6">
        <w:rPr>
          <w:rStyle w:val="EndnoteReference"/>
          <w:color w:val="000000"/>
        </w:rPr>
        <w:endnoteReference w:id="40"/>
      </w:r>
      <w:r w:rsidR="00E1574D">
        <w:rPr>
          <w:color w:val="000000"/>
        </w:rPr>
        <w:t xml:space="preserve"> </w:t>
      </w:r>
    </w:p>
    <w:p w:rsidR="00FE2D62" w:rsidRPr="00FE2D62" w:rsidRDefault="00E1574D" w:rsidP="00CA2151">
      <w:pPr>
        <w:tabs>
          <w:tab w:val="left" w:pos="284"/>
        </w:tabs>
        <w:spacing w:before="120" w:line="480" w:lineRule="auto"/>
        <w:jc w:val="both"/>
        <w:rPr>
          <w:color w:val="000000"/>
        </w:rPr>
      </w:pPr>
      <w:r>
        <w:rPr>
          <w:color w:val="000000"/>
        </w:rPr>
        <w:tab/>
      </w:r>
      <w:r w:rsidR="00FE2D62">
        <w:rPr>
          <w:color w:val="000000"/>
        </w:rPr>
        <w:t>Trustworthiness</w:t>
      </w:r>
      <w:r>
        <w:rPr>
          <w:color w:val="000000"/>
        </w:rPr>
        <w:t xml:space="preserve"> is the virtue of good responsiveness to the relationships of </w:t>
      </w:r>
      <w:r w:rsidR="00B4646F">
        <w:rPr>
          <w:color w:val="000000"/>
        </w:rPr>
        <w:t>reliance</w:t>
      </w:r>
      <w:r>
        <w:rPr>
          <w:color w:val="000000"/>
        </w:rPr>
        <w:t xml:space="preserve"> through which others are vulnerable to us</w:t>
      </w:r>
      <w:r w:rsidR="00FE2D62">
        <w:rPr>
          <w:color w:val="000000"/>
        </w:rPr>
        <w:t>.</w:t>
      </w:r>
      <w:r>
        <w:rPr>
          <w:color w:val="000000"/>
        </w:rPr>
        <w:t xml:space="preserve"> The variety of expressions that this virtue has, and reasons for its importance, come from the many ways in which we are vulnerable to each other – ranging from the general vulnerability we have to being deceived by someone we have never met, to our special vulnerability to being hurt by those we have shared our lives with most intimately.</w:t>
      </w:r>
    </w:p>
    <w:p w:rsidR="003E7224" w:rsidRDefault="003E7224" w:rsidP="00CA2151">
      <w:pPr>
        <w:spacing w:before="120" w:line="480" w:lineRule="auto"/>
        <w:rPr>
          <w:b/>
        </w:rPr>
      </w:pPr>
    </w:p>
    <w:p w:rsidR="002A6E34" w:rsidRDefault="0079009A" w:rsidP="00CA2151">
      <w:pPr>
        <w:spacing w:before="120" w:line="480" w:lineRule="auto"/>
        <w:jc w:val="center"/>
        <w:rPr>
          <w:b/>
        </w:rPr>
      </w:pPr>
      <w:r>
        <w:rPr>
          <w:b/>
        </w:rPr>
        <w:t>VI:</w:t>
      </w:r>
      <w:r w:rsidR="002A6E34" w:rsidRPr="0079009A">
        <w:rPr>
          <w:b/>
        </w:rPr>
        <w:t xml:space="preserve">  Response-Categoric Virtues</w:t>
      </w:r>
    </w:p>
    <w:p w:rsidR="0079009A" w:rsidRPr="0079009A" w:rsidRDefault="0079009A" w:rsidP="0079009A">
      <w:pPr>
        <w:spacing w:before="120" w:line="480" w:lineRule="auto"/>
        <w:jc w:val="center"/>
        <w:rPr>
          <w:b/>
        </w:rPr>
      </w:pPr>
    </w:p>
    <w:p w:rsidR="00A45FA9" w:rsidRDefault="000C137D" w:rsidP="005128F8">
      <w:pPr>
        <w:spacing w:before="120" w:line="480" w:lineRule="auto"/>
        <w:jc w:val="both"/>
      </w:pPr>
      <w:r>
        <w:t xml:space="preserve">Response-categoric virtues are forms of goodness </w:t>
      </w:r>
      <w:r w:rsidR="001A651B">
        <w:t xml:space="preserve">whose defining characteristic is </w:t>
      </w:r>
      <w:r>
        <w:t xml:space="preserve">the making of </w:t>
      </w:r>
      <w:r w:rsidR="001A651B">
        <w:t xml:space="preserve">some </w:t>
      </w:r>
      <w:r>
        <w:t xml:space="preserve">particular </w:t>
      </w:r>
      <w:r w:rsidR="001A651B">
        <w:t>type of response</w:t>
      </w:r>
      <w:r w:rsidR="00171583">
        <w:t xml:space="preserve">. The response can be made to a variety of different objects, and for a variety of different reasons. </w:t>
      </w:r>
      <w:r>
        <w:t>The virtues in this category seem to me more miscellaneous, so I shall not attempt to structure it further by organizing it into subtypes. Instead, I give three examples: fairness, honesty and generosity.</w:t>
      </w:r>
    </w:p>
    <w:p w:rsidR="00171583" w:rsidRDefault="00171583" w:rsidP="000162DD">
      <w:pPr>
        <w:pStyle w:val="Paper"/>
        <w:rPr>
          <w:rFonts w:ascii="Times-Roman" w:hAnsi="Times-Roman" w:cs="Times-Roman"/>
          <w:lang w:eastAsia="en-AU"/>
        </w:rPr>
      </w:pPr>
      <w:r>
        <w:lastRenderedPageBreak/>
        <w:tab/>
        <w:t xml:space="preserve">Fairness has a kind of generality that makes it comparable to the executive virtues just discussed. </w:t>
      </w:r>
      <w:r w:rsidR="00C37D24">
        <w:t>I</w:t>
      </w:r>
      <w:r>
        <w:t xml:space="preserve">t, too, </w:t>
      </w:r>
      <w:r w:rsidR="000162DD">
        <w:t>is not a sensitivity to one particular</w:t>
      </w:r>
      <w:r>
        <w:t xml:space="preserve"> </w:t>
      </w:r>
      <w:r w:rsidR="00C37D24">
        <w:t>kind of reason</w:t>
      </w:r>
      <w:r>
        <w:t>. But it is response-categoric, not object-categoric.</w:t>
      </w:r>
      <w:r w:rsidR="00A27418">
        <w:rPr>
          <w:rStyle w:val="EndnoteReference"/>
        </w:rPr>
        <w:endnoteReference w:id="41"/>
      </w:r>
      <w:r>
        <w:t xml:space="preserve"> To say that a person, motive, action, institution, distribution or judgement is fair is to say that it exhibits a kind of impartiality which is </w:t>
      </w:r>
      <w:r w:rsidR="00103BFF">
        <w:t>fitting, given the context</w:t>
      </w:r>
      <w:r>
        <w:t xml:space="preserve">. That is not to say that it picks out one particular way of being impartial and tells us to exhibit that. Rather, there are many kinds of impartiality: </w:t>
      </w:r>
      <w:r w:rsidR="000162DD">
        <w:t>j</w:t>
      </w:r>
      <w:r>
        <w:t xml:space="preserve">udgements about fairness and unfairness concern actions for which one particular way of being impartial is </w:t>
      </w:r>
      <w:r w:rsidR="00103BFF">
        <w:t>fitting</w:t>
      </w:r>
      <w:r>
        <w:t xml:space="preserve">. </w:t>
      </w:r>
      <w:r>
        <w:rPr>
          <w:rFonts w:ascii="Times-Roman" w:hAnsi="Times-Roman" w:cs="Times-Roman"/>
          <w:lang w:eastAsia="en-AU"/>
        </w:rPr>
        <w:t>What fair distributions, regulations, judgements, punishments and so on</w:t>
      </w:r>
      <w:r w:rsidRPr="00EE05E0">
        <w:rPr>
          <w:rFonts w:ascii="Times-Roman" w:hAnsi="Times-Roman" w:cs="Times-Roman"/>
          <w:lang w:eastAsia="en-AU"/>
        </w:rPr>
        <w:t xml:space="preserve"> </w:t>
      </w:r>
      <w:r>
        <w:rPr>
          <w:rFonts w:ascii="Times-Roman" w:hAnsi="Times-Roman" w:cs="Times-Roman"/>
          <w:lang w:eastAsia="en-AU"/>
        </w:rPr>
        <w:t>have in common is not that deliberation about them is directed towards a single</w:t>
      </w:r>
      <w:r w:rsidRPr="00E64977">
        <w:rPr>
          <w:rFonts w:ascii="Times-Roman" w:hAnsi="Times-Roman" w:cs="Times-Roman"/>
          <w:lang w:eastAsia="en-AU"/>
        </w:rPr>
        <w:t xml:space="preserve"> </w:t>
      </w:r>
      <w:r>
        <w:rPr>
          <w:rFonts w:ascii="Times-Roman" w:hAnsi="Times-Roman" w:cs="Times-Roman"/>
          <w:lang w:eastAsia="en-AU"/>
        </w:rPr>
        <w:t xml:space="preserve">common object. What is common to them is that they are </w:t>
      </w:r>
      <w:r w:rsidR="00103BFF">
        <w:rPr>
          <w:rFonts w:ascii="Times-Roman" w:hAnsi="Times-Roman" w:cs="Times-Roman"/>
          <w:lang w:eastAsia="en-AU"/>
        </w:rPr>
        <w:t>fitting</w:t>
      </w:r>
      <w:r>
        <w:rPr>
          <w:rFonts w:ascii="Times-Roman" w:hAnsi="Times-Roman" w:cs="Times-Roman"/>
          <w:lang w:eastAsia="en-AU"/>
        </w:rPr>
        <w:t>, in a field of</w:t>
      </w:r>
      <w:r w:rsidRPr="00E64977">
        <w:rPr>
          <w:rFonts w:ascii="Times-Roman" w:hAnsi="Times-Roman" w:cs="Times-Roman"/>
          <w:lang w:eastAsia="en-AU"/>
        </w:rPr>
        <w:t xml:space="preserve"> </w:t>
      </w:r>
      <w:r>
        <w:rPr>
          <w:rFonts w:ascii="Times-Roman" w:hAnsi="Times-Roman" w:cs="Times-Roman"/>
          <w:lang w:eastAsia="en-AU"/>
        </w:rPr>
        <w:t xml:space="preserve">deliberation where finding what is </w:t>
      </w:r>
      <w:r w:rsidR="00103BFF">
        <w:rPr>
          <w:rFonts w:ascii="Times-Roman" w:hAnsi="Times-Roman" w:cs="Times-Roman"/>
          <w:lang w:eastAsia="en-AU"/>
        </w:rPr>
        <w:t>fitting</w:t>
      </w:r>
      <w:r>
        <w:rPr>
          <w:rFonts w:ascii="Times-Roman" w:hAnsi="Times-Roman" w:cs="Times-Roman"/>
          <w:lang w:eastAsia="en-AU"/>
        </w:rPr>
        <w:t xml:space="preserve"> requires a form of impartiality. An obvious reason for our having this aretaic term comes from the streng</w:t>
      </w:r>
      <w:r w:rsidR="001A651B">
        <w:rPr>
          <w:rFonts w:ascii="Times-Roman" w:hAnsi="Times-Roman" w:cs="Times-Roman"/>
          <w:lang w:eastAsia="en-AU"/>
        </w:rPr>
        <w:t>th of our motives of attachment</w:t>
      </w:r>
      <w:r>
        <w:rPr>
          <w:rFonts w:ascii="Times-Roman" w:hAnsi="Times-Roman" w:cs="Times-Roman"/>
          <w:lang w:eastAsia="en-AU"/>
        </w:rPr>
        <w:t xml:space="preserve"> and the need to exercise self-control in contexts in which we ought to oppose those motives. If that exhausted the content of fairness then it would </w:t>
      </w:r>
      <w:r w:rsidR="00272B2D">
        <w:rPr>
          <w:rFonts w:ascii="Times-Roman" w:hAnsi="Times-Roman" w:cs="Times-Roman"/>
          <w:lang w:eastAsia="en-AU"/>
        </w:rPr>
        <w:t>belong above, with the object-categoric virtues of self-control: it would be a form of temperance with respect to personal attachments. But fairness extends beyond such cases. The capricious judge who does not like the</w:t>
      </w:r>
      <w:r w:rsidR="0003075F">
        <w:rPr>
          <w:rFonts w:ascii="Times-Roman" w:hAnsi="Times-Roman" w:cs="Times-Roman"/>
          <w:lang w:eastAsia="en-AU"/>
        </w:rPr>
        <w:t xml:space="preserve"> attire of one of the litigants</w:t>
      </w:r>
      <w:r w:rsidR="00272B2D">
        <w:rPr>
          <w:rFonts w:ascii="Times-Roman" w:hAnsi="Times-Roman" w:cs="Times-Roman"/>
          <w:lang w:eastAsia="en-AU"/>
        </w:rPr>
        <w:t xml:space="preserve"> or decides the case by tossing a coin is acting unfairly, but </w:t>
      </w:r>
      <w:r w:rsidR="008A6122">
        <w:rPr>
          <w:rFonts w:ascii="Times-Roman" w:hAnsi="Times-Roman" w:cs="Times-Roman"/>
          <w:lang w:eastAsia="en-AU"/>
        </w:rPr>
        <w:t>the unfairness there is not a failure</w:t>
      </w:r>
      <w:r w:rsidR="00272B2D">
        <w:rPr>
          <w:rFonts w:ascii="Times-Roman" w:hAnsi="Times-Roman" w:cs="Times-Roman"/>
          <w:lang w:eastAsia="en-AU"/>
        </w:rPr>
        <w:t xml:space="preserve"> to exercise self-control with respect to a personal attachment. The same is true of a lazy-minded person who criticizes someone unfairly on flimsy evidence. </w:t>
      </w:r>
      <w:r w:rsidR="000162DD">
        <w:rPr>
          <w:rFonts w:ascii="Times-Roman" w:hAnsi="Times-Roman" w:cs="Times-Roman"/>
          <w:lang w:eastAsia="en-AU"/>
        </w:rPr>
        <w:t>Personal attachment is only one of</w:t>
      </w:r>
      <w:r w:rsidR="00272B2D">
        <w:rPr>
          <w:rFonts w:ascii="Times-Roman" w:hAnsi="Times-Roman" w:cs="Times-Roman"/>
          <w:lang w:eastAsia="en-AU"/>
        </w:rPr>
        <w:t xml:space="preserve"> a range of different obstacles to exercising the impartiality </w:t>
      </w:r>
      <w:r w:rsidR="002251C4">
        <w:rPr>
          <w:rFonts w:ascii="Times-Roman" w:hAnsi="Times-Roman" w:cs="Times-Roman"/>
          <w:lang w:eastAsia="en-AU"/>
        </w:rPr>
        <w:t>that is contextually fitting</w:t>
      </w:r>
      <w:r w:rsidR="00272B2D">
        <w:rPr>
          <w:rFonts w:ascii="Times-Roman" w:hAnsi="Times-Roman" w:cs="Times-Roman"/>
          <w:lang w:eastAsia="en-AU"/>
        </w:rPr>
        <w:t xml:space="preserve">: </w:t>
      </w:r>
      <w:r w:rsidR="00103BFF">
        <w:rPr>
          <w:rFonts w:ascii="Times-Roman" w:hAnsi="Times-Roman" w:cs="Times-Roman"/>
          <w:lang w:eastAsia="en-AU"/>
        </w:rPr>
        <w:t xml:space="preserve">the virtue of </w:t>
      </w:r>
      <w:r w:rsidR="00272B2D">
        <w:rPr>
          <w:rFonts w:ascii="Times-Roman" w:hAnsi="Times-Roman" w:cs="Times-Roman"/>
          <w:lang w:eastAsia="en-AU"/>
        </w:rPr>
        <w:t>fairness is the quality of doing so well.</w:t>
      </w:r>
      <w:r w:rsidR="00272B2D">
        <w:rPr>
          <w:rStyle w:val="EndnoteReference"/>
          <w:rFonts w:ascii="Times-Roman" w:hAnsi="Times-Roman" w:cs="Times-Roman"/>
          <w:lang w:eastAsia="en-AU"/>
        </w:rPr>
        <w:endnoteReference w:id="42"/>
      </w:r>
    </w:p>
    <w:p w:rsidR="00103BFF" w:rsidRPr="00103BFF" w:rsidRDefault="00103BFF" w:rsidP="00103BFF">
      <w:pPr>
        <w:pStyle w:val="Paper"/>
        <w:tabs>
          <w:tab w:val="clear" w:pos="425"/>
          <w:tab w:val="left" w:pos="284"/>
        </w:tabs>
      </w:pPr>
      <w:r>
        <w:rPr>
          <w:rFonts w:ascii="Times-Roman" w:hAnsi="Times-Roman" w:cs="Times-Roman"/>
          <w:lang w:eastAsia="en-AU"/>
        </w:rPr>
        <w:tab/>
      </w:r>
      <w:r w:rsidR="00C37D24">
        <w:rPr>
          <w:rFonts w:ascii="Times-Roman" w:hAnsi="Times-Roman" w:cs="Times-Roman"/>
          <w:lang w:eastAsia="en-AU"/>
        </w:rPr>
        <w:t>A</w:t>
      </w:r>
      <w:r>
        <w:rPr>
          <w:rFonts w:ascii="Times-Roman" w:hAnsi="Times-Roman" w:cs="Times-Roman"/>
          <w:lang w:eastAsia="en-AU"/>
        </w:rPr>
        <w:t xml:space="preserve"> response </w:t>
      </w:r>
      <w:r w:rsidR="00C37D24">
        <w:rPr>
          <w:rFonts w:ascii="Times-Roman" w:hAnsi="Times-Roman" w:cs="Times-Roman"/>
          <w:lang w:eastAsia="en-AU"/>
        </w:rPr>
        <w:t xml:space="preserve">can be fitting without being </w:t>
      </w:r>
      <w:r>
        <w:rPr>
          <w:rFonts w:ascii="Times-Roman" w:hAnsi="Times-Roman" w:cs="Times-Roman"/>
          <w:lang w:eastAsia="en-AU"/>
        </w:rPr>
        <w:t>all things considered appropriate or right. So this explanation of fairness allows that there is a gap between the possession of the aretaic property and virtue.</w:t>
      </w:r>
      <w:r w:rsidR="00D802B8">
        <w:rPr>
          <w:rStyle w:val="EndnoteReference"/>
          <w:rFonts w:ascii="Times-Roman" w:hAnsi="Times-Roman" w:cs="Times-Roman"/>
          <w:lang w:eastAsia="en-AU"/>
        </w:rPr>
        <w:endnoteReference w:id="43"/>
      </w:r>
      <w:r>
        <w:rPr>
          <w:rFonts w:ascii="Times-Roman" w:hAnsi="Times-Roman" w:cs="Times-Roman"/>
          <w:lang w:eastAsia="en-AU"/>
        </w:rPr>
        <w:t xml:space="preserve"> If, as the ship goes down, I </w:t>
      </w:r>
      <w:r w:rsidR="002251C4">
        <w:rPr>
          <w:rFonts w:ascii="Times-Roman" w:hAnsi="Times-Roman" w:cs="Times-Roman"/>
          <w:lang w:eastAsia="en-AU"/>
        </w:rPr>
        <w:t>waste time by insisting</w:t>
      </w:r>
      <w:r w:rsidR="002F17C6">
        <w:rPr>
          <w:rFonts w:ascii="Times-Roman" w:hAnsi="Times-Roman" w:cs="Times-Roman"/>
          <w:lang w:eastAsia="en-AU"/>
        </w:rPr>
        <w:t xml:space="preserve"> on</w:t>
      </w:r>
      <w:r>
        <w:rPr>
          <w:rFonts w:ascii="Times-Roman" w:hAnsi="Times-Roman" w:cs="Times-Roman"/>
          <w:lang w:eastAsia="en-AU"/>
        </w:rPr>
        <w:t xml:space="preserve"> </w:t>
      </w:r>
      <w:r>
        <w:rPr>
          <w:rFonts w:ascii="Times-Roman" w:hAnsi="Times-Roman" w:cs="Times-Roman"/>
          <w:lang w:eastAsia="en-AU"/>
        </w:rPr>
        <w:lastRenderedPageBreak/>
        <w:t xml:space="preserve">organizing a lottery for the lifeboats, my action could be fair but would not be virtuous. The situation is one in which important interests generate equal claims to a scarce good, and that makes it lottery-worthy. But whether a lottery ought, all things considered, to be conducted depends on more than that – including, obviously, whether more lives will be lost as a result. This is another illustration of the earlier point: whether an action possesses the aretaic property of fairness depends only on whether it possesses the fairness-defining property: fitting impartiality. Whether it is virtuous depends on its being good enough in </w:t>
      </w:r>
      <w:r>
        <w:rPr>
          <w:rFonts w:ascii="Times-Roman" w:hAnsi="Times-Roman" w:cs="Times-Roman"/>
          <w:i/>
          <w:lang w:eastAsia="en-AU"/>
        </w:rPr>
        <w:t>all</w:t>
      </w:r>
      <w:r>
        <w:rPr>
          <w:rFonts w:ascii="Times-Roman" w:hAnsi="Times-Roman" w:cs="Times-Roman"/>
          <w:lang w:eastAsia="en-AU"/>
        </w:rPr>
        <w:t xml:space="preserve"> dimensions of assessment. Fair action that is insufficiently sensitive to the </w:t>
      </w:r>
      <w:r w:rsidR="00A567A6">
        <w:rPr>
          <w:rFonts w:ascii="Times-Roman" w:hAnsi="Times-Roman" w:cs="Times-Roman"/>
          <w:lang w:eastAsia="en-AU"/>
        </w:rPr>
        <w:t>loss of life is not virtuously fair.</w:t>
      </w:r>
    </w:p>
    <w:p w:rsidR="00BA31D3" w:rsidRDefault="00272B2D" w:rsidP="00BA31D3">
      <w:pPr>
        <w:tabs>
          <w:tab w:val="left" w:pos="284"/>
        </w:tabs>
        <w:spacing w:before="120" w:line="480" w:lineRule="auto"/>
        <w:jc w:val="both"/>
      </w:pPr>
      <w:r>
        <w:rPr>
          <w:color w:val="000000"/>
        </w:rPr>
        <w:tab/>
        <w:t>The aretaic property of honesty was discussed earlier.</w:t>
      </w:r>
      <w:r w:rsidR="00BA31D3">
        <w:rPr>
          <w:color w:val="000000"/>
        </w:rPr>
        <w:t xml:space="preserve"> I pointed out that there is one honesty-defining </w:t>
      </w:r>
      <w:r w:rsidR="00BA31D3" w:rsidRPr="00A47A4D">
        <w:t>property</w:t>
      </w:r>
      <w:r w:rsidR="00BA31D3">
        <w:t>:</w:t>
      </w:r>
      <w:r w:rsidR="00BA31D3" w:rsidRPr="00A47A4D">
        <w:t xml:space="preserve"> the aim of open dealing with others. </w:t>
      </w:r>
      <w:r w:rsidR="00C856A0">
        <w:t>An action performed from any motive can be honest; but in order to express the virtue of honesty, its motive (along with every other dimension in which it can be assessed) must be good enough. However, the defining property of an honest action is its aim. That makes it a response-categoric</w:t>
      </w:r>
      <w:r w:rsidR="00156C2A">
        <w:t xml:space="preserve"> virtue, since the aim of an action is a property of the response one is making to an object, and not of the object to which one is</w:t>
      </w:r>
      <w:r w:rsidR="00F70EE8">
        <w:t xml:space="preserve"> </w:t>
      </w:r>
      <w:r w:rsidR="00156C2A">
        <w:t>responding in performing that action. And while the reason for which one performs a virtuously honest action must be good enough, it does not have to come from a</w:t>
      </w:r>
      <w:r w:rsidR="0003075F">
        <w:t>ny</w:t>
      </w:r>
      <w:r w:rsidR="00156C2A">
        <w:t xml:space="preserve"> particular source. Kant’s shopkeeper, who acts honestly </w:t>
      </w:r>
      <w:r w:rsidR="0003075F">
        <w:t>only because</w:t>
      </w:r>
      <w:r w:rsidR="00156C2A">
        <w:t xml:space="preserve"> it keeps him in business, lacks the virtue of honesty, but a shopkeeper could have that virtue by treating his customers honestly for the sake of their welfare, or out of a respect for their rights, or </w:t>
      </w:r>
      <w:r w:rsidR="007741C9">
        <w:t>from</w:t>
      </w:r>
      <w:r w:rsidR="00156C2A">
        <w:t xml:space="preserve"> an appreciation that this is what we each must do if society is to function harmoniously – that is, for reasons of concern, respect or cooperation.</w:t>
      </w:r>
      <w:r w:rsidR="00AD7E94">
        <w:t xml:space="preserve"> So honesty is a response</w:t>
      </w:r>
      <w:r w:rsidR="008A6122">
        <w:t>-</w:t>
      </w:r>
      <w:r w:rsidR="00AD7E94">
        <w:t>categoric virtue, along with fairness.</w:t>
      </w:r>
    </w:p>
    <w:p w:rsidR="00AD7E94" w:rsidRPr="00A47A4D" w:rsidRDefault="00C856A0" w:rsidP="00C856A0">
      <w:pPr>
        <w:tabs>
          <w:tab w:val="left" w:pos="284"/>
        </w:tabs>
        <w:spacing w:before="120" w:line="480" w:lineRule="auto"/>
        <w:jc w:val="both"/>
        <w:rPr>
          <w:color w:val="000000"/>
        </w:rPr>
      </w:pPr>
      <w:r>
        <w:rPr>
          <w:color w:val="000000"/>
        </w:rPr>
        <w:tab/>
        <w:t xml:space="preserve">Generosity was the other aim-specific </w:t>
      </w:r>
      <w:r w:rsidR="00AD7E94">
        <w:rPr>
          <w:color w:val="000000"/>
        </w:rPr>
        <w:t xml:space="preserve">aretaic property I mentioned </w:t>
      </w:r>
      <w:r w:rsidR="00C37D24">
        <w:rPr>
          <w:color w:val="000000"/>
        </w:rPr>
        <w:t>in Section I</w:t>
      </w:r>
      <w:r w:rsidR="00AD7E94">
        <w:rPr>
          <w:color w:val="000000"/>
        </w:rPr>
        <w:t xml:space="preserve">. This has the aim of sharing one’s possessions with others; </w:t>
      </w:r>
      <w:r w:rsidR="001A651B">
        <w:rPr>
          <w:color w:val="000000"/>
        </w:rPr>
        <w:t>when it is a virtue, it is a</w:t>
      </w:r>
      <w:r w:rsidR="00AD7E94">
        <w:rPr>
          <w:color w:val="000000"/>
        </w:rPr>
        <w:t xml:space="preserve"> response-</w:t>
      </w:r>
      <w:r w:rsidR="00AD7E94">
        <w:rPr>
          <w:color w:val="000000"/>
        </w:rPr>
        <w:lastRenderedPageBreak/>
        <w:t xml:space="preserve">categoric virtue, in the same way as honesty. Typically, generosity is a response to others’ needs, </w:t>
      </w:r>
      <w:r w:rsidR="002251C4">
        <w:rPr>
          <w:color w:val="000000"/>
        </w:rPr>
        <w:t>in order to</w:t>
      </w:r>
      <w:r w:rsidR="00AD7E94">
        <w:rPr>
          <w:color w:val="000000"/>
        </w:rPr>
        <w:t xml:space="preserve"> benefit</w:t>
      </w:r>
      <w:r w:rsidR="002251C4">
        <w:rPr>
          <w:color w:val="000000"/>
        </w:rPr>
        <w:t xml:space="preserve"> them</w:t>
      </w:r>
      <w:r w:rsidR="00AD7E94">
        <w:rPr>
          <w:color w:val="000000"/>
        </w:rPr>
        <w:t>. When that is true, generosity is a form of beneficence; but it is not always true. I might be generous in forgoing some of my allocated speaking time in order to accord your views a hearing: then I am acting for reasons of respect. And if I generously volunteer more than my fair share in contributing to a joint cause, I might be acting for reasons of cooperation.</w:t>
      </w:r>
      <w:r w:rsidR="00463D94">
        <w:rPr>
          <w:color w:val="000000"/>
        </w:rPr>
        <w:t xml:space="preserve"> So generosity can have various objects and be bestowed for various reasons. It is response-categoric.</w:t>
      </w:r>
    </w:p>
    <w:p w:rsidR="00463D94" w:rsidRDefault="00463D94" w:rsidP="00C45236">
      <w:pPr>
        <w:tabs>
          <w:tab w:val="left" w:pos="284"/>
        </w:tabs>
        <w:spacing w:before="120" w:line="480" w:lineRule="auto"/>
        <w:jc w:val="both"/>
        <w:rPr>
          <w:color w:val="000000"/>
        </w:rPr>
      </w:pPr>
    </w:p>
    <w:p w:rsidR="00C37D24" w:rsidRDefault="00C37D24">
      <w:pPr>
        <w:rPr>
          <w:b/>
        </w:rPr>
      </w:pPr>
    </w:p>
    <w:p w:rsidR="00642591" w:rsidRPr="008B43F6" w:rsidRDefault="008B43F6" w:rsidP="008B43F6">
      <w:pPr>
        <w:tabs>
          <w:tab w:val="left" w:pos="284"/>
        </w:tabs>
        <w:spacing w:before="120" w:line="480" w:lineRule="auto"/>
        <w:jc w:val="center"/>
        <w:rPr>
          <w:b/>
        </w:rPr>
      </w:pPr>
      <w:r w:rsidRPr="008B43F6">
        <w:rPr>
          <w:b/>
        </w:rPr>
        <w:t>VII:</w:t>
      </w:r>
      <w:r w:rsidR="00DE4B20" w:rsidRPr="008B43F6">
        <w:rPr>
          <w:b/>
        </w:rPr>
        <w:t xml:space="preserve">  </w:t>
      </w:r>
      <w:r w:rsidR="00BF743C">
        <w:rPr>
          <w:b/>
        </w:rPr>
        <w:t>The Moral Virtues</w:t>
      </w:r>
    </w:p>
    <w:p w:rsidR="008B43F6" w:rsidRDefault="008B43F6" w:rsidP="008B43F6">
      <w:pPr>
        <w:tabs>
          <w:tab w:val="left" w:pos="284"/>
        </w:tabs>
        <w:spacing w:before="120" w:line="480" w:lineRule="auto"/>
        <w:jc w:val="center"/>
      </w:pPr>
    </w:p>
    <w:p w:rsidR="00E1574D" w:rsidRDefault="00BF743C" w:rsidP="00C45236">
      <w:pPr>
        <w:tabs>
          <w:tab w:val="left" w:pos="284"/>
        </w:tabs>
        <w:spacing w:before="120" w:line="480" w:lineRule="auto"/>
        <w:jc w:val="both"/>
      </w:pPr>
      <w:r>
        <w:t xml:space="preserve">This short discussion has left many moral virtues undiscussed. </w:t>
      </w:r>
      <w:r w:rsidR="00D420A3">
        <w:t xml:space="preserve">I cannot claim, therefore, to have demonstrated </w:t>
      </w:r>
      <w:r>
        <w:t xml:space="preserve">the adequacy of the taxonomy </w:t>
      </w:r>
      <w:r w:rsidR="00D420A3">
        <w:t xml:space="preserve">I am proposing, since if </w:t>
      </w:r>
      <w:r>
        <w:t>there are any moral virtues it cannot accommodate</w:t>
      </w:r>
      <w:r w:rsidR="00D420A3">
        <w:t xml:space="preserve"> it </w:t>
      </w:r>
      <w:r w:rsidR="002251C4">
        <w:t>has</w:t>
      </w:r>
      <w:r w:rsidR="00D420A3">
        <w:t xml:space="preserve"> to be rejected. However,</w:t>
      </w:r>
      <w:r>
        <w:t xml:space="preserve"> it would be a mistake to ask whether it can </w:t>
      </w:r>
      <w:r w:rsidR="008B43F6">
        <w:t>generate</w:t>
      </w:r>
      <w:r w:rsidR="00095E7D">
        <w:t xml:space="preserve"> a compl</w:t>
      </w:r>
      <w:r w:rsidR="008B43F6">
        <w:t xml:space="preserve">ete list of “the” moral virtues: that would be </w:t>
      </w:r>
      <w:r w:rsidR="00095E7D">
        <w:t xml:space="preserve">to misunderstand the nature of moral evaluation. </w:t>
      </w:r>
      <w:r w:rsidR="00055CA6">
        <w:t xml:space="preserve">Our evaluative vocabulary does not itself exhaust the respects in which we and our responses can be good and bad. Some terms are finer-grained specifications of others; many apply in overlapping ways. No doubt, our vocabulary will continue to evolve, drawing our attention to particular morally important reasons, objects and responses, and sometimes duplicating terms we have already. </w:t>
      </w:r>
      <w:r w:rsidR="00D33CFA">
        <w:t xml:space="preserve">And a glance at any thesaurus will supply a vaguely bounded list of further words we already possess for making aretaic evaluations. </w:t>
      </w:r>
      <w:r w:rsidR="00095E7D">
        <w:t xml:space="preserve">So: is love </w:t>
      </w:r>
      <w:r w:rsidR="00E1574D">
        <w:t>a moral virtue? Flexibility? They appear on some lists</w:t>
      </w:r>
      <w:r w:rsidR="007741C9">
        <w:t>; and</w:t>
      </w:r>
      <w:r w:rsidR="00095E7D">
        <w:t xml:space="preserve"> “loving” and “flexible” are certainly terms that we use to make positive evaluations of a person or a response. If we did </w:t>
      </w:r>
      <w:r w:rsidR="007741C9">
        <w:t>count them as moral virtues,</w:t>
      </w:r>
      <w:r w:rsidR="00095E7D">
        <w:t xml:space="preserve"> they would </w:t>
      </w:r>
      <w:r w:rsidR="008A6122">
        <w:t xml:space="preserve">both </w:t>
      </w:r>
      <w:r w:rsidR="00095E7D">
        <w:t xml:space="preserve">be response-categoric. </w:t>
      </w:r>
    </w:p>
    <w:p w:rsidR="005550C5" w:rsidRDefault="00055CA6" w:rsidP="00C45236">
      <w:pPr>
        <w:tabs>
          <w:tab w:val="left" w:pos="284"/>
        </w:tabs>
        <w:spacing w:before="120" w:line="480" w:lineRule="auto"/>
        <w:jc w:val="both"/>
      </w:pPr>
      <w:r>
        <w:lastRenderedPageBreak/>
        <w:tab/>
        <w:t xml:space="preserve">Moreover, providing a taxonomy like this one does not preclude the provision of others, structured to serve other </w:t>
      </w:r>
      <w:r w:rsidR="005550C5">
        <w:t>theoretical purposes.</w:t>
      </w:r>
      <w:r w:rsidRPr="00055CA6">
        <w:t xml:space="preserve"> </w:t>
      </w:r>
      <w:r>
        <w:t xml:space="preserve">The point of </w:t>
      </w:r>
      <w:r w:rsidR="002251C4">
        <w:t>the taxonomy outlined here</w:t>
      </w:r>
      <w:r>
        <w:t xml:space="preserve"> is to show how we can understand the relationships </w:t>
      </w:r>
      <w:r w:rsidR="00BF743C">
        <w:t xml:space="preserve">between the aretaic members of </w:t>
      </w:r>
      <w:r w:rsidR="00923429">
        <w:t>our</w:t>
      </w:r>
      <w:r>
        <w:t xml:space="preserve"> evaluative vocabulary</w:t>
      </w:r>
      <w:r w:rsidR="00923429">
        <w:t xml:space="preserve"> on a view of virtue as good </w:t>
      </w:r>
      <w:r w:rsidR="001A651B">
        <w:t>responsiveness for</w:t>
      </w:r>
      <w:r w:rsidR="00923429">
        <w:t xml:space="preserve"> morally relevant reasons</w:t>
      </w:r>
      <w:r>
        <w:t>.</w:t>
      </w:r>
      <w:r w:rsidR="00D33CFA">
        <w:t xml:space="preserve"> </w:t>
      </w:r>
      <w:r w:rsidR="007741C9">
        <w:t>As I have emphasized, t</w:t>
      </w:r>
      <w:r w:rsidR="002251C4">
        <w:t>he v</w:t>
      </w:r>
      <w:r w:rsidR="005550C5">
        <w:t xml:space="preserve">agaries of our evaluative vocabulary and the variety of purposes it serves </w:t>
      </w:r>
      <w:r w:rsidR="002251C4">
        <w:t>should make us wary of an overly neat taxonomy of this domain</w:t>
      </w:r>
      <w:r w:rsidR="005550C5">
        <w:t>.</w:t>
      </w:r>
      <w:r w:rsidR="00D33CFA">
        <w:t xml:space="preserve"> The one I have provided does </w:t>
      </w:r>
      <w:r w:rsidR="002251C4">
        <w:t xml:space="preserve">at least </w:t>
      </w:r>
      <w:r w:rsidR="00D33CFA">
        <w:t>allow us to understand some of the overlaps and provide</w:t>
      </w:r>
      <w:r w:rsidR="00923429">
        <w:t>s</w:t>
      </w:r>
      <w:r w:rsidR="00D33CFA">
        <w:t xml:space="preserve"> a structure for seeing how further extensions of our aretaic vocabulary could be possible.</w:t>
      </w:r>
      <w:r w:rsidR="00035969">
        <w:rPr>
          <w:rStyle w:val="EndnoteReference"/>
        </w:rPr>
        <w:endnoteReference w:id="44"/>
      </w:r>
    </w:p>
    <w:p w:rsidR="008F1E2F" w:rsidRDefault="008F1E2F" w:rsidP="00C45236">
      <w:pPr>
        <w:tabs>
          <w:tab w:val="left" w:pos="284"/>
        </w:tabs>
        <w:spacing w:before="120" w:line="480" w:lineRule="auto"/>
        <w:jc w:val="both"/>
      </w:pPr>
    </w:p>
    <w:p w:rsidR="003E7224" w:rsidRDefault="003E7224" w:rsidP="00D05F86">
      <w:pPr>
        <w:pStyle w:val="Paper"/>
        <w:tabs>
          <w:tab w:val="clear" w:pos="425"/>
          <w:tab w:val="left" w:pos="284"/>
        </w:tabs>
        <w:jc w:val="right"/>
      </w:pPr>
    </w:p>
    <w:p w:rsidR="00473504" w:rsidRDefault="00473504" w:rsidP="00D05F86">
      <w:pPr>
        <w:pStyle w:val="Paper"/>
        <w:tabs>
          <w:tab w:val="clear" w:pos="425"/>
          <w:tab w:val="left" w:pos="284"/>
        </w:tabs>
        <w:jc w:val="right"/>
      </w:pPr>
    </w:p>
    <w:p w:rsidR="00473504" w:rsidRDefault="00473504" w:rsidP="00D05F86">
      <w:pPr>
        <w:pStyle w:val="Paper"/>
        <w:tabs>
          <w:tab w:val="clear" w:pos="425"/>
          <w:tab w:val="left" w:pos="284"/>
        </w:tabs>
        <w:jc w:val="right"/>
      </w:pPr>
    </w:p>
    <w:p w:rsidR="00473504" w:rsidRDefault="00473504" w:rsidP="00D05F86">
      <w:pPr>
        <w:pStyle w:val="Paper"/>
        <w:tabs>
          <w:tab w:val="clear" w:pos="425"/>
          <w:tab w:val="left" w:pos="284"/>
        </w:tabs>
        <w:jc w:val="right"/>
      </w:pPr>
    </w:p>
    <w:p w:rsidR="00473504" w:rsidRDefault="00473504" w:rsidP="00D05F86">
      <w:pPr>
        <w:pStyle w:val="Paper"/>
        <w:tabs>
          <w:tab w:val="clear" w:pos="425"/>
          <w:tab w:val="left" w:pos="284"/>
        </w:tabs>
        <w:jc w:val="right"/>
      </w:pPr>
    </w:p>
    <w:p w:rsidR="00473504" w:rsidRDefault="00473504" w:rsidP="00473504">
      <w:pPr>
        <w:pStyle w:val="Paper"/>
        <w:tabs>
          <w:tab w:val="clear" w:pos="425"/>
          <w:tab w:val="left" w:pos="284"/>
          <w:tab w:val="left" w:pos="6663"/>
          <w:tab w:val="left" w:pos="7513"/>
        </w:tabs>
        <w:spacing w:line="240" w:lineRule="auto"/>
      </w:pPr>
      <w:r>
        <w:tab/>
      </w:r>
      <w:r>
        <w:tab/>
      </w:r>
      <w:r w:rsidRPr="00473504">
        <w:rPr>
          <w:u w:val="single"/>
        </w:rPr>
        <w:t>Word count:</w:t>
      </w:r>
    </w:p>
    <w:p w:rsidR="00473504" w:rsidRDefault="00473504" w:rsidP="00473504">
      <w:pPr>
        <w:pStyle w:val="Paper"/>
        <w:tabs>
          <w:tab w:val="clear" w:pos="425"/>
          <w:tab w:val="left" w:pos="284"/>
          <w:tab w:val="left" w:pos="6663"/>
          <w:tab w:val="left" w:pos="7513"/>
          <w:tab w:val="left" w:pos="7655"/>
        </w:tabs>
        <w:spacing w:line="240" w:lineRule="auto"/>
      </w:pPr>
      <w:r>
        <w:tab/>
      </w:r>
      <w:r>
        <w:tab/>
        <w:t xml:space="preserve">text: </w:t>
      </w:r>
      <w:r>
        <w:tab/>
        <w:t>8,</w:t>
      </w:r>
      <w:r w:rsidR="001A651B">
        <w:t>2</w:t>
      </w:r>
      <w:r w:rsidR="00D45283">
        <w:t>22</w:t>
      </w:r>
    </w:p>
    <w:p w:rsidR="00473504" w:rsidRDefault="00473504" w:rsidP="00473504">
      <w:pPr>
        <w:pStyle w:val="Paper"/>
        <w:tabs>
          <w:tab w:val="clear" w:pos="425"/>
          <w:tab w:val="left" w:pos="284"/>
          <w:tab w:val="left" w:pos="6663"/>
          <w:tab w:val="left" w:pos="7513"/>
          <w:tab w:val="left" w:pos="7655"/>
        </w:tabs>
        <w:spacing w:line="240" w:lineRule="auto"/>
      </w:pPr>
      <w:r>
        <w:tab/>
      </w:r>
      <w:r>
        <w:tab/>
        <w:t>notes:</w:t>
      </w:r>
      <w:r>
        <w:tab/>
        <w:t>1,7</w:t>
      </w:r>
      <w:r w:rsidR="00D45283">
        <w:t>59</w:t>
      </w:r>
    </w:p>
    <w:p w:rsidR="00473504" w:rsidRDefault="00473504" w:rsidP="00473504">
      <w:pPr>
        <w:pStyle w:val="Paper"/>
        <w:tabs>
          <w:tab w:val="clear" w:pos="425"/>
          <w:tab w:val="left" w:pos="284"/>
          <w:tab w:val="left" w:pos="6663"/>
          <w:tab w:val="left" w:pos="7513"/>
          <w:tab w:val="left" w:pos="7655"/>
        </w:tabs>
        <w:spacing w:line="240" w:lineRule="auto"/>
      </w:pPr>
      <w:r>
        <w:tab/>
      </w:r>
      <w:r>
        <w:tab/>
        <w:t xml:space="preserve">refs: </w:t>
      </w:r>
      <w:r>
        <w:tab/>
        <w:t>431</w:t>
      </w:r>
    </w:p>
    <w:p w:rsidR="00473504" w:rsidRPr="00473504" w:rsidRDefault="00473504" w:rsidP="00473504">
      <w:pPr>
        <w:pStyle w:val="Paper"/>
        <w:tabs>
          <w:tab w:val="clear" w:pos="425"/>
          <w:tab w:val="left" w:pos="284"/>
          <w:tab w:val="left" w:pos="6663"/>
          <w:tab w:val="left" w:pos="7513"/>
          <w:tab w:val="left" w:pos="7655"/>
        </w:tabs>
        <w:spacing w:line="240" w:lineRule="auto"/>
      </w:pPr>
      <w:r>
        <w:tab/>
      </w:r>
      <w:r>
        <w:tab/>
      </w:r>
      <w:r w:rsidRPr="00473504">
        <w:t>total:</w:t>
      </w:r>
      <w:r>
        <w:tab/>
        <w:t>10,</w:t>
      </w:r>
      <w:r w:rsidR="00D45283">
        <w:t>412</w:t>
      </w:r>
    </w:p>
    <w:p w:rsidR="003B767A" w:rsidRPr="00473504" w:rsidRDefault="00473504" w:rsidP="00473504">
      <w:pPr>
        <w:tabs>
          <w:tab w:val="left" w:pos="6663"/>
        </w:tabs>
      </w:pPr>
      <w:r>
        <w:rPr>
          <w:b/>
        </w:rPr>
        <w:tab/>
      </w:r>
      <w:r>
        <w:tab/>
      </w:r>
    </w:p>
    <w:p w:rsidR="001A651B" w:rsidRDefault="001A651B" w:rsidP="00F32E09">
      <w:pPr>
        <w:rPr>
          <w:b/>
        </w:rPr>
      </w:pPr>
    </w:p>
    <w:p w:rsidR="00312F18" w:rsidRDefault="00312F18">
      <w:pPr>
        <w:rPr>
          <w:b/>
        </w:rPr>
      </w:pPr>
      <w:r>
        <w:rPr>
          <w:b/>
        </w:rPr>
        <w:br w:type="page"/>
      </w:r>
    </w:p>
    <w:p w:rsidR="007500F5" w:rsidRDefault="007500F5" w:rsidP="00F32E09">
      <w:pPr>
        <w:rPr>
          <w:b/>
        </w:rPr>
      </w:pPr>
      <w:r>
        <w:rPr>
          <w:b/>
        </w:rPr>
        <w:lastRenderedPageBreak/>
        <w:t>References</w:t>
      </w:r>
    </w:p>
    <w:p w:rsidR="007500F5" w:rsidRDefault="007500F5" w:rsidP="00F32E09">
      <w:pPr>
        <w:rPr>
          <w:b/>
        </w:rPr>
      </w:pPr>
    </w:p>
    <w:p w:rsidR="002A1CCA" w:rsidRPr="002A1CCA" w:rsidRDefault="007500F5" w:rsidP="002A1CCA">
      <w:pPr>
        <w:pStyle w:val="EndNoteBibliography"/>
      </w:pPr>
      <w:r>
        <w:fldChar w:fldCharType="begin"/>
      </w:r>
      <w:r>
        <w:instrText xml:space="preserve"> ADDIN EN.REFLIST </w:instrText>
      </w:r>
      <w:r>
        <w:fldChar w:fldCharType="separate"/>
      </w:r>
    </w:p>
    <w:p w:rsidR="002A1CCA" w:rsidRPr="002A1CCA" w:rsidRDefault="002A1CCA" w:rsidP="002A1CCA">
      <w:pPr>
        <w:pStyle w:val="EndNoteBibliography"/>
        <w:ind w:left="720" w:hanging="720"/>
      </w:pPr>
      <w:r w:rsidRPr="002A1CCA">
        <w:t xml:space="preserve">Adams, Robert Merrihew. </w:t>
      </w:r>
      <w:r w:rsidRPr="002A1CCA">
        <w:rPr>
          <w:i/>
        </w:rPr>
        <w:t>A Theory of Virtue: Excellence in Being for the Good</w:t>
      </w:r>
      <w:r w:rsidRPr="002A1CCA">
        <w:t>. Oxford: Clarendon Press, 2006.</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Alfano, Mark. </w:t>
      </w:r>
      <w:r w:rsidRPr="002A1CCA">
        <w:rPr>
          <w:i/>
        </w:rPr>
        <w:t>Character as Moral Fiction</w:t>
      </w:r>
      <w:r w:rsidRPr="002A1CCA">
        <w:t>. Cambridge: Cambridge University Press, 2013.</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Anscombe, G.E.M. </w:t>
      </w:r>
      <w:r w:rsidRPr="002A1CCA">
        <w:rPr>
          <w:i/>
        </w:rPr>
        <w:t>Intention</w:t>
      </w:r>
      <w:r w:rsidRPr="002A1CCA">
        <w:t>. Oxford: Blackwell, 1957.</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Aristotle. </w:t>
      </w:r>
      <w:r w:rsidRPr="002A1CCA">
        <w:rPr>
          <w:i/>
        </w:rPr>
        <w:t>Nicomachean Ethics</w:t>
      </w:r>
      <w:r w:rsidRPr="002A1CCA">
        <w:t>. Trans. Terence Irwin. Indianapolis: Hackett, 1999.</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 </w:t>
      </w:r>
      <w:r w:rsidRPr="002A1CCA">
        <w:rPr>
          <w:i/>
        </w:rPr>
        <w:t>Nicomachean Ethics</w:t>
      </w:r>
      <w:r w:rsidRPr="002A1CCA">
        <w:t>. Trans. W.D. Ross. Oxford: Oxford University Press, 1961.</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 </w:t>
      </w:r>
      <w:r w:rsidRPr="002A1CCA">
        <w:rPr>
          <w:i/>
        </w:rPr>
        <w:t>Nicomachean Ethics</w:t>
      </w:r>
      <w:r w:rsidRPr="002A1CCA">
        <w:t>. Trans. C.D.C. Reeve. Indianapolis: Hackett, 2014.</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Arpaly, Nomy. "Moral Worth." </w:t>
      </w:r>
      <w:r w:rsidRPr="002A1CCA">
        <w:rPr>
          <w:i/>
        </w:rPr>
        <w:t xml:space="preserve">The Journal of Philosophy </w:t>
      </w:r>
      <w:r w:rsidRPr="002A1CCA">
        <w:t>99 (2002): 223-45.</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 </w:t>
      </w:r>
      <w:r w:rsidRPr="002A1CCA">
        <w:rPr>
          <w:i/>
        </w:rPr>
        <w:t>Unprincipled Virtue</w:t>
      </w:r>
      <w:r w:rsidRPr="002A1CCA">
        <w:t>. New York: Oxford University Press, 2003.</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Audi, Robert. "Moral Virtue and Reasons for Action." </w:t>
      </w:r>
      <w:r w:rsidRPr="002A1CCA">
        <w:rPr>
          <w:i/>
        </w:rPr>
        <w:t xml:space="preserve">Philosophical Issues </w:t>
      </w:r>
      <w:r w:rsidRPr="002A1CCA">
        <w:t>19 (2009): 1-20.</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Baron, Marcia. "Varieties of Ethics of Virtue." </w:t>
      </w:r>
      <w:r w:rsidRPr="002A1CCA">
        <w:rPr>
          <w:i/>
        </w:rPr>
        <w:t xml:space="preserve">American Philosophical Quarterly </w:t>
      </w:r>
      <w:r w:rsidRPr="002A1CCA">
        <w:t>22 (1985): 47-53.</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Cullity, Garrett. </w:t>
      </w:r>
      <w:r w:rsidRPr="002A1CCA">
        <w:rPr>
          <w:i/>
        </w:rPr>
        <w:t>Concern, Respect and Cooperation</w:t>
      </w:r>
      <w:r w:rsidRPr="002A1CCA">
        <w:t>. Oxford: Oxford University Press, forthcoming.</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 "Public Goods and Fairness." </w:t>
      </w:r>
      <w:r w:rsidRPr="002A1CCA">
        <w:rPr>
          <w:i/>
        </w:rPr>
        <w:t xml:space="preserve">Australasian Journal of Philosophy </w:t>
      </w:r>
      <w:r w:rsidRPr="002A1CCA">
        <w:t>86 (2008): 1-21.</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 "Stupid Goodness." </w:t>
      </w:r>
      <w:r w:rsidRPr="002A1CCA">
        <w:rPr>
          <w:i/>
        </w:rPr>
        <w:t>The Many Moral Rationalisms</w:t>
      </w:r>
      <w:r w:rsidRPr="002A1CCA">
        <w:t>. Ed. Francois Schroeter. Oxford: Oxford University Press, forthcoming.</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Doris, John. </w:t>
      </w:r>
      <w:r w:rsidRPr="002A1CCA">
        <w:rPr>
          <w:i/>
        </w:rPr>
        <w:t>Lack of Character: Personality and Moral Behavior</w:t>
      </w:r>
      <w:r w:rsidRPr="002A1CCA">
        <w:t>. Cambridge: Cambridge University Press, 2002.</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Ewin, R.E. </w:t>
      </w:r>
      <w:r w:rsidRPr="002A1CCA">
        <w:rPr>
          <w:i/>
        </w:rPr>
        <w:t>Co-Operation and Human Values</w:t>
      </w:r>
      <w:r w:rsidRPr="002A1CCA">
        <w:t>. Brighton: Harvester Wheatsheaf, 1981.</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 "Loyalty and Virtues." </w:t>
      </w:r>
      <w:r w:rsidRPr="002A1CCA">
        <w:rPr>
          <w:i/>
        </w:rPr>
        <w:t xml:space="preserve">The Philosophical Quarterly </w:t>
      </w:r>
      <w:r w:rsidRPr="002A1CCA">
        <w:t>42 (1992): 403-19.</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Foot, Philippa. "Morality as a System of Hypothetical Imperatives." </w:t>
      </w:r>
      <w:r w:rsidRPr="002A1CCA">
        <w:rPr>
          <w:i/>
        </w:rPr>
        <w:t>Virtues and Vices</w:t>
      </w:r>
      <w:r w:rsidRPr="002A1CCA">
        <w:t>. Philosophical Review 81 (1972), pp.305-316. Oxford: Blackwell, 1978. 157-73.</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Harman, Gilbert. "The Nonexistence of Character Traits." </w:t>
      </w:r>
      <w:r w:rsidRPr="002A1CCA">
        <w:rPr>
          <w:i/>
        </w:rPr>
        <w:t xml:space="preserve">Proceedings of the Aristotelian Society </w:t>
      </w:r>
      <w:r w:rsidRPr="002A1CCA">
        <w:t>100 (2000): 223-26.</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 "Scepticism About Character Traits." </w:t>
      </w:r>
      <w:r w:rsidRPr="002A1CCA">
        <w:rPr>
          <w:i/>
        </w:rPr>
        <w:t xml:space="preserve">The Journal of Ethics </w:t>
      </w:r>
      <w:r w:rsidRPr="002A1CCA">
        <w:t>13 (2009): 235-42.</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Hursthouse, Rosalind. "Arational Actions." </w:t>
      </w:r>
      <w:r w:rsidRPr="002A1CCA">
        <w:rPr>
          <w:i/>
        </w:rPr>
        <w:t xml:space="preserve">The Journal of Philosophy </w:t>
      </w:r>
      <w:r w:rsidRPr="002A1CCA">
        <w:t>88 (1991): 57-68.</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 </w:t>
      </w:r>
      <w:r w:rsidRPr="002A1CCA">
        <w:rPr>
          <w:i/>
        </w:rPr>
        <w:t>On Virtue Ethics</w:t>
      </w:r>
      <w:r w:rsidRPr="002A1CCA">
        <w:t>. Oxford: Oxford University Press, 1999.</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Kahneman, Daniel. </w:t>
      </w:r>
      <w:r w:rsidRPr="002A1CCA">
        <w:rPr>
          <w:i/>
        </w:rPr>
        <w:t>Thinking, Fast and Slow</w:t>
      </w:r>
      <w:r w:rsidRPr="002A1CCA">
        <w:t>. London: Penguin, 2011.</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Kant, Immanuel. </w:t>
      </w:r>
      <w:r w:rsidRPr="002A1CCA">
        <w:rPr>
          <w:i/>
        </w:rPr>
        <w:t>Groundwork of the Metaphysics of Morals</w:t>
      </w:r>
      <w:r w:rsidRPr="002A1CCA">
        <w:t>. 1785. Trans. Mary Gregor. Cambridge: Cambridge University Press, 1996.</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Keller, Simon. </w:t>
      </w:r>
      <w:r w:rsidRPr="002A1CCA">
        <w:rPr>
          <w:i/>
        </w:rPr>
        <w:t>The Limits of Loyalty</w:t>
      </w:r>
      <w:r w:rsidRPr="002A1CCA">
        <w:t>. Cambridge: Cambridge University Press, 2007.</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Klein, Gary. </w:t>
      </w:r>
      <w:r w:rsidRPr="002A1CCA">
        <w:rPr>
          <w:i/>
        </w:rPr>
        <w:t>Sources of Power: How People Make Decisions</w:t>
      </w:r>
      <w:r w:rsidRPr="002A1CCA">
        <w:t>. Cambridge, Mass.: MIT Press, 1998.</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Kleinig, John. </w:t>
      </w:r>
      <w:r w:rsidRPr="002A1CCA">
        <w:rPr>
          <w:i/>
        </w:rPr>
        <w:t>On Loyalty and Loyalties: The Contours of a Problematic Virtue</w:t>
      </w:r>
      <w:r w:rsidRPr="002A1CCA">
        <w:t>. Oxford: Oxford University Press, 2014.</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Ramsey, William. "Prototypes and Conceptual Analysis." </w:t>
      </w:r>
      <w:r w:rsidRPr="002A1CCA">
        <w:rPr>
          <w:i/>
        </w:rPr>
        <w:t>Rethinking Intuition: The Psychology of Intuition and Its Role in Philosophical Inquiry</w:t>
      </w:r>
      <w:r w:rsidRPr="002A1CCA">
        <w:t>. Eds. Michael DePaul and William Ramsey. Lanham: Rowman &amp; Littlefield, 1998. 161-77.</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Scanlon, T.M. </w:t>
      </w:r>
      <w:r w:rsidRPr="002A1CCA">
        <w:rPr>
          <w:i/>
        </w:rPr>
        <w:t>Moral Dimensions: Meaning, Permissibility, Blame</w:t>
      </w:r>
      <w:r w:rsidRPr="002A1CCA">
        <w:t>. Cambridge, Mass.: Harvard University Press, 2008.</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Swanton, Christine. "A Particularist but Codifiable Virtue Ethics." </w:t>
      </w:r>
      <w:r w:rsidRPr="002A1CCA">
        <w:rPr>
          <w:i/>
        </w:rPr>
        <w:t xml:space="preserve">Oxford Studies in Normative Ethics </w:t>
      </w:r>
      <w:r w:rsidRPr="002A1CCA">
        <w:t>5 (2015): 38-63.</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 </w:t>
      </w:r>
      <w:r w:rsidRPr="002A1CCA">
        <w:rPr>
          <w:i/>
        </w:rPr>
        <w:t>Virtue Ethics: A Pluralistic View</w:t>
      </w:r>
      <w:r w:rsidRPr="002A1CCA">
        <w:t>. Oxford: Oxford University Press, 2003.</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Von Wright, G.H. </w:t>
      </w:r>
      <w:r w:rsidRPr="002A1CCA">
        <w:rPr>
          <w:i/>
        </w:rPr>
        <w:t>The Varieties of Goodness</w:t>
      </w:r>
      <w:r w:rsidRPr="002A1CCA">
        <w:t>. London: Routledge &amp; Kegan Paul, 1963.</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Wallace, J. D. </w:t>
      </w:r>
      <w:r w:rsidRPr="002A1CCA">
        <w:rPr>
          <w:i/>
        </w:rPr>
        <w:t>Virtues and Vices</w:t>
      </w:r>
      <w:r w:rsidRPr="002A1CCA">
        <w:t>. Ithaca: Cornell University Press, 1978.</w:t>
      </w:r>
    </w:p>
    <w:p w:rsidR="002A1CCA" w:rsidRPr="002A1CCA" w:rsidRDefault="002A1CCA" w:rsidP="002A1CCA">
      <w:pPr>
        <w:pStyle w:val="EndNoteBibliography"/>
      </w:pPr>
    </w:p>
    <w:p w:rsidR="002A1CCA" w:rsidRPr="002A1CCA" w:rsidRDefault="002A1CCA" w:rsidP="002A1CCA">
      <w:pPr>
        <w:pStyle w:val="EndNoteBibliography"/>
        <w:ind w:left="720" w:hanging="720"/>
      </w:pPr>
      <w:r w:rsidRPr="002A1CCA">
        <w:t xml:space="preserve">Williams, Bernard. </w:t>
      </w:r>
      <w:r w:rsidRPr="002A1CCA">
        <w:rPr>
          <w:i/>
        </w:rPr>
        <w:t>Ethics and the Limits of Philosophy</w:t>
      </w:r>
      <w:r w:rsidRPr="002A1CCA">
        <w:t>. London: Collins, 1985.</w:t>
      </w:r>
    </w:p>
    <w:p w:rsidR="007500F5" w:rsidRDefault="007500F5" w:rsidP="00F32E09">
      <w:pPr>
        <w:rPr>
          <w:b/>
        </w:rPr>
      </w:pPr>
      <w:r>
        <w:rPr>
          <w:b/>
        </w:rPr>
        <w:fldChar w:fldCharType="end"/>
      </w:r>
    </w:p>
    <w:p w:rsidR="00473504" w:rsidRDefault="00473504">
      <w:pPr>
        <w:rPr>
          <w:b/>
        </w:rPr>
      </w:pPr>
    </w:p>
    <w:p w:rsidR="00473504" w:rsidRDefault="00473504">
      <w:pPr>
        <w:rPr>
          <w:b/>
        </w:rPr>
      </w:pPr>
      <w:r>
        <w:rPr>
          <w:b/>
        </w:rPr>
        <w:br w:type="page"/>
      </w:r>
    </w:p>
    <w:p w:rsidR="007500F5" w:rsidRPr="007500F5" w:rsidRDefault="007500F5" w:rsidP="00F32E09">
      <w:pPr>
        <w:rPr>
          <w:b/>
        </w:rPr>
      </w:pPr>
      <w:r w:rsidRPr="007500F5">
        <w:rPr>
          <w:b/>
        </w:rPr>
        <w:lastRenderedPageBreak/>
        <w:t>Notes</w:t>
      </w:r>
    </w:p>
    <w:sectPr w:rsidR="007500F5" w:rsidRPr="007500F5" w:rsidSect="003E61EA">
      <w:footerReference w:type="default" r:id="rId8"/>
      <w:footnotePr>
        <w:numFmt w:val="lowerLetter"/>
      </w:footnotePr>
      <w:endnotePr>
        <w:numFmt w:val="decimal"/>
      </w:endnotePr>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CCA" w:rsidRPr="00A361D1" w:rsidRDefault="002A1CCA" w:rsidP="00A361D1">
      <w:pPr>
        <w:pStyle w:val="Footer"/>
      </w:pPr>
    </w:p>
  </w:endnote>
  <w:endnote w:type="continuationSeparator" w:id="0">
    <w:p w:rsidR="002A1CCA" w:rsidRPr="00A361D1" w:rsidRDefault="002A1CCA" w:rsidP="00A361D1">
      <w:pPr>
        <w:pStyle w:val="Footer"/>
      </w:pPr>
    </w:p>
  </w:endnote>
  <w:endnote w:type="continuationNotice" w:id="1">
    <w:p w:rsidR="002A1CCA" w:rsidRDefault="002A1CCA"/>
  </w:endnote>
  <w:endnote w:id="2">
    <w:p w:rsidR="002A1CCA" w:rsidRDefault="002A1CCA" w:rsidP="00BC1B0B">
      <w:pPr>
        <w:pStyle w:val="EndnoteText"/>
      </w:pPr>
      <w:r>
        <w:rPr>
          <w:rStyle w:val="EndnoteReference"/>
        </w:rPr>
        <w:endnoteRef/>
      </w:r>
      <w:r>
        <w:t xml:space="preserve">  “Response” will be my catch-all term for types of action, thought and feeling, and “object” for that to which a response responds.</w:t>
      </w:r>
    </w:p>
  </w:endnote>
  <w:endnote w:id="3">
    <w:p w:rsidR="002A1CCA" w:rsidRPr="009B3698" w:rsidRDefault="002A1CCA">
      <w:pPr>
        <w:pStyle w:val="EndnoteText"/>
        <w:rPr>
          <w:lang w:val="en-AU"/>
        </w:rPr>
      </w:pPr>
      <w:r>
        <w:rPr>
          <w:rStyle w:val="EndnoteReference"/>
        </w:rPr>
        <w:endnoteRef/>
      </w:r>
      <w:r>
        <w:t xml:space="preserve">  For this thought, compare </w:t>
      </w:r>
      <w:r w:rsidRPr="00A15780">
        <w:fldChar w:fldCharType="begin"/>
      </w:r>
      <w:r>
        <w:instrText xml:space="preserve"> ADDIN EN.CITE &lt;EndNote&gt;&lt;Cite&gt;&lt;Author&gt;Audi&lt;/Author&gt;&lt;Year&gt;2009&lt;/Year&gt;&lt;RecNum&gt;234&lt;/RecNum&gt;&lt;DisplayText&gt;Robert Audi, &amp;quot;Moral Virtue and Reasons for Action&amp;quot;&lt;/DisplayText&gt;&lt;record&gt;&lt;rec-number&gt;234&lt;/rec-number&gt;&lt;foreign-keys&gt;&lt;key app="EN" db-id="9ratsrwz8wzzspewsdu502wwd2ezesewppe2" timestamp="1445399040"&gt;234&lt;/key&gt;&lt;/foreign-keys&gt;&lt;ref-type name="Journal Article"&gt;17&lt;/ref-type&gt;&lt;contributors&gt;&lt;authors&gt;&lt;author&gt;Audi, Robert&lt;/author&gt;&lt;/authors&gt;&lt;/contributors&gt;&lt;titles&gt;&lt;title&gt;Moral Virtue and Reasons for Action&lt;/title&gt;&lt;secondary-title&gt;Philosophical Issues&lt;/secondary-title&gt;&lt;/titles&gt;&lt;periodical&gt;&lt;full-title&gt;Philosophical Issues&lt;/full-title&gt;&lt;/periodical&gt;&lt;pages&gt;1-20&lt;/pages&gt;&lt;volume&gt;19&lt;/volume&gt;&lt;dates&gt;&lt;year&gt;2009&lt;/year&gt;&lt;/dates&gt;&lt;urls&gt;&lt;/urls&gt;&lt;/record&gt;&lt;/Cite&gt;&lt;/EndNote&gt;</w:instrText>
      </w:r>
      <w:r w:rsidRPr="00A15780">
        <w:fldChar w:fldCharType="separate"/>
      </w:r>
      <w:r>
        <w:rPr>
          <w:noProof/>
        </w:rPr>
        <w:t>Robert Audi, "Moral Virtue and Reasons for Action"</w:t>
      </w:r>
      <w:r w:rsidRPr="00A15780">
        <w:fldChar w:fldCharType="end"/>
      </w:r>
      <w:r w:rsidRPr="00A15780">
        <w:rPr>
          <w:lang w:val="en-AU"/>
        </w:rPr>
        <w:t>.</w:t>
      </w:r>
    </w:p>
  </w:endnote>
  <w:endnote w:id="4">
    <w:p w:rsidR="002A1CCA" w:rsidRPr="00041DC9" w:rsidRDefault="002A1CCA" w:rsidP="00041DC9">
      <w:pPr>
        <w:pStyle w:val="EndnoteText"/>
        <w:ind w:right="-357"/>
        <w:rPr>
          <w:lang w:val="en-AU"/>
        </w:rPr>
      </w:pPr>
      <w:r>
        <w:rPr>
          <w:rStyle w:val="EndnoteReference"/>
        </w:rPr>
        <w:endnoteRef/>
      </w:r>
      <w:r>
        <w:t xml:space="preserve"> </w:t>
      </w:r>
      <w:r>
        <w:rPr>
          <w:lang w:val="en-AU"/>
        </w:rPr>
        <w:t xml:space="preserve"> </w:t>
      </w:r>
      <w:r>
        <w:fldChar w:fldCharType="begin"/>
      </w:r>
      <w:r>
        <w:instrText xml:space="preserve"> ADDIN EN.CITE &lt;EndNote&gt;&lt;Cite&gt;&lt;Author&gt;Aristotle&lt;/Author&gt;&lt;Year&gt;1999&lt;/Year&gt;&lt;RecNum&gt;42&lt;/RecNum&gt;&lt;DisplayText&gt;Aristotle, &lt;style face="italic"&gt;Nicomachean Ethics&lt;/style&gt;&lt;/DisplayText&gt;&lt;record&gt;&lt;rec-number&gt;42&lt;/rec-number&gt;&lt;foreign-keys&gt;&lt;key app="EN" db-id="a5ffrdzp85025zevt0ivvtahzzw0ea5fveps" timestamp="1457744122"&gt;42&lt;/key&gt;&lt;/foreign-keys&gt;&lt;ref-type name="Book"&gt;6&lt;/ref-type&gt;&lt;contributors&gt;&lt;authors&gt;&lt;author&gt;Aristotle&lt;/author&gt;&lt;/authors&gt;&lt;subsidiary-authors&gt;&lt;author&gt;Terence Irwin&lt;/author&gt;&lt;/subsidiary-authors&gt;&lt;/contributors&gt;&lt;titles&gt;&lt;title&gt;Nicomachean Ethics&lt;/title&gt;&lt;/titles&gt;&lt;dates&gt;&lt;year&gt;1999&lt;/year&gt;&lt;/dates&gt;&lt;pub-location&gt;Indianapolis&lt;/pub-location&gt;&lt;publisher&gt;Hackett&lt;/publisher&gt;&lt;urls&gt;&lt;/urls&gt;&lt;/record&gt;&lt;/Cite&gt;&lt;/EndNote&gt;</w:instrText>
      </w:r>
      <w:r>
        <w:fldChar w:fldCharType="separate"/>
      </w:r>
      <w:r>
        <w:rPr>
          <w:noProof/>
        </w:rPr>
        <w:t xml:space="preserve">Aristotle, </w:t>
      </w:r>
      <w:r w:rsidRPr="007500F5">
        <w:rPr>
          <w:i/>
          <w:noProof/>
        </w:rPr>
        <w:t>Nicomachean Ethics</w:t>
      </w:r>
      <w:r>
        <w:fldChar w:fldCharType="end"/>
      </w:r>
      <w:r>
        <w:rPr>
          <w:lang w:val="en-AU"/>
        </w:rPr>
        <w:t>, 1106b19-24.</w:t>
      </w:r>
    </w:p>
  </w:endnote>
  <w:endnote w:id="5">
    <w:p w:rsidR="002A1CCA" w:rsidRPr="000E5439" w:rsidRDefault="002A1CCA" w:rsidP="009B3698">
      <w:pPr>
        <w:pStyle w:val="EndnoteText"/>
        <w:rPr>
          <w:lang w:val="en-AU"/>
        </w:rPr>
      </w:pPr>
      <w:r>
        <w:rPr>
          <w:rStyle w:val="EndnoteReference"/>
        </w:rPr>
        <w:endnoteRef/>
      </w:r>
      <w:r>
        <w:t xml:space="preserve"> </w:t>
      </w:r>
      <w:r>
        <w:rPr>
          <w:lang w:val="en-AU"/>
        </w:rPr>
        <w:t xml:space="preserve"> “Good enough for what?” The correct answer to this is the frustrating-sounding one: for virtue. Compare: “sloppy” means insufficiently attentive – we specify how much attentiveness is insufficient through the instances of behaviour that we censure as sloppy in our evaluative practice. In the same way, we specify standards for morally adequate responses through our practices of aretaic evaluation. This allows that when I fall below such a standard, my circumstances might make it unreasonable to criticize me for doing so – resulting in blameless vice.</w:t>
      </w:r>
    </w:p>
  </w:endnote>
  <w:endnote w:id="6">
    <w:p w:rsidR="002A1CCA" w:rsidRPr="00775AC6" w:rsidRDefault="002A1CCA" w:rsidP="009B3698">
      <w:pPr>
        <w:pStyle w:val="EndnoteText"/>
      </w:pPr>
      <w:r>
        <w:rPr>
          <w:rStyle w:val="EndnoteReference"/>
        </w:rPr>
        <w:endnoteRef/>
      </w:r>
      <w:r>
        <w:t xml:space="preserve">  </w:t>
      </w:r>
      <w:r>
        <w:fldChar w:fldCharType="begin"/>
      </w:r>
      <w:r>
        <w:instrText xml:space="preserve"> ADDIN EN.CITE &lt;EndNote&gt;&lt;Cite Hidden="1"&gt;&lt;Author&gt;Aristotle&lt;/Author&gt;&lt;Year&gt;1961&lt;/Year&gt;&lt;RecNum&gt;207&lt;/RecNum&gt;&lt;record&gt;&lt;rec-number&gt;207&lt;/rec-number&gt;&lt;foreign-keys&gt;&lt;key app="EN" db-id="9ratsrwz8wzzspewsdu502wwd2ezesewppe2" timestamp="1444360357"&gt;207&lt;/key&gt;&lt;/foreign-keys&gt;&lt;ref-type name="Book"&gt;6&lt;/ref-type&gt;&lt;contributors&gt;&lt;authors&gt;&lt;author&gt;Aristotle&lt;/author&gt;&lt;/authors&gt;&lt;subsidiary-authors&gt;&lt;author&gt;W.D. Ross&lt;/author&gt;&lt;/subsidiary-authors&gt;&lt;/contributors&gt;&lt;titles&gt;&lt;title&gt;Nicomachean Ethics&lt;/title&gt;&lt;/titles&gt;&lt;dates&gt;&lt;year&gt;1961&lt;/year&gt;&lt;/dates&gt;&lt;pub-location&gt;Oxford&lt;/pub-location&gt;&lt;publisher&gt;Oxford University Press&lt;/publisher&gt;&lt;urls&gt;&lt;/urls&gt;&lt;/record&gt;&lt;/Cite&gt;&lt;/EndNote&gt;</w:instrText>
      </w:r>
      <w:r>
        <w:fldChar w:fldCharType="end"/>
      </w:r>
      <w:r>
        <w:t>R</w:t>
      </w:r>
      <w:r>
        <w:rPr>
          <w:lang w:val="en-AU"/>
        </w:rPr>
        <w:t xml:space="preserve">eeve’s “for the sake of what we should” is better. But even that carries the misleading suggestion that there is some further state </w:t>
      </w:r>
      <w:r>
        <w:rPr>
          <w:i/>
          <w:lang w:val="en-AU"/>
        </w:rPr>
        <w:t xml:space="preserve">towards </w:t>
      </w:r>
      <w:r>
        <w:rPr>
          <w:lang w:val="en-AU"/>
        </w:rPr>
        <w:t>which we form our feelings.</w:t>
      </w:r>
      <w:r>
        <w:rPr>
          <w:lang w:val="en-AU"/>
        </w:rPr>
        <w:fldChar w:fldCharType="begin"/>
      </w:r>
      <w:r>
        <w:rPr>
          <w:lang w:val="en-AU"/>
        </w:rPr>
        <w:instrText xml:space="preserve"> ADDIN EN.CITE &lt;EndNote&gt;&lt;Cite Hidden="1"&gt;&lt;Author&gt;Aristotle&lt;/Author&gt;&lt;Year&gt;2014&lt;/Year&gt;&lt;RecNum&gt;205&lt;/RecNum&gt;&lt;record&gt;&lt;rec-number&gt;205&lt;/rec-number&gt;&lt;foreign-keys&gt;&lt;key app="EN" db-id="9ratsrwz8wzzspewsdu502wwd2ezesewppe2" timestamp="1444097793"&gt;205&lt;/key&gt;&lt;/foreign-keys&gt;&lt;ref-type name="Book"&gt;6&lt;/ref-type&gt;&lt;contributors&gt;&lt;authors&gt;&lt;author&gt;Aristotle&lt;/author&gt;&lt;/authors&gt;&lt;subsidiary-authors&gt;&lt;author&gt;Reeve, C.D.C.&lt;/author&gt;&lt;/subsidiary-authors&gt;&lt;/contributors&gt;&lt;titles&gt;&lt;title&gt;Nicomachean Ethics&lt;/title&gt;&lt;/titles&gt;&lt;dates&gt;&lt;year&gt;2014&lt;/year&gt;&lt;/dates&gt;&lt;pub-location&gt;Indianapolis&lt;/pub-location&gt;&lt;publisher&gt;Hackett&lt;/publisher&gt;&lt;urls&gt;&lt;/urls&gt;&lt;/record&gt;&lt;/Cite&gt;&lt;/EndNote&gt;</w:instrText>
      </w:r>
      <w:r>
        <w:rPr>
          <w:lang w:val="en-AU"/>
        </w:rPr>
        <w:fldChar w:fldCharType="end"/>
      </w:r>
    </w:p>
  </w:endnote>
  <w:endnote w:id="7">
    <w:p w:rsidR="002A1CCA" w:rsidRPr="00E11294" w:rsidRDefault="002A1CCA">
      <w:pPr>
        <w:pStyle w:val="EndnoteText"/>
        <w:rPr>
          <w:lang w:val="en-AU"/>
        </w:rPr>
      </w:pPr>
      <w:r>
        <w:rPr>
          <w:rStyle w:val="EndnoteReference"/>
        </w:rPr>
        <w:endnoteRef/>
      </w:r>
      <w:r>
        <w:t xml:space="preserve"> </w:t>
      </w:r>
      <w:r>
        <w:rPr>
          <w:lang w:val="en-AU"/>
        </w:rPr>
        <w:t xml:space="preserve"> Actions can have expressive aims, but they can also be expressive in other ways – as is illustrated in what Rosalind Hursthouse calls </w:t>
      </w:r>
      <w:r>
        <w:rPr>
          <w:lang w:val="en-AU"/>
        </w:rPr>
        <w:fldChar w:fldCharType="begin"/>
      </w:r>
      <w:r>
        <w:rPr>
          <w:lang w:val="en-AU"/>
        </w:rPr>
        <w:instrText xml:space="preserve"> ADDIN EN.CITE &lt;EndNote&gt;&lt;Cite ExcludeAuth="1"&gt;&lt;Author&gt;Hursthouse&lt;/Author&gt;&lt;Year&gt;1991&lt;/Year&gt;&lt;RecNum&gt;123&lt;/RecNum&gt;&lt;DisplayText&gt;&amp;quot;Arational Actions&amp;quot;&lt;/DisplayText&gt;&lt;record&gt;&lt;rec-number&gt;123&lt;/rec-number&gt;&lt;foreign-keys&gt;&lt;key app="EN" db-id="a5ffrdzp85025zevt0ivvtahzzw0ea5fveps" timestamp="1467951258"&gt;123&lt;/key&gt;&lt;/foreign-keys&gt;&lt;ref-type name="Journal Article"&gt;17&lt;/ref-type&gt;&lt;contributors&gt;&lt;authors&gt;&lt;author&gt;Hursthouse, Rosalind&lt;/author&gt;&lt;/authors&gt;&lt;/contributors&gt;&lt;titles&gt;&lt;title&gt;Arational Actions&lt;/title&gt;&lt;secondary-title&gt;The Journal of Philosophy&lt;/secondary-title&gt;&lt;/titles&gt;&lt;periodical&gt;&lt;full-title&gt;The Journal of Philosophy&lt;/full-title&gt;&lt;/periodical&gt;&lt;pages&gt;57-68&lt;/pages&gt;&lt;volume&gt;88&lt;/volume&gt;&lt;dates&gt;&lt;year&gt;1991&lt;/year&gt;&lt;/dates&gt;&lt;urls&gt;&lt;/urls&gt;&lt;/record&gt;&lt;/Cite&gt;&lt;/EndNote&gt;</w:instrText>
      </w:r>
      <w:r>
        <w:rPr>
          <w:lang w:val="en-AU"/>
        </w:rPr>
        <w:fldChar w:fldCharType="separate"/>
      </w:r>
      <w:r>
        <w:rPr>
          <w:noProof/>
          <w:lang w:val="en-AU"/>
        </w:rPr>
        <w:t>"Arational Actions"</w:t>
      </w:r>
      <w:r>
        <w:rPr>
          <w:lang w:val="en-AU"/>
        </w:rPr>
        <w:fldChar w:fldCharType="end"/>
      </w:r>
      <w:r>
        <w:rPr>
          <w:lang w:val="en-AU"/>
        </w:rPr>
        <w:t xml:space="preserve">. When spontaneously hugging someone expresses affection, the affection can be part of the </w:t>
      </w:r>
      <w:r>
        <w:rPr>
          <w:i/>
          <w:lang w:val="en-AU"/>
        </w:rPr>
        <w:t>manner</w:t>
      </w:r>
      <w:r>
        <w:rPr>
          <w:lang w:val="en-AU"/>
        </w:rPr>
        <w:t xml:space="preserve"> in which one acts rather than an aim of the action.</w:t>
      </w:r>
    </w:p>
  </w:endnote>
  <w:endnote w:id="8">
    <w:p w:rsidR="002A1CCA" w:rsidRPr="00910C27" w:rsidRDefault="002A1CCA">
      <w:pPr>
        <w:pStyle w:val="EndnoteText"/>
        <w:rPr>
          <w:lang w:val="en-AU"/>
        </w:rPr>
      </w:pPr>
      <w:r>
        <w:rPr>
          <w:rStyle w:val="EndnoteReference"/>
        </w:rPr>
        <w:endnoteRef/>
      </w:r>
      <w:r>
        <w:t xml:space="preserve"> </w:t>
      </w:r>
      <w:r>
        <w:rPr>
          <w:lang w:val="en-AU"/>
        </w:rPr>
        <w:t xml:space="preserve"> This covers the motives for which we do things. But there are also motives we do not act on: these cannot be attitudes that explain any actions.</w:t>
      </w:r>
    </w:p>
  </w:endnote>
  <w:endnote w:id="9">
    <w:p w:rsidR="002A1CCA" w:rsidRPr="000C6DD9" w:rsidRDefault="002A1CCA" w:rsidP="005221FC">
      <w:pPr>
        <w:pStyle w:val="EndnoteText"/>
        <w:rPr>
          <w:lang w:val="en-AU"/>
        </w:rPr>
      </w:pPr>
      <w:r>
        <w:rPr>
          <w:rStyle w:val="EndnoteReference"/>
        </w:rPr>
        <w:endnoteRef/>
      </w:r>
      <w:r>
        <w:t xml:space="preserve"> </w:t>
      </w:r>
      <w:r>
        <w:rPr>
          <w:lang w:val="en-AU"/>
        </w:rPr>
        <w:t xml:space="preserve"> Compare </w:t>
      </w:r>
      <w:r>
        <w:fldChar w:fldCharType="begin"/>
      </w:r>
      <w:r>
        <w:instrText xml:space="preserve"> ADDIN EN.CITE &lt;EndNote&gt;&lt;Cite&gt;&lt;Author&gt;Anscombe&lt;/Author&gt;&lt;Year&gt;1957&lt;/Year&gt;&lt;RecNum&gt;208&lt;/RecNum&gt;&lt;DisplayText&gt;G.E.M. Anscombe, &lt;style face="italic"&gt;Intention&lt;/style&gt;&lt;/DisplayText&gt;&lt;record&gt;&lt;rec-number&gt;208&lt;/rec-number&gt;&lt;foreign-keys&gt;&lt;key app="EN" db-id="9ratsrwz8wzzspewsdu502wwd2ezesewppe2" timestamp="1444361430"&gt;208&lt;/key&gt;&lt;/foreign-keys&gt;&lt;ref-type name="Book"&gt;6&lt;/ref-type&gt;&lt;contributors&gt;&lt;authors&gt;&lt;author&gt;Anscombe, G.E.M.&lt;/author&gt;&lt;/authors&gt;&lt;/contributors&gt;&lt;titles&gt;&lt;title&gt;Intention&lt;/title&gt;&lt;/titles&gt;&lt;dates&gt;&lt;year&gt;1957&lt;/year&gt;&lt;/dates&gt;&lt;pub-location&gt;Oxford&lt;/pub-location&gt;&lt;publisher&gt;Blackwell&lt;/publisher&gt;&lt;urls&gt;&lt;/urls&gt;&lt;/record&gt;&lt;/Cite&gt;&lt;/EndNote&gt;</w:instrText>
      </w:r>
      <w:r>
        <w:fldChar w:fldCharType="separate"/>
      </w:r>
      <w:r>
        <w:rPr>
          <w:noProof/>
        </w:rPr>
        <w:t xml:space="preserve">G.E.M. Anscombe, </w:t>
      </w:r>
      <w:r w:rsidRPr="007500F5">
        <w:rPr>
          <w:i/>
          <w:noProof/>
        </w:rPr>
        <w:t>Intention</w:t>
      </w:r>
      <w:r>
        <w:fldChar w:fldCharType="end"/>
      </w:r>
      <w:r>
        <w:t xml:space="preserve">, Sections 16-17. </w:t>
      </w:r>
      <w:r>
        <w:rPr>
          <w:lang w:val="en-AU"/>
        </w:rPr>
        <w:t xml:space="preserve">On </w:t>
      </w:r>
      <w:r w:rsidRPr="00A47A4D">
        <w:t>Anscombe</w:t>
      </w:r>
      <w:r>
        <w:t xml:space="preserve">’s view, what makes an action intentional is that </w:t>
      </w:r>
      <w:r w:rsidRPr="00A47A4D">
        <w:t xml:space="preserve">the question “Why?” has application in a sense in which a positive answer gives a reason for action. </w:t>
      </w:r>
      <w:r>
        <w:t xml:space="preserve">Here, she maintains, the question </w:t>
      </w:r>
      <w:r>
        <w:rPr>
          <w:i/>
        </w:rPr>
        <w:t>applies</w:t>
      </w:r>
      <w:r>
        <w:t xml:space="preserve">, even though the answer to it is, “For no reason”, so the action is intentional. However, we can ask: </w:t>
      </w:r>
      <w:r w:rsidRPr="00A47A4D">
        <w:t>in virtue of what does that question have application?</w:t>
      </w:r>
      <w:r>
        <w:t xml:space="preserve"> The answer, I think, is that the action is directed towards an aim. Actions are intentional in virtue of their aim, not their motive. </w:t>
      </w:r>
    </w:p>
  </w:endnote>
  <w:endnote w:id="10">
    <w:p w:rsidR="002A1CCA" w:rsidRPr="00AA4C69" w:rsidRDefault="002A1CCA" w:rsidP="00606A64">
      <w:pPr>
        <w:pStyle w:val="EndnoteText"/>
      </w:pPr>
      <w:r w:rsidRPr="00AA4C69">
        <w:rPr>
          <w:rStyle w:val="EndnoteReference"/>
        </w:rPr>
        <w:endnoteRef/>
      </w:r>
      <w:r w:rsidRPr="00AA4C69">
        <w:t xml:space="preserve"> </w:t>
      </w:r>
      <w:r>
        <w:t xml:space="preserve"> On Systems 1 and 2, see </w:t>
      </w:r>
      <w:r w:rsidRPr="00AA4C69">
        <w:fldChar w:fldCharType="begin"/>
      </w:r>
      <w:r>
        <w:instrText xml:space="preserve"> ADDIN EN.CITE &lt;EndNote&gt;&lt;Cite&gt;&lt;Author&gt;Kahneman&lt;/Author&gt;&lt;Year&gt;2011&lt;/Year&gt;&lt;RecNum&gt;60&lt;/RecNum&gt;&lt;DisplayText&gt;Daniel Kahneman, &lt;style face="italic"&gt;Thinking, Fast and Slow&lt;/style&gt;&lt;/DisplayText&gt;&lt;record&gt;&lt;rec-number&gt;60&lt;/rec-number&gt;&lt;foreign-keys&gt;&lt;key app="EN" db-id="a5ffrdzp85025zevt0ivvtahzzw0ea5fveps" timestamp="1462666900"&gt;60&lt;/key&gt;&lt;/foreign-keys&gt;&lt;ref-type name="Book"&gt;6&lt;/ref-type&gt;&lt;contributors&gt;&lt;authors&gt;&lt;author&gt;Kahneman, Daniel&lt;/author&gt;&lt;/authors&gt;&lt;/contributors&gt;&lt;titles&gt;&lt;title&gt;Thinking, Fast and Slow&lt;/title&gt;&lt;/titles&gt;&lt;dates&gt;&lt;year&gt;2011&lt;/year&gt;&lt;/dates&gt;&lt;pub-location&gt;London&lt;/pub-location&gt;&lt;publisher&gt;Penguin&lt;/publisher&gt;&lt;urls&gt;&lt;/urls&gt;&lt;/record&gt;&lt;/Cite&gt;&lt;/EndNote&gt;</w:instrText>
      </w:r>
      <w:r w:rsidRPr="00AA4C69">
        <w:fldChar w:fldCharType="separate"/>
      </w:r>
      <w:r>
        <w:rPr>
          <w:noProof/>
        </w:rPr>
        <w:t xml:space="preserve">Daniel Kahneman, </w:t>
      </w:r>
      <w:r w:rsidRPr="00606A64">
        <w:rPr>
          <w:i/>
          <w:noProof/>
        </w:rPr>
        <w:t>Thinking, Fast and Slow</w:t>
      </w:r>
      <w:r w:rsidRPr="00AA4C69">
        <w:fldChar w:fldCharType="end"/>
      </w:r>
      <w:r w:rsidRPr="00AA4C69">
        <w:t>, Part I.</w:t>
      </w:r>
      <w:r>
        <w:t xml:space="preserve"> For the firefighting example, see</w:t>
      </w:r>
      <w:r w:rsidRPr="00AA4C69">
        <w:t xml:space="preserve"> </w:t>
      </w:r>
      <w:r w:rsidRPr="00AA4C69">
        <w:fldChar w:fldCharType="begin"/>
      </w:r>
      <w:r>
        <w:instrText xml:space="preserve"> ADDIN EN.CITE &lt;EndNote&gt;&lt;Cite&gt;&lt;Author&gt;Klein&lt;/Author&gt;&lt;Year&gt;1998&lt;/Year&gt;&lt;RecNum&gt;37&lt;/RecNum&gt;&lt;DisplayText&gt;Gary Klein, &lt;style face="italic"&gt;Sources of Power: How People Make Decisions&lt;/style&gt;&lt;/DisplayText&gt;&lt;record&gt;&lt;rec-number&gt;37&lt;/rec-number&gt;&lt;foreign-keys&gt;&lt;key app="EN" db-id="a5ffrdzp85025zevt0ivvtahzzw0ea5fveps" timestamp="1457739108"&gt;37&lt;/key&gt;&lt;/foreign-keys&gt;&lt;ref-type name="Book"&gt;6&lt;/ref-type&gt;&lt;contributors&gt;&lt;authors&gt;&lt;author&gt;Klein, Gary&lt;/author&gt;&lt;/authors&gt;&lt;/contributors&gt;&lt;titles&gt;&lt;title&gt;Sources of Power: How People Make Decisions&lt;/title&gt;&lt;/titles&gt;&lt;dates&gt;&lt;year&gt;1998&lt;/year&gt;&lt;/dates&gt;&lt;pub-location&gt;Cambridge, Mass.&lt;/pub-location&gt;&lt;publisher&gt;MIT Press&lt;/publisher&gt;&lt;urls&gt;&lt;/urls&gt;&lt;/record&gt;&lt;/Cite&gt;&lt;/EndNote&gt;</w:instrText>
      </w:r>
      <w:r w:rsidRPr="00AA4C69">
        <w:fldChar w:fldCharType="separate"/>
      </w:r>
      <w:r>
        <w:rPr>
          <w:noProof/>
        </w:rPr>
        <w:t xml:space="preserve">Gary Klein, </w:t>
      </w:r>
      <w:r w:rsidRPr="00606A64">
        <w:rPr>
          <w:i/>
          <w:noProof/>
        </w:rPr>
        <w:t>Sources of Power: How People Make Decisions</w:t>
      </w:r>
      <w:r w:rsidRPr="00AA4C69">
        <w:fldChar w:fldCharType="end"/>
      </w:r>
      <w:r w:rsidRPr="00AA4C69">
        <w:t>, Ch.2.</w:t>
      </w:r>
    </w:p>
  </w:endnote>
  <w:endnote w:id="11">
    <w:p w:rsidR="002A1CCA" w:rsidRPr="00606CC4" w:rsidRDefault="002A1CCA">
      <w:pPr>
        <w:pStyle w:val="EndnoteText"/>
        <w:rPr>
          <w:lang w:val="en-AU"/>
        </w:rPr>
      </w:pPr>
      <w:r>
        <w:rPr>
          <w:rStyle w:val="EndnoteReference"/>
        </w:rPr>
        <w:endnoteRef/>
      </w:r>
      <w:r>
        <w:t xml:space="preserve"> </w:t>
      </w:r>
      <w:r>
        <w:rPr>
          <w:lang w:val="en-AU"/>
        </w:rPr>
        <w:t xml:space="preserve"> An interesting and important question is what further account to give of “accepting a consideration as a reason for action”. Exploring this would take us too far afield here. But for a more detailed attempt to provide an account of reason-acceptance, and  reasons-responsiveness more generally, see my </w:t>
      </w:r>
      <w:r>
        <w:rPr>
          <w:lang w:val="en-AU"/>
        </w:rPr>
        <w:fldChar w:fldCharType="begin"/>
      </w:r>
      <w:r>
        <w:rPr>
          <w:lang w:val="en-AU"/>
        </w:rPr>
        <w:instrText xml:space="preserve"> ADDIN EN.CITE &lt;EndNote&gt;&lt;Cite ExcludeAuth="1"&gt;&lt;Author&gt;Cullity&lt;/Author&gt;&lt;Year&gt;forthcoming&lt;/Year&gt;&lt;RecNum&gt;124&lt;/RecNum&gt;&lt;DisplayText&gt;&amp;quot;Stupid Goodness&amp;quot;&lt;/DisplayText&gt;&lt;record&gt;&lt;rec-number&gt;124&lt;/rec-number&gt;&lt;foreign-keys&gt;&lt;key app="EN" db-id="a5ffrdzp85025zevt0ivvtahzzw0ea5fveps" timestamp="1467952876"&gt;124&lt;/key&gt;&lt;/foreign-keys&gt;&lt;ref-type name="Book Section"&gt;5&lt;/ref-type&gt;&lt;contributors&gt;&lt;authors&gt;&lt;author&gt;Cullity, Garrett&lt;/author&gt;&lt;/authors&gt;&lt;secondary-authors&gt;&lt;author&gt;Schroeter, Francois&lt;/author&gt;&lt;/secondary-authors&gt;&lt;/contributors&gt;&lt;titles&gt;&lt;title&gt;Stupid Goodness&lt;/title&gt;&lt;secondary-title&gt;The Many Moral Rationalisms&lt;/secondary-title&gt;&lt;/titles&gt;&lt;dates&gt;&lt;year&gt;forthcoming&lt;/year&gt;&lt;/dates&gt;&lt;pub-location&gt;Oxford&lt;/pub-location&gt;&lt;publisher&gt;Oxford University Press&lt;/publisher&gt;&lt;urls&gt;&lt;/urls&gt;&lt;/record&gt;&lt;/Cite&gt;&lt;/EndNote&gt;</w:instrText>
      </w:r>
      <w:r>
        <w:rPr>
          <w:lang w:val="en-AU"/>
        </w:rPr>
        <w:fldChar w:fldCharType="separate"/>
      </w:r>
      <w:r>
        <w:rPr>
          <w:noProof/>
          <w:lang w:val="en-AU"/>
        </w:rPr>
        <w:t>"Stupid Goodness"</w:t>
      </w:r>
      <w:r>
        <w:rPr>
          <w:lang w:val="en-AU"/>
        </w:rPr>
        <w:fldChar w:fldCharType="end"/>
      </w:r>
      <w:r>
        <w:rPr>
          <w:lang w:val="en-AU"/>
        </w:rPr>
        <w:t>, Sect. III.</w:t>
      </w:r>
    </w:p>
  </w:endnote>
  <w:endnote w:id="12">
    <w:p w:rsidR="002A1CCA" w:rsidRPr="006043BE" w:rsidRDefault="002A1CCA">
      <w:pPr>
        <w:pStyle w:val="EndnoteText"/>
        <w:rPr>
          <w:lang w:val="en-AU"/>
        </w:rPr>
      </w:pPr>
      <w:r>
        <w:rPr>
          <w:rStyle w:val="EndnoteReference"/>
        </w:rPr>
        <w:endnoteRef/>
      </w:r>
      <w:r>
        <w:t xml:space="preserve"> </w:t>
      </w:r>
      <w:r>
        <w:rPr>
          <w:lang w:val="en-AU"/>
        </w:rPr>
        <w:t xml:space="preserve"> </w:t>
      </w:r>
      <w:r>
        <w:fldChar w:fldCharType="begin"/>
      </w:r>
      <w:r>
        <w:instrText xml:space="preserve"> ADDIN EN.CITE &lt;EndNote&gt;&lt;Cite&gt;&lt;Author&gt;Kant&lt;/Author&gt;&lt;Year&gt;1996&lt;/Year&gt;&lt;RecNum&gt;31&lt;/RecNum&gt;&lt;DisplayText&gt;Immanuel Kant, &lt;style face="italic"&gt;Groundwork of the Metaphysics of Morals&lt;/style&gt;&lt;/DisplayText&gt;&lt;record&gt;&lt;rec-number&gt;31&lt;/rec-number&gt;&lt;foreign-keys&gt;&lt;key app="EN" db-id="a5ffrdzp85025zevt0ivvtahzzw0ea5fveps" timestamp="1457522257"&gt;31&lt;/key&gt;&lt;/foreign-keys&gt;&lt;ref-type name="Book"&gt;6&lt;/ref-type&gt;&lt;contributors&gt;&lt;authors&gt;&lt;author&gt;Kant, Immanuel&lt;/author&gt;&lt;/authors&gt;&lt;subsidiary-authors&gt;&lt;author&gt;Gregor, Mary&lt;/author&gt;&lt;/subsidiary-authors&gt;&lt;/contributors&gt;&lt;titles&gt;&lt;title&gt;Groundwork of The Metaphysics of Morals&lt;/title&gt;&lt;/titles&gt;&lt;dates&gt;&lt;year&gt;1996&lt;/year&gt;&lt;/dates&gt;&lt;pub-location&gt;Cambridge&lt;/pub-location&gt;&lt;publisher&gt;Cambridge University Press&lt;/publisher&gt;&lt;orig-pub&gt;1785&lt;/orig-pub&gt;&lt;urls&gt;&lt;/urls&gt;&lt;/record&gt;&lt;/Cite&gt;&lt;/EndNote&gt;</w:instrText>
      </w:r>
      <w:r>
        <w:fldChar w:fldCharType="separate"/>
      </w:r>
      <w:r>
        <w:rPr>
          <w:noProof/>
        </w:rPr>
        <w:t xml:space="preserve">Immanuel Kant, </w:t>
      </w:r>
      <w:r w:rsidRPr="007500F5">
        <w:rPr>
          <w:i/>
          <w:noProof/>
        </w:rPr>
        <w:t>Groundwork of the Metaphysics of Morals</w:t>
      </w:r>
      <w:r>
        <w:fldChar w:fldCharType="end"/>
      </w:r>
      <w:r>
        <w:rPr>
          <w:lang w:val="en-AU"/>
        </w:rPr>
        <w:t>, 4:397.</w:t>
      </w:r>
    </w:p>
  </w:endnote>
  <w:endnote w:id="13">
    <w:p w:rsidR="002A1CCA" w:rsidRPr="007564D4" w:rsidRDefault="002A1CCA">
      <w:pPr>
        <w:pStyle w:val="EndnoteText"/>
        <w:rPr>
          <w:lang w:val="en-AU"/>
        </w:rPr>
      </w:pPr>
      <w:r>
        <w:rPr>
          <w:rStyle w:val="EndnoteReference"/>
        </w:rPr>
        <w:endnoteRef/>
      </w:r>
      <w:r>
        <w:t xml:space="preserve"> </w:t>
      </w:r>
      <w:r>
        <w:rPr>
          <w:lang w:val="en-AU"/>
        </w:rPr>
        <w:t xml:space="preserve"> Compare </w:t>
      </w:r>
      <w:r>
        <w:fldChar w:fldCharType="begin"/>
      </w:r>
      <w:r>
        <w:instrText xml:space="preserve"> ADDIN EN.CITE &lt;EndNote&gt;&lt;Cite&gt;&lt;Author&gt;Swanton&lt;/Author&gt;&lt;Year&gt;2015&lt;/Year&gt;&lt;RecNum&gt;210&lt;/RecNum&gt;&lt;DisplayText&gt;Christine Swanton, &amp;quot;A Particularist but Codifiable Virtue Ethics&amp;quot;&lt;/DisplayText&gt;&lt;record&gt;&lt;rec-number&gt;210&lt;/rec-number&gt;&lt;foreign-keys&gt;&lt;key app="EN" db-id="9ratsrwz8wzzspewsdu502wwd2ezesewppe2" timestamp="1444363052"&gt;210&lt;/key&gt;&lt;/foreign-keys&gt;&lt;ref-type name="Journal Article"&gt;17&lt;/ref-type&gt;&lt;contributors&gt;&lt;authors&gt;&lt;author&gt;Swanton, Christine&lt;/author&gt;&lt;/authors&gt;&lt;/contributors&gt;&lt;titles&gt;&lt;title&gt;A Particularist but Codifiable Virtue Ethics&lt;/title&gt;&lt;secondary-title&gt;Oxford Studies in Normative Ethics&lt;/secondary-title&gt;&lt;/titles&gt;&lt;periodical&gt;&lt;full-title&gt;Oxford Studies in Normative Ethics&lt;/full-title&gt;&lt;/periodical&gt;&lt;pages&gt;38-63&lt;/pages&gt;&lt;volume&gt;5&lt;/volume&gt;&lt;dates&gt;&lt;year&gt;2015&lt;/year&gt;&lt;/dates&gt;&lt;urls&gt;&lt;/urls&gt;&lt;/record&gt;&lt;/Cite&gt;&lt;/EndNote&gt;</w:instrText>
      </w:r>
      <w:r>
        <w:fldChar w:fldCharType="separate"/>
      </w:r>
      <w:r>
        <w:rPr>
          <w:noProof/>
        </w:rPr>
        <w:t>Christine Swanton, "A Particularist but Codifiable Virtue Ethics"</w:t>
      </w:r>
      <w:r>
        <w:fldChar w:fldCharType="end"/>
      </w:r>
      <w:r>
        <w:rPr>
          <w:lang w:val="en-AU"/>
        </w:rPr>
        <w:t>, p.47.</w:t>
      </w:r>
    </w:p>
  </w:endnote>
  <w:endnote w:id="14">
    <w:p w:rsidR="002A1CCA" w:rsidRPr="00E006ED" w:rsidRDefault="002A1CCA" w:rsidP="00FD05C8">
      <w:pPr>
        <w:pStyle w:val="EndnoteText"/>
        <w:rPr>
          <w:lang w:val="en-AU"/>
        </w:rPr>
      </w:pPr>
      <w:r>
        <w:rPr>
          <w:rStyle w:val="EndnoteReference"/>
        </w:rPr>
        <w:endnoteRef/>
      </w:r>
      <w:r>
        <w:t xml:space="preserve"> </w:t>
      </w:r>
      <w:r>
        <w:rPr>
          <w:lang w:val="en-AU"/>
        </w:rPr>
        <w:t xml:space="preserve"> This point is not sufficiently acknowledged in my paper “International Aid and the Scope of Kindness”.</w:t>
      </w:r>
    </w:p>
  </w:endnote>
  <w:endnote w:id="15">
    <w:p w:rsidR="002A1CCA" w:rsidRPr="007564D4" w:rsidRDefault="002A1CCA">
      <w:pPr>
        <w:pStyle w:val="EndnoteText"/>
        <w:rPr>
          <w:lang w:val="en-AU"/>
        </w:rPr>
      </w:pPr>
      <w:r>
        <w:rPr>
          <w:rStyle w:val="EndnoteReference"/>
        </w:rPr>
        <w:endnoteRef/>
      </w:r>
      <w:r>
        <w:t xml:space="preserve"> </w:t>
      </w:r>
      <w:r>
        <w:rPr>
          <w:lang w:val="en-AU"/>
        </w:rPr>
        <w:t xml:space="preserve"> See </w:t>
      </w:r>
      <w:r>
        <w:fldChar w:fldCharType="begin"/>
      </w:r>
      <w:r>
        <w:instrText xml:space="preserve"> ADDIN EN.CITE &lt;EndNote&gt;&lt;Cite&gt;&lt;Author&gt;Swanton&lt;/Author&gt;&lt;Year&gt;2003&lt;/Year&gt;&lt;RecNum&gt;211&lt;/RecNum&gt;&lt;DisplayText&gt;Christine Swanton, &lt;style face="italic"&gt;Virtue Ethics: A Pluralistic View&lt;/style&gt;&lt;/DisplayText&gt;&lt;record&gt;&lt;rec-number&gt;211&lt;/rec-number&gt;&lt;foreign-keys&gt;&lt;key app="EN" db-id="9ratsrwz8wzzspewsdu502wwd2ezesewppe2" timestamp="1444363499"&gt;211&lt;/key&gt;&lt;/foreign-keys&gt;&lt;ref-type name="Book"&gt;6&lt;/ref-type&gt;&lt;contributors&gt;&lt;authors&gt;&lt;author&gt;Swanton, Christine&lt;/author&gt;&lt;/authors&gt;&lt;/contributors&gt;&lt;titles&gt;&lt;title&gt;Virtue Ethics: A Pluralistic View&lt;/title&gt;&lt;short-title&gt;Virtue Ethics&lt;/short-title&gt;&lt;/titles&gt;&lt;dates&gt;&lt;year&gt;2003&lt;/year&gt;&lt;/dates&gt;&lt;pub-location&gt;Oxford&lt;/pub-location&gt;&lt;publisher&gt;Oxford University Press&lt;/publisher&gt;&lt;urls&gt;&lt;/urls&gt;&lt;/record&gt;&lt;/Cite&gt;&lt;/EndNote&gt;</w:instrText>
      </w:r>
      <w:r>
        <w:fldChar w:fldCharType="separate"/>
      </w:r>
      <w:r>
        <w:rPr>
          <w:noProof/>
        </w:rPr>
        <w:t xml:space="preserve">Christine Swanton, </w:t>
      </w:r>
      <w:r w:rsidRPr="007500F5">
        <w:rPr>
          <w:i/>
          <w:noProof/>
        </w:rPr>
        <w:t>Virtue Ethics: A Pluralistic View</w:t>
      </w:r>
      <w:r>
        <w:fldChar w:fldCharType="end"/>
      </w:r>
      <w:r>
        <w:rPr>
          <w:lang w:val="en-AU"/>
        </w:rPr>
        <w:t xml:space="preserve">, Chapter 13. On prototype concepts, see </w:t>
      </w:r>
      <w:r>
        <w:rPr>
          <w:lang w:val="en-AU"/>
        </w:rPr>
        <w:fldChar w:fldCharType="begin"/>
      </w:r>
      <w:r>
        <w:rPr>
          <w:lang w:val="en-AU"/>
        </w:rPr>
        <w:instrText xml:space="preserve"> ADDIN EN.CITE &lt;EndNote&gt;&lt;Cite&gt;&lt;Author&gt;Ramsey&lt;/Author&gt;&lt;Year&gt;1998&lt;/Year&gt;&lt;RecNum&gt;125&lt;/RecNum&gt;&lt;DisplayText&gt;William Ramsey, &amp;quot;Prototypes and Conceptual Analysis&amp;quot;&lt;/DisplayText&gt;&lt;record&gt;&lt;rec-number&gt;125&lt;/rec-number&gt;&lt;foreign-keys&gt;&lt;key app="EN" db-id="a5ffrdzp85025zevt0ivvtahzzw0ea5fveps" timestamp="1467956525"&gt;125&lt;/key&gt;&lt;/foreign-keys&gt;&lt;ref-type name="Book Section"&gt;5&lt;/ref-type&gt;&lt;contributors&gt;&lt;authors&gt;&lt;author&gt;Ramsey, William&lt;/author&gt;&lt;/authors&gt;&lt;secondary-authors&gt;&lt;author&gt;DePaul, Michael&lt;/author&gt;&lt;author&gt;Ramsey, William&lt;/author&gt;&lt;/secondary-authors&gt;&lt;/contributors&gt;&lt;titles&gt;&lt;title&gt;Prototypes and Conceptual Analysis&lt;/title&gt;&lt;secondary-title&gt;Rethinking Intuition: The Psychology of Intuition and Its Role in Philosophical Inquiry&lt;/secondary-title&gt;&lt;/titles&gt;&lt;pages&gt;161-77&lt;/pages&gt;&lt;dates&gt;&lt;year&gt;1998&lt;/year&gt;&lt;/dates&gt;&lt;pub-location&gt;Lanham&lt;/pub-location&gt;&lt;publisher&gt;Rowman &amp;amp; Littlefield&lt;/publisher&gt;&lt;urls&gt;&lt;/urls&gt;&lt;/record&gt;&lt;/Cite&gt;&lt;/EndNote&gt;</w:instrText>
      </w:r>
      <w:r>
        <w:rPr>
          <w:lang w:val="en-AU"/>
        </w:rPr>
        <w:fldChar w:fldCharType="separate"/>
      </w:r>
      <w:r>
        <w:rPr>
          <w:noProof/>
          <w:lang w:val="en-AU"/>
        </w:rPr>
        <w:t>William Ramsey, "Prototypes and Conceptual Analysis"</w:t>
      </w:r>
      <w:r>
        <w:rPr>
          <w:lang w:val="en-AU"/>
        </w:rPr>
        <w:fldChar w:fldCharType="end"/>
      </w:r>
      <w:r>
        <w:rPr>
          <w:lang w:val="en-AU"/>
        </w:rPr>
        <w:t>.</w:t>
      </w:r>
    </w:p>
  </w:endnote>
  <w:endnote w:id="16">
    <w:p w:rsidR="002A1CCA" w:rsidRPr="00403BC1" w:rsidRDefault="002A1CCA" w:rsidP="000848AC">
      <w:pPr>
        <w:pStyle w:val="EndnoteText"/>
        <w:rPr>
          <w:lang w:val="en-AU"/>
        </w:rPr>
      </w:pPr>
      <w:r>
        <w:rPr>
          <w:rStyle w:val="EndnoteReference"/>
        </w:rPr>
        <w:endnoteRef/>
      </w:r>
      <w:r>
        <w:t xml:space="preserve"> </w:t>
      </w:r>
      <w:r>
        <w:rPr>
          <w:lang w:val="en-AU"/>
        </w:rPr>
        <w:t xml:space="preserve"> “Honesty” is an aretaic term, because it can be used to attribute a virtue and a virtue is a form of excellence. The properties named by aretaic terms are aretaic properties. But bearing an aretaic property need not be a way of being excellent,</w:t>
      </w:r>
      <w:r w:rsidRPr="000848AC">
        <w:rPr>
          <w:lang w:val="en-AU"/>
        </w:rPr>
        <w:t xml:space="preserve"> </w:t>
      </w:r>
      <w:r>
        <w:rPr>
          <w:lang w:val="en-AU"/>
        </w:rPr>
        <w:t>as Kant’s shopkeeper illustrates.</w:t>
      </w:r>
    </w:p>
  </w:endnote>
  <w:endnote w:id="17">
    <w:p w:rsidR="002A1CCA" w:rsidRPr="00953904" w:rsidRDefault="002A1CCA">
      <w:pPr>
        <w:pStyle w:val="EndnoteText"/>
        <w:rPr>
          <w:lang w:val="en-AU"/>
        </w:rPr>
      </w:pPr>
      <w:r>
        <w:rPr>
          <w:rStyle w:val="EndnoteReference"/>
        </w:rPr>
        <w:endnoteRef/>
      </w:r>
      <w:r>
        <w:t xml:space="preserve"> </w:t>
      </w:r>
      <w:r>
        <w:rPr>
          <w:lang w:val="en-AU"/>
        </w:rPr>
        <w:t xml:space="preserve"> Most aretaic properties are such that a response or a person can possess them without being virtuous. But “wise”, “just” and “tactful” are different. Being properly discriminating is necessary for the possession of these properties.</w:t>
      </w:r>
    </w:p>
  </w:endnote>
  <w:endnote w:id="18">
    <w:p w:rsidR="002A1CCA" w:rsidRPr="00E45EB9" w:rsidRDefault="002A1CCA">
      <w:pPr>
        <w:pStyle w:val="EndnoteText"/>
        <w:rPr>
          <w:lang w:val="en-AU"/>
        </w:rPr>
      </w:pPr>
      <w:r>
        <w:rPr>
          <w:rStyle w:val="EndnoteReference"/>
        </w:rPr>
        <w:endnoteRef/>
      </w:r>
      <w:r>
        <w:t xml:space="preserve"> </w:t>
      </w:r>
      <w:r>
        <w:rPr>
          <w:lang w:val="en-AU"/>
        </w:rPr>
        <w:t xml:space="preserve"> Enough, that is, for our interest in identifying </w:t>
      </w:r>
      <w:r>
        <w:rPr>
          <w:i/>
          <w:lang w:val="en-AU"/>
        </w:rPr>
        <w:t>V</w:t>
      </w:r>
      <w:r>
        <w:rPr>
          <w:vertAlign w:val="subscript"/>
          <w:lang w:val="en-AU"/>
        </w:rPr>
        <w:t>a</w:t>
      </w:r>
      <w:r>
        <w:rPr>
          <w:i/>
          <w:lang w:val="en-AU"/>
        </w:rPr>
        <w:t xml:space="preserve"> </w:t>
      </w:r>
      <w:r>
        <w:rPr>
          <w:lang w:val="en-AU"/>
        </w:rPr>
        <w:t>responses to be served by classifying the cases together.</w:t>
      </w:r>
    </w:p>
  </w:endnote>
  <w:endnote w:id="19">
    <w:p w:rsidR="002A1CCA" w:rsidRPr="0006797E" w:rsidRDefault="002A1CCA" w:rsidP="008838D5">
      <w:pPr>
        <w:pStyle w:val="EndnoteText"/>
        <w:rPr>
          <w:lang w:val="en-AU"/>
        </w:rPr>
      </w:pPr>
      <w:r w:rsidRPr="00E038D6">
        <w:rPr>
          <w:rStyle w:val="EndnoteReference"/>
        </w:rPr>
        <w:endnoteRef/>
      </w:r>
      <w:r w:rsidRPr="00E038D6">
        <w:t xml:space="preserve"> </w:t>
      </w:r>
      <w:r w:rsidRPr="00E038D6">
        <w:rPr>
          <w:lang w:val="en-AU"/>
        </w:rPr>
        <w:t xml:space="preserve"> This proposal leaves it open what further account to give of what it is for responses to be “characteristic”. My own preferred view is that this requires that they are non-accidental manifestations of stable dispositions, so that the expression of these dispositions in </w:t>
      </w:r>
      <w:r w:rsidRPr="00E038D6">
        <w:rPr>
          <w:i/>
          <w:lang w:val="en-AU"/>
        </w:rPr>
        <w:t>V</w:t>
      </w:r>
      <w:r w:rsidRPr="00E038D6">
        <w:rPr>
          <w:i/>
          <w:vertAlign w:val="subscript"/>
          <w:lang w:val="en-AU"/>
        </w:rPr>
        <w:t>a</w:t>
      </w:r>
      <w:r w:rsidRPr="00E038D6">
        <w:rPr>
          <w:lang w:val="en-AU"/>
        </w:rPr>
        <w:t xml:space="preserve"> responses has a degree of modal robustness: were the circumstances to change somewhat, the </w:t>
      </w:r>
      <w:r w:rsidRPr="00E038D6">
        <w:rPr>
          <w:i/>
          <w:lang w:val="en-AU"/>
        </w:rPr>
        <w:t>V</w:t>
      </w:r>
      <w:r w:rsidRPr="00E038D6">
        <w:rPr>
          <w:i/>
          <w:vertAlign w:val="subscript"/>
          <w:lang w:val="en-AU"/>
        </w:rPr>
        <w:t>a</w:t>
      </w:r>
      <w:r w:rsidRPr="00E038D6">
        <w:rPr>
          <w:lang w:val="en-AU"/>
        </w:rPr>
        <w:t xml:space="preserve"> response would still be made. What degree of modal robustness? A degree that is good enough – see note [</w:t>
      </w:r>
      <w:r>
        <w:rPr>
          <w:lang w:val="en-AU"/>
        </w:rPr>
        <w:t>4</w:t>
      </w:r>
      <w:r w:rsidRPr="00E038D6">
        <w:rPr>
          <w:lang w:val="en-AU"/>
        </w:rPr>
        <w:t>]. But this supplementation of the proposal in the text is independent of it: if there is a better account of “characteristic” responses, it can be substituted for this one. This does not close off the possibility that “situationists” could succeed in showing that no unqualified attributions of virtue to pers</w:t>
      </w:r>
      <w:r>
        <w:rPr>
          <w:lang w:val="en-AU"/>
        </w:rPr>
        <w:t>ons are defensible: see note [28</w:t>
      </w:r>
      <w:r w:rsidRPr="00E038D6">
        <w:rPr>
          <w:lang w:val="en-AU"/>
        </w:rPr>
        <w:t>].</w:t>
      </w:r>
    </w:p>
  </w:endnote>
  <w:endnote w:id="20">
    <w:p w:rsidR="002A1CCA" w:rsidRPr="004D745A" w:rsidRDefault="002A1CCA">
      <w:pPr>
        <w:pStyle w:val="EndnoteText"/>
        <w:rPr>
          <w:lang w:val="en-AU"/>
        </w:rPr>
      </w:pPr>
      <w:r>
        <w:rPr>
          <w:rStyle w:val="EndnoteReference"/>
        </w:rPr>
        <w:endnoteRef/>
      </w:r>
      <w:r>
        <w:t xml:space="preserve"> </w:t>
      </w:r>
      <w:r>
        <w:rPr>
          <w:lang w:val="en-AU"/>
        </w:rPr>
        <w:t xml:space="preserve"> E.g. by </w:t>
      </w:r>
      <w:r>
        <w:fldChar w:fldCharType="begin"/>
      </w:r>
      <w:r>
        <w:instrText xml:space="preserve"> ADDIN EN.CITE &lt;EndNote&gt;&lt;Cite&gt;&lt;Author&gt;Hursthouse&lt;/Author&gt;&lt;Year&gt;1999&lt;/Year&gt;&lt;RecNum&gt;212&lt;/RecNum&gt;&lt;DisplayText&gt;Rosalind Hursthouse, &lt;style face="italic"&gt;On Virtue Ethics&lt;/style&gt;&lt;/DisplayText&gt;&lt;record&gt;&lt;rec-number&gt;212&lt;/rec-number&gt;&lt;foreign-keys&gt;&lt;key app="EN" db-id="9ratsrwz8wzzspewsdu502wwd2ezesewppe2" timestamp="1444363663"&gt;212&lt;/key&gt;&lt;/foreign-keys&gt;&lt;ref-type name="Book"&gt;6&lt;/ref-type&gt;&lt;contributors&gt;&lt;authors&gt;&lt;author&gt;Hursthouse, Rosalind&lt;/author&gt;&lt;/authors&gt;&lt;/contributors&gt;&lt;titles&gt;&lt;title&gt;On Virtue Ethics&lt;/title&gt;&lt;/titles&gt;&lt;dates&gt;&lt;year&gt;1999&lt;/year&gt;&lt;/dates&gt;&lt;pub-location&gt;Oxford&lt;/pub-location&gt;&lt;publisher&gt;Oxford University Press&lt;/publisher&gt;&lt;urls&gt;&lt;/urls&gt;&lt;/record&gt;&lt;/Cite&gt;&lt;/EndNote&gt;</w:instrText>
      </w:r>
      <w:r>
        <w:fldChar w:fldCharType="separate"/>
      </w:r>
      <w:r>
        <w:rPr>
          <w:noProof/>
        </w:rPr>
        <w:t xml:space="preserve">Rosalind Hursthouse, </w:t>
      </w:r>
      <w:r w:rsidRPr="007500F5">
        <w:rPr>
          <w:i/>
          <w:noProof/>
        </w:rPr>
        <w:t>On Virtue Ethics</w:t>
      </w:r>
      <w:r>
        <w:fldChar w:fldCharType="end"/>
      </w:r>
      <w:r>
        <w:rPr>
          <w:lang w:val="en-AU"/>
        </w:rPr>
        <w:t>, pp.28-9.</w:t>
      </w:r>
    </w:p>
  </w:endnote>
  <w:endnote w:id="21">
    <w:p w:rsidR="002A1CCA" w:rsidRPr="00411994" w:rsidRDefault="002A1CCA">
      <w:pPr>
        <w:pStyle w:val="EndnoteText"/>
        <w:rPr>
          <w:lang w:val="en-AU"/>
        </w:rPr>
      </w:pPr>
      <w:r>
        <w:rPr>
          <w:rStyle w:val="EndnoteReference"/>
        </w:rPr>
        <w:endnoteRef/>
      </w:r>
      <w:r>
        <w:t xml:space="preserve"> </w:t>
      </w:r>
      <w:r>
        <w:rPr>
          <w:lang w:val="en-AU"/>
        </w:rPr>
        <w:t xml:space="preserve"> This way of thinking about wrongness – an “inadequate reasons” conception – is </w:t>
      </w:r>
      <w:r>
        <w:t>is actually a family of different views. Members of the family differ concerning the “others” whose relationship to me generate “other-regarding” reasons. And they offer different accounts of what it for an other-regarding reason to be “serious” and a countervailing reason to be “adequate”.</w:t>
      </w:r>
    </w:p>
  </w:endnote>
  <w:endnote w:id="22">
    <w:p w:rsidR="002A1CCA" w:rsidRPr="00276977" w:rsidRDefault="002A1CCA" w:rsidP="008838D5">
      <w:pPr>
        <w:pStyle w:val="EndnoteText"/>
        <w:rPr>
          <w:lang w:val="en-AU"/>
        </w:rPr>
      </w:pPr>
      <w:r>
        <w:rPr>
          <w:rStyle w:val="EndnoteReference"/>
        </w:rPr>
        <w:endnoteRef/>
      </w:r>
      <w:r>
        <w:t xml:space="preserve"> </w:t>
      </w:r>
      <w:r>
        <w:rPr>
          <w:lang w:val="en-AU"/>
        </w:rPr>
        <w:t xml:space="preserve"> This is a stipulation, not a claim about the meaning of this phrase in ordinary English. It is hard not to hear “C is the reason for which she is responding” as factive – as implying that C. For “acceptance”, see note [10].</w:t>
      </w:r>
    </w:p>
  </w:endnote>
  <w:endnote w:id="23">
    <w:p w:rsidR="002A1CCA" w:rsidRPr="00B04B3E" w:rsidRDefault="002A1CCA" w:rsidP="008838D5">
      <w:pPr>
        <w:pStyle w:val="EndnoteText"/>
        <w:rPr>
          <w:lang w:val="en-AU"/>
        </w:rPr>
      </w:pPr>
      <w:r>
        <w:rPr>
          <w:rStyle w:val="EndnoteReference"/>
        </w:rPr>
        <w:endnoteRef/>
      </w:r>
      <w:r>
        <w:t xml:space="preserve"> </w:t>
      </w:r>
      <w:r>
        <w:rPr>
          <w:lang w:val="en-AU"/>
        </w:rPr>
        <w:t xml:space="preserve"> Mistakes in what one accepts as a reason can themselves be morally evaluable, so they can bear on the virtuousness of one’s response.</w:t>
      </w:r>
    </w:p>
  </w:endnote>
  <w:endnote w:id="24">
    <w:p w:rsidR="002A1CCA" w:rsidRPr="001B32B8" w:rsidRDefault="002A1CCA">
      <w:pPr>
        <w:pStyle w:val="EndnoteText"/>
        <w:rPr>
          <w:lang w:val="en-AU"/>
        </w:rPr>
      </w:pPr>
      <w:r>
        <w:rPr>
          <w:rStyle w:val="EndnoteReference"/>
        </w:rPr>
        <w:endnoteRef/>
      </w:r>
      <w:r>
        <w:t xml:space="preserve"> </w:t>
      </w:r>
      <w:r>
        <w:rPr>
          <w:lang w:val="en-AU"/>
        </w:rPr>
        <w:t xml:space="preserve"> We can also advise them about the relative strengths of the reasons they are aware of.</w:t>
      </w:r>
    </w:p>
  </w:endnote>
  <w:endnote w:id="25">
    <w:p w:rsidR="002A1CCA" w:rsidRPr="001B32B8" w:rsidRDefault="002A1CCA">
      <w:pPr>
        <w:pStyle w:val="EndnoteText"/>
        <w:rPr>
          <w:lang w:val="en-AU"/>
        </w:rPr>
      </w:pPr>
      <w:r>
        <w:rPr>
          <w:rStyle w:val="EndnoteReference"/>
        </w:rPr>
        <w:endnoteRef/>
      </w:r>
      <w:r>
        <w:t xml:space="preserve"> </w:t>
      </w:r>
      <w:r>
        <w:rPr>
          <w:lang w:val="en-AU"/>
        </w:rPr>
        <w:t xml:space="preserve"> We can also evaluate the quality of their awareness.</w:t>
      </w:r>
    </w:p>
  </w:endnote>
  <w:endnote w:id="26">
    <w:p w:rsidR="002A1CCA" w:rsidRPr="00CC19CF" w:rsidRDefault="002A1CCA">
      <w:pPr>
        <w:pStyle w:val="EndnoteText"/>
        <w:rPr>
          <w:lang w:val="en-AU"/>
        </w:rPr>
      </w:pPr>
      <w:r>
        <w:rPr>
          <w:rStyle w:val="EndnoteReference"/>
        </w:rPr>
        <w:endnoteRef/>
      </w:r>
      <w:r>
        <w:t xml:space="preserve"> </w:t>
      </w:r>
      <w:r>
        <w:rPr>
          <w:lang w:val="en-AU"/>
        </w:rPr>
        <w:t xml:space="preserve"> Not all responses are subject to choice. But only the responses that are subject to choice are candidates for advice. It makes no sense to offer someone advice about the kind way to feel – even though there are reasons for feelings, and our feeling-responses to those reasons are properly subject to aretaic evaluation.</w:t>
      </w:r>
    </w:p>
  </w:endnote>
  <w:endnote w:id="27">
    <w:p w:rsidR="002A1CCA" w:rsidRDefault="002A1CCA" w:rsidP="00CA2151">
      <w:pPr>
        <w:pStyle w:val="EndnoteText"/>
      </w:pPr>
      <w:r>
        <w:rPr>
          <w:rStyle w:val="EndnoteReference"/>
        </w:rPr>
        <w:endnoteRef/>
      </w:r>
      <w:r>
        <w:t xml:space="preserve">  This point has often been made (e.g. by </w:t>
      </w:r>
      <w:r>
        <w:fldChar w:fldCharType="begin"/>
      </w:r>
      <w:r>
        <w:instrText xml:space="preserve"> ADDIN EN.CITE &lt;EndNote&gt;&lt;Cite&gt;&lt;Author&gt;Foot&lt;/Author&gt;&lt;Year&gt;1978&lt;/Year&gt;&lt;RecNum&gt;214&lt;/RecNum&gt;&lt;DisplayText&gt;Philippa Foot, &amp;quot;Morality as a System of Hypothetical Imperatives&amp;quot;&lt;/DisplayText&gt;&lt;record&gt;&lt;rec-number&gt;214&lt;/rec-number&gt;&lt;foreign-keys&gt;&lt;key app="EN" db-id="9ratsrwz8wzzspewsdu502wwd2ezesewppe2" timestamp="1444364756"&gt;214&lt;/key&gt;&lt;/foreign-keys&gt;&lt;ref-type name="Book Section"&gt;5&lt;/ref-type&gt;&lt;contributors&gt;&lt;authors&gt;&lt;author&gt;Foot, Philippa&lt;/author&gt;&lt;/authors&gt;&lt;/contributors&gt;&lt;titles&gt;&lt;title&gt;Morality as a System of Hypothetical Imperatives&lt;/title&gt;&lt;secondary-title&gt;Virtues and Vices&lt;/secondary-title&gt;&lt;/titles&gt;&lt;pages&gt;157-173&lt;/pages&gt;&lt;dates&gt;&lt;year&gt;1978&lt;/year&gt;&lt;/dates&gt;&lt;pub-location&gt;Oxford&lt;/pub-location&gt;&lt;publisher&gt;Blackwell&lt;/publisher&gt;&lt;orig-pub&gt;Philosophical Review 81 (1972), pp.305-316&lt;/orig-pub&gt;&lt;urls&gt;&lt;/urls&gt;&lt;/record&gt;&lt;/Cite&gt;&lt;/EndNote&gt;</w:instrText>
      </w:r>
      <w:r>
        <w:fldChar w:fldCharType="separate"/>
      </w:r>
      <w:r>
        <w:rPr>
          <w:noProof/>
        </w:rPr>
        <w:t>Philippa Foot, "Morality as a System of Hypothetical Imperatives"</w:t>
      </w:r>
      <w:r>
        <w:fldChar w:fldCharType="end"/>
      </w:r>
      <w:r>
        <w:t xml:space="preserve">, p.165; </w:t>
      </w:r>
      <w:r>
        <w:fldChar w:fldCharType="begin"/>
      </w:r>
      <w:r>
        <w:instrText xml:space="preserve"> ADDIN EN.CITE &lt;EndNote&gt;&lt;Cite&gt;&lt;Author&gt;Williams&lt;/Author&gt;&lt;Year&gt;1985&lt;/Year&gt;&lt;RecNum&gt;5&lt;/RecNum&gt;&lt;DisplayText&gt;Bernard Williams, &lt;style face="italic"&gt;Ethics and the Limits of Philosophy&lt;/style&gt;&lt;/DisplayText&gt;&lt;record&gt;&lt;rec-number&gt;5&lt;/rec-number&gt;&lt;foreign-keys&gt;&lt;key app="EN" db-id="9ratsrwz8wzzspewsdu502wwd2ezesewppe2" timestamp="1438154939"&gt;5&lt;/key&gt;&lt;/foreign-keys&gt;&lt;ref-type name="Book"&gt;6&lt;/ref-type&gt;&lt;contributors&gt;&lt;authors&gt;&lt;author&gt;Williams, Bernard&lt;/author&gt;&lt;/authors&gt;&lt;/contributors&gt;&lt;titles&gt;&lt;title&gt;Ethics and the Limits of Philosophy&lt;/title&gt;&lt;/titles&gt;&lt;dates&gt;&lt;year&gt;1985&lt;/year&gt;&lt;/dates&gt;&lt;pub-location&gt;London&lt;/pub-location&gt;&lt;publisher&gt;Collins&lt;/publisher&gt;&lt;urls&gt;&lt;/urls&gt;&lt;/record&gt;&lt;/Cite&gt;&lt;/EndNote&gt;</w:instrText>
      </w:r>
      <w:r>
        <w:fldChar w:fldCharType="separate"/>
      </w:r>
      <w:r>
        <w:rPr>
          <w:noProof/>
        </w:rPr>
        <w:t xml:space="preserve">Bernard Williams, </w:t>
      </w:r>
      <w:r w:rsidRPr="007500F5">
        <w:rPr>
          <w:i/>
          <w:noProof/>
        </w:rPr>
        <w:t>Ethics and the Limits of Philosophy</w:t>
      </w:r>
      <w:r>
        <w:fldChar w:fldCharType="end"/>
      </w:r>
      <w:r>
        <w:t xml:space="preserve">, p.10; </w:t>
      </w:r>
      <w:r>
        <w:fldChar w:fldCharType="begin"/>
      </w:r>
      <w:r>
        <w:instrText xml:space="preserve"> ADDIN EN.CITE &lt;EndNote&gt;&lt;Cite&gt;&lt;Author&gt;Ewin&lt;/Author&gt;&lt;Year&gt;1981&lt;/Year&gt;&lt;RecNum&gt;215&lt;/RecNum&gt;&lt;DisplayText&gt;R.E. Ewin, &lt;style face="italic"&gt;Co-Operation and Human Values&lt;/style&gt;&lt;/DisplayText&gt;&lt;record&gt;&lt;rec-number&gt;215&lt;/rec-number&gt;&lt;foreign-keys&gt;&lt;key app="EN" db-id="9ratsrwz8wzzspewsdu502wwd2ezesewppe2" timestamp="1444364891"&gt;215&lt;/key&gt;&lt;/foreign-keys&gt;&lt;ref-type name="Book"&gt;6&lt;/ref-type&gt;&lt;contributors&gt;&lt;authors&gt;&lt;author&gt;Ewin, R.E.&lt;/author&gt;&lt;/authors&gt;&lt;/contributors&gt;&lt;titles&gt;&lt;title&gt;Co-operation and Human Values&lt;/title&gt;&lt;/titles&gt;&lt;dates&gt;&lt;year&gt;1981&lt;/year&gt;&lt;/dates&gt;&lt;pub-location&gt;Brighton&lt;/pub-location&gt;&lt;publisher&gt;Harvester Wheatsheaf&lt;/publisher&gt;&lt;urls&gt;&lt;/urls&gt;&lt;/record&gt;&lt;/Cite&gt;&lt;/EndNote&gt;</w:instrText>
      </w:r>
      <w:r>
        <w:fldChar w:fldCharType="separate"/>
      </w:r>
      <w:r>
        <w:rPr>
          <w:noProof/>
        </w:rPr>
        <w:t xml:space="preserve">R.E. Ewin, </w:t>
      </w:r>
      <w:r w:rsidRPr="007500F5">
        <w:rPr>
          <w:i/>
          <w:noProof/>
        </w:rPr>
        <w:t>Co-Operation and Human Values</w:t>
      </w:r>
      <w:r>
        <w:fldChar w:fldCharType="end"/>
      </w:r>
      <w:r>
        <w:t xml:space="preserve">, pp.195-6; and </w:t>
      </w:r>
      <w:r>
        <w:fldChar w:fldCharType="begin"/>
      </w:r>
      <w:r>
        <w:instrText xml:space="preserve"> ADDIN EN.CITE &lt;EndNote&gt;&lt;Cite&gt;&lt;Author&gt;Wallace&lt;/Author&gt;&lt;Year&gt;1978&lt;/Year&gt;&lt;RecNum&gt;53&lt;/RecNum&gt;&lt;DisplayText&gt;J. D. Wallace, &lt;style face="italic"&gt;Virtues and Vices&lt;/style&gt;&lt;/DisplayText&gt;&lt;record&gt;&lt;rec-number&gt;53&lt;/rec-number&gt;&lt;foreign-keys&gt;&lt;key app="EN" db-id="9ratsrwz8wzzspewsdu502wwd2ezesewppe2" timestamp="1438326172"&gt;53&lt;/key&gt;&lt;/foreign-keys&gt;&lt;ref-type name="Book"&gt;6&lt;/ref-type&gt;&lt;contributors&gt;&lt;authors&gt;&lt;author&gt;Wallace, J. D.&lt;/author&gt;&lt;/authors&gt;&lt;/contributors&gt;&lt;titles&gt;&lt;title&gt;Virtues and Vices&lt;/title&gt;&lt;/titles&gt;&lt;dates&gt;&lt;year&gt;1978&lt;/year&gt;&lt;/dates&gt;&lt;pub-location&gt;Ithaca&lt;/pub-location&gt;&lt;publisher&gt;Cornell University Press&lt;/publisher&gt;&lt;urls&gt;&lt;/urls&gt;&lt;/record&gt;&lt;/Cite&gt;&lt;/EndNote&gt;</w:instrText>
      </w:r>
      <w:r>
        <w:fldChar w:fldCharType="separate"/>
      </w:r>
      <w:r>
        <w:rPr>
          <w:noProof/>
        </w:rPr>
        <w:t xml:space="preserve">J. D. Wallace, </w:t>
      </w:r>
      <w:r w:rsidRPr="007500F5">
        <w:rPr>
          <w:i/>
          <w:noProof/>
        </w:rPr>
        <w:t>Virtues and Vices</w:t>
      </w:r>
      <w:r>
        <w:fldChar w:fldCharType="end"/>
      </w:r>
      <w:r>
        <w:t xml:space="preserve">, p.128); but it is sometimes contested – for example (on Kant's behalf) by </w:t>
      </w:r>
      <w:r>
        <w:fldChar w:fldCharType="begin"/>
      </w:r>
      <w:r>
        <w:instrText xml:space="preserve"> ADDIN EN.CITE &lt;EndNote&gt;&lt;Cite&gt;&lt;Author&gt;Baron&lt;/Author&gt;&lt;Year&gt;1985&lt;/Year&gt;&lt;RecNum&gt;213&lt;/RecNum&gt;&lt;DisplayText&gt;Marcia Baron, &amp;quot;Varieties of Ethics of Virtue&amp;quot;&lt;/DisplayText&gt;&lt;record&gt;&lt;rec-number&gt;213&lt;/rec-number&gt;&lt;foreign-keys&gt;&lt;key app="EN" db-id="9ratsrwz8wzzspewsdu502wwd2ezesewppe2" timestamp="1444364463"&gt;213&lt;/key&gt;&lt;/foreign-keys&gt;&lt;ref-type name="Journal Article"&gt;17&lt;/ref-type&gt;&lt;contributors&gt;&lt;authors&gt;&lt;author&gt;Baron, Marcia&lt;/author&gt;&lt;/authors&gt;&lt;/contributors&gt;&lt;titles&gt;&lt;title&gt;Varieties of Ethics of Virtue&lt;/title&gt;&lt;secondary-title&gt;American Philosophical Quarterly&lt;/secondary-title&gt;&lt;/titles&gt;&lt;periodical&gt;&lt;full-title&gt;American Philosophical Quarterly&lt;/full-title&gt;&lt;/periodical&gt;&lt;pages&gt;47-53&lt;/pages&gt;&lt;volume&gt;22&lt;/volume&gt;&lt;dates&gt;&lt;year&gt;1985&lt;/year&gt;&lt;/dates&gt;&lt;urls&gt;&lt;/urls&gt;&lt;/record&gt;&lt;/Cite&gt;&lt;/EndNote&gt;</w:instrText>
      </w:r>
      <w:r>
        <w:fldChar w:fldCharType="separate"/>
      </w:r>
      <w:r>
        <w:rPr>
          <w:noProof/>
        </w:rPr>
        <w:t>Marcia Baron, "Varieties of Ethics of Virtue"</w:t>
      </w:r>
      <w:r>
        <w:fldChar w:fldCharType="end"/>
      </w:r>
      <w:r>
        <w:t>.</w:t>
      </w:r>
    </w:p>
  </w:endnote>
  <w:endnote w:id="28">
    <w:p w:rsidR="002A1CCA" w:rsidRPr="00D56880" w:rsidRDefault="002A1CCA" w:rsidP="00CA2151">
      <w:pPr>
        <w:pStyle w:val="EndnoteText"/>
        <w:rPr>
          <w:lang w:val="en-AU"/>
        </w:rPr>
      </w:pPr>
      <w:r>
        <w:rPr>
          <w:rStyle w:val="EndnoteReference"/>
        </w:rPr>
        <w:endnoteRef/>
      </w:r>
      <w:r>
        <w:t xml:space="preserve"> </w:t>
      </w:r>
      <w:r>
        <w:rPr>
          <w:lang w:val="en-AU"/>
        </w:rPr>
        <w:t xml:space="preserve"> This classificatory scheme is consistent with the point that all reasons for responses can be cast as references to response-types. Whenever the question, “Why make response </w:t>
      </w:r>
      <w:r w:rsidRPr="00B30A5B">
        <w:rPr>
          <w:i/>
          <w:lang w:val="en-AU"/>
        </w:rPr>
        <w:t>R</w:t>
      </w:r>
      <w:r>
        <w:rPr>
          <w:lang w:val="en-AU"/>
        </w:rPr>
        <w:t xml:space="preserve">?” has the answer, “Because </w:t>
      </w:r>
      <w:r w:rsidRPr="00B30A5B">
        <w:rPr>
          <w:i/>
          <w:lang w:val="en-AU"/>
        </w:rPr>
        <w:t>X</w:t>
      </w:r>
      <w:r>
        <w:rPr>
          <w:lang w:val="en-AU"/>
        </w:rPr>
        <w:t xml:space="preserve"> is true”, that answer can be rephrased in the form, “Because </w:t>
      </w:r>
      <w:r w:rsidRPr="00B30A5B">
        <w:rPr>
          <w:i/>
          <w:lang w:val="en-AU"/>
        </w:rPr>
        <w:t>R</w:t>
      </w:r>
      <w:r>
        <w:rPr>
          <w:lang w:val="en-AU"/>
        </w:rPr>
        <w:t xml:space="preserve"> belongs to the type: responses of which </w:t>
      </w:r>
      <w:r w:rsidRPr="00B30A5B">
        <w:rPr>
          <w:i/>
          <w:lang w:val="en-AU"/>
        </w:rPr>
        <w:t>X</w:t>
      </w:r>
      <w:r>
        <w:rPr>
          <w:lang w:val="en-AU"/>
        </w:rPr>
        <w:t xml:space="preserve"> is true.”</w:t>
      </w:r>
    </w:p>
  </w:endnote>
  <w:endnote w:id="29">
    <w:p w:rsidR="002A1CCA" w:rsidRPr="003F234D" w:rsidRDefault="002A1CCA" w:rsidP="00CA2151">
      <w:pPr>
        <w:pStyle w:val="EndnoteText"/>
        <w:rPr>
          <w:lang w:val="en-AU"/>
        </w:rPr>
      </w:pPr>
      <w:r>
        <w:rPr>
          <w:rStyle w:val="EndnoteReference"/>
        </w:rPr>
        <w:endnoteRef/>
      </w:r>
      <w:r>
        <w:t xml:space="preserve"> </w:t>
      </w:r>
      <w:r>
        <w:rPr>
          <w:lang w:val="en-AU"/>
        </w:rPr>
        <w:t xml:space="preserve"> So I do not see the following discussion as joining the debate initiated by the situationist critics of virtue </w:t>
      </w:r>
      <w:r w:rsidRPr="00E038D6">
        <w:rPr>
          <w:lang w:val="en-AU"/>
        </w:rPr>
        <w:t xml:space="preserve">theory, such as </w:t>
      </w:r>
      <w:r w:rsidRPr="00E038D6">
        <w:fldChar w:fldCharType="begin"/>
      </w:r>
      <w:r>
        <w:instrText xml:space="preserve"> ADDIN EN.CITE &lt;EndNote&gt;&lt;Cite&gt;&lt;Author&gt;Doris&lt;/Author&gt;&lt;Year&gt;2002&lt;/Year&gt;&lt;RecNum&gt;217&lt;/RecNum&gt;&lt;DisplayText&gt;John Doris, &lt;style face="italic"&gt;Lack of Character: Personality and Moral Behavior&lt;/style&gt;&lt;/DisplayText&gt;&lt;record&gt;&lt;rec-number&gt;217&lt;/rec-number&gt;&lt;foreign-keys&gt;&lt;key app="EN" db-id="9ratsrwz8wzzspewsdu502wwd2ezesewppe2" timestamp="1444373266"&gt;217&lt;/key&gt;&lt;/foreign-keys&gt;&lt;ref-type name="Book"&gt;6&lt;/ref-type&gt;&lt;contributors&gt;&lt;authors&gt;&lt;author&gt;Doris, John&lt;/author&gt;&lt;/authors&gt;&lt;/contributors&gt;&lt;titles&gt;&lt;title&gt;Lack of Character: Personality and Moral Behavior&lt;/title&gt;&lt;short-title&gt;Lack of Character&lt;/short-title&gt;&lt;/titles&gt;&lt;dates&gt;&lt;year&gt;2002&lt;/year&gt;&lt;/dates&gt;&lt;pub-location&gt;Cambridge&lt;/pub-location&gt;&lt;publisher&gt;Cambridge University Press&lt;/publisher&gt;&lt;urls&gt;&lt;/urls&gt;&lt;/record&gt;&lt;/Cite&gt;&lt;/EndNote&gt;</w:instrText>
      </w:r>
      <w:r w:rsidRPr="00E038D6">
        <w:fldChar w:fldCharType="separate"/>
      </w:r>
      <w:r>
        <w:rPr>
          <w:noProof/>
        </w:rPr>
        <w:t xml:space="preserve">John Doris, </w:t>
      </w:r>
      <w:r w:rsidRPr="007500F5">
        <w:rPr>
          <w:i/>
          <w:noProof/>
        </w:rPr>
        <w:t>Lack of Character: Personality and Moral Behavior</w:t>
      </w:r>
      <w:r w:rsidRPr="00E038D6">
        <w:fldChar w:fldCharType="end"/>
      </w:r>
      <w:r w:rsidRPr="00E038D6">
        <w:rPr>
          <w:lang w:val="en-AU"/>
        </w:rPr>
        <w:t xml:space="preserve"> and </w:t>
      </w:r>
      <w:r w:rsidRPr="00E038D6">
        <w:fldChar w:fldCharType="begin"/>
      </w:r>
      <w:r>
        <w:instrText xml:space="preserve"> ADDIN EN.CITE &lt;EndNote&gt;&lt;Cite&gt;&lt;Author&gt;Harman&lt;/Author&gt;&lt;Year&gt;2000&lt;/Year&gt;&lt;RecNum&gt;218&lt;/RecNum&gt;&lt;DisplayText&gt;Gilbert Harman, &amp;quot;The Nonexistence of Character Traits&amp;quot;&lt;/DisplayText&gt;&lt;record&gt;&lt;rec-number&gt;218&lt;/rec-number&gt;&lt;foreign-keys&gt;&lt;key app="EN" db-id="9ratsrwz8wzzspewsdu502wwd2ezesewppe2" timestamp="1444373377"&gt;218&lt;/key&gt;&lt;/foreign-keys&gt;&lt;ref-type name="Journal Article"&gt;17&lt;/ref-type&gt;&lt;contributors&gt;&lt;authors&gt;&lt;author&gt;Harman, Gilbert&lt;/author&gt;&lt;/authors&gt;&lt;/contributors&gt;&lt;titles&gt;&lt;title&gt;The Nonexistence of Character Traits&lt;/title&gt;&lt;secondary-title&gt;Proceedings of the Aristotelian Society&lt;/secondary-title&gt;&lt;/titles&gt;&lt;periodical&gt;&lt;full-title&gt;Proceedings of the Aristotelian Society&lt;/full-title&gt;&lt;/periodical&gt;&lt;pages&gt;223-226&lt;/pages&gt;&lt;volume&gt;100&lt;/volume&gt;&lt;dates&gt;&lt;year&gt;2000&lt;/year&gt;&lt;/dates&gt;&lt;urls&gt;&lt;/urls&gt;&lt;/record&gt;&lt;/Cite&gt;&lt;/EndNote&gt;</w:instrText>
      </w:r>
      <w:r w:rsidRPr="00E038D6">
        <w:fldChar w:fldCharType="separate"/>
      </w:r>
      <w:r>
        <w:rPr>
          <w:noProof/>
        </w:rPr>
        <w:t>Gilbert Harman, "The Nonexistence of Character Traits"</w:t>
      </w:r>
      <w:r w:rsidRPr="00E038D6">
        <w:fldChar w:fldCharType="end"/>
      </w:r>
      <w:r w:rsidRPr="00E038D6">
        <w:rPr>
          <w:lang w:val="en-AU"/>
        </w:rPr>
        <w:t xml:space="preserve"> and </w:t>
      </w:r>
      <w:r w:rsidRPr="00E038D6">
        <w:fldChar w:fldCharType="begin"/>
      </w:r>
      <w:r>
        <w:instrText xml:space="preserve"> ADDIN EN.CITE &lt;EndNote&gt;&lt;Cite ExcludeAuth="1"&gt;&lt;Author&gt;Harman&lt;/Author&gt;&lt;Year&gt;2009&lt;/Year&gt;&lt;RecNum&gt;235&lt;/RecNum&gt;&lt;DisplayText&gt;&amp;quot;Scepticism About Character Traits&amp;quot;&lt;/DisplayText&gt;&lt;record&gt;&lt;rec-number&gt;235&lt;/rec-number&gt;&lt;foreign-keys&gt;&lt;key app="EN" db-id="9ratsrwz8wzzspewsdu502wwd2ezesewppe2" timestamp="1445399316"&gt;235&lt;/key&gt;&lt;/foreign-keys&gt;&lt;ref-type name="Journal Article"&gt;17&lt;/ref-type&gt;&lt;contributors&gt;&lt;authors&gt;&lt;author&gt;Harman, Gilbert&lt;/author&gt;&lt;/authors&gt;&lt;/contributors&gt;&lt;titles&gt;&lt;title&gt;Scepticism About Character Traits&lt;/title&gt;&lt;secondary-title&gt;The Journal of Ethics&lt;/secondary-title&gt;&lt;/titles&gt;&lt;periodical&gt;&lt;full-title&gt;The Journal of Ethics&lt;/full-title&gt;&lt;/periodical&gt;&lt;pages&gt;235-42&lt;/pages&gt;&lt;volume&gt;13&lt;/volume&gt;&lt;dates&gt;&lt;year&gt;2009&lt;/year&gt;&lt;/dates&gt;&lt;urls&gt;&lt;/urls&gt;&lt;/record&gt;&lt;/Cite&gt;&lt;/EndNote&gt;</w:instrText>
      </w:r>
      <w:r w:rsidRPr="00E038D6">
        <w:fldChar w:fldCharType="separate"/>
      </w:r>
      <w:r>
        <w:rPr>
          <w:noProof/>
        </w:rPr>
        <w:t>"Scepticism About Character Traits"</w:t>
      </w:r>
      <w:r w:rsidRPr="00E038D6">
        <w:fldChar w:fldCharType="end"/>
      </w:r>
      <w:r w:rsidRPr="00E038D6">
        <w:rPr>
          <w:lang w:val="en-AU"/>
        </w:rPr>
        <w:t xml:space="preserve">. (This response to the situationists is labelled “the dodge” by </w:t>
      </w:r>
      <w:r w:rsidRPr="00E038D6">
        <w:fldChar w:fldCharType="begin"/>
      </w:r>
      <w:r>
        <w:instrText xml:space="preserve"> ADDIN EN.CITE &lt;EndNote&gt;&lt;Cite&gt;&lt;Author&gt;Alfano&lt;/Author&gt;&lt;Year&gt;2013&lt;/Year&gt;&lt;RecNum&gt;225&lt;/RecNum&gt;&lt;DisplayText&gt;Mark Alfano, &lt;style face="italic"&gt;Character as Moral Fiction&lt;/style&gt;&lt;/DisplayText&gt;&lt;record&gt;&lt;rec-number&gt;225&lt;/rec-number&gt;&lt;foreign-keys&gt;&lt;key app="EN" db-id="9ratsrwz8wzzspewsdu502wwd2ezesewppe2" timestamp="1444442302"&gt;225&lt;/key&gt;&lt;/foreign-keys&gt;&lt;ref-type name="Book"&gt;6&lt;/ref-type&gt;&lt;contributors&gt;&lt;authors&gt;&lt;author&gt;Alfano, Mark&lt;/author&gt;&lt;/authors&gt;&lt;/contributors&gt;&lt;titles&gt;&lt;title&gt;Character as Moral Fiction&lt;/title&gt;&lt;/titles&gt;&lt;dates&gt;&lt;year&gt;2013&lt;/year&gt;&lt;/dates&gt;&lt;pub-location&gt;Cambridge&lt;/pub-location&gt;&lt;publisher&gt;Cambridge University Press&lt;/publisher&gt;&lt;urls&gt;&lt;/urls&gt;&lt;/record&gt;&lt;/Cite&gt;&lt;/EndNote&gt;</w:instrText>
      </w:r>
      <w:r w:rsidRPr="00E038D6">
        <w:fldChar w:fldCharType="separate"/>
      </w:r>
      <w:r>
        <w:rPr>
          <w:noProof/>
        </w:rPr>
        <w:t xml:space="preserve">Mark Alfano, </w:t>
      </w:r>
      <w:r w:rsidRPr="007500F5">
        <w:rPr>
          <w:i/>
          <w:noProof/>
        </w:rPr>
        <w:t>Character as Moral Fiction</w:t>
      </w:r>
      <w:r w:rsidRPr="00E038D6">
        <w:fldChar w:fldCharType="end"/>
      </w:r>
      <w:r w:rsidRPr="00E038D6">
        <w:rPr>
          <w:lang w:val="en-AU"/>
        </w:rPr>
        <w:t>, pp.62-4.) However, it is true that if the facts of human psychology are such</w:t>
      </w:r>
      <w:r>
        <w:rPr>
          <w:lang w:val="en-AU"/>
        </w:rPr>
        <w:t xml:space="preserve"> that there is no sense in which the making of good responses is “characteristic” of a person, then the unqualified attribution of virtues to persons of the form, “She has the virtue of </w:t>
      </w:r>
      <w:r>
        <w:rPr>
          <w:i/>
          <w:lang w:val="en-AU"/>
        </w:rPr>
        <w:t>V</w:t>
      </w:r>
      <w:r>
        <w:rPr>
          <w:i/>
          <w:vertAlign w:val="subscript"/>
          <w:lang w:val="en-AU"/>
        </w:rPr>
        <w:t>n</w:t>
      </w:r>
      <w:r>
        <w:rPr>
          <w:lang w:val="en-AU"/>
        </w:rPr>
        <w:t xml:space="preserve">” will be indefensible – they will need to be replaced by judgements of the form, “She acts with the virtue of </w:t>
      </w:r>
      <w:r>
        <w:rPr>
          <w:i/>
          <w:lang w:val="en-AU"/>
        </w:rPr>
        <w:t>V</w:t>
      </w:r>
      <w:r>
        <w:rPr>
          <w:i/>
          <w:vertAlign w:val="subscript"/>
          <w:lang w:val="en-AU"/>
        </w:rPr>
        <w:t>n</w:t>
      </w:r>
      <w:r>
        <w:rPr>
          <w:lang w:val="en-AU"/>
        </w:rPr>
        <w:t xml:space="preserve"> in situations of type </w:t>
      </w:r>
      <w:r>
        <w:rPr>
          <w:i/>
          <w:lang w:val="en-AU"/>
        </w:rPr>
        <w:t>T</w:t>
      </w:r>
      <w:r>
        <w:rPr>
          <w:lang w:val="en-AU"/>
        </w:rPr>
        <w:t>.”</w:t>
      </w:r>
    </w:p>
  </w:endnote>
  <w:endnote w:id="30">
    <w:p w:rsidR="002A1CCA" w:rsidRPr="00056C52" w:rsidRDefault="002A1CCA" w:rsidP="00CA2151">
      <w:pPr>
        <w:pStyle w:val="EndnoteText"/>
        <w:rPr>
          <w:lang w:val="en-AU"/>
        </w:rPr>
      </w:pPr>
      <w:r>
        <w:rPr>
          <w:rStyle w:val="EndnoteReference"/>
        </w:rPr>
        <w:endnoteRef/>
      </w:r>
      <w:r>
        <w:t xml:space="preserve"> </w:t>
      </w:r>
      <w:r>
        <w:rPr>
          <w:lang w:val="en-AU"/>
        </w:rPr>
        <w:t xml:space="preserve"> Here I am in sympathy with </w:t>
      </w:r>
      <w:r>
        <w:fldChar w:fldCharType="begin"/>
      </w:r>
      <w:r>
        <w:instrText xml:space="preserve"> ADDIN EN.CITE &lt;EndNote&gt;&lt;Cite&gt;&lt;Author&gt;Adams&lt;/Author&gt;&lt;Year&gt;2006&lt;/Year&gt;&lt;RecNum&gt;219&lt;/RecNum&gt;&lt;DisplayText&gt;Robert Merrihew Adams, &lt;style face="italic"&gt;A Theory of Virtue: Excellence in Being for the Good&lt;/style&gt;&lt;/DisplayText&gt;&lt;record&gt;&lt;rec-number&gt;219&lt;/rec-number&gt;&lt;foreign-keys&gt;&lt;key app="EN" db-id="9ratsrwz8wzzspewsdu502wwd2ezesewppe2" timestamp="1444373524"&gt;219&lt;/key&gt;&lt;/foreign-keys&gt;&lt;ref-type name="Book"&gt;6&lt;/ref-type&gt;&lt;contributors&gt;&lt;authors&gt;&lt;author&gt;Adams, Robert Merrihew&lt;/author&gt;&lt;/authors&gt;&lt;/contributors&gt;&lt;titles&gt;&lt;title&gt;A Theory of Virtue: Excellence in Being for the Good&lt;/title&gt;&lt;short-title&gt;A Theory of Virtue&lt;/short-title&gt;&lt;/titles&gt;&lt;dates&gt;&lt;year&gt;2006&lt;/year&gt;&lt;/dates&gt;&lt;pub-location&gt;Oxford&lt;/pub-location&gt;&lt;publisher&gt;Clarendon Press&lt;/publisher&gt;&lt;urls&gt;&lt;/urls&gt;&lt;/record&gt;&lt;/Cite&gt;&lt;/EndNote&gt;</w:instrText>
      </w:r>
      <w:r>
        <w:fldChar w:fldCharType="separate"/>
      </w:r>
      <w:r>
        <w:rPr>
          <w:noProof/>
        </w:rPr>
        <w:t xml:space="preserve">Robert Merrihew Adams, </w:t>
      </w:r>
      <w:r w:rsidRPr="007500F5">
        <w:rPr>
          <w:i/>
          <w:noProof/>
        </w:rPr>
        <w:t>A Theory of Virtue: Excellence in Being for the Good</w:t>
      </w:r>
      <w:r>
        <w:fldChar w:fldCharType="end"/>
      </w:r>
      <w:r>
        <w:rPr>
          <w:lang w:val="en-AU"/>
        </w:rPr>
        <w:t>, Ch.9.</w:t>
      </w:r>
    </w:p>
  </w:endnote>
  <w:endnote w:id="31">
    <w:p w:rsidR="002A1CCA" w:rsidRPr="00056C52" w:rsidRDefault="002A1CCA" w:rsidP="00CA2151">
      <w:pPr>
        <w:pStyle w:val="EndnoteText"/>
        <w:rPr>
          <w:lang w:val="en-AU"/>
        </w:rPr>
      </w:pPr>
      <w:r>
        <w:rPr>
          <w:rStyle w:val="EndnoteReference"/>
        </w:rPr>
        <w:endnoteRef/>
      </w:r>
      <w:r>
        <w:t xml:space="preserve"> </w:t>
      </w:r>
      <w:r>
        <w:rPr>
          <w:lang w:val="en-AU"/>
        </w:rPr>
        <w:t xml:space="preserve"> Compare the quality-of-will theory of moral worth developed in </w:t>
      </w:r>
      <w:r>
        <w:fldChar w:fldCharType="begin"/>
      </w:r>
      <w:r>
        <w:instrText xml:space="preserve"> ADDIN EN.CITE &lt;EndNote&gt;&lt;Cite&gt;&lt;Author&gt;Arpaly&lt;/Author&gt;&lt;Year&gt;2002&lt;/Year&gt;&lt;RecNum&gt;220&lt;/RecNum&gt;&lt;DisplayText&gt;Nomy Arpaly, &amp;quot;Moral Worth&amp;quot;&lt;/DisplayText&gt;&lt;record&gt;&lt;rec-number&gt;220&lt;/rec-number&gt;&lt;foreign-keys&gt;&lt;key app="EN" db-id="9ratsrwz8wzzspewsdu502wwd2ezesewppe2" timestamp="1444373715"&gt;220&lt;/key&gt;&lt;/foreign-keys&gt;&lt;ref-type name="Journal Article"&gt;17&lt;/ref-type&gt;&lt;contributors&gt;&lt;authors&gt;&lt;author&gt;Arpaly, Nomy&lt;/author&gt;&lt;/authors&gt;&lt;/contributors&gt;&lt;titles&gt;&lt;title&gt;Moral Worth&lt;/title&gt;&lt;secondary-title&gt;The Journal of Philosophy&lt;/secondary-title&gt;&lt;/titles&gt;&lt;periodical&gt;&lt;full-title&gt;The Journal of Philosophy&lt;/full-title&gt;&lt;/periodical&gt;&lt;pages&gt;223-45&lt;/pages&gt;&lt;volume&gt;99&lt;/volume&gt;&lt;dates&gt;&lt;year&gt;2002&lt;/year&gt;&lt;/dates&gt;&lt;urls&gt;&lt;/urls&gt;&lt;/record&gt;&lt;/Cite&gt;&lt;/EndNote&gt;</w:instrText>
      </w:r>
      <w:r>
        <w:fldChar w:fldCharType="separate"/>
      </w:r>
      <w:r>
        <w:rPr>
          <w:noProof/>
        </w:rPr>
        <w:t>Nomy Arpaly, "Moral Worth"</w:t>
      </w:r>
      <w:r>
        <w:fldChar w:fldCharType="end"/>
      </w:r>
      <w:r>
        <w:rPr>
          <w:lang w:val="en-AU"/>
        </w:rPr>
        <w:t xml:space="preserve"> and </w:t>
      </w:r>
      <w:r>
        <w:fldChar w:fldCharType="begin"/>
      </w:r>
      <w:r>
        <w:instrText xml:space="preserve"> ADDIN EN.CITE &lt;EndNote&gt;&lt;Cite ExcludeAuth="1"&gt;&lt;Author&gt;Arpaly&lt;/Author&gt;&lt;Year&gt;2003&lt;/Year&gt;&lt;RecNum&gt;19&lt;/RecNum&gt;&lt;DisplayText&gt;&lt;style face="italic"&gt;Unprincipled Virtue&lt;/style&gt;&lt;/DisplayText&gt;&lt;record&gt;&lt;rec-number&gt;19&lt;/rec-number&gt;&lt;foreign-keys&gt;&lt;key app="EN" db-id="a5ffrdzp85025zevt0ivvtahzzw0ea5fveps" timestamp="1457520146"&gt;19&lt;/key&gt;&lt;/foreign-keys&gt;&lt;ref-type name="Book"&gt;6&lt;/ref-type&gt;&lt;contributors&gt;&lt;authors&gt;&lt;author&gt;Arpaly, Nomy&lt;/author&gt;&lt;/authors&gt;&lt;/contributors&gt;&lt;titles&gt;&lt;title&gt;Unprincipled Virtue&lt;/title&gt;&lt;/titles&gt;&lt;dates&gt;&lt;year&gt;2003&lt;/year&gt;&lt;/dates&gt;&lt;pub-location&gt;New York&lt;/pub-location&gt;&lt;publisher&gt;Oxford University Press&lt;/publisher&gt;&lt;urls&gt;&lt;/urls&gt;&lt;/record&gt;&lt;/Cite&gt;&lt;/EndNote&gt;</w:instrText>
      </w:r>
      <w:r>
        <w:fldChar w:fldCharType="separate"/>
      </w:r>
      <w:r w:rsidRPr="002A1CCA">
        <w:rPr>
          <w:i/>
          <w:noProof/>
        </w:rPr>
        <w:t>Unprincipled Virtue</w:t>
      </w:r>
      <w:r>
        <w:fldChar w:fldCharType="end"/>
      </w:r>
      <w:r>
        <w:rPr>
          <w:lang w:val="en-AU"/>
        </w:rPr>
        <w:t>, Ch.3.</w:t>
      </w:r>
    </w:p>
  </w:endnote>
  <w:endnote w:id="32">
    <w:p w:rsidR="002A1CCA" w:rsidRPr="000D11FD" w:rsidRDefault="002A1CCA">
      <w:pPr>
        <w:pStyle w:val="EndnoteText"/>
        <w:rPr>
          <w:lang w:val="en-AU"/>
        </w:rPr>
      </w:pPr>
      <w:r>
        <w:rPr>
          <w:rStyle w:val="EndnoteReference"/>
        </w:rPr>
        <w:endnoteRef/>
      </w:r>
      <w:r>
        <w:t xml:space="preserve"> </w:t>
      </w:r>
      <w:r>
        <w:rPr>
          <w:lang w:val="en-AU"/>
        </w:rPr>
        <w:t xml:space="preserve"> See </w:t>
      </w:r>
      <w:r>
        <w:rPr>
          <w:lang w:val="en-AU"/>
        </w:rPr>
        <w:fldChar w:fldCharType="begin"/>
      </w:r>
      <w:r>
        <w:rPr>
          <w:lang w:val="en-AU"/>
        </w:rPr>
        <w:instrText xml:space="preserve"> ADDIN EN.CITE &lt;EndNote&gt;&lt;Cite&gt;&lt;Author&gt;Scanlon&lt;/Author&gt;&lt;Year&gt;2008&lt;/Year&gt;&lt;RecNum&gt;91&lt;/RecNum&gt;&lt;DisplayText&gt;T.M. Scanlon, &lt;style face="italic"&gt;Moral Dimensions: Meaning, Permissibility, Blame&lt;/style&gt;&lt;/DisplayText&gt;&lt;record&gt;&lt;rec-number&gt;91&lt;/rec-number&gt;&lt;foreign-keys&gt;&lt;key app="EN" db-id="9ratsrwz8wzzspewsdu502wwd2ezesewppe2" timestamp="1438931863"&gt;91&lt;/key&gt;&lt;/foreign-keys&gt;&lt;ref-type name="Book"&gt;6&lt;/ref-type&gt;&lt;contributors&gt;&lt;authors&gt;&lt;author&gt;Scanlon, T.M.&lt;/author&gt;&lt;/authors&gt;&lt;/contributors&gt;&lt;titles&gt;&lt;title&gt;Moral Dimensions: Meaning, Permissibility, Blame&lt;/title&gt;&lt;short-title&gt;Moral Dimensions&lt;/short-title&gt;&lt;/titles&gt;&lt;dates&gt;&lt;year&gt;2008&lt;/year&gt;&lt;/dates&gt;&lt;pub-location&gt;Cambridge, Mass.&lt;/pub-location&gt;&lt;publisher&gt;Harvard University Press&lt;/publisher&gt;&lt;urls&gt;&lt;/urls&gt;&lt;/record&gt;&lt;/Cite&gt;&lt;/EndNote&gt;</w:instrText>
      </w:r>
      <w:r>
        <w:rPr>
          <w:lang w:val="en-AU"/>
        </w:rPr>
        <w:fldChar w:fldCharType="separate"/>
      </w:r>
      <w:r>
        <w:rPr>
          <w:noProof/>
          <w:lang w:val="en-AU"/>
        </w:rPr>
        <w:t xml:space="preserve">T.M. Scanlon, </w:t>
      </w:r>
      <w:r w:rsidRPr="000D11FD">
        <w:rPr>
          <w:i/>
          <w:noProof/>
          <w:lang w:val="en-AU"/>
        </w:rPr>
        <w:t>Moral Dimensions: Meaning, Permissibility, Blame</w:t>
      </w:r>
      <w:r>
        <w:rPr>
          <w:lang w:val="en-AU"/>
        </w:rPr>
        <w:fldChar w:fldCharType="end"/>
      </w:r>
      <w:r>
        <w:rPr>
          <w:lang w:val="en-AU"/>
        </w:rPr>
        <w:t>, p.54.</w:t>
      </w:r>
    </w:p>
  </w:endnote>
  <w:endnote w:id="33">
    <w:p w:rsidR="002A1CCA" w:rsidRPr="00DB65AB" w:rsidRDefault="002A1CCA">
      <w:pPr>
        <w:pStyle w:val="EndnoteText"/>
        <w:rPr>
          <w:lang w:val="en-AU"/>
        </w:rPr>
      </w:pPr>
      <w:r>
        <w:rPr>
          <w:rStyle w:val="EndnoteReference"/>
        </w:rPr>
        <w:endnoteRef/>
      </w:r>
      <w:r>
        <w:t xml:space="preserve"> </w:t>
      </w:r>
      <w:r>
        <w:rPr>
          <w:lang w:val="en-AU"/>
        </w:rPr>
        <w:t xml:space="preserve"> This is not to say that the </w:t>
      </w:r>
      <w:r>
        <w:rPr>
          <w:i/>
          <w:lang w:val="en-AU"/>
        </w:rPr>
        <w:t>epistemology</w:t>
      </w:r>
      <w:r>
        <w:rPr>
          <w:lang w:val="en-AU"/>
        </w:rPr>
        <w:t xml:space="preserve"> of judgements about reasons or their derivation is foundationalist rather than coherentist.</w:t>
      </w:r>
    </w:p>
  </w:endnote>
  <w:endnote w:id="34">
    <w:p w:rsidR="002A1CCA" w:rsidRPr="00F65BB9" w:rsidRDefault="002A1CCA">
      <w:pPr>
        <w:pStyle w:val="EndnoteText"/>
        <w:rPr>
          <w:lang w:val="en-AU"/>
        </w:rPr>
      </w:pPr>
      <w:r>
        <w:rPr>
          <w:rStyle w:val="EndnoteReference"/>
        </w:rPr>
        <w:endnoteRef/>
      </w:r>
      <w:r>
        <w:t xml:space="preserve"> </w:t>
      </w:r>
      <w:r>
        <w:rPr>
          <w:lang w:val="en-AU"/>
        </w:rPr>
        <w:t xml:space="preserve"> I hope this at least has some prima facie plausibility. A defence of this large claim requires showing how it helps us to make the best sense of the overall structure of morality. I attempt that much larger task in my </w:t>
      </w:r>
      <w:r>
        <w:rPr>
          <w:lang w:val="en-AU"/>
        </w:rPr>
        <w:fldChar w:fldCharType="begin"/>
      </w:r>
      <w:r>
        <w:rPr>
          <w:lang w:val="en-AU"/>
        </w:rPr>
        <w:instrText xml:space="preserve"> ADDIN EN.CITE &lt;EndNote&gt;&lt;Cite ExcludeAuth="1"&gt;&lt;Author&gt;Cullity&lt;/Author&gt;&lt;Year&gt;forthcoming&lt;/Year&gt;&lt;RecNum&gt;126&lt;/RecNum&gt;&lt;DisplayText&gt;&lt;style face="italic"&gt;Concern, Respect and Cooperation&lt;/style&gt;&lt;/DisplayText&gt;&lt;record&gt;&lt;rec-number&gt;126&lt;/rec-number&gt;&lt;foreign-keys&gt;&lt;key app="EN" db-id="a5ffrdzp85025zevt0ivvtahzzw0ea5fveps" timestamp="1467961731"&gt;126&lt;/key&gt;&lt;/foreign-keys&gt;&lt;ref-type name="Book"&gt;6&lt;/ref-type&gt;&lt;contributors&gt;&lt;authors&gt;&lt;author&gt;Cullity, Garrett&lt;/author&gt;&lt;/authors&gt;&lt;/contributors&gt;&lt;titles&gt;&lt;title&gt;Concern, Respect and Cooperation&lt;/title&gt;&lt;/titles&gt;&lt;dates&gt;&lt;year&gt;forthcoming&lt;/year&gt;&lt;/dates&gt;&lt;pub-location&gt;Oxford&lt;/pub-location&gt;&lt;publisher&gt;Oxford University Press&lt;/publisher&gt;&lt;urls&gt;&lt;/urls&gt;&lt;/record&gt;&lt;/Cite&gt;&lt;/EndNote&gt;</w:instrText>
      </w:r>
      <w:r>
        <w:rPr>
          <w:lang w:val="en-AU"/>
        </w:rPr>
        <w:fldChar w:fldCharType="separate"/>
      </w:r>
      <w:r w:rsidRPr="00F65BB9">
        <w:rPr>
          <w:i/>
          <w:noProof/>
          <w:lang w:val="en-AU"/>
        </w:rPr>
        <w:t>Concern, Respect and Cooperation</w:t>
      </w:r>
      <w:r>
        <w:rPr>
          <w:lang w:val="en-AU"/>
        </w:rPr>
        <w:fldChar w:fldCharType="end"/>
      </w:r>
      <w:r>
        <w:rPr>
          <w:lang w:val="en-AU"/>
        </w:rPr>
        <w:t>.</w:t>
      </w:r>
    </w:p>
  </w:endnote>
  <w:endnote w:id="35">
    <w:p w:rsidR="002A1CCA" w:rsidRPr="002D26EE" w:rsidRDefault="002A1CCA" w:rsidP="00CA2151">
      <w:pPr>
        <w:pStyle w:val="EndnoteText"/>
        <w:rPr>
          <w:lang w:val="en-AU"/>
        </w:rPr>
      </w:pPr>
      <w:r>
        <w:rPr>
          <w:rStyle w:val="EndnoteReference"/>
        </w:rPr>
        <w:endnoteRef/>
      </w:r>
      <w:r>
        <w:t xml:space="preserve"> </w:t>
      </w:r>
      <w:r>
        <w:rPr>
          <w:lang w:val="en-AU"/>
        </w:rPr>
        <w:t xml:space="preserve"> According to </w:t>
      </w:r>
      <w:r>
        <w:fldChar w:fldCharType="begin"/>
      </w:r>
      <w:r>
        <w:instrText xml:space="preserve"> ADDIN EN.CITE &lt;EndNote&gt;&lt;Cite&gt;&lt;Author&gt;Von Wright&lt;/Author&gt;&lt;Year&gt;1963&lt;/Year&gt;&lt;RecNum&gt;6&lt;/RecNum&gt;&lt;DisplayText&gt;G.H. Von Wright, &lt;style face="italic"&gt;The Varieties of Goodness&lt;/style&gt;&lt;/DisplayText&gt;&lt;record&gt;&lt;rec-number&gt;6&lt;/rec-number&gt;&lt;foreign-keys&gt;&lt;key app="EN" db-id="9ratsrwz8wzzspewsdu502wwd2ezesewppe2" timestamp="1438155433"&gt;6&lt;/key&gt;&lt;/foreign-keys&gt;&lt;ref-type name="Book"&gt;6&lt;/ref-type&gt;&lt;contributors&gt;&lt;authors&gt;&lt;author&gt;Von Wright, G.H.&lt;/author&gt;&lt;/authors&gt;&lt;/contributors&gt;&lt;titles&gt;&lt;title&gt;The Varieties of Goodness&lt;/title&gt;&lt;/titles&gt;&lt;dates&gt;&lt;year&gt;1963&lt;/year&gt;&lt;/dates&gt;&lt;pub-location&gt;London&lt;/pub-location&gt;&lt;publisher&gt;Routledge &amp;amp; Kegan Paul&lt;/publisher&gt;&lt;urls&gt;&lt;/urls&gt;&lt;/record&gt;&lt;/Cite&gt;&lt;/EndNote&gt;</w:instrText>
      </w:r>
      <w:r>
        <w:fldChar w:fldCharType="separate"/>
      </w:r>
      <w:r>
        <w:rPr>
          <w:noProof/>
        </w:rPr>
        <w:t xml:space="preserve">G.H. Von Wright, </w:t>
      </w:r>
      <w:r w:rsidRPr="007500F5">
        <w:rPr>
          <w:i/>
          <w:noProof/>
        </w:rPr>
        <w:t>The Varieties of Goodness</w:t>
      </w:r>
      <w:r>
        <w:fldChar w:fldCharType="end"/>
      </w:r>
      <w:r>
        <w:rPr>
          <w:lang w:val="en-AU"/>
        </w:rPr>
        <w:t xml:space="preserve">, Ch.7, all virtues are specifications of </w:t>
      </w:r>
      <w:r>
        <w:rPr>
          <w:i/>
          <w:lang w:val="en-AU"/>
        </w:rPr>
        <w:t>the</w:t>
      </w:r>
      <w:r>
        <w:rPr>
          <w:lang w:val="en-AU"/>
        </w:rPr>
        <w:t xml:space="preserve"> virtue of self-control. I think he over-generalizes.</w:t>
      </w:r>
    </w:p>
  </w:endnote>
  <w:endnote w:id="36">
    <w:p w:rsidR="002A1CCA" w:rsidRDefault="002A1CCA" w:rsidP="002C5672">
      <w:pPr>
        <w:pStyle w:val="EndnoteText"/>
      </w:pPr>
      <w:r>
        <w:rPr>
          <w:rStyle w:val="EndnoteReference"/>
        </w:rPr>
        <w:endnoteRef/>
      </w:r>
      <w:r>
        <w:t xml:space="preserve">  We need not see this Aristotelian ideal as a state in which the natural appetites themselves are lost. For we can distinguish between an appetite – a state of experiencing something as attractive – and the motivation to satisfy it. The Aristotelian virtue of temperance should not be seen as a state in which one does not feel hungry when one has not been fed; but it is a state in which one is not motivated to take someone else’s lunch when one is hungry – there is no motivation to act that has to be resisted.</w:t>
      </w:r>
    </w:p>
  </w:endnote>
  <w:endnote w:id="37">
    <w:p w:rsidR="002A1CCA" w:rsidRPr="00B8483C" w:rsidRDefault="002A1CCA">
      <w:pPr>
        <w:pStyle w:val="EndnoteText"/>
        <w:rPr>
          <w:lang w:val="en-AU"/>
        </w:rPr>
      </w:pPr>
      <w:r>
        <w:rPr>
          <w:rStyle w:val="EndnoteReference"/>
        </w:rPr>
        <w:endnoteRef/>
      </w:r>
      <w:r>
        <w:t xml:space="preserve"> </w:t>
      </w:r>
      <w:r>
        <w:rPr>
          <w:lang w:val="en-AU"/>
        </w:rPr>
        <w:t xml:space="preserve"> Chastity, of course, has acquired a bad reputation through the use of the word as an instrument of sexual repression. Perhaps our word for it needs to be retired. But we should not be led by that to doubt whether there is a virtue of self-control in relation to one’s sexual appetites. As our culture becomes increasingly sexualized, our lacking a vocabulary for talking about this virtue becomes increasingly problematic.</w:t>
      </w:r>
    </w:p>
  </w:endnote>
  <w:endnote w:id="38">
    <w:p w:rsidR="002A1CCA" w:rsidRPr="00035969" w:rsidRDefault="002A1CCA">
      <w:pPr>
        <w:pStyle w:val="EndnoteText"/>
        <w:rPr>
          <w:lang w:val="en-AU"/>
        </w:rPr>
      </w:pPr>
      <w:r>
        <w:rPr>
          <w:rStyle w:val="EndnoteReference"/>
        </w:rPr>
        <w:endnoteRef/>
      </w:r>
      <w:r>
        <w:t xml:space="preserve"> </w:t>
      </w:r>
      <w:r>
        <w:rPr>
          <w:lang w:val="en-AU"/>
        </w:rPr>
        <w:t xml:space="preserve"> Are these virtues better classified as </w:t>
      </w:r>
      <w:r w:rsidRPr="00251EFD">
        <w:rPr>
          <w:i/>
          <w:lang w:val="en-AU"/>
        </w:rPr>
        <w:t>emotion</w:t>
      </w:r>
      <w:r>
        <w:rPr>
          <w:lang w:val="en-AU"/>
        </w:rPr>
        <w:t>-categoric? I think not. Someone lacking any feelings of frustration can still have the virtue of patience, in responding well to the situations that are the object of frustration in others. The virtue is a virtue of responding well to a particular kind of object, rather than of handling one’s emotions well – although the objects with respect to which we classify these virtues can be identified by reference to the emotions they do typically elicit.</w:t>
      </w:r>
    </w:p>
  </w:endnote>
  <w:endnote w:id="39">
    <w:p w:rsidR="002A1CCA" w:rsidRPr="00DE7E3B" w:rsidRDefault="002A1CCA">
      <w:pPr>
        <w:pStyle w:val="EndnoteText"/>
        <w:rPr>
          <w:lang w:val="en-AU"/>
        </w:rPr>
      </w:pPr>
      <w:r>
        <w:rPr>
          <w:rStyle w:val="EndnoteReference"/>
        </w:rPr>
        <w:endnoteRef/>
      </w:r>
      <w:r>
        <w:t xml:space="preserve"> </w:t>
      </w:r>
      <w:r>
        <w:rPr>
          <w:lang w:val="en-AU"/>
        </w:rPr>
        <w:t xml:space="preserve"> An example: </w:t>
      </w:r>
      <w:r>
        <w:t>in a case where reasons of respect require you to treat someone impartially although you will be vilified for doing so, your action could express the object-categoric virtue of courage, the reason-categoric virtue of respect, and the response-categoric virtue of fairness, all at once.</w:t>
      </w:r>
    </w:p>
  </w:endnote>
  <w:endnote w:id="40">
    <w:p w:rsidR="002A1CCA" w:rsidRPr="00F7069A" w:rsidRDefault="002A1CCA" w:rsidP="00CA2151">
      <w:pPr>
        <w:pStyle w:val="EndnoteText"/>
        <w:rPr>
          <w:lang w:val="en-AU"/>
        </w:rPr>
      </w:pPr>
      <w:r w:rsidRPr="00E038D6">
        <w:rPr>
          <w:rStyle w:val="EndnoteReference"/>
        </w:rPr>
        <w:endnoteRef/>
      </w:r>
      <w:r w:rsidRPr="00E038D6">
        <w:t xml:space="preserve"> </w:t>
      </w:r>
      <w:r w:rsidRPr="00E038D6">
        <w:rPr>
          <w:lang w:val="en-AU"/>
        </w:rPr>
        <w:t xml:space="preserve"> For discerning treatments that distinguish virtuous from unvirtuous forms of loyalty, see </w:t>
      </w:r>
      <w:r w:rsidRPr="00E038D6">
        <w:fldChar w:fldCharType="begin"/>
      </w:r>
      <w:r>
        <w:instrText xml:space="preserve"> ADDIN EN.CITE &lt;EndNote&gt;&lt;Cite&gt;&lt;Author&gt;Kleinig&lt;/Author&gt;&lt;Year&gt;2014&lt;/Year&gt;&lt;RecNum&gt;222&lt;/RecNum&gt;&lt;DisplayText&gt;John Kleinig, &lt;style face="italic"&gt;On Loyalty and Loyalties: The Contours of a Problematic Virtue&lt;/style&gt;&lt;/DisplayText&gt;&lt;record&gt;&lt;rec-number&gt;222&lt;/rec-number&gt;&lt;foreign-keys&gt;&lt;key app="EN" db-id="9ratsrwz8wzzspewsdu502wwd2ezesewppe2" timestamp="1444441464"&gt;222&lt;/key&gt;&lt;/foreign-keys&gt;&lt;ref-type name="Book"&gt;6&lt;/ref-type&gt;&lt;contributors&gt;&lt;authors&gt;&lt;author&gt;Kleinig, John&lt;/author&gt;&lt;/authors&gt;&lt;/contributors&gt;&lt;titles&gt;&lt;title&gt;On Loyalty and Loyalties: The Contours of a Problematic Virtue&lt;/title&gt;&lt;short-title&gt;On Loyalty and Loyalties&lt;/short-title&gt;&lt;/titles&gt;&lt;dates&gt;&lt;year&gt;2014&lt;/year&gt;&lt;/dates&gt;&lt;pub-location&gt;Oxford&lt;/pub-location&gt;&lt;publisher&gt;Oxford University Press&lt;/publisher&gt;&lt;urls&gt;&lt;/urls&gt;&lt;/record&gt;&lt;/Cite&gt;&lt;/EndNote&gt;</w:instrText>
      </w:r>
      <w:r w:rsidRPr="00E038D6">
        <w:fldChar w:fldCharType="separate"/>
      </w:r>
      <w:r>
        <w:rPr>
          <w:noProof/>
        </w:rPr>
        <w:t xml:space="preserve">John Kleinig, </w:t>
      </w:r>
      <w:r w:rsidRPr="007500F5">
        <w:rPr>
          <w:i/>
          <w:noProof/>
        </w:rPr>
        <w:t>On Loyalty and Loyalties: The Contours of a Problematic Virtue</w:t>
      </w:r>
      <w:r w:rsidRPr="00E038D6">
        <w:fldChar w:fldCharType="end"/>
      </w:r>
      <w:r w:rsidRPr="00E038D6">
        <w:rPr>
          <w:lang w:val="en-AU"/>
        </w:rPr>
        <w:t xml:space="preserve"> and </w:t>
      </w:r>
      <w:r w:rsidRPr="00E038D6">
        <w:fldChar w:fldCharType="begin"/>
      </w:r>
      <w:r>
        <w:instrText xml:space="preserve"> ADDIN EN.CITE &lt;EndNote&gt;&lt;Cite&gt;&lt;Author&gt;Keller&lt;/Author&gt;&lt;Year&gt;2007&lt;/Year&gt;&lt;RecNum&gt;223&lt;/RecNum&gt;&lt;DisplayText&gt;Simon Keller, &lt;style face="italic"&gt;The Limits of Loyalty&lt;/style&gt;&lt;/DisplayText&gt;&lt;record&gt;&lt;rec-number&gt;223&lt;/rec-number&gt;&lt;foreign-keys&gt;&lt;key app="EN" db-id="9ratsrwz8wzzspewsdu502wwd2ezesewppe2" timestamp="1444441778"&gt;223&lt;/key&gt;&lt;/foreign-keys&gt;&lt;ref-type name="Book"&gt;6&lt;/ref-type&gt;&lt;contributors&gt;&lt;authors&gt;&lt;author&gt;Keller, Simon&lt;/author&gt;&lt;/authors&gt;&lt;/contributors&gt;&lt;titles&gt;&lt;title&gt;The Limits of Loyalty&lt;/title&gt;&lt;/titles&gt;&lt;dates&gt;&lt;year&gt;2007&lt;/year&gt;&lt;/dates&gt;&lt;pub-location&gt;Cambridge&lt;/pub-location&gt;&lt;publisher&gt;Cambridge University Press&lt;/publisher&gt;&lt;urls&gt;&lt;/urls&gt;&lt;/record&gt;&lt;/Cite&gt;&lt;/EndNote&gt;</w:instrText>
      </w:r>
      <w:r w:rsidRPr="00E038D6">
        <w:fldChar w:fldCharType="separate"/>
      </w:r>
      <w:r>
        <w:rPr>
          <w:noProof/>
        </w:rPr>
        <w:t xml:space="preserve">Simon Keller, </w:t>
      </w:r>
      <w:r w:rsidRPr="007500F5">
        <w:rPr>
          <w:i/>
          <w:noProof/>
        </w:rPr>
        <w:t>The Limits of Loyalty</w:t>
      </w:r>
      <w:r w:rsidRPr="00E038D6">
        <w:fldChar w:fldCharType="end"/>
      </w:r>
      <w:r w:rsidRPr="00E038D6">
        <w:rPr>
          <w:lang w:val="en-AU"/>
        </w:rPr>
        <w:t xml:space="preserve"> – with Kleinig tending to emphasize the former and Keller the latter. For the view that there is no virtue of loyalty, see </w:t>
      </w:r>
      <w:r w:rsidRPr="00E038D6">
        <w:fldChar w:fldCharType="begin"/>
      </w:r>
      <w:r>
        <w:instrText xml:space="preserve"> ADDIN EN.CITE &lt;EndNote&gt;&lt;Cite&gt;&lt;Author&gt;Ewin&lt;/Author&gt;&lt;Year&gt;1992&lt;/Year&gt;&lt;RecNum&gt;224&lt;/RecNum&gt;&lt;DisplayText&gt;R.E. Ewin, &amp;quot;Loyalty and Virtues&amp;quot;&lt;/DisplayText&gt;&lt;record&gt;&lt;rec-number&gt;224&lt;/rec-number&gt;&lt;foreign-keys&gt;&lt;key app="EN" db-id="9ratsrwz8wzzspewsdu502wwd2ezesewppe2" timestamp="1444442083"&gt;224&lt;/key&gt;&lt;/foreign-keys&gt;&lt;ref-type name="Journal Article"&gt;17&lt;/ref-type&gt;&lt;contributors&gt;&lt;authors&gt;&lt;author&gt;Ewin, R.E.&lt;/author&gt;&lt;/authors&gt;&lt;/contributors&gt;&lt;titles&gt;&lt;title&gt;Loyalty and Virtues&lt;/title&gt;&lt;secondary-title&gt;The Philosophical Quarterly&lt;/secondary-title&gt;&lt;/titles&gt;&lt;periodical&gt;&lt;full-title&gt;The Philosophical Quarterly&lt;/full-title&gt;&lt;/periodical&gt;&lt;pages&gt;403-19&lt;/pages&gt;&lt;volume&gt;42&lt;/volume&gt;&lt;dates&gt;&lt;year&gt;1992&lt;/year&gt;&lt;/dates&gt;&lt;urls&gt;&lt;/urls&gt;&lt;/record&gt;&lt;/Cite&gt;&lt;/EndNote&gt;</w:instrText>
      </w:r>
      <w:r w:rsidRPr="00E038D6">
        <w:fldChar w:fldCharType="separate"/>
      </w:r>
      <w:r>
        <w:rPr>
          <w:noProof/>
        </w:rPr>
        <w:t>R.E. Ewin, "Loyalty and Virtues"</w:t>
      </w:r>
      <w:r w:rsidRPr="00E038D6">
        <w:fldChar w:fldCharType="end"/>
      </w:r>
      <w:r w:rsidRPr="00E038D6">
        <w:rPr>
          <w:lang w:val="en-AU"/>
        </w:rPr>
        <w:t>.</w:t>
      </w:r>
    </w:p>
  </w:endnote>
  <w:endnote w:id="41">
    <w:p w:rsidR="002A1CCA" w:rsidRPr="00A27418" w:rsidRDefault="002A1CCA">
      <w:pPr>
        <w:pStyle w:val="EndnoteText"/>
        <w:rPr>
          <w:lang w:val="en-AU"/>
        </w:rPr>
      </w:pPr>
      <w:r>
        <w:rPr>
          <w:rStyle w:val="EndnoteReference"/>
        </w:rPr>
        <w:endnoteRef/>
      </w:r>
      <w:r>
        <w:t xml:space="preserve"> </w:t>
      </w:r>
      <w:r>
        <w:rPr>
          <w:lang w:val="en-AU"/>
        </w:rPr>
        <w:t xml:space="preserve"> “Why aren’t </w:t>
      </w:r>
      <w:r>
        <w:rPr>
          <w:i/>
          <w:lang w:val="en-AU"/>
        </w:rPr>
        <w:t>all</w:t>
      </w:r>
      <w:r>
        <w:rPr>
          <w:lang w:val="en-AU"/>
        </w:rPr>
        <w:t xml:space="preserve"> virtues ‘response-categoric’? Aren’t ‘kindness’ and ‘courage’ the names of the </w:t>
      </w:r>
      <w:r>
        <w:rPr>
          <w:i/>
          <w:lang w:val="en-AU"/>
        </w:rPr>
        <w:t>responses</w:t>
      </w:r>
      <w:r>
        <w:rPr>
          <w:lang w:val="en-AU"/>
        </w:rPr>
        <w:t xml:space="preserve"> characteristically made by people with those virtues?” Yes, but in order for a response to qualify as kind, it must be made for a particular sort of reason; in order for a response to qualify as courageous, it must be made to a particular sort of object. The response-categoric virtues are those for which no corresponding claim is true.</w:t>
      </w:r>
    </w:p>
  </w:endnote>
  <w:endnote w:id="42">
    <w:p w:rsidR="002A1CCA" w:rsidRPr="00272B2D" w:rsidRDefault="002A1CCA">
      <w:pPr>
        <w:pStyle w:val="EndnoteText"/>
        <w:rPr>
          <w:lang w:val="en-AU"/>
        </w:rPr>
      </w:pPr>
      <w:r>
        <w:rPr>
          <w:rStyle w:val="EndnoteReference"/>
        </w:rPr>
        <w:endnoteRef/>
      </w:r>
      <w:r>
        <w:t xml:space="preserve"> </w:t>
      </w:r>
      <w:r>
        <w:rPr>
          <w:lang w:val="en-AU"/>
        </w:rPr>
        <w:t xml:space="preserve"> I discuss fairness and its relationship to the morality of cooperation more fully in my </w:t>
      </w:r>
      <w:r>
        <w:fldChar w:fldCharType="begin"/>
      </w:r>
      <w:r>
        <w:instrText xml:space="preserve"> ADDIN EN.CITE &lt;EndNote&gt;&lt;Cite ExcludeAuth="1"&gt;&lt;Author&gt;Cullity&lt;/Author&gt;&lt;Year&gt;2008&lt;/Year&gt;&lt;RecNum&gt;119&lt;/RecNum&gt;&lt;DisplayText&gt;&amp;quot;Public Goods and Fairness&amp;quot;&lt;/DisplayText&gt;&lt;record&gt;&lt;rec-number&gt;119&lt;/rec-number&gt;&lt;foreign-keys&gt;&lt;key app="EN" db-id="9ratsrwz8wzzspewsdu502wwd2ezesewppe2" timestamp="1439884760"&gt;119&lt;/key&gt;&lt;/foreign-keys&gt;&lt;ref-type name="Journal Article"&gt;17&lt;/ref-type&gt;&lt;contributors&gt;&lt;authors&gt;&lt;author&gt;Cullity, Garrett&lt;/author&gt;&lt;/authors&gt;&lt;/contributors&gt;&lt;titles&gt;&lt;title&gt;Public Goods and Fairness&lt;/title&gt;&lt;secondary-title&gt;Australasian Journal of Philosophy&lt;/secondary-title&gt;&lt;/titles&gt;&lt;periodical&gt;&lt;full-title&gt;Australasian Journal of Philosophy&lt;/full-title&gt;&lt;/periodical&gt;&lt;pages&gt;1-21&lt;/pages&gt;&lt;volume&gt;86&lt;/volume&gt;&lt;dates&gt;&lt;year&gt;2008&lt;/year&gt;&lt;/dates&gt;&lt;urls&gt;&lt;/urls&gt;&lt;/record&gt;&lt;/Cite&gt;&lt;/EndNote&gt;</w:instrText>
      </w:r>
      <w:r>
        <w:fldChar w:fldCharType="separate"/>
      </w:r>
      <w:r>
        <w:rPr>
          <w:noProof/>
        </w:rPr>
        <w:t>"Public Goods and Fairness"</w:t>
      </w:r>
      <w:r>
        <w:fldChar w:fldCharType="end"/>
      </w:r>
      <w:r>
        <w:rPr>
          <w:lang w:val="en-AU"/>
        </w:rPr>
        <w:t>.</w:t>
      </w:r>
    </w:p>
  </w:endnote>
  <w:endnote w:id="43">
    <w:p w:rsidR="002A1CCA" w:rsidRPr="00D802B8" w:rsidRDefault="002A1CCA">
      <w:pPr>
        <w:pStyle w:val="EndnoteText"/>
        <w:rPr>
          <w:lang w:val="en-AU"/>
        </w:rPr>
      </w:pPr>
      <w:r>
        <w:rPr>
          <w:rStyle w:val="EndnoteReference"/>
        </w:rPr>
        <w:endnoteRef/>
      </w:r>
      <w:r>
        <w:t xml:space="preserve"> </w:t>
      </w:r>
      <w:r>
        <w:rPr>
          <w:lang w:val="en-AU"/>
        </w:rPr>
        <w:t xml:space="preserve"> This is a point I fail to make in </w:t>
      </w:r>
      <w:r>
        <w:fldChar w:fldCharType="begin"/>
      </w:r>
      <w:r>
        <w:instrText xml:space="preserve"> ADDIN EN.CITE &lt;EndNote&gt;&lt;Cite ExcludeAuth="1"&gt;&lt;Author&gt;Cullity&lt;/Author&gt;&lt;Year&gt;2008&lt;/Year&gt;&lt;RecNum&gt;119&lt;/RecNum&gt;&lt;DisplayText&gt;&amp;quot;Public Goods and Fairness&amp;quot;&lt;/DisplayText&gt;&lt;record&gt;&lt;rec-number&gt;119&lt;/rec-number&gt;&lt;foreign-keys&gt;&lt;key app="EN" db-id="9ratsrwz8wzzspewsdu502wwd2ezesewppe2" timestamp="1439884760"&gt;119&lt;/key&gt;&lt;/foreign-keys&gt;&lt;ref-type name="Journal Article"&gt;17&lt;/ref-type&gt;&lt;contributors&gt;&lt;authors&gt;&lt;author&gt;Cullity, Garrett&lt;/author&gt;&lt;/authors&gt;&lt;/contributors&gt;&lt;titles&gt;&lt;title&gt;Public Goods and Fairness&lt;/title&gt;&lt;secondary-title&gt;Australasian Journal of Philosophy&lt;/secondary-title&gt;&lt;/titles&gt;&lt;periodical&gt;&lt;full-title&gt;Australasian Journal of Philosophy&lt;/full-title&gt;&lt;/periodical&gt;&lt;pages&gt;1-21&lt;/pages&gt;&lt;volume&gt;86&lt;/volume&gt;&lt;dates&gt;&lt;year&gt;2008&lt;/year&gt;&lt;/dates&gt;&lt;urls&gt;&lt;/urls&gt;&lt;/record&gt;&lt;/Cite&gt;&lt;/EndNote&gt;</w:instrText>
      </w:r>
      <w:r>
        <w:fldChar w:fldCharType="separate"/>
      </w:r>
      <w:r>
        <w:rPr>
          <w:noProof/>
        </w:rPr>
        <w:t>"Public Goods and Fairness"</w:t>
      </w:r>
      <w:r>
        <w:fldChar w:fldCharType="end"/>
      </w:r>
      <w:r>
        <w:rPr>
          <w:lang w:val="en-AU"/>
        </w:rPr>
        <w:t>.</w:t>
      </w:r>
    </w:p>
  </w:endnote>
  <w:endnote w:id="44">
    <w:p w:rsidR="002A1CCA" w:rsidRPr="00035969" w:rsidRDefault="002A1CCA">
      <w:pPr>
        <w:pStyle w:val="EndnoteText"/>
        <w:rPr>
          <w:lang w:val="en-AU"/>
        </w:rPr>
      </w:pPr>
      <w:r>
        <w:rPr>
          <w:rStyle w:val="EndnoteReference"/>
        </w:rPr>
        <w:endnoteRef/>
      </w:r>
      <w:r>
        <w:t xml:space="preserve"> </w:t>
      </w:r>
      <w:r>
        <w:rPr>
          <w:lang w:val="en-AU"/>
        </w:rPr>
        <w:t xml:space="preserve"> For insightful comments on previous drafts of this essay, I am grateful to Damien Cox, Christine Swanton, Justin Oakley, Glen Pettigrove, Nic Southwood, Robert Audi and an anonymous referee.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CCA" w:rsidRDefault="002A1CCA">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CD6798">
      <w:rPr>
        <w:rStyle w:val="PageNumber"/>
        <w:noProof/>
      </w:rPr>
      <w:t>20</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CCA" w:rsidRDefault="002A1CCA">
      <w:pPr>
        <w:pStyle w:val="Footer"/>
      </w:pPr>
    </w:p>
  </w:footnote>
  <w:footnote w:type="continuationSeparator" w:id="0">
    <w:p w:rsidR="002A1CCA" w:rsidRDefault="002A1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7007"/>
    <w:multiLevelType w:val="hybridMultilevel"/>
    <w:tmpl w:val="31B8EF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A77214"/>
    <w:multiLevelType w:val="hybridMultilevel"/>
    <w:tmpl w:val="6B0072F0"/>
    <w:lvl w:ilvl="0" w:tplc="0C090019">
      <w:start w:val="1"/>
      <w:numFmt w:val="lowerLetter"/>
      <w:lvlText w:val="%1."/>
      <w:lvlJc w:val="left"/>
      <w:pPr>
        <w:ind w:left="1005" w:hanging="360"/>
      </w:pPr>
    </w:lvl>
    <w:lvl w:ilvl="1" w:tplc="0C090019" w:tentative="1">
      <w:start w:val="1"/>
      <w:numFmt w:val="lowerLetter"/>
      <w:lvlText w:val="%2."/>
      <w:lvlJc w:val="left"/>
      <w:pPr>
        <w:ind w:left="1725" w:hanging="360"/>
      </w:pPr>
    </w:lvl>
    <w:lvl w:ilvl="2" w:tplc="0C09001B" w:tentative="1">
      <w:start w:val="1"/>
      <w:numFmt w:val="lowerRoman"/>
      <w:lvlText w:val="%3."/>
      <w:lvlJc w:val="right"/>
      <w:pPr>
        <w:ind w:left="2445" w:hanging="180"/>
      </w:pPr>
    </w:lvl>
    <w:lvl w:ilvl="3" w:tplc="0C09000F" w:tentative="1">
      <w:start w:val="1"/>
      <w:numFmt w:val="decimal"/>
      <w:lvlText w:val="%4."/>
      <w:lvlJc w:val="left"/>
      <w:pPr>
        <w:ind w:left="3165" w:hanging="360"/>
      </w:pPr>
    </w:lvl>
    <w:lvl w:ilvl="4" w:tplc="0C090019" w:tentative="1">
      <w:start w:val="1"/>
      <w:numFmt w:val="lowerLetter"/>
      <w:lvlText w:val="%5."/>
      <w:lvlJc w:val="left"/>
      <w:pPr>
        <w:ind w:left="3885" w:hanging="360"/>
      </w:pPr>
    </w:lvl>
    <w:lvl w:ilvl="5" w:tplc="0C09001B" w:tentative="1">
      <w:start w:val="1"/>
      <w:numFmt w:val="lowerRoman"/>
      <w:lvlText w:val="%6."/>
      <w:lvlJc w:val="right"/>
      <w:pPr>
        <w:ind w:left="4605" w:hanging="180"/>
      </w:pPr>
    </w:lvl>
    <w:lvl w:ilvl="6" w:tplc="0C09000F" w:tentative="1">
      <w:start w:val="1"/>
      <w:numFmt w:val="decimal"/>
      <w:lvlText w:val="%7."/>
      <w:lvlJc w:val="left"/>
      <w:pPr>
        <w:ind w:left="5325" w:hanging="360"/>
      </w:pPr>
    </w:lvl>
    <w:lvl w:ilvl="7" w:tplc="0C090019" w:tentative="1">
      <w:start w:val="1"/>
      <w:numFmt w:val="lowerLetter"/>
      <w:lvlText w:val="%8."/>
      <w:lvlJc w:val="left"/>
      <w:pPr>
        <w:ind w:left="6045" w:hanging="360"/>
      </w:pPr>
    </w:lvl>
    <w:lvl w:ilvl="8" w:tplc="0C09001B" w:tentative="1">
      <w:start w:val="1"/>
      <w:numFmt w:val="lowerRoman"/>
      <w:lvlText w:val="%9."/>
      <w:lvlJc w:val="right"/>
      <w:pPr>
        <w:ind w:left="6765" w:hanging="180"/>
      </w:pPr>
    </w:lvl>
  </w:abstractNum>
  <w:abstractNum w:abstractNumId="2" w15:restartNumberingAfterBreak="0">
    <w:nsid w:val="6553775A"/>
    <w:multiLevelType w:val="hybridMultilevel"/>
    <w:tmpl w:val="0A8258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68A6C10"/>
    <w:multiLevelType w:val="hybridMultilevel"/>
    <w:tmpl w:val="A426CC6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lowerLette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LA shor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ffrdzp85025zevt0ivvtahzzw0ea5fveps&quot;&gt;Papers&lt;record-ids&gt;&lt;item&gt;19&lt;/item&gt;&lt;item&gt;31&lt;/item&gt;&lt;item&gt;37&lt;/item&gt;&lt;item&gt;42&lt;/item&gt;&lt;item&gt;60&lt;/item&gt;&lt;item&gt;123&lt;/item&gt;&lt;item&gt;124&lt;/item&gt;&lt;item&gt;125&lt;/item&gt;&lt;item&gt;126&lt;/item&gt;&lt;/record-ids&gt;&lt;/item&gt;&lt;/Libraries&gt;"/>
  </w:docVars>
  <w:rsids>
    <w:rsidRoot w:val="00766127"/>
    <w:rsid w:val="000007D5"/>
    <w:rsid w:val="000014C7"/>
    <w:rsid w:val="00002DF3"/>
    <w:rsid w:val="00003EE9"/>
    <w:rsid w:val="0000493C"/>
    <w:rsid w:val="00004C9C"/>
    <w:rsid w:val="00004F07"/>
    <w:rsid w:val="00006CCC"/>
    <w:rsid w:val="00006DC1"/>
    <w:rsid w:val="0000787A"/>
    <w:rsid w:val="00010075"/>
    <w:rsid w:val="00010EA2"/>
    <w:rsid w:val="00012A27"/>
    <w:rsid w:val="000138E7"/>
    <w:rsid w:val="00015233"/>
    <w:rsid w:val="0001597C"/>
    <w:rsid w:val="000162DD"/>
    <w:rsid w:val="0001651C"/>
    <w:rsid w:val="0001771E"/>
    <w:rsid w:val="000212F3"/>
    <w:rsid w:val="0002134E"/>
    <w:rsid w:val="0002495B"/>
    <w:rsid w:val="00025E0F"/>
    <w:rsid w:val="00025FAB"/>
    <w:rsid w:val="00027428"/>
    <w:rsid w:val="000274D9"/>
    <w:rsid w:val="000305F1"/>
    <w:rsid w:val="0003075F"/>
    <w:rsid w:val="00030EC1"/>
    <w:rsid w:val="00031C24"/>
    <w:rsid w:val="000354E3"/>
    <w:rsid w:val="00035969"/>
    <w:rsid w:val="0003630D"/>
    <w:rsid w:val="000364EC"/>
    <w:rsid w:val="000373AA"/>
    <w:rsid w:val="0004090D"/>
    <w:rsid w:val="000419A0"/>
    <w:rsid w:val="00041DC9"/>
    <w:rsid w:val="00044249"/>
    <w:rsid w:val="000446C0"/>
    <w:rsid w:val="00044B3A"/>
    <w:rsid w:val="0004521C"/>
    <w:rsid w:val="0004642C"/>
    <w:rsid w:val="0004673B"/>
    <w:rsid w:val="00046EEF"/>
    <w:rsid w:val="000500F3"/>
    <w:rsid w:val="0005058B"/>
    <w:rsid w:val="00050A95"/>
    <w:rsid w:val="000512BE"/>
    <w:rsid w:val="000519B9"/>
    <w:rsid w:val="00052CF7"/>
    <w:rsid w:val="00052E23"/>
    <w:rsid w:val="0005495F"/>
    <w:rsid w:val="00055CA6"/>
    <w:rsid w:val="00060354"/>
    <w:rsid w:val="00061DF7"/>
    <w:rsid w:val="00063578"/>
    <w:rsid w:val="00064E38"/>
    <w:rsid w:val="00067F61"/>
    <w:rsid w:val="00070822"/>
    <w:rsid w:val="00070DDB"/>
    <w:rsid w:val="00070E60"/>
    <w:rsid w:val="00070F8D"/>
    <w:rsid w:val="00072016"/>
    <w:rsid w:val="00072E9B"/>
    <w:rsid w:val="000736D5"/>
    <w:rsid w:val="00073B30"/>
    <w:rsid w:val="00073F07"/>
    <w:rsid w:val="00074341"/>
    <w:rsid w:val="000743A2"/>
    <w:rsid w:val="00075A5D"/>
    <w:rsid w:val="0007627E"/>
    <w:rsid w:val="00076D09"/>
    <w:rsid w:val="00077C9A"/>
    <w:rsid w:val="00081576"/>
    <w:rsid w:val="00081ED2"/>
    <w:rsid w:val="00083894"/>
    <w:rsid w:val="00083FEA"/>
    <w:rsid w:val="000848AC"/>
    <w:rsid w:val="000854C0"/>
    <w:rsid w:val="000854FD"/>
    <w:rsid w:val="000863E4"/>
    <w:rsid w:val="000872A6"/>
    <w:rsid w:val="00087BF0"/>
    <w:rsid w:val="0009087E"/>
    <w:rsid w:val="00090EC2"/>
    <w:rsid w:val="00092BE2"/>
    <w:rsid w:val="00092E19"/>
    <w:rsid w:val="00093742"/>
    <w:rsid w:val="00095316"/>
    <w:rsid w:val="00095E7D"/>
    <w:rsid w:val="000964A2"/>
    <w:rsid w:val="000966FF"/>
    <w:rsid w:val="00097EF8"/>
    <w:rsid w:val="000A0C30"/>
    <w:rsid w:val="000A100B"/>
    <w:rsid w:val="000A1428"/>
    <w:rsid w:val="000A196D"/>
    <w:rsid w:val="000A19C4"/>
    <w:rsid w:val="000A246B"/>
    <w:rsid w:val="000A5509"/>
    <w:rsid w:val="000A5881"/>
    <w:rsid w:val="000B1887"/>
    <w:rsid w:val="000B19D3"/>
    <w:rsid w:val="000B272A"/>
    <w:rsid w:val="000B2A98"/>
    <w:rsid w:val="000B3852"/>
    <w:rsid w:val="000B3CDB"/>
    <w:rsid w:val="000B55B6"/>
    <w:rsid w:val="000B6BE0"/>
    <w:rsid w:val="000C137D"/>
    <w:rsid w:val="000C3276"/>
    <w:rsid w:val="000C3C81"/>
    <w:rsid w:val="000C6045"/>
    <w:rsid w:val="000C6DD9"/>
    <w:rsid w:val="000C7CB3"/>
    <w:rsid w:val="000D0490"/>
    <w:rsid w:val="000D11FD"/>
    <w:rsid w:val="000D1282"/>
    <w:rsid w:val="000D1B01"/>
    <w:rsid w:val="000D23FD"/>
    <w:rsid w:val="000D2753"/>
    <w:rsid w:val="000D287B"/>
    <w:rsid w:val="000D2EA6"/>
    <w:rsid w:val="000D4B6E"/>
    <w:rsid w:val="000D577A"/>
    <w:rsid w:val="000D66B1"/>
    <w:rsid w:val="000D6A19"/>
    <w:rsid w:val="000D7292"/>
    <w:rsid w:val="000D7F99"/>
    <w:rsid w:val="000E003D"/>
    <w:rsid w:val="000E06FF"/>
    <w:rsid w:val="000E0A4E"/>
    <w:rsid w:val="000E2023"/>
    <w:rsid w:val="000E3965"/>
    <w:rsid w:val="000E5C06"/>
    <w:rsid w:val="000E72A2"/>
    <w:rsid w:val="000E7B78"/>
    <w:rsid w:val="000F1433"/>
    <w:rsid w:val="000F2EAD"/>
    <w:rsid w:val="000F3400"/>
    <w:rsid w:val="000F35DD"/>
    <w:rsid w:val="000F35E6"/>
    <w:rsid w:val="000F625A"/>
    <w:rsid w:val="000F7086"/>
    <w:rsid w:val="000F71C1"/>
    <w:rsid w:val="00100CEB"/>
    <w:rsid w:val="00103BFF"/>
    <w:rsid w:val="00104289"/>
    <w:rsid w:val="0010456A"/>
    <w:rsid w:val="00104B3C"/>
    <w:rsid w:val="0010565A"/>
    <w:rsid w:val="001116A6"/>
    <w:rsid w:val="00111825"/>
    <w:rsid w:val="00113C7A"/>
    <w:rsid w:val="00114044"/>
    <w:rsid w:val="0011486E"/>
    <w:rsid w:val="0011501A"/>
    <w:rsid w:val="00115538"/>
    <w:rsid w:val="001155E8"/>
    <w:rsid w:val="00115F27"/>
    <w:rsid w:val="00116095"/>
    <w:rsid w:val="00120C8E"/>
    <w:rsid w:val="00120DE5"/>
    <w:rsid w:val="0012114C"/>
    <w:rsid w:val="001228A9"/>
    <w:rsid w:val="00122FFF"/>
    <w:rsid w:val="0012352E"/>
    <w:rsid w:val="00124F6F"/>
    <w:rsid w:val="00125E4A"/>
    <w:rsid w:val="0012712A"/>
    <w:rsid w:val="00127255"/>
    <w:rsid w:val="00127BB2"/>
    <w:rsid w:val="0013068C"/>
    <w:rsid w:val="001324D3"/>
    <w:rsid w:val="00135427"/>
    <w:rsid w:val="00136274"/>
    <w:rsid w:val="0013645D"/>
    <w:rsid w:val="00136A25"/>
    <w:rsid w:val="00141FE2"/>
    <w:rsid w:val="00142DC3"/>
    <w:rsid w:val="001457ED"/>
    <w:rsid w:val="00146C7E"/>
    <w:rsid w:val="00146F3E"/>
    <w:rsid w:val="00147A38"/>
    <w:rsid w:val="001518D7"/>
    <w:rsid w:val="00153417"/>
    <w:rsid w:val="00153C74"/>
    <w:rsid w:val="00153CB2"/>
    <w:rsid w:val="001540B6"/>
    <w:rsid w:val="00155E68"/>
    <w:rsid w:val="00156312"/>
    <w:rsid w:val="00156816"/>
    <w:rsid w:val="00156C2A"/>
    <w:rsid w:val="0015756E"/>
    <w:rsid w:val="001601A9"/>
    <w:rsid w:val="00162812"/>
    <w:rsid w:val="0016377A"/>
    <w:rsid w:val="00165454"/>
    <w:rsid w:val="00167209"/>
    <w:rsid w:val="00171583"/>
    <w:rsid w:val="00174804"/>
    <w:rsid w:val="001761C7"/>
    <w:rsid w:val="00180A5B"/>
    <w:rsid w:val="0018189A"/>
    <w:rsid w:val="001826A1"/>
    <w:rsid w:val="00183FB4"/>
    <w:rsid w:val="00185537"/>
    <w:rsid w:val="001861C7"/>
    <w:rsid w:val="0019254E"/>
    <w:rsid w:val="001928CF"/>
    <w:rsid w:val="00193226"/>
    <w:rsid w:val="00193463"/>
    <w:rsid w:val="00194AEF"/>
    <w:rsid w:val="00196503"/>
    <w:rsid w:val="00196B0B"/>
    <w:rsid w:val="001A1E38"/>
    <w:rsid w:val="001A226C"/>
    <w:rsid w:val="001A431A"/>
    <w:rsid w:val="001A5016"/>
    <w:rsid w:val="001A5DF5"/>
    <w:rsid w:val="001A651B"/>
    <w:rsid w:val="001A6FE3"/>
    <w:rsid w:val="001A74CD"/>
    <w:rsid w:val="001A770A"/>
    <w:rsid w:val="001B14CB"/>
    <w:rsid w:val="001B1506"/>
    <w:rsid w:val="001B1EED"/>
    <w:rsid w:val="001B32B8"/>
    <w:rsid w:val="001B410E"/>
    <w:rsid w:val="001B502A"/>
    <w:rsid w:val="001C20F7"/>
    <w:rsid w:val="001C35CA"/>
    <w:rsid w:val="001C40A4"/>
    <w:rsid w:val="001C42C8"/>
    <w:rsid w:val="001C6718"/>
    <w:rsid w:val="001D12BF"/>
    <w:rsid w:val="001D21B5"/>
    <w:rsid w:val="001D345E"/>
    <w:rsid w:val="001D389A"/>
    <w:rsid w:val="001D4D39"/>
    <w:rsid w:val="001D77B1"/>
    <w:rsid w:val="001E0542"/>
    <w:rsid w:val="001E0B3C"/>
    <w:rsid w:val="001E0B99"/>
    <w:rsid w:val="001E1BA7"/>
    <w:rsid w:val="001E1C06"/>
    <w:rsid w:val="001E29E1"/>
    <w:rsid w:val="001E2A9F"/>
    <w:rsid w:val="001E3F5C"/>
    <w:rsid w:val="001E43AA"/>
    <w:rsid w:val="001E4480"/>
    <w:rsid w:val="001E55DB"/>
    <w:rsid w:val="001E5AEF"/>
    <w:rsid w:val="001E7A4C"/>
    <w:rsid w:val="001F0A9C"/>
    <w:rsid w:val="001F0FC5"/>
    <w:rsid w:val="001F26BB"/>
    <w:rsid w:val="001F34FD"/>
    <w:rsid w:val="001F4AA0"/>
    <w:rsid w:val="001F51EF"/>
    <w:rsid w:val="001F5403"/>
    <w:rsid w:val="001F5E56"/>
    <w:rsid w:val="001F6BC5"/>
    <w:rsid w:val="001F7303"/>
    <w:rsid w:val="001F73FD"/>
    <w:rsid w:val="00200B65"/>
    <w:rsid w:val="00200D7C"/>
    <w:rsid w:val="002020D9"/>
    <w:rsid w:val="002045FC"/>
    <w:rsid w:val="00206097"/>
    <w:rsid w:val="00210266"/>
    <w:rsid w:val="00210520"/>
    <w:rsid w:val="00213D8A"/>
    <w:rsid w:val="00215663"/>
    <w:rsid w:val="00216542"/>
    <w:rsid w:val="00220185"/>
    <w:rsid w:val="0022074F"/>
    <w:rsid w:val="00220C21"/>
    <w:rsid w:val="00220C2A"/>
    <w:rsid w:val="00221396"/>
    <w:rsid w:val="00221BD3"/>
    <w:rsid w:val="00222C07"/>
    <w:rsid w:val="00224641"/>
    <w:rsid w:val="00224F13"/>
    <w:rsid w:val="002251C4"/>
    <w:rsid w:val="00225C1F"/>
    <w:rsid w:val="00226E12"/>
    <w:rsid w:val="00227FDB"/>
    <w:rsid w:val="0023046E"/>
    <w:rsid w:val="002304E7"/>
    <w:rsid w:val="00231204"/>
    <w:rsid w:val="00231558"/>
    <w:rsid w:val="00231C35"/>
    <w:rsid w:val="00231DAE"/>
    <w:rsid w:val="00232E9C"/>
    <w:rsid w:val="00236B1B"/>
    <w:rsid w:val="0023706B"/>
    <w:rsid w:val="00241F4B"/>
    <w:rsid w:val="002435C4"/>
    <w:rsid w:val="0024369A"/>
    <w:rsid w:val="0024385E"/>
    <w:rsid w:val="00243FD6"/>
    <w:rsid w:val="00244058"/>
    <w:rsid w:val="002449FA"/>
    <w:rsid w:val="00244F4A"/>
    <w:rsid w:val="00246451"/>
    <w:rsid w:val="00247030"/>
    <w:rsid w:val="00250193"/>
    <w:rsid w:val="00250494"/>
    <w:rsid w:val="00250630"/>
    <w:rsid w:val="00250A3F"/>
    <w:rsid w:val="002519F0"/>
    <w:rsid w:val="00251CD3"/>
    <w:rsid w:val="00251EFD"/>
    <w:rsid w:val="002529B8"/>
    <w:rsid w:val="002567C3"/>
    <w:rsid w:val="00257119"/>
    <w:rsid w:val="00257819"/>
    <w:rsid w:val="00257B52"/>
    <w:rsid w:val="0026141D"/>
    <w:rsid w:val="002614E2"/>
    <w:rsid w:val="002620A4"/>
    <w:rsid w:val="00262718"/>
    <w:rsid w:val="002645BC"/>
    <w:rsid w:val="00264922"/>
    <w:rsid w:val="00271C4F"/>
    <w:rsid w:val="00271D74"/>
    <w:rsid w:val="00272B2D"/>
    <w:rsid w:val="00273121"/>
    <w:rsid w:val="002757D0"/>
    <w:rsid w:val="002759FC"/>
    <w:rsid w:val="00275DCD"/>
    <w:rsid w:val="00280790"/>
    <w:rsid w:val="00280B41"/>
    <w:rsid w:val="00281365"/>
    <w:rsid w:val="00281816"/>
    <w:rsid w:val="00283BDA"/>
    <w:rsid w:val="0028412B"/>
    <w:rsid w:val="0028685E"/>
    <w:rsid w:val="00287EDA"/>
    <w:rsid w:val="002907F1"/>
    <w:rsid w:val="00291671"/>
    <w:rsid w:val="002943C8"/>
    <w:rsid w:val="002950FB"/>
    <w:rsid w:val="0029690D"/>
    <w:rsid w:val="00296A78"/>
    <w:rsid w:val="00297CB7"/>
    <w:rsid w:val="002A1CCA"/>
    <w:rsid w:val="002A271E"/>
    <w:rsid w:val="002A3730"/>
    <w:rsid w:val="002A3CB1"/>
    <w:rsid w:val="002A4156"/>
    <w:rsid w:val="002A4720"/>
    <w:rsid w:val="002A4F24"/>
    <w:rsid w:val="002A5590"/>
    <w:rsid w:val="002A65CB"/>
    <w:rsid w:val="002A6E34"/>
    <w:rsid w:val="002A7CE2"/>
    <w:rsid w:val="002B159B"/>
    <w:rsid w:val="002B4D09"/>
    <w:rsid w:val="002B4D68"/>
    <w:rsid w:val="002B52C8"/>
    <w:rsid w:val="002B7924"/>
    <w:rsid w:val="002B7DC6"/>
    <w:rsid w:val="002C2D0B"/>
    <w:rsid w:val="002C346A"/>
    <w:rsid w:val="002C5672"/>
    <w:rsid w:val="002C64D8"/>
    <w:rsid w:val="002D1817"/>
    <w:rsid w:val="002D236E"/>
    <w:rsid w:val="002D29D5"/>
    <w:rsid w:val="002D46EB"/>
    <w:rsid w:val="002D5817"/>
    <w:rsid w:val="002D6E4C"/>
    <w:rsid w:val="002D765E"/>
    <w:rsid w:val="002E0290"/>
    <w:rsid w:val="002E0FAD"/>
    <w:rsid w:val="002E1E57"/>
    <w:rsid w:val="002E244E"/>
    <w:rsid w:val="002E2799"/>
    <w:rsid w:val="002E305A"/>
    <w:rsid w:val="002E30BC"/>
    <w:rsid w:val="002E367E"/>
    <w:rsid w:val="002E48CF"/>
    <w:rsid w:val="002E6E24"/>
    <w:rsid w:val="002E6E56"/>
    <w:rsid w:val="002E7593"/>
    <w:rsid w:val="002E7FAB"/>
    <w:rsid w:val="002F0B21"/>
    <w:rsid w:val="002F0B88"/>
    <w:rsid w:val="002F138C"/>
    <w:rsid w:val="002F17C6"/>
    <w:rsid w:val="002F1C29"/>
    <w:rsid w:val="002F466F"/>
    <w:rsid w:val="002F4C95"/>
    <w:rsid w:val="002F5581"/>
    <w:rsid w:val="002F7532"/>
    <w:rsid w:val="002F7899"/>
    <w:rsid w:val="003014F6"/>
    <w:rsid w:val="00301EAE"/>
    <w:rsid w:val="00302501"/>
    <w:rsid w:val="0030298D"/>
    <w:rsid w:val="00304245"/>
    <w:rsid w:val="003052FB"/>
    <w:rsid w:val="00306DDD"/>
    <w:rsid w:val="00307CE8"/>
    <w:rsid w:val="00310075"/>
    <w:rsid w:val="003102D1"/>
    <w:rsid w:val="0031036F"/>
    <w:rsid w:val="003109AF"/>
    <w:rsid w:val="00310E3D"/>
    <w:rsid w:val="00311B4E"/>
    <w:rsid w:val="003124FC"/>
    <w:rsid w:val="00312CD3"/>
    <w:rsid w:val="00312F18"/>
    <w:rsid w:val="003137F6"/>
    <w:rsid w:val="00314C19"/>
    <w:rsid w:val="00314EED"/>
    <w:rsid w:val="003160E5"/>
    <w:rsid w:val="00316929"/>
    <w:rsid w:val="00316A5E"/>
    <w:rsid w:val="003173D3"/>
    <w:rsid w:val="00317AC5"/>
    <w:rsid w:val="003201D1"/>
    <w:rsid w:val="0032254E"/>
    <w:rsid w:val="00323B69"/>
    <w:rsid w:val="00324E56"/>
    <w:rsid w:val="00324F0F"/>
    <w:rsid w:val="0033102C"/>
    <w:rsid w:val="003316BA"/>
    <w:rsid w:val="003316EB"/>
    <w:rsid w:val="003328CD"/>
    <w:rsid w:val="00333370"/>
    <w:rsid w:val="0033404E"/>
    <w:rsid w:val="003350A4"/>
    <w:rsid w:val="00336A5F"/>
    <w:rsid w:val="00336FA9"/>
    <w:rsid w:val="00337631"/>
    <w:rsid w:val="0034089F"/>
    <w:rsid w:val="00342AC4"/>
    <w:rsid w:val="003437FA"/>
    <w:rsid w:val="00343C97"/>
    <w:rsid w:val="00343D8E"/>
    <w:rsid w:val="00344C38"/>
    <w:rsid w:val="003466FB"/>
    <w:rsid w:val="00351B79"/>
    <w:rsid w:val="00351E6A"/>
    <w:rsid w:val="00352E2F"/>
    <w:rsid w:val="00352F40"/>
    <w:rsid w:val="0035444B"/>
    <w:rsid w:val="0035579F"/>
    <w:rsid w:val="00355FA1"/>
    <w:rsid w:val="003603C7"/>
    <w:rsid w:val="003606FC"/>
    <w:rsid w:val="003608E9"/>
    <w:rsid w:val="00361FC8"/>
    <w:rsid w:val="0036294D"/>
    <w:rsid w:val="00363C6D"/>
    <w:rsid w:val="0036490E"/>
    <w:rsid w:val="00364F4D"/>
    <w:rsid w:val="003654D1"/>
    <w:rsid w:val="00366572"/>
    <w:rsid w:val="00370394"/>
    <w:rsid w:val="0037059F"/>
    <w:rsid w:val="00370A00"/>
    <w:rsid w:val="003715D1"/>
    <w:rsid w:val="003715E3"/>
    <w:rsid w:val="00371E94"/>
    <w:rsid w:val="00372098"/>
    <w:rsid w:val="003731EF"/>
    <w:rsid w:val="003736A7"/>
    <w:rsid w:val="0037637D"/>
    <w:rsid w:val="00380B2B"/>
    <w:rsid w:val="0038139C"/>
    <w:rsid w:val="003823CB"/>
    <w:rsid w:val="00383435"/>
    <w:rsid w:val="00384AA2"/>
    <w:rsid w:val="00384DA8"/>
    <w:rsid w:val="003853C2"/>
    <w:rsid w:val="003862DA"/>
    <w:rsid w:val="003926B9"/>
    <w:rsid w:val="003956BB"/>
    <w:rsid w:val="00395A3C"/>
    <w:rsid w:val="00395F74"/>
    <w:rsid w:val="00396061"/>
    <w:rsid w:val="00396265"/>
    <w:rsid w:val="0039750A"/>
    <w:rsid w:val="00397881"/>
    <w:rsid w:val="003A065C"/>
    <w:rsid w:val="003A2337"/>
    <w:rsid w:val="003A25AC"/>
    <w:rsid w:val="003A27E3"/>
    <w:rsid w:val="003A304E"/>
    <w:rsid w:val="003A3FA6"/>
    <w:rsid w:val="003A4A93"/>
    <w:rsid w:val="003A5898"/>
    <w:rsid w:val="003A61C8"/>
    <w:rsid w:val="003A6784"/>
    <w:rsid w:val="003A6B0E"/>
    <w:rsid w:val="003A7C03"/>
    <w:rsid w:val="003B0179"/>
    <w:rsid w:val="003B1E3C"/>
    <w:rsid w:val="003B309E"/>
    <w:rsid w:val="003B3E7C"/>
    <w:rsid w:val="003B455C"/>
    <w:rsid w:val="003B48C7"/>
    <w:rsid w:val="003B4EAB"/>
    <w:rsid w:val="003B4F4C"/>
    <w:rsid w:val="003B6892"/>
    <w:rsid w:val="003B74B2"/>
    <w:rsid w:val="003B767A"/>
    <w:rsid w:val="003C016E"/>
    <w:rsid w:val="003C1C6A"/>
    <w:rsid w:val="003C1FCD"/>
    <w:rsid w:val="003C480C"/>
    <w:rsid w:val="003D1904"/>
    <w:rsid w:val="003D48B4"/>
    <w:rsid w:val="003D5290"/>
    <w:rsid w:val="003D5A33"/>
    <w:rsid w:val="003D5E5D"/>
    <w:rsid w:val="003D6980"/>
    <w:rsid w:val="003D7CA2"/>
    <w:rsid w:val="003E26CB"/>
    <w:rsid w:val="003E2B72"/>
    <w:rsid w:val="003E2F1F"/>
    <w:rsid w:val="003E3117"/>
    <w:rsid w:val="003E489F"/>
    <w:rsid w:val="003E61EA"/>
    <w:rsid w:val="003E64A6"/>
    <w:rsid w:val="003E7224"/>
    <w:rsid w:val="003E7722"/>
    <w:rsid w:val="003E7962"/>
    <w:rsid w:val="003F1973"/>
    <w:rsid w:val="003F658F"/>
    <w:rsid w:val="00400015"/>
    <w:rsid w:val="004009C0"/>
    <w:rsid w:val="00401796"/>
    <w:rsid w:val="004023DC"/>
    <w:rsid w:val="00403BC1"/>
    <w:rsid w:val="0040445C"/>
    <w:rsid w:val="004061F8"/>
    <w:rsid w:val="00407706"/>
    <w:rsid w:val="004100CB"/>
    <w:rsid w:val="00411994"/>
    <w:rsid w:val="0041345A"/>
    <w:rsid w:val="00413F95"/>
    <w:rsid w:val="00415496"/>
    <w:rsid w:val="0042221A"/>
    <w:rsid w:val="00422227"/>
    <w:rsid w:val="004223E3"/>
    <w:rsid w:val="00423E4F"/>
    <w:rsid w:val="004256B6"/>
    <w:rsid w:val="00425742"/>
    <w:rsid w:val="0042653F"/>
    <w:rsid w:val="0043037A"/>
    <w:rsid w:val="004323B5"/>
    <w:rsid w:val="00432654"/>
    <w:rsid w:val="00432FC7"/>
    <w:rsid w:val="00433020"/>
    <w:rsid w:val="004343A1"/>
    <w:rsid w:val="00436719"/>
    <w:rsid w:val="00436937"/>
    <w:rsid w:val="00436EA6"/>
    <w:rsid w:val="0043738F"/>
    <w:rsid w:val="00440620"/>
    <w:rsid w:val="00440F20"/>
    <w:rsid w:val="00441D1D"/>
    <w:rsid w:val="0044274E"/>
    <w:rsid w:val="004431B8"/>
    <w:rsid w:val="004437B7"/>
    <w:rsid w:val="00443CBF"/>
    <w:rsid w:val="004449A6"/>
    <w:rsid w:val="00444E7B"/>
    <w:rsid w:val="00446853"/>
    <w:rsid w:val="00447A85"/>
    <w:rsid w:val="004509D4"/>
    <w:rsid w:val="00451B68"/>
    <w:rsid w:val="004521BD"/>
    <w:rsid w:val="00452798"/>
    <w:rsid w:val="004532B3"/>
    <w:rsid w:val="00453557"/>
    <w:rsid w:val="0045388B"/>
    <w:rsid w:val="00454944"/>
    <w:rsid w:val="00455C88"/>
    <w:rsid w:val="00456C22"/>
    <w:rsid w:val="00457B56"/>
    <w:rsid w:val="004600E9"/>
    <w:rsid w:val="00460BF3"/>
    <w:rsid w:val="0046196F"/>
    <w:rsid w:val="00461EE1"/>
    <w:rsid w:val="00462BB4"/>
    <w:rsid w:val="004636A8"/>
    <w:rsid w:val="00463D94"/>
    <w:rsid w:val="00463E35"/>
    <w:rsid w:val="00466F1E"/>
    <w:rsid w:val="00471E96"/>
    <w:rsid w:val="00472110"/>
    <w:rsid w:val="00472333"/>
    <w:rsid w:val="00473504"/>
    <w:rsid w:val="004740FF"/>
    <w:rsid w:val="00474559"/>
    <w:rsid w:val="0047523B"/>
    <w:rsid w:val="00475C50"/>
    <w:rsid w:val="00477C60"/>
    <w:rsid w:val="00480E4C"/>
    <w:rsid w:val="00481ECF"/>
    <w:rsid w:val="004832BD"/>
    <w:rsid w:val="004839BB"/>
    <w:rsid w:val="00486BC8"/>
    <w:rsid w:val="00492ADF"/>
    <w:rsid w:val="00493067"/>
    <w:rsid w:val="004961BA"/>
    <w:rsid w:val="00496956"/>
    <w:rsid w:val="004A0181"/>
    <w:rsid w:val="004A2167"/>
    <w:rsid w:val="004A24ED"/>
    <w:rsid w:val="004A29CD"/>
    <w:rsid w:val="004A2C3F"/>
    <w:rsid w:val="004A4B93"/>
    <w:rsid w:val="004A612A"/>
    <w:rsid w:val="004A6949"/>
    <w:rsid w:val="004B1A38"/>
    <w:rsid w:val="004B4CC5"/>
    <w:rsid w:val="004B5122"/>
    <w:rsid w:val="004B5417"/>
    <w:rsid w:val="004B5F5A"/>
    <w:rsid w:val="004B61B9"/>
    <w:rsid w:val="004B6CA9"/>
    <w:rsid w:val="004B6D49"/>
    <w:rsid w:val="004C0357"/>
    <w:rsid w:val="004C149A"/>
    <w:rsid w:val="004C1E6A"/>
    <w:rsid w:val="004C2D31"/>
    <w:rsid w:val="004C2E28"/>
    <w:rsid w:val="004C4212"/>
    <w:rsid w:val="004C5086"/>
    <w:rsid w:val="004D0854"/>
    <w:rsid w:val="004D146B"/>
    <w:rsid w:val="004D3B5D"/>
    <w:rsid w:val="004D3BA2"/>
    <w:rsid w:val="004D4554"/>
    <w:rsid w:val="004D51B8"/>
    <w:rsid w:val="004D585B"/>
    <w:rsid w:val="004D5982"/>
    <w:rsid w:val="004D745A"/>
    <w:rsid w:val="004E1225"/>
    <w:rsid w:val="004E2062"/>
    <w:rsid w:val="004E206C"/>
    <w:rsid w:val="004E2A42"/>
    <w:rsid w:val="004E59AA"/>
    <w:rsid w:val="004E5DE3"/>
    <w:rsid w:val="004E635E"/>
    <w:rsid w:val="004E687F"/>
    <w:rsid w:val="004F1AD9"/>
    <w:rsid w:val="004F2CB6"/>
    <w:rsid w:val="004F3370"/>
    <w:rsid w:val="004F373F"/>
    <w:rsid w:val="004F4DD7"/>
    <w:rsid w:val="004F6F0E"/>
    <w:rsid w:val="004F7C13"/>
    <w:rsid w:val="004F7C3A"/>
    <w:rsid w:val="00503A53"/>
    <w:rsid w:val="005104D2"/>
    <w:rsid w:val="005116F3"/>
    <w:rsid w:val="00511AB3"/>
    <w:rsid w:val="005128F8"/>
    <w:rsid w:val="00512B43"/>
    <w:rsid w:val="00520350"/>
    <w:rsid w:val="00521E57"/>
    <w:rsid w:val="005221EE"/>
    <w:rsid w:val="005221FC"/>
    <w:rsid w:val="00522B70"/>
    <w:rsid w:val="00523DD9"/>
    <w:rsid w:val="00525A6D"/>
    <w:rsid w:val="00525EEC"/>
    <w:rsid w:val="00526273"/>
    <w:rsid w:val="00526B66"/>
    <w:rsid w:val="00527CA5"/>
    <w:rsid w:val="0053092A"/>
    <w:rsid w:val="00532880"/>
    <w:rsid w:val="0053301B"/>
    <w:rsid w:val="00533C12"/>
    <w:rsid w:val="00534AD7"/>
    <w:rsid w:val="00535388"/>
    <w:rsid w:val="00536DEE"/>
    <w:rsid w:val="00537E45"/>
    <w:rsid w:val="005404AF"/>
    <w:rsid w:val="0054054F"/>
    <w:rsid w:val="005407B1"/>
    <w:rsid w:val="00541ED7"/>
    <w:rsid w:val="0054323D"/>
    <w:rsid w:val="005445A9"/>
    <w:rsid w:val="00545686"/>
    <w:rsid w:val="005457AD"/>
    <w:rsid w:val="0054743B"/>
    <w:rsid w:val="005513C0"/>
    <w:rsid w:val="00553259"/>
    <w:rsid w:val="005549B7"/>
    <w:rsid w:val="005550C5"/>
    <w:rsid w:val="005578A8"/>
    <w:rsid w:val="0056022E"/>
    <w:rsid w:val="0056060E"/>
    <w:rsid w:val="005608CD"/>
    <w:rsid w:val="00562BBD"/>
    <w:rsid w:val="00562E19"/>
    <w:rsid w:val="0056405C"/>
    <w:rsid w:val="005653D9"/>
    <w:rsid w:val="00565665"/>
    <w:rsid w:val="00571314"/>
    <w:rsid w:val="00571369"/>
    <w:rsid w:val="005715E9"/>
    <w:rsid w:val="00572C5C"/>
    <w:rsid w:val="005736A2"/>
    <w:rsid w:val="0057574E"/>
    <w:rsid w:val="00577883"/>
    <w:rsid w:val="005811A9"/>
    <w:rsid w:val="005815D8"/>
    <w:rsid w:val="00582097"/>
    <w:rsid w:val="00583D09"/>
    <w:rsid w:val="005841A7"/>
    <w:rsid w:val="00584DF1"/>
    <w:rsid w:val="00585B0D"/>
    <w:rsid w:val="00587C0C"/>
    <w:rsid w:val="00591417"/>
    <w:rsid w:val="0059308D"/>
    <w:rsid w:val="005936D4"/>
    <w:rsid w:val="00593D53"/>
    <w:rsid w:val="00594262"/>
    <w:rsid w:val="00595556"/>
    <w:rsid w:val="00595F16"/>
    <w:rsid w:val="00596030"/>
    <w:rsid w:val="00597C48"/>
    <w:rsid w:val="00597D0D"/>
    <w:rsid w:val="005A00A3"/>
    <w:rsid w:val="005A0C45"/>
    <w:rsid w:val="005A16DA"/>
    <w:rsid w:val="005A1C84"/>
    <w:rsid w:val="005A27E4"/>
    <w:rsid w:val="005A3121"/>
    <w:rsid w:val="005A3154"/>
    <w:rsid w:val="005A4667"/>
    <w:rsid w:val="005A4F41"/>
    <w:rsid w:val="005A578D"/>
    <w:rsid w:val="005A7324"/>
    <w:rsid w:val="005B0A07"/>
    <w:rsid w:val="005B0AB8"/>
    <w:rsid w:val="005B141D"/>
    <w:rsid w:val="005B1C0B"/>
    <w:rsid w:val="005B2A3F"/>
    <w:rsid w:val="005B776A"/>
    <w:rsid w:val="005C008C"/>
    <w:rsid w:val="005C0B03"/>
    <w:rsid w:val="005C12C1"/>
    <w:rsid w:val="005C21ED"/>
    <w:rsid w:val="005C453A"/>
    <w:rsid w:val="005C4ACE"/>
    <w:rsid w:val="005C4F6F"/>
    <w:rsid w:val="005C6A15"/>
    <w:rsid w:val="005C7E07"/>
    <w:rsid w:val="005D15E7"/>
    <w:rsid w:val="005D15F7"/>
    <w:rsid w:val="005D1E09"/>
    <w:rsid w:val="005D1E1F"/>
    <w:rsid w:val="005D5937"/>
    <w:rsid w:val="005D6939"/>
    <w:rsid w:val="005D6F23"/>
    <w:rsid w:val="005E0B1F"/>
    <w:rsid w:val="005E12FE"/>
    <w:rsid w:val="005E1391"/>
    <w:rsid w:val="005E1709"/>
    <w:rsid w:val="005E2DEC"/>
    <w:rsid w:val="005E3802"/>
    <w:rsid w:val="005E388D"/>
    <w:rsid w:val="005E392F"/>
    <w:rsid w:val="005E574A"/>
    <w:rsid w:val="005F0049"/>
    <w:rsid w:val="005F0C43"/>
    <w:rsid w:val="005F135B"/>
    <w:rsid w:val="005F13B1"/>
    <w:rsid w:val="005F15AA"/>
    <w:rsid w:val="005F2809"/>
    <w:rsid w:val="005F2B4A"/>
    <w:rsid w:val="005F35A6"/>
    <w:rsid w:val="005F47B4"/>
    <w:rsid w:val="005F493A"/>
    <w:rsid w:val="005F5773"/>
    <w:rsid w:val="005F6362"/>
    <w:rsid w:val="005F7507"/>
    <w:rsid w:val="005F765D"/>
    <w:rsid w:val="005F7849"/>
    <w:rsid w:val="0060104D"/>
    <w:rsid w:val="00601283"/>
    <w:rsid w:val="00601A19"/>
    <w:rsid w:val="00601D24"/>
    <w:rsid w:val="006022F0"/>
    <w:rsid w:val="006029D7"/>
    <w:rsid w:val="0060332C"/>
    <w:rsid w:val="00604239"/>
    <w:rsid w:val="006043BE"/>
    <w:rsid w:val="006056D4"/>
    <w:rsid w:val="00605A3D"/>
    <w:rsid w:val="00605D5E"/>
    <w:rsid w:val="00605EA4"/>
    <w:rsid w:val="00606A64"/>
    <w:rsid w:val="00606CC4"/>
    <w:rsid w:val="00610306"/>
    <w:rsid w:val="00610518"/>
    <w:rsid w:val="006114B7"/>
    <w:rsid w:val="00617ABF"/>
    <w:rsid w:val="006207EB"/>
    <w:rsid w:val="00621275"/>
    <w:rsid w:val="00622302"/>
    <w:rsid w:val="00622755"/>
    <w:rsid w:val="00622E83"/>
    <w:rsid w:val="00623BB1"/>
    <w:rsid w:val="00623FC8"/>
    <w:rsid w:val="00626405"/>
    <w:rsid w:val="006269C2"/>
    <w:rsid w:val="006302A8"/>
    <w:rsid w:val="006307BC"/>
    <w:rsid w:val="006315F6"/>
    <w:rsid w:val="006324FB"/>
    <w:rsid w:val="00634B9F"/>
    <w:rsid w:val="0063513F"/>
    <w:rsid w:val="00635572"/>
    <w:rsid w:val="006357D1"/>
    <w:rsid w:val="00636E7F"/>
    <w:rsid w:val="006414F1"/>
    <w:rsid w:val="00642276"/>
    <w:rsid w:val="00642591"/>
    <w:rsid w:val="00642869"/>
    <w:rsid w:val="00642C4F"/>
    <w:rsid w:val="00642FDE"/>
    <w:rsid w:val="006432FD"/>
    <w:rsid w:val="00643F08"/>
    <w:rsid w:val="00644448"/>
    <w:rsid w:val="00644562"/>
    <w:rsid w:val="00644821"/>
    <w:rsid w:val="00645103"/>
    <w:rsid w:val="0065009A"/>
    <w:rsid w:val="0065092A"/>
    <w:rsid w:val="006512FE"/>
    <w:rsid w:val="00652E40"/>
    <w:rsid w:val="00652F07"/>
    <w:rsid w:val="0065402D"/>
    <w:rsid w:val="006571AA"/>
    <w:rsid w:val="00661DB1"/>
    <w:rsid w:val="00663C59"/>
    <w:rsid w:val="0066426A"/>
    <w:rsid w:val="00665D9E"/>
    <w:rsid w:val="00666042"/>
    <w:rsid w:val="00667912"/>
    <w:rsid w:val="006720A1"/>
    <w:rsid w:val="00674008"/>
    <w:rsid w:val="006744A0"/>
    <w:rsid w:val="00674D58"/>
    <w:rsid w:val="00675D2A"/>
    <w:rsid w:val="0068030C"/>
    <w:rsid w:val="0068525A"/>
    <w:rsid w:val="00687B83"/>
    <w:rsid w:val="00690233"/>
    <w:rsid w:val="0069057F"/>
    <w:rsid w:val="0069082A"/>
    <w:rsid w:val="00690A8F"/>
    <w:rsid w:val="00690E9C"/>
    <w:rsid w:val="00691BB7"/>
    <w:rsid w:val="0069213B"/>
    <w:rsid w:val="00692FEC"/>
    <w:rsid w:val="00693935"/>
    <w:rsid w:val="006945DD"/>
    <w:rsid w:val="00694ECB"/>
    <w:rsid w:val="006959FD"/>
    <w:rsid w:val="00696169"/>
    <w:rsid w:val="0069682A"/>
    <w:rsid w:val="00696836"/>
    <w:rsid w:val="006A007B"/>
    <w:rsid w:val="006A0118"/>
    <w:rsid w:val="006A0AA4"/>
    <w:rsid w:val="006A0D4B"/>
    <w:rsid w:val="006A1D11"/>
    <w:rsid w:val="006A27D4"/>
    <w:rsid w:val="006A798A"/>
    <w:rsid w:val="006A7C7A"/>
    <w:rsid w:val="006B1E16"/>
    <w:rsid w:val="006B227C"/>
    <w:rsid w:val="006B2FA2"/>
    <w:rsid w:val="006B3306"/>
    <w:rsid w:val="006B3C76"/>
    <w:rsid w:val="006B490B"/>
    <w:rsid w:val="006B5A0F"/>
    <w:rsid w:val="006B76D5"/>
    <w:rsid w:val="006C2696"/>
    <w:rsid w:val="006C2CE0"/>
    <w:rsid w:val="006C4F7D"/>
    <w:rsid w:val="006C6E36"/>
    <w:rsid w:val="006C6FE5"/>
    <w:rsid w:val="006C730F"/>
    <w:rsid w:val="006C73C7"/>
    <w:rsid w:val="006C76B2"/>
    <w:rsid w:val="006C7B09"/>
    <w:rsid w:val="006D00A0"/>
    <w:rsid w:val="006D01DB"/>
    <w:rsid w:val="006D164F"/>
    <w:rsid w:val="006D1E52"/>
    <w:rsid w:val="006D2925"/>
    <w:rsid w:val="006D3ED0"/>
    <w:rsid w:val="006D6CC0"/>
    <w:rsid w:val="006D7819"/>
    <w:rsid w:val="006D78B7"/>
    <w:rsid w:val="006D79FA"/>
    <w:rsid w:val="006E0E3D"/>
    <w:rsid w:val="006E1540"/>
    <w:rsid w:val="006E17D2"/>
    <w:rsid w:val="006E2651"/>
    <w:rsid w:val="006E347A"/>
    <w:rsid w:val="006E612F"/>
    <w:rsid w:val="006E690E"/>
    <w:rsid w:val="006F1A0E"/>
    <w:rsid w:val="006F2900"/>
    <w:rsid w:val="006F2D9B"/>
    <w:rsid w:val="006F34BA"/>
    <w:rsid w:val="006F3575"/>
    <w:rsid w:val="006F5A93"/>
    <w:rsid w:val="006F7377"/>
    <w:rsid w:val="006F7AF1"/>
    <w:rsid w:val="007011D9"/>
    <w:rsid w:val="00701986"/>
    <w:rsid w:val="00702EBE"/>
    <w:rsid w:val="00705C38"/>
    <w:rsid w:val="007069EA"/>
    <w:rsid w:val="00707143"/>
    <w:rsid w:val="00707486"/>
    <w:rsid w:val="00710F4A"/>
    <w:rsid w:val="00711042"/>
    <w:rsid w:val="007113C0"/>
    <w:rsid w:val="00711B0F"/>
    <w:rsid w:val="0071347B"/>
    <w:rsid w:val="0071571B"/>
    <w:rsid w:val="007158F7"/>
    <w:rsid w:val="00715933"/>
    <w:rsid w:val="007166E5"/>
    <w:rsid w:val="007167AC"/>
    <w:rsid w:val="007202E5"/>
    <w:rsid w:val="0072167B"/>
    <w:rsid w:val="0072267B"/>
    <w:rsid w:val="00722F2C"/>
    <w:rsid w:val="007243CF"/>
    <w:rsid w:val="00724714"/>
    <w:rsid w:val="0072518D"/>
    <w:rsid w:val="00726E66"/>
    <w:rsid w:val="00727269"/>
    <w:rsid w:val="00727D22"/>
    <w:rsid w:val="00730EF9"/>
    <w:rsid w:val="00732509"/>
    <w:rsid w:val="00732A8E"/>
    <w:rsid w:val="00733BD3"/>
    <w:rsid w:val="00734F52"/>
    <w:rsid w:val="00736119"/>
    <w:rsid w:val="007406DD"/>
    <w:rsid w:val="007425E4"/>
    <w:rsid w:val="00743561"/>
    <w:rsid w:val="007438DC"/>
    <w:rsid w:val="00746914"/>
    <w:rsid w:val="00747653"/>
    <w:rsid w:val="007500F5"/>
    <w:rsid w:val="007501D5"/>
    <w:rsid w:val="00750347"/>
    <w:rsid w:val="00753290"/>
    <w:rsid w:val="00753791"/>
    <w:rsid w:val="00754210"/>
    <w:rsid w:val="00754BE9"/>
    <w:rsid w:val="00754FE3"/>
    <w:rsid w:val="007552C5"/>
    <w:rsid w:val="007564D4"/>
    <w:rsid w:val="00756A91"/>
    <w:rsid w:val="00757576"/>
    <w:rsid w:val="00757B6C"/>
    <w:rsid w:val="00757E29"/>
    <w:rsid w:val="00760332"/>
    <w:rsid w:val="00760806"/>
    <w:rsid w:val="00761F2A"/>
    <w:rsid w:val="00765573"/>
    <w:rsid w:val="00766127"/>
    <w:rsid w:val="00767D5A"/>
    <w:rsid w:val="00767EDF"/>
    <w:rsid w:val="0077055E"/>
    <w:rsid w:val="00771A42"/>
    <w:rsid w:val="00772333"/>
    <w:rsid w:val="00772358"/>
    <w:rsid w:val="00773459"/>
    <w:rsid w:val="007741C9"/>
    <w:rsid w:val="00774263"/>
    <w:rsid w:val="00774369"/>
    <w:rsid w:val="00774D57"/>
    <w:rsid w:val="00775496"/>
    <w:rsid w:val="00775AC6"/>
    <w:rsid w:val="00776E63"/>
    <w:rsid w:val="007770EB"/>
    <w:rsid w:val="00777234"/>
    <w:rsid w:val="00777692"/>
    <w:rsid w:val="00781AAE"/>
    <w:rsid w:val="0078331D"/>
    <w:rsid w:val="00783E60"/>
    <w:rsid w:val="00785576"/>
    <w:rsid w:val="007855C3"/>
    <w:rsid w:val="00785D24"/>
    <w:rsid w:val="00786640"/>
    <w:rsid w:val="007869C6"/>
    <w:rsid w:val="00787083"/>
    <w:rsid w:val="00787100"/>
    <w:rsid w:val="00787DE8"/>
    <w:rsid w:val="0079009A"/>
    <w:rsid w:val="00790F40"/>
    <w:rsid w:val="00791F56"/>
    <w:rsid w:val="00793A9E"/>
    <w:rsid w:val="0079635F"/>
    <w:rsid w:val="007969A9"/>
    <w:rsid w:val="007A1681"/>
    <w:rsid w:val="007A2515"/>
    <w:rsid w:val="007A3CF6"/>
    <w:rsid w:val="007A4481"/>
    <w:rsid w:val="007A67D1"/>
    <w:rsid w:val="007B08DE"/>
    <w:rsid w:val="007B1B43"/>
    <w:rsid w:val="007B22EA"/>
    <w:rsid w:val="007B28FE"/>
    <w:rsid w:val="007B33CA"/>
    <w:rsid w:val="007B39DD"/>
    <w:rsid w:val="007B3AFE"/>
    <w:rsid w:val="007B602B"/>
    <w:rsid w:val="007B647C"/>
    <w:rsid w:val="007B7567"/>
    <w:rsid w:val="007C5F49"/>
    <w:rsid w:val="007C6320"/>
    <w:rsid w:val="007D3211"/>
    <w:rsid w:val="007D488A"/>
    <w:rsid w:val="007D732C"/>
    <w:rsid w:val="007D7D7B"/>
    <w:rsid w:val="007E0981"/>
    <w:rsid w:val="007E0A73"/>
    <w:rsid w:val="007E55FE"/>
    <w:rsid w:val="007E60C7"/>
    <w:rsid w:val="007E62FE"/>
    <w:rsid w:val="007E65EE"/>
    <w:rsid w:val="007E6A62"/>
    <w:rsid w:val="007F0CE0"/>
    <w:rsid w:val="007F0DC5"/>
    <w:rsid w:val="007F1D8D"/>
    <w:rsid w:val="007F1EAD"/>
    <w:rsid w:val="007F23EC"/>
    <w:rsid w:val="007F2A7E"/>
    <w:rsid w:val="007F2CBF"/>
    <w:rsid w:val="007F38E2"/>
    <w:rsid w:val="007F4868"/>
    <w:rsid w:val="007F48D5"/>
    <w:rsid w:val="00801ED4"/>
    <w:rsid w:val="008039CA"/>
    <w:rsid w:val="008113B8"/>
    <w:rsid w:val="00811DBA"/>
    <w:rsid w:val="008128D4"/>
    <w:rsid w:val="008139FD"/>
    <w:rsid w:val="00814C58"/>
    <w:rsid w:val="00815017"/>
    <w:rsid w:val="00815D23"/>
    <w:rsid w:val="008201DF"/>
    <w:rsid w:val="00820440"/>
    <w:rsid w:val="00822818"/>
    <w:rsid w:val="0082315A"/>
    <w:rsid w:val="00823930"/>
    <w:rsid w:val="00823A34"/>
    <w:rsid w:val="00823C48"/>
    <w:rsid w:val="00823D52"/>
    <w:rsid w:val="00824E66"/>
    <w:rsid w:val="00825B3C"/>
    <w:rsid w:val="008266A0"/>
    <w:rsid w:val="00826A97"/>
    <w:rsid w:val="0083126B"/>
    <w:rsid w:val="00831D61"/>
    <w:rsid w:val="00832254"/>
    <w:rsid w:val="00832C64"/>
    <w:rsid w:val="00832D3E"/>
    <w:rsid w:val="008343ED"/>
    <w:rsid w:val="0083456B"/>
    <w:rsid w:val="008347D4"/>
    <w:rsid w:val="0083522D"/>
    <w:rsid w:val="00835805"/>
    <w:rsid w:val="00836C83"/>
    <w:rsid w:val="008376D4"/>
    <w:rsid w:val="00844E8C"/>
    <w:rsid w:val="00847949"/>
    <w:rsid w:val="00851FFA"/>
    <w:rsid w:val="0085245D"/>
    <w:rsid w:val="00861611"/>
    <w:rsid w:val="00862D59"/>
    <w:rsid w:val="00862F48"/>
    <w:rsid w:val="00863068"/>
    <w:rsid w:val="008635DC"/>
    <w:rsid w:val="00865DB3"/>
    <w:rsid w:val="00867848"/>
    <w:rsid w:val="00867E85"/>
    <w:rsid w:val="00867FF1"/>
    <w:rsid w:val="00870CC4"/>
    <w:rsid w:val="008716C9"/>
    <w:rsid w:val="0087440F"/>
    <w:rsid w:val="00875099"/>
    <w:rsid w:val="00881959"/>
    <w:rsid w:val="00881FBE"/>
    <w:rsid w:val="008838D5"/>
    <w:rsid w:val="00883CED"/>
    <w:rsid w:val="008853A2"/>
    <w:rsid w:val="00887141"/>
    <w:rsid w:val="00887E3D"/>
    <w:rsid w:val="00891ACB"/>
    <w:rsid w:val="00891FD2"/>
    <w:rsid w:val="008931F8"/>
    <w:rsid w:val="00893F12"/>
    <w:rsid w:val="00895008"/>
    <w:rsid w:val="00895779"/>
    <w:rsid w:val="00896095"/>
    <w:rsid w:val="00896511"/>
    <w:rsid w:val="008970C9"/>
    <w:rsid w:val="008A0A34"/>
    <w:rsid w:val="008A0DB8"/>
    <w:rsid w:val="008A445C"/>
    <w:rsid w:val="008A6122"/>
    <w:rsid w:val="008A6CCD"/>
    <w:rsid w:val="008A6ECC"/>
    <w:rsid w:val="008A7288"/>
    <w:rsid w:val="008A7C4A"/>
    <w:rsid w:val="008B12F3"/>
    <w:rsid w:val="008B1962"/>
    <w:rsid w:val="008B1B4E"/>
    <w:rsid w:val="008B2DF3"/>
    <w:rsid w:val="008B3DCC"/>
    <w:rsid w:val="008B43F6"/>
    <w:rsid w:val="008B4806"/>
    <w:rsid w:val="008B5B08"/>
    <w:rsid w:val="008B5D9E"/>
    <w:rsid w:val="008B5F13"/>
    <w:rsid w:val="008B6539"/>
    <w:rsid w:val="008B6E58"/>
    <w:rsid w:val="008B779A"/>
    <w:rsid w:val="008B795F"/>
    <w:rsid w:val="008C0377"/>
    <w:rsid w:val="008C07CC"/>
    <w:rsid w:val="008C0CB4"/>
    <w:rsid w:val="008C2DC2"/>
    <w:rsid w:val="008C3AF6"/>
    <w:rsid w:val="008C3FE6"/>
    <w:rsid w:val="008C4E2E"/>
    <w:rsid w:val="008C57A5"/>
    <w:rsid w:val="008C6FD0"/>
    <w:rsid w:val="008D1106"/>
    <w:rsid w:val="008D16FA"/>
    <w:rsid w:val="008D30CF"/>
    <w:rsid w:val="008D4DFF"/>
    <w:rsid w:val="008D504E"/>
    <w:rsid w:val="008D546C"/>
    <w:rsid w:val="008D64F3"/>
    <w:rsid w:val="008D65A7"/>
    <w:rsid w:val="008D6A8C"/>
    <w:rsid w:val="008D7804"/>
    <w:rsid w:val="008E04C2"/>
    <w:rsid w:val="008E51F9"/>
    <w:rsid w:val="008F1E2F"/>
    <w:rsid w:val="008F51F2"/>
    <w:rsid w:val="008F5FF2"/>
    <w:rsid w:val="008F6E9B"/>
    <w:rsid w:val="008F7102"/>
    <w:rsid w:val="008F7DBD"/>
    <w:rsid w:val="00901229"/>
    <w:rsid w:val="00901F94"/>
    <w:rsid w:val="00902DC0"/>
    <w:rsid w:val="00902EFA"/>
    <w:rsid w:val="00903C09"/>
    <w:rsid w:val="0090578F"/>
    <w:rsid w:val="00907364"/>
    <w:rsid w:val="009077CF"/>
    <w:rsid w:val="00910093"/>
    <w:rsid w:val="009101E8"/>
    <w:rsid w:val="00910C27"/>
    <w:rsid w:val="00911348"/>
    <w:rsid w:val="009127E3"/>
    <w:rsid w:val="00912B04"/>
    <w:rsid w:val="009144FC"/>
    <w:rsid w:val="009156ED"/>
    <w:rsid w:val="00915B7D"/>
    <w:rsid w:val="00916085"/>
    <w:rsid w:val="00916448"/>
    <w:rsid w:val="009177AC"/>
    <w:rsid w:val="00917D28"/>
    <w:rsid w:val="009200A0"/>
    <w:rsid w:val="0092094F"/>
    <w:rsid w:val="009212CD"/>
    <w:rsid w:val="009221CB"/>
    <w:rsid w:val="00922346"/>
    <w:rsid w:val="00923429"/>
    <w:rsid w:val="00923702"/>
    <w:rsid w:val="00923962"/>
    <w:rsid w:val="0092512D"/>
    <w:rsid w:val="0092643E"/>
    <w:rsid w:val="00926E56"/>
    <w:rsid w:val="00932B31"/>
    <w:rsid w:val="00932D07"/>
    <w:rsid w:val="00933836"/>
    <w:rsid w:val="00933E55"/>
    <w:rsid w:val="00934C8C"/>
    <w:rsid w:val="00934EAE"/>
    <w:rsid w:val="00936069"/>
    <w:rsid w:val="009366CB"/>
    <w:rsid w:val="00936FD5"/>
    <w:rsid w:val="0093792A"/>
    <w:rsid w:val="00942538"/>
    <w:rsid w:val="00942547"/>
    <w:rsid w:val="00943039"/>
    <w:rsid w:val="0094439C"/>
    <w:rsid w:val="00945871"/>
    <w:rsid w:val="00947389"/>
    <w:rsid w:val="00947491"/>
    <w:rsid w:val="00947B24"/>
    <w:rsid w:val="00952658"/>
    <w:rsid w:val="0095308B"/>
    <w:rsid w:val="00953904"/>
    <w:rsid w:val="009544A0"/>
    <w:rsid w:val="0095474B"/>
    <w:rsid w:val="00954EB0"/>
    <w:rsid w:val="00955346"/>
    <w:rsid w:val="00955991"/>
    <w:rsid w:val="00955D40"/>
    <w:rsid w:val="00955D6C"/>
    <w:rsid w:val="0095648B"/>
    <w:rsid w:val="0095769A"/>
    <w:rsid w:val="00957718"/>
    <w:rsid w:val="0095789C"/>
    <w:rsid w:val="00957E1B"/>
    <w:rsid w:val="009602CF"/>
    <w:rsid w:val="00961C4A"/>
    <w:rsid w:val="00962B50"/>
    <w:rsid w:val="00963501"/>
    <w:rsid w:val="00963831"/>
    <w:rsid w:val="00963EC0"/>
    <w:rsid w:val="0096751B"/>
    <w:rsid w:val="009678DD"/>
    <w:rsid w:val="00971342"/>
    <w:rsid w:val="00972F29"/>
    <w:rsid w:val="00974C5C"/>
    <w:rsid w:val="00974D1A"/>
    <w:rsid w:val="009754FA"/>
    <w:rsid w:val="0097567C"/>
    <w:rsid w:val="0098159C"/>
    <w:rsid w:val="00981794"/>
    <w:rsid w:val="0098180A"/>
    <w:rsid w:val="00981886"/>
    <w:rsid w:val="0098485F"/>
    <w:rsid w:val="00986444"/>
    <w:rsid w:val="009867A4"/>
    <w:rsid w:val="00987531"/>
    <w:rsid w:val="00987AAC"/>
    <w:rsid w:val="00990261"/>
    <w:rsid w:val="0099070E"/>
    <w:rsid w:val="00992928"/>
    <w:rsid w:val="00992EAD"/>
    <w:rsid w:val="00993066"/>
    <w:rsid w:val="00993214"/>
    <w:rsid w:val="0099439A"/>
    <w:rsid w:val="00994C2F"/>
    <w:rsid w:val="00996620"/>
    <w:rsid w:val="00996C78"/>
    <w:rsid w:val="00996F0E"/>
    <w:rsid w:val="009972A5"/>
    <w:rsid w:val="00997ADC"/>
    <w:rsid w:val="00997C66"/>
    <w:rsid w:val="009A00A0"/>
    <w:rsid w:val="009A0A20"/>
    <w:rsid w:val="009A0F54"/>
    <w:rsid w:val="009A14B8"/>
    <w:rsid w:val="009A179E"/>
    <w:rsid w:val="009A4353"/>
    <w:rsid w:val="009A5E1D"/>
    <w:rsid w:val="009A61CB"/>
    <w:rsid w:val="009A679A"/>
    <w:rsid w:val="009A6BD4"/>
    <w:rsid w:val="009A6EC3"/>
    <w:rsid w:val="009B0F03"/>
    <w:rsid w:val="009B11DA"/>
    <w:rsid w:val="009B3698"/>
    <w:rsid w:val="009B5677"/>
    <w:rsid w:val="009B5777"/>
    <w:rsid w:val="009B5C01"/>
    <w:rsid w:val="009B629D"/>
    <w:rsid w:val="009B7D38"/>
    <w:rsid w:val="009C2193"/>
    <w:rsid w:val="009C2BF9"/>
    <w:rsid w:val="009C366C"/>
    <w:rsid w:val="009C5223"/>
    <w:rsid w:val="009C5244"/>
    <w:rsid w:val="009C5BD5"/>
    <w:rsid w:val="009C5CD0"/>
    <w:rsid w:val="009C7A59"/>
    <w:rsid w:val="009C7D81"/>
    <w:rsid w:val="009D0B97"/>
    <w:rsid w:val="009D0F4C"/>
    <w:rsid w:val="009D1C1F"/>
    <w:rsid w:val="009D325F"/>
    <w:rsid w:val="009D35C7"/>
    <w:rsid w:val="009D5A4D"/>
    <w:rsid w:val="009D7E5B"/>
    <w:rsid w:val="009E0BAB"/>
    <w:rsid w:val="009E1AC1"/>
    <w:rsid w:val="009E394D"/>
    <w:rsid w:val="009E498B"/>
    <w:rsid w:val="009E5661"/>
    <w:rsid w:val="009E59DE"/>
    <w:rsid w:val="009E6A94"/>
    <w:rsid w:val="009E70B8"/>
    <w:rsid w:val="009F049D"/>
    <w:rsid w:val="009F18EA"/>
    <w:rsid w:val="009F2DDA"/>
    <w:rsid w:val="009F343A"/>
    <w:rsid w:val="009F34D8"/>
    <w:rsid w:val="009F3BF9"/>
    <w:rsid w:val="009F3C00"/>
    <w:rsid w:val="009F5FF4"/>
    <w:rsid w:val="009F6C5A"/>
    <w:rsid w:val="00A008E8"/>
    <w:rsid w:val="00A00B90"/>
    <w:rsid w:val="00A02290"/>
    <w:rsid w:val="00A0279F"/>
    <w:rsid w:val="00A04A13"/>
    <w:rsid w:val="00A05F87"/>
    <w:rsid w:val="00A06443"/>
    <w:rsid w:val="00A06E75"/>
    <w:rsid w:val="00A14180"/>
    <w:rsid w:val="00A16336"/>
    <w:rsid w:val="00A1633D"/>
    <w:rsid w:val="00A17D29"/>
    <w:rsid w:val="00A21909"/>
    <w:rsid w:val="00A21CFA"/>
    <w:rsid w:val="00A21FA1"/>
    <w:rsid w:val="00A24009"/>
    <w:rsid w:val="00A24547"/>
    <w:rsid w:val="00A26A75"/>
    <w:rsid w:val="00A27418"/>
    <w:rsid w:val="00A274A0"/>
    <w:rsid w:val="00A30C1F"/>
    <w:rsid w:val="00A327E7"/>
    <w:rsid w:val="00A32B0E"/>
    <w:rsid w:val="00A32B75"/>
    <w:rsid w:val="00A337C1"/>
    <w:rsid w:val="00A34A65"/>
    <w:rsid w:val="00A361D1"/>
    <w:rsid w:val="00A362B3"/>
    <w:rsid w:val="00A37CA4"/>
    <w:rsid w:val="00A40A0A"/>
    <w:rsid w:val="00A40E53"/>
    <w:rsid w:val="00A42542"/>
    <w:rsid w:val="00A42EC3"/>
    <w:rsid w:val="00A444AF"/>
    <w:rsid w:val="00A44847"/>
    <w:rsid w:val="00A44AE2"/>
    <w:rsid w:val="00A45FA9"/>
    <w:rsid w:val="00A47766"/>
    <w:rsid w:val="00A50728"/>
    <w:rsid w:val="00A513CC"/>
    <w:rsid w:val="00A51406"/>
    <w:rsid w:val="00A52384"/>
    <w:rsid w:val="00A53706"/>
    <w:rsid w:val="00A54E2D"/>
    <w:rsid w:val="00A55017"/>
    <w:rsid w:val="00A56108"/>
    <w:rsid w:val="00A5616A"/>
    <w:rsid w:val="00A567A6"/>
    <w:rsid w:val="00A56CBA"/>
    <w:rsid w:val="00A618DD"/>
    <w:rsid w:val="00A62166"/>
    <w:rsid w:val="00A62559"/>
    <w:rsid w:val="00A6367E"/>
    <w:rsid w:val="00A63A54"/>
    <w:rsid w:val="00A64D15"/>
    <w:rsid w:val="00A653C4"/>
    <w:rsid w:val="00A66082"/>
    <w:rsid w:val="00A66F78"/>
    <w:rsid w:val="00A6720C"/>
    <w:rsid w:val="00A67D84"/>
    <w:rsid w:val="00A70824"/>
    <w:rsid w:val="00A72F59"/>
    <w:rsid w:val="00A74304"/>
    <w:rsid w:val="00A744BE"/>
    <w:rsid w:val="00A76214"/>
    <w:rsid w:val="00A76452"/>
    <w:rsid w:val="00A76788"/>
    <w:rsid w:val="00A77F01"/>
    <w:rsid w:val="00A816E9"/>
    <w:rsid w:val="00A820C8"/>
    <w:rsid w:val="00A831F1"/>
    <w:rsid w:val="00A83995"/>
    <w:rsid w:val="00A84163"/>
    <w:rsid w:val="00A87810"/>
    <w:rsid w:val="00A90DEE"/>
    <w:rsid w:val="00A910F5"/>
    <w:rsid w:val="00A94F68"/>
    <w:rsid w:val="00A95956"/>
    <w:rsid w:val="00A95C18"/>
    <w:rsid w:val="00A96516"/>
    <w:rsid w:val="00A967B3"/>
    <w:rsid w:val="00A969B1"/>
    <w:rsid w:val="00A96C20"/>
    <w:rsid w:val="00A97741"/>
    <w:rsid w:val="00A9799A"/>
    <w:rsid w:val="00AA302C"/>
    <w:rsid w:val="00AA54EB"/>
    <w:rsid w:val="00AA6733"/>
    <w:rsid w:val="00AB1F9C"/>
    <w:rsid w:val="00AB3D89"/>
    <w:rsid w:val="00AB3F78"/>
    <w:rsid w:val="00AB4466"/>
    <w:rsid w:val="00AB4712"/>
    <w:rsid w:val="00AB6591"/>
    <w:rsid w:val="00AC1872"/>
    <w:rsid w:val="00AC38BA"/>
    <w:rsid w:val="00AC61DC"/>
    <w:rsid w:val="00AD0635"/>
    <w:rsid w:val="00AD26EF"/>
    <w:rsid w:val="00AD5847"/>
    <w:rsid w:val="00AD63B9"/>
    <w:rsid w:val="00AD6B34"/>
    <w:rsid w:val="00AD75AB"/>
    <w:rsid w:val="00AD7E94"/>
    <w:rsid w:val="00AE01DE"/>
    <w:rsid w:val="00AE0F4F"/>
    <w:rsid w:val="00AE307B"/>
    <w:rsid w:val="00AE5041"/>
    <w:rsid w:val="00AE5FDC"/>
    <w:rsid w:val="00AE6354"/>
    <w:rsid w:val="00AE72D2"/>
    <w:rsid w:val="00AE7E77"/>
    <w:rsid w:val="00AF093A"/>
    <w:rsid w:val="00AF0D78"/>
    <w:rsid w:val="00AF13D1"/>
    <w:rsid w:val="00AF1406"/>
    <w:rsid w:val="00AF1586"/>
    <w:rsid w:val="00AF169C"/>
    <w:rsid w:val="00AF222F"/>
    <w:rsid w:val="00AF294B"/>
    <w:rsid w:val="00AF31D6"/>
    <w:rsid w:val="00AF45FA"/>
    <w:rsid w:val="00AF5782"/>
    <w:rsid w:val="00AF5F11"/>
    <w:rsid w:val="00AF6900"/>
    <w:rsid w:val="00AF7669"/>
    <w:rsid w:val="00B0136D"/>
    <w:rsid w:val="00B01918"/>
    <w:rsid w:val="00B023F1"/>
    <w:rsid w:val="00B02B22"/>
    <w:rsid w:val="00B02C9D"/>
    <w:rsid w:val="00B048A7"/>
    <w:rsid w:val="00B109F6"/>
    <w:rsid w:val="00B11D7A"/>
    <w:rsid w:val="00B1323B"/>
    <w:rsid w:val="00B13C27"/>
    <w:rsid w:val="00B15B89"/>
    <w:rsid w:val="00B163DF"/>
    <w:rsid w:val="00B16798"/>
    <w:rsid w:val="00B169C4"/>
    <w:rsid w:val="00B17591"/>
    <w:rsid w:val="00B209DF"/>
    <w:rsid w:val="00B21B38"/>
    <w:rsid w:val="00B22123"/>
    <w:rsid w:val="00B223E7"/>
    <w:rsid w:val="00B22C18"/>
    <w:rsid w:val="00B23B31"/>
    <w:rsid w:val="00B242A8"/>
    <w:rsid w:val="00B2512A"/>
    <w:rsid w:val="00B2601C"/>
    <w:rsid w:val="00B2606E"/>
    <w:rsid w:val="00B26932"/>
    <w:rsid w:val="00B276E7"/>
    <w:rsid w:val="00B27A63"/>
    <w:rsid w:val="00B30315"/>
    <w:rsid w:val="00B30A52"/>
    <w:rsid w:val="00B30BF9"/>
    <w:rsid w:val="00B31F7E"/>
    <w:rsid w:val="00B320E1"/>
    <w:rsid w:val="00B32F14"/>
    <w:rsid w:val="00B350EA"/>
    <w:rsid w:val="00B36904"/>
    <w:rsid w:val="00B3747D"/>
    <w:rsid w:val="00B40275"/>
    <w:rsid w:val="00B44495"/>
    <w:rsid w:val="00B44C33"/>
    <w:rsid w:val="00B4646F"/>
    <w:rsid w:val="00B47476"/>
    <w:rsid w:val="00B4747C"/>
    <w:rsid w:val="00B50421"/>
    <w:rsid w:val="00B511DD"/>
    <w:rsid w:val="00B51CD8"/>
    <w:rsid w:val="00B543D7"/>
    <w:rsid w:val="00B54E48"/>
    <w:rsid w:val="00B60BC0"/>
    <w:rsid w:val="00B6103B"/>
    <w:rsid w:val="00B61DC8"/>
    <w:rsid w:val="00B626BB"/>
    <w:rsid w:val="00B62BEC"/>
    <w:rsid w:val="00B62BF8"/>
    <w:rsid w:val="00B635D2"/>
    <w:rsid w:val="00B659BA"/>
    <w:rsid w:val="00B67390"/>
    <w:rsid w:val="00B70C71"/>
    <w:rsid w:val="00B72665"/>
    <w:rsid w:val="00B72B44"/>
    <w:rsid w:val="00B72D79"/>
    <w:rsid w:val="00B731E6"/>
    <w:rsid w:val="00B75258"/>
    <w:rsid w:val="00B7594C"/>
    <w:rsid w:val="00B764B3"/>
    <w:rsid w:val="00B766AB"/>
    <w:rsid w:val="00B7723F"/>
    <w:rsid w:val="00B800F8"/>
    <w:rsid w:val="00B82431"/>
    <w:rsid w:val="00B82733"/>
    <w:rsid w:val="00B82E51"/>
    <w:rsid w:val="00B835B4"/>
    <w:rsid w:val="00B83FC1"/>
    <w:rsid w:val="00B8483C"/>
    <w:rsid w:val="00B84960"/>
    <w:rsid w:val="00B84C34"/>
    <w:rsid w:val="00B84DA4"/>
    <w:rsid w:val="00B85151"/>
    <w:rsid w:val="00B8548F"/>
    <w:rsid w:val="00B85803"/>
    <w:rsid w:val="00B915F9"/>
    <w:rsid w:val="00B91D90"/>
    <w:rsid w:val="00B92AA1"/>
    <w:rsid w:val="00B92D83"/>
    <w:rsid w:val="00B94ABA"/>
    <w:rsid w:val="00B94B5A"/>
    <w:rsid w:val="00B95BF6"/>
    <w:rsid w:val="00B97288"/>
    <w:rsid w:val="00BA02D6"/>
    <w:rsid w:val="00BA0C2B"/>
    <w:rsid w:val="00BA0CF8"/>
    <w:rsid w:val="00BA0D1A"/>
    <w:rsid w:val="00BA24E0"/>
    <w:rsid w:val="00BA31D3"/>
    <w:rsid w:val="00BA37BF"/>
    <w:rsid w:val="00BA395A"/>
    <w:rsid w:val="00BA40A2"/>
    <w:rsid w:val="00BA6271"/>
    <w:rsid w:val="00BA71E4"/>
    <w:rsid w:val="00BB0D8E"/>
    <w:rsid w:val="00BB3A24"/>
    <w:rsid w:val="00BB44A9"/>
    <w:rsid w:val="00BB4BDD"/>
    <w:rsid w:val="00BB59FF"/>
    <w:rsid w:val="00BB6369"/>
    <w:rsid w:val="00BB7157"/>
    <w:rsid w:val="00BB779A"/>
    <w:rsid w:val="00BC08BB"/>
    <w:rsid w:val="00BC12E5"/>
    <w:rsid w:val="00BC1B0B"/>
    <w:rsid w:val="00BC3315"/>
    <w:rsid w:val="00BC3463"/>
    <w:rsid w:val="00BC5D99"/>
    <w:rsid w:val="00BC71E2"/>
    <w:rsid w:val="00BC7219"/>
    <w:rsid w:val="00BD2742"/>
    <w:rsid w:val="00BD2A4D"/>
    <w:rsid w:val="00BD2AF3"/>
    <w:rsid w:val="00BD3DBF"/>
    <w:rsid w:val="00BD446E"/>
    <w:rsid w:val="00BD4686"/>
    <w:rsid w:val="00BD5B03"/>
    <w:rsid w:val="00BD679F"/>
    <w:rsid w:val="00BD7C17"/>
    <w:rsid w:val="00BE08E3"/>
    <w:rsid w:val="00BE1B1A"/>
    <w:rsid w:val="00BE3582"/>
    <w:rsid w:val="00BE55E0"/>
    <w:rsid w:val="00BE5E0A"/>
    <w:rsid w:val="00BE6859"/>
    <w:rsid w:val="00BE6D99"/>
    <w:rsid w:val="00BF2034"/>
    <w:rsid w:val="00BF25DA"/>
    <w:rsid w:val="00BF3F7E"/>
    <w:rsid w:val="00BF7349"/>
    <w:rsid w:val="00BF743C"/>
    <w:rsid w:val="00C00702"/>
    <w:rsid w:val="00C007A1"/>
    <w:rsid w:val="00C03C04"/>
    <w:rsid w:val="00C03E5D"/>
    <w:rsid w:val="00C0462B"/>
    <w:rsid w:val="00C06246"/>
    <w:rsid w:val="00C06250"/>
    <w:rsid w:val="00C077D1"/>
    <w:rsid w:val="00C07837"/>
    <w:rsid w:val="00C07870"/>
    <w:rsid w:val="00C07F94"/>
    <w:rsid w:val="00C100D2"/>
    <w:rsid w:val="00C10475"/>
    <w:rsid w:val="00C11BB1"/>
    <w:rsid w:val="00C11D14"/>
    <w:rsid w:val="00C12F28"/>
    <w:rsid w:val="00C176DC"/>
    <w:rsid w:val="00C17A3E"/>
    <w:rsid w:val="00C17D07"/>
    <w:rsid w:val="00C20049"/>
    <w:rsid w:val="00C20875"/>
    <w:rsid w:val="00C22B26"/>
    <w:rsid w:val="00C24982"/>
    <w:rsid w:val="00C24AFB"/>
    <w:rsid w:val="00C24FD8"/>
    <w:rsid w:val="00C250CA"/>
    <w:rsid w:val="00C2687B"/>
    <w:rsid w:val="00C26FAB"/>
    <w:rsid w:val="00C32B01"/>
    <w:rsid w:val="00C3567D"/>
    <w:rsid w:val="00C36212"/>
    <w:rsid w:val="00C36FCD"/>
    <w:rsid w:val="00C37D24"/>
    <w:rsid w:val="00C40BFC"/>
    <w:rsid w:val="00C42D00"/>
    <w:rsid w:val="00C43B60"/>
    <w:rsid w:val="00C44477"/>
    <w:rsid w:val="00C44DD1"/>
    <w:rsid w:val="00C45236"/>
    <w:rsid w:val="00C45E0A"/>
    <w:rsid w:val="00C478F0"/>
    <w:rsid w:val="00C47A0E"/>
    <w:rsid w:val="00C47E5B"/>
    <w:rsid w:val="00C52ADE"/>
    <w:rsid w:val="00C54950"/>
    <w:rsid w:val="00C54F1F"/>
    <w:rsid w:val="00C55516"/>
    <w:rsid w:val="00C55AE5"/>
    <w:rsid w:val="00C5619E"/>
    <w:rsid w:val="00C563A9"/>
    <w:rsid w:val="00C56B25"/>
    <w:rsid w:val="00C56E45"/>
    <w:rsid w:val="00C57C03"/>
    <w:rsid w:val="00C57C21"/>
    <w:rsid w:val="00C607EA"/>
    <w:rsid w:val="00C60BDC"/>
    <w:rsid w:val="00C622CB"/>
    <w:rsid w:val="00C67DA7"/>
    <w:rsid w:val="00C67FBA"/>
    <w:rsid w:val="00C70DF3"/>
    <w:rsid w:val="00C715A1"/>
    <w:rsid w:val="00C71850"/>
    <w:rsid w:val="00C72833"/>
    <w:rsid w:val="00C72D71"/>
    <w:rsid w:val="00C73161"/>
    <w:rsid w:val="00C7455C"/>
    <w:rsid w:val="00C74F6D"/>
    <w:rsid w:val="00C7609B"/>
    <w:rsid w:val="00C762D0"/>
    <w:rsid w:val="00C7652E"/>
    <w:rsid w:val="00C7667A"/>
    <w:rsid w:val="00C82DB3"/>
    <w:rsid w:val="00C8456B"/>
    <w:rsid w:val="00C8524F"/>
    <w:rsid w:val="00C856A0"/>
    <w:rsid w:val="00C86179"/>
    <w:rsid w:val="00C86506"/>
    <w:rsid w:val="00C86AA9"/>
    <w:rsid w:val="00C917EC"/>
    <w:rsid w:val="00C919F9"/>
    <w:rsid w:val="00C92D67"/>
    <w:rsid w:val="00C96342"/>
    <w:rsid w:val="00C96B5D"/>
    <w:rsid w:val="00C97184"/>
    <w:rsid w:val="00C97947"/>
    <w:rsid w:val="00CA2151"/>
    <w:rsid w:val="00CA3233"/>
    <w:rsid w:val="00CA3C6F"/>
    <w:rsid w:val="00CA4EBB"/>
    <w:rsid w:val="00CA54CA"/>
    <w:rsid w:val="00CA5B98"/>
    <w:rsid w:val="00CA66CA"/>
    <w:rsid w:val="00CA7363"/>
    <w:rsid w:val="00CA7EF2"/>
    <w:rsid w:val="00CB24C0"/>
    <w:rsid w:val="00CB2762"/>
    <w:rsid w:val="00CB2969"/>
    <w:rsid w:val="00CB363B"/>
    <w:rsid w:val="00CB3B66"/>
    <w:rsid w:val="00CB68EA"/>
    <w:rsid w:val="00CC19CF"/>
    <w:rsid w:val="00CC6DF2"/>
    <w:rsid w:val="00CD04A2"/>
    <w:rsid w:val="00CD2A3C"/>
    <w:rsid w:val="00CD3552"/>
    <w:rsid w:val="00CD3589"/>
    <w:rsid w:val="00CD37CF"/>
    <w:rsid w:val="00CD4CCC"/>
    <w:rsid w:val="00CD50AC"/>
    <w:rsid w:val="00CD5884"/>
    <w:rsid w:val="00CD674A"/>
    <w:rsid w:val="00CD6798"/>
    <w:rsid w:val="00CD68C8"/>
    <w:rsid w:val="00CD6AAE"/>
    <w:rsid w:val="00CD7629"/>
    <w:rsid w:val="00CE1E34"/>
    <w:rsid w:val="00CE49F2"/>
    <w:rsid w:val="00CE52D0"/>
    <w:rsid w:val="00CE5A7B"/>
    <w:rsid w:val="00CE746B"/>
    <w:rsid w:val="00CF2254"/>
    <w:rsid w:val="00CF273E"/>
    <w:rsid w:val="00CF3B2D"/>
    <w:rsid w:val="00CF473B"/>
    <w:rsid w:val="00CF69E5"/>
    <w:rsid w:val="00CF6A11"/>
    <w:rsid w:val="00D00593"/>
    <w:rsid w:val="00D01B4C"/>
    <w:rsid w:val="00D01C24"/>
    <w:rsid w:val="00D02889"/>
    <w:rsid w:val="00D02CE8"/>
    <w:rsid w:val="00D03999"/>
    <w:rsid w:val="00D05F86"/>
    <w:rsid w:val="00D06522"/>
    <w:rsid w:val="00D068D1"/>
    <w:rsid w:val="00D074AE"/>
    <w:rsid w:val="00D0780C"/>
    <w:rsid w:val="00D07A9F"/>
    <w:rsid w:val="00D108E7"/>
    <w:rsid w:val="00D10DEC"/>
    <w:rsid w:val="00D11389"/>
    <w:rsid w:val="00D11618"/>
    <w:rsid w:val="00D128B3"/>
    <w:rsid w:val="00D144E6"/>
    <w:rsid w:val="00D15FFF"/>
    <w:rsid w:val="00D16541"/>
    <w:rsid w:val="00D1738B"/>
    <w:rsid w:val="00D1753E"/>
    <w:rsid w:val="00D17B3D"/>
    <w:rsid w:val="00D17CE9"/>
    <w:rsid w:val="00D20937"/>
    <w:rsid w:val="00D21957"/>
    <w:rsid w:val="00D21D68"/>
    <w:rsid w:val="00D224F4"/>
    <w:rsid w:val="00D2594B"/>
    <w:rsid w:val="00D25D5E"/>
    <w:rsid w:val="00D2690E"/>
    <w:rsid w:val="00D26F4A"/>
    <w:rsid w:val="00D272D4"/>
    <w:rsid w:val="00D30DDB"/>
    <w:rsid w:val="00D33CFA"/>
    <w:rsid w:val="00D35B2E"/>
    <w:rsid w:val="00D36459"/>
    <w:rsid w:val="00D369E2"/>
    <w:rsid w:val="00D36F9F"/>
    <w:rsid w:val="00D37357"/>
    <w:rsid w:val="00D40F16"/>
    <w:rsid w:val="00D420A3"/>
    <w:rsid w:val="00D42B11"/>
    <w:rsid w:val="00D44055"/>
    <w:rsid w:val="00D45283"/>
    <w:rsid w:val="00D45474"/>
    <w:rsid w:val="00D460F6"/>
    <w:rsid w:val="00D47FC8"/>
    <w:rsid w:val="00D51781"/>
    <w:rsid w:val="00D52087"/>
    <w:rsid w:val="00D52363"/>
    <w:rsid w:val="00D53DFC"/>
    <w:rsid w:val="00D54420"/>
    <w:rsid w:val="00D54CBC"/>
    <w:rsid w:val="00D556D7"/>
    <w:rsid w:val="00D55F7A"/>
    <w:rsid w:val="00D57013"/>
    <w:rsid w:val="00D60CFA"/>
    <w:rsid w:val="00D61976"/>
    <w:rsid w:val="00D631D9"/>
    <w:rsid w:val="00D6601B"/>
    <w:rsid w:val="00D670D0"/>
    <w:rsid w:val="00D70438"/>
    <w:rsid w:val="00D704BA"/>
    <w:rsid w:val="00D70985"/>
    <w:rsid w:val="00D710BC"/>
    <w:rsid w:val="00D72978"/>
    <w:rsid w:val="00D76C5A"/>
    <w:rsid w:val="00D802B8"/>
    <w:rsid w:val="00D805AD"/>
    <w:rsid w:val="00D8091D"/>
    <w:rsid w:val="00D80FCD"/>
    <w:rsid w:val="00D81160"/>
    <w:rsid w:val="00D81F92"/>
    <w:rsid w:val="00D82176"/>
    <w:rsid w:val="00D824A0"/>
    <w:rsid w:val="00D836D9"/>
    <w:rsid w:val="00D84265"/>
    <w:rsid w:val="00D84FC7"/>
    <w:rsid w:val="00D85034"/>
    <w:rsid w:val="00D9134C"/>
    <w:rsid w:val="00D91C02"/>
    <w:rsid w:val="00D92098"/>
    <w:rsid w:val="00D9215E"/>
    <w:rsid w:val="00D950ED"/>
    <w:rsid w:val="00D95390"/>
    <w:rsid w:val="00D95E64"/>
    <w:rsid w:val="00D97160"/>
    <w:rsid w:val="00DA0D00"/>
    <w:rsid w:val="00DA0FCF"/>
    <w:rsid w:val="00DA174C"/>
    <w:rsid w:val="00DA1FEB"/>
    <w:rsid w:val="00DA393B"/>
    <w:rsid w:val="00DA6D7C"/>
    <w:rsid w:val="00DA76A8"/>
    <w:rsid w:val="00DB0ADB"/>
    <w:rsid w:val="00DB0B15"/>
    <w:rsid w:val="00DB1793"/>
    <w:rsid w:val="00DB248C"/>
    <w:rsid w:val="00DB3594"/>
    <w:rsid w:val="00DB3FF6"/>
    <w:rsid w:val="00DB4941"/>
    <w:rsid w:val="00DB65AB"/>
    <w:rsid w:val="00DB6EB9"/>
    <w:rsid w:val="00DC2D53"/>
    <w:rsid w:val="00DC359A"/>
    <w:rsid w:val="00DC626A"/>
    <w:rsid w:val="00DD0355"/>
    <w:rsid w:val="00DD1D98"/>
    <w:rsid w:val="00DD424A"/>
    <w:rsid w:val="00DD6505"/>
    <w:rsid w:val="00DD7E89"/>
    <w:rsid w:val="00DE00C1"/>
    <w:rsid w:val="00DE06FC"/>
    <w:rsid w:val="00DE0968"/>
    <w:rsid w:val="00DE1BC0"/>
    <w:rsid w:val="00DE213D"/>
    <w:rsid w:val="00DE26C5"/>
    <w:rsid w:val="00DE28AF"/>
    <w:rsid w:val="00DE2EDC"/>
    <w:rsid w:val="00DE395F"/>
    <w:rsid w:val="00DE4737"/>
    <w:rsid w:val="00DE4B20"/>
    <w:rsid w:val="00DE6EBB"/>
    <w:rsid w:val="00DE708E"/>
    <w:rsid w:val="00DE75B7"/>
    <w:rsid w:val="00DE7E3B"/>
    <w:rsid w:val="00DF0184"/>
    <w:rsid w:val="00DF0EE3"/>
    <w:rsid w:val="00DF182F"/>
    <w:rsid w:val="00DF1E0F"/>
    <w:rsid w:val="00DF2C8A"/>
    <w:rsid w:val="00DF48A9"/>
    <w:rsid w:val="00DF571B"/>
    <w:rsid w:val="00DF64B3"/>
    <w:rsid w:val="00E006ED"/>
    <w:rsid w:val="00E0401E"/>
    <w:rsid w:val="00E04225"/>
    <w:rsid w:val="00E0613C"/>
    <w:rsid w:val="00E06740"/>
    <w:rsid w:val="00E0681F"/>
    <w:rsid w:val="00E07B58"/>
    <w:rsid w:val="00E10796"/>
    <w:rsid w:val="00E10BE2"/>
    <w:rsid w:val="00E11294"/>
    <w:rsid w:val="00E1236A"/>
    <w:rsid w:val="00E13533"/>
    <w:rsid w:val="00E13E7E"/>
    <w:rsid w:val="00E1415A"/>
    <w:rsid w:val="00E1574D"/>
    <w:rsid w:val="00E15C31"/>
    <w:rsid w:val="00E2023D"/>
    <w:rsid w:val="00E2153A"/>
    <w:rsid w:val="00E24D5B"/>
    <w:rsid w:val="00E255E3"/>
    <w:rsid w:val="00E25995"/>
    <w:rsid w:val="00E25DEE"/>
    <w:rsid w:val="00E25EE9"/>
    <w:rsid w:val="00E31E8E"/>
    <w:rsid w:val="00E335B5"/>
    <w:rsid w:val="00E336CA"/>
    <w:rsid w:val="00E33F7D"/>
    <w:rsid w:val="00E34F3D"/>
    <w:rsid w:val="00E3593D"/>
    <w:rsid w:val="00E37454"/>
    <w:rsid w:val="00E37FC1"/>
    <w:rsid w:val="00E41D26"/>
    <w:rsid w:val="00E4407A"/>
    <w:rsid w:val="00E45EB9"/>
    <w:rsid w:val="00E45F43"/>
    <w:rsid w:val="00E4693D"/>
    <w:rsid w:val="00E469DA"/>
    <w:rsid w:val="00E50164"/>
    <w:rsid w:val="00E512DA"/>
    <w:rsid w:val="00E5285A"/>
    <w:rsid w:val="00E55F95"/>
    <w:rsid w:val="00E56DF8"/>
    <w:rsid w:val="00E5708A"/>
    <w:rsid w:val="00E57B9F"/>
    <w:rsid w:val="00E6031E"/>
    <w:rsid w:val="00E628F3"/>
    <w:rsid w:val="00E62CFF"/>
    <w:rsid w:val="00E63CD5"/>
    <w:rsid w:val="00E64977"/>
    <w:rsid w:val="00E6662C"/>
    <w:rsid w:val="00E6712E"/>
    <w:rsid w:val="00E7063E"/>
    <w:rsid w:val="00E723F2"/>
    <w:rsid w:val="00E724E6"/>
    <w:rsid w:val="00E73393"/>
    <w:rsid w:val="00E7399D"/>
    <w:rsid w:val="00E749FA"/>
    <w:rsid w:val="00E753C9"/>
    <w:rsid w:val="00E755E4"/>
    <w:rsid w:val="00E770A2"/>
    <w:rsid w:val="00E7711B"/>
    <w:rsid w:val="00E77EC9"/>
    <w:rsid w:val="00E808C5"/>
    <w:rsid w:val="00E809BC"/>
    <w:rsid w:val="00E80E72"/>
    <w:rsid w:val="00E816BD"/>
    <w:rsid w:val="00E816E3"/>
    <w:rsid w:val="00E8178E"/>
    <w:rsid w:val="00E82BC7"/>
    <w:rsid w:val="00E831B5"/>
    <w:rsid w:val="00E84407"/>
    <w:rsid w:val="00E85CF4"/>
    <w:rsid w:val="00E86EA1"/>
    <w:rsid w:val="00E87D4C"/>
    <w:rsid w:val="00E95144"/>
    <w:rsid w:val="00E97755"/>
    <w:rsid w:val="00EA025A"/>
    <w:rsid w:val="00EA312C"/>
    <w:rsid w:val="00EA486C"/>
    <w:rsid w:val="00EA5AED"/>
    <w:rsid w:val="00EA5E0A"/>
    <w:rsid w:val="00EA61E2"/>
    <w:rsid w:val="00EB2A2A"/>
    <w:rsid w:val="00EB3014"/>
    <w:rsid w:val="00EB49A4"/>
    <w:rsid w:val="00EB63A1"/>
    <w:rsid w:val="00EB7E9D"/>
    <w:rsid w:val="00EC1DAA"/>
    <w:rsid w:val="00EC47DF"/>
    <w:rsid w:val="00EC4FB5"/>
    <w:rsid w:val="00EC6DBB"/>
    <w:rsid w:val="00EC7207"/>
    <w:rsid w:val="00EC7DFA"/>
    <w:rsid w:val="00ED01C3"/>
    <w:rsid w:val="00ED10BB"/>
    <w:rsid w:val="00ED21DF"/>
    <w:rsid w:val="00ED4020"/>
    <w:rsid w:val="00ED6271"/>
    <w:rsid w:val="00ED6F95"/>
    <w:rsid w:val="00ED7283"/>
    <w:rsid w:val="00ED7880"/>
    <w:rsid w:val="00EE0053"/>
    <w:rsid w:val="00EE05E0"/>
    <w:rsid w:val="00EE0E31"/>
    <w:rsid w:val="00EE136C"/>
    <w:rsid w:val="00EE1CC1"/>
    <w:rsid w:val="00EE1FB8"/>
    <w:rsid w:val="00EE2FC4"/>
    <w:rsid w:val="00EE37ED"/>
    <w:rsid w:val="00EE6227"/>
    <w:rsid w:val="00EE6842"/>
    <w:rsid w:val="00EF217F"/>
    <w:rsid w:val="00EF2D3E"/>
    <w:rsid w:val="00EF2E4A"/>
    <w:rsid w:val="00EF3B91"/>
    <w:rsid w:val="00EF4261"/>
    <w:rsid w:val="00EF4D6F"/>
    <w:rsid w:val="00EF62FB"/>
    <w:rsid w:val="00EF71B5"/>
    <w:rsid w:val="00EF7BB8"/>
    <w:rsid w:val="00F021F0"/>
    <w:rsid w:val="00F03429"/>
    <w:rsid w:val="00F04147"/>
    <w:rsid w:val="00F04D9E"/>
    <w:rsid w:val="00F0595D"/>
    <w:rsid w:val="00F0641F"/>
    <w:rsid w:val="00F07239"/>
    <w:rsid w:val="00F0799D"/>
    <w:rsid w:val="00F07ED6"/>
    <w:rsid w:val="00F1083D"/>
    <w:rsid w:val="00F1215C"/>
    <w:rsid w:val="00F145E7"/>
    <w:rsid w:val="00F15C53"/>
    <w:rsid w:val="00F15F9A"/>
    <w:rsid w:val="00F16789"/>
    <w:rsid w:val="00F1791C"/>
    <w:rsid w:val="00F21AB9"/>
    <w:rsid w:val="00F23C52"/>
    <w:rsid w:val="00F24492"/>
    <w:rsid w:val="00F251EB"/>
    <w:rsid w:val="00F2672E"/>
    <w:rsid w:val="00F26ABD"/>
    <w:rsid w:val="00F26B5C"/>
    <w:rsid w:val="00F277F0"/>
    <w:rsid w:val="00F304DD"/>
    <w:rsid w:val="00F32101"/>
    <w:rsid w:val="00F32DAD"/>
    <w:rsid w:val="00F32E09"/>
    <w:rsid w:val="00F33503"/>
    <w:rsid w:val="00F341F3"/>
    <w:rsid w:val="00F34CFC"/>
    <w:rsid w:val="00F34FA7"/>
    <w:rsid w:val="00F3518C"/>
    <w:rsid w:val="00F36768"/>
    <w:rsid w:val="00F4111E"/>
    <w:rsid w:val="00F4515A"/>
    <w:rsid w:val="00F452C1"/>
    <w:rsid w:val="00F46465"/>
    <w:rsid w:val="00F467F3"/>
    <w:rsid w:val="00F52A80"/>
    <w:rsid w:val="00F53AAC"/>
    <w:rsid w:val="00F53C86"/>
    <w:rsid w:val="00F54909"/>
    <w:rsid w:val="00F56239"/>
    <w:rsid w:val="00F56D8A"/>
    <w:rsid w:val="00F56F91"/>
    <w:rsid w:val="00F57FAA"/>
    <w:rsid w:val="00F60F6E"/>
    <w:rsid w:val="00F63111"/>
    <w:rsid w:val="00F63C36"/>
    <w:rsid w:val="00F64898"/>
    <w:rsid w:val="00F65BB9"/>
    <w:rsid w:val="00F660DF"/>
    <w:rsid w:val="00F664A2"/>
    <w:rsid w:val="00F66623"/>
    <w:rsid w:val="00F670D6"/>
    <w:rsid w:val="00F67983"/>
    <w:rsid w:val="00F70554"/>
    <w:rsid w:val="00F70C1C"/>
    <w:rsid w:val="00F70EE8"/>
    <w:rsid w:val="00F714EC"/>
    <w:rsid w:val="00F71574"/>
    <w:rsid w:val="00F75273"/>
    <w:rsid w:val="00F75421"/>
    <w:rsid w:val="00F75EB7"/>
    <w:rsid w:val="00F769D6"/>
    <w:rsid w:val="00F81E0E"/>
    <w:rsid w:val="00F825E6"/>
    <w:rsid w:val="00F83D67"/>
    <w:rsid w:val="00F84AEF"/>
    <w:rsid w:val="00F86537"/>
    <w:rsid w:val="00F869E3"/>
    <w:rsid w:val="00F91174"/>
    <w:rsid w:val="00F917CB"/>
    <w:rsid w:val="00F922A7"/>
    <w:rsid w:val="00F923A2"/>
    <w:rsid w:val="00F955CE"/>
    <w:rsid w:val="00F95DF4"/>
    <w:rsid w:val="00F95E99"/>
    <w:rsid w:val="00F9792C"/>
    <w:rsid w:val="00F97B02"/>
    <w:rsid w:val="00F97FD0"/>
    <w:rsid w:val="00FA008B"/>
    <w:rsid w:val="00FA1072"/>
    <w:rsid w:val="00FA12CD"/>
    <w:rsid w:val="00FA25A7"/>
    <w:rsid w:val="00FA2BF9"/>
    <w:rsid w:val="00FA36E8"/>
    <w:rsid w:val="00FA39F9"/>
    <w:rsid w:val="00FA4804"/>
    <w:rsid w:val="00FA4843"/>
    <w:rsid w:val="00FA4964"/>
    <w:rsid w:val="00FA52C3"/>
    <w:rsid w:val="00FA537A"/>
    <w:rsid w:val="00FA5693"/>
    <w:rsid w:val="00FA5A21"/>
    <w:rsid w:val="00FB0267"/>
    <w:rsid w:val="00FB03C0"/>
    <w:rsid w:val="00FB06A2"/>
    <w:rsid w:val="00FB0B67"/>
    <w:rsid w:val="00FB1947"/>
    <w:rsid w:val="00FB4170"/>
    <w:rsid w:val="00FB4EFE"/>
    <w:rsid w:val="00FB5B99"/>
    <w:rsid w:val="00FB6C7F"/>
    <w:rsid w:val="00FB7BB1"/>
    <w:rsid w:val="00FC3244"/>
    <w:rsid w:val="00FC34B8"/>
    <w:rsid w:val="00FC516D"/>
    <w:rsid w:val="00FC7111"/>
    <w:rsid w:val="00FD05C8"/>
    <w:rsid w:val="00FD11F1"/>
    <w:rsid w:val="00FD24C3"/>
    <w:rsid w:val="00FD2846"/>
    <w:rsid w:val="00FD2C34"/>
    <w:rsid w:val="00FD5A3B"/>
    <w:rsid w:val="00FD622A"/>
    <w:rsid w:val="00FD67D4"/>
    <w:rsid w:val="00FD6C9C"/>
    <w:rsid w:val="00FD7747"/>
    <w:rsid w:val="00FD7EB4"/>
    <w:rsid w:val="00FE0812"/>
    <w:rsid w:val="00FE09EC"/>
    <w:rsid w:val="00FE0DF6"/>
    <w:rsid w:val="00FE1569"/>
    <w:rsid w:val="00FE2D62"/>
    <w:rsid w:val="00FE350C"/>
    <w:rsid w:val="00FE475F"/>
    <w:rsid w:val="00FE6B9B"/>
    <w:rsid w:val="00FE7556"/>
    <w:rsid w:val="00FF19D8"/>
    <w:rsid w:val="00FF2FB6"/>
    <w:rsid w:val="00FF3FD5"/>
    <w:rsid w:val="00FF4364"/>
    <w:rsid w:val="00FF4C86"/>
    <w:rsid w:val="00FF6560"/>
    <w:rsid w:val="00FF7156"/>
    <w:rsid w:val="00FF7A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18BF8-7BC7-432F-BB6A-9EFBA05A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28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1282"/>
    <w:pPr>
      <w:tabs>
        <w:tab w:val="center" w:pos="4153"/>
        <w:tab w:val="right" w:pos="8306"/>
      </w:tabs>
    </w:pPr>
  </w:style>
  <w:style w:type="paragraph" w:styleId="Footer">
    <w:name w:val="footer"/>
    <w:basedOn w:val="Normal"/>
    <w:rsid w:val="000D1282"/>
    <w:pPr>
      <w:tabs>
        <w:tab w:val="center" w:pos="4153"/>
        <w:tab w:val="right" w:pos="8306"/>
      </w:tabs>
    </w:pPr>
  </w:style>
  <w:style w:type="paragraph" w:styleId="FootnoteText">
    <w:name w:val="footnote text"/>
    <w:basedOn w:val="Normal"/>
    <w:link w:val="FootnoteTextChar"/>
    <w:uiPriority w:val="99"/>
    <w:rsid w:val="000D1282"/>
    <w:pPr>
      <w:spacing w:before="120" w:line="480" w:lineRule="auto"/>
      <w:jc w:val="both"/>
    </w:pPr>
    <w:rPr>
      <w:sz w:val="20"/>
      <w:szCs w:val="20"/>
    </w:rPr>
  </w:style>
  <w:style w:type="paragraph" w:customStyle="1" w:styleId="Paper">
    <w:name w:val="Paper"/>
    <w:basedOn w:val="Normal"/>
    <w:link w:val="PaperChar"/>
    <w:rsid w:val="000D1282"/>
    <w:pPr>
      <w:tabs>
        <w:tab w:val="left" w:pos="425"/>
      </w:tabs>
      <w:spacing w:before="120" w:line="480" w:lineRule="auto"/>
      <w:jc w:val="both"/>
    </w:pPr>
  </w:style>
  <w:style w:type="character" w:styleId="PageNumber">
    <w:name w:val="page number"/>
    <w:basedOn w:val="DefaultParagraphFont"/>
    <w:rsid w:val="000D1282"/>
  </w:style>
  <w:style w:type="character" w:styleId="FootnoteReference">
    <w:name w:val="footnote reference"/>
    <w:aliases w:val="New style footnote"/>
    <w:basedOn w:val="DefaultParagraphFont"/>
    <w:uiPriority w:val="99"/>
    <w:semiHidden/>
    <w:rsid w:val="000D1282"/>
    <w:rPr>
      <w:vertAlign w:val="superscript"/>
    </w:rPr>
  </w:style>
  <w:style w:type="paragraph" w:styleId="BodyTextIndent">
    <w:name w:val="Body Text Indent"/>
    <w:basedOn w:val="Normal"/>
    <w:rsid w:val="000D1282"/>
    <w:pPr>
      <w:ind w:left="540"/>
      <w:jc w:val="both"/>
    </w:pPr>
  </w:style>
  <w:style w:type="paragraph" w:styleId="EndnoteText">
    <w:name w:val="endnote text"/>
    <w:basedOn w:val="Normal"/>
    <w:link w:val="EndnoteTextChar"/>
    <w:rsid w:val="000D1282"/>
    <w:pPr>
      <w:tabs>
        <w:tab w:val="left" w:pos="360"/>
        <w:tab w:val="left" w:pos="7200"/>
      </w:tabs>
      <w:spacing w:before="120"/>
      <w:ind w:right="-360"/>
      <w:jc w:val="both"/>
    </w:pPr>
    <w:rPr>
      <w:rFonts w:ascii="Times" w:hAnsi="Times"/>
      <w:sz w:val="20"/>
      <w:szCs w:val="20"/>
      <w:lang w:val="en-US"/>
    </w:rPr>
  </w:style>
  <w:style w:type="character" w:styleId="EndnoteReference">
    <w:name w:val="endnote reference"/>
    <w:basedOn w:val="DefaultParagraphFont"/>
    <w:semiHidden/>
    <w:rsid w:val="000D1282"/>
    <w:rPr>
      <w:vertAlign w:val="superscript"/>
    </w:rPr>
  </w:style>
  <w:style w:type="character" w:styleId="CommentReference">
    <w:name w:val="annotation reference"/>
    <w:basedOn w:val="DefaultParagraphFont"/>
    <w:semiHidden/>
    <w:rsid w:val="006959FD"/>
    <w:rPr>
      <w:sz w:val="16"/>
      <w:szCs w:val="16"/>
    </w:rPr>
  </w:style>
  <w:style w:type="paragraph" w:styleId="CommentText">
    <w:name w:val="annotation text"/>
    <w:basedOn w:val="Normal"/>
    <w:semiHidden/>
    <w:rsid w:val="006959FD"/>
    <w:rPr>
      <w:sz w:val="20"/>
      <w:szCs w:val="20"/>
    </w:rPr>
  </w:style>
  <w:style w:type="paragraph" w:styleId="CommentSubject">
    <w:name w:val="annotation subject"/>
    <w:basedOn w:val="CommentText"/>
    <w:next w:val="CommentText"/>
    <w:semiHidden/>
    <w:rsid w:val="006959FD"/>
    <w:rPr>
      <w:b/>
      <w:bCs/>
    </w:rPr>
  </w:style>
  <w:style w:type="paragraph" w:styleId="BalloonText">
    <w:name w:val="Balloon Text"/>
    <w:basedOn w:val="Normal"/>
    <w:semiHidden/>
    <w:rsid w:val="006959FD"/>
    <w:rPr>
      <w:rFonts w:ascii="Tahoma" w:hAnsi="Tahoma" w:cs="Tahoma"/>
      <w:sz w:val="16"/>
      <w:szCs w:val="16"/>
    </w:rPr>
  </w:style>
  <w:style w:type="character" w:customStyle="1" w:styleId="EndnoteTextChar">
    <w:name w:val="Endnote Text Char"/>
    <w:basedOn w:val="DefaultParagraphFont"/>
    <w:link w:val="EndnoteText"/>
    <w:uiPriority w:val="99"/>
    <w:locked/>
    <w:rsid w:val="006A1D11"/>
    <w:rPr>
      <w:rFonts w:ascii="Times" w:hAnsi="Times"/>
      <w:lang w:val="en-US" w:eastAsia="en-US"/>
    </w:rPr>
  </w:style>
  <w:style w:type="paragraph" w:styleId="ListParagraph">
    <w:name w:val="List Paragraph"/>
    <w:basedOn w:val="Normal"/>
    <w:uiPriority w:val="34"/>
    <w:qFormat/>
    <w:rsid w:val="00010075"/>
    <w:pPr>
      <w:spacing w:after="200" w:line="276" w:lineRule="auto"/>
      <w:ind w:left="720"/>
      <w:contextualSpacing/>
    </w:pPr>
    <w:rPr>
      <w:rFonts w:ascii="Calibri" w:hAnsi="Calibri"/>
      <w:sz w:val="22"/>
      <w:szCs w:val="22"/>
    </w:rPr>
  </w:style>
  <w:style w:type="paragraph" w:styleId="Subtitle">
    <w:name w:val="Subtitle"/>
    <w:basedOn w:val="Normal"/>
    <w:link w:val="SubtitleChar"/>
    <w:qFormat/>
    <w:rsid w:val="009A0F54"/>
    <w:rPr>
      <w:u w:val="single"/>
    </w:rPr>
  </w:style>
  <w:style w:type="character" w:customStyle="1" w:styleId="SubtitleChar">
    <w:name w:val="Subtitle Char"/>
    <w:basedOn w:val="DefaultParagraphFont"/>
    <w:link w:val="Subtitle"/>
    <w:rsid w:val="009A0F54"/>
    <w:rPr>
      <w:sz w:val="24"/>
      <w:szCs w:val="24"/>
      <w:u w:val="single"/>
      <w:lang w:eastAsia="en-US"/>
    </w:rPr>
  </w:style>
  <w:style w:type="character" w:customStyle="1" w:styleId="FootnoteTextChar">
    <w:name w:val="Footnote Text Char"/>
    <w:basedOn w:val="DefaultParagraphFont"/>
    <w:link w:val="FootnoteText"/>
    <w:uiPriority w:val="99"/>
    <w:locked/>
    <w:rsid w:val="00C86506"/>
    <w:rPr>
      <w:lang w:eastAsia="en-US"/>
    </w:rPr>
  </w:style>
  <w:style w:type="paragraph" w:styleId="BodyTextIndent2">
    <w:name w:val="Body Text Indent 2"/>
    <w:basedOn w:val="Normal"/>
    <w:link w:val="BodyTextIndent2Char"/>
    <w:rsid w:val="00C11D14"/>
    <w:pPr>
      <w:spacing w:after="120" w:line="480" w:lineRule="auto"/>
      <w:ind w:left="283"/>
    </w:pPr>
  </w:style>
  <w:style w:type="character" w:customStyle="1" w:styleId="BodyTextIndent2Char">
    <w:name w:val="Body Text Indent 2 Char"/>
    <w:basedOn w:val="DefaultParagraphFont"/>
    <w:link w:val="BodyTextIndent2"/>
    <w:rsid w:val="00C11D14"/>
    <w:rPr>
      <w:sz w:val="24"/>
      <w:szCs w:val="24"/>
      <w:lang w:eastAsia="en-US"/>
    </w:rPr>
  </w:style>
  <w:style w:type="character" w:styleId="Emphasis">
    <w:name w:val="Emphasis"/>
    <w:basedOn w:val="DefaultParagraphFont"/>
    <w:uiPriority w:val="20"/>
    <w:qFormat/>
    <w:rsid w:val="0098180A"/>
    <w:rPr>
      <w:rFonts w:cs="Times New Roman"/>
      <w:i/>
      <w:iCs/>
    </w:rPr>
  </w:style>
  <w:style w:type="character" w:customStyle="1" w:styleId="exlavailabilitycallnumber">
    <w:name w:val="exlavailabilitycallnumber"/>
    <w:basedOn w:val="DefaultParagraphFont"/>
    <w:rsid w:val="0028685E"/>
  </w:style>
  <w:style w:type="character" w:styleId="HTMLCite">
    <w:name w:val="HTML Cite"/>
    <w:basedOn w:val="DefaultParagraphFont"/>
    <w:uiPriority w:val="99"/>
    <w:unhideWhenUsed/>
    <w:rsid w:val="009602CF"/>
    <w:rPr>
      <w:i/>
      <w:iCs/>
    </w:rPr>
  </w:style>
  <w:style w:type="paragraph" w:customStyle="1" w:styleId="EndNoteBibliographyTitle">
    <w:name w:val="EndNote Bibliography Title"/>
    <w:basedOn w:val="Normal"/>
    <w:link w:val="EndNoteBibliographyTitleChar"/>
    <w:rsid w:val="007500F5"/>
    <w:pPr>
      <w:jc w:val="center"/>
    </w:pPr>
    <w:rPr>
      <w:noProof/>
      <w:lang w:val="en-US"/>
    </w:rPr>
  </w:style>
  <w:style w:type="character" w:customStyle="1" w:styleId="PaperChar">
    <w:name w:val="Paper Char"/>
    <w:basedOn w:val="DefaultParagraphFont"/>
    <w:link w:val="Paper"/>
    <w:rsid w:val="007500F5"/>
    <w:rPr>
      <w:sz w:val="24"/>
      <w:szCs w:val="24"/>
      <w:lang w:eastAsia="en-US"/>
    </w:rPr>
  </w:style>
  <w:style w:type="character" w:customStyle="1" w:styleId="EndNoteBibliographyTitleChar">
    <w:name w:val="EndNote Bibliography Title Char"/>
    <w:basedOn w:val="PaperChar"/>
    <w:link w:val="EndNoteBibliographyTitle"/>
    <w:rsid w:val="007500F5"/>
    <w:rPr>
      <w:noProof/>
      <w:sz w:val="24"/>
      <w:szCs w:val="24"/>
      <w:lang w:val="en-US" w:eastAsia="en-US"/>
    </w:rPr>
  </w:style>
  <w:style w:type="paragraph" w:customStyle="1" w:styleId="EndNoteBibliography">
    <w:name w:val="EndNote Bibliography"/>
    <w:basedOn w:val="Normal"/>
    <w:link w:val="EndNoteBibliographyChar"/>
    <w:rsid w:val="007500F5"/>
    <w:rPr>
      <w:noProof/>
      <w:lang w:val="en-US"/>
    </w:rPr>
  </w:style>
  <w:style w:type="character" w:customStyle="1" w:styleId="EndNoteBibliographyChar">
    <w:name w:val="EndNote Bibliography Char"/>
    <w:basedOn w:val="PaperChar"/>
    <w:link w:val="EndNoteBibliography"/>
    <w:rsid w:val="007500F5"/>
    <w:rPr>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253F-CC1A-4A93-AABB-218184CB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E6B02BE5.dotm</Template>
  <TotalTime>5</TotalTime>
  <Pages>31</Pages>
  <Words>7907</Words>
  <Characters>45075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draft 1 – January 2006</vt:lpstr>
    </vt:vector>
  </TitlesOfParts>
  <Company>Adelaide University, Australia</Company>
  <LinksUpToDate>false</LinksUpToDate>
  <CharactersWithSpaces>52877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 – January 2006</dc:title>
  <dc:creator>The University of Adelaide</dc:creator>
  <cp:lastModifiedBy>Garrett Cullity</cp:lastModifiedBy>
  <cp:revision>3</cp:revision>
  <cp:lastPrinted>2016-07-09T12:15:00Z</cp:lastPrinted>
  <dcterms:created xsi:type="dcterms:W3CDTF">2017-03-09T07:24:00Z</dcterms:created>
  <dcterms:modified xsi:type="dcterms:W3CDTF">2017-03-09T07:25:00Z</dcterms:modified>
</cp:coreProperties>
</file>