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B6D" w:rsidRPr="00EE008D" w:rsidRDefault="009579B6" w:rsidP="00EE008D">
      <w:pPr>
        <w:jc w:val="right"/>
        <w:rPr>
          <w:sz w:val="20"/>
          <w:szCs w:val="20"/>
        </w:rPr>
      </w:pPr>
      <w:bookmarkStart w:id="0" w:name="_GoBack"/>
      <w:bookmarkEnd w:id="0"/>
      <w:proofErr w:type="gramStart"/>
      <w:r>
        <w:rPr>
          <w:sz w:val="20"/>
          <w:szCs w:val="20"/>
        </w:rPr>
        <w:t>forthcoming</w:t>
      </w:r>
      <w:proofErr w:type="gramEnd"/>
      <w:r>
        <w:rPr>
          <w:sz w:val="20"/>
          <w:szCs w:val="20"/>
        </w:rPr>
        <w:t xml:space="preserve"> in Daniel Star (ed.),</w:t>
      </w:r>
      <w:r w:rsidR="00D34B6D" w:rsidRPr="00EE008D">
        <w:rPr>
          <w:sz w:val="20"/>
          <w:szCs w:val="20"/>
        </w:rPr>
        <w:t xml:space="preserve"> </w:t>
      </w:r>
      <w:r w:rsidR="00D34B6D" w:rsidRPr="00EE008D">
        <w:rPr>
          <w:i/>
          <w:sz w:val="20"/>
          <w:szCs w:val="20"/>
        </w:rPr>
        <w:t xml:space="preserve">The Oxford Handbook of Reasons and </w:t>
      </w:r>
      <w:r w:rsidR="00B623F0" w:rsidRPr="00EE008D">
        <w:rPr>
          <w:i/>
          <w:sz w:val="20"/>
          <w:szCs w:val="20"/>
        </w:rPr>
        <w:t>Normativity</w:t>
      </w:r>
    </w:p>
    <w:p w:rsidR="00D34B6D" w:rsidRDefault="00D34B6D" w:rsidP="00B04BCF"/>
    <w:p w:rsidR="00DC2B3A" w:rsidRDefault="00DC2B3A" w:rsidP="00EE008D">
      <w:pPr>
        <w:jc w:val="center"/>
        <w:rPr>
          <w:sz w:val="28"/>
          <w:szCs w:val="28"/>
        </w:rPr>
      </w:pPr>
      <w:r w:rsidRPr="00EE008D">
        <w:rPr>
          <w:b/>
          <w:sz w:val="28"/>
          <w:szCs w:val="28"/>
        </w:rPr>
        <w:t>Weighing Reasons</w:t>
      </w:r>
    </w:p>
    <w:p w:rsidR="009579B6" w:rsidRPr="009579B6" w:rsidRDefault="009579B6" w:rsidP="00EE008D">
      <w:pPr>
        <w:jc w:val="center"/>
      </w:pPr>
      <w:r>
        <w:t>Garrett Cullity</w:t>
      </w:r>
    </w:p>
    <w:p w:rsidR="00DC2B3A" w:rsidRDefault="00DC2B3A" w:rsidP="00B04BCF"/>
    <w:p w:rsidR="006821E1" w:rsidRDefault="00DC2B3A" w:rsidP="00B04BCF">
      <w:r>
        <w:t xml:space="preserve">Normative reasons for action are reasons to do things – reasons </w:t>
      </w:r>
      <w:r>
        <w:rPr>
          <w:i/>
        </w:rPr>
        <w:t xml:space="preserve">for </w:t>
      </w:r>
      <w:r>
        <w:t>doing them.</w:t>
      </w:r>
      <w:r w:rsidR="006E4180">
        <w:t xml:space="preserve"> </w:t>
      </w:r>
      <w:r w:rsidR="00495299">
        <w:t>W</w:t>
      </w:r>
      <w:r w:rsidR="00D34B6D">
        <w:t xml:space="preserve">e think </w:t>
      </w:r>
      <w:r w:rsidR="00D04456">
        <w:t xml:space="preserve">about </w:t>
      </w:r>
      <w:r w:rsidR="00495299">
        <w:t xml:space="preserve">these </w:t>
      </w:r>
      <w:r w:rsidR="00D04456">
        <w:t xml:space="preserve">when </w:t>
      </w:r>
      <w:r w:rsidR="00495299">
        <w:t>deliberating</w:t>
      </w:r>
      <w:r w:rsidR="00D34B6D">
        <w:t xml:space="preserve"> about</w:t>
      </w:r>
      <w:r w:rsidR="00D04456">
        <w:t xml:space="preserve"> what to do</w:t>
      </w:r>
      <w:r w:rsidR="006821E1">
        <w:t xml:space="preserve">. </w:t>
      </w:r>
      <w:r w:rsidR="008C52E5">
        <w:t xml:space="preserve">Often, there are reasons </w:t>
      </w:r>
      <w:r w:rsidR="00D34B6D">
        <w:t>for and against</w:t>
      </w:r>
      <w:r w:rsidR="008C52E5">
        <w:t xml:space="preserve"> different options, and some are stronger than others.</w:t>
      </w:r>
      <w:r w:rsidR="00AA1EF6">
        <w:t xml:space="preserve"> In deliberating, we are trying to figure out their comparative strengths, or weights</w:t>
      </w:r>
      <w:r w:rsidR="00D34B6D">
        <w:t xml:space="preserve">, and reach </w:t>
      </w:r>
      <w:r w:rsidR="002D3BA5">
        <w:t>a</w:t>
      </w:r>
      <w:r w:rsidR="00D34B6D">
        <w:t xml:space="preserve"> conclusion</w:t>
      </w:r>
      <w:r w:rsidR="002D3BA5">
        <w:t xml:space="preserve"> about which action is most strongly supported overall</w:t>
      </w:r>
      <w:r w:rsidR="00AA1EF6">
        <w:t>. This chapter is about what is involved in doing that.</w:t>
      </w:r>
    </w:p>
    <w:p w:rsidR="00AA1EF6" w:rsidRDefault="00AA1EF6" w:rsidP="00B04BCF">
      <w:r>
        <w:tab/>
      </w:r>
      <w:r w:rsidR="00D04456">
        <w:t>W</w:t>
      </w:r>
      <w:r>
        <w:t>e can start with the following Simple Picture. As we ordinarily talk and think about them, normative reasons are facts</w:t>
      </w:r>
      <w:r w:rsidR="00E56736">
        <w:t xml:space="preserve"> </w:t>
      </w:r>
      <w:r w:rsidR="00E56736">
        <w:fldChar w:fldCharType="begin"/>
      </w:r>
      <w:r w:rsidR="00E56736">
        <w:instrText xml:space="preserve"> ADDIN EN.CITE &lt;EndNote&gt;&lt;Cite&gt;&lt;Author&gt;Raz&lt;/Author&gt;&lt;Year&gt;1999&lt;/Year&gt;&lt;RecNum&gt;11&lt;/RecNum&gt;&lt;Suffix&gt;: 17&lt;/Suffix&gt;&lt;DisplayText&gt;(Raz 1999: 17)&lt;/DisplayText&gt;&lt;record&gt;&lt;rec-number&gt;11&lt;/rec-number&gt;&lt;foreign-keys&gt;&lt;key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E56736">
        <w:fldChar w:fldCharType="separate"/>
      </w:r>
      <w:r w:rsidR="00E56736">
        <w:rPr>
          <w:noProof/>
        </w:rPr>
        <w:t>(</w:t>
      </w:r>
      <w:hyperlink w:anchor="_ENREF_24" w:tooltip="Raz, 1999 #11" w:history="1">
        <w:r w:rsidR="005809DA">
          <w:rPr>
            <w:noProof/>
          </w:rPr>
          <w:t>Raz 1999: 17</w:t>
        </w:r>
      </w:hyperlink>
      <w:r w:rsidR="00E56736">
        <w:rPr>
          <w:noProof/>
        </w:rPr>
        <w:t>)</w:t>
      </w:r>
      <w:r w:rsidR="00E56736">
        <w:fldChar w:fldCharType="end"/>
      </w:r>
      <w:r>
        <w:t>. Ordinar</w:t>
      </w:r>
      <w:r w:rsidR="00D34B6D">
        <w:t>il</w:t>
      </w:r>
      <w:r>
        <w:t>y</w:t>
      </w:r>
      <w:r w:rsidR="00D34B6D">
        <w:t>,</w:t>
      </w:r>
      <w:r>
        <w:t xml:space="preserve"> reason-reports either take a propositional form, or </w:t>
      </w:r>
      <w:r w:rsidR="007975E7">
        <w:t xml:space="preserve">use shorthand expressions that can be converted into that form easily enough. The reason for cancelling the picnic is that it </w:t>
      </w:r>
      <w:r w:rsidR="002D3BA5">
        <w:t>is forecast to</w:t>
      </w:r>
      <w:r w:rsidR="007975E7">
        <w:t xml:space="preserve"> rain; when you say that you cancelled it “because of the weather”, you are understood as referring to that fact. A fact is a reason for action when it bears a special, normative relation to it – the relation of normative support, or “counting in favour”</w:t>
      </w:r>
      <w:r w:rsidR="00E56736">
        <w:t xml:space="preserve"> </w:t>
      </w:r>
      <w:r w:rsidR="00E56736">
        <w:fldChar w:fldCharType="begin"/>
      </w:r>
      <w:r w:rsidR="003F07D2">
        <w:instrText xml:space="preserve"> ADDIN EN.CITE &lt;EndNote&gt;&lt;Cite&gt;&lt;Author&gt;Scanlon&lt;/Author&gt;&lt;Year&gt;1998&lt;/Year&gt;&lt;RecNum&gt;34&lt;/RecNum&gt;&lt;Suffix&gt;: 17&lt;/Suffix&gt;&lt;DisplayText&gt;(Scanlon 1998: 17)&lt;/DisplayText&gt;&lt;record&gt;&lt;rec-number&gt;34&lt;/rec-number&gt;&lt;foreign-keys&gt;&lt;key app="EN" db-id="9sxs5t2sazax96edvd3vvz52rp9t95vfpwrv"&gt;34&lt;/key&gt;&lt;/foreign-keys&gt;&lt;ref-type name="Book"&gt;6&lt;/ref-type&gt;&lt;contributors&gt;&lt;authors&gt;&lt;author&gt;Scanlon, T.M.&lt;/author&gt;&lt;/authors&gt;&lt;/contributors&gt;&lt;titles&gt;&lt;title&gt;What We Owe to Each Other&lt;/title&gt;&lt;/titles&gt;&lt;dates&gt;&lt;year&gt;1998&lt;/year&gt;&lt;/dates&gt;&lt;pub-location&gt;Cambridge, Mass.&lt;/pub-location&gt;&lt;publisher&gt;Harvard University Press&lt;/publisher&gt;&lt;urls&gt;&lt;/urls&gt;&lt;/record&gt;&lt;/Cite&gt;&lt;/EndNote&gt;</w:instrText>
      </w:r>
      <w:r w:rsidR="00E56736">
        <w:fldChar w:fldCharType="separate"/>
      </w:r>
      <w:r w:rsidR="00E56736">
        <w:rPr>
          <w:noProof/>
        </w:rPr>
        <w:t>(</w:t>
      </w:r>
      <w:hyperlink w:anchor="_ENREF_29" w:tooltip="Scanlon, 1998 #34" w:history="1">
        <w:r w:rsidR="005809DA">
          <w:rPr>
            <w:noProof/>
          </w:rPr>
          <w:t>Scanlon 1998: 17</w:t>
        </w:r>
      </w:hyperlink>
      <w:r w:rsidR="00E56736">
        <w:rPr>
          <w:noProof/>
        </w:rPr>
        <w:t>)</w:t>
      </w:r>
      <w:r w:rsidR="00E56736">
        <w:fldChar w:fldCharType="end"/>
      </w:r>
      <w:r w:rsidR="007975E7">
        <w:t>. This relation is a vector, which is to say that it has a direction and a magnitude</w:t>
      </w:r>
      <w:r w:rsidR="00E56736">
        <w:t xml:space="preserve"> </w:t>
      </w:r>
      <w:r w:rsidR="00607D79">
        <w:fldChar w:fldCharType="begin"/>
      </w:r>
      <w:r w:rsidR="00607D79">
        <w:instrText xml:space="preserve"> ADDIN EN.CITE &lt;EndNote&gt;&lt;Cite&gt;&lt;Author&gt;Broome&lt;/Author&gt;&lt;Year&gt;2013&lt;/Year&gt;&lt;RecNum&gt;31&lt;/RecNum&gt;&lt;Prefix&gt;compare &lt;/Prefix&gt;&lt;Suffix&gt;: Sect. 4.3&lt;/Suffix&gt;&lt;DisplayText&gt;(compare Broome 2013: Sect. 4.3)&lt;/DisplayText&gt;&lt;record&gt;&lt;rec-number&gt;31&lt;/rec-number&gt;&lt;foreign-keys&gt;&lt;key app="EN" db-id="sxsapx9pw5rxwbefvfzparttpws0dd22z9v5"&gt;31&lt;/key&gt;&lt;/foreign-keys&gt;&lt;ref-type name="Book"&gt;6&lt;/ref-type&gt;&lt;contributors&gt;&lt;authors&gt;&lt;author&gt;John Broome&lt;/author&gt;&lt;/authors&gt;&lt;/contributors&gt;&lt;titles&gt;&lt;title&gt;Rationality through Reasoning&lt;/title&gt;&lt;/titles&gt;&lt;dates&gt;&lt;year&gt;2013&lt;/year&gt;&lt;/dates&gt;&lt;pub-location&gt;Oxford&lt;/pub-location&gt;&lt;publisher&gt;Wiley Blackwell&lt;/publisher&gt;&lt;urls&gt;&lt;/urls&gt;&lt;/record&gt;&lt;/Cite&gt;&lt;/EndNote&gt;</w:instrText>
      </w:r>
      <w:r w:rsidR="00607D79">
        <w:fldChar w:fldCharType="separate"/>
      </w:r>
      <w:r w:rsidR="00607D79">
        <w:rPr>
          <w:noProof/>
        </w:rPr>
        <w:t>(</w:t>
      </w:r>
      <w:hyperlink w:anchor="_ENREF_4" w:tooltip="Broome, 2013 #31" w:history="1">
        <w:r w:rsidR="005809DA">
          <w:rPr>
            <w:noProof/>
          </w:rPr>
          <w:t>compare Broome 2013: Sect. 4.3</w:t>
        </w:r>
      </w:hyperlink>
      <w:r w:rsidR="00607D79">
        <w:rPr>
          <w:noProof/>
        </w:rPr>
        <w:t>)</w:t>
      </w:r>
      <w:r w:rsidR="00607D79">
        <w:fldChar w:fldCharType="end"/>
      </w:r>
      <w:r w:rsidR="007975E7">
        <w:t>. There are only two directions a reason for action can have: either for or against.</w:t>
      </w:r>
      <w:r w:rsidR="002765B3">
        <w:rPr>
          <w:rStyle w:val="EndnoteReference"/>
        </w:rPr>
        <w:endnoteReference w:id="1"/>
      </w:r>
      <w:r w:rsidR="007975E7">
        <w:t xml:space="preserve"> But </w:t>
      </w:r>
      <w:r w:rsidR="009E48CD">
        <w:t xml:space="preserve">the magnitude </w:t>
      </w:r>
      <w:r w:rsidR="002D2C2F">
        <w:t xml:space="preserve">has no such restriction; it </w:t>
      </w:r>
      <w:r w:rsidR="009E48CD">
        <w:t xml:space="preserve">can vary </w:t>
      </w:r>
      <w:r w:rsidR="002D2C2F">
        <w:t>just as much as physical weight</w:t>
      </w:r>
      <w:r w:rsidR="0066679C">
        <w:t>s</w:t>
      </w:r>
      <w:r w:rsidR="002D2C2F">
        <w:t xml:space="preserve"> can. The weights of the reasons for and against an action can be summed, and this determines how strongly supported </w:t>
      </w:r>
      <w:r w:rsidR="000E7C4B">
        <w:t xml:space="preserve">the action is, overall, by the reasons that bear on it, for and against. </w:t>
      </w:r>
      <w:r w:rsidR="002765B3">
        <w:t xml:space="preserve">The reasons for doing something are sufficient when no other action is more strongly supported, </w:t>
      </w:r>
      <w:r w:rsidR="007A45AC">
        <w:t xml:space="preserve">overall, </w:t>
      </w:r>
      <w:r w:rsidR="002765B3">
        <w:t>and decisive when this action is most strongly supported</w:t>
      </w:r>
      <w:r w:rsidR="007A45AC">
        <w:t xml:space="preserve"> </w:t>
      </w:r>
      <w:r w:rsidR="00607D79">
        <w:fldChar w:fldCharType="begin"/>
      </w:r>
      <w:r w:rsidR="005809DA">
        <w:instrText xml:space="preserve"> ADDIN EN.CITE &lt;EndNote&gt;&lt;Cite&gt;&lt;Author&gt;Parfit&lt;/Author&gt;&lt;Year&gt;2011&lt;/Year&gt;&lt;RecNum&gt;61&lt;/RecNum&gt;&lt;Suffix&gt;: 32-3&lt;/Suffix&gt;&lt;DisplayText&gt;(Parfit 2011: 32-3)&lt;/DisplayText&gt;&lt;record&gt;&lt;rec-number&gt;61&lt;/rec-number&gt;&lt;foreign-keys&gt;&lt;key app="EN" db-id="9ratsrwz8wzzspewsdu502wwd2ezesewppe2" timestamp="1438329410"&gt;61&lt;/key&gt;&lt;/foreign-keys&gt;&lt;ref-type name="Book"&gt;6&lt;/ref-type&gt;&lt;contributors&gt;&lt;authors&gt;&lt;author&gt;Parfit, Derek&lt;/author&gt;&lt;/authors&gt;&lt;/contributors&gt;&lt;titles&gt;&lt;title&gt;On What Matters&lt;/title&gt;&lt;/titles&gt;&lt;dates&gt;&lt;year&gt;2011&lt;/year&gt;&lt;/dates&gt;&lt;pub-location&gt;Oxford&lt;/pub-location&gt;&lt;publisher&gt;Oxford University Press&lt;/publisher&gt;&lt;urls&gt;&lt;/urls&gt;&lt;/record&gt;&lt;/Cite&gt;&lt;/EndNote&gt;</w:instrText>
      </w:r>
      <w:r w:rsidR="00607D79">
        <w:fldChar w:fldCharType="separate"/>
      </w:r>
      <w:r w:rsidR="00607D79">
        <w:rPr>
          <w:noProof/>
        </w:rPr>
        <w:t>(</w:t>
      </w:r>
      <w:hyperlink w:anchor="_ENREF_23" w:tooltip="Parfit, 2011 #61" w:history="1">
        <w:r w:rsidR="005809DA">
          <w:rPr>
            <w:noProof/>
          </w:rPr>
          <w:t>Parfit 2011: 32-3</w:t>
        </w:r>
      </w:hyperlink>
      <w:r w:rsidR="00607D79">
        <w:rPr>
          <w:noProof/>
        </w:rPr>
        <w:t>)</w:t>
      </w:r>
      <w:r w:rsidR="00607D79">
        <w:fldChar w:fldCharType="end"/>
      </w:r>
      <w:r w:rsidR="00607D79">
        <w:t xml:space="preserve"> </w:t>
      </w:r>
      <w:r w:rsidR="007A45AC">
        <w:t xml:space="preserve">– then </w:t>
      </w:r>
      <w:r w:rsidR="002765B3">
        <w:lastRenderedPageBreak/>
        <w:t>you ought to do it. Y</w:t>
      </w:r>
      <w:r w:rsidR="000E7C4B">
        <w:t xml:space="preserve">ou ought to </w:t>
      </w:r>
      <w:r w:rsidR="007A45AC">
        <w:t>perform</w:t>
      </w:r>
      <w:r w:rsidR="002765B3">
        <w:t xml:space="preserve"> the action with the greatest net balance of reasons in favour over reasons against</w:t>
      </w:r>
      <w:r w:rsidR="007A45AC">
        <w:t>: the one there is most reason to perform</w:t>
      </w:r>
      <w:r w:rsidR="00607D79">
        <w:t xml:space="preserve"> </w:t>
      </w:r>
      <w:r w:rsidR="00607D79">
        <w:fldChar w:fldCharType="begin"/>
      </w:r>
      <w:r w:rsidR="00607D79">
        <w:instrText xml:space="preserve"> ADDIN EN.CITE &lt;EndNote&gt;&lt;Cite&gt;&lt;Author&gt;Setiya&lt;/Author&gt;&lt;Year&gt;2007&lt;/Year&gt;&lt;RecNum&gt;32&lt;/RecNum&gt;&lt;Suffix&gt;: 13&lt;/Suffix&gt;&lt;DisplayText&gt;(Setiya 2007: 13)&lt;/DisplayText&gt;&lt;record&gt;&lt;rec-number&gt;32&lt;/rec-number&gt;&lt;foreign-keys&gt;&lt;key app="EN" db-id="sxsapx9pw5rxwbefvfzparttpws0dd22z9v5"&gt;32&lt;/key&gt;&lt;/foreign-keys&gt;&lt;ref-type name="Book"&gt;6&lt;/ref-type&gt;&lt;contributors&gt;&lt;authors&gt;&lt;author&gt;Kieran Setiya&lt;/author&gt;&lt;/authors&gt;&lt;/contributors&gt;&lt;titles&gt;&lt;title&gt;Reasons without Rationalism&lt;/title&gt;&lt;/titles&gt;&lt;dates&gt;&lt;year&gt;2007&lt;/year&gt;&lt;/dates&gt;&lt;pub-location&gt;Princeton&lt;/pub-location&gt;&lt;publisher&gt;Princeton University Press&lt;/publisher&gt;&lt;urls&gt;&lt;/urls&gt;&lt;/record&gt;&lt;/Cite&gt;&lt;/EndNote&gt;</w:instrText>
      </w:r>
      <w:r w:rsidR="00607D79">
        <w:fldChar w:fldCharType="separate"/>
      </w:r>
      <w:r w:rsidR="00607D79">
        <w:rPr>
          <w:noProof/>
        </w:rPr>
        <w:t>(</w:t>
      </w:r>
      <w:hyperlink w:anchor="_ENREF_33" w:tooltip="Setiya, 2007 #32" w:history="1">
        <w:r w:rsidR="005809DA">
          <w:rPr>
            <w:noProof/>
          </w:rPr>
          <w:t>Setiya 2007: 13</w:t>
        </w:r>
      </w:hyperlink>
      <w:r w:rsidR="00607D79">
        <w:rPr>
          <w:noProof/>
        </w:rPr>
        <w:t>)</w:t>
      </w:r>
      <w:r w:rsidR="00607D79">
        <w:fldChar w:fldCharType="end"/>
      </w:r>
      <w:r w:rsidR="002765B3">
        <w:t xml:space="preserve">. </w:t>
      </w:r>
      <w:r w:rsidR="002D2C2F">
        <w:t xml:space="preserve">Rational </w:t>
      </w:r>
      <w:r w:rsidR="000E7C4B">
        <w:t xml:space="preserve">thought and action then correctly reflects this balance. Rational </w:t>
      </w:r>
      <w:r w:rsidR="002D2C2F">
        <w:t>deliberation is weighing reasons correctly</w:t>
      </w:r>
      <w:r w:rsidR="000E7C4B">
        <w:t xml:space="preserve">. Acting rationally is doing what </w:t>
      </w:r>
      <w:r w:rsidR="00B068AD">
        <w:t>you have</w:t>
      </w:r>
      <w:r w:rsidR="002765B3">
        <w:t xml:space="preserve"> sufficient</w:t>
      </w:r>
      <w:r w:rsidR="000E7C4B">
        <w:t xml:space="preserve"> reason</w:t>
      </w:r>
      <w:r w:rsidR="002765B3">
        <w:t>s</w:t>
      </w:r>
      <w:r w:rsidR="000E7C4B">
        <w:t xml:space="preserve"> to do</w:t>
      </w:r>
      <w:r w:rsidR="0031051C">
        <w:t xml:space="preserve"> </w:t>
      </w:r>
      <w:r w:rsidR="008B6FC5">
        <w:fldChar w:fldCharType="begin"/>
      </w:r>
      <w:r w:rsidR="008B6FC5">
        <w:instrText xml:space="preserve"> ADDIN EN.CITE &lt;EndNote&gt;&lt;Cite&gt;&lt;Author&gt;McNaughton&lt;/Author&gt;&lt;Year&gt;2004&lt;/Year&gt;&lt;RecNum&gt;34&lt;/RecNum&gt;&lt;Prefix&gt;compare &lt;/Prefix&gt;&lt;Suffix&gt;: 114&lt;/Suffix&gt;&lt;DisplayText&gt;(compare McNaughton and Rawling 2004: 114)&lt;/DisplayText&gt;&lt;record&gt;&lt;rec-number&gt;34&lt;/rec-number&gt;&lt;foreign-keys&gt;&lt;key app="EN" db-id="sxsapx9pw5rxwbefvfzparttpws0dd22z9v5"&gt;34&lt;/key&gt;&lt;/foreign-keys&gt;&lt;ref-type name="Book Section"&gt;5&lt;/ref-type&gt;&lt;contributors&gt;&lt;authors&gt;&lt;author&gt;David McNaughton&lt;/author&gt;&lt;author&gt;Piers Rawling&lt;/author&gt;&lt;/authors&gt;&lt;secondary-authors&gt;&lt;author&gt;Alfred R. Mele&lt;/author&gt;&lt;author&gt;Piers Rawling&lt;/author&gt;&lt;/secondary-authors&gt;&lt;/contributors&gt;&lt;titles&gt;&lt;title&gt;Duty, Rationality, and Practical Reasons&lt;/title&gt;&lt;secondary-title&gt;The Oxford Handbook of Rationality&lt;/secondary-title&gt;&lt;/titles&gt;&lt;pages&gt;110-31&lt;/pages&gt;&lt;dates&gt;&lt;year&gt;2004&lt;/year&gt;&lt;/dates&gt;&lt;pub-location&gt;Oxford&lt;/pub-location&gt;&lt;publisher&gt;Oxford University Press&lt;/publisher&gt;&lt;urls&gt;&lt;/urls&gt;&lt;/record&gt;&lt;/Cite&gt;&lt;/EndNote&gt;</w:instrText>
      </w:r>
      <w:r w:rsidR="008B6FC5">
        <w:fldChar w:fldCharType="separate"/>
      </w:r>
      <w:r w:rsidR="008B6FC5">
        <w:rPr>
          <w:noProof/>
        </w:rPr>
        <w:t>(</w:t>
      </w:r>
      <w:hyperlink w:anchor="_ENREF_20" w:tooltip="McNaughton, 2004 #34" w:history="1">
        <w:r w:rsidR="005809DA">
          <w:rPr>
            <w:noProof/>
          </w:rPr>
          <w:t>compare McNaughton and Rawling 2004: 114</w:t>
        </w:r>
      </w:hyperlink>
      <w:r w:rsidR="008B6FC5">
        <w:rPr>
          <w:noProof/>
        </w:rPr>
        <w:t>)</w:t>
      </w:r>
      <w:r w:rsidR="008B6FC5">
        <w:fldChar w:fldCharType="end"/>
      </w:r>
      <w:r w:rsidR="000E7C4B">
        <w:t>.</w:t>
      </w:r>
    </w:p>
    <w:p w:rsidR="00E95382" w:rsidRDefault="00E95382" w:rsidP="00B04BCF">
      <w:r>
        <w:tab/>
        <w:t>This view of what is involved in weighing reasons seems adequate in many cases.</w:t>
      </w:r>
      <w:r w:rsidR="00C07739">
        <w:t xml:space="preserve"> In deciding </w:t>
      </w:r>
      <w:r w:rsidR="00495299">
        <w:t>which</w:t>
      </w:r>
      <w:r w:rsidR="00C07739">
        <w:t xml:space="preserve"> holiday to take, you are apparently weighing </w:t>
      </w:r>
      <w:r w:rsidR="00DA5B45">
        <w:t>your prospective enjoyment of</w:t>
      </w:r>
      <w:r w:rsidR="008F0180">
        <w:t xml:space="preserve"> each of the alternatives against </w:t>
      </w:r>
      <w:r w:rsidR="00DA5B45">
        <w:t>its</w:t>
      </w:r>
      <w:r w:rsidR="008F0180">
        <w:t xml:space="preserve"> cost, and trying to ascertain which </w:t>
      </w:r>
      <w:r w:rsidR="00DA5B45">
        <w:t>offers</w:t>
      </w:r>
      <w:r w:rsidR="008F0180">
        <w:t xml:space="preserve"> the best value for money: that is the one that you ought to take, and the one it is rational to choose. </w:t>
      </w:r>
      <w:r>
        <w:t xml:space="preserve">But in what follows, we </w:t>
      </w:r>
      <w:r w:rsidR="00390BEF">
        <w:t>are going to</w:t>
      </w:r>
      <w:r>
        <w:t xml:space="preserve"> explore the ways in which </w:t>
      </w:r>
      <w:r w:rsidR="008F0180">
        <w:t>the Simple Picture</w:t>
      </w:r>
      <w:r>
        <w:t xml:space="preserve"> appears to requ</w:t>
      </w:r>
      <w:r w:rsidR="002765B3">
        <w:t>ire modification and refinement</w:t>
      </w:r>
      <w:r>
        <w:t xml:space="preserve">. </w:t>
      </w:r>
      <w:r w:rsidR="00D34B6D">
        <w:t>The first four sections</w:t>
      </w:r>
      <w:r>
        <w:t xml:space="preserve"> examine some of the ways in which talk of </w:t>
      </w:r>
      <w:r>
        <w:rPr>
          <w:i/>
        </w:rPr>
        <w:t>the</w:t>
      </w:r>
      <w:r>
        <w:t xml:space="preserve"> weight of a reason </w:t>
      </w:r>
      <w:r w:rsidR="00D34B6D">
        <w:t>may need</w:t>
      </w:r>
      <w:r>
        <w:t xml:space="preserve"> improvement. </w:t>
      </w:r>
      <w:r w:rsidR="00D34B6D">
        <w:t>Sections V and VI</w:t>
      </w:r>
      <w:r w:rsidR="00C07739">
        <w:t xml:space="preserve"> look more closely at the relationship between reasons and rational</w:t>
      </w:r>
      <w:r w:rsidR="00D34B6D">
        <w:t>ity.</w:t>
      </w:r>
      <w:r w:rsidR="00C07739">
        <w:t xml:space="preserve"> </w:t>
      </w:r>
      <w:r w:rsidR="00D34B6D">
        <w:t>Section</w:t>
      </w:r>
      <w:r w:rsidR="00945AC3">
        <w:t>s</w:t>
      </w:r>
      <w:r w:rsidR="00D34B6D">
        <w:t xml:space="preserve"> VII</w:t>
      </w:r>
      <w:r w:rsidR="00C07739">
        <w:t xml:space="preserve"> </w:t>
      </w:r>
      <w:r w:rsidR="00945AC3">
        <w:t>and VIII ask</w:t>
      </w:r>
      <w:r w:rsidR="00D34B6D">
        <w:t xml:space="preserve"> whether</w:t>
      </w:r>
      <w:r w:rsidR="00C07739">
        <w:t xml:space="preserve"> </w:t>
      </w:r>
      <w:r w:rsidR="00945AC3">
        <w:t>there are ways in which a reason can be defeated which are not kinds of out</w:t>
      </w:r>
      <w:r w:rsidR="00C07739">
        <w:t>weighing</w:t>
      </w:r>
      <w:r w:rsidR="00495299">
        <w:t>.</w:t>
      </w:r>
      <w:r w:rsidR="00D34B6D">
        <w:t xml:space="preserve"> </w:t>
      </w:r>
      <w:r w:rsidR="002D3BA5">
        <w:t>I shall conclude that while in some respects the Simple Picture does need to be corrected, in others the jury is out.</w:t>
      </w:r>
    </w:p>
    <w:p w:rsidR="006E4180" w:rsidRDefault="006E4180" w:rsidP="00B04BCF"/>
    <w:p w:rsidR="007761D2" w:rsidRPr="00EE008D" w:rsidRDefault="007761D2" w:rsidP="00EE008D">
      <w:pPr>
        <w:jc w:val="center"/>
        <w:rPr>
          <w:b/>
        </w:rPr>
      </w:pPr>
      <w:r w:rsidRPr="00EE008D">
        <w:rPr>
          <w:b/>
        </w:rPr>
        <w:t xml:space="preserve">I: </w:t>
      </w:r>
      <w:r w:rsidR="00706F0D" w:rsidRPr="00EE008D">
        <w:rPr>
          <w:b/>
        </w:rPr>
        <w:t>Derivative Reasons</w:t>
      </w:r>
    </w:p>
    <w:p w:rsidR="007761D2" w:rsidRDefault="007761D2" w:rsidP="00B04BCF"/>
    <w:p w:rsidR="007761D2" w:rsidRDefault="007761D2" w:rsidP="00B04BCF">
      <w:r>
        <w:t>According to the Simple Picture, you ought to do what there is most reason to do. This needs clarification, since there are different</w:t>
      </w:r>
      <w:r w:rsidR="003E5B29">
        <w:t xml:space="preserve"> ways of using the word “ought”</w:t>
      </w:r>
      <w:r>
        <w:t xml:space="preserve">. Suppose </w:t>
      </w:r>
      <w:r w:rsidR="00A555B6">
        <w:t xml:space="preserve">my </w:t>
      </w:r>
      <w:r w:rsidR="003E5B29">
        <w:t xml:space="preserve">pregnant </w:t>
      </w:r>
      <w:r w:rsidR="00A555B6">
        <w:t>wife trick</w:t>
      </w:r>
      <w:r w:rsidR="003E5B29">
        <w:t>s</w:t>
      </w:r>
      <w:r w:rsidR="00A555B6">
        <w:t xml:space="preserve"> me by convincingly pretending to go into labour. Ought I to take her to hospital? In one sense Yes: if </w:t>
      </w:r>
      <w:r w:rsidR="003E5B29">
        <w:t>she does appear to be</w:t>
      </w:r>
      <w:r w:rsidR="00A555B6">
        <w:t xml:space="preserve"> going into labour, </w:t>
      </w:r>
      <w:r w:rsidR="00566FF5">
        <w:t>I behave defectively if I fail to</w:t>
      </w:r>
      <w:r w:rsidR="003E5B29">
        <w:t xml:space="preserve"> take</w:t>
      </w:r>
      <w:r w:rsidR="00A555B6">
        <w:t xml:space="preserve"> her, and </w:t>
      </w:r>
      <w:r w:rsidR="003E5B29">
        <w:t>this</w:t>
      </w:r>
      <w:r w:rsidR="00A555B6">
        <w:t xml:space="preserve"> is natural</w:t>
      </w:r>
      <w:r w:rsidR="003E5B29">
        <w:t>ly</w:t>
      </w:r>
      <w:r w:rsidR="00A555B6">
        <w:t xml:space="preserve"> express</w:t>
      </w:r>
      <w:r w:rsidR="003E5B29">
        <w:t>ed</w:t>
      </w:r>
      <w:r w:rsidR="00A555B6">
        <w:t xml:space="preserve"> by saying that I ought to have taken her. But in </w:t>
      </w:r>
      <w:r w:rsidR="00A555B6">
        <w:lastRenderedPageBreak/>
        <w:t xml:space="preserve">another sense No: since taking her to hospital will </w:t>
      </w:r>
      <w:r w:rsidR="00566FF5">
        <w:t xml:space="preserve">actually </w:t>
      </w:r>
      <w:r w:rsidR="00A555B6">
        <w:t xml:space="preserve">waste everyone’s time, we could just as naturally express </w:t>
      </w:r>
      <w:r w:rsidR="00A555B6">
        <w:rPr>
          <w:i/>
        </w:rPr>
        <w:t>that</w:t>
      </w:r>
      <w:r w:rsidR="00A555B6">
        <w:t xml:space="preserve"> by saying that </w:t>
      </w:r>
      <w:r w:rsidR="00893256">
        <w:t>it is not what I really</w:t>
      </w:r>
      <w:r w:rsidR="00A555B6">
        <w:t xml:space="preserve"> ought </w:t>
      </w:r>
      <w:r w:rsidR="001B4C47">
        <w:t>to do</w:t>
      </w:r>
      <w:r w:rsidR="00A555B6">
        <w:t>.</w:t>
      </w:r>
      <w:r w:rsidR="0062790E">
        <w:t xml:space="preserve"> </w:t>
      </w:r>
      <w:r w:rsidR="001B4C47">
        <w:t>W</w:t>
      </w:r>
      <w:r w:rsidR="0062790E">
        <w:t xml:space="preserve">e </w:t>
      </w:r>
      <w:r w:rsidR="001B4C47">
        <w:t xml:space="preserve">therefore </w:t>
      </w:r>
      <w:r w:rsidR="0062790E">
        <w:t xml:space="preserve">need a distinction. </w:t>
      </w:r>
      <w:r w:rsidR="005F1E29">
        <w:t xml:space="preserve">The second “ought” is objective: it </w:t>
      </w:r>
      <w:r w:rsidR="003E5B29">
        <w:t>is determined by the</w:t>
      </w:r>
      <w:r w:rsidR="005F1E29">
        <w:t xml:space="preserve"> </w:t>
      </w:r>
      <w:r w:rsidR="00566FF5">
        <w:t>facts that do</w:t>
      </w:r>
      <w:r w:rsidR="005F1E29">
        <w:t xml:space="preserve"> </w:t>
      </w:r>
      <w:r w:rsidR="00807BBB">
        <w:t xml:space="preserve">actually </w:t>
      </w:r>
      <w:r w:rsidR="00566FF5">
        <w:t>count for or against my actions independently of whether I recognize it</w:t>
      </w:r>
      <w:r w:rsidR="005F1E29">
        <w:t xml:space="preserve">. The first is subjective. It depends on my beliefs about the objective reasons – or perhaps, the evidence available to me about </w:t>
      </w:r>
      <w:r w:rsidR="003E5B29">
        <w:t>those</w:t>
      </w:r>
      <w:r w:rsidR="005F1E29">
        <w:t xml:space="preserve"> reasons, or my justified beliefs about </w:t>
      </w:r>
      <w:r w:rsidR="00D04456">
        <w:t>the</w:t>
      </w:r>
      <w:r w:rsidR="003E5B29">
        <w:t>m</w:t>
      </w:r>
      <w:r w:rsidR="005F1E29">
        <w:t>.... In fact, there seem to be severa</w:t>
      </w:r>
      <w:r w:rsidR="00C15498">
        <w:t>l different subjective “oughts”</w:t>
      </w:r>
      <w:r w:rsidR="00342B14">
        <w:t xml:space="preserve"> </w:t>
      </w:r>
      <w:r w:rsidR="00342B14">
        <w:fldChar w:fldCharType="begin"/>
      </w:r>
      <w:r w:rsidR="005809DA">
        <w:instrText xml:space="preserve"> ADDIN EN.CITE &lt;EndNote&gt;&lt;Cite&gt;&lt;Author&gt;Parfit&lt;/Author&gt;&lt;Year&gt;2011&lt;/Year&gt;&lt;RecNum&gt;61&lt;/RecNum&gt;&lt;Suffix&gt;: Ch. 7&lt;/Suffix&gt;&lt;DisplayText&gt;(Parfit 2011: Ch. 7)&lt;/DisplayText&gt;&lt;record&gt;&lt;rec-number&gt;61&lt;/rec-number&gt;&lt;foreign-keys&gt;&lt;key app="EN" db-id="9ratsrwz8wzzspewsdu502wwd2ezesewppe2" timestamp="1438329410"&gt;61&lt;/key&gt;&lt;/foreign-keys&gt;&lt;ref-type name="Book"&gt;6&lt;/ref-type&gt;&lt;contributors&gt;&lt;authors&gt;&lt;author&gt;Parfit, Derek&lt;/author&gt;&lt;/authors&gt;&lt;/contributors&gt;&lt;titles&gt;&lt;title&gt;On What Matters&lt;/title&gt;&lt;/titles&gt;&lt;dates&gt;&lt;year&gt;2011&lt;/year&gt;&lt;/dates&gt;&lt;pub-location&gt;Oxford&lt;/pub-location&gt;&lt;publisher&gt;Oxford University Press&lt;/publisher&gt;&lt;urls&gt;&lt;/urls&gt;&lt;/record&gt;&lt;/Cite&gt;&lt;/EndNote&gt;</w:instrText>
      </w:r>
      <w:r w:rsidR="00342B14">
        <w:fldChar w:fldCharType="separate"/>
      </w:r>
      <w:r w:rsidR="00342B14">
        <w:rPr>
          <w:noProof/>
        </w:rPr>
        <w:t>(</w:t>
      </w:r>
      <w:hyperlink w:anchor="_ENREF_23" w:tooltip="Parfit, 2011 #61" w:history="1">
        <w:r w:rsidR="005809DA">
          <w:rPr>
            <w:noProof/>
          </w:rPr>
          <w:t>Parfit 2011: Ch. 7</w:t>
        </w:r>
      </w:hyperlink>
      <w:r w:rsidR="00342B14">
        <w:rPr>
          <w:noProof/>
        </w:rPr>
        <w:t>)</w:t>
      </w:r>
      <w:r w:rsidR="00342B14">
        <w:fldChar w:fldCharType="end"/>
      </w:r>
      <w:r w:rsidR="005F1E29">
        <w:t>.</w:t>
      </w:r>
      <w:r w:rsidR="00D04456">
        <w:t xml:space="preserve"> But let us set them aside here.</w:t>
      </w:r>
      <w:r w:rsidR="005F1E29">
        <w:t xml:space="preserve"> </w:t>
      </w:r>
      <w:r w:rsidR="00D04456">
        <w:t xml:space="preserve">What we are </w:t>
      </w:r>
      <w:r w:rsidR="005731DB">
        <w:t xml:space="preserve">primarily </w:t>
      </w:r>
      <w:r w:rsidR="00D04456">
        <w:t xml:space="preserve">interested in when we deliberate is figuring out </w:t>
      </w:r>
      <w:r w:rsidR="003E5B29">
        <w:t>which action really</w:t>
      </w:r>
      <w:r w:rsidR="00D04456">
        <w:t xml:space="preserve"> is supported by the objective reasons.</w:t>
      </w:r>
      <w:r w:rsidR="00CC6B12">
        <w:rPr>
          <w:rStyle w:val="EndnoteReference"/>
        </w:rPr>
        <w:endnoteReference w:id="2"/>
      </w:r>
      <w:r w:rsidR="00D04456">
        <w:t xml:space="preserve"> So let us concentrate on </w:t>
      </w:r>
      <w:r w:rsidR="00C15498">
        <w:t>that</w:t>
      </w:r>
      <w:r w:rsidR="00D04456">
        <w:t>.</w:t>
      </w:r>
    </w:p>
    <w:p w:rsidR="0062790E" w:rsidRDefault="00355671" w:rsidP="00B04BCF">
      <w:r>
        <w:tab/>
      </w:r>
      <w:r w:rsidR="003E5B29">
        <w:t>We can next ask</w:t>
      </w:r>
      <w:r>
        <w:t xml:space="preserve"> which of our objective reasons carry </w:t>
      </w:r>
      <w:r w:rsidR="001B4C47">
        <w:t xml:space="preserve">independent </w:t>
      </w:r>
      <w:r>
        <w:t xml:space="preserve">weight. Ordinary discourse </w:t>
      </w:r>
      <w:r w:rsidR="00782BD6">
        <w:t xml:space="preserve">is a treacherous guide to this. </w:t>
      </w:r>
      <w:r w:rsidR="005731DB">
        <w:t xml:space="preserve">If my wife </w:t>
      </w:r>
      <w:r w:rsidR="005731DB">
        <w:rPr>
          <w:i/>
        </w:rPr>
        <w:t>has</w:t>
      </w:r>
      <w:r w:rsidR="005731DB">
        <w:t xml:space="preserve"> gone into labour, it</w:t>
      </w:r>
      <w:r w:rsidR="003E5B29">
        <w:t xml:space="preserve"> would often make sense to cite </w:t>
      </w:r>
      <w:r w:rsidR="00566FF5">
        <w:t>th</w:t>
      </w:r>
      <w:r w:rsidR="005731DB">
        <w:t>at</w:t>
      </w:r>
      <w:r w:rsidR="00566FF5">
        <w:t xml:space="preserve"> fact </w:t>
      </w:r>
      <w:r w:rsidR="00782BD6">
        <w:t>as the reason for taking her to hospital.</w:t>
      </w:r>
      <w:r w:rsidR="00566FF5">
        <w:t xml:space="preserve"> I</w:t>
      </w:r>
      <w:r w:rsidR="00782BD6">
        <w:t xml:space="preserve">t also sounds true to </w:t>
      </w:r>
      <w:r w:rsidR="00566FF5">
        <w:t xml:space="preserve">cite </w:t>
      </w:r>
      <w:r w:rsidR="00807BBB">
        <w:t xml:space="preserve">as a reason for taking her </w:t>
      </w:r>
      <w:r w:rsidR="00566FF5">
        <w:t>the fact</w:t>
      </w:r>
      <w:r w:rsidR="00782BD6">
        <w:t xml:space="preserve"> that the hospital is a safe environment for giving birth, or that she is relying on me for transport. </w:t>
      </w:r>
      <w:r w:rsidR="005A1865">
        <w:t>But i</w:t>
      </w:r>
      <w:r w:rsidR="00782BD6">
        <w:t>t seems wrong to c</w:t>
      </w:r>
      <w:r w:rsidR="00F30248">
        <w:t xml:space="preserve">ount these as separate reasons, and add their weights to each other when assessing </w:t>
      </w:r>
      <w:r w:rsidR="00C15498">
        <w:t>how much</w:t>
      </w:r>
      <w:r w:rsidR="00F30248">
        <w:t xml:space="preserve"> normative support there is for my action</w:t>
      </w:r>
      <w:r w:rsidR="00C15498">
        <w:t xml:space="preserve"> overall</w:t>
      </w:r>
      <w:r w:rsidR="00F30248">
        <w:t xml:space="preserve">. </w:t>
      </w:r>
    </w:p>
    <w:p w:rsidR="00BD192A" w:rsidRDefault="00F30248" w:rsidP="00B04BCF">
      <w:r>
        <w:tab/>
        <w:t>It is tempting to legislate that there is really only one reason</w:t>
      </w:r>
      <w:r w:rsidR="005A1865">
        <w:t xml:space="preserve"> here</w:t>
      </w:r>
      <w:r>
        <w:t xml:space="preserve">. </w:t>
      </w:r>
      <w:r w:rsidR="00BD192A">
        <w:t>The reason for taking my wife to hospital</w:t>
      </w:r>
      <w:r w:rsidR="005A1865">
        <w:t>, properly stated,</w:t>
      </w:r>
      <w:r w:rsidR="00BD192A">
        <w:t xml:space="preserve"> is that it is the most convenient means of ensuring that she gives birth in a safe environment.</w:t>
      </w:r>
      <w:r w:rsidR="005A1865">
        <w:rPr>
          <w:rStyle w:val="EndnoteReference"/>
        </w:rPr>
        <w:endnoteReference w:id="3"/>
      </w:r>
      <w:r w:rsidR="00BD192A">
        <w:t xml:space="preserve"> But </w:t>
      </w:r>
      <w:r w:rsidR="005A1865">
        <w:t xml:space="preserve">saying </w:t>
      </w:r>
      <w:r w:rsidR="00BD192A">
        <w:t xml:space="preserve">that </w:t>
      </w:r>
      <w:r w:rsidR="005A1865">
        <w:t>implies</w:t>
      </w:r>
      <w:r w:rsidR="00BD192A">
        <w:t xml:space="preserve"> that most ordinary reasons-talk is false</w:t>
      </w:r>
      <w:r w:rsidR="005A1865">
        <w:t>, and that seems unnecessarily drastic</w:t>
      </w:r>
      <w:r w:rsidR="00BD192A">
        <w:t>.</w:t>
      </w:r>
      <w:r w:rsidR="0046667C">
        <w:t xml:space="preserve"> </w:t>
      </w:r>
      <w:r w:rsidR="00807BBB">
        <w:t>Instead, we can take our cue from c</w:t>
      </w:r>
      <w:r w:rsidR="005C54C5">
        <w:t>ausal-</w:t>
      </w:r>
      <w:r w:rsidR="0046667C">
        <w:t>explanatory discourse</w:t>
      </w:r>
      <w:r w:rsidR="005A1865">
        <w:t>. T</w:t>
      </w:r>
      <w:r w:rsidR="0046667C">
        <w:t xml:space="preserve">alk of “the cause” of an event </w:t>
      </w:r>
      <w:r w:rsidR="005A1865">
        <w:t>usually</w:t>
      </w:r>
      <w:r w:rsidR="0046667C">
        <w:t xml:space="preserve"> picks out </w:t>
      </w:r>
      <w:r w:rsidR="005A1865">
        <w:t>one</w:t>
      </w:r>
      <w:r w:rsidR="0046667C">
        <w:t xml:space="preserve"> salient feature of </w:t>
      </w:r>
      <w:r w:rsidR="005A1865">
        <w:t>a larger</w:t>
      </w:r>
      <w:r w:rsidR="0046667C">
        <w:t xml:space="preserve"> causal mechanism, with </w:t>
      </w:r>
      <w:r w:rsidR="005A1865">
        <w:t>the</w:t>
      </w:r>
      <w:r w:rsidR="00945AC3">
        <w:t xml:space="preserve"> choice</w:t>
      </w:r>
      <w:r w:rsidR="0046667C">
        <w:t xml:space="preserve"> </w:t>
      </w:r>
      <w:r w:rsidR="005A1865">
        <w:t>being determined by the pragmatics of the conversational context</w:t>
      </w:r>
      <w:r w:rsidR="001C71A3">
        <w:t xml:space="preserve"> </w:t>
      </w:r>
      <w:r w:rsidR="001C71A3">
        <w:fldChar w:fldCharType="begin"/>
      </w:r>
      <w:r w:rsidR="001C71A3">
        <w:instrText xml:space="preserve"> ADDIN EN.CITE &lt;EndNote&gt;&lt;Cite&gt;&lt;Author&gt;Lewis&lt;/Author&gt;&lt;Year&gt;1986&lt;/Year&gt;&lt;RecNum&gt;35&lt;/RecNum&gt;&lt;DisplayText&gt;(Lewis 1986)&lt;/DisplayText&gt;&lt;record&gt;&lt;rec-number&gt;35&lt;/rec-number&gt;&lt;foreign-keys&gt;&lt;key app="EN" db-id="sxsapx9pw5rxwbefvfzparttpws0dd22z9v5"&gt;35&lt;/key&gt;&lt;/foreign-keys&gt;&lt;ref-type name="Book Section"&gt;5&lt;/ref-type&gt;&lt;contributors&gt;&lt;authors&gt;&lt;author&gt;David Lewis&lt;/author&gt;&lt;/authors&gt;&lt;secondary-authors&gt;&lt;author&gt;his&lt;/author&gt;&lt;/secondary-authors&gt;&lt;/contributors&gt;&lt;titles&gt;&lt;title&gt;Causal Explanation&lt;/title&gt;&lt;secondary-title&gt;Philosophical Papers&lt;/secondary-title&gt;&lt;/titles&gt;&lt;pages&gt;214-40&lt;/pages&gt;&lt;dates&gt;&lt;year&gt;1986&lt;/year&gt;&lt;/dates&gt;&lt;pub-location&gt;Oxford&lt;/pub-location&gt;&lt;publisher&gt;Oxford University Press&lt;/publisher&gt;&lt;urls&gt;&lt;/urls&gt;&lt;/record&gt;&lt;/Cite&gt;&lt;/EndNote&gt;</w:instrText>
      </w:r>
      <w:r w:rsidR="001C71A3">
        <w:fldChar w:fldCharType="separate"/>
      </w:r>
      <w:r w:rsidR="001C71A3">
        <w:rPr>
          <w:noProof/>
        </w:rPr>
        <w:t>(</w:t>
      </w:r>
      <w:hyperlink w:anchor="_ENREF_19" w:tooltip="Lewis, 1986 #35" w:history="1">
        <w:r w:rsidR="005809DA">
          <w:rPr>
            <w:noProof/>
          </w:rPr>
          <w:t>Lewis 1986</w:t>
        </w:r>
      </w:hyperlink>
      <w:r w:rsidR="001C71A3">
        <w:rPr>
          <w:noProof/>
        </w:rPr>
        <w:t>)</w:t>
      </w:r>
      <w:r w:rsidR="001C71A3">
        <w:fldChar w:fldCharType="end"/>
      </w:r>
      <w:r w:rsidR="005A1865">
        <w:t xml:space="preserve">. Likewise, </w:t>
      </w:r>
      <w:r w:rsidR="003E5B29">
        <w:t>in normative discourse</w:t>
      </w:r>
      <w:r w:rsidR="005A1865">
        <w:t>, pragmatic factors affect what we identify as “the reason” for an action</w:t>
      </w:r>
      <w:r w:rsidR="0046667C">
        <w:t xml:space="preserve">, but that does not make </w:t>
      </w:r>
      <w:r w:rsidR="00945AC3">
        <w:t>ordinary</w:t>
      </w:r>
      <w:r w:rsidR="0046667C">
        <w:t xml:space="preserve"> </w:t>
      </w:r>
      <w:r w:rsidR="0046667C">
        <w:lastRenderedPageBreak/>
        <w:t>reasons-discourse false.</w:t>
      </w:r>
      <w:r w:rsidR="005C54C5">
        <w:t xml:space="preserve"> Rather, it is made true by the relation that the salient feature (here, that my wife has gone into labour) bears to the larger normative-weight-bearing fact.</w:t>
      </w:r>
    </w:p>
    <w:p w:rsidR="0010312E" w:rsidRDefault="009B358A" w:rsidP="00B04BCF">
      <w:r>
        <w:tab/>
      </w:r>
      <w:r w:rsidR="005A1865">
        <w:t>Should we say, then, that</w:t>
      </w:r>
      <w:r>
        <w:t xml:space="preserve"> the fact that my wife has gone into labour is a reason with zero weight</w:t>
      </w:r>
      <w:r w:rsidR="005A1865">
        <w:t>? No:</w:t>
      </w:r>
      <w:r>
        <w:t xml:space="preserve"> that is unnecessary too. </w:t>
      </w:r>
      <w:r w:rsidR="00127965">
        <w:t xml:space="preserve">Instead, we can </w:t>
      </w:r>
      <w:r w:rsidR="00C15498">
        <w:t>call it</w:t>
      </w:r>
      <w:r w:rsidR="00127965">
        <w:t xml:space="preserve"> a </w:t>
      </w:r>
      <w:r w:rsidR="00193D18">
        <w:rPr>
          <w:i/>
        </w:rPr>
        <w:t>derivative</w:t>
      </w:r>
      <w:r w:rsidR="00127965">
        <w:rPr>
          <w:i/>
        </w:rPr>
        <w:t xml:space="preserve"> </w:t>
      </w:r>
      <w:r w:rsidR="00127965">
        <w:t xml:space="preserve">reason. It derives its reason-giving weight from the fact that taking her to hospital is the most convenient means of ensuring that she gives birth in a safe environment. The first fact has reason-giving weight, but </w:t>
      </w:r>
      <w:r w:rsidR="003E5B29">
        <w:t>its weight cannot</w:t>
      </w:r>
      <w:r w:rsidR="00127965">
        <w:t xml:space="preserve"> be added to </w:t>
      </w:r>
      <w:r w:rsidR="003E5B29">
        <w:t>that</w:t>
      </w:r>
      <w:r w:rsidR="00127965">
        <w:t xml:space="preserve"> of the reason </w:t>
      </w:r>
      <w:r w:rsidR="00193D18">
        <w:t>from</w:t>
      </w:r>
      <w:r w:rsidR="00127965">
        <w:t xml:space="preserve"> which it </w:t>
      </w:r>
      <w:r w:rsidR="00193D18">
        <w:t>derives</w:t>
      </w:r>
      <w:r w:rsidR="00127965">
        <w:t>.</w:t>
      </w:r>
    </w:p>
    <w:p w:rsidR="003E5B29" w:rsidRDefault="00127965" w:rsidP="00B04BCF">
      <w:r>
        <w:tab/>
        <w:t xml:space="preserve">Saying this is coherent. After all, we should make </w:t>
      </w:r>
      <w:r w:rsidR="00DF746C">
        <w:t xml:space="preserve">an </w:t>
      </w:r>
      <w:r w:rsidR="00F649CB">
        <w:t>analogous</w:t>
      </w:r>
      <w:r>
        <w:t xml:space="preserve"> claim about the physical weights of parts and wholes. My arm has a weight, </w:t>
      </w:r>
      <w:r w:rsidR="00775600">
        <w:t xml:space="preserve">but we make a mistake if we add it to the weight of my whole body in calculating how hard the scales will be pushed down. </w:t>
      </w:r>
      <w:r w:rsidR="00F649CB">
        <w:t>However, the</w:t>
      </w:r>
      <w:r w:rsidR="00775600">
        <w:t xml:space="preserve"> </w:t>
      </w:r>
      <w:proofErr w:type="spellStart"/>
      <w:r w:rsidR="00F649CB">
        <w:t>dis</w:t>
      </w:r>
      <w:r w:rsidR="00775600">
        <w:t>analogy</w:t>
      </w:r>
      <w:proofErr w:type="spellEnd"/>
      <w:r w:rsidR="00F649CB">
        <w:t xml:space="preserve"> is worth noticing too</w:t>
      </w:r>
      <w:r w:rsidR="00775600">
        <w:t xml:space="preserve">. The relation between the two </w:t>
      </w:r>
      <w:r w:rsidR="00AE03CD">
        <w:t xml:space="preserve">practical </w:t>
      </w:r>
      <w:r w:rsidR="00775600">
        <w:t xml:space="preserve">reasons in our example is not that of part and whole. And while we might well think that the physical weight </w:t>
      </w:r>
      <w:r w:rsidR="00945AC3">
        <w:t xml:space="preserve">of a whole </w:t>
      </w:r>
      <w:r w:rsidR="00193D18">
        <w:t>derives from</w:t>
      </w:r>
      <w:r w:rsidR="00775600">
        <w:t xml:space="preserve"> the weights of its parts – it is the</w:t>
      </w:r>
      <w:r w:rsidR="003E5B29">
        <w:t xml:space="preserve"> sum of those component weights –</w:t>
      </w:r>
      <w:r w:rsidR="00775600">
        <w:t xml:space="preserve"> the </w:t>
      </w:r>
      <w:r w:rsidR="00193D18">
        <w:t>derivation-</w:t>
      </w:r>
      <w:r w:rsidR="00775600">
        <w:t xml:space="preserve">relation for reasons runs the other way: the “smaller” reason </w:t>
      </w:r>
      <w:r w:rsidR="00193D18">
        <w:t>derives from</w:t>
      </w:r>
      <w:r w:rsidR="00775600">
        <w:t xml:space="preserve"> the “larger” one. An intriguing question is just what kind of </w:t>
      </w:r>
      <w:r w:rsidR="005A1865">
        <w:t xml:space="preserve">relation normative </w:t>
      </w:r>
      <w:r w:rsidR="00193D18">
        <w:t>derivation</w:t>
      </w:r>
      <w:r w:rsidR="00F649CB">
        <w:t xml:space="preserve"> is, if it is not </w:t>
      </w:r>
      <w:proofErr w:type="spellStart"/>
      <w:r w:rsidR="00F649CB">
        <w:t>mereological</w:t>
      </w:r>
      <w:proofErr w:type="spellEnd"/>
      <w:r w:rsidR="00775600">
        <w:t xml:space="preserve">. </w:t>
      </w:r>
      <w:r w:rsidR="00C15498">
        <w:t xml:space="preserve">But </w:t>
      </w:r>
      <w:r w:rsidR="00F649CB">
        <w:t xml:space="preserve">let us not pursue that. The important point here is that we need </w:t>
      </w:r>
      <w:r w:rsidR="00B56FE9">
        <w:t xml:space="preserve">a first refinement to the Simple Picture. </w:t>
      </w:r>
      <w:r w:rsidR="003E5B29">
        <w:t xml:space="preserve">Although derivative reasons have weights, we cannot add </w:t>
      </w:r>
      <w:r w:rsidR="00C15498">
        <w:t>them</w:t>
      </w:r>
      <w:r w:rsidR="003E5B29">
        <w:t xml:space="preserve"> to the weights of the</w:t>
      </w:r>
      <w:r w:rsidR="00807BBB">
        <w:t xml:space="preserve"> reasons from which they derive, </w:t>
      </w:r>
      <w:proofErr w:type="gramStart"/>
      <w:r w:rsidR="00807BBB">
        <w:t>nor</w:t>
      </w:r>
      <w:proofErr w:type="gramEnd"/>
      <w:r w:rsidR="00807BBB">
        <w:t xml:space="preserve"> to other reasons that derive from the same source.</w:t>
      </w:r>
    </w:p>
    <w:p w:rsidR="009B358A" w:rsidRDefault="009B358A" w:rsidP="00B04BCF"/>
    <w:p w:rsidR="008852E0" w:rsidRPr="00EE008D" w:rsidRDefault="008852E0" w:rsidP="00EE008D">
      <w:pPr>
        <w:jc w:val="center"/>
        <w:rPr>
          <w:b/>
        </w:rPr>
      </w:pPr>
      <w:r w:rsidRPr="00EE008D">
        <w:rPr>
          <w:b/>
        </w:rPr>
        <w:t xml:space="preserve">II: </w:t>
      </w:r>
      <w:r w:rsidR="005417CB" w:rsidRPr="00EE008D">
        <w:rPr>
          <w:b/>
        </w:rPr>
        <w:t>Holism</w:t>
      </w:r>
    </w:p>
    <w:p w:rsidR="008852E0" w:rsidRDefault="008852E0" w:rsidP="00B04BCF"/>
    <w:p w:rsidR="00AD5983" w:rsidRDefault="00AD5983" w:rsidP="00B04BCF">
      <w:r>
        <w:t>When we consider the contribution that the weights of components make to the overall weight of some larger whole, “holism” might be used as a name for two different theses.</w:t>
      </w:r>
      <w:r w:rsidR="00AE03CD">
        <w:rPr>
          <w:rStyle w:val="EndnoteReference"/>
        </w:rPr>
        <w:endnoteReference w:id="4"/>
      </w:r>
      <w:r>
        <w:t xml:space="preserve"> </w:t>
      </w:r>
      <w:r>
        <w:lastRenderedPageBreak/>
        <w:t>One is a</w:t>
      </w:r>
      <w:r w:rsidR="00CB09CF">
        <w:t xml:space="preserve"> thesis of non-compositionality: the overall weight of the whole is not always the sum of the weights of </w:t>
      </w:r>
      <w:r w:rsidR="00226CF7">
        <w:t>its</w:t>
      </w:r>
      <w:r w:rsidR="00CB09CF">
        <w:t xml:space="preserve"> parts. This is the analogue of Moore’s doctrine of “organic unities” concerning the relationship between the value of a whole and the values of its parts</w:t>
      </w:r>
      <w:r w:rsidR="00525B3C">
        <w:t xml:space="preserve"> </w:t>
      </w:r>
      <w:r w:rsidR="00525B3C">
        <w:fldChar w:fldCharType="begin"/>
      </w:r>
      <w:r w:rsidR="005809DA">
        <w:instrText xml:space="preserve"> ADDIN EN.CITE &lt;EndNote&gt;&lt;Cite ExcludeAuth="1"&gt;&lt;Author&gt;Moore&lt;/Author&gt;&lt;Year&gt;1903&lt;/Year&gt;&lt;RecNum&gt;40&lt;/RecNum&gt;&lt;Suffix&gt;: Sect. 18-20&lt;/Suffix&gt;&lt;DisplayText&gt;(1903: Sect. 18-20)&lt;/DisplayText&gt;&lt;record&gt;&lt;rec-number&gt;40&lt;/rec-number&gt;&lt;foreign-keys&gt;&lt;key app="EN" db-id="9ratsrwz8wzzspewsdu502wwd2ezesewppe2" timestamp="1438263874"&gt;40&lt;/key&gt;&lt;/foreign-keys&gt;&lt;ref-type name="Book"&gt;6&lt;/ref-type&gt;&lt;contributors&gt;&lt;authors&gt;&lt;author&gt;Moore, G.E.&lt;/author&gt;&lt;/authors&gt;&lt;/contributors&gt;&lt;titles&gt;&lt;title&gt;Principia Ethica&lt;/title&gt;&lt;/titles&gt;&lt;dates&gt;&lt;year&gt;1903&lt;/year&gt;&lt;/dates&gt;&lt;pub-location&gt;Cambridge&lt;/pub-location&gt;&lt;publisher&gt;Cambridge University Press&lt;/publisher&gt;&lt;urls&gt;&lt;/urls&gt;&lt;/record&gt;&lt;/Cite&gt;&lt;/EndNote&gt;</w:instrText>
      </w:r>
      <w:r w:rsidR="00525B3C">
        <w:fldChar w:fldCharType="separate"/>
      </w:r>
      <w:r w:rsidR="00525B3C">
        <w:rPr>
          <w:noProof/>
        </w:rPr>
        <w:t>(</w:t>
      </w:r>
      <w:hyperlink w:anchor="_ENREF_22" w:tooltip="Moore, 1903 #40" w:history="1">
        <w:r w:rsidR="005809DA">
          <w:rPr>
            <w:noProof/>
          </w:rPr>
          <w:t>1903: Sect. 18-20</w:t>
        </w:r>
      </w:hyperlink>
      <w:r w:rsidR="00525B3C">
        <w:rPr>
          <w:noProof/>
        </w:rPr>
        <w:t>)</w:t>
      </w:r>
      <w:r w:rsidR="00525B3C">
        <w:fldChar w:fldCharType="end"/>
      </w:r>
      <w:r w:rsidR="00CB09CF">
        <w:t xml:space="preserve">. The other is a thesis of circumstance-relativity: the weight </w:t>
      </w:r>
      <w:r w:rsidR="003C450C">
        <w:t>of</w:t>
      </w:r>
      <w:r w:rsidR="00CB09CF">
        <w:t xml:space="preserve"> a </w:t>
      </w:r>
      <w:r w:rsidR="00226CF7">
        <w:t>weight-bearer</w:t>
      </w:r>
      <w:r w:rsidR="00CB09CF">
        <w:t xml:space="preserve"> can vary </w:t>
      </w:r>
      <w:r w:rsidR="00860403">
        <w:t xml:space="preserve">depending on the rest </w:t>
      </w:r>
      <w:r w:rsidR="00CB09CF">
        <w:t xml:space="preserve">of </w:t>
      </w:r>
      <w:r w:rsidR="00860403">
        <w:t xml:space="preserve">the whole set of circumstances </w:t>
      </w:r>
      <w:r w:rsidR="00226CF7">
        <w:t>by which it is surrounded</w:t>
      </w:r>
      <w:r w:rsidR="00CB09CF">
        <w:t xml:space="preserve">. It is this second thesis that is </w:t>
      </w:r>
      <w:r w:rsidR="0068522A">
        <w:t xml:space="preserve">now </w:t>
      </w:r>
      <w:r w:rsidR="00CB09CF">
        <w:t xml:space="preserve">usually meant </w:t>
      </w:r>
      <w:r w:rsidR="003C450C">
        <w:t>by talk of</w:t>
      </w:r>
      <w:r w:rsidR="00CB09CF">
        <w:t xml:space="preserve"> “holism” in the theory of reasons.</w:t>
      </w:r>
      <w:r w:rsidR="006D6AC3">
        <w:rPr>
          <w:rStyle w:val="EndnoteReference"/>
        </w:rPr>
        <w:endnoteReference w:id="5"/>
      </w:r>
    </w:p>
    <w:p w:rsidR="006D6AC3" w:rsidRDefault="00CB09CF" w:rsidP="00B04BCF">
      <w:r>
        <w:tab/>
        <w:t>The difference between the two kinds of “holism” is</w:t>
      </w:r>
      <w:r w:rsidR="006D6AC3">
        <w:t xml:space="preserve"> illustrated by physical weight. This is compositional: the physical weight of a whole is the sum of the weights of its parts. But it is circumstance-relative, on </w:t>
      </w:r>
      <w:r w:rsidR="00860403">
        <w:t>both</w:t>
      </w:r>
      <w:r w:rsidR="006D6AC3">
        <w:t xml:space="preserve"> of </w:t>
      </w:r>
      <w:r w:rsidR="008D5304">
        <w:t xml:space="preserve">its main definitions. On the gravitational definition (as the force exerted on a body by gravity), objects weigh less out in space than they do on the surface of the Earth. </w:t>
      </w:r>
      <w:r w:rsidR="00706F0D">
        <w:t>O</w:t>
      </w:r>
      <w:r w:rsidR="008D5304">
        <w:t xml:space="preserve">n the operational definition (as the force exerted by an object on its support), you weigh slightly less when the Moon is overhead. </w:t>
      </w:r>
    </w:p>
    <w:p w:rsidR="0066679C" w:rsidRDefault="003C450C" w:rsidP="00B04BCF">
      <w:r>
        <w:tab/>
        <w:t>Both kinds of holism are true of d</w:t>
      </w:r>
      <w:r w:rsidR="006D6AC3">
        <w:t xml:space="preserve">erivative reasons. We saw their non-compositionality above: </w:t>
      </w:r>
      <w:r w:rsidR="00226CF7">
        <w:t xml:space="preserve">the weights of </w:t>
      </w:r>
      <w:r w:rsidR="00860403">
        <w:t>reasons deriving from the same source</w:t>
      </w:r>
      <w:r w:rsidR="006D6AC3">
        <w:t xml:space="preserve"> cannot be summed. But when a reason is derivative, it is also obviously circumstance-relative. </w:t>
      </w:r>
      <w:r w:rsidR="00DC531E">
        <w:t xml:space="preserve">If the fact that my wife has gone into labour derives its status as a reason for taking her to hospital from further facts about safety, </w:t>
      </w:r>
      <w:r w:rsidR="00F15B03">
        <w:t xml:space="preserve">then </w:t>
      </w:r>
      <w:r w:rsidR="006D6AC3">
        <w:t>changing those</w:t>
      </w:r>
      <w:r w:rsidR="00DC531E">
        <w:t xml:space="preserve"> </w:t>
      </w:r>
      <w:r w:rsidR="0068522A">
        <w:t xml:space="preserve">further </w:t>
      </w:r>
      <w:r w:rsidR="00DC531E">
        <w:t xml:space="preserve">facts </w:t>
      </w:r>
      <w:r w:rsidR="006D6AC3">
        <w:t>will change</w:t>
      </w:r>
      <w:r w:rsidR="00DC531E">
        <w:t xml:space="preserve"> its status</w:t>
      </w:r>
      <w:r w:rsidR="00CC1B30">
        <w:t xml:space="preserve"> as a reason</w:t>
      </w:r>
      <w:r w:rsidR="00DC531E">
        <w:t xml:space="preserve">. In </w:t>
      </w:r>
      <w:r w:rsidR="006D6AC3">
        <w:t>circumstances</w:t>
      </w:r>
      <w:r w:rsidR="00DC531E">
        <w:t xml:space="preserve"> in which the hospital is unsafe, the fact that she has gone into labour </w:t>
      </w:r>
      <w:r>
        <w:t>ceases to be</w:t>
      </w:r>
      <w:r w:rsidR="00DC531E">
        <w:t xml:space="preserve"> a reason for taking her there.</w:t>
      </w:r>
    </w:p>
    <w:p w:rsidR="00C16A15" w:rsidRDefault="00C16A15" w:rsidP="00B04BCF">
      <w:r>
        <w:tab/>
        <w:t xml:space="preserve">So the Simple Picture needs another refinement. When it talks of “the weight” of a reason, it needs to allow that </w:t>
      </w:r>
      <w:r w:rsidR="00E4102B">
        <w:t xml:space="preserve">the assignment of </w:t>
      </w:r>
      <w:r>
        <w:t xml:space="preserve">weights </w:t>
      </w:r>
      <w:r w:rsidR="00E4102B">
        <w:t xml:space="preserve">to derivative reasons is </w:t>
      </w:r>
      <w:r w:rsidR="006E25FF">
        <w:t>circumstance-relative</w:t>
      </w:r>
      <w:r w:rsidR="00E4102B">
        <w:t>. It would be clearer to talk of the weight of a-reason-in-a-</w:t>
      </w:r>
      <w:r w:rsidR="006E25FF">
        <w:t>set-of-circumstances</w:t>
      </w:r>
      <w:r w:rsidR="00E4102B">
        <w:t>.</w:t>
      </w:r>
    </w:p>
    <w:p w:rsidR="00E4102B" w:rsidRDefault="00E4102B" w:rsidP="00B04BCF">
      <w:r>
        <w:tab/>
      </w:r>
      <w:proofErr w:type="gramStart"/>
      <w:r>
        <w:t>But what about non-derivative reasons?</w:t>
      </w:r>
      <w:proofErr w:type="gramEnd"/>
      <w:r w:rsidR="008B2C44">
        <w:t xml:space="preserve"> </w:t>
      </w:r>
      <w:r w:rsidR="00194898">
        <w:t>T</w:t>
      </w:r>
      <w:r w:rsidR="008B2C44">
        <w:t>he</w:t>
      </w:r>
      <w:r w:rsidR="0068772C">
        <w:t>y might still be</w:t>
      </w:r>
      <w:r w:rsidR="008B2C44">
        <w:t xml:space="preserve"> atomistic</w:t>
      </w:r>
      <w:r w:rsidR="003C450C">
        <w:t>, not holistic</w:t>
      </w:r>
      <w:r w:rsidR="008B2C44">
        <w:t xml:space="preserve">. </w:t>
      </w:r>
      <w:r w:rsidR="007177BA">
        <w:t xml:space="preserve">Indeed, </w:t>
      </w:r>
      <w:r w:rsidR="008F47B8">
        <w:t xml:space="preserve">the most obvious way of explaining the </w:t>
      </w:r>
      <w:r w:rsidR="007A229E">
        <w:t xml:space="preserve">circumstance-relativity </w:t>
      </w:r>
      <w:r w:rsidR="008F47B8">
        <w:t xml:space="preserve">of derivative reasons </w:t>
      </w:r>
      <w:r w:rsidR="008F47B8">
        <w:lastRenderedPageBreak/>
        <w:t xml:space="preserve">encourages that </w:t>
      </w:r>
      <w:r w:rsidR="00194898">
        <w:t>view</w:t>
      </w:r>
      <w:r w:rsidR="008F47B8">
        <w:t xml:space="preserve">. In the example </w:t>
      </w:r>
      <w:r w:rsidR="00194898">
        <w:t>just given</w:t>
      </w:r>
      <w:r w:rsidR="008F47B8">
        <w:t xml:space="preserve">, we explain </w:t>
      </w:r>
      <w:r w:rsidR="00194898">
        <w:t xml:space="preserve">the </w:t>
      </w:r>
      <w:r w:rsidR="007A229E">
        <w:t xml:space="preserve">circumstance-relativity </w:t>
      </w:r>
      <w:r w:rsidR="00194898">
        <w:t>of the derivative reason</w:t>
      </w:r>
      <w:r w:rsidR="008F47B8">
        <w:t xml:space="preserve"> </w:t>
      </w:r>
      <w:r w:rsidR="00194898">
        <w:t>(</w:t>
      </w:r>
      <w:r w:rsidR="008F47B8">
        <w:t>the fact that my wife has gone into labour</w:t>
      </w:r>
      <w:r w:rsidR="00194898">
        <w:t>)</w:t>
      </w:r>
      <w:r w:rsidR="008F47B8">
        <w:t xml:space="preserve"> by pointing out </w:t>
      </w:r>
      <w:r w:rsidR="003C450C">
        <w:t>its dependence on whether</w:t>
      </w:r>
      <w:r w:rsidR="00194898">
        <w:t xml:space="preserve"> the further facts from which it</w:t>
      </w:r>
      <w:r w:rsidR="008F47B8">
        <w:t xml:space="preserve"> derives its status as a reason are present </w:t>
      </w:r>
      <w:r w:rsidR="003C450C">
        <w:t>or not</w:t>
      </w:r>
      <w:r w:rsidR="008F47B8">
        <w:t xml:space="preserve">. If </w:t>
      </w:r>
      <w:r w:rsidR="00F72729">
        <w:t xml:space="preserve">all </w:t>
      </w:r>
      <w:r w:rsidR="008F47B8">
        <w:t xml:space="preserve">explanations of </w:t>
      </w:r>
      <w:r w:rsidR="007A229E">
        <w:t xml:space="preserve">circumstance-relativity </w:t>
      </w:r>
      <w:r w:rsidR="008F47B8">
        <w:t xml:space="preserve">worked that way, then non-derivative reasons could well be atomistic. </w:t>
      </w:r>
      <w:r w:rsidR="00194898">
        <w:t xml:space="preserve">Moreover, </w:t>
      </w:r>
      <w:r w:rsidR="00F72729">
        <w:t>only</w:t>
      </w:r>
      <w:r w:rsidR="008F47B8">
        <w:t xml:space="preserve"> non-derivative reasons </w:t>
      </w:r>
      <w:r w:rsidR="00F72729">
        <w:t>are relevant to any judgement about</w:t>
      </w:r>
      <w:r w:rsidR="00194898">
        <w:t xml:space="preserve"> the comparative weights of reasons </w:t>
      </w:r>
      <w:r w:rsidR="00F72729">
        <w:t>that supports a conclusion about</w:t>
      </w:r>
      <w:r w:rsidR="008F47B8">
        <w:t xml:space="preserve"> what there is most reason to do overall.</w:t>
      </w:r>
      <w:r w:rsidR="007C70BD">
        <w:t xml:space="preserve"> </w:t>
      </w:r>
      <w:r w:rsidR="00F72729">
        <w:t>D</w:t>
      </w:r>
      <w:r w:rsidR="007C70BD">
        <w:t>erivative reasons</w:t>
      </w:r>
      <w:r w:rsidR="00F72729">
        <w:t xml:space="preserve"> are irrelevant to that</w:t>
      </w:r>
      <w:r w:rsidR="007C70BD">
        <w:t xml:space="preserve">, since </w:t>
      </w:r>
      <w:r w:rsidR="00F72729">
        <w:t>they</w:t>
      </w:r>
      <w:r w:rsidR="007C70BD">
        <w:t xml:space="preserve"> add no further support to the actions for which they are reasons, beyond the reasons from which they derive. If non-derivative reasons are atomistic, t</w:t>
      </w:r>
      <w:r>
        <w:t>h</w:t>
      </w:r>
      <w:r w:rsidR="007C70BD">
        <w:t xml:space="preserve">e holism of derivative reasons </w:t>
      </w:r>
      <w:r w:rsidR="00194898">
        <w:t>becomes</w:t>
      </w:r>
      <w:r w:rsidR="007C70BD">
        <w:t xml:space="preserve"> </w:t>
      </w:r>
      <w:r>
        <w:t xml:space="preserve">a </w:t>
      </w:r>
      <w:r w:rsidR="007C70BD">
        <w:t xml:space="preserve">relatively </w:t>
      </w:r>
      <w:r>
        <w:t>superficial phenomenon.</w:t>
      </w:r>
    </w:p>
    <w:p w:rsidR="0068258F" w:rsidRDefault="00127FBF" w:rsidP="00B04BCF">
      <w:r>
        <w:tab/>
      </w:r>
      <w:r w:rsidR="007A229E">
        <w:t>Broadly speaking, there are two main options in defending a</w:t>
      </w:r>
      <w:r w:rsidR="007C70BD">
        <w:t>tomism about non-derivative reasons</w:t>
      </w:r>
      <w:r>
        <w:t xml:space="preserve">. One is </w:t>
      </w:r>
      <w:r w:rsidR="007A229E">
        <w:t>to hold</w:t>
      </w:r>
      <w:r>
        <w:t xml:space="preserve"> that there is ultimately only one non-derivative reason for action. The usual candidate is happiness: one’s own, according to the classical egoists; everyone’s, according to the classical utilitarians. Such views can allow that we have many different reasons,</w:t>
      </w:r>
      <w:r w:rsidR="0068258F">
        <w:t xml:space="preserve"> but they </w:t>
      </w:r>
      <w:r w:rsidR="007C70BD">
        <w:t>all derive</w:t>
      </w:r>
      <w:r w:rsidR="0068258F">
        <w:t xml:space="preserve"> that status from </w:t>
      </w:r>
      <w:r w:rsidR="007C70BD">
        <w:t>their</w:t>
      </w:r>
      <w:r w:rsidR="0068258F">
        <w:t xml:space="preserve"> contribution to happiness. </w:t>
      </w:r>
      <w:r w:rsidR="00DD59D8">
        <w:t xml:space="preserve">Since that is the only non-derivative reason for action, it must be the sole determinant of </w:t>
      </w:r>
      <w:r w:rsidR="00AA1A31">
        <w:t>what we ought to do</w:t>
      </w:r>
      <w:r w:rsidR="00DD59D8">
        <w:t xml:space="preserve">, in all </w:t>
      </w:r>
      <w:r w:rsidR="007A229E">
        <w:t>circumstances</w:t>
      </w:r>
      <w:r w:rsidR="00DD59D8">
        <w:t>.</w:t>
      </w:r>
      <w:r w:rsidR="00DD59D8" w:rsidRPr="00DD59D8">
        <w:t xml:space="preserve"> </w:t>
      </w:r>
      <w:r w:rsidR="00DD59D8">
        <w:t>Monism about non-derivative reasons entails atomism about them.</w:t>
      </w:r>
    </w:p>
    <w:p w:rsidR="009A0033" w:rsidRDefault="009A0033" w:rsidP="00B04BCF">
      <w:r>
        <w:tab/>
      </w:r>
      <w:r w:rsidR="00DD59D8">
        <w:t xml:space="preserve">Alternatively, one might hold that there is more than one non-derivative reason, and that they all behave </w:t>
      </w:r>
      <w:proofErr w:type="spellStart"/>
      <w:r w:rsidR="00DD59D8">
        <w:t>atomistically</w:t>
      </w:r>
      <w:proofErr w:type="spellEnd"/>
      <w:r>
        <w:t xml:space="preserve">. The </w:t>
      </w:r>
      <w:r w:rsidR="00DD59D8">
        <w:t>ethica</w:t>
      </w:r>
      <w:r>
        <w:t xml:space="preserve">l theory of </w:t>
      </w:r>
      <w:r w:rsidR="00DD59D8">
        <w:t xml:space="preserve">W.D. Ross </w:t>
      </w:r>
      <w:r w:rsidR="0068522A">
        <w:t>has this form</w:t>
      </w:r>
      <w:r>
        <w:t>.</w:t>
      </w:r>
      <w:r w:rsidR="00970ABD" w:rsidRPr="00970ABD">
        <w:t xml:space="preserve"> </w:t>
      </w:r>
      <w:r w:rsidR="00970ABD" w:rsidRPr="0087264E">
        <w:t xml:space="preserve">Ross recognizes </w:t>
      </w:r>
      <w:r w:rsidR="00970ABD">
        <w:t>fundamental, non-derivative</w:t>
      </w:r>
      <w:r w:rsidR="00970ABD" w:rsidRPr="0087264E">
        <w:t xml:space="preserve"> ethical reasons</w:t>
      </w:r>
      <w:r w:rsidR="0068522A">
        <w:t xml:space="preserve"> of several distinct types</w:t>
      </w:r>
      <w:r w:rsidR="00594057">
        <w:t xml:space="preserve"> – “prima facie duties”, he calls them</w:t>
      </w:r>
      <w:r w:rsidR="00970ABD" w:rsidRPr="0087264E">
        <w:t>.</w:t>
      </w:r>
      <w:r w:rsidR="00B91099">
        <w:t xml:space="preserve"> </w:t>
      </w:r>
      <w:r w:rsidR="0068522A">
        <w:t>The overall rightness of an action – one’s “duty proper” – is seen as depending on the presence of these reasons, and if they conflict, how comparatively strong they are.</w:t>
      </w:r>
      <w:r w:rsidR="0068522A">
        <w:rPr>
          <w:rStyle w:val="EndnoteReference"/>
        </w:rPr>
        <w:endnoteReference w:id="6"/>
      </w:r>
      <w:r w:rsidR="0068522A">
        <w:t xml:space="preserve"> And </w:t>
      </w:r>
      <w:r w:rsidR="00235A14">
        <w:t xml:space="preserve">any instance of </w:t>
      </w:r>
      <w:r w:rsidR="00594057">
        <w:t>one of these</w:t>
      </w:r>
      <w:r w:rsidR="00235A14">
        <w:t xml:space="preserve"> reason</w:t>
      </w:r>
      <w:r w:rsidR="0031051C">
        <w:t>s</w:t>
      </w:r>
      <w:r w:rsidR="00235A14">
        <w:t xml:space="preserve"> </w:t>
      </w:r>
      <w:r w:rsidR="0068522A">
        <w:t>carries</w:t>
      </w:r>
      <w:r w:rsidR="00A96B0A">
        <w:t xml:space="preserve"> the same weight in favour of</w:t>
      </w:r>
      <w:r w:rsidR="00235A14">
        <w:t xml:space="preserve"> an action, </w:t>
      </w:r>
      <w:r w:rsidR="007A229E">
        <w:t>in all circumstances</w:t>
      </w:r>
      <w:r w:rsidR="00235A14">
        <w:t xml:space="preserve">. </w:t>
      </w:r>
    </w:p>
    <w:p w:rsidR="00235A14" w:rsidRDefault="00235A14" w:rsidP="00B04BCF">
      <w:r>
        <w:lastRenderedPageBreak/>
        <w:tab/>
        <w:t xml:space="preserve">Ross’s </w:t>
      </w:r>
      <w:r w:rsidR="0068522A">
        <w:t>theory</w:t>
      </w:r>
      <w:r>
        <w:t xml:space="preserve"> seeks only to identify the </w:t>
      </w:r>
      <w:r w:rsidR="00A96B0A">
        <w:t>determinants of duty, rather than all</w:t>
      </w:r>
      <w:r>
        <w:t xml:space="preserve"> non-derivative reasons for action. But </w:t>
      </w:r>
      <w:r w:rsidR="0068522A">
        <w:t>its attraction comes from inheriting</w:t>
      </w:r>
      <w:r w:rsidR="00A96B0A">
        <w:t xml:space="preserve"> the clarity </w:t>
      </w:r>
      <w:r w:rsidR="00A47B3D">
        <w:t>of the Simple Picture</w:t>
      </w:r>
      <w:r w:rsidR="0068522A">
        <w:t>:</w:t>
      </w:r>
      <w:r w:rsidR="00A96B0A">
        <w:t xml:space="preserve"> Ross’s view is the attempt to </w:t>
      </w:r>
      <w:r w:rsidR="00EA4F75">
        <w:t xml:space="preserve">interpret the </w:t>
      </w:r>
      <w:r w:rsidR="003C450C">
        <w:t xml:space="preserve">fundamental </w:t>
      </w:r>
      <w:r w:rsidR="00EA4F75">
        <w:t>structure of ethics in terms of that picture</w:t>
      </w:r>
      <w:r w:rsidR="00A47B3D">
        <w:t xml:space="preserve">. </w:t>
      </w:r>
      <w:r w:rsidR="00EA4F75">
        <w:t>This</w:t>
      </w:r>
      <w:r w:rsidR="0082224B">
        <w:t xml:space="preserve"> gives us a way of thinking about </w:t>
      </w:r>
      <w:r w:rsidR="003C450C">
        <w:t>ethics</w:t>
      </w:r>
      <w:r w:rsidR="0082224B">
        <w:t xml:space="preserve"> </w:t>
      </w:r>
      <w:proofErr w:type="spellStart"/>
      <w:r w:rsidR="007A229E">
        <w:t>combinatorially</w:t>
      </w:r>
      <w:proofErr w:type="spellEnd"/>
      <w:r w:rsidR="0082224B">
        <w:t xml:space="preserve">, </w:t>
      </w:r>
      <w:r w:rsidR="004C6AB0">
        <w:t xml:space="preserve">explaining </w:t>
      </w:r>
      <w:r w:rsidR="004C6AB0" w:rsidRPr="004C6AB0">
        <w:t>its complex</w:t>
      </w:r>
      <w:r w:rsidR="00194898">
        <w:t>ity</w:t>
      </w:r>
      <w:r w:rsidR="004C6AB0" w:rsidRPr="004C6AB0">
        <w:t xml:space="preserve"> </w:t>
      </w:r>
      <w:r w:rsidR="004C6AB0">
        <w:t>in terms of</w:t>
      </w:r>
      <w:r w:rsidR="004C6AB0" w:rsidRPr="004C6AB0">
        <w:t xml:space="preserve"> the interaction of a relatively small number of simpler </w:t>
      </w:r>
      <w:r w:rsidR="00F72729">
        <w:t>fundamental</w:t>
      </w:r>
      <w:r w:rsidR="004C6AB0" w:rsidRPr="004C6AB0">
        <w:t xml:space="preserve"> elements</w:t>
      </w:r>
      <w:r w:rsidR="0082224B" w:rsidRPr="004C6AB0">
        <w:t>:</w:t>
      </w:r>
      <w:r w:rsidR="0082224B">
        <w:t xml:space="preserve"> the</w:t>
      </w:r>
      <w:r w:rsidR="00F72729">
        <w:t xml:space="preserve"> </w:t>
      </w:r>
      <w:r w:rsidR="0082224B">
        <w:t>atomistic</w:t>
      </w:r>
      <w:r w:rsidR="00F72729">
        <w:t xml:space="preserve">, </w:t>
      </w:r>
      <w:r w:rsidR="00F1311A">
        <w:t>non-derivative</w:t>
      </w:r>
      <w:r w:rsidR="00F72729">
        <w:t xml:space="preserve"> ethical</w:t>
      </w:r>
      <w:r w:rsidR="0082224B">
        <w:t xml:space="preserve"> reasons from which others derive.</w:t>
      </w:r>
    </w:p>
    <w:p w:rsidR="007951DB" w:rsidRDefault="00EA4F75" w:rsidP="00B04BCF">
      <w:r>
        <w:tab/>
        <w:t xml:space="preserve">Theorizing of this </w:t>
      </w:r>
      <w:proofErr w:type="spellStart"/>
      <w:r>
        <w:t>Rossian</w:t>
      </w:r>
      <w:proofErr w:type="spellEnd"/>
      <w:r>
        <w:t xml:space="preserve"> form </w:t>
      </w:r>
      <w:r w:rsidR="00194898">
        <w:t>cannot be swiftly</w:t>
      </w:r>
      <w:r>
        <w:t xml:space="preserve"> dismissed on the grounds that practical reasons are </w:t>
      </w:r>
      <w:r w:rsidR="00945AC3">
        <w:t>obviously</w:t>
      </w:r>
      <w:r w:rsidR="008830C3">
        <w:t xml:space="preserve"> holistic. The most obvious examples of </w:t>
      </w:r>
      <w:r w:rsidR="00F72729">
        <w:t>holistic</w:t>
      </w:r>
      <w:r w:rsidR="008830C3">
        <w:t xml:space="preserve"> reasons are derivative ones, and explanations of those tend to </w:t>
      </w:r>
      <w:r w:rsidR="008830C3">
        <w:rPr>
          <w:i/>
        </w:rPr>
        <w:t>support</w:t>
      </w:r>
      <w:r w:rsidR="008830C3">
        <w:t xml:space="preserve"> the search for </w:t>
      </w:r>
      <w:r w:rsidR="00F72729">
        <w:t xml:space="preserve">atomistic </w:t>
      </w:r>
      <w:r w:rsidR="008830C3">
        <w:t>non-derivative reasons</w:t>
      </w:r>
      <w:r w:rsidR="00194898">
        <w:t>, as we just saw</w:t>
      </w:r>
      <w:r w:rsidR="008830C3">
        <w:t xml:space="preserve">. Moreover, if a convincing case could be made that </w:t>
      </w:r>
      <w:r w:rsidR="00CE58C0">
        <w:t xml:space="preserve">the items on </w:t>
      </w:r>
      <w:r w:rsidR="008830C3">
        <w:t xml:space="preserve">Ross’s own </w:t>
      </w:r>
      <w:r w:rsidR="00CE58C0">
        <w:t>list of</w:t>
      </w:r>
      <w:r w:rsidR="008830C3">
        <w:t xml:space="preserve"> “prima facie” </w:t>
      </w:r>
      <w:r w:rsidR="00945AC3">
        <w:t xml:space="preserve">duties </w:t>
      </w:r>
      <w:r w:rsidR="00CE58C0">
        <w:t xml:space="preserve">fail to provide us with </w:t>
      </w:r>
      <w:r w:rsidR="00F72729">
        <w:t>atomistic</w:t>
      </w:r>
      <w:r w:rsidR="00CE58C0">
        <w:t xml:space="preserve"> non-derivative </w:t>
      </w:r>
      <w:proofErr w:type="gramStart"/>
      <w:r w:rsidR="00CE58C0">
        <w:t>reasons, that</w:t>
      </w:r>
      <w:proofErr w:type="gramEnd"/>
      <w:r w:rsidR="00CE58C0">
        <w:t xml:space="preserve"> might only show that he has offered the wrong candidates. </w:t>
      </w:r>
      <w:r w:rsidR="007951DB">
        <w:t xml:space="preserve">The </w:t>
      </w:r>
      <w:r w:rsidR="00CE58C0">
        <w:t xml:space="preserve">only way to resolve this issue seems to be by subjecting the </w:t>
      </w:r>
      <w:proofErr w:type="spellStart"/>
      <w:r w:rsidR="00CE58C0">
        <w:t>Rossian</w:t>
      </w:r>
      <w:proofErr w:type="spellEnd"/>
      <w:r w:rsidR="00CE58C0">
        <w:t xml:space="preserve"> framework to the test of</w:t>
      </w:r>
      <w:r w:rsidR="007951DB">
        <w:t xml:space="preserve"> explanatory adequacy: </w:t>
      </w:r>
      <w:r w:rsidR="00CE58C0">
        <w:t xml:space="preserve">examining </w:t>
      </w:r>
      <w:r w:rsidR="007951DB">
        <w:t>its ability to give a cogent explanation of what strikes us as practically important</w:t>
      </w:r>
      <w:r w:rsidR="00CE58C0">
        <w:t>, by considering a range of examples in detail</w:t>
      </w:r>
      <w:r w:rsidR="007951DB">
        <w:t xml:space="preserve">. </w:t>
      </w:r>
      <w:r w:rsidR="00CE58C0">
        <w:t>The most convincing</w:t>
      </w:r>
      <w:r w:rsidR="007951DB">
        <w:t xml:space="preserve"> </w:t>
      </w:r>
      <w:r w:rsidR="00CE58C0">
        <w:t>case</w:t>
      </w:r>
      <w:r w:rsidR="007951DB">
        <w:t xml:space="preserve"> for atomism or holism about non-derivative reasons would be </w:t>
      </w:r>
      <w:r w:rsidR="00CE58C0">
        <w:t xml:space="preserve">to </w:t>
      </w:r>
      <w:r w:rsidR="008501D9">
        <w:t xml:space="preserve">show </w:t>
      </w:r>
      <w:r w:rsidR="00194898">
        <w:t>that one of them does better</w:t>
      </w:r>
      <w:r w:rsidR="00594057">
        <w:t>, overall,</w:t>
      </w:r>
      <w:r w:rsidR="008501D9">
        <w:t xml:space="preserve"> in supplying illuminating explanations of the ways in which reasons bear on actions of different kinds. We return to this topic later, in considering whether reasons can be subject to </w:t>
      </w:r>
      <w:r w:rsidR="00AA1A31">
        <w:t>“</w:t>
      </w:r>
      <w:r w:rsidR="008501D9">
        <w:t>undermining</w:t>
      </w:r>
      <w:r w:rsidR="00AA1A31">
        <w:t>”</w:t>
      </w:r>
      <w:r w:rsidR="008501D9">
        <w:t>.</w:t>
      </w:r>
    </w:p>
    <w:p w:rsidR="00D81E76" w:rsidRDefault="00D81E76" w:rsidP="00B04BCF"/>
    <w:p w:rsidR="00D81E76" w:rsidRPr="00EE008D" w:rsidRDefault="00D81E76" w:rsidP="00EE008D">
      <w:pPr>
        <w:jc w:val="center"/>
        <w:rPr>
          <w:b/>
        </w:rPr>
      </w:pPr>
      <w:r w:rsidRPr="00EE008D">
        <w:rPr>
          <w:b/>
        </w:rPr>
        <w:t>III: Incommensurability</w:t>
      </w:r>
    </w:p>
    <w:p w:rsidR="00D81E76" w:rsidRDefault="00D81E76" w:rsidP="00B04BCF"/>
    <w:p w:rsidR="00046577" w:rsidRDefault="00046577" w:rsidP="00B04BCF">
      <w:r>
        <w:t xml:space="preserve">“Weighs more than” is a transitive relation. </w:t>
      </w:r>
      <w:r w:rsidR="00833314">
        <w:t>That</w:t>
      </w:r>
      <w:r>
        <w:t xml:space="preserve"> </w:t>
      </w:r>
      <w:proofErr w:type="gramStart"/>
      <w:r>
        <w:t>A</w:t>
      </w:r>
      <w:proofErr w:type="gramEnd"/>
      <w:r>
        <w:t xml:space="preserve"> weighs more than B and B weighs more than C</w:t>
      </w:r>
      <w:r w:rsidR="00833314">
        <w:t xml:space="preserve"> entails</w:t>
      </w:r>
      <w:r>
        <w:t xml:space="preserve"> that A weighs more than C. </w:t>
      </w:r>
      <w:r w:rsidR="00463D63">
        <w:t xml:space="preserve">For physical weights, it is also true that if </w:t>
      </w:r>
      <w:proofErr w:type="gramStart"/>
      <w:r w:rsidR="00463D63">
        <w:t>A</w:t>
      </w:r>
      <w:proofErr w:type="gramEnd"/>
      <w:r w:rsidR="00463D63">
        <w:t xml:space="preserve"> </w:t>
      </w:r>
      <w:r w:rsidR="00463D63">
        <w:lastRenderedPageBreak/>
        <w:t xml:space="preserve">weighs more than B and B does not weigh less than C, then A weighs more than C. However, when we assign weights to reasons, there are cases in which the analogue of the second claim apparently fails. </w:t>
      </w:r>
      <w:r w:rsidR="00BD3774">
        <w:t>Indeed, such cases seem very common. In choosing between restaurants, I can have a stronger reason to go to Angela’s than Bernie’s</w:t>
      </w:r>
      <w:r w:rsidR="00F23BAC">
        <w:t xml:space="preserve">, </w:t>
      </w:r>
      <w:r w:rsidR="00FF35AB">
        <w:t xml:space="preserve">but at the same time it can also be true that </w:t>
      </w:r>
      <w:r w:rsidR="00833314">
        <w:t>I do not have a stronger reason to go</w:t>
      </w:r>
      <w:r w:rsidR="00FF35AB">
        <w:t xml:space="preserve"> to the Chopin concert instead of </w:t>
      </w:r>
      <w:r w:rsidR="00833314">
        <w:t>Bernie’s, and nor do I</w:t>
      </w:r>
      <w:r w:rsidR="00FF35AB">
        <w:t xml:space="preserve"> have a stronger reason </w:t>
      </w:r>
      <w:r w:rsidR="00833314">
        <w:t>to go to Angela’s instead of the Chopin concert</w:t>
      </w:r>
      <w:r w:rsidR="00FF35AB">
        <w:t>.</w:t>
      </w:r>
      <w:r w:rsidR="001A1554">
        <w:t xml:space="preserve"> If s</w:t>
      </w:r>
      <w:r w:rsidR="005A3283">
        <w:t>o</w:t>
      </w:r>
      <w:r w:rsidR="001A1554">
        <w:t>,</w:t>
      </w:r>
      <w:r w:rsidR="005A3283">
        <w:t xml:space="preserve"> how do I compare the strengths of the reasons to go to Angela’s versus the Chopin concert? The first is not stronger; but nor can it be weaker, or equally strong – that would violate </w:t>
      </w:r>
      <w:r w:rsidR="006A2448">
        <w:t xml:space="preserve">the </w:t>
      </w:r>
      <w:r w:rsidR="005A3283">
        <w:t>transitivity</w:t>
      </w:r>
      <w:r w:rsidR="00FD5FD7">
        <w:t xml:space="preserve"> of “less</w:t>
      </w:r>
      <w:r w:rsidR="006A2448">
        <w:t xml:space="preserve"> than” and “equal to”</w:t>
      </w:r>
      <w:r w:rsidR="005A3283">
        <w:t>. So we are forced to say that neither reason is stronger, and nor are they equally strong.</w:t>
      </w:r>
    </w:p>
    <w:p w:rsidR="009E73A0" w:rsidRDefault="00F23BAC" w:rsidP="00B04BCF">
      <w:r>
        <w:tab/>
      </w:r>
      <w:r w:rsidR="00046577">
        <w:t>This is usually described as the phenomenon of “incommensurability”.</w:t>
      </w:r>
      <w:r w:rsidR="00860403">
        <w:rPr>
          <w:rStyle w:val="EndnoteReference"/>
        </w:rPr>
        <w:endnoteReference w:id="7"/>
      </w:r>
      <w:r>
        <w:t xml:space="preserve"> </w:t>
      </w:r>
      <w:r w:rsidR="005A3283">
        <w:t xml:space="preserve">What does it imply about the weights of reasons? </w:t>
      </w:r>
      <w:r>
        <w:t>T</w:t>
      </w:r>
      <w:r w:rsidR="001A1554">
        <w:t>alk of “incommensurability”</w:t>
      </w:r>
      <w:r>
        <w:t xml:space="preserve"> </w:t>
      </w:r>
      <w:r w:rsidR="005A3283">
        <w:t>suggests the view</w:t>
      </w:r>
      <w:r>
        <w:t xml:space="preserve"> that goods </w:t>
      </w:r>
      <w:r w:rsidR="007777A3">
        <w:t xml:space="preserve">of some kinds </w:t>
      </w:r>
      <w:r>
        <w:t xml:space="preserve">(such as pleasant meals and fine concerts) are </w:t>
      </w:r>
      <w:r w:rsidR="005A3283">
        <w:t>so</w:t>
      </w:r>
      <w:r>
        <w:t xml:space="preserve"> different that the strengths of the reasons we have to pursue them cannot be measured on the same scale. But </w:t>
      </w:r>
      <w:r w:rsidR="005A3283">
        <w:t>that goes too far</w:t>
      </w:r>
      <w:r w:rsidR="00AF03FE">
        <w:t xml:space="preserve"> </w:t>
      </w:r>
      <w:r w:rsidR="00AF03FE">
        <w:fldChar w:fldCharType="begin"/>
      </w:r>
      <w:r w:rsidR="00AF03FE">
        <w:instrText xml:space="preserve"> ADDIN EN.CITE &lt;EndNote&gt;&lt;Cite&gt;&lt;Author&gt;Griffin&lt;/Author&gt;&lt;Year&gt;1986&lt;/Year&gt;&lt;RecNum&gt;7&lt;/RecNum&gt;&lt;Suffix&gt;: Ch. 5&lt;/Suffix&gt;&lt;DisplayText&gt;(Griffin 1986: Ch. 5)&lt;/DisplayText&gt;&lt;record&gt;&lt;rec-number&gt;7&lt;/rec-number&gt;&lt;foreign-keys&gt;&lt;key app="EN" db-id="sxsapx9pw5rxwbefvfzparttpws0dd22z9v5"&gt;7&lt;/key&gt;&lt;/foreign-keys&gt;&lt;ref-type name="Book"&gt;6&lt;/ref-type&gt;&lt;contributors&gt;&lt;authors&gt;&lt;author&gt;James Griffin&lt;/author&gt;&lt;/authors&gt;&lt;/contributors&gt;&lt;titles&gt;&lt;title&gt;Well-Being: Its Meaning, Measurement and Moral Importance&lt;/title&gt;&lt;short-title&gt;Well-Being&lt;/short-title&gt;&lt;/titles&gt;&lt;dates&gt;&lt;year&gt;1986&lt;/year&gt;&lt;/dates&gt;&lt;pub-location&gt;Oxford&lt;/pub-location&gt;&lt;publisher&gt;Clarendon Press&lt;/publisher&gt;&lt;urls&gt;&lt;/urls&gt;&lt;/record&gt;&lt;/Cite&gt;&lt;/EndNote&gt;</w:instrText>
      </w:r>
      <w:r w:rsidR="00AF03FE">
        <w:fldChar w:fldCharType="separate"/>
      </w:r>
      <w:r w:rsidR="00AF03FE">
        <w:rPr>
          <w:noProof/>
        </w:rPr>
        <w:t>(</w:t>
      </w:r>
      <w:hyperlink w:anchor="_ENREF_13" w:tooltip="Griffin, 1986 #7" w:history="1">
        <w:r w:rsidR="005809DA">
          <w:rPr>
            <w:noProof/>
          </w:rPr>
          <w:t>Griffin 1986: Ch. 5</w:t>
        </w:r>
      </w:hyperlink>
      <w:r w:rsidR="00AF03FE">
        <w:rPr>
          <w:noProof/>
        </w:rPr>
        <w:t>)</w:t>
      </w:r>
      <w:r w:rsidR="00AF03FE">
        <w:fldChar w:fldCharType="end"/>
      </w:r>
      <w:r w:rsidR="00AE545A">
        <w:t xml:space="preserve">. </w:t>
      </w:r>
      <w:r w:rsidR="00BC3C54">
        <w:t xml:space="preserve">If the concert will be </w:t>
      </w:r>
      <w:proofErr w:type="gramStart"/>
      <w:r w:rsidR="00BC3C54">
        <w:t>a</w:t>
      </w:r>
      <w:proofErr w:type="gramEnd"/>
      <w:r w:rsidR="00BC3C54">
        <w:t xml:space="preserve"> once-in-a-lifetime opportunity to hear a great performer, </w:t>
      </w:r>
      <w:r w:rsidR="00FD0ABA">
        <w:t>you could surely have more reason to hear it than</w:t>
      </w:r>
      <w:r w:rsidR="00BC3C54">
        <w:t xml:space="preserve"> to go out to dinner. </w:t>
      </w:r>
      <w:r w:rsidR="001A1554">
        <w:t xml:space="preserve">The failures of commensurateness are local, not global. </w:t>
      </w:r>
      <w:r w:rsidR="009E73A0">
        <w:t xml:space="preserve">Moreover, there are features of our thought about reasons that </w:t>
      </w:r>
      <w:r w:rsidR="001A1554">
        <w:t xml:space="preserve">still </w:t>
      </w:r>
      <w:r w:rsidR="009E73A0">
        <w:t xml:space="preserve">seem to require thinking of their weight not just </w:t>
      </w:r>
      <w:proofErr w:type="spellStart"/>
      <w:r w:rsidR="009E73A0">
        <w:t>ordinally</w:t>
      </w:r>
      <w:proofErr w:type="spellEnd"/>
      <w:r w:rsidR="009E73A0">
        <w:t xml:space="preserve"> but cardinally, as measured by a ratio scale. </w:t>
      </w:r>
      <w:r w:rsidR="001A1554">
        <w:t>When</w:t>
      </w:r>
      <w:r w:rsidR="009E73A0">
        <w:t xml:space="preserve"> accepting an invitation will cost you two wasted days and not just one, the reason to decline it is twice as strong.</w:t>
      </w:r>
    </w:p>
    <w:p w:rsidR="00FA7800" w:rsidRDefault="009E73A0" w:rsidP="00B04BCF">
      <w:r>
        <w:tab/>
      </w:r>
      <w:r w:rsidR="001A1554">
        <w:t>W</w:t>
      </w:r>
      <w:r>
        <w:t xml:space="preserve">hat the </w:t>
      </w:r>
      <w:proofErr w:type="gramStart"/>
      <w:r>
        <w:t>incommensurate</w:t>
      </w:r>
      <w:proofErr w:type="gramEnd"/>
      <w:r>
        <w:t xml:space="preserve"> cases show is that such comparisons </w:t>
      </w:r>
      <w:r w:rsidR="001A1554">
        <w:t>are subject to local</w:t>
      </w:r>
      <w:r>
        <w:t xml:space="preserve"> breakdowns. </w:t>
      </w:r>
      <w:r w:rsidR="001A1554">
        <w:t>These breakdowns</w:t>
      </w:r>
      <w:r>
        <w:t xml:space="preserve"> </w:t>
      </w:r>
      <w:r w:rsidR="007777A3">
        <w:t>appear</w:t>
      </w:r>
      <w:r>
        <w:t xml:space="preserve"> not </w:t>
      </w:r>
      <w:r w:rsidR="007777A3">
        <w:t xml:space="preserve">to be </w:t>
      </w:r>
      <w:r>
        <w:t xml:space="preserve">merely due to our epistemic limitations. I </w:t>
      </w:r>
      <w:r w:rsidR="007777A3">
        <w:t>could have</w:t>
      </w:r>
      <w:r>
        <w:t xml:space="preserve"> as much information as </w:t>
      </w:r>
      <w:r w:rsidR="00FD0ABA">
        <w:t>I</w:t>
      </w:r>
      <w:r>
        <w:t xml:space="preserve"> liked about the two restaurants and the concert</w:t>
      </w:r>
      <w:r w:rsidR="007777A3">
        <w:t xml:space="preserve"> and still</w:t>
      </w:r>
      <w:r>
        <w:t xml:space="preserve"> be left </w:t>
      </w:r>
      <w:r w:rsidR="001A1554">
        <w:t>with</w:t>
      </w:r>
      <w:r>
        <w:t xml:space="preserve"> the same </w:t>
      </w:r>
      <w:r w:rsidR="001A1554">
        <w:t xml:space="preserve">set of </w:t>
      </w:r>
      <w:r w:rsidR="007777A3">
        <w:t xml:space="preserve">comparative </w:t>
      </w:r>
      <w:r>
        <w:t>judgements</w:t>
      </w:r>
      <w:r w:rsidR="00FA7800">
        <w:t xml:space="preserve">. And </w:t>
      </w:r>
      <w:r w:rsidR="001A1554">
        <w:t xml:space="preserve">that </w:t>
      </w:r>
      <w:r w:rsidR="007777A3">
        <w:t>would leave</w:t>
      </w:r>
      <w:r w:rsidR="001A1554">
        <w:t xml:space="preserve"> me unable</w:t>
      </w:r>
      <w:r w:rsidR="00FA7800">
        <w:t xml:space="preserve"> even </w:t>
      </w:r>
      <w:r w:rsidR="001A1554">
        <w:t xml:space="preserve">to </w:t>
      </w:r>
      <w:r w:rsidR="00FA7800">
        <w:lastRenderedPageBreak/>
        <w:t>make an ordinal comparison of the relative strengths of the reasons to dine a</w:t>
      </w:r>
      <w:r w:rsidR="001A1554">
        <w:t>t Angela’s or go to the concert, let alone to assign to them a cardinal magnitude on a ratio scale.</w:t>
      </w:r>
    </w:p>
    <w:p w:rsidR="009E73A0" w:rsidRDefault="00FA7800" w:rsidP="00B04BCF">
      <w:r>
        <w:tab/>
        <w:t>This carries two main implications for the Simple Picture. The first is that it needs to abandon the thought that a reason is a vector</w:t>
      </w:r>
      <w:r w:rsidR="001A1554">
        <w:t>,</w:t>
      </w:r>
      <w:r>
        <w:t xml:space="preserve"> with a cardinal magnitude. In cases like the one just described, no </w:t>
      </w:r>
      <w:r w:rsidR="000A72EE">
        <w:t xml:space="preserve">unique </w:t>
      </w:r>
      <w:r>
        <w:t>numerical</w:t>
      </w:r>
      <w:r w:rsidR="00C74F7E">
        <w:t xml:space="preserve"> value can be assigned to the </w:t>
      </w:r>
      <w:proofErr w:type="gramStart"/>
      <w:r w:rsidR="001A1554">
        <w:t>incommensurate</w:t>
      </w:r>
      <w:proofErr w:type="gramEnd"/>
      <w:r w:rsidR="001A1554">
        <w:t xml:space="preserve"> </w:t>
      </w:r>
      <w:r w:rsidR="00C74F7E">
        <w:t>reasons.</w:t>
      </w:r>
      <w:r w:rsidR="00594057">
        <w:rPr>
          <w:rStyle w:val="EndnoteReference"/>
        </w:rPr>
        <w:endnoteReference w:id="8"/>
      </w:r>
      <w:r w:rsidR="00C74F7E">
        <w:t xml:space="preserve"> The second is that a corresponding qualification </w:t>
      </w:r>
      <w:r w:rsidR="001A1554">
        <w:t xml:space="preserve">must be made </w:t>
      </w:r>
      <w:r w:rsidR="00C74F7E">
        <w:t>to the talk of “summing” the weights of reasons to determine which action is most strongly supported overall. When an action is supported by one reason, the addition of another (</w:t>
      </w:r>
      <w:r w:rsidR="001A1554">
        <w:t>provided it</w:t>
      </w:r>
      <w:r w:rsidR="00C74F7E">
        <w:t xml:space="preserve"> is not derived from the same source) </w:t>
      </w:r>
      <w:r w:rsidR="001A1554">
        <w:t>makes the</w:t>
      </w:r>
      <w:r w:rsidR="00C74F7E">
        <w:t xml:space="preserve"> overall support for the action stronger. </w:t>
      </w:r>
      <w:r w:rsidR="001A1554">
        <w:t xml:space="preserve">So the weights of reasons can in this sense be added to each other. </w:t>
      </w:r>
      <w:r w:rsidR="00C74F7E">
        <w:t xml:space="preserve">But </w:t>
      </w:r>
      <w:r w:rsidR="001A1554">
        <w:t>given the</w:t>
      </w:r>
      <w:r w:rsidR="00C74F7E">
        <w:t xml:space="preserve"> local breakdowns </w:t>
      </w:r>
      <w:r w:rsidR="001A1554">
        <w:t xml:space="preserve">we find </w:t>
      </w:r>
      <w:r w:rsidR="00C74F7E">
        <w:t xml:space="preserve">in our ability to make such comparisons, summing of the weights of reasons </w:t>
      </w:r>
      <w:r w:rsidR="001A1554">
        <w:t xml:space="preserve">cannot be thought of </w:t>
      </w:r>
      <w:r w:rsidR="00C74F7E">
        <w:t xml:space="preserve">as the addition of numerical values. </w:t>
      </w:r>
    </w:p>
    <w:p w:rsidR="0087264E" w:rsidRDefault="0087264E" w:rsidP="00B04BCF"/>
    <w:p w:rsidR="00CC6C1C" w:rsidRPr="00EE008D" w:rsidRDefault="00F25DD6" w:rsidP="00EE008D">
      <w:pPr>
        <w:jc w:val="center"/>
        <w:rPr>
          <w:b/>
        </w:rPr>
      </w:pPr>
      <w:r w:rsidRPr="00EE008D">
        <w:rPr>
          <w:b/>
        </w:rPr>
        <w:t>IV: Permission and Requirement</w:t>
      </w:r>
    </w:p>
    <w:p w:rsidR="00F25DD6" w:rsidRDefault="00F25DD6" w:rsidP="00B04BCF"/>
    <w:p w:rsidR="009105BE" w:rsidRPr="00EC6F5F" w:rsidRDefault="009105BE" w:rsidP="00B04BCF">
      <w:r>
        <w:t>Next, we can examine the Simple Picture’s claim that</w:t>
      </w:r>
    </w:p>
    <w:p w:rsidR="00CD075F" w:rsidRPr="00EC6F5F" w:rsidRDefault="00CD075F" w:rsidP="007C2014">
      <w:pPr>
        <w:ind w:left="567"/>
      </w:pPr>
      <w:r w:rsidRPr="00EC6F5F">
        <w:t>The reasons for doing something are sufficient when no other action is more strongly supported, overall, and decisive when this action is most strongly suppo</w:t>
      </w:r>
      <w:r w:rsidR="00EC6F5F" w:rsidRPr="00EC6F5F">
        <w:t>rted – then you ought to do it.</w:t>
      </w:r>
    </w:p>
    <w:p w:rsidR="00CD075F" w:rsidRDefault="000E7905" w:rsidP="00B04BCF">
      <w:r>
        <w:t>This claim, too, is contested by</w:t>
      </w:r>
      <w:r w:rsidR="00EC6F5F" w:rsidRPr="00EC6F5F">
        <w:t xml:space="preserve"> some philosophers</w:t>
      </w:r>
      <w:r>
        <w:t>. To see why</w:t>
      </w:r>
      <w:r w:rsidR="00EC6F5F" w:rsidRPr="00EC6F5F">
        <w:t>, consider</w:t>
      </w:r>
      <w:r w:rsidR="009105BE">
        <w:t xml:space="preserve"> this pair of cases:</w:t>
      </w:r>
    </w:p>
    <w:p w:rsidR="009105BE" w:rsidRDefault="009105BE" w:rsidP="007C2014">
      <w:pPr>
        <w:ind w:left="567"/>
      </w:pPr>
      <w:r>
        <w:t xml:space="preserve">Case One. I am looking for a relaxing way to spend my afternoon. Two options are to go for a beautiful bike ride in the spring sunshine, or to lie in a hammock at home </w:t>
      </w:r>
      <w:r>
        <w:lastRenderedPageBreak/>
        <w:t>reading poetry. Although the bike ride would be more enjoyable, I decide to stay put and read instead.</w:t>
      </w:r>
    </w:p>
    <w:p w:rsidR="009105BE" w:rsidRDefault="009105BE" w:rsidP="007C2014">
      <w:pPr>
        <w:ind w:left="567"/>
      </w:pPr>
      <w:r>
        <w:t>Case Two. As someone new to university teaching, I am finding it stressful. I worry about my classes, and feel that I don’t measure up to my expectations of how good I should be at my job. On some days, I feel like resigning to escape the pressure, but I know that the feeling will pass and this is a job that will suit me in the long term. Despite that, I go ahead and resign.</w:t>
      </w:r>
    </w:p>
    <w:p w:rsidR="009105BE" w:rsidRDefault="009105BE" w:rsidP="00B04BCF">
      <w:r>
        <w:t>These cases illustrate</w:t>
      </w:r>
      <w:r w:rsidRPr="009105BE">
        <w:t xml:space="preserve"> </w:t>
      </w:r>
      <w:r>
        <w:t>two different ways in which we can experience the force of the reasons we have for doing things. In Case One, the most the reasons seem to do is to render either action eligible for choice</w:t>
      </w:r>
      <w:r w:rsidR="00951F04">
        <w:t xml:space="preserve"> </w:t>
      </w:r>
      <w:r w:rsidR="00951F04">
        <w:fldChar w:fldCharType="begin"/>
      </w:r>
      <w:r w:rsidR="00951F04">
        <w:instrText xml:space="preserve"> ADDIN EN.CITE &lt;EndNote&gt;&lt;Cite&gt;&lt;Author&gt;Raz&lt;/Author&gt;&lt;Year&gt;2006&lt;/Year&gt;&lt;RecNum&gt;21&lt;/RecNum&gt;&lt;Suffix&gt;: 109&lt;/Suffix&gt;&lt;DisplayText&gt;(Raz 2006: 109)&lt;/DisplayText&gt;&lt;record&gt;&lt;rec-number&gt;21&lt;/rec-number&gt;&lt;foreign-keys&gt;&lt;key app="EN" db-id="sxsapx9pw5rxwbefvfzparttpws0dd22z9v5"&gt;21&lt;/key&gt;&lt;/foreign-keys&gt;&lt;ref-type name="Journal Article"&gt;17&lt;/ref-type&gt;&lt;contributors&gt;&lt;authors&gt;&lt;author&gt;Joseph Raz&lt;/author&gt;&lt;/authors&gt;&lt;/contributors&gt;&lt;titles&gt;&lt;title&gt;The Trouble with Particularism (Dancy’s Version)&lt;/title&gt;&lt;secondary-title&gt;Mind&lt;/secondary-title&gt;&lt;/titles&gt;&lt;periodical&gt;&lt;full-title&gt;Mind&lt;/full-title&gt;&lt;/periodical&gt;&lt;pages&gt;99-120&lt;/pages&gt;&lt;volume&gt;115&lt;/volume&gt;&lt;dates&gt;&lt;year&gt;2006&lt;/year&gt;&lt;/dates&gt;&lt;urls&gt;&lt;/urls&gt;&lt;/record&gt;&lt;/Cite&gt;&lt;/EndNote&gt;</w:instrText>
      </w:r>
      <w:r w:rsidR="00951F04">
        <w:fldChar w:fldCharType="separate"/>
      </w:r>
      <w:r w:rsidR="00951F04">
        <w:rPr>
          <w:noProof/>
        </w:rPr>
        <w:t>(</w:t>
      </w:r>
      <w:hyperlink w:anchor="_ENREF_26" w:tooltip="Raz, 2006 #21" w:history="1">
        <w:r w:rsidR="005809DA">
          <w:rPr>
            <w:noProof/>
          </w:rPr>
          <w:t>Raz 2006: 109</w:t>
        </w:r>
      </w:hyperlink>
      <w:r w:rsidR="00951F04">
        <w:rPr>
          <w:noProof/>
        </w:rPr>
        <w:t>)</w:t>
      </w:r>
      <w:r w:rsidR="00951F04">
        <w:fldChar w:fldCharType="end"/>
      </w:r>
      <w:r>
        <w:t>. There is a sufficient reason for either action, although one of them is more strongly supported. The fact that one action is more eligible doesn’t stop the other from being eligible too. There is a sense in which I am permitted to do either. But in Case Two, things are different. Here, the reasons make one of the actions mandatory. There is a decisive reason not to wreck my career, which defeats the reason to escape my current discomfort. Here, one action is required and the other ruled out.</w:t>
      </w:r>
      <w:r w:rsidR="000E7905">
        <w:t xml:space="preserve"> So Case Two fits the Simple Picture; but Case One does not.</w:t>
      </w:r>
    </w:p>
    <w:p w:rsidR="00694ECE" w:rsidRDefault="00694ECE" w:rsidP="00B04BCF">
      <w:r>
        <w:tab/>
        <w:t xml:space="preserve">If the Simple Picture is faulted on the strength of examples such as this, what should we replace it with? One suggestion is that we should distinguish two different kinds of conclusions about the bearing normative reasons have on actions: conclusions about which action is best, and about what you ought to do. Reasons of enjoyment, according to this proposal, only ever support conclusions of the first kind, not the second. It may be best to go on the bike ride, but it is not true that </w:t>
      </w:r>
      <w:r w:rsidR="00930180">
        <w:t>I</w:t>
      </w:r>
      <w:r>
        <w:t xml:space="preserve"> ought to: reasons of enjoyment are not enough to support that kind of practical conclusion</w:t>
      </w:r>
      <w:r w:rsidR="00F76036">
        <w:t>. Th</w:t>
      </w:r>
      <w:r w:rsidR="00A10E7A">
        <w:t xml:space="preserve">ey “entice” </w:t>
      </w:r>
      <w:r w:rsidR="00F76036">
        <w:t xml:space="preserve">by making actions attractive, </w:t>
      </w:r>
      <w:r w:rsidR="00A10E7A">
        <w:t xml:space="preserve">but </w:t>
      </w:r>
      <w:r w:rsidR="00F76036">
        <w:t>do not require them</w:t>
      </w:r>
      <w:r>
        <w:t xml:space="preserve"> </w:t>
      </w:r>
      <w:r w:rsidR="00E57C0F">
        <w:fldChar w:fldCharType="begin"/>
      </w:r>
      <w:r w:rsidR="00E57C0F">
        <w:instrText xml:space="preserve"> ADDIN EN.CITE &lt;EndNote&gt;&lt;Cite&gt;&lt;Author&gt;Dancy&lt;/Author&gt;&lt;Year&gt;2006&lt;/Year&gt;&lt;RecNum&gt;8&lt;/RecNum&gt;&lt;DisplayText&gt;(Dancy 2006)&lt;/DisplayText&gt;&lt;record&gt;&lt;rec-number&gt;8&lt;/rec-number&gt;&lt;foreign-keys&gt;&lt;key app="EN" db-id="sxsapx9pw5rxwbefvfzparttpws0dd22z9v5"&gt;8&lt;/key&gt;&lt;/foreign-keys&gt;&lt;ref-type name="Book Section"&gt;5&lt;/ref-type&gt;&lt;contributors&gt;&lt;authors&gt;&lt;author&gt;Jonathan Dancy&lt;/author&gt;&lt;/authors&gt;&lt;secondary-authors&gt;&lt;author&gt;R. Jay Wallace&lt;/author&gt;&lt;author&gt;Philip Pettit&lt;/author&gt;&lt;author&gt;Samuel Scheffler&lt;/author&gt;&lt;/secondary-authors&gt;&lt;/contributors&gt;&lt;titles&gt;&lt;title&gt;Enticing Reasons&lt;/title&gt;&lt;secondary-title&gt;Reason and Value: Themes from the Moral Philosophy of Joseph Raz&lt;/secondary-title&gt;&lt;short-title&gt;Reason and Value&lt;/short-title&gt;&lt;/titles&gt;&lt;pages&gt;91-118&lt;/pages&gt;&lt;dates&gt;&lt;year&gt;2006&lt;/year&gt;&lt;/dates&gt;&lt;pub-location&gt;Oxford&lt;/pub-location&gt;&lt;publisher&gt;Oxford University Press&lt;/publisher&gt;&lt;urls&gt;&lt;/urls&gt;&lt;/record&gt;&lt;/Cite&gt;&lt;/EndNote&gt;</w:instrText>
      </w:r>
      <w:r w:rsidR="00E57C0F">
        <w:fldChar w:fldCharType="separate"/>
      </w:r>
      <w:r w:rsidR="00E57C0F">
        <w:rPr>
          <w:noProof/>
        </w:rPr>
        <w:t>(</w:t>
      </w:r>
      <w:hyperlink w:anchor="_ENREF_9" w:tooltip="Dancy, 2006 #8" w:history="1">
        <w:r w:rsidR="005809DA">
          <w:rPr>
            <w:noProof/>
          </w:rPr>
          <w:t>Dancy 2006</w:t>
        </w:r>
      </w:hyperlink>
      <w:r w:rsidR="00E57C0F">
        <w:rPr>
          <w:noProof/>
        </w:rPr>
        <w:t>)</w:t>
      </w:r>
      <w:r w:rsidR="00E57C0F">
        <w:fldChar w:fldCharType="end"/>
      </w:r>
      <w:r>
        <w:t xml:space="preserve">. </w:t>
      </w:r>
    </w:p>
    <w:p w:rsidR="00A10E7A" w:rsidRDefault="00E57C0F" w:rsidP="00B04BCF">
      <w:r>
        <w:lastRenderedPageBreak/>
        <w:tab/>
        <w:t xml:space="preserve">But that suggestion faces two problems. </w:t>
      </w:r>
      <w:r w:rsidR="00A10E7A">
        <w:t xml:space="preserve">There is a problem with the idea that the fact-type to which a reason belongs determines the type of conclusion it is capable of supporting. In Case Two, the compromise to </w:t>
      </w:r>
      <w:r w:rsidR="00930180">
        <w:t>my</w:t>
      </w:r>
      <w:r w:rsidR="00A10E7A">
        <w:t xml:space="preserve"> career is a </w:t>
      </w:r>
      <w:r w:rsidR="00F76036">
        <w:t>requiring</w:t>
      </w:r>
      <w:r w:rsidR="00A036E1">
        <w:t xml:space="preserve"> </w:t>
      </w:r>
      <w:r w:rsidR="00A10E7A">
        <w:t xml:space="preserve">reason. But </w:t>
      </w:r>
      <w:r w:rsidR="00CC7A4E">
        <w:t xml:space="preserve">suppose we change the example, and weaken the reason: </w:t>
      </w:r>
      <w:r w:rsidR="00930180">
        <w:t>I</w:t>
      </w:r>
      <w:r w:rsidR="00CC7A4E">
        <w:t xml:space="preserve"> could </w:t>
      </w:r>
      <w:r w:rsidR="00594057">
        <w:t xml:space="preserve">move </w:t>
      </w:r>
      <w:r w:rsidR="00CC7A4E">
        <w:t xml:space="preserve">to a more agreeable city, but it would involve some career compromise. </w:t>
      </w:r>
      <w:r w:rsidR="00F76036">
        <w:t>Now</w:t>
      </w:r>
      <w:r w:rsidR="00CC7A4E">
        <w:t xml:space="preserve"> the </w:t>
      </w:r>
      <w:r w:rsidR="00F76036">
        <w:t xml:space="preserve">role of the </w:t>
      </w:r>
      <w:r w:rsidR="00CC7A4E">
        <w:t xml:space="preserve">reasons </w:t>
      </w:r>
      <w:r w:rsidR="00F76036">
        <w:t>is to make the options attractive, without requiring: they</w:t>
      </w:r>
      <w:r w:rsidR="00CC7A4E">
        <w:t xml:space="preserve"> apparently permit </w:t>
      </w:r>
      <w:r w:rsidR="00930180">
        <w:t>me</w:t>
      </w:r>
      <w:r w:rsidR="00CC7A4E">
        <w:t xml:space="preserve"> to resolve the issue either way. </w:t>
      </w:r>
      <w:r w:rsidR="00F76036">
        <w:t>Similar</w:t>
      </w:r>
      <w:r w:rsidR="00CC7A4E">
        <w:t>ly, by strengthening reasons of enjoyment they could do more than just entice.</w:t>
      </w:r>
      <w:r w:rsidR="006235A1">
        <w:t xml:space="preserve"> If you win tickets for a round-the-world holiday that you will immensely enjoy, but fail to go because you are too lazy to collect the tickets, surely </w:t>
      </w:r>
      <w:r w:rsidR="004B3E49">
        <w:t>we can correctly</w:t>
      </w:r>
      <w:r w:rsidR="006235A1">
        <w:t xml:space="preserve"> say that you ought to have gone.</w:t>
      </w:r>
    </w:p>
    <w:p w:rsidR="00A14A18" w:rsidRDefault="00A14A18" w:rsidP="00B04BCF">
      <w:r>
        <w:tab/>
      </w:r>
      <w:r w:rsidR="00594057">
        <w:t>In response,</w:t>
      </w:r>
      <w:r>
        <w:t xml:space="preserve"> one </w:t>
      </w:r>
      <w:r w:rsidR="0078211B">
        <w:t xml:space="preserve">might retain the distinction between two types of practical conclusion while dropping the claim that the fact-type to which a reason belongs determines which of </w:t>
      </w:r>
      <w:r w:rsidR="00594057">
        <w:t xml:space="preserve">these </w:t>
      </w:r>
      <w:r w:rsidR="0078211B">
        <w:t>conclusion</w:t>
      </w:r>
      <w:r w:rsidR="00594057">
        <w:t>s</w:t>
      </w:r>
      <w:r w:rsidR="0078211B">
        <w:t xml:space="preserve"> it is capable of supporting. However, </w:t>
      </w:r>
      <w:r w:rsidR="00D618A2">
        <w:t>this still faces a</w:t>
      </w:r>
      <w:r w:rsidR="0078211B">
        <w:t xml:space="preserve"> second problem</w:t>
      </w:r>
      <w:r w:rsidR="00D618A2">
        <w:t>:</w:t>
      </w:r>
      <w:r w:rsidR="0078211B">
        <w:t xml:space="preserve"> the following question needs an </w:t>
      </w:r>
      <w:r>
        <w:t xml:space="preserve">answer. If normative support – the support that reasons </w:t>
      </w:r>
      <w:proofErr w:type="spellStart"/>
      <w:r>
        <w:t>give</w:t>
      </w:r>
      <w:proofErr w:type="spellEnd"/>
      <w:r>
        <w:t xml:space="preserve"> to actions – is just one relation, how does it lead to two different conclusions? Why </w:t>
      </w:r>
      <w:proofErr w:type="gramStart"/>
      <w:r>
        <w:t>is it</w:t>
      </w:r>
      <w:proofErr w:type="gramEnd"/>
      <w:r>
        <w:t xml:space="preserve"> not the case that you ought to do what is best? </w:t>
      </w:r>
      <w:r w:rsidR="000B38C0">
        <w:t>It is natural to</w:t>
      </w:r>
      <w:r>
        <w:t xml:space="preserve"> answer </w:t>
      </w:r>
      <w:r w:rsidR="000B38C0">
        <w:t>this by appealing</w:t>
      </w:r>
      <w:r>
        <w:t xml:space="preserve"> to the margin by which the best action is more strongly supported than the alternatives. </w:t>
      </w:r>
      <w:r w:rsidR="0078211B">
        <w:t>F</w:t>
      </w:r>
      <w:r>
        <w:t xml:space="preserve">or the balance of reasons to support an action decisively, and thereby make it into what you ought to do, </w:t>
      </w:r>
      <w:r w:rsidR="0078211B">
        <w:t>it is not enough</w:t>
      </w:r>
      <w:r>
        <w:t xml:space="preserve"> that there is a greater net balance of reasons supporting it over the alternatives</w:t>
      </w:r>
      <w:r w:rsidR="0078211B">
        <w:t>: there must be</w:t>
      </w:r>
      <w:r>
        <w:t xml:space="preserve"> a much greater net balance. </w:t>
      </w:r>
      <w:r w:rsidR="00D618A2">
        <w:t>In</w:t>
      </w:r>
      <w:r>
        <w:t xml:space="preserve"> Case One</w:t>
      </w:r>
      <w:r w:rsidR="00D618A2">
        <w:t>, this margin is relatively small:</w:t>
      </w:r>
      <w:r>
        <w:t xml:space="preserve"> while going is better than staying, it is not so much better that </w:t>
      </w:r>
      <w:r w:rsidR="00930180">
        <w:t>I</w:t>
      </w:r>
      <w:r>
        <w:t xml:space="preserve"> ought to do it. In Case Two, the reasons to preserve </w:t>
      </w:r>
      <w:r w:rsidR="00930180">
        <w:t>my</w:t>
      </w:r>
      <w:r>
        <w:t xml:space="preserve"> career are much stronger</w:t>
      </w:r>
      <w:r w:rsidR="00D618A2">
        <w:t xml:space="preserve"> than the reasons to resign</w:t>
      </w:r>
      <w:r>
        <w:t xml:space="preserve">. </w:t>
      </w:r>
      <w:r w:rsidR="00594057">
        <w:t xml:space="preserve">The judgements in the examples of moving to a more agreeable city and the round-the-world holiday can be explained in the same way. </w:t>
      </w:r>
      <w:r>
        <w:t xml:space="preserve">However, when we turn to other cases, this suggestion </w:t>
      </w:r>
      <w:r w:rsidR="000B38C0">
        <w:t>fails</w:t>
      </w:r>
      <w:r>
        <w:t xml:space="preserve">. </w:t>
      </w:r>
      <w:r w:rsidR="000B38C0">
        <w:t xml:space="preserve">An obvious difference in the strength of reasons can be decisive, even when it is small. </w:t>
      </w:r>
      <w:r>
        <w:t xml:space="preserve">If </w:t>
      </w:r>
      <w:r w:rsidR="00594057">
        <w:t xml:space="preserve">you </w:t>
      </w:r>
      <w:r w:rsidR="00594057">
        <w:lastRenderedPageBreak/>
        <w:t xml:space="preserve">know that </w:t>
      </w:r>
      <w:r w:rsidR="000B38C0">
        <w:t xml:space="preserve">the same </w:t>
      </w:r>
      <w:r w:rsidR="00594057">
        <w:t>computer can be bought for $20 less</w:t>
      </w:r>
      <w:r w:rsidR="000B38C0">
        <w:t xml:space="preserve"> from one of two equally reliable </w:t>
      </w:r>
      <w:r w:rsidR="00594057">
        <w:t>retailers</w:t>
      </w:r>
      <w:r w:rsidR="000B38C0">
        <w:t xml:space="preserve">, </w:t>
      </w:r>
      <w:r>
        <w:t xml:space="preserve">you ought to </w:t>
      </w:r>
      <w:r w:rsidR="000B38C0">
        <w:t xml:space="preserve">do </w:t>
      </w:r>
      <w:r w:rsidR="00594057">
        <w:t>that</w:t>
      </w:r>
      <w:r>
        <w:t xml:space="preserve">, and it would be irrational not to. </w:t>
      </w:r>
    </w:p>
    <w:p w:rsidR="00D618A2" w:rsidRDefault="00D618A2" w:rsidP="00B04BCF">
      <w:r>
        <w:tab/>
        <w:t xml:space="preserve">A </w:t>
      </w:r>
      <w:r w:rsidR="00594057">
        <w:t xml:space="preserve">different line explanation is offered by Joshua </w:t>
      </w:r>
      <w:proofErr w:type="spellStart"/>
      <w:r w:rsidR="00594057">
        <w:t>Gert</w:t>
      </w:r>
      <w:proofErr w:type="spellEnd"/>
      <w:r w:rsidR="00594057">
        <w:t xml:space="preserve"> </w:t>
      </w:r>
      <w:r w:rsidR="00594057">
        <w:fldChar w:fldCharType="begin"/>
      </w:r>
      <w:r w:rsidR="00594057">
        <w:instrText xml:space="preserve"> ADDIN EN.CITE &lt;EndNote&gt;&lt;Cite ExcludeAuth="1"&gt;&lt;Author&gt;Gert&lt;/Author&gt;&lt;Year&gt;2007&lt;/Year&gt;&lt;RecNum&gt;9&lt;/RecNum&gt;&lt;DisplayText&gt;(2007)&lt;/DisplayText&gt;&lt;record&gt;&lt;rec-number&gt;9&lt;/rec-number&gt;&lt;foreign-keys&gt;&lt;key app="EN" db-id="sxsapx9pw5rxwbefvfzparttpws0dd22z9v5"&gt;9&lt;/key&gt;&lt;/foreign-keys&gt;&lt;ref-type name="Journal Article"&gt;17&lt;/ref-type&gt;&lt;contributors&gt;&lt;authors&gt;&lt;author&gt;Joshua Gert&lt;/author&gt;&lt;/authors&gt;&lt;/contributors&gt;&lt;titles&gt;&lt;title&gt;Normative Strength and the Balance of Reasons&lt;/title&gt;&lt;secondary-title&gt;Philosophical Review&lt;/secondary-title&gt;&lt;/titles&gt;&lt;periodical&gt;&lt;full-title&gt;Philosophical Review&lt;/full-title&gt;&lt;/periodical&gt;&lt;pages&gt;533-62&lt;/pages&gt;&lt;volume&gt;116&lt;/volume&gt;&lt;dates&gt;&lt;year&gt;2007&lt;/year&gt;&lt;/dates&gt;&lt;urls&gt;&lt;/urls&gt;&lt;/record&gt;&lt;/Cite&gt;&lt;/EndNote&gt;</w:instrText>
      </w:r>
      <w:r w:rsidR="00594057">
        <w:fldChar w:fldCharType="separate"/>
      </w:r>
      <w:r w:rsidR="00594057">
        <w:rPr>
          <w:noProof/>
        </w:rPr>
        <w:t>(</w:t>
      </w:r>
      <w:hyperlink w:anchor="_ENREF_11" w:tooltip="Gert, 2007 #9" w:history="1">
        <w:r w:rsidR="005809DA">
          <w:rPr>
            <w:noProof/>
          </w:rPr>
          <w:t>2007</w:t>
        </w:r>
      </w:hyperlink>
      <w:r w:rsidR="00594057">
        <w:rPr>
          <w:noProof/>
        </w:rPr>
        <w:t>)</w:t>
      </w:r>
      <w:r w:rsidR="00594057">
        <w:fldChar w:fldCharType="end"/>
      </w:r>
      <w:r>
        <w:t xml:space="preserve">. Reasons for action have two different kinds of strength: justifying strength and requiring strength. </w:t>
      </w:r>
      <w:r w:rsidR="00DE1990">
        <w:t>A</w:t>
      </w:r>
      <w:r w:rsidR="007345E4">
        <w:t xml:space="preserve"> </w:t>
      </w:r>
      <w:r w:rsidR="00DE1990">
        <w:t xml:space="preserve">requiring reason is one capable of making irrational an action that would otherwise be rationally permissible; a </w:t>
      </w:r>
      <w:r w:rsidR="00472840">
        <w:t>justify</w:t>
      </w:r>
      <w:r w:rsidR="00DE1990">
        <w:t xml:space="preserve">ing reason is one capable of making </w:t>
      </w:r>
      <w:r w:rsidR="00472840">
        <w:t>rational</w:t>
      </w:r>
      <w:r w:rsidR="00DE1990">
        <w:t>ly permissible</w:t>
      </w:r>
      <w:r w:rsidR="00472840">
        <w:t xml:space="preserve"> </w:t>
      </w:r>
      <w:r w:rsidR="00DE1990">
        <w:t>an</w:t>
      </w:r>
      <w:r w:rsidR="00472840">
        <w:t xml:space="preserve"> action</w:t>
      </w:r>
      <w:r w:rsidR="00DE1990">
        <w:t xml:space="preserve"> that would otherwise be irrational</w:t>
      </w:r>
      <w:r w:rsidR="007345E4">
        <w:t xml:space="preserve">. </w:t>
      </w:r>
      <w:r w:rsidR="00930180">
        <w:t>One</w:t>
      </w:r>
      <w:r w:rsidR="00472840">
        <w:t xml:space="preserve"> reason </w:t>
      </w:r>
      <w:r w:rsidR="00930180">
        <w:t>has</w:t>
      </w:r>
      <w:r w:rsidR="00DE1990">
        <w:t xml:space="preserve"> greater requiring </w:t>
      </w:r>
      <w:r w:rsidR="00930180">
        <w:t xml:space="preserve">or justifying </w:t>
      </w:r>
      <w:r w:rsidR="00DE1990">
        <w:t>strength</w:t>
      </w:r>
      <w:r w:rsidR="00472840">
        <w:t xml:space="preserve"> than another when </w:t>
      </w:r>
      <w:r w:rsidR="00930180">
        <w:t>the first</w:t>
      </w:r>
      <w:r w:rsidR="00472840">
        <w:t xml:space="preserve"> can </w:t>
      </w:r>
      <w:r w:rsidR="00DE1990">
        <w:t xml:space="preserve">overcome all the opposing reasons that the </w:t>
      </w:r>
      <w:r w:rsidR="00930180">
        <w:t>second</w:t>
      </w:r>
      <w:r w:rsidR="00DE1990">
        <w:t xml:space="preserve"> can, and more</w:t>
      </w:r>
      <w:r w:rsidR="00930180">
        <w:t xml:space="preserve">: it has greater requiring strength when </w:t>
      </w:r>
      <w:r w:rsidR="00DE1990">
        <w:t xml:space="preserve">it can render an action irrational despite those opposing </w:t>
      </w:r>
      <w:proofErr w:type="gramStart"/>
      <w:r w:rsidR="00DE1990">
        <w:t>reasons</w:t>
      </w:r>
      <w:r w:rsidR="00930180">
        <w:t>,</w:t>
      </w:r>
      <w:proofErr w:type="gramEnd"/>
      <w:r w:rsidR="00930180">
        <w:t xml:space="preserve"> and </w:t>
      </w:r>
      <w:r w:rsidR="00DE1990">
        <w:t xml:space="preserve">greater justifying strength when </w:t>
      </w:r>
      <w:r w:rsidR="00930180">
        <w:t>it</w:t>
      </w:r>
      <w:r w:rsidR="00DE1990">
        <w:t xml:space="preserve"> can </w:t>
      </w:r>
      <w:r w:rsidR="00AA4849">
        <w:t xml:space="preserve">render an action rationally permissible despite those opposing reasons. </w:t>
      </w:r>
      <w:r w:rsidR="007345E4">
        <w:t>Cases like Case One are possible because reasons can justify more than they require. That the bike ride would be more enjoyable makes it more strongly justified</w:t>
      </w:r>
      <w:r w:rsidR="00AA4849">
        <w:t>, but it does not make it required. It is</w:t>
      </w:r>
      <w:r w:rsidR="00594057">
        <w:t xml:space="preserve"> </w:t>
      </w:r>
      <w:r w:rsidR="00AA4849">
        <w:t xml:space="preserve">not the case that </w:t>
      </w:r>
      <w:r w:rsidR="00930180">
        <w:t>I</w:t>
      </w:r>
      <w:r w:rsidR="00AA4849">
        <w:t xml:space="preserve"> ought to go</w:t>
      </w:r>
      <w:r w:rsidR="00594057">
        <w:t>, and</w:t>
      </w:r>
      <w:r w:rsidR="00594057" w:rsidRPr="00594057">
        <w:t xml:space="preserve"> </w:t>
      </w:r>
      <w:r w:rsidR="00594057">
        <w:t>not irrational to stay at home</w:t>
      </w:r>
      <w:r w:rsidR="00AA4849">
        <w:t>.</w:t>
      </w:r>
      <w:r w:rsidR="00FE5B57">
        <w:t xml:space="preserve"> In Case Two, by contrast, the reason </w:t>
      </w:r>
      <w:r w:rsidR="009E2420">
        <w:t xml:space="preserve">not to wreck my career </w:t>
      </w:r>
      <w:r>
        <w:t xml:space="preserve">has requiring </w:t>
      </w:r>
      <w:r w:rsidR="00FE5B57">
        <w:t>strength, and the fact that resigning will relieve my current stress does not have enough justifying strength to prevent the action from being irrational</w:t>
      </w:r>
      <w:r>
        <w:t xml:space="preserve">. </w:t>
      </w:r>
    </w:p>
    <w:p w:rsidR="00B574DA" w:rsidRDefault="00B574DA" w:rsidP="00B04BCF">
      <w:r>
        <w:tab/>
        <w:t>We might wonder what these two relations – justifying and requiring – have in common. Why think of “reasons for action” as a genus of which these are two different species? But that is not hard to answer. What reasons for action have in common is that they are answers to “Why?” questions about action. The difference between justifying and requiring reasons comes from the difference between the questions they contribute to answering. The former are potential contributions to answering “Why may I do that?</w:t>
      </w:r>
      <w:proofErr w:type="gramStart"/>
      <w:r>
        <w:t>”;</w:t>
      </w:r>
      <w:proofErr w:type="gramEnd"/>
      <w:r>
        <w:t xml:space="preserve"> the latter, “Why must I do that?”</w:t>
      </w:r>
    </w:p>
    <w:p w:rsidR="00B574DA" w:rsidRDefault="00B574DA" w:rsidP="00B04BCF">
      <w:r>
        <w:tab/>
        <w:t xml:space="preserve">So this view supplies us with a coherent explanation of the difference between Cases One and Two. </w:t>
      </w:r>
      <w:r w:rsidR="009E2420">
        <w:t>I</w:t>
      </w:r>
      <w:r>
        <w:t xml:space="preserve">t also allows for cases of supererogation in which reasons of altruism can justify </w:t>
      </w:r>
      <w:r>
        <w:lastRenderedPageBreak/>
        <w:t>but not require making significant personal sacrifices to help other people</w:t>
      </w:r>
      <w:r w:rsidR="009E2420">
        <w:t xml:space="preserve"> </w:t>
      </w:r>
      <w:r w:rsidR="009E2420">
        <w:fldChar w:fldCharType="begin"/>
      </w:r>
      <w:r w:rsidR="009E2420">
        <w:instrText xml:space="preserve"> ADDIN EN.CITE &lt;EndNote&gt;&lt;Cite&gt;&lt;Author&gt;Gert&lt;/Author&gt;&lt;Year&gt;2004&lt;/Year&gt;&lt;RecNum&gt;28&lt;/RecNum&gt;&lt;Suffix&gt;: Ch.2&lt;/Suffix&gt;&lt;DisplayText&gt;(Gert 2004: Ch.2)&lt;/DisplayText&gt;&lt;record&gt;&lt;rec-number&gt;28&lt;/rec-number&gt;&lt;foreign-keys&gt;&lt;key app="EN" db-id="sxsapx9pw5rxwbefvfzparttpws0dd22z9v5"&gt;28&lt;/key&gt;&lt;/foreign-keys&gt;&lt;ref-type name="Book"&gt;6&lt;/ref-type&gt;&lt;contributors&gt;&lt;authors&gt;&lt;author&gt;Joshua Gert&lt;/author&gt;&lt;/authors&gt;&lt;/contributors&gt;&lt;titles&gt;&lt;title&gt;Brute Rationality&lt;/title&gt;&lt;/titles&gt;&lt;dates&gt;&lt;year&gt;2004&lt;/year&gt;&lt;/dates&gt;&lt;pub-location&gt;Cambridge&lt;/pub-location&gt;&lt;publisher&gt;Cambridge University Press&lt;/publisher&gt;&lt;urls&gt;&lt;/urls&gt;&lt;/record&gt;&lt;/Cite&gt;&lt;/EndNote&gt;</w:instrText>
      </w:r>
      <w:r w:rsidR="009E2420">
        <w:fldChar w:fldCharType="separate"/>
      </w:r>
      <w:r w:rsidR="009E2420">
        <w:rPr>
          <w:noProof/>
        </w:rPr>
        <w:t>(</w:t>
      </w:r>
      <w:hyperlink w:anchor="_ENREF_10" w:tooltip="Gert, 2004 #28" w:history="1">
        <w:r w:rsidR="005809DA">
          <w:rPr>
            <w:noProof/>
          </w:rPr>
          <w:t>Gert 2004: Ch.2</w:t>
        </w:r>
      </w:hyperlink>
      <w:r w:rsidR="009E2420">
        <w:rPr>
          <w:noProof/>
        </w:rPr>
        <w:t>)</w:t>
      </w:r>
      <w:r w:rsidR="009E2420">
        <w:fldChar w:fldCharType="end"/>
      </w:r>
      <w:r>
        <w:t xml:space="preserve">. </w:t>
      </w:r>
      <w:r w:rsidR="00361550">
        <w:t xml:space="preserve">However, in doing so it makes a big departure from the Simple Picture. It abandons the idea of </w:t>
      </w:r>
      <w:r w:rsidR="00361550">
        <w:rPr>
          <w:i/>
        </w:rPr>
        <w:t>the</w:t>
      </w:r>
      <w:r w:rsidR="00361550">
        <w:t xml:space="preserve"> weight of reasons on which the Simple Picture is built. </w:t>
      </w:r>
    </w:p>
    <w:p w:rsidR="00361550" w:rsidRPr="00361550" w:rsidRDefault="00361550" w:rsidP="00B04BCF">
      <w:r>
        <w:tab/>
        <w:t>However, before endorsing this departure we ought to ask whether it really is necessary. Is the Simple Picture’s treatment of these cases obviously wrong? It can treat cases of supererogation as instances of incommensurability – cases in which the reason I have to help other people is neither stronger nor weaker than the reason to avoid the sacrifice</w:t>
      </w:r>
      <w:r w:rsidR="006524BF">
        <w:t xml:space="preserve"> of my own interests, but nor are they equally strong.</w:t>
      </w:r>
      <w:r w:rsidR="006524BF">
        <w:rPr>
          <w:rStyle w:val="EndnoteReference"/>
        </w:rPr>
        <w:endnoteReference w:id="9"/>
      </w:r>
      <w:r w:rsidR="006524BF">
        <w:t xml:space="preserve"> And it can maintain that the difference between Cases One and Two is only </w:t>
      </w:r>
      <w:r w:rsidR="00150F20">
        <w:t>a difference</w:t>
      </w:r>
      <w:r w:rsidR="006524BF">
        <w:t xml:space="preserve"> of degree. In Case One, there is most reason to go on the bike ride. </w:t>
      </w:r>
      <w:proofErr w:type="gramStart"/>
      <w:r w:rsidR="006524BF">
        <w:t>So I ought to go, and it is irrational not to.</w:t>
      </w:r>
      <w:proofErr w:type="gramEnd"/>
      <w:r w:rsidR="006524BF">
        <w:t xml:space="preserve"> After all, I am looking for something enjoyable to do, and the bike ride will be more enjoyable. It is irrational for me to forgo more enjoyment in favour of less. But it is only mildly irrational; wrecking my career in Case </w:t>
      </w:r>
      <w:proofErr w:type="gramStart"/>
      <w:r w:rsidR="006524BF">
        <w:t>Two</w:t>
      </w:r>
      <w:proofErr w:type="gramEnd"/>
      <w:r w:rsidR="006524BF">
        <w:t xml:space="preserve"> is much more so. And while in both cases, I ought to do what there is more reason to do, the “oughts” in the two cases are of different degrees of seriousness, thanks to the different strengths of the reasons involved.</w:t>
      </w:r>
    </w:p>
    <w:p w:rsidR="00CC6C1C" w:rsidRDefault="00CC6C1C" w:rsidP="00B04BCF"/>
    <w:p w:rsidR="00D04771" w:rsidRPr="00EE008D" w:rsidRDefault="00D04771" w:rsidP="00EE008D">
      <w:pPr>
        <w:jc w:val="center"/>
        <w:rPr>
          <w:b/>
        </w:rPr>
      </w:pPr>
      <w:r w:rsidRPr="00EE008D">
        <w:rPr>
          <w:b/>
        </w:rPr>
        <w:t xml:space="preserve">V: Rational </w:t>
      </w:r>
      <w:r w:rsidR="00C165D9" w:rsidRPr="00EE008D">
        <w:rPr>
          <w:b/>
        </w:rPr>
        <w:t>Deliberation</w:t>
      </w:r>
    </w:p>
    <w:p w:rsidR="00D04771" w:rsidRDefault="00D04771" w:rsidP="00B04BCF"/>
    <w:p w:rsidR="00D04771" w:rsidRDefault="00511C71" w:rsidP="00B04BCF">
      <w:r>
        <w:t>Both the</w:t>
      </w:r>
      <w:r w:rsidR="00817F69">
        <w:t xml:space="preserve"> Simple Picture </w:t>
      </w:r>
      <w:r>
        <w:t xml:space="preserve">and </w:t>
      </w:r>
      <w:proofErr w:type="spellStart"/>
      <w:r w:rsidR="009E2420">
        <w:t>Gert’s</w:t>
      </w:r>
      <w:proofErr w:type="spellEnd"/>
      <w:r>
        <w:t xml:space="preserve"> alternative to it make the connection between rationality and the recognition of reasons a very tight one. The Simple Picture </w:t>
      </w:r>
      <w:r w:rsidR="00B812C7">
        <w:t>characterizes</w:t>
      </w:r>
      <w:r w:rsidR="00817F69">
        <w:t xml:space="preserve"> rational deli</w:t>
      </w:r>
      <w:r w:rsidR="00B7450A">
        <w:t xml:space="preserve">beration and action as </w:t>
      </w:r>
      <w:r w:rsidR="005836F8">
        <w:t xml:space="preserve">responding correctly </w:t>
      </w:r>
      <w:r w:rsidR="00B7450A">
        <w:t>to the weights of our reasons.</w:t>
      </w:r>
      <w:r w:rsidR="009B1F3E" w:rsidRPr="009B1F3E">
        <w:t xml:space="preserve"> </w:t>
      </w:r>
      <w:r w:rsidR="009B1F3E">
        <w:t xml:space="preserve">Rational deliberation, it says, is weighing reasons correctly; acting rationally is doing what </w:t>
      </w:r>
      <w:r w:rsidR="00B068AD">
        <w:t>you have</w:t>
      </w:r>
      <w:r w:rsidR="005836F8">
        <w:t xml:space="preserve"> sufficient reasons</w:t>
      </w:r>
      <w:r w:rsidR="009B1F3E">
        <w:t xml:space="preserve"> to do.</w:t>
      </w:r>
      <w:r>
        <w:t xml:space="preserve"> </w:t>
      </w:r>
      <w:proofErr w:type="spellStart"/>
      <w:r>
        <w:t>Gert’s</w:t>
      </w:r>
      <w:proofErr w:type="spellEnd"/>
      <w:r>
        <w:t xml:space="preserve"> alternative explains </w:t>
      </w:r>
      <w:r w:rsidR="0025533E">
        <w:t xml:space="preserve">the </w:t>
      </w:r>
      <w:r>
        <w:t>justifying and requiring strength of reasons by reference to what it is or is not irrational to do.</w:t>
      </w:r>
    </w:p>
    <w:p w:rsidR="00D04771" w:rsidRDefault="009B1F3E" w:rsidP="00B04BCF">
      <w:r>
        <w:lastRenderedPageBreak/>
        <w:tab/>
        <w:t xml:space="preserve">But </w:t>
      </w:r>
      <w:r w:rsidR="00511C71">
        <w:t xml:space="preserve">the connection between rationality and the recognition is not as tight as </w:t>
      </w:r>
      <w:r w:rsidR="009E2420">
        <w:t xml:space="preserve">either of </w:t>
      </w:r>
      <w:r w:rsidR="00511C71">
        <w:t>these views claim</w:t>
      </w:r>
      <w:r w:rsidR="009E2420">
        <w:t>s</w:t>
      </w:r>
      <w:r>
        <w:t xml:space="preserve">. </w:t>
      </w:r>
      <w:r w:rsidR="00D04771">
        <w:t xml:space="preserve">Just as </w:t>
      </w:r>
      <w:r>
        <w:t xml:space="preserve">we can be rationally mistaken in </w:t>
      </w:r>
      <w:r w:rsidR="00D04771">
        <w:t xml:space="preserve">our beliefs about anything else, </w:t>
      </w:r>
      <w:r>
        <w:t>we</w:t>
      </w:r>
      <w:r w:rsidR="00D04771">
        <w:t xml:space="preserve"> can be rationally</w:t>
      </w:r>
      <w:r>
        <w:t xml:space="preserve"> mistaken in </w:t>
      </w:r>
      <w:r w:rsidR="00D04771">
        <w:t>our beliefs about objective reasons</w:t>
      </w:r>
      <w:r w:rsidR="0031051C">
        <w:t xml:space="preserve"> </w:t>
      </w:r>
      <w:r w:rsidR="0031051C">
        <w:fldChar w:fldCharType="begin"/>
      </w:r>
      <w:r w:rsidR="0031051C">
        <w:instrText xml:space="preserve"> ADDIN EN.CITE &lt;EndNote&gt;&lt;Cite&gt;&lt;Author&gt;Korsgaard&lt;/Author&gt;&lt;Year&gt;1986&lt;/Year&gt;&lt;RecNum&gt;33&lt;/RecNum&gt;&lt;Suffix&gt;: 11-12&lt;/Suffix&gt;&lt;DisplayText&gt;(Korsgaard 1986: 11-12)&lt;/DisplayText&gt;&lt;record&gt;&lt;rec-number&gt;33&lt;/rec-number&gt;&lt;foreign-keys&gt;&lt;key app="EN" db-id="sxsapx9pw5rxwbefvfzparttpws0dd22z9v5"&gt;33&lt;/key&gt;&lt;/foreign-keys&gt;&lt;ref-type name="Journal Article"&gt;17&lt;/ref-type&gt;&lt;contributors&gt;&lt;authors&gt;&lt;author&gt;Christine M. Korsgaard&lt;/author&gt;&lt;/authors&gt;&lt;/contributors&gt;&lt;titles&gt;&lt;title&gt;Skepticism about Practical Reason&lt;/title&gt;&lt;secondary-title&gt;The Journal of Philosophy&lt;/secondary-title&gt;&lt;/titles&gt;&lt;periodical&gt;&lt;full-title&gt;The Journal of Philosophy&lt;/full-title&gt;&lt;/periodical&gt;&lt;pages&gt;5-25&lt;/pages&gt;&lt;volume&gt;83&lt;/volume&gt;&lt;dates&gt;&lt;year&gt;1986&lt;/year&gt;&lt;/dates&gt;&lt;urls&gt;&lt;/urls&gt;&lt;/record&gt;&lt;/Cite&gt;&lt;/EndNote&gt;</w:instrText>
      </w:r>
      <w:r w:rsidR="0031051C">
        <w:fldChar w:fldCharType="separate"/>
      </w:r>
      <w:r w:rsidR="0031051C">
        <w:rPr>
          <w:noProof/>
        </w:rPr>
        <w:t>(</w:t>
      </w:r>
      <w:hyperlink w:anchor="_ENREF_18" w:tooltip="Korsgaard, 1986 #33" w:history="1">
        <w:r w:rsidR="005809DA">
          <w:rPr>
            <w:noProof/>
          </w:rPr>
          <w:t>Korsgaard 1986: 11-12</w:t>
        </w:r>
      </w:hyperlink>
      <w:r w:rsidR="0031051C">
        <w:rPr>
          <w:noProof/>
        </w:rPr>
        <w:t>)</w:t>
      </w:r>
      <w:r w:rsidR="0031051C">
        <w:fldChar w:fldCharType="end"/>
      </w:r>
      <w:r w:rsidR="00D04771">
        <w:t>.</w:t>
      </w:r>
      <w:r w:rsidR="00096691">
        <w:t xml:space="preserve"> If </w:t>
      </w:r>
      <w:r w:rsidR="00B812C7">
        <w:t xml:space="preserve">my wife’s trick is convincing enough, it could be rational </w:t>
      </w:r>
      <w:r w:rsidR="005836F8">
        <w:t xml:space="preserve">to decide </w:t>
      </w:r>
      <w:r w:rsidR="00B812C7">
        <w:t>to take her to hospital</w:t>
      </w:r>
      <w:r w:rsidR="005836F8">
        <w:t xml:space="preserve">, and to </w:t>
      </w:r>
      <w:r w:rsidR="007C727B">
        <w:t>take her there</w:t>
      </w:r>
      <w:r w:rsidR="009E2420">
        <w:t>:</w:t>
      </w:r>
      <w:r w:rsidR="00096691">
        <w:t xml:space="preserve"> that is because </w:t>
      </w:r>
      <w:r w:rsidR="00B812C7">
        <w:t>her behaviour</w:t>
      </w:r>
      <w:r w:rsidR="007C727B">
        <w:t xml:space="preserve"> </w:t>
      </w:r>
      <w:r w:rsidR="00511C71">
        <w:t>gives me good</w:t>
      </w:r>
      <w:r w:rsidR="007C727B">
        <w:t xml:space="preserve"> evidence that there is a decisive</w:t>
      </w:r>
      <w:r w:rsidR="00096691">
        <w:t xml:space="preserve"> objective reason to do so (namely that </w:t>
      </w:r>
      <w:r w:rsidR="00B812C7">
        <w:t>she has gone into labour</w:t>
      </w:r>
      <w:r w:rsidR="00096691">
        <w:t xml:space="preserve">). </w:t>
      </w:r>
      <w:r w:rsidR="007C727B">
        <w:t>The fact that there is actually</w:t>
      </w:r>
      <w:r w:rsidR="00096691">
        <w:t xml:space="preserve"> no such reason</w:t>
      </w:r>
      <w:r w:rsidR="007C727B">
        <w:t xml:space="preserve"> d</w:t>
      </w:r>
      <w:r w:rsidR="00096691">
        <w:t xml:space="preserve">oes not stop </w:t>
      </w:r>
      <w:r w:rsidR="009E2420">
        <w:t>my</w:t>
      </w:r>
      <w:r w:rsidR="00096691">
        <w:t xml:space="preserve"> deliberation and action from being rational. </w:t>
      </w:r>
      <w:r w:rsidR="00F83DA4">
        <w:t>One</w:t>
      </w:r>
      <w:r w:rsidR="00096691">
        <w:t xml:space="preserve"> can rationally believe that there are good reasons for performing an action, and rationally act on those beliefs, despite their being false.</w:t>
      </w:r>
    </w:p>
    <w:p w:rsidR="00D71BBD" w:rsidRDefault="00511C71" w:rsidP="00B04BCF">
      <w:r>
        <w:tab/>
        <w:t>Conversely, one can act irrationally while doing what there is in fact a decisive reason to do</w:t>
      </w:r>
      <w:r w:rsidR="001C0BB2">
        <w:t>, and even while assigning the correct weights to the reasons bearing on one’s action, in accordance with the evidence</w:t>
      </w:r>
      <w:r>
        <w:t xml:space="preserve">. </w:t>
      </w:r>
      <w:r w:rsidR="00B812C7">
        <w:t>Delusional deliberation or obsessional action does not become rational on the rare occasions when an accordance of those kinds happens by fluke.</w:t>
      </w:r>
      <w:r w:rsidR="000C4B2A">
        <w:t xml:space="preserve"> </w:t>
      </w:r>
      <w:r w:rsidR="00B812C7">
        <w:t xml:space="preserve">Rational deliberation and action requires </w:t>
      </w:r>
      <w:proofErr w:type="gramStart"/>
      <w:r w:rsidR="00B812C7">
        <w:t>a sensitivity</w:t>
      </w:r>
      <w:proofErr w:type="gramEnd"/>
      <w:r w:rsidR="00B812C7">
        <w:t xml:space="preserve"> to that evidence and those beliefs, and guidance by </w:t>
      </w:r>
      <w:r w:rsidR="001E1650">
        <w:t>this</w:t>
      </w:r>
      <w:r w:rsidR="00B812C7">
        <w:t xml:space="preserve"> sensitivity. </w:t>
      </w:r>
      <w:r w:rsidR="001C0BB2">
        <w:t>So a better suggestion about the relationship between reasons and rationality is this:</w:t>
      </w:r>
    </w:p>
    <w:p w:rsidR="00D71BBD" w:rsidRDefault="001C0BB2" w:rsidP="007C2014">
      <w:pPr>
        <w:ind w:left="567"/>
      </w:pPr>
      <w:r>
        <w:t xml:space="preserve">Acting rationally is non-accidentally doing what you have a good justification for believing </w:t>
      </w:r>
      <w:r w:rsidR="00B068AD">
        <w:t>you have</w:t>
      </w:r>
      <w:r>
        <w:t xml:space="preserve"> sufficient reason</w:t>
      </w:r>
      <w:r w:rsidR="00B068AD">
        <w:t>s</w:t>
      </w:r>
      <w:r>
        <w:t xml:space="preserve"> to do. </w:t>
      </w:r>
      <w:r w:rsidR="00D71BBD">
        <w:t xml:space="preserve">Rational deliberation is deliberation that </w:t>
      </w:r>
      <w:r w:rsidR="00803EAF">
        <w:t xml:space="preserve">is </w:t>
      </w:r>
      <w:r w:rsidR="00D71BBD">
        <w:t xml:space="preserve">non-accidentally </w:t>
      </w:r>
      <w:r w:rsidR="00803EAF">
        <w:t>responsive to the evidence of the</w:t>
      </w:r>
      <w:r w:rsidR="00D71BBD">
        <w:t xml:space="preserve"> weights</w:t>
      </w:r>
      <w:r w:rsidR="00803EAF">
        <w:t xml:space="preserve"> of one’s reasons</w:t>
      </w:r>
      <w:r w:rsidR="00D71BBD">
        <w:t>.</w:t>
      </w:r>
    </w:p>
    <w:p w:rsidR="00C467E0" w:rsidRDefault="00C467E0" w:rsidP="00B04BCF">
      <w:r>
        <w:t xml:space="preserve">This sensibly allows that you can act rationally without actually going so far as to form beliefs about reasons. So it can count unreflective action as rational, as long as it is non-accidentally governed by dispositions of sensitivity to the evidence of your reasons. </w:t>
      </w:r>
      <w:r w:rsidR="00FA6283">
        <w:t xml:space="preserve">Likewise, rational deliberation does not need to involve thinking about all of the minor reasons that have some bearing on </w:t>
      </w:r>
      <w:r w:rsidR="0025533E">
        <w:t>your</w:t>
      </w:r>
      <w:r w:rsidR="00FA6283">
        <w:t xml:space="preserve"> action; but it needs to be deliberation which, again, is non-accidentally governed by dispositions of sensitivity to the evidence of your reasons.</w:t>
      </w:r>
      <w:r w:rsidR="00112FC1">
        <w:rPr>
          <w:rStyle w:val="EndnoteReference"/>
        </w:rPr>
        <w:endnoteReference w:id="10"/>
      </w:r>
      <w:r w:rsidR="00FA6283">
        <w:t xml:space="preserve"> </w:t>
      </w:r>
    </w:p>
    <w:p w:rsidR="00053849" w:rsidRDefault="00053849" w:rsidP="00B04BCF">
      <w:r>
        <w:lastRenderedPageBreak/>
        <w:tab/>
        <w:t xml:space="preserve">Judgements of rationality are evaluative: they are </w:t>
      </w:r>
      <w:r w:rsidR="009E2420">
        <w:t>a kind of judgement</w:t>
      </w:r>
      <w:r>
        <w:t xml:space="preserve"> of goodness </w:t>
      </w:r>
      <w:r w:rsidR="009E2420">
        <w:t>or</w:t>
      </w:r>
      <w:r>
        <w:t xml:space="preserve"> badness. </w:t>
      </w:r>
      <w:r w:rsidR="009E2420">
        <w:t xml:space="preserve">What such judgements evaluate, according to the Simple Picture, is </w:t>
      </w:r>
      <w:r>
        <w:t xml:space="preserve">the quality of our responsiveness to reasons. The proposal just offered retains this broad idea, but refines it. To appreciate the rationale for the refinement, we can ask: what are </w:t>
      </w:r>
      <w:r w:rsidRPr="00053849">
        <w:t>the standards for evaluating that responsiveness that there are good reasons for us to hold each other to</w:t>
      </w:r>
      <w:r>
        <w:t>?</w:t>
      </w:r>
      <w:r w:rsidR="00D42F1F">
        <w:rPr>
          <w:rStyle w:val="EndnoteReference"/>
        </w:rPr>
        <w:endnoteReference w:id="11"/>
      </w:r>
      <w:r>
        <w:t xml:space="preserve"> </w:t>
      </w:r>
      <w:r w:rsidR="007E0738">
        <w:t xml:space="preserve">What </w:t>
      </w:r>
      <w:r w:rsidR="009E2420">
        <w:t xml:space="preserve">standards </w:t>
      </w:r>
      <w:r w:rsidR="007E0738">
        <w:t xml:space="preserve">does it make sense to aspire to, to be disappointed at not meeting, to encourage others to improve themselves towards attaining, to regard as a measure of personal excellence or deficiency? If we compare, as answers to this question, the standard of perfect conformity with the reasons themselves, and the standard of non-accidental sensitivity to the evidence of the reasons, the latter is more reasonable. </w:t>
      </w:r>
      <w:r w:rsidR="0074306D">
        <w:t>The former is useless as an evaluative</w:t>
      </w:r>
      <w:r w:rsidR="006133FA">
        <w:t xml:space="preserve"> standard</w:t>
      </w:r>
      <w:r w:rsidR="0074306D">
        <w:t>, since adopting it</w:t>
      </w:r>
      <w:r w:rsidR="006133FA">
        <w:t xml:space="preserve"> </w:t>
      </w:r>
      <w:r w:rsidR="0074306D">
        <w:t>could not help to guide us to comply with it.</w:t>
      </w:r>
    </w:p>
    <w:p w:rsidR="00E924EC" w:rsidRDefault="00654A0B" w:rsidP="00B04BCF">
      <w:r>
        <w:tab/>
        <w:t>Can our proposal be improved further? We can consider three objections. First, some philosophers</w:t>
      </w:r>
      <w:r w:rsidR="009E2420">
        <w:t xml:space="preserve"> maintain</w:t>
      </w:r>
      <w:r>
        <w:t xml:space="preserve"> that the rationality of my action depends on my beliefs about the reasons, and not on the justification I have for such beliefs</w:t>
      </w:r>
      <w:r w:rsidR="009E2420">
        <w:t xml:space="preserve"> </w:t>
      </w:r>
      <w:r w:rsidR="009E2420">
        <w:fldChar w:fldCharType="begin"/>
      </w:r>
      <w:r w:rsidR="00FC7D72">
        <w:instrText xml:space="preserve"> ADDIN EN.CITE &lt;EndNote&gt;&lt;Cite&gt;&lt;Author&gt;Scanlon&lt;/Author&gt;&lt;Year&gt;1998&lt;/Year&gt;&lt;RecNum&gt;34&lt;/RecNum&gt;&lt;Suffix&gt;: 23&lt;/Suffix&gt;&lt;DisplayText&gt;(Scanlon 1998: 23; Kolodny 2005: 554)&lt;/DisplayText&gt;&lt;record&gt;&lt;rec-number&gt;34&lt;/rec-number&gt;&lt;foreign-keys&gt;&lt;key app="EN" db-id="9sxs5t2sazax96edvd3vvz52rp9t95vfpwrv"&gt;34&lt;/key&gt;&lt;/foreign-keys&gt;&lt;ref-type name="Book"&gt;6&lt;/ref-type&gt;&lt;contributors&gt;&lt;authors&gt;&lt;author&gt;Scanlon, T.M.&lt;/author&gt;&lt;/authors&gt;&lt;/contributors&gt;&lt;titles&gt;&lt;title&gt;What We Owe to Each Other&lt;/title&gt;&lt;/titles&gt;&lt;dates&gt;&lt;year&gt;1998&lt;/year&gt;&lt;/dates&gt;&lt;pub-location&gt;Cambridge, Mass.&lt;/pub-location&gt;&lt;publisher&gt;Harvard University Press&lt;/publisher&gt;&lt;urls&gt;&lt;/urls&gt;&lt;/record&gt;&lt;/Cite&gt;&lt;Cite&gt;&lt;Author&gt;Kolodny&lt;/Author&gt;&lt;Year&gt;2005&lt;/Year&gt;&lt;RecNum&gt;27&lt;/RecNum&gt;&lt;Suffix&gt;: 554&lt;/Suffix&gt;&lt;record&gt;&lt;rec-number&gt;27&lt;/rec-number&gt;&lt;foreign-keys&gt;&lt;key app="EN" db-id="sxsapx9pw5rxwbefvfzparttpws0dd22z9v5"&gt;27&lt;/key&gt;&lt;/foreign-keys&gt;&lt;ref-type name="Journal Article"&gt;17&lt;/ref-type&gt;&lt;contributors&gt;&lt;authors&gt;&lt;author&gt;Niko Kolodny&lt;/author&gt;&lt;/authors&gt;&lt;/contributors&gt;&lt;titles&gt;&lt;title&gt;Why be Rational?&lt;/title&gt;&lt;secondary-title&gt;Mind&lt;/secondary-title&gt;&lt;/titles&gt;&lt;periodical&gt;&lt;full-title&gt;Mind&lt;/full-title&gt;&lt;/periodical&gt;&lt;pages&gt;509-63&lt;/pages&gt;&lt;volume&gt;114&lt;/volume&gt;&lt;dates&gt;&lt;year&gt;2005&lt;/year&gt;&lt;/dates&gt;&lt;urls&gt;&lt;/urls&gt;&lt;/record&gt;&lt;/Cite&gt;&lt;/EndNote&gt;</w:instrText>
      </w:r>
      <w:r w:rsidR="009E2420">
        <w:fldChar w:fldCharType="separate"/>
      </w:r>
      <w:r w:rsidR="009E2420">
        <w:rPr>
          <w:noProof/>
        </w:rPr>
        <w:t>(</w:t>
      </w:r>
      <w:hyperlink w:anchor="_ENREF_29" w:tooltip="Scanlon, 1998 #34" w:history="1">
        <w:r w:rsidR="005809DA">
          <w:rPr>
            <w:noProof/>
          </w:rPr>
          <w:t>Scanlon 1998: 23</w:t>
        </w:r>
      </w:hyperlink>
      <w:r w:rsidR="009E2420">
        <w:rPr>
          <w:noProof/>
        </w:rPr>
        <w:t xml:space="preserve">; </w:t>
      </w:r>
      <w:hyperlink w:anchor="_ENREF_17" w:tooltip="Kolodny, 2005 #27" w:history="1">
        <w:r w:rsidR="005809DA">
          <w:rPr>
            <w:noProof/>
          </w:rPr>
          <w:t>Kolodny 2005: 554</w:t>
        </w:r>
      </w:hyperlink>
      <w:r w:rsidR="009E2420">
        <w:rPr>
          <w:noProof/>
        </w:rPr>
        <w:t>)</w:t>
      </w:r>
      <w:r w:rsidR="009E2420">
        <w:fldChar w:fldCharType="end"/>
      </w:r>
      <w:r>
        <w:t>. So if I form some wildly irrational belief</w:t>
      </w:r>
      <w:r w:rsidR="00665D81">
        <w:t xml:space="preserve"> about what I have sufficient reason</w:t>
      </w:r>
      <w:r w:rsidR="00B068AD">
        <w:t>s</w:t>
      </w:r>
      <w:r w:rsidR="00665D81">
        <w:t xml:space="preserve"> to do, and then do it, I thereby act rationally. </w:t>
      </w:r>
      <w:r w:rsidR="00E924EC">
        <w:t xml:space="preserve">What is irrational here is my belief, not my action: I am theoretically but not practically irrational. </w:t>
      </w:r>
      <w:r w:rsidR="00B812C7">
        <w:t>In support</w:t>
      </w:r>
      <w:r w:rsidR="00E924EC">
        <w:t xml:space="preserve"> of this, it can be pointed out that, having formed my irrational </w:t>
      </w:r>
      <w:proofErr w:type="gramStart"/>
      <w:r w:rsidR="00E924EC">
        <w:t>belief,</w:t>
      </w:r>
      <w:proofErr w:type="gramEnd"/>
      <w:r w:rsidR="00E924EC">
        <w:t xml:space="preserve"> the failure to act on it would be a further form of irrationality. I would </w:t>
      </w:r>
      <w:r w:rsidR="00AD61DE">
        <w:t xml:space="preserve">then </w:t>
      </w:r>
      <w:r w:rsidR="00E924EC">
        <w:t>be irrational both in the epistem</w:t>
      </w:r>
      <w:r w:rsidR="00AD61DE">
        <w:t>ic route to my normative belief</w:t>
      </w:r>
      <w:r w:rsidR="00E924EC">
        <w:t xml:space="preserve"> and the practical response to </w:t>
      </w:r>
      <w:r w:rsidR="00AD61DE">
        <w:t>it</w:t>
      </w:r>
      <w:r w:rsidR="00E924EC">
        <w:t>.</w:t>
      </w:r>
    </w:p>
    <w:p w:rsidR="00665D81" w:rsidRDefault="00665D81" w:rsidP="00B04BCF">
      <w:r>
        <w:tab/>
        <w:t xml:space="preserve">However, </w:t>
      </w:r>
      <w:r w:rsidR="00F56DA5">
        <w:t>that line of thought</w:t>
      </w:r>
      <w:r w:rsidR="009E2420">
        <w:t xml:space="preserve"> runs into the following problem</w:t>
      </w:r>
      <w:r>
        <w:t xml:space="preserve">. </w:t>
      </w:r>
      <w:r w:rsidR="00F56DA5">
        <w:t xml:space="preserve">It treats </w:t>
      </w:r>
      <w:r>
        <w:t xml:space="preserve">normative belief-formation as a process that is completed prior to supplying an input to </w:t>
      </w:r>
      <w:r w:rsidR="0025533E">
        <w:t>decision</w:t>
      </w:r>
      <w:r>
        <w:t>, with the rationality of action depending only on how one goes on to process that input</w:t>
      </w:r>
      <w:r w:rsidR="00F56DA5">
        <w:t>. But c</w:t>
      </w:r>
      <w:r>
        <w:t xml:space="preserve">ertain kinds of post-hoc rationalization do not fit that picture. Sometimes, the irrational determination to perform an action recruits normative thought to produce convenient </w:t>
      </w:r>
      <w:r>
        <w:lastRenderedPageBreak/>
        <w:t xml:space="preserve">judgements: you can convince yourself that it is wise to buy the motorbike that the glamorous sales assistant has skilfully insinuated as the cure to your mid-life anxieties. In this kind of case, your normative beliefs do not function as independently formed inputs to decision. The converse process is occurring: your irrational decision is shaping your normative thought. This makes it misleading to describe this as a case that combines theoretical irrationality with practical rationality. Here, your practical </w:t>
      </w:r>
      <w:r w:rsidRPr="006B7098">
        <w:rPr>
          <w:i/>
        </w:rPr>
        <w:t>ir</w:t>
      </w:r>
      <w:r>
        <w:t>rationality – your determination to press ahead with the action regardless of the reasons that really bear upon it – causes your theoretical irrationality. Thus, the conformity of one’s actions with one’s normative beliefs</w:t>
      </w:r>
      <w:r w:rsidR="00F56DA5">
        <w:t>, even if</w:t>
      </w:r>
      <w:r>
        <w:t xml:space="preserve"> </w:t>
      </w:r>
      <w:r w:rsidR="00F56DA5">
        <w:t xml:space="preserve">non-accidental, </w:t>
      </w:r>
      <w:r>
        <w:t xml:space="preserve">is not enough for practical rationality, since one distinctive form of practical </w:t>
      </w:r>
      <w:r w:rsidRPr="00055F11">
        <w:t>irrationality</w:t>
      </w:r>
      <w:r>
        <w:t xml:space="preserve"> is the determination to engineer just such an agreement, come what may. </w:t>
      </w:r>
      <w:r w:rsidR="00F56DA5">
        <w:t>This makes it preferable to stick with the more restrictive condition on rational action imposed in the proposal we have above.</w:t>
      </w:r>
    </w:p>
    <w:p w:rsidR="00F56DA5" w:rsidRDefault="00F56DA5" w:rsidP="00B04BCF">
      <w:r>
        <w:tab/>
        <w:t xml:space="preserve">The other two objections to this proposal, though, do force us to revise it. The second comes from cases that combine </w:t>
      </w:r>
      <w:proofErr w:type="spellStart"/>
      <w:r>
        <w:t>akrasia</w:t>
      </w:r>
      <w:proofErr w:type="spellEnd"/>
      <w:r>
        <w:t xml:space="preserve"> with instrumental incompetence. Sometimes (often?) our decisions are akratic. We believe we ought not to do something and decide to do it anyway.</w:t>
      </w:r>
      <w:r w:rsidR="00112FC1">
        <w:t xml:space="preserve"> Those decisions are irrational.</w:t>
      </w:r>
      <w:r w:rsidR="009E2420">
        <w:rPr>
          <w:rStyle w:val="EndnoteReference"/>
        </w:rPr>
        <w:endnoteReference w:id="12"/>
      </w:r>
      <w:r>
        <w:t xml:space="preserve"> But when we make them, incompetence in implementing them can amount to a further kind of irrationality. Suppose I can see that I ought not to chop down the tree in my garden, but akratically decide to do so. I might then pu</w:t>
      </w:r>
      <w:r w:rsidR="00E401A6">
        <w:t>rsue a ridiculous means – try</w:t>
      </w:r>
      <w:r>
        <w:t xml:space="preserve"> to chop </w:t>
      </w:r>
      <w:r w:rsidR="00E401A6">
        <w:t>it down with a knife and fail</w:t>
      </w:r>
      <w:r>
        <w:t xml:space="preserve">. Now I am doubly irrational, both in my akratic decision and my instrumental incompetence. I am less rational than an equally akratic but instrumentally competent person would have been. </w:t>
      </w:r>
      <w:r w:rsidR="00FA3C5C">
        <w:t xml:space="preserve">The proposal so far fails to </w:t>
      </w:r>
      <w:r>
        <w:t xml:space="preserve">recognize this. </w:t>
      </w:r>
      <w:r w:rsidR="00FA3C5C">
        <w:t>It makes deciding to chop down my tree with a knife no less rational than deciding</w:t>
      </w:r>
      <w:r w:rsidR="00BD2801">
        <w:t xml:space="preserve"> to chop it down with a chainsaw, since neither </w:t>
      </w:r>
      <w:r w:rsidR="009B4B28">
        <w:t>decision</w:t>
      </w:r>
      <w:r w:rsidR="00BD2801">
        <w:t xml:space="preserve"> would be responsive to the evidence of my reasons</w:t>
      </w:r>
      <w:r w:rsidR="006F40FE">
        <w:t xml:space="preserve">, which </w:t>
      </w:r>
      <w:r w:rsidR="009E2420">
        <w:t>tell me</w:t>
      </w:r>
      <w:r w:rsidR="006F40FE">
        <w:t xml:space="preserve"> not to chop it down.</w:t>
      </w:r>
      <w:r w:rsidR="00962A78">
        <w:t xml:space="preserve"> </w:t>
      </w:r>
    </w:p>
    <w:p w:rsidR="00D42F1F" w:rsidRPr="00C3503E" w:rsidRDefault="00D42F1F" w:rsidP="00B04BCF">
      <w:r>
        <w:lastRenderedPageBreak/>
        <w:tab/>
        <w:t xml:space="preserve">To solve that problem, we need to allow for the way in which it can make sense to evaluate </w:t>
      </w:r>
      <w:r w:rsidR="009B4B28">
        <w:t xml:space="preserve">instrumental deliberation as </w:t>
      </w:r>
      <w:r w:rsidR="005D21DC">
        <w:t xml:space="preserve">more or less </w:t>
      </w:r>
      <w:r w:rsidR="009B4B28">
        <w:t>rational</w:t>
      </w:r>
      <w:r>
        <w:t xml:space="preserve"> when it is not </w:t>
      </w:r>
      <w:r w:rsidR="009B4B28">
        <w:t xml:space="preserve">sensitive to the evidence of one’s </w:t>
      </w:r>
      <w:r>
        <w:t xml:space="preserve">reasons. To do so, we can say this. In a case like the one above, my incompetence has rescued me from my </w:t>
      </w:r>
      <w:proofErr w:type="spellStart"/>
      <w:r>
        <w:t>akrasia</w:t>
      </w:r>
      <w:proofErr w:type="spellEnd"/>
      <w:r>
        <w:t xml:space="preserve">. </w:t>
      </w:r>
      <w:proofErr w:type="gramStart"/>
      <w:r>
        <w:t>I have ended up doing what I ought</w:t>
      </w:r>
      <w:proofErr w:type="gramEnd"/>
      <w:r>
        <w:t xml:space="preserve"> – namely, not chopping down my tree. But I have done so through </w:t>
      </w:r>
      <w:r w:rsidRPr="00C3503E">
        <w:t xml:space="preserve">failing to exercise an important disposition – </w:t>
      </w:r>
      <w:r>
        <w:t>the</w:t>
      </w:r>
      <w:r w:rsidRPr="00C3503E">
        <w:t xml:space="preserve"> disposition to take </w:t>
      </w:r>
      <w:r>
        <w:t>evidently</w:t>
      </w:r>
      <w:r w:rsidRPr="00C3503E">
        <w:t xml:space="preserve"> suitable means to my intended ends</w:t>
      </w:r>
      <w:r>
        <w:t xml:space="preserve">. </w:t>
      </w:r>
      <w:r w:rsidR="00DF18C3">
        <w:t>It should matter to me that I strengthen this disposition, because of the importance that it has elsewhere: its</w:t>
      </w:r>
      <w:r w:rsidR="00DF18C3" w:rsidRPr="00C52B4D">
        <w:t xml:space="preserve"> </w:t>
      </w:r>
      <w:r w:rsidR="00DF18C3">
        <w:t>importance in enabling me to take the suitable means to the ends I do have good reasons to pursue. This disposition</w:t>
      </w:r>
      <w:r>
        <w:t xml:space="preserve"> is one of a family of dispositions that are important because of the role </w:t>
      </w:r>
      <w:r w:rsidRPr="00C3503E">
        <w:t xml:space="preserve">they play in thinking about and acting on our reasons. </w:t>
      </w:r>
      <w:r w:rsidR="00407D2D">
        <w:t>We</w:t>
      </w:r>
      <w:r w:rsidRPr="00C3503E">
        <w:t xml:space="preserve"> support </w:t>
      </w:r>
      <w:r w:rsidR="00407D2D">
        <w:t>these important dispositions b</w:t>
      </w:r>
      <w:r w:rsidRPr="00C3503E">
        <w:t xml:space="preserve">y </w:t>
      </w:r>
      <w:r w:rsidR="00407D2D">
        <w:t xml:space="preserve">evaluating patterns of thought </w:t>
      </w:r>
      <w:r w:rsidR="009B4B28">
        <w:t xml:space="preserve">as rational or irrational. </w:t>
      </w:r>
      <w:r w:rsidR="00DF18C3">
        <w:t>G</w:t>
      </w:r>
      <w:r w:rsidR="009B4B28">
        <w:t xml:space="preserve">iven this importance, it makes sense to apply those standards of evaluation </w:t>
      </w:r>
      <w:r w:rsidR="00407D2D">
        <w:t>to the relevant patterns of thought</w:t>
      </w:r>
      <w:r w:rsidR="009B4B28">
        <w:t xml:space="preserve"> </w:t>
      </w:r>
      <w:r w:rsidR="001C7925">
        <w:t xml:space="preserve">wherever we find them – </w:t>
      </w:r>
      <w:r w:rsidR="009B4B28">
        <w:t xml:space="preserve">in cases in which </w:t>
      </w:r>
      <w:r w:rsidR="001C7925">
        <w:t xml:space="preserve">a person is </w:t>
      </w:r>
      <w:r w:rsidR="00E401A6">
        <w:t xml:space="preserve">not responding to </w:t>
      </w:r>
      <w:r w:rsidR="001C7925">
        <w:t>her</w:t>
      </w:r>
      <w:r w:rsidR="00E401A6">
        <w:t xml:space="preserve"> reasons</w:t>
      </w:r>
      <w:r w:rsidR="001C7925">
        <w:t xml:space="preserve"> as well as those in which she is</w:t>
      </w:r>
      <w:r w:rsidRPr="00C3503E">
        <w:t xml:space="preserve">. </w:t>
      </w:r>
      <w:r>
        <w:t>To accommodate this point, we can revise our proposal as follows:</w:t>
      </w:r>
    </w:p>
    <w:p w:rsidR="00D42F1F" w:rsidRDefault="00D42F1F" w:rsidP="007C2014">
      <w:pPr>
        <w:ind w:left="567"/>
      </w:pPr>
      <w:r>
        <w:t xml:space="preserve">Acting rationally is non-accidentally doing what you have a good justification for believing </w:t>
      </w:r>
      <w:r w:rsidR="00B068AD">
        <w:t>you have</w:t>
      </w:r>
      <w:r>
        <w:t xml:space="preserve"> sufficient reason</w:t>
      </w:r>
      <w:r w:rsidR="00B068AD">
        <w:t>s</w:t>
      </w:r>
      <w:r>
        <w:t xml:space="preserve"> to do. </w:t>
      </w:r>
      <w:r w:rsidR="00BD2801">
        <w:t>D</w:t>
      </w:r>
      <w:r>
        <w:t xml:space="preserve">eliberation is </w:t>
      </w:r>
      <w:r w:rsidR="00BD2801">
        <w:t>rational to the extent that its</w:t>
      </w:r>
      <w:r>
        <w:t xml:space="preserve"> form </w:t>
      </w:r>
      <w:r w:rsidR="00BD2801">
        <w:t xml:space="preserve">is </w:t>
      </w:r>
      <w:r>
        <w:t>such that, when it is deliberation about reasons, it is non-accidentally responsive to the evidence of their weights.</w:t>
      </w:r>
    </w:p>
    <w:p w:rsidR="00F56DA5" w:rsidRPr="0083578B" w:rsidRDefault="00D42F1F" w:rsidP="00B04BCF">
      <w:r>
        <w:t>One such form of deliberation is working out the instrumentally efficient means to one’s ends. Taking obviously inefficient means to one’s ends can thereby count as irrational even when the ends, and therefore the means, are ones you can see that you lack good reasons for pursuing.</w:t>
      </w:r>
    </w:p>
    <w:p w:rsidR="006B7098" w:rsidRDefault="006B7098" w:rsidP="00B04BCF"/>
    <w:p w:rsidR="001E6722" w:rsidRPr="00EE008D" w:rsidRDefault="001E6722" w:rsidP="00EE008D">
      <w:pPr>
        <w:jc w:val="center"/>
        <w:rPr>
          <w:b/>
        </w:rPr>
      </w:pPr>
      <w:r w:rsidRPr="00EE008D">
        <w:rPr>
          <w:b/>
        </w:rPr>
        <w:lastRenderedPageBreak/>
        <w:t>VI: Reasons Not to Deliberate</w:t>
      </w:r>
    </w:p>
    <w:p w:rsidR="00D71BBD" w:rsidRDefault="00D71BBD" w:rsidP="00B04BCF"/>
    <w:p w:rsidR="00E62FB8" w:rsidRDefault="00945A96" w:rsidP="00B04BCF">
      <w:r>
        <w:t>The</w:t>
      </w:r>
      <w:r w:rsidR="00E62FB8">
        <w:t xml:space="preserve"> </w:t>
      </w:r>
      <w:r w:rsidR="00093EDA">
        <w:t>third objection to this proposal is more obvious. Sometimes,</w:t>
      </w:r>
      <w:r w:rsidR="00E62FB8">
        <w:t xml:space="preserve"> rationality requires you not to deliberate. When </w:t>
      </w:r>
      <w:r w:rsidR="00E61F5C">
        <w:t>what you should do</w:t>
      </w:r>
      <w:r w:rsidR="00E62FB8">
        <w:t xml:space="preserve"> is </w:t>
      </w:r>
      <w:r w:rsidR="00E61F5C">
        <w:t xml:space="preserve">obvious and </w:t>
      </w:r>
      <w:r w:rsidR="00E62FB8">
        <w:t xml:space="preserve">urgent, it can be irrational to </w:t>
      </w:r>
      <w:r w:rsidR="00E61F5C">
        <w:t>deliberate</w:t>
      </w:r>
      <w:r w:rsidR="00E62FB8">
        <w:t xml:space="preserve"> first. If someone collapses next to you at the bus stop, </w:t>
      </w:r>
      <w:r w:rsidR="00E61F5C">
        <w:t xml:space="preserve">pausing to </w:t>
      </w:r>
      <w:r w:rsidR="00E62FB8">
        <w:t xml:space="preserve">identify the reasons for and against helping and assigning weights to them would itself be irrational: the obvious reasons for helping straight away are obvious reasons against doing that. </w:t>
      </w:r>
    </w:p>
    <w:p w:rsidR="006C31FB" w:rsidRPr="00AF6EF1" w:rsidRDefault="003C3AF8" w:rsidP="00B04BCF">
      <w:r>
        <w:tab/>
      </w:r>
      <w:r w:rsidR="00A770B4">
        <w:t>That is one way</w:t>
      </w:r>
      <w:r w:rsidR="00E61F5C">
        <w:t xml:space="preserve"> in which </w:t>
      </w:r>
      <w:r w:rsidR="00A770B4" w:rsidRPr="00030F77">
        <w:t xml:space="preserve">thinking about your reasons can prevent you from conforming </w:t>
      </w:r>
      <w:proofErr w:type="gramStart"/>
      <w:r w:rsidR="00A770B4" w:rsidRPr="00030F77">
        <w:t>with</w:t>
      </w:r>
      <w:proofErr w:type="gramEnd"/>
      <w:r w:rsidR="00A770B4" w:rsidRPr="00030F77">
        <w:t xml:space="preserve"> them.</w:t>
      </w:r>
      <w:r w:rsidR="00A770B4">
        <w:t xml:space="preserve"> There are </w:t>
      </w:r>
      <w:r w:rsidR="00A770B4" w:rsidRPr="00030F77">
        <w:t>many kinds of performance – artistic, sporting, teaching, social, medical, military –</w:t>
      </w:r>
      <w:r w:rsidR="00A770B4">
        <w:t xml:space="preserve"> of which that is true. And beyond these, there are various further ways in which it can be true that we should not deliberate. In general, we seem not to be especially good at what psychologists call “reason-based choice” </w:t>
      </w:r>
      <w:r w:rsidR="00D63ACB">
        <w:fldChar w:fldCharType="begin"/>
      </w:r>
      <w:r w:rsidR="00D63ACB">
        <w:instrText xml:space="preserve"> ADDIN EN.CITE &lt;EndNote&gt;&lt;Cite&gt;&lt;Author&gt;Shafir&lt;/Author&gt;&lt;Year&gt;1993&lt;/Year&gt;&lt;RecNum&gt;23&lt;/RecNum&gt;&lt;DisplayText&gt;(Shafir, Simonson et al. 1993; Mellers, Schwartz et al. 1998)&lt;/DisplayText&gt;&lt;record&gt;&lt;rec-number&gt;23&lt;/rec-number&gt;&lt;foreign-keys&gt;&lt;key app="EN" db-id="sxsapx9pw5rxwbefvfzparttpws0dd22z9v5"&gt;23&lt;/key&gt;&lt;/foreign-keys&gt;&lt;ref-type name="Journal Article"&gt;17&lt;/ref-type&gt;&lt;contributors&gt;&lt;authors&gt;&lt;author&gt;Eldar Shafir&lt;/author&gt;&lt;author&gt;Itamar Simonson&lt;/author&gt;&lt;author&gt;Amos Tversky&lt;/author&gt;&lt;/authors&gt;&lt;/contributors&gt;&lt;titles&gt;&lt;title&gt;Reason-Based Choice&lt;/title&gt;&lt;secondary-title&gt;Cognition&lt;/secondary-title&gt;&lt;/titles&gt;&lt;periodical&gt;&lt;full-title&gt;Cognition&lt;/full-title&gt;&lt;/periodical&gt;&lt;pages&gt;11-36&lt;/pages&gt;&lt;volume&gt;49&lt;/volume&gt;&lt;dates&gt;&lt;year&gt;1993&lt;/year&gt;&lt;/dates&gt;&lt;urls&gt;&lt;/urls&gt;&lt;/record&gt;&lt;/Cite&gt;&lt;Cite&gt;&lt;Author&gt;Mellers&lt;/Author&gt;&lt;Year&gt;1998&lt;/Year&gt;&lt;RecNum&gt;24&lt;/RecNum&gt;&lt;record&gt;&lt;rec-number&gt;24&lt;/rec-number&gt;&lt;foreign-keys&gt;&lt;key app="EN" db-id="sxsapx9pw5rxwbefvfzparttpws0dd22z9v5"&gt;24&lt;/key&gt;&lt;/foreign-keys&gt;&lt;ref-type name="Journal Article"&gt;17&lt;/ref-type&gt;&lt;contributors&gt;&lt;authors&gt;&lt;author&gt;B. A. Mellers&lt;/author&gt;&lt;author&gt;A. Schwartz&lt;/author&gt;&lt;author&gt;A. D. J. Cooke&lt;/author&gt;&lt;/authors&gt;&lt;/contributors&gt;&lt;titles&gt;&lt;title&gt;Judgment and Decision Making&lt;/title&gt;&lt;secondary-title&gt;Annual Review of Psychology&lt;/secondary-title&gt;&lt;/titles&gt;&lt;periodical&gt;&lt;full-title&gt;Annual Review of Psychology&lt;/full-title&gt;&lt;/periodical&gt;&lt;pages&gt;447-477&lt;/pages&gt;&lt;volume&gt;49&lt;/volume&gt;&lt;dates&gt;&lt;year&gt;1998&lt;/year&gt;&lt;/dates&gt;&lt;urls&gt;&lt;/urls&gt;&lt;/record&gt;&lt;/Cite&gt;&lt;/EndNote&gt;</w:instrText>
      </w:r>
      <w:r w:rsidR="00D63ACB">
        <w:fldChar w:fldCharType="separate"/>
      </w:r>
      <w:r w:rsidR="00D63ACB">
        <w:rPr>
          <w:noProof/>
        </w:rPr>
        <w:t>(</w:t>
      </w:r>
      <w:hyperlink w:anchor="_ENREF_34" w:tooltip="Shafir, 1993 #23" w:history="1">
        <w:r w:rsidR="005809DA">
          <w:rPr>
            <w:noProof/>
          </w:rPr>
          <w:t>Shafir, Simonson et al. 1993</w:t>
        </w:r>
      </w:hyperlink>
      <w:r w:rsidR="00D63ACB">
        <w:rPr>
          <w:noProof/>
        </w:rPr>
        <w:t xml:space="preserve">; </w:t>
      </w:r>
      <w:hyperlink w:anchor="_ENREF_21" w:tooltip="Mellers, 1998 #24" w:history="1">
        <w:r w:rsidR="005809DA">
          <w:rPr>
            <w:noProof/>
          </w:rPr>
          <w:t>Mellers, Schwartz et al. 1998</w:t>
        </w:r>
      </w:hyperlink>
      <w:r w:rsidR="00D63ACB">
        <w:rPr>
          <w:noProof/>
        </w:rPr>
        <w:t>)</w:t>
      </w:r>
      <w:r w:rsidR="00D63ACB">
        <w:fldChar w:fldCharType="end"/>
      </w:r>
      <w:r w:rsidR="00395713">
        <w:t>,</w:t>
      </w:r>
      <w:r w:rsidR="00A770B4">
        <w:t xml:space="preserve"> so we are often better off making decisions by other methods.</w:t>
      </w:r>
      <w:r w:rsidR="00ED1F3C">
        <w:t xml:space="preserve"> </w:t>
      </w:r>
      <w:r w:rsidR="00E62FB8">
        <w:t xml:space="preserve">Sometimes, when we cannot help thinking about a fact, we should disregard its weight as a reason. </w:t>
      </w:r>
      <w:r w:rsidR="00F00842">
        <w:t>I</w:t>
      </w:r>
      <w:r w:rsidR="00030F77" w:rsidRPr="00030F77">
        <w:t xml:space="preserve">f you are a competitive athlete, it may make sense not to count the pain and discomfort experienced in training as reasons to stop, and instead simply obey your </w:t>
      </w:r>
      <w:r w:rsidR="00E61F5C">
        <w:t>coach</w:t>
      </w:r>
      <w:r w:rsidR="00030F77" w:rsidRPr="00030F77">
        <w:t xml:space="preserve">. </w:t>
      </w:r>
      <w:r w:rsidR="00E62FB8">
        <w:t xml:space="preserve">Here, </w:t>
      </w:r>
      <w:r w:rsidR="00E61F5C">
        <w:t>you may need</w:t>
      </w:r>
      <w:r w:rsidR="00E62FB8">
        <w:t xml:space="preserve"> </w:t>
      </w:r>
      <w:r w:rsidR="00030F77" w:rsidRPr="00030F77">
        <w:t xml:space="preserve">to combat </w:t>
      </w:r>
      <w:r w:rsidR="00E62FB8">
        <w:t>your</w:t>
      </w:r>
      <w:r w:rsidR="00030F77" w:rsidRPr="00030F77">
        <w:t xml:space="preserve"> tendency to </w:t>
      </w:r>
      <w:r w:rsidR="00E62FB8">
        <w:t xml:space="preserve">exaggerate the strength of </w:t>
      </w:r>
      <w:r w:rsidR="00E61F5C">
        <w:t>certain</w:t>
      </w:r>
      <w:r w:rsidR="00E62FB8">
        <w:t xml:space="preserve"> reasons by discounting them</w:t>
      </w:r>
      <w:r w:rsidR="00030F77" w:rsidRPr="00030F77">
        <w:t xml:space="preserve">. </w:t>
      </w:r>
      <w:r w:rsidR="00FC7D72">
        <w:t>Sometimes, there may be nothing wrong with thinking about a reason and its weight, but</w:t>
      </w:r>
      <w:r w:rsidR="00E62FB8">
        <w:t xml:space="preserve"> we </w:t>
      </w:r>
      <w:r w:rsidR="00FC7D72">
        <w:t xml:space="preserve">still </w:t>
      </w:r>
      <w:r w:rsidR="00E62FB8">
        <w:t>should</w:t>
      </w:r>
      <w:r w:rsidR="00030F77" w:rsidRPr="00030F77">
        <w:t xml:space="preserve"> not be </w:t>
      </w:r>
      <w:r w:rsidR="00030F77" w:rsidRPr="00E62FB8">
        <w:rPr>
          <w:iCs/>
        </w:rPr>
        <w:t>guided</w:t>
      </w:r>
      <w:r w:rsidR="00030F77" w:rsidRPr="00030F77">
        <w:rPr>
          <w:i/>
          <w:iCs/>
        </w:rPr>
        <w:t xml:space="preserve"> </w:t>
      </w:r>
      <w:r w:rsidR="00030F77" w:rsidRPr="00030F77">
        <w:t xml:space="preserve">by </w:t>
      </w:r>
      <w:r w:rsidR="00FC7D72">
        <w:t>it in acting</w:t>
      </w:r>
      <w:r w:rsidR="00D63ACB">
        <w:t xml:space="preserve"> </w:t>
      </w:r>
      <w:r w:rsidR="00D63ACB">
        <w:fldChar w:fldCharType="begin"/>
      </w:r>
      <w:r w:rsidR="005809DA">
        <w:instrText xml:space="preserve"> ADDIN EN.CITE &lt;EndNote&gt;&lt;Cite&gt;&lt;Author&gt;Raz&lt;/Author&gt;&lt;Year&gt;1999&lt;/Year&gt;&lt;RecNum&gt;11&lt;/RecNum&gt;&lt;Suffix&gt;: Ch. 1 and Postscript&lt;/Suffix&gt;&lt;DisplayText&gt;(Raz 1999: Ch. 1 and Postscript)&lt;/DisplayText&gt;&lt;record&gt;&lt;rec-number&gt;11&lt;/rec-number&gt;&lt;foreign-keys&gt;&lt;key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D63ACB">
        <w:fldChar w:fldCharType="separate"/>
      </w:r>
      <w:r w:rsidR="005809DA">
        <w:rPr>
          <w:noProof/>
        </w:rPr>
        <w:t>(</w:t>
      </w:r>
      <w:hyperlink w:anchor="_ENREF_24" w:tooltip="Raz, 1999 #11" w:history="1">
        <w:r w:rsidR="005809DA">
          <w:rPr>
            <w:noProof/>
          </w:rPr>
          <w:t>Raz 1999: Ch. 1 and Postscript</w:t>
        </w:r>
      </w:hyperlink>
      <w:r w:rsidR="005809DA">
        <w:rPr>
          <w:noProof/>
        </w:rPr>
        <w:t>)</w:t>
      </w:r>
      <w:r w:rsidR="00D63ACB">
        <w:fldChar w:fldCharType="end"/>
      </w:r>
      <w:r w:rsidR="00030F77" w:rsidRPr="00030F77">
        <w:t xml:space="preserve">. </w:t>
      </w:r>
      <w:r w:rsidR="00030F77" w:rsidRPr="00895DC4">
        <w:t>Acco</w:t>
      </w:r>
      <w:r w:rsidR="00E62FB8">
        <w:t>rding to Patricia Greenspan</w:t>
      </w:r>
      <w:r w:rsidR="003F07D2">
        <w:t xml:space="preserve"> </w:t>
      </w:r>
      <w:r w:rsidR="003F07D2">
        <w:fldChar w:fldCharType="begin"/>
      </w:r>
      <w:r w:rsidR="003F07D2">
        <w:instrText xml:space="preserve"> ADDIN EN.CITE &lt;EndNote&gt;&lt;Cite ExcludeAuth="1"&gt;&lt;Author&gt;Greenspan&lt;/Author&gt;&lt;Year&gt;2005&lt;/Year&gt;&lt;RecNum&gt;13&lt;/RecNum&gt;&lt;DisplayText&gt;(2005)&lt;/DisplayText&gt;&lt;record&gt;&lt;rec-number&gt;13&lt;/rec-number&gt;&lt;foreign-keys&gt;&lt;key app="EN" db-id="sxsapx9pw5rxwbefvfzparttpws0dd22z9v5"&gt;13&lt;/key&gt;&lt;/foreign-keys&gt;&lt;ref-type name="Book Section"&gt;5&lt;/ref-type&gt;&lt;contributors&gt;&lt;authors&gt;&lt;author&gt;Patricia Greenspan&lt;/author&gt;&lt;/authors&gt;&lt;secondary-authors&gt;&lt;author&gt;M. E. and J. C. Marek Reicher&lt;/author&gt;&lt;/secondary-authors&gt;&lt;/contributors&gt;&lt;titles&gt;&lt;title&gt;Asymmetrical Practical Reasons&lt;/title&gt;&lt;secondary-title&gt;Experience and Analysis: Proceedings of the 27th International Wittgenstein Symposium&lt;/secondary-title&gt;&lt;/titles&gt;&lt;pages&gt;115-22&lt;/pages&gt;&lt;dates&gt;&lt;year&gt;2005&lt;/year&gt;&lt;/dates&gt;&lt;pub-location&gt;Vienna&lt;/pub-location&gt;&lt;publisher&gt;oebv&amp;amp;hpt&lt;/publisher&gt;&lt;urls&gt;&lt;/urls&gt;&lt;/record&gt;&lt;/Cite&gt;&lt;/EndNote&gt;</w:instrText>
      </w:r>
      <w:r w:rsidR="003F07D2">
        <w:fldChar w:fldCharType="separate"/>
      </w:r>
      <w:r w:rsidR="003F07D2">
        <w:rPr>
          <w:noProof/>
        </w:rPr>
        <w:t>(</w:t>
      </w:r>
      <w:hyperlink w:anchor="_ENREF_12" w:tooltip="Greenspan, 2005 #13" w:history="1">
        <w:r w:rsidR="005809DA">
          <w:rPr>
            <w:noProof/>
          </w:rPr>
          <w:t>2005</w:t>
        </w:r>
      </w:hyperlink>
      <w:r w:rsidR="003F07D2">
        <w:rPr>
          <w:noProof/>
        </w:rPr>
        <w:t>)</w:t>
      </w:r>
      <w:r w:rsidR="003F07D2">
        <w:fldChar w:fldCharType="end"/>
      </w:r>
      <w:r w:rsidR="00E62FB8">
        <w:t xml:space="preserve">, some </w:t>
      </w:r>
      <w:r w:rsidR="00030F77" w:rsidRPr="00895DC4">
        <w:t>reasons permit (but do not require) us to leave other</w:t>
      </w:r>
      <w:r w:rsidR="00E62FB8">
        <w:t>s</w:t>
      </w:r>
      <w:r w:rsidR="00030F77" w:rsidRPr="00895DC4">
        <w:t xml:space="preserve"> out of our deliberation about what to do.</w:t>
      </w:r>
      <w:r w:rsidR="00895DC4" w:rsidRPr="00895DC4">
        <w:rPr>
          <w:rStyle w:val="EndnoteReference"/>
        </w:rPr>
        <w:endnoteReference w:id="13"/>
      </w:r>
      <w:r w:rsidR="00895DC4">
        <w:t xml:space="preserve"> </w:t>
      </w:r>
      <w:r w:rsidR="001C56BD">
        <w:t xml:space="preserve">As </w:t>
      </w:r>
      <w:proofErr w:type="spellStart"/>
      <w:r w:rsidR="001C56BD">
        <w:t>Nomy</w:t>
      </w:r>
      <w:proofErr w:type="spellEnd"/>
      <w:r w:rsidR="001C56BD">
        <w:t xml:space="preserve"> </w:t>
      </w:r>
      <w:proofErr w:type="spellStart"/>
      <w:r w:rsidR="001C56BD">
        <w:t>Arpaly</w:t>
      </w:r>
      <w:proofErr w:type="spellEnd"/>
      <w:r w:rsidR="001C56BD">
        <w:t xml:space="preserve"> points out, deliberation can be a way of talking yourself out of responding to what really is important</w:t>
      </w:r>
      <w:r w:rsidR="00D522A6">
        <w:t xml:space="preserve"> </w:t>
      </w:r>
      <w:r w:rsidR="00D522A6">
        <w:fldChar w:fldCharType="begin"/>
      </w:r>
      <w:r w:rsidR="00D522A6">
        <w:instrText xml:space="preserve"> ADDIN EN.CITE &lt;EndNote&gt;&lt;Cite ExcludeAuth="1"&gt;&lt;Author&gt;Arpaly&lt;/Author&gt;&lt;Year&gt;2003&lt;/Year&gt;&lt;RecNum&gt;14&lt;/RecNum&gt;&lt;Suffix&gt;: 25-9&lt;/Suffix&gt;&lt;DisplayText&gt;(2003: 25-9)&lt;/DisplayText&gt;&lt;record&gt;&lt;rec-number&gt;14&lt;/rec-number&gt;&lt;foreign-keys&gt;&lt;key app="EN" db-id="sxsapx9pw5rxwbefvfzparttpws0dd22z9v5"&gt;14&lt;/key&gt;&lt;/foreign-keys&gt;&lt;ref-type name="Book"&gt;6&lt;/ref-type&gt;&lt;contributors&gt;&lt;authors&gt;&lt;author&gt;Nomy Arpaly&lt;/author&gt;&lt;/authors&gt;&lt;/contributors&gt;&lt;titles&gt;&lt;title&gt;Unprincipled Virtue&lt;/title&gt;&lt;/titles&gt;&lt;dates&gt;&lt;year&gt;2003&lt;/year&gt;&lt;/dates&gt;&lt;pub-location&gt;New York&lt;/pub-location&gt;&lt;publisher&gt;Oxford University Press&lt;/publisher&gt;&lt;urls&gt;&lt;/urls&gt;&lt;/record&gt;&lt;/Cite&gt;&lt;/EndNote&gt;</w:instrText>
      </w:r>
      <w:r w:rsidR="00D522A6">
        <w:fldChar w:fldCharType="separate"/>
      </w:r>
      <w:r w:rsidR="00D522A6">
        <w:rPr>
          <w:noProof/>
        </w:rPr>
        <w:t>(</w:t>
      </w:r>
      <w:hyperlink w:anchor="_ENREF_1" w:tooltip="Arpaly, 2003 #14" w:history="1">
        <w:r w:rsidR="005809DA">
          <w:rPr>
            <w:noProof/>
          </w:rPr>
          <w:t>2003: 25-9</w:t>
        </w:r>
      </w:hyperlink>
      <w:r w:rsidR="00D522A6">
        <w:rPr>
          <w:noProof/>
        </w:rPr>
        <w:t>)</w:t>
      </w:r>
      <w:r w:rsidR="00D522A6">
        <w:fldChar w:fldCharType="end"/>
      </w:r>
      <w:r w:rsidR="001C56BD">
        <w:t xml:space="preserve">. </w:t>
      </w:r>
      <w:r w:rsidR="00E62FB8">
        <w:t>There can be circumstances in which you should not</w:t>
      </w:r>
      <w:r w:rsidR="00895DC4" w:rsidRPr="00AF6EF1">
        <w:t xml:space="preserve"> </w:t>
      </w:r>
      <w:r w:rsidR="00AF6EF1">
        <w:t>believe a proposition that is</w:t>
      </w:r>
      <w:r w:rsidR="00895DC4" w:rsidRPr="00AF6EF1">
        <w:t xml:space="preserve"> a reason</w:t>
      </w:r>
      <w:r w:rsidR="00AF6EF1">
        <w:t>; not believe that it is a reason</w:t>
      </w:r>
      <w:r w:rsidR="00895DC4" w:rsidRPr="00AF6EF1">
        <w:t>; believe falsely that it is not a reason;</w:t>
      </w:r>
      <w:r w:rsidR="006C31FB" w:rsidRPr="00AF6EF1">
        <w:rPr>
          <w:rStyle w:val="EndnoteReference"/>
        </w:rPr>
        <w:endnoteReference w:id="14"/>
      </w:r>
      <w:r w:rsidR="006C31FB" w:rsidRPr="00AF6EF1">
        <w:t xml:space="preserve"> and so on.</w:t>
      </w:r>
    </w:p>
    <w:p w:rsidR="00603A9D" w:rsidRDefault="00AF6EF1" w:rsidP="00B04BCF">
      <w:r>
        <w:lastRenderedPageBreak/>
        <w:tab/>
      </w:r>
      <w:r w:rsidR="00FA49A9">
        <w:t>That gives us</w:t>
      </w:r>
      <w:r>
        <w:t xml:space="preserve"> various different ways of “not deliberating”</w:t>
      </w:r>
      <w:r w:rsidR="00FA49A9">
        <w:t>,</w:t>
      </w:r>
      <w:r>
        <w:t xml:space="preserve"> </w:t>
      </w:r>
      <w:r w:rsidR="00945A96">
        <w:t>and</w:t>
      </w:r>
      <w:r w:rsidR="00053283">
        <w:t xml:space="preserve"> at least five different kinds of</w:t>
      </w:r>
      <w:r w:rsidR="00FA49A9">
        <w:t xml:space="preserve"> reasons for not doing so. </w:t>
      </w:r>
      <w:r w:rsidR="00945A96">
        <w:t>These can be reasons</w:t>
      </w:r>
      <w:r w:rsidR="00FA49A9">
        <w:t xml:space="preserve"> of </w:t>
      </w:r>
      <w:r w:rsidR="00053283">
        <w:t>(</w:t>
      </w:r>
      <w:proofErr w:type="spellStart"/>
      <w:r w:rsidR="00053283">
        <w:t>i</w:t>
      </w:r>
      <w:proofErr w:type="spellEnd"/>
      <w:r w:rsidR="00053283">
        <w:t xml:space="preserve">) </w:t>
      </w:r>
      <w:r w:rsidR="00FA49A9">
        <w:t xml:space="preserve">dominance, where </w:t>
      </w:r>
      <w:r>
        <w:t>one reason</w:t>
      </w:r>
      <w:r w:rsidR="00945A96">
        <w:t xml:space="preserve"> for action</w:t>
      </w:r>
      <w:r>
        <w:t xml:space="preserve"> </w:t>
      </w:r>
      <w:r w:rsidR="006C31FB">
        <w:t xml:space="preserve">is </w:t>
      </w:r>
      <w:r w:rsidRPr="00AF6EF1">
        <w:t xml:space="preserve">so </w:t>
      </w:r>
      <w:r w:rsidR="006C31FB">
        <w:t>obviously decisive</w:t>
      </w:r>
      <w:r w:rsidRPr="00AF6EF1">
        <w:t xml:space="preserve"> that it would be ridiculous for </w:t>
      </w:r>
      <w:r w:rsidR="006C31FB">
        <w:t>others</w:t>
      </w:r>
      <w:r w:rsidRPr="00AF6EF1">
        <w:t xml:space="preserve"> to feature in </w:t>
      </w:r>
      <w:r w:rsidR="006C31FB">
        <w:t>thinking about what to do</w:t>
      </w:r>
      <w:r w:rsidR="00053283">
        <w:t xml:space="preserve">; (ii) </w:t>
      </w:r>
      <w:r w:rsidR="00FA49A9">
        <w:t>non-disruption, where del</w:t>
      </w:r>
      <w:r w:rsidR="00603A9D">
        <w:t xml:space="preserve">iberation </w:t>
      </w:r>
      <w:r w:rsidR="00FA49A9">
        <w:t xml:space="preserve">would distract from fluent performance; </w:t>
      </w:r>
      <w:r w:rsidR="00053283">
        <w:t xml:space="preserve">(iii) </w:t>
      </w:r>
      <w:r w:rsidR="00FA49A9">
        <w:t xml:space="preserve">fallibility, </w:t>
      </w:r>
      <w:r w:rsidR="00603A9D">
        <w:t>where proneness to deliberative error makes non-deliberation a more reli</w:t>
      </w:r>
      <w:r w:rsidR="00FA49A9">
        <w:t xml:space="preserve">able way of acting as one ought; </w:t>
      </w:r>
      <w:r w:rsidR="00053283">
        <w:t xml:space="preserve">(iv) </w:t>
      </w:r>
      <w:r w:rsidR="00FA49A9">
        <w:t>obedience,</w:t>
      </w:r>
      <w:r w:rsidR="00603A9D">
        <w:t xml:space="preserve"> where non-deliberation is commanded by legitimate authorities</w:t>
      </w:r>
      <w:r w:rsidR="00945A96">
        <w:t>; or, more unusually,</w:t>
      </w:r>
      <w:r w:rsidR="00603A9D">
        <w:t xml:space="preserve"> </w:t>
      </w:r>
      <w:r w:rsidR="00053283">
        <w:t>(v)</w:t>
      </w:r>
      <w:r w:rsidR="00945A96">
        <w:t xml:space="preserve"> self-manipulation, where</w:t>
      </w:r>
      <w:r w:rsidR="00053283">
        <w:t xml:space="preserve"> </w:t>
      </w:r>
      <w:r w:rsidR="00603A9D">
        <w:t xml:space="preserve">large incentives </w:t>
      </w:r>
      <w:r w:rsidR="00E61F5C">
        <w:t>attach</w:t>
      </w:r>
      <w:r w:rsidR="00603A9D">
        <w:t xml:space="preserve"> to deliberation itself rather than the resulting action. </w:t>
      </w:r>
      <w:r w:rsidR="00FA49A9">
        <w:t xml:space="preserve">In cases of each of these kinds, </w:t>
      </w:r>
      <w:r w:rsidR="00603A9D">
        <w:t xml:space="preserve">saying that one should not deliberate could mean </w:t>
      </w:r>
      <w:r w:rsidR="00FA49A9">
        <w:t>one of two things. It could mean</w:t>
      </w:r>
      <w:r w:rsidR="00603A9D">
        <w:t xml:space="preserve"> that there are decisive objective reasons against deliberating</w:t>
      </w:r>
      <w:r w:rsidR="00FA49A9">
        <w:t xml:space="preserve">. Or, when </w:t>
      </w:r>
      <w:r w:rsidR="00053283">
        <w:t>the evidence of such</w:t>
      </w:r>
      <w:r w:rsidR="00FA49A9">
        <w:t xml:space="preserve"> reasons </w:t>
      </w:r>
      <w:r w:rsidR="00053283">
        <w:t>is powerful</w:t>
      </w:r>
      <w:r w:rsidR="00FA49A9">
        <w:t xml:space="preserve"> enough, </w:t>
      </w:r>
      <w:r w:rsidR="00E61F5C">
        <w:t>it</w:t>
      </w:r>
      <w:r w:rsidR="00FA49A9">
        <w:t xml:space="preserve"> could mean </w:t>
      </w:r>
      <w:r w:rsidR="00603A9D">
        <w:t xml:space="preserve">that it would be irrational to </w:t>
      </w:r>
      <w:r w:rsidR="00E61F5C">
        <w:t>deliberate</w:t>
      </w:r>
      <w:r w:rsidR="00603A9D">
        <w:t>.</w:t>
      </w:r>
      <w:r w:rsidR="00053283">
        <w:rPr>
          <w:rStyle w:val="EndnoteReference"/>
        </w:rPr>
        <w:endnoteReference w:id="15"/>
      </w:r>
      <w:r w:rsidR="00603A9D">
        <w:t xml:space="preserve"> </w:t>
      </w:r>
      <w:r w:rsidR="00E61F5C">
        <w:t>Cases of the latter sort</w:t>
      </w:r>
      <w:r w:rsidR="00FA49A9">
        <w:t xml:space="preserve"> are counterexamples to the account of rational deliberation we have arrived at so far.</w:t>
      </w:r>
    </w:p>
    <w:p w:rsidR="00FA49A9" w:rsidRDefault="00603A9D" w:rsidP="00B04BCF">
      <w:r>
        <w:tab/>
        <w:t>It would be possible to add further complexi</w:t>
      </w:r>
      <w:r w:rsidR="00FA49A9">
        <w:t>ty to this picture. But instead</w:t>
      </w:r>
      <w:r>
        <w:t xml:space="preserve">, it </w:t>
      </w:r>
      <w:r w:rsidR="00FA49A9">
        <w:t>is</w:t>
      </w:r>
      <w:r>
        <w:t xml:space="preserve"> more helpful </w:t>
      </w:r>
      <w:r w:rsidR="00FA49A9">
        <w:t>to look at</w:t>
      </w:r>
      <w:r>
        <w:t xml:space="preserve"> the common pattern.</w:t>
      </w:r>
      <w:r w:rsidR="00933F8F">
        <w:t xml:space="preserve"> The key to doing that lies in the observation: </w:t>
      </w:r>
      <w:r w:rsidR="00FA49A9">
        <w:t>deliberative</w:t>
      </w:r>
      <w:r w:rsidR="00933F8F">
        <w:t xml:space="preserve"> thought a</w:t>
      </w:r>
      <w:r w:rsidR="00FA49A9">
        <w:t xml:space="preserve">bout one’s practical reasons is itself a kind of action </w:t>
      </w:r>
      <w:r w:rsidR="00933F8F">
        <w:t xml:space="preserve">on which practical reasons bear, for and against. Given this, everything we say about reasons for action and the rationality of action can be applied to </w:t>
      </w:r>
      <w:r w:rsidR="00FA49A9">
        <w:t>deliberation as well</w:t>
      </w:r>
      <w:r w:rsidR="00933F8F">
        <w:t xml:space="preserve">. The fact that </w:t>
      </w:r>
      <w:r w:rsidR="00FA49A9">
        <w:t>an action</w:t>
      </w:r>
      <w:r w:rsidR="00933F8F">
        <w:t xml:space="preserve"> would be time-wasting, or distracting, or counterproductive, or </w:t>
      </w:r>
      <w:r w:rsidR="00FA49A9">
        <w:t xml:space="preserve">disobedient, or </w:t>
      </w:r>
      <w:r w:rsidR="00933F8F">
        <w:t xml:space="preserve">would attract an externally imposed penalty, can provide us with a decisive reason against </w:t>
      </w:r>
      <w:r w:rsidR="00E61F5C">
        <w:t>it. T</w:t>
      </w:r>
      <w:r w:rsidR="00FA49A9">
        <w:t>hat can apply to actions of deliberating, just as it does to actions of other kinds.</w:t>
      </w:r>
    </w:p>
    <w:p w:rsidR="00E74888" w:rsidRDefault="00221402" w:rsidP="00B04BCF">
      <w:r>
        <w:tab/>
        <w:t xml:space="preserve">The upshot, I suggest, is this. When we give an account of rational deliberation, it needs two parts. Deliberation needs to be rational in its </w:t>
      </w:r>
      <w:r>
        <w:rPr>
          <w:i/>
        </w:rPr>
        <w:t>form</w:t>
      </w:r>
      <w:r>
        <w:t xml:space="preserve">, and that is what the description of deliberative rationality in Section V </w:t>
      </w:r>
      <w:r w:rsidR="00053283">
        <w:t>tries</w:t>
      </w:r>
      <w:r>
        <w:t xml:space="preserve"> to capture. But it also needs to be rational as an </w:t>
      </w:r>
      <w:r>
        <w:lastRenderedPageBreak/>
        <w:t xml:space="preserve">activity, and that means satisfying same conditions as any other rational action. </w:t>
      </w:r>
      <w:r w:rsidR="00053283">
        <w:t>To accommodate this, we need to make</w:t>
      </w:r>
      <w:r>
        <w:t xml:space="preserve"> one </w:t>
      </w:r>
      <w:r w:rsidR="00053283">
        <w:t>last</w:t>
      </w:r>
      <w:r>
        <w:t xml:space="preserve"> modification to our account, as follows:</w:t>
      </w:r>
    </w:p>
    <w:p w:rsidR="00D522A6" w:rsidRDefault="00D522A6" w:rsidP="007C2014">
      <w:pPr>
        <w:ind w:left="567"/>
      </w:pPr>
      <w:r>
        <w:t xml:space="preserve">Acting rationally is non-accidentally doing what you have a good justification for believing </w:t>
      </w:r>
      <w:r w:rsidR="00B068AD">
        <w:t>you have</w:t>
      </w:r>
      <w:r>
        <w:t xml:space="preserve"> sufficient reason to do. </w:t>
      </w:r>
      <w:r w:rsidR="00FA3C5C">
        <w:t>D</w:t>
      </w:r>
      <w:r>
        <w:t xml:space="preserve">eliberation is </w:t>
      </w:r>
      <w:r w:rsidR="00FA3C5C">
        <w:t>rational to the extent that (</w:t>
      </w:r>
      <w:proofErr w:type="spellStart"/>
      <w:r w:rsidR="00FA3C5C">
        <w:t>i</w:t>
      </w:r>
      <w:proofErr w:type="spellEnd"/>
      <w:r w:rsidR="00FA3C5C">
        <w:t>) the action of deliberating is rational and (ii) it has</w:t>
      </w:r>
      <w:r>
        <w:t xml:space="preserve"> a form such that, when it is deliberation about reasons, it is non-accidentally responsive to the evidence of their weights.</w:t>
      </w:r>
      <w:r w:rsidR="00395713">
        <w:rPr>
          <w:rStyle w:val="EndnoteReference"/>
        </w:rPr>
        <w:endnoteReference w:id="16"/>
      </w:r>
    </w:p>
    <w:p w:rsidR="00221402" w:rsidRDefault="00221402" w:rsidP="00B04BCF"/>
    <w:p w:rsidR="00E74888" w:rsidRPr="00EE008D" w:rsidRDefault="00E74888" w:rsidP="00EE008D">
      <w:pPr>
        <w:jc w:val="center"/>
        <w:rPr>
          <w:b/>
        </w:rPr>
      </w:pPr>
      <w:r w:rsidRPr="00EE008D">
        <w:rPr>
          <w:b/>
        </w:rPr>
        <w:t xml:space="preserve">VII: </w:t>
      </w:r>
      <w:r w:rsidR="00D16071" w:rsidRPr="00EE008D">
        <w:rPr>
          <w:b/>
        </w:rPr>
        <w:t>Exclusionary Reasons</w:t>
      </w:r>
    </w:p>
    <w:p w:rsidR="00E74888" w:rsidRDefault="00E74888" w:rsidP="00B04BCF"/>
    <w:p w:rsidR="003D21BB" w:rsidRDefault="00470919" w:rsidP="00B04BCF">
      <w:r>
        <w:t xml:space="preserve">An </w:t>
      </w:r>
      <w:r w:rsidR="00776799">
        <w:t>“</w:t>
      </w:r>
      <w:r>
        <w:t>exclusionary reason</w:t>
      </w:r>
      <w:r w:rsidR="00776799">
        <w:t>”</w:t>
      </w:r>
      <w:r>
        <w:t xml:space="preserve"> is</w:t>
      </w:r>
      <w:r w:rsidR="00B02C36">
        <w:t xml:space="preserve"> </w:t>
      </w:r>
      <w:r w:rsidR="00776799">
        <w:t xml:space="preserve">Joseph </w:t>
      </w:r>
      <w:proofErr w:type="spellStart"/>
      <w:r w:rsidR="00776799">
        <w:t>Raz’s</w:t>
      </w:r>
      <w:proofErr w:type="spellEnd"/>
      <w:r w:rsidR="00776799">
        <w:t xml:space="preserve"> name for </w:t>
      </w:r>
      <w:r w:rsidR="00B02C36">
        <w:t xml:space="preserve">a reason not to be guided by </w:t>
      </w:r>
      <w:r>
        <w:t>a reason for or against an action</w:t>
      </w:r>
      <w:r w:rsidR="00B02C36">
        <w:t xml:space="preserve">. </w:t>
      </w:r>
      <w:r w:rsidR="00A842DB">
        <w:t xml:space="preserve">An exclusionary reason is not a reason against thinking about some practical reason, believing that it is a reason, or drawing conclusions about what it supports. It is a reason against </w:t>
      </w:r>
      <w:r w:rsidR="00A842DB">
        <w:rPr>
          <w:i/>
        </w:rPr>
        <w:t>acting for</w:t>
      </w:r>
      <w:r w:rsidR="00A842DB">
        <w:t xml:space="preserve"> the reason it excludes.</w:t>
      </w:r>
      <w:r w:rsidR="00D924D6">
        <w:rPr>
          <w:rStyle w:val="EndnoteReference"/>
        </w:rPr>
        <w:endnoteReference w:id="17"/>
      </w:r>
      <w:r w:rsidR="00A842DB">
        <w:t xml:space="preserve"> </w:t>
      </w:r>
      <w:r w:rsidR="00776799">
        <w:t>There do seem to be</w:t>
      </w:r>
      <w:r w:rsidR="00B02C36">
        <w:t xml:space="preserve"> </w:t>
      </w:r>
      <w:r w:rsidR="00A842DB">
        <w:t xml:space="preserve">exclusionary </w:t>
      </w:r>
      <w:r w:rsidR="00B02C36">
        <w:t>reasons. The</w:t>
      </w:r>
      <w:r w:rsidR="00776799">
        <w:t xml:space="preserve"> two most obvious kinds </w:t>
      </w:r>
      <w:r w:rsidR="00A842DB">
        <w:t xml:space="preserve">of example come from </w:t>
      </w:r>
      <w:r w:rsidR="00B02C36">
        <w:t xml:space="preserve">self-mistrust, when </w:t>
      </w:r>
      <w:r>
        <w:t xml:space="preserve">guiding your action by </w:t>
      </w:r>
      <w:r w:rsidR="007511E9">
        <w:t>some important</w:t>
      </w:r>
      <w:r w:rsidR="00B02C36">
        <w:t xml:space="preserve"> reason</w:t>
      </w:r>
      <w:r>
        <w:t xml:space="preserve"> </w:t>
      </w:r>
      <w:r w:rsidR="00776799">
        <w:t>risks disaster</w:t>
      </w:r>
      <w:r w:rsidR="00A842DB">
        <w:t>;</w:t>
      </w:r>
      <w:r w:rsidR="00B02C36">
        <w:t xml:space="preserve"> </w:t>
      </w:r>
      <w:r w:rsidR="007511E9">
        <w:t>and obedience, when</w:t>
      </w:r>
      <w:r w:rsidR="00B02C36">
        <w:t xml:space="preserve"> some other person or institution </w:t>
      </w:r>
      <w:r w:rsidR="007511E9">
        <w:t>has</w:t>
      </w:r>
      <w:r w:rsidR="00B02C36">
        <w:t xml:space="preserve"> the authority to instruct you </w:t>
      </w:r>
      <w:r w:rsidR="007511E9">
        <w:t>how</w:t>
      </w:r>
      <w:r w:rsidR="00B02C36">
        <w:t xml:space="preserve"> to guide your action.</w:t>
      </w:r>
      <w:r>
        <w:rPr>
          <w:rStyle w:val="EndnoteReference"/>
        </w:rPr>
        <w:endnoteReference w:id="18"/>
      </w:r>
      <w:r>
        <w:t xml:space="preserve"> </w:t>
      </w:r>
    </w:p>
    <w:p w:rsidR="008140E7" w:rsidRDefault="003D21BB" w:rsidP="00B04BCF">
      <w:r>
        <w:tab/>
      </w:r>
      <w:r w:rsidR="007171C2">
        <w:t xml:space="preserve">According to </w:t>
      </w:r>
      <w:proofErr w:type="spellStart"/>
      <w:r w:rsidR="007171C2">
        <w:t>Raz</w:t>
      </w:r>
      <w:proofErr w:type="spellEnd"/>
      <w:r w:rsidR="007171C2">
        <w:t>,</w:t>
      </w:r>
      <w:r>
        <w:t xml:space="preserve"> the </w:t>
      </w:r>
      <w:r w:rsidR="008140E7">
        <w:t xml:space="preserve">existence of exclusionary reasons </w:t>
      </w:r>
      <w:r>
        <w:t>provides another objection to</w:t>
      </w:r>
      <w:r w:rsidR="008140E7">
        <w:t xml:space="preserve"> </w:t>
      </w:r>
      <w:r w:rsidR="00813AA8">
        <w:t>the Simple Picture</w:t>
      </w:r>
      <w:r w:rsidR="007C2014">
        <w:t xml:space="preserve">: we should reject </w:t>
      </w:r>
      <w:r w:rsidR="007C2014" w:rsidRPr="005913A4">
        <w:t>the principle that “</w:t>
      </w:r>
      <w:r w:rsidR="007C2014">
        <w:t>[</w:t>
      </w:r>
      <w:proofErr w:type="spellStart"/>
      <w:r w:rsidR="007C2014">
        <w:t>i</w:t>
      </w:r>
      <w:proofErr w:type="spellEnd"/>
      <w:r w:rsidR="007C2014">
        <w:t>]</w:t>
      </w:r>
      <w:r w:rsidR="007C2014" w:rsidRPr="005913A4">
        <w:t>t is always the case that one ought, all things considered, to do whatever one ought to do on the balance of reasons.”</w:t>
      </w:r>
      <w:r w:rsidR="007C2014">
        <w:t xml:space="preserve"> </w:t>
      </w:r>
      <w:r w:rsidR="00D924D6">
        <w:fldChar w:fldCharType="begin"/>
      </w:r>
      <w:r w:rsidR="00D924D6">
        <w:instrText xml:space="preserve"> ADDIN EN.CITE &lt;EndNote&gt;&lt;Cite ExcludeAuth="1"&gt;&lt;Author&gt;Raz&lt;/Author&gt;&lt;Year&gt;1999&lt;/Year&gt;&lt;RecNum&gt;11&lt;/RecNum&gt;&lt;Suffix&gt;: 36&lt;/Suffix&gt;&lt;DisplayText&gt;(1999: 36)&lt;/DisplayText&gt;&lt;record&gt;&lt;rec-number&gt;11&lt;/rec-number&gt;&lt;foreign-keys&gt;&lt;key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D924D6">
        <w:fldChar w:fldCharType="separate"/>
      </w:r>
      <w:r w:rsidR="00D924D6">
        <w:rPr>
          <w:noProof/>
        </w:rPr>
        <w:t>(</w:t>
      </w:r>
      <w:hyperlink w:anchor="_ENREF_24" w:tooltip="Raz, 1999 #11" w:history="1">
        <w:r w:rsidR="005809DA">
          <w:rPr>
            <w:noProof/>
          </w:rPr>
          <w:t>1999: 36</w:t>
        </w:r>
      </w:hyperlink>
      <w:r w:rsidR="00D924D6">
        <w:rPr>
          <w:noProof/>
        </w:rPr>
        <w:t>)</w:t>
      </w:r>
      <w:r w:rsidR="00D924D6">
        <w:fldChar w:fldCharType="end"/>
      </w:r>
      <w:r w:rsidR="00D924D6">
        <w:t xml:space="preserve"> </w:t>
      </w:r>
      <w:r>
        <w:t xml:space="preserve">We have already </w:t>
      </w:r>
      <w:r w:rsidR="007C2014">
        <w:t xml:space="preserve">examined one way of doubting that principle: you might be dubious about the idea that practical reasons have a single dimension of strength. However, </w:t>
      </w:r>
      <w:proofErr w:type="spellStart"/>
      <w:r w:rsidR="007C2014">
        <w:t>Raz</w:t>
      </w:r>
      <w:proofErr w:type="spellEnd"/>
      <w:r w:rsidR="007C2014">
        <w:t xml:space="preserve"> accepts that idea. Instead</w:t>
      </w:r>
      <w:r w:rsidR="005B4DE1">
        <w:t>, he maintains that “[</w:t>
      </w:r>
      <w:proofErr w:type="spellStart"/>
      <w:r w:rsidR="005B4DE1">
        <w:t>i</w:t>
      </w:r>
      <w:proofErr w:type="spellEnd"/>
      <w:r w:rsidR="005B4DE1">
        <w:t>]</w:t>
      </w:r>
      <w:r w:rsidR="005B4DE1" w:rsidRPr="005913A4">
        <w:t>t is always the case that one ought, all things considered, to act for an undefeated reason</w:t>
      </w:r>
      <w:r w:rsidR="005B4DE1">
        <w:t xml:space="preserve">” </w:t>
      </w:r>
      <w:r w:rsidR="005B4DE1">
        <w:fldChar w:fldCharType="begin"/>
      </w:r>
      <w:r w:rsidR="005B4DE1">
        <w:instrText xml:space="preserve"> ADDIN EN.CITE &lt;EndNote&gt;&lt;Cite ExcludeAuth="1"&gt;&lt;Author&gt;Raz&lt;/Author&gt;&lt;Year&gt;1999&lt;/Year&gt;&lt;RecNum&gt;11&lt;/RecNum&gt;&lt;Suffix&gt;: 40&lt;/Suffix&gt;&lt;DisplayText&gt;(1999: 40)&lt;/DisplayText&gt;&lt;record&gt;&lt;rec-number&gt;11&lt;/rec-number&gt;&lt;foreign-keys&gt;&lt;key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5B4DE1">
        <w:fldChar w:fldCharType="separate"/>
      </w:r>
      <w:r w:rsidR="005B4DE1">
        <w:rPr>
          <w:noProof/>
        </w:rPr>
        <w:t>(</w:t>
      </w:r>
      <w:hyperlink w:anchor="_ENREF_24" w:tooltip="Raz, 1999 #11" w:history="1">
        <w:r w:rsidR="005809DA">
          <w:rPr>
            <w:noProof/>
          </w:rPr>
          <w:t>1999: 40</w:t>
        </w:r>
      </w:hyperlink>
      <w:r w:rsidR="005B4DE1">
        <w:rPr>
          <w:noProof/>
        </w:rPr>
        <w:t>)</w:t>
      </w:r>
      <w:r w:rsidR="005B4DE1">
        <w:fldChar w:fldCharType="end"/>
      </w:r>
      <w:r w:rsidR="005B4DE1">
        <w:t xml:space="preserve">, and he makes a distinction between two ways in </w:t>
      </w:r>
      <w:r w:rsidR="005B4DE1">
        <w:lastRenderedPageBreak/>
        <w:t xml:space="preserve">which a reason for action can be defeated. </w:t>
      </w:r>
      <w:r w:rsidR="00342060">
        <w:t xml:space="preserve">One way is by being outweighed by a stronger reason against the action; another is to be </w:t>
      </w:r>
      <w:r w:rsidR="00342060" w:rsidRPr="005913A4">
        <w:t xml:space="preserve">excluded </w:t>
      </w:r>
      <w:r w:rsidR="00342060">
        <w:t xml:space="preserve">by an undefeated exclusionary reason. </w:t>
      </w:r>
      <w:r w:rsidR="005B4DE1">
        <w:t>To be an exclusionary reason is not itself to be a direct first-order reason for or against action</w:t>
      </w:r>
      <w:r w:rsidR="007171C2">
        <w:t>,</w:t>
      </w:r>
      <w:r w:rsidR="005B4DE1">
        <w:t xml:space="preserve"> so exclusionary reasons leave the balance of first-order reasons unaffected. They do not outweigh the reasons they exclude; but they defeat them, and thereby affect what you ou</w:t>
      </w:r>
      <w:r w:rsidR="00342060">
        <w:t>ght to do all things considered.</w:t>
      </w:r>
    </w:p>
    <w:p w:rsidR="005913A4" w:rsidRDefault="008140E7" w:rsidP="00B04BCF">
      <w:r>
        <w:tab/>
      </w:r>
      <w:r w:rsidR="00B02C36">
        <w:t xml:space="preserve">To </w:t>
      </w:r>
      <w:r w:rsidR="00342060">
        <w:t>illustrate this</w:t>
      </w:r>
      <w:r w:rsidR="00B02C36">
        <w:t xml:space="preserve">, </w:t>
      </w:r>
      <w:r>
        <w:t>we can consider one of his</w:t>
      </w:r>
      <w:r w:rsidR="00B02C36">
        <w:t xml:space="preserve"> </w:t>
      </w:r>
      <w:r w:rsidR="007511E9">
        <w:t>obedience</w:t>
      </w:r>
      <w:r w:rsidR="00B02C36">
        <w:t>-</w:t>
      </w:r>
      <w:r>
        <w:t>examples</w:t>
      </w:r>
      <w:r w:rsidR="00B02C36">
        <w:t>.</w:t>
      </w:r>
      <w:r>
        <w:t xml:space="preserve"> Jeremy, a</w:t>
      </w:r>
      <w:r w:rsidR="00780412">
        <w:t xml:space="preserve"> soldier</w:t>
      </w:r>
      <w:r w:rsidR="00D16071">
        <w:t>, i</w:t>
      </w:r>
      <w:r w:rsidR="00780412">
        <w:t xml:space="preserve">s ordered </w:t>
      </w:r>
      <w:r w:rsidR="00780412" w:rsidRPr="007E11CA">
        <w:t xml:space="preserve">by his </w:t>
      </w:r>
      <w:r w:rsidR="00780412">
        <w:t>command</w:t>
      </w:r>
      <w:r w:rsidR="00776799">
        <w:t>er</w:t>
      </w:r>
      <w:r w:rsidR="00780412">
        <w:t xml:space="preserve"> to appropriate</w:t>
      </w:r>
      <w:r w:rsidR="00780412" w:rsidRPr="007E11CA">
        <w:t xml:space="preserve"> a </w:t>
      </w:r>
      <w:r w:rsidR="00780412">
        <w:t xml:space="preserve">tradesman’s </w:t>
      </w:r>
      <w:r w:rsidR="00780412" w:rsidRPr="007E11CA">
        <w:t>van</w:t>
      </w:r>
      <w:r w:rsidR="003D21BB">
        <w:t xml:space="preserve"> </w:t>
      </w:r>
      <w:r w:rsidR="003D21BB">
        <w:fldChar w:fldCharType="begin"/>
      </w:r>
      <w:r w:rsidR="007171C2">
        <w:instrText xml:space="preserve"> ADDIN EN.CITE &lt;EndNote&gt;&lt;Cite ExcludeAuth="1"&gt;&lt;Author&gt;Raz&lt;/Author&gt;&lt;Year&gt;1999&lt;/Year&gt;&lt;RecNum&gt;11&lt;/RecNum&gt;&lt;Suffix&gt;: 38&lt;/Suffix&gt;&lt;DisplayText&gt;(1999: 38)&lt;/DisplayText&gt;&lt;record&gt;&lt;rec-number&gt;11&lt;/rec-number&gt;&lt;foreign-keys&gt;&lt;key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3D21BB">
        <w:fldChar w:fldCharType="separate"/>
      </w:r>
      <w:r w:rsidR="007171C2">
        <w:rPr>
          <w:noProof/>
        </w:rPr>
        <w:t>(</w:t>
      </w:r>
      <w:hyperlink w:anchor="_ENREF_24" w:tooltip="Raz, 1999 #11" w:history="1">
        <w:r w:rsidR="005809DA">
          <w:rPr>
            <w:noProof/>
          </w:rPr>
          <w:t>1999: 38</w:t>
        </w:r>
      </w:hyperlink>
      <w:r w:rsidR="007171C2">
        <w:rPr>
          <w:noProof/>
        </w:rPr>
        <w:t>)</w:t>
      </w:r>
      <w:r w:rsidR="003D21BB">
        <w:fldChar w:fldCharType="end"/>
      </w:r>
      <w:r w:rsidR="00780412">
        <w:t>. T</w:t>
      </w:r>
      <w:r w:rsidR="00372D17">
        <w:t xml:space="preserve">aking the van is unnecessarily intrusive: the inconvenience to the tradesman far outweighs the negligible military usefulness of his van. </w:t>
      </w:r>
      <w:r w:rsidR="00342060">
        <w:t xml:space="preserve">Even after the order is given, </w:t>
      </w:r>
      <w:proofErr w:type="spellStart"/>
      <w:r w:rsidR="00342060">
        <w:t>Raz</w:t>
      </w:r>
      <w:proofErr w:type="spellEnd"/>
      <w:r w:rsidR="00342060">
        <w:t xml:space="preserve"> thinks, the balance of first-order reasons </w:t>
      </w:r>
      <w:r w:rsidR="007171C2">
        <w:t xml:space="preserve">may </w:t>
      </w:r>
      <w:r w:rsidR="00342060">
        <w:t xml:space="preserve">count against taking the van. However, </w:t>
      </w:r>
      <w:r w:rsidR="00234B03">
        <w:t>the reasons against taking it are excluded by t</w:t>
      </w:r>
      <w:r w:rsidR="00481BA5">
        <w:t xml:space="preserve">he </w:t>
      </w:r>
      <w:r w:rsidR="00776799">
        <w:t>authority that</w:t>
      </w:r>
      <w:r w:rsidR="00481BA5">
        <w:t xml:space="preserve"> Jeremy’s commander </w:t>
      </w:r>
      <w:r w:rsidR="00776799">
        <w:t>exercises in giving his order</w:t>
      </w:r>
      <w:r w:rsidR="00B6313A">
        <w:t>. So Jeremy ought</w:t>
      </w:r>
      <w:r w:rsidR="00234B03">
        <w:t>, all things considered,</w:t>
      </w:r>
      <w:r w:rsidR="00B6313A">
        <w:t xml:space="preserve"> to take it.</w:t>
      </w:r>
    </w:p>
    <w:p w:rsidR="002B4665" w:rsidRDefault="00B6313A" w:rsidP="00B04BCF">
      <w:r>
        <w:tab/>
      </w:r>
      <w:r w:rsidR="002B4665">
        <w:t xml:space="preserve">What is the point of saying that? </w:t>
      </w:r>
      <w:proofErr w:type="spellStart"/>
      <w:r w:rsidR="002B4665">
        <w:t>Raz</w:t>
      </w:r>
      <w:proofErr w:type="spellEnd"/>
      <w:r w:rsidR="00234B03">
        <w:t xml:space="preserve"> argues that this allows us</w:t>
      </w:r>
      <w:r w:rsidR="002B4665">
        <w:t xml:space="preserve"> to explain how, in a case like Jeremy’s, conflicting assessments apply. The order is faulty, but </w:t>
      </w:r>
      <w:r w:rsidR="00776799">
        <w:t>he ought to obey it</w:t>
      </w:r>
      <w:r w:rsidR="002B4665">
        <w:t xml:space="preserve">. It is faulty because the balance of reasons counts against appropriating the van; Jeremy </w:t>
      </w:r>
      <w:r w:rsidR="00776799">
        <w:t>ought to obey</w:t>
      </w:r>
      <w:r w:rsidR="002B4665">
        <w:t xml:space="preserve"> it because </w:t>
      </w:r>
      <w:r w:rsidR="00776799">
        <w:t>his commander’s exercise of legitimate authority</w:t>
      </w:r>
      <w:r w:rsidR="002B4665">
        <w:t xml:space="preserve"> exclude</w:t>
      </w:r>
      <w:r w:rsidR="00776799">
        <w:t>s</w:t>
      </w:r>
      <w:r w:rsidR="002B4665">
        <w:t xml:space="preserve"> the reason against</w:t>
      </w:r>
      <w:r w:rsidR="00776799">
        <w:t xml:space="preserve"> doing so</w:t>
      </w:r>
      <w:r w:rsidR="002B4665">
        <w:t xml:space="preserve">. This is why Jeremy can regard it as fortunate if he does his best to comply with the order but is </w:t>
      </w:r>
      <w:r w:rsidR="00234B03">
        <w:t xml:space="preserve">somehow </w:t>
      </w:r>
      <w:r w:rsidR="002B4665">
        <w:t xml:space="preserve">prevented from doing so. Then he has happily succeeded in both </w:t>
      </w:r>
      <w:r w:rsidR="00231C66">
        <w:t>doing his best to be</w:t>
      </w:r>
      <w:r w:rsidR="002B4665">
        <w:t xml:space="preserve"> obedient</w:t>
      </w:r>
      <w:r w:rsidR="00776799">
        <w:t xml:space="preserve">, </w:t>
      </w:r>
      <w:r w:rsidR="00231C66">
        <w:t xml:space="preserve">as he ought, </w:t>
      </w:r>
      <w:r w:rsidR="002B4665">
        <w:t>and doing what he had most reason to do</w:t>
      </w:r>
      <w:r w:rsidR="007848E1">
        <w:t xml:space="preserve"> </w:t>
      </w:r>
      <w:r w:rsidR="007848E1">
        <w:fldChar w:fldCharType="begin"/>
      </w:r>
      <w:r w:rsidR="00A61040">
        <w:instrText xml:space="preserve"> ADDIN EN.CITE &lt;EndNote&gt;&lt;Cite&gt;&lt;Author&gt;Raz&lt;/Author&gt;&lt;Year&gt;1999&lt;/Year&gt;&lt;RecNum&gt;11&lt;/RecNum&gt;&lt;Suffix&gt;: 41-5`, 185-6&lt;/Suffix&gt;&lt;DisplayText&gt;(Raz 1999: 41-5, 185-6)&lt;/DisplayText&gt;&lt;record&gt;&lt;rec-number&gt;11&lt;/rec-number&gt;&lt;foreign-keys&gt;&lt;key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7848E1">
        <w:fldChar w:fldCharType="separate"/>
      </w:r>
      <w:r w:rsidR="00A61040">
        <w:rPr>
          <w:noProof/>
        </w:rPr>
        <w:t>(</w:t>
      </w:r>
      <w:hyperlink w:anchor="_ENREF_24" w:tooltip="Raz, 1999 #11" w:history="1">
        <w:r w:rsidR="005809DA">
          <w:rPr>
            <w:noProof/>
          </w:rPr>
          <w:t>Raz 1999: 41-5, 185-6</w:t>
        </w:r>
      </w:hyperlink>
      <w:r w:rsidR="00A61040">
        <w:rPr>
          <w:noProof/>
        </w:rPr>
        <w:t>)</w:t>
      </w:r>
      <w:r w:rsidR="007848E1">
        <w:fldChar w:fldCharType="end"/>
      </w:r>
      <w:r w:rsidR="002B4665">
        <w:t>.</w:t>
      </w:r>
    </w:p>
    <w:p w:rsidR="00B6313A" w:rsidRDefault="002B4665" w:rsidP="00B04BCF">
      <w:r>
        <w:tab/>
        <w:t xml:space="preserve">However, this </w:t>
      </w:r>
      <w:r w:rsidR="00776799">
        <w:t>is problematic</w:t>
      </w:r>
      <w:r>
        <w:t>. What is t</w:t>
      </w:r>
      <w:r w:rsidR="003D37DB">
        <w:t xml:space="preserve">he force of saying that Jeremy </w:t>
      </w:r>
      <w:r>
        <w:t xml:space="preserve">has done </w:t>
      </w:r>
      <w:r w:rsidR="003D37DB">
        <w:t>“</w:t>
      </w:r>
      <w:r>
        <w:t xml:space="preserve">what he had most reason to do”, if he ought not to </w:t>
      </w:r>
      <w:r w:rsidR="000B20CF">
        <w:t>have done</w:t>
      </w:r>
      <w:r>
        <w:t xml:space="preserve"> it? It is hard to see </w:t>
      </w:r>
      <w:r w:rsidR="000F343F">
        <w:t>how this helps to explain why</w:t>
      </w:r>
      <w:r>
        <w:t xml:space="preserve"> Jeremy should be happy at the way things have turned out, if </w:t>
      </w:r>
      <w:r w:rsidR="00A61040">
        <w:t xml:space="preserve">it carries the implication that </w:t>
      </w:r>
      <w:r>
        <w:t>he has failed to do what he ought</w:t>
      </w:r>
      <w:r w:rsidR="000B20CF">
        <w:t>, all things considered, to have done</w:t>
      </w:r>
      <w:r>
        <w:t>.</w:t>
      </w:r>
    </w:p>
    <w:p w:rsidR="001B1A2D" w:rsidRPr="003C7E8D" w:rsidRDefault="001B1A2D" w:rsidP="001B1A2D">
      <w:r>
        <w:lastRenderedPageBreak/>
        <w:tab/>
      </w:r>
      <w:r w:rsidR="00790FBD">
        <w:t>O</w:t>
      </w:r>
      <w:r>
        <w:t xml:space="preserve">ne could modify </w:t>
      </w:r>
      <w:proofErr w:type="spellStart"/>
      <w:r>
        <w:t>Raz’s</w:t>
      </w:r>
      <w:proofErr w:type="spellEnd"/>
      <w:r>
        <w:t xml:space="preserve"> view in a way that avoids this odd implication. </w:t>
      </w:r>
      <w:r w:rsidR="00790FBD">
        <w:t>A distinction he makes is</w:t>
      </w:r>
      <w:r>
        <w:t xml:space="preserve"> between </w:t>
      </w:r>
      <w:r w:rsidR="00790FBD">
        <w:t>conformity</w:t>
      </w:r>
      <w:r>
        <w:t xml:space="preserve"> with one’s reasons – doing what they support – and </w:t>
      </w:r>
      <w:r w:rsidR="00790FBD">
        <w:t>compliance</w:t>
      </w:r>
      <w:r>
        <w:t xml:space="preserve"> with them – being motivated to do so by your recognition of those reasons</w:t>
      </w:r>
      <w:r w:rsidR="00231C66">
        <w:t xml:space="preserve"> </w:t>
      </w:r>
      <w:r w:rsidR="007171C2">
        <w:fldChar w:fldCharType="begin"/>
      </w:r>
      <w:r w:rsidR="007171C2">
        <w:instrText xml:space="preserve"> ADDIN EN.CITE &lt;EndNote&gt;&lt;Cite ExcludeAuth="1"&gt;&lt;Author&gt;Raz&lt;/Author&gt;&lt;Year&gt;1999&lt;/Year&gt;&lt;RecNum&gt;11&lt;/RecNum&gt;&lt;Suffix&gt;: Postscript&lt;/Suffix&gt;&lt;DisplayText&gt;(1999: Postscript)&lt;/DisplayText&gt;&lt;record&gt;&lt;rec-number&gt;11&lt;/rec-number&gt;&lt;foreign-keys&gt;&lt;key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sidR="007171C2">
        <w:fldChar w:fldCharType="separate"/>
      </w:r>
      <w:r w:rsidR="007171C2">
        <w:rPr>
          <w:noProof/>
        </w:rPr>
        <w:t>(</w:t>
      </w:r>
      <w:hyperlink w:anchor="_ENREF_24" w:tooltip="Raz, 1999 #11" w:history="1">
        <w:r w:rsidR="005809DA">
          <w:rPr>
            <w:noProof/>
          </w:rPr>
          <w:t>1999: Postscript</w:t>
        </w:r>
      </w:hyperlink>
      <w:r w:rsidR="007171C2">
        <w:rPr>
          <w:noProof/>
        </w:rPr>
        <w:t>)</w:t>
      </w:r>
      <w:r w:rsidR="007171C2">
        <w:fldChar w:fldCharType="end"/>
      </w:r>
      <w:r>
        <w:t xml:space="preserve">. An exclusionary reason is a reason not to comply with another reason; but it is not a reason not to conform </w:t>
      </w:r>
      <w:proofErr w:type="gramStart"/>
      <w:r>
        <w:t>with</w:t>
      </w:r>
      <w:proofErr w:type="gramEnd"/>
      <w:r>
        <w:t xml:space="preserve"> it. Building on this, one might then make a distinction </w:t>
      </w:r>
      <w:proofErr w:type="spellStart"/>
      <w:r>
        <w:t>Raz</w:t>
      </w:r>
      <w:proofErr w:type="spellEnd"/>
      <w:r>
        <w:t xml:space="preserve"> does not make: a distinction between what a person ought to do and the reasons by which she ought to be guided. </w:t>
      </w:r>
      <w:r w:rsidR="0082427C">
        <w:t>One might then agree with the Simple Picture that a person</w:t>
      </w:r>
      <w:r>
        <w:t xml:space="preserve"> ought </w:t>
      </w:r>
      <w:r w:rsidRPr="0082427C">
        <w:rPr>
          <w:i/>
        </w:rPr>
        <w:t>to do</w:t>
      </w:r>
      <w:r>
        <w:t xml:space="preserve"> what there is most reason for her to do; but </w:t>
      </w:r>
      <w:r w:rsidR="0082427C">
        <w:t xml:space="preserve">add that </w:t>
      </w:r>
      <w:r>
        <w:t xml:space="preserve">she ought only to be </w:t>
      </w:r>
      <w:r w:rsidRPr="0082427C">
        <w:rPr>
          <w:i/>
        </w:rPr>
        <w:t>guided</w:t>
      </w:r>
      <w:r>
        <w:t xml:space="preserve"> in acting by (to act </w:t>
      </w:r>
      <w:r>
        <w:rPr>
          <w:i/>
        </w:rPr>
        <w:t>for</w:t>
      </w:r>
      <w:r>
        <w:t xml:space="preserve">) </w:t>
      </w:r>
      <w:r w:rsidR="00790FBD">
        <w:t>non-excluded</w:t>
      </w:r>
      <w:r>
        <w:t xml:space="preserve"> reasons.</w:t>
      </w:r>
      <w:r w:rsidRPr="003C7E8D">
        <w:t xml:space="preserve"> </w:t>
      </w:r>
      <w:r w:rsidR="0082427C">
        <w:t>By saying</w:t>
      </w:r>
      <w:r>
        <w:t xml:space="preserve"> that, </w:t>
      </w:r>
      <w:r w:rsidR="0082427C">
        <w:t>we could retain the special role of exclusionary reasons, while making</w:t>
      </w:r>
      <w:r>
        <w:t xml:space="preserve"> a different set of </w:t>
      </w:r>
      <w:r w:rsidR="0082427C">
        <w:t>claims about what ought to be done in cases like Jeremy’s</w:t>
      </w:r>
      <w:r>
        <w:t xml:space="preserve">. Jeremy ought </w:t>
      </w:r>
      <w:r w:rsidRPr="004016F2">
        <w:rPr>
          <w:i/>
        </w:rPr>
        <w:t>not</w:t>
      </w:r>
      <w:r>
        <w:t xml:space="preserve"> to </w:t>
      </w:r>
      <w:r w:rsidRPr="00900EC5">
        <w:t>appropriate</w:t>
      </w:r>
      <w:r>
        <w:t xml:space="preserve"> the van, but as an obedient soldier, he also ought not to act </w:t>
      </w:r>
      <w:r w:rsidR="00790FBD">
        <w:t>for</w:t>
      </w:r>
      <w:r>
        <w:t xml:space="preserve"> the reasons against appropriating the van. Saying this makes more sense of how he could think that things had turned out fortunately if he obediently tried to appropriate the van but was prevented from doing so – that way, he does everything he ought.</w:t>
      </w:r>
    </w:p>
    <w:p w:rsidR="00D111B2" w:rsidRDefault="0082427C" w:rsidP="00D111B2">
      <w:r>
        <w:tab/>
        <w:t xml:space="preserve">This variation on </w:t>
      </w:r>
      <w:proofErr w:type="spellStart"/>
      <w:r>
        <w:t>Raz’s</w:t>
      </w:r>
      <w:proofErr w:type="spellEnd"/>
      <w:r>
        <w:t xml:space="preserve"> view would now no longer contradict the Simple Picture, but it would complicate it. It distinguishes two different objects o</w:t>
      </w:r>
      <w:r w:rsidR="00D111B2">
        <w:t xml:space="preserve">f all-things-considered oughts – </w:t>
      </w:r>
      <w:r>
        <w:t>actions, and guidance in acting</w:t>
      </w:r>
      <w:r w:rsidR="00D111B2">
        <w:t xml:space="preserve"> – while retaining the Simple Picture’s principle that one ought to </w:t>
      </w:r>
      <w:r w:rsidR="00D111B2" w:rsidRPr="00D111B2">
        <w:rPr>
          <w:i/>
        </w:rPr>
        <w:t>F</w:t>
      </w:r>
      <w:r w:rsidR="00D111B2">
        <w:t xml:space="preserve"> just in case there is most reason to </w:t>
      </w:r>
      <w:r w:rsidR="00D111B2" w:rsidRPr="00D111B2">
        <w:rPr>
          <w:i/>
        </w:rPr>
        <w:t>F</w:t>
      </w:r>
      <w:r w:rsidR="00D111B2">
        <w:t xml:space="preserve">. However, </w:t>
      </w:r>
      <w:r w:rsidR="007171C2">
        <w:t>there remains</w:t>
      </w:r>
      <w:r w:rsidR="00D111B2">
        <w:t xml:space="preserve"> an odd-seeming implication. Suppose Jeremy himself accepts this view, and accordingly concludes that he ought not to take the van, but ought not to act on the reasons against taking it. Where does that leave him? He could try to take it, hoping that some external intervention will prevent him, so that he ends up doing everything he ought. But that might be very unlikely. Short of that, whichever way he turns, he fails to do what he ought. How, then, can deliberation help him to decide what to do? </w:t>
      </w:r>
    </w:p>
    <w:p w:rsidR="00CC3E1B" w:rsidRDefault="00D111B2" w:rsidP="00D111B2">
      <w:r>
        <w:lastRenderedPageBreak/>
        <w:tab/>
        <w:t xml:space="preserve">One response to that would be that Jeremy’s practical situation just is normatively awkward in that way: life is not always simple. But before resorting to that, </w:t>
      </w:r>
      <w:r w:rsidR="001D0830">
        <w:t>there is</w:t>
      </w:r>
      <w:r>
        <w:t xml:space="preserve"> a more straightforward treatment </w:t>
      </w:r>
      <w:r w:rsidR="001D0830">
        <w:t>to consider</w:t>
      </w:r>
      <w:r>
        <w:t xml:space="preserve">. Jeremy’s commander ought not to have given the order, </w:t>
      </w:r>
      <w:r w:rsidR="001D0830">
        <w:t>since the balance of reasons is against it. But once the order has been given, obedience to his commander is a first-order reason for Jeremy to do as he is ordered</w:t>
      </w:r>
      <w:r w:rsidR="00BA6C7E">
        <w:t>, and it could be</w:t>
      </w:r>
      <w:r w:rsidR="001D0830">
        <w:t xml:space="preserve"> strong enough </w:t>
      </w:r>
      <w:r w:rsidR="00BA6C7E">
        <w:t>to be decisive</w:t>
      </w:r>
      <w:r w:rsidR="001D0830">
        <w:t xml:space="preserve">. If so, </w:t>
      </w:r>
      <w:r>
        <w:t xml:space="preserve">Jeremy ought to obey </w:t>
      </w:r>
      <w:r w:rsidR="001D0830">
        <w:t>the order and take the van. If</w:t>
      </w:r>
      <w:r w:rsidR="00CC3E1B">
        <w:t xml:space="preserve"> Jeremy tries to comply with the order and is prevented, he should not feel happy about his non-compliance: he has not done what he ought. But </w:t>
      </w:r>
      <w:r w:rsidR="001D0830">
        <w:t>he should still feel happy about</w:t>
      </w:r>
      <w:r w:rsidR="00466F2E">
        <w:t xml:space="preserve"> the outcome</w:t>
      </w:r>
      <w:r w:rsidR="001D0830">
        <w:t xml:space="preserve">: the tradesman’s not having his van taken avoids </w:t>
      </w:r>
      <w:r w:rsidR="00466F2E">
        <w:t xml:space="preserve">unnecessary inconvenience to </w:t>
      </w:r>
      <w:r w:rsidR="001D0830">
        <w:t>him</w:t>
      </w:r>
      <w:r w:rsidR="00466F2E">
        <w:t xml:space="preserve">, </w:t>
      </w:r>
      <w:r w:rsidR="00BA6C7E">
        <w:t xml:space="preserve">and that </w:t>
      </w:r>
      <w:r w:rsidR="00466F2E">
        <w:t>is good.</w:t>
      </w:r>
      <w:r w:rsidR="001D0830">
        <w:t xml:space="preserve"> </w:t>
      </w:r>
      <w:r w:rsidR="00BA6C7E">
        <w:t>In this way,</w:t>
      </w:r>
      <w:r w:rsidR="001D0830">
        <w:t xml:space="preserve"> we can explain why mixed feelings make sense in a case like this without treating exclusionary reasons as a special kind of non-outweighing defeater.</w:t>
      </w:r>
    </w:p>
    <w:p w:rsidR="00961917" w:rsidRDefault="00961917" w:rsidP="00B04BCF">
      <w:r>
        <w:tab/>
      </w:r>
      <w:r w:rsidR="00D111B2">
        <w:t>Thus, although there surely are</w:t>
      </w:r>
      <w:r w:rsidR="00B323FF">
        <w:t xml:space="preserve"> exclusionary reasons, their existence does not seem to provide a strong objection to </w:t>
      </w:r>
      <w:r>
        <w:t xml:space="preserve">the Simple Picture. </w:t>
      </w:r>
      <w:r w:rsidR="000F343F">
        <w:t xml:space="preserve">In either this straightforward way, or with the supplementation we considered above, the Simple Picture can provide a more satisfactory </w:t>
      </w:r>
      <w:r w:rsidR="00466F2E">
        <w:t>treatment</w:t>
      </w:r>
      <w:r w:rsidR="000F343F">
        <w:t xml:space="preserve"> of what we ought to do</w:t>
      </w:r>
      <w:r w:rsidR="00BA6C7E">
        <w:t xml:space="preserve"> in such cases</w:t>
      </w:r>
      <w:r w:rsidR="000F343F">
        <w:t xml:space="preserve"> than </w:t>
      </w:r>
      <w:proofErr w:type="spellStart"/>
      <w:r w:rsidR="000F343F">
        <w:t>Raz’s</w:t>
      </w:r>
      <w:proofErr w:type="spellEnd"/>
      <w:r w:rsidR="000F343F">
        <w:t xml:space="preserve"> alternative</w:t>
      </w:r>
      <w:r>
        <w:t>.</w:t>
      </w:r>
    </w:p>
    <w:p w:rsidR="00AE7EF1" w:rsidRDefault="00AE7EF1" w:rsidP="00B04BCF"/>
    <w:p w:rsidR="00961917" w:rsidRPr="00EE008D" w:rsidRDefault="00AE7EF1" w:rsidP="00EE008D">
      <w:pPr>
        <w:jc w:val="center"/>
        <w:rPr>
          <w:b/>
        </w:rPr>
      </w:pPr>
      <w:r w:rsidRPr="00EE008D">
        <w:rPr>
          <w:b/>
        </w:rPr>
        <w:t>VIII: Undermining</w:t>
      </w:r>
    </w:p>
    <w:p w:rsidR="00AE7EF1" w:rsidRPr="00AE7EF1" w:rsidRDefault="00AE7EF1" w:rsidP="00B04BCF"/>
    <w:p w:rsidR="00AE7EF1" w:rsidRDefault="0041439B" w:rsidP="00B04BCF">
      <w:r>
        <w:t>W</w:t>
      </w:r>
      <w:r w:rsidR="00AE7EF1">
        <w:t xml:space="preserve">e </w:t>
      </w:r>
      <w:r w:rsidR="00BA6C7E">
        <w:t xml:space="preserve">have just </w:t>
      </w:r>
      <w:r w:rsidR="00AE7EF1">
        <w:t xml:space="preserve">encountered the idea that outweighing </w:t>
      </w:r>
      <w:r>
        <w:t>is not the only way</w:t>
      </w:r>
      <w:r w:rsidR="00AE7EF1">
        <w:t xml:space="preserve"> in which a reason for action c</w:t>
      </w:r>
      <w:r w:rsidR="00433444">
        <w:t xml:space="preserve">an be defeated. If there are others, then deliberation about our reasons for action will need to involve more than just the comparison and addition of weights, </w:t>
      </w:r>
      <w:r w:rsidR="00F83DA4">
        <w:t>so</w:t>
      </w:r>
      <w:r w:rsidR="00433444">
        <w:t xml:space="preserve"> </w:t>
      </w:r>
      <w:r w:rsidR="004A281F">
        <w:t xml:space="preserve">this will be another respect in which </w:t>
      </w:r>
      <w:r w:rsidR="00433444">
        <w:t xml:space="preserve">the Simple Picture </w:t>
      </w:r>
      <w:r w:rsidR="004A281F">
        <w:t>is</w:t>
      </w:r>
      <w:r w:rsidR="00F83DA4">
        <w:t xml:space="preserve"> too simple</w:t>
      </w:r>
      <w:r w:rsidR="00433444">
        <w:t>.</w:t>
      </w:r>
    </w:p>
    <w:p w:rsidR="00AE7EF1" w:rsidRDefault="00433444" w:rsidP="00B04BCF">
      <w:r>
        <w:tab/>
      </w:r>
      <w:r w:rsidR="0041439B">
        <w:t xml:space="preserve">One version of this idea is </w:t>
      </w:r>
      <w:proofErr w:type="spellStart"/>
      <w:r w:rsidR="0041439B">
        <w:t>Raz’s</w:t>
      </w:r>
      <w:proofErr w:type="spellEnd"/>
      <w:r w:rsidR="0041439B">
        <w:t xml:space="preserve"> claim, discussed</w:t>
      </w:r>
      <w:r w:rsidR="000A5C0F">
        <w:t xml:space="preserve"> (and resisted)</w:t>
      </w:r>
      <w:r w:rsidR="0041439B">
        <w:t xml:space="preserve"> above,</w:t>
      </w:r>
      <w:r w:rsidR="00AE7EF1">
        <w:t xml:space="preserve"> that a reason can be defeated without altering </w:t>
      </w:r>
      <w:r>
        <w:t xml:space="preserve">its contribution to the balance of reasons. A different possibility </w:t>
      </w:r>
      <w:r>
        <w:lastRenderedPageBreak/>
        <w:t xml:space="preserve">worth considering is that </w:t>
      </w:r>
      <w:r w:rsidR="001C561E">
        <w:t xml:space="preserve">one reason can remove another from that balance, depriving it of its weight as </w:t>
      </w:r>
      <w:r>
        <w:t xml:space="preserve">a reason. We can describe that as </w:t>
      </w:r>
      <w:r w:rsidR="001C561E">
        <w:t xml:space="preserve">a relationship of </w:t>
      </w:r>
      <w:r>
        <w:t xml:space="preserve">undermining, rather than outweighing. </w:t>
      </w:r>
    </w:p>
    <w:p w:rsidR="00CA3F73" w:rsidRPr="00BC7DD1" w:rsidRDefault="00433444" w:rsidP="00B04BCF">
      <w:r>
        <w:tab/>
        <w:t xml:space="preserve">To illustrate, consider this variant of </w:t>
      </w:r>
      <w:proofErr w:type="spellStart"/>
      <w:r>
        <w:t>Raz’s</w:t>
      </w:r>
      <w:proofErr w:type="spellEnd"/>
      <w:r>
        <w:t xml:space="preserve"> example.</w:t>
      </w:r>
      <w:r w:rsidR="004F1E92">
        <w:t xml:space="preserve"> Suppose the van belongs to a tradesman in the same line of business as Jeremy’s brother. If </w:t>
      </w:r>
      <w:r w:rsidR="00B821D1">
        <w:t>Jeremy takes</w:t>
      </w:r>
      <w:r w:rsidR="004F1E92">
        <w:t xml:space="preserve"> it, his brother’s business will get a boost. Is that a further reason for obeying the order? A view </w:t>
      </w:r>
      <w:r w:rsidR="0041439B">
        <w:t xml:space="preserve">worth considering </w:t>
      </w:r>
      <w:r w:rsidR="004F1E92">
        <w:t xml:space="preserve">is that this fact does not </w:t>
      </w:r>
      <w:r w:rsidR="006A50AD">
        <w:t>add to</w:t>
      </w:r>
      <w:r w:rsidR="004F1E92">
        <w:t xml:space="preserve"> the balance of reasons for his action at all. The fact that his brother will benefit is a reason for other actions, but not this one. Here, </w:t>
      </w:r>
      <w:r w:rsidR="00B821D1">
        <w:t>this fact</w:t>
      </w:r>
      <w:r w:rsidR="004F1E92">
        <w:t xml:space="preserve"> is undermined, not outweighed</w:t>
      </w:r>
      <w:r w:rsidR="00B821D1">
        <w:t>: it loses its status as a reason</w:t>
      </w:r>
      <w:r w:rsidR="004F1E92">
        <w:t xml:space="preserve">. What does the undermining? One suggestion </w:t>
      </w:r>
      <w:r w:rsidR="00F83DA4">
        <w:t>is</w:t>
      </w:r>
      <w:r w:rsidR="004F1E92">
        <w:t xml:space="preserve"> this. In</w:t>
      </w:r>
      <w:r w:rsidR="00CA3F73">
        <w:t xml:space="preserve"> carrying out his duties as a soldier Jeremy </w:t>
      </w:r>
      <w:r w:rsidR="006056E7">
        <w:t>acts</w:t>
      </w:r>
      <w:r w:rsidR="00CA3F73">
        <w:t xml:space="preserve"> not in his own personal capacity, but as an agent of an institution – the army – that he is committed to serving. </w:t>
      </w:r>
      <w:r w:rsidR="006056E7">
        <w:t>H</w:t>
      </w:r>
      <w:r w:rsidR="00CA3F73">
        <w:t xml:space="preserve">e is performing </w:t>
      </w:r>
      <w:r w:rsidR="00CA3F73">
        <w:rPr>
          <w:i/>
        </w:rPr>
        <w:t>its</w:t>
      </w:r>
      <w:r w:rsidR="00CA3F73">
        <w:t xml:space="preserve"> actions, not his own</w:t>
      </w:r>
      <w:r w:rsidR="006A50AD">
        <w:t xml:space="preserve"> personal ones</w:t>
      </w:r>
      <w:r w:rsidR="00CA3F73">
        <w:t xml:space="preserve">. </w:t>
      </w:r>
      <w:r w:rsidR="006056E7">
        <w:t>So the only reasons bearing on these actions are reasons for the army to do things</w:t>
      </w:r>
      <w:r w:rsidR="00D46E95">
        <w:t>:</w:t>
      </w:r>
      <w:r w:rsidR="006056E7">
        <w:t xml:space="preserve"> the business interests of his brother do not qualify.</w:t>
      </w:r>
      <w:r w:rsidR="00BC7DD1">
        <w:t xml:space="preserve"> </w:t>
      </w:r>
      <w:r w:rsidR="00D46E95">
        <w:t>In this way, Jeremy’s</w:t>
      </w:r>
      <w:r w:rsidR="00BC7DD1">
        <w:t xml:space="preserve"> military role functions as an </w:t>
      </w:r>
      <w:proofErr w:type="spellStart"/>
      <w:r w:rsidR="00BC7DD1">
        <w:t>underminer</w:t>
      </w:r>
      <w:proofErr w:type="spellEnd"/>
      <w:r w:rsidR="00BC7DD1">
        <w:t xml:space="preserve">, not an </w:t>
      </w:r>
      <w:proofErr w:type="spellStart"/>
      <w:r w:rsidR="00BC7DD1">
        <w:t>outweigher</w:t>
      </w:r>
      <w:proofErr w:type="spellEnd"/>
      <w:r w:rsidR="00BC7DD1">
        <w:t xml:space="preserve">. His military role is not a reason </w:t>
      </w:r>
      <w:r w:rsidR="00BC7DD1">
        <w:rPr>
          <w:i/>
        </w:rPr>
        <w:t xml:space="preserve">against </w:t>
      </w:r>
      <w:r w:rsidR="00BC7DD1">
        <w:t>taking the van (he has been order</w:t>
      </w:r>
      <w:r w:rsidR="00F83DA4">
        <w:t>ed</w:t>
      </w:r>
      <w:r w:rsidR="00BC7DD1">
        <w:t xml:space="preserve"> to take it, after all); rather, it is a reason why his brother’s interests do not count in favour.</w:t>
      </w:r>
    </w:p>
    <w:p w:rsidR="00AE7EF1" w:rsidRDefault="00BC7DD1" w:rsidP="00B04BCF">
      <w:r>
        <w:tab/>
        <w:t>That describes a position to</w:t>
      </w:r>
      <w:r w:rsidR="00AE7EF1">
        <w:t xml:space="preserve"> be argu</w:t>
      </w:r>
      <w:r>
        <w:t>ed for, rather than an argument for it.</w:t>
      </w:r>
      <w:r w:rsidR="00437423">
        <w:t xml:space="preserve"> To defend that reading of the example would be a much larger task.</w:t>
      </w:r>
      <w:r w:rsidR="00B821D1">
        <w:rPr>
          <w:rStyle w:val="EndnoteReference"/>
        </w:rPr>
        <w:endnoteReference w:id="19"/>
      </w:r>
      <w:r w:rsidR="00437423">
        <w:t xml:space="preserve"> </w:t>
      </w:r>
      <w:r w:rsidR="006A50AD">
        <w:t>W</w:t>
      </w:r>
      <w:r w:rsidR="00437423">
        <w:t xml:space="preserve">e would need to consider a broader range of examples, and assess the plausibility of the distinctions this interpretation </w:t>
      </w:r>
      <w:r w:rsidR="0041439B">
        <w:t>requires</w:t>
      </w:r>
      <w:r w:rsidR="00437423">
        <w:t xml:space="preserve"> us to draw. For instance, it suggests that there is a significant difference between the case just described, in which Jeremy </w:t>
      </w:r>
      <w:r w:rsidR="000A5C0F">
        <w:t>would be helping</w:t>
      </w:r>
      <w:r w:rsidR="00437423">
        <w:t xml:space="preserve"> his brother </w:t>
      </w:r>
      <w:r w:rsidR="00437423">
        <w:rPr>
          <w:i/>
        </w:rPr>
        <w:t xml:space="preserve">by </w:t>
      </w:r>
      <w:r w:rsidR="00437423">
        <w:t xml:space="preserve">exercising his military role, and one in which he </w:t>
      </w:r>
      <w:r w:rsidR="000A5C0F">
        <w:t>can help</w:t>
      </w:r>
      <w:r w:rsidR="00437423">
        <w:t xml:space="preserve"> him </w:t>
      </w:r>
      <w:r w:rsidR="00437423">
        <w:rPr>
          <w:i/>
        </w:rPr>
        <w:t xml:space="preserve">instead of </w:t>
      </w:r>
      <w:r w:rsidR="00437423">
        <w:t xml:space="preserve">exercising his military role. </w:t>
      </w:r>
      <w:proofErr w:type="gramStart"/>
      <w:r w:rsidR="00437423">
        <w:t xml:space="preserve">If, while on leave, he hears of a valuable business opportunity for his brother, ought he to </w:t>
      </w:r>
      <w:r w:rsidR="00E85CB3">
        <w:t>delay returning from leave in order to tell</w:t>
      </w:r>
      <w:r w:rsidR="00D46E95">
        <w:t xml:space="preserve"> </w:t>
      </w:r>
      <w:r w:rsidR="00E85CB3">
        <w:t>his brother about it</w:t>
      </w:r>
      <w:r w:rsidR="00D46E95">
        <w:t>?</w:t>
      </w:r>
      <w:proofErr w:type="gramEnd"/>
      <w:r w:rsidR="00D46E95">
        <w:t xml:space="preserve"> Now </w:t>
      </w:r>
      <w:r w:rsidR="00AE18C9">
        <w:t>he</w:t>
      </w:r>
      <w:r w:rsidR="00D46E95">
        <w:t xml:space="preserve"> faces a choice between performing a personal action </w:t>
      </w:r>
      <w:r w:rsidR="00AE18C9">
        <w:t xml:space="preserve">and acting as an institutional agent; so on the view just sketched, he does here </w:t>
      </w:r>
      <w:r w:rsidR="00AE18C9">
        <w:lastRenderedPageBreak/>
        <w:t>need to weigh up the reasons bearing on those two different kinds of action and assess which is stronger. Beyond this, we would need to consider a wider range of</w:t>
      </w:r>
      <w:r w:rsidR="004A281F">
        <w:t xml:space="preserve"> other</w:t>
      </w:r>
      <w:r w:rsidR="00AE18C9">
        <w:t xml:space="preserve"> institutional actions, and evaluate the </w:t>
      </w:r>
      <w:r w:rsidR="006A50AD">
        <w:t>implications that this view of</w:t>
      </w:r>
      <w:r w:rsidR="00AE18C9">
        <w:t xml:space="preserve"> them </w:t>
      </w:r>
      <w:r w:rsidR="006A50AD">
        <w:t xml:space="preserve">would have </w:t>
      </w:r>
      <w:r w:rsidR="00AE18C9">
        <w:t>more generally.</w:t>
      </w:r>
    </w:p>
    <w:p w:rsidR="00AE18C9" w:rsidRDefault="00AE18C9" w:rsidP="00B04BCF">
      <w:r>
        <w:tab/>
        <w:t>This is not the place to do that.</w:t>
      </w:r>
      <w:r w:rsidR="0046176F">
        <w:t xml:space="preserve"> </w:t>
      </w:r>
      <w:r w:rsidR="006A50AD">
        <w:t>Notice that</w:t>
      </w:r>
      <w:r w:rsidR="001C561E">
        <w:t xml:space="preserve"> the difficulty of the task is </w:t>
      </w:r>
      <w:r w:rsidR="006A50AD">
        <w:t>increased by the existence of the kind</w:t>
      </w:r>
      <w:r w:rsidR="00127571">
        <w:t>s</w:t>
      </w:r>
      <w:r w:rsidR="006A50AD">
        <w:t xml:space="preserve"> of case</w:t>
      </w:r>
      <w:r w:rsidR="00475617">
        <w:t xml:space="preserve"> described in Section VI, in </w:t>
      </w:r>
      <w:r w:rsidR="00735AB8">
        <w:t xml:space="preserve">which </w:t>
      </w:r>
      <w:r w:rsidR="00475617">
        <w:t>a consideration</w:t>
      </w:r>
      <w:r w:rsidR="00735AB8">
        <w:t xml:space="preserve"> should</w:t>
      </w:r>
      <w:r w:rsidR="00475617">
        <w:t xml:space="preserve"> be excluded from deliberation even though it retains its weight as a reason. If there can be cases </w:t>
      </w:r>
      <w:r w:rsidR="0024269E">
        <w:t>like that</w:t>
      </w:r>
      <w:r w:rsidR="00475617">
        <w:t xml:space="preserve">, we cannot establish </w:t>
      </w:r>
      <w:r w:rsidR="006A50AD">
        <w:t>that a consideration is undermined</w:t>
      </w:r>
      <w:r w:rsidR="00475617">
        <w:t xml:space="preserve"> </w:t>
      </w:r>
      <w:r w:rsidR="006A50AD">
        <w:t>as a reason by showing that it does not properly feature</w:t>
      </w:r>
      <w:r w:rsidR="00475617">
        <w:t xml:space="preserve"> in an agent’s deliberation.</w:t>
      </w:r>
      <w:r w:rsidR="0041439B">
        <w:rPr>
          <w:rStyle w:val="EndnoteReference"/>
        </w:rPr>
        <w:endnoteReference w:id="20"/>
      </w:r>
      <w:r w:rsidR="005E2B50">
        <w:t xml:space="preserve"> The only fully convincing way of vindicating the existence of undermining relations between reasons would be to </w:t>
      </w:r>
      <w:r w:rsidR="006A50AD">
        <w:t>present</w:t>
      </w:r>
      <w:r w:rsidR="005E2B50">
        <w:t xml:space="preserve"> a general view about which such relations there are and how they are instantiated</w:t>
      </w:r>
      <w:r w:rsidR="006A50AD">
        <w:t>, and show that that view delivers cogent explanations of a wide range of examples.</w:t>
      </w:r>
    </w:p>
    <w:p w:rsidR="00EA2006" w:rsidRDefault="005E2B50" w:rsidP="00B04BCF">
      <w:r>
        <w:tab/>
      </w:r>
      <w:r w:rsidR="00735AB8">
        <w:t xml:space="preserve">What </w:t>
      </w:r>
      <w:r w:rsidR="006A50AD">
        <w:t xml:space="preserve">general features </w:t>
      </w:r>
      <w:r w:rsidR="00735AB8">
        <w:t xml:space="preserve">would a view of </w:t>
      </w:r>
      <w:r w:rsidR="006A50AD">
        <w:t>that</w:t>
      </w:r>
      <w:r w:rsidR="00735AB8">
        <w:t xml:space="preserve"> kind </w:t>
      </w:r>
      <w:r w:rsidR="006A50AD">
        <w:t>have</w:t>
      </w:r>
      <w:r w:rsidR="00735AB8">
        <w:t>?</w:t>
      </w:r>
      <w:r>
        <w:t xml:space="preserve"> It would reject the </w:t>
      </w:r>
      <w:r w:rsidR="003D5FF4">
        <w:t>sort</w:t>
      </w:r>
      <w:r>
        <w:t xml:space="preserve"> of atomism about reasons we </w:t>
      </w:r>
      <w:r w:rsidR="00F83DA4">
        <w:t>ascribed to</w:t>
      </w:r>
      <w:r>
        <w:t xml:space="preserve"> Ross in Section II. If one fact can be deprived of the status of a reason</w:t>
      </w:r>
      <w:r w:rsidRPr="001F5818">
        <w:t xml:space="preserve"> </w:t>
      </w:r>
      <w:r>
        <w:t xml:space="preserve">by another, then its status as a reason can depend on the </w:t>
      </w:r>
      <w:r w:rsidR="0041439B">
        <w:t>rest of the circumstances</w:t>
      </w:r>
      <w:r>
        <w:t xml:space="preserve">. However, </w:t>
      </w:r>
      <w:r w:rsidR="00EA2006">
        <w:t xml:space="preserve">notice that </w:t>
      </w:r>
      <w:r w:rsidR="00B821D1">
        <w:t>it would not require</w:t>
      </w:r>
      <w:r w:rsidR="00EA2006">
        <w:t xml:space="preserve"> abandoning Ross’s </w:t>
      </w:r>
      <w:r w:rsidR="004A281F">
        <w:t>combinatorial</w:t>
      </w:r>
      <w:r w:rsidR="00EA2006">
        <w:t xml:space="preserve"> approach to</w:t>
      </w:r>
      <w:r>
        <w:t xml:space="preserve"> normative theorizing</w:t>
      </w:r>
      <w:r w:rsidR="00BA6C7E">
        <w:t xml:space="preserve"> – the approach that seeks to explain normative complexity through the interaction of a limited number of fundamental elements</w:t>
      </w:r>
      <w:r>
        <w:t>.</w:t>
      </w:r>
      <w:r w:rsidR="00EA2006">
        <w:t xml:space="preserve"> A thought entertained by some philosophers is that </w:t>
      </w:r>
      <w:r w:rsidR="0041439B">
        <w:t>it may be possible to</w:t>
      </w:r>
      <w:r w:rsidR="00EA2006">
        <w:t xml:space="preserve"> construct a normative theory whose foundations – the sources to which we can trace the derivation of derived reasons – amount to “default reasons”, that is, facts that have the status of reasons for action unless subject to undermining. Beginnings have been made to demonstrate the explanatory coherence of such an approach, but </w:t>
      </w:r>
      <w:r w:rsidR="00837822">
        <w:t>to date</w:t>
      </w:r>
      <w:r w:rsidR="00EA2006">
        <w:t xml:space="preserve"> little work </w:t>
      </w:r>
      <w:r w:rsidR="00837822">
        <w:t>has been done</w:t>
      </w:r>
      <w:r w:rsidR="00EA2006">
        <w:t xml:space="preserve"> to </w:t>
      </w:r>
      <w:r w:rsidR="00837822">
        <w:t>elaborate and defend it in substantive detail</w:t>
      </w:r>
      <w:r w:rsidR="007848E1">
        <w:t xml:space="preserve"> </w:t>
      </w:r>
      <w:r w:rsidR="007848E1">
        <w:fldChar w:fldCharType="begin"/>
      </w:r>
      <w:r w:rsidR="007848E1">
        <w:instrText xml:space="preserve"> ADDIN EN.CITE &lt;EndNote&gt;&lt;Cite&gt;&lt;Author&gt;Horty&lt;/Author&gt;&lt;Year&gt;2007&lt;/Year&gt;&lt;RecNum&gt;17&lt;/RecNum&gt;&lt;DisplayText&gt;(Horty 2007; Horty 2012)&lt;/DisplayText&gt;&lt;record&gt;&lt;rec-number&gt;17&lt;/rec-number&gt;&lt;foreign-keys&gt;&lt;key app="EN" db-id="sxsapx9pw5rxwbefvfzparttpws0dd22z9v5"&gt;17&lt;/key&gt;&lt;/foreign-keys&gt;&lt;ref-type name="Journal Article"&gt;17&lt;/ref-type&gt;&lt;contributors&gt;&lt;authors&gt;&lt;author&gt;John F. Horty&lt;/author&gt;&lt;/authors&gt;&lt;/contributors&gt;&lt;titles&gt;&lt;title&gt;Reasons as Defaults&lt;/title&gt;&lt;secondary-title&gt;Philosophers’ Imprint&lt;/secondary-title&gt;&lt;/titles&gt;&lt;periodical&gt;&lt;full-title&gt;Philosophers’ Imprint&lt;/full-title&gt;&lt;/periodical&gt;&lt;volume&gt;7&lt;/volume&gt;&lt;dates&gt;&lt;year&gt;2007&lt;/year&gt;&lt;/dates&gt;&lt;urls&gt;&lt;related-urls&gt;&lt;url&gt;&amp;lt;www.philosophersimprint.org/007003/&amp;gt;&lt;/url&gt;&lt;/related-urls&gt;&lt;/urls&gt;&lt;/record&gt;&lt;/Cite&gt;&lt;Cite&gt;&lt;Author&gt;Horty&lt;/Author&gt;&lt;Year&gt;2012&lt;/Year&gt;&lt;RecNum&gt;18&lt;/RecNum&gt;&lt;record&gt;&lt;rec-number&gt;18&lt;/rec-number&gt;&lt;foreign-keys&gt;&lt;key app="EN" db-id="sxsapx9pw5rxwbefvfzparttpws0dd22z9v5"&gt;18&lt;/key&gt;&lt;/foreign-keys&gt;&lt;ref-type name="Book"&gt;6&lt;/ref-type&gt;&lt;contributors&gt;&lt;authors&gt;&lt;author&gt;John F. Horty&lt;/author&gt;&lt;/authors&gt;&lt;/contributors&gt;&lt;titles&gt;&lt;title&gt;Reasons as Defaults&lt;/title&gt;&lt;/titles&gt;&lt;dates&gt;&lt;year&gt;2012&lt;/year&gt;&lt;/dates&gt;&lt;pub-location&gt;New York&lt;/pub-location&gt;&lt;publisher&gt;Oxford University Press&lt;/publisher&gt;&lt;urls&gt;&lt;/urls&gt;&lt;/record&gt;&lt;/Cite&gt;&lt;/EndNote&gt;</w:instrText>
      </w:r>
      <w:r w:rsidR="007848E1">
        <w:fldChar w:fldCharType="separate"/>
      </w:r>
      <w:r w:rsidR="007848E1">
        <w:rPr>
          <w:noProof/>
        </w:rPr>
        <w:t>(</w:t>
      </w:r>
      <w:hyperlink w:anchor="_ENREF_14" w:tooltip="Horty, 2007 #17" w:history="1">
        <w:r w:rsidR="005809DA">
          <w:rPr>
            <w:noProof/>
          </w:rPr>
          <w:t>Horty 2007</w:t>
        </w:r>
      </w:hyperlink>
      <w:r w:rsidR="007848E1">
        <w:rPr>
          <w:noProof/>
        </w:rPr>
        <w:t xml:space="preserve">; </w:t>
      </w:r>
      <w:hyperlink w:anchor="_ENREF_15" w:tooltip="Horty, 2012 #18" w:history="1">
        <w:r w:rsidR="005809DA">
          <w:rPr>
            <w:noProof/>
          </w:rPr>
          <w:t>Horty 2012</w:t>
        </w:r>
      </w:hyperlink>
      <w:r w:rsidR="007848E1">
        <w:rPr>
          <w:noProof/>
        </w:rPr>
        <w:t>)</w:t>
      </w:r>
      <w:r w:rsidR="007848E1">
        <w:fldChar w:fldCharType="end"/>
      </w:r>
      <w:r w:rsidR="00EA2006">
        <w:t>.</w:t>
      </w:r>
    </w:p>
    <w:p w:rsidR="00091CBF" w:rsidRDefault="00091CBF" w:rsidP="00B04BCF"/>
    <w:p w:rsidR="000D2D5B" w:rsidRPr="00EE008D" w:rsidRDefault="000D2D5B" w:rsidP="00EE008D">
      <w:pPr>
        <w:jc w:val="center"/>
        <w:rPr>
          <w:b/>
        </w:rPr>
      </w:pPr>
      <w:r w:rsidRPr="00EE008D">
        <w:rPr>
          <w:b/>
        </w:rPr>
        <w:lastRenderedPageBreak/>
        <w:t>IX: Conclusion</w:t>
      </w:r>
    </w:p>
    <w:p w:rsidR="00980509" w:rsidRDefault="00980509" w:rsidP="00B04BCF"/>
    <w:p w:rsidR="00837822" w:rsidRDefault="00837822" w:rsidP="00B04BCF">
      <w:r>
        <w:t xml:space="preserve">I have concentrated on examining the adequacy of the Simple Picture of weighing reasons. </w:t>
      </w:r>
      <w:r w:rsidR="00C403CD">
        <w:t>Consequently</w:t>
      </w:r>
      <w:r w:rsidR="006A50AD">
        <w:t>,</w:t>
      </w:r>
      <w:r>
        <w:t xml:space="preserve"> there are important questions about the weighing of reasons </w:t>
      </w:r>
      <w:r w:rsidR="006A50AD">
        <w:t>which have not been discussed</w:t>
      </w:r>
      <w:r w:rsidR="00BA6C7E">
        <w:t xml:space="preserve"> here</w:t>
      </w:r>
      <w:r w:rsidR="006A50AD">
        <w:t xml:space="preserve">, since they are questions </w:t>
      </w:r>
      <w:r>
        <w:t xml:space="preserve">on which the Simple Picture is neutral. There is the metaphysical question, “What </w:t>
      </w:r>
      <w:r>
        <w:rPr>
          <w:i/>
        </w:rPr>
        <w:t>is</w:t>
      </w:r>
      <w:r>
        <w:t xml:space="preserve"> it for one reason to be stronger than another?</w:t>
      </w:r>
      <w:proofErr w:type="gramStart"/>
      <w:r>
        <w:t>”;</w:t>
      </w:r>
      <w:proofErr w:type="gramEnd"/>
      <w:r>
        <w:t xml:space="preserve"> the conceptual question, “Is the concept of a reason </w:t>
      </w:r>
      <w:r w:rsidR="00DA5B45">
        <w:t>more basic than</w:t>
      </w:r>
      <w:r>
        <w:t xml:space="preserve"> the concept of ought, or vice versa (or neither)?”; and the epistemological question, “What warrants me in judging that one reason is stronger than another?” The </w:t>
      </w:r>
      <w:r w:rsidR="00BA6C7E">
        <w:t>last of these</w:t>
      </w:r>
      <w:r>
        <w:t>, especially, merits much more discussion than it typically receives.</w:t>
      </w:r>
    </w:p>
    <w:p w:rsidR="00501868" w:rsidRDefault="00DA5B45" w:rsidP="00B04BCF">
      <w:r>
        <w:tab/>
      </w:r>
      <w:r w:rsidR="00C403CD">
        <w:t>Four main revisions to</w:t>
      </w:r>
      <w:r>
        <w:t xml:space="preserve"> the Simple Picture </w:t>
      </w:r>
      <w:r w:rsidR="00C403CD">
        <w:t>have been discussed</w:t>
      </w:r>
      <w:r>
        <w:t xml:space="preserve">. First, its </w:t>
      </w:r>
      <w:r w:rsidR="00501868">
        <w:t xml:space="preserve">talk of “summing” the weights of reasons needs to be moderated. </w:t>
      </w:r>
      <w:r w:rsidR="00073D21">
        <w:t xml:space="preserve">It cannot be applied to reasons that have a common derivational source. Provided that condition is met, there is a sense in which reasons can be added: the overall support for an action is made stronger by the introduction of extra reasons. But </w:t>
      </w:r>
      <w:r w:rsidR="001C56BD">
        <w:t>t</w:t>
      </w:r>
      <w:r w:rsidR="00501868">
        <w:t xml:space="preserve">he way in which reasons combine to determine what one ought, overall, to do cannot </w:t>
      </w:r>
      <w:r w:rsidR="00BA6C7E">
        <w:t>in general</w:t>
      </w:r>
      <w:r w:rsidR="00337723">
        <w:t xml:space="preserve"> be thought of</w:t>
      </w:r>
      <w:r w:rsidR="00501868">
        <w:t xml:space="preserve"> as </w:t>
      </w:r>
      <w:r w:rsidR="001C56BD">
        <w:t xml:space="preserve">the </w:t>
      </w:r>
      <w:r w:rsidR="00501868">
        <w:t>addition</w:t>
      </w:r>
      <w:r w:rsidR="001C56BD" w:rsidRPr="001C56BD">
        <w:t xml:space="preserve"> </w:t>
      </w:r>
      <w:r w:rsidR="001C56BD">
        <w:t xml:space="preserve">of vectors with </w:t>
      </w:r>
      <w:r w:rsidR="00337723">
        <w:t xml:space="preserve">unique </w:t>
      </w:r>
      <w:r w:rsidR="001C56BD">
        <w:t>cardinal magnitudes</w:t>
      </w:r>
      <w:r w:rsidR="00501868">
        <w:t>.</w:t>
      </w:r>
    </w:p>
    <w:p w:rsidR="002C5CF6" w:rsidRDefault="00073D21" w:rsidP="00B04BCF">
      <w:r>
        <w:tab/>
        <w:t xml:space="preserve">Secondly, we examined whether the Simple Picture needs to be revised to </w:t>
      </w:r>
      <w:r w:rsidR="00C403CD">
        <w:t>allow that</w:t>
      </w:r>
      <w:r>
        <w:t xml:space="preserve"> </w:t>
      </w:r>
      <w:r w:rsidR="0053058C">
        <w:t>the action which is most strongly supported by our reasons need not be required by them</w:t>
      </w:r>
      <w:r>
        <w:t xml:space="preserve">. One </w:t>
      </w:r>
      <w:r w:rsidR="00C403CD">
        <w:t>proposal is to</w:t>
      </w:r>
      <w:r>
        <w:t xml:space="preserve"> discard talk of </w:t>
      </w:r>
      <w:r>
        <w:rPr>
          <w:i/>
        </w:rPr>
        <w:t>the</w:t>
      </w:r>
      <w:r>
        <w:t xml:space="preserve"> weight of a reason, recognizing instead two different kinds of reason-giving force: </w:t>
      </w:r>
      <w:r w:rsidR="002C5CF6">
        <w:t>justifying</w:t>
      </w:r>
      <w:r>
        <w:t xml:space="preserve"> and requiring. But </w:t>
      </w:r>
      <w:r w:rsidR="002C5CF6">
        <w:t>it does not seem obviously wrong to accept t</w:t>
      </w:r>
      <w:r w:rsidR="004A281F">
        <w:t>he</w:t>
      </w:r>
      <w:r>
        <w:t xml:space="preserve"> Simple Picture</w:t>
      </w:r>
      <w:r w:rsidR="002C5CF6">
        <w:t xml:space="preserve">’s claim that </w:t>
      </w:r>
      <w:r w:rsidR="00934902">
        <w:t xml:space="preserve">we are required to do what is most strongly supported by the net balance of reasons, </w:t>
      </w:r>
      <w:r w:rsidR="002C5CF6">
        <w:t>while allowing</w:t>
      </w:r>
      <w:r w:rsidR="00934902">
        <w:t xml:space="preserve"> that those requirements </w:t>
      </w:r>
      <w:r w:rsidR="00BA6C7E">
        <w:t>have varying degrees of seriousness</w:t>
      </w:r>
      <w:r w:rsidR="004A281F">
        <w:t xml:space="preserve">. </w:t>
      </w:r>
    </w:p>
    <w:p w:rsidR="007021E0" w:rsidRDefault="00837822" w:rsidP="00B04BCF">
      <w:r>
        <w:lastRenderedPageBreak/>
        <w:tab/>
      </w:r>
      <w:r w:rsidR="00934902">
        <w:t>In a third respect, however – its</w:t>
      </w:r>
      <w:r w:rsidR="00980509">
        <w:t xml:space="preserve"> account of rational deliberation and action </w:t>
      </w:r>
      <w:r w:rsidR="00934902">
        <w:t xml:space="preserve">– we found that the Simple Picture </w:t>
      </w:r>
      <w:r w:rsidR="00980509">
        <w:t xml:space="preserve">is </w:t>
      </w:r>
      <w:r w:rsidR="00934902">
        <w:t xml:space="preserve">definitely </w:t>
      </w:r>
      <w:r w:rsidR="00980509">
        <w:t xml:space="preserve">too crude. It says that rational deliberation is weighing reasons correctly, and that acting rationally is doing what there is most reason to do. Instead, we should characterize rationality </w:t>
      </w:r>
      <w:r w:rsidR="002C5CF6">
        <w:t>as non-accidental sensitivity to</w:t>
      </w:r>
      <w:r w:rsidR="00980509">
        <w:t xml:space="preserve"> evidence of one’s reasons</w:t>
      </w:r>
      <w:r w:rsidR="007021E0">
        <w:t xml:space="preserve">. </w:t>
      </w:r>
    </w:p>
    <w:p w:rsidR="00980509" w:rsidRDefault="00980509" w:rsidP="00B04BCF">
      <w:r>
        <w:tab/>
      </w:r>
      <w:r w:rsidR="00934902">
        <w:t>Fourthly, we</w:t>
      </w:r>
      <w:r w:rsidR="007021E0">
        <w:t xml:space="preserve"> consider</w:t>
      </w:r>
      <w:r w:rsidR="00934902">
        <w:t>ed</w:t>
      </w:r>
      <w:r>
        <w:t xml:space="preserve"> the possibility that the normative weight that one reason</w:t>
      </w:r>
      <w:r w:rsidR="006A50AD">
        <w:t>-</w:t>
      </w:r>
      <w:r>
        <w:t xml:space="preserve">giving </w:t>
      </w:r>
      <w:r w:rsidRPr="00B04BCF">
        <w:t xml:space="preserve">fact </w:t>
      </w:r>
      <w:r w:rsidR="006A50AD" w:rsidRPr="00B04BCF">
        <w:t>contributes to supporting</w:t>
      </w:r>
      <w:r w:rsidRPr="00B04BCF">
        <w:t xml:space="preserve"> an action may be affected by its relationship to the other facts</w:t>
      </w:r>
      <w:r>
        <w:t xml:space="preserve"> that are part of the same context.</w:t>
      </w:r>
      <w:r w:rsidR="00EF055D">
        <w:t xml:space="preserve"> This does not cast doubt on the idea that the overall </w:t>
      </w:r>
      <w:r w:rsidR="00EF055D" w:rsidRPr="00B04BCF">
        <w:t>normative character of our actions is determined by the comparative weights of the reasons</w:t>
      </w:r>
      <w:r w:rsidR="00EF055D">
        <w:t xml:space="preserve"> that bear on them</w:t>
      </w:r>
      <w:r w:rsidR="00460C5B">
        <w:t xml:space="preserve">, nor that </w:t>
      </w:r>
      <w:r w:rsidR="006A50AD">
        <w:t xml:space="preserve">rational </w:t>
      </w:r>
      <w:r w:rsidR="00460C5B">
        <w:t xml:space="preserve">deliberation involves doing our best to assess those weights. </w:t>
      </w:r>
      <w:r w:rsidR="00CA51B2">
        <w:t>But it suggests that good deliberation may also first need to be sensitive to the ways in which the interactions between the different elements of a situation may determine which of those elements are reason-providing, and how much weight they carry.</w:t>
      </w:r>
      <w:r w:rsidR="008E75F1">
        <w:rPr>
          <w:rStyle w:val="EndnoteReference"/>
        </w:rPr>
        <w:endnoteReference w:id="21"/>
      </w:r>
    </w:p>
    <w:p w:rsidR="000D2D5B" w:rsidRPr="000D2D5B" w:rsidRDefault="000D2D5B" w:rsidP="00B04BCF"/>
    <w:p w:rsidR="000D2D5B" w:rsidRPr="006E653B" w:rsidRDefault="000D2D5B" w:rsidP="00B04BCF"/>
    <w:p w:rsidR="006E653B" w:rsidRPr="006E653B" w:rsidRDefault="006E653B" w:rsidP="003D5FF4">
      <w:pPr>
        <w:tabs>
          <w:tab w:val="decimal" w:pos="8364"/>
        </w:tabs>
        <w:spacing w:line="360" w:lineRule="auto"/>
        <w:ind w:left="6237"/>
      </w:pPr>
      <w:r w:rsidRPr="006E653B">
        <w:t>Word count</w:t>
      </w:r>
    </w:p>
    <w:p w:rsidR="006E653B" w:rsidRPr="006E653B" w:rsidRDefault="006E653B" w:rsidP="003D5FF4">
      <w:pPr>
        <w:tabs>
          <w:tab w:val="decimal" w:pos="8364"/>
        </w:tabs>
        <w:spacing w:line="360" w:lineRule="auto"/>
        <w:ind w:left="6237"/>
      </w:pPr>
      <w:proofErr w:type="gramStart"/>
      <w:r w:rsidRPr="006E653B">
        <w:t>text</w:t>
      </w:r>
      <w:proofErr w:type="gramEnd"/>
      <w:r w:rsidRPr="006E653B">
        <w:t xml:space="preserve"> </w:t>
      </w:r>
      <w:r w:rsidRPr="006E653B">
        <w:tab/>
      </w:r>
      <w:r w:rsidR="003D5FF4">
        <w:t>8,9</w:t>
      </w:r>
      <w:r w:rsidR="00F17F61">
        <w:t>81</w:t>
      </w:r>
      <w:r w:rsidRPr="006E653B">
        <w:t xml:space="preserve"> </w:t>
      </w:r>
    </w:p>
    <w:p w:rsidR="006E653B" w:rsidRDefault="006E653B" w:rsidP="003D5FF4">
      <w:pPr>
        <w:tabs>
          <w:tab w:val="decimal" w:pos="8364"/>
        </w:tabs>
        <w:spacing w:line="360" w:lineRule="auto"/>
        <w:ind w:left="6237"/>
      </w:pPr>
      <w:proofErr w:type="gramStart"/>
      <w:r w:rsidRPr="006E653B">
        <w:t>notes</w:t>
      </w:r>
      <w:proofErr w:type="gramEnd"/>
      <w:r w:rsidR="003D5FF4">
        <w:t xml:space="preserve"> and refs</w:t>
      </w:r>
      <w:r w:rsidRPr="006E653B">
        <w:t xml:space="preserve"> </w:t>
      </w:r>
      <w:r w:rsidRPr="006E653B">
        <w:tab/>
      </w:r>
      <w:r w:rsidR="003D5FF4">
        <w:t>1,0</w:t>
      </w:r>
      <w:r w:rsidR="00F17F61">
        <w:t>60</w:t>
      </w:r>
    </w:p>
    <w:p w:rsidR="001E6722" w:rsidRPr="00D04771" w:rsidRDefault="006E653B" w:rsidP="003D5FF4">
      <w:pPr>
        <w:tabs>
          <w:tab w:val="decimal" w:pos="8364"/>
        </w:tabs>
        <w:spacing w:line="360" w:lineRule="auto"/>
        <w:ind w:left="6237"/>
      </w:pPr>
      <w:proofErr w:type="gramStart"/>
      <w:r>
        <w:t>total</w:t>
      </w:r>
      <w:proofErr w:type="gramEnd"/>
      <w:r>
        <w:t xml:space="preserve">     </w:t>
      </w:r>
      <w:r w:rsidR="003D5FF4">
        <w:tab/>
        <w:t>10,0</w:t>
      </w:r>
      <w:r w:rsidR="00F17F61">
        <w:t>41</w:t>
      </w:r>
    </w:p>
    <w:p w:rsidR="00D04771" w:rsidRDefault="00D04771" w:rsidP="00B04BCF"/>
    <w:p w:rsidR="00B04BCF" w:rsidRDefault="00B04BCF" w:rsidP="00B04BCF"/>
    <w:p w:rsidR="00B04BCF" w:rsidRDefault="00B04BCF" w:rsidP="00B04BCF"/>
    <w:p w:rsidR="00F17F61" w:rsidRDefault="00F17F61">
      <w:pPr>
        <w:tabs>
          <w:tab w:val="clear" w:pos="284"/>
        </w:tabs>
        <w:spacing w:before="0" w:after="200" w:line="276" w:lineRule="auto"/>
        <w:jc w:val="left"/>
        <w:rPr>
          <w:b/>
        </w:rPr>
      </w:pPr>
      <w:r>
        <w:rPr>
          <w:b/>
        </w:rPr>
        <w:br w:type="page"/>
      </w:r>
    </w:p>
    <w:p w:rsidR="00B04BCF" w:rsidRPr="00060ADA" w:rsidRDefault="00060ADA" w:rsidP="00B04BCF">
      <w:pPr>
        <w:rPr>
          <w:b/>
        </w:rPr>
      </w:pPr>
      <w:r>
        <w:rPr>
          <w:b/>
        </w:rPr>
        <w:lastRenderedPageBreak/>
        <w:t>References</w:t>
      </w:r>
    </w:p>
    <w:p w:rsidR="00B04BCF" w:rsidRDefault="00B04BCF" w:rsidP="00B04BCF"/>
    <w:p w:rsidR="005809DA" w:rsidRPr="005809DA" w:rsidRDefault="00B04BCF" w:rsidP="005809DA">
      <w:pPr>
        <w:pStyle w:val="EndNoteBibliography"/>
        <w:spacing w:after="360"/>
        <w:ind w:left="720" w:hanging="720"/>
      </w:pPr>
      <w:r>
        <w:fldChar w:fldCharType="begin"/>
      </w:r>
      <w:r>
        <w:instrText xml:space="preserve"> ADDIN EN.REFLIST </w:instrText>
      </w:r>
      <w:r>
        <w:fldChar w:fldCharType="separate"/>
      </w:r>
      <w:bookmarkStart w:id="1" w:name="_ENREF_1"/>
      <w:r w:rsidR="005809DA" w:rsidRPr="005809DA">
        <w:t xml:space="preserve">Arpaly, Nomy (2003). </w:t>
      </w:r>
      <w:r w:rsidR="005809DA" w:rsidRPr="005809DA">
        <w:rPr>
          <w:u w:val="single"/>
        </w:rPr>
        <w:t>Unprincipled Virtue</w:t>
      </w:r>
      <w:r w:rsidR="005809DA" w:rsidRPr="005809DA">
        <w:t>. New York: Oxford University Press.</w:t>
      </w:r>
      <w:bookmarkEnd w:id="1"/>
    </w:p>
    <w:p w:rsidR="005809DA" w:rsidRPr="005809DA" w:rsidRDefault="005809DA" w:rsidP="005809DA">
      <w:pPr>
        <w:pStyle w:val="EndNoteBibliography"/>
        <w:spacing w:after="360"/>
        <w:ind w:left="720" w:hanging="720"/>
      </w:pPr>
      <w:bookmarkStart w:id="2" w:name="_ENREF_2"/>
      <w:r w:rsidRPr="005809DA">
        <w:t xml:space="preserve">Broome, John (1997). "Is Incommensurability Vagueness?". </w:t>
      </w:r>
      <w:r w:rsidRPr="005809DA">
        <w:rPr>
          <w:u w:val="single"/>
        </w:rPr>
        <w:t>Incommensurability, Incomparability and Practical Reason</w:t>
      </w:r>
      <w:r w:rsidRPr="005809DA">
        <w:t>. R. Chang. Cambridge, Mass.: Harvard University Press</w:t>
      </w:r>
      <w:r w:rsidRPr="005809DA">
        <w:rPr>
          <w:b/>
        </w:rPr>
        <w:t xml:space="preserve">: </w:t>
      </w:r>
      <w:r w:rsidRPr="005809DA">
        <w:t>67-89.</w:t>
      </w:r>
      <w:bookmarkEnd w:id="2"/>
    </w:p>
    <w:p w:rsidR="005809DA" w:rsidRPr="005809DA" w:rsidRDefault="005809DA" w:rsidP="005809DA">
      <w:pPr>
        <w:pStyle w:val="EndNoteBibliography"/>
        <w:spacing w:after="360"/>
        <w:ind w:left="720" w:hanging="720"/>
      </w:pPr>
      <w:bookmarkStart w:id="3" w:name="_ENREF_3"/>
      <w:r w:rsidRPr="005809DA">
        <w:t xml:space="preserve">Broome, John (2004). </w:t>
      </w:r>
      <w:r w:rsidRPr="005809DA">
        <w:rPr>
          <w:u w:val="single"/>
        </w:rPr>
        <w:t>Weighing Lives</w:t>
      </w:r>
      <w:r w:rsidRPr="005809DA">
        <w:t>. Oxford: Oxford University Press.</w:t>
      </w:r>
      <w:bookmarkEnd w:id="3"/>
    </w:p>
    <w:p w:rsidR="005809DA" w:rsidRPr="005809DA" w:rsidRDefault="005809DA" w:rsidP="005809DA">
      <w:pPr>
        <w:pStyle w:val="EndNoteBibliography"/>
        <w:spacing w:after="360"/>
        <w:ind w:left="720" w:hanging="720"/>
      </w:pPr>
      <w:bookmarkStart w:id="4" w:name="_ENREF_4"/>
      <w:r w:rsidRPr="005809DA">
        <w:t xml:space="preserve">Broome, John (2013). </w:t>
      </w:r>
      <w:r w:rsidRPr="005809DA">
        <w:rPr>
          <w:u w:val="single"/>
        </w:rPr>
        <w:t>Rationality through Reasoning</w:t>
      </w:r>
      <w:r w:rsidRPr="005809DA">
        <w:t>. Oxford: Wiley Blackwell.</w:t>
      </w:r>
      <w:bookmarkEnd w:id="4"/>
    </w:p>
    <w:p w:rsidR="005809DA" w:rsidRPr="005809DA" w:rsidRDefault="005809DA" w:rsidP="005809DA">
      <w:pPr>
        <w:pStyle w:val="EndNoteBibliography"/>
        <w:spacing w:after="360"/>
        <w:ind w:left="720" w:hanging="720"/>
      </w:pPr>
      <w:bookmarkStart w:id="5" w:name="_ENREF_5"/>
      <w:r w:rsidRPr="005809DA">
        <w:t xml:space="preserve">Chang, Ruth (2002). "The Possibility of Parity". </w:t>
      </w:r>
      <w:r w:rsidRPr="005809DA">
        <w:rPr>
          <w:u w:val="single"/>
        </w:rPr>
        <w:t xml:space="preserve">Ethics </w:t>
      </w:r>
      <w:r w:rsidRPr="005809DA">
        <w:rPr>
          <w:b/>
        </w:rPr>
        <w:t>112</w:t>
      </w:r>
      <w:r w:rsidRPr="005809DA">
        <w:t>: 659-688</w:t>
      </w:r>
      <w:bookmarkEnd w:id="5"/>
    </w:p>
    <w:p w:rsidR="005809DA" w:rsidRPr="005809DA" w:rsidRDefault="005809DA" w:rsidP="005809DA">
      <w:pPr>
        <w:pStyle w:val="EndNoteBibliography"/>
        <w:spacing w:after="360"/>
        <w:ind w:left="720" w:hanging="720"/>
      </w:pPr>
      <w:bookmarkStart w:id="6" w:name="_ENREF_6"/>
      <w:r w:rsidRPr="005809DA">
        <w:t xml:space="preserve">Cullity, Garrett (2008). "Decisions, Reasons and Rationality". </w:t>
      </w:r>
      <w:r w:rsidRPr="005809DA">
        <w:rPr>
          <w:u w:val="single"/>
        </w:rPr>
        <w:t>Ethics</w:t>
      </w:r>
      <w:r w:rsidRPr="005809DA">
        <w:t xml:space="preserve"> </w:t>
      </w:r>
      <w:r w:rsidRPr="005809DA">
        <w:rPr>
          <w:b/>
        </w:rPr>
        <w:t>119</w:t>
      </w:r>
      <w:r w:rsidRPr="005809DA">
        <w:t>: 57-95</w:t>
      </w:r>
      <w:bookmarkEnd w:id="6"/>
    </w:p>
    <w:p w:rsidR="005809DA" w:rsidRPr="005809DA" w:rsidRDefault="005809DA" w:rsidP="005809DA">
      <w:pPr>
        <w:pStyle w:val="EndNoteBibliography"/>
        <w:spacing w:after="360"/>
        <w:ind w:left="720" w:hanging="720"/>
      </w:pPr>
      <w:bookmarkStart w:id="7" w:name="_ENREF_7"/>
      <w:r w:rsidRPr="005809DA">
        <w:t xml:space="preserve">Cullity, Garrett (2013). "The Context-Undermining of Practical Reasons". </w:t>
      </w:r>
      <w:r w:rsidRPr="005809DA">
        <w:rPr>
          <w:u w:val="single"/>
        </w:rPr>
        <w:t>Ethics</w:t>
      </w:r>
      <w:r w:rsidRPr="005809DA">
        <w:t xml:space="preserve"> </w:t>
      </w:r>
      <w:r w:rsidRPr="005809DA">
        <w:rPr>
          <w:b/>
        </w:rPr>
        <w:t>124</w:t>
      </w:r>
      <w:r w:rsidRPr="005809DA">
        <w:t>: 1-27</w:t>
      </w:r>
      <w:bookmarkEnd w:id="7"/>
    </w:p>
    <w:p w:rsidR="005809DA" w:rsidRPr="005809DA" w:rsidRDefault="005809DA" w:rsidP="005809DA">
      <w:pPr>
        <w:pStyle w:val="EndNoteBibliography"/>
        <w:spacing w:after="360"/>
        <w:ind w:left="720" w:hanging="720"/>
      </w:pPr>
      <w:bookmarkStart w:id="8" w:name="_ENREF_8"/>
      <w:r w:rsidRPr="005809DA">
        <w:t xml:space="preserve">Dancy, Jonathan (2004). </w:t>
      </w:r>
      <w:r w:rsidRPr="005809DA">
        <w:rPr>
          <w:u w:val="single"/>
        </w:rPr>
        <w:t>Ethics without Principles</w:t>
      </w:r>
      <w:r w:rsidRPr="005809DA">
        <w:t>. Oxford: Clarendon Press.</w:t>
      </w:r>
      <w:bookmarkEnd w:id="8"/>
    </w:p>
    <w:p w:rsidR="005809DA" w:rsidRPr="005809DA" w:rsidRDefault="005809DA" w:rsidP="005809DA">
      <w:pPr>
        <w:pStyle w:val="EndNoteBibliography"/>
        <w:spacing w:after="360"/>
        <w:ind w:left="720" w:hanging="720"/>
      </w:pPr>
      <w:bookmarkStart w:id="9" w:name="_ENREF_9"/>
      <w:r w:rsidRPr="005809DA">
        <w:t xml:space="preserve">Dancy, Jonathan (2006). "Enticing Reasons". </w:t>
      </w:r>
      <w:r w:rsidRPr="005809DA">
        <w:rPr>
          <w:u w:val="single"/>
        </w:rPr>
        <w:t>Reason and Value: Themes from the Moral Philosophy of Joseph Raz</w:t>
      </w:r>
      <w:r w:rsidRPr="005809DA">
        <w:t>. R. J. Wallace, P. Pettit and S. Scheffler. Oxford: Oxford University Press</w:t>
      </w:r>
      <w:r w:rsidRPr="005809DA">
        <w:rPr>
          <w:b/>
        </w:rPr>
        <w:t xml:space="preserve">: </w:t>
      </w:r>
      <w:r w:rsidRPr="005809DA">
        <w:t>91-118.</w:t>
      </w:r>
      <w:bookmarkEnd w:id="9"/>
    </w:p>
    <w:p w:rsidR="005809DA" w:rsidRPr="005809DA" w:rsidRDefault="005809DA" w:rsidP="005809DA">
      <w:pPr>
        <w:pStyle w:val="EndNoteBibliography"/>
        <w:spacing w:after="360"/>
        <w:ind w:left="720" w:hanging="720"/>
      </w:pPr>
      <w:bookmarkStart w:id="10" w:name="_ENREF_10"/>
      <w:r w:rsidRPr="005809DA">
        <w:t xml:space="preserve">Gert, Joshua (2004). </w:t>
      </w:r>
      <w:r w:rsidRPr="005809DA">
        <w:rPr>
          <w:u w:val="single"/>
        </w:rPr>
        <w:t>Brute Rationality</w:t>
      </w:r>
      <w:r w:rsidRPr="005809DA">
        <w:t>. Cambridge: Cambridge University Press.</w:t>
      </w:r>
      <w:bookmarkEnd w:id="10"/>
    </w:p>
    <w:p w:rsidR="005809DA" w:rsidRPr="005809DA" w:rsidRDefault="005809DA" w:rsidP="005809DA">
      <w:pPr>
        <w:pStyle w:val="EndNoteBibliography"/>
        <w:spacing w:after="360"/>
        <w:ind w:left="720" w:hanging="720"/>
      </w:pPr>
      <w:bookmarkStart w:id="11" w:name="_ENREF_11"/>
      <w:r w:rsidRPr="005809DA">
        <w:t xml:space="preserve">Gert, Joshua (2007). "Normative Strength and the Balance of Reasons". </w:t>
      </w:r>
      <w:r w:rsidRPr="005809DA">
        <w:rPr>
          <w:u w:val="single"/>
        </w:rPr>
        <w:t>Philosophical Review</w:t>
      </w:r>
      <w:r w:rsidRPr="005809DA">
        <w:t xml:space="preserve"> </w:t>
      </w:r>
      <w:r w:rsidRPr="005809DA">
        <w:rPr>
          <w:b/>
        </w:rPr>
        <w:t>116</w:t>
      </w:r>
      <w:r w:rsidRPr="005809DA">
        <w:t>: 533-562</w:t>
      </w:r>
      <w:bookmarkEnd w:id="11"/>
    </w:p>
    <w:p w:rsidR="005809DA" w:rsidRPr="005809DA" w:rsidRDefault="005809DA" w:rsidP="005809DA">
      <w:pPr>
        <w:pStyle w:val="EndNoteBibliography"/>
        <w:spacing w:after="360"/>
        <w:ind w:left="720" w:hanging="720"/>
      </w:pPr>
      <w:bookmarkStart w:id="12" w:name="_ENREF_12"/>
      <w:r w:rsidRPr="005809DA">
        <w:t xml:space="preserve">Greenspan, Patricia (2005). "Asymmetrical Practical Reasons". </w:t>
      </w:r>
      <w:r w:rsidRPr="005809DA">
        <w:rPr>
          <w:u w:val="single"/>
        </w:rPr>
        <w:t>Experience and Analysis: Proceedings of the 27th International Wittgenstein Symposium</w:t>
      </w:r>
      <w:r w:rsidRPr="005809DA">
        <w:t>. M. E. a. J. C. M. Reicher. Vienna: oebv&amp;hpt</w:t>
      </w:r>
      <w:r w:rsidRPr="005809DA">
        <w:rPr>
          <w:b/>
        </w:rPr>
        <w:t xml:space="preserve">: </w:t>
      </w:r>
      <w:r w:rsidRPr="005809DA">
        <w:t>115-122.</w:t>
      </w:r>
      <w:bookmarkEnd w:id="12"/>
    </w:p>
    <w:p w:rsidR="005809DA" w:rsidRPr="005809DA" w:rsidRDefault="005809DA" w:rsidP="005809DA">
      <w:pPr>
        <w:pStyle w:val="EndNoteBibliography"/>
        <w:spacing w:after="360"/>
        <w:ind w:left="720" w:hanging="720"/>
      </w:pPr>
      <w:bookmarkStart w:id="13" w:name="_ENREF_13"/>
      <w:r w:rsidRPr="005809DA">
        <w:t xml:space="preserve">Griffin, James (1986). </w:t>
      </w:r>
      <w:r w:rsidRPr="005809DA">
        <w:rPr>
          <w:u w:val="single"/>
        </w:rPr>
        <w:t>Well-Being: Its Meaning, Measurement and Moral Importance</w:t>
      </w:r>
      <w:r w:rsidRPr="005809DA">
        <w:t>. Oxford: Clarendon Press.</w:t>
      </w:r>
      <w:bookmarkEnd w:id="13"/>
    </w:p>
    <w:p w:rsidR="005809DA" w:rsidRPr="005809DA" w:rsidRDefault="005809DA" w:rsidP="005809DA">
      <w:pPr>
        <w:pStyle w:val="EndNoteBibliography"/>
        <w:spacing w:after="360"/>
        <w:ind w:left="720" w:hanging="720"/>
      </w:pPr>
      <w:bookmarkStart w:id="14" w:name="_ENREF_14"/>
      <w:r w:rsidRPr="005809DA">
        <w:t xml:space="preserve">Horty, John F. (2007). "Reasons as Defaults". </w:t>
      </w:r>
      <w:r w:rsidRPr="005809DA">
        <w:rPr>
          <w:u w:val="single"/>
        </w:rPr>
        <w:t>Philosophers’ Imprint</w:t>
      </w:r>
      <w:r w:rsidRPr="005809DA">
        <w:t xml:space="preserve"> </w:t>
      </w:r>
      <w:r w:rsidRPr="005809DA">
        <w:rPr>
          <w:b/>
        </w:rPr>
        <w:t>7</w:t>
      </w:r>
      <w:r w:rsidRPr="005809DA">
        <w:t>. &lt;</w:t>
      </w:r>
      <w:hyperlink r:id="rId9" w:history="1">
        <w:r w:rsidRPr="005809DA">
          <w:rPr>
            <w:rStyle w:val="Hyperlink"/>
          </w:rPr>
          <w:t>www.philosophersimprint.org/007003/</w:t>
        </w:r>
      </w:hyperlink>
      <w:r w:rsidRPr="005809DA">
        <w:t>&gt;</w:t>
      </w:r>
      <w:bookmarkEnd w:id="14"/>
    </w:p>
    <w:p w:rsidR="005809DA" w:rsidRPr="005809DA" w:rsidRDefault="005809DA" w:rsidP="005809DA">
      <w:pPr>
        <w:pStyle w:val="EndNoteBibliography"/>
        <w:spacing w:after="360"/>
        <w:ind w:left="720" w:hanging="720"/>
      </w:pPr>
      <w:bookmarkStart w:id="15" w:name="_ENREF_15"/>
      <w:r w:rsidRPr="005809DA">
        <w:t xml:space="preserve">Horty, John F. (2012). </w:t>
      </w:r>
      <w:r w:rsidRPr="005809DA">
        <w:rPr>
          <w:u w:val="single"/>
        </w:rPr>
        <w:t>Reasons as Defaults</w:t>
      </w:r>
      <w:r w:rsidRPr="005809DA">
        <w:t>. New York: Oxford University Press.</w:t>
      </w:r>
      <w:bookmarkEnd w:id="15"/>
    </w:p>
    <w:p w:rsidR="005809DA" w:rsidRPr="005809DA" w:rsidRDefault="005809DA" w:rsidP="005809DA">
      <w:pPr>
        <w:pStyle w:val="EndNoteBibliography"/>
        <w:spacing w:after="360"/>
        <w:ind w:left="720" w:hanging="720"/>
      </w:pPr>
      <w:bookmarkStart w:id="16" w:name="_ENREF_16"/>
      <w:r w:rsidRPr="005809DA">
        <w:lastRenderedPageBreak/>
        <w:t xml:space="preserve">Jackson, Frank (1981). "Decision-theoretic Consequentialism and the Nearest and Dearest Objection". </w:t>
      </w:r>
      <w:r w:rsidRPr="005809DA">
        <w:rPr>
          <w:u w:val="single"/>
        </w:rPr>
        <w:t>Ethics</w:t>
      </w:r>
      <w:r w:rsidRPr="005809DA">
        <w:t xml:space="preserve"> </w:t>
      </w:r>
      <w:r w:rsidRPr="005809DA">
        <w:rPr>
          <w:b/>
        </w:rPr>
        <w:t>101</w:t>
      </w:r>
      <w:r w:rsidRPr="005809DA">
        <w:t>: 461-482</w:t>
      </w:r>
      <w:bookmarkEnd w:id="16"/>
    </w:p>
    <w:p w:rsidR="005809DA" w:rsidRPr="005809DA" w:rsidRDefault="005809DA" w:rsidP="005809DA">
      <w:pPr>
        <w:pStyle w:val="EndNoteBibliography"/>
        <w:spacing w:after="360"/>
        <w:ind w:left="720" w:hanging="720"/>
      </w:pPr>
      <w:bookmarkStart w:id="17" w:name="_ENREF_17"/>
      <w:r w:rsidRPr="005809DA">
        <w:t xml:space="preserve">Kolodny, Niko (2005). "Why be Rational?". </w:t>
      </w:r>
      <w:r w:rsidRPr="005809DA">
        <w:rPr>
          <w:u w:val="single"/>
        </w:rPr>
        <w:t>Mind</w:t>
      </w:r>
      <w:r w:rsidRPr="005809DA">
        <w:t xml:space="preserve"> </w:t>
      </w:r>
      <w:r w:rsidRPr="005809DA">
        <w:rPr>
          <w:b/>
        </w:rPr>
        <w:t>114</w:t>
      </w:r>
      <w:r w:rsidRPr="005809DA">
        <w:t>: 509-563</w:t>
      </w:r>
      <w:bookmarkEnd w:id="17"/>
    </w:p>
    <w:p w:rsidR="005809DA" w:rsidRPr="005809DA" w:rsidRDefault="005809DA" w:rsidP="005809DA">
      <w:pPr>
        <w:pStyle w:val="EndNoteBibliography"/>
        <w:spacing w:after="360"/>
        <w:ind w:left="720" w:hanging="720"/>
      </w:pPr>
      <w:bookmarkStart w:id="18" w:name="_ENREF_18"/>
      <w:r w:rsidRPr="005809DA">
        <w:t xml:space="preserve">Korsgaard, Christine M. (1986). "Skepticism about Practical Reason". </w:t>
      </w:r>
      <w:r w:rsidRPr="005809DA">
        <w:rPr>
          <w:u w:val="single"/>
        </w:rPr>
        <w:t>The Journal of Philosophy</w:t>
      </w:r>
      <w:r w:rsidRPr="005809DA">
        <w:t xml:space="preserve"> </w:t>
      </w:r>
      <w:r w:rsidRPr="005809DA">
        <w:rPr>
          <w:b/>
        </w:rPr>
        <w:t>83</w:t>
      </w:r>
      <w:r w:rsidRPr="005809DA">
        <w:t>: 5-25</w:t>
      </w:r>
      <w:bookmarkEnd w:id="18"/>
    </w:p>
    <w:p w:rsidR="005809DA" w:rsidRPr="005809DA" w:rsidRDefault="005809DA" w:rsidP="005809DA">
      <w:pPr>
        <w:pStyle w:val="EndNoteBibliography"/>
        <w:spacing w:after="360"/>
        <w:ind w:left="720" w:hanging="720"/>
      </w:pPr>
      <w:bookmarkStart w:id="19" w:name="_ENREF_19"/>
      <w:r w:rsidRPr="005809DA">
        <w:t xml:space="preserve">Lewis, David (1986). "Causal Explanation". </w:t>
      </w:r>
      <w:r w:rsidRPr="005809DA">
        <w:rPr>
          <w:u w:val="single"/>
        </w:rPr>
        <w:t>Philosophical Papers</w:t>
      </w:r>
      <w:r w:rsidRPr="005809DA">
        <w:t>. his. Oxford: Oxford University Press</w:t>
      </w:r>
      <w:r w:rsidRPr="005809DA">
        <w:rPr>
          <w:b/>
        </w:rPr>
        <w:t xml:space="preserve">: </w:t>
      </w:r>
      <w:r w:rsidRPr="005809DA">
        <w:t>214-240.</w:t>
      </w:r>
      <w:bookmarkEnd w:id="19"/>
    </w:p>
    <w:p w:rsidR="005809DA" w:rsidRPr="005809DA" w:rsidRDefault="005809DA" w:rsidP="005809DA">
      <w:pPr>
        <w:pStyle w:val="EndNoteBibliography"/>
        <w:spacing w:after="360"/>
        <w:ind w:left="720" w:hanging="720"/>
      </w:pPr>
      <w:bookmarkStart w:id="20" w:name="_ENREF_20"/>
      <w:r w:rsidRPr="005809DA">
        <w:t xml:space="preserve">McNaughton, David and Piers Rawling (2004). "Duty, Rationality, and Practical Reasons". </w:t>
      </w:r>
      <w:r w:rsidRPr="005809DA">
        <w:rPr>
          <w:u w:val="single"/>
        </w:rPr>
        <w:t>The Oxford Handbook of Rationality</w:t>
      </w:r>
      <w:r w:rsidRPr="005809DA">
        <w:t>. A. R. Mele and P. Rawling. Oxford: Oxford University Press</w:t>
      </w:r>
      <w:r w:rsidRPr="005809DA">
        <w:rPr>
          <w:b/>
        </w:rPr>
        <w:t xml:space="preserve">: </w:t>
      </w:r>
      <w:r w:rsidRPr="005809DA">
        <w:t>110-131.</w:t>
      </w:r>
      <w:bookmarkEnd w:id="20"/>
    </w:p>
    <w:p w:rsidR="005809DA" w:rsidRPr="005809DA" w:rsidRDefault="005809DA" w:rsidP="005809DA">
      <w:pPr>
        <w:pStyle w:val="EndNoteBibliography"/>
        <w:spacing w:after="360"/>
        <w:ind w:left="720" w:hanging="720"/>
      </w:pPr>
      <w:bookmarkStart w:id="21" w:name="_ENREF_21"/>
      <w:r w:rsidRPr="005809DA">
        <w:t xml:space="preserve">Mellers, B. A., A. Schwartz, et al. (1998). "Judgment and Decision Making". </w:t>
      </w:r>
      <w:r w:rsidRPr="005809DA">
        <w:rPr>
          <w:u w:val="single"/>
        </w:rPr>
        <w:t>Annual Review of Psychology</w:t>
      </w:r>
      <w:r w:rsidRPr="005809DA">
        <w:t xml:space="preserve"> </w:t>
      </w:r>
      <w:r w:rsidRPr="005809DA">
        <w:rPr>
          <w:b/>
        </w:rPr>
        <w:t>49</w:t>
      </w:r>
      <w:r w:rsidRPr="005809DA">
        <w:t>: 447-477</w:t>
      </w:r>
      <w:bookmarkEnd w:id="21"/>
    </w:p>
    <w:p w:rsidR="005809DA" w:rsidRPr="005809DA" w:rsidRDefault="005809DA" w:rsidP="005809DA">
      <w:pPr>
        <w:pStyle w:val="EndNoteBibliography"/>
        <w:spacing w:after="360"/>
        <w:ind w:left="720" w:hanging="720"/>
      </w:pPr>
      <w:bookmarkStart w:id="22" w:name="_ENREF_22"/>
      <w:r w:rsidRPr="005809DA">
        <w:t xml:space="preserve">Moore, G.E. (1903). </w:t>
      </w:r>
      <w:r w:rsidRPr="005809DA">
        <w:rPr>
          <w:u w:val="single"/>
        </w:rPr>
        <w:t>Principia Ethica</w:t>
      </w:r>
      <w:r w:rsidRPr="005809DA">
        <w:t>. Cambridge: Cambridge University Press.</w:t>
      </w:r>
      <w:bookmarkEnd w:id="22"/>
    </w:p>
    <w:p w:rsidR="005809DA" w:rsidRPr="005809DA" w:rsidRDefault="005809DA" w:rsidP="005809DA">
      <w:pPr>
        <w:pStyle w:val="EndNoteBibliography"/>
        <w:spacing w:after="360"/>
        <w:ind w:left="720" w:hanging="720"/>
      </w:pPr>
      <w:bookmarkStart w:id="23" w:name="_ENREF_23"/>
      <w:r w:rsidRPr="005809DA">
        <w:t xml:space="preserve">Parfit, Derek (2011). </w:t>
      </w:r>
      <w:r w:rsidRPr="005809DA">
        <w:rPr>
          <w:u w:val="single"/>
        </w:rPr>
        <w:t>On What Matters</w:t>
      </w:r>
      <w:r w:rsidRPr="005809DA">
        <w:t>. Oxford: Oxford University Press.</w:t>
      </w:r>
      <w:bookmarkEnd w:id="23"/>
    </w:p>
    <w:p w:rsidR="005809DA" w:rsidRPr="005809DA" w:rsidRDefault="005809DA" w:rsidP="005809DA">
      <w:pPr>
        <w:pStyle w:val="EndNoteBibliography"/>
        <w:spacing w:after="360"/>
        <w:ind w:left="720" w:hanging="720"/>
      </w:pPr>
      <w:bookmarkStart w:id="24" w:name="_ENREF_24"/>
      <w:r w:rsidRPr="005809DA">
        <w:t xml:space="preserve">Raz, Joseph (1999). </w:t>
      </w:r>
      <w:r w:rsidRPr="005809DA">
        <w:rPr>
          <w:u w:val="single"/>
        </w:rPr>
        <w:t>Practical Reason and Norms</w:t>
      </w:r>
      <w:r w:rsidRPr="005809DA">
        <w:t>. Oxford: Oxford University Press.</w:t>
      </w:r>
      <w:bookmarkEnd w:id="24"/>
    </w:p>
    <w:p w:rsidR="005809DA" w:rsidRPr="005809DA" w:rsidRDefault="005809DA" w:rsidP="005809DA">
      <w:pPr>
        <w:pStyle w:val="EndNoteBibliography"/>
        <w:spacing w:after="360"/>
        <w:ind w:left="720" w:hanging="720"/>
      </w:pPr>
      <w:bookmarkStart w:id="25" w:name="_ENREF_25"/>
      <w:r w:rsidRPr="005809DA">
        <w:t xml:space="preserve">Raz, Joseph (2000). "The Truth in Particularism". </w:t>
      </w:r>
      <w:r w:rsidRPr="005809DA">
        <w:rPr>
          <w:u w:val="single"/>
        </w:rPr>
        <w:t>Moral Particularism</w:t>
      </w:r>
      <w:r w:rsidRPr="005809DA">
        <w:t>. B. Hooker and M. O. Little. Oxford: Clarendon Press</w:t>
      </w:r>
      <w:r w:rsidRPr="005809DA">
        <w:rPr>
          <w:b/>
        </w:rPr>
        <w:t xml:space="preserve">: </w:t>
      </w:r>
      <w:r w:rsidRPr="005809DA">
        <w:t>48-78.</w:t>
      </w:r>
      <w:bookmarkEnd w:id="25"/>
    </w:p>
    <w:p w:rsidR="005809DA" w:rsidRPr="005809DA" w:rsidRDefault="005809DA" w:rsidP="005809DA">
      <w:pPr>
        <w:pStyle w:val="EndNoteBibliography"/>
        <w:spacing w:after="360"/>
        <w:ind w:left="720" w:hanging="720"/>
      </w:pPr>
      <w:bookmarkStart w:id="26" w:name="_ENREF_26"/>
      <w:r w:rsidRPr="005809DA">
        <w:t xml:space="preserve">Raz, Joseph (2006). "The Trouble with Particularism (Dancy’s Version)". </w:t>
      </w:r>
      <w:r w:rsidRPr="005809DA">
        <w:rPr>
          <w:u w:val="single"/>
        </w:rPr>
        <w:t>Mind</w:t>
      </w:r>
      <w:r w:rsidRPr="005809DA">
        <w:t xml:space="preserve"> </w:t>
      </w:r>
      <w:r w:rsidRPr="005809DA">
        <w:rPr>
          <w:b/>
        </w:rPr>
        <w:t>115</w:t>
      </w:r>
      <w:r w:rsidRPr="005809DA">
        <w:t>: 99-120</w:t>
      </w:r>
      <w:bookmarkEnd w:id="26"/>
    </w:p>
    <w:p w:rsidR="005809DA" w:rsidRPr="005809DA" w:rsidRDefault="005809DA" w:rsidP="005809DA">
      <w:pPr>
        <w:pStyle w:val="EndNoteBibliography"/>
        <w:spacing w:after="360"/>
        <w:ind w:left="720" w:hanging="720"/>
      </w:pPr>
      <w:bookmarkStart w:id="27" w:name="_ENREF_27"/>
      <w:r w:rsidRPr="005809DA">
        <w:t xml:space="preserve">Regan, Donald (1997). "Value, Comparability, and Choice". </w:t>
      </w:r>
      <w:r w:rsidRPr="005809DA">
        <w:rPr>
          <w:u w:val="single"/>
        </w:rPr>
        <w:t>Incommensurability, Incomparability and Practical Reason</w:t>
      </w:r>
      <w:r w:rsidRPr="005809DA">
        <w:t>. R. Chang. Cambridge, Mass.: Harvard University Press</w:t>
      </w:r>
      <w:r w:rsidRPr="005809DA">
        <w:rPr>
          <w:b/>
        </w:rPr>
        <w:t xml:space="preserve">: </w:t>
      </w:r>
      <w:r w:rsidRPr="005809DA">
        <w:t>129-150.</w:t>
      </w:r>
      <w:bookmarkEnd w:id="27"/>
    </w:p>
    <w:p w:rsidR="005809DA" w:rsidRPr="005809DA" w:rsidRDefault="005809DA" w:rsidP="005809DA">
      <w:pPr>
        <w:pStyle w:val="EndNoteBibliography"/>
        <w:spacing w:after="360"/>
        <w:ind w:left="720" w:hanging="720"/>
      </w:pPr>
      <w:bookmarkStart w:id="28" w:name="_ENREF_28"/>
      <w:r w:rsidRPr="005809DA">
        <w:t xml:space="preserve">Ross, W.D. (1930). </w:t>
      </w:r>
      <w:r w:rsidRPr="005809DA">
        <w:rPr>
          <w:u w:val="single"/>
        </w:rPr>
        <w:t>The Right and the Good</w:t>
      </w:r>
      <w:r w:rsidRPr="005809DA">
        <w:t>. Oxford: Clarendon Press.</w:t>
      </w:r>
      <w:bookmarkEnd w:id="28"/>
    </w:p>
    <w:p w:rsidR="005809DA" w:rsidRPr="005809DA" w:rsidRDefault="005809DA" w:rsidP="005809DA">
      <w:pPr>
        <w:pStyle w:val="EndNoteBibliography"/>
        <w:spacing w:after="360"/>
        <w:ind w:left="720" w:hanging="720"/>
      </w:pPr>
      <w:bookmarkStart w:id="29" w:name="_ENREF_29"/>
      <w:r w:rsidRPr="005809DA">
        <w:t xml:space="preserve">Scanlon, T.M. (1998). </w:t>
      </w:r>
      <w:r w:rsidRPr="005809DA">
        <w:rPr>
          <w:u w:val="single"/>
        </w:rPr>
        <w:t>What We Owe to Each Other</w:t>
      </w:r>
      <w:r w:rsidRPr="005809DA">
        <w:t>. Cambridge, Mass.: Harvard University Press.</w:t>
      </w:r>
      <w:bookmarkEnd w:id="29"/>
    </w:p>
    <w:p w:rsidR="005809DA" w:rsidRPr="005809DA" w:rsidRDefault="005809DA" w:rsidP="005809DA">
      <w:pPr>
        <w:pStyle w:val="EndNoteBibliography"/>
        <w:spacing w:after="360"/>
        <w:ind w:left="720" w:hanging="720"/>
      </w:pPr>
      <w:bookmarkStart w:id="30" w:name="_ENREF_30"/>
      <w:r w:rsidRPr="005809DA">
        <w:t xml:space="preserve">Schelling, Thomas C. (1960). </w:t>
      </w:r>
      <w:r w:rsidRPr="005809DA">
        <w:rPr>
          <w:u w:val="single"/>
        </w:rPr>
        <w:t>The Strategy of Conflict</w:t>
      </w:r>
      <w:r w:rsidRPr="005809DA">
        <w:t>. Cambridge, Mass.: Harvard University Press.</w:t>
      </w:r>
      <w:bookmarkEnd w:id="30"/>
    </w:p>
    <w:p w:rsidR="005809DA" w:rsidRPr="005809DA" w:rsidRDefault="005809DA" w:rsidP="005809DA">
      <w:pPr>
        <w:pStyle w:val="EndNoteBibliography"/>
        <w:spacing w:after="360"/>
        <w:ind w:left="720" w:hanging="720"/>
      </w:pPr>
      <w:bookmarkStart w:id="31" w:name="_ENREF_31"/>
      <w:r w:rsidRPr="005809DA">
        <w:t xml:space="preserve">Schroeder, Mark (2011). "Holism, Weight, and Undercutting". </w:t>
      </w:r>
      <w:r w:rsidRPr="005809DA">
        <w:rPr>
          <w:u w:val="single"/>
        </w:rPr>
        <w:t>Nous</w:t>
      </w:r>
      <w:r w:rsidRPr="005809DA">
        <w:t xml:space="preserve"> </w:t>
      </w:r>
      <w:r w:rsidRPr="005809DA">
        <w:rPr>
          <w:b/>
        </w:rPr>
        <w:t>45</w:t>
      </w:r>
      <w:r w:rsidRPr="005809DA">
        <w:t>: 328-344</w:t>
      </w:r>
      <w:bookmarkEnd w:id="31"/>
    </w:p>
    <w:p w:rsidR="005809DA" w:rsidRPr="005809DA" w:rsidRDefault="005809DA" w:rsidP="005809DA">
      <w:pPr>
        <w:pStyle w:val="EndNoteBibliography"/>
        <w:spacing w:after="360"/>
        <w:ind w:left="720" w:hanging="720"/>
      </w:pPr>
      <w:bookmarkStart w:id="32" w:name="_ENREF_32"/>
      <w:r w:rsidRPr="005809DA">
        <w:t xml:space="preserve">Schueler, G.F. (1979). "Exclusionary Reasons". </w:t>
      </w:r>
      <w:r w:rsidRPr="005809DA">
        <w:rPr>
          <w:u w:val="single"/>
        </w:rPr>
        <w:t>The Personalist</w:t>
      </w:r>
      <w:r w:rsidRPr="005809DA">
        <w:t xml:space="preserve"> </w:t>
      </w:r>
      <w:r w:rsidRPr="005809DA">
        <w:rPr>
          <w:b/>
        </w:rPr>
        <w:t>60</w:t>
      </w:r>
      <w:r w:rsidRPr="005809DA">
        <w:t>: 407-410</w:t>
      </w:r>
      <w:bookmarkEnd w:id="32"/>
    </w:p>
    <w:p w:rsidR="005809DA" w:rsidRPr="005809DA" w:rsidRDefault="005809DA" w:rsidP="005809DA">
      <w:pPr>
        <w:pStyle w:val="EndNoteBibliography"/>
        <w:spacing w:after="360"/>
        <w:ind w:left="720" w:hanging="720"/>
      </w:pPr>
      <w:bookmarkStart w:id="33" w:name="_ENREF_33"/>
      <w:r w:rsidRPr="005809DA">
        <w:lastRenderedPageBreak/>
        <w:t xml:space="preserve">Setiya, Kieran (2007). </w:t>
      </w:r>
      <w:r w:rsidRPr="005809DA">
        <w:rPr>
          <w:u w:val="single"/>
        </w:rPr>
        <w:t>Reasons without Rationalism</w:t>
      </w:r>
      <w:r w:rsidRPr="005809DA">
        <w:t>. Princeton: Princeton University Press.</w:t>
      </w:r>
      <w:bookmarkEnd w:id="33"/>
    </w:p>
    <w:p w:rsidR="005809DA" w:rsidRPr="005809DA" w:rsidRDefault="005809DA" w:rsidP="005809DA">
      <w:pPr>
        <w:pStyle w:val="EndNoteBibliography"/>
        <w:spacing w:after="360"/>
        <w:ind w:left="720" w:hanging="720"/>
      </w:pPr>
      <w:bookmarkStart w:id="34" w:name="_ENREF_34"/>
      <w:r w:rsidRPr="005809DA">
        <w:t xml:space="preserve">Shafir, Eldar, Itamar Simonson, et al. (1993). "Reason-Based Choice". </w:t>
      </w:r>
      <w:r w:rsidRPr="005809DA">
        <w:rPr>
          <w:u w:val="single"/>
        </w:rPr>
        <w:t>Cognition</w:t>
      </w:r>
      <w:r w:rsidRPr="005809DA">
        <w:t xml:space="preserve"> </w:t>
      </w:r>
      <w:r w:rsidRPr="005809DA">
        <w:rPr>
          <w:b/>
        </w:rPr>
        <w:t>49</w:t>
      </w:r>
      <w:r w:rsidRPr="005809DA">
        <w:t>: 11-36</w:t>
      </w:r>
      <w:bookmarkEnd w:id="34"/>
    </w:p>
    <w:p w:rsidR="005809DA" w:rsidRPr="005809DA" w:rsidRDefault="005809DA" w:rsidP="005809DA">
      <w:pPr>
        <w:pStyle w:val="EndNoteBibliography"/>
        <w:ind w:left="720" w:hanging="720"/>
      </w:pPr>
      <w:bookmarkStart w:id="35" w:name="_ENREF_35"/>
      <w:r w:rsidRPr="005809DA">
        <w:t xml:space="preserve">Stratton-Lake, Philip (2011). "Eliminativism about Derivative Prima Facie Duties". </w:t>
      </w:r>
      <w:r w:rsidRPr="005809DA">
        <w:rPr>
          <w:u w:val="single"/>
        </w:rPr>
        <w:t>Underivative Duty: British Moral Philosophers from Sidgwick to Ewing</w:t>
      </w:r>
      <w:r w:rsidRPr="005809DA">
        <w:t>. T. Hurka. Oxford: Oxford University Press</w:t>
      </w:r>
      <w:r w:rsidRPr="005809DA">
        <w:rPr>
          <w:b/>
        </w:rPr>
        <w:t xml:space="preserve">: </w:t>
      </w:r>
      <w:r w:rsidRPr="005809DA">
        <w:t>146-165.</w:t>
      </w:r>
      <w:bookmarkEnd w:id="35"/>
    </w:p>
    <w:p w:rsidR="00EC3988" w:rsidRDefault="00B04BCF" w:rsidP="00B04BCF">
      <w:r>
        <w:fldChar w:fldCharType="end"/>
      </w:r>
    </w:p>
    <w:p w:rsidR="00060ADA" w:rsidRDefault="00060ADA" w:rsidP="00B04BCF"/>
    <w:p w:rsidR="00060ADA" w:rsidRPr="00060ADA" w:rsidRDefault="00060ADA" w:rsidP="00B04BCF">
      <w:pPr>
        <w:rPr>
          <w:b/>
        </w:rPr>
      </w:pPr>
      <w:r>
        <w:rPr>
          <w:b/>
        </w:rPr>
        <w:t>Notes</w:t>
      </w:r>
    </w:p>
    <w:sectPr w:rsidR="00060ADA" w:rsidRPr="00060ADA" w:rsidSect="00657F6E">
      <w:foot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66B" w:rsidRPr="002D0417" w:rsidRDefault="00DA066B" w:rsidP="00B04BCF">
      <w:pPr>
        <w:pStyle w:val="Footer"/>
      </w:pPr>
    </w:p>
  </w:endnote>
  <w:endnote w:type="continuationSeparator" w:id="0">
    <w:p w:rsidR="00DA066B" w:rsidRPr="002D0417" w:rsidRDefault="00DA066B" w:rsidP="00B04BCF">
      <w:pPr>
        <w:pStyle w:val="Footer"/>
      </w:pPr>
    </w:p>
  </w:endnote>
  <w:endnote w:id="1">
    <w:p w:rsidR="00DA066B" w:rsidRPr="002765B3" w:rsidRDefault="00DA066B" w:rsidP="001E239F">
      <w:pPr>
        <w:pStyle w:val="EndnoteText"/>
        <w:spacing w:line="480" w:lineRule="auto"/>
      </w:pPr>
      <w:r w:rsidRPr="002765B3">
        <w:rPr>
          <w:rStyle w:val="EndnoteReference"/>
        </w:rPr>
        <w:endnoteRef/>
      </w:r>
      <w:r w:rsidRPr="002765B3">
        <w:t xml:space="preserve">  So</w:t>
      </w:r>
      <w:r>
        <w:t>, more strictly,</w:t>
      </w:r>
      <w:r w:rsidRPr="002765B3">
        <w:t xml:space="preserve"> </w:t>
      </w:r>
      <w:r>
        <w:t>the Simple Picture sees the reason-relation as a scalar, not a vector. It only has a magnitude, which can be either positive or negative.</w:t>
      </w:r>
    </w:p>
  </w:endnote>
  <w:endnote w:id="2">
    <w:p w:rsidR="00DA066B" w:rsidRPr="00B04BCF" w:rsidRDefault="00DA066B" w:rsidP="001E239F">
      <w:pPr>
        <w:rPr>
          <w:sz w:val="20"/>
          <w:szCs w:val="20"/>
        </w:rPr>
      </w:pPr>
      <w:r w:rsidRPr="00B04BCF">
        <w:rPr>
          <w:rStyle w:val="EndnoteReference"/>
          <w:sz w:val="20"/>
          <w:szCs w:val="20"/>
        </w:rPr>
        <w:endnoteRef/>
      </w:r>
      <w:r w:rsidRPr="00B04BCF">
        <w:rPr>
          <w:sz w:val="20"/>
          <w:szCs w:val="20"/>
        </w:rPr>
        <w:t xml:space="preserve">  This is what we are primarily interested in. But when we do not have enough information to figure that out, what we are secondarily interested in is what </w:t>
      </w:r>
      <w:proofErr w:type="gramStart"/>
      <w:r w:rsidRPr="00B04BCF">
        <w:rPr>
          <w:sz w:val="20"/>
          <w:szCs w:val="20"/>
        </w:rPr>
        <w:t>is the rational thing to do given the evidence</w:t>
      </w:r>
      <w:proofErr w:type="gramEnd"/>
      <w:r w:rsidRPr="00B04BCF">
        <w:rPr>
          <w:sz w:val="20"/>
          <w:szCs w:val="20"/>
        </w:rPr>
        <w:t xml:space="preserve">. And this can sometimes be an action which we know is not supported by the strongest objective reason. (Frank Jackson </w:t>
      </w:r>
      <w:r w:rsidRPr="00B04BCF">
        <w:rPr>
          <w:sz w:val="20"/>
          <w:szCs w:val="20"/>
        </w:rPr>
        <w:fldChar w:fldCharType="begin"/>
      </w:r>
      <w:r>
        <w:rPr>
          <w:sz w:val="20"/>
          <w:szCs w:val="20"/>
        </w:rPr>
        <w:instrText xml:space="preserve"> ADDIN EN.CITE &lt;EndNote&gt;&lt;Cite ExcludeAuth="1"&gt;&lt;Author&gt;Jackson&lt;/Author&gt;&lt;Year&gt;1981&lt;/Year&gt;&lt;RecNum&gt;40&lt;/RecNum&gt;&lt;Suffix&gt;: 463&lt;/Suffix&gt;&lt;DisplayText&gt;(1981: 463)&lt;/DisplayText&gt;&lt;record&gt;&lt;rec-number&gt;40&lt;/rec-number&gt;&lt;foreign-keys&gt;&lt;key app="EN" db-id="9sxs5t2sazax96edvd3vvz52rp9t95vfpwrv"&gt;40&lt;/key&gt;&lt;/foreign-keys&gt;&lt;ref-type name="Journal Article"&gt;17&lt;/ref-type&gt;&lt;contributors&gt;&lt;authors&gt;&lt;author&gt;Jackson, Frank&lt;/author&gt;&lt;/authors&gt;&lt;/contributors&gt;&lt;titles&gt;&lt;title&gt;Decision-theoretic Consequentialism and the Nearest and Dearest Objection&lt;/title&gt;&lt;secondary-title&gt;Ethics&lt;/secondary-title&gt;&lt;/titles&gt;&lt;periodical&gt;&lt;full-title&gt;Ethics&lt;/full-title&gt;&lt;/periodical&gt;&lt;pages&gt;461-82&lt;/pages&gt;&lt;volume&gt;101&lt;/volume&gt;&lt;dates&gt;&lt;year&gt;1981&lt;/year&gt;&lt;/dates&gt;&lt;urls&gt;&lt;/urls&gt;&lt;/record&gt;&lt;/Cite&gt;&lt;/EndNote&gt;</w:instrText>
      </w:r>
      <w:r w:rsidRPr="00B04BCF">
        <w:rPr>
          <w:sz w:val="20"/>
          <w:szCs w:val="20"/>
        </w:rPr>
        <w:fldChar w:fldCharType="separate"/>
      </w:r>
      <w:r w:rsidRPr="00B04BCF">
        <w:rPr>
          <w:noProof/>
          <w:sz w:val="20"/>
          <w:szCs w:val="20"/>
        </w:rPr>
        <w:t>(</w:t>
      </w:r>
      <w:hyperlink w:anchor="_ENREF_16" w:tooltip="Jackson, 1981 #40" w:history="1">
        <w:r w:rsidRPr="00B04BCF">
          <w:rPr>
            <w:noProof/>
            <w:sz w:val="20"/>
            <w:szCs w:val="20"/>
          </w:rPr>
          <w:t>1981: 463</w:t>
        </w:r>
      </w:hyperlink>
      <w:r w:rsidRPr="00B04BCF">
        <w:rPr>
          <w:noProof/>
          <w:sz w:val="20"/>
          <w:szCs w:val="20"/>
        </w:rPr>
        <w:t>)</w:t>
      </w:r>
      <w:r w:rsidRPr="00B04BCF">
        <w:rPr>
          <w:sz w:val="20"/>
          <w:szCs w:val="20"/>
        </w:rPr>
        <w:fldChar w:fldCharType="end"/>
      </w:r>
      <w:r w:rsidRPr="00B04BCF">
        <w:rPr>
          <w:sz w:val="20"/>
          <w:szCs w:val="20"/>
        </w:rPr>
        <w:t xml:space="preserve"> illustrates this with the example of a doctor who knows that drug A will partly cure her patient</w:t>
      </w:r>
      <w:r>
        <w:rPr>
          <w:sz w:val="20"/>
          <w:szCs w:val="20"/>
        </w:rPr>
        <w:t>, and that</w:t>
      </w:r>
      <w:r w:rsidRPr="00B04BCF">
        <w:rPr>
          <w:sz w:val="20"/>
          <w:szCs w:val="20"/>
        </w:rPr>
        <w:t xml:space="preserve"> one of drugs B and C will completely cure him and the other will kill him, but </w:t>
      </w:r>
      <w:r>
        <w:rPr>
          <w:sz w:val="20"/>
          <w:szCs w:val="20"/>
        </w:rPr>
        <w:t>does not know</w:t>
      </w:r>
      <w:r w:rsidRPr="00B04BCF">
        <w:rPr>
          <w:sz w:val="20"/>
          <w:szCs w:val="20"/>
        </w:rPr>
        <w:t xml:space="preserve"> which.)</w:t>
      </w:r>
    </w:p>
  </w:endnote>
  <w:endnote w:id="3">
    <w:p w:rsidR="00DA066B" w:rsidRPr="005A1865" w:rsidRDefault="00DA066B" w:rsidP="001E239F">
      <w:pPr>
        <w:pStyle w:val="EndnoteText"/>
        <w:spacing w:line="480" w:lineRule="auto"/>
      </w:pPr>
      <w:r w:rsidRPr="005A1865">
        <w:rPr>
          <w:rStyle w:val="EndnoteReference"/>
        </w:rPr>
        <w:endnoteRef/>
      </w:r>
      <w:r w:rsidRPr="005A1865">
        <w:t xml:space="preserve">  </w:t>
      </w:r>
      <w:r>
        <w:t xml:space="preserve">And if this, in turn, derives its normative significance from some further, more fundamental consideration, one might want to say that only the latter consideration is the real reason. Compare the discussion of “complete reasons” in </w:t>
      </w:r>
      <w:r>
        <w:fldChar w:fldCharType="begin"/>
      </w:r>
      <w:r>
        <w:instrText xml:space="preserve"> ADDIN EN.CITE &lt;EndNote&gt;&lt;Cite&gt;&lt;Author&gt;Raz&lt;/Author&gt;&lt;Year&gt;1999&lt;/Year&gt;&lt;RecNum&gt;11&lt;/RecNum&gt;&lt;Suffix&gt;: 22-5&lt;/Suffix&gt;&lt;DisplayText&gt;(Raz 1999: 22-5)&lt;/DisplayText&gt;&lt;record&gt;&lt;rec-number&gt;11&lt;/rec-number&gt;&lt;foreign-keys&gt;&lt;key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fldChar w:fldCharType="separate"/>
      </w:r>
      <w:r>
        <w:rPr>
          <w:noProof/>
        </w:rPr>
        <w:t>(</w:t>
      </w:r>
      <w:hyperlink w:anchor="_ENREF_24" w:tooltip="Raz, 1999 #11" w:history="1">
        <w:r>
          <w:rPr>
            <w:noProof/>
          </w:rPr>
          <w:t>Raz 1999: 22-5</w:t>
        </w:r>
      </w:hyperlink>
      <w:r>
        <w:rPr>
          <w:noProof/>
        </w:rPr>
        <w:t>)</w:t>
      </w:r>
      <w:r>
        <w:fldChar w:fldCharType="end"/>
      </w:r>
      <w:r>
        <w:t xml:space="preserve"> and </w:t>
      </w:r>
      <w:r>
        <w:fldChar w:fldCharType="begin"/>
      </w:r>
      <w:r>
        <w:instrText xml:space="preserve"> ADDIN EN.CITE &lt;EndNote&gt;&lt;Cite&gt;&lt;Author&gt;Raz&lt;/Author&gt;&lt;Year&gt;2000&lt;/Year&gt;&lt;RecNum&gt;1&lt;/RecNum&gt;&lt;Suffix&gt;: 58-61&lt;/Suffix&gt;&lt;DisplayText&gt;(Raz 2000: 58-61)&lt;/DisplayText&gt;&lt;record&gt;&lt;rec-number&gt;1&lt;/rec-number&gt;&lt;foreign-keys&gt;&lt;key app="EN" db-id="sxsapx9pw5rxwbefvfzparttpws0dd22z9v5"&gt;1&lt;/key&gt;&lt;/foreign-keys&gt;&lt;ref-type name="Book Section"&gt;5&lt;/ref-type&gt;&lt;contributors&gt;&lt;authors&gt;&lt;author&gt;Joseph Raz&lt;/author&gt;&lt;/authors&gt;&lt;secondary-authors&gt;&lt;author&gt;Brad Hooker&lt;/author&gt;&lt;author&gt;Margaret Olivia Little&lt;/author&gt;&lt;/secondary-authors&gt;&lt;/contributors&gt;&lt;titles&gt;&lt;title&gt;The Truth in Particularism&lt;/title&gt;&lt;secondary-title&gt;Moral Particularism&lt;/secondary-title&gt;&lt;/titles&gt;&lt;pages&gt;48-78&lt;/pages&gt;&lt;dates&gt;&lt;year&gt;2000&lt;/year&gt;&lt;/dates&gt;&lt;pub-location&gt;Oxford&lt;/pub-location&gt;&lt;publisher&gt;Clarendon Press&lt;/publisher&gt;&lt;urls&gt;&lt;/urls&gt;&lt;/record&gt;&lt;/Cite&gt;&lt;/EndNote&gt;</w:instrText>
      </w:r>
      <w:r>
        <w:fldChar w:fldCharType="separate"/>
      </w:r>
      <w:r>
        <w:rPr>
          <w:noProof/>
        </w:rPr>
        <w:t>(</w:t>
      </w:r>
      <w:hyperlink w:anchor="_ENREF_25" w:tooltip="Raz, 2000 #1" w:history="1">
        <w:r>
          <w:rPr>
            <w:noProof/>
          </w:rPr>
          <w:t>Raz 2000: 58-61</w:t>
        </w:r>
      </w:hyperlink>
      <w:r>
        <w:rPr>
          <w:noProof/>
        </w:rPr>
        <w:t>)</w:t>
      </w:r>
      <w:r>
        <w:fldChar w:fldCharType="end"/>
      </w:r>
      <w:r>
        <w:t xml:space="preserve">; also </w:t>
      </w:r>
      <w:r>
        <w:fldChar w:fldCharType="begin"/>
      </w:r>
      <w:r>
        <w:instrText xml:space="preserve"> ADDIN EN.CITE &lt;EndNote&gt;&lt;Cite&gt;&lt;Author&gt;Stratton-Lake&lt;/Author&gt;&lt;Year&gt;2011&lt;/Year&gt;&lt;RecNum&gt;26&lt;/RecNum&gt;&lt;DisplayText&gt;(Stratton-Lake 2011)&lt;/DisplayText&gt;&lt;record&gt;&lt;rec-number&gt;26&lt;/rec-number&gt;&lt;foreign-keys&gt;&lt;key app="EN" db-id="sxsapx9pw5rxwbefvfzparttpws0dd22z9v5"&gt;26&lt;/key&gt;&lt;/foreign-keys&gt;&lt;ref-type name="Book Section"&gt;5&lt;/ref-type&gt;&lt;contributors&gt;&lt;authors&gt;&lt;author&gt;Philip Stratton-Lake&lt;/author&gt;&lt;/authors&gt;&lt;secondary-authors&gt;&lt;author&gt;Thomas Hurka&lt;/author&gt;&lt;/secondary-authors&gt;&lt;/contributors&gt;&lt;titles&gt;&lt;title&gt;Eliminativism about Derivative Prima Facie Duties&lt;/title&gt;&lt;secondary-title&gt;Underivative Duty: British Moral Philosophers from Sidgwick to Ewing&lt;/secondary-title&gt;&lt;/titles&gt;&lt;pages&gt;146-65&lt;/pages&gt;&lt;dates&gt;&lt;year&gt;2011&lt;/year&gt;&lt;/dates&gt;&lt;pub-location&gt;Oxford&lt;/pub-location&gt;&lt;publisher&gt;Oxford University Press&lt;/publisher&gt;&lt;urls&gt;&lt;/urls&gt;&lt;/record&gt;&lt;/Cite&gt;&lt;/EndNote&gt;</w:instrText>
      </w:r>
      <w:r>
        <w:fldChar w:fldCharType="separate"/>
      </w:r>
      <w:r>
        <w:rPr>
          <w:noProof/>
        </w:rPr>
        <w:t>(</w:t>
      </w:r>
      <w:hyperlink w:anchor="_ENREF_35" w:tooltip="Stratton-Lake, 2011 #26" w:history="1">
        <w:r>
          <w:rPr>
            <w:noProof/>
          </w:rPr>
          <w:t>Stratton-Lake 2011</w:t>
        </w:r>
      </w:hyperlink>
      <w:r>
        <w:rPr>
          <w:noProof/>
        </w:rPr>
        <w:t>)</w:t>
      </w:r>
      <w:r>
        <w:fldChar w:fldCharType="end"/>
      </w:r>
      <w:r>
        <w:t xml:space="preserve">. </w:t>
      </w:r>
    </w:p>
  </w:endnote>
  <w:endnote w:id="4">
    <w:p w:rsidR="00DA066B" w:rsidRPr="00AE03CD" w:rsidRDefault="00DA066B" w:rsidP="001E239F">
      <w:pPr>
        <w:pStyle w:val="EndnoteText"/>
        <w:spacing w:line="480" w:lineRule="auto"/>
      </w:pPr>
      <w:r w:rsidRPr="00AE03CD">
        <w:rPr>
          <w:rStyle w:val="EndnoteReference"/>
        </w:rPr>
        <w:endnoteRef/>
      </w:r>
      <w:r w:rsidRPr="00AE03CD">
        <w:t xml:space="preserve">  Paul Weirich helped me to </w:t>
      </w:r>
      <w:r>
        <w:t>appreciate</w:t>
      </w:r>
      <w:r w:rsidRPr="00AE03CD">
        <w:t xml:space="preserve"> this.</w:t>
      </w:r>
    </w:p>
  </w:endnote>
  <w:endnote w:id="5">
    <w:p w:rsidR="00DA066B" w:rsidRPr="00945AC3" w:rsidRDefault="00DA066B" w:rsidP="001E239F">
      <w:pPr>
        <w:pStyle w:val="EndnoteText"/>
        <w:spacing w:line="480" w:lineRule="auto"/>
      </w:pPr>
      <w:r w:rsidRPr="00945AC3">
        <w:rPr>
          <w:rStyle w:val="EndnoteReference"/>
        </w:rPr>
        <w:endnoteRef/>
      </w:r>
      <w:r w:rsidRPr="00945AC3">
        <w:t xml:space="preserve">  See </w:t>
      </w:r>
      <w:r>
        <w:fldChar w:fldCharType="begin"/>
      </w:r>
      <w:r>
        <w:instrText xml:space="preserve"> ADDIN EN.CITE &lt;EndNote&gt;&lt;Cite&gt;&lt;Author&gt;Dancy&lt;/Author&gt;&lt;Year&gt;2004&lt;/Year&gt;&lt;RecNum&gt;2&lt;/RecNum&gt;&lt;Suffix&gt;: Ch. 5&lt;/Suffix&gt;&lt;DisplayText&gt;(Dancy 2004: Ch. 5)&lt;/DisplayText&gt;&lt;record&gt;&lt;rec-number&gt;2&lt;/rec-number&gt;&lt;foreign-keys&gt;&lt;key app="EN" db-id="sxsapx9pw5rxwbefvfzparttpws0dd22z9v5"&gt;2&lt;/key&gt;&lt;/foreign-keys&gt;&lt;ref-type name="Book"&gt;6&lt;/ref-type&gt;&lt;contributors&gt;&lt;authors&gt;&lt;author&gt;Jonathan Dancy&lt;/author&gt;&lt;/authors&gt;&lt;/contributors&gt;&lt;titles&gt;&lt;title&gt;Ethics without Principles&lt;/title&gt;&lt;/titles&gt;&lt;dates&gt;&lt;year&gt;2004&lt;/year&gt;&lt;/dates&gt;&lt;pub-location&gt;Oxford&lt;/pub-location&gt;&lt;publisher&gt;Clarendon Press&lt;/publisher&gt;&lt;urls&gt;&lt;/urls&gt;&lt;/record&gt;&lt;/Cite&gt;&lt;/EndNote&gt;</w:instrText>
      </w:r>
      <w:r>
        <w:fldChar w:fldCharType="separate"/>
      </w:r>
      <w:r>
        <w:rPr>
          <w:noProof/>
        </w:rPr>
        <w:t>(</w:t>
      </w:r>
      <w:hyperlink w:anchor="_ENREF_8" w:tooltip="Dancy, 2004 #2" w:history="1">
        <w:r>
          <w:rPr>
            <w:noProof/>
          </w:rPr>
          <w:t>Dancy 2004: Ch. 5</w:t>
        </w:r>
      </w:hyperlink>
      <w:r>
        <w:rPr>
          <w:noProof/>
        </w:rPr>
        <w:t>)</w:t>
      </w:r>
      <w:r>
        <w:fldChar w:fldCharType="end"/>
      </w:r>
      <w:r>
        <w:t xml:space="preserve"> – for his rejection of </w:t>
      </w:r>
      <w:proofErr w:type="spellStart"/>
      <w:r>
        <w:t>Moorean</w:t>
      </w:r>
      <w:proofErr w:type="spellEnd"/>
      <w:r>
        <w:t xml:space="preserve"> non-compositionality, see Ch.10.</w:t>
      </w:r>
    </w:p>
  </w:endnote>
  <w:endnote w:id="6">
    <w:p w:rsidR="00DA066B" w:rsidRPr="00B70149" w:rsidRDefault="00DA066B" w:rsidP="001E239F">
      <w:pPr>
        <w:pStyle w:val="EndnoteText"/>
        <w:spacing w:line="480" w:lineRule="auto"/>
      </w:pPr>
      <w:r w:rsidRPr="00B70149">
        <w:rPr>
          <w:rStyle w:val="EndnoteReference"/>
        </w:rPr>
        <w:endnoteRef/>
      </w:r>
      <w:r>
        <w:t xml:space="preserve">  See </w:t>
      </w:r>
      <w:r>
        <w:fldChar w:fldCharType="begin"/>
      </w:r>
      <w:r>
        <w:instrText xml:space="preserve"> ADDIN EN.CITE &lt;EndNote&gt;&lt;Cite&gt;&lt;Author&gt;Ross&lt;/Author&gt;&lt;Year&gt;1930&lt;/Year&gt;&lt;RecNum&gt;3&lt;/RecNum&gt;&lt;Suffix&gt;: Ch. 2&lt;/Suffix&gt;&lt;DisplayText&gt;(Ross 1930: Ch. 2)&lt;/DisplayText&gt;&lt;record&gt;&lt;rec-number&gt;3&lt;/rec-number&gt;&lt;foreign-keys&gt;&lt;key app="EN" db-id="sxsapx9pw5rxwbefvfzparttpws0dd22z9v5"&gt;3&lt;/key&gt;&lt;/foreign-keys&gt;&lt;ref-type name="Book"&gt;6&lt;/ref-type&gt;&lt;contributors&gt;&lt;authors&gt;&lt;author&gt;W.D. Ross&lt;/author&gt;&lt;/authors&gt;&lt;/contributors&gt;&lt;titles&gt;&lt;title&gt;The Right and the Good&lt;/title&gt;&lt;/titles&gt;&lt;dates&gt;&lt;year&gt;1930&lt;/year&gt;&lt;/dates&gt;&lt;pub-location&gt;Oxford&lt;/pub-location&gt;&lt;publisher&gt;Clarendon Press&lt;/publisher&gt;&lt;urls&gt;&lt;/urls&gt;&lt;/record&gt;&lt;/Cite&gt;&lt;/EndNote&gt;</w:instrText>
      </w:r>
      <w:r>
        <w:fldChar w:fldCharType="separate"/>
      </w:r>
      <w:r>
        <w:rPr>
          <w:noProof/>
        </w:rPr>
        <w:t>(</w:t>
      </w:r>
      <w:hyperlink w:anchor="_ENREF_28" w:tooltip="Ross, 1930 #3" w:history="1">
        <w:r>
          <w:rPr>
            <w:noProof/>
          </w:rPr>
          <w:t>Ross 1930: Ch. 2</w:t>
        </w:r>
      </w:hyperlink>
      <w:r>
        <w:rPr>
          <w:noProof/>
        </w:rPr>
        <w:t>)</w:t>
      </w:r>
      <w:r>
        <w:fldChar w:fldCharType="end"/>
      </w:r>
      <w:r>
        <w:t xml:space="preserve">; for discussion, see Philip </w:t>
      </w:r>
      <w:r w:rsidRPr="00531B36">
        <w:t>Stratton</w:t>
      </w:r>
      <w:r w:rsidRPr="00B70149">
        <w:t>-Lake</w:t>
      </w:r>
      <w:r>
        <w:t xml:space="preserve">’s introduction to the 2002 edition, </w:t>
      </w:r>
      <w:proofErr w:type="spellStart"/>
      <w:r>
        <w:t>pp.xxxiii</w:t>
      </w:r>
      <w:proofErr w:type="spellEnd"/>
      <w:r>
        <w:t>-xxxviii.</w:t>
      </w:r>
    </w:p>
  </w:endnote>
  <w:endnote w:id="7">
    <w:p w:rsidR="00DA066B" w:rsidRPr="00FD0ABA" w:rsidRDefault="00DA066B" w:rsidP="001E239F">
      <w:pPr>
        <w:pStyle w:val="EndnoteText"/>
        <w:spacing w:line="480" w:lineRule="auto"/>
      </w:pPr>
      <w:r w:rsidRPr="00860403">
        <w:rPr>
          <w:rStyle w:val="EndnoteReference"/>
        </w:rPr>
        <w:endnoteRef/>
      </w:r>
      <w:r w:rsidRPr="00860403">
        <w:t xml:space="preserve"> </w:t>
      </w:r>
      <w:r>
        <w:t xml:space="preserve"> There are four other alternatives to consider, though. One is the epistemic view that the difficulty of comparing meals with concerts means that although the reason to go to Angela’s must be stronger than, weaker than or equal to the reason to go to the concert, we cannot know which </w:t>
      </w:r>
      <w:r>
        <w:fldChar w:fldCharType="begin"/>
      </w:r>
      <w:r>
        <w:instrText xml:space="preserve"> ADDIN EN.CITE &lt;EndNote&gt;&lt;Cite&gt;&lt;Author&gt;Regan&lt;/Author&gt;&lt;Year&gt;1997&lt;/Year&gt;&lt;RecNum&gt;4&lt;/RecNum&gt;&lt;DisplayText&gt;(Regan 1997)&lt;/DisplayText&gt;&lt;record&gt;&lt;rec-number&gt;4&lt;/rec-number&gt;&lt;foreign-keys&gt;&lt;key app="EN" db-id="sxsapx9pw5rxwbefvfzparttpws0dd22z9v5"&gt;4&lt;/key&gt;&lt;/foreign-keys&gt;&lt;ref-type name="Book Section"&gt;5&lt;/ref-type&gt;&lt;contributors&gt;&lt;authors&gt;&lt;author&gt;Donald Regan&lt;/author&gt;&lt;/authors&gt;&lt;secondary-authors&gt;&lt;author&gt;Ruth Chang&lt;/author&gt;&lt;/secondary-authors&gt;&lt;/contributors&gt;&lt;titles&gt;&lt;title&gt;Value, Comparability, and Choice&lt;/title&gt;&lt;secondary-title&gt;Incommensurability, Incomparability and Practical Reason&lt;/secondary-title&gt;&lt;/titles&gt;&lt;pages&gt;129-50&lt;/pages&gt;&lt;dates&gt;&lt;year&gt;1997&lt;/year&gt;&lt;/dates&gt;&lt;pub-location&gt;Cambridge, Mass.&lt;/pub-location&gt;&lt;publisher&gt;Harvard University Press&lt;/publisher&gt;&lt;urls&gt;&lt;/urls&gt;&lt;/record&gt;&lt;/Cite&gt;&lt;/EndNote&gt;</w:instrText>
      </w:r>
      <w:r>
        <w:fldChar w:fldCharType="separate"/>
      </w:r>
      <w:r>
        <w:rPr>
          <w:noProof/>
        </w:rPr>
        <w:t>(</w:t>
      </w:r>
      <w:hyperlink w:anchor="_ENREF_27" w:tooltip="Regan, 1997 #4" w:history="1">
        <w:r>
          <w:rPr>
            <w:noProof/>
          </w:rPr>
          <w:t>Regan 1997</w:t>
        </w:r>
      </w:hyperlink>
      <w:r>
        <w:rPr>
          <w:noProof/>
        </w:rPr>
        <w:t>)</w:t>
      </w:r>
      <w:r>
        <w:fldChar w:fldCharType="end"/>
      </w:r>
      <w:r>
        <w:t xml:space="preserve">. The second is the semantic view that the comparisons are vague, not incommensurate – giving us instead the conclusion that we cannot say that either is stronger nor that they are equal </w:t>
      </w:r>
      <w:r>
        <w:fldChar w:fldCharType="begin"/>
      </w:r>
      <w:r>
        <w:instrText xml:space="preserve"> ADDIN EN.CITE &lt;EndNote&gt;&lt;Cite&gt;&lt;Author&gt;Broome&lt;/Author&gt;&lt;Year&gt;1997&lt;/Year&gt;&lt;RecNum&gt;5&lt;/RecNum&gt;&lt;DisplayText&gt;(Broome 1997)&lt;/DisplayText&gt;&lt;record&gt;&lt;rec-number&gt;5&lt;/rec-number&gt;&lt;foreign-keys&gt;&lt;key app="EN" db-id="sxsapx9pw5rxwbefvfzparttpws0dd22z9v5"&gt;5&lt;/key&gt;&lt;/foreign-keys&gt;&lt;ref-type name="Book Section"&gt;5&lt;/ref-type&gt;&lt;contributors&gt;&lt;authors&gt;&lt;author&gt;John Broome&lt;/author&gt;&lt;/authors&gt;&lt;secondary-authors&gt;&lt;author&gt;Ruth Chang&lt;/author&gt;&lt;/secondary-authors&gt;&lt;/contributors&gt;&lt;titles&gt;&lt;title&gt;Is Incommensurability Vagueness?&lt;/title&gt;&lt;secondary-title&gt;Incommensurability, Incomparability and Practical Reason&lt;/secondary-title&gt;&lt;/titles&gt;&lt;pages&gt;67-89&lt;/pages&gt;&lt;dates&gt;&lt;year&gt;1997&lt;/year&gt;&lt;/dates&gt;&lt;pub-location&gt;Cambridge, Mass.&lt;/pub-location&gt;&lt;publisher&gt;Harvard University Press&lt;/publisher&gt;&lt;urls&gt;&lt;/urls&gt;&lt;/record&gt;&lt;/Cite&gt;&lt;/EndNote&gt;</w:instrText>
      </w:r>
      <w:r>
        <w:fldChar w:fldCharType="separate"/>
      </w:r>
      <w:r>
        <w:rPr>
          <w:noProof/>
        </w:rPr>
        <w:t>(</w:t>
      </w:r>
      <w:hyperlink w:anchor="_ENREF_2" w:tooltip="Broome, 1997 #5" w:history="1">
        <w:r>
          <w:rPr>
            <w:noProof/>
          </w:rPr>
          <w:t>Broome 1997</w:t>
        </w:r>
      </w:hyperlink>
      <w:r>
        <w:rPr>
          <w:noProof/>
        </w:rPr>
        <w:t>)</w:t>
      </w:r>
      <w:r>
        <w:fldChar w:fldCharType="end"/>
      </w:r>
      <w:r>
        <w:t xml:space="preserve">. The third is that the meal and concert are “on a par” – treating that as a comparability-relation that is distinct from the relations of stronger </w:t>
      </w:r>
      <w:r w:rsidRPr="00FD0ABA">
        <w:t xml:space="preserve">than, weaker than and equal to </w:t>
      </w:r>
      <w:r>
        <w:fldChar w:fldCharType="begin"/>
      </w:r>
      <w:r>
        <w:instrText xml:space="preserve"> ADDIN EN.CITE &lt;EndNote&gt;&lt;Cite&gt;&lt;Author&gt;Chang&lt;/Author&gt;&lt;Year&gt;2002&lt;/Year&gt;&lt;RecNum&gt;6&lt;/RecNum&gt;&lt;DisplayText&gt;(Chang 2002)&lt;/DisplayText&gt;&lt;record&gt;&lt;rec-number&gt;6&lt;/rec-number&gt;&lt;foreign-keys&gt;&lt;key app="EN" db-id="sxsapx9pw5rxwbefvfzparttpws0dd22z9v5"&gt;6&lt;/key&gt;&lt;/foreign-keys&gt;&lt;ref-type name="Journal Article"&gt;17&lt;/ref-type&gt;&lt;contributors&gt;&lt;authors&gt;&lt;author&gt;Ruth Chang&lt;/author&gt;&lt;/authors&gt;&lt;/contributors&gt;&lt;titles&gt;&lt;title&gt;The Possibility of Parity&lt;/title&gt;&lt;secondary-title&gt;Ethics &lt;/secondary-title&gt;&lt;/titles&gt;&lt;periodical&gt;&lt;full-title&gt;Ethics&lt;/full-title&gt;&lt;/periodical&gt;&lt;pages&gt;659-688&lt;/pages&gt;&lt;volume&gt;112&lt;/volume&gt;&lt;dates&gt;&lt;year&gt;2002&lt;/year&gt;&lt;/dates&gt;&lt;urls&gt;&lt;/urls&gt;&lt;/record&gt;&lt;/Cite&gt;&lt;/EndNote&gt;</w:instrText>
      </w:r>
      <w:r>
        <w:fldChar w:fldCharType="separate"/>
      </w:r>
      <w:r>
        <w:rPr>
          <w:noProof/>
        </w:rPr>
        <w:t>(</w:t>
      </w:r>
      <w:hyperlink w:anchor="_ENREF_5" w:tooltip="Chang, 2002 #6" w:history="1">
        <w:r>
          <w:rPr>
            <w:noProof/>
          </w:rPr>
          <w:t>Chang 2002</w:t>
        </w:r>
      </w:hyperlink>
      <w:r>
        <w:rPr>
          <w:noProof/>
        </w:rPr>
        <w:t>)</w:t>
      </w:r>
      <w:r>
        <w:fldChar w:fldCharType="end"/>
      </w:r>
      <w:r w:rsidRPr="00FD0ABA">
        <w:t>.</w:t>
      </w:r>
      <w:r>
        <w:t xml:space="preserve"> And a fourth alternative is to avoid incommensurability by embracing holism. Given only the choice between Angela’s and the Chopin concert, the two reasons are equal in strength; given only the choice between Bernie’s and the concert, the reasons are equal in strength; but if you have a choice between all three, the strengths of the reasons change – now the reasons to go to Angela’s and the concert are equal in strength, but the reason to go to Bernie’s is weaker.</w:t>
      </w:r>
    </w:p>
  </w:endnote>
  <w:endnote w:id="8">
    <w:p w:rsidR="00DA066B" w:rsidRDefault="00DA066B" w:rsidP="001E239F">
      <w:pPr>
        <w:pStyle w:val="EndnoteText"/>
        <w:spacing w:line="480" w:lineRule="auto"/>
      </w:pPr>
      <w:r>
        <w:rPr>
          <w:rStyle w:val="EndnoteReference"/>
        </w:rPr>
        <w:endnoteRef/>
      </w:r>
      <w:r>
        <w:t xml:space="preserve">  However, perhaps we can still assign to each reason a range of numerical values </w:t>
      </w:r>
      <w:r>
        <w:fldChar w:fldCharType="begin"/>
      </w:r>
      <w:r>
        <w:instrText xml:space="preserve"> ADDIN EN.CITE &lt;EndNote&gt;&lt;Cite&gt;&lt;Author&gt;Broome&lt;/Author&gt;&lt;Year&gt;2004&lt;/Year&gt;&lt;RecNum&gt;29&lt;/RecNum&gt;&lt;Prefix&gt;compare &lt;/Prefix&gt;&lt;Suffix&gt;: Ch. 12&lt;/Suffix&gt;&lt;DisplayText&gt;(compare Broome 2004: Ch. 12)&lt;/DisplayText&gt;&lt;record&gt;&lt;rec-number&gt;29&lt;/rec-number&gt;&lt;foreign-keys&gt;&lt;key app="EN" db-id="sxsapx9pw5rxwbefvfzparttpws0dd22z9v5"&gt;29&lt;/key&gt;&lt;/foreign-keys&gt;&lt;ref-type name="Book"&gt;6&lt;/ref-type&gt;&lt;contributors&gt;&lt;authors&gt;&lt;author&gt;John Broome&lt;/author&gt;&lt;/authors&gt;&lt;/contributors&gt;&lt;titles&gt;&lt;title&gt;Weighing Lives&lt;/title&gt;&lt;/titles&gt;&lt;dates&gt;&lt;year&gt;2004&lt;/year&gt;&lt;/dates&gt;&lt;pub-location&gt;Oxford&lt;/pub-location&gt;&lt;publisher&gt;Oxford University Press&lt;/publisher&gt;&lt;urls&gt;&lt;/urls&gt;&lt;/record&gt;&lt;/Cite&gt;&lt;/EndNote&gt;</w:instrText>
      </w:r>
      <w:r>
        <w:fldChar w:fldCharType="separate"/>
      </w:r>
      <w:r>
        <w:rPr>
          <w:noProof/>
        </w:rPr>
        <w:t>(</w:t>
      </w:r>
      <w:hyperlink w:anchor="_ENREF_3" w:tooltip="Broome, 2004 #29" w:history="1">
        <w:r>
          <w:rPr>
            <w:noProof/>
          </w:rPr>
          <w:t>compare Broome 2004: Ch. 12</w:t>
        </w:r>
      </w:hyperlink>
      <w:r>
        <w:rPr>
          <w:noProof/>
        </w:rPr>
        <w:t>)</w:t>
      </w:r>
      <w:r>
        <w:fldChar w:fldCharType="end"/>
      </w:r>
      <w:r>
        <w:t>.</w:t>
      </w:r>
    </w:p>
  </w:endnote>
  <w:endnote w:id="9">
    <w:p w:rsidR="00DA066B" w:rsidRPr="006524BF" w:rsidRDefault="00DA066B" w:rsidP="001E239F">
      <w:pPr>
        <w:pStyle w:val="EndnoteText"/>
        <w:spacing w:line="480" w:lineRule="auto"/>
      </w:pPr>
      <w:r w:rsidRPr="006524BF">
        <w:rPr>
          <w:rStyle w:val="EndnoteReference"/>
        </w:rPr>
        <w:endnoteRef/>
      </w:r>
      <w:r w:rsidRPr="006524BF">
        <w:t xml:space="preserve">  </w:t>
      </w:r>
      <w:r>
        <w:t xml:space="preserve">Gert claims that his view allows us to “explain the phenomena that seem to support incommensurability without leading to the obscurities that surround that notion.” </w:t>
      </w:r>
      <w:r>
        <w:fldChar w:fldCharType="begin"/>
      </w:r>
      <w:r>
        <w:instrText xml:space="preserve"> ADDIN EN.CITE &lt;EndNote&gt;&lt;Cite ExcludeAuth="1"&gt;&lt;Author&gt;Gert&lt;/Author&gt;&lt;Year&gt;2007&lt;/Year&gt;&lt;RecNum&gt;9&lt;/RecNum&gt;&lt;Suffix&gt;: 549&lt;/Suffix&gt;&lt;DisplayText&gt;(2007: 549)&lt;/DisplayText&gt;&lt;record&gt;&lt;rec-number&gt;9&lt;/rec-number&gt;&lt;foreign-keys&gt;&lt;key app="EN" db-id="sxsapx9pw5rxwbefvfzparttpws0dd22z9v5"&gt;9&lt;/key&gt;&lt;/foreign-keys&gt;&lt;ref-type name="Journal Article"&gt;17&lt;/ref-type&gt;&lt;contributors&gt;&lt;authors&gt;&lt;author&gt;Joshua Gert&lt;/author&gt;&lt;/authors&gt;&lt;/contributors&gt;&lt;titles&gt;&lt;title&gt;Normative Strength and the Balance of Reasons&lt;/title&gt;&lt;secondary-title&gt;Philosophical Review&lt;/secondary-title&gt;&lt;/titles&gt;&lt;periodical&gt;&lt;full-title&gt;Philosophical Review&lt;/full-title&gt;&lt;/periodical&gt;&lt;pages&gt;533-62&lt;/pages&gt;&lt;volume&gt;116&lt;/volume&gt;&lt;dates&gt;&lt;year&gt;2007&lt;/year&gt;&lt;/dates&gt;&lt;urls&gt;&lt;/urls&gt;&lt;/record&gt;&lt;/Cite&gt;&lt;/EndNote&gt;</w:instrText>
      </w:r>
      <w:r>
        <w:fldChar w:fldCharType="separate"/>
      </w:r>
      <w:r>
        <w:rPr>
          <w:noProof/>
        </w:rPr>
        <w:t>(</w:t>
      </w:r>
      <w:hyperlink w:anchor="_ENREF_11" w:tooltip="Gert, 2007 #9" w:history="1">
        <w:r>
          <w:rPr>
            <w:noProof/>
          </w:rPr>
          <w:t>2007: 549</w:t>
        </w:r>
      </w:hyperlink>
      <w:r>
        <w:rPr>
          <w:noProof/>
        </w:rPr>
        <w:t>)</w:t>
      </w:r>
      <w:r>
        <w:fldChar w:fldCharType="end"/>
      </w:r>
      <w:r>
        <w:t xml:space="preserve"> However, this does not seem to be generally true. Sometimes, it seems that one’s reasons can require choosing A+ over A and B+ over B, but permit choosing B over A+ or </w:t>
      </w:r>
      <w:proofErr w:type="spellStart"/>
      <w:r>
        <w:t>A</w:t>
      </w:r>
      <w:proofErr w:type="spellEnd"/>
      <w:r>
        <w:t xml:space="preserve"> over B+. (E.g. A is a state in which my pain is lessened and in </w:t>
      </w:r>
      <w:proofErr w:type="gramStart"/>
      <w:r>
        <w:t>A+ it</w:t>
      </w:r>
      <w:proofErr w:type="gramEnd"/>
      <w:r>
        <w:t xml:space="preserve"> is lessened further; B is a state in which my lucidity is improved and in B+ it is improved further.) There is no consistent assignment of requiring and justifying strengths to the reasons favouring these options that can deliver this result (unless one resorts to the fourth, holistic alternative mentioned in note [7], making the assignment of strengths to reasons circumstance-relative). </w:t>
      </w:r>
    </w:p>
  </w:endnote>
  <w:endnote w:id="10">
    <w:p w:rsidR="00DA066B" w:rsidRDefault="00DA066B" w:rsidP="001E239F">
      <w:pPr>
        <w:pStyle w:val="EndnoteText"/>
        <w:spacing w:line="480" w:lineRule="auto"/>
      </w:pPr>
      <w:r>
        <w:rPr>
          <w:rStyle w:val="EndnoteReference"/>
        </w:rPr>
        <w:endnoteRef/>
      </w:r>
      <w:r>
        <w:t xml:space="preserve">  It is a good, further question what exactly has to be true of me for my responsiveness to the evidence of my reasons to count as “non-accidental”.</w:t>
      </w:r>
    </w:p>
  </w:endnote>
  <w:endnote w:id="11">
    <w:p w:rsidR="00DA066B" w:rsidRPr="00062F99" w:rsidRDefault="00DA066B" w:rsidP="001E239F">
      <w:pPr>
        <w:pStyle w:val="EndnoteText"/>
        <w:spacing w:line="480" w:lineRule="auto"/>
      </w:pPr>
      <w:r w:rsidRPr="00B70149">
        <w:rPr>
          <w:rStyle w:val="EndnoteReference"/>
        </w:rPr>
        <w:endnoteRef/>
      </w:r>
      <w:r>
        <w:t xml:space="preserve">  This way of thinking about the evaluative standards that govern</w:t>
      </w:r>
      <w:r w:rsidRPr="00B70149">
        <w:t xml:space="preserve"> rationality</w:t>
      </w:r>
      <w:r>
        <w:t>-judgements</w:t>
      </w:r>
      <w:r w:rsidRPr="00B70149">
        <w:t xml:space="preserve"> – I </w:t>
      </w:r>
      <w:r w:rsidRPr="00062F99">
        <w:t xml:space="preserve">call it a </w:t>
      </w:r>
      <w:r>
        <w:t>“</w:t>
      </w:r>
      <w:r w:rsidRPr="00062F99">
        <w:t>standard-fixing account</w:t>
      </w:r>
      <w:r>
        <w:t>”</w:t>
      </w:r>
      <w:r w:rsidRPr="00062F99">
        <w:t xml:space="preserve"> </w:t>
      </w:r>
      <w:r>
        <w:t xml:space="preserve">of the relation between reasons and rationality </w:t>
      </w:r>
      <w:r w:rsidRPr="00062F99">
        <w:t xml:space="preserve">– </w:t>
      </w:r>
      <w:r>
        <w:t xml:space="preserve">is developed further in </w:t>
      </w:r>
      <w:r>
        <w:fldChar w:fldCharType="begin"/>
      </w:r>
      <w:r>
        <w:instrText xml:space="preserve"> ADDIN EN.CITE &lt;EndNote&gt;&lt;Cite&gt;&lt;Author&gt;Cullity&lt;/Author&gt;&lt;Year&gt;2008&lt;/Year&gt;&lt;RecNum&gt;22&lt;/RecNum&gt;&lt;DisplayText&gt;(Cullity 2008)&lt;/DisplayText&gt;&lt;record&gt;&lt;rec-number&gt;22&lt;/rec-number&gt;&lt;foreign-keys&gt;&lt;key app="EN" db-id="sxsapx9pw5rxwbefvfzparttpws0dd22z9v5"&gt;22&lt;/key&gt;&lt;/foreign-keys&gt;&lt;ref-type name="Journal Article"&gt;17&lt;/ref-type&gt;&lt;contributors&gt;&lt;authors&gt;&lt;author&gt;Garrett Cullity&lt;/author&gt;&lt;/authors&gt;&lt;/contributors&gt;&lt;titles&gt;&lt;title&gt;Decisions, Reasons and Rationality&lt;/title&gt;&lt;secondary-title&gt;Ethics&lt;/secondary-title&gt;&lt;/titles&gt;&lt;periodical&gt;&lt;full-title&gt;Ethics&lt;/full-title&gt;&lt;/periodical&gt;&lt;pages&gt;57-95&lt;/pages&gt;&lt;volume&gt;119&lt;/volume&gt;&lt;dates&gt;&lt;year&gt;2008&lt;/year&gt;&lt;/dates&gt;&lt;urls&gt;&lt;/urls&gt;&lt;/record&gt;&lt;/Cite&gt;&lt;/EndNote&gt;</w:instrText>
      </w:r>
      <w:r>
        <w:fldChar w:fldCharType="separate"/>
      </w:r>
      <w:r>
        <w:rPr>
          <w:noProof/>
        </w:rPr>
        <w:t>(</w:t>
      </w:r>
      <w:hyperlink w:anchor="_ENREF_6" w:tooltip="Cullity, 2008 #22" w:history="1">
        <w:r>
          <w:rPr>
            <w:noProof/>
          </w:rPr>
          <w:t>Cullity 2008</w:t>
        </w:r>
      </w:hyperlink>
      <w:r>
        <w:rPr>
          <w:noProof/>
        </w:rPr>
        <w:t>)</w:t>
      </w:r>
      <w:r>
        <w:fldChar w:fldCharType="end"/>
      </w:r>
      <w:r w:rsidRPr="00062F99">
        <w:t>.</w:t>
      </w:r>
    </w:p>
  </w:endnote>
  <w:endnote w:id="12">
    <w:p w:rsidR="00DA066B" w:rsidRDefault="00DA066B" w:rsidP="001E239F">
      <w:pPr>
        <w:pStyle w:val="EndnoteText"/>
        <w:spacing w:line="480" w:lineRule="auto"/>
      </w:pPr>
      <w:r>
        <w:rPr>
          <w:rStyle w:val="EndnoteReference"/>
        </w:rPr>
        <w:endnoteRef/>
      </w:r>
      <w:r>
        <w:t xml:space="preserve"> One problem with the proposal currently under discussion is that it sometimes fails to deliver that result. Huckleberry Finn is apparently sensitive to the evidence of his reasons in what he decides to do; but he forms the wrong beliefs about those reasons and then akratically fails to act on his beliefs. That does seem to be a kind of irrationality. The revised proposal at the end of this section deals with this sort of case: see note [15].</w:t>
      </w:r>
    </w:p>
  </w:endnote>
  <w:endnote w:id="13">
    <w:p w:rsidR="00DA066B" w:rsidRPr="00062F99" w:rsidRDefault="00DA066B" w:rsidP="001E239F">
      <w:pPr>
        <w:pStyle w:val="EndnoteText"/>
        <w:spacing w:line="480" w:lineRule="auto"/>
      </w:pPr>
      <w:r w:rsidRPr="00062F99">
        <w:rPr>
          <w:rStyle w:val="EndnoteReference"/>
        </w:rPr>
        <w:endnoteRef/>
      </w:r>
      <w:r w:rsidRPr="00062F99">
        <w:t xml:space="preserve">  </w:t>
      </w:r>
      <w:r>
        <w:t xml:space="preserve">Like Gert, Greenspan explains a reason’s requiring an action </w:t>
      </w:r>
      <w:r w:rsidRPr="00062F99">
        <w:t>in terms of the appropriateness of criticism</w:t>
      </w:r>
      <w:r>
        <w:t xml:space="preserve"> of the agent as irrational </w:t>
      </w:r>
      <w:r>
        <w:fldChar w:fldCharType="begin"/>
      </w:r>
      <w:r>
        <w:instrText xml:space="preserve"> ADDIN EN.CITE &lt;EndNote&gt;&lt;Cite&gt;&lt;Author&gt;Greenspan&lt;/Author&gt;&lt;Year&gt;2005&lt;/Year&gt;&lt;RecNum&gt;13&lt;/RecNum&gt;&lt;Suffix&gt;: 387-9&lt;/Suffix&gt;&lt;DisplayText&gt;(Greenspan 2005: 387-9)&lt;/DisplayText&gt;&lt;record&gt;&lt;rec-number&gt;13&lt;/rec-number&gt;&lt;foreign-keys&gt;&lt;key app="EN" db-id="sxsapx9pw5rxwbefvfzparttpws0dd22z9v5"&gt;13&lt;/key&gt;&lt;/foreign-keys&gt;&lt;ref-type name="Book Section"&gt;5&lt;/ref-type&gt;&lt;contributors&gt;&lt;authors&gt;&lt;author&gt;Patricia Greenspan&lt;/author&gt;&lt;/authors&gt;&lt;secondary-authors&gt;&lt;author&gt;M. E. and J. C. Marek Reicher&lt;/author&gt;&lt;/secondary-authors&gt;&lt;/contributors&gt;&lt;titles&gt;&lt;title&gt;Asymmetrical Practical Reasons&lt;/title&gt;&lt;secondary-title&gt;Experience and Analysis: Proceedings of the 27th International Wittgenstein Symposium&lt;/secondary-title&gt;&lt;/titles&gt;&lt;pages&gt;115-22&lt;/pages&gt;&lt;dates&gt;&lt;year&gt;2005&lt;/year&gt;&lt;/dates&gt;&lt;pub-location&gt;Vienna&lt;/pub-location&gt;&lt;publisher&gt;oebv&amp;amp;hpt&lt;/publisher&gt;&lt;urls&gt;&lt;/urls&gt;&lt;/record&gt;&lt;/Cite&gt;&lt;/EndNote&gt;</w:instrText>
      </w:r>
      <w:r>
        <w:fldChar w:fldCharType="separate"/>
      </w:r>
      <w:r>
        <w:rPr>
          <w:noProof/>
        </w:rPr>
        <w:t>(</w:t>
      </w:r>
      <w:hyperlink w:anchor="_ENREF_12" w:tooltip="Greenspan, 2005 #13" w:history="1">
        <w:r>
          <w:rPr>
            <w:noProof/>
          </w:rPr>
          <w:t>Greenspan 2005: 387-9</w:t>
        </w:r>
      </w:hyperlink>
      <w:r>
        <w:rPr>
          <w:noProof/>
        </w:rPr>
        <w:t>)</w:t>
      </w:r>
      <w:r>
        <w:fldChar w:fldCharType="end"/>
      </w:r>
      <w:r w:rsidRPr="00062F99">
        <w:t>.</w:t>
      </w:r>
    </w:p>
  </w:endnote>
  <w:endnote w:id="14">
    <w:p w:rsidR="00DA066B" w:rsidRPr="00062F99" w:rsidRDefault="00DA066B" w:rsidP="001E239F">
      <w:pPr>
        <w:pStyle w:val="EndnoteText"/>
        <w:spacing w:line="480" w:lineRule="auto"/>
      </w:pPr>
      <w:r w:rsidRPr="00B70149">
        <w:rPr>
          <w:rStyle w:val="EndnoteReference"/>
        </w:rPr>
        <w:endnoteRef/>
      </w:r>
      <w:r w:rsidRPr="00B70149">
        <w:t xml:space="preserve">  This might happen in a </w:t>
      </w:r>
      <w:r>
        <w:t>“</w:t>
      </w:r>
      <w:r w:rsidRPr="00B70149">
        <w:t>Schelling case</w:t>
      </w:r>
      <w:r>
        <w:t>”</w:t>
      </w:r>
      <w:r w:rsidRPr="00B70149">
        <w:t xml:space="preserve">, where the most effective way to prevent someone from threatening </w:t>
      </w:r>
      <w:r w:rsidRPr="00062F99">
        <w:t xml:space="preserve">you is to convince him you are irrational. See </w:t>
      </w:r>
      <w:r>
        <w:fldChar w:fldCharType="begin"/>
      </w:r>
      <w:r>
        <w:instrText xml:space="preserve"> ADDIN EN.CITE &lt;EndNote&gt;&lt;Cite&gt;&lt;Author&gt;Schelling&lt;/Author&gt;&lt;Year&gt;1960&lt;/Year&gt;&lt;RecNum&gt;15&lt;/RecNum&gt;&lt;DisplayText&gt;(Schelling 1960)&lt;/DisplayText&gt;&lt;record&gt;&lt;rec-number&gt;15&lt;/rec-number&gt;&lt;foreign-keys&gt;&lt;key app="EN" db-id="sxsapx9pw5rxwbefvfzparttpws0dd22z9v5"&gt;15&lt;/key&gt;&lt;/foreign-keys&gt;&lt;ref-type name="Book"&gt;6&lt;/ref-type&gt;&lt;contributors&gt;&lt;authors&gt;&lt;author&gt;Thomas C. Schelling&lt;/author&gt;&lt;/authors&gt;&lt;/contributors&gt;&lt;titles&gt;&lt;title&gt;The Strategy of Conflict&lt;/title&gt;&lt;/titles&gt;&lt;dates&gt;&lt;year&gt;1960&lt;/year&gt;&lt;/dates&gt;&lt;pub-location&gt;Cambridge, Mass.&lt;/pub-location&gt;&lt;publisher&gt;Harvard University Press&lt;/publisher&gt;&lt;urls&gt;&lt;/urls&gt;&lt;/record&gt;&lt;/Cite&gt;&lt;/EndNote&gt;</w:instrText>
      </w:r>
      <w:r>
        <w:fldChar w:fldCharType="separate"/>
      </w:r>
      <w:r>
        <w:rPr>
          <w:noProof/>
        </w:rPr>
        <w:t>(</w:t>
      </w:r>
      <w:hyperlink w:anchor="_ENREF_30" w:tooltip="Schelling, 1960 #15" w:history="1">
        <w:r>
          <w:rPr>
            <w:noProof/>
          </w:rPr>
          <w:t>Schelling 1960</w:t>
        </w:r>
      </w:hyperlink>
      <w:r>
        <w:rPr>
          <w:noProof/>
        </w:rPr>
        <w:t>)</w:t>
      </w:r>
      <w:r>
        <w:fldChar w:fldCharType="end"/>
      </w:r>
      <w:r>
        <w:t>.</w:t>
      </w:r>
    </w:p>
  </w:endnote>
  <w:endnote w:id="15">
    <w:p w:rsidR="00DA066B" w:rsidRPr="00053283" w:rsidRDefault="00DA066B" w:rsidP="001E239F">
      <w:pPr>
        <w:pStyle w:val="EndnoteText"/>
        <w:spacing w:line="480" w:lineRule="auto"/>
      </w:pPr>
      <w:r w:rsidRPr="00053283">
        <w:rPr>
          <w:rStyle w:val="EndnoteReference"/>
        </w:rPr>
        <w:endnoteRef/>
      </w:r>
      <w:r w:rsidRPr="00053283">
        <w:t xml:space="preserve"> </w:t>
      </w:r>
      <w:r>
        <w:t xml:space="preserve"> Then it is a subjective “should” of the kind we met in Section I.</w:t>
      </w:r>
    </w:p>
  </w:endnote>
  <w:endnote w:id="16">
    <w:p w:rsidR="00DA066B" w:rsidRPr="0005654E" w:rsidRDefault="00DA066B" w:rsidP="001E239F">
      <w:pPr>
        <w:pStyle w:val="EndnoteText"/>
        <w:spacing w:line="480" w:lineRule="auto"/>
        <w:rPr>
          <w:i/>
        </w:rPr>
      </w:pPr>
      <w:r>
        <w:rPr>
          <w:rStyle w:val="EndnoteReference"/>
        </w:rPr>
        <w:endnoteRef/>
      </w:r>
      <w:r>
        <w:t xml:space="preserve">  Notice how this now deals with cases of “inverse </w:t>
      </w:r>
      <w:proofErr w:type="spellStart"/>
      <w:r>
        <w:t>akrasia</w:t>
      </w:r>
      <w:proofErr w:type="spellEnd"/>
      <w:r>
        <w:t xml:space="preserve">” such as Huckleberry Finn </w:t>
      </w:r>
      <w:r>
        <w:fldChar w:fldCharType="begin"/>
      </w:r>
      <w:r>
        <w:instrText xml:space="preserve"> ADDIN EN.CITE &lt;EndNote&gt;&lt;Cite&gt;&lt;Author&gt;Arpaly&lt;/Author&gt;&lt;Year&gt;2003&lt;/Year&gt;&lt;RecNum&gt;14&lt;/RecNum&gt;&lt;Suffix&gt;: 8-11&lt;/Suffix&gt;&lt;DisplayText&gt;(Arpaly 2003: 8-11)&lt;/DisplayText&gt;&lt;record&gt;&lt;rec-number&gt;14&lt;/rec-number&gt;&lt;foreign-keys&gt;&lt;key app="EN" db-id="sxsapx9pw5rxwbefvfzparttpws0dd22z9v5"&gt;14&lt;/key&gt;&lt;/foreign-keys&gt;&lt;ref-type name="Book"&gt;6&lt;/ref-type&gt;&lt;contributors&gt;&lt;authors&gt;&lt;author&gt;Nomy Arpaly&lt;/author&gt;&lt;/authors&gt;&lt;/contributors&gt;&lt;titles&gt;&lt;title&gt;Unprincipled Virtue&lt;/title&gt;&lt;/titles&gt;&lt;dates&gt;&lt;year&gt;2003&lt;/year&gt;&lt;/dates&gt;&lt;pub-location&gt;New York&lt;/pub-location&gt;&lt;publisher&gt;Oxford University Press&lt;/publisher&gt;&lt;urls&gt;&lt;/urls&gt;&lt;/record&gt;&lt;/Cite&gt;&lt;/EndNote&gt;</w:instrText>
      </w:r>
      <w:r>
        <w:fldChar w:fldCharType="separate"/>
      </w:r>
      <w:r>
        <w:rPr>
          <w:noProof/>
        </w:rPr>
        <w:t>(</w:t>
      </w:r>
      <w:hyperlink w:anchor="_ENREF_1" w:tooltip="Arpaly, 2003 #14" w:history="1">
        <w:r>
          <w:rPr>
            <w:noProof/>
          </w:rPr>
          <w:t>Arpaly 2003: 8-11</w:t>
        </w:r>
      </w:hyperlink>
      <w:r>
        <w:rPr>
          <w:noProof/>
        </w:rPr>
        <w:t>)</w:t>
      </w:r>
      <w:r>
        <w:fldChar w:fldCharType="end"/>
      </w:r>
      <w:r>
        <w:t>. Huck wrongly believes he ought to turn Jim over to the slave-hunters, but he fails to do so out of responsiveness to the reasons against doing so. So his action counts as rational, on the account we have arrived at, because of its non-accidental responsiveness to the evident reasons. But his deliberation is irrational, because of its akratic form.</w:t>
      </w:r>
    </w:p>
  </w:endnote>
  <w:endnote w:id="17">
    <w:p w:rsidR="00DA066B" w:rsidRPr="00B70149" w:rsidRDefault="00DA066B" w:rsidP="001E239F">
      <w:pPr>
        <w:pStyle w:val="Default"/>
        <w:spacing w:before="120" w:line="480" w:lineRule="auto"/>
        <w:rPr>
          <w:sz w:val="20"/>
          <w:szCs w:val="20"/>
        </w:rPr>
      </w:pPr>
      <w:r w:rsidRPr="00062F99">
        <w:rPr>
          <w:rStyle w:val="EndnoteReference"/>
          <w:sz w:val="20"/>
          <w:szCs w:val="20"/>
        </w:rPr>
        <w:endnoteRef/>
      </w:r>
      <w:r w:rsidRPr="00062F99">
        <w:rPr>
          <w:sz w:val="20"/>
          <w:szCs w:val="20"/>
        </w:rPr>
        <w:t xml:space="preserve">  </w:t>
      </w:r>
      <w:r>
        <w:rPr>
          <w:sz w:val="20"/>
          <w:szCs w:val="20"/>
        </w:rPr>
        <w:t>As</w:t>
      </w:r>
      <w:r w:rsidRPr="00062F99">
        <w:rPr>
          <w:sz w:val="20"/>
          <w:szCs w:val="20"/>
        </w:rPr>
        <w:t xml:space="preserve"> G.F. </w:t>
      </w:r>
      <w:proofErr w:type="spellStart"/>
      <w:r w:rsidRPr="00062F99">
        <w:rPr>
          <w:sz w:val="20"/>
          <w:szCs w:val="20"/>
        </w:rPr>
        <w:t>Schueler</w:t>
      </w:r>
      <w:proofErr w:type="spellEnd"/>
      <w:r>
        <w:rPr>
          <w:sz w:val="20"/>
          <w:szCs w:val="20"/>
        </w:rPr>
        <w:t xml:space="preserve"> </w:t>
      </w:r>
      <w:r>
        <w:rPr>
          <w:sz w:val="20"/>
          <w:szCs w:val="20"/>
        </w:rPr>
        <w:fldChar w:fldCharType="begin"/>
      </w:r>
      <w:r>
        <w:rPr>
          <w:sz w:val="20"/>
          <w:szCs w:val="20"/>
        </w:rPr>
        <w:instrText xml:space="preserve"> ADDIN EN.CITE &lt;EndNote&gt;&lt;Cite ExcludeAuth="1"&gt;&lt;Author&gt;Schueler&lt;/Author&gt;&lt;Year&gt;1979&lt;/Year&gt;&lt;RecNum&gt;12&lt;/RecNum&gt;&lt;DisplayText&gt;(1979)&lt;/DisplayText&gt;&lt;record&gt;&lt;rec-number&gt;12&lt;/rec-number&gt;&lt;foreign-keys&gt;&lt;key app="EN" db-id="sxsapx9pw5rxwbefvfzparttpws0dd22z9v5"&gt;12&lt;/key&gt;&lt;/foreign-keys&gt;&lt;ref-type name="Journal Article"&gt;17&lt;/ref-type&gt;&lt;contributors&gt;&lt;authors&gt;&lt;author&gt;G.F. Schueler&lt;/author&gt;&lt;/authors&gt;&lt;/contributors&gt;&lt;titles&gt;&lt;title&gt;Exclusionary Reasons&lt;/title&gt;&lt;secondary-title&gt;The Personalist&lt;/secondary-title&gt;&lt;/titles&gt;&lt;periodical&gt;&lt;full-title&gt;The Personalist&lt;/full-title&gt;&lt;/periodical&gt;&lt;pages&gt;407-10&lt;/pages&gt;&lt;volume&gt;60&lt;/volume&gt;&lt;dates&gt;&lt;year&gt;1979&lt;/year&gt;&lt;/dates&gt;&lt;urls&gt;&lt;/urls&gt;&lt;/record&gt;&lt;/Cite&gt;&lt;/EndNote&gt;</w:instrText>
      </w:r>
      <w:r>
        <w:rPr>
          <w:sz w:val="20"/>
          <w:szCs w:val="20"/>
        </w:rPr>
        <w:fldChar w:fldCharType="separate"/>
      </w:r>
      <w:r>
        <w:rPr>
          <w:noProof/>
          <w:sz w:val="20"/>
          <w:szCs w:val="20"/>
        </w:rPr>
        <w:t>(</w:t>
      </w:r>
      <w:hyperlink w:anchor="_ENREF_32" w:tooltip="Schueler, 1979 #12" w:history="1">
        <w:r>
          <w:rPr>
            <w:noProof/>
            <w:sz w:val="20"/>
            <w:szCs w:val="20"/>
          </w:rPr>
          <w:t>1979</w:t>
        </w:r>
      </w:hyperlink>
      <w:r>
        <w:rPr>
          <w:noProof/>
          <w:sz w:val="20"/>
          <w:szCs w:val="20"/>
        </w:rPr>
        <w:t>)</w:t>
      </w:r>
      <w:r>
        <w:rPr>
          <w:sz w:val="20"/>
          <w:szCs w:val="20"/>
        </w:rPr>
        <w:fldChar w:fldCharType="end"/>
      </w:r>
      <w:r>
        <w:rPr>
          <w:sz w:val="20"/>
          <w:szCs w:val="20"/>
        </w:rPr>
        <w:t xml:space="preserve"> points out</w:t>
      </w:r>
      <w:r w:rsidRPr="00062F99">
        <w:rPr>
          <w:sz w:val="20"/>
          <w:szCs w:val="20"/>
        </w:rPr>
        <w:t xml:space="preserve">, </w:t>
      </w:r>
      <w:r>
        <w:rPr>
          <w:sz w:val="20"/>
          <w:szCs w:val="20"/>
        </w:rPr>
        <w:t xml:space="preserve">there is a sense in which every reason against an action is a reason against acting for the reasons in favour of that action. But </w:t>
      </w:r>
      <w:proofErr w:type="spellStart"/>
      <w:r>
        <w:rPr>
          <w:sz w:val="20"/>
          <w:szCs w:val="20"/>
        </w:rPr>
        <w:t>Raz’s</w:t>
      </w:r>
      <w:proofErr w:type="spellEnd"/>
      <w:r>
        <w:rPr>
          <w:sz w:val="20"/>
          <w:szCs w:val="20"/>
        </w:rPr>
        <w:t xml:space="preserve"> idea is that for a consideration to function as an exclusionary reason is not for it to function as a contrary first-order reason. It is to be a reason against acting </w:t>
      </w:r>
      <w:r>
        <w:rPr>
          <w:i/>
          <w:sz w:val="20"/>
          <w:szCs w:val="20"/>
        </w:rPr>
        <w:t xml:space="preserve">for </w:t>
      </w:r>
      <w:r>
        <w:rPr>
          <w:sz w:val="20"/>
          <w:szCs w:val="20"/>
        </w:rPr>
        <w:t xml:space="preserve">a first-order reason – against being motivated or guided by that first-order in acting </w:t>
      </w:r>
      <w:r>
        <w:rPr>
          <w:sz w:val="20"/>
          <w:szCs w:val="20"/>
        </w:rPr>
        <w:fldChar w:fldCharType="begin"/>
      </w:r>
      <w:r>
        <w:rPr>
          <w:sz w:val="20"/>
          <w:szCs w:val="20"/>
        </w:rPr>
        <w:instrText xml:space="preserve"> ADDIN EN.CITE &lt;EndNote&gt;&lt;Cite&gt;&lt;Author&gt;Raz&lt;/Author&gt;&lt;Year&gt;1999&lt;/Year&gt;&lt;RecNum&gt;11&lt;/RecNum&gt;&lt;Suffix&gt;: 178-85&lt;/Suffix&gt;&lt;DisplayText&gt;(Raz 1999: 178-85)&lt;/DisplayText&gt;&lt;record&gt;&lt;rec-number&gt;11&lt;/rec-number&gt;&lt;foreign-keys&gt;&lt;key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rPr>
          <w:sz w:val="20"/>
          <w:szCs w:val="20"/>
        </w:rPr>
        <w:fldChar w:fldCharType="separate"/>
      </w:r>
      <w:r>
        <w:rPr>
          <w:noProof/>
          <w:sz w:val="20"/>
          <w:szCs w:val="20"/>
        </w:rPr>
        <w:t>(</w:t>
      </w:r>
      <w:hyperlink w:anchor="_ENREF_24" w:tooltip="Raz, 1999 #11" w:history="1">
        <w:r>
          <w:rPr>
            <w:noProof/>
            <w:sz w:val="20"/>
            <w:szCs w:val="20"/>
          </w:rPr>
          <w:t>Raz 1999: 178-85</w:t>
        </w:r>
      </w:hyperlink>
      <w:r>
        <w:rPr>
          <w:noProof/>
          <w:sz w:val="20"/>
          <w:szCs w:val="20"/>
        </w:rPr>
        <w:t>)</w:t>
      </w:r>
      <w:r>
        <w:rPr>
          <w:sz w:val="20"/>
          <w:szCs w:val="20"/>
        </w:rPr>
        <w:fldChar w:fldCharType="end"/>
      </w:r>
      <w:r w:rsidRPr="00B70149">
        <w:rPr>
          <w:sz w:val="20"/>
          <w:szCs w:val="20"/>
        </w:rPr>
        <w:t>.</w:t>
      </w:r>
      <w:r w:rsidRPr="00062F99">
        <w:t xml:space="preserve"> </w:t>
      </w:r>
    </w:p>
  </w:endnote>
  <w:endnote w:id="18">
    <w:p w:rsidR="00DA066B" w:rsidRPr="00973704" w:rsidRDefault="00DA066B" w:rsidP="001E239F">
      <w:pPr>
        <w:pStyle w:val="EndnoteText"/>
        <w:spacing w:line="480" w:lineRule="auto"/>
      </w:pPr>
      <w:r w:rsidRPr="00973704">
        <w:rPr>
          <w:rStyle w:val="EndnoteReference"/>
        </w:rPr>
        <w:endnoteRef/>
      </w:r>
      <w:r w:rsidRPr="00973704">
        <w:t xml:space="preserve">  The first kind of case is illustrated by </w:t>
      </w:r>
      <w:proofErr w:type="spellStart"/>
      <w:r w:rsidRPr="00973704">
        <w:t>Raz’s</w:t>
      </w:r>
      <w:proofErr w:type="spellEnd"/>
      <w:r w:rsidRPr="00973704">
        <w:t xml:space="preserve"> example of Ann, who is given the opportunity to make an investment decision with a deadline of midnight, but judges </w:t>
      </w:r>
      <w:proofErr w:type="gramStart"/>
      <w:r w:rsidRPr="00973704">
        <w:t>herself</w:t>
      </w:r>
      <w:proofErr w:type="gramEnd"/>
      <w:r w:rsidRPr="00973704">
        <w:t xml:space="preserve"> to be too tired and upset to make an accurate decision. </w:t>
      </w:r>
      <w:r>
        <w:t xml:space="preserve">The second is illustrated by the examples of Colin, who has promised his wife to consider only his son’s interests in making decisions about his schooling, and the soldier Jeremy, discussed in what follows </w:t>
      </w:r>
      <w:r>
        <w:fldChar w:fldCharType="begin"/>
      </w:r>
      <w:r>
        <w:instrText xml:space="preserve"> ADDIN EN.CITE &lt;EndNote&gt;&lt;Cite ExcludeAuth="1"&gt;&lt;Author&gt;Raz&lt;/Author&gt;&lt;Year&gt;1999&lt;/Year&gt;&lt;RecNum&gt;11&lt;/RecNum&gt;&lt;Suffix&gt;: 37-9&lt;/Suffix&gt;&lt;DisplayText&gt;(1999: 37-9)&lt;/DisplayText&gt;&lt;record&gt;&lt;rec-number&gt;11&lt;/rec-number&gt;&lt;foreign-keys&gt;&lt;key app="EN" db-id="sxsapx9pw5rxwbefvfzparttpws0dd22z9v5"&gt;11&lt;/key&gt;&lt;/foreign-keys&gt;&lt;ref-type name="Book"&gt;6&lt;/ref-type&gt;&lt;contributors&gt;&lt;authors&gt;&lt;author&gt;Joseph Raz&lt;/author&gt;&lt;/authors&gt;&lt;/contributors&gt;&lt;titles&gt;&lt;title&gt;Practical Reason and Norms&lt;/title&gt;&lt;/titles&gt;&lt;edition&gt;second&lt;/edition&gt;&lt;dates&gt;&lt;year&gt;1999&lt;/year&gt;&lt;/dates&gt;&lt;pub-location&gt;Oxford&lt;/pub-location&gt;&lt;publisher&gt;Oxford University Press&lt;/publisher&gt;&lt;urls&gt;&lt;/urls&gt;&lt;/record&gt;&lt;/Cite&gt;&lt;/EndNote&gt;</w:instrText>
      </w:r>
      <w:r>
        <w:fldChar w:fldCharType="separate"/>
      </w:r>
      <w:r>
        <w:rPr>
          <w:noProof/>
        </w:rPr>
        <w:t>(</w:t>
      </w:r>
      <w:hyperlink w:anchor="_ENREF_24" w:tooltip="Raz, 1999 #11" w:history="1">
        <w:r>
          <w:rPr>
            <w:noProof/>
          </w:rPr>
          <w:t>1999: 37-9</w:t>
        </w:r>
      </w:hyperlink>
      <w:r>
        <w:rPr>
          <w:noProof/>
        </w:rPr>
        <w:t>)</w:t>
      </w:r>
      <w:r>
        <w:fldChar w:fldCharType="end"/>
      </w:r>
      <w:r>
        <w:t>.</w:t>
      </w:r>
    </w:p>
  </w:endnote>
  <w:endnote w:id="19">
    <w:p w:rsidR="00DA066B" w:rsidRDefault="00DA066B" w:rsidP="001E239F">
      <w:pPr>
        <w:pStyle w:val="EndnoteText"/>
        <w:spacing w:line="480" w:lineRule="auto"/>
      </w:pPr>
      <w:r>
        <w:rPr>
          <w:rStyle w:val="EndnoteReference"/>
        </w:rPr>
        <w:endnoteRef/>
      </w:r>
      <w:r>
        <w:t xml:space="preserve">  I attempt part of that task in </w:t>
      </w:r>
      <w:r>
        <w:fldChar w:fldCharType="begin"/>
      </w:r>
      <w:r>
        <w:instrText xml:space="preserve"> ADDIN EN.CITE &lt;EndNote&gt;&lt;Cite&gt;&lt;Author&gt;Cullity&lt;/Author&gt;&lt;Year&gt;2013&lt;/Year&gt;&lt;RecNum&gt;25&lt;/RecNum&gt;&lt;DisplayText&gt;(Cullity 2013)&lt;/DisplayText&gt;&lt;record&gt;&lt;rec-number&gt;25&lt;/rec-number&gt;&lt;foreign-keys&gt;&lt;key app="EN" db-id="sxsapx9pw5rxwbefvfzparttpws0dd22z9v5"&gt;25&lt;/key&gt;&lt;/foreign-keys&gt;&lt;ref-type name="Journal Article"&gt;17&lt;/ref-type&gt;&lt;contributors&gt;&lt;authors&gt;&lt;author&gt;Garrett Cullity&lt;/author&gt;&lt;/authors&gt;&lt;/contributors&gt;&lt;titles&gt;&lt;title&gt;The Context-Undermining of Practical Reasons&lt;/title&gt;&lt;secondary-title&gt;Ethics&lt;/secondary-title&gt;&lt;/titles&gt;&lt;periodical&gt;&lt;full-title&gt;Ethics&lt;/full-title&gt;&lt;/periodical&gt;&lt;pages&gt;1-27&lt;/pages&gt;&lt;volume&gt;124&lt;/volume&gt;&lt;dates&gt;&lt;year&gt;2013&lt;/year&gt;&lt;/dates&gt;&lt;urls&gt;&lt;/urls&gt;&lt;/record&gt;&lt;/Cite&gt;&lt;/EndNote&gt;</w:instrText>
      </w:r>
      <w:r>
        <w:fldChar w:fldCharType="separate"/>
      </w:r>
      <w:r>
        <w:rPr>
          <w:noProof/>
        </w:rPr>
        <w:t>(</w:t>
      </w:r>
      <w:hyperlink w:anchor="_ENREF_7" w:tooltip="Cullity, 2013 #25" w:history="1">
        <w:r>
          <w:rPr>
            <w:noProof/>
          </w:rPr>
          <w:t>Cullity 2013</w:t>
        </w:r>
      </w:hyperlink>
      <w:r>
        <w:rPr>
          <w:noProof/>
        </w:rPr>
        <w:t>)</w:t>
      </w:r>
      <w:r>
        <w:fldChar w:fldCharType="end"/>
      </w:r>
      <w:r>
        <w:t>.</w:t>
      </w:r>
    </w:p>
  </w:endnote>
  <w:endnote w:id="20">
    <w:p w:rsidR="00DA066B" w:rsidRPr="001D2737" w:rsidRDefault="00DA066B" w:rsidP="001E239F">
      <w:pPr>
        <w:pStyle w:val="EndnoteText"/>
        <w:spacing w:line="480" w:lineRule="auto"/>
      </w:pPr>
      <w:r w:rsidRPr="001D2737">
        <w:rPr>
          <w:rStyle w:val="EndnoteReference"/>
        </w:rPr>
        <w:endnoteRef/>
      </w:r>
      <w:r w:rsidRPr="001D2737">
        <w:t xml:space="preserve">  Here, I am disagreeing with Mark Schroeder’s claim that “facts about the weight of reasons are facts about correct deliberation”</w:t>
      </w:r>
      <w:r>
        <w:t xml:space="preserve"> </w:t>
      </w:r>
      <w:r>
        <w:fldChar w:fldCharType="begin"/>
      </w:r>
      <w:r>
        <w:instrText xml:space="preserve"> ADDIN EN.CITE &lt;EndNote&gt;&lt;Cite ExcludeAuth="1"&gt;&lt;Author&gt;Schroeder&lt;/Author&gt;&lt;Year&gt;2011&lt;/Year&gt;&lt;RecNum&gt;16&lt;/RecNum&gt;&lt;Suffix&gt;: 336&lt;/Suffix&gt;&lt;DisplayText&gt;(2011: 336)&lt;/DisplayText&gt;&lt;record&gt;&lt;rec-number&gt;16&lt;/rec-number&gt;&lt;foreign-keys&gt;&lt;key app="EN" db-id="sxsapx9pw5rxwbefvfzparttpws0dd22z9v5"&gt;16&lt;/key&gt;&lt;/foreign-keys&gt;&lt;ref-type name="Journal Article"&gt;17&lt;/ref-type&gt;&lt;contributors&gt;&lt;authors&gt;&lt;author&gt;Mark Schroeder&lt;/author&gt;&lt;/authors&gt;&lt;/contributors&gt;&lt;titles&gt;&lt;title&gt;Holism, Weight, and Undercutting&lt;/title&gt;&lt;secondary-title&gt;Nous&lt;/secondary-title&gt;&lt;/titles&gt;&lt;periodical&gt;&lt;full-title&gt;Nous&lt;/full-title&gt;&lt;/periodical&gt;&lt;pages&gt;328-44&lt;/pages&gt;&lt;volume&gt;45&lt;/volume&gt;&lt;dates&gt;&lt;year&gt;2011&lt;/year&gt;&lt;/dates&gt;&lt;urls&gt;&lt;/urls&gt;&lt;/record&gt;&lt;/Cite&gt;&lt;/EndNote&gt;</w:instrText>
      </w:r>
      <w:r>
        <w:fldChar w:fldCharType="separate"/>
      </w:r>
      <w:r>
        <w:rPr>
          <w:noProof/>
        </w:rPr>
        <w:t>(</w:t>
      </w:r>
      <w:hyperlink w:anchor="_ENREF_31" w:tooltip="Schroeder, 2011 #16" w:history="1">
        <w:r>
          <w:rPr>
            <w:noProof/>
          </w:rPr>
          <w:t>2011: 336</w:t>
        </w:r>
      </w:hyperlink>
      <w:r>
        <w:rPr>
          <w:noProof/>
        </w:rPr>
        <w:t>)</w:t>
      </w:r>
      <w:r>
        <w:fldChar w:fldCharType="end"/>
      </w:r>
      <w:r>
        <w:rPr>
          <w:rStyle w:val="medium-font"/>
          <w:color w:val="333333"/>
          <w:szCs w:val="24"/>
        </w:rPr>
        <w:t>.</w:t>
      </w:r>
    </w:p>
  </w:endnote>
  <w:endnote w:id="21">
    <w:p w:rsidR="00DA066B" w:rsidRDefault="00DA066B" w:rsidP="001E239F">
      <w:pPr>
        <w:pStyle w:val="EndnoteText"/>
        <w:spacing w:line="480" w:lineRule="auto"/>
      </w:pPr>
      <w:r>
        <w:rPr>
          <w:rStyle w:val="EndnoteReference"/>
        </w:rPr>
        <w:endnoteRef/>
      </w:r>
      <w:r>
        <w:t xml:space="preserve">  For help in improving earlier drafts, I am grateful to Antony Eagle, Jordi Fernandez, Philip Gerrans, Joshua Gert, Frank Jackson, Jon Opie, Philip Pettit, Daniel Star and Paul Weirich.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66B" w:rsidRPr="00A72F12" w:rsidRDefault="00DA066B" w:rsidP="00827857">
    <w:pPr>
      <w:pStyle w:val="Footer"/>
      <w:jc w:val="center"/>
    </w:pPr>
    <w:r w:rsidRPr="00A72F12">
      <w:t xml:space="preserve">- </w:t>
    </w:r>
    <w:r w:rsidRPr="00A72F12">
      <w:fldChar w:fldCharType="begin"/>
    </w:r>
    <w:r w:rsidRPr="00A72F12">
      <w:instrText xml:space="preserve"> PAGE   \* MERGEFORMAT </w:instrText>
    </w:r>
    <w:r w:rsidRPr="00A72F12">
      <w:fldChar w:fldCharType="separate"/>
    </w:r>
    <w:r w:rsidR="004B0B77">
      <w:rPr>
        <w:noProof/>
      </w:rPr>
      <w:t>6</w:t>
    </w:r>
    <w:r w:rsidRPr="00A72F12">
      <w:fldChar w:fldCharType="end"/>
    </w:r>
    <w:r w:rsidRPr="00A72F12">
      <w:t xml:space="preserve"> -</w:t>
    </w:r>
  </w:p>
  <w:p w:rsidR="00DA066B" w:rsidRDefault="00DA066B" w:rsidP="00B04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66B" w:rsidRDefault="00DA066B" w:rsidP="00B04BCF">
      <w:r>
        <w:separator/>
      </w:r>
    </w:p>
  </w:footnote>
  <w:footnote w:type="continuationSeparator" w:id="0">
    <w:p w:rsidR="00DA066B" w:rsidRDefault="00DA066B" w:rsidP="00B04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0C98"/>
    <w:multiLevelType w:val="hybridMultilevel"/>
    <w:tmpl w:val="978C7A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rev&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Layout&gt;"/>
    <w:docVar w:name="EN.Libraries" w:val="&lt;Libraries&gt;&lt;item db-id=&quot;9ratsrwz8wzzspewsdu502wwd2ezesewppe2&quot;&gt;CRC&lt;record-ids&gt;&lt;item&gt;40&lt;/item&gt;&lt;item&gt;61&lt;/item&gt;&lt;/record-ids&gt;&lt;/item&gt;&lt;/Libraries&gt;"/>
  </w:docVars>
  <w:rsids>
    <w:rsidRoot w:val="00DC2B3A"/>
    <w:rsid w:val="000050B6"/>
    <w:rsid w:val="000057E6"/>
    <w:rsid w:val="000067E2"/>
    <w:rsid w:val="00012AEC"/>
    <w:rsid w:val="000131A6"/>
    <w:rsid w:val="00015D8F"/>
    <w:rsid w:val="00027FB7"/>
    <w:rsid w:val="00030F77"/>
    <w:rsid w:val="00031D73"/>
    <w:rsid w:val="00046577"/>
    <w:rsid w:val="00053283"/>
    <w:rsid w:val="00053849"/>
    <w:rsid w:val="00055F11"/>
    <w:rsid w:val="0005654E"/>
    <w:rsid w:val="00060ADA"/>
    <w:rsid w:val="00062F99"/>
    <w:rsid w:val="00064672"/>
    <w:rsid w:val="00073D21"/>
    <w:rsid w:val="00075C8D"/>
    <w:rsid w:val="0008523C"/>
    <w:rsid w:val="00091CBF"/>
    <w:rsid w:val="00093EDA"/>
    <w:rsid w:val="00096691"/>
    <w:rsid w:val="000A289F"/>
    <w:rsid w:val="000A567B"/>
    <w:rsid w:val="000A5C0F"/>
    <w:rsid w:val="000A72EE"/>
    <w:rsid w:val="000B0AB9"/>
    <w:rsid w:val="000B20CF"/>
    <w:rsid w:val="000B38C0"/>
    <w:rsid w:val="000C0AA9"/>
    <w:rsid w:val="000C4B2A"/>
    <w:rsid w:val="000D2D5B"/>
    <w:rsid w:val="000D6D1B"/>
    <w:rsid w:val="000E27B8"/>
    <w:rsid w:val="000E7905"/>
    <w:rsid w:val="000E7C4B"/>
    <w:rsid w:val="000F242D"/>
    <w:rsid w:val="000F343F"/>
    <w:rsid w:val="000F58A4"/>
    <w:rsid w:val="00100E5C"/>
    <w:rsid w:val="0010312E"/>
    <w:rsid w:val="00112FC1"/>
    <w:rsid w:val="001171CA"/>
    <w:rsid w:val="0012150D"/>
    <w:rsid w:val="00122495"/>
    <w:rsid w:val="00127571"/>
    <w:rsid w:val="00127965"/>
    <w:rsid w:val="00127FBF"/>
    <w:rsid w:val="001326D9"/>
    <w:rsid w:val="00135F7E"/>
    <w:rsid w:val="00142B3E"/>
    <w:rsid w:val="001447D3"/>
    <w:rsid w:val="00150F20"/>
    <w:rsid w:val="0015352B"/>
    <w:rsid w:val="00156A6A"/>
    <w:rsid w:val="00162AB2"/>
    <w:rsid w:val="00163479"/>
    <w:rsid w:val="00166C75"/>
    <w:rsid w:val="00183A85"/>
    <w:rsid w:val="00193D18"/>
    <w:rsid w:val="00194898"/>
    <w:rsid w:val="001A1554"/>
    <w:rsid w:val="001B1A2D"/>
    <w:rsid w:val="001B362B"/>
    <w:rsid w:val="001B4C47"/>
    <w:rsid w:val="001B5E05"/>
    <w:rsid w:val="001C0BB2"/>
    <w:rsid w:val="001C561E"/>
    <w:rsid w:val="001C56BD"/>
    <w:rsid w:val="001C71A3"/>
    <w:rsid w:val="001C7925"/>
    <w:rsid w:val="001D0830"/>
    <w:rsid w:val="001D2737"/>
    <w:rsid w:val="001E1650"/>
    <w:rsid w:val="001E239F"/>
    <w:rsid w:val="001E6722"/>
    <w:rsid w:val="001F0A5A"/>
    <w:rsid w:val="001F50C9"/>
    <w:rsid w:val="001F5818"/>
    <w:rsid w:val="00202B8E"/>
    <w:rsid w:val="00213A9F"/>
    <w:rsid w:val="00221402"/>
    <w:rsid w:val="00226BB5"/>
    <w:rsid w:val="00226CF7"/>
    <w:rsid w:val="00231C66"/>
    <w:rsid w:val="00234B03"/>
    <w:rsid w:val="00235A14"/>
    <w:rsid w:val="0024269E"/>
    <w:rsid w:val="002429FF"/>
    <w:rsid w:val="00242AF4"/>
    <w:rsid w:val="002437CB"/>
    <w:rsid w:val="0025533E"/>
    <w:rsid w:val="00256946"/>
    <w:rsid w:val="002765B3"/>
    <w:rsid w:val="00283BFC"/>
    <w:rsid w:val="00285A4E"/>
    <w:rsid w:val="00285A59"/>
    <w:rsid w:val="002865F9"/>
    <w:rsid w:val="00294094"/>
    <w:rsid w:val="002B39BA"/>
    <w:rsid w:val="002B4665"/>
    <w:rsid w:val="002B6D3B"/>
    <w:rsid w:val="002C5CF6"/>
    <w:rsid w:val="002D0417"/>
    <w:rsid w:val="002D2C2F"/>
    <w:rsid w:val="002D3BA5"/>
    <w:rsid w:val="002D546D"/>
    <w:rsid w:val="002D5971"/>
    <w:rsid w:val="002E703D"/>
    <w:rsid w:val="002F4732"/>
    <w:rsid w:val="002F4FB8"/>
    <w:rsid w:val="0031051C"/>
    <w:rsid w:val="00337723"/>
    <w:rsid w:val="00342060"/>
    <w:rsid w:val="00342B14"/>
    <w:rsid w:val="00355671"/>
    <w:rsid w:val="00361550"/>
    <w:rsid w:val="00363318"/>
    <w:rsid w:val="00365874"/>
    <w:rsid w:val="00372D17"/>
    <w:rsid w:val="00390BEF"/>
    <w:rsid w:val="00395713"/>
    <w:rsid w:val="003B3282"/>
    <w:rsid w:val="003B4F49"/>
    <w:rsid w:val="003C3AF8"/>
    <w:rsid w:val="003C4170"/>
    <w:rsid w:val="003C450C"/>
    <w:rsid w:val="003C7E8D"/>
    <w:rsid w:val="003D21BB"/>
    <w:rsid w:val="003D37DB"/>
    <w:rsid w:val="003D5FF4"/>
    <w:rsid w:val="003E29AD"/>
    <w:rsid w:val="003E5B29"/>
    <w:rsid w:val="003F07D2"/>
    <w:rsid w:val="003F4FC0"/>
    <w:rsid w:val="003F649C"/>
    <w:rsid w:val="004016F2"/>
    <w:rsid w:val="00407020"/>
    <w:rsid w:val="00407D2D"/>
    <w:rsid w:val="0041439B"/>
    <w:rsid w:val="004157BE"/>
    <w:rsid w:val="00433444"/>
    <w:rsid w:val="00434354"/>
    <w:rsid w:val="004367D0"/>
    <w:rsid w:val="00437423"/>
    <w:rsid w:val="00446E33"/>
    <w:rsid w:val="00451416"/>
    <w:rsid w:val="00460C5B"/>
    <w:rsid w:val="0046176F"/>
    <w:rsid w:val="00463D63"/>
    <w:rsid w:val="004660A0"/>
    <w:rsid w:val="0046667C"/>
    <w:rsid w:val="00466F2E"/>
    <w:rsid w:val="00470919"/>
    <w:rsid w:val="0047213A"/>
    <w:rsid w:val="00472840"/>
    <w:rsid w:val="00475617"/>
    <w:rsid w:val="00475C61"/>
    <w:rsid w:val="00481BA5"/>
    <w:rsid w:val="00495299"/>
    <w:rsid w:val="00495658"/>
    <w:rsid w:val="004A281F"/>
    <w:rsid w:val="004B0B77"/>
    <w:rsid w:val="004B3E49"/>
    <w:rsid w:val="004C5187"/>
    <w:rsid w:val="004C6AB0"/>
    <w:rsid w:val="004D6672"/>
    <w:rsid w:val="004F1B57"/>
    <w:rsid w:val="004F1E92"/>
    <w:rsid w:val="00501868"/>
    <w:rsid w:val="00511C71"/>
    <w:rsid w:val="00515935"/>
    <w:rsid w:val="00525B3C"/>
    <w:rsid w:val="005301E8"/>
    <w:rsid w:val="0053058C"/>
    <w:rsid w:val="00531B36"/>
    <w:rsid w:val="005417CB"/>
    <w:rsid w:val="00543505"/>
    <w:rsid w:val="00547438"/>
    <w:rsid w:val="005512C8"/>
    <w:rsid w:val="00565EBE"/>
    <w:rsid w:val="00566FF5"/>
    <w:rsid w:val="0057189B"/>
    <w:rsid w:val="00572F0F"/>
    <w:rsid w:val="005731DB"/>
    <w:rsid w:val="005809DA"/>
    <w:rsid w:val="005836BD"/>
    <w:rsid w:val="005836F8"/>
    <w:rsid w:val="005913A4"/>
    <w:rsid w:val="00594057"/>
    <w:rsid w:val="005963C0"/>
    <w:rsid w:val="00597113"/>
    <w:rsid w:val="005A1865"/>
    <w:rsid w:val="005A3283"/>
    <w:rsid w:val="005A3E76"/>
    <w:rsid w:val="005B1CF3"/>
    <w:rsid w:val="005B434A"/>
    <w:rsid w:val="005B4DE1"/>
    <w:rsid w:val="005C38F8"/>
    <w:rsid w:val="005C54C5"/>
    <w:rsid w:val="005D21DC"/>
    <w:rsid w:val="005E2B50"/>
    <w:rsid w:val="005E5465"/>
    <w:rsid w:val="005F1E29"/>
    <w:rsid w:val="00603A9D"/>
    <w:rsid w:val="006056E7"/>
    <w:rsid w:val="00607D79"/>
    <w:rsid w:val="006133FA"/>
    <w:rsid w:val="006235A1"/>
    <w:rsid w:val="00625743"/>
    <w:rsid w:val="0062790E"/>
    <w:rsid w:val="00640A41"/>
    <w:rsid w:val="006412CA"/>
    <w:rsid w:val="006524BF"/>
    <w:rsid w:val="00654A0B"/>
    <w:rsid w:val="00657F6E"/>
    <w:rsid w:val="00665D81"/>
    <w:rsid w:val="0066679C"/>
    <w:rsid w:val="006821E1"/>
    <w:rsid w:val="0068258F"/>
    <w:rsid w:val="0068522A"/>
    <w:rsid w:val="0068772C"/>
    <w:rsid w:val="00692AEA"/>
    <w:rsid w:val="00694ECE"/>
    <w:rsid w:val="00695B56"/>
    <w:rsid w:val="006971C6"/>
    <w:rsid w:val="006A2448"/>
    <w:rsid w:val="006A50AD"/>
    <w:rsid w:val="006B2295"/>
    <w:rsid w:val="006B7098"/>
    <w:rsid w:val="006C03CC"/>
    <w:rsid w:val="006C31FB"/>
    <w:rsid w:val="006C6254"/>
    <w:rsid w:val="006D6AC3"/>
    <w:rsid w:val="006E25FF"/>
    <w:rsid w:val="006E4180"/>
    <w:rsid w:val="006E43AD"/>
    <w:rsid w:val="006E653B"/>
    <w:rsid w:val="006F165A"/>
    <w:rsid w:val="006F40FE"/>
    <w:rsid w:val="00700C5C"/>
    <w:rsid w:val="00701489"/>
    <w:rsid w:val="007021E0"/>
    <w:rsid w:val="0070489F"/>
    <w:rsid w:val="00705780"/>
    <w:rsid w:val="00706634"/>
    <w:rsid w:val="00706F0D"/>
    <w:rsid w:val="007171C2"/>
    <w:rsid w:val="007177BA"/>
    <w:rsid w:val="007345E4"/>
    <w:rsid w:val="00735AB8"/>
    <w:rsid w:val="0074306D"/>
    <w:rsid w:val="007511E9"/>
    <w:rsid w:val="00764321"/>
    <w:rsid w:val="007709C8"/>
    <w:rsid w:val="0077367F"/>
    <w:rsid w:val="00775600"/>
    <w:rsid w:val="007761D2"/>
    <w:rsid w:val="00776799"/>
    <w:rsid w:val="007777A3"/>
    <w:rsid w:val="00780412"/>
    <w:rsid w:val="0078211B"/>
    <w:rsid w:val="00782BD6"/>
    <w:rsid w:val="007848E1"/>
    <w:rsid w:val="00785043"/>
    <w:rsid w:val="00785CB4"/>
    <w:rsid w:val="00785FCC"/>
    <w:rsid w:val="00786D4E"/>
    <w:rsid w:val="00790FBD"/>
    <w:rsid w:val="007951DB"/>
    <w:rsid w:val="007975E7"/>
    <w:rsid w:val="007A229E"/>
    <w:rsid w:val="007A45AC"/>
    <w:rsid w:val="007B36F2"/>
    <w:rsid w:val="007C1756"/>
    <w:rsid w:val="007C2014"/>
    <w:rsid w:val="007C70BD"/>
    <w:rsid w:val="007C727B"/>
    <w:rsid w:val="007D0090"/>
    <w:rsid w:val="007E0738"/>
    <w:rsid w:val="007E11CA"/>
    <w:rsid w:val="007E6587"/>
    <w:rsid w:val="007F2EF7"/>
    <w:rsid w:val="00800B4C"/>
    <w:rsid w:val="00803EAF"/>
    <w:rsid w:val="00804763"/>
    <w:rsid w:val="00807BBB"/>
    <w:rsid w:val="00811C39"/>
    <w:rsid w:val="00813AA8"/>
    <w:rsid w:val="008140E7"/>
    <w:rsid w:val="00814B1E"/>
    <w:rsid w:val="00817F69"/>
    <w:rsid w:val="0082224B"/>
    <w:rsid w:val="0082427C"/>
    <w:rsid w:val="00827857"/>
    <w:rsid w:val="00833314"/>
    <w:rsid w:val="0083578B"/>
    <w:rsid w:val="00837822"/>
    <w:rsid w:val="008501D9"/>
    <w:rsid w:val="00851F3B"/>
    <w:rsid w:val="0085634A"/>
    <w:rsid w:val="00860403"/>
    <w:rsid w:val="0086048F"/>
    <w:rsid w:val="00867632"/>
    <w:rsid w:val="0087264E"/>
    <w:rsid w:val="00873DE6"/>
    <w:rsid w:val="00875974"/>
    <w:rsid w:val="008830C3"/>
    <w:rsid w:val="008852E0"/>
    <w:rsid w:val="00893256"/>
    <w:rsid w:val="00895DC4"/>
    <w:rsid w:val="008A1BED"/>
    <w:rsid w:val="008A28C7"/>
    <w:rsid w:val="008B2C44"/>
    <w:rsid w:val="008B6FC5"/>
    <w:rsid w:val="008C04FB"/>
    <w:rsid w:val="008C52E5"/>
    <w:rsid w:val="008D5304"/>
    <w:rsid w:val="008E75F1"/>
    <w:rsid w:val="008F0180"/>
    <w:rsid w:val="008F1011"/>
    <w:rsid w:val="008F47B8"/>
    <w:rsid w:val="00900E05"/>
    <w:rsid w:val="00900EC5"/>
    <w:rsid w:val="00902DBA"/>
    <w:rsid w:val="009105BE"/>
    <w:rsid w:val="009132A2"/>
    <w:rsid w:val="00930180"/>
    <w:rsid w:val="00933F8F"/>
    <w:rsid w:val="009348EF"/>
    <w:rsid w:val="00934902"/>
    <w:rsid w:val="00940C49"/>
    <w:rsid w:val="009458A7"/>
    <w:rsid w:val="00945A96"/>
    <w:rsid w:val="00945AC3"/>
    <w:rsid w:val="00951F04"/>
    <w:rsid w:val="00956525"/>
    <w:rsid w:val="00957435"/>
    <w:rsid w:val="009579B6"/>
    <w:rsid w:val="00961917"/>
    <w:rsid w:val="00962A78"/>
    <w:rsid w:val="00970ABD"/>
    <w:rsid w:val="00973704"/>
    <w:rsid w:val="00980509"/>
    <w:rsid w:val="009A0033"/>
    <w:rsid w:val="009A3403"/>
    <w:rsid w:val="009A3D57"/>
    <w:rsid w:val="009B1F3E"/>
    <w:rsid w:val="009B358A"/>
    <w:rsid w:val="009B4B28"/>
    <w:rsid w:val="009D2850"/>
    <w:rsid w:val="009D5F3C"/>
    <w:rsid w:val="009E020C"/>
    <w:rsid w:val="009E07F9"/>
    <w:rsid w:val="009E2420"/>
    <w:rsid w:val="009E48CD"/>
    <w:rsid w:val="009E73A0"/>
    <w:rsid w:val="009F47C5"/>
    <w:rsid w:val="009F589F"/>
    <w:rsid w:val="00A021CA"/>
    <w:rsid w:val="00A036E1"/>
    <w:rsid w:val="00A10E7A"/>
    <w:rsid w:val="00A14A18"/>
    <w:rsid w:val="00A22E34"/>
    <w:rsid w:val="00A25542"/>
    <w:rsid w:val="00A330EF"/>
    <w:rsid w:val="00A430BB"/>
    <w:rsid w:val="00A47B3D"/>
    <w:rsid w:val="00A555B6"/>
    <w:rsid w:val="00A61040"/>
    <w:rsid w:val="00A72F12"/>
    <w:rsid w:val="00A74CF8"/>
    <w:rsid w:val="00A770B4"/>
    <w:rsid w:val="00A842DB"/>
    <w:rsid w:val="00A9070B"/>
    <w:rsid w:val="00A96B0A"/>
    <w:rsid w:val="00A96C78"/>
    <w:rsid w:val="00AA1A31"/>
    <w:rsid w:val="00AA1EF6"/>
    <w:rsid w:val="00AA4849"/>
    <w:rsid w:val="00AA7DD1"/>
    <w:rsid w:val="00AB045E"/>
    <w:rsid w:val="00AB077B"/>
    <w:rsid w:val="00AB3656"/>
    <w:rsid w:val="00AB4DFB"/>
    <w:rsid w:val="00AB7D5C"/>
    <w:rsid w:val="00AC4D87"/>
    <w:rsid w:val="00AC59DC"/>
    <w:rsid w:val="00AC6925"/>
    <w:rsid w:val="00AC737A"/>
    <w:rsid w:val="00AC76B6"/>
    <w:rsid w:val="00AD5314"/>
    <w:rsid w:val="00AD5983"/>
    <w:rsid w:val="00AD5AE3"/>
    <w:rsid w:val="00AD61DE"/>
    <w:rsid w:val="00AE03CD"/>
    <w:rsid w:val="00AE0E12"/>
    <w:rsid w:val="00AE18C9"/>
    <w:rsid w:val="00AE2EAB"/>
    <w:rsid w:val="00AE545A"/>
    <w:rsid w:val="00AE7EF1"/>
    <w:rsid w:val="00AF03FE"/>
    <w:rsid w:val="00AF6EF1"/>
    <w:rsid w:val="00B02C36"/>
    <w:rsid w:val="00B04BCF"/>
    <w:rsid w:val="00B068AD"/>
    <w:rsid w:val="00B21901"/>
    <w:rsid w:val="00B22636"/>
    <w:rsid w:val="00B323FF"/>
    <w:rsid w:val="00B56FE9"/>
    <w:rsid w:val="00B574DA"/>
    <w:rsid w:val="00B623F0"/>
    <w:rsid w:val="00B6313A"/>
    <w:rsid w:val="00B70149"/>
    <w:rsid w:val="00B7450A"/>
    <w:rsid w:val="00B812C7"/>
    <w:rsid w:val="00B821D1"/>
    <w:rsid w:val="00B91099"/>
    <w:rsid w:val="00BA6C7E"/>
    <w:rsid w:val="00BB5660"/>
    <w:rsid w:val="00BC0C1D"/>
    <w:rsid w:val="00BC3C54"/>
    <w:rsid w:val="00BC7DD1"/>
    <w:rsid w:val="00BD192A"/>
    <w:rsid w:val="00BD2801"/>
    <w:rsid w:val="00BD3774"/>
    <w:rsid w:val="00BD45BC"/>
    <w:rsid w:val="00BE7013"/>
    <w:rsid w:val="00BF00A7"/>
    <w:rsid w:val="00BF0E0D"/>
    <w:rsid w:val="00BF61E1"/>
    <w:rsid w:val="00BF7847"/>
    <w:rsid w:val="00C03585"/>
    <w:rsid w:val="00C07739"/>
    <w:rsid w:val="00C078E9"/>
    <w:rsid w:val="00C15498"/>
    <w:rsid w:val="00C165D9"/>
    <w:rsid w:val="00C16A15"/>
    <w:rsid w:val="00C216AC"/>
    <w:rsid w:val="00C3111A"/>
    <w:rsid w:val="00C34253"/>
    <w:rsid w:val="00C3503E"/>
    <w:rsid w:val="00C403CD"/>
    <w:rsid w:val="00C467E0"/>
    <w:rsid w:val="00C517CF"/>
    <w:rsid w:val="00C62F24"/>
    <w:rsid w:val="00C67D3C"/>
    <w:rsid w:val="00C720F7"/>
    <w:rsid w:val="00C74F7E"/>
    <w:rsid w:val="00C803DD"/>
    <w:rsid w:val="00C83EA1"/>
    <w:rsid w:val="00C8473B"/>
    <w:rsid w:val="00CA0EBF"/>
    <w:rsid w:val="00CA14E6"/>
    <w:rsid w:val="00CA3F73"/>
    <w:rsid w:val="00CA51B2"/>
    <w:rsid w:val="00CB09CF"/>
    <w:rsid w:val="00CB4456"/>
    <w:rsid w:val="00CC082D"/>
    <w:rsid w:val="00CC1B30"/>
    <w:rsid w:val="00CC3E1B"/>
    <w:rsid w:val="00CC5EF9"/>
    <w:rsid w:val="00CC6B12"/>
    <w:rsid w:val="00CC6C1C"/>
    <w:rsid w:val="00CC7A4E"/>
    <w:rsid w:val="00CD075F"/>
    <w:rsid w:val="00CE58C0"/>
    <w:rsid w:val="00CF2492"/>
    <w:rsid w:val="00CF391A"/>
    <w:rsid w:val="00D007D0"/>
    <w:rsid w:val="00D04456"/>
    <w:rsid w:val="00D04771"/>
    <w:rsid w:val="00D111B2"/>
    <w:rsid w:val="00D16071"/>
    <w:rsid w:val="00D20743"/>
    <w:rsid w:val="00D348A5"/>
    <w:rsid w:val="00D34B6D"/>
    <w:rsid w:val="00D401CF"/>
    <w:rsid w:val="00D42F1F"/>
    <w:rsid w:val="00D44628"/>
    <w:rsid w:val="00D46E95"/>
    <w:rsid w:val="00D522A6"/>
    <w:rsid w:val="00D53B1C"/>
    <w:rsid w:val="00D618A2"/>
    <w:rsid w:val="00D63ACB"/>
    <w:rsid w:val="00D71BBD"/>
    <w:rsid w:val="00D7442C"/>
    <w:rsid w:val="00D8105F"/>
    <w:rsid w:val="00D81E76"/>
    <w:rsid w:val="00D86A01"/>
    <w:rsid w:val="00D924D6"/>
    <w:rsid w:val="00DA066B"/>
    <w:rsid w:val="00DA5305"/>
    <w:rsid w:val="00DA5B45"/>
    <w:rsid w:val="00DB2631"/>
    <w:rsid w:val="00DB52A8"/>
    <w:rsid w:val="00DC2B3A"/>
    <w:rsid w:val="00DC531E"/>
    <w:rsid w:val="00DD491B"/>
    <w:rsid w:val="00DD59D8"/>
    <w:rsid w:val="00DD7B99"/>
    <w:rsid w:val="00DE1990"/>
    <w:rsid w:val="00DF0435"/>
    <w:rsid w:val="00DF141F"/>
    <w:rsid w:val="00DF18C3"/>
    <w:rsid w:val="00DF1ABA"/>
    <w:rsid w:val="00DF6F01"/>
    <w:rsid w:val="00DF746C"/>
    <w:rsid w:val="00E0220C"/>
    <w:rsid w:val="00E2017D"/>
    <w:rsid w:val="00E22F94"/>
    <w:rsid w:val="00E401A6"/>
    <w:rsid w:val="00E4102B"/>
    <w:rsid w:val="00E4134B"/>
    <w:rsid w:val="00E50726"/>
    <w:rsid w:val="00E56736"/>
    <w:rsid w:val="00E57C0F"/>
    <w:rsid w:val="00E61F5C"/>
    <w:rsid w:val="00E62FB8"/>
    <w:rsid w:val="00E66950"/>
    <w:rsid w:val="00E74888"/>
    <w:rsid w:val="00E85CB3"/>
    <w:rsid w:val="00E924EC"/>
    <w:rsid w:val="00E95382"/>
    <w:rsid w:val="00EA1560"/>
    <w:rsid w:val="00EA2006"/>
    <w:rsid w:val="00EA2DAA"/>
    <w:rsid w:val="00EA4F75"/>
    <w:rsid w:val="00EA63A0"/>
    <w:rsid w:val="00EB6D4E"/>
    <w:rsid w:val="00EC017F"/>
    <w:rsid w:val="00EC0D4B"/>
    <w:rsid w:val="00EC1E47"/>
    <w:rsid w:val="00EC3988"/>
    <w:rsid w:val="00EC6F5F"/>
    <w:rsid w:val="00ED1F3C"/>
    <w:rsid w:val="00EE008D"/>
    <w:rsid w:val="00EE24DB"/>
    <w:rsid w:val="00EE63E4"/>
    <w:rsid w:val="00EF055D"/>
    <w:rsid w:val="00EF1D42"/>
    <w:rsid w:val="00F00842"/>
    <w:rsid w:val="00F105F9"/>
    <w:rsid w:val="00F1311A"/>
    <w:rsid w:val="00F15B03"/>
    <w:rsid w:val="00F17F61"/>
    <w:rsid w:val="00F23BAC"/>
    <w:rsid w:val="00F25DD6"/>
    <w:rsid w:val="00F30248"/>
    <w:rsid w:val="00F31C2B"/>
    <w:rsid w:val="00F45199"/>
    <w:rsid w:val="00F46C14"/>
    <w:rsid w:val="00F56DA5"/>
    <w:rsid w:val="00F61E2C"/>
    <w:rsid w:val="00F647D2"/>
    <w:rsid w:val="00F649CB"/>
    <w:rsid w:val="00F654C7"/>
    <w:rsid w:val="00F72729"/>
    <w:rsid w:val="00F76036"/>
    <w:rsid w:val="00F83DA4"/>
    <w:rsid w:val="00F96EF1"/>
    <w:rsid w:val="00FA3C5C"/>
    <w:rsid w:val="00FA4684"/>
    <w:rsid w:val="00FA49A9"/>
    <w:rsid w:val="00FA6283"/>
    <w:rsid w:val="00FA67AD"/>
    <w:rsid w:val="00FA7800"/>
    <w:rsid w:val="00FB2AAF"/>
    <w:rsid w:val="00FB4DD6"/>
    <w:rsid w:val="00FC1C8E"/>
    <w:rsid w:val="00FC6543"/>
    <w:rsid w:val="00FC7D72"/>
    <w:rsid w:val="00FD0ABA"/>
    <w:rsid w:val="00FD47AD"/>
    <w:rsid w:val="00FD5FD7"/>
    <w:rsid w:val="00FE47A7"/>
    <w:rsid w:val="00FE5B57"/>
    <w:rsid w:val="00FF35AB"/>
    <w:rsid w:val="00FF45A2"/>
    <w:rsid w:val="00FF502E"/>
    <w:rsid w:val="00FF565B"/>
    <w:rsid w:val="00FF7A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CF"/>
    <w:pPr>
      <w:tabs>
        <w:tab w:val="left" w:pos="284"/>
      </w:tabs>
      <w:spacing w:before="120" w:after="0" w:line="480" w:lineRule="auto"/>
      <w:jc w:val="both"/>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F6"/>
    <w:pPr>
      <w:ind w:left="720"/>
      <w:contextualSpacing/>
    </w:pPr>
  </w:style>
  <w:style w:type="character" w:styleId="CommentReference">
    <w:name w:val="annotation reference"/>
    <w:basedOn w:val="DefaultParagraphFont"/>
    <w:semiHidden/>
    <w:rsid w:val="0087264E"/>
    <w:rPr>
      <w:sz w:val="16"/>
      <w:szCs w:val="16"/>
    </w:rPr>
  </w:style>
  <w:style w:type="paragraph" w:styleId="CommentText">
    <w:name w:val="annotation text"/>
    <w:basedOn w:val="Normal"/>
    <w:link w:val="CommentTextChar"/>
    <w:semiHidden/>
    <w:rsid w:val="0087264E"/>
    <w:rPr>
      <w:rFonts w:eastAsia="Times New Roman"/>
      <w:sz w:val="20"/>
      <w:szCs w:val="20"/>
    </w:rPr>
  </w:style>
  <w:style w:type="character" w:customStyle="1" w:styleId="CommentTextChar">
    <w:name w:val="Comment Text Char"/>
    <w:basedOn w:val="DefaultParagraphFont"/>
    <w:link w:val="CommentText"/>
    <w:semiHidden/>
    <w:rsid w:val="008726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2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4E"/>
    <w:rPr>
      <w:rFonts w:ascii="Tahoma" w:hAnsi="Tahoma" w:cs="Tahoma"/>
      <w:sz w:val="16"/>
      <w:szCs w:val="16"/>
    </w:rPr>
  </w:style>
  <w:style w:type="paragraph" w:styleId="Header">
    <w:name w:val="header"/>
    <w:basedOn w:val="Normal"/>
    <w:link w:val="HeaderChar"/>
    <w:uiPriority w:val="99"/>
    <w:unhideWhenUsed/>
    <w:rsid w:val="00EC1E47"/>
    <w:pPr>
      <w:tabs>
        <w:tab w:val="center" w:pos="4513"/>
        <w:tab w:val="right" w:pos="9026"/>
      </w:tabs>
      <w:spacing w:line="240" w:lineRule="auto"/>
    </w:pPr>
  </w:style>
  <w:style w:type="character" w:customStyle="1" w:styleId="HeaderChar">
    <w:name w:val="Header Char"/>
    <w:basedOn w:val="DefaultParagraphFont"/>
    <w:link w:val="Header"/>
    <w:uiPriority w:val="99"/>
    <w:rsid w:val="00EC1E47"/>
  </w:style>
  <w:style w:type="paragraph" w:styleId="Footer">
    <w:name w:val="footer"/>
    <w:basedOn w:val="Normal"/>
    <w:link w:val="FooterChar"/>
    <w:uiPriority w:val="99"/>
    <w:unhideWhenUsed/>
    <w:rsid w:val="00EC1E47"/>
    <w:pPr>
      <w:tabs>
        <w:tab w:val="center" w:pos="4513"/>
        <w:tab w:val="right" w:pos="9026"/>
      </w:tabs>
      <w:spacing w:line="240" w:lineRule="auto"/>
    </w:pPr>
  </w:style>
  <w:style w:type="character" w:customStyle="1" w:styleId="FooterChar">
    <w:name w:val="Footer Char"/>
    <w:basedOn w:val="DefaultParagraphFont"/>
    <w:link w:val="Footer"/>
    <w:uiPriority w:val="99"/>
    <w:rsid w:val="00EC1E47"/>
  </w:style>
  <w:style w:type="paragraph" w:styleId="EndnoteText">
    <w:name w:val="endnote text"/>
    <w:basedOn w:val="Normal"/>
    <w:link w:val="EndnoteTextChar"/>
    <w:uiPriority w:val="99"/>
    <w:unhideWhenUsed/>
    <w:rsid w:val="001B5E05"/>
    <w:pPr>
      <w:spacing w:line="240" w:lineRule="auto"/>
    </w:pPr>
    <w:rPr>
      <w:sz w:val="20"/>
      <w:szCs w:val="20"/>
    </w:rPr>
  </w:style>
  <w:style w:type="character" w:customStyle="1" w:styleId="EndnoteTextChar">
    <w:name w:val="Endnote Text Char"/>
    <w:basedOn w:val="DefaultParagraphFont"/>
    <w:link w:val="EndnoteText"/>
    <w:uiPriority w:val="99"/>
    <w:rsid w:val="001B5E05"/>
    <w:rPr>
      <w:sz w:val="20"/>
      <w:szCs w:val="20"/>
    </w:rPr>
  </w:style>
  <w:style w:type="character" w:styleId="EndnoteReference">
    <w:name w:val="endnote reference"/>
    <w:basedOn w:val="DefaultParagraphFont"/>
    <w:uiPriority w:val="99"/>
    <w:semiHidden/>
    <w:unhideWhenUsed/>
    <w:rsid w:val="001B5E05"/>
    <w:rPr>
      <w:vertAlign w:val="superscript"/>
    </w:rPr>
  </w:style>
  <w:style w:type="paragraph" w:customStyle="1" w:styleId="Default">
    <w:name w:val="Default"/>
    <w:rsid w:val="00030F7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New style footnote"/>
    <w:basedOn w:val="DefaultParagraphFont"/>
    <w:semiHidden/>
    <w:rsid w:val="00895DC4"/>
    <w:rPr>
      <w:vertAlign w:val="superscript"/>
    </w:rPr>
  </w:style>
  <w:style w:type="paragraph" w:styleId="FootnoteText">
    <w:name w:val="footnote text"/>
    <w:basedOn w:val="Normal"/>
    <w:link w:val="FootnoteTextChar"/>
    <w:semiHidden/>
    <w:rsid w:val="00895DC4"/>
    <w:rPr>
      <w:rFonts w:eastAsia="Times New Roman"/>
      <w:sz w:val="20"/>
      <w:szCs w:val="20"/>
    </w:rPr>
  </w:style>
  <w:style w:type="character" w:customStyle="1" w:styleId="FootnoteTextChar">
    <w:name w:val="Footnote Text Char"/>
    <w:basedOn w:val="DefaultParagraphFont"/>
    <w:link w:val="FootnoteText"/>
    <w:semiHidden/>
    <w:rsid w:val="00895DC4"/>
    <w:rPr>
      <w:rFonts w:ascii="Times New Roman" w:eastAsia="Times New Roman" w:hAnsi="Times New Roman" w:cs="Times New Roman"/>
      <w:sz w:val="20"/>
      <w:szCs w:val="20"/>
    </w:rPr>
  </w:style>
  <w:style w:type="paragraph" w:styleId="Revision">
    <w:name w:val="Revision"/>
    <w:hidden/>
    <w:uiPriority w:val="99"/>
    <w:semiHidden/>
    <w:rsid w:val="00C15498"/>
    <w:pPr>
      <w:spacing w:after="0" w:line="240" w:lineRule="auto"/>
    </w:pPr>
  </w:style>
  <w:style w:type="character" w:styleId="Emphasis">
    <w:name w:val="Emphasis"/>
    <w:basedOn w:val="DefaultParagraphFont"/>
    <w:uiPriority w:val="20"/>
    <w:qFormat/>
    <w:rsid w:val="00705780"/>
    <w:rPr>
      <w:rFonts w:cs="Times New Roman"/>
      <w:i/>
      <w:iCs/>
    </w:rPr>
  </w:style>
  <w:style w:type="character" w:customStyle="1" w:styleId="medium-font">
    <w:name w:val="medium-font"/>
    <w:basedOn w:val="DefaultParagraphFont"/>
    <w:rsid w:val="001D2737"/>
  </w:style>
  <w:style w:type="character" w:styleId="Hyperlink">
    <w:name w:val="Hyperlink"/>
    <w:basedOn w:val="DefaultParagraphFont"/>
    <w:uiPriority w:val="99"/>
    <w:unhideWhenUsed/>
    <w:rsid w:val="005C38F8"/>
    <w:rPr>
      <w:color w:val="0000FF" w:themeColor="hyperlink"/>
      <w:u w:val="single"/>
    </w:rPr>
  </w:style>
  <w:style w:type="paragraph" w:customStyle="1" w:styleId="EndNoteBibliographyTitle">
    <w:name w:val="EndNote Bibliography Title"/>
    <w:basedOn w:val="Normal"/>
    <w:link w:val="EndNoteBibliographyTitleChar"/>
    <w:rsid w:val="005809DA"/>
    <w:pPr>
      <w:jc w:val="center"/>
    </w:pPr>
    <w:rPr>
      <w:noProof/>
    </w:rPr>
  </w:style>
  <w:style w:type="character" w:customStyle="1" w:styleId="EndNoteBibliographyTitleChar">
    <w:name w:val="EndNote Bibliography Title Char"/>
    <w:basedOn w:val="DefaultParagraphFont"/>
    <w:link w:val="EndNoteBibliographyTitle"/>
    <w:rsid w:val="005809DA"/>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5809DA"/>
    <w:pPr>
      <w:spacing w:line="240" w:lineRule="auto"/>
    </w:pPr>
    <w:rPr>
      <w:noProof/>
    </w:rPr>
  </w:style>
  <w:style w:type="character" w:customStyle="1" w:styleId="EndNoteBibliographyChar">
    <w:name w:val="EndNote Bibliography Char"/>
    <w:basedOn w:val="DefaultParagraphFont"/>
    <w:link w:val="EndNoteBibliography"/>
    <w:rsid w:val="005809DA"/>
    <w:rPr>
      <w:rFonts w:ascii="Times New Roman" w:hAnsi="Times New Roman" w:cs="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CF"/>
    <w:pPr>
      <w:tabs>
        <w:tab w:val="left" w:pos="284"/>
      </w:tabs>
      <w:spacing w:before="120" w:after="0" w:line="480" w:lineRule="auto"/>
      <w:jc w:val="both"/>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F6"/>
    <w:pPr>
      <w:ind w:left="720"/>
      <w:contextualSpacing/>
    </w:pPr>
  </w:style>
  <w:style w:type="character" w:styleId="CommentReference">
    <w:name w:val="annotation reference"/>
    <w:basedOn w:val="DefaultParagraphFont"/>
    <w:semiHidden/>
    <w:rsid w:val="0087264E"/>
    <w:rPr>
      <w:sz w:val="16"/>
      <w:szCs w:val="16"/>
    </w:rPr>
  </w:style>
  <w:style w:type="paragraph" w:styleId="CommentText">
    <w:name w:val="annotation text"/>
    <w:basedOn w:val="Normal"/>
    <w:link w:val="CommentTextChar"/>
    <w:semiHidden/>
    <w:rsid w:val="0087264E"/>
    <w:rPr>
      <w:rFonts w:eastAsia="Times New Roman"/>
      <w:sz w:val="20"/>
      <w:szCs w:val="20"/>
    </w:rPr>
  </w:style>
  <w:style w:type="character" w:customStyle="1" w:styleId="CommentTextChar">
    <w:name w:val="Comment Text Char"/>
    <w:basedOn w:val="DefaultParagraphFont"/>
    <w:link w:val="CommentText"/>
    <w:semiHidden/>
    <w:rsid w:val="008726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26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4E"/>
    <w:rPr>
      <w:rFonts w:ascii="Tahoma" w:hAnsi="Tahoma" w:cs="Tahoma"/>
      <w:sz w:val="16"/>
      <w:szCs w:val="16"/>
    </w:rPr>
  </w:style>
  <w:style w:type="paragraph" w:styleId="Header">
    <w:name w:val="header"/>
    <w:basedOn w:val="Normal"/>
    <w:link w:val="HeaderChar"/>
    <w:uiPriority w:val="99"/>
    <w:unhideWhenUsed/>
    <w:rsid w:val="00EC1E47"/>
    <w:pPr>
      <w:tabs>
        <w:tab w:val="center" w:pos="4513"/>
        <w:tab w:val="right" w:pos="9026"/>
      </w:tabs>
      <w:spacing w:line="240" w:lineRule="auto"/>
    </w:pPr>
  </w:style>
  <w:style w:type="character" w:customStyle="1" w:styleId="HeaderChar">
    <w:name w:val="Header Char"/>
    <w:basedOn w:val="DefaultParagraphFont"/>
    <w:link w:val="Header"/>
    <w:uiPriority w:val="99"/>
    <w:rsid w:val="00EC1E47"/>
  </w:style>
  <w:style w:type="paragraph" w:styleId="Footer">
    <w:name w:val="footer"/>
    <w:basedOn w:val="Normal"/>
    <w:link w:val="FooterChar"/>
    <w:uiPriority w:val="99"/>
    <w:unhideWhenUsed/>
    <w:rsid w:val="00EC1E47"/>
    <w:pPr>
      <w:tabs>
        <w:tab w:val="center" w:pos="4513"/>
        <w:tab w:val="right" w:pos="9026"/>
      </w:tabs>
      <w:spacing w:line="240" w:lineRule="auto"/>
    </w:pPr>
  </w:style>
  <w:style w:type="character" w:customStyle="1" w:styleId="FooterChar">
    <w:name w:val="Footer Char"/>
    <w:basedOn w:val="DefaultParagraphFont"/>
    <w:link w:val="Footer"/>
    <w:uiPriority w:val="99"/>
    <w:rsid w:val="00EC1E47"/>
  </w:style>
  <w:style w:type="paragraph" w:styleId="EndnoteText">
    <w:name w:val="endnote text"/>
    <w:basedOn w:val="Normal"/>
    <w:link w:val="EndnoteTextChar"/>
    <w:uiPriority w:val="99"/>
    <w:unhideWhenUsed/>
    <w:rsid w:val="001B5E05"/>
    <w:pPr>
      <w:spacing w:line="240" w:lineRule="auto"/>
    </w:pPr>
    <w:rPr>
      <w:sz w:val="20"/>
      <w:szCs w:val="20"/>
    </w:rPr>
  </w:style>
  <w:style w:type="character" w:customStyle="1" w:styleId="EndnoteTextChar">
    <w:name w:val="Endnote Text Char"/>
    <w:basedOn w:val="DefaultParagraphFont"/>
    <w:link w:val="EndnoteText"/>
    <w:uiPriority w:val="99"/>
    <w:rsid w:val="001B5E05"/>
    <w:rPr>
      <w:sz w:val="20"/>
      <w:szCs w:val="20"/>
    </w:rPr>
  </w:style>
  <w:style w:type="character" w:styleId="EndnoteReference">
    <w:name w:val="endnote reference"/>
    <w:basedOn w:val="DefaultParagraphFont"/>
    <w:uiPriority w:val="99"/>
    <w:semiHidden/>
    <w:unhideWhenUsed/>
    <w:rsid w:val="001B5E05"/>
    <w:rPr>
      <w:vertAlign w:val="superscript"/>
    </w:rPr>
  </w:style>
  <w:style w:type="paragraph" w:customStyle="1" w:styleId="Default">
    <w:name w:val="Default"/>
    <w:rsid w:val="00030F77"/>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aliases w:val="New style footnote"/>
    <w:basedOn w:val="DefaultParagraphFont"/>
    <w:semiHidden/>
    <w:rsid w:val="00895DC4"/>
    <w:rPr>
      <w:vertAlign w:val="superscript"/>
    </w:rPr>
  </w:style>
  <w:style w:type="paragraph" w:styleId="FootnoteText">
    <w:name w:val="footnote text"/>
    <w:basedOn w:val="Normal"/>
    <w:link w:val="FootnoteTextChar"/>
    <w:semiHidden/>
    <w:rsid w:val="00895DC4"/>
    <w:rPr>
      <w:rFonts w:eastAsia="Times New Roman"/>
      <w:sz w:val="20"/>
      <w:szCs w:val="20"/>
    </w:rPr>
  </w:style>
  <w:style w:type="character" w:customStyle="1" w:styleId="FootnoteTextChar">
    <w:name w:val="Footnote Text Char"/>
    <w:basedOn w:val="DefaultParagraphFont"/>
    <w:link w:val="FootnoteText"/>
    <w:semiHidden/>
    <w:rsid w:val="00895DC4"/>
    <w:rPr>
      <w:rFonts w:ascii="Times New Roman" w:eastAsia="Times New Roman" w:hAnsi="Times New Roman" w:cs="Times New Roman"/>
      <w:sz w:val="20"/>
      <w:szCs w:val="20"/>
    </w:rPr>
  </w:style>
  <w:style w:type="paragraph" w:styleId="Revision">
    <w:name w:val="Revision"/>
    <w:hidden/>
    <w:uiPriority w:val="99"/>
    <w:semiHidden/>
    <w:rsid w:val="00C15498"/>
    <w:pPr>
      <w:spacing w:after="0" w:line="240" w:lineRule="auto"/>
    </w:pPr>
  </w:style>
  <w:style w:type="character" w:styleId="Emphasis">
    <w:name w:val="Emphasis"/>
    <w:basedOn w:val="DefaultParagraphFont"/>
    <w:uiPriority w:val="20"/>
    <w:qFormat/>
    <w:rsid w:val="00705780"/>
    <w:rPr>
      <w:rFonts w:cs="Times New Roman"/>
      <w:i/>
      <w:iCs/>
    </w:rPr>
  </w:style>
  <w:style w:type="character" w:customStyle="1" w:styleId="medium-font">
    <w:name w:val="medium-font"/>
    <w:basedOn w:val="DefaultParagraphFont"/>
    <w:rsid w:val="001D2737"/>
  </w:style>
  <w:style w:type="character" w:styleId="Hyperlink">
    <w:name w:val="Hyperlink"/>
    <w:basedOn w:val="DefaultParagraphFont"/>
    <w:uiPriority w:val="99"/>
    <w:unhideWhenUsed/>
    <w:rsid w:val="005C38F8"/>
    <w:rPr>
      <w:color w:val="0000FF" w:themeColor="hyperlink"/>
      <w:u w:val="single"/>
    </w:rPr>
  </w:style>
  <w:style w:type="paragraph" w:customStyle="1" w:styleId="EndNoteBibliographyTitle">
    <w:name w:val="EndNote Bibliography Title"/>
    <w:basedOn w:val="Normal"/>
    <w:link w:val="EndNoteBibliographyTitleChar"/>
    <w:rsid w:val="005809DA"/>
    <w:pPr>
      <w:jc w:val="center"/>
    </w:pPr>
    <w:rPr>
      <w:noProof/>
    </w:rPr>
  </w:style>
  <w:style w:type="character" w:customStyle="1" w:styleId="EndNoteBibliographyTitleChar">
    <w:name w:val="EndNote Bibliography Title Char"/>
    <w:basedOn w:val="DefaultParagraphFont"/>
    <w:link w:val="EndNoteBibliographyTitle"/>
    <w:rsid w:val="005809DA"/>
    <w:rPr>
      <w:rFonts w:ascii="Times New Roman" w:hAnsi="Times New Roman" w:cs="Times New Roman"/>
      <w:noProof/>
      <w:sz w:val="24"/>
      <w:szCs w:val="24"/>
    </w:rPr>
  </w:style>
  <w:style w:type="paragraph" w:customStyle="1" w:styleId="EndNoteBibliography">
    <w:name w:val="EndNote Bibliography"/>
    <w:basedOn w:val="Normal"/>
    <w:link w:val="EndNoteBibliographyChar"/>
    <w:rsid w:val="005809DA"/>
    <w:pPr>
      <w:spacing w:line="240" w:lineRule="auto"/>
    </w:pPr>
    <w:rPr>
      <w:noProof/>
    </w:rPr>
  </w:style>
  <w:style w:type="character" w:customStyle="1" w:styleId="EndNoteBibliographyChar">
    <w:name w:val="EndNote Bibliography Char"/>
    <w:basedOn w:val="DefaultParagraphFont"/>
    <w:link w:val="EndNoteBibliography"/>
    <w:rsid w:val="005809DA"/>
    <w:rPr>
      <w:rFonts w:ascii="Times New Roman" w:hAnsi="Times New Roman" w:cs="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hilosophersimprint.org/007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DB92-4B9C-40BE-8297-6E9E1128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23D19D65.dotm</Template>
  <TotalTime>103</TotalTime>
  <Pages>32</Pages>
  <Words>13083</Words>
  <Characters>65024</Characters>
  <Application>Microsoft Office Word</Application>
  <DocSecurity>0</DocSecurity>
  <Lines>985</Lines>
  <Paragraphs>183</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77924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Garrett Cullity</dc:creator>
  <cp:lastModifiedBy>Garrett Cullity</cp:lastModifiedBy>
  <cp:revision>15</cp:revision>
  <cp:lastPrinted>2014-03-01T01:11:00Z</cp:lastPrinted>
  <dcterms:created xsi:type="dcterms:W3CDTF">2014-03-01T00:52:00Z</dcterms:created>
  <dcterms:modified xsi:type="dcterms:W3CDTF">2015-12-01T01:39:00Z</dcterms:modified>
</cp:coreProperties>
</file>