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A6C76" w14:textId="7F24C42F" w:rsidR="002A3B72" w:rsidRPr="002A3B72" w:rsidRDefault="00E162F2" w:rsidP="00E162F2">
      <w:pPr>
        <w:jc w:val="center"/>
        <w:rPr>
          <w:rFonts w:ascii="Garamond" w:hAnsi="Garamond"/>
          <w:b/>
          <w:sz w:val="28"/>
        </w:rPr>
      </w:pPr>
      <w:r w:rsidRPr="00E162F2">
        <w:rPr>
          <w:rFonts w:ascii="Garamond" w:hAnsi="Garamond"/>
          <w:b/>
          <w:sz w:val="40"/>
        </w:rPr>
        <w:t xml:space="preserve">The Ethics of Killing </w:t>
      </w:r>
      <w:r w:rsidR="00542A20">
        <w:rPr>
          <w:rFonts w:ascii="Garamond" w:hAnsi="Garamond"/>
          <w:b/>
          <w:sz w:val="40"/>
        </w:rPr>
        <w:t>in</w:t>
      </w:r>
      <w:r w:rsidRPr="00E162F2">
        <w:rPr>
          <w:rFonts w:ascii="Garamond" w:hAnsi="Garamond"/>
          <w:b/>
          <w:sz w:val="40"/>
        </w:rPr>
        <w:t xml:space="preserve"> a Pandemic: </w:t>
      </w:r>
      <w:r w:rsidR="00F32AC2" w:rsidRPr="00E162F2">
        <w:rPr>
          <w:rFonts w:ascii="Garamond" w:hAnsi="Garamond"/>
          <w:b/>
          <w:sz w:val="40"/>
        </w:rPr>
        <w:t>Unintentional</w:t>
      </w:r>
      <w:r w:rsidR="00BC0B38" w:rsidRPr="00E162F2">
        <w:rPr>
          <w:rFonts w:ascii="Garamond" w:hAnsi="Garamond"/>
          <w:b/>
          <w:sz w:val="40"/>
        </w:rPr>
        <w:t xml:space="preserve"> </w:t>
      </w:r>
      <w:r w:rsidR="002A3B72" w:rsidRPr="00E162F2">
        <w:rPr>
          <w:rFonts w:ascii="Garamond" w:hAnsi="Garamond"/>
          <w:b/>
          <w:sz w:val="40"/>
        </w:rPr>
        <w:t>Virus Transmission</w:t>
      </w:r>
      <w:r w:rsidRPr="00E162F2">
        <w:rPr>
          <w:rFonts w:ascii="Garamond" w:hAnsi="Garamond"/>
          <w:b/>
          <w:sz w:val="40"/>
        </w:rPr>
        <w:t xml:space="preserve">, </w:t>
      </w:r>
      <w:r w:rsidR="009A6969" w:rsidRPr="00E162F2">
        <w:rPr>
          <w:rFonts w:ascii="Garamond" w:hAnsi="Garamond"/>
          <w:b/>
          <w:sz w:val="40"/>
        </w:rPr>
        <w:t>Reciprocal Risk Imposition</w:t>
      </w:r>
      <w:r w:rsidRPr="00E162F2">
        <w:rPr>
          <w:rFonts w:ascii="Garamond" w:hAnsi="Garamond"/>
          <w:b/>
          <w:sz w:val="40"/>
        </w:rPr>
        <w:t xml:space="preserve">, and </w:t>
      </w:r>
      <w:r>
        <w:rPr>
          <w:rFonts w:ascii="Garamond" w:hAnsi="Garamond"/>
          <w:b/>
          <w:sz w:val="40"/>
        </w:rPr>
        <w:t xml:space="preserve">Standards of </w:t>
      </w:r>
      <w:r w:rsidRPr="00E162F2">
        <w:rPr>
          <w:rFonts w:ascii="Garamond" w:hAnsi="Garamond"/>
          <w:b/>
          <w:sz w:val="40"/>
        </w:rPr>
        <w:t>Blame</w:t>
      </w:r>
    </w:p>
    <w:p w14:paraId="2C779CAC" w14:textId="77777777" w:rsidR="00646CDF" w:rsidRDefault="00646CDF">
      <w:pPr>
        <w:rPr>
          <w:rFonts w:ascii="Garamond" w:hAnsi="Garamond"/>
        </w:rPr>
      </w:pPr>
    </w:p>
    <w:p w14:paraId="70A3C038" w14:textId="77777777" w:rsidR="00BE178B" w:rsidRDefault="00BE178B">
      <w:pPr>
        <w:rPr>
          <w:rFonts w:ascii="Garamond" w:hAnsi="Garamond"/>
        </w:rPr>
      </w:pPr>
    </w:p>
    <w:p w14:paraId="5D6E01F2" w14:textId="4D7F9319" w:rsidR="004D6EA5" w:rsidRDefault="004D6EA5">
      <w:pPr>
        <w:rPr>
          <w:rFonts w:ascii="Garamond" w:hAnsi="Garamond"/>
        </w:rPr>
      </w:pPr>
      <w:r w:rsidRPr="00D33A74">
        <w:rPr>
          <w:rFonts w:ascii="Garamond" w:hAnsi="Garamond"/>
          <w:b/>
        </w:rPr>
        <w:t>Abstract</w:t>
      </w:r>
      <w:r>
        <w:rPr>
          <w:rFonts w:ascii="Garamond" w:hAnsi="Garamond"/>
        </w:rPr>
        <w:t>: The COVID-19 global pandemic has shone a light on several important ethical questions, ranging from fairness in resource allocation to</w:t>
      </w:r>
      <w:r w:rsidR="00D33A74">
        <w:rPr>
          <w:rFonts w:ascii="Garamond" w:hAnsi="Garamond"/>
        </w:rPr>
        <w:t xml:space="preserve"> the ethical justification </w:t>
      </w:r>
      <w:r>
        <w:rPr>
          <w:rFonts w:ascii="Garamond" w:hAnsi="Garamond"/>
        </w:rPr>
        <w:t xml:space="preserve">of government mandates. In addition to these institutional issues, there are also several ethical questions that arise at the interpersonal level. This essay focuses on several </w:t>
      </w:r>
      <w:r w:rsidR="00D33A74">
        <w:rPr>
          <w:rFonts w:ascii="Garamond" w:hAnsi="Garamond"/>
        </w:rPr>
        <w:t>of these</w:t>
      </w:r>
      <w:r>
        <w:rPr>
          <w:rFonts w:ascii="Garamond" w:hAnsi="Garamond"/>
        </w:rPr>
        <w:t xml:space="preserve"> issues. In particular, I argue that, despite the insistence in public health messaging that avoiding infecting others constitutes ‘saving lives’, virus transmission that results in death constitutes an act of killing. Whether this killing is wrongful depends on several factors. I consider one intuitively plausible view—namely, that in many cases, killing via unintentional transmission is not wrongful, because the parties in question have implicitly waived their rights against this harm</w:t>
      </w:r>
      <w:r w:rsidR="00A71F59">
        <w:rPr>
          <w:rFonts w:ascii="Garamond" w:hAnsi="Garamond"/>
        </w:rPr>
        <w:t>, often via reciprocal risk imposition</w:t>
      </w:r>
      <w:r>
        <w:rPr>
          <w:rFonts w:ascii="Garamond" w:hAnsi="Garamond"/>
        </w:rPr>
        <w:t>. I argue that this view is mistaken, but that its central insight can b</w:t>
      </w:r>
      <w:r w:rsidR="00D33A74">
        <w:rPr>
          <w:rFonts w:ascii="Garamond" w:hAnsi="Garamond"/>
        </w:rPr>
        <w:t>e better captured by identifying the appropriate standards of blame that we ought to apply during a pandemic. I conclude by showing how these conclusions can be fruitfully applied to certain institutional questions, such as helping to justify restricting government mandates.</w:t>
      </w:r>
    </w:p>
    <w:p w14:paraId="604D7CA0" w14:textId="77777777" w:rsidR="004D6EA5" w:rsidRDefault="004D6EA5">
      <w:pPr>
        <w:rPr>
          <w:rFonts w:ascii="Garamond" w:hAnsi="Garamond"/>
        </w:rPr>
      </w:pPr>
    </w:p>
    <w:p w14:paraId="17B2EC8E" w14:textId="77777777" w:rsidR="004D6EA5" w:rsidRPr="004A06E9" w:rsidRDefault="004D6EA5">
      <w:pPr>
        <w:rPr>
          <w:rFonts w:ascii="Garamond" w:hAnsi="Garamond"/>
        </w:rPr>
      </w:pPr>
      <w:bookmarkStart w:id="0" w:name="_GoBack"/>
      <w:bookmarkEnd w:id="0"/>
    </w:p>
    <w:p w14:paraId="77763C63" w14:textId="0DF791C3" w:rsidR="00BD23D6" w:rsidRPr="004A06E9" w:rsidRDefault="00BD23D6" w:rsidP="00BE178B">
      <w:pPr>
        <w:spacing w:line="480" w:lineRule="auto"/>
        <w:jc w:val="center"/>
        <w:rPr>
          <w:rFonts w:ascii="Garamond" w:hAnsi="Garamond"/>
        </w:rPr>
      </w:pPr>
      <w:r w:rsidRPr="004A06E9">
        <w:rPr>
          <w:rFonts w:ascii="Garamond" w:hAnsi="Garamond"/>
        </w:rPr>
        <w:t>1.</w:t>
      </w:r>
    </w:p>
    <w:p w14:paraId="0D6A900F" w14:textId="373EACE4" w:rsidR="00C60BA3" w:rsidRDefault="004330BE" w:rsidP="004330BE">
      <w:pPr>
        <w:spacing w:line="480" w:lineRule="auto"/>
        <w:rPr>
          <w:rFonts w:ascii="Garamond" w:hAnsi="Garamond"/>
        </w:rPr>
      </w:pPr>
      <w:r>
        <w:rPr>
          <w:rFonts w:ascii="Garamond" w:hAnsi="Garamond"/>
        </w:rPr>
        <w:t>Most</w:t>
      </w:r>
      <w:r w:rsidR="00BB3648">
        <w:rPr>
          <w:rFonts w:ascii="Garamond" w:hAnsi="Garamond"/>
        </w:rPr>
        <w:t xml:space="preserve"> of the </w:t>
      </w:r>
      <w:r w:rsidR="0031585A">
        <w:rPr>
          <w:rFonts w:ascii="Garamond" w:hAnsi="Garamond"/>
        </w:rPr>
        <w:t>public a</w:t>
      </w:r>
      <w:r w:rsidR="009F41A4">
        <w:rPr>
          <w:rFonts w:ascii="Garamond" w:hAnsi="Garamond"/>
        </w:rPr>
        <w:t xml:space="preserve">nd </w:t>
      </w:r>
      <w:r>
        <w:rPr>
          <w:rFonts w:ascii="Garamond" w:hAnsi="Garamond"/>
        </w:rPr>
        <w:t>academic</w:t>
      </w:r>
      <w:r w:rsidR="009F41A4">
        <w:rPr>
          <w:rFonts w:ascii="Garamond" w:hAnsi="Garamond"/>
        </w:rPr>
        <w:t xml:space="preserve"> </w:t>
      </w:r>
      <w:r>
        <w:rPr>
          <w:rFonts w:ascii="Garamond" w:hAnsi="Garamond"/>
        </w:rPr>
        <w:t>discussion</w:t>
      </w:r>
      <w:r w:rsidR="009F41A4">
        <w:rPr>
          <w:rFonts w:ascii="Garamond" w:hAnsi="Garamond"/>
        </w:rPr>
        <w:t xml:space="preserve"> on ethical issues</w:t>
      </w:r>
      <w:r w:rsidR="0031585A">
        <w:rPr>
          <w:rFonts w:ascii="Garamond" w:hAnsi="Garamond"/>
        </w:rPr>
        <w:t xml:space="preserve"> </w:t>
      </w:r>
      <w:r w:rsidR="00D416FD">
        <w:rPr>
          <w:rFonts w:ascii="Garamond" w:hAnsi="Garamond"/>
        </w:rPr>
        <w:t xml:space="preserve">arising </w:t>
      </w:r>
      <w:r w:rsidR="0031585A">
        <w:rPr>
          <w:rFonts w:ascii="Garamond" w:hAnsi="Garamond"/>
        </w:rPr>
        <w:t xml:space="preserve">throughout the </w:t>
      </w:r>
      <w:r w:rsidR="00BB3648" w:rsidRPr="004A06E9">
        <w:rPr>
          <w:rFonts w:ascii="Garamond" w:hAnsi="Garamond"/>
        </w:rPr>
        <w:t xml:space="preserve">COVID-19 pandemic </w:t>
      </w:r>
      <w:r w:rsidR="0031585A">
        <w:rPr>
          <w:rFonts w:ascii="Garamond" w:hAnsi="Garamond"/>
        </w:rPr>
        <w:t>has</w:t>
      </w:r>
      <w:r w:rsidR="00BB3648">
        <w:rPr>
          <w:rFonts w:ascii="Garamond" w:hAnsi="Garamond"/>
        </w:rPr>
        <w:t xml:space="preserve"> </w:t>
      </w:r>
      <w:r>
        <w:rPr>
          <w:rFonts w:ascii="Garamond" w:hAnsi="Garamond"/>
        </w:rPr>
        <w:t>centered</w:t>
      </w:r>
      <w:r w:rsidR="00BB3648">
        <w:rPr>
          <w:rFonts w:ascii="Garamond" w:hAnsi="Garamond"/>
        </w:rPr>
        <w:t xml:space="preserve"> on institutional </w:t>
      </w:r>
      <w:r>
        <w:rPr>
          <w:rFonts w:ascii="Garamond" w:hAnsi="Garamond"/>
        </w:rPr>
        <w:t>contexts—for example, i</w:t>
      </w:r>
      <w:r w:rsidR="001122F0">
        <w:rPr>
          <w:rFonts w:ascii="Garamond" w:hAnsi="Garamond"/>
        </w:rPr>
        <w:t xml:space="preserve">ssues like </w:t>
      </w:r>
      <w:r w:rsidR="00BB3648">
        <w:rPr>
          <w:rFonts w:ascii="Garamond" w:hAnsi="Garamond"/>
        </w:rPr>
        <w:t>fairness in</w:t>
      </w:r>
      <w:r w:rsidR="009F41A4">
        <w:rPr>
          <w:rFonts w:ascii="Garamond" w:hAnsi="Garamond"/>
        </w:rPr>
        <w:t xml:space="preserve"> allocating</w:t>
      </w:r>
      <w:r w:rsidR="001122F0">
        <w:rPr>
          <w:rFonts w:ascii="Garamond" w:hAnsi="Garamond"/>
        </w:rPr>
        <w:t xml:space="preserve"> scarce resources</w:t>
      </w:r>
      <w:r w:rsidR="00BB3648">
        <w:rPr>
          <w:rFonts w:ascii="Garamond" w:hAnsi="Garamond"/>
        </w:rPr>
        <w:t xml:space="preserve"> </w:t>
      </w:r>
      <w:r w:rsidR="001122F0">
        <w:rPr>
          <w:rFonts w:ascii="Garamond" w:hAnsi="Garamond"/>
        </w:rPr>
        <w:t xml:space="preserve">(e.g. </w:t>
      </w:r>
      <w:r w:rsidR="00BB3648">
        <w:rPr>
          <w:rFonts w:ascii="Garamond" w:hAnsi="Garamond"/>
        </w:rPr>
        <w:t>ventilators</w:t>
      </w:r>
      <w:r w:rsidR="001122F0">
        <w:rPr>
          <w:rFonts w:ascii="Garamond" w:hAnsi="Garamond"/>
        </w:rPr>
        <w:t>)</w:t>
      </w:r>
      <w:r w:rsidR="00C60BA3">
        <w:rPr>
          <w:rStyle w:val="EndnoteReference"/>
          <w:rFonts w:ascii="Garamond" w:hAnsi="Garamond"/>
        </w:rPr>
        <w:endnoteReference w:id="1"/>
      </w:r>
      <w:r w:rsidR="00C60BA3">
        <w:rPr>
          <w:rFonts w:ascii="Garamond" w:hAnsi="Garamond"/>
        </w:rPr>
        <w:t>; the ethics of government restrictions (e.g. lockdowns, mask mandates)</w:t>
      </w:r>
      <w:r w:rsidR="00C60BA3">
        <w:rPr>
          <w:rStyle w:val="EndnoteReference"/>
          <w:rFonts w:ascii="Garamond" w:hAnsi="Garamond"/>
        </w:rPr>
        <w:endnoteReference w:id="2"/>
      </w:r>
      <w:r w:rsidR="00C60BA3">
        <w:rPr>
          <w:rFonts w:ascii="Garamond" w:hAnsi="Garamond"/>
        </w:rPr>
        <w:t>; and various ethical issues arising in vaccine development, access, distribution, and compliance</w:t>
      </w:r>
      <w:r w:rsidR="00C60BA3">
        <w:rPr>
          <w:rStyle w:val="EndnoteReference"/>
          <w:rFonts w:ascii="Garamond" w:hAnsi="Garamond"/>
        </w:rPr>
        <w:endnoteReference w:id="3"/>
      </w:r>
      <w:r w:rsidR="00C60BA3">
        <w:rPr>
          <w:rFonts w:ascii="Garamond" w:hAnsi="Garamond"/>
        </w:rPr>
        <w:t>. Given the urgency and practical value of addressing these issues, this focus has been entirely warranted. A consequence of this, however, is that certain other ethical issues that have arisen at the interpersonal level—which are admittedly much less urgent and policy-oriented, but nevertheless significan</w:t>
      </w:r>
      <w:r w:rsidR="008445E1">
        <w:rPr>
          <w:rFonts w:ascii="Garamond" w:hAnsi="Garamond"/>
        </w:rPr>
        <w:t>t</w:t>
      </w:r>
      <w:r w:rsidR="00C60BA3">
        <w:rPr>
          <w:rFonts w:ascii="Garamond" w:hAnsi="Garamond"/>
        </w:rPr>
        <w:t>—have been sidelined or obscured.</w:t>
      </w:r>
    </w:p>
    <w:p w14:paraId="2DD31804" w14:textId="71EA9C47" w:rsidR="00C60BA3" w:rsidRDefault="00C60BA3" w:rsidP="00BE178B">
      <w:pPr>
        <w:spacing w:line="480" w:lineRule="auto"/>
        <w:ind w:firstLine="720"/>
        <w:rPr>
          <w:rFonts w:ascii="Garamond" w:hAnsi="Garamond"/>
        </w:rPr>
      </w:pPr>
      <w:r>
        <w:rPr>
          <w:rFonts w:ascii="Garamond" w:hAnsi="Garamond"/>
        </w:rPr>
        <w:t xml:space="preserve">Indeed, one of the most central ethical issues throughout the pandemic concerns its very transmission. After all, the virus is not a purely naturally occurring phenomenon, like a natural disaster; it is spread largely through direct human transmission, which is the result of </w:t>
      </w:r>
      <w:r>
        <w:rPr>
          <w:rFonts w:ascii="Garamond" w:hAnsi="Garamond"/>
        </w:rPr>
        <w:lastRenderedPageBreak/>
        <w:t>human actions</w:t>
      </w:r>
      <w:r w:rsidR="00647CEB">
        <w:rPr>
          <w:rFonts w:ascii="Garamond" w:hAnsi="Garamond"/>
        </w:rPr>
        <w:t>. Most</w:t>
      </w:r>
      <w:r>
        <w:rPr>
          <w:rFonts w:ascii="Garamond" w:hAnsi="Garamond"/>
        </w:rPr>
        <w:t xml:space="preserve"> of these actions involved unintentional transmission from those who were asymptomatic, but knew of the risks of exposing others, and put themselves in close proximity with others anyway.</w:t>
      </w:r>
      <w:r w:rsidR="003C2129">
        <w:rPr>
          <w:rStyle w:val="EndnoteReference"/>
          <w:rFonts w:ascii="Garamond" w:hAnsi="Garamond"/>
        </w:rPr>
        <w:endnoteReference w:id="4"/>
      </w:r>
      <w:r>
        <w:rPr>
          <w:rFonts w:ascii="Garamond" w:hAnsi="Garamond"/>
        </w:rPr>
        <w:t xml:space="preserve"> While the health effects in most of these cases were relatively mild, many cases led to serious (and sometimes enduring) complications. Tragically, far too many resulted in death. </w:t>
      </w:r>
    </w:p>
    <w:p w14:paraId="65D405B3" w14:textId="66EC7DAA" w:rsidR="00C60BA3" w:rsidRDefault="00C60BA3" w:rsidP="008445E1">
      <w:pPr>
        <w:spacing w:line="480" w:lineRule="auto"/>
        <w:ind w:firstLine="720"/>
        <w:rPr>
          <w:rFonts w:ascii="Garamond" w:hAnsi="Garamond"/>
        </w:rPr>
      </w:pPr>
      <w:r>
        <w:rPr>
          <w:rFonts w:ascii="Garamond" w:hAnsi="Garamond"/>
        </w:rPr>
        <w:t xml:space="preserve">This raises a host of ethical questions. Are these best described as acts of killing? </w:t>
      </w:r>
      <w:r w:rsidR="000707AB">
        <w:rPr>
          <w:rFonts w:ascii="Garamond" w:hAnsi="Garamond"/>
        </w:rPr>
        <w:t>If they are, a</w:t>
      </w:r>
      <w:r w:rsidR="00E84D1F">
        <w:rPr>
          <w:rFonts w:ascii="Garamond" w:hAnsi="Garamond"/>
        </w:rPr>
        <w:t>re they wrongful</w:t>
      </w:r>
      <w:r>
        <w:rPr>
          <w:rFonts w:ascii="Garamond" w:hAnsi="Garamond"/>
        </w:rPr>
        <w:t xml:space="preserve">? </w:t>
      </w:r>
      <w:r w:rsidR="000707AB">
        <w:rPr>
          <w:rFonts w:ascii="Garamond" w:hAnsi="Garamond"/>
        </w:rPr>
        <w:t xml:space="preserve">And if </w:t>
      </w:r>
      <w:r w:rsidR="00E84D1F">
        <w:rPr>
          <w:rFonts w:ascii="Garamond" w:hAnsi="Garamond"/>
        </w:rPr>
        <w:t>so</w:t>
      </w:r>
      <w:r w:rsidR="000707AB">
        <w:rPr>
          <w:rFonts w:ascii="Garamond" w:hAnsi="Garamond"/>
        </w:rPr>
        <w:t>, h</w:t>
      </w:r>
      <w:r>
        <w:rPr>
          <w:rFonts w:ascii="Garamond" w:hAnsi="Garamond"/>
        </w:rPr>
        <w:t xml:space="preserve">ow should we judge those who </w:t>
      </w:r>
      <w:r w:rsidR="000707AB">
        <w:rPr>
          <w:rFonts w:ascii="Garamond" w:hAnsi="Garamond"/>
        </w:rPr>
        <w:t>commit these acts</w:t>
      </w:r>
      <w:r>
        <w:rPr>
          <w:rFonts w:ascii="Garamond" w:hAnsi="Garamond"/>
        </w:rPr>
        <w:t xml:space="preserve">? These questions will be my focus in what follows. In section 2, I argue that one common way of framing unintentional transmission, favored by many public health organizations, is deeply misleading and obscures the moral status of the act: avoiding transmitting the virus to others is not a way of </w:t>
      </w:r>
      <w:r w:rsidRPr="007B4441">
        <w:rPr>
          <w:rFonts w:ascii="Garamond" w:hAnsi="Garamond"/>
          <w:i/>
        </w:rPr>
        <w:t>saving</w:t>
      </w:r>
      <w:r>
        <w:rPr>
          <w:rFonts w:ascii="Garamond" w:hAnsi="Garamond"/>
        </w:rPr>
        <w:t xml:space="preserve"> lives, but of avoiding </w:t>
      </w:r>
      <w:r w:rsidRPr="007B4441">
        <w:rPr>
          <w:rFonts w:ascii="Garamond" w:hAnsi="Garamond"/>
          <w:i/>
        </w:rPr>
        <w:t>killing</w:t>
      </w:r>
      <w:r>
        <w:rPr>
          <w:rFonts w:ascii="Garamond" w:hAnsi="Garamond"/>
        </w:rPr>
        <w:t>. In section 3, I consider certain intuitively plausible approaches for justifying exposing others to risks of transmission. I focus here on arguments concerning mutual risk imposition: while it’s true that I impose risks on others, they impose risks on me too. I argue that, despite its appeal, this view is inadequate to provide a justification for risk imposition in most ordinary cases. In section 4, I argue that the impulse toward permissive or forgiving attitudes toward unintentional transmission is be</w:t>
      </w:r>
      <w:r w:rsidR="008445E1">
        <w:rPr>
          <w:rFonts w:ascii="Garamond" w:hAnsi="Garamond"/>
        </w:rPr>
        <w:t>tter</w:t>
      </w:r>
      <w:r>
        <w:rPr>
          <w:rFonts w:ascii="Garamond" w:hAnsi="Garamond"/>
        </w:rPr>
        <w:t xml:space="preserve"> captured not </w:t>
      </w:r>
      <w:r w:rsidR="008445E1">
        <w:rPr>
          <w:rFonts w:ascii="Garamond" w:hAnsi="Garamond"/>
        </w:rPr>
        <w:t>by evaluating the justification of acts,</w:t>
      </w:r>
      <w:r>
        <w:rPr>
          <w:rFonts w:ascii="Garamond" w:hAnsi="Garamond"/>
        </w:rPr>
        <w:t xml:space="preserve"> but </w:t>
      </w:r>
      <w:r w:rsidR="008445E1">
        <w:rPr>
          <w:rFonts w:ascii="Garamond" w:hAnsi="Garamond"/>
        </w:rPr>
        <w:t xml:space="preserve">by evaluating the </w:t>
      </w:r>
      <w:r>
        <w:rPr>
          <w:rFonts w:ascii="Garamond" w:hAnsi="Garamond"/>
        </w:rPr>
        <w:t xml:space="preserve">blameworthiness </w:t>
      </w:r>
      <w:r w:rsidR="008445E1">
        <w:rPr>
          <w:rFonts w:ascii="Garamond" w:hAnsi="Garamond"/>
        </w:rPr>
        <w:t>of the agent</w:t>
      </w:r>
      <w:r>
        <w:rPr>
          <w:rFonts w:ascii="Garamond" w:hAnsi="Garamond"/>
        </w:rPr>
        <w:t xml:space="preserve">. Finally, </w:t>
      </w:r>
      <w:r w:rsidRPr="00BE178B">
        <w:rPr>
          <w:rFonts w:ascii="Garamond" w:hAnsi="Garamond"/>
        </w:rPr>
        <w:t>in section 5, I conclude by noting how these points have salience for several issues relating to institutional and governmental policies, such as lockdowns, mask mandat</w:t>
      </w:r>
      <w:r w:rsidR="004012C8">
        <w:rPr>
          <w:rFonts w:ascii="Garamond" w:hAnsi="Garamond"/>
        </w:rPr>
        <w:t xml:space="preserve">es, and obligatory quarantines. And I show </w:t>
      </w:r>
      <w:r w:rsidRPr="00BE178B">
        <w:rPr>
          <w:rFonts w:ascii="Garamond" w:hAnsi="Garamond"/>
        </w:rPr>
        <w:t>how the points raised in this essay have application beyond the current pandemic.</w:t>
      </w:r>
    </w:p>
    <w:p w14:paraId="1AF14453" w14:textId="477245D5" w:rsidR="00C60BA3" w:rsidRPr="004A06E9" w:rsidRDefault="00C60BA3" w:rsidP="003D5387">
      <w:pPr>
        <w:spacing w:line="480" w:lineRule="auto"/>
        <w:ind w:firstLine="720"/>
        <w:rPr>
          <w:rFonts w:ascii="Garamond" w:hAnsi="Garamond"/>
        </w:rPr>
      </w:pPr>
      <w:r>
        <w:rPr>
          <w:rFonts w:ascii="Garamond" w:hAnsi="Garamond"/>
        </w:rPr>
        <w:t xml:space="preserve">Before proceeding, let me issue a few clarifications. First, I will focus on cases of COVID-19 transmission that result in death, though much of what I say will extend, mutatis mutandis, to the many other harms resulting from COVID transmission. In particular, I will </w:t>
      </w:r>
      <w:r>
        <w:rPr>
          <w:rFonts w:ascii="Garamond" w:hAnsi="Garamond"/>
        </w:rPr>
        <w:lastRenderedPageBreak/>
        <w:t>not address the serious and enduring (though non-fatal) harms that many have suffered—so called “long COVID”</w:t>
      </w:r>
      <w:r w:rsidR="00C61731">
        <w:rPr>
          <w:rFonts w:ascii="Garamond" w:hAnsi="Garamond"/>
        </w:rPr>
        <w:t>.</w:t>
      </w:r>
      <w:r>
        <w:rPr>
          <w:rFonts w:ascii="Garamond" w:hAnsi="Garamond"/>
        </w:rPr>
        <w:t xml:space="preserve"> </w:t>
      </w:r>
      <w:r w:rsidR="008A7BAB">
        <w:rPr>
          <w:rFonts w:ascii="Garamond" w:hAnsi="Garamond"/>
        </w:rPr>
        <w:t xml:space="preserve">Moreover, since my focus is on cases where death is the result, I will </w:t>
      </w:r>
      <w:r w:rsidR="00C61731">
        <w:rPr>
          <w:rFonts w:ascii="Garamond" w:hAnsi="Garamond"/>
        </w:rPr>
        <w:t>set aside the broader question concerning</w:t>
      </w:r>
      <w:r w:rsidR="008A7BAB">
        <w:rPr>
          <w:rFonts w:ascii="Garamond" w:hAnsi="Garamond"/>
        </w:rPr>
        <w:t xml:space="preserve"> the ethics of </w:t>
      </w:r>
      <w:r w:rsidR="00C61731">
        <w:rPr>
          <w:rFonts w:ascii="Garamond" w:hAnsi="Garamond"/>
        </w:rPr>
        <w:t xml:space="preserve">mere </w:t>
      </w:r>
      <w:r w:rsidR="008A7BAB">
        <w:rPr>
          <w:rFonts w:ascii="Garamond" w:hAnsi="Garamond"/>
        </w:rPr>
        <w:t>risk imposition.</w:t>
      </w:r>
      <w:r w:rsidR="00C61731">
        <w:rPr>
          <w:rStyle w:val="EndnoteReference"/>
          <w:rFonts w:ascii="Garamond" w:hAnsi="Garamond"/>
        </w:rPr>
        <w:endnoteReference w:id="5"/>
      </w:r>
      <w:r w:rsidR="00C61731">
        <w:rPr>
          <w:rFonts w:ascii="Garamond" w:hAnsi="Garamond"/>
        </w:rPr>
        <w:t xml:space="preserve"> </w:t>
      </w:r>
      <w:r w:rsidR="008A7BAB">
        <w:rPr>
          <w:rFonts w:ascii="Garamond" w:hAnsi="Garamond"/>
        </w:rPr>
        <w:t xml:space="preserve"> Furthermore</w:t>
      </w:r>
      <w:r>
        <w:rPr>
          <w:rFonts w:ascii="Garamond" w:hAnsi="Garamond"/>
        </w:rPr>
        <w:t>, I focus here only on case</w:t>
      </w:r>
      <w:r w:rsidR="00EE2880">
        <w:rPr>
          <w:rFonts w:ascii="Garamond" w:hAnsi="Garamond"/>
        </w:rPr>
        <w:t>s of unintentional transmission,</w:t>
      </w:r>
      <w:r>
        <w:rPr>
          <w:rFonts w:ascii="Garamond" w:hAnsi="Garamond"/>
        </w:rPr>
        <w:t xml:space="preserve"> setting aside the relatively rare incidents where individuals intended to transmit the virus</w:t>
      </w:r>
      <w:r w:rsidR="00EE2880">
        <w:rPr>
          <w:rFonts w:ascii="Garamond" w:hAnsi="Garamond"/>
        </w:rPr>
        <w:t xml:space="preserve">. I also </w:t>
      </w:r>
      <w:r w:rsidR="008702C2">
        <w:rPr>
          <w:rFonts w:ascii="Garamond" w:hAnsi="Garamond"/>
        </w:rPr>
        <w:t xml:space="preserve">mostly </w:t>
      </w:r>
      <w:r w:rsidR="00EE2880">
        <w:rPr>
          <w:rFonts w:ascii="Garamond" w:hAnsi="Garamond"/>
        </w:rPr>
        <w:t xml:space="preserve">set aside cases in which one does not intend to transmit the virus, but does so </w:t>
      </w:r>
      <w:r w:rsidR="008702C2">
        <w:rPr>
          <w:rFonts w:ascii="Garamond" w:hAnsi="Garamond"/>
        </w:rPr>
        <w:t>via</w:t>
      </w:r>
      <w:r w:rsidR="00EE2880">
        <w:rPr>
          <w:rFonts w:ascii="Garamond" w:hAnsi="Garamond"/>
        </w:rPr>
        <w:t xml:space="preserve"> negligence or recklessness</w:t>
      </w:r>
      <w:r>
        <w:rPr>
          <w:rFonts w:ascii="Garamond" w:hAnsi="Garamond"/>
        </w:rPr>
        <w:t xml:space="preserve">. </w:t>
      </w:r>
      <w:r w:rsidR="008702C2">
        <w:rPr>
          <w:rFonts w:ascii="Garamond" w:hAnsi="Garamond"/>
        </w:rPr>
        <w:t xml:space="preserve">This is because unintentional lethal transmission </w:t>
      </w:r>
      <w:r w:rsidR="00E84D1F">
        <w:rPr>
          <w:rFonts w:ascii="Garamond" w:hAnsi="Garamond"/>
        </w:rPr>
        <w:t>strikes me as a more</w:t>
      </w:r>
      <w:r w:rsidR="008702C2">
        <w:rPr>
          <w:rFonts w:ascii="Garamond" w:hAnsi="Garamond"/>
        </w:rPr>
        <w:t xml:space="preserve"> ethically </w:t>
      </w:r>
      <w:r w:rsidR="00E84D1F">
        <w:rPr>
          <w:rFonts w:ascii="Garamond" w:hAnsi="Garamond"/>
        </w:rPr>
        <w:t>challenging problem</w:t>
      </w:r>
      <w:r w:rsidR="008702C2">
        <w:rPr>
          <w:rFonts w:ascii="Garamond" w:hAnsi="Garamond"/>
        </w:rPr>
        <w:t xml:space="preserve">, and thus more deserving of our focus. Furthermore, most of our judgments about the unintentional cases will apply, </w:t>
      </w:r>
      <w:r w:rsidR="008702C2" w:rsidRPr="008702C2">
        <w:rPr>
          <w:rFonts w:ascii="Garamond" w:hAnsi="Garamond"/>
          <w:i/>
        </w:rPr>
        <w:t>a fortiori</w:t>
      </w:r>
      <w:r w:rsidR="00E84D1F">
        <w:rPr>
          <w:rFonts w:ascii="Garamond" w:hAnsi="Garamond"/>
        </w:rPr>
        <w:t>, to negligence</w:t>
      </w:r>
      <w:r w:rsidR="008702C2">
        <w:rPr>
          <w:rFonts w:ascii="Garamond" w:hAnsi="Garamond"/>
        </w:rPr>
        <w:t xml:space="preserve"> cases as well—though an agent’s negligence will make any claims of decreased blameworthiness for wrongdoing substantially less plausible. </w:t>
      </w:r>
    </w:p>
    <w:p w14:paraId="7FCA9CE0" w14:textId="77777777" w:rsidR="00C60BA3" w:rsidRDefault="00C60BA3" w:rsidP="00BE178B">
      <w:pPr>
        <w:spacing w:line="480" w:lineRule="auto"/>
        <w:ind w:firstLine="720"/>
        <w:rPr>
          <w:rFonts w:ascii="Garamond" w:hAnsi="Garamond"/>
        </w:rPr>
      </w:pPr>
    </w:p>
    <w:p w14:paraId="745E5B1F" w14:textId="4197D9FA" w:rsidR="00C60BA3" w:rsidRPr="004A06E9" w:rsidRDefault="00C60BA3" w:rsidP="00BE178B">
      <w:pPr>
        <w:spacing w:line="480" w:lineRule="auto"/>
        <w:jc w:val="center"/>
        <w:rPr>
          <w:rFonts w:ascii="Garamond" w:hAnsi="Garamond"/>
        </w:rPr>
      </w:pPr>
      <w:r>
        <w:rPr>
          <w:rFonts w:ascii="Garamond" w:hAnsi="Garamond"/>
        </w:rPr>
        <w:t>2</w:t>
      </w:r>
      <w:r w:rsidRPr="004A06E9">
        <w:rPr>
          <w:rFonts w:ascii="Garamond" w:hAnsi="Garamond"/>
        </w:rPr>
        <w:t>.</w:t>
      </w:r>
    </w:p>
    <w:p w14:paraId="76D4F2E3" w14:textId="68EA5CAF" w:rsidR="00C60BA3" w:rsidRPr="004A06E9" w:rsidRDefault="00C60BA3" w:rsidP="00BE178B">
      <w:pPr>
        <w:spacing w:line="480" w:lineRule="auto"/>
        <w:rPr>
          <w:rFonts w:ascii="Garamond" w:hAnsi="Garamond"/>
        </w:rPr>
      </w:pPr>
      <w:r w:rsidRPr="004A06E9">
        <w:rPr>
          <w:rFonts w:ascii="Garamond" w:hAnsi="Garamond"/>
        </w:rPr>
        <w:t xml:space="preserve">Since the </w:t>
      </w:r>
      <w:r>
        <w:rPr>
          <w:rFonts w:ascii="Garamond" w:hAnsi="Garamond"/>
        </w:rPr>
        <w:t>onset of the pandemic</w:t>
      </w:r>
      <w:r w:rsidRPr="004A06E9">
        <w:rPr>
          <w:rFonts w:ascii="Garamond" w:hAnsi="Garamond"/>
        </w:rPr>
        <w:t xml:space="preserve">, much of the public messaging has employed language suggesting that by </w:t>
      </w:r>
      <w:r>
        <w:rPr>
          <w:rFonts w:ascii="Garamond" w:hAnsi="Garamond"/>
        </w:rPr>
        <w:t>wearing masks, staying isolated, and social distancing</w:t>
      </w:r>
      <w:r w:rsidRPr="004A06E9">
        <w:rPr>
          <w:rFonts w:ascii="Garamond" w:hAnsi="Garamond"/>
        </w:rPr>
        <w:t xml:space="preserve">, one </w:t>
      </w:r>
      <w:r>
        <w:rPr>
          <w:rFonts w:ascii="Garamond" w:hAnsi="Garamond"/>
        </w:rPr>
        <w:t xml:space="preserve">can </w:t>
      </w:r>
      <w:r w:rsidRPr="004A06E9">
        <w:rPr>
          <w:rFonts w:ascii="Garamond" w:hAnsi="Garamond"/>
        </w:rPr>
        <w:t>sav</w:t>
      </w:r>
      <w:r>
        <w:rPr>
          <w:rFonts w:ascii="Garamond" w:hAnsi="Garamond"/>
        </w:rPr>
        <w:t>e</w:t>
      </w:r>
      <w:r w:rsidRPr="004A06E9">
        <w:rPr>
          <w:rFonts w:ascii="Garamond" w:hAnsi="Garamond"/>
        </w:rPr>
        <w:t xml:space="preserve"> lives. The hashtag campaign “#</w:t>
      </w:r>
      <w:proofErr w:type="spellStart"/>
      <w:r w:rsidRPr="004A06E9">
        <w:rPr>
          <w:rFonts w:ascii="Garamond" w:hAnsi="Garamond"/>
        </w:rPr>
        <w:t>StayHomeSaveLives</w:t>
      </w:r>
      <w:proofErr w:type="spellEnd"/>
      <w:r w:rsidRPr="004A06E9">
        <w:rPr>
          <w:rFonts w:ascii="Garamond" w:hAnsi="Garamond"/>
        </w:rPr>
        <w:t xml:space="preserve">” was promoted by </w:t>
      </w:r>
      <w:proofErr w:type="spellStart"/>
      <w:r w:rsidRPr="004A06E9">
        <w:rPr>
          <w:rFonts w:ascii="Garamond" w:hAnsi="Garamond"/>
        </w:rPr>
        <w:t>AdCouncil</w:t>
      </w:r>
      <w:proofErr w:type="spellEnd"/>
      <w:r w:rsidRPr="004A06E9">
        <w:rPr>
          <w:rFonts w:ascii="Garamond" w:hAnsi="Garamond"/>
        </w:rPr>
        <w:t xml:space="preserve"> in the U.S., and used by dozens of popular media companies.</w:t>
      </w:r>
      <w:r w:rsidRPr="004A06E9">
        <w:rPr>
          <w:rStyle w:val="EndnoteReference"/>
          <w:rFonts w:ascii="Garamond" w:hAnsi="Garamond"/>
        </w:rPr>
        <w:endnoteReference w:id="6"/>
      </w:r>
      <w:r w:rsidRPr="004A06E9">
        <w:rPr>
          <w:rFonts w:ascii="Garamond" w:hAnsi="Garamond"/>
        </w:rPr>
        <w:t xml:space="preserve"> A key part of the UK Government’s public health campaign involved the slogan, “Stay home. Protect the NHS. Save lives.”</w:t>
      </w:r>
      <w:r w:rsidRPr="004A06E9">
        <w:rPr>
          <w:rStyle w:val="EndnoteReference"/>
          <w:rFonts w:ascii="Garamond" w:hAnsi="Garamond"/>
        </w:rPr>
        <w:endnoteReference w:id="7"/>
      </w:r>
      <w:r w:rsidRPr="004A06E9">
        <w:rPr>
          <w:rFonts w:ascii="Garamond" w:hAnsi="Garamond"/>
        </w:rPr>
        <w:t xml:space="preserve"> (Lest one think this is a uniquely Anglophone phenomenon, the French Health Ministry also said, “plus que jamais, pour </w:t>
      </w:r>
      <w:proofErr w:type="spellStart"/>
      <w:r w:rsidRPr="004A06E9">
        <w:rPr>
          <w:rFonts w:ascii="Garamond" w:hAnsi="Garamond"/>
        </w:rPr>
        <w:t>sauver</w:t>
      </w:r>
      <w:proofErr w:type="spellEnd"/>
      <w:r w:rsidRPr="004A06E9">
        <w:rPr>
          <w:rFonts w:ascii="Garamond" w:hAnsi="Garamond"/>
        </w:rPr>
        <w:t xml:space="preserve"> des vies, </w:t>
      </w:r>
      <w:proofErr w:type="spellStart"/>
      <w:r w:rsidRPr="004A06E9">
        <w:rPr>
          <w:rFonts w:ascii="Garamond" w:hAnsi="Garamond"/>
        </w:rPr>
        <w:t>restez</w:t>
      </w:r>
      <w:proofErr w:type="spellEnd"/>
      <w:r w:rsidRPr="004A06E9">
        <w:rPr>
          <w:rFonts w:ascii="Garamond" w:hAnsi="Garamond"/>
        </w:rPr>
        <w:t xml:space="preserve"> chez </w:t>
      </w:r>
      <w:proofErr w:type="spellStart"/>
      <w:r w:rsidRPr="004A06E9">
        <w:rPr>
          <w:rFonts w:ascii="Garamond" w:hAnsi="Garamond"/>
        </w:rPr>
        <w:t>vous</w:t>
      </w:r>
      <w:proofErr w:type="spellEnd"/>
      <w:r w:rsidRPr="004A06E9">
        <w:rPr>
          <w:rFonts w:ascii="Garamond" w:hAnsi="Garamond"/>
        </w:rPr>
        <w:t xml:space="preserve"> [more than ever, to save lives, stay home].”</w:t>
      </w:r>
      <w:r w:rsidRPr="004A06E9">
        <w:rPr>
          <w:rStyle w:val="EndnoteReference"/>
          <w:rFonts w:ascii="Garamond" w:hAnsi="Garamond"/>
        </w:rPr>
        <w:endnoteReference w:id="8"/>
      </w:r>
      <w:r w:rsidRPr="004A06E9">
        <w:rPr>
          <w:rFonts w:ascii="Garamond" w:hAnsi="Garamond"/>
        </w:rPr>
        <w:t>)</w:t>
      </w:r>
    </w:p>
    <w:p w14:paraId="3203B5AD" w14:textId="3A2D5529" w:rsidR="00C60BA3" w:rsidRPr="004A06E9" w:rsidRDefault="00C60BA3" w:rsidP="00BE178B">
      <w:pPr>
        <w:spacing w:line="480" w:lineRule="auto"/>
        <w:rPr>
          <w:rFonts w:ascii="Garamond" w:hAnsi="Garamond"/>
        </w:rPr>
      </w:pPr>
      <w:r>
        <w:rPr>
          <w:rFonts w:ascii="Garamond" w:hAnsi="Garamond"/>
        </w:rPr>
        <w:tab/>
        <w:t>I do not doubt that this is</w:t>
      </w:r>
      <w:r w:rsidRPr="004A06E9">
        <w:rPr>
          <w:rFonts w:ascii="Garamond" w:hAnsi="Garamond"/>
        </w:rPr>
        <w:t xml:space="preserve"> </w:t>
      </w:r>
      <w:r>
        <w:rPr>
          <w:rFonts w:ascii="Garamond" w:hAnsi="Garamond"/>
        </w:rPr>
        <w:t>an</w:t>
      </w:r>
      <w:r w:rsidRPr="004A06E9">
        <w:rPr>
          <w:rFonts w:ascii="Garamond" w:hAnsi="Garamond"/>
        </w:rPr>
        <w:t xml:space="preserve"> </w:t>
      </w:r>
      <w:r w:rsidR="00E84D1F">
        <w:rPr>
          <w:rFonts w:ascii="Garamond" w:hAnsi="Garamond"/>
        </w:rPr>
        <w:t xml:space="preserve">overall </w:t>
      </w:r>
      <w:r w:rsidRPr="004A06E9">
        <w:rPr>
          <w:rFonts w:ascii="Garamond" w:hAnsi="Garamond"/>
        </w:rPr>
        <w:t xml:space="preserve">effective public messaging strategy. Saving others’ lives tends to be a useful motivational tool: it evokes the idea of superheroes, selfless public service, and other acts of heroism. Moreover, it’s natural to speak of institutional </w:t>
      </w:r>
      <w:r w:rsidRPr="004A06E9">
        <w:rPr>
          <w:rFonts w:ascii="Garamond" w:hAnsi="Garamond"/>
        </w:rPr>
        <w:lastRenderedPageBreak/>
        <w:t>guidance and government mandates in terms of saving lives. Those researching the effectiveness of stay-at-home orders or universal mask wearing tend to tally the effects in terms of lives saved.</w:t>
      </w:r>
      <w:r w:rsidRPr="004A06E9">
        <w:rPr>
          <w:rStyle w:val="EndnoteReference"/>
          <w:rFonts w:ascii="Garamond" w:hAnsi="Garamond"/>
        </w:rPr>
        <w:endnoteReference w:id="9"/>
      </w:r>
      <w:r w:rsidRPr="004A06E9">
        <w:rPr>
          <w:rFonts w:ascii="Garamond" w:hAnsi="Garamond"/>
        </w:rPr>
        <w:t xml:space="preserve"> It </w:t>
      </w:r>
      <w:r>
        <w:rPr>
          <w:rFonts w:ascii="Garamond" w:hAnsi="Garamond"/>
        </w:rPr>
        <w:t xml:space="preserve">makes sense, </w:t>
      </w:r>
      <w:r w:rsidR="00E84D1F">
        <w:rPr>
          <w:rFonts w:ascii="Garamond" w:hAnsi="Garamond"/>
        </w:rPr>
        <w:t>then</w:t>
      </w:r>
      <w:r>
        <w:rPr>
          <w:rFonts w:ascii="Garamond" w:hAnsi="Garamond"/>
        </w:rPr>
        <w:t>,</w:t>
      </w:r>
      <w:r w:rsidRPr="004A06E9">
        <w:rPr>
          <w:rFonts w:ascii="Garamond" w:hAnsi="Garamond"/>
        </w:rPr>
        <w:t xml:space="preserve"> to extend the language we use to speak about institutions to the actions of its citizens in complying with them.</w:t>
      </w:r>
    </w:p>
    <w:p w14:paraId="33A6CA5C" w14:textId="76B23439" w:rsidR="00561739" w:rsidRPr="001B097D" w:rsidRDefault="00C60BA3" w:rsidP="00561739">
      <w:pPr>
        <w:spacing w:line="480" w:lineRule="auto"/>
        <w:rPr>
          <w:rFonts w:ascii="Garamond" w:hAnsi="Garamond"/>
        </w:rPr>
      </w:pPr>
      <w:r w:rsidRPr="004A06E9">
        <w:rPr>
          <w:rFonts w:ascii="Garamond" w:hAnsi="Garamond"/>
        </w:rPr>
        <w:tab/>
      </w:r>
      <w:r>
        <w:rPr>
          <w:rFonts w:ascii="Garamond" w:hAnsi="Garamond"/>
        </w:rPr>
        <w:t xml:space="preserve">And yet, this is </w:t>
      </w:r>
      <w:r w:rsidRPr="004A06E9">
        <w:rPr>
          <w:rFonts w:ascii="Garamond" w:hAnsi="Garamond"/>
        </w:rPr>
        <w:t>a</w:t>
      </w:r>
      <w:r>
        <w:rPr>
          <w:rFonts w:ascii="Garamond" w:hAnsi="Garamond"/>
        </w:rPr>
        <w:t xml:space="preserve"> deeply</w:t>
      </w:r>
      <w:r w:rsidRPr="004A06E9">
        <w:rPr>
          <w:rFonts w:ascii="Garamond" w:hAnsi="Garamond"/>
        </w:rPr>
        <w:t xml:space="preserve"> misleading way of describing </w:t>
      </w:r>
      <w:r>
        <w:rPr>
          <w:rFonts w:ascii="Garamond" w:hAnsi="Garamond"/>
        </w:rPr>
        <w:t>our actions in complying with these restrictions</w:t>
      </w:r>
      <w:r w:rsidRPr="004A06E9">
        <w:rPr>
          <w:rFonts w:ascii="Garamond" w:hAnsi="Garamond"/>
        </w:rPr>
        <w:t>. To see why, consider a roughly analogous case. We would think it odd to say that finding oneself a designated driver instead of driving home drunk is a way for one to ‘save lives’. It is true, of course, that fewer lives are likely to be lost by</w:t>
      </w:r>
      <w:r>
        <w:rPr>
          <w:rFonts w:ascii="Garamond" w:hAnsi="Garamond"/>
        </w:rPr>
        <w:t xml:space="preserve"> opting for a designated driver. B</w:t>
      </w:r>
      <w:r w:rsidRPr="004A06E9">
        <w:rPr>
          <w:rFonts w:ascii="Garamond" w:hAnsi="Garamond"/>
        </w:rPr>
        <w:t>ut</w:t>
      </w:r>
      <w:r>
        <w:rPr>
          <w:rFonts w:ascii="Garamond" w:hAnsi="Garamond"/>
        </w:rPr>
        <w:t xml:space="preserve"> finding</w:t>
      </w:r>
      <w:r w:rsidRPr="004A06E9">
        <w:rPr>
          <w:rFonts w:ascii="Garamond" w:hAnsi="Garamond"/>
        </w:rPr>
        <w:t xml:space="preserve"> a designated driver is </w:t>
      </w:r>
      <w:r>
        <w:rPr>
          <w:rFonts w:ascii="Garamond" w:hAnsi="Garamond"/>
        </w:rPr>
        <w:t xml:space="preserve">not best viewed as a way to save lives; rather, it is </w:t>
      </w:r>
      <w:r w:rsidRPr="004A06E9">
        <w:rPr>
          <w:rFonts w:ascii="Garamond" w:hAnsi="Garamond"/>
        </w:rPr>
        <w:t xml:space="preserve">a way to avoid </w:t>
      </w:r>
      <w:r>
        <w:rPr>
          <w:rFonts w:ascii="Garamond" w:hAnsi="Garamond"/>
        </w:rPr>
        <w:t>potentially killing others. Generally, s</w:t>
      </w:r>
      <w:r w:rsidRPr="004A06E9">
        <w:rPr>
          <w:rFonts w:ascii="Garamond" w:hAnsi="Garamond"/>
        </w:rPr>
        <w:t>aving lives involves preventing harms that originate from natural sourc</w:t>
      </w:r>
      <w:r w:rsidR="00DD648D">
        <w:rPr>
          <w:rFonts w:ascii="Garamond" w:hAnsi="Garamond"/>
        </w:rPr>
        <w:t>es or agents other than oneself: I save your life when I prevent you from drowning, or when I thwart your attacker.</w:t>
      </w:r>
      <w:r w:rsidRPr="004A06E9">
        <w:rPr>
          <w:rFonts w:ascii="Garamond" w:hAnsi="Garamond"/>
        </w:rPr>
        <w:t xml:space="preserve"> </w:t>
      </w:r>
      <w:r w:rsidR="004F52EE">
        <w:rPr>
          <w:rFonts w:ascii="Garamond" w:hAnsi="Garamond"/>
        </w:rPr>
        <w:t xml:space="preserve">But by not driving drunk, I don’t prevent a harm originating from elsewhere; rather, I prevent </w:t>
      </w:r>
      <w:r w:rsidR="004F52EE" w:rsidRPr="008A7BAB">
        <w:rPr>
          <w:rFonts w:ascii="Garamond" w:hAnsi="Garamond"/>
        </w:rPr>
        <w:t>myself</w:t>
      </w:r>
      <w:r w:rsidR="004F52EE">
        <w:rPr>
          <w:rFonts w:ascii="Garamond" w:hAnsi="Garamond"/>
        </w:rPr>
        <w:t xml:space="preserve"> from being the cause of that harm.</w:t>
      </w:r>
      <w:r w:rsidR="00067FF1">
        <w:rPr>
          <w:rFonts w:ascii="Garamond" w:hAnsi="Garamond"/>
        </w:rPr>
        <w:t xml:space="preserve"> </w:t>
      </w:r>
      <w:r>
        <w:rPr>
          <w:rFonts w:ascii="Garamond" w:hAnsi="Garamond"/>
        </w:rPr>
        <w:t>W</w:t>
      </w:r>
      <w:r w:rsidRPr="004A06E9">
        <w:rPr>
          <w:rFonts w:ascii="Garamond" w:hAnsi="Garamond"/>
        </w:rPr>
        <w:t xml:space="preserve">e should view pandemic precautions the same way. My wearing a mask, practicing social distancing, or isolating at home is not a way for me to ‘save lives’. Rather, it is a way for me to avoid potentially causing another’s death—that is, to avoid </w:t>
      </w:r>
      <w:r w:rsidRPr="00586A73">
        <w:rPr>
          <w:rFonts w:ascii="Garamond" w:hAnsi="Garamond"/>
          <w:i/>
        </w:rPr>
        <w:t>killing</w:t>
      </w:r>
      <w:r w:rsidRPr="004A06E9">
        <w:rPr>
          <w:rFonts w:ascii="Garamond" w:hAnsi="Garamond"/>
        </w:rPr>
        <w:t xml:space="preserve"> someone. </w:t>
      </w:r>
    </w:p>
    <w:p w14:paraId="795406A5" w14:textId="02BBA2F5" w:rsidR="00486726" w:rsidRDefault="00E1707D" w:rsidP="00561739">
      <w:pPr>
        <w:spacing w:line="480" w:lineRule="auto"/>
        <w:ind w:firstLine="720"/>
        <w:rPr>
          <w:rFonts w:ascii="Garamond" w:hAnsi="Garamond"/>
        </w:rPr>
      </w:pPr>
      <w:r>
        <w:rPr>
          <w:rFonts w:ascii="Garamond" w:hAnsi="Garamond"/>
        </w:rPr>
        <w:t xml:space="preserve">Some might find it difficult to accept </w:t>
      </w:r>
      <w:r w:rsidR="000913D7">
        <w:rPr>
          <w:rFonts w:ascii="Garamond" w:hAnsi="Garamond"/>
        </w:rPr>
        <w:t xml:space="preserve">the </w:t>
      </w:r>
      <w:r w:rsidR="00486726">
        <w:rPr>
          <w:rFonts w:ascii="Garamond" w:hAnsi="Garamond"/>
        </w:rPr>
        <w:t>idea</w:t>
      </w:r>
      <w:r w:rsidR="000913D7">
        <w:rPr>
          <w:rFonts w:ascii="Garamond" w:hAnsi="Garamond"/>
        </w:rPr>
        <w:t xml:space="preserve"> </w:t>
      </w:r>
      <w:r>
        <w:rPr>
          <w:rFonts w:ascii="Garamond" w:hAnsi="Garamond"/>
        </w:rPr>
        <w:t xml:space="preserve">that I </w:t>
      </w:r>
      <w:r>
        <w:rPr>
          <w:rFonts w:ascii="Garamond" w:hAnsi="Garamond"/>
          <w:i/>
        </w:rPr>
        <w:t xml:space="preserve">kill </w:t>
      </w:r>
      <w:r>
        <w:rPr>
          <w:rFonts w:ascii="Garamond" w:hAnsi="Garamond"/>
        </w:rPr>
        <w:t>you by unintentionally transmitting a lethal virus that resu</w:t>
      </w:r>
      <w:r w:rsidR="00881F79">
        <w:rPr>
          <w:rFonts w:ascii="Garamond" w:hAnsi="Garamond"/>
        </w:rPr>
        <w:t>lts in your death. But it is important to note that whether my act constitutes a killing is just a function of m</w:t>
      </w:r>
      <w:r w:rsidR="00E84D1F">
        <w:rPr>
          <w:rFonts w:ascii="Garamond" w:hAnsi="Garamond"/>
        </w:rPr>
        <w:t>y role in the causal story. G</w:t>
      </w:r>
      <w:r>
        <w:rPr>
          <w:rFonts w:ascii="Garamond" w:hAnsi="Garamond"/>
        </w:rPr>
        <w:t xml:space="preserve">iven what I have said above, it </w:t>
      </w:r>
      <w:r w:rsidR="00486726">
        <w:rPr>
          <w:rFonts w:ascii="Garamond" w:hAnsi="Garamond"/>
        </w:rPr>
        <w:t>seems</w:t>
      </w:r>
      <w:r>
        <w:rPr>
          <w:rFonts w:ascii="Garamond" w:hAnsi="Garamond"/>
        </w:rPr>
        <w:t xml:space="preserve"> hard to deny that </w:t>
      </w:r>
      <w:r w:rsidR="00881F79">
        <w:rPr>
          <w:rFonts w:ascii="Garamond" w:hAnsi="Garamond"/>
        </w:rPr>
        <w:t>I</w:t>
      </w:r>
      <w:r>
        <w:rPr>
          <w:rFonts w:ascii="Garamond" w:hAnsi="Garamond"/>
        </w:rPr>
        <w:t xml:space="preserve"> </w:t>
      </w:r>
      <w:r>
        <w:rPr>
          <w:rFonts w:ascii="Garamond" w:hAnsi="Garamond"/>
          <w:i/>
        </w:rPr>
        <w:t xml:space="preserve">cause </w:t>
      </w:r>
      <w:r w:rsidR="00881F79">
        <w:rPr>
          <w:rFonts w:ascii="Garamond" w:hAnsi="Garamond"/>
        </w:rPr>
        <w:t>my victim’s</w:t>
      </w:r>
      <w:r>
        <w:rPr>
          <w:rFonts w:ascii="Garamond" w:hAnsi="Garamond"/>
        </w:rPr>
        <w:t xml:space="preserve"> death</w:t>
      </w:r>
      <w:r w:rsidR="00E84D1F">
        <w:rPr>
          <w:rFonts w:ascii="Garamond" w:hAnsi="Garamond"/>
        </w:rPr>
        <w:t xml:space="preserve"> (in the relevant sense)</w:t>
      </w:r>
      <w:r w:rsidR="000913D7">
        <w:rPr>
          <w:rFonts w:ascii="Garamond" w:hAnsi="Garamond"/>
        </w:rPr>
        <w:t xml:space="preserve">. </w:t>
      </w:r>
      <w:r w:rsidR="00881F79">
        <w:rPr>
          <w:rFonts w:ascii="Garamond" w:hAnsi="Garamond"/>
        </w:rPr>
        <w:t>We would surely say this if</w:t>
      </w:r>
      <w:r w:rsidR="00A37AAD">
        <w:rPr>
          <w:rFonts w:ascii="Garamond" w:hAnsi="Garamond"/>
        </w:rPr>
        <w:t>, holding everything else fixed,</w:t>
      </w:r>
      <w:r w:rsidR="00881F79">
        <w:rPr>
          <w:rFonts w:ascii="Garamond" w:hAnsi="Garamond"/>
        </w:rPr>
        <w:t xml:space="preserve"> I transmitted the virus with the </w:t>
      </w:r>
      <w:r w:rsidR="00881F79" w:rsidRPr="00A37AAD">
        <w:rPr>
          <w:rFonts w:ascii="Garamond" w:hAnsi="Garamond"/>
          <w:i/>
        </w:rPr>
        <w:t>intention</w:t>
      </w:r>
      <w:r w:rsidR="00881F79">
        <w:rPr>
          <w:rFonts w:ascii="Garamond" w:hAnsi="Garamond"/>
        </w:rPr>
        <w:t xml:space="preserve"> of causing death</w:t>
      </w:r>
      <w:r w:rsidR="00881F79">
        <w:rPr>
          <w:rFonts w:ascii="Garamond" w:hAnsi="Garamond"/>
          <w:i/>
        </w:rPr>
        <w:t>—</w:t>
      </w:r>
      <w:r w:rsidR="00881F79">
        <w:rPr>
          <w:rFonts w:ascii="Garamond" w:hAnsi="Garamond"/>
        </w:rPr>
        <w:t>s</w:t>
      </w:r>
      <w:r w:rsidR="003303F7">
        <w:rPr>
          <w:rFonts w:ascii="Garamond" w:hAnsi="Garamond"/>
        </w:rPr>
        <w:t xml:space="preserve">ay, to punish my nemesis. To be sure, the </w:t>
      </w:r>
      <w:r w:rsidR="00486726">
        <w:rPr>
          <w:rFonts w:ascii="Garamond" w:hAnsi="Garamond"/>
        </w:rPr>
        <w:t xml:space="preserve">fact that </w:t>
      </w:r>
      <w:r w:rsidR="00881F79">
        <w:rPr>
          <w:rFonts w:ascii="Garamond" w:hAnsi="Garamond"/>
        </w:rPr>
        <w:t>a</w:t>
      </w:r>
      <w:r w:rsidR="00486726">
        <w:rPr>
          <w:rFonts w:ascii="Garamond" w:hAnsi="Garamond"/>
        </w:rPr>
        <w:t xml:space="preserve"> death is </w:t>
      </w:r>
      <w:r w:rsidR="00881F79">
        <w:rPr>
          <w:rFonts w:ascii="Garamond" w:hAnsi="Garamond"/>
        </w:rPr>
        <w:t xml:space="preserve">brought </w:t>
      </w:r>
      <w:r w:rsidR="00881F79">
        <w:rPr>
          <w:rFonts w:ascii="Garamond" w:hAnsi="Garamond"/>
        </w:rPr>
        <w:lastRenderedPageBreak/>
        <w:t xml:space="preserve">about </w:t>
      </w:r>
      <w:r w:rsidR="00486726">
        <w:rPr>
          <w:rFonts w:ascii="Garamond" w:hAnsi="Garamond"/>
        </w:rPr>
        <w:t>entirely unintentional</w:t>
      </w:r>
      <w:r w:rsidR="00881F79">
        <w:rPr>
          <w:rFonts w:ascii="Garamond" w:hAnsi="Garamond"/>
        </w:rPr>
        <w:t xml:space="preserve">ly </w:t>
      </w:r>
      <w:r w:rsidR="00A37AAD">
        <w:rPr>
          <w:rFonts w:ascii="Garamond" w:hAnsi="Garamond"/>
        </w:rPr>
        <w:t>can affect</w:t>
      </w:r>
      <w:r w:rsidR="00881F79">
        <w:rPr>
          <w:rFonts w:ascii="Garamond" w:hAnsi="Garamond"/>
        </w:rPr>
        <w:t xml:space="preserve"> the moral status of the act. </w:t>
      </w:r>
      <w:r w:rsidR="00A37AAD">
        <w:rPr>
          <w:rFonts w:ascii="Garamond" w:hAnsi="Garamond"/>
        </w:rPr>
        <w:t xml:space="preserve">But it does not alter the </w:t>
      </w:r>
      <w:r w:rsidR="00E84D1F">
        <w:rPr>
          <w:rFonts w:ascii="Garamond" w:hAnsi="Garamond"/>
        </w:rPr>
        <w:t xml:space="preserve">basic </w:t>
      </w:r>
      <w:r w:rsidR="00A37AAD">
        <w:rPr>
          <w:rFonts w:ascii="Garamond" w:hAnsi="Garamond"/>
        </w:rPr>
        <w:t>causal story—it does not, in other words, make this not an act of killing.</w:t>
      </w:r>
      <w:r w:rsidR="00561739">
        <w:rPr>
          <w:rStyle w:val="EndnoteReference"/>
          <w:rFonts w:ascii="Garamond" w:hAnsi="Garamond"/>
        </w:rPr>
        <w:endnoteReference w:id="10"/>
      </w:r>
      <w:r w:rsidR="00A37AAD">
        <w:rPr>
          <w:rFonts w:ascii="Garamond" w:hAnsi="Garamond"/>
        </w:rPr>
        <w:t xml:space="preserve"> </w:t>
      </w:r>
    </w:p>
    <w:p w14:paraId="3D2370EB" w14:textId="5DF49568" w:rsidR="009F4ACF" w:rsidRDefault="009F4ACF" w:rsidP="00561739">
      <w:pPr>
        <w:spacing w:line="480" w:lineRule="auto"/>
        <w:ind w:firstLine="720"/>
        <w:rPr>
          <w:rFonts w:ascii="Garamond" w:hAnsi="Garamond"/>
        </w:rPr>
      </w:pPr>
      <w:r>
        <w:rPr>
          <w:rFonts w:ascii="Garamond" w:hAnsi="Garamond"/>
        </w:rPr>
        <w:t xml:space="preserve">Of course, most cases of unintentional transmission are not acts of killing, but involve imposing only a </w:t>
      </w:r>
      <w:r>
        <w:rPr>
          <w:rFonts w:ascii="Garamond" w:hAnsi="Garamond"/>
          <w:i/>
        </w:rPr>
        <w:t xml:space="preserve">risk </w:t>
      </w:r>
      <w:r>
        <w:rPr>
          <w:rFonts w:ascii="Garamond" w:hAnsi="Garamond"/>
        </w:rPr>
        <w:t xml:space="preserve">of death on others, since the infected person ultimately recovers. And one is seldom in a position to know, </w:t>
      </w:r>
      <w:r w:rsidRPr="00223CDF">
        <w:rPr>
          <w:rFonts w:ascii="Garamond" w:hAnsi="Garamond"/>
          <w:i/>
        </w:rPr>
        <w:t>ex ante</w:t>
      </w:r>
      <w:r>
        <w:rPr>
          <w:rFonts w:ascii="Garamond" w:hAnsi="Garamond"/>
        </w:rPr>
        <w:t xml:space="preserve">, whether the risk of death will eventuate; like most things, the circumstances surrounding infection are rife with uncertainty. But this does not change the fact that, when the risk </w:t>
      </w:r>
      <w:r>
        <w:rPr>
          <w:rFonts w:ascii="Garamond" w:hAnsi="Garamond"/>
          <w:i/>
        </w:rPr>
        <w:t xml:space="preserve">does </w:t>
      </w:r>
      <w:r>
        <w:rPr>
          <w:rFonts w:ascii="Garamond" w:hAnsi="Garamond"/>
        </w:rPr>
        <w:t xml:space="preserve">eventuate, the </w:t>
      </w:r>
      <w:r w:rsidR="00C61731">
        <w:rPr>
          <w:rFonts w:ascii="Garamond" w:hAnsi="Garamond"/>
        </w:rPr>
        <w:t>act transforms from a mere risk to an act of killing.</w:t>
      </w:r>
      <w:r w:rsidR="00C54B45">
        <w:rPr>
          <w:rFonts w:ascii="Garamond" w:hAnsi="Garamond"/>
        </w:rPr>
        <w:t xml:space="preserve"> In other words, it is the resulting harm that ultimately defines the agent’s action.</w:t>
      </w:r>
      <w:r w:rsidR="00C61731">
        <w:rPr>
          <w:rFonts w:ascii="Garamond" w:hAnsi="Garamond"/>
        </w:rPr>
        <w:t xml:space="preserve"> </w:t>
      </w:r>
      <w:r w:rsidR="00C54B45">
        <w:rPr>
          <w:rFonts w:ascii="Garamond" w:hAnsi="Garamond"/>
        </w:rPr>
        <w:t>This is certainly true</w:t>
      </w:r>
      <w:r>
        <w:rPr>
          <w:rFonts w:ascii="Garamond" w:hAnsi="Garamond"/>
        </w:rPr>
        <w:t xml:space="preserve"> in </w:t>
      </w:r>
      <w:r w:rsidR="00C54B45">
        <w:rPr>
          <w:rFonts w:ascii="Garamond" w:hAnsi="Garamond"/>
        </w:rPr>
        <w:t>analogous</w:t>
      </w:r>
      <w:r>
        <w:rPr>
          <w:rFonts w:ascii="Garamond" w:hAnsi="Garamond"/>
        </w:rPr>
        <w:t xml:space="preserve"> cases: </w:t>
      </w:r>
      <w:r w:rsidR="00DC60A8">
        <w:rPr>
          <w:rFonts w:ascii="Garamond" w:hAnsi="Garamond"/>
        </w:rPr>
        <w:t>by driving</w:t>
      </w:r>
      <w:r>
        <w:rPr>
          <w:rFonts w:ascii="Garamond" w:hAnsi="Garamond"/>
        </w:rPr>
        <w:t xml:space="preserve">, I impose a risk of death on </w:t>
      </w:r>
      <w:r w:rsidR="00DC60A8">
        <w:rPr>
          <w:rFonts w:ascii="Garamond" w:hAnsi="Garamond"/>
        </w:rPr>
        <w:t>pedestrians; when that risk eventuates—when I hit one with my car which causes their death—we say that I have killed them. This point is worth emphasizing here, since most of us cannot help but impose at least some risks on</w:t>
      </w:r>
      <w:r w:rsidR="00C61731">
        <w:rPr>
          <w:rFonts w:ascii="Garamond" w:hAnsi="Garamond"/>
        </w:rPr>
        <w:t xml:space="preserve"> others throughout the pandemic,</w:t>
      </w:r>
      <w:r w:rsidR="00DC60A8">
        <w:rPr>
          <w:rFonts w:ascii="Garamond" w:hAnsi="Garamond"/>
        </w:rPr>
        <w:t xml:space="preserve"> and it seems largely beyond our control whether those risks indeed eventuate. </w:t>
      </w:r>
      <w:r w:rsidR="00B46F77">
        <w:rPr>
          <w:rFonts w:ascii="Garamond" w:hAnsi="Garamond"/>
        </w:rPr>
        <w:t xml:space="preserve">Indeed, one might say that we are only in control of whether or not we risk transmitting the virus, since whether it results in death is too far beyond our control to be relevantly tied to our actions. </w:t>
      </w:r>
      <w:r w:rsidR="001826D4">
        <w:rPr>
          <w:rFonts w:ascii="Garamond" w:hAnsi="Garamond"/>
        </w:rPr>
        <w:t xml:space="preserve">But again, we do not reason this way in cases of gunshot wounds, car crashes, and other instances where the harm may or may not prove lethal. </w:t>
      </w:r>
      <w:r w:rsidR="00DC60A8">
        <w:rPr>
          <w:rFonts w:ascii="Garamond" w:hAnsi="Garamond"/>
        </w:rPr>
        <w:t>I will say more about the role of moral luck later, but it wil</w:t>
      </w:r>
      <w:r w:rsidR="001826D4">
        <w:rPr>
          <w:rFonts w:ascii="Garamond" w:hAnsi="Garamond"/>
        </w:rPr>
        <w:t>l suffice here to note that these worries do</w:t>
      </w:r>
      <w:r w:rsidR="00DC60A8">
        <w:rPr>
          <w:rFonts w:ascii="Garamond" w:hAnsi="Garamond"/>
        </w:rPr>
        <w:t xml:space="preserve"> not directly affect whether the act is one of </w:t>
      </w:r>
      <w:r w:rsidR="00DC60A8">
        <w:rPr>
          <w:rFonts w:ascii="Garamond" w:hAnsi="Garamond"/>
          <w:i/>
        </w:rPr>
        <w:t xml:space="preserve">killing </w:t>
      </w:r>
      <w:r w:rsidR="00DC60A8">
        <w:rPr>
          <w:rFonts w:ascii="Garamond" w:hAnsi="Garamond"/>
        </w:rPr>
        <w:t xml:space="preserve">or not—though it may be relevant in our assessments </w:t>
      </w:r>
      <w:r w:rsidR="008A7BAB">
        <w:rPr>
          <w:rFonts w:ascii="Garamond" w:hAnsi="Garamond"/>
        </w:rPr>
        <w:t>of whether the act is wrongful (</w:t>
      </w:r>
      <w:r w:rsidR="00DC60A8">
        <w:rPr>
          <w:rFonts w:ascii="Garamond" w:hAnsi="Garamond"/>
        </w:rPr>
        <w:t xml:space="preserve">though, as I will argue, </w:t>
      </w:r>
      <w:r w:rsidR="008A7BAB">
        <w:rPr>
          <w:rFonts w:ascii="Garamond" w:hAnsi="Garamond"/>
        </w:rPr>
        <w:t xml:space="preserve">there are reasons to </w:t>
      </w:r>
      <w:r w:rsidR="00DC60A8">
        <w:rPr>
          <w:rFonts w:ascii="Garamond" w:hAnsi="Garamond"/>
        </w:rPr>
        <w:t>doubt this</w:t>
      </w:r>
      <w:r w:rsidR="008A7BAB">
        <w:rPr>
          <w:rFonts w:ascii="Garamond" w:hAnsi="Garamond"/>
        </w:rPr>
        <w:t xml:space="preserve"> is true in general), </w:t>
      </w:r>
      <w:r w:rsidR="00DC60A8">
        <w:rPr>
          <w:rFonts w:ascii="Garamond" w:hAnsi="Garamond"/>
        </w:rPr>
        <w:t>as wel</w:t>
      </w:r>
      <w:r w:rsidR="00E84D1F">
        <w:rPr>
          <w:rFonts w:ascii="Garamond" w:hAnsi="Garamond"/>
        </w:rPr>
        <w:t>l as whether one is blameworthy</w:t>
      </w:r>
      <w:r w:rsidR="00DC60A8">
        <w:rPr>
          <w:rFonts w:ascii="Garamond" w:hAnsi="Garamond"/>
        </w:rPr>
        <w:t xml:space="preserve">. </w:t>
      </w:r>
    </w:p>
    <w:p w14:paraId="66D0125C" w14:textId="114EB266" w:rsidR="00C60BA3" w:rsidRDefault="00E84D1F" w:rsidP="00BE178B">
      <w:pPr>
        <w:spacing w:line="480" w:lineRule="auto"/>
        <w:ind w:firstLine="720"/>
        <w:rPr>
          <w:rFonts w:ascii="Garamond" w:hAnsi="Garamond"/>
        </w:rPr>
      </w:pPr>
      <w:r>
        <w:rPr>
          <w:rFonts w:ascii="Garamond" w:hAnsi="Garamond"/>
        </w:rPr>
        <w:t>This</w:t>
      </w:r>
      <w:r w:rsidR="00C60BA3" w:rsidRPr="004A06E9">
        <w:rPr>
          <w:rFonts w:ascii="Garamond" w:hAnsi="Garamond"/>
        </w:rPr>
        <w:t xml:space="preserve"> </w:t>
      </w:r>
      <w:r w:rsidR="00E1707D">
        <w:rPr>
          <w:rFonts w:ascii="Garamond" w:hAnsi="Garamond"/>
        </w:rPr>
        <w:t>point</w:t>
      </w:r>
      <w:r>
        <w:rPr>
          <w:rFonts w:ascii="Garamond" w:hAnsi="Garamond"/>
        </w:rPr>
        <w:t xml:space="preserve"> about killing</w:t>
      </w:r>
      <w:r w:rsidR="00C60BA3" w:rsidRPr="004A06E9">
        <w:rPr>
          <w:rFonts w:ascii="Garamond" w:hAnsi="Garamond"/>
        </w:rPr>
        <w:t xml:space="preserve"> is not purely</w:t>
      </w:r>
      <w:r w:rsidR="00E1707D">
        <w:rPr>
          <w:rFonts w:ascii="Garamond" w:hAnsi="Garamond"/>
        </w:rPr>
        <w:t xml:space="preserve"> semantic; i</w:t>
      </w:r>
      <w:r w:rsidR="00C60BA3">
        <w:rPr>
          <w:rFonts w:ascii="Garamond" w:hAnsi="Garamond"/>
        </w:rPr>
        <w:t xml:space="preserve">t concerns our most central moral obligations. </w:t>
      </w:r>
      <w:r w:rsidR="00C60BA3" w:rsidRPr="004A06E9">
        <w:rPr>
          <w:rFonts w:ascii="Garamond" w:hAnsi="Garamond"/>
        </w:rPr>
        <w:t xml:space="preserve">As Helen </w:t>
      </w:r>
      <w:proofErr w:type="spellStart"/>
      <w:r w:rsidR="00C60BA3" w:rsidRPr="004A06E9">
        <w:rPr>
          <w:rFonts w:ascii="Garamond" w:hAnsi="Garamond"/>
        </w:rPr>
        <w:t>Frowe</w:t>
      </w:r>
      <w:proofErr w:type="spellEnd"/>
      <w:r w:rsidR="00C60BA3" w:rsidRPr="004A06E9">
        <w:rPr>
          <w:rFonts w:ascii="Garamond" w:hAnsi="Garamond"/>
        </w:rPr>
        <w:t xml:space="preserve"> recently put it, “I do not save your life if I do not infect you with Covid-19. Rather, I refrain from harming you. And the costs that I may be required to </w:t>
      </w:r>
      <w:r w:rsidR="00C60BA3" w:rsidRPr="004A06E9">
        <w:rPr>
          <w:rFonts w:ascii="Garamond" w:hAnsi="Garamond"/>
        </w:rPr>
        <w:lastRenderedPageBreak/>
        <w:t>bear to refrain from harming you are considerably greater than the costs that I may be required to bear to save you.”</w:t>
      </w:r>
      <w:r w:rsidR="00C60BA3" w:rsidRPr="004A06E9">
        <w:rPr>
          <w:rStyle w:val="EndnoteReference"/>
          <w:rFonts w:ascii="Garamond" w:hAnsi="Garamond"/>
        </w:rPr>
        <w:endnoteReference w:id="11"/>
      </w:r>
      <w:r w:rsidR="00C60BA3" w:rsidRPr="004A06E9">
        <w:rPr>
          <w:rFonts w:ascii="Garamond" w:hAnsi="Garamond"/>
        </w:rPr>
        <w:t xml:space="preserve"> </w:t>
      </w:r>
      <w:proofErr w:type="spellStart"/>
      <w:r w:rsidR="00C60BA3" w:rsidRPr="004A06E9">
        <w:rPr>
          <w:rFonts w:ascii="Garamond" w:hAnsi="Garamond"/>
        </w:rPr>
        <w:t>Frowe’s</w:t>
      </w:r>
      <w:proofErr w:type="spellEnd"/>
      <w:r w:rsidR="00C60BA3" w:rsidRPr="004A06E9">
        <w:rPr>
          <w:rFonts w:ascii="Garamond" w:hAnsi="Garamond"/>
        </w:rPr>
        <w:t xml:space="preserve"> point is based in the familiar distinction, central to common-sense morality, between </w:t>
      </w:r>
      <w:r w:rsidR="00C60BA3" w:rsidRPr="004A06E9">
        <w:rPr>
          <w:rFonts w:ascii="Garamond" w:hAnsi="Garamond"/>
          <w:i/>
        </w:rPr>
        <w:t>doing</w:t>
      </w:r>
      <w:r w:rsidR="00C60BA3" w:rsidRPr="004A06E9">
        <w:rPr>
          <w:rFonts w:ascii="Garamond" w:hAnsi="Garamond"/>
        </w:rPr>
        <w:t xml:space="preserve"> and </w:t>
      </w:r>
      <w:r w:rsidR="00C60BA3" w:rsidRPr="004A06E9">
        <w:rPr>
          <w:rFonts w:ascii="Garamond" w:hAnsi="Garamond"/>
          <w:i/>
        </w:rPr>
        <w:t>allowing harm</w:t>
      </w:r>
      <w:r w:rsidR="00C60BA3" w:rsidRPr="004A06E9">
        <w:rPr>
          <w:rFonts w:ascii="Garamond" w:hAnsi="Garamond"/>
        </w:rPr>
        <w:t xml:space="preserve">: all else being equal, doing harm is morally worse, and harder to justify, than allowing </w:t>
      </w:r>
      <w:r w:rsidR="00C60BA3">
        <w:rPr>
          <w:rFonts w:ascii="Garamond" w:hAnsi="Garamond"/>
        </w:rPr>
        <w:t xml:space="preserve">that same </w:t>
      </w:r>
      <w:r w:rsidR="00C60BA3" w:rsidRPr="004A06E9">
        <w:rPr>
          <w:rFonts w:ascii="Garamond" w:hAnsi="Garamond"/>
        </w:rPr>
        <w:t xml:space="preserve">harm. </w:t>
      </w:r>
      <w:r w:rsidR="00C60BA3">
        <w:rPr>
          <w:rFonts w:ascii="Garamond" w:hAnsi="Garamond"/>
        </w:rPr>
        <w:t>And t</w:t>
      </w:r>
      <w:r w:rsidR="00C60BA3" w:rsidRPr="004A06E9">
        <w:rPr>
          <w:rFonts w:ascii="Garamond" w:hAnsi="Garamond"/>
        </w:rPr>
        <w:t xml:space="preserve">his means that </w:t>
      </w:r>
      <w:r w:rsidR="00C60BA3" w:rsidRPr="004A06E9">
        <w:rPr>
          <w:rFonts w:ascii="Garamond" w:hAnsi="Garamond"/>
          <w:i/>
        </w:rPr>
        <w:t>not doing</w:t>
      </w:r>
      <w:r w:rsidR="00C60BA3" w:rsidRPr="004A06E9">
        <w:rPr>
          <w:rFonts w:ascii="Garamond" w:hAnsi="Garamond"/>
        </w:rPr>
        <w:t xml:space="preserve"> harm is a more stringent moral requirement than </w:t>
      </w:r>
      <w:r w:rsidR="00C60BA3" w:rsidRPr="004A06E9">
        <w:rPr>
          <w:rFonts w:ascii="Garamond" w:hAnsi="Garamond"/>
          <w:i/>
        </w:rPr>
        <w:t xml:space="preserve">not allowing </w:t>
      </w:r>
      <w:r w:rsidR="00C60BA3" w:rsidRPr="004A06E9">
        <w:rPr>
          <w:rFonts w:ascii="Garamond" w:hAnsi="Garamond"/>
        </w:rPr>
        <w:t>harm. In other words, while we do indeed have an obligation to save lives (i.e. by not allowing harm), it is in general much weaker than our obligation to</w:t>
      </w:r>
      <w:r w:rsidR="00C60BA3">
        <w:rPr>
          <w:rFonts w:ascii="Garamond" w:hAnsi="Garamond"/>
        </w:rPr>
        <w:t xml:space="preserve"> not</w:t>
      </w:r>
      <w:r w:rsidR="00C60BA3" w:rsidRPr="004A06E9">
        <w:rPr>
          <w:rFonts w:ascii="Garamond" w:hAnsi="Garamond"/>
        </w:rPr>
        <w:t xml:space="preserve"> actively harm people. There are, therefore, cases in which I am forbidden from actively harming someone, even at great cost to myself; and yet taking on the very same cost in order to save them from the very same harm would be supererogatory. </w:t>
      </w:r>
      <w:r w:rsidR="00C60BA3">
        <w:rPr>
          <w:rFonts w:ascii="Garamond" w:hAnsi="Garamond"/>
        </w:rPr>
        <w:t>For example, I am forbidden from killing an innocent person in order to prevent serious injury to myself, but I am not required to accept serious injury to myself in order to save an innocent person from death by some other means.</w:t>
      </w:r>
    </w:p>
    <w:p w14:paraId="5FE6BCFF" w14:textId="5A981496" w:rsidR="001B097D" w:rsidRDefault="00C60BA3" w:rsidP="001B097D">
      <w:pPr>
        <w:spacing w:line="480" w:lineRule="auto"/>
        <w:ind w:firstLine="720"/>
        <w:rPr>
          <w:rFonts w:ascii="Garamond" w:hAnsi="Garamond"/>
        </w:rPr>
      </w:pPr>
      <w:r w:rsidRPr="004A06E9">
        <w:rPr>
          <w:rFonts w:ascii="Garamond" w:hAnsi="Garamond"/>
        </w:rPr>
        <w:t>This</w:t>
      </w:r>
      <w:r>
        <w:rPr>
          <w:rFonts w:ascii="Garamond" w:hAnsi="Garamond"/>
        </w:rPr>
        <w:t xml:space="preserve"> distinction</w:t>
      </w:r>
      <w:r w:rsidRPr="004A06E9">
        <w:rPr>
          <w:rFonts w:ascii="Garamond" w:hAnsi="Garamond"/>
        </w:rPr>
        <w:t xml:space="preserve"> has implications for the various public health mandates I mentioned earlier. It is perhaps more likely, especially in liberal countries like the U.S., that the government will succeed in achieving broad compliance with its mandates by presenting them as </w:t>
      </w:r>
      <w:r>
        <w:rPr>
          <w:rFonts w:ascii="Garamond" w:hAnsi="Garamond"/>
        </w:rPr>
        <w:t xml:space="preserve">voluntary (and thus, </w:t>
      </w:r>
      <w:r w:rsidRPr="004A06E9">
        <w:rPr>
          <w:rFonts w:ascii="Garamond" w:hAnsi="Garamond"/>
        </w:rPr>
        <w:t>supererogatory</w:t>
      </w:r>
      <w:r>
        <w:rPr>
          <w:rFonts w:ascii="Garamond" w:hAnsi="Garamond"/>
        </w:rPr>
        <w:t>)</w:t>
      </w:r>
      <w:r w:rsidRPr="004A06E9">
        <w:rPr>
          <w:rFonts w:ascii="Garamond" w:hAnsi="Garamond"/>
        </w:rPr>
        <w:t>, rather than using the language of moral obligation</w:t>
      </w:r>
      <w:r w:rsidR="005644A1">
        <w:rPr>
          <w:rFonts w:ascii="Garamond" w:hAnsi="Garamond"/>
        </w:rPr>
        <w:t>—even though this establishes a confusing and, in my view, false narrative</w:t>
      </w:r>
      <w:r w:rsidRPr="004A06E9">
        <w:rPr>
          <w:rFonts w:ascii="Garamond" w:hAnsi="Garamond"/>
        </w:rPr>
        <w:t>. But the flip side</w:t>
      </w:r>
      <w:r>
        <w:rPr>
          <w:rFonts w:ascii="Garamond" w:hAnsi="Garamond"/>
        </w:rPr>
        <w:t xml:space="preserve"> of this </w:t>
      </w:r>
      <w:r w:rsidRPr="004A06E9">
        <w:rPr>
          <w:rFonts w:ascii="Garamond" w:hAnsi="Garamond"/>
        </w:rPr>
        <w:t xml:space="preserve">is that treating </w:t>
      </w:r>
      <w:r>
        <w:rPr>
          <w:rFonts w:ascii="Garamond" w:hAnsi="Garamond"/>
        </w:rPr>
        <w:t>such mandates</w:t>
      </w:r>
      <w:r w:rsidRPr="004A06E9">
        <w:rPr>
          <w:rFonts w:ascii="Garamond" w:hAnsi="Garamond"/>
        </w:rPr>
        <w:t xml:space="preserve"> as </w:t>
      </w:r>
      <w:r>
        <w:rPr>
          <w:rFonts w:ascii="Garamond" w:hAnsi="Garamond"/>
        </w:rPr>
        <w:t xml:space="preserve">though they are </w:t>
      </w:r>
      <w:r w:rsidRPr="004A06E9">
        <w:rPr>
          <w:rFonts w:ascii="Garamond" w:hAnsi="Garamond"/>
        </w:rPr>
        <w:t>morally optional means that many will decline to comply, and will do so with the plausible (though mistaken) cover of moral permissibility.</w:t>
      </w:r>
      <w:r>
        <w:rPr>
          <w:rFonts w:ascii="Garamond" w:hAnsi="Garamond"/>
        </w:rPr>
        <w:t xml:space="preserve"> If, for example, self-isolating is an act of saving lives, and saving lives is essentially morally optional, then it is no surprise that some might see the cost as too great to accept—and </w:t>
      </w:r>
      <w:r w:rsidR="00DC4901">
        <w:rPr>
          <w:rFonts w:ascii="Garamond" w:hAnsi="Garamond"/>
        </w:rPr>
        <w:t xml:space="preserve">a government that demands compliance as overreaching. </w:t>
      </w:r>
    </w:p>
    <w:p w14:paraId="782267BD" w14:textId="0A676F3F" w:rsidR="00A75636" w:rsidRPr="004A06E9" w:rsidRDefault="001B097D" w:rsidP="00BE178B">
      <w:pPr>
        <w:spacing w:line="480" w:lineRule="auto"/>
        <w:rPr>
          <w:rFonts w:ascii="Garamond" w:hAnsi="Garamond"/>
        </w:rPr>
      </w:pPr>
      <w:r>
        <w:rPr>
          <w:rFonts w:ascii="Garamond" w:hAnsi="Garamond"/>
        </w:rPr>
        <w:tab/>
      </w:r>
    </w:p>
    <w:p w14:paraId="36031962" w14:textId="78D534E2" w:rsidR="00C60BA3" w:rsidRPr="004A06E9" w:rsidRDefault="00C60BA3" w:rsidP="00BE178B">
      <w:pPr>
        <w:spacing w:line="480" w:lineRule="auto"/>
        <w:jc w:val="center"/>
        <w:rPr>
          <w:rFonts w:ascii="Garamond" w:hAnsi="Garamond"/>
        </w:rPr>
      </w:pPr>
      <w:r>
        <w:rPr>
          <w:rFonts w:ascii="Garamond" w:hAnsi="Garamond"/>
        </w:rPr>
        <w:t>3</w:t>
      </w:r>
      <w:r w:rsidRPr="004A06E9">
        <w:rPr>
          <w:rFonts w:ascii="Garamond" w:hAnsi="Garamond"/>
        </w:rPr>
        <w:t>.</w:t>
      </w:r>
    </w:p>
    <w:p w14:paraId="4728E147" w14:textId="2B304689" w:rsidR="00C60BA3" w:rsidRDefault="00C60BA3" w:rsidP="00BE178B">
      <w:pPr>
        <w:spacing w:line="480" w:lineRule="auto"/>
        <w:rPr>
          <w:rFonts w:ascii="Garamond" w:hAnsi="Garamond"/>
        </w:rPr>
      </w:pPr>
      <w:r>
        <w:rPr>
          <w:rFonts w:ascii="Garamond" w:hAnsi="Garamond"/>
        </w:rPr>
        <w:lastRenderedPageBreak/>
        <w:t xml:space="preserve">Transmitting the virus, even unintentionally, to someone who later dies from it is an act of </w:t>
      </w:r>
      <w:r>
        <w:rPr>
          <w:rFonts w:ascii="Garamond" w:hAnsi="Garamond"/>
          <w:i/>
        </w:rPr>
        <w:t>killing</w:t>
      </w:r>
      <w:r>
        <w:rPr>
          <w:rFonts w:ascii="Garamond" w:hAnsi="Garamond"/>
        </w:rPr>
        <w:t>. But not all killings are wrongful.</w:t>
      </w:r>
      <w:r w:rsidR="00814249">
        <w:rPr>
          <w:rStyle w:val="EndnoteReference"/>
          <w:rFonts w:ascii="Garamond" w:hAnsi="Garamond"/>
        </w:rPr>
        <w:endnoteReference w:id="12"/>
      </w:r>
      <w:r>
        <w:rPr>
          <w:rFonts w:ascii="Garamond" w:hAnsi="Garamond"/>
        </w:rPr>
        <w:t xml:space="preserve"> </w:t>
      </w:r>
    </w:p>
    <w:p w14:paraId="46E35FAA" w14:textId="20296EF1" w:rsidR="00C60BA3" w:rsidRDefault="00C60BA3" w:rsidP="00BE178B">
      <w:pPr>
        <w:spacing w:line="480" w:lineRule="auto"/>
        <w:ind w:firstLine="720"/>
        <w:rPr>
          <w:rFonts w:ascii="Garamond" w:hAnsi="Garamond"/>
        </w:rPr>
      </w:pPr>
      <w:r>
        <w:rPr>
          <w:rFonts w:ascii="Garamond" w:hAnsi="Garamond"/>
        </w:rPr>
        <w:t>Killing can be justified when the goods achieved substantially outweigh the harms caused (subject to certain conditions)—what is called a ‘lesser-evil’ justification. This applies to select cases of unintentional transmission. Consider the frontline healthcare workers whose efforts prevented countless deaths; the scientists who risked transmitting the virus while pursuing vaccine research; and the work of various other relevant emergency services personnel</w:t>
      </w:r>
      <w:r w:rsidR="009E55C8">
        <w:rPr>
          <w:rFonts w:ascii="Garamond" w:hAnsi="Garamond"/>
        </w:rPr>
        <w:t>, such as police officers and EMTs</w:t>
      </w:r>
      <w:r>
        <w:rPr>
          <w:rFonts w:ascii="Garamond" w:hAnsi="Garamond"/>
        </w:rPr>
        <w:t>.</w:t>
      </w:r>
      <w:r w:rsidR="0093656E">
        <w:rPr>
          <w:rStyle w:val="EndnoteReference"/>
          <w:rFonts w:ascii="Garamond" w:hAnsi="Garamond"/>
        </w:rPr>
        <w:endnoteReference w:id="13"/>
      </w:r>
      <w:r>
        <w:rPr>
          <w:rFonts w:ascii="Garamond" w:hAnsi="Garamond"/>
        </w:rPr>
        <w:t xml:space="preserve"> Some of thos</w:t>
      </w:r>
      <w:r w:rsidR="00E84D1F">
        <w:rPr>
          <w:rFonts w:ascii="Garamond" w:hAnsi="Garamond"/>
        </w:rPr>
        <w:t xml:space="preserve">e performing this work may have, </w:t>
      </w:r>
      <w:r>
        <w:rPr>
          <w:rFonts w:ascii="Garamond" w:hAnsi="Garamond"/>
        </w:rPr>
        <w:t xml:space="preserve">in the course of their work, </w:t>
      </w:r>
      <w:r w:rsidR="00E84D1F">
        <w:rPr>
          <w:rFonts w:ascii="Garamond" w:hAnsi="Garamond"/>
        </w:rPr>
        <w:t>unintentionally transmitted the virus</w:t>
      </w:r>
      <w:r>
        <w:rPr>
          <w:rFonts w:ascii="Garamond" w:hAnsi="Garamond"/>
        </w:rPr>
        <w:t xml:space="preserve"> to others who ultimately died. But when this work was necessary for preventing many more (or worse) harms and deaths, the resulting unintentional killings </w:t>
      </w:r>
      <w:r w:rsidR="00E84D1F">
        <w:rPr>
          <w:rFonts w:ascii="Garamond" w:hAnsi="Garamond"/>
        </w:rPr>
        <w:t>may be</w:t>
      </w:r>
      <w:r w:rsidR="00DC60A8">
        <w:rPr>
          <w:rFonts w:ascii="Garamond" w:hAnsi="Garamond"/>
        </w:rPr>
        <w:t xml:space="preserve"> </w:t>
      </w:r>
      <w:r>
        <w:rPr>
          <w:rFonts w:ascii="Garamond" w:hAnsi="Garamond"/>
        </w:rPr>
        <w:t>justified as a side-effect of pursuing a more valuable good, at least taken in aggregate.</w:t>
      </w:r>
      <w:r>
        <w:rPr>
          <w:rStyle w:val="EndnoteReference"/>
          <w:rFonts w:ascii="Garamond" w:hAnsi="Garamond"/>
        </w:rPr>
        <w:endnoteReference w:id="14"/>
      </w:r>
      <w:r>
        <w:rPr>
          <w:rFonts w:ascii="Garamond" w:hAnsi="Garamond"/>
        </w:rPr>
        <w:t xml:space="preserve"> </w:t>
      </w:r>
    </w:p>
    <w:p w14:paraId="283633AC" w14:textId="3CF257D8" w:rsidR="00C60BA3" w:rsidRDefault="00C60BA3" w:rsidP="00BE178B">
      <w:pPr>
        <w:spacing w:line="480" w:lineRule="auto"/>
        <w:rPr>
          <w:rFonts w:ascii="Garamond" w:hAnsi="Garamond"/>
        </w:rPr>
      </w:pPr>
      <w:r>
        <w:rPr>
          <w:rFonts w:ascii="Garamond" w:hAnsi="Garamond"/>
        </w:rPr>
        <w:tab/>
        <w:t>Some might also claim that unintentional transmission is not wrongful when one could not possibly have avoided infecting another person. The clearest cases of this involve those who are restricted to particular locations, such as many of those housed in long-term care facilities and the incarcerated. In both cases, mask availability and compliance, cleanliness of shared spaces, and their ability to avoid interactions with others are almost entirely beyond their control. In such cases, killings might be thought to be non-wrongful.</w:t>
      </w:r>
    </w:p>
    <w:p w14:paraId="2D90E15F" w14:textId="65FFC304" w:rsidR="00C60BA3" w:rsidRPr="009A7915" w:rsidRDefault="00C60BA3" w:rsidP="00BE178B">
      <w:pPr>
        <w:spacing w:line="480" w:lineRule="auto"/>
        <w:ind w:firstLine="720"/>
        <w:rPr>
          <w:rFonts w:ascii="Garamond" w:hAnsi="Garamond"/>
        </w:rPr>
      </w:pPr>
      <w:r>
        <w:rPr>
          <w:rFonts w:ascii="Garamond" w:hAnsi="Garamond"/>
        </w:rPr>
        <w:t xml:space="preserve">I am not primarily concerned here with cases in which transmission is either justified or unavoidable. Instead, I want to focus on the much more ordinary scenarios that capture the majority of cases of unintentional transmission, which </w:t>
      </w:r>
      <w:r w:rsidR="0005615E">
        <w:rPr>
          <w:rFonts w:ascii="Garamond" w:hAnsi="Garamond"/>
        </w:rPr>
        <w:t xml:space="preserve">generally have the following features. First, </w:t>
      </w:r>
      <w:r w:rsidR="0005615E" w:rsidRPr="0005615E">
        <w:rPr>
          <w:rFonts w:ascii="Garamond" w:hAnsi="Garamond"/>
        </w:rPr>
        <w:t>o</w:t>
      </w:r>
      <w:r w:rsidRPr="0005615E">
        <w:rPr>
          <w:rFonts w:ascii="Garamond" w:hAnsi="Garamond"/>
        </w:rPr>
        <w:t>n</w:t>
      </w:r>
      <w:r w:rsidR="002962DB" w:rsidRPr="0005615E">
        <w:rPr>
          <w:rFonts w:ascii="Garamond" w:hAnsi="Garamond"/>
        </w:rPr>
        <w:t xml:space="preserve">e is </w:t>
      </w:r>
      <w:r w:rsidR="002814BA" w:rsidRPr="0005615E">
        <w:rPr>
          <w:rFonts w:ascii="Garamond" w:hAnsi="Garamond"/>
        </w:rPr>
        <w:t xml:space="preserve">either </w:t>
      </w:r>
      <w:r w:rsidR="002962DB" w:rsidRPr="0005615E">
        <w:rPr>
          <w:rFonts w:ascii="Garamond" w:hAnsi="Garamond"/>
        </w:rPr>
        <w:t xml:space="preserve">a potentially asymptomatic </w:t>
      </w:r>
      <w:r w:rsidRPr="0005615E">
        <w:rPr>
          <w:rFonts w:ascii="Garamond" w:hAnsi="Garamond"/>
        </w:rPr>
        <w:t xml:space="preserve">carrier, </w:t>
      </w:r>
      <w:r w:rsidR="002814BA" w:rsidRPr="0005615E">
        <w:rPr>
          <w:rFonts w:ascii="Garamond" w:hAnsi="Garamond"/>
        </w:rPr>
        <w:t xml:space="preserve">or is only minimally symptomatic, </w:t>
      </w:r>
      <w:r w:rsidRPr="0005615E">
        <w:rPr>
          <w:rFonts w:ascii="Garamond" w:hAnsi="Garamond"/>
        </w:rPr>
        <w:t>but does not knowingly carry the virus.</w:t>
      </w:r>
      <w:r>
        <w:rPr>
          <w:rFonts w:ascii="Garamond" w:hAnsi="Garamond"/>
          <w:b/>
        </w:rPr>
        <w:t xml:space="preserve"> </w:t>
      </w:r>
      <w:r w:rsidR="00640937">
        <w:rPr>
          <w:rFonts w:ascii="Garamond" w:hAnsi="Garamond"/>
        </w:rPr>
        <w:t>Those who</w:t>
      </w:r>
      <w:r w:rsidR="002814BA">
        <w:rPr>
          <w:rFonts w:ascii="Garamond" w:hAnsi="Garamond"/>
        </w:rPr>
        <w:t xml:space="preserve"> exhibit significant symptoms</w:t>
      </w:r>
      <w:r w:rsidR="00640937">
        <w:rPr>
          <w:rFonts w:ascii="Garamond" w:hAnsi="Garamond"/>
        </w:rPr>
        <w:t xml:space="preserve"> are therefore excluded (as their negligence puts them in a separate category)</w:t>
      </w:r>
      <w:r>
        <w:rPr>
          <w:rFonts w:ascii="Garamond" w:hAnsi="Garamond"/>
        </w:rPr>
        <w:t>.</w:t>
      </w:r>
      <w:r w:rsidR="00640937">
        <w:rPr>
          <w:rStyle w:val="EndnoteReference"/>
          <w:rFonts w:ascii="Garamond" w:hAnsi="Garamond"/>
        </w:rPr>
        <w:endnoteReference w:id="15"/>
      </w:r>
      <w:r>
        <w:rPr>
          <w:rFonts w:ascii="Garamond" w:hAnsi="Garamond"/>
        </w:rPr>
        <w:t xml:space="preserve"> </w:t>
      </w:r>
      <w:r w:rsidR="0005615E">
        <w:rPr>
          <w:rFonts w:ascii="Garamond" w:hAnsi="Garamond"/>
        </w:rPr>
        <w:lastRenderedPageBreak/>
        <w:t xml:space="preserve">(Those who are mistaken about their immunity are, however, included.) </w:t>
      </w:r>
      <w:r w:rsidR="0005615E" w:rsidRPr="0005615E">
        <w:rPr>
          <w:rFonts w:ascii="Garamond" w:hAnsi="Garamond"/>
        </w:rPr>
        <w:t>Second, o</w:t>
      </w:r>
      <w:r w:rsidRPr="0005615E">
        <w:rPr>
          <w:rFonts w:ascii="Garamond" w:hAnsi="Garamond"/>
        </w:rPr>
        <w:t>ne is in sufficiently close proximity with others who are vulnerable to infection.</w:t>
      </w:r>
      <w:r w:rsidRPr="009A7915">
        <w:rPr>
          <w:rFonts w:ascii="Garamond" w:hAnsi="Garamond"/>
          <w:b/>
        </w:rPr>
        <w:t xml:space="preserve"> </w:t>
      </w:r>
      <w:r>
        <w:rPr>
          <w:rFonts w:ascii="Garamond" w:hAnsi="Garamond"/>
        </w:rPr>
        <w:t xml:space="preserve">Those who are in </w:t>
      </w:r>
      <w:r w:rsidR="0005615E">
        <w:rPr>
          <w:rFonts w:ascii="Garamond" w:hAnsi="Garamond"/>
        </w:rPr>
        <w:t>total</w:t>
      </w:r>
      <w:r>
        <w:rPr>
          <w:rFonts w:ascii="Garamond" w:hAnsi="Garamond"/>
        </w:rPr>
        <w:t xml:space="preserve"> isolation, or only interact with those in the previous group</w:t>
      </w:r>
      <w:r w:rsidR="0005615E">
        <w:rPr>
          <w:rFonts w:ascii="Garamond" w:hAnsi="Garamond"/>
        </w:rPr>
        <w:t xml:space="preserve"> (e.g. fully closed ‘bubbles’)</w:t>
      </w:r>
      <w:r>
        <w:rPr>
          <w:rFonts w:ascii="Garamond" w:hAnsi="Garamond"/>
        </w:rPr>
        <w:t>, are therefore excluded</w:t>
      </w:r>
      <w:r w:rsidR="0005615E">
        <w:rPr>
          <w:rFonts w:ascii="Garamond" w:hAnsi="Garamond"/>
        </w:rPr>
        <w:t>, as they do not risk transmission—though this group is likely to be exceptionally rare</w:t>
      </w:r>
      <w:r>
        <w:rPr>
          <w:rFonts w:ascii="Garamond" w:hAnsi="Garamond"/>
        </w:rPr>
        <w:t>.</w:t>
      </w:r>
      <w:r w:rsidR="00397634">
        <w:rPr>
          <w:rFonts w:ascii="Garamond" w:hAnsi="Garamond"/>
        </w:rPr>
        <w:t xml:space="preserve"> </w:t>
      </w:r>
      <w:r w:rsidR="0005615E">
        <w:rPr>
          <w:rFonts w:ascii="Garamond" w:hAnsi="Garamond"/>
        </w:rPr>
        <w:t xml:space="preserve">Finally, the cases we are interested in involve </w:t>
      </w:r>
      <w:r w:rsidRPr="0005615E">
        <w:rPr>
          <w:rFonts w:ascii="Garamond" w:hAnsi="Garamond"/>
        </w:rPr>
        <w:t xml:space="preserve">voluntary </w:t>
      </w:r>
      <w:r w:rsidR="00B52B5F">
        <w:rPr>
          <w:rFonts w:ascii="Garamond" w:hAnsi="Garamond"/>
        </w:rPr>
        <w:t>actions</w:t>
      </w:r>
      <w:r w:rsidR="0005615E" w:rsidRPr="0005615E">
        <w:rPr>
          <w:rFonts w:ascii="Garamond" w:hAnsi="Garamond"/>
        </w:rPr>
        <w:t xml:space="preserve">, </w:t>
      </w:r>
      <w:r w:rsidRPr="0005615E">
        <w:rPr>
          <w:rFonts w:ascii="Garamond" w:hAnsi="Garamond"/>
        </w:rPr>
        <w:t>both in terms of being autonomously chosen and (in some sense) morally optional.</w:t>
      </w:r>
      <w:r w:rsidR="00B52B5F">
        <w:rPr>
          <w:rStyle w:val="EndnoteReference"/>
          <w:rFonts w:ascii="Garamond" w:hAnsi="Garamond"/>
        </w:rPr>
        <w:endnoteReference w:id="16"/>
      </w:r>
      <w:r>
        <w:rPr>
          <w:rFonts w:ascii="Garamond" w:hAnsi="Garamond"/>
        </w:rPr>
        <w:t xml:space="preserve"> Giving a full account of voluntariness is beyond the scope of the paper. I rely here only on a common-sense notion of voluntariness, which captures cases where individuals willingly enter or remain in risky venues without sufficient moral necessity.</w:t>
      </w:r>
      <w:r w:rsidR="002814BA">
        <w:rPr>
          <w:rStyle w:val="EndnoteReference"/>
          <w:rFonts w:ascii="Garamond" w:hAnsi="Garamond"/>
        </w:rPr>
        <w:endnoteReference w:id="17"/>
      </w:r>
      <w:r>
        <w:rPr>
          <w:rFonts w:ascii="Garamond" w:hAnsi="Garamond"/>
        </w:rPr>
        <w:t xml:space="preserve"> Cases where individuals are in some sense forced or coerced into risky encounters (whether physically or due to sufficiently compelling moral reasons) are excluded. Many</w:t>
      </w:r>
      <w:r w:rsidRPr="009A7915">
        <w:rPr>
          <w:rFonts w:ascii="Garamond" w:hAnsi="Garamond"/>
        </w:rPr>
        <w:t xml:space="preserve"> encounters, such as those involving workers in precarious </w:t>
      </w:r>
      <w:r>
        <w:rPr>
          <w:rFonts w:ascii="Garamond" w:hAnsi="Garamond"/>
        </w:rPr>
        <w:t xml:space="preserve">economic </w:t>
      </w:r>
      <w:r w:rsidRPr="009A7915">
        <w:rPr>
          <w:rFonts w:ascii="Garamond" w:hAnsi="Garamond"/>
        </w:rPr>
        <w:t>positions,</w:t>
      </w:r>
      <w:r>
        <w:rPr>
          <w:rFonts w:ascii="Garamond" w:hAnsi="Garamond"/>
        </w:rPr>
        <w:t xml:space="preserve"> or those facing various social pressures, legal requirements, enormous practical hurdles, and so on</w:t>
      </w:r>
      <w:r w:rsidRPr="009A7915">
        <w:rPr>
          <w:rFonts w:ascii="Garamond" w:hAnsi="Garamond"/>
        </w:rPr>
        <w:t xml:space="preserve"> ought to be viewed as non-voluntary, </w:t>
      </w:r>
      <w:r>
        <w:rPr>
          <w:rFonts w:ascii="Garamond" w:hAnsi="Garamond"/>
        </w:rPr>
        <w:t xml:space="preserve">or at least of limited voluntariness; </w:t>
      </w:r>
      <w:r w:rsidRPr="009A7915">
        <w:rPr>
          <w:rFonts w:ascii="Garamond" w:hAnsi="Garamond"/>
        </w:rPr>
        <w:t>but this will dep</w:t>
      </w:r>
      <w:r>
        <w:rPr>
          <w:rFonts w:ascii="Garamond" w:hAnsi="Garamond"/>
        </w:rPr>
        <w:t>end heavily on the particulars of both the case and the more precise account of voluntariness one endorses.</w:t>
      </w:r>
    </w:p>
    <w:p w14:paraId="2BBFD568" w14:textId="3F1E0A44" w:rsidR="00C60BA3" w:rsidRDefault="00C60BA3" w:rsidP="00BE178B">
      <w:pPr>
        <w:spacing w:line="480" w:lineRule="auto"/>
        <w:rPr>
          <w:rFonts w:ascii="Garamond" w:hAnsi="Garamond"/>
        </w:rPr>
      </w:pPr>
      <w:r w:rsidRPr="00042A0B">
        <w:rPr>
          <w:rFonts w:ascii="Garamond" w:hAnsi="Garamond"/>
        </w:rPr>
        <w:t xml:space="preserve"> </w:t>
      </w:r>
      <w:r>
        <w:rPr>
          <w:rFonts w:ascii="Garamond" w:hAnsi="Garamond"/>
        </w:rPr>
        <w:tab/>
      </w:r>
      <w:r w:rsidRPr="00841B97">
        <w:rPr>
          <w:rFonts w:ascii="Garamond" w:hAnsi="Garamond"/>
        </w:rPr>
        <w:t>These conditions obtain</w:t>
      </w:r>
      <w:r>
        <w:rPr>
          <w:rFonts w:ascii="Garamond" w:hAnsi="Garamond"/>
        </w:rPr>
        <w:t xml:space="preserve"> most obviously</w:t>
      </w:r>
      <w:r w:rsidRPr="00841B97">
        <w:rPr>
          <w:rFonts w:ascii="Garamond" w:hAnsi="Garamond"/>
        </w:rPr>
        <w:t xml:space="preserve"> in </w:t>
      </w:r>
      <w:r>
        <w:rPr>
          <w:rFonts w:ascii="Garamond" w:hAnsi="Garamond"/>
        </w:rPr>
        <w:t xml:space="preserve">many </w:t>
      </w:r>
      <w:r w:rsidRPr="00841B97">
        <w:rPr>
          <w:rFonts w:ascii="Garamond" w:hAnsi="Garamond"/>
        </w:rPr>
        <w:t xml:space="preserve">ordinary settings: at stores, bars, and restaurants; in one’s </w:t>
      </w:r>
      <w:r>
        <w:rPr>
          <w:rFonts w:ascii="Garamond" w:hAnsi="Garamond"/>
        </w:rPr>
        <w:t xml:space="preserve">living space with a partner, </w:t>
      </w:r>
      <w:r w:rsidRPr="00841B97">
        <w:rPr>
          <w:rFonts w:ascii="Garamond" w:hAnsi="Garamond"/>
        </w:rPr>
        <w:t>roommate</w:t>
      </w:r>
      <w:r>
        <w:rPr>
          <w:rFonts w:ascii="Garamond" w:hAnsi="Garamond"/>
        </w:rPr>
        <w:t>, or family member</w:t>
      </w:r>
      <w:r w:rsidRPr="00841B97">
        <w:rPr>
          <w:rFonts w:ascii="Garamond" w:hAnsi="Garamond"/>
        </w:rPr>
        <w:t xml:space="preserve">; at one’s workplace; </w:t>
      </w:r>
      <w:r>
        <w:rPr>
          <w:rFonts w:ascii="Garamond" w:hAnsi="Garamond"/>
        </w:rPr>
        <w:t>and in a variety of other shared spaces, both public and private.</w:t>
      </w:r>
      <w:r>
        <w:rPr>
          <w:rStyle w:val="EndnoteReference"/>
          <w:rFonts w:ascii="Garamond" w:hAnsi="Garamond"/>
        </w:rPr>
        <w:endnoteReference w:id="18"/>
      </w:r>
      <w:r>
        <w:rPr>
          <w:rFonts w:ascii="Garamond" w:hAnsi="Garamond"/>
        </w:rPr>
        <w:t xml:space="preserve"> Call these the </w:t>
      </w:r>
      <w:r>
        <w:rPr>
          <w:rFonts w:ascii="Garamond" w:hAnsi="Garamond"/>
          <w:i/>
        </w:rPr>
        <w:t>ordinary cases</w:t>
      </w:r>
      <w:r>
        <w:rPr>
          <w:rFonts w:ascii="Garamond" w:hAnsi="Garamond"/>
        </w:rPr>
        <w:t xml:space="preserve">. I assume the default view for these cases is as follows. In the absence of special justification, killing is wrongful. These ordinary cases do not possess any special justification. Therefore, they, too, are wrongful. </w:t>
      </w:r>
      <w:r w:rsidR="005C79F9">
        <w:rPr>
          <w:rFonts w:ascii="Garamond" w:hAnsi="Garamond"/>
        </w:rPr>
        <w:t>(Of course, acts can be more or less wrongful; my concern here is only with whether or not they are wrongful, not how wrongful they are when compared with other wrongful acts.)</w:t>
      </w:r>
    </w:p>
    <w:p w14:paraId="15D677BD" w14:textId="6EB85BAC" w:rsidR="00C60BA3" w:rsidRDefault="00C60BA3" w:rsidP="00BE178B">
      <w:pPr>
        <w:spacing w:line="480" w:lineRule="auto"/>
        <w:ind w:firstLine="720"/>
        <w:rPr>
          <w:rFonts w:ascii="Garamond" w:hAnsi="Garamond"/>
        </w:rPr>
      </w:pPr>
      <w:r>
        <w:rPr>
          <w:rFonts w:ascii="Garamond" w:hAnsi="Garamond"/>
        </w:rPr>
        <w:lastRenderedPageBreak/>
        <w:t xml:space="preserve">Is the default view correct? Many will surely find it implausibly strong. In particular, one might emphasize that in these ordinary cases, individuals </w:t>
      </w:r>
      <w:r w:rsidRPr="00C6458C">
        <w:rPr>
          <w:rFonts w:ascii="Garamond" w:hAnsi="Garamond"/>
          <w:i/>
        </w:rPr>
        <w:t>voluntarily</w:t>
      </w:r>
      <w:r>
        <w:rPr>
          <w:rFonts w:ascii="Garamond" w:hAnsi="Garamond"/>
        </w:rPr>
        <w:t xml:space="preserve"> accept the risks inherent in being in close proximity with other potentially infected people. And when one voluntarily accepts such risks in this way, one thereby waives one’s rights against those harms, should they manifest, and is not wronged if they do. Of course, it is rare that one acquires an </w:t>
      </w:r>
      <w:r>
        <w:rPr>
          <w:rFonts w:ascii="Garamond" w:hAnsi="Garamond"/>
          <w:i/>
        </w:rPr>
        <w:t xml:space="preserve">explicit </w:t>
      </w:r>
      <w:r>
        <w:rPr>
          <w:rFonts w:ascii="Garamond" w:hAnsi="Garamond"/>
        </w:rPr>
        <w:t>waiver of rights—though this may occur in certain cases involving intimates, families, or others who openly discuss the terms of their interactions</w:t>
      </w:r>
      <w:r w:rsidR="00637A15">
        <w:rPr>
          <w:rFonts w:ascii="Garamond" w:hAnsi="Garamond"/>
        </w:rPr>
        <w:t>, as well as in some particular venues where explicit waiver is made conditional upon entry</w:t>
      </w:r>
      <w:r>
        <w:rPr>
          <w:rFonts w:ascii="Garamond" w:hAnsi="Garamond"/>
        </w:rPr>
        <w:t xml:space="preserve">. Most cases, however—particularly cases involving strangers—rely on a </w:t>
      </w:r>
      <w:r>
        <w:rPr>
          <w:rFonts w:ascii="Garamond" w:hAnsi="Garamond"/>
          <w:i/>
        </w:rPr>
        <w:t xml:space="preserve">tacit </w:t>
      </w:r>
      <w:r>
        <w:rPr>
          <w:rFonts w:ascii="Garamond" w:hAnsi="Garamond"/>
        </w:rPr>
        <w:t xml:space="preserve">or </w:t>
      </w:r>
      <w:r>
        <w:rPr>
          <w:rFonts w:ascii="Garamond" w:hAnsi="Garamond"/>
          <w:i/>
        </w:rPr>
        <w:t>implied</w:t>
      </w:r>
      <w:r>
        <w:rPr>
          <w:rFonts w:ascii="Garamond" w:hAnsi="Garamond"/>
        </w:rPr>
        <w:t xml:space="preserve"> rights waiver. (We will return to the point about explicit waivers later.) </w:t>
      </w:r>
    </w:p>
    <w:p w14:paraId="23462D01" w14:textId="5FBC5AAF" w:rsidR="00C60BA3" w:rsidRDefault="00C60BA3" w:rsidP="00BE178B">
      <w:pPr>
        <w:spacing w:line="480" w:lineRule="auto"/>
        <w:ind w:firstLine="720"/>
        <w:rPr>
          <w:rFonts w:ascii="Garamond" w:hAnsi="Garamond"/>
        </w:rPr>
      </w:pPr>
      <w:r>
        <w:rPr>
          <w:rFonts w:ascii="Garamond" w:hAnsi="Garamond"/>
        </w:rPr>
        <w:t>But how, exactly, would an implied rights waiver come about? One possibility is simply that knowingly and voluntarily entering spaces in which there are known risks of harm or death constitutes an implied rights waiver against the harm risked. In other words, your having accepted the risks that I might unintentionally transmit a deadly virus to you means that, if indeed I do unintentionally transmit the virus to you and you later die from it, I do not thereby wrong you. You knew the risks and you accepted them.</w:t>
      </w:r>
    </w:p>
    <w:p w14:paraId="2DF90954" w14:textId="3B57507D" w:rsidR="00C60BA3" w:rsidRDefault="00C60BA3" w:rsidP="00EE582F">
      <w:pPr>
        <w:spacing w:line="480" w:lineRule="auto"/>
        <w:ind w:firstLine="720"/>
        <w:rPr>
          <w:rFonts w:ascii="Garamond" w:hAnsi="Garamond"/>
        </w:rPr>
      </w:pPr>
      <w:r>
        <w:rPr>
          <w:rFonts w:ascii="Garamond" w:hAnsi="Garamond"/>
        </w:rPr>
        <w:t>But while it is true that we often knowingly accept such risks, it does not follow that we waive our rights against such harms. As Jeff McMahan puts it: “</w:t>
      </w:r>
      <w:r w:rsidRPr="00B423DF">
        <w:rPr>
          <w:rFonts w:ascii="Garamond" w:hAnsi="Garamond"/>
        </w:rPr>
        <w:t>A person who voluntarily walks through a dangerous neighborhood late at night assumes or accepts a risk of being mugged; but he does not consent to be mugged in the sense of waiving his right not to be mugged, or givin</w:t>
      </w:r>
      <w:r>
        <w:rPr>
          <w:rFonts w:ascii="Garamond" w:hAnsi="Garamond"/>
        </w:rPr>
        <w:t>g people permission to mug him.</w:t>
      </w:r>
      <w:r w:rsidR="007058B2">
        <w:rPr>
          <w:rFonts w:ascii="Garamond" w:hAnsi="Garamond"/>
        </w:rPr>
        <w:t>”</w:t>
      </w:r>
      <w:r>
        <w:rPr>
          <w:rStyle w:val="EndnoteReference"/>
          <w:rFonts w:ascii="Garamond" w:hAnsi="Garamond"/>
        </w:rPr>
        <w:endnoteReference w:id="19"/>
      </w:r>
      <w:r>
        <w:rPr>
          <w:rFonts w:ascii="Garamond" w:hAnsi="Garamond"/>
        </w:rPr>
        <w:t xml:space="preserve"> More generally, we accept all sorts of risks from others throughout our lives; doing so is an inescapable part of living in a society with others. But surely this does not entail we waive our rights against the harms that might eventuate. To accept this would be to hold that a mugger does not wrong his victim—</w:t>
      </w:r>
      <w:r>
        <w:rPr>
          <w:rFonts w:ascii="Garamond" w:hAnsi="Garamond"/>
        </w:rPr>
        <w:lastRenderedPageBreak/>
        <w:t xml:space="preserve">indeed, that few if any wrongdoers </w:t>
      </w:r>
      <w:r w:rsidRPr="00EE582F">
        <w:rPr>
          <w:rFonts w:ascii="Garamond" w:hAnsi="Garamond"/>
          <w:i/>
        </w:rPr>
        <w:t>ever</w:t>
      </w:r>
      <w:r>
        <w:rPr>
          <w:rFonts w:ascii="Garamond" w:hAnsi="Garamond"/>
        </w:rPr>
        <w:t xml:space="preserve"> wrong their victims, since most victims accept the risks of the harms they experience. But this is clearly an implausible result. </w:t>
      </w:r>
    </w:p>
    <w:p w14:paraId="33D5EC08" w14:textId="251F0991" w:rsidR="00C60BA3" w:rsidRDefault="00C60BA3" w:rsidP="00BE178B">
      <w:pPr>
        <w:spacing w:line="480" w:lineRule="auto"/>
        <w:ind w:firstLine="720"/>
        <w:rPr>
          <w:rFonts w:ascii="Garamond" w:hAnsi="Garamond"/>
        </w:rPr>
      </w:pPr>
      <w:r>
        <w:rPr>
          <w:rFonts w:ascii="Garamond" w:hAnsi="Garamond"/>
        </w:rPr>
        <w:t xml:space="preserve">McMahan’s mugger example is helpful for demonstrating that rights waiver does not follow from risk acceptance, but its utility as an analogy for COVID-19 transmission is limited. For one thing, the mugger’s harmful acts are </w:t>
      </w:r>
      <w:r w:rsidRPr="00340E27">
        <w:rPr>
          <w:rFonts w:ascii="Garamond" w:hAnsi="Garamond"/>
          <w:i/>
        </w:rPr>
        <w:t>intentional</w:t>
      </w:r>
      <w:r>
        <w:rPr>
          <w:rFonts w:ascii="Garamond" w:hAnsi="Garamond"/>
        </w:rPr>
        <w:t xml:space="preserve">, while the cases of COVID-19 transmission we are interested in are </w:t>
      </w:r>
      <w:r w:rsidRPr="00340E27">
        <w:rPr>
          <w:rFonts w:ascii="Garamond" w:hAnsi="Garamond"/>
          <w:i/>
        </w:rPr>
        <w:t>unintentional</w:t>
      </w:r>
      <w:r>
        <w:rPr>
          <w:rFonts w:ascii="Garamond" w:hAnsi="Garamond"/>
        </w:rPr>
        <w:t xml:space="preserve">. </w:t>
      </w:r>
      <w:r w:rsidR="003E433B" w:rsidRPr="00C60BA3">
        <w:rPr>
          <w:rFonts w:ascii="Garamond" w:hAnsi="Garamond"/>
        </w:rPr>
        <w:t>This difference should not affect the underlying judgment, though. Even if we imagine that the victim accepts the risk not of being mugged, but of, say, being shot accidentally during a nearby altercation, he still does not waive his rights to being killed.</w:t>
      </w:r>
      <w:r w:rsidR="003E433B">
        <w:rPr>
          <w:rStyle w:val="EndnoteReference"/>
          <w:rFonts w:ascii="Garamond" w:hAnsi="Garamond"/>
        </w:rPr>
        <w:endnoteReference w:id="20"/>
      </w:r>
      <w:r w:rsidR="003E433B">
        <w:rPr>
          <w:rFonts w:ascii="Garamond" w:hAnsi="Garamond"/>
          <w:szCs w:val="22"/>
        </w:rPr>
        <w:t xml:space="preserve"> </w:t>
      </w:r>
      <w:r>
        <w:rPr>
          <w:rFonts w:ascii="Garamond" w:hAnsi="Garamond"/>
        </w:rPr>
        <w:t xml:space="preserve">But there is another important structural difference in the two examples. In the mugger case, the risks imposed are fundamentally </w:t>
      </w:r>
      <w:r>
        <w:rPr>
          <w:rFonts w:ascii="Garamond" w:hAnsi="Garamond"/>
          <w:i/>
        </w:rPr>
        <w:t>non-reciprocal</w:t>
      </w:r>
      <w:r>
        <w:rPr>
          <w:rFonts w:ascii="Garamond" w:hAnsi="Garamond"/>
        </w:rPr>
        <w:t xml:space="preserve">: one person imposes the risk of harm, while the other accepts it. But this is not true of most cases of COVID-19 transmission. When I venture out in public, I do not only accept certain risks from others, I also generally impose the same sort of risks on them. </w:t>
      </w:r>
    </w:p>
    <w:p w14:paraId="69DDAC0C" w14:textId="5D81568D" w:rsidR="00C60BA3" w:rsidRDefault="00C60BA3" w:rsidP="00BE178B">
      <w:pPr>
        <w:spacing w:line="480" w:lineRule="auto"/>
        <w:ind w:firstLine="720"/>
        <w:rPr>
          <w:rFonts w:ascii="Garamond" w:hAnsi="Garamond"/>
        </w:rPr>
      </w:pPr>
      <w:r>
        <w:rPr>
          <w:rFonts w:ascii="Garamond" w:hAnsi="Garamond"/>
        </w:rPr>
        <w:t xml:space="preserve">Here, an alternative proposal </w:t>
      </w:r>
      <w:r w:rsidR="00902719">
        <w:rPr>
          <w:rFonts w:ascii="Garamond" w:hAnsi="Garamond"/>
        </w:rPr>
        <w:t>suggests</w:t>
      </w:r>
      <w:r>
        <w:rPr>
          <w:rFonts w:ascii="Garamond" w:hAnsi="Garamond"/>
        </w:rPr>
        <w:t xml:space="preserve"> itself: it is not mere risk acceptance, but rather </w:t>
      </w:r>
      <w:r>
        <w:rPr>
          <w:rFonts w:ascii="Garamond" w:hAnsi="Garamond"/>
          <w:i/>
        </w:rPr>
        <w:t>reciprocal</w:t>
      </w:r>
      <w:r w:rsidRPr="00AA70A5">
        <w:rPr>
          <w:rFonts w:ascii="Garamond" w:hAnsi="Garamond"/>
          <w:i/>
        </w:rPr>
        <w:t xml:space="preserve"> risk imposition</w:t>
      </w:r>
      <w:r>
        <w:rPr>
          <w:rFonts w:ascii="Garamond" w:hAnsi="Garamond"/>
          <w:i/>
        </w:rPr>
        <w:t xml:space="preserve"> </w:t>
      </w:r>
      <w:r>
        <w:rPr>
          <w:rFonts w:ascii="Garamond" w:hAnsi="Garamond"/>
        </w:rPr>
        <w:t xml:space="preserve">that generates the relevant waiver of rights. In their recent piece discussing the justification for lockdown policies during the pandemic, Christian Barry and Seth Lazar countenance this possibility (though they do not ultimately seem to endorse it): </w:t>
      </w:r>
    </w:p>
    <w:p w14:paraId="4824A9D3" w14:textId="77777777" w:rsidR="00C60BA3" w:rsidRDefault="00C60BA3" w:rsidP="00BE178B">
      <w:pPr>
        <w:spacing w:line="480" w:lineRule="auto"/>
        <w:ind w:left="720"/>
        <w:rPr>
          <w:rFonts w:ascii="Garamond" w:hAnsi="Garamond"/>
        </w:rPr>
      </w:pPr>
    </w:p>
    <w:p w14:paraId="201F4E36" w14:textId="74ABE068" w:rsidR="00C60BA3" w:rsidRDefault="00C60BA3" w:rsidP="00BE178B">
      <w:pPr>
        <w:spacing w:line="480" w:lineRule="auto"/>
        <w:ind w:left="720"/>
        <w:rPr>
          <w:rFonts w:ascii="Garamond" w:hAnsi="Garamond"/>
        </w:rPr>
      </w:pPr>
      <w:r>
        <w:rPr>
          <w:rFonts w:ascii="Garamond" w:hAnsi="Garamond"/>
        </w:rPr>
        <w:t>[O]ne could argue that it is possible for any given individual to protect themselves from risk, by strictly limiting the contacts they have with others. Could one not say, then, that everyone who goes out into the world voluntarily assumes the resulting risk, and that in cases where the risk-imposition is mutual, it is permissible?</w:t>
      </w:r>
      <w:r>
        <w:rPr>
          <w:rStyle w:val="EndnoteReference"/>
          <w:rFonts w:ascii="Garamond" w:hAnsi="Garamond"/>
        </w:rPr>
        <w:endnoteReference w:id="21"/>
      </w:r>
    </w:p>
    <w:p w14:paraId="37E786A1" w14:textId="77777777" w:rsidR="00C60BA3" w:rsidRDefault="00C60BA3" w:rsidP="00BE178B">
      <w:pPr>
        <w:spacing w:line="480" w:lineRule="auto"/>
        <w:ind w:left="720"/>
        <w:rPr>
          <w:rFonts w:ascii="Garamond" w:hAnsi="Garamond"/>
        </w:rPr>
      </w:pPr>
    </w:p>
    <w:p w14:paraId="1DE41C21" w14:textId="23D930C7" w:rsidR="00C60BA3" w:rsidRDefault="00C60BA3" w:rsidP="00BE178B">
      <w:pPr>
        <w:spacing w:line="480" w:lineRule="auto"/>
        <w:rPr>
          <w:rFonts w:ascii="Garamond" w:hAnsi="Garamond"/>
        </w:rPr>
      </w:pPr>
      <w:r>
        <w:rPr>
          <w:rFonts w:ascii="Garamond" w:hAnsi="Garamond"/>
        </w:rPr>
        <w:lastRenderedPageBreak/>
        <w:t xml:space="preserve">In other words, each party imposes on the other what would otherwise be unjust harms; but since the imposition is reciprocal—by which I mean a mutual and roughly equal risk—each implicitly waives their rights against the harms that might befall them in exchange for the other’s waiver of rights against them. </w:t>
      </w:r>
    </w:p>
    <w:p w14:paraId="5317DD01" w14:textId="7AA280FC" w:rsidR="00C60BA3" w:rsidRDefault="00C60BA3" w:rsidP="00BE178B">
      <w:pPr>
        <w:spacing w:line="480" w:lineRule="auto"/>
        <w:ind w:firstLine="720"/>
        <w:rPr>
          <w:rFonts w:ascii="Garamond" w:hAnsi="Garamond"/>
        </w:rPr>
      </w:pPr>
      <w:r>
        <w:rPr>
          <w:rFonts w:ascii="Garamond" w:hAnsi="Garamond"/>
        </w:rPr>
        <w:t>The roots of this idea can be found in tort law theory. Charles Fried defends a Kantian-inspired view of reciprocal risk imposition. He writes, “By granting the right of others to impose on him, he does, of course, increase his own risk of death. However, he grants this right and increases the risk of death as a way of purchasing, as it were, the right to pursue his ends and capacities, and in so doing to impose risks upon others.”</w:t>
      </w:r>
      <w:r>
        <w:rPr>
          <w:rStyle w:val="EndnoteReference"/>
          <w:rFonts w:ascii="Garamond" w:hAnsi="Garamond"/>
        </w:rPr>
        <w:endnoteReference w:id="22"/>
      </w:r>
      <w:r>
        <w:rPr>
          <w:rFonts w:ascii="Garamond" w:hAnsi="Garamond"/>
        </w:rPr>
        <w:t xml:space="preserve"> George Fletcher defends a similar view, arguing that one is not liable for injuries stemming from reciprocal risks—namely, “those in which the victim and the defendant subject each other to roughly the same degree of risk.”</w:t>
      </w:r>
      <w:r>
        <w:rPr>
          <w:rStyle w:val="EndnoteReference"/>
          <w:rFonts w:ascii="Garamond" w:hAnsi="Garamond"/>
        </w:rPr>
        <w:endnoteReference w:id="23"/>
      </w:r>
      <w:r>
        <w:rPr>
          <w:rFonts w:ascii="Garamond" w:hAnsi="Garamond"/>
        </w:rPr>
        <w:t xml:space="preserve"> Of course, both of these views are focused on legal liability, rather than moral rights. But the former provides an intuitively plausible picture of how we might understand the latter.</w:t>
      </w:r>
    </w:p>
    <w:p w14:paraId="55863FFC" w14:textId="455401B7" w:rsidR="00C60BA3" w:rsidRDefault="00C60BA3" w:rsidP="00BE178B">
      <w:pPr>
        <w:spacing w:line="480" w:lineRule="auto"/>
        <w:ind w:firstLine="720"/>
        <w:rPr>
          <w:rFonts w:ascii="Garamond" w:hAnsi="Garamond"/>
        </w:rPr>
      </w:pPr>
      <w:r>
        <w:rPr>
          <w:rFonts w:ascii="Garamond" w:hAnsi="Garamond"/>
        </w:rPr>
        <w:t>The idea that reciprocal risk imposition might generate a mutual waiver of rights has clear application in other contexts as well.</w:t>
      </w:r>
      <w:r>
        <w:rPr>
          <w:rStyle w:val="EndnoteReference"/>
          <w:rFonts w:ascii="Garamond" w:hAnsi="Garamond"/>
        </w:rPr>
        <w:endnoteReference w:id="24"/>
      </w:r>
      <w:r>
        <w:rPr>
          <w:rFonts w:ascii="Garamond" w:hAnsi="Garamond"/>
        </w:rPr>
        <w:t xml:space="preserve"> For example, in boxing or mixed martial arts matches, both fighters accept the risks each imposes on the other, and, provided the mutually accepted rules are followed, agree to waive their rights to any harms that might eventuate. While some such harms are, of course, intentional, many others—possible long-lasting damage, serious injuries, or even death—are usually unintentional. And yet, on this proposal, boxers do not wrong one another when such harms result.</w:t>
      </w:r>
    </w:p>
    <w:p w14:paraId="1A519179" w14:textId="77777777" w:rsidR="00C60BA3" w:rsidRDefault="00C60BA3" w:rsidP="00BE178B">
      <w:pPr>
        <w:spacing w:line="480" w:lineRule="auto"/>
        <w:ind w:firstLine="720"/>
        <w:rPr>
          <w:rFonts w:ascii="Garamond" w:hAnsi="Garamond"/>
        </w:rPr>
      </w:pPr>
      <w:r>
        <w:rPr>
          <w:rFonts w:ascii="Garamond" w:hAnsi="Garamond"/>
        </w:rPr>
        <w:t xml:space="preserve">Another example that is more closely related to the case of COVID-19 transmission is the risk of HIV transmission resulting from consensual sex. Partners mutually accept roughly equal risks of harm or death, since either party could be an unwitting carrier of the </w:t>
      </w:r>
      <w:r>
        <w:rPr>
          <w:rFonts w:ascii="Garamond" w:hAnsi="Garamond"/>
        </w:rPr>
        <w:lastRenderedPageBreak/>
        <w:t xml:space="preserve">virus, and could transmit it to the other, who could later die as a result. (Again, set aside cases where one </w:t>
      </w:r>
      <w:r w:rsidRPr="00147E0F">
        <w:rPr>
          <w:rFonts w:ascii="Garamond" w:hAnsi="Garamond"/>
          <w:i/>
        </w:rPr>
        <w:t>knows</w:t>
      </w:r>
      <w:r>
        <w:rPr>
          <w:rFonts w:ascii="Garamond" w:hAnsi="Garamond"/>
        </w:rPr>
        <w:t xml:space="preserve"> one carries the virus. The analysis of such cases is quite different.) </w:t>
      </w:r>
      <w:r w:rsidRPr="00147E0F">
        <w:rPr>
          <w:rFonts w:ascii="Garamond" w:hAnsi="Garamond"/>
        </w:rPr>
        <w:t>This</w:t>
      </w:r>
      <w:r>
        <w:rPr>
          <w:rFonts w:ascii="Garamond" w:hAnsi="Garamond"/>
        </w:rPr>
        <w:t xml:space="preserve"> is a risk that, typically, both parties knowingly accept when consenting to sex (provided there is no deception, coercion, or invalid consent). On the current proposal, then, partners who engage in consensual sex when there is a risk of HIV transmission waive their rights against the harms—in particular, death—that might result, and thus, do not wrong their partner by unintentionally transmitting HIV to them.</w:t>
      </w:r>
    </w:p>
    <w:p w14:paraId="1B2EC0AE" w14:textId="12A859B1" w:rsidR="00C60BA3" w:rsidRDefault="00C60BA3" w:rsidP="00BE178B">
      <w:pPr>
        <w:spacing w:line="480" w:lineRule="auto"/>
        <w:ind w:firstLine="720"/>
        <w:rPr>
          <w:rFonts w:ascii="Garamond" w:hAnsi="Garamond"/>
        </w:rPr>
      </w:pPr>
      <w:r>
        <w:rPr>
          <w:rFonts w:ascii="Garamond" w:hAnsi="Garamond"/>
        </w:rPr>
        <w:t>Though they are imperfect analogs of COVID-19 transmission, these examples illustrate the independent plausibility of the claim that reciprocal risk imposition generates a mutual waiver of rights.</w:t>
      </w:r>
      <w:r>
        <w:rPr>
          <w:rStyle w:val="EndnoteReference"/>
          <w:rFonts w:ascii="Garamond" w:hAnsi="Garamond"/>
        </w:rPr>
        <w:endnoteReference w:id="25"/>
      </w:r>
      <w:r>
        <w:rPr>
          <w:rFonts w:ascii="Garamond" w:hAnsi="Garamond"/>
        </w:rPr>
        <w:t xml:space="preserve"> As applied to the COVID-19 case, the claim here is that, for all interactions during the pandemic that involve imposing reciprocal risks of harm, the individuals involved in such interactions thereby implicitly waive their rights against being harmed in cases where the interaction results in infection. </w:t>
      </w:r>
    </w:p>
    <w:p w14:paraId="4B27D943" w14:textId="7CBFF67B" w:rsidR="00C60BA3" w:rsidRDefault="00C60BA3" w:rsidP="00BE178B">
      <w:pPr>
        <w:spacing w:line="480" w:lineRule="auto"/>
        <w:ind w:firstLine="720"/>
        <w:rPr>
          <w:rFonts w:ascii="Garamond" w:hAnsi="Garamond"/>
        </w:rPr>
      </w:pPr>
      <w:r>
        <w:rPr>
          <w:rFonts w:ascii="Garamond" w:hAnsi="Garamond"/>
        </w:rPr>
        <w:t xml:space="preserve">As I suggested, many will find this account plausible, at least insofar as it aligns with most attitudes and behaviors during the pandemic. Anecdotally, I have encountered many who justify their public outings throughout the pandemic by pointing to mutual risk exposure—usually some </w:t>
      </w:r>
      <w:r w:rsidR="004A6AC1">
        <w:rPr>
          <w:rFonts w:ascii="Garamond" w:hAnsi="Garamond"/>
        </w:rPr>
        <w:t>version</w:t>
      </w:r>
      <w:r>
        <w:rPr>
          <w:rFonts w:ascii="Garamond" w:hAnsi="Garamond"/>
        </w:rPr>
        <w:t xml:space="preserve"> of “They’re here too, so they can’t exactly complain.” More generally, there is something intuitively compelling about the idea that one’s claim to being wronged by someone else’s risky actions is diminished when one imposes the very same sort of risks on the alleged wrongdoer.</w:t>
      </w:r>
    </w:p>
    <w:p w14:paraId="6BA283C3" w14:textId="5DA5B95B" w:rsidR="00C60BA3" w:rsidRDefault="00C60BA3" w:rsidP="00BE178B">
      <w:pPr>
        <w:spacing w:line="480" w:lineRule="auto"/>
        <w:ind w:firstLine="720"/>
        <w:rPr>
          <w:rFonts w:ascii="Garamond" w:hAnsi="Garamond"/>
        </w:rPr>
      </w:pPr>
      <w:r>
        <w:rPr>
          <w:rFonts w:ascii="Garamond" w:hAnsi="Garamond"/>
        </w:rPr>
        <w:t xml:space="preserve">Whatever its apparent plausibility, this view suffers from at least </w:t>
      </w:r>
      <w:r w:rsidR="00341E05">
        <w:rPr>
          <w:rFonts w:ascii="Garamond" w:hAnsi="Garamond"/>
        </w:rPr>
        <w:t>two</w:t>
      </w:r>
      <w:r>
        <w:rPr>
          <w:rFonts w:ascii="Garamond" w:hAnsi="Garamond"/>
        </w:rPr>
        <w:t xml:space="preserve"> serious problems. First, it remains unclear how rights waiver is supposed to follow from the existence of reciprocal risk imposition. By analogy, suppose Alice drives drunk and unintentionally seriously injures Bernice, who also happened to be driving drunk. That </w:t>
      </w:r>
      <w:r>
        <w:rPr>
          <w:rFonts w:ascii="Garamond" w:hAnsi="Garamond"/>
        </w:rPr>
        <w:lastRenderedPageBreak/>
        <w:t>Bernice was also drunk does not render Alice’s act non-wrongful: the fact that Bernice also imposed similar risks does not yet constitute an implied waiver of her right not to be killed.</w:t>
      </w:r>
      <w:r w:rsidR="008F4EB5">
        <w:rPr>
          <w:rStyle w:val="EndnoteReference"/>
          <w:rFonts w:ascii="Garamond" w:hAnsi="Garamond"/>
        </w:rPr>
        <w:endnoteReference w:id="26"/>
      </w:r>
      <w:r>
        <w:rPr>
          <w:rFonts w:ascii="Garamond" w:hAnsi="Garamond"/>
        </w:rPr>
        <w:t xml:space="preserve"> It might be said that Bernice has little ground for complaint against Alice—how could she criticize Alice for the same behavior she herself engaged in? But this concerns </w:t>
      </w:r>
      <w:r w:rsidR="00DC4901">
        <w:rPr>
          <w:rFonts w:ascii="Garamond" w:hAnsi="Garamond"/>
        </w:rPr>
        <w:t xml:space="preserve">the issue of whether Bernice has standing to </w:t>
      </w:r>
      <w:r w:rsidR="00DC4901">
        <w:rPr>
          <w:rFonts w:ascii="Garamond" w:hAnsi="Garamond"/>
          <w:i/>
          <w:iCs/>
        </w:rPr>
        <w:t xml:space="preserve">blame </w:t>
      </w:r>
      <w:r>
        <w:rPr>
          <w:rFonts w:ascii="Garamond" w:hAnsi="Garamond"/>
        </w:rPr>
        <w:t>Alice</w:t>
      </w:r>
      <w:r w:rsidR="00DC4901">
        <w:rPr>
          <w:rFonts w:ascii="Garamond" w:hAnsi="Garamond"/>
        </w:rPr>
        <w:t>, rather than</w:t>
      </w:r>
      <w:r>
        <w:rPr>
          <w:rFonts w:ascii="Garamond" w:hAnsi="Garamond"/>
        </w:rPr>
        <w:t xml:space="preserve"> the moral status of the action itself. (I return to </w:t>
      </w:r>
      <w:r w:rsidR="00902719">
        <w:rPr>
          <w:rFonts w:ascii="Garamond" w:hAnsi="Garamond"/>
        </w:rPr>
        <w:t>this</w:t>
      </w:r>
      <w:r>
        <w:rPr>
          <w:rFonts w:ascii="Garamond" w:hAnsi="Garamond"/>
        </w:rPr>
        <w:t xml:space="preserve"> point in the next section.)</w:t>
      </w:r>
      <w:r w:rsidR="00573F69">
        <w:rPr>
          <w:rFonts w:ascii="Garamond" w:hAnsi="Garamond"/>
        </w:rPr>
        <w:t xml:space="preserve"> Of course, the analogy with drunk driving is imperfect: in addition to each other, Alice and Bernice also threaten others on t</w:t>
      </w:r>
      <w:r w:rsidR="00145809">
        <w:rPr>
          <w:rFonts w:ascii="Garamond" w:hAnsi="Garamond"/>
        </w:rPr>
        <w:t>he roads; and their respective threats are likely riskier, in terms of both probability and severity, than the average case of interpersonal interaction in the pandemic. Nevertheless, the basic structure of the drunk driving case is sufficiently similar to that of the pandemic case to illustrate the basic point.</w:t>
      </w:r>
      <w:r w:rsidR="00145809">
        <w:rPr>
          <w:rStyle w:val="EndnoteReference"/>
          <w:rFonts w:ascii="Garamond" w:hAnsi="Garamond"/>
        </w:rPr>
        <w:endnoteReference w:id="27"/>
      </w:r>
    </w:p>
    <w:p w14:paraId="54A5C4A7" w14:textId="66270655" w:rsidR="00C60BA3" w:rsidRDefault="00C60BA3" w:rsidP="00BE178B">
      <w:pPr>
        <w:spacing w:line="480" w:lineRule="auto"/>
        <w:ind w:firstLine="720"/>
        <w:rPr>
          <w:rFonts w:ascii="Garamond" w:hAnsi="Garamond"/>
        </w:rPr>
      </w:pPr>
      <w:r>
        <w:rPr>
          <w:rFonts w:ascii="Garamond" w:hAnsi="Garamond"/>
        </w:rPr>
        <w:t xml:space="preserve">Second, upon closer inspection, the proposed account applies to many fewer cases of COVID-19 transmission than it may have initially seemed. In most cases, the risks individuals pose to one another are not, in an objective sense, even roughly equal. As we know, some people are at significantly greater risk of experiencing serious complications from the virus, whether due to pre-existing vulnerabilities, such as a compromised immune system, age, or other such factors. Furthermore, access to healthcare (let alone quality care), even within a given community, often differs wildly, which can have a significant impact on the harms one suffers. This is even more significant when availability of valuable resources fluctuates, as it has throughout the pandemic. Thus, many interactions among strangers often do not involve even roughly reciprocal risk imposition: one party is among the more vulnerable group, while the other is not. Moreover, even many ordinary relationships involve imposing asymmetrical risks. It is not uncommon, for example, for one spouse or roommate </w:t>
      </w:r>
      <w:r>
        <w:rPr>
          <w:rFonts w:ascii="Garamond" w:hAnsi="Garamond"/>
        </w:rPr>
        <w:lastRenderedPageBreak/>
        <w:t xml:space="preserve">to work outside the home, perhaps even to venues where risks are heightened, while the other person works in a safer environment (e.g., from home). </w:t>
      </w:r>
    </w:p>
    <w:p w14:paraId="7DFAAF08" w14:textId="1D21CD62" w:rsidR="00C60BA3" w:rsidRDefault="00C60BA3" w:rsidP="00BE178B">
      <w:pPr>
        <w:spacing w:line="480" w:lineRule="auto"/>
        <w:ind w:firstLine="720"/>
        <w:rPr>
          <w:rFonts w:ascii="Garamond" w:hAnsi="Garamond"/>
        </w:rPr>
      </w:pPr>
      <w:r>
        <w:rPr>
          <w:rFonts w:ascii="Garamond" w:hAnsi="Garamond"/>
        </w:rPr>
        <w:t xml:space="preserve">One might respond here that risk imposition need not be roughly equal in a </w:t>
      </w:r>
      <w:r w:rsidRPr="002713E7">
        <w:rPr>
          <w:rFonts w:ascii="Garamond" w:hAnsi="Garamond"/>
          <w:i/>
        </w:rPr>
        <w:t>fact-relative</w:t>
      </w:r>
      <w:r>
        <w:rPr>
          <w:rFonts w:ascii="Garamond" w:hAnsi="Garamond"/>
        </w:rPr>
        <w:t xml:space="preserve"> sense, but only in an </w:t>
      </w:r>
      <w:r w:rsidRPr="002713E7">
        <w:rPr>
          <w:rFonts w:ascii="Garamond" w:hAnsi="Garamond"/>
          <w:i/>
        </w:rPr>
        <w:t>evidence-relative</w:t>
      </w:r>
      <w:r>
        <w:rPr>
          <w:rFonts w:ascii="Garamond" w:hAnsi="Garamond"/>
        </w:rPr>
        <w:t xml:space="preserve"> sense.</w:t>
      </w:r>
      <w:r>
        <w:rPr>
          <w:rStyle w:val="EndnoteReference"/>
          <w:rFonts w:ascii="Garamond" w:hAnsi="Garamond"/>
        </w:rPr>
        <w:endnoteReference w:id="28"/>
      </w:r>
      <w:r>
        <w:rPr>
          <w:rFonts w:ascii="Garamond" w:hAnsi="Garamond"/>
        </w:rPr>
        <w:t xml:space="preserve"> Roughly, the idea here is that, provided one’s evidence does not indicate any significant asymmetries in the risk imposition, then it is not wrongful. We must distinguish here between the evidence we </w:t>
      </w:r>
      <w:r>
        <w:rPr>
          <w:rFonts w:ascii="Garamond" w:hAnsi="Garamond"/>
          <w:i/>
        </w:rPr>
        <w:t>possess</w:t>
      </w:r>
      <w:r>
        <w:rPr>
          <w:rFonts w:ascii="Garamond" w:hAnsi="Garamond"/>
        </w:rPr>
        <w:t xml:space="preserve"> and the evidence </w:t>
      </w:r>
      <w:r w:rsidRPr="0053147F">
        <w:rPr>
          <w:rFonts w:ascii="Garamond" w:hAnsi="Garamond"/>
          <w:i/>
        </w:rPr>
        <w:t>available</w:t>
      </w:r>
      <w:r>
        <w:rPr>
          <w:rFonts w:ascii="Garamond" w:hAnsi="Garamond"/>
        </w:rPr>
        <w:t xml:space="preserve">. Surely, given the significance of the right in question, the more morally defensible of these two options is the latter. Merely proceeding with the evidence we happen to possess—which, among strangers, is almost nothing—is not sufficient grounds for a waiver of such a substantial right. Given the stakes, even on the evidence-relative view, an implicit mutual rights waiver requires at least an investigation of the known and possible risks each imposes on the other. As far as I can tell, such an investigation is not common practice among most customers at, say, the grocery store. </w:t>
      </w:r>
      <w:r w:rsidR="00FA0F37">
        <w:rPr>
          <w:rFonts w:ascii="Garamond" w:hAnsi="Garamond"/>
        </w:rPr>
        <w:t xml:space="preserve">(Notice that the same conclusion applies even if we limit it to </w:t>
      </w:r>
      <w:r w:rsidR="0085434E">
        <w:rPr>
          <w:rFonts w:ascii="Garamond" w:hAnsi="Garamond"/>
        </w:rPr>
        <w:t xml:space="preserve">only </w:t>
      </w:r>
      <w:r w:rsidR="00FA0F37">
        <w:rPr>
          <w:rFonts w:ascii="Garamond" w:hAnsi="Garamond"/>
        </w:rPr>
        <w:t xml:space="preserve">the available evidence that we could be reasonably expected to possess: it is still true that, given the high stakes, much more would have to be done than many currently do to inquire about the risks.)  </w:t>
      </w:r>
    </w:p>
    <w:p w14:paraId="25FB4537" w14:textId="2A379D3E" w:rsidR="00C60BA3" w:rsidRDefault="00C60BA3" w:rsidP="00BE178B">
      <w:pPr>
        <w:spacing w:line="480" w:lineRule="auto"/>
        <w:ind w:firstLine="720"/>
        <w:rPr>
          <w:rFonts w:ascii="Garamond" w:hAnsi="Garamond"/>
        </w:rPr>
      </w:pPr>
      <w:r>
        <w:rPr>
          <w:rFonts w:ascii="Garamond" w:hAnsi="Garamond"/>
        </w:rPr>
        <w:t>Further, were one to do a thorough investigation of all persons on whom one might impose such risks, I suspect one would discover one of two things: (1) the asymmetries remain quite pervasive—and thus, many such interactions are not covered by the proposed view; or (2) certain relevant facts, such as how one’s immune system will respond to the virus, are indeterminate, which surely calls for a more cautious approach, and cannot therefore ground an implied rights waiver. The upshot is that the weaker version of this view is too weak, and the more thorough version of this view does not lend justification to the vast majority of the interactions it sought to capture.</w:t>
      </w:r>
    </w:p>
    <w:p w14:paraId="7BC7D581" w14:textId="1D368647" w:rsidR="00C60BA3" w:rsidRDefault="00C60BA3" w:rsidP="00BE178B">
      <w:pPr>
        <w:spacing w:line="480" w:lineRule="auto"/>
        <w:ind w:firstLine="720"/>
        <w:rPr>
          <w:rFonts w:ascii="Garamond" w:hAnsi="Garamond"/>
        </w:rPr>
      </w:pPr>
      <w:r>
        <w:rPr>
          <w:rFonts w:ascii="Garamond" w:hAnsi="Garamond"/>
        </w:rPr>
        <w:lastRenderedPageBreak/>
        <w:t>These points suggest that perhaps it is not a requirement that the risks be roughly equal, but rather only that they be generally reciprocal. It would suffice, then, that both parties might</w:t>
      </w:r>
      <w:r>
        <w:rPr>
          <w:rFonts w:ascii="Garamond" w:hAnsi="Garamond"/>
          <w:i/>
        </w:rPr>
        <w:t xml:space="preserve"> </w:t>
      </w:r>
      <w:r>
        <w:rPr>
          <w:rFonts w:ascii="Garamond" w:hAnsi="Garamond"/>
        </w:rPr>
        <w:t>impose some risks on one another, even if one might in the end impose considerably more risk than the other. Though this view would capture many cases of unintentional transmission, and avoids the concerns about evidence gathering and grossly unequal risks, it recalls the more basic problem of explaining how mere reciprocal risk imposition alone could constitute an implied rights waiver. Why, in other words, should one be understood as having waived their rights against being killed in this case? We cannot simply insist anew that they have accepted these risks, and thus have waived their rights; as we saw above with McMahan’s mugger case, this is a non-starter. Further, even if the mugging victim was armed—and thus imposed some risk—the mugger’s attack is still wrongful. And as we saw in the case of Alice and Bernice (the drunk drivers), the mere fact that each imposes risks on the other does not make the ensuing harm non-wrongful. More generally, there are countless examples in all areas of life wherein individuals impose (foreseeable) risks on each other. To assume that mere reciprocity of risk imposition amounts to a rights waiver is deeply implausible.</w:t>
      </w:r>
    </w:p>
    <w:p w14:paraId="339B1EA1" w14:textId="439E1A38" w:rsidR="001300F9" w:rsidRDefault="00C60BA3" w:rsidP="00480C0D">
      <w:pPr>
        <w:spacing w:line="480" w:lineRule="auto"/>
        <w:ind w:firstLine="720"/>
        <w:rPr>
          <w:rFonts w:ascii="Garamond" w:hAnsi="Garamond"/>
        </w:rPr>
      </w:pPr>
      <w:r>
        <w:rPr>
          <w:rFonts w:ascii="Garamond" w:hAnsi="Garamond"/>
        </w:rPr>
        <w:t xml:space="preserve">This brings us to a more general concern about all rights waivers—implicit or explicit—against lethal harms. Even if we grant that one can, in some cases, </w:t>
      </w:r>
      <w:r w:rsidR="00637A15">
        <w:rPr>
          <w:rFonts w:ascii="Garamond" w:hAnsi="Garamond"/>
        </w:rPr>
        <w:t xml:space="preserve">explicitly </w:t>
      </w:r>
      <w:r>
        <w:rPr>
          <w:rFonts w:ascii="Garamond" w:hAnsi="Garamond"/>
        </w:rPr>
        <w:t xml:space="preserve">waive one’s right not to be killed, the requirements for valid waiver </w:t>
      </w:r>
      <w:r w:rsidRPr="005D4D05">
        <w:rPr>
          <w:rFonts w:ascii="Garamond" w:hAnsi="Garamond"/>
        </w:rPr>
        <w:t xml:space="preserve">of such a central right are much more stringent than </w:t>
      </w:r>
      <w:r>
        <w:rPr>
          <w:rFonts w:ascii="Garamond" w:hAnsi="Garamond"/>
        </w:rPr>
        <w:t>any of the foregoing views suggest</w:t>
      </w:r>
      <w:r w:rsidRPr="005D4D05">
        <w:rPr>
          <w:rFonts w:ascii="Garamond" w:hAnsi="Garamond"/>
        </w:rPr>
        <w:t xml:space="preserve">. </w:t>
      </w:r>
      <w:r>
        <w:rPr>
          <w:rFonts w:ascii="Garamond" w:hAnsi="Garamond"/>
        </w:rPr>
        <w:t xml:space="preserve">Moreover, even if one </w:t>
      </w:r>
      <w:r>
        <w:rPr>
          <w:rFonts w:ascii="Garamond" w:hAnsi="Garamond"/>
          <w:i/>
        </w:rPr>
        <w:t xml:space="preserve">does </w:t>
      </w:r>
      <w:r>
        <w:rPr>
          <w:rFonts w:ascii="Garamond" w:hAnsi="Garamond"/>
        </w:rPr>
        <w:t xml:space="preserve">waive one’s right not to be killed, it does not follow from this that killing them is justified. In the context of unintentional HIV transmission, Rebecca </w:t>
      </w:r>
      <w:r w:rsidRPr="005D4D05">
        <w:rPr>
          <w:rFonts w:ascii="Garamond" w:hAnsi="Garamond"/>
        </w:rPr>
        <w:t xml:space="preserve">Bennett, </w:t>
      </w:r>
      <w:r>
        <w:rPr>
          <w:rFonts w:ascii="Garamond" w:hAnsi="Garamond"/>
        </w:rPr>
        <w:t xml:space="preserve">Heather </w:t>
      </w:r>
      <w:r w:rsidRPr="005D4D05">
        <w:rPr>
          <w:rFonts w:ascii="Garamond" w:hAnsi="Garamond"/>
        </w:rPr>
        <w:t xml:space="preserve">Draper, and </w:t>
      </w:r>
      <w:r>
        <w:rPr>
          <w:rFonts w:ascii="Garamond" w:hAnsi="Garamond"/>
        </w:rPr>
        <w:t xml:space="preserve">Lucy </w:t>
      </w:r>
      <w:r w:rsidRPr="005D4D05">
        <w:rPr>
          <w:rFonts w:ascii="Garamond" w:hAnsi="Garamond"/>
        </w:rPr>
        <w:t>Fri</w:t>
      </w:r>
      <w:r>
        <w:rPr>
          <w:rFonts w:ascii="Garamond" w:hAnsi="Garamond"/>
        </w:rPr>
        <w:t>th</w:t>
      </w:r>
      <w:r w:rsidRPr="005D4D05">
        <w:rPr>
          <w:rFonts w:ascii="Garamond" w:hAnsi="Garamond"/>
        </w:rPr>
        <w:t xml:space="preserve"> </w:t>
      </w:r>
      <w:r>
        <w:rPr>
          <w:rFonts w:ascii="Garamond" w:hAnsi="Garamond"/>
        </w:rPr>
        <w:t>write</w:t>
      </w:r>
      <w:r w:rsidRPr="005D4D05">
        <w:rPr>
          <w:rFonts w:ascii="Garamond" w:hAnsi="Garamond"/>
        </w:rPr>
        <w:t xml:space="preserve">: “it is difficult to imagine a circumstance which absolves one of one’s obligation not to kill other people by infecting them with a fatal condition like HIV, and it is not clear </w:t>
      </w:r>
      <w:r w:rsidRPr="005D4D05">
        <w:rPr>
          <w:rFonts w:ascii="Garamond" w:hAnsi="Garamond"/>
        </w:rPr>
        <w:lastRenderedPageBreak/>
        <w:t>that gaining their consent to this harm makes a significant moral difference.”</w:t>
      </w:r>
      <w:r>
        <w:rPr>
          <w:rStyle w:val="EndnoteReference"/>
          <w:rFonts w:ascii="Garamond" w:hAnsi="Garamond"/>
        </w:rPr>
        <w:endnoteReference w:id="29"/>
      </w:r>
      <w:r>
        <w:rPr>
          <w:rFonts w:ascii="Garamond" w:hAnsi="Garamond"/>
        </w:rPr>
        <w:t xml:space="preserve"> </w:t>
      </w:r>
      <w:r w:rsidR="00FD61F5">
        <w:rPr>
          <w:rFonts w:ascii="Garamond" w:hAnsi="Garamond"/>
        </w:rPr>
        <w:t>In other words,</w:t>
      </w:r>
      <w:r w:rsidR="001300F9">
        <w:rPr>
          <w:rFonts w:ascii="Garamond" w:hAnsi="Garamond"/>
        </w:rPr>
        <w:t xml:space="preserve"> </w:t>
      </w:r>
      <w:r w:rsidR="00A90CB2">
        <w:rPr>
          <w:rFonts w:ascii="Garamond" w:hAnsi="Garamond"/>
        </w:rPr>
        <w:t>in addition to a valid rights waiver—for which the bar is already high—</w:t>
      </w:r>
      <w:r w:rsidR="001300F9">
        <w:rPr>
          <w:rFonts w:ascii="Garamond" w:hAnsi="Garamond"/>
        </w:rPr>
        <w:t xml:space="preserve">there must </w:t>
      </w:r>
      <w:r w:rsidR="00A90CB2">
        <w:rPr>
          <w:rFonts w:ascii="Garamond" w:hAnsi="Garamond"/>
        </w:rPr>
        <w:t xml:space="preserve">also </w:t>
      </w:r>
      <w:r w:rsidR="001300F9">
        <w:rPr>
          <w:rFonts w:ascii="Garamond" w:hAnsi="Garamond"/>
        </w:rPr>
        <w:t>be s</w:t>
      </w:r>
      <w:r w:rsidR="00956325">
        <w:rPr>
          <w:rFonts w:ascii="Garamond" w:hAnsi="Garamond"/>
        </w:rPr>
        <w:t>ufficiently good reason to subject one to the relevant risks, over and above the fact that they have waived their rights against the harm</w:t>
      </w:r>
      <w:r w:rsidR="001300F9">
        <w:rPr>
          <w:rFonts w:ascii="Garamond" w:hAnsi="Garamond"/>
        </w:rPr>
        <w:t xml:space="preserve">. </w:t>
      </w:r>
      <w:r w:rsidR="00956325">
        <w:rPr>
          <w:rFonts w:ascii="Garamond" w:hAnsi="Garamond"/>
        </w:rPr>
        <w:t xml:space="preserve">This </w:t>
      </w:r>
      <w:r w:rsidR="006A0D6A">
        <w:rPr>
          <w:rFonts w:ascii="Garamond" w:hAnsi="Garamond"/>
        </w:rPr>
        <w:t>could possibly</w:t>
      </w:r>
      <w:r w:rsidR="00956325">
        <w:rPr>
          <w:rFonts w:ascii="Garamond" w:hAnsi="Garamond"/>
        </w:rPr>
        <w:t xml:space="preserve"> be met in </w:t>
      </w:r>
      <w:r w:rsidR="006A0D6A">
        <w:rPr>
          <w:rFonts w:ascii="Garamond" w:hAnsi="Garamond"/>
        </w:rPr>
        <w:t xml:space="preserve">certain </w:t>
      </w:r>
      <w:r w:rsidR="00956325">
        <w:rPr>
          <w:rFonts w:ascii="Garamond" w:hAnsi="Garamond"/>
        </w:rPr>
        <w:t xml:space="preserve">cases—e.g., cohabitating partners </w:t>
      </w:r>
      <w:r w:rsidR="006A0D6A">
        <w:rPr>
          <w:rFonts w:ascii="Garamond" w:hAnsi="Garamond"/>
        </w:rPr>
        <w:t xml:space="preserve">or families who openly discuss their expectations governing risk exposure, </w:t>
      </w:r>
      <w:r w:rsidR="004F1332">
        <w:rPr>
          <w:rFonts w:ascii="Garamond" w:hAnsi="Garamond"/>
        </w:rPr>
        <w:t>for whom any lower-risk alternative (such as separate housing) is unacceptable</w:t>
      </w:r>
      <w:r w:rsidR="00A15016">
        <w:rPr>
          <w:rFonts w:ascii="Garamond" w:hAnsi="Garamond"/>
        </w:rPr>
        <w:t xml:space="preserve"> or risks seriously harming the relationship</w:t>
      </w:r>
      <w:r w:rsidR="00637A15">
        <w:rPr>
          <w:rFonts w:ascii="Garamond" w:hAnsi="Garamond"/>
        </w:rPr>
        <w:t>; or when the risk mitigation practices are sufficiently robust to render the risks so low that the potential for harm is outweighed by the likely good of the interaction</w:t>
      </w:r>
      <w:r w:rsidR="004F1332">
        <w:rPr>
          <w:rFonts w:ascii="Garamond" w:hAnsi="Garamond"/>
        </w:rPr>
        <w:t xml:space="preserve">. </w:t>
      </w:r>
      <w:r w:rsidR="00F22A23">
        <w:rPr>
          <w:rFonts w:ascii="Garamond" w:hAnsi="Garamond"/>
        </w:rPr>
        <w:t xml:space="preserve">Some might claim that </w:t>
      </w:r>
      <w:r w:rsidR="00F22A23" w:rsidRPr="00F22A23">
        <w:rPr>
          <w:rFonts w:ascii="Garamond" w:hAnsi="Garamond"/>
          <w:i/>
        </w:rPr>
        <w:t>most</w:t>
      </w:r>
      <w:r w:rsidR="00F22A23">
        <w:rPr>
          <w:rFonts w:ascii="Garamond" w:hAnsi="Garamond"/>
        </w:rPr>
        <w:t xml:space="preserve"> instances of explicit waiver throughout the pandemic involve sufficiently good reason—namely, the value of being able to engage in a range of valuable activities. </w:t>
      </w:r>
      <w:r w:rsidR="00926D9B">
        <w:rPr>
          <w:rFonts w:ascii="Garamond" w:hAnsi="Garamond"/>
        </w:rPr>
        <w:t>However,</w:t>
      </w:r>
      <w:r w:rsidR="00F22A23">
        <w:rPr>
          <w:rFonts w:ascii="Garamond" w:hAnsi="Garamond"/>
        </w:rPr>
        <w:t xml:space="preserve"> </w:t>
      </w:r>
      <w:r w:rsidR="00926D9B">
        <w:rPr>
          <w:rFonts w:ascii="Garamond" w:hAnsi="Garamond"/>
        </w:rPr>
        <w:t>certain</w:t>
      </w:r>
      <w:r w:rsidR="00F22A23">
        <w:rPr>
          <w:rFonts w:ascii="Garamond" w:hAnsi="Garamond"/>
        </w:rPr>
        <w:t xml:space="preserve"> token actions</w:t>
      </w:r>
      <w:r w:rsidR="00926D9B">
        <w:rPr>
          <w:rFonts w:ascii="Garamond" w:hAnsi="Garamond"/>
        </w:rPr>
        <w:t xml:space="preserve"> (e.g., superfluous gatherings) </w:t>
      </w:r>
      <w:r w:rsidR="00F22A23">
        <w:rPr>
          <w:rFonts w:ascii="Garamond" w:hAnsi="Garamond"/>
        </w:rPr>
        <w:t xml:space="preserve">will fail to </w:t>
      </w:r>
      <w:r w:rsidR="00926D9B">
        <w:rPr>
          <w:rFonts w:ascii="Garamond" w:hAnsi="Garamond"/>
        </w:rPr>
        <w:t>meet the relevant bar for</w:t>
      </w:r>
      <w:r w:rsidR="00F22A23">
        <w:rPr>
          <w:rFonts w:ascii="Garamond" w:hAnsi="Garamond"/>
        </w:rPr>
        <w:t xml:space="preserve"> value </w:t>
      </w:r>
      <w:r w:rsidR="00926D9B">
        <w:rPr>
          <w:rFonts w:ascii="Garamond" w:hAnsi="Garamond"/>
        </w:rPr>
        <w:t>needed to</w:t>
      </w:r>
      <w:r w:rsidR="00F22A23">
        <w:rPr>
          <w:rFonts w:ascii="Garamond" w:hAnsi="Garamond"/>
        </w:rPr>
        <w:t xml:space="preserve"> justify the risk exposure</w:t>
      </w:r>
      <w:r w:rsidR="00926D9B">
        <w:rPr>
          <w:rFonts w:ascii="Garamond" w:hAnsi="Garamond"/>
        </w:rPr>
        <w:t>, even with explicit waiver.</w:t>
      </w:r>
      <w:r w:rsidR="00F22A23">
        <w:rPr>
          <w:rFonts w:ascii="Garamond" w:hAnsi="Garamond"/>
        </w:rPr>
        <w:t xml:space="preserve"> The point here, in other words, is that explicit rights waiver is n</w:t>
      </w:r>
      <w:r w:rsidR="00926D9B">
        <w:rPr>
          <w:rFonts w:ascii="Garamond" w:hAnsi="Garamond"/>
        </w:rPr>
        <w:t>ot sufficient for justification. T</w:t>
      </w:r>
      <w:r w:rsidR="00F22A23">
        <w:rPr>
          <w:rFonts w:ascii="Garamond" w:hAnsi="Garamond"/>
        </w:rPr>
        <w:t>he reasons for the activity matter</w:t>
      </w:r>
      <w:r w:rsidR="00926D9B">
        <w:rPr>
          <w:rFonts w:ascii="Garamond" w:hAnsi="Garamond"/>
        </w:rPr>
        <w:t>, and in many cases these reasons are insufficient to justify the risk exposure</w:t>
      </w:r>
      <w:r w:rsidR="00F22A23">
        <w:rPr>
          <w:rFonts w:ascii="Garamond" w:hAnsi="Garamond"/>
        </w:rPr>
        <w:t>.</w:t>
      </w:r>
      <w:r w:rsidR="006A0D6A">
        <w:rPr>
          <w:rFonts w:ascii="Garamond" w:hAnsi="Garamond"/>
        </w:rPr>
        <w:t xml:space="preserve"> </w:t>
      </w:r>
    </w:p>
    <w:p w14:paraId="2D414048" w14:textId="3796203D" w:rsidR="005F55F9" w:rsidRDefault="00B458BE" w:rsidP="00480C0D">
      <w:pPr>
        <w:spacing w:line="480" w:lineRule="auto"/>
        <w:ind w:firstLine="720"/>
        <w:rPr>
          <w:rFonts w:ascii="Garamond" w:hAnsi="Garamond"/>
        </w:rPr>
      </w:pPr>
      <w:r>
        <w:rPr>
          <w:rFonts w:ascii="Garamond" w:hAnsi="Garamond"/>
        </w:rPr>
        <w:t xml:space="preserve">One might </w:t>
      </w:r>
      <w:r w:rsidR="006B673C">
        <w:rPr>
          <w:rFonts w:ascii="Garamond" w:hAnsi="Garamond"/>
        </w:rPr>
        <w:t>object</w:t>
      </w:r>
      <w:r>
        <w:rPr>
          <w:rFonts w:ascii="Garamond" w:hAnsi="Garamond"/>
        </w:rPr>
        <w:t xml:space="preserve"> </w:t>
      </w:r>
      <w:r w:rsidR="00AB14D3">
        <w:rPr>
          <w:rFonts w:ascii="Garamond" w:hAnsi="Garamond"/>
        </w:rPr>
        <w:t xml:space="preserve">that </w:t>
      </w:r>
      <w:r w:rsidR="006B673C">
        <w:rPr>
          <w:rFonts w:ascii="Garamond" w:hAnsi="Garamond"/>
        </w:rPr>
        <w:t>my</w:t>
      </w:r>
      <w:r w:rsidR="00AB14D3">
        <w:rPr>
          <w:rFonts w:ascii="Garamond" w:hAnsi="Garamond"/>
        </w:rPr>
        <w:t xml:space="preserve"> approach </w:t>
      </w:r>
      <w:r w:rsidR="009C2EE6">
        <w:rPr>
          <w:rFonts w:ascii="Garamond" w:hAnsi="Garamond"/>
        </w:rPr>
        <w:t>to</w:t>
      </w:r>
      <w:r w:rsidR="00F45082">
        <w:rPr>
          <w:rFonts w:ascii="Garamond" w:hAnsi="Garamond"/>
        </w:rPr>
        <w:t xml:space="preserve"> rights waiver </w:t>
      </w:r>
      <w:r w:rsidR="009C2EE6">
        <w:rPr>
          <w:rFonts w:ascii="Garamond" w:hAnsi="Garamond"/>
        </w:rPr>
        <w:t xml:space="preserve">ought not to focus on </w:t>
      </w:r>
      <w:r w:rsidR="00F45082" w:rsidRPr="00ED612D">
        <w:rPr>
          <w:rFonts w:ascii="Garamond" w:hAnsi="Garamond"/>
          <w:i/>
        </w:rPr>
        <w:t>token</w:t>
      </w:r>
      <w:r w:rsidR="00F45082">
        <w:rPr>
          <w:rFonts w:ascii="Garamond" w:hAnsi="Garamond"/>
        </w:rPr>
        <w:t xml:space="preserve"> </w:t>
      </w:r>
      <w:r w:rsidR="00622445">
        <w:rPr>
          <w:rFonts w:ascii="Garamond" w:hAnsi="Garamond"/>
        </w:rPr>
        <w:t>cases</w:t>
      </w:r>
      <w:r w:rsidR="00F45082">
        <w:rPr>
          <w:rFonts w:ascii="Garamond" w:hAnsi="Garamond"/>
        </w:rPr>
        <w:t xml:space="preserve"> of </w:t>
      </w:r>
      <w:r w:rsidR="00622445">
        <w:rPr>
          <w:rFonts w:ascii="Garamond" w:hAnsi="Garamond"/>
        </w:rPr>
        <w:t xml:space="preserve">reciprocal </w:t>
      </w:r>
      <w:r w:rsidR="00F45082">
        <w:rPr>
          <w:rFonts w:ascii="Garamond" w:hAnsi="Garamond"/>
        </w:rPr>
        <w:t xml:space="preserve">risk imposition, </w:t>
      </w:r>
      <w:r w:rsidR="00622445">
        <w:rPr>
          <w:rFonts w:ascii="Garamond" w:hAnsi="Garamond"/>
        </w:rPr>
        <w:t xml:space="preserve">but rather </w:t>
      </w:r>
      <w:r w:rsidR="009B720F">
        <w:rPr>
          <w:rFonts w:ascii="Garamond" w:hAnsi="Garamond"/>
        </w:rPr>
        <w:t xml:space="preserve">on </w:t>
      </w:r>
      <w:r w:rsidR="00622445">
        <w:rPr>
          <w:rFonts w:ascii="Garamond" w:hAnsi="Garamond"/>
        </w:rPr>
        <w:t xml:space="preserve">the broader </w:t>
      </w:r>
      <w:r w:rsidR="009B720F" w:rsidRPr="00ED612D">
        <w:rPr>
          <w:rFonts w:ascii="Garamond" w:hAnsi="Garamond"/>
          <w:i/>
        </w:rPr>
        <w:t>practice</w:t>
      </w:r>
      <w:r w:rsidR="00AB14D3">
        <w:rPr>
          <w:rFonts w:ascii="Garamond" w:hAnsi="Garamond"/>
        </w:rPr>
        <w:t xml:space="preserve"> of risk reciprocity. </w:t>
      </w:r>
      <w:r w:rsidR="00ED612D">
        <w:rPr>
          <w:rFonts w:ascii="Garamond" w:hAnsi="Garamond"/>
        </w:rPr>
        <w:t>That is, o</w:t>
      </w:r>
      <w:r w:rsidR="00AB14D3">
        <w:rPr>
          <w:rFonts w:ascii="Garamond" w:hAnsi="Garamond"/>
        </w:rPr>
        <w:t>n this view, mutu</w:t>
      </w:r>
      <w:r w:rsidR="00B30ACC">
        <w:rPr>
          <w:rFonts w:ascii="Garamond" w:hAnsi="Garamond"/>
        </w:rPr>
        <w:t xml:space="preserve">al rights waiver </w:t>
      </w:r>
      <w:r w:rsidR="00313317">
        <w:rPr>
          <w:rFonts w:ascii="Garamond" w:hAnsi="Garamond"/>
        </w:rPr>
        <w:t>is secured not</w:t>
      </w:r>
      <w:r w:rsidR="00AB14D3">
        <w:rPr>
          <w:rFonts w:ascii="Garamond" w:hAnsi="Garamond"/>
        </w:rPr>
        <w:t xml:space="preserve"> </w:t>
      </w:r>
      <w:r w:rsidR="00313317">
        <w:rPr>
          <w:rFonts w:ascii="Garamond" w:hAnsi="Garamond"/>
        </w:rPr>
        <w:t>in</w:t>
      </w:r>
      <w:r w:rsidR="000E54D4">
        <w:rPr>
          <w:rFonts w:ascii="Garamond" w:hAnsi="Garamond"/>
        </w:rPr>
        <w:t xml:space="preserve"> some </w:t>
      </w:r>
      <w:r w:rsidR="00AB14D3">
        <w:rPr>
          <w:rFonts w:ascii="Garamond" w:hAnsi="Garamond"/>
        </w:rPr>
        <w:t xml:space="preserve">particular instance in which </w:t>
      </w:r>
      <w:r w:rsidR="000E54D4">
        <w:rPr>
          <w:rFonts w:ascii="Garamond" w:hAnsi="Garamond"/>
        </w:rPr>
        <w:t xml:space="preserve">we each </w:t>
      </w:r>
      <w:r w:rsidR="00AB14D3">
        <w:rPr>
          <w:rFonts w:ascii="Garamond" w:hAnsi="Garamond"/>
        </w:rPr>
        <w:t xml:space="preserve">impose </w:t>
      </w:r>
      <w:r w:rsidR="000E54D4">
        <w:rPr>
          <w:rFonts w:ascii="Garamond" w:hAnsi="Garamond"/>
        </w:rPr>
        <w:t>a</w:t>
      </w:r>
      <w:r w:rsidR="00AB14D3">
        <w:rPr>
          <w:rFonts w:ascii="Garamond" w:hAnsi="Garamond"/>
        </w:rPr>
        <w:t xml:space="preserve"> discrete risk of harm on </w:t>
      </w:r>
      <w:r w:rsidR="000E54D4">
        <w:rPr>
          <w:rFonts w:ascii="Garamond" w:hAnsi="Garamond"/>
        </w:rPr>
        <w:t>each other</w:t>
      </w:r>
      <w:r w:rsidR="00313317">
        <w:rPr>
          <w:rFonts w:ascii="Garamond" w:hAnsi="Garamond"/>
        </w:rPr>
        <w:t xml:space="preserve">, but </w:t>
      </w:r>
      <w:r w:rsidR="00ED612D">
        <w:rPr>
          <w:rFonts w:ascii="Garamond" w:hAnsi="Garamond"/>
        </w:rPr>
        <w:t>r</w:t>
      </w:r>
      <w:r w:rsidR="00AB14D3">
        <w:rPr>
          <w:rFonts w:ascii="Garamond" w:hAnsi="Garamond"/>
        </w:rPr>
        <w:t>ather</w:t>
      </w:r>
      <w:r w:rsidR="00313317">
        <w:rPr>
          <w:rFonts w:ascii="Garamond" w:hAnsi="Garamond"/>
        </w:rPr>
        <w:t xml:space="preserve"> via</w:t>
      </w:r>
      <w:r w:rsidR="000C5F0E">
        <w:rPr>
          <w:rFonts w:ascii="Garamond" w:hAnsi="Garamond"/>
        </w:rPr>
        <w:t xml:space="preserve"> </w:t>
      </w:r>
      <w:r w:rsidR="00B30ACC">
        <w:rPr>
          <w:rFonts w:ascii="Garamond" w:hAnsi="Garamond"/>
        </w:rPr>
        <w:t xml:space="preserve">the </w:t>
      </w:r>
      <w:r w:rsidR="00313317">
        <w:rPr>
          <w:rFonts w:ascii="Garamond" w:hAnsi="Garamond"/>
        </w:rPr>
        <w:t xml:space="preserve">features of the </w:t>
      </w:r>
      <w:r w:rsidR="00B30ACC">
        <w:rPr>
          <w:rFonts w:ascii="Garamond" w:hAnsi="Garamond"/>
        </w:rPr>
        <w:t>practice of exposing each other to</w:t>
      </w:r>
      <w:r w:rsidR="000C5F0E">
        <w:rPr>
          <w:rFonts w:ascii="Garamond" w:hAnsi="Garamond"/>
        </w:rPr>
        <w:t xml:space="preserve"> risk</w:t>
      </w:r>
      <w:r w:rsidR="00B30ACC">
        <w:rPr>
          <w:rFonts w:ascii="Garamond" w:hAnsi="Garamond"/>
        </w:rPr>
        <w:t>s</w:t>
      </w:r>
      <w:r w:rsidR="000C5F0E">
        <w:rPr>
          <w:rFonts w:ascii="Garamond" w:hAnsi="Garamond"/>
        </w:rPr>
        <w:t xml:space="preserve"> of that </w:t>
      </w:r>
      <w:r w:rsidR="00B30ACC">
        <w:rPr>
          <w:rFonts w:ascii="Garamond" w:hAnsi="Garamond"/>
        </w:rPr>
        <w:t xml:space="preserve">general </w:t>
      </w:r>
      <w:r w:rsidR="000C5F0E">
        <w:rPr>
          <w:rFonts w:ascii="Garamond" w:hAnsi="Garamond"/>
        </w:rPr>
        <w:t>type.</w:t>
      </w:r>
      <w:r w:rsidR="00B30ACC">
        <w:rPr>
          <w:rFonts w:ascii="Garamond" w:hAnsi="Garamond"/>
        </w:rPr>
        <w:t xml:space="preserve"> Whether such a practice </w:t>
      </w:r>
      <w:r w:rsidR="000E54D4">
        <w:rPr>
          <w:rFonts w:ascii="Garamond" w:hAnsi="Garamond"/>
        </w:rPr>
        <w:t>can be said to constitute</w:t>
      </w:r>
      <w:r w:rsidR="00B30ACC">
        <w:rPr>
          <w:rFonts w:ascii="Garamond" w:hAnsi="Garamond"/>
        </w:rPr>
        <w:t xml:space="preserve"> a rights</w:t>
      </w:r>
      <w:r w:rsidR="007D4D65">
        <w:rPr>
          <w:rFonts w:ascii="Garamond" w:hAnsi="Garamond"/>
        </w:rPr>
        <w:t xml:space="preserve"> waiver</w:t>
      </w:r>
      <w:r w:rsidR="00313317">
        <w:rPr>
          <w:rFonts w:ascii="Garamond" w:hAnsi="Garamond"/>
        </w:rPr>
        <w:t xml:space="preserve"> </w:t>
      </w:r>
      <w:r w:rsidR="007D4D65">
        <w:rPr>
          <w:rFonts w:ascii="Garamond" w:hAnsi="Garamond"/>
        </w:rPr>
        <w:t>would be</w:t>
      </w:r>
      <w:r w:rsidR="00B30ACC">
        <w:rPr>
          <w:rFonts w:ascii="Garamond" w:hAnsi="Garamond"/>
        </w:rPr>
        <w:t xml:space="preserve"> determined by </w:t>
      </w:r>
      <w:r w:rsidR="007D4D65">
        <w:rPr>
          <w:rFonts w:ascii="Garamond" w:hAnsi="Garamond"/>
        </w:rPr>
        <w:t xml:space="preserve">such </w:t>
      </w:r>
      <w:r w:rsidR="000E54D4">
        <w:rPr>
          <w:rFonts w:ascii="Garamond" w:hAnsi="Garamond"/>
        </w:rPr>
        <w:t xml:space="preserve">features as: the relative value of the </w:t>
      </w:r>
      <w:r w:rsidR="00ED612D">
        <w:rPr>
          <w:rFonts w:ascii="Garamond" w:hAnsi="Garamond"/>
        </w:rPr>
        <w:t xml:space="preserve">class of </w:t>
      </w:r>
      <w:r w:rsidR="000E54D4">
        <w:rPr>
          <w:rFonts w:ascii="Garamond" w:hAnsi="Garamond"/>
        </w:rPr>
        <w:t>activities in proportion to the risks; general access to the</w:t>
      </w:r>
      <w:r w:rsidR="00ED612D">
        <w:rPr>
          <w:rFonts w:ascii="Garamond" w:hAnsi="Garamond"/>
        </w:rPr>
        <w:t>se</w:t>
      </w:r>
      <w:r w:rsidR="000E54D4">
        <w:rPr>
          <w:rFonts w:ascii="Garamond" w:hAnsi="Garamond"/>
        </w:rPr>
        <w:t xml:space="preserve"> valuable activities; fair distribution of the risks; and the relatively low-risk nature of the activity, which can be partly achieved through requiring preventive practices—e.g., masks, social distancing, etc. </w:t>
      </w:r>
      <w:r w:rsidR="00313317">
        <w:rPr>
          <w:rFonts w:ascii="Garamond" w:hAnsi="Garamond"/>
        </w:rPr>
        <w:t xml:space="preserve">When </w:t>
      </w:r>
      <w:r w:rsidR="00313317">
        <w:rPr>
          <w:rFonts w:ascii="Garamond" w:hAnsi="Garamond"/>
        </w:rPr>
        <w:lastRenderedPageBreak/>
        <w:t xml:space="preserve">these conditions are met, but the transmission is nevertheless fatal, the current proposal suggests it is non-wrongful: the practice itself of imposing these risks is permitted and justified, even though this sometimes results in death. In other words, if this view is true, then provided that individuals engage in broadly valuable activities while exercising due caution, the individuals’ rights are </w:t>
      </w:r>
      <w:r w:rsidR="006C28D7">
        <w:rPr>
          <w:rFonts w:ascii="Garamond" w:hAnsi="Garamond"/>
        </w:rPr>
        <w:t xml:space="preserve">thereby </w:t>
      </w:r>
      <w:r w:rsidR="00313317">
        <w:rPr>
          <w:rFonts w:ascii="Garamond" w:hAnsi="Garamond"/>
        </w:rPr>
        <w:t>waived, and the relevant harms that may result are therefore non-wrongful.</w:t>
      </w:r>
    </w:p>
    <w:p w14:paraId="48D222D5" w14:textId="5AD608DC" w:rsidR="00313317" w:rsidRPr="005F100F" w:rsidRDefault="005F100F" w:rsidP="00480C0D">
      <w:pPr>
        <w:spacing w:line="480" w:lineRule="auto"/>
        <w:ind w:firstLine="720"/>
        <w:rPr>
          <w:rFonts w:ascii="Garamond" w:hAnsi="Garamond"/>
        </w:rPr>
      </w:pPr>
      <w:r>
        <w:rPr>
          <w:rFonts w:ascii="Garamond" w:hAnsi="Garamond"/>
        </w:rPr>
        <w:t xml:space="preserve">This view is certainly appealing, and </w:t>
      </w:r>
      <w:r w:rsidR="001328C4">
        <w:rPr>
          <w:rFonts w:ascii="Garamond" w:hAnsi="Garamond"/>
        </w:rPr>
        <w:t xml:space="preserve">several </w:t>
      </w:r>
      <w:r w:rsidR="0035256E">
        <w:rPr>
          <w:rFonts w:ascii="Garamond" w:hAnsi="Garamond"/>
        </w:rPr>
        <w:t>different</w:t>
      </w:r>
      <w:r>
        <w:rPr>
          <w:rFonts w:ascii="Garamond" w:hAnsi="Garamond"/>
        </w:rPr>
        <w:t xml:space="preserve"> versions of it</w:t>
      </w:r>
      <w:r w:rsidR="0035256E">
        <w:rPr>
          <w:rFonts w:ascii="Garamond" w:hAnsi="Garamond"/>
        </w:rPr>
        <w:t xml:space="preserve"> have been defended</w:t>
      </w:r>
      <w:r>
        <w:rPr>
          <w:rFonts w:ascii="Garamond" w:hAnsi="Garamond"/>
        </w:rPr>
        <w:t>.</w:t>
      </w:r>
      <w:r w:rsidR="007E10DA">
        <w:rPr>
          <w:rStyle w:val="EndnoteReference"/>
          <w:rFonts w:ascii="Garamond" w:hAnsi="Garamond"/>
        </w:rPr>
        <w:endnoteReference w:id="30"/>
      </w:r>
      <w:r>
        <w:rPr>
          <w:rFonts w:ascii="Garamond" w:hAnsi="Garamond"/>
        </w:rPr>
        <w:t xml:space="preserve"> But there are </w:t>
      </w:r>
      <w:r w:rsidR="001328C4">
        <w:rPr>
          <w:rFonts w:ascii="Garamond" w:hAnsi="Garamond"/>
        </w:rPr>
        <w:t>good</w:t>
      </w:r>
      <w:r>
        <w:rPr>
          <w:rFonts w:ascii="Garamond" w:hAnsi="Garamond"/>
        </w:rPr>
        <w:t xml:space="preserve"> reasons to doubt it. First, it is unclear what justifies </w:t>
      </w:r>
      <w:r w:rsidR="005B3095">
        <w:rPr>
          <w:rFonts w:ascii="Garamond" w:hAnsi="Garamond"/>
        </w:rPr>
        <w:t>shifting</w:t>
      </w:r>
      <w:r>
        <w:rPr>
          <w:rFonts w:ascii="Garamond" w:hAnsi="Garamond"/>
        </w:rPr>
        <w:t xml:space="preserve"> to the practice of imposing some risk to defend </w:t>
      </w:r>
      <w:r w:rsidRPr="005C0401">
        <w:rPr>
          <w:rFonts w:ascii="Garamond" w:hAnsi="Garamond"/>
          <w:i/>
        </w:rPr>
        <w:t>particular</w:t>
      </w:r>
      <w:r w:rsidR="005B3095">
        <w:rPr>
          <w:rFonts w:ascii="Garamond" w:hAnsi="Garamond"/>
        </w:rPr>
        <w:t xml:space="preserve"> instances of harming.</w:t>
      </w:r>
      <w:r w:rsidR="001328C4">
        <w:rPr>
          <w:rFonts w:ascii="Garamond" w:hAnsi="Garamond"/>
        </w:rPr>
        <w:t xml:space="preserve"> After all, w</w:t>
      </w:r>
      <w:r w:rsidR="005C0401">
        <w:rPr>
          <w:rFonts w:ascii="Garamond" w:hAnsi="Garamond"/>
        </w:rPr>
        <w:t>e</w:t>
      </w:r>
      <w:r>
        <w:rPr>
          <w:rFonts w:ascii="Garamond" w:hAnsi="Garamond"/>
        </w:rPr>
        <w:t xml:space="preserve"> generally </w:t>
      </w:r>
      <w:r w:rsidR="005C0401">
        <w:rPr>
          <w:rFonts w:ascii="Garamond" w:hAnsi="Garamond"/>
        </w:rPr>
        <w:t xml:space="preserve">appeal to specific </w:t>
      </w:r>
      <w:r>
        <w:rPr>
          <w:rFonts w:ascii="Garamond" w:hAnsi="Garamond"/>
        </w:rPr>
        <w:t xml:space="preserve">facts about the </w:t>
      </w:r>
      <w:r w:rsidR="005C0401">
        <w:rPr>
          <w:rFonts w:ascii="Garamond" w:hAnsi="Garamond"/>
        </w:rPr>
        <w:t>particular</w:t>
      </w:r>
      <w:r w:rsidRPr="005C0401">
        <w:rPr>
          <w:rFonts w:ascii="Garamond" w:hAnsi="Garamond"/>
        </w:rPr>
        <w:t xml:space="preserve"> action</w:t>
      </w:r>
      <w:r>
        <w:rPr>
          <w:rFonts w:ascii="Garamond" w:hAnsi="Garamond"/>
          <w:i/>
        </w:rPr>
        <w:t xml:space="preserve"> </w:t>
      </w:r>
      <w:r w:rsidR="005C0401">
        <w:rPr>
          <w:rFonts w:ascii="Garamond" w:hAnsi="Garamond"/>
        </w:rPr>
        <w:t>to</w:t>
      </w:r>
      <w:r>
        <w:rPr>
          <w:rFonts w:ascii="Garamond" w:hAnsi="Garamond"/>
        </w:rPr>
        <w:t xml:space="preserve"> de</w:t>
      </w:r>
      <w:r w:rsidR="007E10DA">
        <w:rPr>
          <w:rFonts w:ascii="Garamond" w:hAnsi="Garamond"/>
        </w:rPr>
        <w:t xml:space="preserve">termine its </w:t>
      </w:r>
      <w:r w:rsidR="001328C4">
        <w:rPr>
          <w:rFonts w:ascii="Garamond" w:hAnsi="Garamond"/>
        </w:rPr>
        <w:t xml:space="preserve">moral </w:t>
      </w:r>
      <w:r w:rsidR="007E10DA">
        <w:rPr>
          <w:rFonts w:ascii="Garamond" w:hAnsi="Garamond"/>
        </w:rPr>
        <w:t>permissibility. F</w:t>
      </w:r>
      <w:r>
        <w:rPr>
          <w:rFonts w:ascii="Garamond" w:hAnsi="Garamond"/>
        </w:rPr>
        <w:t xml:space="preserve">or example, </w:t>
      </w:r>
      <w:r w:rsidR="007E10DA">
        <w:rPr>
          <w:rFonts w:ascii="Garamond" w:hAnsi="Garamond"/>
        </w:rPr>
        <w:t xml:space="preserve">if </w:t>
      </w:r>
      <w:r>
        <w:rPr>
          <w:rFonts w:ascii="Garamond" w:hAnsi="Garamond"/>
        </w:rPr>
        <w:t>I suspected</w:t>
      </w:r>
      <w:r w:rsidR="005C0401">
        <w:rPr>
          <w:rFonts w:ascii="Garamond" w:hAnsi="Garamond"/>
        </w:rPr>
        <w:t xml:space="preserve"> (or knew)</w:t>
      </w:r>
      <w:r>
        <w:rPr>
          <w:rFonts w:ascii="Garamond" w:hAnsi="Garamond"/>
        </w:rPr>
        <w:t xml:space="preserve"> there was a </w:t>
      </w:r>
      <w:r w:rsidR="00875283">
        <w:rPr>
          <w:rFonts w:ascii="Garamond" w:hAnsi="Garamond"/>
        </w:rPr>
        <w:t>substantially greater</w:t>
      </w:r>
      <w:r>
        <w:rPr>
          <w:rFonts w:ascii="Garamond" w:hAnsi="Garamond"/>
        </w:rPr>
        <w:t xml:space="preserve"> chance that I could transmit COVID</w:t>
      </w:r>
      <w:r w:rsidR="00875283">
        <w:rPr>
          <w:rFonts w:ascii="Garamond" w:hAnsi="Garamond"/>
        </w:rPr>
        <w:t xml:space="preserve"> today</w:t>
      </w:r>
      <w:r>
        <w:rPr>
          <w:rFonts w:ascii="Garamond" w:hAnsi="Garamond"/>
        </w:rPr>
        <w:t xml:space="preserve">, it </w:t>
      </w:r>
      <w:r w:rsidR="005C0401">
        <w:rPr>
          <w:rFonts w:ascii="Garamond" w:hAnsi="Garamond"/>
        </w:rPr>
        <w:t>would surely be harder</w:t>
      </w:r>
      <w:r>
        <w:rPr>
          <w:rFonts w:ascii="Garamond" w:hAnsi="Garamond"/>
        </w:rPr>
        <w:t xml:space="preserve"> for me to </w:t>
      </w:r>
      <w:r w:rsidR="005C0401">
        <w:rPr>
          <w:rFonts w:ascii="Garamond" w:hAnsi="Garamond"/>
        </w:rPr>
        <w:t xml:space="preserve">justify </w:t>
      </w:r>
      <w:r>
        <w:rPr>
          <w:rFonts w:ascii="Garamond" w:hAnsi="Garamond"/>
        </w:rPr>
        <w:t>go</w:t>
      </w:r>
      <w:r w:rsidR="005C0401">
        <w:rPr>
          <w:rFonts w:ascii="Garamond" w:hAnsi="Garamond"/>
        </w:rPr>
        <w:t>ing</w:t>
      </w:r>
      <w:r>
        <w:rPr>
          <w:rFonts w:ascii="Garamond" w:hAnsi="Garamond"/>
        </w:rPr>
        <w:t xml:space="preserve"> </w:t>
      </w:r>
      <w:r w:rsidR="00875283">
        <w:rPr>
          <w:rFonts w:ascii="Garamond" w:hAnsi="Garamond"/>
        </w:rPr>
        <w:t xml:space="preserve">to the grocery store (even with a mask). </w:t>
      </w:r>
      <w:r w:rsidR="007E10DA">
        <w:rPr>
          <w:rFonts w:ascii="Garamond" w:hAnsi="Garamond"/>
        </w:rPr>
        <w:t>T</w:t>
      </w:r>
      <w:r w:rsidR="00875283">
        <w:rPr>
          <w:rFonts w:ascii="Garamond" w:hAnsi="Garamond"/>
        </w:rPr>
        <w:t xml:space="preserve">hat the practice </w:t>
      </w:r>
      <w:r w:rsidR="005C0401">
        <w:rPr>
          <w:rFonts w:ascii="Garamond" w:hAnsi="Garamond"/>
        </w:rPr>
        <w:t>is in general</w:t>
      </w:r>
      <w:r w:rsidR="00875283">
        <w:rPr>
          <w:rFonts w:ascii="Garamond" w:hAnsi="Garamond"/>
        </w:rPr>
        <w:t xml:space="preserve"> </w:t>
      </w:r>
      <w:r w:rsidR="005C0401">
        <w:rPr>
          <w:rFonts w:ascii="Garamond" w:hAnsi="Garamond"/>
        </w:rPr>
        <w:t>is</w:t>
      </w:r>
      <w:r w:rsidR="00875283">
        <w:rPr>
          <w:rFonts w:ascii="Garamond" w:hAnsi="Garamond"/>
        </w:rPr>
        <w:t xml:space="preserve"> justified plays no meaningful role </w:t>
      </w:r>
      <w:r w:rsidR="005C0401">
        <w:rPr>
          <w:rFonts w:ascii="Garamond" w:hAnsi="Garamond"/>
        </w:rPr>
        <w:t xml:space="preserve">in determining permissibility </w:t>
      </w:r>
      <w:r w:rsidR="00875283">
        <w:rPr>
          <w:rFonts w:ascii="Garamond" w:hAnsi="Garamond"/>
        </w:rPr>
        <w:t xml:space="preserve">here; the specific features of </w:t>
      </w:r>
      <w:r w:rsidR="007E10DA">
        <w:rPr>
          <w:rFonts w:ascii="Garamond" w:hAnsi="Garamond"/>
        </w:rPr>
        <w:t>my circumstances</w:t>
      </w:r>
      <w:r w:rsidR="00875283">
        <w:rPr>
          <w:rFonts w:ascii="Garamond" w:hAnsi="Garamond"/>
        </w:rPr>
        <w:t xml:space="preserve"> override it</w:t>
      </w:r>
      <w:r w:rsidR="005C0401">
        <w:rPr>
          <w:rFonts w:ascii="Garamond" w:hAnsi="Garamond"/>
        </w:rPr>
        <w:t>.</w:t>
      </w:r>
      <w:r w:rsidR="0031197A">
        <w:rPr>
          <w:rStyle w:val="EndnoteReference"/>
          <w:rFonts w:ascii="Garamond" w:hAnsi="Garamond"/>
        </w:rPr>
        <w:endnoteReference w:id="31"/>
      </w:r>
      <w:r w:rsidR="00875283">
        <w:rPr>
          <w:rFonts w:ascii="Garamond" w:hAnsi="Garamond"/>
        </w:rPr>
        <w:t xml:space="preserve"> </w:t>
      </w:r>
      <w:r w:rsidR="001328C4">
        <w:rPr>
          <w:rFonts w:ascii="Garamond" w:hAnsi="Garamond"/>
        </w:rPr>
        <w:t>Relatedly</w:t>
      </w:r>
      <w:r w:rsidR="005C0401">
        <w:rPr>
          <w:rFonts w:ascii="Garamond" w:hAnsi="Garamond"/>
        </w:rPr>
        <w:t xml:space="preserve">, </w:t>
      </w:r>
      <w:r w:rsidR="00875283">
        <w:rPr>
          <w:rFonts w:ascii="Garamond" w:hAnsi="Garamond"/>
        </w:rPr>
        <w:t xml:space="preserve">it cannot simply be the fact that some activities are valuable </w:t>
      </w:r>
      <w:r w:rsidR="00875283">
        <w:rPr>
          <w:rFonts w:ascii="Garamond" w:hAnsi="Garamond"/>
          <w:i/>
        </w:rPr>
        <w:t>in general</w:t>
      </w:r>
      <w:r w:rsidR="00875283">
        <w:rPr>
          <w:rFonts w:ascii="Garamond" w:hAnsi="Garamond"/>
        </w:rPr>
        <w:t xml:space="preserve">; rather, one must cite the </w:t>
      </w:r>
      <w:r w:rsidR="00875283" w:rsidRPr="00875283">
        <w:rPr>
          <w:rFonts w:ascii="Garamond" w:hAnsi="Garamond"/>
        </w:rPr>
        <w:t>specific</w:t>
      </w:r>
      <w:r w:rsidR="00875283">
        <w:rPr>
          <w:rFonts w:ascii="Garamond" w:hAnsi="Garamond"/>
        </w:rPr>
        <w:t xml:space="preserve"> value of this particular instance of imposing that specific risk. If</w:t>
      </w:r>
      <w:r w:rsidR="005B3095">
        <w:rPr>
          <w:rFonts w:ascii="Garamond" w:hAnsi="Garamond"/>
        </w:rPr>
        <w:t>, during the pandemic,</w:t>
      </w:r>
      <w:r w:rsidR="00875283">
        <w:rPr>
          <w:rFonts w:ascii="Garamond" w:hAnsi="Garamond"/>
        </w:rPr>
        <w:t xml:space="preserve"> I went to the grocery store simply because I wanted to </w:t>
      </w:r>
      <w:r w:rsidR="005C0401">
        <w:rPr>
          <w:rFonts w:ascii="Garamond" w:hAnsi="Garamond"/>
        </w:rPr>
        <w:t>wander the aisles for fun</w:t>
      </w:r>
      <w:r w:rsidR="00875283">
        <w:rPr>
          <w:rFonts w:ascii="Garamond" w:hAnsi="Garamond"/>
        </w:rPr>
        <w:t xml:space="preserve">, this </w:t>
      </w:r>
      <w:r w:rsidR="0035256E">
        <w:rPr>
          <w:rFonts w:ascii="Garamond" w:hAnsi="Garamond"/>
        </w:rPr>
        <w:t xml:space="preserve">is </w:t>
      </w:r>
      <w:r w:rsidR="001328C4">
        <w:rPr>
          <w:rFonts w:ascii="Garamond" w:hAnsi="Garamond"/>
        </w:rPr>
        <w:t>surely in</w:t>
      </w:r>
      <w:r w:rsidR="00875283">
        <w:rPr>
          <w:rFonts w:ascii="Garamond" w:hAnsi="Garamond"/>
        </w:rPr>
        <w:t>sufficiently valuable to justify the accompanying risk imposition.</w:t>
      </w:r>
      <w:r w:rsidR="0035256E">
        <w:rPr>
          <w:rFonts w:ascii="Garamond" w:hAnsi="Garamond"/>
        </w:rPr>
        <w:t xml:space="preserve"> Here a</w:t>
      </w:r>
      <w:r w:rsidR="005C0401">
        <w:rPr>
          <w:rFonts w:ascii="Garamond" w:hAnsi="Garamond"/>
        </w:rPr>
        <w:t xml:space="preserve">gain, the value of the practice is irrelevant </w:t>
      </w:r>
      <w:r w:rsidR="005B3095">
        <w:rPr>
          <w:rFonts w:ascii="Garamond" w:hAnsi="Garamond"/>
        </w:rPr>
        <w:t>to justifying this</w:t>
      </w:r>
      <w:r w:rsidR="005C0401">
        <w:rPr>
          <w:rFonts w:ascii="Garamond" w:hAnsi="Garamond"/>
        </w:rPr>
        <w:t xml:space="preserve"> specific instance of risk imposition.</w:t>
      </w:r>
      <w:r w:rsidR="001328C4">
        <w:rPr>
          <w:rFonts w:ascii="Garamond" w:hAnsi="Garamond"/>
        </w:rPr>
        <w:t xml:space="preserve"> It therefore seems that appealing to the broader prac</w:t>
      </w:r>
      <w:r w:rsidR="00A264CF">
        <w:rPr>
          <w:rFonts w:ascii="Garamond" w:hAnsi="Garamond"/>
        </w:rPr>
        <w:t xml:space="preserve">tice is unlikely to generate the relevant mutual </w:t>
      </w:r>
      <w:r w:rsidR="001328C4">
        <w:rPr>
          <w:rFonts w:ascii="Garamond" w:hAnsi="Garamond"/>
        </w:rPr>
        <w:t>rights waiver after all.</w:t>
      </w:r>
      <w:r w:rsidR="00A264CF">
        <w:rPr>
          <w:rFonts w:ascii="Garamond" w:hAnsi="Garamond"/>
        </w:rPr>
        <w:t xml:space="preserve"> </w:t>
      </w:r>
    </w:p>
    <w:p w14:paraId="6A863499" w14:textId="513DC955" w:rsidR="009B72CA" w:rsidRDefault="00A264CF" w:rsidP="002B75BF">
      <w:pPr>
        <w:spacing w:line="480" w:lineRule="auto"/>
        <w:rPr>
          <w:rFonts w:ascii="Garamond" w:hAnsi="Garamond"/>
        </w:rPr>
      </w:pPr>
      <w:r>
        <w:rPr>
          <w:rFonts w:ascii="Garamond" w:hAnsi="Garamond"/>
        </w:rPr>
        <w:tab/>
        <w:t xml:space="preserve">Before moving on, let me emphasize that </w:t>
      </w:r>
      <w:r w:rsidR="00527285">
        <w:rPr>
          <w:rFonts w:ascii="Garamond" w:hAnsi="Garamond"/>
        </w:rPr>
        <w:t>this section has</w:t>
      </w:r>
      <w:r>
        <w:rPr>
          <w:rFonts w:ascii="Garamond" w:hAnsi="Garamond"/>
        </w:rPr>
        <w:t xml:space="preserve"> focus</w:t>
      </w:r>
      <w:r w:rsidR="00527285">
        <w:rPr>
          <w:rFonts w:ascii="Garamond" w:hAnsi="Garamond"/>
        </w:rPr>
        <w:t>ed</w:t>
      </w:r>
      <w:r>
        <w:rPr>
          <w:rFonts w:ascii="Garamond" w:hAnsi="Garamond"/>
        </w:rPr>
        <w:t xml:space="preserve"> </w:t>
      </w:r>
      <w:r w:rsidR="00527285">
        <w:rPr>
          <w:rFonts w:ascii="Garamond" w:hAnsi="Garamond"/>
        </w:rPr>
        <w:t>only on</w:t>
      </w:r>
      <w:r>
        <w:rPr>
          <w:rFonts w:ascii="Garamond" w:hAnsi="Garamond"/>
        </w:rPr>
        <w:t xml:space="preserve"> arguments concerning the prospects of mutual rights waivers in the pandemic context. I have not attempted to offer a full theory of justified risk imposition; doing so is far beyond the scope </w:t>
      </w:r>
      <w:r>
        <w:rPr>
          <w:rFonts w:ascii="Garamond" w:hAnsi="Garamond"/>
        </w:rPr>
        <w:lastRenderedPageBreak/>
        <w:t xml:space="preserve">of the present paper. </w:t>
      </w:r>
      <w:r w:rsidR="006727CD">
        <w:rPr>
          <w:rFonts w:ascii="Garamond" w:hAnsi="Garamond"/>
        </w:rPr>
        <w:t>But if the arguments above are correct, one of the more plausible avenues for attempting to justify many of the ordinary cases of viral transmission is unsuccessful.</w:t>
      </w:r>
    </w:p>
    <w:p w14:paraId="76B0D41B" w14:textId="1F9F7FA8" w:rsidR="0089763D" w:rsidRDefault="00320693" w:rsidP="00BE178B">
      <w:pPr>
        <w:spacing w:line="480" w:lineRule="auto"/>
        <w:ind w:firstLine="720"/>
        <w:jc w:val="center"/>
        <w:rPr>
          <w:rFonts w:ascii="Garamond" w:hAnsi="Garamond"/>
        </w:rPr>
      </w:pPr>
      <w:r>
        <w:rPr>
          <w:rFonts w:ascii="Garamond" w:hAnsi="Garamond"/>
        </w:rPr>
        <w:t>4.</w:t>
      </w:r>
    </w:p>
    <w:p w14:paraId="6E00B7C4" w14:textId="7F071F35" w:rsidR="00663B76" w:rsidRDefault="008C1586" w:rsidP="008C16F6">
      <w:pPr>
        <w:spacing w:line="480" w:lineRule="auto"/>
        <w:contextualSpacing/>
        <w:rPr>
          <w:rFonts w:ascii="Garamond" w:hAnsi="Garamond" w:cs="Times Roman"/>
          <w:color w:val="000000"/>
        </w:rPr>
      </w:pPr>
      <w:r>
        <w:rPr>
          <w:rFonts w:ascii="Garamond" w:hAnsi="Garamond"/>
        </w:rPr>
        <w:t xml:space="preserve">One might </w:t>
      </w:r>
      <w:r w:rsidR="00A264CF">
        <w:rPr>
          <w:rFonts w:ascii="Garamond" w:hAnsi="Garamond"/>
        </w:rPr>
        <w:t xml:space="preserve">worry that </w:t>
      </w:r>
      <w:r w:rsidR="000C7937">
        <w:rPr>
          <w:rFonts w:ascii="Garamond" w:hAnsi="Garamond"/>
        </w:rPr>
        <w:t xml:space="preserve">the foregoing arguments </w:t>
      </w:r>
      <w:r w:rsidR="00267434">
        <w:rPr>
          <w:rFonts w:ascii="Garamond" w:hAnsi="Garamond"/>
        </w:rPr>
        <w:t>could</w:t>
      </w:r>
      <w:r w:rsidR="000C7937">
        <w:rPr>
          <w:rFonts w:ascii="Garamond" w:hAnsi="Garamond"/>
        </w:rPr>
        <w:t xml:space="preserve"> </w:t>
      </w:r>
      <w:r w:rsidR="00A83CB6">
        <w:rPr>
          <w:rFonts w:ascii="Garamond" w:hAnsi="Garamond"/>
        </w:rPr>
        <w:t>point</w:t>
      </w:r>
      <w:r w:rsidR="0034515F">
        <w:rPr>
          <w:rFonts w:ascii="Garamond" w:hAnsi="Garamond"/>
        </w:rPr>
        <w:t xml:space="preserve"> us </w:t>
      </w:r>
      <w:r w:rsidR="00A83CB6">
        <w:rPr>
          <w:rFonts w:ascii="Garamond" w:hAnsi="Garamond"/>
        </w:rPr>
        <w:t>toward a</w:t>
      </w:r>
      <w:r w:rsidR="0034515F">
        <w:rPr>
          <w:rFonts w:ascii="Garamond" w:hAnsi="Garamond"/>
        </w:rPr>
        <w:t xml:space="preserve"> view</w:t>
      </w:r>
      <w:r w:rsidR="00A264CF">
        <w:rPr>
          <w:rFonts w:ascii="Garamond" w:hAnsi="Garamond"/>
        </w:rPr>
        <w:t xml:space="preserve"> that</w:t>
      </w:r>
      <w:r w:rsidR="004F1332">
        <w:rPr>
          <w:rFonts w:ascii="Garamond" w:hAnsi="Garamond"/>
        </w:rPr>
        <w:t xml:space="preserve"> is</w:t>
      </w:r>
      <w:r w:rsidR="00B3461D">
        <w:rPr>
          <w:rFonts w:ascii="Garamond" w:hAnsi="Garamond"/>
        </w:rPr>
        <w:t xml:space="preserve"> far too demanding. </w:t>
      </w:r>
      <w:r w:rsidR="004F1332">
        <w:rPr>
          <w:rFonts w:ascii="Garamond" w:hAnsi="Garamond"/>
        </w:rPr>
        <w:t xml:space="preserve">It would </w:t>
      </w:r>
      <w:r w:rsidR="00267434">
        <w:rPr>
          <w:rFonts w:ascii="Garamond" w:hAnsi="Garamond"/>
        </w:rPr>
        <w:t>seem to</w:t>
      </w:r>
      <w:r w:rsidR="004F1332">
        <w:rPr>
          <w:rFonts w:ascii="Garamond" w:hAnsi="Garamond"/>
        </w:rPr>
        <w:t xml:space="preserve"> require </w:t>
      </w:r>
      <w:r w:rsidR="005E1C1D">
        <w:rPr>
          <w:rFonts w:ascii="Garamond" w:hAnsi="Garamond"/>
        </w:rPr>
        <w:t>nearly</w:t>
      </w:r>
      <w:r w:rsidR="004F1332">
        <w:rPr>
          <w:rFonts w:ascii="Garamond" w:hAnsi="Garamond"/>
        </w:rPr>
        <w:t xml:space="preserve"> complete isolation for the duration of the pandemic—which, we now know, would have been well over a year. Virtually no one but the most virtuous few, it might be </w:t>
      </w:r>
      <w:r w:rsidR="004F1332" w:rsidRPr="00663B76">
        <w:rPr>
          <w:rFonts w:ascii="Garamond" w:hAnsi="Garamond"/>
        </w:rPr>
        <w:t xml:space="preserve">argued, could abide such restrictions. </w:t>
      </w:r>
      <w:r w:rsidR="00663B76" w:rsidRPr="00663B76">
        <w:rPr>
          <w:rFonts w:ascii="Garamond" w:hAnsi="Garamond"/>
        </w:rPr>
        <w:t>Marcel Verweij makes this point in a more general context concerning duties to avoid infecting others with illnesses like HIV and influenza:</w:t>
      </w:r>
      <w:r w:rsidR="00663B76">
        <w:rPr>
          <w:rFonts w:ascii="Garamond" w:hAnsi="Garamond"/>
        </w:rPr>
        <w:br/>
      </w:r>
    </w:p>
    <w:p w14:paraId="356DA471" w14:textId="6748F650" w:rsidR="00663B76" w:rsidRPr="00663B76" w:rsidRDefault="00663B76" w:rsidP="00BE178B">
      <w:pPr>
        <w:spacing w:line="480" w:lineRule="auto"/>
        <w:ind w:left="720"/>
        <w:contextualSpacing/>
        <w:rPr>
          <w:rFonts w:ascii="Garamond" w:hAnsi="Garamond"/>
        </w:rPr>
      </w:pPr>
      <w:r w:rsidRPr="00663B76">
        <w:rPr>
          <w:rFonts w:ascii="Garamond" w:hAnsi="Garamond" w:cs="Times Roman"/>
          <w:color w:val="000000"/>
        </w:rPr>
        <w:t>Are all proposed implications of</w:t>
      </w:r>
      <w:r>
        <w:rPr>
          <w:rFonts w:ascii="Garamond" w:hAnsi="Garamond" w:cs="Times Roman"/>
          <w:color w:val="000000"/>
        </w:rPr>
        <w:t xml:space="preserve"> a duty to avoid infection war</w:t>
      </w:r>
      <w:r w:rsidRPr="00663B76">
        <w:rPr>
          <w:rFonts w:ascii="Garamond" w:hAnsi="Garamond" w:cs="Times Roman"/>
          <w:color w:val="000000"/>
        </w:rPr>
        <w:t xml:space="preserve">ranted? If we are morally responsible for all avoidable cases of infection, morality would, in Charles </w:t>
      </w:r>
      <w:proofErr w:type="spellStart"/>
      <w:r w:rsidRPr="00663B76">
        <w:rPr>
          <w:rFonts w:ascii="Garamond" w:hAnsi="Garamond" w:cs="Times Roman"/>
          <w:color w:val="000000"/>
        </w:rPr>
        <w:t>Fried’s</w:t>
      </w:r>
      <w:proofErr w:type="spellEnd"/>
      <w:r w:rsidRPr="00663B76">
        <w:rPr>
          <w:rFonts w:ascii="Garamond" w:hAnsi="Garamond" w:cs="Times Roman"/>
          <w:color w:val="000000"/>
        </w:rPr>
        <w:t xml:space="preserve"> terms, </w:t>
      </w:r>
      <w:proofErr w:type="spellStart"/>
      <w:r w:rsidRPr="00663B76">
        <w:rPr>
          <w:rFonts w:ascii="Garamond" w:hAnsi="Garamond" w:cs="Times Roman"/>
          <w:color w:val="000000"/>
        </w:rPr>
        <w:t>paralyse</w:t>
      </w:r>
      <w:proofErr w:type="spellEnd"/>
      <w:r w:rsidRPr="00663B76">
        <w:rPr>
          <w:rFonts w:ascii="Garamond" w:hAnsi="Garamond" w:cs="Times Roman"/>
          <w:color w:val="000000"/>
        </w:rPr>
        <w:t xml:space="preserve"> us or make us obsessed with all possible (even remote risks of) harm.</w:t>
      </w:r>
      <w:r w:rsidRPr="00663B76">
        <w:rPr>
          <w:rFonts w:ascii="Garamond" w:hAnsi="Garamond" w:cs="Times Roman"/>
          <w:color w:val="000000"/>
          <w:position w:val="10"/>
        </w:rPr>
        <w:t xml:space="preserve"> </w:t>
      </w:r>
      <w:r w:rsidRPr="00663B76">
        <w:rPr>
          <w:rFonts w:ascii="Garamond" w:hAnsi="Garamond" w:cs="Times Roman"/>
          <w:color w:val="000000"/>
        </w:rPr>
        <w:t>This seems highly unreasonable. Without limits to our obligations to take precautions against harming others, morality would be over-demanding.</w:t>
      </w:r>
      <w:r w:rsidR="00156131">
        <w:rPr>
          <w:rStyle w:val="EndnoteReference"/>
          <w:rFonts w:ascii="Garamond" w:hAnsi="Garamond" w:cs="Times Roman"/>
          <w:color w:val="000000"/>
        </w:rPr>
        <w:endnoteReference w:id="32"/>
      </w:r>
      <w:r w:rsidR="00156131" w:rsidRPr="00663B76">
        <w:rPr>
          <w:rFonts w:ascii="Garamond" w:hAnsi="Garamond" w:cs="Times Roman"/>
          <w:color w:val="000000"/>
        </w:rPr>
        <w:t xml:space="preserve"> </w:t>
      </w:r>
    </w:p>
    <w:p w14:paraId="5441A75F" w14:textId="77777777" w:rsidR="00663B76" w:rsidRDefault="00663B76" w:rsidP="00BE178B">
      <w:pPr>
        <w:spacing w:line="480" w:lineRule="auto"/>
        <w:ind w:firstLine="720"/>
        <w:contextualSpacing/>
        <w:rPr>
          <w:rFonts w:ascii="Garamond" w:hAnsi="Garamond"/>
        </w:rPr>
      </w:pPr>
    </w:p>
    <w:p w14:paraId="4B5A914E" w14:textId="20B52E0F" w:rsidR="00B3461D" w:rsidRDefault="009D14FA" w:rsidP="00BE178B">
      <w:pPr>
        <w:spacing w:line="480" w:lineRule="auto"/>
        <w:ind w:firstLine="720"/>
        <w:rPr>
          <w:rFonts w:ascii="Garamond" w:hAnsi="Garamond"/>
        </w:rPr>
      </w:pPr>
      <w:r>
        <w:rPr>
          <w:rFonts w:ascii="Garamond" w:hAnsi="Garamond"/>
        </w:rPr>
        <w:t xml:space="preserve">Call this the </w:t>
      </w:r>
      <w:r w:rsidR="00663B76" w:rsidRPr="00095069">
        <w:rPr>
          <w:rFonts w:ascii="Garamond" w:hAnsi="Garamond"/>
          <w:i/>
        </w:rPr>
        <w:t>demandingness worry</w:t>
      </w:r>
      <w:r w:rsidR="00663B76">
        <w:rPr>
          <w:rFonts w:ascii="Garamond" w:hAnsi="Garamond"/>
        </w:rPr>
        <w:t xml:space="preserve">. </w:t>
      </w:r>
      <w:r w:rsidR="003009AC">
        <w:rPr>
          <w:rFonts w:ascii="Garamond" w:hAnsi="Garamond"/>
        </w:rPr>
        <w:t>For some</w:t>
      </w:r>
      <w:r w:rsidR="00663B76">
        <w:rPr>
          <w:rFonts w:ascii="Garamond" w:hAnsi="Garamond"/>
        </w:rPr>
        <w:t xml:space="preserve">, the fact that a proposed moral requirement is over-demanding is </w:t>
      </w:r>
      <w:r w:rsidR="003009AC">
        <w:rPr>
          <w:rFonts w:ascii="Garamond" w:hAnsi="Garamond"/>
        </w:rPr>
        <w:t xml:space="preserve">sufficient </w:t>
      </w:r>
      <w:r w:rsidR="00663B76">
        <w:rPr>
          <w:rFonts w:ascii="Garamond" w:hAnsi="Garamond"/>
        </w:rPr>
        <w:t xml:space="preserve">reason to reject it. This is, after all, the basis for the </w:t>
      </w:r>
      <w:r w:rsidR="00095069">
        <w:rPr>
          <w:rFonts w:ascii="Garamond" w:hAnsi="Garamond"/>
        </w:rPr>
        <w:t xml:space="preserve">classic </w:t>
      </w:r>
      <w:r w:rsidR="00663B76">
        <w:rPr>
          <w:rFonts w:ascii="Garamond" w:hAnsi="Garamond"/>
        </w:rPr>
        <w:t>demandingness objection to utilitarianism, which holds that since utilitarianism would require that we devote our lives to constantly maximizing the good, even at tremendous cost to ourselves</w:t>
      </w:r>
      <w:r w:rsidR="00095069">
        <w:rPr>
          <w:rFonts w:ascii="Garamond" w:hAnsi="Garamond"/>
        </w:rPr>
        <w:t xml:space="preserve"> and our lives’ projects, </w:t>
      </w:r>
      <w:r w:rsidR="00663B76">
        <w:rPr>
          <w:rFonts w:ascii="Garamond" w:hAnsi="Garamond"/>
        </w:rPr>
        <w:t>utilitarianism is implausibly demanding, and therefore false.</w:t>
      </w:r>
      <w:r w:rsidR="003B195F">
        <w:rPr>
          <w:rFonts w:ascii="Garamond" w:hAnsi="Garamond"/>
        </w:rPr>
        <w:t xml:space="preserve"> But there is</w:t>
      </w:r>
      <w:r w:rsidR="003009AC">
        <w:rPr>
          <w:rFonts w:ascii="Garamond" w:hAnsi="Garamond"/>
        </w:rPr>
        <w:t xml:space="preserve"> an important difference between a moral theory that requires a lifelong commitmen</w:t>
      </w:r>
      <w:r w:rsidR="003B195F">
        <w:rPr>
          <w:rFonts w:ascii="Garamond" w:hAnsi="Garamond"/>
        </w:rPr>
        <w:t>t, and one that requires only a</w:t>
      </w:r>
      <w:r w:rsidR="003009AC">
        <w:rPr>
          <w:rFonts w:ascii="Garamond" w:hAnsi="Garamond"/>
        </w:rPr>
        <w:t xml:space="preserve"> </w:t>
      </w:r>
      <w:r w:rsidR="003B195F">
        <w:rPr>
          <w:rFonts w:ascii="Garamond" w:hAnsi="Garamond"/>
        </w:rPr>
        <w:t xml:space="preserve">certain period in which it is especially </w:t>
      </w:r>
      <w:r w:rsidR="003009AC">
        <w:rPr>
          <w:rFonts w:ascii="Garamond" w:hAnsi="Garamond"/>
        </w:rPr>
        <w:lastRenderedPageBreak/>
        <w:t xml:space="preserve">demanding. </w:t>
      </w:r>
      <w:r w:rsidR="003B195F">
        <w:rPr>
          <w:rFonts w:ascii="Garamond" w:hAnsi="Garamond"/>
        </w:rPr>
        <w:t>F</w:t>
      </w:r>
      <w:r w:rsidR="003009AC">
        <w:rPr>
          <w:rFonts w:ascii="Garamond" w:hAnsi="Garamond"/>
        </w:rPr>
        <w:t xml:space="preserve">ew would </w:t>
      </w:r>
      <w:r w:rsidR="003B195F">
        <w:rPr>
          <w:rFonts w:ascii="Garamond" w:hAnsi="Garamond"/>
        </w:rPr>
        <w:t>wish to claim</w:t>
      </w:r>
      <w:r w:rsidR="003009AC">
        <w:rPr>
          <w:rFonts w:ascii="Garamond" w:hAnsi="Garamond"/>
        </w:rPr>
        <w:t xml:space="preserve"> that </w:t>
      </w:r>
      <w:r w:rsidR="003B195F">
        <w:rPr>
          <w:rFonts w:ascii="Garamond" w:hAnsi="Garamond"/>
        </w:rPr>
        <w:t>a theory’s being this demanding for</w:t>
      </w:r>
      <w:r w:rsidR="003009AC">
        <w:rPr>
          <w:rFonts w:ascii="Garamond" w:hAnsi="Garamond"/>
        </w:rPr>
        <w:t xml:space="preserve"> </w:t>
      </w:r>
      <w:r w:rsidR="003009AC">
        <w:rPr>
          <w:rFonts w:ascii="Garamond" w:hAnsi="Garamond"/>
          <w:i/>
        </w:rPr>
        <w:t xml:space="preserve">any </w:t>
      </w:r>
      <w:r w:rsidR="003009AC">
        <w:rPr>
          <w:rFonts w:ascii="Garamond" w:hAnsi="Garamond"/>
        </w:rPr>
        <w:t>period of time (e.g. a few weeks) is reason to abandon it.</w:t>
      </w:r>
      <w:r w:rsidR="003B195F">
        <w:rPr>
          <w:rFonts w:ascii="Garamond" w:hAnsi="Garamond"/>
        </w:rPr>
        <w:t xml:space="preserve"> Moreover, the demandingness of utilitarianism is not just in its duration but </w:t>
      </w:r>
      <w:r>
        <w:rPr>
          <w:rFonts w:ascii="Garamond" w:hAnsi="Garamond"/>
        </w:rPr>
        <w:t>also in its scope: it allows for no latitude in pursuing anything less than that which has maximum utility. But an account</w:t>
      </w:r>
      <w:r w:rsidR="003B195F">
        <w:rPr>
          <w:rFonts w:ascii="Garamond" w:hAnsi="Garamond"/>
        </w:rPr>
        <w:t xml:space="preserve"> that requires one not come into close proximity with others is considerably less demanding. </w:t>
      </w:r>
      <w:r w:rsidR="005679A4">
        <w:rPr>
          <w:rFonts w:ascii="Garamond" w:hAnsi="Garamond"/>
        </w:rPr>
        <w:t xml:space="preserve">Of course, it does not follow from these two points that such a view is not demanding; </w:t>
      </w:r>
      <w:r w:rsidR="006C21E5">
        <w:rPr>
          <w:rFonts w:ascii="Garamond" w:hAnsi="Garamond"/>
        </w:rPr>
        <w:t>something less demanding than utilitarianism can still be overly demanding. However</w:t>
      </w:r>
      <w:r w:rsidR="005679A4">
        <w:rPr>
          <w:rFonts w:ascii="Garamond" w:hAnsi="Garamond"/>
        </w:rPr>
        <w:t xml:space="preserve">, these points </w:t>
      </w:r>
      <w:r w:rsidR="00835804">
        <w:rPr>
          <w:rFonts w:ascii="Garamond" w:hAnsi="Garamond"/>
        </w:rPr>
        <w:t xml:space="preserve">do </w:t>
      </w:r>
      <w:r w:rsidR="006C21E5">
        <w:rPr>
          <w:rFonts w:ascii="Garamond" w:hAnsi="Garamond"/>
        </w:rPr>
        <w:t>suggest that this sort of view</w:t>
      </w:r>
      <w:r w:rsidR="005679A4">
        <w:rPr>
          <w:rFonts w:ascii="Garamond" w:hAnsi="Garamond"/>
        </w:rPr>
        <w:t xml:space="preserve">—one </w:t>
      </w:r>
      <w:r w:rsidR="006C21E5">
        <w:rPr>
          <w:rFonts w:ascii="Garamond" w:hAnsi="Garamond"/>
        </w:rPr>
        <w:t>for which the demands are</w:t>
      </w:r>
      <w:r w:rsidR="005679A4">
        <w:rPr>
          <w:rFonts w:ascii="Garamond" w:hAnsi="Garamond"/>
        </w:rPr>
        <w:t xml:space="preserve"> time-limited and much less pervasive</w:t>
      </w:r>
      <w:r w:rsidR="006C21E5">
        <w:rPr>
          <w:rFonts w:ascii="Garamond" w:hAnsi="Garamond"/>
        </w:rPr>
        <w:t xml:space="preserve">ly applicable—make demands of a </w:t>
      </w:r>
      <w:r w:rsidR="00D27997">
        <w:rPr>
          <w:rFonts w:ascii="Garamond" w:hAnsi="Garamond"/>
        </w:rPr>
        <w:t>rather</w:t>
      </w:r>
      <w:r w:rsidR="006C21E5">
        <w:rPr>
          <w:rFonts w:ascii="Garamond" w:hAnsi="Garamond"/>
        </w:rPr>
        <w:t xml:space="preserve"> restricted sort, and certainly does not leave one ‘paralyzed’ by morality</w:t>
      </w:r>
      <w:r w:rsidR="00D47BA9">
        <w:rPr>
          <w:rFonts w:ascii="Garamond" w:hAnsi="Garamond"/>
        </w:rPr>
        <w:t xml:space="preserve"> in any significant sense</w:t>
      </w:r>
      <w:r w:rsidR="006C21E5">
        <w:rPr>
          <w:rFonts w:ascii="Garamond" w:hAnsi="Garamond"/>
        </w:rPr>
        <w:t xml:space="preserve">. </w:t>
      </w:r>
    </w:p>
    <w:p w14:paraId="2C8F8453" w14:textId="263FEA9A" w:rsidR="008E5EDF" w:rsidRDefault="006C21E5" w:rsidP="00BE178B">
      <w:pPr>
        <w:spacing w:line="480" w:lineRule="auto"/>
        <w:ind w:firstLine="720"/>
        <w:rPr>
          <w:rFonts w:ascii="Garamond" w:hAnsi="Garamond"/>
        </w:rPr>
      </w:pPr>
      <w:r>
        <w:rPr>
          <w:rFonts w:ascii="Garamond" w:hAnsi="Garamond"/>
        </w:rPr>
        <w:t>At any rate, w</w:t>
      </w:r>
      <w:r w:rsidR="009D14FA">
        <w:rPr>
          <w:rFonts w:ascii="Garamond" w:hAnsi="Garamond"/>
        </w:rPr>
        <w:t xml:space="preserve">hile the </w:t>
      </w:r>
      <w:r w:rsidR="00E07E92">
        <w:rPr>
          <w:rFonts w:ascii="Garamond" w:hAnsi="Garamond"/>
        </w:rPr>
        <w:t xml:space="preserve">demandingness worry does not </w:t>
      </w:r>
      <w:r w:rsidR="00835804">
        <w:rPr>
          <w:rFonts w:ascii="Garamond" w:hAnsi="Garamond"/>
        </w:rPr>
        <w:t>tell us much about the</w:t>
      </w:r>
      <w:r w:rsidR="00E07E92">
        <w:rPr>
          <w:rFonts w:ascii="Garamond" w:hAnsi="Garamond"/>
        </w:rPr>
        <w:t xml:space="preserve"> </w:t>
      </w:r>
      <w:r w:rsidR="00835804">
        <w:rPr>
          <w:rFonts w:ascii="Garamond" w:hAnsi="Garamond"/>
        </w:rPr>
        <w:t xml:space="preserve">wrongness of </w:t>
      </w:r>
      <w:r w:rsidR="00E07E92">
        <w:rPr>
          <w:rFonts w:ascii="Garamond" w:hAnsi="Garamond"/>
        </w:rPr>
        <w:t>unintentio</w:t>
      </w:r>
      <w:r w:rsidR="00144611">
        <w:rPr>
          <w:rFonts w:ascii="Garamond" w:hAnsi="Garamond"/>
        </w:rPr>
        <w:t xml:space="preserve">nal infection </w:t>
      </w:r>
      <w:r w:rsidR="00835804">
        <w:rPr>
          <w:rFonts w:ascii="Garamond" w:hAnsi="Garamond"/>
        </w:rPr>
        <w:t>in the ordinary cases</w:t>
      </w:r>
      <w:r w:rsidR="00E07E92">
        <w:rPr>
          <w:rFonts w:ascii="Garamond" w:hAnsi="Garamond"/>
        </w:rPr>
        <w:t xml:space="preserve">, </w:t>
      </w:r>
      <w:r w:rsidR="00081164">
        <w:rPr>
          <w:rFonts w:ascii="Garamond" w:hAnsi="Garamond"/>
        </w:rPr>
        <w:t xml:space="preserve">it </w:t>
      </w:r>
      <w:r w:rsidR="00835804">
        <w:rPr>
          <w:rFonts w:ascii="Garamond" w:hAnsi="Garamond"/>
        </w:rPr>
        <w:t xml:space="preserve">does </w:t>
      </w:r>
      <w:r w:rsidR="003C3449">
        <w:rPr>
          <w:rFonts w:ascii="Garamond" w:hAnsi="Garamond"/>
        </w:rPr>
        <w:t>provide</w:t>
      </w:r>
      <w:r w:rsidR="00144611">
        <w:rPr>
          <w:rFonts w:ascii="Garamond" w:hAnsi="Garamond"/>
        </w:rPr>
        <w:t xml:space="preserve"> us </w:t>
      </w:r>
      <w:r w:rsidR="003C3449">
        <w:rPr>
          <w:rFonts w:ascii="Garamond" w:hAnsi="Garamond"/>
        </w:rPr>
        <w:t>with a basis for</w:t>
      </w:r>
      <w:r w:rsidR="00144611">
        <w:rPr>
          <w:rFonts w:ascii="Garamond" w:hAnsi="Garamond"/>
        </w:rPr>
        <w:t xml:space="preserve"> relax</w:t>
      </w:r>
      <w:r w:rsidR="003C3449">
        <w:rPr>
          <w:rFonts w:ascii="Garamond" w:hAnsi="Garamond"/>
        </w:rPr>
        <w:t>ing</w:t>
      </w:r>
      <w:r w:rsidR="00144611">
        <w:rPr>
          <w:rFonts w:ascii="Garamond" w:hAnsi="Garamond"/>
        </w:rPr>
        <w:t xml:space="preserve"> our views concerning individuals’ </w:t>
      </w:r>
      <w:r w:rsidR="00144611" w:rsidRPr="00144611">
        <w:rPr>
          <w:rFonts w:ascii="Garamond" w:hAnsi="Garamond"/>
          <w:i/>
        </w:rPr>
        <w:t>blameworthiness</w:t>
      </w:r>
      <w:r w:rsidR="00144611">
        <w:rPr>
          <w:rFonts w:ascii="Garamond" w:hAnsi="Garamond"/>
          <w:i/>
        </w:rPr>
        <w:t xml:space="preserve"> </w:t>
      </w:r>
      <w:r w:rsidR="003C3449">
        <w:rPr>
          <w:rFonts w:ascii="Garamond" w:hAnsi="Garamond"/>
        </w:rPr>
        <w:t xml:space="preserve">for </w:t>
      </w:r>
      <w:r w:rsidR="00081164">
        <w:rPr>
          <w:rFonts w:ascii="Garamond" w:hAnsi="Garamond"/>
        </w:rPr>
        <w:t xml:space="preserve">certain of </w:t>
      </w:r>
      <w:r w:rsidR="003C3449">
        <w:rPr>
          <w:rFonts w:ascii="Garamond" w:hAnsi="Garamond"/>
        </w:rPr>
        <w:t xml:space="preserve">these wrongs. In general, the fact that it would be difficult for an individual to avoid doing some wrongful act is not a compelling reason to view that individual as less blameworthy. </w:t>
      </w:r>
      <w:r w:rsidR="00CF0439">
        <w:rPr>
          <w:rFonts w:ascii="Garamond" w:hAnsi="Garamond"/>
        </w:rPr>
        <w:t>Quite simply, m</w:t>
      </w:r>
      <w:r w:rsidR="003C3449">
        <w:rPr>
          <w:rFonts w:ascii="Garamond" w:hAnsi="Garamond"/>
        </w:rPr>
        <w:t xml:space="preserve">orality </w:t>
      </w:r>
      <w:r w:rsidR="009D14FA">
        <w:rPr>
          <w:rFonts w:ascii="Garamond" w:hAnsi="Garamond"/>
        </w:rPr>
        <w:t>makes demands of us, some of which are difficult to satisfy</w:t>
      </w:r>
      <w:r w:rsidR="003C3449">
        <w:rPr>
          <w:rFonts w:ascii="Garamond" w:hAnsi="Garamond"/>
        </w:rPr>
        <w:t xml:space="preserve">. But </w:t>
      </w:r>
      <w:r w:rsidR="00CF0439">
        <w:rPr>
          <w:rFonts w:ascii="Garamond" w:hAnsi="Garamond"/>
        </w:rPr>
        <w:t>a key insight of the demandingness objecti</w:t>
      </w:r>
      <w:r w:rsidR="00081164">
        <w:rPr>
          <w:rFonts w:ascii="Garamond" w:hAnsi="Garamond"/>
        </w:rPr>
        <w:t>on to utilitarianism is that the</w:t>
      </w:r>
      <w:r w:rsidR="00CF0439">
        <w:rPr>
          <w:rFonts w:ascii="Garamond" w:hAnsi="Garamond"/>
        </w:rPr>
        <w:t xml:space="preserve"> concern </w:t>
      </w:r>
      <w:r w:rsidR="00081164">
        <w:rPr>
          <w:rFonts w:ascii="Garamond" w:hAnsi="Garamond"/>
        </w:rPr>
        <w:t xml:space="preserve">about these demands </w:t>
      </w:r>
      <w:r w:rsidR="00CF0439">
        <w:rPr>
          <w:rFonts w:ascii="Garamond" w:hAnsi="Garamond"/>
        </w:rPr>
        <w:t xml:space="preserve">grows as we </w:t>
      </w:r>
      <w:r w:rsidR="00081164">
        <w:rPr>
          <w:rFonts w:ascii="Garamond" w:hAnsi="Garamond"/>
        </w:rPr>
        <w:t>expand our focus</w:t>
      </w:r>
      <w:r w:rsidR="00CF0439">
        <w:rPr>
          <w:rFonts w:ascii="Garamond" w:hAnsi="Garamond"/>
        </w:rPr>
        <w:t xml:space="preserve"> from particular acts in isolation, and instead view the</w:t>
      </w:r>
      <w:r w:rsidR="00081164">
        <w:rPr>
          <w:rFonts w:ascii="Garamond" w:hAnsi="Garamond"/>
        </w:rPr>
        <w:t>se</w:t>
      </w:r>
      <w:r w:rsidR="00CF0439">
        <w:rPr>
          <w:rFonts w:ascii="Garamond" w:hAnsi="Garamond"/>
        </w:rPr>
        <w:t xml:space="preserve"> demands in aggregate, as part of a broader </w:t>
      </w:r>
      <w:r w:rsidR="00081164">
        <w:rPr>
          <w:rFonts w:ascii="Garamond" w:hAnsi="Garamond"/>
        </w:rPr>
        <w:t xml:space="preserve">constraint on one’s behavior over an extended period. This point clearly applies to the pandemic: if, say, the only distinctly demanding aspect were a single one-week quarantine period, then, all else </w:t>
      </w:r>
      <w:r w:rsidR="008C16F6">
        <w:rPr>
          <w:rFonts w:ascii="Garamond" w:hAnsi="Garamond"/>
        </w:rPr>
        <w:t>being</w:t>
      </w:r>
      <w:r w:rsidR="00081164">
        <w:rPr>
          <w:rFonts w:ascii="Garamond" w:hAnsi="Garamond"/>
        </w:rPr>
        <w:t xml:space="preserve"> equal, those who lethally infect others are </w:t>
      </w:r>
      <w:r w:rsidR="009D14FA">
        <w:rPr>
          <w:rFonts w:ascii="Garamond" w:hAnsi="Garamond"/>
        </w:rPr>
        <w:t>nearly</w:t>
      </w:r>
      <w:r w:rsidR="00081164">
        <w:rPr>
          <w:rFonts w:ascii="Garamond" w:hAnsi="Garamond"/>
        </w:rPr>
        <w:t xml:space="preserve"> as blameworthy as they would be in more ordinary contexts. Of course, the demands throughout the pandemic were considerably greater: to adhere perfectly to the view proposed above, most of us would have </w:t>
      </w:r>
      <w:r w:rsidR="00AB273A">
        <w:rPr>
          <w:rFonts w:ascii="Garamond" w:hAnsi="Garamond"/>
        </w:rPr>
        <w:t>had to spend</w:t>
      </w:r>
      <w:r w:rsidR="00081164">
        <w:rPr>
          <w:rFonts w:ascii="Garamond" w:hAnsi="Garamond"/>
        </w:rPr>
        <w:t xml:space="preserve"> </w:t>
      </w:r>
      <w:r w:rsidR="00C9772C">
        <w:rPr>
          <w:rFonts w:ascii="Garamond" w:hAnsi="Garamond"/>
        </w:rPr>
        <w:t xml:space="preserve">well </w:t>
      </w:r>
      <w:r w:rsidR="00081164">
        <w:rPr>
          <w:rFonts w:ascii="Garamond" w:hAnsi="Garamond"/>
        </w:rPr>
        <w:t xml:space="preserve">over a year </w:t>
      </w:r>
      <w:r w:rsidR="00AB273A">
        <w:rPr>
          <w:rFonts w:ascii="Garamond" w:hAnsi="Garamond"/>
        </w:rPr>
        <w:t xml:space="preserve">essentially in </w:t>
      </w:r>
      <w:r w:rsidR="009D14FA">
        <w:rPr>
          <w:rFonts w:ascii="Garamond" w:hAnsi="Garamond"/>
        </w:rPr>
        <w:t xml:space="preserve">complete </w:t>
      </w:r>
      <w:r w:rsidR="00AB273A">
        <w:rPr>
          <w:rFonts w:ascii="Garamond" w:hAnsi="Garamond"/>
        </w:rPr>
        <w:lastRenderedPageBreak/>
        <w:t xml:space="preserve">lockdown. Given the </w:t>
      </w:r>
      <w:r w:rsidR="009D14FA">
        <w:rPr>
          <w:rFonts w:ascii="Garamond" w:hAnsi="Garamond"/>
        </w:rPr>
        <w:t>sheer stringency of this demand—to say nothing of its practical impossibility for many—</w:t>
      </w:r>
      <w:r w:rsidR="00AB273A">
        <w:rPr>
          <w:rFonts w:ascii="Garamond" w:hAnsi="Garamond"/>
        </w:rPr>
        <w:t xml:space="preserve">those who </w:t>
      </w:r>
      <w:r w:rsidR="009D14FA">
        <w:rPr>
          <w:rFonts w:ascii="Garamond" w:hAnsi="Garamond"/>
        </w:rPr>
        <w:t>violated</w:t>
      </w:r>
      <w:r w:rsidR="00AB273A">
        <w:rPr>
          <w:rFonts w:ascii="Garamond" w:hAnsi="Garamond"/>
        </w:rPr>
        <w:t xml:space="preserve"> this requirement on occasion should, in general, be viewed as somewhat (and proportionately) less blameworthy.</w:t>
      </w:r>
    </w:p>
    <w:p w14:paraId="79486D97" w14:textId="7921568E" w:rsidR="003B195F" w:rsidRDefault="00665EFE" w:rsidP="00AC39AC">
      <w:pPr>
        <w:spacing w:line="480" w:lineRule="auto"/>
        <w:ind w:firstLine="720"/>
        <w:rPr>
          <w:rFonts w:ascii="Garamond" w:hAnsi="Garamond"/>
        </w:rPr>
      </w:pPr>
      <w:r>
        <w:rPr>
          <w:rFonts w:ascii="Garamond" w:hAnsi="Garamond"/>
        </w:rPr>
        <w:t>M</w:t>
      </w:r>
      <w:r w:rsidR="00AB273A">
        <w:rPr>
          <w:rFonts w:ascii="Garamond" w:hAnsi="Garamond"/>
        </w:rPr>
        <w:t xml:space="preserve">oral demandingness is </w:t>
      </w:r>
      <w:r w:rsidR="000246E1">
        <w:rPr>
          <w:rFonts w:ascii="Garamond" w:hAnsi="Garamond"/>
        </w:rPr>
        <w:t>not</w:t>
      </w:r>
      <w:r w:rsidR="00AB273A">
        <w:rPr>
          <w:rFonts w:ascii="Garamond" w:hAnsi="Garamond"/>
        </w:rPr>
        <w:t xml:space="preserve"> the </w:t>
      </w:r>
      <w:r w:rsidR="000246E1">
        <w:rPr>
          <w:rFonts w:ascii="Garamond" w:hAnsi="Garamond"/>
        </w:rPr>
        <w:t>only</w:t>
      </w:r>
      <w:r w:rsidR="00AB273A">
        <w:rPr>
          <w:rFonts w:ascii="Garamond" w:hAnsi="Garamond"/>
        </w:rPr>
        <w:t xml:space="preserve"> factor relevant to blameworthiness. </w:t>
      </w:r>
      <w:r w:rsidR="00144611">
        <w:rPr>
          <w:rFonts w:ascii="Garamond" w:hAnsi="Garamond"/>
        </w:rPr>
        <w:t>In general, we ought to view as less blameworthy those who were forced to act under significant epistemic deficits; fac</w:t>
      </w:r>
      <w:r w:rsidR="009D14FA">
        <w:rPr>
          <w:rFonts w:ascii="Garamond" w:hAnsi="Garamond"/>
        </w:rPr>
        <w:t>ed</w:t>
      </w:r>
      <w:r w:rsidR="00144611">
        <w:rPr>
          <w:rFonts w:ascii="Garamond" w:hAnsi="Garamond"/>
        </w:rPr>
        <w:t xml:space="preserve"> </w:t>
      </w:r>
      <w:r w:rsidR="00AB273A">
        <w:rPr>
          <w:rFonts w:ascii="Garamond" w:hAnsi="Garamond"/>
        </w:rPr>
        <w:t>tremendous</w:t>
      </w:r>
      <w:r w:rsidR="00144611">
        <w:rPr>
          <w:rFonts w:ascii="Garamond" w:hAnsi="Garamond"/>
        </w:rPr>
        <w:t xml:space="preserve"> psychological, economic, or </w:t>
      </w:r>
      <w:r w:rsidR="00C9772C">
        <w:rPr>
          <w:rFonts w:ascii="Garamond" w:hAnsi="Garamond"/>
        </w:rPr>
        <w:t>social</w:t>
      </w:r>
      <w:r w:rsidR="009D14FA">
        <w:rPr>
          <w:rFonts w:ascii="Garamond" w:hAnsi="Garamond"/>
        </w:rPr>
        <w:t xml:space="preserve"> pressures; or were</w:t>
      </w:r>
      <w:r w:rsidR="00AB273A">
        <w:rPr>
          <w:rFonts w:ascii="Garamond" w:hAnsi="Garamond"/>
        </w:rPr>
        <w:t xml:space="preserve">, through little fault of their own, </w:t>
      </w:r>
      <w:r w:rsidR="00144611">
        <w:rPr>
          <w:rFonts w:ascii="Garamond" w:hAnsi="Garamond"/>
        </w:rPr>
        <w:t xml:space="preserve">unclear or uncertain </w:t>
      </w:r>
      <w:r w:rsidR="00AB273A">
        <w:rPr>
          <w:rFonts w:ascii="Garamond" w:hAnsi="Garamond"/>
        </w:rPr>
        <w:t>about</w:t>
      </w:r>
      <w:r w:rsidR="00144611">
        <w:rPr>
          <w:rFonts w:ascii="Garamond" w:hAnsi="Garamond"/>
        </w:rPr>
        <w:t xml:space="preserve"> the relevant moral facts governing their circumstances. </w:t>
      </w:r>
      <w:r w:rsidR="008E5EDF">
        <w:rPr>
          <w:rFonts w:ascii="Garamond" w:hAnsi="Garamond"/>
        </w:rPr>
        <w:t xml:space="preserve">Each of these </w:t>
      </w:r>
      <w:r w:rsidR="000246E1">
        <w:rPr>
          <w:rFonts w:ascii="Garamond" w:hAnsi="Garamond"/>
        </w:rPr>
        <w:t>conditions has been</w:t>
      </w:r>
      <w:r w:rsidR="00AB273A">
        <w:rPr>
          <w:rFonts w:ascii="Garamond" w:hAnsi="Garamond"/>
        </w:rPr>
        <w:t xml:space="preserve"> </w:t>
      </w:r>
      <w:r w:rsidR="008E5EDF">
        <w:rPr>
          <w:rFonts w:ascii="Garamond" w:hAnsi="Garamond"/>
        </w:rPr>
        <w:t xml:space="preserve">pervasive throughout the pandemic: most of us </w:t>
      </w:r>
      <w:r w:rsidR="00AB273A">
        <w:rPr>
          <w:rFonts w:ascii="Garamond" w:hAnsi="Garamond"/>
        </w:rPr>
        <w:t>were forced to carry on with our lives</w:t>
      </w:r>
      <w:r w:rsidR="008E5EDF">
        <w:rPr>
          <w:rFonts w:ascii="Garamond" w:hAnsi="Garamond"/>
        </w:rPr>
        <w:t xml:space="preserve"> under significant</w:t>
      </w:r>
      <w:r w:rsidR="00144611">
        <w:rPr>
          <w:rFonts w:ascii="Garamond" w:hAnsi="Garamond"/>
        </w:rPr>
        <w:t xml:space="preserve"> </w:t>
      </w:r>
      <w:r w:rsidR="00AB273A">
        <w:rPr>
          <w:rFonts w:ascii="Garamond" w:hAnsi="Garamond"/>
        </w:rPr>
        <w:t xml:space="preserve">epistemic </w:t>
      </w:r>
      <w:r w:rsidR="009D14FA">
        <w:rPr>
          <w:rFonts w:ascii="Garamond" w:hAnsi="Garamond"/>
        </w:rPr>
        <w:t xml:space="preserve">(or even existential) </w:t>
      </w:r>
      <w:r w:rsidR="00144611">
        <w:rPr>
          <w:rFonts w:ascii="Garamond" w:hAnsi="Garamond"/>
        </w:rPr>
        <w:t>uncertaint</w:t>
      </w:r>
      <w:r w:rsidR="008E5EDF">
        <w:rPr>
          <w:rFonts w:ascii="Garamond" w:hAnsi="Garamond"/>
        </w:rPr>
        <w:t>y;</w:t>
      </w:r>
      <w:r w:rsidR="00144611">
        <w:rPr>
          <w:rFonts w:ascii="Garamond" w:hAnsi="Garamond"/>
        </w:rPr>
        <w:t xml:space="preserve"> </w:t>
      </w:r>
      <w:r w:rsidR="008E5EDF">
        <w:rPr>
          <w:rFonts w:ascii="Garamond" w:hAnsi="Garamond"/>
        </w:rPr>
        <w:t xml:space="preserve">endured tremendous </w:t>
      </w:r>
      <w:r w:rsidR="000246E1">
        <w:rPr>
          <w:rFonts w:ascii="Garamond" w:hAnsi="Garamond"/>
        </w:rPr>
        <w:t>psychological, economic, and social</w:t>
      </w:r>
      <w:r w:rsidR="008E5EDF">
        <w:rPr>
          <w:rFonts w:ascii="Garamond" w:hAnsi="Garamond"/>
        </w:rPr>
        <w:t xml:space="preserve"> </w:t>
      </w:r>
      <w:r w:rsidR="00144611">
        <w:rPr>
          <w:rFonts w:ascii="Garamond" w:hAnsi="Garamond"/>
        </w:rPr>
        <w:t>pressure</w:t>
      </w:r>
      <w:r w:rsidR="00AB273A">
        <w:rPr>
          <w:rFonts w:ascii="Garamond" w:hAnsi="Garamond"/>
        </w:rPr>
        <w:t>s</w:t>
      </w:r>
      <w:r w:rsidR="009D14FA">
        <w:rPr>
          <w:rFonts w:ascii="Garamond" w:hAnsi="Garamond"/>
        </w:rPr>
        <w:t xml:space="preserve">, </w:t>
      </w:r>
      <w:r w:rsidR="000246E1">
        <w:rPr>
          <w:rFonts w:ascii="Garamond" w:hAnsi="Garamond"/>
        </w:rPr>
        <w:t>anxieties</w:t>
      </w:r>
      <w:r w:rsidR="009D14FA">
        <w:rPr>
          <w:rFonts w:ascii="Garamond" w:hAnsi="Garamond"/>
        </w:rPr>
        <w:t>, and harms</w:t>
      </w:r>
      <w:r w:rsidR="000246E1">
        <w:rPr>
          <w:rFonts w:ascii="Garamond" w:hAnsi="Garamond"/>
        </w:rPr>
        <w:t>;</w:t>
      </w:r>
      <w:r w:rsidR="00144611">
        <w:rPr>
          <w:rFonts w:ascii="Garamond" w:hAnsi="Garamond"/>
        </w:rPr>
        <w:t xml:space="preserve"> </w:t>
      </w:r>
      <w:r w:rsidR="008E5EDF">
        <w:rPr>
          <w:rFonts w:ascii="Garamond" w:hAnsi="Garamond"/>
        </w:rPr>
        <w:t xml:space="preserve">and </w:t>
      </w:r>
      <w:r w:rsidR="000246E1">
        <w:rPr>
          <w:rFonts w:ascii="Garamond" w:hAnsi="Garamond"/>
        </w:rPr>
        <w:t xml:space="preserve">had to carry on amidst vague and </w:t>
      </w:r>
      <w:r w:rsidR="00C57BD5">
        <w:rPr>
          <w:rFonts w:ascii="Garamond" w:hAnsi="Garamond"/>
        </w:rPr>
        <w:t>ever-changi</w:t>
      </w:r>
      <w:r w:rsidR="000246E1">
        <w:rPr>
          <w:rFonts w:ascii="Garamond" w:hAnsi="Garamond"/>
        </w:rPr>
        <w:t>ng</w:t>
      </w:r>
      <w:r w:rsidR="008E5EDF">
        <w:rPr>
          <w:rFonts w:ascii="Garamond" w:hAnsi="Garamond"/>
        </w:rPr>
        <w:t xml:space="preserve"> social norms. </w:t>
      </w:r>
      <w:r w:rsidR="00AB273A">
        <w:rPr>
          <w:rFonts w:ascii="Garamond" w:hAnsi="Garamond"/>
        </w:rPr>
        <w:t>In conjunction with the previous point about demandingness, it is clear that while many cases of unintentional transmission are indeed wrong, the individuals responsible ought to be viewed</w:t>
      </w:r>
      <w:r w:rsidR="00C57BD5">
        <w:rPr>
          <w:rFonts w:ascii="Garamond" w:hAnsi="Garamond"/>
        </w:rPr>
        <w:t>, in general, as less blameworthy than in more ordinary contexts</w:t>
      </w:r>
      <w:r w:rsidR="00AB273A">
        <w:rPr>
          <w:rFonts w:ascii="Garamond" w:hAnsi="Garamond"/>
        </w:rPr>
        <w:t>.</w:t>
      </w:r>
      <w:r>
        <w:rPr>
          <w:rFonts w:ascii="Garamond" w:hAnsi="Garamond"/>
        </w:rPr>
        <w:br/>
      </w:r>
      <w:r>
        <w:rPr>
          <w:rFonts w:ascii="Garamond" w:hAnsi="Garamond"/>
        </w:rPr>
        <w:tab/>
      </w:r>
      <w:r w:rsidR="00586317">
        <w:rPr>
          <w:rFonts w:ascii="Garamond" w:hAnsi="Garamond"/>
        </w:rPr>
        <w:t>I</w:t>
      </w:r>
      <w:r>
        <w:rPr>
          <w:rFonts w:ascii="Garamond" w:hAnsi="Garamond"/>
        </w:rPr>
        <w:t xml:space="preserve">t is also </w:t>
      </w:r>
      <w:r w:rsidR="003A6784">
        <w:rPr>
          <w:rFonts w:ascii="Garamond" w:hAnsi="Garamond"/>
        </w:rPr>
        <w:t>worth noting</w:t>
      </w:r>
      <w:r>
        <w:rPr>
          <w:rFonts w:ascii="Garamond" w:hAnsi="Garamond"/>
        </w:rPr>
        <w:t xml:space="preserve"> the </w:t>
      </w:r>
      <w:r w:rsidR="00586317">
        <w:rPr>
          <w:rFonts w:ascii="Garamond" w:hAnsi="Garamond"/>
        </w:rPr>
        <w:t>position of</w:t>
      </w:r>
      <w:r>
        <w:rPr>
          <w:rFonts w:ascii="Garamond" w:hAnsi="Garamond"/>
        </w:rPr>
        <w:t xml:space="preserve"> the would-be blamer. Most of us </w:t>
      </w:r>
      <w:r w:rsidR="00586317">
        <w:rPr>
          <w:rFonts w:ascii="Garamond" w:hAnsi="Garamond"/>
        </w:rPr>
        <w:t xml:space="preserve">lack </w:t>
      </w:r>
      <w:r w:rsidR="00586317" w:rsidRPr="00586317">
        <w:rPr>
          <w:rFonts w:ascii="Garamond" w:hAnsi="Garamond"/>
        </w:rPr>
        <w:t>standing</w:t>
      </w:r>
      <w:r w:rsidR="00586317">
        <w:rPr>
          <w:rFonts w:ascii="Garamond" w:hAnsi="Garamond"/>
        </w:rPr>
        <w:t xml:space="preserve"> to blame</w:t>
      </w:r>
      <w:r>
        <w:rPr>
          <w:rFonts w:ascii="Garamond" w:hAnsi="Garamond"/>
        </w:rPr>
        <w:t xml:space="preserve"> others precisely because we behaved in a quite similar same way. G.A. Cohen puts the point this way: “</w:t>
      </w:r>
      <w:r w:rsidRPr="00665EFE">
        <w:rPr>
          <w:rFonts w:ascii="Garamond" w:hAnsi="Garamond"/>
        </w:rPr>
        <w:t xml:space="preserve">When a person </w:t>
      </w:r>
      <w:r>
        <w:rPr>
          <w:rFonts w:ascii="Garamond" w:hAnsi="Garamond"/>
        </w:rPr>
        <w:t>replies to a critic by saying: ‘</w:t>
      </w:r>
      <w:r w:rsidRPr="00665EFE">
        <w:rPr>
          <w:rFonts w:ascii="Garamond" w:hAnsi="Garamond"/>
        </w:rPr>
        <w:t>Where do you get off</w:t>
      </w:r>
      <w:r>
        <w:rPr>
          <w:rFonts w:ascii="Garamond" w:hAnsi="Garamond"/>
        </w:rPr>
        <w:t xml:space="preserve"> </w:t>
      </w:r>
      <w:r w:rsidRPr="00665EFE">
        <w:rPr>
          <w:rFonts w:ascii="Garamond" w:hAnsi="Garamond"/>
        </w:rPr>
        <w:t>criticizing me for tha</w:t>
      </w:r>
      <w:r>
        <w:rPr>
          <w:rFonts w:ascii="Garamond" w:hAnsi="Garamond"/>
        </w:rPr>
        <w:t>t?’</w:t>
      </w:r>
      <w:r w:rsidRPr="00665EFE">
        <w:rPr>
          <w:rFonts w:ascii="Garamond" w:hAnsi="Garamond"/>
        </w:rPr>
        <w:t>, she is not denying (or, of course, affirming) the</w:t>
      </w:r>
      <w:r>
        <w:rPr>
          <w:rFonts w:ascii="Garamond" w:hAnsi="Garamond"/>
        </w:rPr>
        <w:t xml:space="preserve"> </w:t>
      </w:r>
      <w:r w:rsidRPr="00665EFE">
        <w:rPr>
          <w:rFonts w:ascii="Garamond" w:hAnsi="Garamond"/>
        </w:rPr>
        <w:t>inherent soundness of the critic’s criticism. She is denying her critic’s right to</w:t>
      </w:r>
      <w:r>
        <w:rPr>
          <w:rFonts w:ascii="Garamond" w:hAnsi="Garamond"/>
        </w:rPr>
        <w:t xml:space="preserve"> </w:t>
      </w:r>
      <w:r w:rsidRPr="00665EFE">
        <w:rPr>
          <w:rFonts w:ascii="Garamond" w:hAnsi="Garamond"/>
        </w:rPr>
        <w:t>make that criticism, in a posture of judgment.</w:t>
      </w:r>
      <w:r>
        <w:rPr>
          <w:rFonts w:ascii="Garamond" w:hAnsi="Garamond"/>
        </w:rPr>
        <w:t>”</w:t>
      </w:r>
      <w:r w:rsidR="00156131">
        <w:rPr>
          <w:rStyle w:val="EndnoteReference"/>
          <w:rFonts w:ascii="Garamond" w:hAnsi="Garamond"/>
        </w:rPr>
        <w:endnoteReference w:id="33"/>
      </w:r>
      <w:r w:rsidR="00156131">
        <w:rPr>
          <w:rFonts w:ascii="Garamond" w:hAnsi="Garamond"/>
        </w:rPr>
        <w:t xml:space="preserve"> </w:t>
      </w:r>
      <w:r w:rsidR="003A6784">
        <w:rPr>
          <w:rFonts w:ascii="Garamond" w:hAnsi="Garamond"/>
        </w:rPr>
        <w:t>In other words, the fact that we behaved the same way does not make the wro</w:t>
      </w:r>
      <w:r w:rsidR="008C16F6">
        <w:rPr>
          <w:rFonts w:ascii="Garamond" w:hAnsi="Garamond"/>
        </w:rPr>
        <w:t>ngdoer’s actions any less wrong,</w:t>
      </w:r>
      <w:r w:rsidR="003A6784">
        <w:rPr>
          <w:rFonts w:ascii="Garamond" w:hAnsi="Garamond"/>
        </w:rPr>
        <w:t xml:space="preserve"> but it does make us poorly positioned to criticize them. </w:t>
      </w:r>
      <w:r w:rsidR="00E5508B">
        <w:rPr>
          <w:rFonts w:ascii="Garamond" w:hAnsi="Garamond"/>
        </w:rPr>
        <w:t>(</w:t>
      </w:r>
      <w:r w:rsidR="00C57BD5">
        <w:rPr>
          <w:rFonts w:ascii="Garamond" w:hAnsi="Garamond"/>
        </w:rPr>
        <w:t>T</w:t>
      </w:r>
      <w:r w:rsidR="006042E2">
        <w:rPr>
          <w:rFonts w:ascii="Garamond" w:hAnsi="Garamond"/>
        </w:rPr>
        <w:t xml:space="preserve">he enormous influence of moral luck governing the outcomes </w:t>
      </w:r>
      <w:r w:rsidR="008C16F6">
        <w:rPr>
          <w:rFonts w:ascii="Garamond" w:hAnsi="Garamond"/>
        </w:rPr>
        <w:t xml:space="preserve">in these situations </w:t>
      </w:r>
      <w:r w:rsidR="006042E2">
        <w:rPr>
          <w:rFonts w:ascii="Garamond" w:hAnsi="Garamond"/>
        </w:rPr>
        <w:t xml:space="preserve">further </w:t>
      </w:r>
      <w:r w:rsidR="008C16F6">
        <w:rPr>
          <w:rFonts w:ascii="Garamond" w:hAnsi="Garamond"/>
        </w:rPr>
        <w:t>strengthens</w:t>
      </w:r>
      <w:r w:rsidR="006042E2">
        <w:rPr>
          <w:rFonts w:ascii="Garamond" w:hAnsi="Garamond"/>
        </w:rPr>
        <w:t xml:space="preserve"> this claim</w:t>
      </w:r>
      <w:r w:rsidR="00E5508B">
        <w:rPr>
          <w:rFonts w:ascii="Garamond" w:hAnsi="Garamond"/>
        </w:rPr>
        <w:t xml:space="preserve">.) </w:t>
      </w:r>
      <w:r w:rsidR="006042E2">
        <w:rPr>
          <w:rFonts w:ascii="Garamond" w:hAnsi="Garamond"/>
        </w:rPr>
        <w:t>It turns out</w:t>
      </w:r>
      <w:r w:rsidR="003F0344">
        <w:rPr>
          <w:rFonts w:ascii="Garamond" w:hAnsi="Garamond"/>
        </w:rPr>
        <w:t>, then, that</w:t>
      </w:r>
      <w:r w:rsidR="006042E2">
        <w:rPr>
          <w:rFonts w:ascii="Garamond" w:hAnsi="Garamond"/>
        </w:rPr>
        <w:t xml:space="preserve"> the fact that</w:t>
      </w:r>
      <w:r w:rsidR="003A6784">
        <w:rPr>
          <w:rFonts w:ascii="Garamond" w:hAnsi="Garamond"/>
        </w:rPr>
        <w:t xml:space="preserve"> we impose </w:t>
      </w:r>
      <w:r w:rsidR="006042E2">
        <w:rPr>
          <w:rFonts w:ascii="Garamond" w:hAnsi="Garamond"/>
        </w:rPr>
        <w:t xml:space="preserve">similar </w:t>
      </w:r>
      <w:r w:rsidR="003A6784">
        <w:rPr>
          <w:rFonts w:ascii="Garamond" w:hAnsi="Garamond"/>
        </w:rPr>
        <w:t xml:space="preserve">risks on each </w:t>
      </w:r>
      <w:r w:rsidR="003A6784">
        <w:rPr>
          <w:rFonts w:ascii="Garamond" w:hAnsi="Garamond"/>
        </w:rPr>
        <w:lastRenderedPageBreak/>
        <w:t>other</w:t>
      </w:r>
      <w:r w:rsidR="006042E2">
        <w:rPr>
          <w:rFonts w:ascii="Garamond" w:hAnsi="Garamond"/>
        </w:rPr>
        <w:t xml:space="preserve"> is morally relevant after all</w:t>
      </w:r>
      <w:r w:rsidR="003F0344">
        <w:rPr>
          <w:rFonts w:ascii="Garamond" w:hAnsi="Garamond"/>
        </w:rPr>
        <w:t>—b</w:t>
      </w:r>
      <w:r w:rsidR="006042E2">
        <w:rPr>
          <w:rFonts w:ascii="Garamond" w:hAnsi="Garamond"/>
        </w:rPr>
        <w:t>ut this fact</w:t>
      </w:r>
      <w:r w:rsidR="003A6784">
        <w:rPr>
          <w:rFonts w:ascii="Garamond" w:hAnsi="Garamond"/>
        </w:rPr>
        <w:t xml:space="preserve"> alters </w:t>
      </w:r>
      <w:r w:rsidR="006042E2">
        <w:rPr>
          <w:rFonts w:ascii="Garamond" w:hAnsi="Garamond"/>
        </w:rPr>
        <w:t xml:space="preserve">only </w:t>
      </w:r>
      <w:r w:rsidR="003A6784">
        <w:rPr>
          <w:rFonts w:ascii="Garamond" w:hAnsi="Garamond"/>
        </w:rPr>
        <w:t xml:space="preserve">our ability to blame wrongdoers, not the wrongness of the action itself.  </w:t>
      </w:r>
    </w:p>
    <w:p w14:paraId="0AE09AAF" w14:textId="22A42A00" w:rsidR="00AC39AC" w:rsidRDefault="00AC39AC" w:rsidP="00AC39AC">
      <w:pPr>
        <w:spacing w:line="480" w:lineRule="auto"/>
        <w:ind w:firstLine="720"/>
        <w:rPr>
          <w:rFonts w:ascii="Garamond" w:hAnsi="Garamond"/>
        </w:rPr>
      </w:pPr>
      <w:r>
        <w:rPr>
          <w:rFonts w:ascii="Garamond" w:hAnsi="Garamond"/>
        </w:rPr>
        <w:t xml:space="preserve">A related point concerns how we ought to assess cases in which individuals comply with all relevant guidance from experts—namely, to follow social distancing protocols, wear masks, etc.—and still unintentionally transmit the virus. We might find that in these cases, </w:t>
      </w:r>
      <w:r w:rsidR="00721F9A">
        <w:rPr>
          <w:rFonts w:ascii="Garamond" w:hAnsi="Garamond"/>
        </w:rPr>
        <w:t xml:space="preserve">provided the norms are well-founded, the fact that </w:t>
      </w:r>
      <w:r>
        <w:rPr>
          <w:rFonts w:ascii="Garamond" w:hAnsi="Garamond"/>
        </w:rPr>
        <w:t>individuals acted mor</w:t>
      </w:r>
      <w:r w:rsidR="00721F9A">
        <w:rPr>
          <w:rFonts w:ascii="Garamond" w:hAnsi="Garamond"/>
        </w:rPr>
        <w:t>e or less as the norms required—and, presumably, more or less as we ourselves act—they are significantly less blameworthy than otherwise, and we are not especially well positioned to blame them ourselves.</w:t>
      </w:r>
      <w:r w:rsidR="00C9772C">
        <w:rPr>
          <w:rFonts w:ascii="Garamond" w:hAnsi="Garamond"/>
        </w:rPr>
        <w:t xml:space="preserve"> More generally, we tend to think in a variety of cases that those who behave as recommended, following ‘due care’ guidelines, are less blameworthy for the resulting wrongs. A driver who maintains his car according to the relevant standards, and operates it strictly in accordance with the laws and regulations, but who nevertheless unintentionally kills a pedestrian in a freak event has (I believe) wrongfully killed that pedestrian.</w:t>
      </w:r>
      <w:r w:rsidR="00C9772C">
        <w:rPr>
          <w:rStyle w:val="EndnoteReference"/>
          <w:rFonts w:ascii="Garamond" w:hAnsi="Garamond"/>
        </w:rPr>
        <w:endnoteReference w:id="34"/>
      </w:r>
      <w:r w:rsidR="00C9772C">
        <w:rPr>
          <w:rFonts w:ascii="Garamond" w:hAnsi="Garamond"/>
        </w:rPr>
        <w:t xml:space="preserve"> However, we will surely find it harder to blame him. He did everything right—he proceeded as he was supposed to. The same, I suggest, is true in general of the </w:t>
      </w:r>
      <w:r w:rsidR="00617765">
        <w:rPr>
          <w:rFonts w:ascii="Garamond" w:hAnsi="Garamond"/>
        </w:rPr>
        <w:t>unintentional transmission</w:t>
      </w:r>
      <w:r w:rsidR="00C9772C">
        <w:rPr>
          <w:rFonts w:ascii="Garamond" w:hAnsi="Garamond"/>
        </w:rPr>
        <w:t xml:space="preserve"> case as well.</w:t>
      </w:r>
    </w:p>
    <w:p w14:paraId="034268A5" w14:textId="0D2EBEEF" w:rsidR="000246E1" w:rsidRDefault="00DE4A8A" w:rsidP="00BE178B">
      <w:pPr>
        <w:spacing w:line="480" w:lineRule="auto"/>
        <w:ind w:firstLine="720"/>
        <w:rPr>
          <w:rFonts w:ascii="Garamond" w:hAnsi="Garamond"/>
        </w:rPr>
      </w:pPr>
      <w:r>
        <w:rPr>
          <w:rFonts w:ascii="Garamond" w:hAnsi="Garamond"/>
        </w:rPr>
        <w:t xml:space="preserve">To be clear, </w:t>
      </w:r>
      <w:r w:rsidR="006042E2">
        <w:rPr>
          <w:rFonts w:ascii="Garamond" w:hAnsi="Garamond"/>
        </w:rPr>
        <w:t>I</w:t>
      </w:r>
      <w:r w:rsidR="00665EFE">
        <w:rPr>
          <w:rFonts w:ascii="Garamond" w:hAnsi="Garamond"/>
        </w:rPr>
        <w:t xml:space="preserve"> am </w:t>
      </w:r>
      <w:r w:rsidR="00665EFE" w:rsidRPr="00CE413A">
        <w:rPr>
          <w:rFonts w:ascii="Garamond" w:hAnsi="Garamond"/>
          <w:i/>
        </w:rPr>
        <w:t>not</w:t>
      </w:r>
      <w:r w:rsidR="00665EFE">
        <w:rPr>
          <w:rFonts w:ascii="Garamond" w:hAnsi="Garamond"/>
        </w:rPr>
        <w:t xml:space="preserve"> suggesting that </w:t>
      </w:r>
      <w:r w:rsidR="006042E2">
        <w:rPr>
          <w:rFonts w:ascii="Garamond" w:hAnsi="Garamond"/>
        </w:rPr>
        <w:t>everyone</w:t>
      </w:r>
      <w:r w:rsidR="00665EFE">
        <w:rPr>
          <w:rFonts w:ascii="Garamond" w:hAnsi="Garamond"/>
        </w:rPr>
        <w:t xml:space="preserve"> who</w:t>
      </w:r>
      <w:r w:rsidR="000246E1">
        <w:rPr>
          <w:rFonts w:ascii="Garamond" w:hAnsi="Garamond"/>
        </w:rPr>
        <w:t xml:space="preserve"> </w:t>
      </w:r>
      <w:r w:rsidR="00665EFE">
        <w:rPr>
          <w:rFonts w:ascii="Garamond" w:hAnsi="Garamond"/>
        </w:rPr>
        <w:t>unintentionally transmit</w:t>
      </w:r>
      <w:r w:rsidR="006042E2">
        <w:rPr>
          <w:rFonts w:ascii="Garamond" w:hAnsi="Garamond"/>
        </w:rPr>
        <w:t>s</w:t>
      </w:r>
      <w:r w:rsidR="00665EFE">
        <w:rPr>
          <w:rFonts w:ascii="Garamond" w:hAnsi="Garamond"/>
        </w:rPr>
        <w:t xml:space="preserve"> the virus </w:t>
      </w:r>
      <w:r w:rsidR="006042E2">
        <w:rPr>
          <w:rFonts w:ascii="Garamond" w:hAnsi="Garamond"/>
        </w:rPr>
        <w:t>is</w:t>
      </w:r>
      <w:r w:rsidR="00665EFE">
        <w:rPr>
          <w:rFonts w:ascii="Garamond" w:hAnsi="Garamond"/>
        </w:rPr>
        <w:t xml:space="preserve"> less blameworthy</w:t>
      </w:r>
      <w:r w:rsidR="006042E2">
        <w:rPr>
          <w:rFonts w:ascii="Garamond" w:hAnsi="Garamond"/>
        </w:rPr>
        <w:t xml:space="preserve">. For one thing, not everyone </w:t>
      </w:r>
      <w:r>
        <w:rPr>
          <w:rFonts w:ascii="Garamond" w:hAnsi="Garamond"/>
        </w:rPr>
        <w:t>is</w:t>
      </w:r>
      <w:r w:rsidR="006042E2">
        <w:rPr>
          <w:rFonts w:ascii="Garamond" w:hAnsi="Garamond"/>
        </w:rPr>
        <w:t xml:space="preserve"> affected—at least not equally—by the various limiting factors we canvassed.</w:t>
      </w:r>
      <w:r>
        <w:rPr>
          <w:rFonts w:ascii="Garamond" w:hAnsi="Garamond"/>
        </w:rPr>
        <w:t xml:space="preserve"> More importantly, many of those who unintentionally transmit the virus </w:t>
      </w:r>
      <w:r>
        <w:rPr>
          <w:rFonts w:ascii="Garamond" w:hAnsi="Garamond"/>
          <w:i/>
        </w:rPr>
        <w:t>are</w:t>
      </w:r>
      <w:r>
        <w:rPr>
          <w:rFonts w:ascii="Garamond" w:hAnsi="Garamond"/>
        </w:rPr>
        <w:t xml:space="preserve"> aware of the relevant social norms and their corresponding scientific basis—e.g., the benefits of masks and social distancing—and ignore or deliberately avoid adhering to them</w:t>
      </w:r>
      <w:r w:rsidR="00CE413A">
        <w:rPr>
          <w:rFonts w:ascii="Garamond" w:hAnsi="Garamond"/>
        </w:rPr>
        <w:t xml:space="preserve"> anyway</w:t>
      </w:r>
      <w:r>
        <w:rPr>
          <w:rFonts w:ascii="Garamond" w:hAnsi="Garamond"/>
        </w:rPr>
        <w:t xml:space="preserve">. </w:t>
      </w:r>
      <w:r w:rsidR="00CE413A">
        <w:rPr>
          <w:rFonts w:ascii="Garamond" w:hAnsi="Garamond"/>
        </w:rPr>
        <w:t>In doing so,</w:t>
      </w:r>
      <w:r>
        <w:rPr>
          <w:rFonts w:ascii="Garamond" w:hAnsi="Garamond"/>
        </w:rPr>
        <w:t xml:space="preserve"> </w:t>
      </w:r>
      <w:r w:rsidR="00CE413A">
        <w:rPr>
          <w:rFonts w:ascii="Garamond" w:hAnsi="Garamond"/>
        </w:rPr>
        <w:t xml:space="preserve">they </w:t>
      </w:r>
      <w:r w:rsidR="00B006AF">
        <w:rPr>
          <w:rFonts w:ascii="Garamond" w:hAnsi="Garamond"/>
        </w:rPr>
        <w:t xml:space="preserve">behave negligently or recklessly, </w:t>
      </w:r>
      <w:r>
        <w:rPr>
          <w:rFonts w:ascii="Garamond" w:hAnsi="Garamond"/>
        </w:rPr>
        <w:t>increas</w:t>
      </w:r>
      <w:r w:rsidR="00CE413A">
        <w:rPr>
          <w:rFonts w:ascii="Garamond" w:hAnsi="Garamond"/>
        </w:rPr>
        <w:t>e</w:t>
      </w:r>
      <w:r>
        <w:rPr>
          <w:rFonts w:ascii="Garamond" w:hAnsi="Garamond"/>
        </w:rPr>
        <w:t xml:space="preserve"> the risk</w:t>
      </w:r>
      <w:r w:rsidR="00CE413A">
        <w:rPr>
          <w:rFonts w:ascii="Garamond" w:hAnsi="Garamond"/>
        </w:rPr>
        <w:t>s</w:t>
      </w:r>
      <w:r>
        <w:rPr>
          <w:rFonts w:ascii="Garamond" w:hAnsi="Garamond"/>
        </w:rPr>
        <w:t xml:space="preserve"> they im</w:t>
      </w:r>
      <w:r w:rsidR="00CE413A">
        <w:rPr>
          <w:rFonts w:ascii="Garamond" w:hAnsi="Garamond"/>
        </w:rPr>
        <w:t>pose on others (and themselves)</w:t>
      </w:r>
      <w:r w:rsidR="00B006AF">
        <w:rPr>
          <w:rFonts w:ascii="Garamond" w:hAnsi="Garamond"/>
        </w:rPr>
        <w:t>,</w:t>
      </w:r>
      <w:r w:rsidR="00CE413A">
        <w:rPr>
          <w:rFonts w:ascii="Garamond" w:hAnsi="Garamond"/>
        </w:rPr>
        <w:t xml:space="preserve"> and extend the timeline of the pandemic.</w:t>
      </w:r>
      <w:r>
        <w:rPr>
          <w:rFonts w:ascii="Garamond" w:hAnsi="Garamond"/>
        </w:rPr>
        <w:t xml:space="preserve"> </w:t>
      </w:r>
      <w:r w:rsidR="00CE413A">
        <w:rPr>
          <w:rFonts w:ascii="Garamond" w:hAnsi="Garamond"/>
        </w:rPr>
        <w:t>This gives rise to</w:t>
      </w:r>
      <w:r>
        <w:rPr>
          <w:rFonts w:ascii="Garamond" w:hAnsi="Garamond"/>
        </w:rPr>
        <w:t xml:space="preserve"> a relevant asymmetry between </w:t>
      </w:r>
      <w:r w:rsidR="00CE413A">
        <w:rPr>
          <w:rFonts w:ascii="Garamond" w:hAnsi="Garamond"/>
        </w:rPr>
        <w:t xml:space="preserve">such wrongdoers and </w:t>
      </w:r>
      <w:r w:rsidR="00CE413A">
        <w:rPr>
          <w:rFonts w:ascii="Garamond" w:hAnsi="Garamond"/>
        </w:rPr>
        <w:lastRenderedPageBreak/>
        <w:t>those who generally comply with</w:t>
      </w:r>
      <w:r>
        <w:rPr>
          <w:rFonts w:ascii="Garamond" w:hAnsi="Garamond"/>
        </w:rPr>
        <w:t xml:space="preserve"> the relevant norms, </w:t>
      </w:r>
      <w:r w:rsidR="00CE413A">
        <w:rPr>
          <w:rFonts w:ascii="Garamond" w:hAnsi="Garamond"/>
        </w:rPr>
        <w:t>which</w:t>
      </w:r>
      <w:r>
        <w:rPr>
          <w:rFonts w:ascii="Garamond" w:hAnsi="Garamond"/>
        </w:rPr>
        <w:t xml:space="preserve"> provides the latter with the </w:t>
      </w:r>
      <w:r w:rsidR="00CE413A">
        <w:rPr>
          <w:rFonts w:ascii="Garamond" w:hAnsi="Garamond"/>
        </w:rPr>
        <w:t>appropriate</w:t>
      </w:r>
      <w:r>
        <w:rPr>
          <w:rFonts w:ascii="Garamond" w:hAnsi="Garamond"/>
        </w:rPr>
        <w:t xml:space="preserve"> standing to criticize</w:t>
      </w:r>
      <w:r w:rsidR="00CE413A">
        <w:rPr>
          <w:rFonts w:ascii="Garamond" w:hAnsi="Garamond"/>
        </w:rPr>
        <w:t xml:space="preserve"> and blame</w:t>
      </w:r>
      <w:r>
        <w:rPr>
          <w:rFonts w:ascii="Garamond" w:hAnsi="Garamond"/>
        </w:rPr>
        <w:t xml:space="preserve"> the former.</w:t>
      </w:r>
      <w:r w:rsidR="00AC39AC">
        <w:rPr>
          <w:rFonts w:ascii="Garamond" w:hAnsi="Garamond"/>
        </w:rPr>
        <w:t xml:space="preserve"> </w:t>
      </w:r>
    </w:p>
    <w:p w14:paraId="64B9F39C" w14:textId="114620B1" w:rsidR="00CE413A" w:rsidRDefault="00CE413A" w:rsidP="00BE178B">
      <w:pPr>
        <w:spacing w:line="480" w:lineRule="auto"/>
        <w:ind w:firstLine="720"/>
        <w:rPr>
          <w:rFonts w:ascii="Garamond" w:hAnsi="Garamond"/>
        </w:rPr>
      </w:pPr>
      <w:r>
        <w:rPr>
          <w:rFonts w:ascii="Garamond" w:hAnsi="Garamond"/>
        </w:rPr>
        <w:t xml:space="preserve">In other words, there is a place in our </w:t>
      </w:r>
      <w:r w:rsidR="00A60798">
        <w:rPr>
          <w:rFonts w:ascii="Garamond" w:hAnsi="Garamond"/>
        </w:rPr>
        <w:t>current theory of blame for adherence to these various social norms</w:t>
      </w:r>
      <w:r w:rsidR="00AC39AC">
        <w:rPr>
          <w:rFonts w:ascii="Garamond" w:hAnsi="Garamond"/>
        </w:rPr>
        <w:t xml:space="preserve"> and government mandates</w:t>
      </w:r>
      <w:r w:rsidR="00A60798">
        <w:rPr>
          <w:rFonts w:ascii="Garamond" w:hAnsi="Garamond"/>
        </w:rPr>
        <w:t xml:space="preserve"> (e.g. required quarantines, social distancing, mask wearing, limited social gatherings, etc.). As with our previous point about mutual risk imposition, the idea here is not that adhering to these norms mitigates the wrongnes</w:t>
      </w:r>
      <w:r w:rsidR="00C57BD5">
        <w:rPr>
          <w:rFonts w:ascii="Garamond" w:hAnsi="Garamond"/>
        </w:rPr>
        <w:t>s of unintentional transmission</w:t>
      </w:r>
      <w:r w:rsidR="00A60798">
        <w:rPr>
          <w:rFonts w:ascii="Garamond" w:hAnsi="Garamond"/>
        </w:rPr>
        <w:t>,</w:t>
      </w:r>
      <w:r w:rsidR="00C57BD5">
        <w:rPr>
          <w:rFonts w:ascii="Garamond" w:hAnsi="Garamond"/>
        </w:rPr>
        <w:t xml:space="preserve"> but</w:t>
      </w:r>
      <w:r w:rsidR="00A60798">
        <w:rPr>
          <w:rFonts w:ascii="Garamond" w:hAnsi="Garamond"/>
        </w:rPr>
        <w:t xml:space="preserve"> it does have an effect on our </w:t>
      </w:r>
      <w:r w:rsidR="00DC4901">
        <w:rPr>
          <w:rFonts w:ascii="Garamond" w:hAnsi="Garamond"/>
        </w:rPr>
        <w:t>moral standing to blame others for their actions.</w:t>
      </w:r>
    </w:p>
    <w:p w14:paraId="65851558" w14:textId="24D16660" w:rsidR="00A60798" w:rsidRDefault="00CE413A" w:rsidP="00BE178B">
      <w:pPr>
        <w:spacing w:line="480" w:lineRule="auto"/>
        <w:rPr>
          <w:rFonts w:ascii="Garamond" w:hAnsi="Garamond"/>
        </w:rPr>
      </w:pPr>
      <w:r>
        <w:rPr>
          <w:rFonts w:ascii="Garamond" w:hAnsi="Garamond"/>
        </w:rPr>
        <w:tab/>
        <w:t xml:space="preserve">Taken together, the foregoing points suggest the following view. Adhering perfectly to morality’s demands for the duration of the pandemic would be </w:t>
      </w:r>
      <w:r w:rsidR="00A60798">
        <w:rPr>
          <w:rFonts w:ascii="Garamond" w:hAnsi="Garamond"/>
        </w:rPr>
        <w:t>incredibly</w:t>
      </w:r>
      <w:r>
        <w:rPr>
          <w:rFonts w:ascii="Garamond" w:hAnsi="Garamond"/>
        </w:rPr>
        <w:t xml:space="preserve"> demanding. Indeed, very few of us have even come close to </w:t>
      </w:r>
      <w:r w:rsidR="00A60798">
        <w:rPr>
          <w:rFonts w:ascii="Garamond" w:hAnsi="Garamond"/>
        </w:rPr>
        <w:t>meeting this standard. Further, e</w:t>
      </w:r>
      <w:r>
        <w:rPr>
          <w:rFonts w:ascii="Garamond" w:hAnsi="Garamond"/>
        </w:rPr>
        <w:t>ven imperfect compliance with this standard can take a sizeable toll on one’s well being. Accordingly, in many cases, those who unintentionally transmit the virus should be viewed as less blameworthy for their wrongful action. Moreover, given that most of us behaved similarly, we are not especially well p</w:t>
      </w:r>
      <w:r w:rsidR="00A60798">
        <w:rPr>
          <w:rFonts w:ascii="Garamond" w:hAnsi="Garamond"/>
        </w:rPr>
        <w:t>ositioned to blame them anyhow.</w:t>
      </w:r>
      <w:r w:rsidR="00C57BD5">
        <w:rPr>
          <w:rFonts w:ascii="Garamond" w:hAnsi="Garamond"/>
        </w:rPr>
        <w:t xml:space="preserve"> One</w:t>
      </w:r>
      <w:r w:rsidR="00A60798">
        <w:rPr>
          <w:rFonts w:ascii="Garamond" w:hAnsi="Garamond"/>
        </w:rPr>
        <w:t xml:space="preserve"> overarching </w:t>
      </w:r>
      <w:r w:rsidR="00133930">
        <w:rPr>
          <w:rFonts w:ascii="Garamond" w:hAnsi="Garamond"/>
        </w:rPr>
        <w:t xml:space="preserve">theoretical </w:t>
      </w:r>
      <w:r w:rsidR="00C57BD5">
        <w:rPr>
          <w:rFonts w:ascii="Garamond" w:hAnsi="Garamond"/>
        </w:rPr>
        <w:t>upshot</w:t>
      </w:r>
      <w:r w:rsidR="00133930">
        <w:rPr>
          <w:rFonts w:ascii="Garamond" w:hAnsi="Garamond"/>
        </w:rPr>
        <w:t xml:space="preserve"> here</w:t>
      </w:r>
      <w:r w:rsidR="00A60798">
        <w:rPr>
          <w:rFonts w:ascii="Garamond" w:hAnsi="Garamond"/>
        </w:rPr>
        <w:t xml:space="preserve"> </w:t>
      </w:r>
      <w:r w:rsidR="00C57BD5">
        <w:rPr>
          <w:rFonts w:ascii="Garamond" w:hAnsi="Garamond"/>
        </w:rPr>
        <w:t>is that</w:t>
      </w:r>
      <w:r w:rsidR="00A60798">
        <w:rPr>
          <w:rFonts w:ascii="Garamond" w:hAnsi="Garamond"/>
        </w:rPr>
        <w:t xml:space="preserve"> while there is no basis for a </w:t>
      </w:r>
      <w:r w:rsidR="00A60798" w:rsidRPr="00133930">
        <w:rPr>
          <w:rFonts w:ascii="Garamond" w:hAnsi="Garamond"/>
          <w:i/>
        </w:rPr>
        <w:t>sui generis</w:t>
      </w:r>
      <w:r w:rsidR="00A60798">
        <w:rPr>
          <w:rFonts w:ascii="Garamond" w:hAnsi="Garamond"/>
        </w:rPr>
        <w:t xml:space="preserve"> ‘pandemic ethics’ (in terms of rightness/wrongness), the myriad extreme features applicable in a pandemic </w:t>
      </w:r>
      <w:r w:rsidR="00A60798" w:rsidRPr="00A60798">
        <w:rPr>
          <w:rFonts w:ascii="Garamond" w:hAnsi="Garamond"/>
          <w:i/>
        </w:rPr>
        <w:t>do</w:t>
      </w:r>
      <w:r w:rsidR="00A60798">
        <w:rPr>
          <w:rFonts w:ascii="Garamond" w:hAnsi="Garamond"/>
        </w:rPr>
        <w:t xml:space="preserve"> significantly alter our ordinary expectations for blameworthiness, and in that way constitute a meaningful shift </w:t>
      </w:r>
      <w:r w:rsidR="00133930">
        <w:rPr>
          <w:rFonts w:ascii="Garamond" w:hAnsi="Garamond"/>
        </w:rPr>
        <w:t>in</w:t>
      </w:r>
      <w:r w:rsidR="00A60798">
        <w:rPr>
          <w:rFonts w:ascii="Garamond" w:hAnsi="Garamond"/>
        </w:rPr>
        <w:t xml:space="preserve"> our ethical standards.</w:t>
      </w:r>
    </w:p>
    <w:p w14:paraId="506C23D2" w14:textId="77777777" w:rsidR="00B04844" w:rsidRDefault="00B04844" w:rsidP="00BE178B">
      <w:pPr>
        <w:spacing w:line="480" w:lineRule="auto"/>
        <w:ind w:firstLine="720"/>
        <w:rPr>
          <w:rFonts w:ascii="Garamond" w:hAnsi="Garamond"/>
        </w:rPr>
      </w:pPr>
    </w:p>
    <w:p w14:paraId="751BE1AD" w14:textId="36F8ACC9" w:rsidR="003B0B4F" w:rsidRDefault="00CE2EA4" w:rsidP="00BE178B">
      <w:pPr>
        <w:spacing w:line="480" w:lineRule="auto"/>
        <w:jc w:val="center"/>
        <w:rPr>
          <w:rFonts w:ascii="Garamond" w:hAnsi="Garamond"/>
        </w:rPr>
      </w:pPr>
      <w:r>
        <w:rPr>
          <w:rFonts w:ascii="Garamond" w:hAnsi="Garamond"/>
        </w:rPr>
        <w:t xml:space="preserve">5. </w:t>
      </w:r>
    </w:p>
    <w:p w14:paraId="54792343" w14:textId="3CC614D2" w:rsidR="00225EEA" w:rsidRDefault="00100AC3" w:rsidP="00225EEA">
      <w:pPr>
        <w:spacing w:line="480" w:lineRule="auto"/>
        <w:rPr>
          <w:rFonts w:ascii="Garamond" w:hAnsi="Garamond"/>
        </w:rPr>
      </w:pPr>
      <w:r>
        <w:rPr>
          <w:rFonts w:ascii="Garamond" w:hAnsi="Garamond"/>
        </w:rPr>
        <w:t xml:space="preserve">As I noted at the outset, my focus in this essay has not been on criticizing, defending, or proposing any specific policies for governments, medical institutions, or healthcare professionals. Rather, my goal </w:t>
      </w:r>
      <w:r w:rsidR="00297980">
        <w:rPr>
          <w:rFonts w:ascii="Garamond" w:hAnsi="Garamond"/>
        </w:rPr>
        <w:t>has been</w:t>
      </w:r>
      <w:r>
        <w:rPr>
          <w:rFonts w:ascii="Garamond" w:hAnsi="Garamond"/>
        </w:rPr>
        <w:t xml:space="preserve"> to explore </w:t>
      </w:r>
      <w:r w:rsidR="00297980">
        <w:rPr>
          <w:rFonts w:ascii="Garamond" w:hAnsi="Garamond"/>
        </w:rPr>
        <w:t>certain</w:t>
      </w:r>
      <w:r>
        <w:rPr>
          <w:rFonts w:ascii="Garamond" w:hAnsi="Garamond"/>
        </w:rPr>
        <w:t xml:space="preserve"> ethical questions surrounding the </w:t>
      </w:r>
      <w:r>
        <w:rPr>
          <w:rFonts w:ascii="Garamond" w:hAnsi="Garamond"/>
        </w:rPr>
        <w:lastRenderedPageBreak/>
        <w:t xml:space="preserve">ordinary cases of unintentional transmission of COVID-19. </w:t>
      </w:r>
      <w:r w:rsidR="00225EEA">
        <w:rPr>
          <w:rFonts w:ascii="Garamond" w:hAnsi="Garamond"/>
        </w:rPr>
        <w:t>However,</w:t>
      </w:r>
      <w:r>
        <w:rPr>
          <w:rFonts w:ascii="Garamond" w:hAnsi="Garamond"/>
        </w:rPr>
        <w:t xml:space="preserve"> </w:t>
      </w:r>
      <w:r w:rsidR="00297980">
        <w:rPr>
          <w:rFonts w:ascii="Garamond" w:hAnsi="Garamond"/>
        </w:rPr>
        <w:t>the</w:t>
      </w:r>
      <w:r>
        <w:rPr>
          <w:rFonts w:ascii="Garamond" w:hAnsi="Garamond"/>
        </w:rPr>
        <w:t xml:space="preserve"> conclusions</w:t>
      </w:r>
      <w:r w:rsidR="00297980">
        <w:rPr>
          <w:rFonts w:ascii="Garamond" w:hAnsi="Garamond"/>
        </w:rPr>
        <w:t xml:space="preserve"> of our discussion</w:t>
      </w:r>
      <w:r>
        <w:rPr>
          <w:rFonts w:ascii="Garamond" w:hAnsi="Garamond"/>
        </w:rPr>
        <w:t xml:space="preserve"> are </w:t>
      </w:r>
      <w:r w:rsidR="00297980">
        <w:rPr>
          <w:rFonts w:ascii="Garamond" w:hAnsi="Garamond"/>
        </w:rPr>
        <w:t>not entirely ir</w:t>
      </w:r>
      <w:r>
        <w:rPr>
          <w:rFonts w:ascii="Garamond" w:hAnsi="Garamond"/>
        </w:rPr>
        <w:t xml:space="preserve">relevant to these policy questions. In particular, </w:t>
      </w:r>
      <w:r w:rsidR="001373CC">
        <w:rPr>
          <w:rFonts w:ascii="Garamond" w:hAnsi="Garamond"/>
        </w:rPr>
        <w:t>t</w:t>
      </w:r>
      <w:r w:rsidR="00DE2700">
        <w:rPr>
          <w:rFonts w:ascii="Garamond" w:hAnsi="Garamond"/>
        </w:rPr>
        <w:t>he fact t</w:t>
      </w:r>
      <w:r w:rsidR="007231AE">
        <w:rPr>
          <w:rFonts w:ascii="Garamond" w:hAnsi="Garamond"/>
        </w:rPr>
        <w:t xml:space="preserve">hat </w:t>
      </w:r>
      <w:r w:rsidR="00101B3B">
        <w:rPr>
          <w:rFonts w:ascii="Garamond" w:hAnsi="Garamond"/>
        </w:rPr>
        <w:t xml:space="preserve">most of those who </w:t>
      </w:r>
      <w:r w:rsidR="007231AE">
        <w:rPr>
          <w:rFonts w:ascii="Garamond" w:hAnsi="Garamond"/>
        </w:rPr>
        <w:t>unintentional</w:t>
      </w:r>
      <w:r w:rsidR="00101B3B">
        <w:rPr>
          <w:rFonts w:ascii="Garamond" w:hAnsi="Garamond"/>
        </w:rPr>
        <w:t>ly</w:t>
      </w:r>
      <w:r w:rsidR="007231AE">
        <w:rPr>
          <w:rFonts w:ascii="Garamond" w:hAnsi="Garamond"/>
        </w:rPr>
        <w:t xml:space="preserve"> transmi</w:t>
      </w:r>
      <w:r w:rsidR="00101B3B">
        <w:rPr>
          <w:rFonts w:ascii="Garamond" w:hAnsi="Garamond"/>
        </w:rPr>
        <w:t xml:space="preserve">t the virus </w:t>
      </w:r>
      <w:r w:rsidR="007231AE">
        <w:rPr>
          <w:rFonts w:ascii="Garamond" w:hAnsi="Garamond"/>
        </w:rPr>
        <w:t>still</w:t>
      </w:r>
      <w:r w:rsidR="00101B3B">
        <w:rPr>
          <w:rFonts w:ascii="Garamond" w:hAnsi="Garamond"/>
        </w:rPr>
        <w:t xml:space="preserve"> act</w:t>
      </w:r>
      <w:r w:rsidR="007231AE">
        <w:rPr>
          <w:rFonts w:ascii="Garamond" w:hAnsi="Garamond"/>
        </w:rPr>
        <w:t xml:space="preserve"> morally wrong</w:t>
      </w:r>
      <w:r w:rsidR="00101B3B">
        <w:rPr>
          <w:rFonts w:ascii="Garamond" w:hAnsi="Garamond"/>
        </w:rPr>
        <w:t>ly, and yet are mostly not blameworthy,</w:t>
      </w:r>
      <w:r w:rsidR="007231AE">
        <w:rPr>
          <w:rFonts w:ascii="Garamond" w:hAnsi="Garamond"/>
        </w:rPr>
        <w:t xml:space="preserve"> </w:t>
      </w:r>
      <w:r w:rsidR="00101B3B">
        <w:rPr>
          <w:rFonts w:ascii="Garamond" w:hAnsi="Garamond"/>
        </w:rPr>
        <w:t>can both illuminate and bolster the</w:t>
      </w:r>
      <w:r w:rsidR="00DE2700">
        <w:rPr>
          <w:rFonts w:ascii="Garamond" w:hAnsi="Garamond"/>
        </w:rPr>
        <w:t xml:space="preserve"> </w:t>
      </w:r>
      <w:r w:rsidR="00101B3B">
        <w:rPr>
          <w:rFonts w:ascii="Garamond" w:hAnsi="Garamond"/>
        </w:rPr>
        <w:t>ethical justifications for</w:t>
      </w:r>
      <w:r w:rsidR="007231AE">
        <w:rPr>
          <w:rFonts w:ascii="Garamond" w:hAnsi="Garamond"/>
        </w:rPr>
        <w:t xml:space="preserve"> certain governmental restrictions</w:t>
      </w:r>
      <w:r>
        <w:rPr>
          <w:rFonts w:ascii="Garamond" w:hAnsi="Garamond"/>
        </w:rPr>
        <w:t>, such as l</w:t>
      </w:r>
      <w:r w:rsidR="00DE2700">
        <w:rPr>
          <w:rFonts w:ascii="Garamond" w:hAnsi="Garamond"/>
        </w:rPr>
        <w:t xml:space="preserve">ockdowns or quarantines, mask ordinances, and vaccination requirements. </w:t>
      </w:r>
      <w:r>
        <w:rPr>
          <w:rFonts w:ascii="Garamond" w:hAnsi="Garamond"/>
        </w:rPr>
        <w:t xml:space="preserve">In short, the fact that one not only </w:t>
      </w:r>
      <w:r>
        <w:rPr>
          <w:rFonts w:ascii="Garamond" w:hAnsi="Garamond"/>
          <w:i/>
        </w:rPr>
        <w:t xml:space="preserve">harms </w:t>
      </w:r>
      <w:r>
        <w:rPr>
          <w:rFonts w:ascii="Garamond" w:hAnsi="Garamond"/>
        </w:rPr>
        <w:t xml:space="preserve">but </w:t>
      </w:r>
      <w:r>
        <w:rPr>
          <w:rFonts w:ascii="Garamond" w:hAnsi="Garamond"/>
          <w:i/>
        </w:rPr>
        <w:t>wrongfully harms</w:t>
      </w:r>
      <w:r>
        <w:rPr>
          <w:rFonts w:ascii="Garamond" w:hAnsi="Garamond"/>
        </w:rPr>
        <w:t xml:space="preserve"> others</w:t>
      </w:r>
      <w:r w:rsidR="00BD2065">
        <w:rPr>
          <w:rFonts w:ascii="Garamond" w:hAnsi="Garamond"/>
        </w:rPr>
        <w:t>—indeed, violates their rights—</w:t>
      </w:r>
      <w:r>
        <w:rPr>
          <w:rFonts w:ascii="Garamond" w:hAnsi="Garamond"/>
        </w:rPr>
        <w:t xml:space="preserve">by unintentionally transmitting the virus to them bolsters other </w:t>
      </w:r>
      <w:r w:rsidR="00BD2065">
        <w:rPr>
          <w:rFonts w:ascii="Garamond" w:hAnsi="Garamond"/>
        </w:rPr>
        <w:t xml:space="preserve">existing </w:t>
      </w:r>
      <w:r>
        <w:rPr>
          <w:rFonts w:ascii="Garamond" w:hAnsi="Garamond"/>
        </w:rPr>
        <w:t xml:space="preserve">justifications for these policies, many of which are based in more instrumental or practical (as opposed to ethical) considerations. </w:t>
      </w:r>
      <w:r w:rsidR="00BD2065">
        <w:rPr>
          <w:rFonts w:ascii="Garamond" w:hAnsi="Garamond"/>
        </w:rPr>
        <w:t>The mutual risk imposition view sketched above would seem incapable of offering much support here, since in those cases, the individuals’ rights have been waived, and the harms that befall t</w:t>
      </w:r>
      <w:r w:rsidR="00225EEA">
        <w:rPr>
          <w:rFonts w:ascii="Garamond" w:hAnsi="Garamond"/>
        </w:rPr>
        <w:t xml:space="preserve">hem are therefore not wrongful; it is comparatively much more difficult for the government to justify restricting encounters in which individuals have waived their rights against the relevant harms. </w:t>
      </w:r>
    </w:p>
    <w:p w14:paraId="4642DC59" w14:textId="4A60EB76" w:rsidR="00DE2700" w:rsidRPr="00100AC3" w:rsidRDefault="00BD2065" w:rsidP="00225EEA">
      <w:pPr>
        <w:spacing w:line="480" w:lineRule="auto"/>
        <w:ind w:firstLine="720"/>
        <w:rPr>
          <w:rFonts w:ascii="Garamond" w:hAnsi="Garamond"/>
        </w:rPr>
      </w:pPr>
      <w:r>
        <w:rPr>
          <w:rFonts w:ascii="Garamond" w:hAnsi="Garamond"/>
        </w:rPr>
        <w:t>Our discussion of blameworthiness also has application in criminal law contexts. It would of course be enormously difficult to prosecute all those responsible for cases of lethal virus transmission. For one thing, it would be difficult to prove causation in most cases</w:t>
      </w:r>
      <w:r w:rsidR="00225EEA">
        <w:rPr>
          <w:rFonts w:ascii="Garamond" w:hAnsi="Garamond"/>
        </w:rPr>
        <w:t>, even with the most advanced forms of contact tracing. M</w:t>
      </w:r>
      <w:r>
        <w:rPr>
          <w:rFonts w:ascii="Garamond" w:hAnsi="Garamond"/>
        </w:rPr>
        <w:t xml:space="preserve">oreover, given the sheer volume of cases this would create, it would be infeasible in nearly all jurisdictions. </w:t>
      </w:r>
      <w:r w:rsidR="00A71F59">
        <w:rPr>
          <w:rFonts w:ascii="Garamond" w:hAnsi="Garamond"/>
        </w:rPr>
        <w:t>Furthermore, many jurisdictions would require proving the individual behaved negligently or recklessly, and not merely that one caused the death. And this, of course, would be prohibitively difficult in all but the most clear-cut cases.</w:t>
      </w:r>
      <w:r w:rsidR="00617765">
        <w:rPr>
          <w:rStyle w:val="EndnoteReference"/>
          <w:rFonts w:ascii="Garamond" w:hAnsi="Garamond"/>
        </w:rPr>
        <w:endnoteReference w:id="35"/>
      </w:r>
      <w:r w:rsidR="00A71F59">
        <w:rPr>
          <w:rFonts w:ascii="Garamond" w:hAnsi="Garamond"/>
        </w:rPr>
        <w:t xml:space="preserve"> </w:t>
      </w:r>
      <w:r>
        <w:rPr>
          <w:rFonts w:ascii="Garamond" w:hAnsi="Garamond"/>
        </w:rPr>
        <w:t xml:space="preserve">Apart from these practical considerations, </w:t>
      </w:r>
      <w:r w:rsidR="00225EEA">
        <w:rPr>
          <w:rFonts w:ascii="Garamond" w:hAnsi="Garamond"/>
        </w:rPr>
        <w:t xml:space="preserve">though, </w:t>
      </w:r>
      <w:r w:rsidR="00100AC3">
        <w:rPr>
          <w:rFonts w:ascii="Garamond" w:hAnsi="Garamond"/>
        </w:rPr>
        <w:t>the fact that</w:t>
      </w:r>
      <w:r>
        <w:rPr>
          <w:rFonts w:ascii="Garamond" w:hAnsi="Garamond"/>
        </w:rPr>
        <w:t xml:space="preserve"> these </w:t>
      </w:r>
      <w:r w:rsidR="00100AC3">
        <w:rPr>
          <w:rFonts w:ascii="Garamond" w:hAnsi="Garamond"/>
        </w:rPr>
        <w:t>individuals are</w:t>
      </w:r>
      <w:r>
        <w:rPr>
          <w:rFonts w:ascii="Garamond" w:hAnsi="Garamond"/>
        </w:rPr>
        <w:t xml:space="preserve"> typically not blameworthy for the</w:t>
      </w:r>
      <w:r w:rsidR="00100AC3">
        <w:rPr>
          <w:rFonts w:ascii="Garamond" w:hAnsi="Garamond"/>
        </w:rPr>
        <w:t xml:space="preserve"> harms</w:t>
      </w:r>
      <w:r>
        <w:rPr>
          <w:rFonts w:ascii="Garamond" w:hAnsi="Garamond"/>
        </w:rPr>
        <w:t xml:space="preserve"> they cause</w:t>
      </w:r>
      <w:r w:rsidR="00100AC3">
        <w:rPr>
          <w:rFonts w:ascii="Garamond" w:hAnsi="Garamond"/>
        </w:rPr>
        <w:t xml:space="preserve"> </w:t>
      </w:r>
      <w:r>
        <w:rPr>
          <w:rFonts w:ascii="Garamond" w:hAnsi="Garamond"/>
        </w:rPr>
        <w:t xml:space="preserve">might play a </w:t>
      </w:r>
      <w:r>
        <w:rPr>
          <w:rFonts w:ascii="Garamond" w:hAnsi="Garamond"/>
        </w:rPr>
        <w:lastRenderedPageBreak/>
        <w:t>not insignificant role in justifying the decision not to pursue criminal charges</w:t>
      </w:r>
      <w:r w:rsidR="00297980">
        <w:rPr>
          <w:rFonts w:ascii="Garamond" w:hAnsi="Garamond"/>
        </w:rPr>
        <w:t xml:space="preserve"> against those who cause these deaths</w:t>
      </w:r>
      <w:r>
        <w:rPr>
          <w:rFonts w:ascii="Garamond" w:hAnsi="Garamond"/>
        </w:rPr>
        <w:t>.</w:t>
      </w:r>
    </w:p>
    <w:p w14:paraId="61AE5852" w14:textId="440A1351" w:rsidR="004772ED" w:rsidRDefault="00297980" w:rsidP="00BE178B">
      <w:pPr>
        <w:spacing w:line="480" w:lineRule="auto"/>
        <w:ind w:firstLine="720"/>
        <w:rPr>
          <w:rFonts w:ascii="Garamond" w:hAnsi="Garamond"/>
        </w:rPr>
      </w:pPr>
      <w:r>
        <w:rPr>
          <w:rFonts w:ascii="Garamond" w:hAnsi="Garamond"/>
        </w:rPr>
        <w:t>The arguments of this essay also have relevance beyond the current pandemic. Of course, issues like these</w:t>
      </w:r>
      <w:r w:rsidR="00BE178B">
        <w:rPr>
          <w:rFonts w:ascii="Garamond" w:hAnsi="Garamond"/>
        </w:rPr>
        <w:t xml:space="preserve"> might arise in future pandemics. But the central questions surrounding unintentional harms, reciprocal risk imposition, and standards of blame have wide application—for example, </w:t>
      </w:r>
      <w:r w:rsidR="003F0344">
        <w:rPr>
          <w:rFonts w:ascii="Garamond" w:hAnsi="Garamond"/>
        </w:rPr>
        <w:t xml:space="preserve">with respect to </w:t>
      </w:r>
      <w:r w:rsidR="00BE178B">
        <w:rPr>
          <w:rFonts w:ascii="Garamond" w:hAnsi="Garamond"/>
        </w:rPr>
        <w:t>other viruses like influenza, sexually-transmitted diseases lik</w:t>
      </w:r>
      <w:r w:rsidR="003F0344">
        <w:rPr>
          <w:rFonts w:ascii="Garamond" w:hAnsi="Garamond"/>
        </w:rPr>
        <w:t>e HIV, and many other contexts.</w:t>
      </w:r>
      <w:r w:rsidR="00BE178B">
        <w:rPr>
          <w:rFonts w:ascii="Garamond" w:hAnsi="Garamond"/>
        </w:rPr>
        <w:t xml:space="preserve"> </w:t>
      </w:r>
      <w:r w:rsidR="003F0344">
        <w:rPr>
          <w:rFonts w:ascii="Garamond" w:hAnsi="Garamond"/>
        </w:rPr>
        <w:t>Thus, while the focus of this essay wa</w:t>
      </w:r>
      <w:r w:rsidR="00DC4901">
        <w:rPr>
          <w:rFonts w:ascii="Garamond" w:hAnsi="Garamond"/>
        </w:rPr>
        <w:t>s</w:t>
      </w:r>
      <w:r w:rsidR="003F0344">
        <w:rPr>
          <w:rFonts w:ascii="Garamond" w:hAnsi="Garamond"/>
        </w:rPr>
        <w:t xml:space="preserve"> somewhat narrow, I am hopeful that </w:t>
      </w:r>
      <w:r w:rsidR="00BE178B">
        <w:rPr>
          <w:rFonts w:ascii="Garamond" w:hAnsi="Garamond"/>
        </w:rPr>
        <w:t xml:space="preserve">the </w:t>
      </w:r>
      <w:r w:rsidR="003F0344">
        <w:rPr>
          <w:rFonts w:ascii="Garamond" w:hAnsi="Garamond"/>
        </w:rPr>
        <w:t xml:space="preserve">central </w:t>
      </w:r>
      <w:r w:rsidR="00BE178B">
        <w:rPr>
          <w:rFonts w:ascii="Garamond" w:hAnsi="Garamond"/>
        </w:rPr>
        <w:t xml:space="preserve">points raised here </w:t>
      </w:r>
      <w:r w:rsidR="00032268">
        <w:rPr>
          <w:rFonts w:ascii="Garamond" w:hAnsi="Garamond"/>
        </w:rPr>
        <w:t>might</w:t>
      </w:r>
      <w:r w:rsidR="00914378">
        <w:rPr>
          <w:rFonts w:ascii="Garamond" w:hAnsi="Garamond"/>
        </w:rPr>
        <w:t xml:space="preserve"> shed light on a range of related issues</w:t>
      </w:r>
      <w:r w:rsidR="003F0344">
        <w:rPr>
          <w:rFonts w:ascii="Garamond" w:hAnsi="Garamond"/>
        </w:rPr>
        <w:t xml:space="preserve"> in a variety of other areas</w:t>
      </w:r>
      <w:r w:rsidR="00BE178B">
        <w:rPr>
          <w:rFonts w:ascii="Garamond" w:hAnsi="Garamond"/>
        </w:rPr>
        <w:t>.</w:t>
      </w:r>
    </w:p>
    <w:p w14:paraId="06DFFC54" w14:textId="5E9B4749" w:rsidR="00BE178B" w:rsidRDefault="00BE178B" w:rsidP="00AC39AC">
      <w:pPr>
        <w:spacing w:line="480" w:lineRule="auto"/>
        <w:rPr>
          <w:rFonts w:ascii="Garamond" w:hAnsi="Garamond"/>
        </w:rPr>
      </w:pPr>
    </w:p>
    <w:sectPr w:rsidR="00BE178B" w:rsidSect="001E674F">
      <w:footerReference w:type="even" r:id="rId9"/>
      <w:footerReference w:type="default" r:id="rId10"/>
      <w:endnotePr>
        <w:numFmt w:val="decimal"/>
      </w:endnotePr>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2B3BF" w15:done="0"/>
  <w15:commentEx w15:paraId="54324D89" w15:done="0"/>
  <w15:commentEx w15:paraId="46E06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5C27" w16cex:dateUtc="2021-10-29T15:40:00Z"/>
  <w16cex:commentExtensible w16cex:durableId="25265C3E" w16cex:dateUtc="2021-10-29T15:40:00Z"/>
  <w16cex:commentExtensible w16cex:durableId="25265CB0" w16cex:dateUtc="2021-10-29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2B3BF" w16cid:durableId="25265C27"/>
  <w16cid:commentId w16cid:paraId="54324D89" w16cid:durableId="25265C3E"/>
  <w16cid:commentId w16cid:paraId="46E069CD" w16cid:durableId="25265CB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196A9" w14:textId="77777777" w:rsidR="00F3637A" w:rsidRDefault="00F3637A" w:rsidP="00E55DC2">
      <w:r>
        <w:separator/>
      </w:r>
    </w:p>
  </w:endnote>
  <w:endnote w:type="continuationSeparator" w:id="0">
    <w:p w14:paraId="18A14BE3" w14:textId="77777777" w:rsidR="00F3637A" w:rsidRDefault="00F3637A" w:rsidP="00E55DC2">
      <w:r>
        <w:continuationSeparator/>
      </w:r>
    </w:p>
  </w:endnote>
  <w:endnote w:id="1">
    <w:p w14:paraId="0BE47E7A" w14:textId="18926570" w:rsidR="00F3637A" w:rsidRPr="00145809" w:rsidRDefault="00F3637A" w:rsidP="001826D4">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{"citationID":"OOoq7zHC","properties":{"formattedCitation":"Robert D. Truog, Christine Mitchell, and George Q. Daley, \\uc0\\u8220{}The Toughest Triage: Allocating Ventilators in a Pandemic,\\uc0\\u8221{} {\\i{}New England Journal of Medicine} 382 (May 21, 2020): 1973\\uc0\\u8211{}75.","plainCitation":"Robert D. Truog, Christine Mitchell, and George Q. Daley, “The Toughest Triage: Allocating Ventilators in a Pandemic,” New England Journal of Medicine 382 (May 21, 2020): 1973–75.","noteIndex":1},"citationItems":[{"id":240,"uris":["http://zotero.org/users/5734718/items/2L7FEHVV"],"uri":["http://zotero.org/users/5734718/items/2L7FEHVV"],"itemData":{"id":240,"type":"article-journal","container-title":"New England Journal of Medicine","page":"1973-1975","title":"The Toughest Triage: Allocating Ventilators in a Pandemic","volume":"382","author":[{"family":"Truog","given":"Robert D."},{"family":"Mitchell","given":"Christine"},{"family":"Daley","given":"George Q."}],"issued":{"date-parts":[["2020",5,21]]}}}],"schema":"https://github.com/citation-style-language/schema/raw/master/csl-citation.json"} </w:instrText>
      </w:r>
      <w:r w:rsidRPr="00145809">
        <w:rPr>
          <w:rFonts w:ascii="Garamond" w:hAnsi="Garamond"/>
        </w:rPr>
        <w:fldChar w:fldCharType="separate"/>
      </w:r>
      <w:r w:rsidRPr="00145809">
        <w:rPr>
          <w:rFonts w:ascii="Garamond" w:hAnsi="Garamond"/>
        </w:rPr>
        <w:t xml:space="preserve">Robert D. Truog, Christine Mitchell, and George Q. Daley, “The Toughest Triage: Allocating Ventilators in a Pandemic,” </w:t>
      </w:r>
      <w:r w:rsidRPr="00145809">
        <w:rPr>
          <w:rFonts w:ascii="Garamond" w:hAnsi="Garamond"/>
          <w:i/>
          <w:iCs/>
        </w:rPr>
        <w:t>New England Journal of Medicine</w:t>
      </w:r>
      <w:r w:rsidRPr="00145809">
        <w:rPr>
          <w:rFonts w:ascii="Garamond" w:hAnsi="Garamond"/>
        </w:rPr>
        <w:t xml:space="preserve"> 382 (May 21, 2020): 1973–75.</w:t>
      </w:r>
      <w:r w:rsidRPr="00145809">
        <w:rPr>
          <w:rFonts w:ascii="Garamond" w:hAnsi="Garamond"/>
        </w:rPr>
        <w:fldChar w:fldCharType="end"/>
      </w:r>
    </w:p>
  </w:endnote>
  <w:endnote w:id="2">
    <w:p w14:paraId="06B95869" w14:textId="2ECBE9A0" w:rsidR="00F3637A" w:rsidRPr="00145809" w:rsidRDefault="00F3637A" w:rsidP="00EE2880">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{"citationID":"WkePr1mG","properties":{"formattedCitation":"Seth Lazar and Christian Barry, \\uc0\\u8220{}Justifying Lockdown,\\uc0\\u8221{} {\\i{}Ethics and International Affairs}, May 2020, https://www.ethicsandinternationalaffairs.org/2020/justifying-lockdown/; Ruth Campbell, \\uc0\\u8220{}Face-off: The Ethics of Compulsory Mask Policies,\\uc0\\u8221{} {\\i{}Nuffield Council on Bioethics}, July 31, 2020, https://www.nuffieldbioethics.org/blog/face-off-the-ethics-of-compulsory-mask-policies.","plainCitation":"Seth Lazar and Christian Barry, “Justifying Lockdown,” Ethics and International Affairs, May 2020, https://www.ethicsandinternationalaffairs.org/2020/justifying-lockdown/; Ruth Campbell, “Face-off: The Ethics of Compulsory Mask Policies,” Nuffield Council on Bioethics, July 31, 2020, https://www.nuffieldbioethics.org/blog/face-off-the-ethics-of-compulsory-mask-policies.","noteIndex":2},"citationItems":[{"id":241,"uris":["http://zotero.org/users/5734718/items/T4BGQ4XA"],"uri":["http://zotero.org/users/5734718/items/T4BGQ4XA"],"itemData":{"id":241,"type":"article-journal","container-title":"Ethics and International Affairs","title":"Justifying Lockdown","URL":"https://www.ethicsandinternationalaffairs.org/2020/justifying-lockdown/","author":[{"family":"Lazar","given":"Seth"},{"family":"Barry","given":"Christian"}],"issued":{"date-parts":[["2020",5]]}}},{"id":242,"uris":["http://zotero.org/users/5734718/items/SRMFGURR"],"uri":["http://zotero.org/users/5734718/items/SRMFGURR"],"itemData":{"id":242,"type":"article-newspaper","container-title":"Nuffield Council on Bioethics","title":"Face-off: the ethics of compulsory mask policies","URL":"https://www.nuffieldbioethics.org/blog/face-off-the-ethics-of-compulsory-mask-policies","author":[{"family":"Campbell","given":"Ruth"}],"accessed":{"date-parts":[["2021",5,4]]},"issued":{"date-parts":[["2020",7,31]]}}}],"schema":"https://github.com/citation-style-language/schema/raw/master/csl-citation.json"} </w:instrText>
      </w:r>
      <w:r w:rsidRPr="00145809">
        <w:rPr>
          <w:rFonts w:ascii="Garamond" w:hAnsi="Garamond"/>
        </w:rPr>
        <w:fldChar w:fldCharType="separate"/>
      </w:r>
      <w:r w:rsidRPr="00145809">
        <w:rPr>
          <w:rFonts w:ascii="Garamond" w:hAnsi="Garamond"/>
        </w:rPr>
        <w:t xml:space="preserve">Seth Lazar and Christian Barry, “Justifying Lockdown,” </w:t>
      </w:r>
      <w:r w:rsidRPr="00145809">
        <w:rPr>
          <w:rFonts w:ascii="Garamond" w:hAnsi="Garamond"/>
          <w:i/>
          <w:iCs/>
        </w:rPr>
        <w:t>Ethics and International Affairs</w:t>
      </w:r>
      <w:r w:rsidRPr="00145809">
        <w:rPr>
          <w:rFonts w:ascii="Garamond" w:hAnsi="Garamond"/>
        </w:rPr>
        <w:t xml:space="preserve">, May 2020, https://www.ethicsandinternationalaffairs.org/2020/justifying-lockdown/; Ruth Campbell, “Face-off: The Ethics of Compulsory Mask Policies,” </w:t>
      </w:r>
      <w:r w:rsidRPr="00145809">
        <w:rPr>
          <w:rFonts w:ascii="Garamond" w:hAnsi="Garamond"/>
          <w:i/>
          <w:iCs/>
        </w:rPr>
        <w:t>Nuffield Council on Bioethics</w:t>
      </w:r>
      <w:r w:rsidRPr="00145809">
        <w:rPr>
          <w:rFonts w:ascii="Garamond" w:hAnsi="Garamond"/>
        </w:rPr>
        <w:t>, July 31, 2020, https://www.nuffieldbioethics.org/blog/face-off-the-ethics-of-compulsory-mask-policies.</w:t>
      </w:r>
      <w:r w:rsidRPr="00145809">
        <w:rPr>
          <w:rFonts w:ascii="Garamond" w:hAnsi="Garamond"/>
        </w:rPr>
        <w:fldChar w:fldCharType="end"/>
      </w:r>
    </w:p>
  </w:endnote>
  <w:endnote w:id="3">
    <w:p w14:paraId="0B09DB30" w14:textId="07ACC8B1" w:rsidR="00F3637A" w:rsidRPr="00145809" w:rsidRDefault="00F3637A" w:rsidP="00EE2880">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{"citationID":"jNsEPefP","properties":{"formattedCitation":"Joshua Teperowski Monrad, \\uc0\\u8220{}Ethical Considerations for Epidemic Vaccine Trials,\\uc0\\u8221{} {\\i{}Journal of Medical Ethics} 46, no. 7 (2020): 465\\uc0\\u8211{}69; Nancy S. Jecker, Aaron G. Wightman, and Douglas S. Diekema, \\uc0\\u8220{}Vaccine Ethics: An Ethical Framework for Global Distribution of COVID-19 Vaccines,\\uc0\\u8221{} {\\i{}Journal of Medical Ethics} 47 (2021): 308\\uc0\\u8211{}17.","plainCitation":"Joshua Teperowski Monrad, “Ethical Considerations for Epidemic Vaccine Trials,” Journal of Medical Ethics 46, no. 7 (2020): 465–69; Nancy S. Jecker, Aaron G. Wightman, and Douglas S. Diekema, “Vaccine Ethics: An Ethical Framework for Global Distribution of COVID-19 Vaccines,” Journal of Medical Ethics 47 (2021): 308–17.","noteIndex":3},"citationItems":[{"id":243,"uris":["http://zotero.org/users/5734718/items/UMMJIH5Y"],"uri":["http://zotero.org/users/5734718/items/UMMJIH5Y"],"itemData":{"id":243,"type":"article-journal","container-title":"Journal of Medical Ethics","issue":"7","page":"465-469","title":"Ethical considerations for epidemic vaccine trials","volume":"46","author":[{"family":"Monrad","given":"Joshua Teperowski"}],"issued":{"date-parts":[["2020"]]}}},{"id":244,"uris":["http://zotero.org/users/5734718/items/AR8CPX8I"],"uri":["http://zotero.org/users/5734718/items/AR8CPX8I"],"itemData":{"id":244,"type":"article-journal","container-title":"Journal of Medical Ethics","page":"308-317","title":"Vaccine ethics: an ethical framework for global distribution of COVID-19 vaccines","volume":"47","author":[{"family":"Jecker","given":"Nancy S."},{"family":"Wightman","given":"Aaron G."},{"family":"Diekema","given":"Douglas S."}],"issued":{"date-parts":[["2021"]]}}}],"schema":"https://github.com/citation-style-language/schema/raw/master/csl-citation.json"} </w:instrText>
      </w:r>
      <w:r w:rsidRPr="00145809">
        <w:rPr>
          <w:rFonts w:ascii="Garamond" w:hAnsi="Garamond"/>
        </w:rPr>
        <w:fldChar w:fldCharType="separate"/>
      </w:r>
      <w:r w:rsidRPr="00145809">
        <w:rPr>
          <w:rFonts w:ascii="Garamond" w:hAnsi="Garamond"/>
        </w:rPr>
        <w:t xml:space="preserve">Joshua Teperowski Monrad, “Ethical Considerations for Epidemic Vaccine Trials,” </w:t>
      </w:r>
      <w:r w:rsidRPr="00145809">
        <w:rPr>
          <w:rFonts w:ascii="Garamond" w:hAnsi="Garamond"/>
          <w:i/>
          <w:iCs/>
        </w:rPr>
        <w:t>Journal of Medical Ethics</w:t>
      </w:r>
      <w:r w:rsidRPr="00145809">
        <w:rPr>
          <w:rFonts w:ascii="Garamond" w:hAnsi="Garamond"/>
        </w:rPr>
        <w:t xml:space="preserve"> 46, no. 7 (2020): 465–69; Nancy S. Jecker, Aaron G. Wightman, and Douglas S. Diekema, “Vaccine Ethics: An Ethical Framework for Global Distribution of COVID-19 Vaccines,” </w:t>
      </w:r>
      <w:r w:rsidRPr="00145809">
        <w:rPr>
          <w:rFonts w:ascii="Garamond" w:hAnsi="Garamond"/>
          <w:i/>
          <w:iCs/>
        </w:rPr>
        <w:t>Journal of Medical Ethics</w:t>
      </w:r>
      <w:r w:rsidRPr="00145809">
        <w:rPr>
          <w:rFonts w:ascii="Garamond" w:hAnsi="Garamond"/>
        </w:rPr>
        <w:t xml:space="preserve"> 47 (2021): 308–17.</w:t>
      </w:r>
      <w:r w:rsidRPr="00145809">
        <w:rPr>
          <w:rFonts w:ascii="Garamond" w:hAnsi="Garamond"/>
        </w:rPr>
        <w:fldChar w:fldCharType="end"/>
      </w:r>
    </w:p>
  </w:endnote>
  <w:endnote w:id="4">
    <w:p w14:paraId="507A4F52" w14:textId="546669A0" w:rsidR="00F3637A" w:rsidRPr="00145809" w:rsidRDefault="00F3637A" w:rsidP="00EE2880">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{"citationID":"ZwvFxAYa","properties":{"formattedCitation":"Michael A. Johansson et al., \\uc0\\u8220{}SARS-CoV-2 Transmission From People Without COVID-19 Symptoms,\\uc0\\u8221{} {\\i{}JAMA Network Open} 4, no. 1 (January 7, 2021): e2035057\\uc0\\u8211{}e2035057, https://doi.org/10.1001/jamanetworkopen.2020.35057.","plainCitation":"Michael A. Johansson et al., “SARS-CoV-2 Transmission From People Without COVID-19 Symptoms,” JAMA Network Open 4, no. 1 (January 7, 2021): e2035057–e2035057, https://doi.org/10.1001/jamanetworkopen.2020.35057.","noteIndex":4},"citationItems":[{"id":279,"uris":["http://zotero.org/users/5734718/items/KJ27KD6R"],"uri":["http://zotero.org/users/5734718/items/KJ27KD6R"],"itemData":{"id":279,"type":"article-journal","abstract":"Severe acute respiratory syndrome coronavirus 2 (SARS-CoV-2), the etiology of coronavirus disease 2019 (COVID-19), is readily transmitted person to person. Optimal control of COVID-19 depends on directing resources and health messaging to mitigation efforts that are most likely to prevent transmission, but the relative importance of such measures has been disputed.To assess the proportion of SARS-CoV-2 transmissions in the community that likely occur from persons without symptoms.This decision analytical model assessed the relative amount of transmission from presymptomatic, never symptomatic, and symptomatic individuals across a range of scenarios in which the proportion of transmission from people who never develop symptoms (ie, remain asymptomatic) and the infectious period were varied according to published best estimates. For all estimates, data from a meta-analysis was used to set the incubation period at a median of 5 days. The infectious period duration was maintained at 10 days, and peak infectiousness was varied between 3 and 7 days (</w:instrText>
      </w:r>
      <w:r w:rsidRPr="00145809">
        <w:rPr>
          <w:rFonts w:ascii="Times New Roman" w:hAnsi="Times New Roman" w:cs="Times New Roman"/>
        </w:rPr>
        <w:instrText>−</w:instrText>
      </w:r>
      <w:r w:rsidRPr="00145809">
        <w:rPr>
          <w:rFonts w:ascii="Garamond" w:hAnsi="Garamond"/>
        </w:rPr>
        <w:instrText xml:space="preserve">2 and +2 days relative to the median incubation period). The overall proportion of SARS-CoV-2 was varied between 0% and 70% to assess a wide range of possible proportions.Level of transmission of SARS-CoV-2 from presymptomatic, never symptomatic, and symptomatic individuals.The baseline assumptions for the model were that peak infectiousness occurred at the median of symptom onset and that 30% of individuals with infection never develop symptoms and are 75% as infectious as those who do develop symptoms. Combined, these baseline assumptions imply that persons with infection who never develop symptoms may account for approximately 24% of all transmission. In this base case, 59% of all transmission came from asymptomatic transmission, comprising 35% from presymptomatic individuals and 24% from individuals who never develop symptoms. Under a broad range of values for each of these assumptions, at least 50% of new SARS-CoV-2 infections was estimated to have originated from exposure to individuals with infection but without symptoms.In this decision analytical model of multiple scenarios of proportions of asymptomatic individuals with COVID-19 and infectious periods, transmission from asymptomatic individuals was estimated to account for more than half of all transmissions. In addition to identification and isolation of persons with symptomatic COVID-19, effective control of spread will require reducing the risk of transmission from people with infection who do not have symptoms. These findings suggest that measures such as wearing masks, hand hygiene, social distancing, and strategic testing of people who are not ill will be foundational to slowing the spread of COVID-19 until safe and effective vaccines are available and widely used.","container-title":"JAMA Network Open","DOI":"10.1001/jamanetworkopen.2020.35057","ISSN":"2574-3805","issue":"1","journalAbbreviation":"JAMA Network Open","page":"e2035057-e2035057","source":"Silverchair","title":"SARS-CoV-2 Transmission From People Without COVID-19 Symptoms","volume":"4","author":[{"family":"Johansson","given":"Michael A."},{"family":"Quandelacy","given":"Talia M."},{"family":"Kada","given":"Sarah"},{"family":"Prasad","given":"Pragati Venkata"},{"family":"Steele","given":"Molly"},{"family":"Brooks","given":"John T."},{"family":"Slayton","given":"Rachel B."},{"family":"Biggerstaff","given":"Matthew"},{"family":"Butler","given":"Jay C."}],"issued":{"date-parts":[["2021",1,7]]}}}],"schema":"https://github.com/citation-style-language/schema/raw/master/csl-citation.json"} </w:instrText>
      </w:r>
      <w:r w:rsidRPr="00145809">
        <w:rPr>
          <w:rFonts w:ascii="Garamond" w:hAnsi="Garamond"/>
        </w:rPr>
        <w:fldChar w:fldCharType="separate"/>
      </w:r>
      <w:r w:rsidRPr="00145809">
        <w:rPr>
          <w:rFonts w:ascii="Garamond" w:hAnsi="Garamond"/>
        </w:rPr>
        <w:t xml:space="preserve">Michael A. Johansson et al., “SARS-CoV-2 Transmission From People Without COVID-19 Symptoms,” </w:t>
      </w:r>
      <w:r w:rsidRPr="00145809">
        <w:rPr>
          <w:rFonts w:ascii="Garamond" w:hAnsi="Garamond"/>
          <w:i/>
          <w:iCs/>
        </w:rPr>
        <w:t>JAMA Network Open</w:t>
      </w:r>
      <w:r w:rsidRPr="00145809">
        <w:rPr>
          <w:rFonts w:ascii="Garamond" w:hAnsi="Garamond"/>
        </w:rPr>
        <w:t xml:space="preserve"> 4, no. 1 (January 7, 2021): e2035057–e2035057, https://doi.org/10.1001/jamanetworkopen.2020.35057.</w:t>
      </w:r>
      <w:r w:rsidRPr="00145809">
        <w:rPr>
          <w:rFonts w:ascii="Garamond" w:hAnsi="Garamond"/>
        </w:rPr>
        <w:fldChar w:fldCharType="end"/>
      </w:r>
    </w:p>
  </w:endnote>
  <w:endnote w:id="5">
    <w:p w14:paraId="24C3C445" w14:textId="77777777" w:rsidR="00F3637A" w:rsidRPr="00145809" w:rsidRDefault="00F3637A" w:rsidP="00C61731">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For discussion, see: </w:t>
      </w:r>
      <w:r w:rsidRPr="00145809">
        <w:rPr>
          <w:rFonts w:ascii="Garamond" w:hAnsi="Garamond"/>
        </w:rPr>
        <w:fldChar w:fldCharType="begin"/>
      </w:r>
      <w:r w:rsidRPr="00145809">
        <w:rPr>
          <w:rFonts w:ascii="Garamond" w:hAnsi="Garamond"/>
        </w:rPr>
        <w:instrText xml:space="preserve"> ADDIN ZOTERO_ITEM CSL_CITATION {"citationID":"n1PgaBjJ","properties":{"formattedCitation":"John Oberdiek, \\uc0\\u8220{}The Moral Significance of Risking,\\uc0\\u8221{} {\\i{}Legal Theory} 18, no. 3 (2012): 339\\uc0\\u8211{}56; John Oberdiek, \\uc0\\u8220{}Toward a Right Against Risking,\\uc0\\u8221{} {\\i{}Law and Philosophy} 28, no. 4 (2009): 367\\uc0\\u8211{}92; Madeleine Hayenhjelm and Jonathan Wolff, \\uc0\\u8220{}The Moral Problem of Risk Impositions: A Survey of the Literature,\\uc0\\u8221{} {\\i{}European Journal of Philosophy} 20, no. 1 (2012).","plainCitation":"John Oberdiek, “The Moral Significance of Risking,” Legal Theory 18, no. 3 (2012): 339–56; John Oberdiek, “Toward a Right Against Risking,” Law and Philosophy 28, no. 4 (2009): 367–92; Madeleine Hayenhjelm and Jonathan Wolff, “The Moral Problem of Risk Impositions: A Survey of the Literature,” European Journal of Philosophy 20, no. 1 (2012).","noteIndex":5},"citationItems":[{"id":237,"uris":["http://zotero.org/users/5734718/items/JCKW7CIT"],"uri":["http://zotero.org/users/5734718/items/JCKW7CIT"],"itemData":{"id":237,"type":"article-journal","container-title":"Legal Theory","issue":"3","page":"339-356","title":"The moral significance of risking","volume":"18","author":[{"family":"Oberdiek","given":"John"}],"issued":{"date-parts":[["2012"]]}}},{"id":238,"uris":["http://zotero.org/users/5734718/items/RIWX5MZT"],"uri":["http://zotero.org/users/5734718/items/RIWX5MZT"],"itemData":{"id":238,"type":"article-journal","container-title":"Law and Philosophy","issue":"4","page":"367-392","title":"Toward a Right Against Risking","volume":"28","author":[{"family":"Oberdiek","given":"John"}],"issued":{"date-parts":[["2009"]]}}},{"id":239,"uris":["http://zotero.org/users/5734718/items/JWQQHI69"],"uri":["http://zotero.org/users/5734718/items/JWQQHI69"],"itemData":{"id":239,"type":"article-journal","container-title":"European Journal of Philosophy","issue":"1","title":"The Moral Problem of Risk Impositions: A Survey of the Literature","volume":"20","author":[{"family":"Hayenhjelm","given":"Madeleine"},{"family":"Wolff","given":"Jonathan"}],"issued":{"date-parts":[["2012"]]}}}],"schema":"https://github.com/citation-style-language/schema/raw/master/csl-citation.json"} </w:instrText>
      </w:r>
      <w:r w:rsidRPr="00145809">
        <w:rPr>
          <w:rFonts w:ascii="Garamond" w:hAnsi="Garamond"/>
        </w:rPr>
        <w:fldChar w:fldCharType="separate"/>
      </w:r>
      <w:r w:rsidRPr="00145809">
        <w:rPr>
          <w:rFonts w:ascii="Garamond" w:hAnsi="Garamond"/>
        </w:rPr>
        <w:t xml:space="preserve">John Oberdiek, “The Moral Significance of Risking,” </w:t>
      </w:r>
      <w:r w:rsidRPr="00145809">
        <w:rPr>
          <w:rFonts w:ascii="Garamond" w:hAnsi="Garamond"/>
          <w:i/>
          <w:iCs/>
        </w:rPr>
        <w:t>Legal Theory</w:t>
      </w:r>
      <w:r w:rsidRPr="00145809">
        <w:rPr>
          <w:rFonts w:ascii="Garamond" w:hAnsi="Garamond"/>
        </w:rPr>
        <w:t xml:space="preserve"> 18, no. 3 (2012): 339–56; John Oberdiek, “Toward a Right Against Risking,” </w:t>
      </w:r>
      <w:r w:rsidRPr="00145809">
        <w:rPr>
          <w:rFonts w:ascii="Garamond" w:hAnsi="Garamond"/>
          <w:i/>
          <w:iCs/>
        </w:rPr>
        <w:t>Law and Philosophy</w:t>
      </w:r>
      <w:r w:rsidRPr="00145809">
        <w:rPr>
          <w:rFonts w:ascii="Garamond" w:hAnsi="Garamond"/>
        </w:rPr>
        <w:t xml:space="preserve"> 28, no. 4 (2009): 367–92; Madeleine Hayenhjelm and Jonathan Wolff, “The Moral Problem of Risk Impositions: A Survey of the Literature,” </w:t>
      </w:r>
      <w:r w:rsidRPr="00145809">
        <w:rPr>
          <w:rFonts w:ascii="Garamond" w:hAnsi="Garamond"/>
          <w:i/>
          <w:iCs/>
        </w:rPr>
        <w:t>European Journal of Philosophy</w:t>
      </w:r>
      <w:r w:rsidRPr="00145809">
        <w:rPr>
          <w:rFonts w:ascii="Garamond" w:hAnsi="Garamond"/>
        </w:rPr>
        <w:t xml:space="preserve"> 20, no. 1 (2012).</w:t>
      </w:r>
      <w:r w:rsidRPr="00145809">
        <w:rPr>
          <w:rFonts w:ascii="Garamond" w:hAnsi="Garamond"/>
        </w:rPr>
        <w:fldChar w:fldCharType="end"/>
      </w:r>
    </w:p>
  </w:endnote>
  <w:endnote w:id="6">
    <w:p w14:paraId="42D5EE65" w14:textId="6FA16542" w:rsidR="00F3637A" w:rsidRPr="00145809" w:rsidRDefault="00F3637A" w:rsidP="004D6EA5">
      <w:pPr>
        <w:pStyle w:val="EndnoteText"/>
        <w:spacing w:line="480" w:lineRule="auto"/>
        <w:rPr>
          <w:rFonts w:ascii="Garamond" w:hAnsi="Garamond"/>
          <w:szCs w:val="22"/>
        </w:rPr>
      </w:pPr>
      <w:r w:rsidRPr="00145809">
        <w:rPr>
          <w:rStyle w:val="EndnoteReference"/>
          <w:rFonts w:ascii="Garamond" w:hAnsi="Garamond"/>
          <w:szCs w:val="22"/>
        </w:rPr>
        <w:endnoteRef/>
      </w:r>
      <w:r w:rsidRPr="00145809">
        <w:rPr>
          <w:rFonts w:ascii="Garamond" w:hAnsi="Garamond"/>
          <w:szCs w:val="22"/>
        </w:rPr>
        <w:t xml:space="preserve"> </w:t>
      </w:r>
      <w:r w:rsidRPr="00145809">
        <w:rPr>
          <w:rFonts w:ascii="Garamond" w:hAnsi="Garamond"/>
          <w:szCs w:val="22"/>
        </w:rPr>
        <w:fldChar w:fldCharType="begin"/>
      </w:r>
      <w:r w:rsidRPr="00145809">
        <w:rPr>
          <w:rFonts w:ascii="Garamond" w:hAnsi="Garamond"/>
          <w:szCs w:val="22"/>
        </w:rPr>
        <w:instrText xml:space="preserve"> ADDIN ZOTERO_ITEM CSL_CITATION {"citationID":"284tugQL","properties":{"formattedCitation":"\\uc0\\u8220{}Ad Council and Advertising, Media and Marketing Industry Associations Join White House, HHS and CDC to Launch \\uc0\\u8216{}#StayHome. Save Lives.\\uc0\\u8217{} Movement in Response to COVID-19 Crisis,\\uc0\\u8221{} {\\i{}Adcouncil.Org} (blog), April 8, 2020, https://www.adcouncil.org/learn-with-us/press-releases/ad-council-and-advertising-media-and-marketing-industry-associations-join-white-house-hhs-and-cdc-to-launch-stayhome-save-lives-movement-in-response-to-covid-19-crisis.","plainCitation":"“Ad Council and Advertising, Media and Marketing Industry Associations Join White House, HHS and CDC to Launch ‘#StayHome. Save Lives.’ Movement in Response to COVID-19 Crisis,” Adcouncil.Org (blog), April 8, 2020, https://www.adcouncil.org/learn-with-us/press-releases/ad-council-and-advertising-media-and-marketing-industry-associations-join-white-house-hhs-and-cdc-to-launch-stayhome-save-lives-movement-in-response-to-covid-19-crisis.","noteIndex":6},"citationItems":[{"id":246,"uris":["http://zotero.org/users/5734718/items/WCFM5E9N"],"uri":["http://zotero.org/users/5734718/items/WCFM5E9N"],"itemData":{"id":246,"type":"post-weblog","container-title":"Adcouncil.org","title":"Ad Council and Advertising, Media and Marketing Industry Associations Join White House, HHS and CDC to Launch “#StayHome. Save Lives.” Movement in Response to COVID-19 Crisis","URL":"https://www.adcouncil.org/learn-with-us/press-releases/ad-council-and-advertising-media-and-marketing-industry-associations-join-white-house-hhs-and-cdc-to-launch-stayhome-save-lives-movement-in-response-to-covid-19-crisis","accessed":{"date-parts":[["2021",5,4]]},"issued":{"date-parts":[["2020",4,8]]}}}],"schema":"https://github.com/citation-style-language/schema/raw/master/csl-citation.json"} </w:instrText>
      </w:r>
      <w:r w:rsidRPr="00145809">
        <w:rPr>
          <w:rFonts w:ascii="Garamond" w:hAnsi="Garamond"/>
          <w:szCs w:val="22"/>
        </w:rPr>
        <w:fldChar w:fldCharType="separate"/>
      </w:r>
      <w:r w:rsidRPr="00145809">
        <w:rPr>
          <w:rFonts w:ascii="Garamond" w:hAnsi="Garamond"/>
        </w:rPr>
        <w:t xml:space="preserve">“Ad Council and Advertising, Media and Marketing Industry Associations Join White House, HHS and CDC to Launch ‘#StayHome. Save Lives.’ Movement in Response to COVID-19 Crisis,” </w:t>
      </w:r>
      <w:r w:rsidRPr="00145809">
        <w:rPr>
          <w:rFonts w:ascii="Garamond" w:hAnsi="Garamond"/>
          <w:i/>
          <w:iCs/>
        </w:rPr>
        <w:t>Adcouncil.Org</w:t>
      </w:r>
      <w:r w:rsidRPr="00145809">
        <w:rPr>
          <w:rFonts w:ascii="Garamond" w:hAnsi="Garamond"/>
        </w:rPr>
        <w:t xml:space="preserve"> (blog), April 8, 2020, https://www.adcouncil.org/learn-with-us/press-releases/ad-council-and-advertising-media-and-marketing-industry-associations-join-white-house-hhs-and-cdc-to-launch-stayhome-save-lives-movement-in-response-to-covid-19-crisis.</w:t>
      </w:r>
      <w:r w:rsidRPr="00145809">
        <w:rPr>
          <w:rFonts w:ascii="Garamond" w:hAnsi="Garamond"/>
          <w:szCs w:val="22"/>
        </w:rPr>
        <w:fldChar w:fldCharType="end"/>
      </w:r>
    </w:p>
  </w:endnote>
  <w:endnote w:id="7">
    <w:p w14:paraId="40B6C0B9" w14:textId="5CAFCCF6" w:rsidR="00F3637A" w:rsidRPr="00145809" w:rsidRDefault="00F3637A" w:rsidP="004D6EA5">
      <w:pPr>
        <w:pStyle w:val="EndnoteText"/>
        <w:spacing w:line="480" w:lineRule="auto"/>
        <w:rPr>
          <w:rFonts w:ascii="Garamond" w:hAnsi="Garamond"/>
          <w:szCs w:val="22"/>
        </w:rPr>
      </w:pPr>
      <w:r w:rsidRPr="00145809">
        <w:rPr>
          <w:rStyle w:val="EndnoteReference"/>
          <w:rFonts w:ascii="Garamond" w:hAnsi="Garamond"/>
          <w:szCs w:val="22"/>
        </w:rPr>
        <w:endnoteRef/>
      </w:r>
      <w:r w:rsidRPr="00145809">
        <w:rPr>
          <w:rFonts w:ascii="Garamond" w:hAnsi="Garamond"/>
          <w:szCs w:val="22"/>
        </w:rPr>
        <w:t xml:space="preserve"> </w:t>
      </w:r>
      <w:r w:rsidRPr="00145809">
        <w:rPr>
          <w:rFonts w:ascii="Garamond" w:hAnsi="Garamond"/>
          <w:szCs w:val="22"/>
        </w:rPr>
        <w:fldChar w:fldCharType="begin"/>
      </w:r>
      <w:r w:rsidRPr="00145809">
        <w:rPr>
          <w:rFonts w:ascii="Garamond" w:hAnsi="Garamond"/>
          <w:szCs w:val="22"/>
        </w:rPr>
        <w:instrText xml:space="preserve"> ADDIN ZOTERO_ITEM CSL_CITATION {"citationID":"flx1IFvh","properties":{"formattedCitation":"Christopher Hope, \\uc0\\u8220{}The Story behind \\uc0\\u8216{}Stay Home, Protect the NHS, Save Lives\\uc0\\u8217{}: The Slogan That Was \\uc0\\u8216{}Too Successful,\\uc0\\u8217{}\\uc0\\u8221{} {\\i{}The Telegraph}, May 1, 2020, https://www.telegraph.co.uk/politics/2020/05/01/story-behind-stay-home-protect-nhs-save-lives/.","plainCitation":"Christopher Hope, “The Story behind ‘Stay Home, Protect the NHS, Save Lives’: The Slogan That Was ‘Too Successful,’” The Telegraph, May 1, 2020, https://www.telegraph.co.uk/politics/2020/05/01/story-behind-stay-home-protect-nhs-save-lives/.","noteIndex":7},"citationItems":[{"id":248,"uris":["http://zotero.org/users/5734718/items/8L5CFZC9"],"uri":["http://zotero.org/users/5734718/items/8L5CFZC9"],"itemData":{"id":248,"type":"article-newspaper","container-title":"The Telegraph","title":"The Story behind 'Stay Home, Protect the NHS, Save Lives': The Slogan that was 'Too Successful'","URL":"https://www.telegraph.co.uk/politics/2020/05/01/story-behind-stay-home-protect-nhs-save-lives/","author":[{"family":"Hope","given":"Christopher"}],"accessed":{"date-parts":[["2021",5,4]]},"issued":{"date-parts":[["2020",5,1]]}}}],"schema":"https://github.com/citation-style-language/schema/raw/master/csl-citation.json"} </w:instrText>
      </w:r>
      <w:r w:rsidRPr="00145809">
        <w:rPr>
          <w:rFonts w:ascii="Garamond" w:hAnsi="Garamond"/>
          <w:szCs w:val="22"/>
        </w:rPr>
        <w:fldChar w:fldCharType="separate"/>
      </w:r>
      <w:r w:rsidRPr="00145809">
        <w:rPr>
          <w:rFonts w:ascii="Garamond" w:hAnsi="Garamond"/>
        </w:rPr>
        <w:t xml:space="preserve">Christopher Hope, “The Story behind ‘Stay Home, Protect the NHS, Save Lives’: The Slogan That Was ‘Too Successful,’” </w:t>
      </w:r>
      <w:r w:rsidRPr="00145809">
        <w:rPr>
          <w:rFonts w:ascii="Garamond" w:hAnsi="Garamond"/>
          <w:i/>
          <w:iCs/>
        </w:rPr>
        <w:t>The Telegraph</w:t>
      </w:r>
      <w:r w:rsidRPr="00145809">
        <w:rPr>
          <w:rFonts w:ascii="Garamond" w:hAnsi="Garamond"/>
        </w:rPr>
        <w:t>, May 1, 2020, https://www.telegraph.co.uk/politics/2020/05/01/story-behind-stay-home-protect-nhs-save-lives/.</w:t>
      </w:r>
      <w:r w:rsidRPr="00145809">
        <w:rPr>
          <w:rFonts w:ascii="Garamond" w:hAnsi="Garamond"/>
          <w:szCs w:val="22"/>
        </w:rPr>
        <w:fldChar w:fldCharType="end"/>
      </w:r>
    </w:p>
  </w:endnote>
  <w:endnote w:id="8">
    <w:p w14:paraId="7351FA38" w14:textId="0C652629" w:rsidR="00F3637A" w:rsidRPr="00145809" w:rsidRDefault="00F3637A" w:rsidP="004D6EA5">
      <w:pPr>
        <w:pStyle w:val="EndnoteText"/>
        <w:spacing w:line="480" w:lineRule="auto"/>
        <w:rPr>
          <w:rFonts w:ascii="Garamond" w:hAnsi="Garamond"/>
          <w:szCs w:val="22"/>
        </w:rPr>
      </w:pPr>
      <w:r w:rsidRPr="00145809">
        <w:rPr>
          <w:rStyle w:val="EndnoteReference"/>
          <w:rFonts w:ascii="Garamond" w:hAnsi="Garamond"/>
          <w:szCs w:val="22"/>
        </w:rPr>
        <w:endnoteRef/>
      </w:r>
      <w:r w:rsidRPr="00145809">
        <w:rPr>
          <w:rFonts w:ascii="Garamond" w:hAnsi="Garamond"/>
          <w:szCs w:val="22"/>
        </w:rPr>
        <w:t xml:space="preserve"> </w:t>
      </w:r>
      <w:r w:rsidRPr="00145809">
        <w:rPr>
          <w:rFonts w:ascii="Garamond" w:hAnsi="Garamond"/>
          <w:szCs w:val="22"/>
        </w:rPr>
        <w:fldChar w:fldCharType="begin"/>
      </w:r>
      <w:r w:rsidRPr="00145809">
        <w:rPr>
          <w:rFonts w:ascii="Garamond" w:hAnsi="Garamond"/>
          <w:szCs w:val="22"/>
        </w:rPr>
        <w:instrText xml:space="preserve"> ADDIN ZOTERO_ITEM CSL_CITATION {"citationID":"GBa3LiHk","properties":{"formattedCitation":"\\uc0\\u8220{}Coronavirus: Plus Que Jamais, Pour Sauver Des Vies, Restez Chez Vous\\uc0\\u8221{} (Minist\\uc0\\u232{}re des Solidarit\\uc0\\u233{}s et de la Sant\\uc0\\u233{}, April 5, 2020), https://solidarites-sante.gouv.fr/actualites/presse/article/coronavirus-plus-que-jamais-pour-sauver-des-vies-restez-chez-vous.","plainCitation":"“Coronavirus: Plus Que Jamais, Pour Sauver Des Vies, Restez Chez Vous” (Ministère des Solidarités et de la Santé, April 5, 2020), https://solidarites-sante.gouv.fr/actualites/presse/article/coronavirus-plus-que-jamais-pour-sauver-des-vies-restez-chez-vous.","noteIndex":8},"citationItems":[{"id":249,"uris":["http://zotero.org/users/5734718/items/2RQ865J6"],"uri":["http://zotero.org/users/5734718/items/2RQ865J6"],"itemData":{"id":249,"type":"article","publisher":"Ministère des Solidarités et de la Santé","title":"Coronavirus: plus que jamais, pour sauver des vies, restez chez vous","URL":"https://solidarites-sante.gouv.fr/actualites/presse/article/coronavirus-plus-que-jamais-pour-sauver-des-vies-restez-chez-vous","accessed":{"date-parts":[["2021",5,4]]},"issued":{"date-parts":[["2020",4,5]]}}}],"schema":"https://github.com/citation-style-language/schema/raw/master/csl-citation.json"} </w:instrText>
      </w:r>
      <w:r w:rsidRPr="00145809">
        <w:rPr>
          <w:rFonts w:ascii="Garamond" w:hAnsi="Garamond"/>
          <w:szCs w:val="22"/>
        </w:rPr>
        <w:fldChar w:fldCharType="separate"/>
      </w:r>
      <w:r w:rsidRPr="00145809">
        <w:rPr>
          <w:rFonts w:ascii="Garamond" w:hAnsi="Garamond"/>
        </w:rPr>
        <w:t>“Coronavirus: Plus Que Jamais, Pour Sauver Des Vies, Restez Chez Vous” (Ministère des Solidarités et de la Santé, April 5, 2020), https://solidarites-sante.gouv.fr/actualites/presse/article/coronavirus-plus-que-jamais-pour-sauver-des-vies-restez-chez-vous.</w:t>
      </w:r>
      <w:r w:rsidRPr="00145809">
        <w:rPr>
          <w:rFonts w:ascii="Garamond" w:hAnsi="Garamond"/>
          <w:szCs w:val="22"/>
        </w:rPr>
        <w:fldChar w:fldCharType="end"/>
      </w:r>
    </w:p>
  </w:endnote>
  <w:endnote w:id="9">
    <w:p w14:paraId="7F367E2C" w14:textId="1B9D14BC" w:rsidR="00F3637A" w:rsidRPr="00145809" w:rsidRDefault="00F3637A" w:rsidP="00561739">
      <w:pPr>
        <w:pStyle w:val="EndnoteText"/>
        <w:spacing w:line="480" w:lineRule="auto"/>
        <w:rPr>
          <w:rFonts w:ascii="Garamond" w:hAnsi="Garamond"/>
          <w:szCs w:val="22"/>
        </w:rPr>
      </w:pPr>
      <w:r w:rsidRPr="00145809">
        <w:rPr>
          <w:rStyle w:val="EndnoteReference"/>
          <w:rFonts w:ascii="Garamond" w:hAnsi="Garamond"/>
          <w:szCs w:val="22"/>
        </w:rPr>
        <w:endnoteRef/>
      </w:r>
      <w:r w:rsidRPr="00145809">
        <w:rPr>
          <w:rFonts w:ascii="Garamond" w:hAnsi="Garamond"/>
          <w:szCs w:val="22"/>
        </w:rPr>
        <w:t xml:space="preserve"> See, e.g., </w:t>
      </w:r>
      <w:r w:rsidRPr="00145809">
        <w:rPr>
          <w:rFonts w:ascii="Garamond" w:hAnsi="Garamond"/>
          <w:szCs w:val="22"/>
        </w:rPr>
        <w:fldChar w:fldCharType="begin"/>
      </w:r>
      <w:r w:rsidRPr="00145809">
        <w:rPr>
          <w:rFonts w:ascii="Garamond" w:hAnsi="Garamond"/>
          <w:szCs w:val="22"/>
        </w:rPr>
        <w:instrText xml:space="preserve"> ADDIN ZOTERO_ITEM CSL_CITATION {"citationID":"Yh22vAHd","properties":{"formattedCitation":"Jason Slotkin, \\uc0\\u8220{}Universal Mask Wearing Could Save Some 130,000 Lives in the U.S., Study Suggests,\\uc0\\u8221{} {\\i{}NPR.Org}, October 24, 2020, https://www.npr.org/sections/coronavirus-live-updates/2020/10/24/927472457/universal-mask-wearing-could-save-some-130-000-u-s-lives-study-suggests; Karen Bouffard, \\uc0\\u8220{}British Study: Whitmer Stay-Home Orders Saved Lives, Perhaps Tens of Thousands,\\uc0\\u8221{} {\\i{}The Detroit News}, June 12, 2020, https://www.detroitnews.com/story/news/local/detroit-city/2020/06/12/study-whitmer-stay-home-orders-saved-perhaps-tens-thousands-lives/5342143002/.","plainCitation":"Jason Slotkin, “Universal Mask Wearing Could Save Some 130,000 Lives in the U.S., Study Suggests,” NPR.Org, October 24, 2020, https://www.npr.org/sections/coronavirus-live-updates/2020/10/24/927472457/universal-mask-wearing-could-save-some-130-000-u-s-lives-study-suggests; Karen Bouffard, “British Study: Whitmer Stay-Home Orders Saved Lives, Perhaps Tens of Thousands,” The Detroit News, June 12, 2020, https://www.detroitnews.com/story/news/local/detroit-city/2020/06/12/study-whitmer-stay-home-orders-saved-perhaps-tens-thousands-lives/5342143002/.","noteIndex":9},"citationItems":[{"id":250,"uris":["http://zotero.org/users/5734718/items/CM2A6GSW"],"uri":["http://zotero.org/users/5734718/items/CM2A6GSW"],"itemData":{"id":250,"type":"article-newspaper","container-title":"NPR.org","title":"Universal mask wearing could save some 130,000 lives in the U.S., study suggests","URL":"https://www.npr.org/sections/coronavirus-live-updates/2020/10/24/927472457/universal-mask-wearing-could-save-some-130-000-u-s-lives-study-suggests","author":[{"family":"Slotkin","given":"Jason"}],"accessed":{"date-parts":[["2021",5,4]]},"issued":{"date-parts":[["2020",10,24]]}}},{"id":251,"uris":["http://zotero.org/users/5734718/items/PJR8CEXG"],"uri":["http://zotero.org/users/5734718/items/PJR8CEXG"],"itemData":{"id":251,"type":"article-newspaper","container-title":"The Detroit News","title":"British Study: Whitmer stay-home orders saved lives, perhaps tens of thousands","URL":"https://www.detroitnews.com/story/news/local/detroit-city/2020/06/12/study-whitmer-stay-home-orders-saved-perhaps-tens-thousands-lives/5342143002/","author":[{"family":"Bouffard","given":"Karen"}],"accessed":{"date-parts":[["2021",5,4]]},"issued":{"date-parts":[["2020",6,12]]}}}],"schema":"https://github.com/citation-style-language/schema/raw/master/csl-citation.json"} </w:instrText>
      </w:r>
      <w:r w:rsidRPr="00145809">
        <w:rPr>
          <w:rFonts w:ascii="Garamond" w:hAnsi="Garamond"/>
          <w:szCs w:val="22"/>
        </w:rPr>
        <w:fldChar w:fldCharType="separate"/>
      </w:r>
      <w:r w:rsidRPr="00145809">
        <w:rPr>
          <w:rFonts w:ascii="Garamond" w:hAnsi="Garamond"/>
        </w:rPr>
        <w:t xml:space="preserve">Jason Slotkin, “Universal Mask Wearing Could Save Some 130,000 Lives in the U.S., Study Suggests,” </w:t>
      </w:r>
      <w:r w:rsidRPr="00145809">
        <w:rPr>
          <w:rFonts w:ascii="Garamond" w:hAnsi="Garamond"/>
          <w:i/>
          <w:iCs/>
        </w:rPr>
        <w:t>NPR.Org</w:t>
      </w:r>
      <w:r w:rsidRPr="00145809">
        <w:rPr>
          <w:rFonts w:ascii="Garamond" w:hAnsi="Garamond"/>
        </w:rPr>
        <w:t xml:space="preserve">, October 24, 2020, https://www.npr.org/sections/coronavirus-live-updates/2020/10/24/927472457/universal-mask-wearing-could-save-some-130-000-u-s-lives-study-suggests; Karen Bouffard, “British Study: Whitmer Stay-Home Orders Saved Lives, Perhaps Tens of Thousands,” </w:t>
      </w:r>
      <w:r w:rsidRPr="00145809">
        <w:rPr>
          <w:rFonts w:ascii="Garamond" w:hAnsi="Garamond"/>
          <w:i/>
          <w:iCs/>
        </w:rPr>
        <w:t>The Detroit News</w:t>
      </w:r>
      <w:r w:rsidRPr="00145809">
        <w:rPr>
          <w:rFonts w:ascii="Garamond" w:hAnsi="Garamond"/>
        </w:rPr>
        <w:t>, June 12, 2020, https://www.detroitnews.com/story/news/local/detroit-city/2020/06/12/study-whitmer-stay-home-orders-saved-perhaps-tens-thousands-lives/5342143002/.</w:t>
      </w:r>
      <w:r w:rsidRPr="00145809">
        <w:rPr>
          <w:rFonts w:ascii="Garamond" w:hAnsi="Garamond"/>
          <w:szCs w:val="22"/>
        </w:rPr>
        <w:fldChar w:fldCharType="end"/>
      </w:r>
    </w:p>
  </w:endnote>
  <w:endnote w:id="10">
    <w:p w14:paraId="47D7828C" w14:textId="744F3A56" w:rsidR="00F3637A" w:rsidRPr="00145809" w:rsidRDefault="00F3637A" w:rsidP="00561739">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One might claim that in these cases, it is the </w:t>
      </w:r>
      <w:r w:rsidRPr="00145809">
        <w:rPr>
          <w:rFonts w:ascii="Garamond" w:hAnsi="Garamond"/>
          <w:i/>
        </w:rPr>
        <w:t xml:space="preserve">virus itself </w:t>
      </w:r>
      <w:r w:rsidRPr="00145809">
        <w:rPr>
          <w:rFonts w:ascii="Garamond" w:hAnsi="Garamond"/>
        </w:rPr>
        <w:t>that does the killing, and the individual in which it resides is at most an enabler of this killing. I cannot here fully attend to this idea, though it will suffice to note that, even if it were true that the virus does the killing, it does not preclude us from saying that the individual’s acts constitute killing as well. By analogy, one might say that the bullet killed the victim, but we do not think this precludes us also saying that the shooter killed the victim. (I thank an anonymous reviewer for suggesting this possibility to me.)</w:t>
      </w:r>
    </w:p>
  </w:endnote>
  <w:endnote w:id="11">
    <w:p w14:paraId="44E229DD" w14:textId="3EFF0F4D" w:rsidR="00F3637A" w:rsidRPr="00145809" w:rsidRDefault="00F3637A" w:rsidP="0093656E">
      <w:pPr>
        <w:pStyle w:val="EndnoteText"/>
        <w:spacing w:line="480" w:lineRule="auto"/>
        <w:rPr>
          <w:rFonts w:ascii="Garamond" w:hAnsi="Garamond"/>
          <w:szCs w:val="22"/>
        </w:rPr>
      </w:pPr>
      <w:r w:rsidRPr="00145809">
        <w:rPr>
          <w:rStyle w:val="EndnoteReference"/>
          <w:rFonts w:ascii="Garamond" w:hAnsi="Garamond"/>
          <w:szCs w:val="22"/>
        </w:rPr>
        <w:endnoteRef/>
      </w:r>
      <w:r w:rsidRPr="00145809">
        <w:rPr>
          <w:rFonts w:ascii="Garamond" w:hAnsi="Garamond"/>
          <w:szCs w:val="22"/>
        </w:rPr>
        <w:t xml:space="preserve"> </w:t>
      </w:r>
      <w:r w:rsidRPr="00145809">
        <w:rPr>
          <w:rFonts w:ascii="Garamond" w:hAnsi="Garamond"/>
          <w:szCs w:val="22"/>
        </w:rPr>
        <w:fldChar w:fldCharType="begin"/>
      </w:r>
      <w:r w:rsidRPr="00145809">
        <w:rPr>
          <w:rFonts w:ascii="Garamond" w:hAnsi="Garamond"/>
          <w:szCs w:val="22"/>
        </w:rPr>
        <w:instrText xml:space="preserve"> ADDIN ZOTERO_ITEM CSL_CITATION {"citationID":"Hzdadghp","properties":{"formattedCitation":"Helen Frowe, \\uc0\\u8220{}Is Staying Home Really about \\uc0\\u8216{}Saving Lives\\uc0\\u8217{}?,\\uc0\\u8221{} {\\i{}Capx.Co}, May 14, 2020, https://capx.co/is-staying-at-home-really-about-saving-lives/.","plainCitation":"Helen Frowe, “Is Staying Home Really about ‘Saving Lives’?,” Capx.Co, May 14, 2020, https://capx.co/is-staying-at-home-really-about-saving-lives/.","noteIndex":11},"citationItems":[{"id":252,"uris":["http://zotero.org/users/5734718/items/888ZTAP2"],"uri":["http://zotero.org/users/5734718/items/888ZTAP2"],"itemData":{"id":252,"type":"article-newspaper","container-title":"Capx.co","title":"Is staying home really about 'saving lives'?","URL":"https://capx.co/is-staying-at-home-really-about-saving-lives/","author":[{"family":"Frowe","given":"Helen"}],"accessed":{"date-parts":[["2021",5,4]]},"issued":{"date-parts":[["2020",5,14]]}}}],"schema":"https://github.com/citation-style-language/schema/raw/master/csl-citation.json"} </w:instrText>
      </w:r>
      <w:r w:rsidRPr="00145809">
        <w:rPr>
          <w:rFonts w:ascii="Garamond" w:hAnsi="Garamond"/>
          <w:szCs w:val="22"/>
        </w:rPr>
        <w:fldChar w:fldCharType="separate"/>
      </w:r>
      <w:r w:rsidRPr="00145809">
        <w:rPr>
          <w:rFonts w:ascii="Garamond" w:hAnsi="Garamond"/>
        </w:rPr>
        <w:t xml:space="preserve">Helen Frowe, “Is Staying Home Really about ‘Saving Lives’?,” </w:t>
      </w:r>
      <w:r w:rsidRPr="00145809">
        <w:rPr>
          <w:rFonts w:ascii="Garamond" w:hAnsi="Garamond"/>
          <w:i/>
          <w:iCs/>
        </w:rPr>
        <w:t>Capx.Co</w:t>
      </w:r>
      <w:r w:rsidRPr="00145809">
        <w:rPr>
          <w:rFonts w:ascii="Garamond" w:hAnsi="Garamond"/>
        </w:rPr>
        <w:t>, May 14, 2020, https://capx.co/is-staying-at-home-really-about-saving-lives/.</w:t>
      </w:r>
      <w:r w:rsidRPr="00145809">
        <w:rPr>
          <w:rFonts w:ascii="Garamond" w:hAnsi="Garamond"/>
          <w:szCs w:val="22"/>
        </w:rPr>
        <w:fldChar w:fldCharType="end"/>
      </w:r>
    </w:p>
  </w:endnote>
  <w:endnote w:id="12">
    <w:p w14:paraId="760ECD6F" w14:textId="5010FBC8" w:rsidR="00F3637A" w:rsidRPr="00145809" w:rsidRDefault="00F3637A" w:rsidP="00814249">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An important issue, which I do not have the space to fully attend to here, concerns intervening agency: suppose A infects B, and B subsequently infects C. B kills C, but does </w:t>
      </w:r>
      <w:r w:rsidRPr="00145809">
        <w:rPr>
          <w:rFonts w:ascii="Garamond" w:hAnsi="Garamond"/>
          <w:i/>
        </w:rPr>
        <w:t xml:space="preserve">A </w:t>
      </w:r>
      <w:r w:rsidRPr="00145809">
        <w:rPr>
          <w:rFonts w:ascii="Garamond" w:hAnsi="Garamond"/>
        </w:rPr>
        <w:t xml:space="preserve">kill C as well? Given transmission in viral cases, this makes Patient Zero responsible (in the relevant sense) for literally </w:t>
      </w:r>
      <w:r w:rsidRPr="00145809">
        <w:rPr>
          <w:rFonts w:ascii="Garamond" w:hAnsi="Garamond"/>
          <w:i/>
        </w:rPr>
        <w:t xml:space="preserve">millions </w:t>
      </w:r>
      <w:r w:rsidRPr="00145809">
        <w:rPr>
          <w:rFonts w:ascii="Garamond" w:hAnsi="Garamond"/>
        </w:rPr>
        <w:t xml:space="preserve">of deaths; and it makes others responsible for all downstream deaths that occur. </w:t>
      </w:r>
    </w:p>
  </w:endnote>
  <w:endnote w:id="13">
    <w:p w14:paraId="7B25E4BE" w14:textId="7884ABCB" w:rsidR="00F3637A" w:rsidRPr="00145809" w:rsidRDefault="00F3637A" w:rsidP="00814249">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One might wonder whether, rather than lesser-evil justifications, such cases are evidence-relatively justified (though fact-relatively unjustified). After all, an EMT driver may be justified (as a lesser-evil) in killing one pedestrian to save five victims; but they are not justified in killing one to save one. In cases where the killing of one pedestrian is the result of a risk imposition that eventuates, the EMT would at best be evidence-relatively justified. This point, however, suggests that the EMT is nevertheless fact-relatively unjustified; and I find this conclusion difficult to accept: the intuition that it is fact-relatively justified for one person to expose some to an unavoidable risk of death in the service of saving many more is quite powerful. Moreover, the numbers here matter: the fact that the risk exposure is dwarfed by the benefits is central to this intuition. </w:t>
      </w:r>
    </w:p>
  </w:endnote>
  <w:endnote w:id="14">
    <w:p w14:paraId="27D525EC" w14:textId="708352B7" w:rsidR="00F3637A" w:rsidRPr="00145809" w:rsidRDefault="00F3637A" w:rsidP="00640937">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Note that this point applies only in a rather limited way—namely, to those acting within these particular roles who transmit the virus during the course of their necessary work, or during those actions necessary for carrying out their work (e.g. commuting to work via public transit). These individuals may still transmit the virus in other ways outside of this work—indeed, given their higher exposure, they may be more likely than the average person to unintentionally infect others in other public spaces. This lesser-evil justification would not apply to these acts.</w:t>
      </w:r>
    </w:p>
  </w:endnote>
  <w:endnote w:id="15">
    <w:p w14:paraId="42368ADB" w14:textId="504EC1AC" w:rsidR="00F3637A" w:rsidRPr="007210CD" w:rsidRDefault="00F3637A" w:rsidP="007210CD">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We can also exclude those who have immediately completed a full quarantine period, just received adequate and sufficient negative tests, or are otherwise immune, since they are not as risk of transmission. However, this group is likely to be unhelpfully small, since their s</w:t>
      </w:r>
      <w:r w:rsidRPr="007210CD">
        <w:rPr>
          <w:rFonts w:ascii="Garamond" w:hAnsi="Garamond"/>
        </w:rPr>
        <w:t>tatus shifts as soon as they interact with anyone who may be an unintentional transmitter.</w:t>
      </w:r>
    </w:p>
  </w:endnote>
  <w:endnote w:id="16">
    <w:p w14:paraId="1FE95B14" w14:textId="3FB12F98" w:rsidR="00F3637A" w:rsidRPr="007210CD" w:rsidRDefault="00F3637A" w:rsidP="007210CD">
      <w:pPr>
        <w:pStyle w:val="EndnoteText"/>
        <w:spacing w:line="480" w:lineRule="auto"/>
        <w:rPr>
          <w:rFonts w:ascii="Garamond" w:hAnsi="Garamond"/>
        </w:rPr>
      </w:pPr>
      <w:r w:rsidRPr="007210CD">
        <w:rPr>
          <w:rStyle w:val="EndnoteReference"/>
          <w:rFonts w:ascii="Garamond" w:hAnsi="Garamond"/>
        </w:rPr>
        <w:endnoteRef/>
      </w:r>
      <w:r w:rsidRPr="007210CD">
        <w:rPr>
          <w:rFonts w:ascii="Garamond" w:hAnsi="Garamond"/>
        </w:rPr>
        <w:t xml:space="preserve"> As one reviewer points out, we could imagine cases in which one does not meaningfully </w:t>
      </w:r>
      <w:r w:rsidRPr="007210CD">
        <w:rPr>
          <w:rFonts w:ascii="Garamond" w:hAnsi="Garamond"/>
          <w:i/>
        </w:rPr>
        <w:t>act</w:t>
      </w:r>
      <w:r w:rsidRPr="007210CD">
        <w:rPr>
          <w:rFonts w:ascii="Garamond" w:hAnsi="Garamond"/>
        </w:rPr>
        <w:t xml:space="preserve"> at all, and yet transmission from them to another person, resulting in their death, could occur. Imagine a person who is kidnapped, infected with COVID, and forced into proximity with another person who is infected and dies. This strikes me as sufficiently similar to the case of the incarcerated person just discussed. But is this a </w:t>
      </w:r>
      <w:r w:rsidRPr="007210CD">
        <w:rPr>
          <w:rFonts w:ascii="Garamond" w:hAnsi="Garamond"/>
          <w:i/>
        </w:rPr>
        <w:t>killing</w:t>
      </w:r>
      <w:r w:rsidRPr="007210CD">
        <w:rPr>
          <w:rFonts w:ascii="Garamond" w:hAnsi="Garamond"/>
        </w:rPr>
        <w:t>? I am inclined to say yes, though it is clearly non-wrongful; others may disagree. While this question raises interesting issues for the broader framework, I will set it aside here, since my focus will be on those cases that are most plausibly understood to be voluntary actions—cases which seem most appropriately classified as ‘killings’.</w:t>
      </w:r>
    </w:p>
  </w:endnote>
  <w:endnote w:id="17">
    <w:p w14:paraId="781219FC" w14:textId="7E857090" w:rsidR="00F3637A" w:rsidRPr="00145809" w:rsidRDefault="00F3637A" w:rsidP="007210CD">
      <w:pPr>
        <w:pStyle w:val="EndnoteText"/>
        <w:spacing w:line="480" w:lineRule="auto"/>
        <w:rPr>
          <w:rFonts w:ascii="Garamond" w:hAnsi="Garamond"/>
        </w:rPr>
      </w:pPr>
      <w:r w:rsidRPr="007210CD">
        <w:rPr>
          <w:rStyle w:val="EndnoteReference"/>
          <w:rFonts w:ascii="Garamond" w:hAnsi="Garamond"/>
        </w:rPr>
        <w:endnoteRef/>
      </w:r>
      <w:r w:rsidRPr="007210CD">
        <w:rPr>
          <w:rFonts w:ascii="Garamond" w:hAnsi="Garamond"/>
        </w:rPr>
        <w:t xml:space="preserve"> Admittedly, even this will </w:t>
      </w:r>
      <w:r w:rsidRPr="00145809">
        <w:rPr>
          <w:rFonts w:ascii="Garamond" w:hAnsi="Garamond"/>
        </w:rPr>
        <w:t>be difficult to determine precisely. As an anonymous reviewer noted, many individuals need exercise, to be outside, etc. in order to maintain their mental health. Should transmission that occurs during these acts qualify as voluntary? I leave this issue to one side here, since my view does not require that we take a firm stand.</w:t>
      </w:r>
    </w:p>
  </w:endnote>
  <w:endnote w:id="18">
    <w:p w14:paraId="2C3769C2" w14:textId="67B63078" w:rsidR="00F3637A" w:rsidRPr="00145809" w:rsidRDefault="00F3637A" w:rsidP="00087766">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Let us set aside for now the question of risk reduction measures, such as mask wearing and social distancing; this point will re-enter the discussion shortly.</w:t>
      </w:r>
    </w:p>
  </w:endnote>
  <w:endnote w:id="19">
    <w:p w14:paraId="5F27A219" w14:textId="1A31EFE9" w:rsidR="00F3637A" w:rsidRPr="00145809" w:rsidRDefault="00F3637A" w:rsidP="004D6EA5">
      <w:pPr>
        <w:pStyle w:val="EndnoteText"/>
        <w:spacing w:line="480" w:lineRule="auto"/>
        <w:rPr>
          <w:rFonts w:ascii="Garamond" w:hAnsi="Garamond"/>
          <w:szCs w:val="22"/>
        </w:rPr>
      </w:pPr>
      <w:r w:rsidRPr="00145809">
        <w:rPr>
          <w:rStyle w:val="EndnoteReference"/>
          <w:rFonts w:ascii="Garamond" w:hAnsi="Garamond"/>
          <w:szCs w:val="22"/>
        </w:rPr>
        <w:endnoteRef/>
      </w:r>
      <w:r w:rsidRPr="00145809">
        <w:rPr>
          <w:rFonts w:ascii="Garamond" w:hAnsi="Garamond"/>
          <w:szCs w:val="22"/>
        </w:rPr>
        <w:t xml:space="preserve"> </w:t>
      </w:r>
      <w:r w:rsidRPr="00145809">
        <w:rPr>
          <w:rFonts w:ascii="Garamond" w:hAnsi="Garamond"/>
          <w:szCs w:val="22"/>
        </w:rPr>
        <w:fldChar w:fldCharType="begin"/>
      </w:r>
      <w:r w:rsidRPr="00145809">
        <w:rPr>
          <w:rFonts w:ascii="Garamond" w:hAnsi="Garamond"/>
          <w:szCs w:val="22"/>
        </w:rPr>
        <w:instrText xml:space="preserve"> ADDIN ZOTERO_ITEM CSL_CITATION {"citationID":"UKscVH3d","properties":{"formattedCitation":"Jeff McMahan, {\\i{}Killing in War} (Oxford: Oxford University Press, 2009), 52.","plainCitation":"Jeff McMahan, Killing in War (Oxford: Oxford University Press, 2009), 52.","noteIndex":18},"citationItems":[{"id":17,"uris":["http://zotero.org/users/5734718/items/JY6VTQDG"],"uri":["http://zotero.org/users/5734718/items/JY6VTQDG"],"itemData":{"id":17,"type":"book","event-place":"Oxford","publisher":"Oxford University Press","publisher-place":"Oxford","title":"Killing in War","author":[{"family":"McMahan","given":"Jeff"}],"issued":{"date-parts":[["2009"]]}},"locator":"52"}],"schema":"https://github.com/citation-style-language/schema/raw/master/csl-citation.json"} </w:instrText>
      </w:r>
      <w:r w:rsidRPr="00145809">
        <w:rPr>
          <w:rFonts w:ascii="Garamond" w:hAnsi="Garamond"/>
          <w:szCs w:val="22"/>
        </w:rPr>
        <w:fldChar w:fldCharType="separate"/>
      </w:r>
      <w:r w:rsidRPr="00145809">
        <w:rPr>
          <w:rFonts w:ascii="Garamond" w:hAnsi="Garamond"/>
          <w:szCs w:val="22"/>
        </w:rPr>
        <w:t xml:space="preserve">Jeff McMahan, </w:t>
      </w:r>
      <w:r w:rsidRPr="00145809">
        <w:rPr>
          <w:rFonts w:ascii="Garamond" w:hAnsi="Garamond"/>
          <w:i/>
          <w:iCs/>
          <w:szCs w:val="22"/>
        </w:rPr>
        <w:t>Killing in War</w:t>
      </w:r>
      <w:r w:rsidRPr="00145809">
        <w:rPr>
          <w:rFonts w:ascii="Garamond" w:hAnsi="Garamond"/>
          <w:szCs w:val="22"/>
        </w:rPr>
        <w:t xml:space="preserve"> (Oxford: Oxford University Press, 2009), 52.</w:t>
      </w:r>
      <w:r w:rsidRPr="00145809">
        <w:rPr>
          <w:rFonts w:ascii="Garamond" w:hAnsi="Garamond"/>
          <w:szCs w:val="22"/>
        </w:rPr>
        <w:fldChar w:fldCharType="end"/>
      </w:r>
      <w:r w:rsidRPr="00145809">
        <w:rPr>
          <w:rFonts w:ascii="Garamond" w:hAnsi="Garamond"/>
          <w:szCs w:val="22"/>
        </w:rPr>
        <w:t xml:space="preserve"> For his complete discussion of rights waiver and consent in the context of war, see pp. 51–57.</w:t>
      </w:r>
    </w:p>
  </w:endnote>
  <w:endnote w:id="20">
    <w:p w14:paraId="534CFACA" w14:textId="32BEC8BB" w:rsidR="00F3637A" w:rsidRPr="00145809" w:rsidRDefault="00F3637A" w:rsidP="003E433B">
      <w:pPr>
        <w:pStyle w:val="EndnoteText"/>
        <w:spacing w:line="480" w:lineRule="auto"/>
        <w:rPr>
          <w:rFonts w:ascii="Garamond" w:hAnsi="Garamond"/>
          <w:szCs w:val="22"/>
        </w:rPr>
      </w:pPr>
      <w:r w:rsidRPr="00145809">
        <w:rPr>
          <w:rStyle w:val="EndnoteReference"/>
          <w:rFonts w:ascii="Garamond" w:hAnsi="Garamond"/>
        </w:rPr>
        <w:endnoteRef/>
      </w:r>
      <w:r w:rsidRPr="00145809">
        <w:rPr>
          <w:rFonts w:ascii="Garamond" w:hAnsi="Garamond"/>
        </w:rPr>
        <w:t xml:space="preserve"> There are further analogs of this in war </w:t>
      </w:r>
      <w:r w:rsidRPr="00145809">
        <w:rPr>
          <w:rFonts w:ascii="Garamond" w:hAnsi="Garamond"/>
          <w:szCs w:val="22"/>
        </w:rPr>
        <w:t>cases. Civilians who accept the risks of living near warzones do not thereby waive their rights against being killed.</w:t>
      </w:r>
    </w:p>
  </w:endnote>
  <w:endnote w:id="21">
    <w:p w14:paraId="5F0C5AA7" w14:textId="5FD9E4EE" w:rsidR="00F3637A" w:rsidRPr="00145809" w:rsidRDefault="00F3637A" w:rsidP="004D6EA5">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{"citationID":"dan4h06n","properties":{"formattedCitation":"Lazar and Barry, \\uc0\\u8220{}Justifying Lockdown.\\uc0\\u8221{}","plainCitation":"Lazar and Barry, “Justifying Lockdown.”","noteIndex":20},"citationItems":[{"id":241,"uris":["http://zotero.org/users/5734718/items/T4BGQ4XA"],"uri":["http://zotero.org/users/5734718/items/T4BGQ4XA"],"itemData":{"id":241,"type":"article-journal","container-title":"Ethics and International Affairs","title":"Justifying Lockdown","URL":"https://www.ethicsandinternationalaffairs.org/2020/justifying-lockdown/","author":[{"family":"Lazar","given":"Seth"},{"family":"Barry","given":"Christian"}],"issued":{"date-parts":[["2020",5]]}}}],"schema":"https://github.com/citation-style-language/schema/raw/master/csl-citation.json"} </w:instrText>
      </w:r>
      <w:r w:rsidRPr="00145809">
        <w:rPr>
          <w:rFonts w:ascii="Garamond" w:hAnsi="Garamond"/>
        </w:rPr>
        <w:fldChar w:fldCharType="separate"/>
      </w:r>
      <w:r w:rsidRPr="00145809">
        <w:rPr>
          <w:rFonts w:ascii="Garamond" w:hAnsi="Garamond"/>
        </w:rPr>
        <w:t>Lazar and Barry, “Justifying Lockdown.”</w:t>
      </w:r>
      <w:r w:rsidRPr="00145809">
        <w:rPr>
          <w:rFonts w:ascii="Garamond" w:hAnsi="Garamond"/>
        </w:rPr>
        <w:fldChar w:fldCharType="end"/>
      </w:r>
    </w:p>
  </w:endnote>
  <w:endnote w:id="22">
    <w:p w14:paraId="30636C25" w14:textId="6946960C" w:rsidR="00F3637A" w:rsidRPr="00145809" w:rsidRDefault="00F3637A" w:rsidP="004D6EA5">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{"citationID":"DyhaiQ2R","properties":{"formattedCitation":"Charles Fried, {\\i{}An Anatomy of Values: Problems of Personal and Social Choice} (Cambridge, MA: Harvard University Press, 1970), 186.","plainCitation":"Charles Fried, An Anatomy of Values: Problems of Personal and Social Choice (Cambridge, MA: Harvard University Press, 1970), 186.","noteIndex":21},"citationItems":[{"id":146,"uris":["http://zotero.org/users/5734718/items/6XGD3RMQ"],"uri":["http://zotero.org/users/5734718/items/6XGD3RMQ"],"itemData":{"id":146,"type":"book","event-place":"Cambridge, MA","publisher":"Harvard University Press","publisher-place":"Cambridge, MA","title":"An Anatomy of Values: Problems of Personal and Social Choice","author":[{"family":"Fried","given":"Charles"}],"issued":{"date-parts":[["1970"]]}},"locator":"186"}],"schema":"https://github.com/citation-style-language/schema/raw/master/csl-citation.json"} </w:instrText>
      </w:r>
      <w:r w:rsidRPr="00145809">
        <w:rPr>
          <w:rFonts w:ascii="Garamond" w:hAnsi="Garamond"/>
        </w:rPr>
        <w:fldChar w:fldCharType="separate"/>
      </w:r>
      <w:r w:rsidRPr="00145809">
        <w:rPr>
          <w:rFonts w:ascii="Garamond" w:hAnsi="Garamond"/>
        </w:rPr>
        <w:t xml:space="preserve">Charles Fried, </w:t>
      </w:r>
      <w:r w:rsidRPr="00145809">
        <w:rPr>
          <w:rFonts w:ascii="Garamond" w:hAnsi="Garamond"/>
          <w:i/>
          <w:iCs/>
        </w:rPr>
        <w:t>An Anatomy of Values: Problems of Personal and Social Choice</w:t>
      </w:r>
      <w:r w:rsidRPr="00145809">
        <w:rPr>
          <w:rFonts w:ascii="Garamond" w:hAnsi="Garamond"/>
        </w:rPr>
        <w:t xml:space="preserve"> (Cambridge, MA: Harvard University Press, 1970), 186.</w:t>
      </w:r>
      <w:r w:rsidRPr="00145809">
        <w:rPr>
          <w:rFonts w:ascii="Garamond" w:hAnsi="Garamond"/>
        </w:rPr>
        <w:fldChar w:fldCharType="end"/>
      </w:r>
    </w:p>
  </w:endnote>
  <w:endnote w:id="23">
    <w:p w14:paraId="71388FBF" w14:textId="219B875F" w:rsidR="00F3637A" w:rsidRPr="00145809" w:rsidRDefault="00F3637A" w:rsidP="004D6EA5">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{"citationID":"en2WPF2n","properties":{"formattedCitation":"George Fletcher, \\uc0\\u8220{}Fairness and Utility in Tort Theory,\\uc0\\u8221{} {\\i{}Harvard Law Review} 85, no. 3 (1972): 542.","plainCitation":"George Fletcher, “Fairness and Utility in Tort Theory,” Harvard Law Review 85, no. 3 (1972): 542.","noteIndex":22},"citationItems":[{"id":145,"uris":["http://zotero.org/users/5734718/items/MNZYY9XH"],"uri":["http://zotero.org/users/5734718/items/MNZYY9XH"],"itemData":{"id":145,"type":"article-journal","container-title":"Harvard Law Review","issue":"3","page":"537-573","title":"Fairness and Utility in Tort Theory","volume":"85","author":[{"family":"Fletcher","given":"George"}],"issued":{"date-parts":[["1972"]]}},"locator":"542"}],"schema":"https://github.com/citation-style-language/schema/raw/master/csl-citation.json"} </w:instrText>
      </w:r>
      <w:r w:rsidRPr="00145809">
        <w:rPr>
          <w:rFonts w:ascii="Garamond" w:hAnsi="Garamond"/>
        </w:rPr>
        <w:fldChar w:fldCharType="separate"/>
      </w:r>
      <w:r w:rsidRPr="00145809">
        <w:rPr>
          <w:rFonts w:ascii="Garamond" w:hAnsi="Garamond"/>
        </w:rPr>
        <w:t xml:space="preserve">George Fletcher, “Fairness and Utility in Tort Theory,” </w:t>
      </w:r>
      <w:r w:rsidRPr="00145809">
        <w:rPr>
          <w:rFonts w:ascii="Garamond" w:hAnsi="Garamond"/>
          <w:i/>
          <w:iCs/>
        </w:rPr>
        <w:t>Harvard Law Review</w:t>
      </w:r>
      <w:r w:rsidRPr="00145809">
        <w:rPr>
          <w:rFonts w:ascii="Garamond" w:hAnsi="Garamond"/>
        </w:rPr>
        <w:t xml:space="preserve"> 85, no. 3 (1972): 542.</w:t>
      </w:r>
      <w:r w:rsidRPr="00145809">
        <w:rPr>
          <w:rFonts w:ascii="Garamond" w:hAnsi="Garamond"/>
        </w:rPr>
        <w:fldChar w:fldCharType="end"/>
      </w:r>
    </w:p>
  </w:endnote>
  <w:endnote w:id="24">
    <w:p w14:paraId="21EF7718" w14:textId="214CCE6A" w:rsidR="00F3637A" w:rsidRPr="00145809" w:rsidRDefault="00F3637A" w:rsidP="004D6EA5">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One might wonder about a natural omission here—namely, the case of driving. While it is true that by driving we accept risks from other drivers, and in some cases impose them on others, the cases in which harms do eventuate are generally too murky to provide a useful analogy here. To wit, many of them involve particular errors on the part of drivers, rather than merely the realization of some general risks. </w:t>
      </w:r>
    </w:p>
  </w:endnote>
  <w:endnote w:id="25">
    <w:p w14:paraId="14DF5290" w14:textId="77777777" w:rsidR="00F3637A" w:rsidRPr="00145809" w:rsidRDefault="00F3637A" w:rsidP="007058B2">
      <w:pPr>
        <w:pStyle w:val="EndnoteText"/>
        <w:spacing w:line="480" w:lineRule="auto"/>
        <w:rPr>
          <w:rFonts w:ascii="Garamond" w:hAnsi="Garamond"/>
        </w:rPr>
      </w:pPr>
      <w:r w:rsidRPr="00145809">
        <w:rPr>
          <w:rStyle w:val="EndnoteReference"/>
          <w:rFonts w:ascii="Garamond" w:hAnsi="Garamond"/>
          <w:szCs w:val="22"/>
        </w:rPr>
        <w:endnoteRef/>
      </w:r>
      <w:r w:rsidRPr="00145809">
        <w:rPr>
          <w:rFonts w:ascii="Garamond" w:hAnsi="Garamond"/>
          <w:szCs w:val="22"/>
        </w:rPr>
        <w:t xml:space="preserve"> For example, sex is</w:t>
      </w:r>
      <w:r w:rsidRPr="00145809">
        <w:rPr>
          <w:rFonts w:ascii="Garamond" w:hAnsi="Garamond"/>
        </w:rPr>
        <w:t xml:space="preserve"> a much more selective event, typically; interactions at the grocery store are not. There are opportunities for questions beforehand; not at the store. One might even think that one waives one’s rights against being harmed by having, say, unprotected sex at all—even if the person does know their status vis-à-vis HIV. Finally, relevant prophylactic use in sex is pretty close to symmetrical by nature: one’s use of a condom protects both parties almost evenly. By contrast, certain prophylactic measures for COVID-19 transmission, such as mask-wearing, require two parties to comply separately to achieve the greatest minimization of risk; and asymmetrical masking creates differences in risk imposition among both parties.</w:t>
      </w:r>
    </w:p>
  </w:endnote>
  <w:endnote w:id="26">
    <w:p w14:paraId="575703A4" w14:textId="742E45DC" w:rsidR="00F3637A" w:rsidRPr="00145809" w:rsidRDefault="00F3637A" w:rsidP="00145809">
      <w:pPr>
        <w:pStyle w:val="EndnoteText"/>
        <w:spacing w:line="480" w:lineRule="auto"/>
        <w:rPr>
          <w:rFonts w:ascii="Garamond" w:hAnsi="Garamond" w:cs="Times New Roman"/>
        </w:rPr>
      </w:pPr>
      <w:r w:rsidRPr="00145809">
        <w:rPr>
          <w:rStyle w:val="EndnoteReference"/>
          <w:rFonts w:ascii="Garamond" w:hAnsi="Garamond"/>
        </w:rPr>
        <w:endnoteRef/>
      </w:r>
      <w:r w:rsidRPr="00145809">
        <w:rPr>
          <w:rFonts w:ascii="Garamond" w:hAnsi="Garamond"/>
        </w:rPr>
        <w:t xml:space="preserve"> </w:t>
      </w:r>
      <w:r w:rsidRPr="001826D4">
        <w:rPr>
          <w:rFonts w:ascii="Garamond" w:hAnsi="Garamond"/>
        </w:rPr>
        <w:t xml:space="preserve">An anonymous reviewer points out that the two cases are importantly disanalogous: whereas drunk driving is not carried out in pursuit of anything morally valuable, many acts of risk imposition during the pandemic were carried out in pursuit of those things that give our lives meaning—e.g., leisure time, visiting with friends, etc. In certain cases, these morally valuable ends could help justify the action; see my discussion at the beginning of section 3. In </w:t>
      </w:r>
      <w:r w:rsidRPr="001826D4">
        <w:rPr>
          <w:rFonts w:ascii="Garamond" w:hAnsi="Garamond" w:cs="Times New Roman"/>
        </w:rPr>
        <w:t>ordinary cases, however, the moral value of these acts will not justify the killing, though they may lower one’s blameworthiness.</w:t>
      </w:r>
    </w:p>
  </w:endnote>
  <w:endnote w:id="27">
    <w:p w14:paraId="39C4B33F" w14:textId="45F008BE" w:rsidR="00F3637A" w:rsidRPr="00145809" w:rsidRDefault="00F3637A" w:rsidP="00145809">
      <w:pPr>
        <w:pStyle w:val="EndnoteText"/>
        <w:spacing w:line="480" w:lineRule="auto"/>
        <w:rPr>
          <w:rFonts w:ascii="Garamond" w:hAnsi="Garamond" w:cs="Times New Roman"/>
        </w:rPr>
      </w:pPr>
      <w:r w:rsidRPr="00145809">
        <w:rPr>
          <w:rStyle w:val="EndnoteReference"/>
          <w:rFonts w:ascii="Garamond" w:hAnsi="Garamond" w:cs="Times New Roman"/>
        </w:rPr>
        <w:endnoteRef/>
      </w:r>
      <w:r w:rsidRPr="00145809">
        <w:rPr>
          <w:rFonts w:ascii="Garamond" w:hAnsi="Garamond" w:cs="Times New Roman"/>
        </w:rPr>
        <w:t xml:space="preserve"> Thank you to an anonymous reviewer for emphasizing these important differences. </w:t>
      </w:r>
    </w:p>
  </w:endnote>
  <w:endnote w:id="28">
    <w:p w14:paraId="13862C42" w14:textId="26E08EE3" w:rsidR="00F3637A" w:rsidRPr="00145809" w:rsidRDefault="00F3637A" w:rsidP="00145809">
      <w:pPr>
        <w:pStyle w:val="EndnoteText"/>
        <w:spacing w:line="480" w:lineRule="auto"/>
        <w:rPr>
          <w:rFonts w:ascii="Garamond" w:hAnsi="Garamond" w:cs="Times New Roman"/>
        </w:rPr>
      </w:pPr>
      <w:r w:rsidRPr="00145809">
        <w:rPr>
          <w:rStyle w:val="EndnoteReference"/>
          <w:rFonts w:ascii="Garamond" w:hAnsi="Garamond" w:cs="Times New Roman"/>
        </w:rPr>
        <w:endnoteRef/>
      </w:r>
      <w:r w:rsidRPr="00145809">
        <w:rPr>
          <w:rFonts w:ascii="Garamond" w:hAnsi="Garamond" w:cs="Times New Roman"/>
        </w:rPr>
        <w:t xml:space="preserve"> </w:t>
      </w:r>
      <w:r w:rsidRPr="00145809">
        <w:rPr>
          <w:rFonts w:ascii="Garamond" w:hAnsi="Garamond" w:cs="Times New Roman"/>
        </w:rPr>
        <w:fldChar w:fldCharType="begin"/>
      </w:r>
      <w:r w:rsidRPr="00145809">
        <w:rPr>
          <w:rFonts w:ascii="Garamond" w:hAnsi="Garamond" w:cs="Times New Roman"/>
        </w:rPr>
        <w:instrText xml:space="preserve"> ADDIN ZOTERO_ITEM CSL_CITATION {"citationID":"44AVLS9n","properties":{"formattedCitation":"Derek Parfit, {\\i{}On What Matters: Volume One} (Oxford: Oxford University Press, 2011), 149\\uc0\\u8211{}62.","plainCitation":"Derek Parfit, On What Matters: Volume One (Oxford: Oxford University Press, 2011), 149–62.","noteIndex":26},"citationItems":[{"id":253,"uris":["http://zotero.org/users/5734718/items/D98DKW2S"],"uri":["http://zotero.org/users/5734718/items/D98DKW2S"],"itemData":{"id":253,"type":"book","event-place":"Oxford","publisher":"Oxford University Press","publisher-place":"Oxford","title":"On What Matters: Volume One","author":[{"family":"Parfit","given":"Derek"}],"issued":{"date-parts":[["2011"]]}},"locator":"149-162"}],"schema":"https://github.com/citation-style-language/schema/raw/master/csl-citation.json"} </w:instrText>
      </w:r>
      <w:r w:rsidRPr="00145809">
        <w:rPr>
          <w:rFonts w:ascii="Garamond" w:hAnsi="Garamond" w:cs="Times New Roman"/>
        </w:rPr>
        <w:fldChar w:fldCharType="separate"/>
      </w:r>
      <w:r w:rsidRPr="00145809">
        <w:rPr>
          <w:rFonts w:ascii="Garamond" w:hAnsi="Garamond" w:cs="Times New Roman"/>
        </w:rPr>
        <w:t xml:space="preserve">Derek Parfit, </w:t>
      </w:r>
      <w:r w:rsidRPr="00145809">
        <w:rPr>
          <w:rFonts w:ascii="Garamond" w:hAnsi="Garamond" w:cs="Times New Roman"/>
          <w:i/>
          <w:iCs/>
        </w:rPr>
        <w:t>On What Matters: Volume One</w:t>
      </w:r>
      <w:r w:rsidRPr="00145809">
        <w:rPr>
          <w:rFonts w:ascii="Garamond" w:hAnsi="Garamond" w:cs="Times New Roman"/>
        </w:rPr>
        <w:t xml:space="preserve"> (Oxford: Oxford University Press, 2011), 149–62.</w:t>
      </w:r>
      <w:r w:rsidRPr="00145809">
        <w:rPr>
          <w:rFonts w:ascii="Garamond" w:hAnsi="Garamond" w:cs="Times New Roman"/>
        </w:rPr>
        <w:fldChar w:fldCharType="end"/>
      </w:r>
    </w:p>
  </w:endnote>
  <w:endnote w:id="29">
    <w:p w14:paraId="7EB6BC4B" w14:textId="580C2CFF" w:rsidR="00F3637A" w:rsidRPr="00145809" w:rsidRDefault="00F3637A" w:rsidP="00145809">
      <w:pPr>
        <w:pStyle w:val="EndnoteText"/>
        <w:spacing w:line="480" w:lineRule="auto"/>
        <w:rPr>
          <w:rFonts w:ascii="Garamond" w:hAnsi="Garamond"/>
        </w:rPr>
      </w:pPr>
      <w:r w:rsidRPr="00145809">
        <w:rPr>
          <w:rStyle w:val="EndnoteReference"/>
          <w:rFonts w:ascii="Garamond" w:hAnsi="Garamond" w:cs="Times New Roman"/>
        </w:rPr>
        <w:endnoteRef/>
      </w:r>
      <w:r w:rsidRPr="00145809">
        <w:rPr>
          <w:rFonts w:ascii="Garamond" w:hAnsi="Garamond" w:cs="Times New Roman"/>
        </w:rPr>
        <w:t xml:space="preserve"> </w:t>
      </w:r>
      <w:r w:rsidRPr="00145809">
        <w:rPr>
          <w:rFonts w:ascii="Garamond" w:hAnsi="Garamond" w:cs="Times New Roman"/>
        </w:rPr>
        <w:fldChar w:fldCharType="begin"/>
      </w:r>
      <w:r w:rsidRPr="00145809">
        <w:rPr>
          <w:rFonts w:ascii="Garamond" w:hAnsi="Garamond" w:cs="Times New Roman"/>
        </w:rPr>
        <w:instrText xml:space="preserve"> ADDIN ZOTERO_ITEM CSL_CITATION {"citationID":"msEpt7HK","properties":{"formattedCitation":"Rebecca Bennett, Heather Draper, and Lucy Frith, \\uc0\\u8220{}Ignorance Is Bliss? HIV and Moral Duties and Legal Duties to Forewarn,\\uc0\\u8221{} {\\i{}Journal of Medical Ethics} 26 (2000): 13.","plainCitation":"Rebecca Bennett, Heather Draper, and Lucy Frith, “Ignorance Is Bliss? HIV and Moral Duties and Legal Duties to Forewarn,” Journal of Medical Ethics 26 (2000): 13.","noteIndex":28},"citationItems":[{"id":147,"uris":["http://zotero.org/users/5734718/items/SNDWG64E"],"uri":["http://zotero.org/users/5734718/items/SNDWG64E"],"itemData":{"id":147,"type":"article-journal","container-title":"Journal of Medical Ethics","page":"9-15","title":"Ignorance Is Bliss? HIV and Moral Duties and Legal Duties to Forewarn","volume":"26","author":[{"family":"Bennett","given":"Rebecca"},{"family":"Draper","given":"Heather"},{"family":"Frith","given":"Lucy"}],"issued":{"date-parts":[["2000"]]}},"locator":"13"}],"schema":"https://github.com/citation-style-language/schema/raw/master/csl-citation.json"} </w:instrText>
      </w:r>
      <w:r w:rsidRPr="00145809">
        <w:rPr>
          <w:rFonts w:ascii="Garamond" w:hAnsi="Garamond" w:cs="Times New Roman"/>
        </w:rPr>
        <w:fldChar w:fldCharType="separate"/>
      </w:r>
      <w:r w:rsidRPr="00145809">
        <w:rPr>
          <w:rFonts w:ascii="Garamond" w:hAnsi="Garamond" w:cs="Times New Roman"/>
        </w:rPr>
        <w:t xml:space="preserve">Rebecca Bennett, Heather Draper, and Lucy Frith, “Ignorance Is Bliss? HIV and Moral Duties and Legal Duties to Forewarn,” </w:t>
      </w:r>
      <w:r w:rsidRPr="00145809">
        <w:rPr>
          <w:rFonts w:ascii="Garamond" w:hAnsi="Garamond" w:cs="Times New Roman"/>
          <w:i/>
          <w:iCs/>
        </w:rPr>
        <w:t>Journal of Medical Ethics</w:t>
      </w:r>
      <w:r w:rsidRPr="00145809">
        <w:rPr>
          <w:rFonts w:ascii="Garamond" w:hAnsi="Garamond" w:cs="Times New Roman"/>
        </w:rPr>
        <w:t xml:space="preserve"> 26 (2000): 13.</w:t>
      </w:r>
      <w:r w:rsidRPr="00145809">
        <w:rPr>
          <w:rFonts w:ascii="Garamond" w:hAnsi="Garamond" w:cs="Times New Roman"/>
        </w:rPr>
        <w:fldChar w:fldCharType="end"/>
      </w:r>
      <w:r w:rsidRPr="00145809">
        <w:rPr>
          <w:rFonts w:ascii="Garamond" w:hAnsi="Garamond"/>
        </w:rPr>
        <w:t xml:space="preserve"> Note, however, that while HIV can ultimately be fatal, particularly in places where treatments are less readily available, the virus itself is very treatable. Indeed, the risk of transmission during even unprotected sex for those treated with HIV is exceptionally low. Bennett, Draper, and Frith’s discussion predates some of the newest advances in HIV treatments, though many of these have been around since at least the 1990’s. (Thanks to [REDACTED] for pressing me to mention these facts.)</w:t>
      </w:r>
    </w:p>
  </w:endnote>
  <w:endnote w:id="30">
    <w:p w14:paraId="4B4E29D2" w14:textId="4375741B" w:rsidR="00F3637A" w:rsidRPr="00145809" w:rsidRDefault="00F3637A" w:rsidP="0031197A">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See, e.g., </w:t>
      </w:r>
      <w:r w:rsidRPr="00145809">
        <w:rPr>
          <w:rFonts w:ascii="Garamond" w:hAnsi="Garamond"/>
        </w:rPr>
        <w:fldChar w:fldCharType="begin"/>
      </w:r>
      <w:r w:rsidRPr="00145809">
        <w:rPr>
          <w:rFonts w:ascii="Garamond" w:hAnsi="Garamond"/>
        </w:rPr>
        <w:instrText xml:space="preserve"> ADDIN ZOTERO_ITEM CSL_CITATION {"citationID":"9ztvx1fP","properties":{"formattedCitation":"John Oberdiek, {\\i{}Imposing Risk: A Normative Framework} (Oxford University Press, 2017); Jonathan Quong, {\\i{}The Morality of Defensive Force} (New York: Oxford University Press, 2020).","plainCitation":"John Oberdiek, Imposing Risk: A Normative Framework (Oxford University Press, 2017); Jonathan Quong, The Morality of Defensive Force (New York: Oxford University Press, 2020).","noteIndex":29},"citationItems":[{"id":308,"uris":["http://zotero.org/users/5734718/items/V9HJ2A9C"],"uri":["http://zotero.org/users/5734718/items/V9HJ2A9C"],"itemData":{"id":308,"type":"book","publisher":"Oxford University Press","title":"Imposing Risk: A Normative Framework","author":[{"family":"Oberdiek","given":"John"}],"issued":{"date-parts":[["2017"]]}}},{"id":307,"uris":["http://zotero.org/users/5734718/items/PXKB8A9T"],"uri":["http://zotero.org/users/5734718/items/PXKB8A9T"],"itemData":{"id":307,"type":"book","event-place":"New York","publisher":"Oxford University Press","publisher-place":"New York","title":"The Morality of Defensive Force","author":[{"family":"Quong","given":"Jonathan"}],"issued":{"date-parts":[["2020"]]}}}],"schema":"https://github.com/citation-style-language/schema/raw/master/csl-citation.json"} </w:instrText>
      </w:r>
      <w:r w:rsidRPr="00145809">
        <w:rPr>
          <w:rFonts w:ascii="Garamond" w:hAnsi="Garamond"/>
        </w:rPr>
        <w:fldChar w:fldCharType="separate"/>
      </w:r>
      <w:r w:rsidRPr="00145809">
        <w:rPr>
          <w:rFonts w:ascii="Garamond" w:hAnsi="Garamond"/>
        </w:rPr>
        <w:t xml:space="preserve">John Oberdiek, </w:t>
      </w:r>
      <w:r w:rsidRPr="00145809">
        <w:rPr>
          <w:rFonts w:ascii="Garamond" w:hAnsi="Garamond"/>
          <w:i/>
          <w:iCs/>
        </w:rPr>
        <w:t>Imposing Risk: A Normative Framework</w:t>
      </w:r>
      <w:r w:rsidRPr="00145809">
        <w:rPr>
          <w:rFonts w:ascii="Garamond" w:hAnsi="Garamond"/>
        </w:rPr>
        <w:t xml:space="preserve"> (Oxford University Press, 2017); Jonathan Quong, </w:t>
      </w:r>
      <w:r w:rsidRPr="00145809">
        <w:rPr>
          <w:rFonts w:ascii="Garamond" w:hAnsi="Garamond"/>
          <w:i/>
          <w:iCs/>
        </w:rPr>
        <w:t>The Morality of Defensive Force</w:t>
      </w:r>
      <w:r w:rsidRPr="00145809">
        <w:rPr>
          <w:rFonts w:ascii="Garamond" w:hAnsi="Garamond"/>
        </w:rPr>
        <w:t xml:space="preserve"> (New York: Oxford University Press, 2020).</w:t>
      </w:r>
      <w:r w:rsidRPr="00145809">
        <w:rPr>
          <w:rFonts w:ascii="Garamond" w:hAnsi="Garamond"/>
        </w:rPr>
        <w:fldChar w:fldCharType="end"/>
      </w:r>
    </w:p>
  </w:endnote>
  <w:endnote w:id="31">
    <w:p w14:paraId="3FD169DB" w14:textId="0DAF3FF6" w:rsidR="00F3637A" w:rsidRPr="00145809" w:rsidRDefault="00F3637A" w:rsidP="0031197A">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For a related argument in the context of driving, see Helen </w:t>
      </w:r>
      <w:proofErr w:type="spellStart"/>
      <w:r w:rsidRPr="00145809">
        <w:rPr>
          <w:rFonts w:ascii="Garamond" w:hAnsi="Garamond"/>
        </w:rPr>
        <w:t>Frowe’s</w:t>
      </w:r>
      <w:proofErr w:type="spellEnd"/>
      <w:r w:rsidRPr="00145809">
        <w:rPr>
          <w:rFonts w:ascii="Garamond" w:hAnsi="Garamond"/>
        </w:rPr>
        <w:t xml:space="preserve"> reply to Jonathan </w:t>
      </w:r>
      <w:proofErr w:type="spellStart"/>
      <w:r w:rsidRPr="00145809">
        <w:rPr>
          <w:rFonts w:ascii="Garamond" w:hAnsi="Garamond"/>
        </w:rPr>
        <w:t>Quong’s</w:t>
      </w:r>
      <w:proofErr w:type="spellEnd"/>
      <w:r w:rsidRPr="00145809">
        <w:rPr>
          <w:rFonts w:ascii="Garamond" w:hAnsi="Garamond"/>
        </w:rPr>
        <w:t xml:space="preserve"> arguments in </w:t>
      </w:r>
      <w:r w:rsidRPr="00145809">
        <w:rPr>
          <w:rFonts w:ascii="Garamond" w:hAnsi="Garamond"/>
        </w:rPr>
        <w:fldChar w:fldCharType="begin"/>
      </w:r>
      <w:r w:rsidRPr="00145809">
        <w:rPr>
          <w:rFonts w:ascii="Garamond" w:hAnsi="Garamond"/>
        </w:rPr>
        <w:instrText xml:space="preserve"> ADDIN ZOTERO_ITEM CSL_CITATION {"citationID":"bde4gxUn","properties":{"formattedCitation":"Quong, {\\i{}The Morality of Defensive Force}.","plainCitation":"Quong, The Morality of Defensive Force.","noteIndex":30},"citationItems":[{"id":307,"uris":["http://zotero.org/users/5734718/items/PXKB8A9T"],"uri":["http://zotero.org/users/5734718/items/PXKB8A9T"],"itemData":{"id":307,"type":"book","event-place":"New York","publisher":"Oxford University Press","publisher-place":"New York","title":"The Morality of Defensive Force","author":[{"family":"Quong","given":"Jonathan"}],"issued":{"date-parts":[["2020"]]}}}],"schema":"https://github.com/citation-style-language/schema/raw/master/csl-citation.json"} </w:instrText>
      </w:r>
      <w:r w:rsidRPr="00145809">
        <w:rPr>
          <w:rFonts w:ascii="Garamond" w:hAnsi="Garamond"/>
        </w:rPr>
        <w:fldChar w:fldCharType="separate"/>
      </w:r>
      <w:r w:rsidRPr="00145809">
        <w:rPr>
          <w:rFonts w:ascii="Garamond" w:hAnsi="Garamond"/>
          <w:i/>
          <w:iCs/>
        </w:rPr>
        <w:t>The Morality of Defensive Force</w:t>
      </w:r>
      <w:r w:rsidRPr="00145809">
        <w:rPr>
          <w:rFonts w:ascii="Garamond" w:hAnsi="Garamond"/>
        </w:rPr>
        <w:t>.</w:t>
      </w:r>
      <w:r w:rsidRPr="00145809">
        <w:rPr>
          <w:rFonts w:ascii="Garamond" w:hAnsi="Garamond"/>
        </w:rPr>
        <w:fldChar w:fldCharType="end"/>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{"citationID":"WV42bKLs","properties":{"formattedCitation":"Helen Frowe, \\uc0\\u8220{}Risk Imposition and Liability to Defensive Harm,\\uc0\\u8221{} {\\i{}Criminal Law and Philosophy} forthcoming (2021).","plainCitation":"Helen Frowe, “Risk Imposition and Liability to Defensive Harm,” Criminal Law and Philosophy forthcoming (2021).","noteIndex":30},"citationItems":[{"id":309,"uris":["http://zotero.org/users/5734718/items/TB7WHAQU"],"uri":["http://zotero.org/users/5734718/items/TB7WHAQU"],"itemData":{"id":309,"type":"article-journal","container-title":"Criminal Law and Philosophy","title":"Risk Imposition and Liability to Defensive Harm","volume":"forthcoming","author":[{"family":"Frowe","given":"Helen"}],"issued":{"date-parts":[["2021"]]}}}],"schema":"https://github.com/citation-style-language/schema/raw/master/csl-citation.json"} </w:instrText>
      </w:r>
      <w:r w:rsidRPr="00145809">
        <w:rPr>
          <w:rFonts w:ascii="Garamond" w:hAnsi="Garamond"/>
        </w:rPr>
        <w:fldChar w:fldCharType="separate"/>
      </w:r>
      <w:r w:rsidRPr="00145809">
        <w:rPr>
          <w:rFonts w:ascii="Garamond" w:hAnsi="Garamond"/>
        </w:rPr>
        <w:t xml:space="preserve">Helen Frowe, “Risk Imposition and Liability to Defensive Harm,” </w:t>
      </w:r>
      <w:r w:rsidRPr="00145809">
        <w:rPr>
          <w:rFonts w:ascii="Garamond" w:hAnsi="Garamond"/>
          <w:i/>
          <w:iCs/>
        </w:rPr>
        <w:t>Criminal Law and Philosophy</w:t>
      </w:r>
      <w:r w:rsidRPr="00145809">
        <w:rPr>
          <w:rFonts w:ascii="Garamond" w:hAnsi="Garamond"/>
        </w:rPr>
        <w:t xml:space="preserve"> forthcoming (2021).</w:t>
      </w:r>
      <w:r w:rsidRPr="00145809">
        <w:rPr>
          <w:rFonts w:ascii="Garamond" w:hAnsi="Garamond"/>
        </w:rPr>
        <w:fldChar w:fldCharType="end"/>
      </w:r>
      <w:r w:rsidRPr="00145809">
        <w:rPr>
          <w:rFonts w:ascii="Garamond" w:hAnsi="Garamond"/>
        </w:rPr>
        <w:t xml:space="preserve"> </w:t>
      </w:r>
    </w:p>
  </w:endnote>
  <w:endnote w:id="32">
    <w:p w14:paraId="50E24754" w14:textId="4D23E710" w:rsidR="00F3637A" w:rsidRPr="00145809" w:rsidRDefault="00F3637A" w:rsidP="007E10DA">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{"citationID":"euwp0xZd","properties":{"formattedCitation":"Marcel Verweij, \\uc0\\u8220{}Obligatory Precautions against Infection,\\uc0\\u8221{} {\\i{}Bioethics} 19, no. 4 (2005): 326.","plainCitation":"Marcel Verweij, “Obligatory Precautions against Infection,” Bioethics 19, no. 4 (2005): 326.","noteIndex":29},"citationItems":[{"id":255,"uris":["http://zotero.org/users/5734718/items/S66NJZ78"],"uri":["http://zotero.org/users/5734718/items/S66NJZ78"],"itemData":{"id":255,"type":"article-journal","container-title":"Bioethics","issue":"4","page":"323-335","title":"Obligatory precautions against infection","volume":"19","author":[{"family":"Verweij","given":"Marcel"}],"issued":{"date-parts":[["2005"]]}},"locator":"326"}],"schema":"https://github.com/citation-style-language/schema/raw/master/csl-citation.json"} </w:instrText>
      </w:r>
      <w:r w:rsidRPr="00145809">
        <w:rPr>
          <w:rFonts w:ascii="Garamond" w:hAnsi="Garamond"/>
        </w:rPr>
        <w:fldChar w:fldCharType="separate"/>
      </w:r>
      <w:r w:rsidRPr="00145809">
        <w:rPr>
          <w:rFonts w:ascii="Garamond" w:hAnsi="Garamond"/>
        </w:rPr>
        <w:t xml:space="preserve">Marcel Verweij, “Obligatory Precautions against Infection,” </w:t>
      </w:r>
      <w:r w:rsidRPr="00145809">
        <w:rPr>
          <w:rFonts w:ascii="Garamond" w:hAnsi="Garamond"/>
          <w:i/>
          <w:iCs/>
        </w:rPr>
        <w:t>Bioethics</w:t>
      </w:r>
      <w:r w:rsidRPr="00145809">
        <w:rPr>
          <w:rFonts w:ascii="Garamond" w:hAnsi="Garamond"/>
        </w:rPr>
        <w:t xml:space="preserve"> 19, no. 4 (2005): 326.</w:t>
      </w:r>
      <w:r w:rsidRPr="00145809">
        <w:rPr>
          <w:rFonts w:ascii="Garamond" w:hAnsi="Garamond"/>
        </w:rPr>
        <w:fldChar w:fldCharType="end"/>
      </w:r>
    </w:p>
  </w:endnote>
  <w:endnote w:id="33">
    <w:p w14:paraId="1554CF87" w14:textId="3A84BDCB" w:rsidR="00F3637A" w:rsidRPr="00145809" w:rsidRDefault="00F3637A" w:rsidP="007E10DA">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w:t>
      </w:r>
      <w:r w:rsidRPr="00145809">
        <w:rPr>
          <w:rFonts w:ascii="Garamond" w:hAnsi="Garamond"/>
        </w:rPr>
        <w:fldChar w:fldCharType="begin"/>
      </w:r>
      <w:r w:rsidRPr="00145809">
        <w:rPr>
          <w:rFonts w:ascii="Garamond" w:hAnsi="Garamond"/>
        </w:rPr>
        <w:instrText xml:space="preserve"> ADDIN ZOTERO_ITEM CSL_CITATION {"citationID":"LB7TAVbU","properties":{"formattedCitation":"G.A. Cohen, \\uc0\\u8220{}Casting the First Stone: Who Can, and Who Can\\uc0\\u8217{}t, Condemn the Terrorists?,\\uc0\\u8221{} {\\i{}Royal Institute of Philosophy Supplement} 58 (2006): 118.","plainCitation":"G.A. Cohen, “Casting the First Stone: Who Can, and Who Can’t, Condemn the Terrorists?,” Royal Institute of Philosophy Supplement 58 (2006): 118.","noteIndex":30},"citationItems":[{"id":256,"uris":["http://zotero.org/users/5734718/items/W88LKIGQ"],"uri":["http://zotero.org/users/5734718/items/W88LKIGQ"],"itemData":{"id":256,"type":"article-journal","container-title":"Royal Institute of Philosophy Supplement","page":"113-136","title":"Casting the First Stone: Who Can, and Who Can't, Condemn the Terrorists?","volume":"58","author":[{"family":"Cohen","given":"G.A."}],"issued":{"date-parts":[["2006"]]}},"locator":"118"}],"schema":"https://github.com/citation-style-language/schema/raw/master/csl-citation.json"} </w:instrText>
      </w:r>
      <w:r w:rsidRPr="00145809">
        <w:rPr>
          <w:rFonts w:ascii="Garamond" w:hAnsi="Garamond"/>
        </w:rPr>
        <w:fldChar w:fldCharType="separate"/>
      </w:r>
      <w:r w:rsidRPr="00145809">
        <w:rPr>
          <w:rFonts w:ascii="Garamond" w:hAnsi="Garamond"/>
        </w:rPr>
        <w:t xml:space="preserve">G.A. Cohen, “Casting the First Stone: Who Can, and Who Can’t, Condemn the Terrorists?,” </w:t>
      </w:r>
      <w:r w:rsidRPr="00145809">
        <w:rPr>
          <w:rFonts w:ascii="Garamond" w:hAnsi="Garamond"/>
          <w:i/>
          <w:iCs/>
        </w:rPr>
        <w:t>Royal Institute of Philosophy Supplement</w:t>
      </w:r>
      <w:r w:rsidRPr="00145809">
        <w:rPr>
          <w:rFonts w:ascii="Garamond" w:hAnsi="Garamond"/>
        </w:rPr>
        <w:t xml:space="preserve"> 58 (2006): 118.</w:t>
      </w:r>
      <w:r w:rsidRPr="00145809">
        <w:rPr>
          <w:rFonts w:ascii="Garamond" w:hAnsi="Garamond"/>
        </w:rPr>
        <w:fldChar w:fldCharType="end"/>
      </w:r>
    </w:p>
  </w:endnote>
  <w:endnote w:id="34">
    <w:p w14:paraId="13C62643" w14:textId="7A36639E" w:rsidR="00F3637A" w:rsidRPr="00145809" w:rsidRDefault="00F3637A" w:rsidP="007E10DA">
      <w:pPr>
        <w:pStyle w:val="EndnoteText"/>
        <w:spacing w:line="480" w:lineRule="auto"/>
        <w:rPr>
          <w:rFonts w:ascii="Garamond" w:hAnsi="Garamond"/>
        </w:rPr>
      </w:pPr>
      <w:r w:rsidRPr="00145809">
        <w:rPr>
          <w:rStyle w:val="EndnoteReference"/>
          <w:rFonts w:ascii="Garamond" w:hAnsi="Garamond"/>
        </w:rPr>
        <w:endnoteRef/>
      </w:r>
      <w:r w:rsidRPr="00145809">
        <w:rPr>
          <w:rFonts w:ascii="Garamond" w:hAnsi="Garamond"/>
        </w:rPr>
        <w:t xml:space="preserve"> Consider the following point by McMahan in response to a related case: “Yet [the driver] is in no way culpable. The unjust threat he poses is not the result of wrongful intent, recklessness, or negligence; it is the result of sheer bad luck.” </w:t>
      </w:r>
      <w:r w:rsidRPr="00145809">
        <w:rPr>
          <w:rFonts w:ascii="Garamond" w:hAnsi="Garamond"/>
        </w:rPr>
        <w:fldChar w:fldCharType="begin"/>
      </w:r>
      <w:r w:rsidRPr="00145809">
        <w:rPr>
          <w:rFonts w:ascii="Garamond" w:hAnsi="Garamond"/>
        </w:rPr>
        <w:instrText xml:space="preserve"> ADDIN ZOTERO_ITEM CSL_CITATION {"citationID":"sBM5btow","properties":{"formattedCitation":"Jeff McMahan, \\uc0\\u8220{}The Basis of Moral Liability to Defensive Killing,\\uc0\\u8221{} {\\i{}Philosophical Issues} 15 (2005): 394.","plainCitation":"Jeff McMahan, “The Basis of Moral Liability to Defensive Killing,” Philosophical Issues 15 (2005): 394.","noteIndex":31},"citationItems":[{"id":282,"uris":["http://zotero.org/users/5734718/items/M7AGP377"],"uri":["http://zotero.org/users/5734718/items/M7AGP377"],"itemData":{"id":282,"type":"article-journal","container-title":"Philosophical Issues","page":"386-405","title":"The Basis of Moral Liability to Defensive Killing","volume":"15","author":[{"family":"McMahan","given":"Jeff"}],"issued":{"date-parts":[["2005"]]}},"locator":"394"}],"schema":"https://github.com/citation-style-language/schema/raw/master/csl-citation.json"} </w:instrText>
      </w:r>
      <w:r w:rsidRPr="00145809">
        <w:rPr>
          <w:rFonts w:ascii="Garamond" w:hAnsi="Garamond"/>
        </w:rPr>
        <w:fldChar w:fldCharType="separate"/>
      </w:r>
      <w:r w:rsidRPr="00145809">
        <w:rPr>
          <w:rFonts w:ascii="Garamond" w:hAnsi="Garamond"/>
        </w:rPr>
        <w:t xml:space="preserve">Jeff McMahan, “The Basis of Moral Liability to Defensive Killing,” </w:t>
      </w:r>
      <w:r w:rsidRPr="00145809">
        <w:rPr>
          <w:rFonts w:ascii="Garamond" w:hAnsi="Garamond"/>
          <w:i/>
          <w:iCs/>
        </w:rPr>
        <w:t>Philosophical Issues</w:t>
      </w:r>
      <w:r w:rsidRPr="00145809">
        <w:rPr>
          <w:rFonts w:ascii="Garamond" w:hAnsi="Garamond"/>
        </w:rPr>
        <w:t xml:space="preserve"> 15 (2005): 394.</w:t>
      </w:r>
      <w:r w:rsidRPr="00145809">
        <w:rPr>
          <w:rFonts w:ascii="Garamond" w:hAnsi="Garamond"/>
        </w:rPr>
        <w:fldChar w:fldCharType="end"/>
      </w:r>
      <w:r w:rsidRPr="00145809">
        <w:rPr>
          <w:rFonts w:ascii="Garamond" w:hAnsi="Garamond"/>
        </w:rPr>
        <w:t xml:space="preserve"> Though McMahan is primarily focused on liability to defensive killing (and the distribution of harms), my sense is that his notion of culpability maps neatly onto my notion of blameworthiness here; and given that he agrees the threat is unjust, he might also agree with my point that the infected person’s act of killing is wrongful. </w:t>
      </w:r>
    </w:p>
  </w:endnote>
  <w:endnote w:id="35">
    <w:p w14:paraId="11488C0D" w14:textId="010D3040" w:rsidR="00F3637A" w:rsidRPr="00145809" w:rsidRDefault="00F3637A">
      <w:pPr>
        <w:pStyle w:val="EndnoteText"/>
        <w:rPr>
          <w:rFonts w:ascii="Garamond" w:hAnsi="Garamond"/>
        </w:rPr>
      </w:pPr>
      <w:r w:rsidRPr="00145809">
        <w:rPr>
          <w:rStyle w:val="EndnoteReference"/>
          <w:rFonts w:ascii="Garamond" w:hAnsi="Garamond"/>
        </w:rPr>
        <w:endnoteRef/>
      </w:r>
      <w:r w:rsidRPr="00145809">
        <w:rPr>
          <w:rFonts w:ascii="Garamond" w:hAnsi="Garamond"/>
        </w:rPr>
        <w:t xml:space="preserve"> Thank you to an anonymous reviewer for drawing my attention to this issue.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CFE4" w14:textId="77777777" w:rsidR="00F3637A" w:rsidRDefault="00F3637A" w:rsidP="000322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1718DE" w14:textId="77777777" w:rsidR="00F3637A" w:rsidRDefault="00F3637A" w:rsidP="003642F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941F0" w14:textId="77777777" w:rsidR="00F3637A" w:rsidRPr="001A28E4" w:rsidRDefault="00F3637A" w:rsidP="00032268">
    <w:pPr>
      <w:pStyle w:val="Footer"/>
      <w:framePr w:wrap="around" w:vAnchor="text" w:hAnchor="margin" w:xAlign="right" w:y="1"/>
      <w:rPr>
        <w:rStyle w:val="PageNumber"/>
        <w:rFonts w:ascii="Garamond" w:hAnsi="Garamond"/>
      </w:rPr>
    </w:pPr>
    <w:r w:rsidRPr="001A28E4">
      <w:rPr>
        <w:rStyle w:val="PageNumber"/>
        <w:rFonts w:ascii="Garamond" w:hAnsi="Garamond"/>
      </w:rPr>
      <w:fldChar w:fldCharType="begin"/>
    </w:r>
    <w:r w:rsidRPr="001A28E4">
      <w:rPr>
        <w:rStyle w:val="PageNumber"/>
        <w:rFonts w:ascii="Garamond" w:hAnsi="Garamond"/>
      </w:rPr>
      <w:instrText xml:space="preserve">PAGE  </w:instrText>
    </w:r>
    <w:r w:rsidRPr="001A28E4">
      <w:rPr>
        <w:rStyle w:val="PageNumber"/>
        <w:rFonts w:ascii="Garamond" w:hAnsi="Garamond"/>
      </w:rPr>
      <w:fldChar w:fldCharType="separate"/>
    </w:r>
    <w:r>
      <w:rPr>
        <w:rStyle w:val="PageNumber"/>
        <w:rFonts w:ascii="Garamond" w:hAnsi="Garamond"/>
        <w:noProof/>
      </w:rPr>
      <w:t>1</w:t>
    </w:r>
    <w:r w:rsidRPr="001A28E4">
      <w:rPr>
        <w:rStyle w:val="PageNumber"/>
        <w:rFonts w:ascii="Garamond" w:hAnsi="Garamond"/>
      </w:rPr>
      <w:fldChar w:fldCharType="end"/>
    </w:r>
  </w:p>
  <w:p w14:paraId="7ECED7C9" w14:textId="77777777" w:rsidR="00F3637A" w:rsidRPr="001A28E4" w:rsidRDefault="00F3637A" w:rsidP="003642FE">
    <w:pPr>
      <w:pStyle w:val="Footer"/>
      <w:ind w:right="360"/>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70B6C" w14:textId="77777777" w:rsidR="00F3637A" w:rsidRDefault="00F3637A" w:rsidP="00E55DC2">
      <w:r>
        <w:separator/>
      </w:r>
    </w:p>
  </w:footnote>
  <w:footnote w:type="continuationSeparator" w:id="0">
    <w:p w14:paraId="1A37AA5F" w14:textId="77777777" w:rsidR="00F3637A" w:rsidRDefault="00F3637A" w:rsidP="00E55D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303"/>
    <w:multiLevelType w:val="hybridMultilevel"/>
    <w:tmpl w:val="3ABE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A52C4"/>
    <w:multiLevelType w:val="hybridMultilevel"/>
    <w:tmpl w:val="DCD69E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CA0ED1"/>
    <w:multiLevelType w:val="hybridMultilevel"/>
    <w:tmpl w:val="454A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64BDE"/>
    <w:multiLevelType w:val="hybridMultilevel"/>
    <w:tmpl w:val="480AF59E"/>
    <w:lvl w:ilvl="0" w:tplc="73B4518E">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CC4801"/>
    <w:multiLevelType w:val="hybridMultilevel"/>
    <w:tmpl w:val="76CA9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323542"/>
    <w:multiLevelType w:val="hybridMultilevel"/>
    <w:tmpl w:val="B5703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B02494"/>
    <w:multiLevelType w:val="hybridMultilevel"/>
    <w:tmpl w:val="12BA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E1718"/>
    <w:multiLevelType w:val="hybridMultilevel"/>
    <w:tmpl w:val="34BA3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793657"/>
    <w:multiLevelType w:val="hybridMultilevel"/>
    <w:tmpl w:val="B0A6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864461"/>
    <w:multiLevelType w:val="hybridMultilevel"/>
    <w:tmpl w:val="0734D93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41630"/>
    <w:multiLevelType w:val="hybridMultilevel"/>
    <w:tmpl w:val="B14EAE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92D2F31"/>
    <w:multiLevelType w:val="hybridMultilevel"/>
    <w:tmpl w:val="5304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7821A7"/>
    <w:multiLevelType w:val="hybridMultilevel"/>
    <w:tmpl w:val="728CF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8C0252"/>
    <w:multiLevelType w:val="hybridMultilevel"/>
    <w:tmpl w:val="B866BC16"/>
    <w:lvl w:ilvl="0" w:tplc="BA780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0"/>
  </w:num>
  <w:num w:numId="4">
    <w:abstractNumId w:val="1"/>
  </w:num>
  <w:num w:numId="5">
    <w:abstractNumId w:val="5"/>
  </w:num>
  <w:num w:numId="6">
    <w:abstractNumId w:val="2"/>
  </w:num>
  <w:num w:numId="7">
    <w:abstractNumId w:val="12"/>
  </w:num>
  <w:num w:numId="8">
    <w:abstractNumId w:val="9"/>
  </w:num>
  <w:num w:numId="9">
    <w:abstractNumId w:val="6"/>
  </w:num>
  <w:num w:numId="10">
    <w:abstractNumId w:val="4"/>
  </w:num>
  <w:num w:numId="11">
    <w:abstractNumId w:val="13"/>
  </w:num>
  <w:num w:numId="12">
    <w:abstractNumId w:val="3"/>
  </w:num>
  <w:num w:numId="13">
    <w:abstractNumId w:val="8"/>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Davis">
    <w15:presenceInfo w15:providerId="AD" w15:userId="S::jeremy@compassethics.com::010fba8d-8f82-4b4e-8dd5-2da24230a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21"/>
    <w:rsid w:val="00010168"/>
    <w:rsid w:val="00020DEE"/>
    <w:rsid w:val="000226CC"/>
    <w:rsid w:val="000246E1"/>
    <w:rsid w:val="0002514F"/>
    <w:rsid w:val="00025C14"/>
    <w:rsid w:val="00026F49"/>
    <w:rsid w:val="000311EE"/>
    <w:rsid w:val="00032268"/>
    <w:rsid w:val="00036ACB"/>
    <w:rsid w:val="00040A78"/>
    <w:rsid w:val="00042A0B"/>
    <w:rsid w:val="00043CDF"/>
    <w:rsid w:val="00043D76"/>
    <w:rsid w:val="00045CA3"/>
    <w:rsid w:val="00047617"/>
    <w:rsid w:val="00050241"/>
    <w:rsid w:val="00055DFB"/>
    <w:rsid w:val="0005615E"/>
    <w:rsid w:val="00057CFE"/>
    <w:rsid w:val="00060F42"/>
    <w:rsid w:val="00061A3B"/>
    <w:rsid w:val="00066207"/>
    <w:rsid w:val="00067FF1"/>
    <w:rsid w:val="000707AB"/>
    <w:rsid w:val="000779D6"/>
    <w:rsid w:val="00081164"/>
    <w:rsid w:val="00087043"/>
    <w:rsid w:val="00087766"/>
    <w:rsid w:val="000903AF"/>
    <w:rsid w:val="000913D7"/>
    <w:rsid w:val="00095069"/>
    <w:rsid w:val="00095BFD"/>
    <w:rsid w:val="000A27EE"/>
    <w:rsid w:val="000A2BBF"/>
    <w:rsid w:val="000A4495"/>
    <w:rsid w:val="000A65DC"/>
    <w:rsid w:val="000B08E9"/>
    <w:rsid w:val="000B0C39"/>
    <w:rsid w:val="000B2833"/>
    <w:rsid w:val="000B2E64"/>
    <w:rsid w:val="000B301B"/>
    <w:rsid w:val="000B6628"/>
    <w:rsid w:val="000B7A79"/>
    <w:rsid w:val="000C425A"/>
    <w:rsid w:val="000C5F0E"/>
    <w:rsid w:val="000C7937"/>
    <w:rsid w:val="000D25D4"/>
    <w:rsid w:val="000D6049"/>
    <w:rsid w:val="000E54D4"/>
    <w:rsid w:val="000E7DBC"/>
    <w:rsid w:val="00100AC3"/>
    <w:rsid w:val="00101B3B"/>
    <w:rsid w:val="001054B9"/>
    <w:rsid w:val="00106BD4"/>
    <w:rsid w:val="001122F0"/>
    <w:rsid w:val="00113769"/>
    <w:rsid w:val="00117A0B"/>
    <w:rsid w:val="0012257F"/>
    <w:rsid w:val="00127409"/>
    <w:rsid w:val="0012798D"/>
    <w:rsid w:val="001300F9"/>
    <w:rsid w:val="001328C4"/>
    <w:rsid w:val="00133930"/>
    <w:rsid w:val="00134E8B"/>
    <w:rsid w:val="001373CC"/>
    <w:rsid w:val="0013763A"/>
    <w:rsid w:val="00141A35"/>
    <w:rsid w:val="00144611"/>
    <w:rsid w:val="00145809"/>
    <w:rsid w:val="00146383"/>
    <w:rsid w:val="00147E0F"/>
    <w:rsid w:val="00150063"/>
    <w:rsid w:val="001518F0"/>
    <w:rsid w:val="0015310B"/>
    <w:rsid w:val="00154A11"/>
    <w:rsid w:val="00156131"/>
    <w:rsid w:val="00163B2D"/>
    <w:rsid w:val="00167697"/>
    <w:rsid w:val="00173367"/>
    <w:rsid w:val="00175FCF"/>
    <w:rsid w:val="00180B89"/>
    <w:rsid w:val="001810E7"/>
    <w:rsid w:val="00181F98"/>
    <w:rsid w:val="00182482"/>
    <w:rsid w:val="001826D4"/>
    <w:rsid w:val="00183A36"/>
    <w:rsid w:val="001872B4"/>
    <w:rsid w:val="00195DB6"/>
    <w:rsid w:val="001A28E4"/>
    <w:rsid w:val="001B097D"/>
    <w:rsid w:val="001B3600"/>
    <w:rsid w:val="001B399A"/>
    <w:rsid w:val="001C4F0B"/>
    <w:rsid w:val="001D1A56"/>
    <w:rsid w:val="001D637D"/>
    <w:rsid w:val="001D72C3"/>
    <w:rsid w:val="001D7C41"/>
    <w:rsid w:val="001E3AC9"/>
    <w:rsid w:val="001E47C3"/>
    <w:rsid w:val="001E674F"/>
    <w:rsid w:val="001F08B7"/>
    <w:rsid w:val="001F2EE5"/>
    <w:rsid w:val="001F7521"/>
    <w:rsid w:val="0020095F"/>
    <w:rsid w:val="00200EDD"/>
    <w:rsid w:val="00207499"/>
    <w:rsid w:val="002166CD"/>
    <w:rsid w:val="00217356"/>
    <w:rsid w:val="00223CDF"/>
    <w:rsid w:val="002257A4"/>
    <w:rsid w:val="00225EEA"/>
    <w:rsid w:val="00243664"/>
    <w:rsid w:val="0025174C"/>
    <w:rsid w:val="00253E0A"/>
    <w:rsid w:val="0025546E"/>
    <w:rsid w:val="0025620F"/>
    <w:rsid w:val="002607BD"/>
    <w:rsid w:val="00264D11"/>
    <w:rsid w:val="00267434"/>
    <w:rsid w:val="00270978"/>
    <w:rsid w:val="002713E7"/>
    <w:rsid w:val="00272C60"/>
    <w:rsid w:val="00274FE2"/>
    <w:rsid w:val="002764D9"/>
    <w:rsid w:val="002814BA"/>
    <w:rsid w:val="00281FE5"/>
    <w:rsid w:val="00290F13"/>
    <w:rsid w:val="0029492B"/>
    <w:rsid w:val="002962DB"/>
    <w:rsid w:val="00297980"/>
    <w:rsid w:val="00297A45"/>
    <w:rsid w:val="002A1AD3"/>
    <w:rsid w:val="002A2D94"/>
    <w:rsid w:val="002A3B72"/>
    <w:rsid w:val="002B75BF"/>
    <w:rsid w:val="002C2D56"/>
    <w:rsid w:val="002D6672"/>
    <w:rsid w:val="002D79C2"/>
    <w:rsid w:val="002D7B79"/>
    <w:rsid w:val="002E1E25"/>
    <w:rsid w:val="002F322E"/>
    <w:rsid w:val="002F73EE"/>
    <w:rsid w:val="003009AC"/>
    <w:rsid w:val="003014A2"/>
    <w:rsid w:val="00306651"/>
    <w:rsid w:val="0031197A"/>
    <w:rsid w:val="00311CCB"/>
    <w:rsid w:val="00313317"/>
    <w:rsid w:val="0031585A"/>
    <w:rsid w:val="00315CAB"/>
    <w:rsid w:val="00320693"/>
    <w:rsid w:val="003303F7"/>
    <w:rsid w:val="003310CC"/>
    <w:rsid w:val="00335C56"/>
    <w:rsid w:val="00336CE4"/>
    <w:rsid w:val="0033715D"/>
    <w:rsid w:val="00340DA1"/>
    <w:rsid w:val="00340E27"/>
    <w:rsid w:val="00341E05"/>
    <w:rsid w:val="0034515F"/>
    <w:rsid w:val="0035256E"/>
    <w:rsid w:val="00354457"/>
    <w:rsid w:val="00356C58"/>
    <w:rsid w:val="00361076"/>
    <w:rsid w:val="0036423D"/>
    <w:rsid w:val="003642FE"/>
    <w:rsid w:val="003677D8"/>
    <w:rsid w:val="0037287E"/>
    <w:rsid w:val="003838D4"/>
    <w:rsid w:val="00384D70"/>
    <w:rsid w:val="003934DE"/>
    <w:rsid w:val="00396C11"/>
    <w:rsid w:val="00396D52"/>
    <w:rsid w:val="00397634"/>
    <w:rsid w:val="003A04E2"/>
    <w:rsid w:val="003A29AB"/>
    <w:rsid w:val="003A471F"/>
    <w:rsid w:val="003A4760"/>
    <w:rsid w:val="003A6784"/>
    <w:rsid w:val="003B0829"/>
    <w:rsid w:val="003B0B4F"/>
    <w:rsid w:val="003B195F"/>
    <w:rsid w:val="003B5FE1"/>
    <w:rsid w:val="003C131B"/>
    <w:rsid w:val="003C2129"/>
    <w:rsid w:val="003C3449"/>
    <w:rsid w:val="003C491C"/>
    <w:rsid w:val="003C7BC8"/>
    <w:rsid w:val="003D055E"/>
    <w:rsid w:val="003D5387"/>
    <w:rsid w:val="003E433B"/>
    <w:rsid w:val="003F0344"/>
    <w:rsid w:val="004012C8"/>
    <w:rsid w:val="004028FD"/>
    <w:rsid w:val="00402D22"/>
    <w:rsid w:val="00403923"/>
    <w:rsid w:val="00410EC1"/>
    <w:rsid w:val="00415CC9"/>
    <w:rsid w:val="00416F2A"/>
    <w:rsid w:val="00421B1B"/>
    <w:rsid w:val="00430491"/>
    <w:rsid w:val="004330BE"/>
    <w:rsid w:val="00440101"/>
    <w:rsid w:val="00455443"/>
    <w:rsid w:val="00457627"/>
    <w:rsid w:val="0046126D"/>
    <w:rsid w:val="00461F1E"/>
    <w:rsid w:val="00463E40"/>
    <w:rsid w:val="00471DA0"/>
    <w:rsid w:val="00473825"/>
    <w:rsid w:val="00475C18"/>
    <w:rsid w:val="004772ED"/>
    <w:rsid w:val="00480C0D"/>
    <w:rsid w:val="00482A66"/>
    <w:rsid w:val="00486726"/>
    <w:rsid w:val="00487841"/>
    <w:rsid w:val="0049083E"/>
    <w:rsid w:val="00491214"/>
    <w:rsid w:val="00493452"/>
    <w:rsid w:val="00494C0A"/>
    <w:rsid w:val="0049719D"/>
    <w:rsid w:val="004A06E9"/>
    <w:rsid w:val="004A284E"/>
    <w:rsid w:val="004A5273"/>
    <w:rsid w:val="004A6AC1"/>
    <w:rsid w:val="004A6ACC"/>
    <w:rsid w:val="004B0000"/>
    <w:rsid w:val="004B0812"/>
    <w:rsid w:val="004B552A"/>
    <w:rsid w:val="004C0D25"/>
    <w:rsid w:val="004C46E6"/>
    <w:rsid w:val="004C5696"/>
    <w:rsid w:val="004C65E2"/>
    <w:rsid w:val="004D42B4"/>
    <w:rsid w:val="004D4FD4"/>
    <w:rsid w:val="004D58BB"/>
    <w:rsid w:val="004D6EA5"/>
    <w:rsid w:val="004D7747"/>
    <w:rsid w:val="004D799A"/>
    <w:rsid w:val="004E0C8B"/>
    <w:rsid w:val="004E1D0A"/>
    <w:rsid w:val="004E3E2C"/>
    <w:rsid w:val="004E3F73"/>
    <w:rsid w:val="004F1332"/>
    <w:rsid w:val="004F52EE"/>
    <w:rsid w:val="004F5392"/>
    <w:rsid w:val="004F5565"/>
    <w:rsid w:val="005001B7"/>
    <w:rsid w:val="00500978"/>
    <w:rsid w:val="0050193B"/>
    <w:rsid w:val="00501C2F"/>
    <w:rsid w:val="00506572"/>
    <w:rsid w:val="005123DB"/>
    <w:rsid w:val="005218B9"/>
    <w:rsid w:val="00527285"/>
    <w:rsid w:val="0053147F"/>
    <w:rsid w:val="005317AE"/>
    <w:rsid w:val="0053788E"/>
    <w:rsid w:val="005406E3"/>
    <w:rsid w:val="00541869"/>
    <w:rsid w:val="00542A20"/>
    <w:rsid w:val="00551ADE"/>
    <w:rsid w:val="005520CB"/>
    <w:rsid w:val="00561739"/>
    <w:rsid w:val="00563D1E"/>
    <w:rsid w:val="005644A1"/>
    <w:rsid w:val="00567947"/>
    <w:rsid w:val="005679A4"/>
    <w:rsid w:val="00570432"/>
    <w:rsid w:val="00573F69"/>
    <w:rsid w:val="00575B0C"/>
    <w:rsid w:val="005831C4"/>
    <w:rsid w:val="00585E90"/>
    <w:rsid w:val="00586317"/>
    <w:rsid w:val="00586A73"/>
    <w:rsid w:val="0059195B"/>
    <w:rsid w:val="0059338E"/>
    <w:rsid w:val="005967CF"/>
    <w:rsid w:val="005A068E"/>
    <w:rsid w:val="005B3095"/>
    <w:rsid w:val="005B7828"/>
    <w:rsid w:val="005C0401"/>
    <w:rsid w:val="005C0EEF"/>
    <w:rsid w:val="005C1987"/>
    <w:rsid w:val="005C79F9"/>
    <w:rsid w:val="005D4D05"/>
    <w:rsid w:val="005D62B5"/>
    <w:rsid w:val="005E1C1D"/>
    <w:rsid w:val="005F100F"/>
    <w:rsid w:val="005F1C7A"/>
    <w:rsid w:val="005F1F90"/>
    <w:rsid w:val="005F55F9"/>
    <w:rsid w:val="005F5676"/>
    <w:rsid w:val="0060215D"/>
    <w:rsid w:val="006042E2"/>
    <w:rsid w:val="00605252"/>
    <w:rsid w:val="006077EB"/>
    <w:rsid w:val="00610918"/>
    <w:rsid w:val="0061485C"/>
    <w:rsid w:val="00616101"/>
    <w:rsid w:val="006176FA"/>
    <w:rsid w:val="00617765"/>
    <w:rsid w:val="00621DF0"/>
    <w:rsid w:val="00622445"/>
    <w:rsid w:val="00634D99"/>
    <w:rsid w:val="00637A15"/>
    <w:rsid w:val="00640937"/>
    <w:rsid w:val="00641347"/>
    <w:rsid w:val="00646CDF"/>
    <w:rsid w:val="00647456"/>
    <w:rsid w:val="00647CEB"/>
    <w:rsid w:val="0065277D"/>
    <w:rsid w:val="00654420"/>
    <w:rsid w:val="00655AEF"/>
    <w:rsid w:val="00662FF1"/>
    <w:rsid w:val="00663B76"/>
    <w:rsid w:val="00665D94"/>
    <w:rsid w:val="00665EFE"/>
    <w:rsid w:val="00670313"/>
    <w:rsid w:val="006727CD"/>
    <w:rsid w:val="0067685A"/>
    <w:rsid w:val="00677821"/>
    <w:rsid w:val="00681107"/>
    <w:rsid w:val="006864E8"/>
    <w:rsid w:val="006868A1"/>
    <w:rsid w:val="006907C3"/>
    <w:rsid w:val="00690A7D"/>
    <w:rsid w:val="00690ECA"/>
    <w:rsid w:val="006914A0"/>
    <w:rsid w:val="006976EC"/>
    <w:rsid w:val="006A0D6A"/>
    <w:rsid w:val="006A25E3"/>
    <w:rsid w:val="006A2F80"/>
    <w:rsid w:val="006A625A"/>
    <w:rsid w:val="006A7BE7"/>
    <w:rsid w:val="006B3995"/>
    <w:rsid w:val="006B673C"/>
    <w:rsid w:val="006B7784"/>
    <w:rsid w:val="006C20B2"/>
    <w:rsid w:val="006C21E5"/>
    <w:rsid w:val="006C28D7"/>
    <w:rsid w:val="006D4C43"/>
    <w:rsid w:val="006F2530"/>
    <w:rsid w:val="006F4B88"/>
    <w:rsid w:val="007058B2"/>
    <w:rsid w:val="007210CD"/>
    <w:rsid w:val="0072148B"/>
    <w:rsid w:val="00721F9A"/>
    <w:rsid w:val="00722663"/>
    <w:rsid w:val="007228D1"/>
    <w:rsid w:val="007231AE"/>
    <w:rsid w:val="0072508F"/>
    <w:rsid w:val="007454D1"/>
    <w:rsid w:val="00756BF1"/>
    <w:rsid w:val="007610D7"/>
    <w:rsid w:val="007633F2"/>
    <w:rsid w:val="00766678"/>
    <w:rsid w:val="00775C5D"/>
    <w:rsid w:val="00780A71"/>
    <w:rsid w:val="007935CD"/>
    <w:rsid w:val="00796559"/>
    <w:rsid w:val="007A0A90"/>
    <w:rsid w:val="007A1121"/>
    <w:rsid w:val="007A3811"/>
    <w:rsid w:val="007A3EC3"/>
    <w:rsid w:val="007A6224"/>
    <w:rsid w:val="007B175D"/>
    <w:rsid w:val="007B4441"/>
    <w:rsid w:val="007C0A90"/>
    <w:rsid w:val="007C35AF"/>
    <w:rsid w:val="007D4D65"/>
    <w:rsid w:val="007E10DA"/>
    <w:rsid w:val="007E2575"/>
    <w:rsid w:val="007E3940"/>
    <w:rsid w:val="007E3A07"/>
    <w:rsid w:val="007E5151"/>
    <w:rsid w:val="007F1726"/>
    <w:rsid w:val="007F6132"/>
    <w:rsid w:val="007F7960"/>
    <w:rsid w:val="00800D3C"/>
    <w:rsid w:val="00803C75"/>
    <w:rsid w:val="008071A9"/>
    <w:rsid w:val="00812CCE"/>
    <w:rsid w:val="00814249"/>
    <w:rsid w:val="0082055C"/>
    <w:rsid w:val="008229EF"/>
    <w:rsid w:val="008263C8"/>
    <w:rsid w:val="00826DC7"/>
    <w:rsid w:val="00827A8F"/>
    <w:rsid w:val="00835804"/>
    <w:rsid w:val="0083723C"/>
    <w:rsid w:val="00837E9C"/>
    <w:rsid w:val="00840D43"/>
    <w:rsid w:val="00841B97"/>
    <w:rsid w:val="008445E1"/>
    <w:rsid w:val="00847D0E"/>
    <w:rsid w:val="00854154"/>
    <w:rsid w:val="0085434E"/>
    <w:rsid w:val="008548DC"/>
    <w:rsid w:val="0086211C"/>
    <w:rsid w:val="0086213C"/>
    <w:rsid w:val="0086374B"/>
    <w:rsid w:val="00867101"/>
    <w:rsid w:val="00867255"/>
    <w:rsid w:val="00867700"/>
    <w:rsid w:val="008702C2"/>
    <w:rsid w:val="00875283"/>
    <w:rsid w:val="008770B5"/>
    <w:rsid w:val="00881962"/>
    <w:rsid w:val="00881F79"/>
    <w:rsid w:val="00884E03"/>
    <w:rsid w:val="00891682"/>
    <w:rsid w:val="00892008"/>
    <w:rsid w:val="0089763D"/>
    <w:rsid w:val="008A4DE3"/>
    <w:rsid w:val="008A7BAB"/>
    <w:rsid w:val="008B757A"/>
    <w:rsid w:val="008C1586"/>
    <w:rsid w:val="008C16F6"/>
    <w:rsid w:val="008C3D87"/>
    <w:rsid w:val="008C616E"/>
    <w:rsid w:val="008C6C7F"/>
    <w:rsid w:val="008C6F34"/>
    <w:rsid w:val="008C718F"/>
    <w:rsid w:val="008D32CF"/>
    <w:rsid w:val="008D5AF9"/>
    <w:rsid w:val="008D6B87"/>
    <w:rsid w:val="008E24AC"/>
    <w:rsid w:val="008E5EDF"/>
    <w:rsid w:val="008E7FF0"/>
    <w:rsid w:val="008F0EAA"/>
    <w:rsid w:val="008F4EB5"/>
    <w:rsid w:val="008F5CF7"/>
    <w:rsid w:val="00900EE6"/>
    <w:rsid w:val="00902719"/>
    <w:rsid w:val="00903DBF"/>
    <w:rsid w:val="00904B99"/>
    <w:rsid w:val="00905572"/>
    <w:rsid w:val="00914378"/>
    <w:rsid w:val="00914B7B"/>
    <w:rsid w:val="009230BE"/>
    <w:rsid w:val="00925A0F"/>
    <w:rsid w:val="00926627"/>
    <w:rsid w:val="00926D9B"/>
    <w:rsid w:val="00935582"/>
    <w:rsid w:val="0093656E"/>
    <w:rsid w:val="0093741C"/>
    <w:rsid w:val="00940254"/>
    <w:rsid w:val="00941B1B"/>
    <w:rsid w:val="009456C8"/>
    <w:rsid w:val="0095593C"/>
    <w:rsid w:val="00956325"/>
    <w:rsid w:val="0096375A"/>
    <w:rsid w:val="00963BD2"/>
    <w:rsid w:val="00966692"/>
    <w:rsid w:val="00967547"/>
    <w:rsid w:val="00976CCB"/>
    <w:rsid w:val="00991310"/>
    <w:rsid w:val="00992459"/>
    <w:rsid w:val="00992BD6"/>
    <w:rsid w:val="0099416C"/>
    <w:rsid w:val="00994843"/>
    <w:rsid w:val="00994FB7"/>
    <w:rsid w:val="009A6969"/>
    <w:rsid w:val="009A7915"/>
    <w:rsid w:val="009B3305"/>
    <w:rsid w:val="009B720F"/>
    <w:rsid w:val="009B72CA"/>
    <w:rsid w:val="009C2EE6"/>
    <w:rsid w:val="009C35D9"/>
    <w:rsid w:val="009D14FA"/>
    <w:rsid w:val="009D3972"/>
    <w:rsid w:val="009E447A"/>
    <w:rsid w:val="009E55C8"/>
    <w:rsid w:val="009F41A4"/>
    <w:rsid w:val="009F4ACF"/>
    <w:rsid w:val="00A01E2D"/>
    <w:rsid w:val="00A15016"/>
    <w:rsid w:val="00A152C5"/>
    <w:rsid w:val="00A20F96"/>
    <w:rsid w:val="00A23733"/>
    <w:rsid w:val="00A264CF"/>
    <w:rsid w:val="00A27F11"/>
    <w:rsid w:val="00A32B2A"/>
    <w:rsid w:val="00A3531A"/>
    <w:rsid w:val="00A37AAD"/>
    <w:rsid w:val="00A5124B"/>
    <w:rsid w:val="00A518A8"/>
    <w:rsid w:val="00A53830"/>
    <w:rsid w:val="00A5633D"/>
    <w:rsid w:val="00A60798"/>
    <w:rsid w:val="00A60991"/>
    <w:rsid w:val="00A616BB"/>
    <w:rsid w:val="00A63A7B"/>
    <w:rsid w:val="00A71F59"/>
    <w:rsid w:val="00A75110"/>
    <w:rsid w:val="00A75636"/>
    <w:rsid w:val="00A80B54"/>
    <w:rsid w:val="00A83CB6"/>
    <w:rsid w:val="00A90CB2"/>
    <w:rsid w:val="00A962ED"/>
    <w:rsid w:val="00AA0120"/>
    <w:rsid w:val="00AA154C"/>
    <w:rsid w:val="00AA4881"/>
    <w:rsid w:val="00AA638E"/>
    <w:rsid w:val="00AA70A5"/>
    <w:rsid w:val="00AB08EE"/>
    <w:rsid w:val="00AB14D3"/>
    <w:rsid w:val="00AB273A"/>
    <w:rsid w:val="00AB4530"/>
    <w:rsid w:val="00AC037C"/>
    <w:rsid w:val="00AC10CD"/>
    <w:rsid w:val="00AC3906"/>
    <w:rsid w:val="00AC39AC"/>
    <w:rsid w:val="00AC413D"/>
    <w:rsid w:val="00AD4DAB"/>
    <w:rsid w:val="00AD7B68"/>
    <w:rsid w:val="00AE6B3A"/>
    <w:rsid w:val="00AE7C6B"/>
    <w:rsid w:val="00AF5825"/>
    <w:rsid w:val="00B006AF"/>
    <w:rsid w:val="00B042CC"/>
    <w:rsid w:val="00B04844"/>
    <w:rsid w:val="00B1048D"/>
    <w:rsid w:val="00B17428"/>
    <w:rsid w:val="00B23EB0"/>
    <w:rsid w:val="00B3033C"/>
    <w:rsid w:val="00B30ACC"/>
    <w:rsid w:val="00B3461D"/>
    <w:rsid w:val="00B3574C"/>
    <w:rsid w:val="00B36126"/>
    <w:rsid w:val="00B423DF"/>
    <w:rsid w:val="00B44EB1"/>
    <w:rsid w:val="00B458BE"/>
    <w:rsid w:val="00B4624C"/>
    <w:rsid w:val="00B46F77"/>
    <w:rsid w:val="00B52B5F"/>
    <w:rsid w:val="00B61F7F"/>
    <w:rsid w:val="00B62AA7"/>
    <w:rsid w:val="00B64EE5"/>
    <w:rsid w:val="00B67389"/>
    <w:rsid w:val="00B70517"/>
    <w:rsid w:val="00B755CC"/>
    <w:rsid w:val="00B81BEA"/>
    <w:rsid w:val="00B82075"/>
    <w:rsid w:val="00B8401F"/>
    <w:rsid w:val="00B8576A"/>
    <w:rsid w:val="00B86192"/>
    <w:rsid w:val="00B93FF3"/>
    <w:rsid w:val="00B951D6"/>
    <w:rsid w:val="00BA698C"/>
    <w:rsid w:val="00BA6AF6"/>
    <w:rsid w:val="00BB3254"/>
    <w:rsid w:val="00BB3648"/>
    <w:rsid w:val="00BB5304"/>
    <w:rsid w:val="00BB5359"/>
    <w:rsid w:val="00BC0B38"/>
    <w:rsid w:val="00BC6570"/>
    <w:rsid w:val="00BD070D"/>
    <w:rsid w:val="00BD2065"/>
    <w:rsid w:val="00BD23D6"/>
    <w:rsid w:val="00BD674F"/>
    <w:rsid w:val="00BE178B"/>
    <w:rsid w:val="00BE5C0D"/>
    <w:rsid w:val="00BE7A65"/>
    <w:rsid w:val="00BF38ED"/>
    <w:rsid w:val="00BF43D0"/>
    <w:rsid w:val="00BF7EEE"/>
    <w:rsid w:val="00C00446"/>
    <w:rsid w:val="00C04C00"/>
    <w:rsid w:val="00C10701"/>
    <w:rsid w:val="00C20510"/>
    <w:rsid w:val="00C23B8A"/>
    <w:rsid w:val="00C243B0"/>
    <w:rsid w:val="00C258B2"/>
    <w:rsid w:val="00C3482E"/>
    <w:rsid w:val="00C36449"/>
    <w:rsid w:val="00C371CE"/>
    <w:rsid w:val="00C42002"/>
    <w:rsid w:val="00C54B45"/>
    <w:rsid w:val="00C57BD5"/>
    <w:rsid w:val="00C60BA3"/>
    <w:rsid w:val="00C61731"/>
    <w:rsid w:val="00C6458C"/>
    <w:rsid w:val="00C64DE2"/>
    <w:rsid w:val="00C711EA"/>
    <w:rsid w:val="00C81E3F"/>
    <w:rsid w:val="00C82A70"/>
    <w:rsid w:val="00C874A7"/>
    <w:rsid w:val="00C9772C"/>
    <w:rsid w:val="00CA577A"/>
    <w:rsid w:val="00CA70E9"/>
    <w:rsid w:val="00CA72FE"/>
    <w:rsid w:val="00CB0815"/>
    <w:rsid w:val="00CB1D31"/>
    <w:rsid w:val="00CB2574"/>
    <w:rsid w:val="00CB6DF7"/>
    <w:rsid w:val="00CC16DE"/>
    <w:rsid w:val="00CC4894"/>
    <w:rsid w:val="00CC4923"/>
    <w:rsid w:val="00CC69F0"/>
    <w:rsid w:val="00CD0E76"/>
    <w:rsid w:val="00CD35D3"/>
    <w:rsid w:val="00CD5D2C"/>
    <w:rsid w:val="00CD6A34"/>
    <w:rsid w:val="00CD76B5"/>
    <w:rsid w:val="00CE2EA4"/>
    <w:rsid w:val="00CE3FAE"/>
    <w:rsid w:val="00CE413A"/>
    <w:rsid w:val="00CE7142"/>
    <w:rsid w:val="00CF0439"/>
    <w:rsid w:val="00CF0A4F"/>
    <w:rsid w:val="00CF1FDE"/>
    <w:rsid w:val="00CF24D5"/>
    <w:rsid w:val="00CF4499"/>
    <w:rsid w:val="00CF57D5"/>
    <w:rsid w:val="00D00A2D"/>
    <w:rsid w:val="00D015ED"/>
    <w:rsid w:val="00D02FBA"/>
    <w:rsid w:val="00D044F2"/>
    <w:rsid w:val="00D07677"/>
    <w:rsid w:val="00D138A7"/>
    <w:rsid w:val="00D144FA"/>
    <w:rsid w:val="00D17317"/>
    <w:rsid w:val="00D2690F"/>
    <w:rsid w:val="00D26A71"/>
    <w:rsid w:val="00D27997"/>
    <w:rsid w:val="00D3279D"/>
    <w:rsid w:val="00D33A74"/>
    <w:rsid w:val="00D3729D"/>
    <w:rsid w:val="00D416F8"/>
    <w:rsid w:val="00D416FD"/>
    <w:rsid w:val="00D47BA9"/>
    <w:rsid w:val="00D5044D"/>
    <w:rsid w:val="00D5336B"/>
    <w:rsid w:val="00D63B59"/>
    <w:rsid w:val="00D67606"/>
    <w:rsid w:val="00D71A47"/>
    <w:rsid w:val="00D85F7F"/>
    <w:rsid w:val="00D92814"/>
    <w:rsid w:val="00D97C8D"/>
    <w:rsid w:val="00DA11DF"/>
    <w:rsid w:val="00DA1293"/>
    <w:rsid w:val="00DA31D7"/>
    <w:rsid w:val="00DA425F"/>
    <w:rsid w:val="00DB5860"/>
    <w:rsid w:val="00DB7F5B"/>
    <w:rsid w:val="00DC259C"/>
    <w:rsid w:val="00DC4901"/>
    <w:rsid w:val="00DC4F38"/>
    <w:rsid w:val="00DC580A"/>
    <w:rsid w:val="00DC60A8"/>
    <w:rsid w:val="00DC67D3"/>
    <w:rsid w:val="00DC7281"/>
    <w:rsid w:val="00DD648D"/>
    <w:rsid w:val="00DD75AD"/>
    <w:rsid w:val="00DD7890"/>
    <w:rsid w:val="00DE2700"/>
    <w:rsid w:val="00DE4A8A"/>
    <w:rsid w:val="00DE60AB"/>
    <w:rsid w:val="00DE7E81"/>
    <w:rsid w:val="00DF072C"/>
    <w:rsid w:val="00E04772"/>
    <w:rsid w:val="00E061FF"/>
    <w:rsid w:val="00E07229"/>
    <w:rsid w:val="00E07E92"/>
    <w:rsid w:val="00E1130A"/>
    <w:rsid w:val="00E15FC4"/>
    <w:rsid w:val="00E1606A"/>
    <w:rsid w:val="00E162F2"/>
    <w:rsid w:val="00E1707D"/>
    <w:rsid w:val="00E2120B"/>
    <w:rsid w:val="00E22230"/>
    <w:rsid w:val="00E26C4E"/>
    <w:rsid w:val="00E3187D"/>
    <w:rsid w:val="00E328B7"/>
    <w:rsid w:val="00E52953"/>
    <w:rsid w:val="00E537E8"/>
    <w:rsid w:val="00E5508B"/>
    <w:rsid w:val="00E55DC2"/>
    <w:rsid w:val="00E660E6"/>
    <w:rsid w:val="00E709D1"/>
    <w:rsid w:val="00E70D06"/>
    <w:rsid w:val="00E70DFC"/>
    <w:rsid w:val="00E75CA3"/>
    <w:rsid w:val="00E77DE7"/>
    <w:rsid w:val="00E84D1F"/>
    <w:rsid w:val="00E90026"/>
    <w:rsid w:val="00E93875"/>
    <w:rsid w:val="00E964C9"/>
    <w:rsid w:val="00E96A1F"/>
    <w:rsid w:val="00E96B6E"/>
    <w:rsid w:val="00EA02B9"/>
    <w:rsid w:val="00EA275F"/>
    <w:rsid w:val="00EA4D5D"/>
    <w:rsid w:val="00EA4E76"/>
    <w:rsid w:val="00EB1475"/>
    <w:rsid w:val="00EB1E7F"/>
    <w:rsid w:val="00EB7547"/>
    <w:rsid w:val="00EC03C1"/>
    <w:rsid w:val="00EC4676"/>
    <w:rsid w:val="00EC624A"/>
    <w:rsid w:val="00ED5DB5"/>
    <w:rsid w:val="00ED612D"/>
    <w:rsid w:val="00EE2880"/>
    <w:rsid w:val="00EE2C16"/>
    <w:rsid w:val="00EE582F"/>
    <w:rsid w:val="00EE6B97"/>
    <w:rsid w:val="00EE7155"/>
    <w:rsid w:val="00EF209E"/>
    <w:rsid w:val="00EF4D33"/>
    <w:rsid w:val="00EF5D0D"/>
    <w:rsid w:val="00EF7D1D"/>
    <w:rsid w:val="00F014EB"/>
    <w:rsid w:val="00F06349"/>
    <w:rsid w:val="00F203BB"/>
    <w:rsid w:val="00F22A23"/>
    <w:rsid w:val="00F32AC2"/>
    <w:rsid w:val="00F3637A"/>
    <w:rsid w:val="00F4312E"/>
    <w:rsid w:val="00F44424"/>
    <w:rsid w:val="00F45082"/>
    <w:rsid w:val="00F452A9"/>
    <w:rsid w:val="00F60040"/>
    <w:rsid w:val="00F61EEB"/>
    <w:rsid w:val="00F650E3"/>
    <w:rsid w:val="00F7113B"/>
    <w:rsid w:val="00F76B68"/>
    <w:rsid w:val="00F84AA4"/>
    <w:rsid w:val="00F855A7"/>
    <w:rsid w:val="00F90996"/>
    <w:rsid w:val="00F90E83"/>
    <w:rsid w:val="00FA0F37"/>
    <w:rsid w:val="00FA27E7"/>
    <w:rsid w:val="00FA4AFA"/>
    <w:rsid w:val="00FA746F"/>
    <w:rsid w:val="00FB629A"/>
    <w:rsid w:val="00FC6DC6"/>
    <w:rsid w:val="00FC794D"/>
    <w:rsid w:val="00FD19F6"/>
    <w:rsid w:val="00FD4792"/>
    <w:rsid w:val="00FD61F5"/>
    <w:rsid w:val="00FD7C1F"/>
    <w:rsid w:val="00FE0AEC"/>
    <w:rsid w:val="00FE4D26"/>
    <w:rsid w:val="00FF0850"/>
    <w:rsid w:val="00FF173B"/>
    <w:rsid w:val="00FF4CD9"/>
    <w:rsid w:val="00FF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8D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521"/>
    <w:pPr>
      <w:ind w:left="720"/>
      <w:contextualSpacing/>
    </w:pPr>
  </w:style>
  <w:style w:type="character" w:styleId="Hyperlink">
    <w:name w:val="Hyperlink"/>
    <w:basedOn w:val="DefaultParagraphFont"/>
    <w:uiPriority w:val="99"/>
    <w:unhideWhenUsed/>
    <w:rsid w:val="001F7521"/>
    <w:rPr>
      <w:color w:val="0000FF" w:themeColor="hyperlink"/>
      <w:u w:val="single"/>
    </w:rPr>
  </w:style>
  <w:style w:type="character" w:styleId="CommentReference">
    <w:name w:val="annotation reference"/>
    <w:basedOn w:val="DefaultParagraphFont"/>
    <w:uiPriority w:val="99"/>
    <w:semiHidden/>
    <w:unhideWhenUsed/>
    <w:rsid w:val="00B8576A"/>
    <w:rPr>
      <w:sz w:val="18"/>
      <w:szCs w:val="18"/>
    </w:rPr>
  </w:style>
  <w:style w:type="paragraph" w:styleId="CommentText">
    <w:name w:val="annotation text"/>
    <w:basedOn w:val="Normal"/>
    <w:link w:val="CommentTextChar"/>
    <w:uiPriority w:val="99"/>
    <w:unhideWhenUsed/>
    <w:rsid w:val="00B8576A"/>
  </w:style>
  <w:style w:type="character" w:customStyle="1" w:styleId="CommentTextChar">
    <w:name w:val="Comment Text Char"/>
    <w:basedOn w:val="DefaultParagraphFont"/>
    <w:link w:val="CommentText"/>
    <w:uiPriority w:val="99"/>
    <w:rsid w:val="00B8576A"/>
  </w:style>
  <w:style w:type="paragraph" w:styleId="CommentSubject">
    <w:name w:val="annotation subject"/>
    <w:basedOn w:val="CommentText"/>
    <w:next w:val="CommentText"/>
    <w:link w:val="CommentSubjectChar"/>
    <w:uiPriority w:val="99"/>
    <w:semiHidden/>
    <w:unhideWhenUsed/>
    <w:rsid w:val="00B8576A"/>
    <w:rPr>
      <w:b/>
      <w:bCs/>
      <w:sz w:val="20"/>
      <w:szCs w:val="20"/>
    </w:rPr>
  </w:style>
  <w:style w:type="character" w:customStyle="1" w:styleId="CommentSubjectChar">
    <w:name w:val="Comment Subject Char"/>
    <w:basedOn w:val="CommentTextChar"/>
    <w:link w:val="CommentSubject"/>
    <w:uiPriority w:val="99"/>
    <w:semiHidden/>
    <w:rsid w:val="00B8576A"/>
    <w:rPr>
      <w:b/>
      <w:bCs/>
      <w:sz w:val="20"/>
      <w:szCs w:val="20"/>
    </w:rPr>
  </w:style>
  <w:style w:type="paragraph" w:styleId="BalloonText">
    <w:name w:val="Balloon Text"/>
    <w:basedOn w:val="Normal"/>
    <w:link w:val="BalloonTextChar"/>
    <w:uiPriority w:val="99"/>
    <w:semiHidden/>
    <w:unhideWhenUsed/>
    <w:rsid w:val="00B857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76A"/>
    <w:rPr>
      <w:rFonts w:ascii="Lucida Grande" w:hAnsi="Lucida Grande" w:cs="Lucida Grande"/>
      <w:sz w:val="18"/>
      <w:szCs w:val="18"/>
    </w:rPr>
  </w:style>
  <w:style w:type="paragraph" w:styleId="FootnoteText">
    <w:name w:val="footnote text"/>
    <w:basedOn w:val="Normal"/>
    <w:link w:val="FootnoteTextChar"/>
    <w:uiPriority w:val="99"/>
    <w:unhideWhenUsed/>
    <w:rsid w:val="00B423DF"/>
    <w:rPr>
      <w:rFonts w:ascii="Garamond" w:hAnsi="Garamond"/>
      <w:sz w:val="22"/>
    </w:rPr>
  </w:style>
  <w:style w:type="character" w:customStyle="1" w:styleId="FootnoteTextChar">
    <w:name w:val="Footnote Text Char"/>
    <w:basedOn w:val="DefaultParagraphFont"/>
    <w:link w:val="FootnoteText"/>
    <w:uiPriority w:val="99"/>
    <w:rsid w:val="00B423DF"/>
    <w:rPr>
      <w:rFonts w:ascii="Garamond" w:hAnsi="Garamond"/>
      <w:sz w:val="22"/>
    </w:rPr>
  </w:style>
  <w:style w:type="character" w:styleId="FootnoteReference">
    <w:name w:val="footnote reference"/>
    <w:basedOn w:val="DefaultParagraphFont"/>
    <w:uiPriority w:val="99"/>
    <w:unhideWhenUsed/>
    <w:rsid w:val="00E55DC2"/>
    <w:rPr>
      <w:vertAlign w:val="superscript"/>
    </w:rPr>
  </w:style>
  <w:style w:type="character" w:styleId="Strong">
    <w:name w:val="Strong"/>
    <w:basedOn w:val="DefaultParagraphFont"/>
    <w:uiPriority w:val="22"/>
    <w:qFormat/>
    <w:rsid w:val="0096375A"/>
    <w:rPr>
      <w:b/>
      <w:bCs/>
    </w:rPr>
  </w:style>
  <w:style w:type="character" w:styleId="FollowedHyperlink">
    <w:name w:val="FollowedHyperlink"/>
    <w:basedOn w:val="DefaultParagraphFont"/>
    <w:uiPriority w:val="99"/>
    <w:semiHidden/>
    <w:unhideWhenUsed/>
    <w:rsid w:val="00541869"/>
    <w:rPr>
      <w:color w:val="800080" w:themeColor="followedHyperlink"/>
      <w:u w:val="single"/>
    </w:rPr>
  </w:style>
  <w:style w:type="paragraph" w:styleId="Footer">
    <w:name w:val="footer"/>
    <w:basedOn w:val="Normal"/>
    <w:link w:val="FooterChar"/>
    <w:uiPriority w:val="99"/>
    <w:unhideWhenUsed/>
    <w:rsid w:val="003642FE"/>
    <w:pPr>
      <w:tabs>
        <w:tab w:val="center" w:pos="4320"/>
        <w:tab w:val="right" w:pos="8640"/>
      </w:tabs>
    </w:pPr>
  </w:style>
  <w:style w:type="character" w:customStyle="1" w:styleId="FooterChar">
    <w:name w:val="Footer Char"/>
    <w:basedOn w:val="DefaultParagraphFont"/>
    <w:link w:val="Footer"/>
    <w:uiPriority w:val="99"/>
    <w:rsid w:val="003642FE"/>
  </w:style>
  <w:style w:type="character" w:styleId="PageNumber">
    <w:name w:val="page number"/>
    <w:basedOn w:val="DefaultParagraphFont"/>
    <w:uiPriority w:val="99"/>
    <w:semiHidden/>
    <w:unhideWhenUsed/>
    <w:rsid w:val="003642FE"/>
  </w:style>
  <w:style w:type="paragraph" w:styleId="Header">
    <w:name w:val="header"/>
    <w:basedOn w:val="Normal"/>
    <w:link w:val="HeaderChar"/>
    <w:uiPriority w:val="99"/>
    <w:unhideWhenUsed/>
    <w:rsid w:val="001A28E4"/>
    <w:pPr>
      <w:tabs>
        <w:tab w:val="center" w:pos="4320"/>
        <w:tab w:val="right" w:pos="8640"/>
      </w:tabs>
    </w:pPr>
  </w:style>
  <w:style w:type="character" w:customStyle="1" w:styleId="HeaderChar">
    <w:name w:val="Header Char"/>
    <w:basedOn w:val="DefaultParagraphFont"/>
    <w:link w:val="Header"/>
    <w:uiPriority w:val="99"/>
    <w:rsid w:val="001A28E4"/>
  </w:style>
  <w:style w:type="paragraph" w:customStyle="1" w:styleId="Default">
    <w:name w:val="Default"/>
    <w:rsid w:val="00E2120B"/>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Bibliography">
    <w:name w:val="Bibliography"/>
    <w:basedOn w:val="Normal"/>
    <w:next w:val="Normal"/>
    <w:uiPriority w:val="37"/>
    <w:unhideWhenUsed/>
    <w:rsid w:val="00AC39AC"/>
    <w:pPr>
      <w:ind w:left="720" w:hanging="720"/>
    </w:pPr>
  </w:style>
  <w:style w:type="paragraph" w:styleId="EndnoteText">
    <w:name w:val="endnote text"/>
    <w:basedOn w:val="Normal"/>
    <w:link w:val="EndnoteTextChar"/>
    <w:uiPriority w:val="99"/>
    <w:unhideWhenUsed/>
    <w:rsid w:val="00156131"/>
  </w:style>
  <w:style w:type="character" w:customStyle="1" w:styleId="EndnoteTextChar">
    <w:name w:val="Endnote Text Char"/>
    <w:basedOn w:val="DefaultParagraphFont"/>
    <w:link w:val="EndnoteText"/>
    <w:uiPriority w:val="99"/>
    <w:rsid w:val="00156131"/>
  </w:style>
  <w:style w:type="character" w:styleId="EndnoteReference">
    <w:name w:val="endnote reference"/>
    <w:basedOn w:val="DefaultParagraphFont"/>
    <w:uiPriority w:val="99"/>
    <w:unhideWhenUsed/>
    <w:rsid w:val="0015613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521"/>
    <w:pPr>
      <w:ind w:left="720"/>
      <w:contextualSpacing/>
    </w:pPr>
  </w:style>
  <w:style w:type="character" w:styleId="Hyperlink">
    <w:name w:val="Hyperlink"/>
    <w:basedOn w:val="DefaultParagraphFont"/>
    <w:uiPriority w:val="99"/>
    <w:unhideWhenUsed/>
    <w:rsid w:val="001F7521"/>
    <w:rPr>
      <w:color w:val="0000FF" w:themeColor="hyperlink"/>
      <w:u w:val="single"/>
    </w:rPr>
  </w:style>
  <w:style w:type="character" w:styleId="CommentReference">
    <w:name w:val="annotation reference"/>
    <w:basedOn w:val="DefaultParagraphFont"/>
    <w:uiPriority w:val="99"/>
    <w:semiHidden/>
    <w:unhideWhenUsed/>
    <w:rsid w:val="00B8576A"/>
    <w:rPr>
      <w:sz w:val="18"/>
      <w:szCs w:val="18"/>
    </w:rPr>
  </w:style>
  <w:style w:type="paragraph" w:styleId="CommentText">
    <w:name w:val="annotation text"/>
    <w:basedOn w:val="Normal"/>
    <w:link w:val="CommentTextChar"/>
    <w:uiPriority w:val="99"/>
    <w:unhideWhenUsed/>
    <w:rsid w:val="00B8576A"/>
  </w:style>
  <w:style w:type="character" w:customStyle="1" w:styleId="CommentTextChar">
    <w:name w:val="Comment Text Char"/>
    <w:basedOn w:val="DefaultParagraphFont"/>
    <w:link w:val="CommentText"/>
    <w:uiPriority w:val="99"/>
    <w:rsid w:val="00B8576A"/>
  </w:style>
  <w:style w:type="paragraph" w:styleId="CommentSubject">
    <w:name w:val="annotation subject"/>
    <w:basedOn w:val="CommentText"/>
    <w:next w:val="CommentText"/>
    <w:link w:val="CommentSubjectChar"/>
    <w:uiPriority w:val="99"/>
    <w:semiHidden/>
    <w:unhideWhenUsed/>
    <w:rsid w:val="00B8576A"/>
    <w:rPr>
      <w:b/>
      <w:bCs/>
      <w:sz w:val="20"/>
      <w:szCs w:val="20"/>
    </w:rPr>
  </w:style>
  <w:style w:type="character" w:customStyle="1" w:styleId="CommentSubjectChar">
    <w:name w:val="Comment Subject Char"/>
    <w:basedOn w:val="CommentTextChar"/>
    <w:link w:val="CommentSubject"/>
    <w:uiPriority w:val="99"/>
    <w:semiHidden/>
    <w:rsid w:val="00B8576A"/>
    <w:rPr>
      <w:b/>
      <w:bCs/>
      <w:sz w:val="20"/>
      <w:szCs w:val="20"/>
    </w:rPr>
  </w:style>
  <w:style w:type="paragraph" w:styleId="BalloonText">
    <w:name w:val="Balloon Text"/>
    <w:basedOn w:val="Normal"/>
    <w:link w:val="BalloonTextChar"/>
    <w:uiPriority w:val="99"/>
    <w:semiHidden/>
    <w:unhideWhenUsed/>
    <w:rsid w:val="00B857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76A"/>
    <w:rPr>
      <w:rFonts w:ascii="Lucida Grande" w:hAnsi="Lucida Grande" w:cs="Lucida Grande"/>
      <w:sz w:val="18"/>
      <w:szCs w:val="18"/>
    </w:rPr>
  </w:style>
  <w:style w:type="paragraph" w:styleId="FootnoteText">
    <w:name w:val="footnote text"/>
    <w:basedOn w:val="Normal"/>
    <w:link w:val="FootnoteTextChar"/>
    <w:uiPriority w:val="99"/>
    <w:unhideWhenUsed/>
    <w:rsid w:val="00B423DF"/>
    <w:rPr>
      <w:rFonts w:ascii="Garamond" w:hAnsi="Garamond"/>
      <w:sz w:val="22"/>
    </w:rPr>
  </w:style>
  <w:style w:type="character" w:customStyle="1" w:styleId="FootnoteTextChar">
    <w:name w:val="Footnote Text Char"/>
    <w:basedOn w:val="DefaultParagraphFont"/>
    <w:link w:val="FootnoteText"/>
    <w:uiPriority w:val="99"/>
    <w:rsid w:val="00B423DF"/>
    <w:rPr>
      <w:rFonts w:ascii="Garamond" w:hAnsi="Garamond"/>
      <w:sz w:val="22"/>
    </w:rPr>
  </w:style>
  <w:style w:type="character" w:styleId="FootnoteReference">
    <w:name w:val="footnote reference"/>
    <w:basedOn w:val="DefaultParagraphFont"/>
    <w:uiPriority w:val="99"/>
    <w:unhideWhenUsed/>
    <w:rsid w:val="00E55DC2"/>
    <w:rPr>
      <w:vertAlign w:val="superscript"/>
    </w:rPr>
  </w:style>
  <w:style w:type="character" w:styleId="Strong">
    <w:name w:val="Strong"/>
    <w:basedOn w:val="DefaultParagraphFont"/>
    <w:uiPriority w:val="22"/>
    <w:qFormat/>
    <w:rsid w:val="0096375A"/>
    <w:rPr>
      <w:b/>
      <w:bCs/>
    </w:rPr>
  </w:style>
  <w:style w:type="character" w:styleId="FollowedHyperlink">
    <w:name w:val="FollowedHyperlink"/>
    <w:basedOn w:val="DefaultParagraphFont"/>
    <w:uiPriority w:val="99"/>
    <w:semiHidden/>
    <w:unhideWhenUsed/>
    <w:rsid w:val="00541869"/>
    <w:rPr>
      <w:color w:val="800080" w:themeColor="followedHyperlink"/>
      <w:u w:val="single"/>
    </w:rPr>
  </w:style>
  <w:style w:type="paragraph" w:styleId="Footer">
    <w:name w:val="footer"/>
    <w:basedOn w:val="Normal"/>
    <w:link w:val="FooterChar"/>
    <w:uiPriority w:val="99"/>
    <w:unhideWhenUsed/>
    <w:rsid w:val="003642FE"/>
    <w:pPr>
      <w:tabs>
        <w:tab w:val="center" w:pos="4320"/>
        <w:tab w:val="right" w:pos="8640"/>
      </w:tabs>
    </w:pPr>
  </w:style>
  <w:style w:type="character" w:customStyle="1" w:styleId="FooterChar">
    <w:name w:val="Footer Char"/>
    <w:basedOn w:val="DefaultParagraphFont"/>
    <w:link w:val="Footer"/>
    <w:uiPriority w:val="99"/>
    <w:rsid w:val="003642FE"/>
  </w:style>
  <w:style w:type="character" w:styleId="PageNumber">
    <w:name w:val="page number"/>
    <w:basedOn w:val="DefaultParagraphFont"/>
    <w:uiPriority w:val="99"/>
    <w:semiHidden/>
    <w:unhideWhenUsed/>
    <w:rsid w:val="003642FE"/>
  </w:style>
  <w:style w:type="paragraph" w:styleId="Header">
    <w:name w:val="header"/>
    <w:basedOn w:val="Normal"/>
    <w:link w:val="HeaderChar"/>
    <w:uiPriority w:val="99"/>
    <w:unhideWhenUsed/>
    <w:rsid w:val="001A28E4"/>
    <w:pPr>
      <w:tabs>
        <w:tab w:val="center" w:pos="4320"/>
        <w:tab w:val="right" w:pos="8640"/>
      </w:tabs>
    </w:pPr>
  </w:style>
  <w:style w:type="character" w:customStyle="1" w:styleId="HeaderChar">
    <w:name w:val="Header Char"/>
    <w:basedOn w:val="DefaultParagraphFont"/>
    <w:link w:val="Header"/>
    <w:uiPriority w:val="99"/>
    <w:rsid w:val="001A28E4"/>
  </w:style>
  <w:style w:type="paragraph" w:customStyle="1" w:styleId="Default">
    <w:name w:val="Default"/>
    <w:rsid w:val="00E2120B"/>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Bibliography">
    <w:name w:val="Bibliography"/>
    <w:basedOn w:val="Normal"/>
    <w:next w:val="Normal"/>
    <w:uiPriority w:val="37"/>
    <w:unhideWhenUsed/>
    <w:rsid w:val="00AC39AC"/>
    <w:pPr>
      <w:ind w:left="720" w:hanging="720"/>
    </w:pPr>
  </w:style>
  <w:style w:type="paragraph" w:styleId="EndnoteText">
    <w:name w:val="endnote text"/>
    <w:basedOn w:val="Normal"/>
    <w:link w:val="EndnoteTextChar"/>
    <w:uiPriority w:val="99"/>
    <w:unhideWhenUsed/>
    <w:rsid w:val="00156131"/>
  </w:style>
  <w:style w:type="character" w:customStyle="1" w:styleId="EndnoteTextChar">
    <w:name w:val="Endnote Text Char"/>
    <w:basedOn w:val="DefaultParagraphFont"/>
    <w:link w:val="EndnoteText"/>
    <w:uiPriority w:val="99"/>
    <w:rsid w:val="00156131"/>
  </w:style>
  <w:style w:type="character" w:styleId="EndnoteReference">
    <w:name w:val="endnote reference"/>
    <w:basedOn w:val="DefaultParagraphFont"/>
    <w:uiPriority w:val="99"/>
    <w:unhideWhenUsed/>
    <w:rsid w:val="001561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8741">
      <w:bodyDiv w:val="1"/>
      <w:marLeft w:val="0"/>
      <w:marRight w:val="0"/>
      <w:marTop w:val="0"/>
      <w:marBottom w:val="0"/>
      <w:divBdr>
        <w:top w:val="none" w:sz="0" w:space="0" w:color="auto"/>
        <w:left w:val="none" w:sz="0" w:space="0" w:color="auto"/>
        <w:bottom w:val="none" w:sz="0" w:space="0" w:color="auto"/>
        <w:right w:val="none" w:sz="0" w:space="0" w:color="auto"/>
      </w:divBdr>
    </w:div>
    <w:div w:id="204411439">
      <w:bodyDiv w:val="1"/>
      <w:marLeft w:val="0"/>
      <w:marRight w:val="0"/>
      <w:marTop w:val="0"/>
      <w:marBottom w:val="0"/>
      <w:divBdr>
        <w:top w:val="none" w:sz="0" w:space="0" w:color="auto"/>
        <w:left w:val="none" w:sz="0" w:space="0" w:color="auto"/>
        <w:bottom w:val="none" w:sz="0" w:space="0" w:color="auto"/>
        <w:right w:val="none" w:sz="0" w:space="0" w:color="auto"/>
      </w:divBdr>
    </w:div>
    <w:div w:id="380636847">
      <w:bodyDiv w:val="1"/>
      <w:marLeft w:val="0"/>
      <w:marRight w:val="0"/>
      <w:marTop w:val="0"/>
      <w:marBottom w:val="0"/>
      <w:divBdr>
        <w:top w:val="none" w:sz="0" w:space="0" w:color="auto"/>
        <w:left w:val="none" w:sz="0" w:space="0" w:color="auto"/>
        <w:bottom w:val="none" w:sz="0" w:space="0" w:color="auto"/>
        <w:right w:val="none" w:sz="0" w:space="0" w:color="auto"/>
      </w:divBdr>
    </w:div>
    <w:div w:id="449935907">
      <w:bodyDiv w:val="1"/>
      <w:marLeft w:val="0"/>
      <w:marRight w:val="0"/>
      <w:marTop w:val="0"/>
      <w:marBottom w:val="0"/>
      <w:divBdr>
        <w:top w:val="none" w:sz="0" w:space="0" w:color="auto"/>
        <w:left w:val="none" w:sz="0" w:space="0" w:color="auto"/>
        <w:bottom w:val="none" w:sz="0" w:space="0" w:color="auto"/>
        <w:right w:val="none" w:sz="0" w:space="0" w:color="auto"/>
      </w:divBdr>
    </w:div>
    <w:div w:id="1134828944">
      <w:bodyDiv w:val="1"/>
      <w:marLeft w:val="0"/>
      <w:marRight w:val="0"/>
      <w:marTop w:val="0"/>
      <w:marBottom w:val="0"/>
      <w:divBdr>
        <w:top w:val="none" w:sz="0" w:space="0" w:color="auto"/>
        <w:left w:val="none" w:sz="0" w:space="0" w:color="auto"/>
        <w:bottom w:val="none" w:sz="0" w:space="0" w:color="auto"/>
        <w:right w:val="none" w:sz="0" w:space="0" w:color="auto"/>
      </w:divBdr>
    </w:div>
    <w:div w:id="1229684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8/08/relationships/commentsExtensible" Target="commentsExtensible.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C4F7-526A-D14F-8C2E-8DB0F8AD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31</Pages>
  <Words>7647</Words>
  <Characters>39732</Characters>
  <Application>Microsoft Macintosh Word</Application>
  <DocSecurity>0</DocSecurity>
  <Lines>565</Lines>
  <Paragraphs>56</Paragraphs>
  <ScaleCrop>false</ScaleCrop>
  <Company/>
  <LinksUpToDate>false</LinksUpToDate>
  <CharactersWithSpaces>47297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DAVIS</dc:creator>
  <cp:keywords/>
  <dc:description/>
  <cp:lastModifiedBy>JEREMY DAVIS</cp:lastModifiedBy>
  <cp:revision>24</cp:revision>
  <dcterms:created xsi:type="dcterms:W3CDTF">2021-10-28T17:32:00Z</dcterms:created>
  <dcterms:modified xsi:type="dcterms:W3CDTF">2021-12-01T19:52:00Z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id="SnjOedfU"/&gt;&lt;style id="http://www.zotero.org/styles/chicago-fullnote-bibliography" locale="en-US" hasBibliography="1" bibliographyStyleHasBeenSet="1"/&gt;&lt;prefs&gt;&lt;pref name="fieldType" value="Field"</vt:lpwstr>
  </property>
  <property fmtid="{D5CDD505-2E9C-101B-9397-08002B2CF9AE}" pid="3" name="ZOTERO_PREF_2">
    <vt:lpwstr>/&gt;&lt;pref name="noteType" value="1"/&gt;&lt;/prefs&gt;&lt;/data&gt;</vt:lpwstr>
  </property>
</Properties>
</file>