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C332B" w14:textId="13EE4ADB" w:rsidR="00CF221F" w:rsidRDefault="00CF221F" w:rsidP="00E24723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‘The right not to know and the obligation to know’, response to commentaries. </w:t>
      </w:r>
    </w:p>
    <w:p w14:paraId="465101B4" w14:textId="4C78EC12" w:rsidR="003126CF" w:rsidRPr="00A83811" w:rsidRDefault="008E210F" w:rsidP="00E24723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grateful for these</w:t>
      </w:r>
      <w:r w:rsidR="006317AA" w:rsidRPr="00A83811">
        <w:rPr>
          <w:rFonts w:ascii="Times New Roman" w:hAnsi="Times New Roman" w:cs="Times New Roman"/>
        </w:rPr>
        <w:t xml:space="preserve"> </w:t>
      </w:r>
      <w:r w:rsidR="002557CA">
        <w:rPr>
          <w:rFonts w:ascii="Times New Roman" w:hAnsi="Times New Roman" w:cs="Times New Roman"/>
        </w:rPr>
        <w:t xml:space="preserve">four </w:t>
      </w:r>
      <w:r w:rsidR="00CF221F">
        <w:rPr>
          <w:rFonts w:ascii="Times New Roman" w:hAnsi="Times New Roman" w:cs="Times New Roman"/>
        </w:rPr>
        <w:t>incisive</w:t>
      </w:r>
      <w:r w:rsidR="006317AA" w:rsidRPr="00A83811">
        <w:rPr>
          <w:rFonts w:ascii="Times New Roman" w:hAnsi="Times New Roman" w:cs="Times New Roman"/>
        </w:rPr>
        <w:t xml:space="preserve"> commentaries on my paper, ‘The right not to know and the obligation to know’</w:t>
      </w:r>
      <w:r w:rsidR="00CF221F">
        <w:rPr>
          <w:rFonts w:ascii="Times New Roman" w:hAnsi="Times New Roman" w:cs="Times New Roman"/>
        </w:rPr>
        <w:t xml:space="preserve"> and regret that I cannot address every point made in these challenging responses to my work. </w:t>
      </w:r>
    </w:p>
    <w:p w14:paraId="6B274F7F" w14:textId="17B45566" w:rsidR="00C87F57" w:rsidRPr="00A83811" w:rsidRDefault="00C87F57" w:rsidP="00703516">
      <w:pPr>
        <w:spacing w:after="240"/>
        <w:jc w:val="both"/>
        <w:rPr>
          <w:rFonts w:ascii="Times New Roman" w:hAnsi="Times New Roman" w:cs="Times New Roman"/>
        </w:rPr>
      </w:pPr>
      <w:r w:rsidRPr="00A83811">
        <w:rPr>
          <w:rFonts w:ascii="Times New Roman" w:hAnsi="Times New Roman" w:cs="Times New Roman"/>
        </w:rPr>
        <w:t>Benjamin Berkman</w:t>
      </w:r>
      <w:r w:rsidR="009864D5">
        <w:rPr>
          <w:rFonts w:ascii="Times New Roman" w:hAnsi="Times New Roman" w:cs="Times New Roman"/>
        </w:rPr>
        <w:t xml:space="preserve"> [1]</w:t>
      </w:r>
      <w:r w:rsidR="008E210F">
        <w:rPr>
          <w:rFonts w:ascii="Times New Roman" w:hAnsi="Times New Roman" w:cs="Times New Roman"/>
        </w:rPr>
        <w:t xml:space="preserve"> worries</w:t>
      </w:r>
      <w:r w:rsidR="00703516" w:rsidRPr="00A83811">
        <w:rPr>
          <w:rFonts w:ascii="Times New Roman" w:hAnsi="Times New Roman" w:cs="Times New Roman"/>
        </w:rPr>
        <w:t xml:space="preserve"> that I conflat</w:t>
      </w:r>
      <w:r w:rsidR="007B4992" w:rsidRPr="00A83811">
        <w:rPr>
          <w:rFonts w:ascii="Times New Roman" w:hAnsi="Times New Roman" w:cs="Times New Roman"/>
        </w:rPr>
        <w:t>e</w:t>
      </w:r>
      <w:r w:rsidR="00703516" w:rsidRPr="00A83811">
        <w:rPr>
          <w:rFonts w:ascii="Times New Roman" w:hAnsi="Times New Roman" w:cs="Times New Roman"/>
        </w:rPr>
        <w:t xml:space="preserve"> medical information with medical action. I argue that </w:t>
      </w:r>
      <w:r w:rsidR="007B4992" w:rsidRPr="00A83811">
        <w:rPr>
          <w:rFonts w:ascii="Times New Roman" w:hAnsi="Times New Roman" w:cs="Times New Roman"/>
        </w:rPr>
        <w:t>patients</w:t>
      </w:r>
      <w:r w:rsidR="00703516" w:rsidRPr="00A83811">
        <w:rPr>
          <w:rFonts w:ascii="Times New Roman" w:hAnsi="Times New Roman" w:cs="Times New Roman"/>
        </w:rPr>
        <w:t xml:space="preserve"> </w:t>
      </w:r>
      <w:r w:rsidR="007B4992" w:rsidRPr="00A83811">
        <w:rPr>
          <w:rFonts w:ascii="Times New Roman" w:hAnsi="Times New Roman" w:cs="Times New Roman"/>
        </w:rPr>
        <w:t>sometimes have obligations</w:t>
      </w:r>
      <w:r w:rsidR="00703516" w:rsidRPr="00A83811">
        <w:rPr>
          <w:rFonts w:ascii="Times New Roman" w:hAnsi="Times New Roman" w:cs="Times New Roman"/>
        </w:rPr>
        <w:t xml:space="preserve"> to receive information, since medical decisions made </w:t>
      </w:r>
      <w:r w:rsidR="008E210F">
        <w:rPr>
          <w:rFonts w:ascii="Times New Roman" w:hAnsi="Times New Roman" w:cs="Times New Roman"/>
        </w:rPr>
        <w:t xml:space="preserve">with incomplete </w:t>
      </w:r>
      <w:r w:rsidR="00703516" w:rsidRPr="00A83811">
        <w:rPr>
          <w:rFonts w:ascii="Times New Roman" w:hAnsi="Times New Roman" w:cs="Times New Roman"/>
        </w:rPr>
        <w:t>information may generat</w:t>
      </w:r>
      <w:r w:rsidR="008E210F">
        <w:rPr>
          <w:rFonts w:ascii="Times New Roman" w:hAnsi="Times New Roman" w:cs="Times New Roman"/>
        </w:rPr>
        <w:t>e</w:t>
      </w:r>
      <w:r w:rsidR="00703516" w:rsidRPr="00A83811">
        <w:rPr>
          <w:rFonts w:ascii="Times New Roman" w:hAnsi="Times New Roman" w:cs="Times New Roman"/>
        </w:rPr>
        <w:t xml:space="preserve"> higher costs. As Berkman notes, </w:t>
      </w:r>
      <w:r w:rsidR="008E210F">
        <w:rPr>
          <w:rFonts w:ascii="Times New Roman" w:hAnsi="Times New Roman" w:cs="Times New Roman"/>
        </w:rPr>
        <w:t>though</w:t>
      </w:r>
      <w:r w:rsidR="00217C69" w:rsidRPr="00A83811">
        <w:rPr>
          <w:rFonts w:ascii="Times New Roman" w:hAnsi="Times New Roman" w:cs="Times New Roman"/>
        </w:rPr>
        <w:t xml:space="preserve">, </w:t>
      </w:r>
      <w:r w:rsidR="007E3C5E" w:rsidRPr="00A83811">
        <w:rPr>
          <w:rFonts w:ascii="Times New Roman" w:hAnsi="Times New Roman" w:cs="Times New Roman"/>
        </w:rPr>
        <w:t>information</w:t>
      </w:r>
      <w:r w:rsidR="00703516" w:rsidRPr="00A83811">
        <w:rPr>
          <w:rFonts w:ascii="Times New Roman" w:hAnsi="Times New Roman" w:cs="Times New Roman"/>
        </w:rPr>
        <w:t xml:space="preserve"> is no guarantee of action</w:t>
      </w:r>
      <w:r w:rsidR="008E210F">
        <w:rPr>
          <w:rFonts w:ascii="Times New Roman" w:hAnsi="Times New Roman" w:cs="Times New Roman"/>
        </w:rPr>
        <w:t>, and it is patients’ actions which will affect their health</w:t>
      </w:r>
      <w:r w:rsidR="00703516" w:rsidRPr="00A83811">
        <w:rPr>
          <w:rFonts w:ascii="Times New Roman" w:hAnsi="Times New Roman" w:cs="Times New Roman"/>
        </w:rPr>
        <w:t xml:space="preserve">. Yet, he </w:t>
      </w:r>
      <w:r w:rsidR="007E3C5E" w:rsidRPr="00A83811">
        <w:rPr>
          <w:rFonts w:ascii="Times New Roman" w:hAnsi="Times New Roman" w:cs="Times New Roman"/>
        </w:rPr>
        <w:t>points out</w:t>
      </w:r>
      <w:r w:rsidR="00703516" w:rsidRPr="00A83811">
        <w:rPr>
          <w:rFonts w:ascii="Times New Roman" w:hAnsi="Times New Roman" w:cs="Times New Roman"/>
        </w:rPr>
        <w:t xml:space="preserve">, I explicitly </w:t>
      </w:r>
      <w:r w:rsidR="007E3C5E" w:rsidRPr="00A83811">
        <w:rPr>
          <w:rFonts w:ascii="Times New Roman" w:hAnsi="Times New Roman" w:cs="Times New Roman"/>
        </w:rPr>
        <w:t>deny that</w:t>
      </w:r>
      <w:r w:rsidR="00703516" w:rsidRPr="00A83811">
        <w:rPr>
          <w:rFonts w:ascii="Times New Roman" w:hAnsi="Times New Roman" w:cs="Times New Roman"/>
        </w:rPr>
        <w:t xml:space="preserve"> patients should be “forced into a particular action”</w:t>
      </w:r>
      <w:r w:rsidR="00AE5441">
        <w:rPr>
          <w:rFonts w:ascii="Times New Roman" w:hAnsi="Times New Roman" w:cs="Times New Roman"/>
        </w:rPr>
        <w:t xml:space="preserve"> (p.2)</w:t>
      </w:r>
      <w:r w:rsidR="00703516" w:rsidRPr="00A83811">
        <w:rPr>
          <w:rFonts w:ascii="Times New Roman" w:hAnsi="Times New Roman" w:cs="Times New Roman"/>
        </w:rPr>
        <w:t xml:space="preserve">. </w:t>
      </w:r>
      <w:r w:rsidR="007E3C5E" w:rsidRPr="00A83811">
        <w:rPr>
          <w:rFonts w:ascii="Times New Roman" w:hAnsi="Times New Roman" w:cs="Times New Roman"/>
        </w:rPr>
        <w:t xml:space="preserve">I </w:t>
      </w:r>
      <w:r w:rsidR="008E210F">
        <w:rPr>
          <w:rFonts w:ascii="Times New Roman" w:hAnsi="Times New Roman" w:cs="Times New Roman"/>
        </w:rPr>
        <w:t xml:space="preserve">acknowledge a </w:t>
      </w:r>
      <w:r w:rsidR="007E3C5E" w:rsidRPr="00A83811">
        <w:rPr>
          <w:rFonts w:ascii="Times New Roman" w:hAnsi="Times New Roman" w:cs="Times New Roman"/>
        </w:rPr>
        <w:t>missed opportunity to explicit</w:t>
      </w:r>
      <w:r w:rsidR="008E210F">
        <w:rPr>
          <w:rFonts w:ascii="Times New Roman" w:hAnsi="Times New Roman" w:cs="Times New Roman"/>
        </w:rPr>
        <w:t>ly discuss</w:t>
      </w:r>
      <w:r w:rsidR="007E3C5E" w:rsidRPr="00A83811">
        <w:rPr>
          <w:rFonts w:ascii="Times New Roman" w:hAnsi="Times New Roman" w:cs="Times New Roman"/>
        </w:rPr>
        <w:t xml:space="preserve"> the relationship between information and action</w:t>
      </w:r>
      <w:r w:rsidR="008E210F">
        <w:rPr>
          <w:rFonts w:ascii="Times New Roman" w:hAnsi="Times New Roman" w:cs="Times New Roman"/>
        </w:rPr>
        <w:t>.</w:t>
      </w:r>
      <w:r w:rsidR="007E3C5E" w:rsidRPr="00A83811">
        <w:rPr>
          <w:rFonts w:ascii="Times New Roman" w:hAnsi="Times New Roman" w:cs="Times New Roman"/>
        </w:rPr>
        <w:t xml:space="preserve"> </w:t>
      </w:r>
      <w:r w:rsidR="008E210F">
        <w:rPr>
          <w:rFonts w:ascii="Times New Roman" w:hAnsi="Times New Roman" w:cs="Times New Roman"/>
        </w:rPr>
        <w:t>Still, Berkman’s</w:t>
      </w:r>
      <w:r w:rsidR="007E3C5E" w:rsidRPr="00A83811">
        <w:rPr>
          <w:rFonts w:ascii="Times New Roman" w:hAnsi="Times New Roman" w:cs="Times New Roman"/>
        </w:rPr>
        <w:t xml:space="preserve"> </w:t>
      </w:r>
      <w:r w:rsidR="00703516" w:rsidRPr="00A83811">
        <w:rPr>
          <w:rFonts w:ascii="Times New Roman" w:hAnsi="Times New Roman" w:cs="Times New Roman"/>
        </w:rPr>
        <w:t xml:space="preserve">discussion itself conflates two important ideas. </w:t>
      </w:r>
      <w:r w:rsidR="008E210F">
        <w:rPr>
          <w:rFonts w:ascii="Times New Roman" w:hAnsi="Times New Roman" w:cs="Times New Roman"/>
        </w:rPr>
        <w:t>As I argue,</w:t>
      </w:r>
      <w:r w:rsidR="00703516" w:rsidRPr="00A83811">
        <w:rPr>
          <w:rFonts w:ascii="Times New Roman" w:hAnsi="Times New Roman" w:cs="Times New Roman"/>
        </w:rPr>
        <w:t xml:space="preserve"> </w:t>
      </w:r>
      <w:r w:rsidR="007E3C5E" w:rsidRPr="00A83811">
        <w:rPr>
          <w:rFonts w:ascii="Times New Roman" w:hAnsi="Times New Roman" w:cs="Times New Roman"/>
        </w:rPr>
        <w:t xml:space="preserve">my </w:t>
      </w:r>
      <w:r w:rsidR="00703516" w:rsidRPr="00A83811">
        <w:rPr>
          <w:rFonts w:ascii="Times New Roman" w:hAnsi="Times New Roman" w:cs="Times New Roman"/>
        </w:rPr>
        <w:t xml:space="preserve">having an obligation does not entail </w:t>
      </w:r>
      <w:r w:rsidR="007E3C5E" w:rsidRPr="00A83811">
        <w:rPr>
          <w:rFonts w:ascii="Times New Roman" w:hAnsi="Times New Roman" w:cs="Times New Roman"/>
        </w:rPr>
        <w:t xml:space="preserve">a permission for others to enforce that obligation. </w:t>
      </w:r>
      <w:r w:rsidR="00703516" w:rsidRPr="00A83811">
        <w:rPr>
          <w:rFonts w:ascii="Times New Roman" w:hAnsi="Times New Roman" w:cs="Times New Roman"/>
        </w:rPr>
        <w:t>I do think pati</w:t>
      </w:r>
      <w:bookmarkStart w:id="0" w:name="_GoBack"/>
      <w:bookmarkEnd w:id="0"/>
      <w:r w:rsidR="00703516" w:rsidRPr="00A83811">
        <w:rPr>
          <w:rFonts w:ascii="Times New Roman" w:hAnsi="Times New Roman" w:cs="Times New Roman"/>
        </w:rPr>
        <w:t>ents sometimes have obligation</w:t>
      </w:r>
      <w:r w:rsidR="007E3C5E" w:rsidRPr="00A83811">
        <w:rPr>
          <w:rFonts w:ascii="Times New Roman" w:hAnsi="Times New Roman" w:cs="Times New Roman"/>
        </w:rPr>
        <w:t>s to make certain health-related choices</w:t>
      </w:r>
      <w:r w:rsidR="00703516" w:rsidRPr="00A83811">
        <w:rPr>
          <w:rFonts w:ascii="Times New Roman" w:hAnsi="Times New Roman" w:cs="Times New Roman"/>
        </w:rPr>
        <w:t>, specifically when this will not involve significant sacrifices of other valu</w:t>
      </w:r>
      <w:r w:rsidR="008E210F">
        <w:rPr>
          <w:rFonts w:ascii="Times New Roman" w:hAnsi="Times New Roman" w:cs="Times New Roman"/>
        </w:rPr>
        <w:t>es</w:t>
      </w:r>
      <w:r w:rsidR="007E3C5E" w:rsidRPr="00A83811">
        <w:rPr>
          <w:rFonts w:ascii="Times New Roman" w:hAnsi="Times New Roman" w:cs="Times New Roman"/>
        </w:rPr>
        <w:t xml:space="preserve"> and will </w:t>
      </w:r>
      <w:r w:rsidR="008E210F">
        <w:rPr>
          <w:rFonts w:ascii="Times New Roman" w:hAnsi="Times New Roman" w:cs="Times New Roman"/>
        </w:rPr>
        <w:t>reduce future</w:t>
      </w:r>
      <w:r w:rsidR="007E3C5E" w:rsidRPr="00A83811">
        <w:rPr>
          <w:rFonts w:ascii="Times New Roman" w:hAnsi="Times New Roman" w:cs="Times New Roman"/>
        </w:rPr>
        <w:t xml:space="preserve"> healthcare costs</w:t>
      </w:r>
      <w:r w:rsidR="00703516" w:rsidRPr="00A83811">
        <w:rPr>
          <w:rFonts w:ascii="Times New Roman" w:hAnsi="Times New Roman" w:cs="Times New Roman"/>
        </w:rPr>
        <w:t xml:space="preserve">; but this does not </w:t>
      </w:r>
      <w:r w:rsidR="007E3C5E" w:rsidRPr="00A83811">
        <w:rPr>
          <w:rFonts w:ascii="Times New Roman" w:hAnsi="Times New Roman" w:cs="Times New Roman"/>
        </w:rPr>
        <w:t>mean</w:t>
      </w:r>
      <w:r w:rsidR="00703516" w:rsidRPr="00A83811">
        <w:rPr>
          <w:rFonts w:ascii="Times New Roman" w:hAnsi="Times New Roman" w:cs="Times New Roman"/>
        </w:rPr>
        <w:t xml:space="preserve"> anyone can </w:t>
      </w:r>
      <w:r w:rsidR="007E3C5E" w:rsidRPr="00A83811">
        <w:rPr>
          <w:rFonts w:ascii="Times New Roman" w:hAnsi="Times New Roman" w:cs="Times New Roman"/>
        </w:rPr>
        <w:t xml:space="preserve">legitimately </w:t>
      </w:r>
      <w:r w:rsidR="00703516" w:rsidRPr="00A83811">
        <w:rPr>
          <w:rFonts w:ascii="Times New Roman" w:hAnsi="Times New Roman" w:cs="Times New Roman"/>
          <w:i/>
          <w:iCs/>
        </w:rPr>
        <w:t xml:space="preserve">force </w:t>
      </w:r>
      <w:r w:rsidR="00703516" w:rsidRPr="00A83811">
        <w:rPr>
          <w:rFonts w:ascii="Times New Roman" w:hAnsi="Times New Roman" w:cs="Times New Roman"/>
        </w:rPr>
        <w:t xml:space="preserve">them to do so. </w:t>
      </w:r>
      <w:r w:rsidR="008E210F">
        <w:rPr>
          <w:rFonts w:ascii="Times New Roman" w:hAnsi="Times New Roman" w:cs="Times New Roman"/>
        </w:rPr>
        <w:t>Importantly, t</w:t>
      </w:r>
      <w:r w:rsidR="00703516" w:rsidRPr="00A83811">
        <w:rPr>
          <w:rFonts w:ascii="Times New Roman" w:hAnsi="Times New Roman" w:cs="Times New Roman"/>
        </w:rPr>
        <w:t xml:space="preserve">he obligation to be informed </w:t>
      </w:r>
      <w:r w:rsidR="008E210F">
        <w:rPr>
          <w:rFonts w:ascii="Times New Roman" w:hAnsi="Times New Roman" w:cs="Times New Roman"/>
        </w:rPr>
        <w:t>does not depend on your being in this position</w:t>
      </w:r>
      <w:r w:rsidR="00703516" w:rsidRPr="00A83811">
        <w:rPr>
          <w:rFonts w:ascii="Times New Roman" w:hAnsi="Times New Roman" w:cs="Times New Roman"/>
        </w:rPr>
        <w:t xml:space="preserve">. </w:t>
      </w:r>
      <w:r w:rsidR="008E210F">
        <w:rPr>
          <w:rFonts w:ascii="Times New Roman" w:hAnsi="Times New Roman" w:cs="Times New Roman"/>
        </w:rPr>
        <w:t xml:space="preserve">If you face a reasonable chance of having a specific obligation, but do not know for sure, you ought to acquire the information needed to find out whether you are in an obligation-generating position. </w:t>
      </w:r>
      <w:r w:rsidR="005002F2" w:rsidRPr="00A83811">
        <w:rPr>
          <w:rFonts w:ascii="Times New Roman" w:hAnsi="Times New Roman" w:cs="Times New Roman"/>
        </w:rPr>
        <w:t xml:space="preserve">Berkman </w:t>
      </w:r>
      <w:r w:rsidR="008E210F">
        <w:rPr>
          <w:rFonts w:ascii="Times New Roman" w:hAnsi="Times New Roman" w:cs="Times New Roman"/>
        </w:rPr>
        <w:t xml:space="preserve">also </w:t>
      </w:r>
      <w:r w:rsidR="005002F2" w:rsidRPr="00A83811">
        <w:rPr>
          <w:rFonts w:ascii="Times New Roman" w:hAnsi="Times New Roman" w:cs="Times New Roman"/>
        </w:rPr>
        <w:t>notes</w:t>
      </w:r>
      <w:r w:rsidR="00217C69" w:rsidRPr="00A83811">
        <w:rPr>
          <w:rFonts w:ascii="Times New Roman" w:hAnsi="Times New Roman" w:cs="Times New Roman"/>
        </w:rPr>
        <w:t xml:space="preserve"> </w:t>
      </w:r>
      <w:r w:rsidR="008E210F">
        <w:rPr>
          <w:rFonts w:ascii="Times New Roman" w:hAnsi="Times New Roman" w:cs="Times New Roman"/>
        </w:rPr>
        <w:t xml:space="preserve">that my argument </w:t>
      </w:r>
      <w:r w:rsidR="005002F2" w:rsidRPr="00A83811">
        <w:rPr>
          <w:rFonts w:ascii="Times New Roman" w:hAnsi="Times New Roman" w:cs="Times New Roman"/>
        </w:rPr>
        <w:t xml:space="preserve">does not </w:t>
      </w:r>
      <w:r w:rsidR="008E210F">
        <w:rPr>
          <w:rFonts w:ascii="Times New Roman" w:hAnsi="Times New Roman" w:cs="Times New Roman"/>
        </w:rPr>
        <w:t>consider</w:t>
      </w:r>
      <w:r w:rsidR="005002F2" w:rsidRPr="00A83811">
        <w:rPr>
          <w:rFonts w:ascii="Times New Roman" w:hAnsi="Times New Roman" w:cs="Times New Roman"/>
        </w:rPr>
        <w:t xml:space="preserve"> whether </w:t>
      </w:r>
      <w:r w:rsidR="008E210F">
        <w:rPr>
          <w:rFonts w:ascii="Times New Roman" w:hAnsi="Times New Roman" w:cs="Times New Roman"/>
        </w:rPr>
        <w:t>the RNTK depends on explicit</w:t>
      </w:r>
      <w:r w:rsidR="005002F2" w:rsidRPr="00A83811">
        <w:rPr>
          <w:rFonts w:ascii="Times New Roman" w:hAnsi="Times New Roman" w:cs="Times New Roman"/>
        </w:rPr>
        <w:t xml:space="preserve"> patient</w:t>
      </w:r>
      <w:r w:rsidR="008E210F">
        <w:rPr>
          <w:rFonts w:ascii="Times New Roman" w:hAnsi="Times New Roman" w:cs="Times New Roman"/>
        </w:rPr>
        <w:t xml:space="preserve"> requests</w:t>
      </w:r>
      <w:r w:rsidR="005002F2" w:rsidRPr="00A83811">
        <w:rPr>
          <w:rFonts w:ascii="Times New Roman" w:hAnsi="Times New Roman" w:cs="Times New Roman"/>
        </w:rPr>
        <w:t xml:space="preserve">, or whether </w:t>
      </w:r>
      <w:r w:rsidR="008E210F">
        <w:rPr>
          <w:rFonts w:ascii="Times New Roman" w:hAnsi="Times New Roman" w:cs="Times New Roman"/>
        </w:rPr>
        <w:t>physicians</w:t>
      </w:r>
      <w:r w:rsidR="005002F2" w:rsidRPr="00A83811">
        <w:rPr>
          <w:rFonts w:ascii="Times New Roman" w:hAnsi="Times New Roman" w:cs="Times New Roman"/>
        </w:rPr>
        <w:t xml:space="preserve"> </w:t>
      </w:r>
      <w:r w:rsidR="008E210F">
        <w:rPr>
          <w:rFonts w:ascii="Times New Roman" w:hAnsi="Times New Roman" w:cs="Times New Roman"/>
        </w:rPr>
        <w:t>should</w:t>
      </w:r>
      <w:r w:rsidR="005002F2" w:rsidRPr="00A83811">
        <w:rPr>
          <w:rFonts w:ascii="Times New Roman" w:hAnsi="Times New Roman" w:cs="Times New Roman"/>
        </w:rPr>
        <w:t xml:space="preserve"> solicit patients’ consent before conveying information. </w:t>
      </w:r>
      <w:r w:rsidR="008E210F">
        <w:rPr>
          <w:rFonts w:ascii="Times New Roman" w:hAnsi="Times New Roman" w:cs="Times New Roman"/>
        </w:rPr>
        <w:t>Where possible,</w:t>
      </w:r>
      <w:r w:rsidR="005002F2" w:rsidRPr="00A83811">
        <w:rPr>
          <w:rFonts w:ascii="Times New Roman" w:hAnsi="Times New Roman" w:cs="Times New Roman"/>
        </w:rPr>
        <w:t xml:space="preserve"> patients should be offered the opportunity to refuse information</w:t>
      </w:r>
      <w:r w:rsidR="008E210F">
        <w:rPr>
          <w:rFonts w:ascii="Times New Roman" w:hAnsi="Times New Roman" w:cs="Times New Roman"/>
        </w:rPr>
        <w:t>.</w:t>
      </w:r>
      <w:r w:rsidR="005002F2" w:rsidRPr="00A83811">
        <w:rPr>
          <w:rFonts w:ascii="Times New Roman" w:hAnsi="Times New Roman" w:cs="Times New Roman"/>
        </w:rPr>
        <w:t xml:space="preserve"> </w:t>
      </w:r>
      <w:r w:rsidR="008E210F">
        <w:rPr>
          <w:rFonts w:ascii="Times New Roman" w:hAnsi="Times New Roman" w:cs="Times New Roman"/>
        </w:rPr>
        <w:t>B</w:t>
      </w:r>
      <w:r w:rsidR="005002F2" w:rsidRPr="00A83811">
        <w:rPr>
          <w:rFonts w:ascii="Times New Roman" w:hAnsi="Times New Roman" w:cs="Times New Roman"/>
        </w:rPr>
        <w:t xml:space="preserve">ut there are pragmatic limits; for instance, if an unexpected ailment is suspected, it is not possible to elicit patient preferences without giving them novel information. </w:t>
      </w:r>
    </w:p>
    <w:p w14:paraId="38115898" w14:textId="076C3C01" w:rsidR="004042CB" w:rsidRPr="00A83811" w:rsidRDefault="004042CB" w:rsidP="00703516">
      <w:pPr>
        <w:spacing w:after="240"/>
        <w:jc w:val="both"/>
        <w:rPr>
          <w:rFonts w:ascii="Times New Roman" w:hAnsi="Times New Roman" w:cs="Times New Roman"/>
          <w:i/>
          <w:iCs/>
        </w:rPr>
      </w:pPr>
      <w:r w:rsidRPr="00A83811">
        <w:rPr>
          <w:rFonts w:ascii="Times New Roman" w:hAnsi="Times New Roman" w:cs="Times New Roman"/>
        </w:rPr>
        <w:t>Aisha</w:t>
      </w:r>
      <w:r w:rsidR="00C87F57" w:rsidRPr="00A83811">
        <w:rPr>
          <w:rFonts w:ascii="Times New Roman" w:hAnsi="Times New Roman" w:cs="Times New Roman"/>
        </w:rPr>
        <w:t xml:space="preserve"> </w:t>
      </w:r>
      <w:proofErr w:type="spellStart"/>
      <w:r w:rsidR="00C87F57" w:rsidRPr="00A83811">
        <w:rPr>
          <w:rFonts w:ascii="Times New Roman" w:hAnsi="Times New Roman" w:cs="Times New Roman"/>
        </w:rPr>
        <w:t>Deslandes</w:t>
      </w:r>
      <w:proofErr w:type="spellEnd"/>
      <w:r w:rsidR="009864D5">
        <w:rPr>
          <w:rFonts w:ascii="Times New Roman" w:hAnsi="Times New Roman" w:cs="Times New Roman"/>
        </w:rPr>
        <w:t xml:space="preserve"> [2]</w:t>
      </w:r>
      <w:r w:rsidR="00C87F57" w:rsidRPr="00A83811">
        <w:rPr>
          <w:rFonts w:ascii="Times New Roman" w:hAnsi="Times New Roman" w:cs="Times New Roman"/>
        </w:rPr>
        <w:t xml:space="preserve"> </w:t>
      </w:r>
      <w:r w:rsidR="002557CA">
        <w:rPr>
          <w:rFonts w:ascii="Times New Roman" w:hAnsi="Times New Roman" w:cs="Times New Roman"/>
        </w:rPr>
        <w:t>thinks</w:t>
      </w:r>
      <w:r w:rsidR="00C87F57" w:rsidRPr="00A83811">
        <w:rPr>
          <w:rFonts w:ascii="Times New Roman" w:hAnsi="Times New Roman" w:cs="Times New Roman"/>
        </w:rPr>
        <w:t xml:space="preserve"> the RNTK risks involving patients in the </w:t>
      </w:r>
      <w:proofErr w:type="spellStart"/>
      <w:r w:rsidR="00C87F57" w:rsidRPr="00A83811">
        <w:rPr>
          <w:rFonts w:ascii="Times New Roman" w:hAnsi="Times New Roman" w:cs="Times New Roman"/>
        </w:rPr>
        <w:t>Sartrean</w:t>
      </w:r>
      <w:proofErr w:type="spellEnd"/>
      <w:r w:rsidR="00C87F57" w:rsidRPr="00A83811">
        <w:rPr>
          <w:rFonts w:ascii="Times New Roman" w:hAnsi="Times New Roman" w:cs="Times New Roman"/>
        </w:rPr>
        <w:t xml:space="preserve"> idea of ‘bad faith’, offering the illusion of autonomy while forfeiting </w:t>
      </w:r>
      <w:r w:rsidR="002557CA">
        <w:rPr>
          <w:rFonts w:ascii="Times New Roman" w:hAnsi="Times New Roman" w:cs="Times New Roman"/>
        </w:rPr>
        <w:t>genuine</w:t>
      </w:r>
      <w:r w:rsidR="00C87F57" w:rsidRPr="00A83811">
        <w:rPr>
          <w:rFonts w:ascii="Times New Roman" w:hAnsi="Times New Roman" w:cs="Times New Roman"/>
        </w:rPr>
        <w:t xml:space="preserve"> freedom.</w:t>
      </w:r>
      <w:r w:rsidRPr="00A83811">
        <w:rPr>
          <w:rFonts w:ascii="Times New Roman" w:hAnsi="Times New Roman" w:cs="Times New Roman"/>
        </w:rPr>
        <w:t xml:space="preserve"> </w:t>
      </w:r>
      <w:r w:rsidR="002557CA">
        <w:rPr>
          <w:rFonts w:ascii="Times New Roman" w:hAnsi="Times New Roman" w:cs="Times New Roman"/>
        </w:rPr>
        <w:t xml:space="preserve">On </w:t>
      </w:r>
      <w:proofErr w:type="spellStart"/>
      <w:r w:rsidRPr="00A83811">
        <w:rPr>
          <w:rFonts w:ascii="Times New Roman" w:hAnsi="Times New Roman" w:cs="Times New Roman"/>
        </w:rPr>
        <w:t>Deslandes</w:t>
      </w:r>
      <w:proofErr w:type="spellEnd"/>
      <w:r w:rsidRPr="00A83811">
        <w:rPr>
          <w:rFonts w:ascii="Times New Roman" w:hAnsi="Times New Roman" w:cs="Times New Roman"/>
        </w:rPr>
        <w:t xml:space="preserve">’ view refusing relevant information involves denying our </w:t>
      </w:r>
      <w:r w:rsidR="002557CA">
        <w:rPr>
          <w:rFonts w:ascii="Times New Roman" w:hAnsi="Times New Roman" w:cs="Times New Roman"/>
        </w:rPr>
        <w:t>“</w:t>
      </w:r>
      <w:r w:rsidRPr="00A83811">
        <w:rPr>
          <w:rFonts w:ascii="Times New Roman" w:hAnsi="Times New Roman" w:cs="Times New Roman"/>
        </w:rPr>
        <w:t>subjective freedom</w:t>
      </w:r>
      <w:r w:rsidR="002557CA">
        <w:rPr>
          <w:rFonts w:ascii="Times New Roman" w:hAnsi="Times New Roman" w:cs="Times New Roman"/>
        </w:rPr>
        <w:t>”</w:t>
      </w:r>
      <w:r w:rsidRPr="00A83811">
        <w:rPr>
          <w:rFonts w:ascii="Times New Roman" w:hAnsi="Times New Roman" w:cs="Times New Roman"/>
        </w:rPr>
        <w:t>, which is akin to acting as if we were a “lifeless object”</w:t>
      </w:r>
      <w:r w:rsidR="00AE5441">
        <w:rPr>
          <w:rFonts w:ascii="Times New Roman" w:hAnsi="Times New Roman" w:cs="Times New Roman"/>
        </w:rPr>
        <w:t xml:space="preserve"> (p.2)</w:t>
      </w:r>
      <w:r w:rsidR="002557CA">
        <w:rPr>
          <w:rFonts w:ascii="Times New Roman" w:hAnsi="Times New Roman" w:cs="Times New Roman"/>
        </w:rPr>
        <w:t>, not an agent</w:t>
      </w:r>
      <w:r w:rsidRPr="00A83811">
        <w:rPr>
          <w:rFonts w:ascii="Times New Roman" w:hAnsi="Times New Roman" w:cs="Times New Roman"/>
        </w:rPr>
        <w:t>. This worry</w:t>
      </w:r>
      <w:r w:rsidR="005323E9" w:rsidRPr="00A83811">
        <w:rPr>
          <w:rFonts w:ascii="Times New Roman" w:hAnsi="Times New Roman" w:cs="Times New Roman"/>
        </w:rPr>
        <w:t xml:space="preserve"> is significantly</w:t>
      </w:r>
      <w:r w:rsidRPr="00A83811">
        <w:rPr>
          <w:rFonts w:ascii="Times New Roman" w:hAnsi="Times New Roman" w:cs="Times New Roman"/>
        </w:rPr>
        <w:t xml:space="preserve"> overstated. An individual can engage her practical agency in a wide range of ways while refus</w:t>
      </w:r>
      <w:r w:rsidR="002557CA">
        <w:rPr>
          <w:rFonts w:ascii="Times New Roman" w:hAnsi="Times New Roman" w:cs="Times New Roman"/>
        </w:rPr>
        <w:t>ing</w:t>
      </w:r>
      <w:r w:rsidRPr="00A83811">
        <w:rPr>
          <w:rFonts w:ascii="Times New Roman" w:hAnsi="Times New Roman" w:cs="Times New Roman"/>
        </w:rPr>
        <w:t xml:space="preserve"> medical information.</w:t>
      </w:r>
      <w:r w:rsidR="005323E9" w:rsidRPr="00A83811">
        <w:rPr>
          <w:rFonts w:ascii="Times New Roman" w:hAnsi="Times New Roman" w:cs="Times New Roman"/>
        </w:rPr>
        <w:t xml:space="preserve"> Even if partial ignorance means a partial compromise of our </w:t>
      </w:r>
      <w:r w:rsidR="002557CA">
        <w:rPr>
          <w:rFonts w:ascii="Times New Roman" w:hAnsi="Times New Roman" w:cs="Times New Roman"/>
        </w:rPr>
        <w:t>agency</w:t>
      </w:r>
      <w:r w:rsidR="005323E9" w:rsidRPr="00A83811">
        <w:rPr>
          <w:rFonts w:ascii="Times New Roman" w:hAnsi="Times New Roman" w:cs="Times New Roman"/>
        </w:rPr>
        <w:t xml:space="preserve">, the idea that </w:t>
      </w:r>
      <w:r w:rsidR="005323E9" w:rsidRPr="00A83811">
        <w:rPr>
          <w:rFonts w:ascii="Times New Roman" w:hAnsi="Times New Roman" w:cs="Times New Roman"/>
          <w:i/>
          <w:iCs/>
        </w:rPr>
        <w:t xml:space="preserve">any </w:t>
      </w:r>
      <w:r w:rsidR="005323E9" w:rsidRPr="00A83811">
        <w:rPr>
          <w:rFonts w:ascii="Times New Roman" w:hAnsi="Times New Roman" w:cs="Times New Roman"/>
        </w:rPr>
        <w:t xml:space="preserve">refusal to embrace self-knowledge involves such a total objectification of ourselves </w:t>
      </w:r>
      <w:r w:rsidR="002557CA">
        <w:rPr>
          <w:rFonts w:ascii="Times New Roman" w:hAnsi="Times New Roman" w:cs="Times New Roman"/>
        </w:rPr>
        <w:t>is</w:t>
      </w:r>
      <w:r w:rsidR="005323E9" w:rsidRPr="00A83811">
        <w:rPr>
          <w:rFonts w:ascii="Times New Roman" w:hAnsi="Times New Roman" w:cs="Times New Roman"/>
        </w:rPr>
        <w:t xml:space="preserve"> unjustified. </w:t>
      </w:r>
      <w:r w:rsidR="002557CA">
        <w:rPr>
          <w:rFonts w:ascii="Times New Roman" w:hAnsi="Times New Roman" w:cs="Times New Roman"/>
        </w:rPr>
        <w:t>Moreover</w:t>
      </w:r>
      <w:r w:rsidR="005323E9" w:rsidRPr="00A83811">
        <w:rPr>
          <w:rFonts w:ascii="Times New Roman" w:hAnsi="Times New Roman" w:cs="Times New Roman"/>
        </w:rPr>
        <w:t xml:space="preserve">, it is not clear that this really affects my argument. </w:t>
      </w:r>
      <w:proofErr w:type="spellStart"/>
      <w:r w:rsidR="005323E9" w:rsidRPr="00A83811">
        <w:rPr>
          <w:rFonts w:ascii="Times New Roman" w:hAnsi="Times New Roman" w:cs="Times New Roman"/>
        </w:rPr>
        <w:t>Deslandes</w:t>
      </w:r>
      <w:proofErr w:type="spellEnd"/>
      <w:r w:rsidR="005323E9" w:rsidRPr="00A83811">
        <w:rPr>
          <w:rFonts w:ascii="Times New Roman" w:hAnsi="Times New Roman" w:cs="Times New Roman"/>
        </w:rPr>
        <w:t xml:space="preserve"> </w:t>
      </w:r>
      <w:r w:rsidR="002557CA">
        <w:rPr>
          <w:rFonts w:ascii="Times New Roman" w:hAnsi="Times New Roman" w:cs="Times New Roman"/>
        </w:rPr>
        <w:t>proposes an</w:t>
      </w:r>
      <w:r w:rsidR="005323E9" w:rsidRPr="00A83811">
        <w:rPr>
          <w:rFonts w:ascii="Times New Roman" w:hAnsi="Times New Roman" w:cs="Times New Roman"/>
        </w:rPr>
        <w:t xml:space="preserve"> ‘existential’ duty </w:t>
      </w:r>
      <w:r w:rsidR="002557CA">
        <w:rPr>
          <w:rFonts w:ascii="Times New Roman" w:hAnsi="Times New Roman" w:cs="Times New Roman"/>
        </w:rPr>
        <w:t>to confront knowledge</w:t>
      </w:r>
      <w:r w:rsidR="005323E9" w:rsidRPr="00A83811">
        <w:rPr>
          <w:rFonts w:ascii="Times New Roman" w:hAnsi="Times New Roman" w:cs="Times New Roman"/>
        </w:rPr>
        <w:t xml:space="preserve">; but </w:t>
      </w:r>
      <w:r w:rsidR="002557CA">
        <w:rPr>
          <w:rFonts w:ascii="Times New Roman" w:hAnsi="Times New Roman" w:cs="Times New Roman"/>
        </w:rPr>
        <w:t>unless</w:t>
      </w:r>
      <w:r w:rsidR="005323E9" w:rsidRPr="00A83811">
        <w:rPr>
          <w:rFonts w:ascii="Times New Roman" w:hAnsi="Times New Roman" w:cs="Times New Roman"/>
        </w:rPr>
        <w:t xml:space="preserve"> others can legitimately </w:t>
      </w:r>
      <w:r w:rsidR="005323E9" w:rsidRPr="00A83811">
        <w:rPr>
          <w:rFonts w:ascii="Times New Roman" w:hAnsi="Times New Roman" w:cs="Times New Roman"/>
          <w:i/>
          <w:iCs/>
        </w:rPr>
        <w:t xml:space="preserve">force </w:t>
      </w:r>
      <w:r w:rsidR="005323E9" w:rsidRPr="00A83811">
        <w:rPr>
          <w:rFonts w:ascii="Times New Roman" w:hAnsi="Times New Roman" w:cs="Times New Roman"/>
        </w:rPr>
        <w:t xml:space="preserve">us to obey this duty – </w:t>
      </w:r>
      <w:r w:rsidR="002557CA">
        <w:rPr>
          <w:rFonts w:ascii="Times New Roman" w:hAnsi="Times New Roman" w:cs="Times New Roman"/>
        </w:rPr>
        <w:t>which seems</w:t>
      </w:r>
      <w:r w:rsidR="005323E9" w:rsidRPr="00A83811">
        <w:rPr>
          <w:rFonts w:ascii="Times New Roman" w:hAnsi="Times New Roman" w:cs="Times New Roman"/>
        </w:rPr>
        <w:t xml:space="preserve"> inconsistent with </w:t>
      </w:r>
      <w:r w:rsidR="002557CA">
        <w:rPr>
          <w:rFonts w:ascii="Times New Roman" w:hAnsi="Times New Roman" w:cs="Times New Roman"/>
        </w:rPr>
        <w:t>a</w:t>
      </w:r>
      <w:r w:rsidR="005323E9" w:rsidRPr="00A83811">
        <w:rPr>
          <w:rFonts w:ascii="Times New Roman" w:hAnsi="Times New Roman" w:cs="Times New Roman"/>
        </w:rPr>
        <w:t xml:space="preserve"> </w:t>
      </w:r>
      <w:proofErr w:type="spellStart"/>
      <w:r w:rsidR="005323E9" w:rsidRPr="00A83811">
        <w:rPr>
          <w:rFonts w:ascii="Times New Roman" w:hAnsi="Times New Roman" w:cs="Times New Roman"/>
        </w:rPr>
        <w:t>Sartrean</w:t>
      </w:r>
      <w:proofErr w:type="spellEnd"/>
      <w:r w:rsidR="005323E9" w:rsidRPr="00A83811">
        <w:rPr>
          <w:rFonts w:ascii="Times New Roman" w:hAnsi="Times New Roman" w:cs="Times New Roman"/>
        </w:rPr>
        <w:t xml:space="preserve"> view – this does not </w:t>
      </w:r>
      <w:r w:rsidR="002557CA">
        <w:rPr>
          <w:rFonts w:ascii="Times New Roman" w:hAnsi="Times New Roman" w:cs="Times New Roman"/>
        </w:rPr>
        <w:t xml:space="preserve">undermine the </w:t>
      </w:r>
      <w:r w:rsidR="005323E9" w:rsidRPr="00A83811">
        <w:rPr>
          <w:rFonts w:ascii="Times New Roman" w:hAnsi="Times New Roman" w:cs="Times New Roman"/>
        </w:rPr>
        <w:t xml:space="preserve">institutional </w:t>
      </w:r>
      <w:r w:rsidR="002557CA">
        <w:rPr>
          <w:rFonts w:ascii="Times New Roman" w:hAnsi="Times New Roman" w:cs="Times New Roman"/>
        </w:rPr>
        <w:t>right</w:t>
      </w:r>
      <w:r w:rsidR="005323E9" w:rsidRPr="00A83811">
        <w:rPr>
          <w:rFonts w:ascii="Times New Roman" w:hAnsi="Times New Roman" w:cs="Times New Roman"/>
        </w:rPr>
        <w:t xml:space="preserve"> I propose. </w:t>
      </w:r>
    </w:p>
    <w:p w14:paraId="3E4BD2D2" w14:textId="0A4B65BF" w:rsidR="00217C69" w:rsidRPr="00A83811" w:rsidRDefault="00131835" w:rsidP="00E24723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n-GB"/>
        </w:rPr>
      </w:pPr>
      <w:r w:rsidRPr="00A83811">
        <w:rPr>
          <w:rFonts w:ascii="Times New Roman" w:hAnsi="Times New Roman" w:cs="Times New Roman"/>
        </w:rPr>
        <w:t>Lisa Dive and Ainsley Newson</w:t>
      </w:r>
      <w:r w:rsidR="009864D5">
        <w:rPr>
          <w:rFonts w:ascii="Times New Roman" w:hAnsi="Times New Roman" w:cs="Times New Roman"/>
        </w:rPr>
        <w:t xml:space="preserve"> [3] </w:t>
      </w:r>
      <w:r w:rsidR="007A21D9">
        <w:rPr>
          <w:rFonts w:ascii="Times New Roman" w:hAnsi="Times New Roman" w:cs="Times New Roman"/>
        </w:rPr>
        <w:t xml:space="preserve">think I </w:t>
      </w:r>
      <w:r w:rsidR="00703516" w:rsidRPr="00A83811">
        <w:rPr>
          <w:rFonts w:ascii="Times New Roman" w:hAnsi="Times New Roman" w:cs="Times New Roman"/>
        </w:rPr>
        <w:t xml:space="preserve">presume </w:t>
      </w:r>
      <w:r w:rsidR="002557CA">
        <w:rPr>
          <w:rFonts w:ascii="Times New Roman" w:hAnsi="Times New Roman" w:cs="Times New Roman"/>
        </w:rPr>
        <w:t>an undefended liberalism</w:t>
      </w:r>
      <w:r w:rsidR="007A21D9">
        <w:rPr>
          <w:rFonts w:ascii="Times New Roman" w:hAnsi="Times New Roman" w:cs="Times New Roman"/>
        </w:rPr>
        <w:t>, and that</w:t>
      </w:r>
      <w:r w:rsidR="00217C69" w:rsidRPr="00A83811">
        <w:rPr>
          <w:rFonts w:ascii="Times New Roman" w:hAnsi="Times New Roman" w:cs="Times New Roman"/>
        </w:rPr>
        <w:t xml:space="preserve"> without such a perspective, “</w:t>
      </w:r>
      <w:r w:rsidR="00217C69" w:rsidRPr="00A83811">
        <w:rPr>
          <w:rFonts w:ascii="Times New Roman" w:hAnsi="Times New Roman" w:cs="Times New Roman"/>
          <w:lang w:val="en-GB"/>
        </w:rPr>
        <w:t xml:space="preserve">competing moral factors can be traded off against each other based on their merits, or the extent to which they contribute to a desirable end”. My most explicit invocation of liberalism is to say that </w:t>
      </w:r>
      <w:r w:rsidR="00217C69" w:rsidRPr="00A83811">
        <w:rPr>
          <w:rFonts w:ascii="Times New Roman" w:hAnsi="Times New Roman" w:cs="Times New Roman"/>
          <w:i/>
          <w:iCs/>
          <w:lang w:val="en-GB"/>
        </w:rPr>
        <w:t xml:space="preserve">even with </w:t>
      </w:r>
      <w:r w:rsidR="00217C69" w:rsidRPr="00A83811">
        <w:rPr>
          <w:rFonts w:ascii="Times New Roman" w:hAnsi="Times New Roman" w:cs="Times New Roman"/>
          <w:lang w:val="en-GB"/>
        </w:rPr>
        <w:t xml:space="preserve">a pluralistic liberal outlook, I believe that such an obligation is justified. </w:t>
      </w:r>
      <w:r w:rsidR="00E24723" w:rsidRPr="00A83811">
        <w:rPr>
          <w:rFonts w:ascii="Times New Roman" w:hAnsi="Times New Roman" w:cs="Times New Roman"/>
          <w:lang w:val="en-GB"/>
        </w:rPr>
        <w:t>But I am happy to go further: it is one thing to promote trading off moral factors by their contribution to a “desirable end”. But a liberal perspective will insist</w:t>
      </w:r>
      <w:r w:rsidR="002557CA">
        <w:rPr>
          <w:rFonts w:ascii="Times New Roman" w:hAnsi="Times New Roman" w:cs="Times New Roman"/>
          <w:lang w:val="en-GB"/>
        </w:rPr>
        <w:t>, rightly in my view,</w:t>
      </w:r>
      <w:r w:rsidR="00E24723" w:rsidRPr="00A83811">
        <w:rPr>
          <w:rFonts w:ascii="Times New Roman" w:hAnsi="Times New Roman" w:cs="Times New Roman"/>
          <w:lang w:val="en-GB"/>
        </w:rPr>
        <w:t xml:space="preserve"> that it is the</w:t>
      </w:r>
      <w:r w:rsidR="00E24723" w:rsidRPr="00A83811">
        <w:rPr>
          <w:rFonts w:ascii="Times New Roman" w:hAnsi="Times New Roman" w:cs="Times New Roman"/>
        </w:rPr>
        <w:t xml:space="preserve"> individual who must decide </w:t>
      </w:r>
      <w:r w:rsidR="00E24723" w:rsidRPr="002557CA">
        <w:rPr>
          <w:rFonts w:ascii="Times New Roman" w:hAnsi="Times New Roman" w:cs="Times New Roman"/>
          <w:i/>
          <w:iCs/>
        </w:rPr>
        <w:t>which</w:t>
      </w:r>
      <w:r w:rsidR="00E24723" w:rsidRPr="00A83811">
        <w:rPr>
          <w:rFonts w:ascii="Times New Roman" w:hAnsi="Times New Roman" w:cs="Times New Roman"/>
        </w:rPr>
        <w:t xml:space="preserve"> ends are desirable. </w:t>
      </w:r>
      <w:r w:rsidR="00217C69" w:rsidRPr="00A83811">
        <w:rPr>
          <w:rFonts w:ascii="Times New Roman" w:hAnsi="Times New Roman" w:cs="Times New Roman"/>
          <w:lang w:val="en-GB"/>
        </w:rPr>
        <w:t>It is also unclear why liberal</w:t>
      </w:r>
      <w:r w:rsidR="00E24723" w:rsidRPr="00A83811">
        <w:rPr>
          <w:rFonts w:ascii="Times New Roman" w:hAnsi="Times New Roman" w:cs="Times New Roman"/>
          <w:lang w:val="en-GB"/>
        </w:rPr>
        <w:t>s</w:t>
      </w:r>
      <w:r w:rsidR="00217C69" w:rsidRPr="00A83811">
        <w:rPr>
          <w:rFonts w:ascii="Times New Roman" w:hAnsi="Times New Roman" w:cs="Times New Roman"/>
          <w:lang w:val="en-GB"/>
        </w:rPr>
        <w:t xml:space="preserve"> cannot trade competing moral factors “on their merits”</w:t>
      </w:r>
      <w:r w:rsidR="00E24723" w:rsidRPr="00A83811">
        <w:rPr>
          <w:rFonts w:ascii="Times New Roman" w:hAnsi="Times New Roman" w:cs="Times New Roman"/>
          <w:lang w:val="en-GB"/>
        </w:rPr>
        <w:t xml:space="preserve">. </w:t>
      </w:r>
      <w:r w:rsidR="002557CA">
        <w:rPr>
          <w:rFonts w:ascii="Times New Roman" w:hAnsi="Times New Roman" w:cs="Times New Roman"/>
          <w:lang w:val="en-GB"/>
        </w:rPr>
        <w:t>The paper’s</w:t>
      </w:r>
      <w:r w:rsidR="00E24723" w:rsidRPr="00A83811">
        <w:rPr>
          <w:rFonts w:ascii="Times New Roman" w:hAnsi="Times New Roman" w:cs="Times New Roman"/>
          <w:lang w:val="en-GB"/>
        </w:rPr>
        <w:t xml:space="preserve"> definition of rights as non-absolute allows for this. But it does not mean that we should treat the RNTK as a mere preference. Dive and Newson suggest that I shift </w:t>
      </w:r>
      <w:r w:rsidR="002557CA">
        <w:rPr>
          <w:rFonts w:ascii="Times New Roman" w:hAnsi="Times New Roman" w:cs="Times New Roman"/>
          <w:lang w:val="en-GB"/>
        </w:rPr>
        <w:t xml:space="preserve">midway through my argument </w:t>
      </w:r>
      <w:r w:rsidR="00E24723" w:rsidRPr="00A83811">
        <w:rPr>
          <w:rFonts w:ascii="Times New Roman" w:hAnsi="Times New Roman" w:cs="Times New Roman"/>
          <w:lang w:val="en-GB"/>
        </w:rPr>
        <w:t xml:space="preserve">from discussing rights to discussing </w:t>
      </w:r>
      <w:r w:rsidR="00E24723" w:rsidRPr="00A83811">
        <w:rPr>
          <w:rFonts w:ascii="Times New Roman" w:hAnsi="Times New Roman" w:cs="Times New Roman"/>
          <w:lang w:val="en-GB"/>
        </w:rPr>
        <w:lastRenderedPageBreak/>
        <w:t>preferences, e.g. in characterising the institutional RNTK as “a claim on health professionals</w:t>
      </w:r>
      <w:r w:rsidR="002557CA">
        <w:rPr>
          <w:rFonts w:ascii="Times New Roman" w:hAnsi="Times New Roman" w:cs="Times New Roman"/>
          <w:lang w:val="en-GB"/>
        </w:rPr>
        <w:t>…</w:t>
      </w:r>
      <w:r w:rsidR="00E24723" w:rsidRPr="00A83811">
        <w:rPr>
          <w:rFonts w:ascii="Times New Roman" w:hAnsi="Times New Roman" w:cs="Times New Roman"/>
          <w:lang w:val="en-GB"/>
        </w:rPr>
        <w:t>to respect a preference not to receive particular information”</w:t>
      </w:r>
      <w:r w:rsidR="00CF221F">
        <w:rPr>
          <w:rFonts w:ascii="Times New Roman" w:hAnsi="Times New Roman" w:cs="Times New Roman"/>
          <w:lang w:val="en-GB"/>
        </w:rPr>
        <w:t xml:space="preserve">, </w:t>
      </w:r>
      <w:r w:rsidR="00AE5441">
        <w:rPr>
          <w:rFonts w:ascii="Times New Roman" w:hAnsi="Times New Roman" w:cs="Times New Roman"/>
          <w:lang w:val="en-GB"/>
        </w:rPr>
        <w:t xml:space="preserve">(p.3) </w:t>
      </w:r>
      <w:r w:rsidR="00CF221F">
        <w:rPr>
          <w:rFonts w:ascii="Times New Roman" w:hAnsi="Times New Roman" w:cs="Times New Roman"/>
          <w:lang w:val="en-GB"/>
        </w:rPr>
        <w:t>supporting their own view that the RNTK is merely a preference to be weighed against others</w:t>
      </w:r>
      <w:r w:rsidR="00E24723" w:rsidRPr="00A83811">
        <w:rPr>
          <w:rFonts w:ascii="Times New Roman" w:hAnsi="Times New Roman" w:cs="Times New Roman"/>
          <w:lang w:val="en-GB"/>
        </w:rPr>
        <w:t xml:space="preserve">. </w:t>
      </w:r>
      <w:r w:rsidR="002557CA">
        <w:rPr>
          <w:rFonts w:ascii="Times New Roman" w:hAnsi="Times New Roman" w:cs="Times New Roman"/>
          <w:lang w:val="en-GB"/>
        </w:rPr>
        <w:t>However,</w:t>
      </w:r>
      <w:r w:rsidR="00E24723" w:rsidRPr="00A83811">
        <w:rPr>
          <w:rFonts w:ascii="Times New Roman" w:hAnsi="Times New Roman" w:cs="Times New Roman"/>
          <w:lang w:val="en-GB"/>
        </w:rPr>
        <w:t xml:space="preserve"> </w:t>
      </w:r>
      <w:r w:rsidR="00CF221F">
        <w:rPr>
          <w:rFonts w:ascii="Times New Roman" w:hAnsi="Times New Roman" w:cs="Times New Roman"/>
          <w:lang w:val="en-GB"/>
        </w:rPr>
        <w:t>Dive and Newson have misunderstood my meaning</w:t>
      </w:r>
      <w:r w:rsidR="00E24723" w:rsidRPr="00A83811">
        <w:rPr>
          <w:rFonts w:ascii="Times New Roman" w:hAnsi="Times New Roman" w:cs="Times New Roman"/>
          <w:lang w:val="en-GB"/>
        </w:rPr>
        <w:t xml:space="preserve">: </w:t>
      </w:r>
      <w:r w:rsidR="00CF221F">
        <w:rPr>
          <w:rFonts w:ascii="Times New Roman" w:hAnsi="Times New Roman" w:cs="Times New Roman"/>
          <w:lang w:val="en-GB"/>
        </w:rPr>
        <w:t xml:space="preserve">I do not anywhere characterise the RNTK as a preference. In the quoted excerpt, the word ‘claim’ stands in for right. Patients have claim-rights about their medical information-related preferences that they do not about various other preferences. </w:t>
      </w:r>
    </w:p>
    <w:p w14:paraId="2AA8F985" w14:textId="36A9D53E" w:rsidR="00131835" w:rsidRPr="007A21D9" w:rsidRDefault="00131835" w:rsidP="007A21D9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n-GB"/>
        </w:rPr>
      </w:pPr>
      <w:r w:rsidRPr="00A83811">
        <w:rPr>
          <w:rFonts w:ascii="Times New Roman" w:hAnsi="Times New Roman" w:cs="Times New Roman"/>
        </w:rPr>
        <w:t>John Harris</w:t>
      </w:r>
      <w:r w:rsidR="009864D5">
        <w:rPr>
          <w:rFonts w:ascii="Times New Roman" w:hAnsi="Times New Roman" w:cs="Times New Roman"/>
        </w:rPr>
        <w:t xml:space="preserve"> [4]</w:t>
      </w:r>
      <w:r w:rsidRPr="00A83811">
        <w:rPr>
          <w:rFonts w:ascii="Times New Roman" w:hAnsi="Times New Roman" w:cs="Times New Roman"/>
        </w:rPr>
        <w:t xml:space="preserve"> </w:t>
      </w:r>
      <w:r w:rsidR="00A83811" w:rsidRPr="00A83811">
        <w:rPr>
          <w:rFonts w:ascii="Times New Roman" w:hAnsi="Times New Roman" w:cs="Times New Roman"/>
        </w:rPr>
        <w:t xml:space="preserve">reiterates a common argument against autonomy-based defenses of the RNTK, namely that since information is crucial for rational self-government, we cannot coherently defend ignorance in the name of autonomy. In my view, this claim contains an error parallel to that raised by </w:t>
      </w:r>
      <w:proofErr w:type="spellStart"/>
      <w:r w:rsidR="00A83811" w:rsidRPr="00A83811">
        <w:rPr>
          <w:rFonts w:ascii="Times New Roman" w:hAnsi="Times New Roman" w:cs="Times New Roman"/>
        </w:rPr>
        <w:t>Deslandes</w:t>
      </w:r>
      <w:proofErr w:type="spellEnd"/>
      <w:r w:rsidR="00A83811" w:rsidRPr="00A83811">
        <w:rPr>
          <w:rFonts w:ascii="Times New Roman" w:hAnsi="Times New Roman" w:cs="Times New Roman"/>
        </w:rPr>
        <w:t>. No-one can have perfect control over their life, or perfect information</w:t>
      </w:r>
      <w:r w:rsidR="002557CA">
        <w:rPr>
          <w:rFonts w:ascii="Times New Roman" w:hAnsi="Times New Roman" w:cs="Times New Roman"/>
        </w:rPr>
        <w:t>, and we must often make trade-offs</w:t>
      </w:r>
      <w:r w:rsidR="00A83811" w:rsidRPr="00A83811">
        <w:rPr>
          <w:rFonts w:ascii="Times New Roman" w:hAnsi="Times New Roman" w:cs="Times New Roman"/>
        </w:rPr>
        <w:t xml:space="preserve">. A decision to remain ignorant may reduce my autonomous control </w:t>
      </w:r>
      <w:r w:rsidR="002557CA">
        <w:rPr>
          <w:rFonts w:ascii="Times New Roman" w:hAnsi="Times New Roman" w:cs="Times New Roman"/>
        </w:rPr>
        <w:t>in some respects</w:t>
      </w:r>
      <w:r w:rsidR="00A83811" w:rsidRPr="00A83811">
        <w:rPr>
          <w:rFonts w:ascii="Times New Roman" w:hAnsi="Times New Roman" w:cs="Times New Roman"/>
        </w:rPr>
        <w:t xml:space="preserve"> yet represent an expression of autonomy over </w:t>
      </w:r>
      <w:r w:rsidR="002557CA">
        <w:rPr>
          <w:rFonts w:ascii="Times New Roman" w:hAnsi="Times New Roman" w:cs="Times New Roman"/>
        </w:rPr>
        <w:t>others</w:t>
      </w:r>
      <w:r w:rsidR="00A83811" w:rsidRPr="00A83811">
        <w:rPr>
          <w:rFonts w:ascii="Times New Roman" w:hAnsi="Times New Roman" w:cs="Times New Roman"/>
        </w:rPr>
        <w:t>.</w:t>
      </w:r>
      <w:r w:rsidR="002557CA">
        <w:rPr>
          <w:rFonts w:ascii="Times New Roman" w:hAnsi="Times New Roman" w:cs="Times New Roman"/>
        </w:rPr>
        <w:t xml:space="preserve"> </w:t>
      </w:r>
      <w:r w:rsidR="00A83811" w:rsidRPr="00A83811">
        <w:rPr>
          <w:rFonts w:ascii="Times New Roman" w:hAnsi="Times New Roman" w:cs="Times New Roman"/>
        </w:rPr>
        <w:t xml:space="preserve">Harris also suggests that a </w:t>
      </w:r>
      <w:r w:rsidR="002557CA">
        <w:rPr>
          <w:rFonts w:ascii="Times New Roman" w:hAnsi="Times New Roman" w:cs="Times New Roman"/>
        </w:rPr>
        <w:t>RNTK</w:t>
      </w:r>
      <w:r w:rsidR="00A83811" w:rsidRPr="00A83811">
        <w:rPr>
          <w:rFonts w:ascii="Times New Roman" w:hAnsi="Times New Roman" w:cs="Times New Roman"/>
        </w:rPr>
        <w:t xml:space="preserve"> ignores the fact that “</w:t>
      </w:r>
      <w:r w:rsidR="00A83811" w:rsidRPr="00A83811">
        <w:rPr>
          <w:rFonts w:ascii="Times New Roman" w:hAnsi="Times New Roman" w:cs="Times New Roman"/>
          <w:lang w:val="en-GB"/>
        </w:rPr>
        <w:t>my right to tell the truth…however unwelcome to you, is at least as strong and often stronger than your claim not to hear them.”</w:t>
      </w:r>
      <w:r w:rsidR="00AE5441">
        <w:rPr>
          <w:rFonts w:ascii="Times New Roman" w:hAnsi="Times New Roman" w:cs="Times New Roman"/>
          <w:lang w:val="en-GB"/>
        </w:rPr>
        <w:t xml:space="preserve"> (p.2)</w:t>
      </w:r>
      <w:r w:rsidR="00A83811" w:rsidRPr="00A83811">
        <w:rPr>
          <w:rFonts w:ascii="Times New Roman" w:hAnsi="Times New Roman" w:cs="Times New Roman"/>
          <w:lang w:val="en-GB"/>
        </w:rPr>
        <w:t xml:space="preserve"> As a moral claim, this </w:t>
      </w:r>
      <w:r w:rsidR="007A21D9">
        <w:rPr>
          <w:rFonts w:ascii="Times New Roman" w:hAnsi="Times New Roman" w:cs="Times New Roman"/>
          <w:lang w:val="en-GB"/>
        </w:rPr>
        <w:t xml:space="preserve">relies on the </w:t>
      </w:r>
      <w:r w:rsidR="00A83811" w:rsidRPr="00A83811">
        <w:rPr>
          <w:rFonts w:ascii="Times New Roman" w:hAnsi="Times New Roman" w:cs="Times New Roman"/>
          <w:lang w:val="en-GB"/>
        </w:rPr>
        <w:t xml:space="preserve">ambiguity </w:t>
      </w:r>
      <w:r w:rsidR="007A21D9">
        <w:rPr>
          <w:rFonts w:ascii="Times New Roman" w:hAnsi="Times New Roman" w:cs="Times New Roman"/>
          <w:lang w:val="en-GB"/>
        </w:rPr>
        <w:t>that I highlight in the paper: i</w:t>
      </w:r>
      <w:r w:rsidR="00A83811" w:rsidRPr="00A83811">
        <w:rPr>
          <w:rFonts w:ascii="Times New Roman" w:hAnsi="Times New Roman" w:cs="Times New Roman"/>
          <w:lang w:val="en-GB"/>
        </w:rPr>
        <w:t>t may be true that I have a liberty</w:t>
      </w:r>
      <w:r w:rsidR="00406D9E">
        <w:rPr>
          <w:rFonts w:ascii="Times New Roman" w:hAnsi="Times New Roman" w:cs="Times New Roman"/>
          <w:lang w:val="en-GB"/>
        </w:rPr>
        <w:t>-</w:t>
      </w:r>
      <w:r w:rsidR="00A83811" w:rsidRPr="00A83811">
        <w:rPr>
          <w:rFonts w:ascii="Times New Roman" w:hAnsi="Times New Roman" w:cs="Times New Roman"/>
          <w:lang w:val="en-GB"/>
        </w:rPr>
        <w:t xml:space="preserve">right to tell the truth, yet it may nonetheless be </w:t>
      </w:r>
      <w:r w:rsidR="00A83811" w:rsidRPr="00A83811">
        <w:rPr>
          <w:rFonts w:ascii="Times New Roman" w:hAnsi="Times New Roman" w:cs="Times New Roman"/>
          <w:i/>
          <w:iCs/>
          <w:lang w:val="en-GB"/>
        </w:rPr>
        <w:t>wrong</w:t>
      </w:r>
      <w:r w:rsidR="00A83811" w:rsidRPr="00A83811">
        <w:rPr>
          <w:rFonts w:ascii="Times New Roman" w:hAnsi="Times New Roman" w:cs="Times New Roman"/>
          <w:lang w:val="en-GB"/>
        </w:rPr>
        <w:t xml:space="preserve"> for me to do so. Harris also presents </w:t>
      </w:r>
      <w:r w:rsidR="007A21D9">
        <w:rPr>
          <w:rFonts w:ascii="Times New Roman" w:hAnsi="Times New Roman" w:cs="Times New Roman"/>
          <w:lang w:val="en-GB"/>
        </w:rPr>
        <w:t>a related argument, that a legal RNTK worryingly constraints medical professionals’ free speech</w:t>
      </w:r>
      <w:r w:rsidR="00A83811" w:rsidRPr="00A83811">
        <w:rPr>
          <w:rFonts w:ascii="Times New Roman" w:hAnsi="Times New Roman" w:cs="Times New Roman"/>
          <w:lang w:val="en-GB"/>
        </w:rPr>
        <w:t xml:space="preserve">. </w:t>
      </w:r>
      <w:r w:rsidR="009925CB">
        <w:rPr>
          <w:rFonts w:ascii="Times New Roman" w:hAnsi="Times New Roman" w:cs="Times New Roman"/>
          <w:lang w:val="en-GB"/>
        </w:rPr>
        <w:t>Harris</w:t>
      </w:r>
      <w:r w:rsidR="00A83811" w:rsidRPr="00A83811">
        <w:rPr>
          <w:rFonts w:ascii="Times New Roman" w:hAnsi="Times New Roman" w:cs="Times New Roman"/>
          <w:lang w:val="en-GB"/>
        </w:rPr>
        <w:t xml:space="preserve"> notes that truth is a “complete defence to charges of libel”</w:t>
      </w:r>
      <w:r w:rsidR="009925CB">
        <w:rPr>
          <w:rFonts w:ascii="Times New Roman" w:hAnsi="Times New Roman" w:cs="Times New Roman"/>
          <w:lang w:val="en-GB"/>
        </w:rPr>
        <w:t>.</w:t>
      </w:r>
      <w:r w:rsidR="00A83811" w:rsidRPr="00A83811">
        <w:rPr>
          <w:rFonts w:ascii="Times New Roman" w:hAnsi="Times New Roman" w:cs="Times New Roman"/>
          <w:lang w:val="en-GB"/>
        </w:rPr>
        <w:t xml:space="preserve"> </w:t>
      </w:r>
      <w:r w:rsidR="009925CB">
        <w:rPr>
          <w:rFonts w:ascii="Times New Roman" w:hAnsi="Times New Roman" w:cs="Times New Roman"/>
          <w:lang w:val="en-GB"/>
        </w:rPr>
        <w:t>While this is true, it is somewhat selective. T</w:t>
      </w:r>
      <w:r w:rsidR="00A83811" w:rsidRPr="00A83811">
        <w:rPr>
          <w:rFonts w:ascii="Times New Roman" w:hAnsi="Times New Roman" w:cs="Times New Roman"/>
          <w:lang w:val="en-GB"/>
        </w:rPr>
        <w:t>ruth is not always a defence</w:t>
      </w:r>
      <w:r w:rsidR="009925CB">
        <w:rPr>
          <w:rFonts w:ascii="Times New Roman" w:hAnsi="Times New Roman" w:cs="Times New Roman"/>
          <w:lang w:val="en-GB"/>
        </w:rPr>
        <w:t>, for instance,</w:t>
      </w:r>
      <w:r w:rsidR="00A83811" w:rsidRPr="00A83811">
        <w:rPr>
          <w:rFonts w:ascii="Times New Roman" w:hAnsi="Times New Roman" w:cs="Times New Roman"/>
          <w:lang w:val="en-GB"/>
        </w:rPr>
        <w:t xml:space="preserve"> to breaches of confidentiality</w:t>
      </w:r>
      <w:r w:rsidR="00406D9E">
        <w:rPr>
          <w:rFonts w:ascii="Times New Roman" w:hAnsi="Times New Roman" w:cs="Times New Roman"/>
          <w:lang w:val="en-GB"/>
        </w:rPr>
        <w:t>: m</w:t>
      </w:r>
      <w:r w:rsidR="00A83811" w:rsidRPr="00A83811">
        <w:rPr>
          <w:rFonts w:ascii="Times New Roman" w:hAnsi="Times New Roman" w:cs="Times New Roman"/>
          <w:lang w:val="en-GB"/>
        </w:rPr>
        <w:t xml:space="preserve">y doctor cannot defend her decision to broadcast my medical details on the internet by noting that everything she says is true. </w:t>
      </w:r>
      <w:r w:rsidR="00406D9E">
        <w:rPr>
          <w:rFonts w:ascii="Times New Roman" w:hAnsi="Times New Roman" w:cs="Times New Roman"/>
          <w:lang w:val="en-GB"/>
        </w:rPr>
        <w:t>S</w:t>
      </w:r>
      <w:r w:rsidR="00A83811" w:rsidRPr="00A83811">
        <w:rPr>
          <w:rFonts w:ascii="Times New Roman" w:hAnsi="Times New Roman" w:cs="Times New Roman"/>
          <w:lang w:val="en-GB"/>
        </w:rPr>
        <w:t>ince both concern a patient’s control over their own medical data, confidentiality is</w:t>
      </w:r>
      <w:r w:rsidR="00AE5441">
        <w:rPr>
          <w:rFonts w:ascii="Times New Roman" w:hAnsi="Times New Roman" w:cs="Times New Roman"/>
          <w:lang w:val="en-GB"/>
        </w:rPr>
        <w:t xml:space="preserve"> in my view</w:t>
      </w:r>
      <w:r w:rsidR="00A83811" w:rsidRPr="00A83811">
        <w:rPr>
          <w:rFonts w:ascii="Times New Roman" w:hAnsi="Times New Roman" w:cs="Times New Roman"/>
          <w:lang w:val="en-GB"/>
        </w:rPr>
        <w:t xml:space="preserve"> a more apt parallel than libel</w:t>
      </w:r>
      <w:r w:rsidR="009925CB">
        <w:rPr>
          <w:rFonts w:ascii="Times New Roman" w:hAnsi="Times New Roman" w:cs="Times New Roman"/>
          <w:lang w:val="en-GB"/>
        </w:rPr>
        <w:t xml:space="preserve">. </w:t>
      </w:r>
    </w:p>
    <w:p w14:paraId="49793071" w14:textId="494428DB" w:rsidR="00C87F57" w:rsidRPr="00A83811" w:rsidRDefault="00C87F57" w:rsidP="006317AA">
      <w:pPr>
        <w:jc w:val="both"/>
        <w:rPr>
          <w:rFonts w:ascii="Times New Roman" w:hAnsi="Times New Roman" w:cs="Times New Roman"/>
        </w:rPr>
      </w:pPr>
    </w:p>
    <w:p w14:paraId="4C0E90C5" w14:textId="65FC6898" w:rsidR="009864D5" w:rsidRPr="00AE5441" w:rsidRDefault="009864D5" w:rsidP="009864D5">
      <w:pPr>
        <w:spacing w:after="240"/>
        <w:jc w:val="both"/>
        <w:rPr>
          <w:rFonts w:ascii="Times New Roman" w:hAnsi="Times New Roman" w:cs="Times New Roman"/>
          <w:u w:val="single"/>
        </w:rPr>
      </w:pPr>
      <w:r w:rsidRPr="00AE5441">
        <w:rPr>
          <w:rFonts w:ascii="Times New Roman" w:hAnsi="Times New Roman" w:cs="Times New Roman"/>
          <w:u w:val="single"/>
        </w:rPr>
        <w:t xml:space="preserve">References </w:t>
      </w:r>
    </w:p>
    <w:p w14:paraId="5DE9700A" w14:textId="21545881" w:rsidR="009864D5" w:rsidRPr="00AE5441" w:rsidRDefault="00AE5441" w:rsidP="009864D5">
      <w:pPr>
        <w:pStyle w:val="FootnoteText"/>
        <w:spacing w:after="24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E5441">
        <w:rPr>
          <w:rFonts w:ascii="Times New Roman" w:hAnsi="Times New Roman" w:cs="Times New Roman"/>
          <w:sz w:val="24"/>
          <w:szCs w:val="24"/>
        </w:rPr>
        <w:t>(</w:t>
      </w:r>
      <w:r w:rsidR="009864D5" w:rsidRPr="00AE5441">
        <w:rPr>
          <w:rFonts w:ascii="Times New Roman" w:hAnsi="Times New Roman" w:cs="Times New Roman"/>
          <w:sz w:val="24"/>
          <w:szCs w:val="24"/>
        </w:rPr>
        <w:t>1</w:t>
      </w:r>
      <w:r w:rsidRPr="00AE5441">
        <w:rPr>
          <w:rFonts w:ascii="Times New Roman" w:hAnsi="Times New Roman" w:cs="Times New Roman"/>
          <w:sz w:val="24"/>
          <w:szCs w:val="24"/>
        </w:rPr>
        <w:t>)</w:t>
      </w:r>
      <w:r w:rsidR="009864D5" w:rsidRPr="00AE5441">
        <w:rPr>
          <w:rFonts w:ascii="Times New Roman" w:hAnsi="Times New Roman" w:cs="Times New Roman"/>
          <w:sz w:val="24"/>
          <w:szCs w:val="24"/>
        </w:rPr>
        <w:t xml:space="preserve"> </w:t>
      </w:r>
      <w:r w:rsidR="009864D5" w:rsidRPr="00AE5441">
        <w:rPr>
          <w:rFonts w:ascii="Times New Roman" w:hAnsi="Times New Roman" w:cs="Times New Roman"/>
          <w:sz w:val="24"/>
          <w:szCs w:val="24"/>
          <w:lang w:val="en-GB"/>
        </w:rPr>
        <w:t xml:space="preserve">Berkman BE. A commentary on ‘The right not to know and the obligation not to know’. </w:t>
      </w:r>
      <w:r w:rsidR="009864D5" w:rsidRPr="00AE5441">
        <w:rPr>
          <w:rFonts w:ascii="Times New Roman" w:hAnsi="Times New Roman" w:cs="Times New Roman"/>
          <w:i/>
          <w:iCs/>
          <w:sz w:val="24"/>
          <w:szCs w:val="24"/>
          <w:lang w:val="en-GB"/>
        </w:rPr>
        <w:t>J Med Ethics</w:t>
      </w:r>
    </w:p>
    <w:p w14:paraId="5F7C068C" w14:textId="53A44728" w:rsidR="009864D5" w:rsidRPr="00AE5441" w:rsidRDefault="00AE5441" w:rsidP="009864D5">
      <w:pPr>
        <w:pStyle w:val="FootnoteText"/>
        <w:tabs>
          <w:tab w:val="left" w:pos="1134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E5441">
        <w:rPr>
          <w:rFonts w:ascii="Times New Roman" w:hAnsi="Times New Roman" w:cs="Times New Roman"/>
          <w:sz w:val="24"/>
          <w:szCs w:val="24"/>
        </w:rPr>
        <w:t>(</w:t>
      </w:r>
      <w:r w:rsidR="009864D5" w:rsidRPr="00AE5441">
        <w:rPr>
          <w:rFonts w:ascii="Times New Roman" w:hAnsi="Times New Roman" w:cs="Times New Roman"/>
          <w:sz w:val="24"/>
          <w:szCs w:val="24"/>
        </w:rPr>
        <w:t>2</w:t>
      </w:r>
      <w:r w:rsidRPr="00AE5441">
        <w:rPr>
          <w:rFonts w:ascii="Times New Roman" w:hAnsi="Times New Roman" w:cs="Times New Roman"/>
          <w:sz w:val="24"/>
          <w:szCs w:val="24"/>
        </w:rPr>
        <w:t>)</w:t>
      </w:r>
      <w:r w:rsidR="009864D5" w:rsidRPr="00AE5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4D5" w:rsidRPr="00AE5441">
        <w:rPr>
          <w:rFonts w:ascii="Times New Roman" w:hAnsi="Times New Roman" w:cs="Times New Roman"/>
          <w:sz w:val="24"/>
          <w:szCs w:val="24"/>
        </w:rPr>
        <w:t>Deslandes</w:t>
      </w:r>
      <w:proofErr w:type="spellEnd"/>
      <w:r w:rsidR="009864D5" w:rsidRPr="00AE5441">
        <w:rPr>
          <w:rFonts w:ascii="Times New Roman" w:hAnsi="Times New Roman" w:cs="Times New Roman"/>
          <w:sz w:val="24"/>
          <w:szCs w:val="24"/>
        </w:rPr>
        <w:t xml:space="preserve"> A. Is the right not to know an instance of “bad faith”? </w:t>
      </w:r>
      <w:r w:rsidR="009864D5" w:rsidRPr="00AE5441">
        <w:rPr>
          <w:rFonts w:ascii="Times New Roman" w:hAnsi="Times New Roman" w:cs="Times New Roman"/>
          <w:i/>
          <w:iCs/>
          <w:sz w:val="24"/>
          <w:szCs w:val="24"/>
        </w:rPr>
        <w:t>J Med Ethics</w:t>
      </w:r>
      <w:r w:rsidR="009864D5" w:rsidRPr="00AE5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41DAC" w14:textId="2E6C7704" w:rsidR="009864D5" w:rsidRPr="00AE5441" w:rsidRDefault="00AE5441" w:rsidP="009864D5">
      <w:pPr>
        <w:tabs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  <w:iCs/>
          <w:lang w:val="en-GB"/>
        </w:rPr>
      </w:pPr>
      <w:r w:rsidRPr="00AE5441">
        <w:rPr>
          <w:rFonts w:ascii="Times New Roman" w:hAnsi="Times New Roman" w:cs="Times New Roman"/>
        </w:rPr>
        <w:t>(</w:t>
      </w:r>
      <w:r w:rsidR="009864D5" w:rsidRPr="00AE5441">
        <w:rPr>
          <w:rFonts w:ascii="Times New Roman" w:hAnsi="Times New Roman" w:cs="Times New Roman"/>
        </w:rPr>
        <w:t>3</w:t>
      </w:r>
      <w:r w:rsidRPr="00AE5441">
        <w:rPr>
          <w:rFonts w:ascii="Times New Roman" w:hAnsi="Times New Roman" w:cs="Times New Roman"/>
        </w:rPr>
        <w:t>)</w:t>
      </w:r>
      <w:r w:rsidR="009864D5" w:rsidRPr="00AE5441">
        <w:rPr>
          <w:rFonts w:ascii="Times New Roman" w:hAnsi="Times New Roman" w:cs="Times New Roman"/>
        </w:rPr>
        <w:t xml:space="preserve"> </w:t>
      </w:r>
      <w:r w:rsidR="009864D5" w:rsidRPr="00AE5441">
        <w:rPr>
          <w:rFonts w:ascii="Times New Roman" w:hAnsi="Times New Roman" w:cs="Times New Roman"/>
        </w:rPr>
        <w:t xml:space="preserve">Dive L, Newson A. </w:t>
      </w:r>
      <w:r w:rsidR="009864D5" w:rsidRPr="00AE5441">
        <w:rPr>
          <w:rFonts w:ascii="Times New Roman" w:hAnsi="Times New Roman" w:cs="Times New Roman"/>
          <w:lang w:val="en-GB"/>
        </w:rPr>
        <w:t xml:space="preserve">Obligations and preferences in knowing and not knowing: the importance of context. </w:t>
      </w:r>
      <w:r w:rsidR="009864D5" w:rsidRPr="00AE5441">
        <w:rPr>
          <w:rFonts w:ascii="Times New Roman" w:hAnsi="Times New Roman" w:cs="Times New Roman"/>
          <w:i/>
          <w:iCs/>
          <w:lang w:val="en-GB"/>
        </w:rPr>
        <w:t>J Med Ethics</w:t>
      </w:r>
    </w:p>
    <w:p w14:paraId="1F456E4E" w14:textId="3BFD7CD8" w:rsidR="009864D5" w:rsidRPr="00AE5441" w:rsidRDefault="00AE5441" w:rsidP="009864D5">
      <w:pPr>
        <w:pStyle w:val="FootnoteText"/>
        <w:spacing w:after="24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E5441">
        <w:rPr>
          <w:rFonts w:ascii="Times New Roman" w:hAnsi="Times New Roman" w:cs="Times New Roman"/>
          <w:sz w:val="24"/>
          <w:szCs w:val="24"/>
        </w:rPr>
        <w:t>(</w:t>
      </w:r>
      <w:r w:rsidR="009864D5" w:rsidRPr="00AE5441">
        <w:rPr>
          <w:rFonts w:ascii="Times New Roman" w:hAnsi="Times New Roman" w:cs="Times New Roman"/>
          <w:sz w:val="24"/>
          <w:szCs w:val="24"/>
        </w:rPr>
        <w:t>4</w:t>
      </w:r>
      <w:r w:rsidRPr="00AE5441">
        <w:rPr>
          <w:rFonts w:ascii="Times New Roman" w:hAnsi="Times New Roman" w:cs="Times New Roman"/>
          <w:sz w:val="24"/>
          <w:szCs w:val="24"/>
        </w:rPr>
        <w:t>)</w:t>
      </w:r>
      <w:r w:rsidR="009864D5" w:rsidRPr="00AE5441">
        <w:rPr>
          <w:rFonts w:ascii="Times New Roman" w:hAnsi="Times New Roman" w:cs="Times New Roman"/>
          <w:sz w:val="24"/>
          <w:szCs w:val="24"/>
        </w:rPr>
        <w:t xml:space="preserve"> </w:t>
      </w:r>
      <w:r w:rsidR="009864D5" w:rsidRPr="00AE5441">
        <w:rPr>
          <w:rFonts w:ascii="Times New Roman" w:hAnsi="Times New Roman" w:cs="Times New Roman"/>
          <w:sz w:val="24"/>
          <w:szCs w:val="24"/>
        </w:rPr>
        <w:t xml:space="preserve">Harris J. Is there a right not to know? </w:t>
      </w:r>
      <w:r w:rsidR="009864D5" w:rsidRPr="00AE5441">
        <w:rPr>
          <w:rFonts w:ascii="Times New Roman" w:hAnsi="Times New Roman" w:cs="Times New Roman"/>
          <w:i/>
          <w:iCs/>
          <w:sz w:val="24"/>
          <w:szCs w:val="24"/>
        </w:rPr>
        <w:t>J Med. Ethics</w:t>
      </w:r>
    </w:p>
    <w:sectPr w:rsidR="009864D5" w:rsidRPr="00AE5441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A1F47" w14:textId="77777777" w:rsidR="00C90AAF" w:rsidRDefault="00C90AAF" w:rsidP="007A21D9">
      <w:r>
        <w:separator/>
      </w:r>
    </w:p>
  </w:endnote>
  <w:endnote w:type="continuationSeparator" w:id="0">
    <w:p w14:paraId="15DF8EE6" w14:textId="77777777" w:rsidR="00C90AAF" w:rsidRDefault="00C90AAF" w:rsidP="007A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DD43C" w14:textId="77777777" w:rsidR="00C90AAF" w:rsidRDefault="00C90AAF" w:rsidP="007A21D9">
      <w:r>
        <w:separator/>
      </w:r>
    </w:p>
  </w:footnote>
  <w:footnote w:type="continuationSeparator" w:id="0">
    <w:p w14:paraId="197F345F" w14:textId="77777777" w:rsidR="00C90AAF" w:rsidRDefault="00C90AAF" w:rsidP="007A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131835"/>
    <w:rsid w:val="00217C69"/>
    <w:rsid w:val="002557CA"/>
    <w:rsid w:val="003126CF"/>
    <w:rsid w:val="00322128"/>
    <w:rsid w:val="004042CB"/>
    <w:rsid w:val="004050BB"/>
    <w:rsid w:val="00406D9E"/>
    <w:rsid w:val="005002F2"/>
    <w:rsid w:val="005323E9"/>
    <w:rsid w:val="006317AA"/>
    <w:rsid w:val="00703516"/>
    <w:rsid w:val="007A21D9"/>
    <w:rsid w:val="007B4992"/>
    <w:rsid w:val="007E1BA8"/>
    <w:rsid w:val="007E3C5E"/>
    <w:rsid w:val="008E210F"/>
    <w:rsid w:val="009864D5"/>
    <w:rsid w:val="009925CB"/>
    <w:rsid w:val="00A83811"/>
    <w:rsid w:val="00AE5441"/>
    <w:rsid w:val="00C87F57"/>
    <w:rsid w:val="00C90AAF"/>
    <w:rsid w:val="00C97A85"/>
    <w:rsid w:val="00CF221F"/>
    <w:rsid w:val="00E24723"/>
    <w:rsid w:val="00FB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8CCB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7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6317A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317A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A21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21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21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9D90B-9D05-4848-876C-2DF1269F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 Davies</cp:lastModifiedBy>
  <cp:revision>10</cp:revision>
  <dcterms:created xsi:type="dcterms:W3CDTF">2018-09-06T23:03:00Z</dcterms:created>
  <dcterms:modified xsi:type="dcterms:W3CDTF">2020-03-30T11:51:00Z</dcterms:modified>
</cp:coreProperties>
</file>