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74E" w:rsidRPr="005D44CC" w:rsidRDefault="00A12F2F" w:rsidP="005D44CC">
      <w:pPr>
        <w:jc w:val="center"/>
        <w:rPr>
          <w:rFonts w:ascii="Palatino Linotype" w:hAnsi="Palatino Linotype" w:cs="Times New Roman"/>
          <w:b/>
          <w:sz w:val="28"/>
          <w:szCs w:val="28"/>
        </w:rPr>
      </w:pPr>
      <w:r w:rsidRPr="005D44CC">
        <w:rPr>
          <w:rFonts w:ascii="Palatino Linotype" w:hAnsi="Palatino Linotype" w:cs="Times New Roman"/>
          <w:b/>
          <w:sz w:val="28"/>
          <w:szCs w:val="28"/>
        </w:rPr>
        <w:t>From Ionian Speculation to</w:t>
      </w:r>
      <w:r w:rsidR="005A374E" w:rsidRPr="005D44CC">
        <w:rPr>
          <w:rFonts w:ascii="Palatino Linotype" w:hAnsi="Palatino Linotype" w:cs="Times New Roman"/>
          <w:b/>
          <w:sz w:val="28"/>
          <w:szCs w:val="28"/>
        </w:rPr>
        <w:t xml:space="preserve"> Eleatic Deduction:</w:t>
      </w:r>
    </w:p>
    <w:p w:rsidR="00454E38" w:rsidRPr="005D44CC" w:rsidRDefault="00A87616" w:rsidP="005D44CC">
      <w:pPr>
        <w:jc w:val="center"/>
        <w:rPr>
          <w:rFonts w:ascii="Palatino Linotype" w:hAnsi="Palatino Linotype" w:cs="Times New Roman"/>
          <w:b/>
          <w:sz w:val="28"/>
          <w:szCs w:val="28"/>
        </w:rPr>
      </w:pPr>
      <w:r w:rsidRPr="005D44CC">
        <w:rPr>
          <w:rFonts w:ascii="Palatino Linotype" w:hAnsi="Palatino Linotype" w:cs="Times New Roman"/>
          <w:b/>
          <w:sz w:val="28"/>
          <w:szCs w:val="28"/>
        </w:rPr>
        <w:t>Parmenides’ Xenophanean-Based Theism</w:t>
      </w:r>
    </w:p>
    <w:p w:rsidR="00454E38" w:rsidRPr="005D44CC" w:rsidRDefault="00454E38" w:rsidP="005D44CC">
      <w:pPr>
        <w:jc w:val="center"/>
        <w:rPr>
          <w:rFonts w:ascii="Palatino Linotype" w:hAnsi="Palatino Linotype" w:cs="Times New Roman"/>
          <w:b/>
          <w:sz w:val="28"/>
          <w:szCs w:val="28"/>
        </w:rPr>
      </w:pPr>
    </w:p>
    <w:p w:rsidR="00454E38" w:rsidRPr="005D44CC" w:rsidRDefault="00454E38" w:rsidP="005D44CC">
      <w:pPr>
        <w:jc w:val="center"/>
        <w:rPr>
          <w:rFonts w:ascii="Palatino Linotype" w:hAnsi="Palatino Linotype" w:cs="Times New Roman"/>
          <w:b/>
          <w:sz w:val="28"/>
          <w:szCs w:val="28"/>
        </w:rPr>
      </w:pPr>
      <w:r w:rsidRPr="005D44CC">
        <w:rPr>
          <w:rFonts w:ascii="Palatino Linotype" w:hAnsi="Palatino Linotype" w:cs="Times New Roman"/>
          <w:b/>
          <w:sz w:val="28"/>
          <w:szCs w:val="28"/>
        </w:rPr>
        <w:t>Jeremy DeLong</w:t>
      </w:r>
      <w:r w:rsidRPr="005D44CC">
        <w:rPr>
          <w:rStyle w:val="EndnoteReference"/>
          <w:rFonts w:ascii="Palatino Linotype" w:hAnsi="Palatino Linotype" w:cs="Times New Roman"/>
          <w:b/>
          <w:sz w:val="28"/>
          <w:szCs w:val="28"/>
        </w:rPr>
        <w:endnoteReference w:id="1"/>
      </w:r>
    </w:p>
    <w:p w:rsidR="00454E38" w:rsidRPr="005D44CC" w:rsidRDefault="00454E38" w:rsidP="005D44CC">
      <w:pPr>
        <w:jc w:val="both"/>
        <w:rPr>
          <w:rFonts w:ascii="Palatino Linotype" w:hAnsi="Palatino Linotype"/>
        </w:rPr>
      </w:pPr>
    </w:p>
    <w:p w:rsidR="00454E38" w:rsidRPr="005D44CC" w:rsidRDefault="00454E38" w:rsidP="005D44CC">
      <w:pPr>
        <w:ind w:firstLine="720"/>
        <w:jc w:val="both"/>
        <w:rPr>
          <w:rFonts w:ascii="Palatino Linotype" w:hAnsi="Palatino Linotype"/>
        </w:rPr>
      </w:pPr>
      <w:r w:rsidRPr="005D44CC">
        <w:rPr>
          <w:rFonts w:ascii="Palatino Linotype" w:hAnsi="Palatino Linotype"/>
        </w:rPr>
        <w:t>This book series aims to examine the ancient intellectual and cultural heritage of Southern Italy and Sicily.  Warranting further examination is how the nascent philosophical tradition initially spread to this region from its Ionian provenance.  Despite numerous ancient attestations that Parmenides of Elea was influenced, or even directly instructed, by the Ionian-born Xenopha</w:t>
      </w:r>
      <w:bookmarkStart w:id="0" w:name="_GoBack"/>
      <w:bookmarkEnd w:id="0"/>
      <w:r w:rsidRPr="005D44CC">
        <w:rPr>
          <w:rFonts w:ascii="Palatino Linotype" w:hAnsi="Palatino Linotype"/>
        </w:rPr>
        <w:t>nes, many modern scholars remain skeptical of this historical association.</w:t>
      </w:r>
      <w:r w:rsidRPr="005D44CC">
        <w:rPr>
          <w:rStyle w:val="EndnoteReference"/>
          <w:rFonts w:ascii="Palatino Linotype" w:hAnsi="Palatino Linotype"/>
        </w:rPr>
        <w:endnoteReference w:id="2"/>
      </w:r>
      <w:r w:rsidRPr="005D44CC">
        <w:rPr>
          <w:rFonts w:ascii="Palatino Linotype" w:hAnsi="Palatino Linotype"/>
        </w:rPr>
        <w:t xml:space="preserve">  The extent of this skepticism ranges from cautious uncertainty to outright denial of any historical plausibility. The skeptical grounds similarly vary, from distrusting the historical veracity of late and/or perhaps biased commentators, to understanding these thinkers as involved in radically different projects.  This essay aims to challenge the skeptical position, and establish a direct link disseminating Ionian philosophy to Magna Graecia via Xenophanes and Parmenides.  </w:t>
      </w:r>
    </w:p>
    <w:p w:rsidR="00454E38" w:rsidRPr="005D44CC" w:rsidRDefault="00454E38" w:rsidP="005D44CC">
      <w:pPr>
        <w:ind w:firstLine="720"/>
        <w:jc w:val="both"/>
        <w:rPr>
          <w:rFonts w:ascii="Palatino Linotype" w:hAnsi="Palatino Linotype"/>
        </w:rPr>
      </w:pPr>
      <w:r w:rsidRPr="005D44CC">
        <w:rPr>
          <w:rFonts w:ascii="Palatino Linotype" w:hAnsi="Palatino Linotype"/>
        </w:rPr>
        <w:t xml:space="preserve">The argument is straightforward.  First, the ancient geographical and temporal evidence is noted, establishing that it was possible for Parmenides to have been influenced and/or taught by Xenophanes.  Next, the metaphysical and epistemological parallels between these thinkers are considered.  Despite notable differences, </w:t>
      </w:r>
      <w:r w:rsidR="00B478CB" w:rsidRPr="005D44CC">
        <w:rPr>
          <w:rFonts w:ascii="Palatino Linotype" w:hAnsi="Palatino Linotype"/>
        </w:rPr>
        <w:t xml:space="preserve">on balance, </w:t>
      </w:r>
      <w:r w:rsidRPr="005D44CC">
        <w:rPr>
          <w:rFonts w:ascii="Palatino Linotype" w:hAnsi="Palatino Linotype"/>
        </w:rPr>
        <w:t>these close parallels suggest against the skeptical view, making it quite plausible to impute a direct intellectual link between these thinkers.  Third, I consider ancient claims that both thinkers were engaging with religious topics, offering a sort of “rational theology.”  This evidence for a close intellectual relationship between these thinkers has been entirely ignored by modern scholars, and orthodox interpretative models cannot readily provide a charitable explanation for them.  However, by reconsidering the theistic content in Parmenides’s poem, a new interpretative approach is revealed which can.  Once this evidence is considered in its totality, the case for imputing a close and direct intellectual heritage from Xenophanes to Parmenides proves quite substantial.</w:t>
      </w:r>
    </w:p>
    <w:p w:rsidR="00454E38" w:rsidRPr="005D44CC" w:rsidRDefault="00454E38" w:rsidP="005D44CC">
      <w:pPr>
        <w:jc w:val="both"/>
        <w:rPr>
          <w:rFonts w:ascii="Palatino Linotype" w:hAnsi="Palatino Linotype"/>
        </w:rPr>
      </w:pPr>
    </w:p>
    <w:p w:rsidR="00454E38" w:rsidRPr="005D44CC" w:rsidRDefault="00454E38" w:rsidP="005D44CC">
      <w:pPr>
        <w:jc w:val="both"/>
        <w:rPr>
          <w:rFonts w:ascii="Palatino Linotype" w:hAnsi="Palatino Linotype"/>
          <w:b/>
        </w:rPr>
      </w:pPr>
      <w:r w:rsidRPr="005D44CC">
        <w:rPr>
          <w:rFonts w:ascii="Palatino Linotype" w:hAnsi="Palatino Linotype"/>
          <w:b/>
        </w:rPr>
        <w:t>Geographical and Historical Considerations</w:t>
      </w:r>
    </w:p>
    <w:p w:rsidR="00454E38" w:rsidRPr="005D44CC" w:rsidRDefault="00454E38" w:rsidP="005D44CC">
      <w:pPr>
        <w:ind w:firstLine="720"/>
        <w:jc w:val="both"/>
        <w:rPr>
          <w:rFonts w:ascii="Palatino Linotype" w:hAnsi="Palatino Linotype"/>
        </w:rPr>
      </w:pPr>
    </w:p>
    <w:p w:rsidR="00454E38" w:rsidRPr="005D44CC" w:rsidRDefault="00454E38" w:rsidP="005D44CC">
      <w:pPr>
        <w:ind w:firstLine="720"/>
        <w:jc w:val="both"/>
        <w:rPr>
          <w:rFonts w:ascii="Palatino Linotype" w:hAnsi="Palatino Linotype"/>
        </w:rPr>
      </w:pPr>
      <w:r w:rsidRPr="005D44CC">
        <w:rPr>
          <w:rFonts w:ascii="Palatino Linotype" w:hAnsi="Palatino Linotype"/>
        </w:rPr>
        <w:t>Xenophanes certainly lived to be 92, and likely slightly over 100.</w:t>
      </w:r>
      <w:r w:rsidRPr="005D44CC">
        <w:rPr>
          <w:rStyle w:val="EndnoteReference"/>
          <w:rFonts w:ascii="Palatino Linotype" w:hAnsi="Palatino Linotype"/>
        </w:rPr>
        <w:endnoteReference w:id="3"/>
      </w:r>
      <w:r w:rsidRPr="005D44CC">
        <w:rPr>
          <w:rFonts w:ascii="Palatino Linotype" w:hAnsi="Palatino Linotype"/>
        </w:rPr>
        <w:t xml:space="preserve">   Accepting that he was banished from Colophon after the Persian conquest (546/5 BCE) by Harpargus, and later counseled the Sicilian tyrant Hieron (r. 478-467 BCE), his birth should be dated c. 570-65 BCE.</w:t>
      </w:r>
      <w:r w:rsidRPr="005D44CC">
        <w:rPr>
          <w:rStyle w:val="EndnoteReference"/>
          <w:rFonts w:ascii="Palatino Linotype" w:hAnsi="Palatino Linotype"/>
        </w:rPr>
        <w:endnoteReference w:id="4"/>
      </w:r>
      <w:r w:rsidRPr="005D44CC">
        <w:rPr>
          <w:rFonts w:ascii="Palatino Linotype" w:hAnsi="Palatino Linotype"/>
        </w:rPr>
        <w:t xml:space="preserve">  Whatever birthdate is accepted for Parmenides—530 or 515 BCE—Xenophanes would have lived long enough to serve as Parmenides’s master.</w:t>
      </w:r>
      <w:r w:rsidRPr="005D44CC">
        <w:rPr>
          <w:rStyle w:val="EndnoteReference"/>
          <w:rFonts w:ascii="Palatino Linotype" w:hAnsi="Palatino Linotype" w:cs="Times New Roman"/>
          <w:szCs w:val="24"/>
        </w:rPr>
        <w:endnoteReference w:id="5"/>
      </w:r>
      <w:r w:rsidRPr="005D44CC">
        <w:rPr>
          <w:rFonts w:ascii="Palatino Linotype" w:hAnsi="Palatino Linotype"/>
        </w:rPr>
        <w:t xml:space="preserve">  </w:t>
      </w:r>
    </w:p>
    <w:p w:rsidR="00454E38" w:rsidRPr="005D44CC" w:rsidRDefault="00454E38" w:rsidP="005D44CC">
      <w:pPr>
        <w:ind w:firstLine="720"/>
        <w:jc w:val="both"/>
        <w:rPr>
          <w:rFonts w:ascii="Palatino Linotype" w:hAnsi="Palatino Linotype"/>
        </w:rPr>
      </w:pPr>
      <w:r w:rsidRPr="005D44CC">
        <w:rPr>
          <w:rFonts w:ascii="Palatino Linotype" w:hAnsi="Palatino Linotype"/>
        </w:rPr>
        <w:t xml:space="preserve">Xenophanes seems to have spent much of his later life in Magna Graecia.  In addition to his association with Hieron’s Sicilian court, he is reported to have lived in two </w:t>
      </w:r>
      <w:r w:rsidRPr="005D44CC">
        <w:rPr>
          <w:rFonts w:ascii="Palatino Linotype" w:hAnsi="Palatino Linotype"/>
        </w:rPr>
        <w:lastRenderedPageBreak/>
        <w:t>Sicilian cities—Zancle (Messina) and Catana (Catania).</w:t>
      </w:r>
      <w:r w:rsidRPr="005D44CC">
        <w:rPr>
          <w:rStyle w:val="EndnoteReference"/>
          <w:rFonts w:ascii="Palatino Linotype" w:hAnsi="Palatino Linotype" w:cs="Times New Roman"/>
          <w:szCs w:val="24"/>
        </w:rPr>
        <w:endnoteReference w:id="6"/>
      </w:r>
      <w:r w:rsidRPr="005D44CC">
        <w:rPr>
          <w:rFonts w:ascii="Palatino Linotype" w:hAnsi="Palatino Linotype"/>
        </w:rPr>
        <w:t xml:space="preserve">  A fragment likely referring to Pythagoras confirms his familiarity</w:t>
      </w:r>
      <w:r w:rsidR="00D4712E" w:rsidRPr="005D44CC">
        <w:rPr>
          <w:rFonts w:ascii="Palatino Linotype" w:hAnsi="Palatino Linotype"/>
        </w:rPr>
        <w:t xml:space="preserve"> with</w:t>
      </w:r>
      <w:r w:rsidRPr="005D44CC">
        <w:rPr>
          <w:rFonts w:ascii="Palatino Linotype" w:hAnsi="Palatino Linotype"/>
        </w:rPr>
        <w:t xml:space="preserve"> </w:t>
      </w:r>
      <w:r w:rsidR="00D4712E" w:rsidRPr="005D44CC">
        <w:rPr>
          <w:rFonts w:ascii="Palatino Linotype" w:hAnsi="Palatino Linotype"/>
        </w:rPr>
        <w:t>southern</w:t>
      </w:r>
      <w:r w:rsidRPr="005D44CC">
        <w:rPr>
          <w:rFonts w:ascii="Palatino Linotype" w:hAnsi="Palatino Linotype"/>
        </w:rPr>
        <w:t xml:space="preserve"> Italy.</w:t>
      </w:r>
      <w:r w:rsidRPr="005D44CC">
        <w:rPr>
          <w:rStyle w:val="EndnoteReference"/>
          <w:rFonts w:ascii="Palatino Linotype" w:hAnsi="Palatino Linotype"/>
        </w:rPr>
        <w:endnoteReference w:id="7"/>
      </w:r>
      <w:r w:rsidR="00DC067E" w:rsidRPr="005D44CC">
        <w:rPr>
          <w:rFonts w:ascii="Palatino Linotype" w:hAnsi="Palatino Linotype"/>
        </w:rPr>
        <w:t xml:space="preserve">  Furthermore, Xenophanes</w:t>
      </w:r>
      <w:r w:rsidRPr="005D44CC">
        <w:rPr>
          <w:rFonts w:ascii="Palatino Linotype" w:hAnsi="Palatino Linotype"/>
        </w:rPr>
        <w:t xml:space="preserve"> can be linked directly to Parmenides’</w:t>
      </w:r>
      <w:r w:rsidR="00D4712E" w:rsidRPr="005D44CC">
        <w:rPr>
          <w:rFonts w:ascii="Palatino Linotype" w:hAnsi="Palatino Linotype"/>
        </w:rPr>
        <w:t>s</w:t>
      </w:r>
      <w:r w:rsidRPr="005D44CC">
        <w:rPr>
          <w:rFonts w:ascii="Palatino Linotype" w:hAnsi="Palatino Linotype"/>
        </w:rPr>
        <w:t xml:space="preserve"> hometown of Elea.  Xenophanes wrote celebratory odes on the founding of two cities:  his native Colophon, and Elea.</w:t>
      </w:r>
      <w:r w:rsidRPr="005D44CC">
        <w:rPr>
          <w:rStyle w:val="EndnoteReference"/>
          <w:rFonts w:ascii="Palatino Linotype" w:hAnsi="Palatino Linotype" w:cs="Times New Roman"/>
          <w:szCs w:val="24"/>
        </w:rPr>
        <w:endnoteReference w:id="8"/>
      </w:r>
      <w:r w:rsidRPr="005D44CC">
        <w:rPr>
          <w:rFonts w:ascii="Palatino Linotype" w:hAnsi="Palatino Linotype"/>
        </w:rPr>
        <w:t xml:space="preserve">  </w:t>
      </w:r>
      <w:r w:rsidRPr="005D44CC">
        <w:rPr>
          <w:rStyle w:val="greek"/>
          <w:rFonts w:ascii="Palatino Linotype" w:hAnsi="Palatino Linotype"/>
        </w:rPr>
        <w:t>This suggests a deep familiarity with, and affinity for, a city.</w:t>
      </w:r>
      <w:r w:rsidRPr="005D44CC">
        <w:rPr>
          <w:rStyle w:val="EndnoteReference"/>
          <w:rFonts w:ascii="Palatino Linotype" w:hAnsi="Palatino Linotype"/>
        </w:rPr>
        <w:endnoteReference w:id="9"/>
      </w:r>
      <w:r w:rsidRPr="005D44CC">
        <w:rPr>
          <w:rStyle w:val="greek"/>
          <w:rFonts w:ascii="Palatino Linotype" w:hAnsi="Palatino Linotype"/>
        </w:rPr>
        <w:t xml:space="preserve">  Thus, both were likely important to Xenophanes in a similar way—places he identified with as “home.”</w:t>
      </w:r>
      <w:r w:rsidRPr="005D44CC">
        <w:rPr>
          <w:rFonts w:ascii="Palatino Linotype" w:hAnsi="Palatino Linotype"/>
        </w:rPr>
        <w:t xml:space="preserve">  Aristotle even reports that the citizens of Elea once consulted Xenophanes on whether to perform a sacrifice or not.</w:t>
      </w:r>
      <w:r w:rsidRPr="005D44CC">
        <w:rPr>
          <w:rStyle w:val="EndnoteReference"/>
          <w:rFonts w:ascii="Palatino Linotype" w:hAnsi="Palatino Linotype" w:cs="Times New Roman"/>
          <w:szCs w:val="24"/>
        </w:rPr>
        <w:endnoteReference w:id="10"/>
      </w:r>
      <w:r w:rsidRPr="005D44CC">
        <w:rPr>
          <w:rFonts w:ascii="Palatino Linotype" w:hAnsi="Palatino Linotype"/>
        </w:rPr>
        <w:t xml:space="preserve">  With no evidence to the contrary, there is every reason to accept that Xenophanes lived in southern Italy, nearby or even in Elea itself, in the late-sixth and early-fifth century.  </w:t>
      </w:r>
    </w:p>
    <w:p w:rsidR="00454E38" w:rsidRPr="005D44CC" w:rsidRDefault="00DC067E" w:rsidP="005D44CC">
      <w:pPr>
        <w:ind w:firstLine="720"/>
        <w:jc w:val="both"/>
        <w:rPr>
          <w:rFonts w:ascii="Palatino Linotype" w:hAnsi="Palatino Linotype"/>
        </w:rPr>
      </w:pPr>
      <w:r w:rsidRPr="005D44CC">
        <w:rPr>
          <w:rFonts w:ascii="Palatino Linotype" w:hAnsi="Palatino Linotype"/>
        </w:rPr>
        <w:t xml:space="preserve">From this, it seems entirely possible </w:t>
      </w:r>
      <w:r w:rsidR="00454E38" w:rsidRPr="005D44CC">
        <w:rPr>
          <w:rFonts w:ascii="Palatino Linotype" w:hAnsi="Palatino Linotype"/>
        </w:rPr>
        <w:t xml:space="preserve">for Parmenides to </w:t>
      </w:r>
      <w:r w:rsidRPr="005D44CC">
        <w:rPr>
          <w:rFonts w:ascii="Palatino Linotype" w:hAnsi="Palatino Linotype"/>
        </w:rPr>
        <w:t xml:space="preserve">have been </w:t>
      </w:r>
      <w:r w:rsidR="00454E38" w:rsidRPr="005D44CC">
        <w:rPr>
          <w:rFonts w:ascii="Palatino Linotype" w:hAnsi="Palatino Linotype"/>
        </w:rPr>
        <w:t>directl</w:t>
      </w:r>
      <w:r w:rsidRPr="005D44CC">
        <w:rPr>
          <w:rFonts w:ascii="Palatino Linotype" w:hAnsi="Palatino Linotype"/>
        </w:rPr>
        <w:t>y influenced by Xenophanes.  That s</w:t>
      </w:r>
      <w:r w:rsidR="00454E38" w:rsidRPr="005D44CC">
        <w:rPr>
          <w:rFonts w:ascii="Palatino Linotype" w:hAnsi="Palatino Linotype"/>
        </w:rPr>
        <w:t xml:space="preserve">everal ancient sources explicitly aver that there </w:t>
      </w:r>
      <w:r w:rsidRPr="005D44CC">
        <w:rPr>
          <w:rFonts w:ascii="Palatino Linotype" w:hAnsi="Palatino Linotype"/>
        </w:rPr>
        <w:t>was a master-pupil relationship make such even more likely.</w:t>
      </w:r>
      <w:r w:rsidR="00454E38" w:rsidRPr="005D44CC">
        <w:rPr>
          <w:rStyle w:val="EndnoteReference"/>
          <w:rFonts w:ascii="Palatino Linotype" w:hAnsi="Palatino Linotype"/>
        </w:rPr>
        <w:endnoteReference w:id="11"/>
      </w:r>
      <w:r w:rsidR="00454E38" w:rsidRPr="005D44CC">
        <w:rPr>
          <w:rFonts w:ascii="Palatino Linotype" w:hAnsi="Palatino Linotype"/>
        </w:rPr>
        <w:t xml:space="preserve">  Skeptics may argue that these accounts may not be independent, universally relying upon a purportedly flippant remark by Plato—that Xenophanes, </w:t>
      </w:r>
      <w:r w:rsidR="00454E38" w:rsidRPr="005D44CC">
        <w:rPr>
          <w:rFonts w:ascii="Palatino Linotype" w:hAnsi="Palatino Linotype"/>
          <w:i/>
        </w:rPr>
        <w:t>and even others before him</w:t>
      </w:r>
      <w:r w:rsidR="00454E38" w:rsidRPr="005D44CC">
        <w:rPr>
          <w:rFonts w:ascii="Palatino Linotype" w:hAnsi="Palatino Linotype"/>
        </w:rPr>
        <w:t>, belonged to the same “Eleatic tribe” which claimed “all is one.”</w:t>
      </w:r>
      <w:r w:rsidR="00454E38" w:rsidRPr="005D44CC">
        <w:rPr>
          <w:rStyle w:val="EndnoteReference"/>
          <w:rFonts w:ascii="Palatino Linotype" w:hAnsi="Palatino Linotype"/>
        </w:rPr>
        <w:endnoteReference w:id="12"/>
      </w:r>
      <w:r w:rsidR="00454E38" w:rsidRPr="005D44CC">
        <w:rPr>
          <w:rFonts w:ascii="Palatino Linotype" w:hAnsi="Palatino Linotype"/>
        </w:rPr>
        <w:t xml:space="preserve">  However, it is rather dubious to think</w:t>
      </w:r>
      <w:r w:rsidR="00D4712E" w:rsidRPr="005D44CC">
        <w:rPr>
          <w:rFonts w:ascii="Palatino Linotype" w:hAnsi="Palatino Linotype"/>
        </w:rPr>
        <w:t xml:space="preserve"> that</w:t>
      </w:r>
      <w:r w:rsidR="00454E38" w:rsidRPr="005D44CC">
        <w:rPr>
          <w:rFonts w:ascii="Palatino Linotype" w:hAnsi="Palatino Linotype"/>
        </w:rPr>
        <w:t xml:space="preserve"> Aristotle had no further insight into his master’s views on the historical relationship between these thinkers besides an offhand remark in a late popular dialogue.  Thus, this common skeptical reas</w:t>
      </w:r>
      <w:r w:rsidRPr="005D44CC">
        <w:rPr>
          <w:rFonts w:ascii="Palatino Linotype" w:hAnsi="Palatino Linotype"/>
        </w:rPr>
        <w:t>oning is quite spurious.  One</w:t>
      </w:r>
      <w:r w:rsidR="00454E38" w:rsidRPr="005D44CC">
        <w:rPr>
          <w:rFonts w:ascii="Palatino Linotype" w:hAnsi="Palatino Linotype"/>
        </w:rPr>
        <w:t xml:space="preserve"> source </w:t>
      </w:r>
      <w:r w:rsidRPr="005D44CC">
        <w:rPr>
          <w:rFonts w:ascii="Palatino Linotype" w:hAnsi="Palatino Linotype"/>
        </w:rPr>
        <w:t xml:space="preserve">does claim </w:t>
      </w:r>
      <w:r w:rsidR="00454E38" w:rsidRPr="005D44CC">
        <w:rPr>
          <w:rFonts w:ascii="Palatino Linotype" w:hAnsi="Palatino Linotype"/>
        </w:rPr>
        <w:t>that</w:t>
      </w:r>
      <w:r w:rsidRPr="005D44CC">
        <w:rPr>
          <w:rFonts w:ascii="Palatino Linotype" w:hAnsi="Palatino Linotype"/>
        </w:rPr>
        <w:t>,</w:t>
      </w:r>
      <w:r w:rsidR="00454E38" w:rsidRPr="005D44CC">
        <w:rPr>
          <w:rFonts w:ascii="Palatino Linotype" w:hAnsi="Palatino Linotype"/>
        </w:rPr>
        <w:t xml:space="preserve"> despite being a pupil of Xenophanes, Parmenides did not follow his teachings.</w:t>
      </w:r>
      <w:r w:rsidR="00454E38" w:rsidRPr="005D44CC">
        <w:rPr>
          <w:rStyle w:val="EndnoteReference"/>
          <w:rFonts w:ascii="Palatino Linotype" w:hAnsi="Palatino Linotype"/>
        </w:rPr>
        <w:endnoteReference w:id="13"/>
      </w:r>
      <w:r w:rsidR="00454E38" w:rsidRPr="005D44CC">
        <w:rPr>
          <w:rFonts w:ascii="Palatino Linotype" w:hAnsi="Palatino Linotype"/>
        </w:rPr>
        <w:t xml:space="preserve">  While this singular evidence cuts against my thesis that there are Xenophanean elements in Parmenides, it is undeniably an independent source</w:t>
      </w:r>
      <w:r w:rsidRPr="005D44CC">
        <w:rPr>
          <w:rFonts w:ascii="Palatino Linotype" w:hAnsi="Palatino Linotype"/>
        </w:rPr>
        <w:t xml:space="preserve">, </w:t>
      </w:r>
      <w:r w:rsidR="00454E38" w:rsidRPr="005D44CC">
        <w:rPr>
          <w:rFonts w:ascii="Palatino Linotype" w:hAnsi="Palatino Linotype"/>
        </w:rPr>
        <w:t xml:space="preserve">which </w:t>
      </w:r>
      <w:r w:rsidRPr="005D44CC">
        <w:rPr>
          <w:rFonts w:ascii="Palatino Linotype" w:hAnsi="Palatino Linotype"/>
        </w:rPr>
        <w:t>again</w:t>
      </w:r>
      <w:r w:rsidR="00454E38" w:rsidRPr="005D44CC">
        <w:rPr>
          <w:rFonts w:ascii="Palatino Linotype" w:hAnsi="Palatino Linotype"/>
        </w:rPr>
        <w:t xml:space="preserve"> imputes an historical relationship between these thinkers.  On balance, this evidence establishes a good </w:t>
      </w:r>
      <w:r w:rsidR="00454E38" w:rsidRPr="005D44CC">
        <w:rPr>
          <w:rFonts w:ascii="Palatino Linotype" w:hAnsi="Palatino Linotype"/>
          <w:i/>
        </w:rPr>
        <w:t xml:space="preserve">prima facie </w:t>
      </w:r>
      <w:r w:rsidR="00454E38" w:rsidRPr="005D44CC">
        <w:rPr>
          <w:rFonts w:ascii="Palatino Linotype" w:hAnsi="Palatino Linotype"/>
        </w:rPr>
        <w:t xml:space="preserve">case for a substantial influence on Parmenides by Xenophanes.  </w:t>
      </w:r>
    </w:p>
    <w:p w:rsidR="00454E38" w:rsidRPr="005D44CC" w:rsidRDefault="00454E38" w:rsidP="005D44CC">
      <w:pPr>
        <w:jc w:val="both"/>
        <w:rPr>
          <w:rFonts w:ascii="Palatino Linotype" w:hAnsi="Palatino Linotype"/>
        </w:rPr>
      </w:pPr>
    </w:p>
    <w:p w:rsidR="00454E38" w:rsidRPr="005D44CC" w:rsidRDefault="00454E38" w:rsidP="005D44CC">
      <w:pPr>
        <w:jc w:val="both"/>
        <w:rPr>
          <w:rFonts w:ascii="Palatino Linotype" w:hAnsi="Palatino Linotype"/>
          <w:b/>
        </w:rPr>
      </w:pPr>
      <w:r w:rsidRPr="005D44CC">
        <w:rPr>
          <w:rFonts w:ascii="Palatino Linotype" w:hAnsi="Palatino Linotype"/>
          <w:b/>
        </w:rPr>
        <w:t>Metaphysical &amp; Epistemological Parallels.</w:t>
      </w:r>
    </w:p>
    <w:p w:rsidR="00454E38" w:rsidRPr="005D44CC" w:rsidRDefault="00454E38" w:rsidP="005D44CC">
      <w:pPr>
        <w:jc w:val="both"/>
        <w:rPr>
          <w:rFonts w:ascii="Palatino Linotype" w:hAnsi="Palatino Linotype"/>
        </w:rPr>
      </w:pPr>
    </w:p>
    <w:p w:rsidR="00454E38" w:rsidRPr="005D44CC" w:rsidRDefault="00454E38" w:rsidP="005D44CC">
      <w:pPr>
        <w:ind w:firstLine="720"/>
        <w:jc w:val="both"/>
        <w:rPr>
          <w:rFonts w:ascii="Palatino Linotype" w:hAnsi="Palatino Linotype"/>
        </w:rPr>
      </w:pPr>
      <w:r w:rsidRPr="005D44CC">
        <w:rPr>
          <w:rFonts w:ascii="Palatino Linotype" w:hAnsi="Palatino Linotype"/>
        </w:rPr>
        <w:t>That there appear to be substantial metaphysical and epistemological parallels between these thinkers i</w:t>
      </w:r>
      <w:r w:rsidR="00DC067E" w:rsidRPr="005D44CC">
        <w:rPr>
          <w:rFonts w:ascii="Palatino Linotype" w:hAnsi="Palatino Linotype"/>
        </w:rPr>
        <w:t>s not terribly controversial, their presence</w:t>
      </w:r>
      <w:r w:rsidRPr="005D44CC">
        <w:rPr>
          <w:rFonts w:ascii="Palatino Linotype" w:hAnsi="Palatino Linotype"/>
        </w:rPr>
        <w:t xml:space="preserve"> widely noted by ancients and moderns alike.  Skeptics simply tend to emphasize the notable differences over the apparent similarities.  Thus, it is important to consider how closely these parallels hold, as well as how greatly they differ.  The greater the similarity, the less likely the parallel is a coincidence explained by a general cultural/intellectual milieu, and</w:t>
      </w:r>
      <w:r w:rsidR="00D4712E" w:rsidRPr="005D44CC">
        <w:rPr>
          <w:rFonts w:ascii="Palatino Linotype" w:hAnsi="Palatino Linotype"/>
        </w:rPr>
        <w:t xml:space="preserve"> the</w:t>
      </w:r>
      <w:r w:rsidRPr="005D44CC">
        <w:rPr>
          <w:rFonts w:ascii="Palatino Linotype" w:hAnsi="Palatino Linotype"/>
        </w:rPr>
        <w:t xml:space="preserve"> more likely</w:t>
      </w:r>
      <w:r w:rsidR="00D4712E" w:rsidRPr="005D44CC">
        <w:rPr>
          <w:rFonts w:ascii="Palatino Linotype" w:hAnsi="Palatino Linotype"/>
        </w:rPr>
        <w:t xml:space="preserve"> it is</w:t>
      </w:r>
      <w:r w:rsidRPr="005D44CC">
        <w:rPr>
          <w:rFonts w:ascii="Palatino Linotype" w:hAnsi="Palatino Linotype"/>
        </w:rPr>
        <w:t xml:space="preserve"> to be a direct influence. </w:t>
      </w:r>
    </w:p>
    <w:p w:rsidR="00454E38" w:rsidRPr="005D44CC" w:rsidRDefault="00454E38" w:rsidP="005D44CC">
      <w:pPr>
        <w:ind w:firstLine="720"/>
        <w:jc w:val="both"/>
        <w:rPr>
          <w:rFonts w:ascii="Palatino Linotype" w:hAnsi="Palatino Linotype"/>
        </w:rPr>
      </w:pPr>
      <w:r w:rsidRPr="005D44CC">
        <w:rPr>
          <w:rFonts w:ascii="Palatino Linotype" w:hAnsi="Palatino Linotype"/>
        </w:rPr>
        <w:t xml:space="preserve">The first metaphysical parallel to consider is the claim that both held “all things,” or the “entire cosmos,” to be just one unchanging thing (monism)—at least in </w:t>
      </w:r>
      <w:r w:rsidRPr="005D44CC">
        <w:rPr>
          <w:rFonts w:ascii="Palatino Linotype" w:hAnsi="Palatino Linotype"/>
          <w:i/>
        </w:rPr>
        <w:t>some</w:t>
      </w:r>
      <w:r w:rsidRPr="005D44CC">
        <w:rPr>
          <w:rFonts w:ascii="Palatino Linotype" w:hAnsi="Palatino Linotype"/>
        </w:rPr>
        <w:t xml:space="preserve"> sense.</w:t>
      </w:r>
      <w:r w:rsidRPr="005D44CC">
        <w:rPr>
          <w:rStyle w:val="EndnoteReference"/>
          <w:rFonts w:ascii="Palatino Linotype" w:hAnsi="Palatino Linotype"/>
        </w:rPr>
        <w:endnoteReference w:id="14"/>
      </w:r>
      <w:r w:rsidRPr="005D44CC">
        <w:rPr>
          <w:rFonts w:ascii="Palatino Linotype" w:hAnsi="Palatino Linotype"/>
        </w:rPr>
        <w:t xml:space="preserve">  This supposed defining characteristic of Eleaticism is first mentioned by Plato.</w:t>
      </w:r>
      <w:r w:rsidRPr="005D44CC">
        <w:rPr>
          <w:rStyle w:val="EndnoteReference"/>
          <w:rFonts w:ascii="Palatino Linotype" w:hAnsi="Palatino Linotype"/>
        </w:rPr>
        <w:endnoteReference w:id="15"/>
      </w:r>
      <w:r w:rsidRPr="005D44CC">
        <w:rPr>
          <w:rFonts w:ascii="Palatino Linotype" w:hAnsi="Palatino Linotype"/>
        </w:rPr>
        <w:t xml:space="preserve">  Aristotle appears to agree with this, noting that Xenophanes held the entire cosmos to be one thing—God.</w:t>
      </w:r>
      <w:r w:rsidRPr="005D44CC">
        <w:rPr>
          <w:rStyle w:val="EndnoteReference"/>
          <w:rFonts w:ascii="Palatino Linotype" w:hAnsi="Palatino Linotype"/>
        </w:rPr>
        <w:endnoteReference w:id="16"/>
      </w:r>
      <w:r w:rsidRPr="005D44CC">
        <w:rPr>
          <w:rFonts w:ascii="Palatino Linotype" w:hAnsi="Palatino Linotype"/>
        </w:rPr>
        <w:t xml:space="preserve">  However, the extant fragments do not explicitly support these claims, nor is it easy to make interpretative sense of this view in relation to the texts overall. It is more </w:t>
      </w:r>
      <w:r w:rsidRPr="005D44CC">
        <w:rPr>
          <w:rFonts w:ascii="Palatino Linotype" w:hAnsi="Palatino Linotype"/>
        </w:rPr>
        <w:lastRenderedPageBreak/>
        <w:t xml:space="preserve">likely that Plato and Aristotle are erroneously imputing the views of Melissus and Zeno back onto Parmenides and Xenophanes </w:t>
      </w:r>
    </w:p>
    <w:p w:rsidR="00454E38" w:rsidRPr="005D44CC" w:rsidRDefault="00454E38" w:rsidP="005D44CC">
      <w:pPr>
        <w:ind w:firstLine="720"/>
        <w:jc w:val="both"/>
        <w:rPr>
          <w:rFonts w:ascii="Palatino Linotype" w:hAnsi="Palatino Linotype"/>
        </w:rPr>
      </w:pPr>
      <w:r w:rsidRPr="005D44CC">
        <w:rPr>
          <w:rFonts w:ascii="Palatino Linotype" w:hAnsi="Palatino Linotype"/>
        </w:rPr>
        <w:t>There is another metaphysical parallel upon which a shared “Eleatic” tradition could be grounded, and it is textually undeniable.  Xenophanes’</w:t>
      </w:r>
      <w:r w:rsidR="00D4712E" w:rsidRPr="005D44CC">
        <w:rPr>
          <w:rFonts w:ascii="Palatino Linotype" w:hAnsi="Palatino Linotype"/>
        </w:rPr>
        <w:t>s</w:t>
      </w:r>
      <w:r w:rsidRPr="005D44CC">
        <w:rPr>
          <w:rFonts w:ascii="Palatino Linotype" w:hAnsi="Palatino Linotype"/>
        </w:rPr>
        <w:t xml:space="preserve"> God is: supreme (</w:t>
      </w:r>
      <w:r w:rsidRPr="005D44CC">
        <w:rPr>
          <w:rFonts w:ascii="Palatino Linotype" w:hAnsi="Palatino Linotype"/>
          <w:lang w:val="el-GR"/>
        </w:rPr>
        <w:t>μέγιστος</w:t>
      </w:r>
      <w:r w:rsidRPr="005D44CC">
        <w:rPr>
          <w:rFonts w:ascii="Palatino Linotype" w:hAnsi="Palatino Linotype"/>
        </w:rPr>
        <w:t>), transcendent (</w:t>
      </w:r>
      <w:r w:rsidRPr="005D44CC">
        <w:rPr>
          <w:rFonts w:ascii="Palatino Linotype" w:hAnsi="Palatino Linotype"/>
          <w:lang w:val="el-GR"/>
        </w:rPr>
        <w:t>οὔτι</w:t>
      </w:r>
      <w:r w:rsidRPr="005D44CC">
        <w:rPr>
          <w:rFonts w:ascii="Palatino Linotype" w:hAnsi="Palatino Linotype"/>
        </w:rPr>
        <w:t xml:space="preserve"> </w:t>
      </w:r>
      <w:r w:rsidRPr="005D44CC">
        <w:rPr>
          <w:rFonts w:ascii="Palatino Linotype" w:hAnsi="Palatino Linotype"/>
          <w:lang w:val="el-GR"/>
        </w:rPr>
        <w:t>δέμας</w:t>
      </w:r>
      <w:r w:rsidRPr="005D44CC">
        <w:rPr>
          <w:rFonts w:ascii="Palatino Linotype" w:hAnsi="Palatino Linotype"/>
        </w:rPr>
        <w:t xml:space="preserve"> </w:t>
      </w:r>
      <w:r w:rsidRPr="005D44CC">
        <w:rPr>
          <w:rFonts w:ascii="Palatino Linotype" w:hAnsi="Palatino Linotype"/>
          <w:lang w:val="el-GR"/>
        </w:rPr>
        <w:t>θνητοῖσιν</w:t>
      </w:r>
      <w:r w:rsidRPr="005D44CC">
        <w:rPr>
          <w:rFonts w:ascii="Palatino Linotype" w:hAnsi="Palatino Linotype"/>
        </w:rPr>
        <w:t xml:space="preserve"> </w:t>
      </w:r>
      <w:r w:rsidRPr="005D44CC">
        <w:rPr>
          <w:rFonts w:ascii="Palatino Linotype" w:hAnsi="Palatino Linotype"/>
          <w:lang w:val="el-GR"/>
        </w:rPr>
        <w:t>ὁμοίιος</w:t>
      </w:r>
      <w:r w:rsidRPr="005D44CC">
        <w:rPr>
          <w:rFonts w:ascii="Palatino Linotype" w:hAnsi="Palatino Linotype"/>
        </w:rPr>
        <w:t xml:space="preserve"> </w:t>
      </w:r>
      <w:r w:rsidRPr="005D44CC">
        <w:rPr>
          <w:rFonts w:ascii="Palatino Linotype" w:hAnsi="Palatino Linotype"/>
          <w:lang w:val="el-GR"/>
        </w:rPr>
        <w:t>οὔτε</w:t>
      </w:r>
      <w:r w:rsidRPr="005D44CC">
        <w:rPr>
          <w:rFonts w:ascii="Palatino Linotype" w:hAnsi="Palatino Linotype"/>
        </w:rPr>
        <w:t xml:space="preserve"> </w:t>
      </w:r>
      <w:r w:rsidRPr="005D44CC">
        <w:rPr>
          <w:rFonts w:ascii="Palatino Linotype" w:hAnsi="Palatino Linotype"/>
          <w:lang w:val="el-GR"/>
        </w:rPr>
        <w:t>νόημα</w:t>
      </w:r>
      <w:r w:rsidRPr="005D44CC">
        <w:rPr>
          <w:rFonts w:ascii="Palatino Linotype" w:hAnsi="Palatino Linotype"/>
        </w:rPr>
        <w:t>),</w:t>
      </w:r>
      <w:r w:rsidRPr="005D44CC">
        <w:rPr>
          <w:rStyle w:val="EndnoteReference"/>
          <w:rFonts w:ascii="Palatino Linotype" w:hAnsi="Palatino Linotype"/>
        </w:rPr>
        <w:endnoteReference w:id="17"/>
      </w:r>
      <w:r w:rsidRPr="005D44CC">
        <w:rPr>
          <w:rFonts w:ascii="Palatino Linotype" w:hAnsi="Palatino Linotype"/>
        </w:rPr>
        <w:t xml:space="preserve"> unified (</w:t>
      </w:r>
      <w:r w:rsidRPr="005D44CC">
        <w:rPr>
          <w:rFonts w:ascii="Palatino Linotype" w:hAnsi="Palatino Linotype"/>
          <w:lang w:val="el-GR"/>
        </w:rPr>
        <w:t>οὖλος</w:t>
      </w:r>
      <w:r w:rsidRPr="005D44CC">
        <w:rPr>
          <w:rFonts w:ascii="Palatino Linotype" w:hAnsi="Palatino Linotype"/>
        </w:rPr>
        <w:t>) in being and senses,</w:t>
      </w:r>
      <w:r w:rsidRPr="005D44CC">
        <w:rPr>
          <w:rStyle w:val="EndnoteReference"/>
          <w:rFonts w:ascii="Palatino Linotype" w:hAnsi="Palatino Linotype"/>
        </w:rPr>
        <w:endnoteReference w:id="18"/>
      </w:r>
      <w:r w:rsidRPr="005D44CC">
        <w:rPr>
          <w:rFonts w:ascii="Palatino Linotype" w:hAnsi="Palatino Linotype"/>
        </w:rPr>
        <w:t xml:space="preserve"> entirely still and unmoving (</w:t>
      </w:r>
      <w:r w:rsidRPr="005D44CC">
        <w:rPr>
          <w:rFonts w:ascii="Palatino Linotype" w:hAnsi="Palatino Linotype"/>
          <w:lang w:val="el-GR"/>
        </w:rPr>
        <w:t>αἰεὶ</w:t>
      </w:r>
      <w:r w:rsidRPr="005D44CC">
        <w:rPr>
          <w:rFonts w:ascii="Palatino Linotype" w:hAnsi="Palatino Linotype"/>
        </w:rPr>
        <w:t xml:space="preserve"> </w:t>
      </w:r>
      <w:r w:rsidRPr="005D44CC">
        <w:rPr>
          <w:rFonts w:ascii="Palatino Linotype" w:hAnsi="Palatino Linotype"/>
          <w:lang w:val="el-GR"/>
        </w:rPr>
        <w:t>δ</w:t>
      </w:r>
      <w:r w:rsidRPr="005D44CC">
        <w:rPr>
          <w:rFonts w:ascii="Palatino Linotype" w:hAnsi="Palatino Linotype"/>
        </w:rPr>
        <w:t>’</w:t>
      </w:r>
      <w:r w:rsidRPr="005D44CC">
        <w:rPr>
          <w:rFonts w:ascii="Palatino Linotype" w:hAnsi="Palatino Linotype"/>
          <w:lang w:val="el-GR"/>
        </w:rPr>
        <w:t>ἐν</w:t>
      </w:r>
      <w:r w:rsidRPr="005D44CC">
        <w:rPr>
          <w:rFonts w:ascii="Palatino Linotype" w:hAnsi="Palatino Linotype"/>
        </w:rPr>
        <w:t xml:space="preserve"> </w:t>
      </w:r>
      <w:r w:rsidRPr="005D44CC">
        <w:rPr>
          <w:rFonts w:ascii="Palatino Linotype" w:hAnsi="Palatino Linotype"/>
          <w:lang w:val="el-GR"/>
        </w:rPr>
        <w:t>ταὺτῷ</w:t>
      </w:r>
      <w:r w:rsidRPr="005D44CC">
        <w:rPr>
          <w:rFonts w:ascii="Palatino Linotype" w:hAnsi="Palatino Linotype"/>
        </w:rPr>
        <w:t xml:space="preserve"> </w:t>
      </w:r>
      <w:r w:rsidRPr="005D44CC">
        <w:rPr>
          <w:rFonts w:ascii="Palatino Linotype" w:hAnsi="Palatino Linotype"/>
          <w:lang w:val="el-GR"/>
        </w:rPr>
        <w:t>κινοὐμενος</w:t>
      </w:r>
      <w:r w:rsidRPr="005D44CC">
        <w:rPr>
          <w:rFonts w:ascii="Palatino Linotype" w:hAnsi="Palatino Linotype"/>
        </w:rPr>
        <w:t xml:space="preserve"> </w:t>
      </w:r>
      <w:r w:rsidRPr="005D44CC">
        <w:rPr>
          <w:rFonts w:ascii="Palatino Linotype" w:hAnsi="Palatino Linotype"/>
          <w:lang w:val="el-GR"/>
        </w:rPr>
        <w:t>οὐδἐν</w:t>
      </w:r>
      <w:r w:rsidRPr="005D44CC">
        <w:rPr>
          <w:rFonts w:ascii="Palatino Linotype" w:hAnsi="Palatino Linotype"/>
        </w:rPr>
        <w:t>...),</w:t>
      </w:r>
      <w:r w:rsidRPr="005D44CC">
        <w:rPr>
          <w:rStyle w:val="EndnoteReference"/>
          <w:rFonts w:ascii="Palatino Linotype" w:hAnsi="Palatino Linotype"/>
        </w:rPr>
        <w:endnoteReference w:id="19"/>
      </w:r>
      <w:r w:rsidRPr="005D44CC">
        <w:rPr>
          <w:rFonts w:ascii="Palatino Linotype" w:hAnsi="Palatino Linotype"/>
        </w:rPr>
        <w:t xml:space="preserve"> morally perfect,</w:t>
      </w:r>
      <w:r w:rsidRPr="005D44CC">
        <w:rPr>
          <w:rStyle w:val="EndnoteReference"/>
          <w:rFonts w:ascii="Palatino Linotype" w:hAnsi="Palatino Linotype"/>
        </w:rPr>
        <w:endnoteReference w:id="20"/>
      </w:r>
      <w:r w:rsidRPr="005D44CC">
        <w:rPr>
          <w:rFonts w:ascii="Palatino Linotype" w:hAnsi="Palatino Linotype"/>
        </w:rPr>
        <w:t xml:space="preserve"> and eternal.</w:t>
      </w:r>
      <w:r w:rsidRPr="005D44CC">
        <w:rPr>
          <w:rStyle w:val="EndnoteReference"/>
          <w:rFonts w:ascii="Palatino Linotype" w:hAnsi="Palatino Linotype"/>
        </w:rPr>
        <w:endnoteReference w:id="21"/>
      </w:r>
      <w:r w:rsidRPr="005D44CC">
        <w:rPr>
          <w:rFonts w:ascii="Palatino Linotype" w:hAnsi="Palatino Linotype"/>
        </w:rPr>
        <w:t xml:space="preserve">  Similarly, Parmenides’s arguments explicate some (kind of?) entity (i.e. “What Is”), which is concluded to be:  eternal [both ungenerated (</w:t>
      </w:r>
      <w:r w:rsidRPr="005D44CC">
        <w:rPr>
          <w:rFonts w:ascii="Palatino Linotype" w:hAnsi="Palatino Linotype"/>
          <w:lang w:val="el-GR"/>
        </w:rPr>
        <w:t>ἀγένητον</w:t>
      </w:r>
      <w:r w:rsidRPr="005D44CC">
        <w:rPr>
          <w:rFonts w:ascii="Palatino Linotype" w:hAnsi="Palatino Linotype"/>
        </w:rPr>
        <w:t>) and imperishable (</w:t>
      </w:r>
      <w:r w:rsidRPr="005D44CC">
        <w:rPr>
          <w:rFonts w:ascii="Palatino Linotype" w:hAnsi="Palatino Linotype"/>
          <w:lang w:val="el-GR"/>
        </w:rPr>
        <w:t>ἀνώλεθρόν</w:t>
      </w:r>
      <w:r w:rsidRPr="005D44CC">
        <w:rPr>
          <w:rFonts w:ascii="Palatino Linotype" w:hAnsi="Palatino Linotype"/>
        </w:rPr>
        <w:t>)], unified (</w:t>
      </w:r>
      <w:r w:rsidRPr="005D44CC">
        <w:rPr>
          <w:rFonts w:ascii="Palatino Linotype" w:hAnsi="Palatino Linotype"/>
          <w:lang w:val="el-GR"/>
        </w:rPr>
        <w:t>οὖλον</w:t>
      </w:r>
      <w:r w:rsidRPr="005D44CC">
        <w:rPr>
          <w:rFonts w:ascii="Palatino Linotype" w:hAnsi="Palatino Linotype"/>
        </w:rPr>
        <w:t>), unique (</w:t>
      </w:r>
      <w:r w:rsidRPr="005D44CC">
        <w:rPr>
          <w:rFonts w:ascii="Palatino Linotype" w:hAnsi="Palatino Linotype"/>
          <w:lang w:val="el-GR"/>
        </w:rPr>
        <w:t>μουνογενές</w:t>
      </w:r>
      <w:r w:rsidRPr="005D44CC">
        <w:rPr>
          <w:rFonts w:ascii="Palatino Linotype" w:hAnsi="Palatino Linotype"/>
        </w:rPr>
        <w:t>), motionless (</w:t>
      </w:r>
      <w:r w:rsidRPr="005D44CC">
        <w:rPr>
          <w:rFonts w:ascii="Palatino Linotype" w:hAnsi="Palatino Linotype"/>
          <w:lang w:val="el-GR"/>
        </w:rPr>
        <w:t>ἀτρεμὲς</w:t>
      </w:r>
      <w:r w:rsidRPr="005D44CC">
        <w:rPr>
          <w:rFonts w:ascii="Palatino Linotype" w:hAnsi="Palatino Linotype"/>
        </w:rPr>
        <w:t>), and perfect (</w:t>
      </w:r>
      <w:r w:rsidRPr="005D44CC">
        <w:rPr>
          <w:rFonts w:ascii="Palatino Linotype" w:hAnsi="Palatino Linotype"/>
          <w:lang w:val="el-GR"/>
        </w:rPr>
        <w:t>τέλεστον</w:t>
      </w:r>
      <w:r w:rsidRPr="005D44CC">
        <w:rPr>
          <w:rFonts w:ascii="Palatino Linotype" w:hAnsi="Palatino Linotype"/>
        </w:rPr>
        <w:t>).</w:t>
      </w:r>
      <w:r w:rsidRPr="005D44CC">
        <w:rPr>
          <w:rStyle w:val="EndnoteReference"/>
          <w:rFonts w:ascii="Palatino Linotype" w:hAnsi="Palatino Linotype"/>
        </w:rPr>
        <w:endnoteReference w:id="22"/>
      </w:r>
      <w:r w:rsidRPr="005D44CC">
        <w:rPr>
          <w:rFonts w:ascii="Palatino Linotype" w:hAnsi="Palatino Linotype"/>
        </w:rPr>
        <w:t xml:space="preserve">  Parmenides’</w:t>
      </w:r>
      <w:r w:rsidR="00D4712E" w:rsidRPr="005D44CC">
        <w:rPr>
          <w:rFonts w:ascii="Palatino Linotype" w:hAnsi="Palatino Linotype"/>
        </w:rPr>
        <w:t>s</w:t>
      </w:r>
      <w:r w:rsidRPr="005D44CC">
        <w:rPr>
          <w:rFonts w:ascii="Palatino Linotype" w:hAnsi="Palatino Linotype"/>
        </w:rPr>
        <w:t xml:space="preserve"> </w:t>
      </w:r>
      <w:r w:rsidR="00D4712E" w:rsidRPr="005D44CC">
        <w:rPr>
          <w:rFonts w:ascii="Palatino Linotype" w:hAnsi="Palatino Linotype"/>
        </w:rPr>
        <w:t>“</w:t>
      </w:r>
      <w:r w:rsidRPr="005D44CC">
        <w:rPr>
          <w:rFonts w:ascii="Palatino Linotype" w:hAnsi="Palatino Linotype"/>
        </w:rPr>
        <w:t>What Is</w:t>
      </w:r>
      <w:r w:rsidR="00D4712E" w:rsidRPr="005D44CC">
        <w:rPr>
          <w:rFonts w:ascii="Palatino Linotype" w:hAnsi="Palatino Linotype"/>
        </w:rPr>
        <w:t>”</w:t>
      </w:r>
      <w:r w:rsidRPr="005D44CC">
        <w:rPr>
          <w:rFonts w:ascii="Palatino Linotype" w:hAnsi="Palatino Linotype"/>
        </w:rPr>
        <w:t xml:space="preserve"> might also be inferred to be transcendent, </w:t>
      </w:r>
      <w:r w:rsidR="00D4712E" w:rsidRPr="005D44CC">
        <w:rPr>
          <w:rFonts w:ascii="Palatino Linotype" w:hAnsi="Palatino Linotype"/>
        </w:rPr>
        <w:t>since</w:t>
      </w:r>
      <w:r w:rsidRPr="005D44CC">
        <w:rPr>
          <w:rFonts w:ascii="Palatino Linotype" w:hAnsi="Palatino Linotype"/>
        </w:rPr>
        <w:t xml:space="preserve"> knowledge of its nature is beyond the sense perception of mortals.  In short, both hold the most fundamental metaphysical entities in their respective systems to be: motionless, changeless, unified and complete, transcendent and (in some sense) perfect.</w:t>
      </w:r>
      <w:r w:rsidRPr="005D44CC">
        <w:rPr>
          <w:rStyle w:val="EndnoteReference"/>
          <w:rFonts w:ascii="Palatino Linotype" w:hAnsi="Palatino Linotype" w:cs="Times New Roman"/>
          <w:szCs w:val="24"/>
        </w:rPr>
        <w:endnoteReference w:id="23"/>
      </w:r>
      <w:r w:rsidRPr="005D44CC">
        <w:rPr>
          <w:rFonts w:ascii="Palatino Linotype" w:hAnsi="Palatino Linotype"/>
        </w:rPr>
        <w:t xml:space="preserve">  </w:t>
      </w:r>
    </w:p>
    <w:p w:rsidR="00454E38" w:rsidRPr="005D44CC" w:rsidRDefault="00454E38" w:rsidP="005D44CC">
      <w:pPr>
        <w:ind w:firstLine="720"/>
        <w:jc w:val="both"/>
        <w:rPr>
          <w:rFonts w:ascii="Palatino Linotype" w:hAnsi="Palatino Linotype"/>
        </w:rPr>
      </w:pPr>
      <w:r w:rsidRPr="005D44CC">
        <w:rPr>
          <w:rFonts w:ascii="Palatino Linotype" w:hAnsi="Palatino Linotype"/>
        </w:rPr>
        <w:t xml:space="preserve"> There are least two notable dissimilarities here.  First, Parmenides never explicitly describes What-Is as “divine” in the extant fragments, whereas Xenophanes makes this explicit.  Second, Xenophanes’ God possesses a causal, cosmic efficacy through thought alone, and this feature is also absent from Parmenides’ description of </w:t>
      </w:r>
      <w:r w:rsidR="00D4712E" w:rsidRPr="005D44CC">
        <w:rPr>
          <w:rFonts w:ascii="Palatino Linotype" w:hAnsi="Palatino Linotype"/>
        </w:rPr>
        <w:t>“</w:t>
      </w:r>
      <w:r w:rsidRPr="005D44CC">
        <w:rPr>
          <w:rFonts w:ascii="Palatino Linotype" w:hAnsi="Palatino Linotype"/>
        </w:rPr>
        <w:t>What Is</w:t>
      </w:r>
      <w:r w:rsidR="00D4712E" w:rsidRPr="005D44CC">
        <w:rPr>
          <w:rFonts w:ascii="Palatino Linotype" w:hAnsi="Palatino Linotype"/>
        </w:rPr>
        <w:t>”</w:t>
      </w:r>
      <w:r w:rsidRPr="005D44CC">
        <w:rPr>
          <w:rFonts w:ascii="Palatino Linotype" w:hAnsi="Palatino Linotype"/>
        </w:rPr>
        <w:t>.</w:t>
      </w:r>
      <w:r w:rsidRPr="005D44CC">
        <w:rPr>
          <w:rStyle w:val="EndnoteReference"/>
          <w:rFonts w:ascii="Palatino Linotype" w:hAnsi="Palatino Linotype"/>
        </w:rPr>
        <w:endnoteReference w:id="24"/>
      </w:r>
      <w:r w:rsidRPr="005D44CC">
        <w:rPr>
          <w:rFonts w:ascii="Palatino Linotype" w:hAnsi="Palatino Linotype"/>
        </w:rPr>
        <w:t xml:space="preserve">  Given the completeness of the fragment describing the nature of </w:t>
      </w:r>
      <w:r w:rsidR="00D4712E" w:rsidRPr="005D44CC">
        <w:rPr>
          <w:rFonts w:ascii="Palatino Linotype" w:hAnsi="Palatino Linotype"/>
        </w:rPr>
        <w:t>“</w:t>
      </w:r>
      <w:r w:rsidRPr="005D44CC">
        <w:rPr>
          <w:rFonts w:ascii="Palatino Linotype" w:hAnsi="Palatino Linotype"/>
        </w:rPr>
        <w:t>What-Is</w:t>
      </w:r>
      <w:r w:rsidR="00D4712E" w:rsidRPr="005D44CC">
        <w:rPr>
          <w:rFonts w:ascii="Palatino Linotype" w:hAnsi="Palatino Linotype"/>
        </w:rPr>
        <w:t>” (DK B8)</w:t>
      </w:r>
      <w:r w:rsidRPr="005D44CC">
        <w:rPr>
          <w:rFonts w:ascii="Palatino Linotype" w:hAnsi="Palatino Linotype"/>
        </w:rPr>
        <w:t xml:space="preserve">, it seems unlikely that the textual evidence for these characteristics is simply missing.  </w:t>
      </w:r>
    </w:p>
    <w:p w:rsidR="00454E38" w:rsidRPr="005D44CC" w:rsidRDefault="00454E38" w:rsidP="005D44CC">
      <w:pPr>
        <w:jc w:val="both"/>
        <w:rPr>
          <w:rFonts w:ascii="Palatino Linotype" w:hAnsi="Palatino Linotype"/>
        </w:rPr>
      </w:pPr>
      <w:r w:rsidRPr="005D44CC">
        <w:rPr>
          <w:rFonts w:ascii="Palatino Linotype" w:hAnsi="Palatino Linotype"/>
        </w:rPr>
        <w:tab/>
        <w:t xml:space="preserve">Epistemically, both thinkers seem particularly concerned with the gap between divine and mortal knowledge, and whether </w:t>
      </w:r>
      <w:r w:rsidR="00D4712E" w:rsidRPr="005D44CC">
        <w:rPr>
          <w:rFonts w:ascii="Palatino Linotype" w:hAnsi="Palatino Linotype"/>
        </w:rPr>
        <w:t>it</w:t>
      </w:r>
      <w:r w:rsidRPr="005D44CC">
        <w:rPr>
          <w:rFonts w:ascii="Palatino Linotype" w:hAnsi="Palatino Linotype"/>
        </w:rPr>
        <w:t xml:space="preserve"> could be overcome by mortals.</w:t>
      </w:r>
      <w:r w:rsidRPr="005D44CC">
        <w:rPr>
          <w:rStyle w:val="EndnoteReference"/>
          <w:rFonts w:ascii="Palatino Linotype" w:hAnsi="Palatino Linotype"/>
        </w:rPr>
        <w:endnoteReference w:id="25"/>
      </w:r>
      <w:r w:rsidRPr="005D44CC">
        <w:rPr>
          <w:rFonts w:ascii="Palatino Linotype" w:hAnsi="Palatino Linotype"/>
        </w:rPr>
        <w:t xml:space="preserve"> Xenophanes not only criticizes mortals for their erroneous claims about the gods,</w:t>
      </w:r>
      <w:r w:rsidRPr="005D44CC">
        <w:rPr>
          <w:rStyle w:val="EndnoteReference"/>
          <w:rFonts w:ascii="Palatino Linotype" w:hAnsi="Palatino Linotype"/>
        </w:rPr>
        <w:endnoteReference w:id="26"/>
      </w:r>
      <w:r w:rsidRPr="005D44CC">
        <w:rPr>
          <w:rFonts w:ascii="Palatino Linotype" w:hAnsi="Palatino Linotype"/>
        </w:rPr>
        <w:t xml:space="preserve"> and</w:t>
      </w:r>
      <w:r w:rsidR="00D4712E" w:rsidRPr="005D44CC">
        <w:rPr>
          <w:rFonts w:ascii="Palatino Linotype" w:hAnsi="Palatino Linotype"/>
        </w:rPr>
        <w:t xml:space="preserve"> says</w:t>
      </w:r>
      <w:r w:rsidRPr="005D44CC">
        <w:rPr>
          <w:rFonts w:ascii="Palatino Linotype" w:hAnsi="Palatino Linotype"/>
        </w:rPr>
        <w:t xml:space="preserve"> that the gods have not revealed all things to mortals,</w:t>
      </w:r>
      <w:r w:rsidRPr="005D44CC">
        <w:rPr>
          <w:rStyle w:val="EndnoteReference"/>
          <w:rFonts w:ascii="Palatino Linotype" w:hAnsi="Palatino Linotype"/>
        </w:rPr>
        <w:endnoteReference w:id="27"/>
      </w:r>
      <w:r w:rsidRPr="005D44CC">
        <w:rPr>
          <w:rFonts w:ascii="Palatino Linotype" w:hAnsi="Palatino Linotype"/>
        </w:rPr>
        <w:t xml:space="preserve"> but</w:t>
      </w:r>
      <w:r w:rsidR="00D4712E" w:rsidRPr="005D44CC">
        <w:rPr>
          <w:rFonts w:ascii="Palatino Linotype" w:hAnsi="Palatino Linotype"/>
        </w:rPr>
        <w:t xml:space="preserve"> he also claims</w:t>
      </w:r>
      <w:r w:rsidRPr="005D44CC">
        <w:rPr>
          <w:rFonts w:ascii="Palatino Linotype" w:hAnsi="Palatino Linotype"/>
        </w:rPr>
        <w:t xml:space="preserve"> that mortals can never have certain knowledge about either the gods or anything else.</w:t>
      </w:r>
      <w:r w:rsidRPr="005D44CC">
        <w:rPr>
          <w:rStyle w:val="EndnoteReference"/>
          <w:rFonts w:ascii="Palatino Linotype" w:hAnsi="Palatino Linotype"/>
        </w:rPr>
        <w:endnoteReference w:id="28"/>
      </w:r>
      <w:r w:rsidRPr="005D44CC">
        <w:rPr>
          <w:rFonts w:ascii="Palatino Linotype" w:hAnsi="Palatino Linotype"/>
        </w:rPr>
        <w:t xml:space="preserve"> Parmenides similarly denigrates mortal views repeatedly throughout his poem, indicating not only that mortals are mistaken about some important topics,</w:t>
      </w:r>
      <w:r w:rsidRPr="005D44CC">
        <w:rPr>
          <w:rStyle w:val="EndnoteReference"/>
          <w:rFonts w:ascii="Palatino Linotype" w:hAnsi="Palatino Linotype"/>
        </w:rPr>
        <w:endnoteReference w:id="29"/>
      </w:r>
      <w:r w:rsidRPr="005D44CC">
        <w:rPr>
          <w:rFonts w:ascii="Palatino Linotype" w:hAnsi="Palatino Linotype"/>
        </w:rPr>
        <w:t xml:space="preserve"> but describing them as entirely lacking in understanding and judgment.</w:t>
      </w:r>
      <w:r w:rsidRPr="005D44CC">
        <w:rPr>
          <w:rStyle w:val="EndnoteReference"/>
          <w:rFonts w:ascii="Palatino Linotype" w:hAnsi="Palatino Linotype"/>
        </w:rPr>
        <w:endnoteReference w:id="30"/>
      </w:r>
      <w:r w:rsidRPr="005D44CC">
        <w:rPr>
          <w:rFonts w:ascii="Palatino Linotype" w:hAnsi="Palatino Linotype"/>
        </w:rPr>
        <w:t xml:space="preserve">  Both clearly think mortals face significant epistemic limitations.  </w:t>
      </w:r>
    </w:p>
    <w:p w:rsidR="00454E38" w:rsidRPr="005D44CC" w:rsidRDefault="00454E38" w:rsidP="005D44CC">
      <w:pPr>
        <w:ind w:firstLine="720"/>
        <w:jc w:val="both"/>
        <w:rPr>
          <w:rFonts w:ascii="Palatino Linotype" w:hAnsi="Palatino Linotype"/>
        </w:rPr>
      </w:pPr>
      <w:r w:rsidRPr="005D44CC">
        <w:rPr>
          <w:rFonts w:ascii="Palatino Linotype" w:hAnsi="Palatino Linotype"/>
        </w:rPr>
        <w:t xml:space="preserve">Yet, </w:t>
      </w:r>
      <w:r w:rsidR="0029133C" w:rsidRPr="005D44CC">
        <w:rPr>
          <w:rFonts w:ascii="Palatino Linotype" w:hAnsi="Palatino Linotype"/>
        </w:rPr>
        <w:t xml:space="preserve">once again </w:t>
      </w:r>
      <w:r w:rsidRPr="005D44CC">
        <w:rPr>
          <w:rFonts w:ascii="Palatino Linotype" w:hAnsi="Palatino Linotype"/>
        </w:rPr>
        <w:t>there are substantive differences.  Whereas Xenophanes seems to outright deny that mortals can ever truly possess genuine knowledge, Parmenides must implicitly hold that mortal ignorance can be overcome</w:t>
      </w:r>
      <w:r w:rsidRPr="005D44CC">
        <w:rPr>
          <w:rStyle w:val="EndnoteReference"/>
          <w:rFonts w:ascii="Palatino Linotype" w:hAnsi="Palatino Linotype"/>
        </w:rPr>
        <w:t>.</w:t>
      </w:r>
      <w:r w:rsidRPr="005D44CC">
        <w:rPr>
          <w:rStyle w:val="EndnoteReference"/>
          <w:rFonts w:ascii="Palatino Linotype" w:hAnsi="Palatino Linotype"/>
        </w:rPr>
        <w:endnoteReference w:id="31"/>
      </w:r>
      <w:r w:rsidRPr="005D44CC">
        <w:rPr>
          <w:rFonts w:ascii="Palatino Linotype" w:hAnsi="Palatino Linotype"/>
        </w:rPr>
        <w:t xml:space="preserve"> Otherwise, the very mortal philosopher-youth in his poem could not hope to gain reliable knowledge from the poem’s spokes-goddess (nor could the readers/listeners of the poem).   </w:t>
      </w:r>
    </w:p>
    <w:p w:rsidR="00454E38" w:rsidRPr="005D44CC" w:rsidRDefault="00454E38" w:rsidP="005D44CC">
      <w:pPr>
        <w:ind w:firstLine="720"/>
        <w:jc w:val="both"/>
        <w:rPr>
          <w:rFonts w:ascii="Palatino Linotype" w:hAnsi="Palatino Linotype"/>
        </w:rPr>
      </w:pPr>
      <w:r w:rsidRPr="005D44CC">
        <w:rPr>
          <w:rFonts w:ascii="Palatino Linotype" w:hAnsi="Palatino Linotype"/>
        </w:rPr>
        <w:t xml:space="preserve">These philosophical parallels alone are probably insufficient to make any strong determinations:  the dissimilarities can be emphasized to serve as evidence against a close intellectual heritage just as easily as the close similarities can support one.  However, similarities are generally more suggestive than differences.  Close similarities make coincidence unlikely, as is the case here.  And, substantive differences in conjunction with close similarities is not clear evidence </w:t>
      </w:r>
      <w:r w:rsidRPr="005D44CC">
        <w:rPr>
          <w:rFonts w:ascii="Palatino Linotype" w:hAnsi="Palatino Linotype"/>
          <w:i/>
        </w:rPr>
        <w:t>against</w:t>
      </w:r>
      <w:r w:rsidRPr="005D44CC">
        <w:rPr>
          <w:rFonts w:ascii="Palatino Linotype" w:hAnsi="Palatino Linotype"/>
        </w:rPr>
        <w:t xml:space="preserve"> a significant intellectual influence—after all, </w:t>
      </w:r>
      <w:r w:rsidRPr="005D44CC">
        <w:rPr>
          <w:rFonts w:ascii="Palatino Linotype" w:hAnsi="Palatino Linotype"/>
        </w:rPr>
        <w:lastRenderedPageBreak/>
        <w:t xml:space="preserve">it is quite common for pupils to hold very different views than their masters.  Thus, the scales should be charitably tilted at least slightly against the skeptical view at this point.  </w:t>
      </w:r>
    </w:p>
    <w:p w:rsidR="00454E38" w:rsidRPr="005D44CC" w:rsidRDefault="00454E38" w:rsidP="005D44CC">
      <w:pPr>
        <w:ind w:firstLine="720"/>
        <w:jc w:val="both"/>
        <w:rPr>
          <w:rFonts w:ascii="Palatino Linotype" w:hAnsi="Palatino Linotype"/>
        </w:rPr>
      </w:pPr>
    </w:p>
    <w:p w:rsidR="00454E38" w:rsidRPr="005D44CC" w:rsidRDefault="00454E38" w:rsidP="005D44CC">
      <w:pPr>
        <w:jc w:val="both"/>
        <w:rPr>
          <w:rFonts w:ascii="Palatino Linotype" w:hAnsi="Palatino Linotype"/>
          <w:b/>
        </w:rPr>
      </w:pPr>
      <w:r w:rsidRPr="005D44CC">
        <w:rPr>
          <w:rFonts w:ascii="Palatino Linotype" w:hAnsi="Palatino Linotype"/>
          <w:b/>
        </w:rPr>
        <w:t>Theistic (and Poetic) Parallels</w:t>
      </w:r>
    </w:p>
    <w:p w:rsidR="00454E38" w:rsidRPr="005D44CC" w:rsidRDefault="00454E38" w:rsidP="005D44CC">
      <w:pPr>
        <w:ind w:firstLine="720"/>
        <w:jc w:val="both"/>
        <w:rPr>
          <w:rFonts w:ascii="Palatino Linotype" w:hAnsi="Palatino Linotype"/>
        </w:rPr>
      </w:pPr>
    </w:p>
    <w:p w:rsidR="00454E38" w:rsidRPr="005D44CC" w:rsidRDefault="00454E38" w:rsidP="005D44CC">
      <w:pPr>
        <w:ind w:firstLine="720"/>
        <w:jc w:val="both"/>
        <w:rPr>
          <w:rFonts w:ascii="Palatino Linotype" w:hAnsi="Palatino Linotype"/>
        </w:rPr>
      </w:pPr>
      <w:r w:rsidRPr="005D44CC">
        <w:rPr>
          <w:rFonts w:ascii="Palatino Linotype" w:hAnsi="Palatino Linotype"/>
        </w:rPr>
        <w:t>While many ancient commentators also associated both thinkers on more theistic grounds, consideration of this by modern scholarship is essentially non-existent.  It is not hard to infer why, as such claims simply stand in direct opposition to traditional contrasting narratives.  It cannot be denied that both wrote in epic meter—a format traditionally associated with more religious, mythopoetic works.  However, Xenophanes also composed original elegiac and iambic compositions on non-philosophical topics (such as proper behavior at symposia).</w:t>
      </w:r>
      <w:r w:rsidRPr="005D44CC">
        <w:rPr>
          <w:rStyle w:val="EndnoteReference"/>
          <w:rFonts w:ascii="Palatino Linotype" w:hAnsi="Palatino Linotype"/>
        </w:rPr>
        <w:endnoteReference w:id="32"/>
      </w:r>
      <w:r w:rsidRPr="005D44CC">
        <w:rPr>
          <w:rFonts w:ascii="Palatino Linotype" w:hAnsi="Palatino Linotype"/>
        </w:rPr>
        <w:t xml:space="preserve">  In light of his varied poetical modes and subjects, Xenophanes</w:t>
      </w:r>
      <w:r w:rsidRPr="005D44CC">
        <w:rPr>
          <w:rFonts w:ascii="Palatino Linotype" w:hAnsi="Palatino Linotype"/>
          <w:i/>
        </w:rPr>
        <w:t xml:space="preserve"> </w:t>
      </w:r>
      <w:r w:rsidRPr="005D44CC">
        <w:rPr>
          <w:rFonts w:ascii="Palatino Linotype" w:hAnsi="Palatino Linotype"/>
        </w:rPr>
        <w:t>has oft</w:t>
      </w:r>
      <w:r w:rsidR="008E2987" w:rsidRPr="005D44CC">
        <w:rPr>
          <w:rFonts w:ascii="Palatino Linotype" w:hAnsi="Palatino Linotype"/>
        </w:rPr>
        <w:t>en</w:t>
      </w:r>
      <w:r w:rsidRPr="005D44CC">
        <w:rPr>
          <w:rFonts w:ascii="Palatino Linotype" w:hAnsi="Palatino Linotype"/>
        </w:rPr>
        <w:t xml:space="preserve"> been portrayed </w:t>
      </w:r>
      <w:r w:rsidR="00DC4DA5" w:rsidRPr="005D44CC">
        <w:rPr>
          <w:rFonts w:ascii="Palatino Linotype" w:hAnsi="Palatino Linotype"/>
        </w:rPr>
        <w:t xml:space="preserve">primarily </w:t>
      </w:r>
      <w:r w:rsidRPr="005D44CC">
        <w:rPr>
          <w:rFonts w:ascii="Palatino Linotype" w:hAnsi="Palatino Linotype"/>
        </w:rPr>
        <w:t>as a poet—one who only occasionally dallied in properly philosophical topics.  In contrast, Parmenides wrote a singular work in epic meter, whic</w:t>
      </w:r>
      <w:r w:rsidR="00DC4DA5" w:rsidRPr="005D44CC">
        <w:rPr>
          <w:rFonts w:ascii="Palatino Linotype" w:hAnsi="Palatino Linotype"/>
        </w:rPr>
        <w:t>h on orthodox interpretations includes</w:t>
      </w:r>
      <w:r w:rsidRPr="005D44CC">
        <w:rPr>
          <w:rFonts w:ascii="Palatino Linotype" w:hAnsi="Palatino Linotype"/>
        </w:rPr>
        <w:t xml:space="preserve"> a deductively-reasoned examination on the nature of being itself.  Parmenides is thus deemed the first “proper” metaphysician and logician, a genuine philosopher who just happened to make use of epic poetry as his communicative medium.  Imputing any Xenophanean religious concerns into Parmenides’s thought threatens this contrasting narrative, and Parmenides’s status as a genuine philosopher.  Nevertheless, these attestations deserve serious consideration here, if for no </w:t>
      </w:r>
      <w:r w:rsidR="008E2987" w:rsidRPr="005D44CC">
        <w:rPr>
          <w:rFonts w:ascii="Palatino Linotype" w:hAnsi="Palatino Linotype"/>
        </w:rPr>
        <w:t xml:space="preserve">other </w:t>
      </w:r>
      <w:r w:rsidRPr="005D44CC">
        <w:rPr>
          <w:rFonts w:ascii="Palatino Linotype" w:hAnsi="Palatino Linotype"/>
        </w:rPr>
        <w:t xml:space="preserve">reason than their prevalence. </w:t>
      </w:r>
    </w:p>
    <w:p w:rsidR="00454E38" w:rsidRPr="005D44CC" w:rsidRDefault="00454E38" w:rsidP="005D44CC">
      <w:pPr>
        <w:ind w:firstLine="720"/>
        <w:jc w:val="both"/>
        <w:rPr>
          <w:rFonts w:ascii="Palatino Linotype" w:hAnsi="Palatino Linotype"/>
        </w:rPr>
      </w:pPr>
      <w:r w:rsidRPr="005D44CC">
        <w:rPr>
          <w:rFonts w:ascii="Palatino Linotype" w:hAnsi="Palatino Linotype"/>
        </w:rPr>
        <w:t>The 2</w:t>
      </w:r>
      <w:r w:rsidRPr="005D44CC">
        <w:rPr>
          <w:rFonts w:ascii="Palatino Linotype" w:hAnsi="Palatino Linotype"/>
          <w:vertAlign w:val="superscript"/>
        </w:rPr>
        <w:t>nd</w:t>
      </w:r>
      <w:r w:rsidRPr="005D44CC">
        <w:rPr>
          <w:rFonts w:ascii="Palatino Linotype" w:hAnsi="Palatino Linotype"/>
        </w:rPr>
        <w:t>-1</w:t>
      </w:r>
      <w:r w:rsidRPr="005D44CC">
        <w:rPr>
          <w:rFonts w:ascii="Palatino Linotype" w:hAnsi="Palatino Linotype"/>
          <w:vertAlign w:val="superscript"/>
        </w:rPr>
        <w:t>st</w:t>
      </w:r>
      <w:r w:rsidRPr="005D44CC">
        <w:rPr>
          <w:rFonts w:ascii="Palatino Linotype" w:hAnsi="Palatino Linotype"/>
        </w:rPr>
        <w:t xml:space="preserve"> c. BCE Greek doxographer Aetius is among those who report that Parmenides was an actual pupil of Xenophanes.  He also claimed that both agreed there was a “complete, unique, still, ungenerated being,”</w:t>
      </w:r>
      <w:r w:rsidRPr="005D44CC">
        <w:rPr>
          <w:rStyle w:val="EndnoteReference"/>
          <w:rFonts w:ascii="Palatino Linotype" w:hAnsi="Palatino Linotype"/>
        </w:rPr>
        <w:endnoteReference w:id="33"/>
      </w:r>
      <w:r w:rsidRPr="005D44CC">
        <w:rPr>
          <w:rFonts w:ascii="Palatino Linotype" w:hAnsi="Palatino Linotype"/>
        </w:rPr>
        <w:t xml:space="preserve"> and that both held the entire cosmos to be “ungenerated, eternal, and imperishable.”</w:t>
      </w:r>
      <w:r w:rsidRPr="005D44CC">
        <w:rPr>
          <w:rStyle w:val="EndnoteReference"/>
          <w:rFonts w:ascii="Palatino Linotype" w:hAnsi="Palatino Linotype" w:cs="Times New Roman"/>
          <w:szCs w:val="24"/>
        </w:rPr>
        <w:endnoteReference w:id="34"/>
      </w:r>
      <w:r w:rsidRPr="005D44CC">
        <w:rPr>
          <w:rFonts w:ascii="Palatino Linotype" w:hAnsi="Palatino Linotype"/>
        </w:rPr>
        <w:t xml:space="preserve">  What is new is that Aetius also explicitly claims that the unmoved, limited, and spherical entity described by Parmenides </w:t>
      </w:r>
      <w:r w:rsidRPr="005D44CC">
        <w:rPr>
          <w:rFonts w:ascii="Palatino Linotype" w:hAnsi="Palatino Linotype"/>
          <w:i/>
        </w:rPr>
        <w:t>is</w:t>
      </w:r>
      <w:r w:rsidRPr="005D44CC">
        <w:rPr>
          <w:rFonts w:ascii="Palatino Linotype" w:hAnsi="Palatino Linotype"/>
        </w:rPr>
        <w:t xml:space="preserve"> God.</w:t>
      </w:r>
      <w:r w:rsidRPr="005D44CC">
        <w:rPr>
          <w:rStyle w:val="EndnoteReference"/>
          <w:rFonts w:ascii="Palatino Linotype" w:hAnsi="Palatino Linotype" w:cs="Times New Roman"/>
          <w:szCs w:val="24"/>
        </w:rPr>
        <w:endnoteReference w:id="35"/>
      </w:r>
      <w:r w:rsidRPr="005D44CC">
        <w:rPr>
          <w:rFonts w:ascii="Palatino Linotype" w:hAnsi="Palatino Linotype"/>
        </w:rPr>
        <w:t xml:space="preserve">  Philo of Alexandria, a Jewish philosopher of the 1</w:t>
      </w:r>
      <w:r w:rsidRPr="005D44CC">
        <w:rPr>
          <w:rFonts w:ascii="Palatino Linotype" w:hAnsi="Palatino Linotype"/>
          <w:vertAlign w:val="superscript"/>
        </w:rPr>
        <w:t>st</w:t>
      </w:r>
      <w:r w:rsidRPr="005D44CC">
        <w:rPr>
          <w:rFonts w:ascii="Palatino Linotype" w:hAnsi="Palatino Linotype"/>
        </w:rPr>
        <w:t xml:space="preserve"> c. CE, offers another notable comment.  He wonders how Xenophanes and Parmenides—such “divine men,” </w:t>
      </w:r>
      <w:r w:rsidRPr="005D44CC">
        <w:rPr>
          <w:rFonts w:ascii="Palatino Linotype" w:hAnsi="Palatino Linotype"/>
          <w:i/>
        </w:rPr>
        <w:t>theologians</w:t>
      </w:r>
      <w:r w:rsidRPr="005D44CC">
        <w:rPr>
          <w:rFonts w:ascii="Palatino Linotype" w:hAnsi="Palatino Linotype"/>
        </w:rPr>
        <w:t xml:space="preserve"> engaged in theological matters—should be so lacking in divine inspiration as to produce such poor poetical compositions.</w:t>
      </w:r>
      <w:r w:rsidRPr="005D44CC">
        <w:rPr>
          <w:rStyle w:val="EndnoteReference"/>
          <w:rFonts w:ascii="Palatino Linotype" w:hAnsi="Palatino Linotype" w:cs="Times New Roman"/>
          <w:szCs w:val="24"/>
        </w:rPr>
        <w:endnoteReference w:id="36"/>
      </w:r>
      <w:r w:rsidRPr="005D44CC">
        <w:rPr>
          <w:rFonts w:ascii="Palatino Linotype" w:hAnsi="Palatino Linotype"/>
        </w:rPr>
        <w:t xml:space="preserve">  While not terribly surprising in Xenophanes’s case, it is for Parmenides.  Yet, surprising as they may initially be, these are hardly aberrations.  At least half a dozen additional, independent sources—from a variety of perspectives and times (1</w:t>
      </w:r>
      <w:r w:rsidRPr="005D44CC">
        <w:rPr>
          <w:rFonts w:ascii="Palatino Linotype" w:hAnsi="Palatino Linotype"/>
          <w:vertAlign w:val="superscript"/>
        </w:rPr>
        <w:t>st</w:t>
      </w:r>
      <w:r w:rsidRPr="005D44CC">
        <w:rPr>
          <w:rFonts w:ascii="Palatino Linotype" w:hAnsi="Palatino Linotype"/>
        </w:rPr>
        <w:t>-6</w:t>
      </w:r>
      <w:r w:rsidRPr="005D44CC">
        <w:rPr>
          <w:rFonts w:ascii="Palatino Linotype" w:hAnsi="Palatino Linotype"/>
          <w:vertAlign w:val="superscript"/>
        </w:rPr>
        <w:t>th</w:t>
      </w:r>
      <w:r w:rsidRPr="005D44CC">
        <w:rPr>
          <w:rFonts w:ascii="Palatino Linotype" w:hAnsi="Palatino Linotype"/>
        </w:rPr>
        <w:t xml:space="preserve"> c. CE)—also view Parmenides in this light.</w:t>
      </w:r>
      <w:r w:rsidRPr="005D44CC">
        <w:rPr>
          <w:rStyle w:val="EndnoteReference"/>
          <w:rFonts w:ascii="Palatino Linotype" w:hAnsi="Palatino Linotype" w:cs="Times New Roman"/>
          <w:szCs w:val="24"/>
        </w:rPr>
        <w:endnoteReference w:id="37"/>
      </w:r>
      <w:r w:rsidRPr="005D44CC">
        <w:rPr>
          <w:rFonts w:ascii="Palatino Linotype" w:hAnsi="Palatino Linotype"/>
        </w:rPr>
        <w:t xml:space="preserve">  Most describe Parmenides as offering an exposition on the nature of divine being.  However, there are also attestations that Parmenides offere</w:t>
      </w:r>
      <w:r w:rsidR="007F0D38" w:rsidRPr="005D44CC">
        <w:rPr>
          <w:rFonts w:ascii="Palatino Linotype" w:hAnsi="Palatino Linotype"/>
        </w:rPr>
        <w:t xml:space="preserve">d criticisms of mortal views about </w:t>
      </w:r>
      <w:r w:rsidRPr="005D44CC">
        <w:rPr>
          <w:rFonts w:ascii="Palatino Linotype" w:hAnsi="Palatino Linotype"/>
        </w:rPr>
        <w:t>the divine</w:t>
      </w:r>
      <w:r w:rsidR="007F0D38" w:rsidRPr="005D44CC">
        <w:rPr>
          <w:rFonts w:ascii="Palatino Linotype" w:hAnsi="Palatino Linotype"/>
        </w:rPr>
        <w:t>,</w:t>
      </w:r>
      <w:r w:rsidRPr="005D44CC">
        <w:rPr>
          <w:rFonts w:ascii="Palatino Linotype" w:hAnsi="Palatino Linotype"/>
        </w:rPr>
        <w:t xml:space="preserve"> upon anthropomorphic and moralistic grounds.  The parallels to Xenophanes should be obvious.</w:t>
      </w:r>
    </w:p>
    <w:p w:rsidR="00454E38" w:rsidRPr="005D44CC" w:rsidRDefault="00454E38" w:rsidP="005D44CC">
      <w:pPr>
        <w:ind w:firstLine="720"/>
        <w:jc w:val="both"/>
        <w:rPr>
          <w:rFonts w:ascii="Palatino Linotype" w:hAnsi="Palatino Linotype"/>
        </w:rPr>
      </w:pPr>
      <w:r w:rsidRPr="005D44CC">
        <w:rPr>
          <w:rFonts w:ascii="Palatino Linotype" w:hAnsi="Palatino Linotype"/>
        </w:rPr>
        <w:t xml:space="preserve">The reliability of the sources is admittedly far from ideal.  These perspectives are centuries removed from Parmenides’s context, with likely anachronistic biases.  It is </w:t>
      </w:r>
      <w:r w:rsidR="008F385F" w:rsidRPr="005D44CC">
        <w:rPr>
          <w:rFonts w:ascii="Palatino Linotype" w:hAnsi="Palatino Linotype"/>
        </w:rPr>
        <w:t xml:space="preserve">also </w:t>
      </w:r>
      <w:r w:rsidRPr="005D44CC">
        <w:rPr>
          <w:rFonts w:ascii="Palatino Linotype" w:hAnsi="Palatino Linotype"/>
        </w:rPr>
        <w:t xml:space="preserve">not at all surprising to for Abrahamic thinkers to anachronistically see Parmenides’s </w:t>
      </w:r>
      <w:r w:rsidR="008C7177" w:rsidRPr="005D44CC">
        <w:rPr>
          <w:rFonts w:ascii="Palatino Linotype" w:hAnsi="Palatino Linotype"/>
        </w:rPr>
        <w:lastRenderedPageBreak/>
        <w:t>“</w:t>
      </w:r>
      <w:r w:rsidRPr="005D44CC">
        <w:rPr>
          <w:rFonts w:ascii="Palatino Linotype" w:hAnsi="Palatino Linotype"/>
        </w:rPr>
        <w:t>What Is</w:t>
      </w:r>
      <w:r w:rsidR="008C7177" w:rsidRPr="005D44CC">
        <w:rPr>
          <w:rFonts w:ascii="Palatino Linotype" w:hAnsi="Palatino Linotype"/>
        </w:rPr>
        <w:t>”</w:t>
      </w:r>
      <w:r w:rsidRPr="005D44CC">
        <w:rPr>
          <w:rFonts w:ascii="Palatino Linotype" w:hAnsi="Palatino Linotype"/>
        </w:rPr>
        <w:t xml:space="preserve"> as a close analogue to their conception of God.  On the other hand, when they state that Parmenides was “talking about God,” they might just merely mean that his description of </w:t>
      </w:r>
      <w:r w:rsidR="008C7177" w:rsidRPr="005D44CC">
        <w:rPr>
          <w:rFonts w:ascii="Palatino Linotype" w:hAnsi="Palatino Linotype"/>
        </w:rPr>
        <w:t>“</w:t>
      </w:r>
      <w:r w:rsidRPr="005D44CC">
        <w:rPr>
          <w:rFonts w:ascii="Palatino Linotype" w:hAnsi="Palatino Linotype"/>
        </w:rPr>
        <w:t>What Is</w:t>
      </w:r>
      <w:r w:rsidR="008C7177" w:rsidRPr="005D44CC">
        <w:rPr>
          <w:rFonts w:ascii="Palatino Linotype" w:hAnsi="Palatino Linotype"/>
        </w:rPr>
        <w:t>”</w:t>
      </w:r>
      <w:r w:rsidRPr="005D44CC">
        <w:rPr>
          <w:rFonts w:ascii="Palatino Linotype" w:hAnsi="Palatino Linotype"/>
        </w:rPr>
        <w:t xml:space="preserve">—from their worldview—would have to be the Abrahamic God, without intending to impute any anachronistic claims upon Parmenides himself.  However, while a healthy skepticism of ancient sources and their biases is appropriate, this evidence should not be summarily dismissed.  First, such authors generally would have had far superior access to the texts in question, knowledge of lost historical sources, as well as linguistic and cultural insights which moderns may very well be blind to.  Thus, the default presumption should be to lend credence to such reports, unless good reason for skepticism can be provided for each.  At the very least, Aetius’s testimony on this matter seems reliable, being relatively early and Greek (i.e. not biased by Abrahamic traditions).  </w:t>
      </w:r>
    </w:p>
    <w:p w:rsidR="00454E38" w:rsidRPr="005D44CC" w:rsidRDefault="00454E38" w:rsidP="005D44CC">
      <w:pPr>
        <w:ind w:firstLine="720"/>
        <w:jc w:val="both"/>
        <w:rPr>
          <w:rFonts w:ascii="Palatino Linotype" w:hAnsi="Palatino Linotype"/>
        </w:rPr>
      </w:pPr>
      <w:r w:rsidRPr="005D44CC">
        <w:rPr>
          <w:rFonts w:ascii="Palatino Linotype" w:hAnsi="Palatino Linotype"/>
        </w:rPr>
        <w:t xml:space="preserve">The skeptic might claim these parallels are merely the result of a confused conflation, based solely upon the similar descriptions of Xenophanes’s God and Parmenides’s What Is.  However, while this objection seems reasonable at first, it should ultimately be rejected as viciously uncharitable.  Adopting this objection begs the question for orthodox, secular readings of Parmenides, and requires that either:  1) none of these commentators read Parmenides (untenable for either Boethius or Ammonius), or 2) they did read Parmenides, and yet somehow completely failed to recognize that the orthodox, secular reading is in fact correct.  </w:t>
      </w:r>
    </w:p>
    <w:p w:rsidR="00454E38" w:rsidRPr="005D44CC" w:rsidRDefault="00454E38" w:rsidP="005D44CC">
      <w:pPr>
        <w:ind w:firstLine="720"/>
        <w:jc w:val="both"/>
        <w:rPr>
          <w:rFonts w:ascii="Palatino Linotype" w:hAnsi="Palatino Linotype"/>
        </w:rPr>
      </w:pPr>
      <w:r w:rsidRPr="005D44CC">
        <w:rPr>
          <w:rFonts w:ascii="Palatino Linotype" w:hAnsi="Palatino Linotype"/>
        </w:rPr>
        <w:t xml:space="preserve"> As neither of these options is acceptable, a more charitable solution should be sought.  Perhaps there are indeed theistic considerations within Parmenides’s poem that went overlooked and/or unmentioned by earlier commentators (e.g. Plato and Aristotle), which in following their lead has led modern scholars astray.  Perhaps the worrisome biases of Abrahamic thinkers were exactly what was needed to break free of these early influences, and recognize what had always been present in Parmenides’s poem.  In any case, </w:t>
      </w:r>
      <w:r w:rsidR="008F385F" w:rsidRPr="005D44CC">
        <w:rPr>
          <w:rFonts w:ascii="Palatino Linotype" w:hAnsi="Palatino Linotype"/>
        </w:rPr>
        <w:t xml:space="preserve">as </w:t>
      </w:r>
      <w:r w:rsidRPr="005D44CC">
        <w:rPr>
          <w:rFonts w:ascii="Palatino Linotype" w:hAnsi="Palatino Linotype"/>
        </w:rPr>
        <w:t xml:space="preserve">the apparent absence of theistic considerations in Parmenides is a major component </w:t>
      </w:r>
      <w:r w:rsidR="008F385F" w:rsidRPr="005D44CC">
        <w:rPr>
          <w:rFonts w:ascii="Palatino Linotype" w:hAnsi="Palatino Linotype"/>
        </w:rPr>
        <w:t xml:space="preserve">of the skeptical narrative, </w:t>
      </w:r>
      <w:r w:rsidRPr="005D44CC">
        <w:rPr>
          <w:rFonts w:ascii="Palatino Linotype" w:hAnsi="Palatino Linotype"/>
        </w:rPr>
        <w:t xml:space="preserve">an interpretative account that </w:t>
      </w:r>
      <w:r w:rsidR="008F385F" w:rsidRPr="005D44CC">
        <w:rPr>
          <w:rFonts w:ascii="Palatino Linotype" w:hAnsi="Palatino Linotype"/>
        </w:rPr>
        <w:t xml:space="preserve">demonstrated the presence of such content </w:t>
      </w:r>
      <w:r w:rsidRPr="005D44CC">
        <w:rPr>
          <w:rFonts w:ascii="Palatino Linotype" w:hAnsi="Palatino Linotype"/>
        </w:rPr>
        <w:t>would go far in challenging it.  This is what I aim to develop below.</w:t>
      </w:r>
    </w:p>
    <w:p w:rsidR="00454E38" w:rsidRPr="005D44CC" w:rsidRDefault="00454E38" w:rsidP="005D44CC">
      <w:pPr>
        <w:jc w:val="both"/>
        <w:rPr>
          <w:rFonts w:ascii="Palatino Linotype" w:hAnsi="Palatino Linotype"/>
        </w:rPr>
      </w:pPr>
    </w:p>
    <w:p w:rsidR="00454E38" w:rsidRPr="005D44CC" w:rsidRDefault="00454E38" w:rsidP="005D44CC">
      <w:pPr>
        <w:jc w:val="both"/>
        <w:rPr>
          <w:rFonts w:ascii="Palatino Linotype" w:hAnsi="Palatino Linotype"/>
          <w:b/>
        </w:rPr>
      </w:pPr>
      <w:r w:rsidRPr="005D44CC">
        <w:rPr>
          <w:rFonts w:ascii="Palatino Linotype" w:hAnsi="Palatino Linotype"/>
          <w:b/>
        </w:rPr>
        <w:t>Religious Imagery in Parmenides</w:t>
      </w:r>
    </w:p>
    <w:p w:rsidR="00454E38" w:rsidRPr="005D44CC" w:rsidRDefault="00454E38" w:rsidP="005D44CC">
      <w:pPr>
        <w:jc w:val="both"/>
        <w:rPr>
          <w:rFonts w:ascii="Palatino Linotype" w:hAnsi="Palatino Linotype"/>
          <w:b/>
        </w:rPr>
      </w:pPr>
    </w:p>
    <w:p w:rsidR="00454E38" w:rsidRPr="005D44CC" w:rsidRDefault="00454E38" w:rsidP="005D44CC">
      <w:pPr>
        <w:ind w:firstLine="720"/>
        <w:jc w:val="both"/>
        <w:rPr>
          <w:rFonts w:ascii="Palatino Linotype" w:hAnsi="Palatino Linotype"/>
        </w:rPr>
      </w:pPr>
      <w:r w:rsidRPr="005D44CC">
        <w:rPr>
          <w:rFonts w:ascii="Palatino Linotype" w:hAnsi="Palatino Linotype"/>
        </w:rPr>
        <w:t xml:space="preserve">The most obvious theistic content in Parmenides’s poem is </w:t>
      </w:r>
      <w:r w:rsidR="00446508" w:rsidRPr="005D44CC">
        <w:rPr>
          <w:rFonts w:ascii="Palatino Linotype" w:hAnsi="Palatino Linotype"/>
        </w:rPr>
        <w:t xml:space="preserve">found </w:t>
      </w:r>
      <w:r w:rsidRPr="005D44CC">
        <w:rPr>
          <w:rFonts w:ascii="Palatino Linotype" w:hAnsi="Palatino Linotype"/>
        </w:rPr>
        <w:t>in the opening section (</w:t>
      </w:r>
      <w:r w:rsidRPr="005D44CC">
        <w:rPr>
          <w:rFonts w:ascii="Palatino Linotype" w:hAnsi="Palatino Linotype"/>
          <w:i/>
        </w:rPr>
        <w:t>Proem</w:t>
      </w:r>
      <w:r w:rsidRPr="005D44CC">
        <w:rPr>
          <w:rFonts w:ascii="Palatino Linotype" w:hAnsi="Palatino Linotype"/>
        </w:rPr>
        <w:t>).</w:t>
      </w:r>
      <w:r w:rsidRPr="005D44CC">
        <w:rPr>
          <w:rStyle w:val="EndnoteReference"/>
          <w:rFonts w:ascii="Palatino Linotype" w:hAnsi="Palatino Linotype"/>
        </w:rPr>
        <w:endnoteReference w:id="38"/>
      </w:r>
      <w:r w:rsidRPr="005D44CC">
        <w:rPr>
          <w:rFonts w:ascii="Palatino Linotype" w:hAnsi="Palatino Linotype"/>
        </w:rPr>
        <w:t xml:space="preserve">  This contains a first-person account of an anonymous young male (κοῦρος), traveling along a cosmic and divine path, in a chariot driven by the Heliades (Maidens of the Sun).  The Heliades’s journey began at the House of Night, casting off their veils as they left the darkness of Tartarus behind, and entered the light. To reach their destination, the party must pass through the “aetherial” Gates of Night and Day.  Justice guards the gates, </w:t>
      </w:r>
      <w:r w:rsidR="008C7177" w:rsidRPr="005D44CC">
        <w:rPr>
          <w:rFonts w:ascii="Palatino Linotype" w:hAnsi="Palatino Linotype"/>
        </w:rPr>
        <w:t>and</w:t>
      </w:r>
      <w:r w:rsidRPr="005D44CC">
        <w:rPr>
          <w:rFonts w:ascii="Palatino Linotype" w:hAnsi="Palatino Linotype"/>
        </w:rPr>
        <w:t xml:space="preserve"> the Heliades persuade</w:t>
      </w:r>
      <w:r w:rsidR="008C7177" w:rsidRPr="005D44CC">
        <w:rPr>
          <w:rFonts w:ascii="Palatino Linotype" w:hAnsi="Palatino Linotype"/>
        </w:rPr>
        <w:t xml:space="preserve"> </w:t>
      </w:r>
      <w:r w:rsidR="00737556" w:rsidRPr="005D44CC">
        <w:rPr>
          <w:rFonts w:ascii="Palatino Linotype" w:hAnsi="Palatino Linotype"/>
        </w:rPr>
        <w:t>her</w:t>
      </w:r>
      <w:r w:rsidRPr="005D44CC">
        <w:rPr>
          <w:rFonts w:ascii="Palatino Linotype" w:hAnsi="Palatino Linotype"/>
        </w:rPr>
        <w:t xml:space="preserve"> to open</w:t>
      </w:r>
      <w:r w:rsidR="008C7177" w:rsidRPr="005D44CC">
        <w:rPr>
          <w:rFonts w:ascii="Palatino Linotype" w:hAnsi="Palatino Linotype"/>
        </w:rPr>
        <w:t xml:space="preserve"> them</w:t>
      </w:r>
      <w:r w:rsidRPr="005D44CC">
        <w:rPr>
          <w:rFonts w:ascii="Palatino Linotype" w:hAnsi="Palatino Linotype"/>
        </w:rPr>
        <w:t xml:space="preserve">, revealing a </w:t>
      </w:r>
      <w:r w:rsidRPr="005D44CC">
        <w:rPr>
          <w:rFonts w:ascii="Palatino Linotype" w:hAnsi="Palatino Linotype"/>
        </w:rPr>
        <w:lastRenderedPageBreak/>
        <w:t>yawning chasm beyond.</w:t>
      </w:r>
      <w:r w:rsidRPr="005D44CC">
        <w:rPr>
          <w:rStyle w:val="EndnoteReference"/>
          <w:rFonts w:ascii="Palatino Linotype" w:hAnsi="Palatino Linotype"/>
        </w:rPr>
        <w:endnoteReference w:id="39"/>
      </w:r>
      <w:r w:rsidRPr="005D44CC">
        <w:rPr>
          <w:rFonts w:ascii="Palatino Linotype" w:hAnsi="Palatino Linotype"/>
        </w:rPr>
        <w:t xml:space="preserve">  An unnamed goddess then welcomes the youth, assuring him that no evil fate, but Right and Justice, has delivered him to her dwelling, “far from the path of men.”  She then sets out a programmatic outline for the youth to learn, leading to the central epistemological and metaphysical section of the poem (</w:t>
      </w:r>
      <w:r w:rsidRPr="005D44CC">
        <w:rPr>
          <w:rFonts w:ascii="Palatino Linotype" w:hAnsi="Palatino Linotype"/>
          <w:i/>
        </w:rPr>
        <w:t>Aletheia</w:t>
      </w:r>
      <w:r w:rsidRPr="005D44CC">
        <w:rPr>
          <w:rFonts w:ascii="Palatino Linotype" w:hAnsi="Palatino Linotype"/>
        </w:rPr>
        <w:t xml:space="preserve">). </w:t>
      </w:r>
    </w:p>
    <w:p w:rsidR="00454E38" w:rsidRPr="005D44CC" w:rsidRDefault="00454E38" w:rsidP="005D44CC">
      <w:pPr>
        <w:ind w:firstLine="720"/>
        <w:jc w:val="both"/>
        <w:rPr>
          <w:rFonts w:ascii="Palatino Linotype" w:hAnsi="Palatino Linotype" w:cs="Times New Roman"/>
          <w:szCs w:val="24"/>
        </w:rPr>
      </w:pPr>
      <w:r w:rsidRPr="005D44CC">
        <w:rPr>
          <w:rFonts w:ascii="Palatino Linotype" w:hAnsi="Palatino Linotype" w:cs="Times New Roman"/>
          <w:szCs w:val="24"/>
        </w:rPr>
        <w:t xml:space="preserve">There is no clear philosophical relevance in the </w:t>
      </w:r>
      <w:r w:rsidRPr="005D44CC">
        <w:rPr>
          <w:rFonts w:ascii="Palatino Linotype" w:hAnsi="Palatino Linotype" w:cs="Times New Roman"/>
          <w:i/>
          <w:szCs w:val="24"/>
        </w:rPr>
        <w:t>Proem</w:t>
      </w:r>
      <w:r w:rsidRPr="005D44CC">
        <w:rPr>
          <w:rFonts w:ascii="Palatino Linotype" w:hAnsi="Palatino Linotype" w:cs="Times New Roman"/>
          <w:szCs w:val="24"/>
        </w:rPr>
        <w:t>, nor any obvious guidance for understanding what follows.  It is thus understandable why both ancients and moderns alike have largely ignored, minimized, and/or dismissed its interpretative relevance.</w:t>
      </w:r>
      <w:r w:rsidRPr="005D44CC">
        <w:rPr>
          <w:rStyle w:val="EndnoteReference"/>
          <w:rFonts w:ascii="Palatino Linotype" w:hAnsi="Palatino Linotype" w:cs="Times New Roman"/>
          <w:szCs w:val="24"/>
        </w:rPr>
        <w:endnoteReference w:id="40"/>
      </w:r>
      <w:r w:rsidRPr="005D44CC">
        <w:rPr>
          <w:rFonts w:ascii="Palatino Linotype" w:hAnsi="Palatino Linotype" w:cs="Times New Roman"/>
          <w:szCs w:val="24"/>
        </w:rPr>
        <w:t xml:space="preserve">  However, the presence of this content and its swift dismissal reveals the underlying questionable assumption—that Parmenides’</w:t>
      </w:r>
      <w:r w:rsidR="00737556" w:rsidRPr="005D44CC">
        <w:rPr>
          <w:rFonts w:ascii="Palatino Linotype" w:hAnsi="Palatino Linotype" w:cs="Times New Roman"/>
          <w:szCs w:val="24"/>
        </w:rPr>
        <w:t>s</w:t>
      </w:r>
      <w:r w:rsidRPr="005D44CC">
        <w:rPr>
          <w:rFonts w:ascii="Palatino Linotype" w:hAnsi="Palatino Linotype" w:cs="Times New Roman"/>
          <w:szCs w:val="24"/>
        </w:rPr>
        <w:t xml:space="preserve"> philosophical message is not religious in nature.  </w:t>
      </w:r>
      <w:r w:rsidRPr="005D44CC">
        <w:rPr>
          <w:rFonts w:ascii="Palatino Linotype" w:hAnsi="Palatino Linotype"/>
        </w:rPr>
        <w:t>It is certain that the epic hexameters in this section are largely borrowed from Homer.</w:t>
      </w:r>
      <w:r w:rsidRPr="005D44CC">
        <w:rPr>
          <w:rStyle w:val="EndnoteReference"/>
          <w:rFonts w:ascii="Palatino Linotype" w:hAnsi="Palatino Linotype"/>
        </w:rPr>
        <w:endnoteReference w:id="41"/>
      </w:r>
      <w:r w:rsidRPr="005D44CC">
        <w:rPr>
          <w:rFonts w:ascii="Palatino Linotype" w:hAnsi="Palatino Linotype"/>
        </w:rPr>
        <w:t xml:space="preserve">  The religious imagery of Light/Night, the House of Night, and the Gates of Night and Day closely track Hesiod’s </w:t>
      </w:r>
      <w:r w:rsidRPr="005D44CC">
        <w:rPr>
          <w:rFonts w:ascii="Palatino Linotype" w:hAnsi="Palatino Linotype"/>
          <w:i/>
        </w:rPr>
        <w:t>Theogony</w:t>
      </w:r>
      <w:r w:rsidRPr="005D44CC">
        <w:rPr>
          <w:rFonts w:ascii="Palatino Linotype" w:hAnsi="Palatino Linotype"/>
        </w:rPr>
        <w:t>.</w:t>
      </w:r>
      <w:r w:rsidRPr="005D44CC">
        <w:rPr>
          <w:rStyle w:val="EndnoteReference"/>
          <w:rFonts w:ascii="Palatino Linotype" w:hAnsi="Palatino Linotype"/>
        </w:rPr>
        <w:endnoteReference w:id="42"/>
      </w:r>
      <w:r w:rsidRPr="005D44CC">
        <w:rPr>
          <w:rFonts w:ascii="Palatino Linotype" w:hAnsi="Palatino Linotype"/>
        </w:rPr>
        <w:t xml:space="preserve">   </w:t>
      </w:r>
      <w:r w:rsidRPr="005D44CC">
        <w:rPr>
          <w:rFonts w:ascii="Palatino Linotype" w:hAnsi="Palatino Linotype" w:cs="Times New Roman"/>
          <w:szCs w:val="24"/>
        </w:rPr>
        <w:t>T</w:t>
      </w:r>
      <w:r w:rsidRPr="005D44CC">
        <w:rPr>
          <w:rFonts w:ascii="Palatino Linotype" w:hAnsi="Palatino Linotype"/>
        </w:rPr>
        <w:t>his section is intentionally invoking the mythopoetic tradition, particularly its religious trappings (i.e. anthropomorphized deities).  The question is, to what end?</w:t>
      </w:r>
    </w:p>
    <w:p w:rsidR="00875538" w:rsidRPr="005D44CC" w:rsidRDefault="00454E38" w:rsidP="005D44CC">
      <w:pPr>
        <w:ind w:firstLine="720"/>
        <w:jc w:val="both"/>
        <w:rPr>
          <w:rFonts w:ascii="Palatino Linotype" w:hAnsi="Palatino Linotype"/>
        </w:rPr>
      </w:pPr>
      <w:r w:rsidRPr="005D44CC">
        <w:rPr>
          <w:rFonts w:ascii="Palatino Linotype" w:hAnsi="Palatino Linotype"/>
        </w:rPr>
        <w:t>There is also a pervasive thematic focus upon contrasting imagery of Day/Light and Night/Darkness.  The Heliades begin veiled and in darkness, unveiling as they enter the light.  The divine cosmic path the Heliades travel is most likely the diurnal path of Sun/Day (shared by Night).  The chariot’s “fire-blazing wheels” complement this association.  The Gates of Night and Day are described as “aetherial,” suggesting a heavenly location; however, the mythopoetic tradition always locates these in dark Tartarus.  This ambiguity of location itself draws a contrast between light/heavens and darkness/Hades.</w:t>
      </w:r>
      <w:r w:rsidRPr="005D44CC">
        <w:rPr>
          <w:rStyle w:val="EndnoteReference"/>
          <w:rFonts w:ascii="Palatino Linotype" w:hAnsi="Palatino Linotype"/>
        </w:rPr>
        <w:endnoteReference w:id="43"/>
      </w:r>
      <w:r w:rsidRPr="005D44CC">
        <w:rPr>
          <w:rFonts w:ascii="Palatino Linotype" w:hAnsi="Palatino Linotype"/>
        </w:rPr>
        <w:t xml:space="preserve">  The House of Night is where Night and Day alternately dwell.  As the Heliades are driving in the light, it should be daytime, with Night in-residence—suggesting an identification for the unnamed spokes-goddess.  This thematic contrast makes little sense in relation to the more philosophical section (</w:t>
      </w:r>
      <w:r w:rsidRPr="005D44CC">
        <w:rPr>
          <w:rFonts w:ascii="Palatino Linotype" w:hAnsi="Palatino Linotype"/>
          <w:i/>
        </w:rPr>
        <w:t>Aletheia</w:t>
      </w:r>
      <w:r w:rsidRPr="005D44CC">
        <w:rPr>
          <w:rFonts w:ascii="Palatino Linotype" w:hAnsi="Palatino Linotype"/>
        </w:rPr>
        <w:t>); however, it does</w:t>
      </w:r>
      <w:r w:rsidRPr="005D44CC">
        <w:rPr>
          <w:rFonts w:ascii="Palatino Linotype" w:hAnsi="Palatino Linotype"/>
          <w:i/>
        </w:rPr>
        <w:t xml:space="preserve"> </w:t>
      </w:r>
      <w:r w:rsidRPr="005D44CC">
        <w:rPr>
          <w:rFonts w:ascii="Palatino Linotype" w:hAnsi="Palatino Linotype"/>
        </w:rPr>
        <w:t xml:space="preserve">parallel </w:t>
      </w:r>
      <w:r w:rsidR="008C7177" w:rsidRPr="005D44CC">
        <w:rPr>
          <w:rFonts w:ascii="Palatino Linotype" w:hAnsi="Palatino Linotype"/>
        </w:rPr>
        <w:t xml:space="preserve">the </w:t>
      </w:r>
      <w:r w:rsidRPr="005D44CC">
        <w:rPr>
          <w:rFonts w:ascii="Palatino Linotype" w:hAnsi="Palatino Linotype"/>
        </w:rPr>
        <w:t>content in the poem’s final section (</w:t>
      </w:r>
      <w:r w:rsidRPr="005D44CC">
        <w:rPr>
          <w:rFonts w:ascii="Palatino Linotype" w:hAnsi="Palatino Linotype"/>
          <w:i/>
        </w:rPr>
        <w:t>Doxa</w:t>
      </w:r>
      <w:r w:rsidR="00875538" w:rsidRPr="005D44CC">
        <w:rPr>
          <w:rFonts w:ascii="Palatino Linotype" w:hAnsi="Palatino Linotype"/>
        </w:rPr>
        <w:t xml:space="preserve">)— which scholars have generally considered to be a naturalistic, physical account along Milesian lines.  </w:t>
      </w:r>
    </w:p>
    <w:p w:rsidR="00454E38" w:rsidRPr="005D44CC" w:rsidRDefault="00454E38" w:rsidP="005D44CC">
      <w:pPr>
        <w:jc w:val="both"/>
        <w:rPr>
          <w:rFonts w:ascii="Palatino Linotype" w:hAnsi="Palatino Linotype"/>
        </w:rPr>
      </w:pPr>
      <w:r w:rsidRPr="005D44CC">
        <w:rPr>
          <w:rFonts w:ascii="Palatino Linotype" w:hAnsi="Palatino Linotype"/>
        </w:rPr>
        <w:tab/>
        <w:t xml:space="preserve">The extant content of </w:t>
      </w:r>
      <w:r w:rsidRPr="005D44CC">
        <w:rPr>
          <w:rFonts w:ascii="Palatino Linotype" w:hAnsi="Palatino Linotype"/>
          <w:i/>
        </w:rPr>
        <w:t>Doxa</w:t>
      </w:r>
      <w:r w:rsidRPr="005D44CC">
        <w:rPr>
          <w:rFonts w:ascii="Palatino Linotype" w:hAnsi="Palatino Linotype"/>
        </w:rPr>
        <w:t xml:space="preserve"> is quite fragmentary and varied.</w:t>
      </w:r>
      <w:r w:rsidRPr="005D44CC">
        <w:rPr>
          <w:rStyle w:val="EndnoteReference"/>
          <w:rFonts w:ascii="Palatino Linotype" w:hAnsi="Palatino Linotype"/>
        </w:rPr>
        <w:endnoteReference w:id="44"/>
      </w:r>
      <w:r w:rsidRPr="005D44CC">
        <w:rPr>
          <w:rFonts w:ascii="Palatino Linotype" w:hAnsi="Palatino Linotype"/>
        </w:rPr>
        <w:t xml:space="preserve">  </w:t>
      </w:r>
      <w:r w:rsidRPr="005D44CC">
        <w:rPr>
          <w:rFonts w:ascii="Palatino Linotype" w:hAnsi="Palatino Linotype"/>
          <w:i/>
        </w:rPr>
        <w:t xml:space="preserve">Doxa </w:t>
      </w:r>
      <w:r w:rsidRPr="005D44CC">
        <w:rPr>
          <w:rFonts w:ascii="Palatino Linotype" w:hAnsi="Palatino Linotype"/>
        </w:rPr>
        <w:t xml:space="preserve">includes:  metaphysical critiques of how mortals err in “naming” things, particularly in terms of a Light/Night duality—the explication of this error seems to be the overarching thesis of </w:t>
      </w:r>
      <w:r w:rsidRPr="005D44CC">
        <w:rPr>
          <w:rFonts w:ascii="Palatino Linotype" w:hAnsi="Palatino Linotype"/>
          <w:i/>
        </w:rPr>
        <w:t xml:space="preserve">Doxa </w:t>
      </w:r>
      <w:r w:rsidRPr="005D44CC">
        <w:rPr>
          <w:rFonts w:ascii="Palatino Linotype" w:hAnsi="Palatino Linotype"/>
        </w:rPr>
        <w:t xml:space="preserve">(DK B8.51-61, B9, B19); programmatic passages promising a detailed account of the origin of celestial bodies (DK B10-11); a theogonical account of a goddess who rules the cosmos and creates other deities, beginning with Eros (DK B12-13); astronomical descriptions (DK 14-15a); </w:t>
      </w:r>
      <w:r w:rsidR="0018495A" w:rsidRPr="005D44CC">
        <w:rPr>
          <w:rFonts w:ascii="Palatino Linotype" w:hAnsi="Palatino Linotype"/>
        </w:rPr>
        <w:t xml:space="preserve">some </w:t>
      </w:r>
      <w:r w:rsidRPr="005D44CC">
        <w:rPr>
          <w:rFonts w:ascii="Palatino Linotype" w:hAnsi="Palatino Linotype"/>
        </w:rPr>
        <w:t>consideration of the relationship between the mind and body (DK B16);</w:t>
      </w:r>
      <w:r w:rsidR="0018495A" w:rsidRPr="005D44CC">
        <w:rPr>
          <w:rFonts w:ascii="Palatino Linotype" w:hAnsi="Palatino Linotype"/>
        </w:rPr>
        <w:t xml:space="preserve"> and a</w:t>
      </w:r>
      <w:r w:rsidRPr="005D44CC">
        <w:rPr>
          <w:rFonts w:ascii="Palatino Linotype" w:hAnsi="Palatino Linotype"/>
        </w:rPr>
        <w:t xml:space="preserve"> discussion of animal/human procreation (DK B17-18).  The entire section is tied together with a conclusion relating back to the Light/Night naming error (DK 19).  </w:t>
      </w:r>
    </w:p>
    <w:p w:rsidR="00454E38" w:rsidRPr="005D44CC" w:rsidRDefault="00454E38" w:rsidP="005D44CC">
      <w:pPr>
        <w:jc w:val="both"/>
        <w:rPr>
          <w:rFonts w:ascii="Palatino Linotype" w:hAnsi="Palatino Linotype"/>
        </w:rPr>
      </w:pPr>
      <w:r w:rsidRPr="005D44CC">
        <w:rPr>
          <w:rFonts w:ascii="Palatino Linotype" w:hAnsi="Palatino Linotype"/>
        </w:rPr>
        <w:tab/>
        <w:t xml:space="preserve">The presence of the Light/Night duality should stand out.  </w:t>
      </w:r>
      <w:r w:rsidRPr="005D44CC">
        <w:rPr>
          <w:rFonts w:ascii="Palatino Linotype" w:hAnsi="Palatino Linotype" w:cs="Times New Roman"/>
          <w:szCs w:val="24"/>
        </w:rPr>
        <w:t xml:space="preserve">These opposing forms are described in contrastive detail, as the constitutive elements of all things via their mixture (DK B8.51-61, B9).  Though commonly capitalized, both ancient and modern </w:t>
      </w:r>
      <w:r w:rsidRPr="005D44CC">
        <w:rPr>
          <w:rFonts w:ascii="Palatino Linotype" w:hAnsi="Palatino Linotype" w:cs="Times New Roman"/>
          <w:szCs w:val="24"/>
        </w:rPr>
        <w:lastRenderedPageBreak/>
        <w:t xml:space="preserve">commentators treat them as a fundamental metaphysical and/or physical dualism—not as divine entities.  However, given that the </w:t>
      </w:r>
      <w:r w:rsidRPr="005D44CC">
        <w:rPr>
          <w:rFonts w:ascii="Palatino Linotype" w:hAnsi="Palatino Linotype" w:cs="Times New Roman"/>
          <w:i/>
          <w:szCs w:val="24"/>
        </w:rPr>
        <w:t>Proem</w:t>
      </w:r>
      <w:r w:rsidRPr="005D44CC">
        <w:rPr>
          <w:rFonts w:ascii="Palatino Linotype" w:hAnsi="Palatino Linotype" w:cs="Times New Roman"/>
          <w:szCs w:val="24"/>
        </w:rPr>
        <w:t xml:space="preserve"> explicates a paralleled dualism in religious terms, it would seem appropriate to infer that a similar identification is intended here. </w:t>
      </w:r>
    </w:p>
    <w:p w:rsidR="00454E38" w:rsidRPr="005D44CC" w:rsidRDefault="00454E38" w:rsidP="005D44CC">
      <w:pPr>
        <w:jc w:val="both"/>
        <w:rPr>
          <w:rFonts w:ascii="Palatino Linotype" w:hAnsi="Palatino Linotype"/>
        </w:rPr>
      </w:pPr>
      <w:r w:rsidRPr="005D44CC">
        <w:rPr>
          <w:rFonts w:ascii="Palatino Linotype" w:hAnsi="Palatino Linotype"/>
        </w:rPr>
        <w:tab/>
        <w:t xml:space="preserve">Next comes a programmatic outline, promising a full accounting of the origins and nature of numerous physical, astronomical objects (sun, moon, stars, aether, heavens, etc.)  (DK B10-11).  This initially seems to be confirmation of the orthodox view of </w:t>
      </w:r>
      <w:r w:rsidRPr="005D44CC">
        <w:rPr>
          <w:rFonts w:ascii="Palatino Linotype" w:hAnsi="Palatino Linotype"/>
          <w:i/>
        </w:rPr>
        <w:t>Doxa</w:t>
      </w:r>
      <w:r w:rsidRPr="005D44CC">
        <w:rPr>
          <w:rFonts w:ascii="Palatino Linotype" w:hAnsi="Palatino Linotype"/>
        </w:rPr>
        <w:t xml:space="preserve"> as a Milesian-style physics.  Yet, it is almost universally overlooked that the fulfillment of this promised account clearly begins with a </w:t>
      </w:r>
      <w:r w:rsidRPr="005D44CC">
        <w:rPr>
          <w:rFonts w:ascii="Palatino Linotype" w:hAnsi="Palatino Linotype"/>
          <w:i/>
        </w:rPr>
        <w:t>theogonical</w:t>
      </w:r>
      <w:r w:rsidRPr="005D44CC">
        <w:rPr>
          <w:rFonts w:ascii="Palatino Linotype" w:hAnsi="Palatino Linotype"/>
        </w:rPr>
        <w:t xml:space="preserve"> account.  </w:t>
      </w:r>
    </w:p>
    <w:p w:rsidR="00454E38" w:rsidRPr="005D44CC" w:rsidRDefault="00454E38" w:rsidP="005D44CC">
      <w:pPr>
        <w:ind w:firstLine="720"/>
        <w:jc w:val="both"/>
        <w:rPr>
          <w:rFonts w:ascii="Palatino Linotype" w:hAnsi="Palatino Linotype"/>
        </w:rPr>
      </w:pPr>
      <w:r w:rsidRPr="005D44CC">
        <w:rPr>
          <w:rFonts w:ascii="Palatino Linotype" w:hAnsi="Palatino Linotype"/>
        </w:rPr>
        <w:t xml:space="preserve">DK B12 introduces an unnamed, cosmic-goddess—much like the </w:t>
      </w:r>
      <w:r w:rsidRPr="005D44CC">
        <w:rPr>
          <w:rFonts w:ascii="Palatino Linotype" w:hAnsi="Palatino Linotype"/>
          <w:i/>
        </w:rPr>
        <w:t xml:space="preserve">Proem </w:t>
      </w:r>
      <w:r w:rsidRPr="005D44CC">
        <w:rPr>
          <w:rFonts w:ascii="Palatino Linotype" w:hAnsi="Palatino Linotype"/>
        </w:rPr>
        <w:t xml:space="preserve">introduces the unnamed spokes-goddess.  This cosmic-goddess controls all things by mixing together male and female.  This seems to include not only sexual unions by mortals, but also the mixing together of gendered opposites, like Light/Sun (male) and Night (female).  The first (and only extant) action explicitly attributed to this cosmic goddess is the creation of Eros as the first god.  This is fitting, as Eros is a primordial force related to combination/mixture and sexual generation, as readily seen in Hesiod’s </w:t>
      </w:r>
      <w:r w:rsidRPr="005D44CC">
        <w:rPr>
          <w:rFonts w:ascii="Palatino Linotype" w:hAnsi="Palatino Linotype"/>
          <w:i/>
        </w:rPr>
        <w:t>Theogony</w:t>
      </w:r>
      <w:r w:rsidRPr="005D44CC">
        <w:rPr>
          <w:rFonts w:ascii="Palatino Linotype" w:hAnsi="Palatino Linotype"/>
        </w:rPr>
        <w:t xml:space="preserve">.  The first generation (Chaos, Earth, Tartarus, Eros) of primordial entities are spontaneously generated, without parentage or identifiable cause.  Cause and parentage are introduced next, when Chaos creates Erebus and Night.  However, there is still no sexual union, but a creative act of will, as is the case with the cosmic goddess’s creation of Eros in DK 13.  Only then, between deities of the second generation in </w:t>
      </w:r>
      <w:r w:rsidRPr="005D44CC">
        <w:rPr>
          <w:rFonts w:ascii="Palatino Linotype" w:hAnsi="Palatino Linotype"/>
          <w:i/>
        </w:rPr>
        <w:t>Theogony</w:t>
      </w:r>
      <w:r w:rsidRPr="005D44CC">
        <w:rPr>
          <w:rFonts w:ascii="Palatino Linotype" w:hAnsi="Palatino Linotype"/>
        </w:rPr>
        <w:t xml:space="preserve">, does sexual union and generation occur, in conjunction with the presence of Eros.  Notably, it is Night herself in </w:t>
      </w:r>
      <w:r w:rsidRPr="005D44CC">
        <w:rPr>
          <w:rFonts w:ascii="Palatino Linotype" w:hAnsi="Palatino Linotype"/>
          <w:i/>
        </w:rPr>
        <w:t xml:space="preserve">Theogony </w:t>
      </w:r>
      <w:r w:rsidRPr="005D44CC">
        <w:rPr>
          <w:rFonts w:ascii="Palatino Linotype" w:hAnsi="Palatino Linotype"/>
        </w:rPr>
        <w:t>who is the first deity to engage in sexual union and birth, coupling with her brother Erebus (darkness) to generate Aether and Day.</w:t>
      </w:r>
      <w:r w:rsidRPr="005D44CC">
        <w:rPr>
          <w:rStyle w:val="EndnoteReference"/>
          <w:rFonts w:ascii="Palatino Linotype" w:hAnsi="Palatino Linotype"/>
        </w:rPr>
        <w:endnoteReference w:id="45"/>
      </w:r>
      <w:r w:rsidRPr="005D44CC">
        <w:rPr>
          <w:rFonts w:ascii="Palatino Linotype" w:hAnsi="Palatino Linotype"/>
        </w:rPr>
        <w:t xml:space="preserve">  If the spokes-goddess is Night, so it seems the cosmic goddess of DK B12 might also be so identified.  Thus, the spokes-goddess would be providing an account of how mortals err in understanding her nature.</w:t>
      </w:r>
    </w:p>
    <w:p w:rsidR="00454E38" w:rsidRPr="005D44CC" w:rsidRDefault="00454E38" w:rsidP="005D44CC">
      <w:pPr>
        <w:ind w:firstLine="720"/>
        <w:jc w:val="both"/>
        <w:rPr>
          <w:rFonts w:ascii="Palatino Linotype" w:hAnsi="Palatino Linotype"/>
        </w:rPr>
      </w:pPr>
      <w:r w:rsidRPr="005D44CC">
        <w:rPr>
          <w:rFonts w:ascii="Palatino Linotype" w:hAnsi="Palatino Linotype"/>
        </w:rPr>
        <w:t xml:space="preserve">The three fragments that immediately follow (DK B14-15a) certainly describe aspects of the sun, moon, and earth.  In isolation, it is again quite understandable to read them as purely physical descriptions.  However, it makes better contextual sense to understand these as a continuation of the theogonical account, which itself continues to explicate erroneous mortal views based upon the Light/Night dualism (DK 19).  Thus, these fragments are partial descriptions of how Helios (Sun), Selene (Moon), and Gaia (Earth)—all divine entities—came to be and interact.  This can be further supported by noting that the behavior of these entities </w:t>
      </w:r>
      <w:r w:rsidR="00D90F50" w:rsidRPr="005D44CC">
        <w:rPr>
          <w:rFonts w:ascii="Palatino Linotype" w:hAnsi="Palatino Linotype"/>
        </w:rPr>
        <w:t>is</w:t>
      </w:r>
      <w:r w:rsidRPr="005D44CC">
        <w:rPr>
          <w:rFonts w:ascii="Palatino Linotype" w:hAnsi="Palatino Linotype"/>
        </w:rPr>
        <w:t xml:space="preserve"> described in rather anthropomorphic ways—i.e. Selene always “gazes” towards the sun, and “wanders” around Gaia.  A similar treatment can be consistently applied to the remaining fragments (DK B16-18), taking them to be an account of how the cosmic goddess generated and established the nature of mortal intellect and sexual reproduction. </w:t>
      </w:r>
    </w:p>
    <w:p w:rsidR="00454E38" w:rsidRPr="005D44CC" w:rsidRDefault="00454E38" w:rsidP="005D44CC">
      <w:pPr>
        <w:ind w:firstLine="720"/>
        <w:jc w:val="both"/>
        <w:rPr>
          <w:rFonts w:ascii="Palatino Linotype" w:hAnsi="Palatino Linotype"/>
        </w:rPr>
      </w:pPr>
      <w:r w:rsidRPr="005D44CC">
        <w:rPr>
          <w:rFonts w:ascii="Palatino Linotype" w:hAnsi="Palatino Linotype"/>
        </w:rPr>
        <w:t xml:space="preserve">By recognizing how the </w:t>
      </w:r>
      <w:r w:rsidRPr="005D44CC">
        <w:rPr>
          <w:rFonts w:ascii="Palatino Linotype" w:hAnsi="Palatino Linotype"/>
          <w:i/>
        </w:rPr>
        <w:t xml:space="preserve">Proem </w:t>
      </w:r>
      <w:r w:rsidRPr="005D44CC">
        <w:rPr>
          <w:rFonts w:ascii="Palatino Linotype" w:hAnsi="Palatino Linotype"/>
        </w:rPr>
        <w:t xml:space="preserve">and </w:t>
      </w:r>
      <w:r w:rsidRPr="005D44CC">
        <w:rPr>
          <w:rFonts w:ascii="Palatino Linotype" w:hAnsi="Palatino Linotype"/>
          <w:i/>
        </w:rPr>
        <w:t xml:space="preserve">Doxa </w:t>
      </w:r>
      <w:r w:rsidRPr="005D44CC">
        <w:rPr>
          <w:rFonts w:ascii="Palatino Linotype" w:hAnsi="Palatino Linotype"/>
        </w:rPr>
        <w:t xml:space="preserve">are carefully contrived in their theistic parallels, it becomes clear that the </w:t>
      </w:r>
      <w:r w:rsidRPr="005D44CC">
        <w:rPr>
          <w:rFonts w:ascii="Palatino Linotype" w:hAnsi="Palatino Linotype"/>
          <w:i/>
        </w:rPr>
        <w:t xml:space="preserve">Proem </w:t>
      </w:r>
      <w:r w:rsidRPr="005D44CC">
        <w:rPr>
          <w:rFonts w:ascii="Palatino Linotype" w:hAnsi="Palatino Linotype"/>
        </w:rPr>
        <w:t xml:space="preserve">must be interpretatively significant.  </w:t>
      </w:r>
      <w:r w:rsidRPr="005D44CC">
        <w:rPr>
          <w:rFonts w:ascii="Palatino Linotype" w:hAnsi="Palatino Linotype"/>
        </w:rPr>
        <w:lastRenderedPageBreak/>
        <w:t xml:space="preserve">Furthermore, mapping these parallels reveals that the purportedly “Parmenidean physics” should not be considered a physics at all, but rather a theogony closely related to Hesiod’s own.  This alone might help make some sense of the claims that Parmenides was engaged in theistic considerations, as any theogonical account clearly counts as religious.  However, this view would still require a rather obvious misreading of Parmenides—taking </w:t>
      </w:r>
      <w:r w:rsidRPr="005D44CC">
        <w:rPr>
          <w:rFonts w:ascii="Palatino Linotype" w:hAnsi="Palatino Linotype"/>
          <w:i/>
        </w:rPr>
        <w:t xml:space="preserve">Doxa </w:t>
      </w:r>
      <w:r w:rsidRPr="005D44CC">
        <w:rPr>
          <w:rFonts w:ascii="Palatino Linotype" w:hAnsi="Palatino Linotype"/>
        </w:rPr>
        <w:t xml:space="preserve">to be positively endorsed.  To get at Parmenides’ actual theistic message, the religious content of the </w:t>
      </w:r>
      <w:r w:rsidRPr="005D44CC">
        <w:rPr>
          <w:rFonts w:ascii="Palatino Linotype" w:hAnsi="Palatino Linotype"/>
          <w:i/>
        </w:rPr>
        <w:t>Proem</w:t>
      </w:r>
      <w:r w:rsidRPr="005D44CC">
        <w:rPr>
          <w:rFonts w:ascii="Palatino Linotype" w:hAnsi="Palatino Linotype"/>
        </w:rPr>
        <w:t xml:space="preserve"> and </w:t>
      </w:r>
      <w:r w:rsidRPr="005D44CC">
        <w:rPr>
          <w:rFonts w:ascii="Palatino Linotype" w:hAnsi="Palatino Linotype"/>
          <w:i/>
        </w:rPr>
        <w:t>Doxa</w:t>
      </w:r>
      <w:r w:rsidRPr="005D44CC">
        <w:rPr>
          <w:rFonts w:ascii="Palatino Linotype" w:hAnsi="Palatino Linotype"/>
        </w:rPr>
        <w:t xml:space="preserve"> must now be considered in relation to </w:t>
      </w:r>
      <w:r w:rsidRPr="005D44CC">
        <w:rPr>
          <w:rFonts w:ascii="Palatino Linotype" w:hAnsi="Palatino Linotype"/>
          <w:i/>
        </w:rPr>
        <w:t>Aletheia</w:t>
      </w:r>
      <w:r w:rsidRPr="005D44CC">
        <w:rPr>
          <w:rFonts w:ascii="Palatino Linotype" w:hAnsi="Palatino Linotype"/>
        </w:rPr>
        <w:t>.</w:t>
      </w:r>
    </w:p>
    <w:p w:rsidR="00454E38" w:rsidRPr="005D44CC" w:rsidRDefault="00454E38" w:rsidP="005D44CC">
      <w:pPr>
        <w:jc w:val="both"/>
        <w:rPr>
          <w:rFonts w:ascii="Palatino Linotype" w:hAnsi="Palatino Linotype"/>
        </w:rPr>
      </w:pPr>
      <w:r w:rsidRPr="005D44CC">
        <w:rPr>
          <w:rFonts w:ascii="Palatino Linotype" w:hAnsi="Palatino Linotype"/>
        </w:rPr>
        <w:tab/>
      </w:r>
    </w:p>
    <w:p w:rsidR="00454E38" w:rsidRPr="005D44CC" w:rsidRDefault="00454E38" w:rsidP="005D44CC">
      <w:pPr>
        <w:jc w:val="both"/>
        <w:rPr>
          <w:rFonts w:ascii="Palatino Linotype" w:hAnsi="Palatino Linotype"/>
          <w:b/>
        </w:rPr>
      </w:pPr>
      <w:r w:rsidRPr="005D44CC">
        <w:rPr>
          <w:rFonts w:ascii="Palatino Linotype" w:hAnsi="Palatino Linotype"/>
          <w:b/>
        </w:rPr>
        <w:t>Parmenides’s Xenophanean-Based Theism</w:t>
      </w:r>
    </w:p>
    <w:p w:rsidR="00454E38" w:rsidRPr="005D44CC" w:rsidRDefault="00454E38" w:rsidP="005D44CC">
      <w:pPr>
        <w:jc w:val="both"/>
        <w:rPr>
          <w:rFonts w:ascii="Palatino Linotype" w:hAnsi="Palatino Linotype"/>
        </w:rPr>
      </w:pPr>
    </w:p>
    <w:p w:rsidR="00454E38" w:rsidRPr="005D44CC" w:rsidRDefault="00454E38" w:rsidP="005D44CC">
      <w:pPr>
        <w:ind w:firstLine="720"/>
        <w:jc w:val="both"/>
        <w:rPr>
          <w:rFonts w:ascii="Palatino Linotype" w:hAnsi="Palatino Linotype" w:cs="Times New Roman"/>
          <w:szCs w:val="24"/>
        </w:rPr>
      </w:pPr>
      <w:r w:rsidRPr="005D44CC">
        <w:rPr>
          <w:rFonts w:ascii="Palatino Linotype" w:hAnsi="Palatino Linotype" w:cs="Times New Roman"/>
          <w:szCs w:val="24"/>
        </w:rPr>
        <w:t>It is made clear from the beginning of the poem that</w:t>
      </w:r>
      <w:r w:rsidRPr="005D44CC">
        <w:rPr>
          <w:rFonts w:ascii="Palatino Linotype" w:hAnsi="Palatino Linotype" w:cs="Times New Roman"/>
          <w:i/>
          <w:szCs w:val="24"/>
        </w:rPr>
        <w:t xml:space="preserve"> Aletheia </w:t>
      </w:r>
      <w:r w:rsidRPr="005D44CC">
        <w:rPr>
          <w:rFonts w:ascii="Palatino Linotype" w:hAnsi="Palatino Linotype" w:cs="Times New Roman"/>
          <w:szCs w:val="24"/>
        </w:rPr>
        <w:t xml:space="preserve">is a trustworthy account endorsed by the spokes-goddess (i.e. Parmenides), while </w:t>
      </w:r>
      <w:r w:rsidRPr="005D44CC">
        <w:rPr>
          <w:rFonts w:ascii="Palatino Linotype" w:hAnsi="Palatino Linotype" w:cs="Times New Roman"/>
          <w:i/>
          <w:szCs w:val="24"/>
        </w:rPr>
        <w:t>Doxa</w:t>
      </w:r>
      <w:r w:rsidRPr="005D44CC">
        <w:rPr>
          <w:rFonts w:ascii="Palatino Linotype" w:hAnsi="Palatino Linotype" w:cs="Times New Roman"/>
          <w:szCs w:val="24"/>
        </w:rPr>
        <w:t xml:space="preserve"> is a mortal view, unreliable in comparison.</w:t>
      </w:r>
      <w:r w:rsidRPr="005D44CC">
        <w:rPr>
          <w:rStyle w:val="EndnoteReference"/>
          <w:rFonts w:ascii="Palatino Linotype" w:hAnsi="Palatino Linotype" w:cs="Times New Roman"/>
          <w:szCs w:val="24"/>
        </w:rPr>
        <w:endnoteReference w:id="46"/>
      </w:r>
      <w:r w:rsidRPr="005D44CC">
        <w:rPr>
          <w:rFonts w:ascii="Palatino Linotype" w:hAnsi="Palatino Linotype" w:cs="Times New Roman"/>
          <w:szCs w:val="24"/>
        </w:rPr>
        <w:t xml:space="preserve">  </w:t>
      </w:r>
      <w:r w:rsidRPr="005D44CC">
        <w:rPr>
          <w:rFonts w:ascii="Palatino Linotype" w:hAnsi="Palatino Linotype" w:cs="Times New Roman"/>
          <w:i/>
          <w:szCs w:val="24"/>
        </w:rPr>
        <w:t>Doxa</w:t>
      </w:r>
      <w:r w:rsidRPr="005D44CC">
        <w:rPr>
          <w:rFonts w:ascii="Palatino Linotype" w:hAnsi="Palatino Linotype" w:cs="Times New Roman"/>
          <w:szCs w:val="24"/>
        </w:rPr>
        <w:t xml:space="preserve"> is also referred to as “deceptive,”</w:t>
      </w:r>
      <w:r w:rsidRPr="005D44CC">
        <w:rPr>
          <w:rStyle w:val="EndnoteReference"/>
          <w:rFonts w:ascii="Palatino Linotype" w:hAnsi="Palatino Linotype" w:cs="Times New Roman"/>
          <w:szCs w:val="24"/>
        </w:rPr>
        <w:endnoteReference w:id="47"/>
      </w:r>
      <w:r w:rsidRPr="005D44CC">
        <w:rPr>
          <w:rFonts w:ascii="Palatino Linotype" w:hAnsi="Palatino Linotype" w:cs="Times New Roman"/>
          <w:szCs w:val="24"/>
        </w:rPr>
        <w:t xml:space="preserve"> while</w:t>
      </w:r>
      <w:r w:rsidRPr="005D44CC">
        <w:rPr>
          <w:rFonts w:ascii="Palatino Linotype" w:hAnsi="Palatino Linotype" w:cs="Times New Roman"/>
          <w:i/>
          <w:szCs w:val="24"/>
        </w:rPr>
        <w:t xml:space="preserve"> </w:t>
      </w:r>
      <w:r w:rsidRPr="005D44CC">
        <w:rPr>
          <w:rFonts w:ascii="Palatino Linotype" w:hAnsi="Palatino Linotype" w:cs="Times New Roman"/>
          <w:szCs w:val="24"/>
        </w:rPr>
        <w:t>mortals themselves are portrayed as hopelessly confused, and lacking judgment.</w:t>
      </w:r>
      <w:r w:rsidRPr="005D44CC">
        <w:rPr>
          <w:rStyle w:val="EndnoteReference"/>
          <w:rFonts w:ascii="Palatino Linotype" w:hAnsi="Palatino Linotype" w:cs="Times New Roman"/>
          <w:szCs w:val="24"/>
        </w:rPr>
        <w:endnoteReference w:id="48"/>
      </w:r>
      <w:r w:rsidRPr="005D44CC">
        <w:rPr>
          <w:rFonts w:ascii="Palatino Linotype" w:hAnsi="Palatino Linotype" w:cs="Times New Roman"/>
          <w:szCs w:val="24"/>
        </w:rPr>
        <w:t xml:space="preserve">  DK 8.37b-42 makes clear that the subject of </w:t>
      </w:r>
      <w:r w:rsidRPr="005D44CC">
        <w:rPr>
          <w:rFonts w:ascii="Palatino Linotype" w:hAnsi="Palatino Linotype" w:cs="Times New Roman"/>
          <w:i/>
          <w:szCs w:val="24"/>
        </w:rPr>
        <w:t xml:space="preserve">Aletheia </w:t>
      </w:r>
      <w:r w:rsidRPr="005D44CC">
        <w:rPr>
          <w:rFonts w:ascii="Palatino Linotype" w:hAnsi="Palatino Linotype" w:cs="Times New Roman"/>
          <w:szCs w:val="24"/>
        </w:rPr>
        <w:t xml:space="preserve">is what mortals are wrong about—thinking that it comes-to-be, perishes, both is and is not, changes/moves, etc., and this is related to the Light/Night naming error.  In short, the text makes it abundantly clear that </w:t>
      </w:r>
      <w:r w:rsidRPr="005D44CC">
        <w:rPr>
          <w:rFonts w:ascii="Palatino Linotype" w:hAnsi="Palatino Linotype" w:cs="Times New Roman"/>
          <w:i/>
          <w:szCs w:val="24"/>
        </w:rPr>
        <w:t>Aletheia</w:t>
      </w:r>
      <w:r w:rsidRPr="005D44CC">
        <w:rPr>
          <w:rFonts w:ascii="Palatino Linotype" w:hAnsi="Palatino Linotype"/>
        </w:rPr>
        <w:t xml:space="preserve"> is a corrective account to mortal views, and </w:t>
      </w:r>
      <w:r w:rsidRPr="005D44CC">
        <w:rPr>
          <w:rFonts w:ascii="Palatino Linotype" w:hAnsi="Palatino Linotype"/>
          <w:i/>
        </w:rPr>
        <w:t>Doxa</w:t>
      </w:r>
      <w:r w:rsidRPr="005D44CC">
        <w:rPr>
          <w:rFonts w:ascii="Palatino Linotype" w:hAnsi="Palatino Linotype"/>
        </w:rPr>
        <w:t xml:space="preserve"> an explication of th</w:t>
      </w:r>
      <w:r w:rsidR="002B08FA" w:rsidRPr="005D44CC">
        <w:rPr>
          <w:rFonts w:ascii="Palatino Linotype" w:hAnsi="Palatino Linotype"/>
        </w:rPr>
        <w:t>at misunderstanding.  Taking</w:t>
      </w:r>
      <w:r w:rsidRPr="005D44CC">
        <w:rPr>
          <w:rFonts w:ascii="Palatino Linotype" w:hAnsi="Palatino Linotype"/>
        </w:rPr>
        <w:t xml:space="preserve"> </w:t>
      </w:r>
      <w:r w:rsidRPr="005D44CC">
        <w:rPr>
          <w:rFonts w:ascii="Palatino Linotype" w:hAnsi="Palatino Linotype"/>
          <w:i/>
        </w:rPr>
        <w:t>Aletheia</w:t>
      </w:r>
      <w:r w:rsidR="002B08FA" w:rsidRPr="005D44CC">
        <w:rPr>
          <w:rFonts w:ascii="Palatino Linotype" w:hAnsi="Palatino Linotype"/>
        </w:rPr>
        <w:t xml:space="preserve"> as a</w:t>
      </w:r>
      <w:r w:rsidRPr="005D44CC">
        <w:rPr>
          <w:rFonts w:ascii="Palatino Linotype" w:hAnsi="Palatino Linotype"/>
        </w:rPr>
        <w:t xml:space="preserve"> corrective on </w:t>
      </w:r>
      <w:r w:rsidRPr="005D44CC">
        <w:rPr>
          <w:rFonts w:ascii="Palatino Linotype" w:hAnsi="Palatino Linotype"/>
          <w:i/>
        </w:rPr>
        <w:t>Doxa</w:t>
      </w:r>
      <w:r w:rsidRPr="005D44CC">
        <w:rPr>
          <w:rFonts w:ascii="Palatino Linotype" w:hAnsi="Palatino Linotype"/>
        </w:rPr>
        <w:t xml:space="preserve">, and given the close parallels in religious content and thematic imagery between </w:t>
      </w:r>
      <w:r w:rsidRPr="005D44CC">
        <w:rPr>
          <w:rFonts w:ascii="Palatino Linotype" w:hAnsi="Palatino Linotype"/>
          <w:i/>
        </w:rPr>
        <w:t xml:space="preserve">Proem </w:t>
      </w:r>
      <w:r w:rsidRPr="005D44CC">
        <w:rPr>
          <w:rFonts w:ascii="Palatino Linotype" w:hAnsi="Palatino Linotype"/>
        </w:rPr>
        <w:t xml:space="preserve">and </w:t>
      </w:r>
      <w:r w:rsidRPr="005D44CC">
        <w:rPr>
          <w:rFonts w:ascii="Palatino Linotype" w:hAnsi="Palatino Linotype"/>
          <w:i/>
        </w:rPr>
        <w:t>Doxa</w:t>
      </w:r>
      <w:r w:rsidRPr="005D44CC">
        <w:rPr>
          <w:rFonts w:ascii="Palatino Linotype" w:hAnsi="Palatino Linotype"/>
        </w:rPr>
        <w:t xml:space="preserve">, </w:t>
      </w:r>
      <w:r w:rsidRPr="005D44CC">
        <w:rPr>
          <w:rFonts w:ascii="Palatino Linotype" w:hAnsi="Palatino Linotype"/>
          <w:i/>
        </w:rPr>
        <w:t>Aletheia</w:t>
      </w:r>
      <w:r w:rsidRPr="005D44CC">
        <w:rPr>
          <w:rFonts w:ascii="Palatino Linotype" w:hAnsi="Palatino Linotype"/>
        </w:rPr>
        <w:t xml:space="preserve"> should also be understood as a corrective on that account as well. But, what exactly is </w:t>
      </w:r>
      <w:r w:rsidRPr="005D44CC">
        <w:rPr>
          <w:rFonts w:ascii="Palatino Linotype" w:hAnsi="Palatino Linotype"/>
          <w:i/>
        </w:rPr>
        <w:t>Aletheia</w:t>
      </w:r>
      <w:r w:rsidRPr="005D44CC">
        <w:rPr>
          <w:rFonts w:ascii="Palatino Linotype" w:hAnsi="Palatino Linotype"/>
        </w:rPr>
        <w:t xml:space="preserve"> itself about?  </w:t>
      </w:r>
    </w:p>
    <w:p w:rsidR="00454E38" w:rsidRPr="005D44CC" w:rsidRDefault="00454E38" w:rsidP="005D44CC">
      <w:pPr>
        <w:ind w:firstLine="720"/>
        <w:jc w:val="both"/>
        <w:rPr>
          <w:rFonts w:ascii="Palatino Linotype" w:hAnsi="Palatino Linotype"/>
        </w:rPr>
      </w:pPr>
      <w:r w:rsidRPr="005D44CC">
        <w:rPr>
          <w:rFonts w:ascii="Palatino Linotype" w:hAnsi="Palatino Linotype" w:cs="Times New Roman"/>
          <w:szCs w:val="24"/>
        </w:rPr>
        <w:t xml:space="preserve">The </w:t>
      </w:r>
      <w:r w:rsidRPr="005D44CC">
        <w:rPr>
          <w:rFonts w:ascii="Palatino Linotype" w:hAnsi="Palatino Linotype" w:cs="Times New Roman"/>
          <w:i/>
          <w:szCs w:val="24"/>
        </w:rPr>
        <w:t>Proem</w:t>
      </w:r>
      <w:r w:rsidRPr="005D44CC">
        <w:rPr>
          <w:rFonts w:ascii="Palatino Linotype" w:hAnsi="Palatino Linotype" w:cs="Times New Roman"/>
          <w:szCs w:val="24"/>
        </w:rPr>
        <w:t xml:space="preserve"> invokes the mythopoetic traditions of Homer and Hesiod, introducing a divine agent to provide a philosophical education.  </w:t>
      </w:r>
      <w:r w:rsidRPr="005D44CC">
        <w:rPr>
          <w:rFonts w:ascii="Palatino Linotype" w:hAnsi="Palatino Linotype" w:cs="Times New Roman"/>
          <w:i/>
          <w:szCs w:val="24"/>
        </w:rPr>
        <w:t>Aletheia</w:t>
      </w:r>
      <w:r w:rsidRPr="005D44CC">
        <w:rPr>
          <w:rFonts w:ascii="Palatino Linotype" w:hAnsi="Palatino Linotype" w:cs="Times New Roman"/>
          <w:szCs w:val="24"/>
        </w:rPr>
        <w:t xml:space="preserve"> ensues, concluding there is some (kind of?) perfect, unchanging entity</w:t>
      </w:r>
      <w:r w:rsidRPr="005D44CC">
        <w:rPr>
          <w:rFonts w:ascii="Palatino Linotype" w:hAnsi="Palatino Linotype"/>
        </w:rPr>
        <w:t xml:space="preserve">.  The text moves on to consider how mortals have misunderstood this (kind of?) entity.  This involves positing a primordial dualism as the constitutive grounds for all things in the cosmos, the generative origin and natures of which are ultimately explicated in a theogony like Hesiod’s.  </w:t>
      </w:r>
    </w:p>
    <w:p w:rsidR="00454E38" w:rsidRPr="005D44CC" w:rsidRDefault="00454E38" w:rsidP="005D44CC">
      <w:pPr>
        <w:ind w:firstLine="720"/>
        <w:jc w:val="both"/>
        <w:rPr>
          <w:rFonts w:ascii="Palatino Linotype" w:hAnsi="Palatino Linotype"/>
        </w:rPr>
      </w:pPr>
      <w:r w:rsidRPr="005D44CC">
        <w:rPr>
          <w:rFonts w:ascii="Palatino Linotype" w:hAnsi="Palatino Linotype" w:cs="Times New Roman"/>
          <w:szCs w:val="24"/>
        </w:rPr>
        <w:t xml:space="preserve">It is tempting to focus on the Light/Night dualism, inferring that </w:t>
      </w:r>
      <w:r w:rsidRPr="005D44CC">
        <w:rPr>
          <w:rFonts w:ascii="Palatino Linotype" w:hAnsi="Palatino Linotype" w:cs="Times New Roman"/>
          <w:i/>
          <w:szCs w:val="24"/>
        </w:rPr>
        <w:t>Aletheia</w:t>
      </w:r>
      <w:r w:rsidRPr="005D44CC">
        <w:rPr>
          <w:rFonts w:ascii="Palatino Linotype" w:hAnsi="Palatino Linotype" w:cs="Times New Roman"/>
          <w:szCs w:val="24"/>
        </w:rPr>
        <w:t xml:space="preserve"> rejects this in favor of monism.  However, recognizing </w:t>
      </w:r>
      <w:r w:rsidRPr="005D44CC">
        <w:rPr>
          <w:rFonts w:ascii="Palatino Linotype" w:hAnsi="Palatino Linotype" w:cs="Times New Roman"/>
          <w:i/>
          <w:szCs w:val="24"/>
        </w:rPr>
        <w:t>Doxa</w:t>
      </w:r>
      <w:r w:rsidRPr="005D44CC">
        <w:rPr>
          <w:rFonts w:ascii="Palatino Linotype" w:hAnsi="Palatino Linotype" w:cs="Times New Roman"/>
          <w:szCs w:val="24"/>
        </w:rPr>
        <w:t xml:space="preserve">’s theogonical context makes this dualism a minor detail of a larger account.   The broader objection to </w:t>
      </w:r>
      <w:r w:rsidRPr="005D44CC">
        <w:rPr>
          <w:rFonts w:ascii="Palatino Linotype" w:hAnsi="Palatino Linotype" w:cs="Times New Roman"/>
          <w:i/>
          <w:szCs w:val="24"/>
        </w:rPr>
        <w:t>Doxa</w:t>
      </w:r>
      <w:r w:rsidRPr="005D44CC">
        <w:rPr>
          <w:rFonts w:ascii="Palatino Linotype" w:hAnsi="Palatino Linotype" w:cs="Times New Roman"/>
          <w:szCs w:val="24"/>
        </w:rPr>
        <w:t xml:space="preserve"> seems to be thinking that divine nature possesses causally efficacious mental capacities, and serves as an explanation for the generation and nature of the cosmos.  And, as both </w:t>
      </w:r>
      <w:r w:rsidRPr="005D44CC">
        <w:rPr>
          <w:rFonts w:ascii="Palatino Linotype" w:hAnsi="Palatino Linotype" w:cs="Times New Roman"/>
          <w:i/>
          <w:szCs w:val="24"/>
        </w:rPr>
        <w:t>Proem</w:t>
      </w:r>
      <w:r w:rsidRPr="005D44CC">
        <w:rPr>
          <w:rFonts w:ascii="Palatino Linotype" w:hAnsi="Palatino Linotype" w:cs="Times New Roman"/>
          <w:szCs w:val="24"/>
        </w:rPr>
        <w:t xml:space="preserve"> and </w:t>
      </w:r>
      <w:r w:rsidRPr="005D44CC">
        <w:rPr>
          <w:rFonts w:ascii="Palatino Linotype" w:hAnsi="Palatino Linotype" w:cs="Times New Roman"/>
          <w:i/>
          <w:szCs w:val="24"/>
        </w:rPr>
        <w:t>Doxa</w:t>
      </w:r>
      <w:r w:rsidRPr="005D44CC">
        <w:rPr>
          <w:rFonts w:ascii="Palatino Linotype" w:hAnsi="Palatino Linotype" w:cs="Times New Roman"/>
          <w:szCs w:val="24"/>
        </w:rPr>
        <w:t xml:space="preserve"> ascribe anthropomorphic descriptions to divine beings, </w:t>
      </w:r>
      <w:r w:rsidRPr="005D44CC">
        <w:rPr>
          <w:rFonts w:ascii="Palatino Linotype" w:hAnsi="Palatino Linotype" w:cs="Times New Roman"/>
          <w:i/>
          <w:szCs w:val="24"/>
        </w:rPr>
        <w:t>Aletheia</w:t>
      </w:r>
      <w:r w:rsidRPr="005D44CC">
        <w:rPr>
          <w:rFonts w:ascii="Palatino Linotype" w:hAnsi="Palatino Linotype" w:cs="Times New Roman"/>
          <w:szCs w:val="24"/>
        </w:rPr>
        <w:t xml:space="preserve"> can be understood as a corrective </w:t>
      </w:r>
      <w:r w:rsidR="00D90F50" w:rsidRPr="005D44CC">
        <w:rPr>
          <w:rFonts w:ascii="Palatino Linotype" w:hAnsi="Palatino Linotype" w:cs="Times New Roman"/>
          <w:szCs w:val="24"/>
        </w:rPr>
        <w:t>to</w:t>
      </w:r>
      <w:r w:rsidRPr="005D44CC">
        <w:rPr>
          <w:rFonts w:ascii="Palatino Linotype" w:hAnsi="Palatino Linotype" w:cs="Times New Roman"/>
          <w:szCs w:val="24"/>
        </w:rPr>
        <w:t xml:space="preserve"> the mythopoetic tradition, offering an entirely non-anthrop</w:t>
      </w:r>
      <w:r w:rsidR="00317261" w:rsidRPr="005D44CC">
        <w:rPr>
          <w:rFonts w:ascii="Palatino Linotype" w:hAnsi="Palatino Linotype" w:cs="Times New Roman"/>
          <w:szCs w:val="24"/>
        </w:rPr>
        <w:t>o</w:t>
      </w:r>
      <w:r w:rsidRPr="005D44CC">
        <w:rPr>
          <w:rFonts w:ascii="Palatino Linotype" w:hAnsi="Palatino Linotype" w:cs="Times New Roman"/>
          <w:szCs w:val="24"/>
        </w:rPr>
        <w:t xml:space="preserve">morphized account of divine nature instead.  </w:t>
      </w:r>
    </w:p>
    <w:p w:rsidR="00454E38" w:rsidRPr="005D44CC" w:rsidRDefault="00454E38" w:rsidP="005D44CC">
      <w:pPr>
        <w:ind w:firstLine="720"/>
        <w:jc w:val="both"/>
        <w:rPr>
          <w:rFonts w:ascii="Palatino Linotype" w:hAnsi="Palatino Linotype" w:cs="Times New Roman"/>
          <w:szCs w:val="24"/>
        </w:rPr>
      </w:pPr>
      <w:r w:rsidRPr="005D44CC">
        <w:rPr>
          <w:rFonts w:ascii="Palatino Linotype" w:hAnsi="Palatino Linotype" w:cs="Times New Roman"/>
          <w:szCs w:val="24"/>
        </w:rPr>
        <w:t xml:space="preserve">This reading explains why </w:t>
      </w:r>
      <w:r w:rsidR="00D90F50" w:rsidRPr="005D44CC">
        <w:rPr>
          <w:rFonts w:ascii="Palatino Linotype" w:hAnsi="Palatino Linotype" w:cs="Times New Roman"/>
          <w:szCs w:val="24"/>
        </w:rPr>
        <w:t>“</w:t>
      </w:r>
      <w:r w:rsidRPr="005D44CC">
        <w:rPr>
          <w:rFonts w:ascii="Palatino Linotype" w:hAnsi="Palatino Linotype" w:cs="Times New Roman"/>
          <w:szCs w:val="24"/>
        </w:rPr>
        <w:t>What Is</w:t>
      </w:r>
      <w:r w:rsidR="00D90F50" w:rsidRPr="005D44CC">
        <w:rPr>
          <w:rFonts w:ascii="Palatino Linotype" w:hAnsi="Palatino Linotype" w:cs="Times New Roman"/>
          <w:szCs w:val="24"/>
        </w:rPr>
        <w:t>”</w:t>
      </w:r>
      <w:r w:rsidRPr="005D44CC">
        <w:rPr>
          <w:rFonts w:ascii="Palatino Linotype" w:hAnsi="Palatino Linotype" w:cs="Times New Roman"/>
          <w:szCs w:val="24"/>
        </w:rPr>
        <w:t xml:space="preserve"> so closely matches Xenophanes’ God, as well as the notable differences (lack of mental capacity or cosmic efficacy) between these descriptions.  Xenophanes drew his conclusions rather speculatively from suppressed moralistic premises—what is moral is fitting for the divine, and nothing immoral is.  On </w:t>
      </w:r>
      <w:r w:rsidRPr="005D44CC">
        <w:rPr>
          <w:rFonts w:ascii="Palatino Linotype" w:hAnsi="Palatino Linotype" w:cs="Times New Roman"/>
          <w:szCs w:val="24"/>
        </w:rPr>
        <w:lastRenderedPageBreak/>
        <w:t xml:space="preserve">the other hand, Parmenides begins from explicit premises—grounded in widely held assumptions like the impossibility of </w:t>
      </w:r>
      <w:r w:rsidRPr="005D44CC">
        <w:rPr>
          <w:rFonts w:ascii="Palatino Linotype" w:hAnsi="Palatino Linotype" w:cs="Times New Roman"/>
          <w:i/>
          <w:szCs w:val="24"/>
        </w:rPr>
        <w:t>creatio ex nihilo</w:t>
      </w:r>
      <w:r w:rsidRPr="005D44CC">
        <w:rPr>
          <w:rFonts w:ascii="Palatino Linotype" w:hAnsi="Palatino Linotype" w:cs="Times New Roman"/>
          <w:szCs w:val="24"/>
        </w:rPr>
        <w:t>,</w:t>
      </w:r>
      <w:r w:rsidRPr="005D44CC">
        <w:rPr>
          <w:rFonts w:ascii="Palatino Linotype" w:hAnsi="Palatino Linotype" w:cs="Times New Roman"/>
          <w:i/>
          <w:szCs w:val="24"/>
        </w:rPr>
        <w:t xml:space="preserve"> </w:t>
      </w:r>
      <w:r w:rsidRPr="005D44CC">
        <w:rPr>
          <w:rFonts w:ascii="Palatino Linotype" w:hAnsi="Palatino Linotype" w:cs="Times New Roman"/>
          <w:szCs w:val="24"/>
        </w:rPr>
        <w:t>and a principle of sufficient reason—and reasons deductively from them.  It seems reasonable to conclude that the shared predicates are those Parmenides thought he could offer good arguments for, and the differences are those he could not, for some reason.  The differences might also be explained due to a perceived lack of internal consistency—can a perfectly complete, motionless entity that can change in no manner think?  Doesn’t that require some sort of internal change, and imply some lack of eternal perfection?</w:t>
      </w:r>
    </w:p>
    <w:p w:rsidR="007B17C4" w:rsidRPr="005D44CC" w:rsidRDefault="00454E38" w:rsidP="005D44CC">
      <w:pPr>
        <w:ind w:firstLine="720"/>
        <w:jc w:val="both"/>
        <w:rPr>
          <w:rFonts w:ascii="Palatino Linotype" w:hAnsi="Palatino Linotype" w:cs="Times New Roman"/>
          <w:szCs w:val="24"/>
        </w:rPr>
      </w:pPr>
      <w:r w:rsidRPr="005D44CC">
        <w:rPr>
          <w:rFonts w:ascii="Palatino Linotype" w:hAnsi="Palatino Linotype" w:cs="Times New Roman"/>
          <w:szCs w:val="24"/>
        </w:rPr>
        <w:t>Whatever the ultimate explanation, this reading is consistent with a substantial and direct Xenophanean influence.  Parmenides aimed to provide a far more carefully argued rational account of divine nature, as a corrective against the mythopoetic tradition.  This rational theism ended up being even more radical than Xenophanes’ own, featuring a complete elimination of all anthropomorphic characterizations (</w:t>
      </w:r>
      <w:r w:rsidR="002B08FA" w:rsidRPr="005D44CC">
        <w:rPr>
          <w:rFonts w:ascii="Palatino Linotype" w:hAnsi="Palatino Linotype" w:cs="Times New Roman"/>
          <w:szCs w:val="24"/>
        </w:rPr>
        <w:t xml:space="preserve">including </w:t>
      </w:r>
      <w:r w:rsidRPr="005D44CC">
        <w:rPr>
          <w:rFonts w:ascii="Palatino Linotype" w:hAnsi="Palatino Linotype" w:cs="Times New Roman"/>
          <w:szCs w:val="24"/>
        </w:rPr>
        <w:t>mind) and religious import (no involvement in the world).</w:t>
      </w:r>
      <w:r w:rsidRPr="005D44CC">
        <w:rPr>
          <w:rStyle w:val="EndnoteReference"/>
          <w:rFonts w:ascii="Palatino Linotype" w:hAnsi="Palatino Linotype" w:cs="Times New Roman"/>
          <w:szCs w:val="24"/>
        </w:rPr>
        <w:endnoteReference w:id="49"/>
      </w:r>
      <w:r w:rsidRPr="005D44CC">
        <w:rPr>
          <w:rFonts w:ascii="Palatino Linotype" w:hAnsi="Palatino Linotype" w:cs="Times New Roman"/>
          <w:szCs w:val="24"/>
        </w:rPr>
        <w:t xml:space="preserve"> </w:t>
      </w:r>
      <w:r w:rsidR="00F27DE4" w:rsidRPr="005D44CC">
        <w:rPr>
          <w:rFonts w:ascii="Palatino Linotype" w:hAnsi="Palatino Linotype" w:cs="Times New Roman"/>
          <w:szCs w:val="24"/>
        </w:rPr>
        <w:t xml:space="preserve"> </w:t>
      </w:r>
      <w:r w:rsidR="00115A23" w:rsidRPr="005D44CC">
        <w:rPr>
          <w:rFonts w:ascii="Palatino Linotype" w:hAnsi="Palatino Linotype" w:cs="Times New Roman"/>
          <w:szCs w:val="24"/>
        </w:rPr>
        <w:t>This reading also provides a substantive</w:t>
      </w:r>
      <w:r w:rsidR="00BC555D" w:rsidRPr="005D44CC">
        <w:rPr>
          <w:rFonts w:ascii="Palatino Linotype" w:hAnsi="Palatino Linotype" w:cs="Times New Roman"/>
          <w:szCs w:val="24"/>
        </w:rPr>
        <w:t xml:space="preserve"> and charitable explanation that can account for all the philosophical parallels between these thinkers in</w:t>
      </w:r>
      <w:r w:rsidR="00115A23" w:rsidRPr="005D44CC">
        <w:rPr>
          <w:rFonts w:ascii="Palatino Linotype" w:hAnsi="Palatino Linotype" w:cs="Times New Roman"/>
          <w:i/>
          <w:szCs w:val="24"/>
        </w:rPr>
        <w:t xml:space="preserve"> </w:t>
      </w:r>
      <w:r w:rsidR="00115A23" w:rsidRPr="005D44CC">
        <w:rPr>
          <w:rFonts w:ascii="Palatino Linotype" w:hAnsi="Palatino Linotype" w:cs="Times New Roman"/>
          <w:szCs w:val="24"/>
        </w:rPr>
        <w:t xml:space="preserve">the ancient </w:t>
      </w:r>
      <w:r w:rsidR="00115A23" w:rsidRPr="005D44CC">
        <w:rPr>
          <w:rFonts w:ascii="Palatino Linotype" w:hAnsi="Palatino Linotype" w:cs="Times New Roman"/>
          <w:i/>
          <w:szCs w:val="24"/>
        </w:rPr>
        <w:t>testimonia</w:t>
      </w:r>
      <w:r w:rsidR="00BC555D" w:rsidRPr="005D44CC">
        <w:rPr>
          <w:rFonts w:ascii="Palatino Linotype" w:hAnsi="Palatino Linotype" w:cs="Times New Roman"/>
          <w:szCs w:val="24"/>
        </w:rPr>
        <w:t>.</w:t>
      </w:r>
    </w:p>
    <w:p w:rsidR="00C73988" w:rsidRPr="005D44CC" w:rsidRDefault="007B17C4" w:rsidP="005D44CC">
      <w:pPr>
        <w:ind w:firstLine="720"/>
        <w:jc w:val="both"/>
        <w:rPr>
          <w:rFonts w:ascii="Palatino Linotype" w:hAnsi="Palatino Linotype" w:cs="Times New Roman"/>
          <w:szCs w:val="24"/>
        </w:rPr>
      </w:pPr>
      <w:r w:rsidRPr="005D44CC">
        <w:rPr>
          <w:rFonts w:ascii="Palatino Linotype" w:hAnsi="Palatino Linotype" w:cs="Times New Roman"/>
          <w:szCs w:val="24"/>
        </w:rPr>
        <w:t xml:space="preserve">Further recommending </w:t>
      </w:r>
      <w:r w:rsidR="000657E2" w:rsidRPr="005D44CC">
        <w:rPr>
          <w:rFonts w:ascii="Palatino Linotype" w:hAnsi="Palatino Linotype" w:cs="Times New Roman"/>
          <w:szCs w:val="24"/>
        </w:rPr>
        <w:t xml:space="preserve">this interpretative view is </w:t>
      </w:r>
      <w:r w:rsidRPr="005D44CC">
        <w:rPr>
          <w:rFonts w:ascii="Palatino Linotype" w:hAnsi="Palatino Linotype" w:cs="Times New Roman"/>
          <w:szCs w:val="24"/>
        </w:rPr>
        <w:t>that it offers a far more holistic account than</w:t>
      </w:r>
      <w:r w:rsidR="000657E2" w:rsidRPr="005D44CC">
        <w:rPr>
          <w:rFonts w:ascii="Palatino Linotype" w:hAnsi="Palatino Linotype" w:cs="Times New Roman"/>
          <w:szCs w:val="24"/>
        </w:rPr>
        <w:t xml:space="preserve"> traditional models</w:t>
      </w:r>
      <w:r w:rsidRPr="005D44CC">
        <w:rPr>
          <w:rFonts w:ascii="Palatino Linotype" w:hAnsi="Palatino Linotype" w:cs="Times New Roman"/>
          <w:szCs w:val="24"/>
        </w:rPr>
        <w:t xml:space="preserve"> have offered so far</w:t>
      </w:r>
      <w:r w:rsidR="00BC555D" w:rsidRPr="005D44CC">
        <w:rPr>
          <w:rFonts w:ascii="Palatino Linotype" w:hAnsi="Palatino Linotype" w:cs="Times New Roman"/>
          <w:szCs w:val="24"/>
        </w:rPr>
        <w:t>.  First, it</w:t>
      </w:r>
      <w:r w:rsidRPr="005D44CC">
        <w:rPr>
          <w:rFonts w:ascii="Palatino Linotype" w:hAnsi="Palatino Linotype" w:cs="Times New Roman"/>
          <w:szCs w:val="24"/>
        </w:rPr>
        <w:t xml:space="preserve"> makes the </w:t>
      </w:r>
      <w:r w:rsidRPr="005D44CC">
        <w:rPr>
          <w:rFonts w:ascii="Palatino Linotype" w:hAnsi="Palatino Linotype" w:cs="Times New Roman"/>
          <w:i/>
          <w:szCs w:val="24"/>
        </w:rPr>
        <w:t>Proem</w:t>
      </w:r>
      <w:r w:rsidRPr="005D44CC">
        <w:rPr>
          <w:rFonts w:ascii="Palatino Linotype" w:hAnsi="Palatino Linotype" w:cs="Times New Roman"/>
          <w:szCs w:val="24"/>
        </w:rPr>
        <w:t xml:space="preserve"> </w:t>
      </w:r>
      <w:r w:rsidR="00BC555D" w:rsidRPr="005D44CC">
        <w:rPr>
          <w:rFonts w:ascii="Palatino Linotype" w:hAnsi="Palatino Linotype" w:cs="Times New Roman"/>
          <w:szCs w:val="24"/>
        </w:rPr>
        <w:t xml:space="preserve">interpretatively relevant.  Second, it </w:t>
      </w:r>
      <w:r w:rsidRPr="005D44CC">
        <w:rPr>
          <w:rFonts w:ascii="Palatino Linotype" w:hAnsi="Palatino Linotype" w:cs="Times New Roman"/>
          <w:szCs w:val="24"/>
        </w:rPr>
        <w:t xml:space="preserve">allows for </w:t>
      </w:r>
      <w:r w:rsidRPr="005D44CC">
        <w:rPr>
          <w:rFonts w:ascii="Palatino Linotype" w:hAnsi="Palatino Linotype" w:cs="Times New Roman"/>
          <w:i/>
          <w:szCs w:val="24"/>
        </w:rPr>
        <w:t>Aletheia</w:t>
      </w:r>
      <w:r w:rsidRPr="005D44CC">
        <w:rPr>
          <w:rFonts w:ascii="Palatino Linotype" w:hAnsi="Palatino Linotype" w:cs="Times New Roman"/>
          <w:szCs w:val="24"/>
        </w:rPr>
        <w:t xml:space="preserve"> and </w:t>
      </w:r>
      <w:r w:rsidRPr="005D44CC">
        <w:rPr>
          <w:rFonts w:ascii="Palatino Linotype" w:hAnsi="Palatino Linotype" w:cs="Times New Roman"/>
          <w:i/>
          <w:szCs w:val="24"/>
        </w:rPr>
        <w:t>Doxa</w:t>
      </w:r>
      <w:r w:rsidRPr="005D44CC">
        <w:rPr>
          <w:rFonts w:ascii="Palatino Linotype" w:hAnsi="Palatino Linotype" w:cs="Times New Roman"/>
          <w:szCs w:val="24"/>
        </w:rPr>
        <w:t xml:space="preserve"> to be </w:t>
      </w:r>
      <w:r w:rsidR="00BC555D" w:rsidRPr="005D44CC">
        <w:rPr>
          <w:rFonts w:ascii="Palatino Linotype" w:hAnsi="Palatino Linotype" w:cs="Times New Roman"/>
          <w:szCs w:val="24"/>
        </w:rPr>
        <w:t xml:space="preserve">easily </w:t>
      </w:r>
      <w:r w:rsidRPr="005D44CC">
        <w:rPr>
          <w:rFonts w:ascii="Palatino Linotype" w:hAnsi="Palatino Linotype" w:cs="Times New Roman"/>
          <w:szCs w:val="24"/>
        </w:rPr>
        <w:t>reconciled</w:t>
      </w:r>
      <w:r w:rsidR="00BC555D" w:rsidRPr="005D44CC">
        <w:rPr>
          <w:rFonts w:ascii="Palatino Linotype" w:hAnsi="Palatino Linotype" w:cs="Times New Roman"/>
          <w:szCs w:val="24"/>
        </w:rPr>
        <w:t xml:space="preserve">, a task which has long plagued Parmenidean studies.  </w:t>
      </w:r>
      <w:r w:rsidR="00C73988" w:rsidRPr="005D44CC">
        <w:rPr>
          <w:rFonts w:ascii="Palatino Linotype" w:hAnsi="Palatino Linotype" w:cs="Times New Roman"/>
          <w:szCs w:val="24"/>
        </w:rPr>
        <w:t xml:space="preserve">No longer is there any worry that Parmenides was arguing that the entirety of the cosmos is one unified, unchanging entity—and thus </w:t>
      </w:r>
      <w:r w:rsidR="00BC555D" w:rsidRPr="005D44CC">
        <w:rPr>
          <w:rFonts w:ascii="Palatino Linotype" w:hAnsi="Palatino Linotype" w:cs="Times New Roman"/>
          <w:szCs w:val="24"/>
        </w:rPr>
        <w:t xml:space="preserve">madly </w:t>
      </w:r>
      <w:r w:rsidR="00C73988" w:rsidRPr="005D44CC">
        <w:rPr>
          <w:rFonts w:ascii="Palatino Linotype" w:hAnsi="Palatino Linotype" w:cs="Times New Roman"/>
          <w:szCs w:val="24"/>
        </w:rPr>
        <w:t xml:space="preserve">denying the existence of everything in our </w:t>
      </w:r>
      <w:r w:rsidR="008124F4" w:rsidRPr="005D44CC">
        <w:rPr>
          <w:rFonts w:ascii="Palatino Linotype" w:hAnsi="Palatino Linotype" w:cs="Times New Roman"/>
          <w:szCs w:val="24"/>
        </w:rPr>
        <w:t>experience, including himself.  One need only accept that Parmenides was in fact</w:t>
      </w:r>
      <w:r w:rsidR="00BC555D" w:rsidRPr="005D44CC">
        <w:rPr>
          <w:rFonts w:ascii="Palatino Linotype" w:hAnsi="Palatino Linotype" w:cs="Times New Roman"/>
          <w:szCs w:val="24"/>
        </w:rPr>
        <w:t xml:space="preserve"> closely following Xenophanes</w:t>
      </w:r>
      <w:r w:rsidR="006A48A9" w:rsidRPr="005D44CC">
        <w:rPr>
          <w:rFonts w:ascii="Palatino Linotype" w:hAnsi="Palatino Linotype" w:cs="Times New Roman"/>
          <w:szCs w:val="24"/>
        </w:rPr>
        <w:t>—o</w:t>
      </w:r>
      <w:r w:rsidR="00BC555D" w:rsidRPr="005D44CC">
        <w:rPr>
          <w:rFonts w:ascii="Palatino Linotype" w:hAnsi="Palatino Linotype" w:cs="Times New Roman"/>
          <w:szCs w:val="24"/>
        </w:rPr>
        <w:t xml:space="preserve">ffering metaphysical arguments for a </w:t>
      </w:r>
      <w:r w:rsidR="00CF48D7" w:rsidRPr="005D44CC">
        <w:rPr>
          <w:rFonts w:ascii="Palatino Linotype" w:hAnsi="Palatino Linotype" w:cs="Times New Roman"/>
          <w:szCs w:val="24"/>
        </w:rPr>
        <w:t>rational theism</w:t>
      </w:r>
      <w:r w:rsidR="00BC555D" w:rsidRPr="005D44CC">
        <w:rPr>
          <w:rFonts w:ascii="Palatino Linotype" w:hAnsi="Palatino Linotype" w:cs="Times New Roman"/>
          <w:szCs w:val="24"/>
        </w:rPr>
        <w:t xml:space="preserve"> rather than a</w:t>
      </w:r>
      <w:r w:rsidR="00CF48D7" w:rsidRPr="005D44CC">
        <w:rPr>
          <w:rFonts w:ascii="Palatino Linotype" w:hAnsi="Palatino Linotype" w:cs="Times New Roman"/>
          <w:szCs w:val="24"/>
        </w:rPr>
        <w:t xml:space="preserve"> metaphysical analysis of being in-itself</w:t>
      </w:r>
      <w:r w:rsidR="006A48A9" w:rsidRPr="005D44CC">
        <w:rPr>
          <w:rFonts w:ascii="Palatino Linotype" w:hAnsi="Palatino Linotype" w:cs="Times New Roman"/>
          <w:szCs w:val="24"/>
        </w:rPr>
        <w:t>—</w:t>
      </w:r>
      <w:r w:rsidR="00724544" w:rsidRPr="005D44CC">
        <w:rPr>
          <w:rFonts w:ascii="Palatino Linotype" w:hAnsi="Palatino Linotype" w:cs="Times New Roman"/>
          <w:szCs w:val="24"/>
        </w:rPr>
        <w:t>and thereby establishing the Eleatic tradition in Magna Graecia.</w:t>
      </w:r>
    </w:p>
    <w:p w:rsidR="00115A23" w:rsidRPr="005D44CC" w:rsidRDefault="00115A23" w:rsidP="005D44CC">
      <w:pPr>
        <w:jc w:val="both"/>
        <w:rPr>
          <w:rFonts w:ascii="Palatino Linotype" w:hAnsi="Palatino Linotype"/>
        </w:rPr>
      </w:pPr>
    </w:p>
    <w:sectPr w:rsidR="00115A23" w:rsidRPr="005D44CC" w:rsidSect="005E3864">
      <w:headerReference w:type="default" r:id="rId8"/>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7CF" w:rsidRDefault="00FA17CF" w:rsidP="005A374E">
      <w:r>
        <w:separator/>
      </w:r>
    </w:p>
  </w:endnote>
  <w:endnote w:type="continuationSeparator" w:id="0">
    <w:p w:rsidR="00FA17CF" w:rsidRDefault="00FA17CF" w:rsidP="005A374E">
      <w:r>
        <w:continuationSeparator/>
      </w:r>
    </w:p>
  </w:endnote>
  <w:endnote w:id="1">
    <w:p w:rsidR="00454E38" w:rsidRPr="004655B4" w:rsidRDefault="00454E38" w:rsidP="00454E38">
      <w:pPr>
        <w:pStyle w:val="EndnoteText"/>
        <w:rPr>
          <w:rFonts w:cs="Times New Roman"/>
        </w:rPr>
      </w:pPr>
      <w:r w:rsidRPr="00BB7C32">
        <w:rPr>
          <w:rStyle w:val="EndnoteReference"/>
          <w:color w:val="000000" w:themeColor="text1"/>
        </w:rPr>
        <w:endnoteRef/>
      </w:r>
      <w:r w:rsidRPr="00BB7C32">
        <w:rPr>
          <w:color w:val="000000" w:themeColor="text1"/>
        </w:rPr>
        <w:t xml:space="preserve"> </w:t>
      </w:r>
      <w:r w:rsidRPr="00BB7C32">
        <w:rPr>
          <w:rFonts w:cs="Times New Roman"/>
          <w:color w:val="000000" w:themeColor="text1"/>
        </w:rPr>
        <w:t xml:space="preserve">Jeremy DeLong (Ph.D. Philosophy; MA Classics) is currently an adjunct professor at Metropolitan Community College, Kansas City.  This paper derives from his dissertation research at the University of Kansas, under the sage mentorship of Thomas Tuozzo.  Jeremy DeLong, “Parmenides’ Theistic Metaphysics” (Ph.D. Diss., University of Kansas, 2016).  His publications on Parmenides include: “Rearranging Parmenides:  B1: 31-32 and a Case for an Entirely Negative </w:t>
      </w:r>
      <w:r w:rsidRPr="00BB7C32">
        <w:rPr>
          <w:rFonts w:cs="Times New Roman"/>
          <w:i/>
          <w:color w:val="000000" w:themeColor="text1"/>
        </w:rPr>
        <w:t>Doxa</w:t>
      </w:r>
      <w:r w:rsidRPr="00BB7C32">
        <w:rPr>
          <w:rFonts w:cs="Times New Roman"/>
          <w:color w:val="000000" w:themeColor="text1"/>
        </w:rPr>
        <w:t xml:space="preserve"> (Opinion),” </w:t>
      </w:r>
      <w:r w:rsidRPr="00BB7C32">
        <w:rPr>
          <w:rFonts w:cs="Times New Roman"/>
          <w:i/>
          <w:color w:val="000000" w:themeColor="text1"/>
        </w:rPr>
        <w:t>Southwest Philosophy Review</w:t>
      </w:r>
      <w:r w:rsidRPr="00BB7C32">
        <w:rPr>
          <w:rFonts w:cs="Times New Roman"/>
          <w:color w:val="000000" w:themeColor="text1"/>
        </w:rPr>
        <w:t xml:space="preserve">; “Parmenides,” </w:t>
      </w:r>
      <w:r w:rsidRPr="00BB7C32">
        <w:rPr>
          <w:rFonts w:cs="Times New Roman"/>
          <w:i/>
          <w:color w:val="000000" w:themeColor="text1"/>
        </w:rPr>
        <w:t>Internet Encyclopedia of Philosophy</w:t>
      </w:r>
      <w:r w:rsidRPr="00BB7C32">
        <w:rPr>
          <w:rFonts w:cs="Times New Roman"/>
          <w:color w:val="000000" w:themeColor="text1"/>
        </w:rPr>
        <w:t xml:space="preserve"> (IEP).  </w:t>
      </w:r>
      <w:hyperlink r:id="rId1" w:history="1">
        <w:r w:rsidRPr="00BB7C32">
          <w:rPr>
            <w:rStyle w:val="Hyperlink"/>
            <w:rFonts w:cs="Times New Roman"/>
            <w:color w:val="000000" w:themeColor="text1"/>
          </w:rPr>
          <w:t>jeremydelong@sbcglobal.net</w:t>
        </w:r>
      </w:hyperlink>
      <w:r w:rsidRPr="00BB7C32">
        <w:rPr>
          <w:rFonts w:cs="Times New Roman"/>
          <w:color w:val="000000" w:themeColor="text1"/>
        </w:rPr>
        <w:t xml:space="preserve">    </w:t>
      </w:r>
    </w:p>
  </w:endnote>
  <w:endnote w:id="2">
    <w:p w:rsidR="00454E38" w:rsidRPr="00030A12" w:rsidRDefault="00454E38" w:rsidP="00CE2AE6">
      <w:pPr>
        <w:pStyle w:val="EndnoteText"/>
      </w:pPr>
      <w:r>
        <w:rPr>
          <w:rStyle w:val="EndnoteReference"/>
        </w:rPr>
        <w:endnoteRef/>
      </w:r>
      <w:r>
        <w:t xml:space="preserve"> Some representative skeptical examples:  A. H. Coxon, </w:t>
      </w:r>
      <w:r>
        <w:rPr>
          <w:i/>
        </w:rPr>
        <w:t>The Fragments of Parmenides:  Revised and Expanded Edition</w:t>
      </w:r>
      <w:r>
        <w:t xml:space="preserve">, ed. Richard McKirahan (Las Vegas:  Parmenides Publishing, 2009), 18-20; Daniel W. Graham, </w:t>
      </w:r>
      <w:r>
        <w:rPr>
          <w:i/>
        </w:rPr>
        <w:t>The Texts of Early Greek Philosophy: Part I</w:t>
      </w:r>
      <w:r>
        <w:t xml:space="preserve"> (Cambridge:  Cambridge University Press, 2010), 4, 95; Richard McKirahan, </w:t>
      </w:r>
      <w:r>
        <w:rPr>
          <w:i/>
        </w:rPr>
        <w:t>Philosophy Before Socrates</w:t>
      </w:r>
      <w:r>
        <w:t xml:space="preserve"> (Indianapolis:  Hackett, 2010), 151-52; 18-20; N</w:t>
      </w:r>
      <w:r>
        <w:rPr>
          <w:rFonts w:cs="Times New Roman"/>
        </w:rPr>
        <w:t>é</w:t>
      </w:r>
      <w:r>
        <w:t xml:space="preserve">stor-Luis Cordero, </w:t>
      </w:r>
      <w:r>
        <w:rPr>
          <w:i/>
        </w:rPr>
        <w:t>By Being, It Is:  The Thesis of Parmenides</w:t>
      </w:r>
      <w:r>
        <w:t xml:space="preserve"> (Las Vegas:  Parmenides Publishing, 2004), 9-11; Patricia Curd, </w:t>
      </w:r>
      <w:r>
        <w:rPr>
          <w:i/>
        </w:rPr>
        <w:t xml:space="preserve">The Legacy of Parmenides:  Eleatic Monism and Later Presocratic Thought </w:t>
      </w:r>
      <w:r>
        <w:t xml:space="preserve">(New Jersey:  Princeton University Press, 1998), 16n33.  Michael Patzia, “Xenophanes,” </w:t>
      </w:r>
      <w:r>
        <w:rPr>
          <w:i/>
        </w:rPr>
        <w:t>Internet Encyclopedia of Philosophy</w:t>
      </w:r>
      <w:r>
        <w:t xml:space="preserve">, 10/16/2016.  </w:t>
      </w:r>
      <w:hyperlink r:id="rId2" w:history="1">
        <w:r w:rsidRPr="00B306F2">
          <w:rPr>
            <w:rStyle w:val="Hyperlink"/>
          </w:rPr>
          <w:t>http://www.iep.utm.edu/xenoph/</w:t>
        </w:r>
      </w:hyperlink>
      <w:r>
        <w:t>.  Leonardo Tar</w:t>
      </w:r>
      <w:r>
        <w:rPr>
          <w:rFonts w:cs="Times New Roman"/>
        </w:rPr>
        <w:t>á</w:t>
      </w:r>
      <w:r>
        <w:t xml:space="preserve">n, </w:t>
      </w:r>
      <w:r w:rsidRPr="00F67B86">
        <w:rPr>
          <w:i/>
        </w:rPr>
        <w:t>Parmenides: A Text with Translation, Commentary, and Critical Essays</w:t>
      </w:r>
      <w:r>
        <w:t xml:space="preserve"> (</w:t>
      </w:r>
      <w:r w:rsidRPr="00F67B86">
        <w:t>Princeton, NJ: Princeton University Press, 1965</w:t>
      </w:r>
      <w:r>
        <w:t>) 3, 201</w:t>
      </w:r>
      <w:r w:rsidRPr="00F67B86">
        <w:t>.</w:t>
      </w:r>
    </w:p>
  </w:endnote>
  <w:endnote w:id="3">
    <w:p w:rsidR="00454E38" w:rsidRDefault="00454E38">
      <w:pPr>
        <w:pStyle w:val="EndnoteText"/>
      </w:pPr>
      <w:r>
        <w:rPr>
          <w:rStyle w:val="EndnoteReference"/>
        </w:rPr>
        <w:endnoteRef/>
      </w:r>
      <w:r>
        <w:t xml:space="preserve"> </w:t>
      </w:r>
      <w:r>
        <w:rPr>
          <w:rFonts w:cs="Times New Roman"/>
        </w:rPr>
        <w:t>Diogenes,</w:t>
      </w:r>
      <w:r w:rsidRPr="004655B4">
        <w:rPr>
          <w:rFonts w:cs="Times New Roman"/>
        </w:rPr>
        <w:t xml:space="preserve"> </w:t>
      </w:r>
      <w:r w:rsidRPr="00CB65BE">
        <w:rPr>
          <w:rFonts w:cs="Times New Roman"/>
          <w:i/>
        </w:rPr>
        <w:t>Lives</w:t>
      </w:r>
      <w:r>
        <w:rPr>
          <w:rFonts w:cs="Times New Roman"/>
        </w:rPr>
        <w:t xml:space="preserve">, </w:t>
      </w:r>
      <w:r w:rsidRPr="00CB65BE">
        <w:rPr>
          <w:rFonts w:cs="Times New Roman"/>
        </w:rPr>
        <w:t>ix</w:t>
      </w:r>
      <w:r w:rsidRPr="004655B4">
        <w:rPr>
          <w:rFonts w:cs="Times New Roman"/>
        </w:rPr>
        <w:t>.18</w:t>
      </w:r>
      <w:r>
        <w:rPr>
          <w:rFonts w:cs="Times New Roman"/>
        </w:rPr>
        <w:t xml:space="preserve">-20; DK </w:t>
      </w:r>
      <w:r>
        <w:rPr>
          <w:rFonts w:cs="Times New Roman"/>
          <w:i/>
        </w:rPr>
        <w:t>Xen.</w:t>
      </w:r>
      <w:r>
        <w:rPr>
          <w:rFonts w:cs="Times New Roman"/>
        </w:rPr>
        <w:t xml:space="preserve"> B8.  Censorinus 15.3; DK </w:t>
      </w:r>
      <w:r>
        <w:rPr>
          <w:rFonts w:cs="Times New Roman"/>
          <w:i/>
        </w:rPr>
        <w:t>Xen</w:t>
      </w:r>
      <w:r>
        <w:rPr>
          <w:rFonts w:cs="Times New Roman"/>
        </w:rPr>
        <w:t>.</w:t>
      </w:r>
      <w:r>
        <w:rPr>
          <w:rFonts w:cs="Times New Roman"/>
          <w:i/>
        </w:rPr>
        <w:t xml:space="preserve"> </w:t>
      </w:r>
      <w:r>
        <w:rPr>
          <w:rFonts w:cs="Times New Roman"/>
        </w:rPr>
        <w:t xml:space="preserve">A7.  In addition to original sources, I include the standard numbering of Presocratic fragments from Diels-Kranz (‘DK’) when appropriate, abbreviating the respective Presocratic (e.g. </w:t>
      </w:r>
      <w:r>
        <w:rPr>
          <w:rFonts w:cs="Times New Roman"/>
          <w:i/>
        </w:rPr>
        <w:t>Xen.</w:t>
      </w:r>
      <w:r>
        <w:rPr>
          <w:rFonts w:cs="Times New Roman"/>
        </w:rPr>
        <w:t xml:space="preserve"> or </w:t>
      </w:r>
      <w:r>
        <w:rPr>
          <w:rFonts w:cs="Times New Roman"/>
          <w:i/>
        </w:rPr>
        <w:t>Parm</w:t>
      </w:r>
      <w:r>
        <w:rPr>
          <w:rFonts w:cs="Times New Roman"/>
        </w:rPr>
        <w:t xml:space="preserve">.) the fragment is grouped under if necessary.  </w:t>
      </w:r>
      <w:r w:rsidRPr="004655B4">
        <w:rPr>
          <w:rFonts w:cs="Times New Roman"/>
        </w:rPr>
        <w:t xml:space="preserve">Hermann Diels and W. Kranz, </w:t>
      </w:r>
      <w:r w:rsidRPr="004655B4">
        <w:rPr>
          <w:rFonts w:cs="Times New Roman"/>
          <w:i/>
        </w:rPr>
        <w:t>Die Fragmente der Vorsokratiker griechisch und deutsch</w:t>
      </w:r>
      <w:r w:rsidRPr="004655B4">
        <w:rPr>
          <w:rFonts w:cs="Times New Roman"/>
        </w:rPr>
        <w:t>, 6</w:t>
      </w:r>
      <w:r w:rsidRPr="004655B4">
        <w:rPr>
          <w:rFonts w:cs="Times New Roman"/>
          <w:vertAlign w:val="superscript"/>
        </w:rPr>
        <w:t>th</w:t>
      </w:r>
      <w:r>
        <w:rPr>
          <w:rFonts w:cs="Times New Roman"/>
        </w:rPr>
        <w:t xml:space="preserve"> Ed. (Berlin:  Weidmann, 1952).  </w:t>
      </w:r>
      <w:r>
        <w:t xml:space="preserve">I also often include Coxon’s numerical listing of </w:t>
      </w:r>
      <w:r>
        <w:rPr>
          <w:i/>
        </w:rPr>
        <w:t xml:space="preserve">testimonia </w:t>
      </w:r>
      <w:r>
        <w:t xml:space="preserve">(i.e. </w:t>
      </w:r>
      <w:r>
        <w:rPr>
          <w:i/>
        </w:rPr>
        <w:t>Test</w:t>
      </w:r>
      <w:r>
        <w:t xml:space="preserve">. #), for </w:t>
      </w:r>
      <w:r>
        <w:rPr>
          <w:i/>
        </w:rPr>
        <w:t>testimonia</w:t>
      </w:r>
      <w:r>
        <w:t xml:space="preserve"> relating to Parmenides.   </w:t>
      </w:r>
    </w:p>
  </w:endnote>
  <w:endnote w:id="4">
    <w:p w:rsidR="00454E38" w:rsidRPr="004655B4" w:rsidRDefault="00454E38">
      <w:pPr>
        <w:pStyle w:val="EndnoteText"/>
        <w:rPr>
          <w:rFonts w:cs="Times New Roman"/>
        </w:rPr>
      </w:pPr>
      <w:r w:rsidRPr="004655B4">
        <w:rPr>
          <w:rStyle w:val="EndnoteReference"/>
          <w:rFonts w:cs="Times New Roman"/>
        </w:rPr>
        <w:endnoteRef/>
      </w:r>
      <w:r w:rsidRPr="004655B4">
        <w:rPr>
          <w:rFonts w:cs="Times New Roman"/>
        </w:rPr>
        <w:t xml:space="preserve"> Cf. S. Marc Cohen, Patricia Curd, and C.D.C. Reeve, </w:t>
      </w:r>
      <w:r w:rsidRPr="004655B4">
        <w:rPr>
          <w:rFonts w:cs="Times New Roman"/>
          <w:i/>
        </w:rPr>
        <w:t>Readings in An</w:t>
      </w:r>
      <w:r>
        <w:rPr>
          <w:rFonts w:cs="Times New Roman"/>
          <w:i/>
        </w:rPr>
        <w:t>c</w:t>
      </w:r>
      <w:r w:rsidRPr="004655B4">
        <w:rPr>
          <w:rFonts w:cs="Times New Roman"/>
          <w:i/>
        </w:rPr>
        <w:t>ient Greek Philosophy:  From Thales to Aristotle</w:t>
      </w:r>
      <w:r w:rsidRPr="004655B4">
        <w:rPr>
          <w:rFonts w:cs="Times New Roman"/>
        </w:rPr>
        <w:t xml:space="preserve"> 4</w:t>
      </w:r>
      <w:r w:rsidRPr="004655B4">
        <w:rPr>
          <w:rFonts w:cs="Times New Roman"/>
          <w:vertAlign w:val="superscript"/>
        </w:rPr>
        <w:t>th</w:t>
      </w:r>
      <w:r w:rsidRPr="004655B4">
        <w:rPr>
          <w:rFonts w:cs="Times New Roman"/>
        </w:rPr>
        <w:t xml:space="preserve"> Ed. (Indianapolis:  Hackett, 2011); J.H. Lesher, </w:t>
      </w:r>
      <w:r w:rsidRPr="004655B4">
        <w:rPr>
          <w:rFonts w:cs="Times New Roman"/>
          <w:i/>
        </w:rPr>
        <w:t>Xenophanes of Colophon:  Fragments</w:t>
      </w:r>
      <w:r w:rsidRPr="004655B4">
        <w:rPr>
          <w:rFonts w:cs="Times New Roman"/>
        </w:rPr>
        <w:t xml:space="preserve"> (Toronto:  Univ. of Toronto Press, 1992).  </w:t>
      </w:r>
    </w:p>
  </w:endnote>
  <w:endnote w:id="5">
    <w:p w:rsidR="00454E38" w:rsidRPr="004655B4" w:rsidRDefault="00454E38" w:rsidP="00BB2374">
      <w:pPr>
        <w:pStyle w:val="EndnoteText"/>
        <w:rPr>
          <w:rFonts w:cs="Times New Roman"/>
        </w:rPr>
      </w:pPr>
      <w:r w:rsidRPr="004655B4">
        <w:rPr>
          <w:rStyle w:val="EndnoteReference"/>
          <w:rFonts w:cs="Times New Roman"/>
        </w:rPr>
        <w:endnoteRef/>
      </w:r>
      <w:r>
        <w:rPr>
          <w:rFonts w:cs="Times New Roman"/>
        </w:rPr>
        <w:t xml:space="preserve"> Two different traditions suggest very different dates for Parmenides’ birth.  Cf. Diogenes, </w:t>
      </w:r>
      <w:r>
        <w:rPr>
          <w:rFonts w:cs="Times New Roman"/>
          <w:i/>
        </w:rPr>
        <w:t>Lives</w:t>
      </w:r>
      <w:r>
        <w:rPr>
          <w:rFonts w:cs="Times New Roman"/>
        </w:rPr>
        <w:t xml:space="preserve">, ix. 23; Plato, </w:t>
      </w:r>
      <w:r>
        <w:rPr>
          <w:rFonts w:cs="Times New Roman"/>
          <w:i/>
        </w:rPr>
        <w:t>Parmenides</w:t>
      </w:r>
      <w:r>
        <w:rPr>
          <w:rFonts w:cs="Times New Roman"/>
        </w:rPr>
        <w:t xml:space="preserve">, 127a10-c9.  </w:t>
      </w:r>
    </w:p>
  </w:endnote>
  <w:endnote w:id="6">
    <w:p w:rsidR="00454E38" w:rsidRPr="004655B4" w:rsidRDefault="00454E38" w:rsidP="00A901B3">
      <w:pPr>
        <w:pStyle w:val="EndnoteText"/>
        <w:rPr>
          <w:rFonts w:cs="Times New Roman"/>
        </w:rPr>
      </w:pPr>
      <w:r w:rsidRPr="004655B4">
        <w:rPr>
          <w:rStyle w:val="EndnoteReference"/>
          <w:rFonts w:cs="Times New Roman"/>
        </w:rPr>
        <w:endnoteRef/>
      </w:r>
      <w:r w:rsidRPr="004655B4">
        <w:rPr>
          <w:rFonts w:cs="Times New Roman"/>
        </w:rPr>
        <w:t xml:space="preserve"> </w:t>
      </w:r>
      <w:r>
        <w:rPr>
          <w:rFonts w:cs="Times New Roman"/>
          <w:i/>
        </w:rPr>
        <w:t xml:space="preserve">Lives, </w:t>
      </w:r>
      <w:r w:rsidRPr="004655B4">
        <w:rPr>
          <w:rFonts w:cs="Times New Roman"/>
        </w:rPr>
        <w:t>ix.18</w:t>
      </w:r>
      <w:r>
        <w:rPr>
          <w:rFonts w:cs="Times New Roman"/>
        </w:rPr>
        <w:t xml:space="preserve">-20.  </w:t>
      </w:r>
    </w:p>
  </w:endnote>
  <w:endnote w:id="7">
    <w:p w:rsidR="00454E38" w:rsidRDefault="00454E38">
      <w:pPr>
        <w:pStyle w:val="EndnoteText"/>
      </w:pPr>
      <w:r>
        <w:rPr>
          <w:rStyle w:val="EndnoteReference"/>
        </w:rPr>
        <w:endnoteRef/>
      </w:r>
      <w:r>
        <w:t xml:space="preserve"> </w:t>
      </w:r>
      <w:r>
        <w:rPr>
          <w:i/>
        </w:rPr>
        <w:t>Lives</w:t>
      </w:r>
      <w:r>
        <w:t>,</w:t>
      </w:r>
      <w:r>
        <w:rPr>
          <w:i/>
        </w:rPr>
        <w:t xml:space="preserve"> </w:t>
      </w:r>
      <w:r>
        <w:rPr>
          <w:rFonts w:cs="Times New Roman"/>
        </w:rPr>
        <w:t xml:space="preserve">viii. 36; </w:t>
      </w:r>
      <w:r w:rsidRPr="004655B4">
        <w:rPr>
          <w:rFonts w:cs="Times New Roman"/>
        </w:rPr>
        <w:t>DK B7</w:t>
      </w:r>
      <w:r>
        <w:rPr>
          <w:rFonts w:cs="Times New Roman"/>
        </w:rPr>
        <w:t>.  Pythagoras’ s</w:t>
      </w:r>
      <w:r w:rsidRPr="00E01B12">
        <w:rPr>
          <w:rFonts w:cs="Times New Roman"/>
        </w:rPr>
        <w:t>chool</w:t>
      </w:r>
      <w:r>
        <w:rPr>
          <w:rFonts w:cs="Times New Roman"/>
        </w:rPr>
        <w:t xml:space="preserve"> was founded c. 530 BCE.  The Sicilian Empedocles (490-430 BCE) is also said to have lived with learned directly from Xenophanes.  </w:t>
      </w:r>
      <w:r>
        <w:rPr>
          <w:rFonts w:cs="Times New Roman"/>
          <w:i/>
        </w:rPr>
        <w:t>Lives</w:t>
      </w:r>
      <w:r>
        <w:rPr>
          <w:rFonts w:cs="Times New Roman"/>
        </w:rPr>
        <w:t>,</w:t>
      </w:r>
      <w:r>
        <w:rPr>
          <w:rFonts w:cs="Times New Roman"/>
          <w:i/>
        </w:rPr>
        <w:t xml:space="preserve"> </w:t>
      </w:r>
      <w:r>
        <w:rPr>
          <w:rFonts w:cs="Times New Roman"/>
        </w:rPr>
        <w:t xml:space="preserve">viii. 56; </w:t>
      </w:r>
      <w:r>
        <w:rPr>
          <w:rFonts w:cs="Times New Roman"/>
          <w:i/>
        </w:rPr>
        <w:t>Xen</w:t>
      </w:r>
      <w:r>
        <w:rPr>
          <w:rFonts w:cs="Times New Roman"/>
        </w:rPr>
        <w:t>. A5.</w:t>
      </w:r>
    </w:p>
  </w:endnote>
  <w:endnote w:id="8">
    <w:p w:rsidR="00454E38" w:rsidRPr="004655B4" w:rsidRDefault="00454E38" w:rsidP="00FD0721">
      <w:pPr>
        <w:pStyle w:val="EndnoteText"/>
        <w:rPr>
          <w:rFonts w:cs="Times New Roman"/>
        </w:rPr>
      </w:pPr>
      <w:r w:rsidRPr="004655B4">
        <w:rPr>
          <w:rStyle w:val="EndnoteReference"/>
          <w:rFonts w:cs="Times New Roman"/>
        </w:rPr>
        <w:endnoteRef/>
      </w:r>
      <w:r>
        <w:rPr>
          <w:rFonts w:cs="Times New Roman"/>
        </w:rPr>
        <w:t xml:space="preserve"> </w:t>
      </w:r>
      <w:r>
        <w:rPr>
          <w:rFonts w:cs="Times New Roman"/>
          <w:i/>
        </w:rPr>
        <w:t xml:space="preserve">Lives, </w:t>
      </w:r>
      <w:r w:rsidRPr="004655B4">
        <w:rPr>
          <w:rFonts w:cs="Times New Roman"/>
        </w:rPr>
        <w:t xml:space="preserve">ix. 18-20.  </w:t>
      </w:r>
    </w:p>
  </w:endnote>
  <w:endnote w:id="9">
    <w:p w:rsidR="00454E38" w:rsidRPr="004655B4" w:rsidRDefault="00454E38" w:rsidP="00FD0721">
      <w:pPr>
        <w:pStyle w:val="EndnoteText"/>
        <w:rPr>
          <w:rFonts w:cs="Times New Roman"/>
        </w:rPr>
      </w:pPr>
      <w:r w:rsidRPr="004655B4">
        <w:rPr>
          <w:rStyle w:val="EndnoteReference"/>
          <w:rFonts w:cs="Times New Roman"/>
        </w:rPr>
        <w:endnoteRef/>
      </w:r>
      <w:r>
        <w:rPr>
          <w:rFonts w:cs="Times New Roman"/>
        </w:rPr>
        <w:t xml:space="preserve"> Far more likely than Cordero’s hypothesis </w:t>
      </w:r>
      <w:r w:rsidRPr="004655B4">
        <w:rPr>
          <w:rFonts w:cs="Times New Roman"/>
        </w:rPr>
        <w:t xml:space="preserve">that Xenophanes </w:t>
      </w:r>
      <w:r>
        <w:rPr>
          <w:rFonts w:cs="Times New Roman"/>
        </w:rPr>
        <w:t xml:space="preserve">wrote his ode to Elea while still in Colophon.  Cordero, </w:t>
      </w:r>
      <w:r>
        <w:rPr>
          <w:rFonts w:cs="Times New Roman"/>
          <w:i/>
        </w:rPr>
        <w:t>By Being It Is</w:t>
      </w:r>
      <w:r>
        <w:rPr>
          <w:rFonts w:cs="Times New Roman"/>
        </w:rPr>
        <w:t>, 10-11.</w:t>
      </w:r>
    </w:p>
  </w:endnote>
  <w:endnote w:id="10">
    <w:p w:rsidR="00454E38" w:rsidRPr="004655B4" w:rsidRDefault="00454E38">
      <w:pPr>
        <w:pStyle w:val="EndnoteText"/>
        <w:rPr>
          <w:rFonts w:cs="Times New Roman"/>
        </w:rPr>
      </w:pPr>
      <w:r w:rsidRPr="004655B4">
        <w:rPr>
          <w:rStyle w:val="EndnoteReference"/>
          <w:rFonts w:cs="Times New Roman"/>
        </w:rPr>
        <w:endnoteRef/>
      </w:r>
      <w:r w:rsidRPr="004655B4">
        <w:rPr>
          <w:rFonts w:cs="Times New Roman"/>
        </w:rPr>
        <w:t xml:space="preserve"> </w:t>
      </w:r>
      <w:r>
        <w:rPr>
          <w:rFonts w:cs="Times New Roman"/>
        </w:rPr>
        <w:t xml:space="preserve">Aristotle, </w:t>
      </w:r>
      <w:r w:rsidRPr="004655B4">
        <w:rPr>
          <w:rFonts w:cs="Times New Roman"/>
          <w:i/>
        </w:rPr>
        <w:t>Rhetoric</w:t>
      </w:r>
      <w:r w:rsidRPr="004655B4">
        <w:rPr>
          <w:rFonts w:cs="Times New Roman"/>
        </w:rPr>
        <w:t xml:space="preserve"> II.23 1400b6</w:t>
      </w:r>
    </w:p>
  </w:endnote>
  <w:endnote w:id="11">
    <w:p w:rsidR="00454E38" w:rsidRPr="000C7786" w:rsidRDefault="00454E38">
      <w:pPr>
        <w:pStyle w:val="EndnoteText"/>
        <w:rPr>
          <w:rFonts w:cs="Times New Roman"/>
        </w:rPr>
      </w:pPr>
      <w:r w:rsidRPr="004655B4">
        <w:rPr>
          <w:rStyle w:val="EndnoteReference"/>
          <w:rFonts w:cs="Times New Roman"/>
        </w:rPr>
        <w:endnoteRef/>
      </w:r>
      <w:r w:rsidRPr="004655B4">
        <w:rPr>
          <w:rFonts w:cs="Times New Roman"/>
        </w:rPr>
        <w:t xml:space="preserve"> </w:t>
      </w:r>
      <w:r>
        <w:rPr>
          <w:rFonts w:cs="Times New Roman"/>
        </w:rPr>
        <w:t xml:space="preserve">Aristotle, </w:t>
      </w:r>
      <w:r w:rsidRPr="000F7B4E">
        <w:rPr>
          <w:rFonts w:cs="Times New Roman"/>
          <w:i/>
        </w:rPr>
        <w:t>Metaphysics</w:t>
      </w:r>
      <w:r>
        <w:rPr>
          <w:rFonts w:cs="Times New Roman"/>
        </w:rPr>
        <w:t xml:space="preserve"> 986b20-23.  Theophrastus, </w:t>
      </w:r>
      <w:r>
        <w:rPr>
          <w:rFonts w:cs="Times New Roman"/>
          <w:i/>
        </w:rPr>
        <w:t xml:space="preserve">Opinions of the Natural Philosophers </w:t>
      </w:r>
      <w:r>
        <w:rPr>
          <w:rFonts w:cs="Times New Roman"/>
        </w:rPr>
        <w:t xml:space="preserve">fr. 6.  Sextus Empiricus </w:t>
      </w:r>
      <w:r>
        <w:rPr>
          <w:rFonts w:cs="Times New Roman"/>
          <w:i/>
        </w:rPr>
        <w:t xml:space="preserve">Adv. Math. </w:t>
      </w:r>
      <w:r>
        <w:rPr>
          <w:rFonts w:cs="Times New Roman"/>
        </w:rPr>
        <w:t xml:space="preserve">vii, 111—114.  Aetius, </w:t>
      </w:r>
      <w:r>
        <w:rPr>
          <w:rFonts w:cs="Times New Roman"/>
          <w:i/>
        </w:rPr>
        <w:t>On Principles</w:t>
      </w:r>
      <w:r>
        <w:rPr>
          <w:rFonts w:cs="Times New Roman"/>
        </w:rPr>
        <w:t>,</w:t>
      </w:r>
      <w:r>
        <w:rPr>
          <w:rFonts w:cs="Times New Roman"/>
          <w:i/>
        </w:rPr>
        <w:t xml:space="preserve"> </w:t>
      </w:r>
      <w:r>
        <w:rPr>
          <w:rFonts w:cs="Times New Roman"/>
        </w:rPr>
        <w:t xml:space="preserve">i, 3.  </w:t>
      </w:r>
      <w:r w:rsidRPr="004655B4">
        <w:rPr>
          <w:rFonts w:cs="Times New Roman"/>
        </w:rPr>
        <w:t>Pseudo-Plutarch</w:t>
      </w:r>
      <w:r>
        <w:rPr>
          <w:rFonts w:cs="Times New Roman"/>
        </w:rPr>
        <w:t xml:space="preserve">, </w:t>
      </w:r>
      <w:r>
        <w:rPr>
          <w:rFonts w:cs="Times New Roman"/>
          <w:i/>
        </w:rPr>
        <w:t xml:space="preserve">Stromata </w:t>
      </w:r>
      <w:r>
        <w:rPr>
          <w:rFonts w:cs="Times New Roman"/>
        </w:rPr>
        <w:t>5</w:t>
      </w:r>
      <w:r w:rsidRPr="004655B4">
        <w:rPr>
          <w:rFonts w:cs="Times New Roman"/>
        </w:rPr>
        <w:t xml:space="preserve">.  </w:t>
      </w:r>
      <w:r>
        <w:rPr>
          <w:rFonts w:cs="Times New Roman"/>
        </w:rPr>
        <w:t xml:space="preserve">Coxon </w:t>
      </w:r>
      <w:r>
        <w:rPr>
          <w:rFonts w:cs="Times New Roman"/>
          <w:i/>
          <w:noProof/>
        </w:rPr>
        <w:t>Test</w:t>
      </w:r>
      <w:r w:rsidRPr="004655B4">
        <w:rPr>
          <w:rFonts w:cs="Times New Roman"/>
          <w:noProof/>
        </w:rPr>
        <w:t>. 40, 55, 87</w:t>
      </w:r>
      <w:r>
        <w:rPr>
          <w:rFonts w:cs="Times New Roman"/>
          <w:noProof/>
        </w:rPr>
        <w:t>, 136</w:t>
      </w:r>
      <w:r w:rsidRPr="004655B4">
        <w:rPr>
          <w:rFonts w:cs="Times New Roman"/>
          <w:noProof/>
        </w:rPr>
        <w:t>.</w:t>
      </w:r>
      <w:r>
        <w:rPr>
          <w:rFonts w:cs="Times New Roman"/>
        </w:rPr>
        <w:t xml:space="preserve"> </w:t>
      </w:r>
    </w:p>
  </w:endnote>
  <w:endnote w:id="12">
    <w:p w:rsidR="00454E38" w:rsidRDefault="00454E38">
      <w:pPr>
        <w:pStyle w:val="EndnoteText"/>
      </w:pPr>
      <w:r>
        <w:rPr>
          <w:rStyle w:val="EndnoteReference"/>
        </w:rPr>
        <w:endnoteRef/>
      </w:r>
      <w:r>
        <w:t xml:space="preserve"> </w:t>
      </w:r>
      <w:r w:rsidRPr="00112D62">
        <w:t xml:space="preserve">Plato, </w:t>
      </w:r>
      <w:r w:rsidRPr="00112D62">
        <w:rPr>
          <w:i/>
        </w:rPr>
        <w:t>Sophist</w:t>
      </w:r>
      <w:r w:rsidRPr="00112D62">
        <w:t xml:space="preserve">, 242d4-d5; Coxon Test. 11.  </w:t>
      </w:r>
    </w:p>
  </w:endnote>
  <w:endnote w:id="13">
    <w:p w:rsidR="00454E38" w:rsidRPr="009108B0" w:rsidRDefault="00454E38" w:rsidP="009108B0">
      <w:pPr>
        <w:pStyle w:val="EndnoteText"/>
        <w:rPr>
          <w:rFonts w:cs="Times New Roman"/>
        </w:rPr>
      </w:pPr>
      <w:r w:rsidRPr="004655B4">
        <w:rPr>
          <w:rStyle w:val="EndnoteReference"/>
          <w:rFonts w:cs="Times New Roman"/>
        </w:rPr>
        <w:endnoteRef/>
      </w:r>
      <w:r>
        <w:rPr>
          <w:rFonts w:cs="Times New Roman"/>
        </w:rPr>
        <w:t xml:space="preserve"> </w:t>
      </w:r>
      <w:r>
        <w:rPr>
          <w:rFonts w:cs="Times New Roman"/>
          <w:i/>
        </w:rPr>
        <w:t>Lives</w:t>
      </w:r>
      <w:r>
        <w:rPr>
          <w:rFonts w:cs="Times New Roman"/>
        </w:rPr>
        <w:t xml:space="preserve"> ix, 21; Coxon </w:t>
      </w:r>
      <w:r>
        <w:rPr>
          <w:rFonts w:cs="Times New Roman"/>
          <w:i/>
        </w:rPr>
        <w:t xml:space="preserve">Test. </w:t>
      </w:r>
      <w:r>
        <w:rPr>
          <w:rFonts w:cs="Times New Roman"/>
        </w:rPr>
        <w:t xml:space="preserve">96.  </w:t>
      </w:r>
    </w:p>
  </w:endnote>
  <w:endnote w:id="14">
    <w:p w:rsidR="00454E38" w:rsidRPr="004655B4" w:rsidRDefault="00454E38" w:rsidP="00BF676D">
      <w:pPr>
        <w:pStyle w:val="EndnoteText"/>
        <w:rPr>
          <w:rFonts w:cs="Times New Roman"/>
        </w:rPr>
      </w:pPr>
      <w:r w:rsidRPr="004655B4">
        <w:rPr>
          <w:rStyle w:val="EndnoteReference"/>
          <w:rFonts w:cs="Times New Roman"/>
        </w:rPr>
        <w:endnoteRef/>
      </w:r>
      <w:r>
        <w:rPr>
          <w:rFonts w:cs="Times New Roman"/>
        </w:rPr>
        <w:t xml:space="preserve"> Those claiming Eleaticism holds “all is one” include:  </w:t>
      </w:r>
      <w:r w:rsidRPr="004655B4">
        <w:rPr>
          <w:rFonts w:cs="Times New Roman"/>
        </w:rPr>
        <w:t>Plat</w:t>
      </w:r>
      <w:r>
        <w:rPr>
          <w:rFonts w:cs="Times New Roman"/>
        </w:rPr>
        <w:t xml:space="preserve">o, Aristotle, Theophrastus, and </w:t>
      </w:r>
      <w:r w:rsidRPr="004655B4">
        <w:rPr>
          <w:rFonts w:cs="Times New Roman"/>
        </w:rPr>
        <w:t xml:space="preserve">some early Neo-Platonists </w:t>
      </w:r>
      <w:r>
        <w:rPr>
          <w:rFonts w:cs="Times New Roman"/>
        </w:rPr>
        <w:t>(Calcidius and Simplicius)</w:t>
      </w:r>
      <w:r w:rsidRPr="004655B4">
        <w:rPr>
          <w:rFonts w:cs="Times New Roman"/>
        </w:rPr>
        <w:t>.</w:t>
      </w:r>
      <w:r>
        <w:rPr>
          <w:rFonts w:cs="Times New Roman"/>
        </w:rPr>
        <w:t xml:space="preserve">  Cf. fn. 11.</w:t>
      </w:r>
    </w:p>
  </w:endnote>
  <w:endnote w:id="15">
    <w:p w:rsidR="00454E38" w:rsidRDefault="00454E38">
      <w:pPr>
        <w:pStyle w:val="EndnoteText"/>
      </w:pPr>
      <w:r>
        <w:rPr>
          <w:rStyle w:val="EndnoteReference"/>
        </w:rPr>
        <w:endnoteRef/>
      </w:r>
      <w:r>
        <w:t xml:space="preserve"> </w:t>
      </w:r>
      <w:r w:rsidRPr="00F638B2">
        <w:t>Pl</w:t>
      </w:r>
      <w:r>
        <w:t xml:space="preserve">ato, </w:t>
      </w:r>
      <w:r>
        <w:rPr>
          <w:i/>
        </w:rPr>
        <w:t>Parmenides</w:t>
      </w:r>
      <w:r>
        <w:t>,</w:t>
      </w:r>
      <w:r>
        <w:rPr>
          <w:i/>
        </w:rPr>
        <w:t xml:space="preserve"> </w:t>
      </w:r>
      <w:r>
        <w:t xml:space="preserve">248a8-b1; Coxon </w:t>
      </w:r>
      <w:r w:rsidRPr="00AB06B5">
        <w:rPr>
          <w:i/>
        </w:rPr>
        <w:t>Test</w:t>
      </w:r>
      <w:r w:rsidRPr="00F638B2">
        <w:t>. 11</w:t>
      </w:r>
      <w:r>
        <w:t xml:space="preserve">.  </w:t>
      </w:r>
      <w:r w:rsidRPr="00777817">
        <w:rPr>
          <w:i/>
        </w:rPr>
        <w:t>Sophist</w:t>
      </w:r>
      <w:r>
        <w:t xml:space="preserve"> 242d4-d5.  Cf. fn. 16.</w:t>
      </w:r>
    </w:p>
  </w:endnote>
  <w:endnote w:id="16">
    <w:p w:rsidR="00454E38" w:rsidRPr="009B5D6E" w:rsidRDefault="00454E38">
      <w:pPr>
        <w:pStyle w:val="EndnoteText"/>
      </w:pPr>
      <w:r>
        <w:rPr>
          <w:rStyle w:val="EndnoteReference"/>
        </w:rPr>
        <w:endnoteRef/>
      </w:r>
      <w:r>
        <w:t xml:space="preserve"> Aristotle, </w:t>
      </w:r>
      <w:r>
        <w:rPr>
          <w:i/>
        </w:rPr>
        <w:t>Metaphysics</w:t>
      </w:r>
      <w:r>
        <w:t>, 986b21-25.</w:t>
      </w:r>
    </w:p>
  </w:endnote>
  <w:endnote w:id="17">
    <w:p w:rsidR="00454E38" w:rsidRDefault="00454E38">
      <w:pPr>
        <w:pStyle w:val="EndnoteText"/>
      </w:pPr>
      <w:r>
        <w:rPr>
          <w:rStyle w:val="EndnoteReference"/>
        </w:rPr>
        <w:endnoteRef/>
      </w:r>
      <w:r>
        <w:t xml:space="preserve"> Clement, </w:t>
      </w:r>
      <w:r>
        <w:rPr>
          <w:i/>
        </w:rPr>
        <w:t>Misc.</w:t>
      </w:r>
      <w:r>
        <w:t>,</w:t>
      </w:r>
      <w:r>
        <w:rPr>
          <w:i/>
        </w:rPr>
        <w:t xml:space="preserve"> </w:t>
      </w:r>
      <w:r>
        <w:t xml:space="preserve">5.109; DK B23.  Sextus, </w:t>
      </w:r>
      <w:r>
        <w:rPr>
          <w:i/>
        </w:rPr>
        <w:t>Adv. Math.</w:t>
      </w:r>
      <w:r>
        <w:t>, 7.49.110; DK B34.</w:t>
      </w:r>
    </w:p>
  </w:endnote>
  <w:endnote w:id="18">
    <w:p w:rsidR="00454E38" w:rsidRDefault="00454E38">
      <w:pPr>
        <w:pStyle w:val="EndnoteText"/>
      </w:pPr>
      <w:r>
        <w:rPr>
          <w:rStyle w:val="EndnoteReference"/>
        </w:rPr>
        <w:endnoteRef/>
      </w:r>
      <w:r>
        <w:t xml:space="preserve"> Sextus, </w:t>
      </w:r>
      <w:r>
        <w:rPr>
          <w:i/>
        </w:rPr>
        <w:t>Adv. Math</w:t>
      </w:r>
      <w:r>
        <w:t>., 9.144;</w:t>
      </w:r>
      <w:r>
        <w:rPr>
          <w:i/>
        </w:rPr>
        <w:t xml:space="preserve"> </w:t>
      </w:r>
      <w:r>
        <w:t>DK B24.</w:t>
      </w:r>
    </w:p>
  </w:endnote>
  <w:endnote w:id="19">
    <w:p w:rsidR="00454E38" w:rsidRDefault="00454E38">
      <w:pPr>
        <w:pStyle w:val="EndnoteText"/>
      </w:pPr>
      <w:r>
        <w:rPr>
          <w:rStyle w:val="EndnoteReference"/>
        </w:rPr>
        <w:endnoteRef/>
      </w:r>
      <w:r>
        <w:t xml:space="preserve"> Simplicius, </w:t>
      </w:r>
      <w:r>
        <w:rPr>
          <w:i/>
        </w:rPr>
        <w:t xml:space="preserve">Comm. Physics, </w:t>
      </w:r>
      <w:r>
        <w:t>23.19, 23.10.  DK B25-26.</w:t>
      </w:r>
    </w:p>
  </w:endnote>
  <w:endnote w:id="20">
    <w:p w:rsidR="00454E38" w:rsidRPr="00342A09" w:rsidRDefault="00454E38">
      <w:pPr>
        <w:pStyle w:val="EndnoteText"/>
      </w:pPr>
      <w:r>
        <w:rPr>
          <w:rStyle w:val="EndnoteReference"/>
        </w:rPr>
        <w:endnoteRef/>
      </w:r>
      <w:r>
        <w:t xml:space="preserve"> Inferred from Xenophanes’ rejection of portrays which make the gods as anthropomorphic beings, engaging in inappropriate behaviors like:  thieving, adultery, war, deception, etc.  Cf. DK B1, B11-15.  </w:t>
      </w:r>
    </w:p>
  </w:endnote>
  <w:endnote w:id="21">
    <w:p w:rsidR="00454E38" w:rsidRDefault="00454E38">
      <w:pPr>
        <w:pStyle w:val="EndnoteText"/>
      </w:pPr>
      <w:r>
        <w:rPr>
          <w:rStyle w:val="EndnoteReference"/>
        </w:rPr>
        <w:endnoteRef/>
      </w:r>
      <w:r>
        <w:t xml:space="preserve"> Clement, </w:t>
      </w:r>
      <w:r>
        <w:rPr>
          <w:i/>
        </w:rPr>
        <w:t>Misc.</w:t>
      </w:r>
      <w:r>
        <w:t>,</w:t>
      </w:r>
      <w:r>
        <w:rPr>
          <w:i/>
        </w:rPr>
        <w:t xml:space="preserve"> </w:t>
      </w:r>
      <w:r>
        <w:t xml:space="preserve">5.109; DK B14.  Aristotle, </w:t>
      </w:r>
      <w:r>
        <w:rPr>
          <w:i/>
        </w:rPr>
        <w:t xml:space="preserve">Rhetoric </w:t>
      </w:r>
      <w:r>
        <w:t xml:space="preserve">1399b6-9; A12.  </w:t>
      </w:r>
    </w:p>
  </w:endnote>
  <w:endnote w:id="22">
    <w:p w:rsidR="00454E38" w:rsidRDefault="00454E38">
      <w:pPr>
        <w:pStyle w:val="EndnoteText"/>
      </w:pPr>
      <w:r>
        <w:rPr>
          <w:rStyle w:val="EndnoteReference"/>
        </w:rPr>
        <w:endnoteRef/>
      </w:r>
      <w:r>
        <w:t xml:space="preserve"> DK B8.3-4.  </w:t>
      </w:r>
    </w:p>
  </w:endnote>
  <w:endnote w:id="23">
    <w:p w:rsidR="00454E38" w:rsidRPr="004655B4" w:rsidRDefault="00454E38" w:rsidP="00BF676D">
      <w:pPr>
        <w:pStyle w:val="EndnoteText"/>
        <w:rPr>
          <w:rFonts w:cs="Times New Roman"/>
        </w:rPr>
      </w:pPr>
      <w:r w:rsidRPr="004655B4">
        <w:rPr>
          <w:rStyle w:val="EndnoteReference"/>
          <w:rFonts w:cs="Times New Roman"/>
        </w:rPr>
        <w:endnoteRef/>
      </w:r>
      <w:r>
        <w:rPr>
          <w:rFonts w:cs="Times New Roman"/>
        </w:rPr>
        <w:t xml:space="preserve"> Aetius best describes</w:t>
      </w:r>
      <w:r w:rsidRPr="004655B4">
        <w:rPr>
          <w:rFonts w:cs="Times New Roman"/>
        </w:rPr>
        <w:t xml:space="preserve"> </w:t>
      </w:r>
      <w:r>
        <w:rPr>
          <w:rFonts w:cs="Times New Roman"/>
        </w:rPr>
        <w:t>this parallel, claiming both held the cosmos to be:</w:t>
      </w:r>
      <w:r w:rsidRPr="004655B4">
        <w:rPr>
          <w:rFonts w:cs="Times New Roman"/>
        </w:rPr>
        <w:t xml:space="preserve"> ungenerated, ete</w:t>
      </w:r>
      <w:r>
        <w:rPr>
          <w:rFonts w:cs="Times New Roman"/>
        </w:rPr>
        <w:t xml:space="preserve">rnal, </w:t>
      </w:r>
      <w:r w:rsidRPr="004655B4">
        <w:rPr>
          <w:rFonts w:cs="Times New Roman"/>
        </w:rPr>
        <w:t xml:space="preserve">imperishable, unmoved, unique and complete.  </w:t>
      </w:r>
      <w:r>
        <w:rPr>
          <w:rFonts w:cs="Times New Roman"/>
        </w:rPr>
        <w:t xml:space="preserve">Aetius, </w:t>
      </w:r>
      <w:r>
        <w:rPr>
          <w:rFonts w:cs="Times New Roman"/>
          <w:i/>
        </w:rPr>
        <w:t xml:space="preserve">On Principles </w:t>
      </w:r>
      <w:r>
        <w:rPr>
          <w:rFonts w:cs="Times New Roman"/>
        </w:rPr>
        <w:t xml:space="preserve">i, 3; Coxon </w:t>
      </w:r>
      <w:r>
        <w:rPr>
          <w:rFonts w:cs="Times New Roman"/>
          <w:i/>
        </w:rPr>
        <w:t>Test</w:t>
      </w:r>
      <w:r>
        <w:rPr>
          <w:rFonts w:cs="Times New Roman"/>
        </w:rPr>
        <w:t xml:space="preserve">. 55.  </w:t>
      </w:r>
      <w:r>
        <w:rPr>
          <w:rFonts w:cs="Times New Roman"/>
          <w:i/>
        </w:rPr>
        <w:t>Whether the Cosmos is Indestructable</w:t>
      </w:r>
      <w:r>
        <w:rPr>
          <w:rFonts w:cs="Times New Roman"/>
        </w:rPr>
        <w:t xml:space="preserve"> 11; Coxon, </w:t>
      </w:r>
      <w:r>
        <w:rPr>
          <w:rFonts w:cs="Times New Roman"/>
          <w:i/>
        </w:rPr>
        <w:t>Test.</w:t>
      </w:r>
      <w:r>
        <w:rPr>
          <w:rFonts w:cs="Times New Roman"/>
        </w:rPr>
        <w:t xml:space="preserve"> 60.  </w:t>
      </w:r>
      <w:r w:rsidRPr="004655B4">
        <w:rPr>
          <w:rFonts w:cs="Times New Roman"/>
        </w:rPr>
        <w:t>Cf.</w:t>
      </w:r>
      <w:r>
        <w:rPr>
          <w:rFonts w:cs="Times New Roman"/>
        </w:rPr>
        <w:t xml:space="preserve"> Pseudo-Plutarch </w:t>
      </w:r>
      <w:r>
        <w:rPr>
          <w:rFonts w:cs="Times New Roman"/>
          <w:i/>
        </w:rPr>
        <w:t xml:space="preserve">Stromata </w:t>
      </w:r>
      <w:r>
        <w:rPr>
          <w:rFonts w:cs="Times New Roman"/>
        </w:rPr>
        <w:t xml:space="preserve">5; Coxon, </w:t>
      </w:r>
      <w:r>
        <w:rPr>
          <w:rFonts w:cs="Times New Roman"/>
          <w:i/>
        </w:rPr>
        <w:t>Test.</w:t>
      </w:r>
      <w:r>
        <w:rPr>
          <w:rFonts w:cs="Times New Roman"/>
        </w:rPr>
        <w:t xml:space="preserve"> 87.  More moralistically, C</w:t>
      </w:r>
      <w:r w:rsidRPr="004655B4">
        <w:rPr>
          <w:rFonts w:cs="Times New Roman"/>
        </w:rPr>
        <w:t xml:space="preserve">icero </w:t>
      </w:r>
      <w:r>
        <w:rPr>
          <w:rFonts w:cs="Times New Roman"/>
        </w:rPr>
        <w:t xml:space="preserve">claims both held the sole good to be that which is </w:t>
      </w:r>
      <w:r w:rsidRPr="004655B4">
        <w:rPr>
          <w:rFonts w:cs="Times New Roman"/>
        </w:rPr>
        <w:t>o</w:t>
      </w:r>
      <w:r>
        <w:rPr>
          <w:rFonts w:cs="Times New Roman"/>
        </w:rPr>
        <w:t xml:space="preserve">ne, alike, and always the same. Cicero, </w:t>
      </w:r>
      <w:r w:rsidRPr="00392BCD">
        <w:rPr>
          <w:rFonts w:cs="Times New Roman"/>
          <w:i/>
        </w:rPr>
        <w:t>Lucullus</w:t>
      </w:r>
      <w:r>
        <w:rPr>
          <w:rFonts w:cs="Times New Roman"/>
        </w:rPr>
        <w:t xml:space="preserve"> 129; Coxon </w:t>
      </w:r>
      <w:r>
        <w:rPr>
          <w:rFonts w:cs="Times New Roman"/>
          <w:i/>
        </w:rPr>
        <w:t>Test.</w:t>
      </w:r>
      <w:r>
        <w:rPr>
          <w:rFonts w:cs="Times New Roman"/>
        </w:rPr>
        <w:t xml:space="preserve"> 102.  </w:t>
      </w:r>
    </w:p>
  </w:endnote>
  <w:endnote w:id="24">
    <w:p w:rsidR="00454E38" w:rsidRDefault="00454E38" w:rsidP="00E831F7">
      <w:pPr>
        <w:pStyle w:val="EndnoteText"/>
      </w:pPr>
      <w:r>
        <w:rPr>
          <w:rStyle w:val="EndnoteReference"/>
        </w:rPr>
        <w:endnoteRef/>
      </w:r>
      <w:r>
        <w:t xml:space="preserve"> Simplicius, </w:t>
      </w:r>
      <w:r>
        <w:rPr>
          <w:i/>
        </w:rPr>
        <w:t xml:space="preserve">Comm. Physics, </w:t>
      </w:r>
      <w:r>
        <w:t>23.19; DK B25.</w:t>
      </w:r>
    </w:p>
  </w:endnote>
  <w:endnote w:id="25">
    <w:p w:rsidR="00454E38" w:rsidRPr="009B5D6E" w:rsidRDefault="00454E38" w:rsidP="007965AB">
      <w:pPr>
        <w:pStyle w:val="EndnoteText"/>
      </w:pPr>
      <w:r>
        <w:rPr>
          <w:rStyle w:val="EndnoteReference"/>
        </w:rPr>
        <w:endnoteRef/>
      </w:r>
      <w:r>
        <w:t xml:space="preserve"> Sextus, </w:t>
      </w:r>
      <w:r>
        <w:rPr>
          <w:i/>
        </w:rPr>
        <w:t>Adv. Math</w:t>
      </w:r>
      <w:r>
        <w:t>, 7.49.110; DK B34.</w:t>
      </w:r>
      <w:r>
        <w:rPr>
          <w:i/>
        </w:rPr>
        <w:t xml:space="preserve"> </w:t>
      </w:r>
      <w:r>
        <w:t xml:space="preserve">Cf. DK </w:t>
      </w:r>
      <w:r>
        <w:rPr>
          <w:i/>
        </w:rPr>
        <w:t>Xen</w:t>
      </w:r>
      <w:r>
        <w:t xml:space="preserve">. A24.  </w:t>
      </w:r>
      <w:r>
        <w:rPr>
          <w:rFonts w:cs="Times New Roman"/>
        </w:rPr>
        <w:t xml:space="preserve">Cicero, </w:t>
      </w:r>
      <w:r>
        <w:rPr>
          <w:rFonts w:cs="Times New Roman"/>
          <w:i/>
        </w:rPr>
        <w:t>Lucullus</w:t>
      </w:r>
      <w:r>
        <w:rPr>
          <w:rFonts w:cs="Times New Roman"/>
        </w:rPr>
        <w:t xml:space="preserve"> 74; Coxon, </w:t>
      </w:r>
      <w:r>
        <w:rPr>
          <w:rFonts w:cs="Times New Roman"/>
          <w:i/>
        </w:rPr>
        <w:t>Test.</w:t>
      </w:r>
      <w:r>
        <w:rPr>
          <w:rFonts w:cs="Times New Roman"/>
        </w:rPr>
        <w:t xml:space="preserve"> 101.  </w:t>
      </w:r>
      <w:r>
        <w:t xml:space="preserve">Sextus, </w:t>
      </w:r>
      <w:r>
        <w:rPr>
          <w:rFonts w:cs="Times New Roman"/>
          <w:i/>
        </w:rPr>
        <w:t>Adv. Math</w:t>
      </w:r>
      <w:r>
        <w:rPr>
          <w:rFonts w:cs="Times New Roman"/>
        </w:rPr>
        <w:t xml:space="preserve">., 111-114; Coxon, </w:t>
      </w:r>
      <w:r>
        <w:rPr>
          <w:rFonts w:cs="Times New Roman"/>
          <w:i/>
        </w:rPr>
        <w:t xml:space="preserve">Test. </w:t>
      </w:r>
      <w:r>
        <w:rPr>
          <w:rFonts w:cs="Times New Roman"/>
        </w:rPr>
        <w:t>136.</w:t>
      </w:r>
    </w:p>
  </w:endnote>
  <w:endnote w:id="26">
    <w:p w:rsidR="00454E38" w:rsidRDefault="00454E38">
      <w:pPr>
        <w:pStyle w:val="EndnoteText"/>
      </w:pPr>
      <w:r>
        <w:rPr>
          <w:rStyle w:val="EndnoteReference"/>
        </w:rPr>
        <w:endnoteRef/>
      </w:r>
      <w:r>
        <w:t xml:space="preserve"> DK B11-12, B14-16.</w:t>
      </w:r>
    </w:p>
  </w:endnote>
  <w:endnote w:id="27">
    <w:p w:rsidR="00454E38" w:rsidRPr="00A42D0F" w:rsidRDefault="00454E38">
      <w:pPr>
        <w:pStyle w:val="EndnoteText"/>
      </w:pPr>
      <w:r>
        <w:rPr>
          <w:rStyle w:val="EndnoteReference"/>
        </w:rPr>
        <w:endnoteRef/>
      </w:r>
      <w:r>
        <w:t xml:space="preserve"> Stobaeus, </w:t>
      </w:r>
      <w:r>
        <w:rPr>
          <w:i/>
        </w:rPr>
        <w:t>Selections</w:t>
      </w:r>
      <w:r>
        <w:t xml:space="preserve">, 1.8.2; DK B18.  </w:t>
      </w:r>
    </w:p>
  </w:endnote>
  <w:endnote w:id="28">
    <w:p w:rsidR="00454E38" w:rsidRDefault="00454E38">
      <w:pPr>
        <w:pStyle w:val="EndnoteText"/>
      </w:pPr>
      <w:r>
        <w:rPr>
          <w:rStyle w:val="EndnoteReference"/>
        </w:rPr>
        <w:endnoteRef/>
      </w:r>
      <w:r>
        <w:t xml:space="preserve"> DK B34. </w:t>
      </w:r>
    </w:p>
  </w:endnote>
  <w:endnote w:id="29">
    <w:p w:rsidR="00454E38" w:rsidRDefault="00454E38">
      <w:pPr>
        <w:pStyle w:val="EndnoteText"/>
      </w:pPr>
      <w:r>
        <w:rPr>
          <w:rStyle w:val="EndnoteReference"/>
        </w:rPr>
        <w:endnoteRef/>
      </w:r>
      <w:r>
        <w:t xml:space="preserve"> DK B1.1.29-30; DK 8.38b-41, 8.50-54, 8.60-2.</w:t>
      </w:r>
    </w:p>
  </w:endnote>
  <w:endnote w:id="30">
    <w:p w:rsidR="00454E38" w:rsidRDefault="00454E38">
      <w:pPr>
        <w:pStyle w:val="EndnoteText"/>
      </w:pPr>
      <w:r>
        <w:rPr>
          <w:rStyle w:val="EndnoteReference"/>
        </w:rPr>
        <w:endnoteRef/>
      </w:r>
      <w:r>
        <w:t xml:space="preserve"> DK 6.4-9.  </w:t>
      </w:r>
    </w:p>
  </w:endnote>
  <w:endnote w:id="31">
    <w:p w:rsidR="00454E38" w:rsidRDefault="00454E38">
      <w:pPr>
        <w:pStyle w:val="EndnoteText"/>
      </w:pPr>
      <w:r>
        <w:rPr>
          <w:rStyle w:val="EndnoteReference"/>
        </w:rPr>
        <w:endnoteRef/>
      </w:r>
      <w:r>
        <w:t xml:space="preserve"> DK B34.  </w:t>
      </w:r>
    </w:p>
  </w:endnote>
  <w:endnote w:id="32">
    <w:p w:rsidR="00454E38" w:rsidRDefault="00454E38" w:rsidP="00C67BA5">
      <w:pPr>
        <w:pStyle w:val="EndnoteText"/>
      </w:pPr>
      <w:r>
        <w:rPr>
          <w:rStyle w:val="EndnoteReference"/>
        </w:rPr>
        <w:endnoteRef/>
      </w:r>
      <w:r>
        <w:t xml:space="preserve"> And, foundational odes to cities.</w:t>
      </w:r>
    </w:p>
  </w:endnote>
  <w:endnote w:id="33">
    <w:p w:rsidR="00454E38" w:rsidRDefault="00454E38">
      <w:pPr>
        <w:pStyle w:val="EndnoteText"/>
      </w:pPr>
      <w:r>
        <w:rPr>
          <w:rStyle w:val="EndnoteReference"/>
        </w:rPr>
        <w:endnoteRef/>
      </w:r>
      <w:r>
        <w:t xml:space="preserve"> </w:t>
      </w:r>
      <w:r>
        <w:rPr>
          <w:rFonts w:cs="Times New Roman"/>
        </w:rPr>
        <w:t xml:space="preserve">Aetius, </w:t>
      </w:r>
      <w:r>
        <w:rPr>
          <w:rFonts w:cs="Times New Roman"/>
          <w:i/>
        </w:rPr>
        <w:t xml:space="preserve">On Principles </w:t>
      </w:r>
      <w:r>
        <w:rPr>
          <w:rFonts w:cs="Times New Roman"/>
        </w:rPr>
        <w:t xml:space="preserve">i, 3; Coxon </w:t>
      </w:r>
      <w:r>
        <w:rPr>
          <w:rFonts w:cs="Times New Roman"/>
          <w:i/>
        </w:rPr>
        <w:t xml:space="preserve">Test. </w:t>
      </w:r>
      <w:r>
        <w:rPr>
          <w:rFonts w:cs="Times New Roman"/>
        </w:rPr>
        <w:t xml:space="preserve">55.  </w:t>
      </w:r>
    </w:p>
  </w:endnote>
  <w:endnote w:id="34">
    <w:p w:rsidR="00454E38" w:rsidRPr="00B81618" w:rsidRDefault="00454E38" w:rsidP="000753F9">
      <w:pPr>
        <w:pStyle w:val="EndnoteText"/>
        <w:rPr>
          <w:rFonts w:cs="Times New Roman"/>
        </w:rPr>
      </w:pPr>
      <w:r w:rsidRPr="004655B4">
        <w:rPr>
          <w:rStyle w:val="EndnoteReference"/>
          <w:rFonts w:cs="Times New Roman"/>
        </w:rPr>
        <w:endnoteRef/>
      </w:r>
      <w:r>
        <w:rPr>
          <w:rFonts w:cs="Times New Roman"/>
        </w:rPr>
        <w:t xml:space="preserve"> Aetius, </w:t>
      </w:r>
      <w:r>
        <w:rPr>
          <w:rFonts w:cs="Times New Roman"/>
          <w:i/>
        </w:rPr>
        <w:t>Whether the Cosmos is Indestructable</w:t>
      </w:r>
      <w:r>
        <w:rPr>
          <w:rFonts w:cs="Times New Roman"/>
        </w:rPr>
        <w:t xml:space="preserve"> 11; Coxon, </w:t>
      </w:r>
      <w:r>
        <w:rPr>
          <w:rFonts w:cs="Times New Roman"/>
          <w:i/>
        </w:rPr>
        <w:t>Test.</w:t>
      </w:r>
      <w:r>
        <w:rPr>
          <w:rFonts w:cs="Times New Roman"/>
        </w:rPr>
        <w:t xml:space="preserve"> 60.</w:t>
      </w:r>
    </w:p>
  </w:endnote>
  <w:endnote w:id="35">
    <w:p w:rsidR="00454E38" w:rsidRPr="00B41480" w:rsidRDefault="00454E38" w:rsidP="000753F9">
      <w:pPr>
        <w:pStyle w:val="EndnoteText"/>
      </w:pPr>
      <w:r w:rsidRPr="004655B4">
        <w:rPr>
          <w:rStyle w:val="EndnoteReference"/>
          <w:rFonts w:cs="Times New Roman"/>
        </w:rPr>
        <w:endnoteRef/>
      </w:r>
      <w:r w:rsidRPr="004655B4">
        <w:rPr>
          <w:rFonts w:cs="Times New Roman"/>
        </w:rPr>
        <w:t xml:space="preserve"> </w:t>
      </w:r>
      <w:r>
        <w:rPr>
          <w:rFonts w:cs="Times New Roman"/>
        </w:rPr>
        <w:t xml:space="preserve">Aetius, </w:t>
      </w:r>
      <w:r>
        <w:rPr>
          <w:rFonts w:cs="Times New Roman"/>
          <w:i/>
        </w:rPr>
        <w:t>On God</w:t>
      </w:r>
      <w:r>
        <w:rPr>
          <w:rFonts w:cs="Times New Roman"/>
        </w:rPr>
        <w:t>,</w:t>
      </w:r>
      <w:r>
        <w:rPr>
          <w:rFonts w:cs="Times New Roman"/>
          <w:i/>
        </w:rPr>
        <w:t xml:space="preserve"> </w:t>
      </w:r>
      <w:r>
        <w:rPr>
          <w:rFonts w:cs="Times New Roman"/>
        </w:rPr>
        <w:t xml:space="preserve">26; Coxon, </w:t>
      </w:r>
      <w:r>
        <w:rPr>
          <w:rFonts w:cs="Times New Roman"/>
          <w:i/>
        </w:rPr>
        <w:t xml:space="preserve">Test. </w:t>
      </w:r>
      <w:r>
        <w:rPr>
          <w:rFonts w:cs="Times New Roman"/>
        </w:rPr>
        <w:t xml:space="preserve">56.  A nearly contemporaneous (though less reputable) text similarly </w:t>
      </w:r>
      <w:r>
        <w:t>states</w:t>
      </w:r>
      <w:r w:rsidRPr="005728C3">
        <w:t xml:space="preserve"> that Parmenide</w:t>
      </w:r>
      <w:r>
        <w:t>s was describing God</w:t>
      </w:r>
      <w:r w:rsidRPr="005728C3">
        <w:t>, in largely Xenophanean terms, with one notable point of departure—</w:t>
      </w:r>
      <w:r>
        <w:t xml:space="preserve">Parmenides holds </w:t>
      </w:r>
      <w:r w:rsidRPr="005728C3">
        <w:t>that God is limited</w:t>
      </w:r>
      <w:r>
        <w:t xml:space="preserve"> (and “like a sphere”)</w:t>
      </w:r>
      <w:r w:rsidRPr="005728C3">
        <w:t>, rather than unlimited</w:t>
      </w:r>
      <w:r>
        <w:t xml:space="preserve">.  </w:t>
      </w:r>
      <w:r>
        <w:rPr>
          <w:rFonts w:cs="Times New Roman"/>
        </w:rPr>
        <w:t xml:space="preserve">Pseudo-Aristotle, </w:t>
      </w:r>
      <w:r>
        <w:rPr>
          <w:rFonts w:cs="Times New Roman"/>
          <w:i/>
        </w:rPr>
        <w:t>On Melissus, Xenophanes, and Gorgias</w:t>
      </w:r>
      <w:r>
        <w:rPr>
          <w:rFonts w:cs="Times New Roman"/>
        </w:rPr>
        <w:t xml:space="preserve">, 978b7-15; Coxon, </w:t>
      </w:r>
      <w:r>
        <w:rPr>
          <w:rFonts w:cs="Times New Roman"/>
          <w:i/>
        </w:rPr>
        <w:t>Test</w:t>
      </w:r>
      <w:r>
        <w:rPr>
          <w:rFonts w:cs="Times New Roman"/>
        </w:rPr>
        <w:t>. 120</w:t>
      </w:r>
      <w:r w:rsidRPr="004655B4">
        <w:rPr>
          <w:rFonts w:cs="Times New Roman"/>
        </w:rPr>
        <w:t xml:space="preserve"> </w:t>
      </w:r>
      <w:r w:rsidRPr="004655B4">
        <w:rPr>
          <w:rFonts w:cs="Times New Roman"/>
        </w:rPr>
        <w:fldChar w:fldCharType="begin"/>
      </w:r>
      <w:r w:rsidRPr="004655B4">
        <w:rPr>
          <w:rFonts w:cs="Times New Roman"/>
        </w:rPr>
        <w:instrText xml:space="preserve"> ADDIN EN.CITE &lt;EndNote&gt;&lt;Cite&gt;&lt;Author&gt;Coxon&lt;/Author&gt;&lt;Year&gt;2009&lt;/Year&gt;&lt;RecNum&gt;593&lt;/RecNum&gt;&lt;Pages&gt;Test. 120&lt;/Pages&gt;&lt;DisplayText&gt;Ibid., Test. 120.&lt;/DisplayText&gt;&lt;record&gt;&lt;rec-number&gt;593&lt;/rec-number&gt;&lt;foreign-keys&gt;&lt;key app="EN" db-id="9d22xadt4sx5t8eze9p5r5xe0p90z2wrvz9z" timestamp="1412644719"&gt;593&lt;/key&gt;&lt;/foreign-keys&gt;&lt;ref-type name="Book"&gt;6&lt;/ref-type&gt;&lt;contributors&gt;&lt;authors&gt;&lt;author&gt;Coxon, A. H.&lt;/author&gt;&lt;/authors&gt;&lt;tertiary-authors&gt;&lt;author&gt;McKirahan, Richard&lt;/author&gt;&lt;/tertiary-authors&gt;&lt;/contributors&gt;&lt;titles&gt;&lt;title&gt;The Fragments of Parmenides: A Critical Text with Introduction and Translation, the Ancient &amp;apos;Testimonia&amp;apos; and a Commentary&lt;/title&gt;&lt;/titles&gt;&lt;keywords&gt;&lt;keyword&gt;BEING&lt;/keyword&gt;&lt;keyword&gt;FORM&lt;/keyword&gt;&lt;keyword&gt;METAPHYSICS&lt;/keyword&gt;&lt;keyword&gt;MONISM&lt;/keyword&gt;&lt;keyword&gt;PARADOX&lt;/keyword&gt;&lt;keyword&gt;POEM&lt;/keyword&gt;&lt;keyword&gt;PARMENIDES&lt;/keyword&gt;&lt;keyword&gt;ZENO&lt;/keyword&gt;&lt;/keywords&gt;&lt;dates&gt;&lt;year&gt;2009&lt;/year&gt;&lt;/dates&gt;&lt;publisher&gt;Parmenides Publishing&lt;/publisher&gt;&lt;isbn&gt;9781930972674&lt;/isbn&gt;&lt;accession-num&gt;754073649; 2147074&lt;/accession-num&gt;&lt;urls&gt;&lt;related-urls&gt;&lt;url&gt;http://search.proquest.com/docview/754073649?accountid=14556&lt;/url&gt;&lt;url&gt;http://vv6tt6sy5c.search.serialssolutions.com/?ctx_ver=Z39.88-2004&amp;amp;ctx_enc=info:ofi/enc:UTF-8&amp;amp;rfr_id=info:sid/Philosopher%27s+Index&amp;amp;rft_val_fmt=info:ofi/fmt:kev:mtx:book&amp;amp;rft.genre=book&amp;amp;rft.jtitle=&amp;amp;rft.atitle=&amp;amp;rft.au=Coxon%2C+A+H%3BMcKirahan%2C+Richard&amp;amp;rft.aulast=Coxon&amp;amp;rft.aufirst=A&amp;amp;rft.date=2009-01-01&amp;amp;rft.volume=&amp;amp;rft.issue=&amp;amp;rft.spage=&amp;amp;rft.isbn=9781930972674&amp;amp;rft.btitle=The+Fragments+of+Parmenides%3A+A+Critical+Text+with+Introduction+and+Translation%2C+the+Ancient+%27Testimonia%27+and+a+Commentary&amp;amp;rft.title=The+Fragments+of+Parmenides%3A+A+Critical+Text+with+Introduction+and+Translation%2C+the+Ancient+%27Testimonia%27+and+a+Commentary&amp;amp;rft.issn=&amp;amp;rft_id=info:doi/&lt;/url&gt;&lt;/related-urls&gt;&lt;/urls&gt;&lt;remote-database-name&gt;Philosopher&amp;apos;s Index&lt;/remote-database-name&gt;&lt;language&gt;English&lt;/language&gt;&lt;/record&gt;&lt;/Cite&gt;&lt;/EndNote&gt;</w:instrText>
      </w:r>
      <w:r w:rsidRPr="004655B4">
        <w:rPr>
          <w:rFonts w:cs="Times New Roman"/>
        </w:rPr>
        <w:fldChar w:fldCharType="separate"/>
      </w:r>
      <w:r w:rsidRPr="004655B4">
        <w:rPr>
          <w:rFonts w:cs="Times New Roman"/>
          <w:noProof/>
        </w:rPr>
        <w:t>Ibid., Test. 120.</w:t>
      </w:r>
      <w:r w:rsidRPr="004655B4">
        <w:rPr>
          <w:rFonts w:cs="Times New Roman"/>
        </w:rPr>
        <w:fldChar w:fldCharType="end"/>
      </w:r>
      <w:r>
        <w:rPr>
          <w:rFonts w:cs="Times New Roman"/>
        </w:rPr>
        <w:t xml:space="preserve"> </w:t>
      </w:r>
    </w:p>
  </w:endnote>
  <w:endnote w:id="36">
    <w:p w:rsidR="00454E38" w:rsidRPr="004655B4" w:rsidRDefault="00454E38" w:rsidP="000753F9">
      <w:pPr>
        <w:pStyle w:val="EndnoteText"/>
        <w:rPr>
          <w:rFonts w:cs="Times New Roman"/>
        </w:rPr>
      </w:pPr>
      <w:r w:rsidRPr="004655B4">
        <w:rPr>
          <w:rStyle w:val="EndnoteReference"/>
          <w:rFonts w:cs="Times New Roman"/>
        </w:rPr>
        <w:endnoteRef/>
      </w:r>
      <w:r w:rsidRPr="004655B4">
        <w:rPr>
          <w:rFonts w:cs="Times New Roman"/>
        </w:rPr>
        <w:t xml:space="preserve"> </w:t>
      </w:r>
      <w:r>
        <w:rPr>
          <w:rFonts w:cs="Times New Roman"/>
        </w:rPr>
        <w:t xml:space="preserve">Philo of Alexandria, </w:t>
      </w:r>
      <w:r>
        <w:rPr>
          <w:rFonts w:cs="Times New Roman"/>
          <w:i/>
        </w:rPr>
        <w:t>On Providence</w:t>
      </w:r>
      <w:r>
        <w:rPr>
          <w:rFonts w:cs="Times New Roman"/>
        </w:rPr>
        <w:t xml:space="preserve">, ii, 39, 42; Coxon, </w:t>
      </w:r>
      <w:r>
        <w:rPr>
          <w:rFonts w:cs="Times New Roman"/>
          <w:i/>
        </w:rPr>
        <w:t>Test.</w:t>
      </w:r>
      <w:r>
        <w:rPr>
          <w:rFonts w:cs="Times New Roman"/>
        </w:rPr>
        <w:t xml:space="preserve"> 104-105.  </w:t>
      </w:r>
    </w:p>
  </w:endnote>
  <w:endnote w:id="37">
    <w:p w:rsidR="00454E38" w:rsidRPr="004655B4" w:rsidRDefault="00454E38" w:rsidP="006F6A08">
      <w:pPr>
        <w:pStyle w:val="EndnoteText"/>
        <w:rPr>
          <w:rFonts w:cs="Times New Roman"/>
        </w:rPr>
      </w:pPr>
      <w:r w:rsidRPr="004655B4">
        <w:rPr>
          <w:rStyle w:val="EndnoteReference"/>
          <w:rFonts w:cs="Times New Roman"/>
        </w:rPr>
        <w:endnoteRef/>
      </w:r>
      <w:r w:rsidRPr="004655B4">
        <w:rPr>
          <w:rFonts w:cs="Times New Roman"/>
        </w:rPr>
        <w:t xml:space="preserve"> </w:t>
      </w:r>
      <w:r>
        <w:rPr>
          <w:rFonts w:cs="Times New Roman"/>
        </w:rPr>
        <w:t xml:space="preserve">Cf. Pseudo-Aristotle, </w:t>
      </w:r>
      <w:r>
        <w:rPr>
          <w:rFonts w:cs="Times New Roman"/>
          <w:i/>
        </w:rPr>
        <w:t>On Melissus, Xenophanes, and Gorgias</w:t>
      </w:r>
      <w:r>
        <w:rPr>
          <w:rFonts w:cs="Times New Roman"/>
        </w:rPr>
        <w:t xml:space="preserve">, 978b7-15; Coxon, </w:t>
      </w:r>
      <w:r>
        <w:rPr>
          <w:rFonts w:cs="Times New Roman"/>
          <w:i/>
        </w:rPr>
        <w:t>Test</w:t>
      </w:r>
      <w:r>
        <w:rPr>
          <w:rFonts w:cs="Times New Roman"/>
        </w:rPr>
        <w:t>. 120</w:t>
      </w:r>
      <w:r w:rsidRPr="004655B4">
        <w:rPr>
          <w:rFonts w:cs="Times New Roman"/>
        </w:rPr>
        <w:t xml:space="preserve"> </w:t>
      </w:r>
      <w:r w:rsidRPr="004655B4">
        <w:rPr>
          <w:rFonts w:cs="Times New Roman"/>
        </w:rPr>
        <w:fldChar w:fldCharType="begin"/>
      </w:r>
      <w:r w:rsidRPr="004655B4">
        <w:rPr>
          <w:rFonts w:cs="Times New Roman"/>
        </w:rPr>
        <w:instrText xml:space="preserve"> ADDIN EN.CITE &lt;EndNote&gt;&lt;Cite&gt;&lt;Author&gt;Coxon&lt;/Author&gt;&lt;Year&gt;2009&lt;/Year&gt;&lt;RecNum&gt;593&lt;/RecNum&gt;&lt;Pages&gt;Test. 120&lt;/Pages&gt;&lt;DisplayText&gt;Ibid., Test. 120.&lt;/DisplayText&gt;&lt;record&gt;&lt;rec-number&gt;593&lt;/rec-number&gt;&lt;foreign-keys&gt;&lt;key app="EN" db-id="9d22xadt4sx5t8eze9p5r5xe0p90z2wrvz9z" timestamp="1412644719"&gt;593&lt;/key&gt;&lt;/foreign-keys&gt;&lt;ref-type name="Book"&gt;6&lt;/ref-type&gt;&lt;contributors&gt;&lt;authors&gt;&lt;author&gt;Coxon, A. H.&lt;/author&gt;&lt;/authors&gt;&lt;tertiary-authors&gt;&lt;author&gt;McKirahan, Richard&lt;/author&gt;&lt;/tertiary-authors&gt;&lt;/contributors&gt;&lt;titles&gt;&lt;title&gt;The Fragments of Parmenides: A Critical Text with Introduction and Translation, the Ancient &amp;apos;Testimonia&amp;apos; and a Commentary&lt;/title&gt;&lt;/titles&gt;&lt;keywords&gt;&lt;keyword&gt;BEING&lt;/keyword&gt;&lt;keyword&gt;FORM&lt;/keyword&gt;&lt;keyword&gt;METAPHYSICS&lt;/keyword&gt;&lt;keyword&gt;MONISM&lt;/keyword&gt;&lt;keyword&gt;PARADOX&lt;/keyword&gt;&lt;keyword&gt;POEM&lt;/keyword&gt;&lt;keyword&gt;PARMENIDES&lt;/keyword&gt;&lt;keyword&gt;ZENO&lt;/keyword&gt;&lt;/keywords&gt;&lt;dates&gt;&lt;year&gt;2009&lt;/year&gt;&lt;/dates&gt;&lt;publisher&gt;Parmenides Publishing&lt;/publisher&gt;&lt;isbn&gt;9781930972674&lt;/isbn&gt;&lt;accession-num&gt;754073649; 2147074&lt;/accession-num&gt;&lt;urls&gt;&lt;related-urls&gt;&lt;url&gt;http://search.proquest.com/docview/754073649?accountid=14556&lt;/url&gt;&lt;url&gt;http://vv6tt6sy5c.search.serialssolutions.com/?ctx_ver=Z39.88-2004&amp;amp;ctx_enc=info:ofi/enc:UTF-8&amp;amp;rfr_id=info:sid/Philosopher%27s+Index&amp;amp;rft_val_fmt=info:ofi/fmt:kev:mtx:book&amp;amp;rft.genre=book&amp;amp;rft.jtitle=&amp;amp;rft.atitle=&amp;amp;rft.au=Coxon%2C+A+H%3BMcKirahan%2C+Richard&amp;amp;rft.aulast=Coxon&amp;amp;rft.aufirst=A&amp;amp;rft.date=2009-01-01&amp;amp;rft.volume=&amp;amp;rft.issue=&amp;amp;rft.spage=&amp;amp;rft.isbn=9781930972674&amp;amp;rft.btitle=The+Fragments+of+Parmenides%3A+A+Critical+Text+with+Introduction+and+Translation%2C+the+Ancient+%27Testimonia%27+and+a+Commentary&amp;amp;rft.title=The+Fragments+of+Parmenides%3A+A+Critical+Text+with+Introduction+and+Translation%2C+the+Ancient+%27Testimonia%27+and+a+Commentary&amp;amp;rft.issn=&amp;amp;rft_id=info:doi/&lt;/url&gt;&lt;/related-urls&gt;&lt;/urls&gt;&lt;remote-database-name&gt;Philosopher&amp;apos;s Index&lt;/remote-database-name&gt;&lt;language&gt;English&lt;/language&gt;&lt;/record&gt;&lt;/Cite&gt;&lt;/EndNote&gt;</w:instrText>
      </w:r>
      <w:r w:rsidRPr="004655B4">
        <w:rPr>
          <w:rFonts w:cs="Times New Roman"/>
        </w:rPr>
        <w:fldChar w:fldCharType="separate"/>
      </w:r>
      <w:r w:rsidRPr="004655B4">
        <w:rPr>
          <w:rFonts w:cs="Times New Roman"/>
          <w:noProof/>
        </w:rPr>
        <w:t>Ibid., Test. 120.</w:t>
      </w:r>
      <w:r w:rsidRPr="004655B4">
        <w:rPr>
          <w:rFonts w:cs="Times New Roman"/>
        </w:rPr>
        <w:fldChar w:fldCharType="end"/>
      </w:r>
      <w:r>
        <w:rPr>
          <w:rFonts w:cs="Times New Roman"/>
        </w:rPr>
        <w:t xml:space="preserve"> </w:t>
      </w:r>
    </w:p>
    <w:p w:rsidR="00454E38" w:rsidRPr="004655B4" w:rsidRDefault="00454E38" w:rsidP="000753F9">
      <w:pPr>
        <w:pStyle w:val="EndnoteText"/>
        <w:rPr>
          <w:rFonts w:cs="Times New Roman"/>
        </w:rPr>
      </w:pPr>
      <w:r w:rsidRPr="004655B4">
        <w:rPr>
          <w:rFonts w:cs="Times New Roman"/>
        </w:rPr>
        <w:t>Menander Rhetor</w:t>
      </w:r>
      <w:r>
        <w:rPr>
          <w:rFonts w:cs="Times New Roman"/>
        </w:rPr>
        <w:t>,</w:t>
      </w:r>
      <w:r w:rsidRPr="004655B4">
        <w:rPr>
          <w:rFonts w:cs="Times New Roman"/>
        </w:rPr>
        <w:t xml:space="preserve"> </w:t>
      </w:r>
      <w:r>
        <w:rPr>
          <w:rFonts w:cs="Times New Roman"/>
          <w:i/>
        </w:rPr>
        <w:t>The Division of Epideictic Speeches</w:t>
      </w:r>
      <w:r>
        <w:rPr>
          <w:rFonts w:cs="Times New Roman"/>
        </w:rPr>
        <w:t xml:space="preserve">, I, 2 and 5; Coxon, </w:t>
      </w:r>
      <w:r>
        <w:rPr>
          <w:rFonts w:cs="Times New Roman"/>
          <w:i/>
        </w:rPr>
        <w:t>Test</w:t>
      </w:r>
      <w:r>
        <w:rPr>
          <w:rFonts w:cs="Times New Roman"/>
        </w:rPr>
        <w:t>. 151-2.</w:t>
      </w:r>
      <w:r>
        <w:rPr>
          <w:rFonts w:cs="Times New Roman"/>
          <w:i/>
        </w:rPr>
        <w:t xml:space="preserve"> </w:t>
      </w:r>
      <w:r w:rsidRPr="004655B4">
        <w:rPr>
          <w:rFonts w:cs="Times New Roman"/>
        </w:rPr>
        <w:t>Clement of Alexandria</w:t>
      </w:r>
      <w:r>
        <w:rPr>
          <w:rFonts w:cs="Times New Roman"/>
        </w:rPr>
        <w:t xml:space="preserve">, </w:t>
      </w:r>
      <w:r>
        <w:rPr>
          <w:rFonts w:cs="Times New Roman"/>
          <w:i/>
        </w:rPr>
        <w:t>Stromata</w:t>
      </w:r>
      <w:r>
        <w:rPr>
          <w:rFonts w:cs="Times New Roman"/>
        </w:rPr>
        <w:t xml:space="preserve">, v, 14; Coxon, </w:t>
      </w:r>
      <w:r>
        <w:rPr>
          <w:rFonts w:cs="Times New Roman"/>
          <w:i/>
        </w:rPr>
        <w:t xml:space="preserve">Test. </w:t>
      </w:r>
      <w:r>
        <w:rPr>
          <w:rFonts w:cs="Times New Roman"/>
        </w:rPr>
        <w:t xml:space="preserve">129-30.  </w:t>
      </w:r>
      <w:r w:rsidRPr="004655B4">
        <w:rPr>
          <w:rFonts w:cs="Times New Roman"/>
        </w:rPr>
        <w:t>Ammonius</w:t>
      </w:r>
      <w:r>
        <w:rPr>
          <w:rFonts w:cs="Times New Roman"/>
        </w:rPr>
        <w:t>,</w:t>
      </w:r>
      <w:r w:rsidRPr="004655B4">
        <w:rPr>
          <w:rFonts w:cs="Times New Roman"/>
        </w:rPr>
        <w:t xml:space="preserve"> </w:t>
      </w:r>
      <w:r>
        <w:rPr>
          <w:rFonts w:cs="Times New Roman"/>
          <w:i/>
        </w:rPr>
        <w:t>Comm. De Interpreatione</w:t>
      </w:r>
      <w:r>
        <w:rPr>
          <w:rFonts w:cs="Times New Roman"/>
        </w:rPr>
        <w:t xml:space="preserve">, 133, 16-24; 136, 17-25; Coxon, </w:t>
      </w:r>
      <w:r>
        <w:rPr>
          <w:rFonts w:cs="Times New Roman"/>
          <w:i/>
        </w:rPr>
        <w:t xml:space="preserve">Test. </w:t>
      </w:r>
      <w:r>
        <w:rPr>
          <w:rFonts w:cs="Times New Roman"/>
        </w:rPr>
        <w:t xml:space="preserve">187-88. Macrobius, </w:t>
      </w:r>
      <w:r>
        <w:rPr>
          <w:rFonts w:cs="Times New Roman"/>
          <w:i/>
        </w:rPr>
        <w:t>Comm. On Scipio’s Dream</w:t>
      </w:r>
      <w:r>
        <w:rPr>
          <w:rFonts w:cs="Times New Roman"/>
        </w:rPr>
        <w:t xml:space="preserve">, I, 2, 20-21; Coxon, </w:t>
      </w:r>
      <w:r>
        <w:rPr>
          <w:rFonts w:cs="Times New Roman"/>
          <w:i/>
        </w:rPr>
        <w:t>Test.</w:t>
      </w:r>
      <w:r>
        <w:rPr>
          <w:rFonts w:cs="Times New Roman"/>
        </w:rPr>
        <w:t xml:space="preserve"> 161.</w:t>
      </w:r>
      <w:r w:rsidRPr="004655B4">
        <w:rPr>
          <w:rFonts w:cs="Times New Roman"/>
        </w:rPr>
        <w:t xml:space="preserve"> Boethius</w:t>
      </w:r>
      <w:r>
        <w:rPr>
          <w:rFonts w:cs="Times New Roman"/>
        </w:rPr>
        <w:t xml:space="preserve">, </w:t>
      </w:r>
      <w:r>
        <w:rPr>
          <w:rFonts w:cs="Times New Roman"/>
          <w:i/>
        </w:rPr>
        <w:t>Consolation of Philosophy</w:t>
      </w:r>
      <w:r>
        <w:rPr>
          <w:rFonts w:cs="Times New Roman"/>
        </w:rPr>
        <w:t xml:space="preserve">, iii, 12, 96; Coxon, </w:t>
      </w:r>
      <w:r>
        <w:rPr>
          <w:rFonts w:cs="Times New Roman"/>
          <w:i/>
        </w:rPr>
        <w:t>Test.</w:t>
      </w:r>
      <w:r>
        <w:rPr>
          <w:rFonts w:cs="Times New Roman"/>
        </w:rPr>
        <w:t xml:space="preserve"> 218.</w:t>
      </w:r>
    </w:p>
  </w:endnote>
  <w:endnote w:id="38">
    <w:p w:rsidR="00454E38" w:rsidRDefault="00454E38">
      <w:pPr>
        <w:pStyle w:val="EndnoteText"/>
      </w:pPr>
      <w:r>
        <w:rPr>
          <w:rStyle w:val="EndnoteReference"/>
        </w:rPr>
        <w:endnoteRef/>
      </w:r>
      <w:r>
        <w:t xml:space="preserve"> DK B1.1-32.  </w:t>
      </w:r>
    </w:p>
  </w:endnote>
  <w:endnote w:id="39">
    <w:p w:rsidR="00454E38" w:rsidRPr="00AF6C82" w:rsidRDefault="00454E38">
      <w:pPr>
        <w:pStyle w:val="EndnoteText"/>
        <w:rPr>
          <w:i/>
        </w:rPr>
      </w:pPr>
      <w:r>
        <w:rPr>
          <w:rStyle w:val="EndnoteReference"/>
        </w:rPr>
        <w:endnoteRef/>
      </w:r>
      <w:r>
        <w:t xml:space="preserve"> </w:t>
      </w:r>
      <w:r w:rsidRPr="00F12D03">
        <w:t xml:space="preserve">Scholars are divided over whether the </w:t>
      </w:r>
      <w:r>
        <w:t xml:space="preserve">youth’s </w:t>
      </w:r>
      <w:r w:rsidRPr="00F12D03">
        <w:t>journey</w:t>
      </w:r>
      <w:r>
        <w:t xml:space="preserve"> indicates: a) </w:t>
      </w:r>
      <w:r>
        <w:rPr>
          <w:i/>
        </w:rPr>
        <w:t>anabasis</w:t>
      </w:r>
      <w:r>
        <w:t>—</w:t>
      </w:r>
      <w:r w:rsidRPr="00F12D03">
        <w:t xml:space="preserve">metaphorical ascent from darkness (ignorance) to light (knowledge), or b) </w:t>
      </w:r>
      <w:r>
        <w:rPr>
          <w:i/>
        </w:rPr>
        <w:t>katabasis—</w:t>
      </w:r>
      <w:r>
        <w:t xml:space="preserve">a descent back to the House of Night.  Though I favor the </w:t>
      </w:r>
      <w:r>
        <w:rPr>
          <w:i/>
        </w:rPr>
        <w:t xml:space="preserve">katabasis </w:t>
      </w:r>
      <w:r>
        <w:t xml:space="preserve">interpretation, this interpretative preference will make little to no difference here.  </w:t>
      </w:r>
    </w:p>
  </w:endnote>
  <w:endnote w:id="40">
    <w:p w:rsidR="00454E38" w:rsidRDefault="00454E38" w:rsidP="00EC6C55">
      <w:pPr>
        <w:pStyle w:val="EndnoteText"/>
      </w:pPr>
      <w:r>
        <w:rPr>
          <w:rStyle w:val="EndnoteReference"/>
        </w:rPr>
        <w:endnoteRef/>
      </w:r>
      <w:r>
        <w:t xml:space="preserve"> The sole source for DK 1.1-27 is Sextus Empiricus.  Not only did no other ancient source quote from these lines, no source </w:t>
      </w:r>
      <w:r>
        <w:rPr>
          <w:i/>
        </w:rPr>
        <w:t xml:space="preserve">ever </w:t>
      </w:r>
      <w:r>
        <w:t>mentions their content</w:t>
      </w:r>
      <w:r w:rsidR="00737556">
        <w:t>.</w:t>
      </w:r>
      <w:r>
        <w:t xml:space="preserve"> Sextus himself offered a clearly anachronistic, allegorical treatment of the </w:t>
      </w:r>
      <w:r>
        <w:rPr>
          <w:i/>
        </w:rPr>
        <w:t>Proem</w:t>
      </w:r>
      <w:r>
        <w:t>.  Allegorical approaches are the second most common treatment.  However, these are quite problematic in the details, and ultimately offer little to no interpretative impact.</w:t>
      </w:r>
    </w:p>
  </w:endnote>
  <w:endnote w:id="41">
    <w:p w:rsidR="00454E38" w:rsidRPr="00CF26AE" w:rsidRDefault="00454E38" w:rsidP="00EA0C3E">
      <w:pPr>
        <w:pStyle w:val="EndnoteText"/>
      </w:pPr>
      <w:r>
        <w:rPr>
          <w:rStyle w:val="EndnoteReference"/>
        </w:rPr>
        <w:endnoteRef/>
      </w:r>
      <w:r>
        <w:t xml:space="preserve"> For this, see especially:  Alexander P. D. Mourelatos, </w:t>
      </w:r>
      <w:r>
        <w:rPr>
          <w:i/>
        </w:rPr>
        <w:t>The Route of Parmenides</w:t>
      </w:r>
      <w:r>
        <w:t>, 2</w:t>
      </w:r>
      <w:r w:rsidRPr="00CF26AE">
        <w:rPr>
          <w:vertAlign w:val="superscript"/>
        </w:rPr>
        <w:t>nd</w:t>
      </w:r>
      <w:r>
        <w:t xml:space="preserve"> Ed. (Las Vegas:  Parmenides Publishing, 2008).</w:t>
      </w:r>
    </w:p>
  </w:endnote>
  <w:endnote w:id="42">
    <w:p w:rsidR="00454E38" w:rsidRPr="005C063E" w:rsidRDefault="00454E38" w:rsidP="00EA0C3E">
      <w:pPr>
        <w:pStyle w:val="EndnoteText"/>
      </w:pPr>
      <w:r>
        <w:rPr>
          <w:rStyle w:val="EndnoteReference"/>
        </w:rPr>
        <w:endnoteRef/>
      </w:r>
      <w:r>
        <w:t xml:space="preserve"> </w:t>
      </w:r>
      <w:r>
        <w:rPr>
          <w:i/>
        </w:rPr>
        <w:t>Theogony</w:t>
      </w:r>
      <w:r>
        <w:t xml:space="preserve">, 713-819.  </w:t>
      </w:r>
    </w:p>
  </w:endnote>
  <w:endnote w:id="43">
    <w:p w:rsidR="00454E38" w:rsidRPr="00817C92" w:rsidRDefault="00454E38">
      <w:pPr>
        <w:pStyle w:val="EndnoteText"/>
      </w:pPr>
      <w:r>
        <w:rPr>
          <w:rStyle w:val="EndnoteReference"/>
        </w:rPr>
        <w:endnoteRef/>
      </w:r>
      <w:r>
        <w:t xml:space="preserve"> Cf. Mitchell Miller, “Ambiguity and Transport:  Reflections on the Proem to Parmenides’ Poem” </w:t>
      </w:r>
      <w:r>
        <w:rPr>
          <w:i/>
        </w:rPr>
        <w:t>Oxford Studies in Ancient Philosophy</w:t>
      </w:r>
      <w:r>
        <w:t xml:space="preserve"> 30 (2006):  1-47.</w:t>
      </w:r>
    </w:p>
  </w:endnote>
  <w:endnote w:id="44">
    <w:p w:rsidR="00454E38" w:rsidRDefault="00454E38">
      <w:pPr>
        <w:pStyle w:val="EndnoteText"/>
      </w:pPr>
      <w:r>
        <w:rPr>
          <w:rStyle w:val="EndnoteReference"/>
        </w:rPr>
        <w:endnoteRef/>
      </w:r>
      <w:r>
        <w:t xml:space="preserve"> DK 8.50-DK 19.</w:t>
      </w:r>
    </w:p>
  </w:endnote>
  <w:endnote w:id="45">
    <w:p w:rsidR="00454E38" w:rsidRPr="00030B0C" w:rsidRDefault="00454E38">
      <w:pPr>
        <w:pStyle w:val="EndnoteText"/>
      </w:pPr>
      <w:r>
        <w:rPr>
          <w:rStyle w:val="EndnoteReference"/>
        </w:rPr>
        <w:endnoteRef/>
      </w:r>
      <w:r>
        <w:t xml:space="preserve"> Hesiod, </w:t>
      </w:r>
      <w:r>
        <w:rPr>
          <w:i/>
        </w:rPr>
        <w:t>Theogony</w:t>
      </w:r>
      <w:r>
        <w:t>, 116-125.</w:t>
      </w:r>
    </w:p>
  </w:endnote>
  <w:endnote w:id="46">
    <w:p w:rsidR="00454E38" w:rsidRDefault="00454E38">
      <w:pPr>
        <w:pStyle w:val="EndnoteText"/>
      </w:pPr>
      <w:r>
        <w:rPr>
          <w:rStyle w:val="EndnoteReference"/>
        </w:rPr>
        <w:endnoteRef/>
      </w:r>
      <w:r>
        <w:t xml:space="preserve"> DK B1.28b-30.</w:t>
      </w:r>
    </w:p>
  </w:endnote>
  <w:endnote w:id="47">
    <w:p w:rsidR="00454E38" w:rsidRDefault="00454E38">
      <w:pPr>
        <w:pStyle w:val="EndnoteText"/>
      </w:pPr>
      <w:r>
        <w:rPr>
          <w:rStyle w:val="EndnoteReference"/>
        </w:rPr>
        <w:endnoteRef/>
      </w:r>
      <w:r>
        <w:t xml:space="preserve"> DK B8.50-52.</w:t>
      </w:r>
    </w:p>
  </w:endnote>
  <w:endnote w:id="48">
    <w:p w:rsidR="00454E38" w:rsidRDefault="00454E38">
      <w:pPr>
        <w:pStyle w:val="EndnoteText"/>
      </w:pPr>
      <w:r>
        <w:rPr>
          <w:rStyle w:val="EndnoteReference"/>
        </w:rPr>
        <w:endnoteRef/>
      </w:r>
      <w:r>
        <w:t xml:space="preserve"> DK B6.</w:t>
      </w:r>
    </w:p>
  </w:endnote>
  <w:endnote w:id="49">
    <w:p w:rsidR="00454E38" w:rsidRDefault="00454E38">
      <w:pPr>
        <w:pStyle w:val="EndnoteText"/>
      </w:pPr>
      <w:r>
        <w:rPr>
          <w:rStyle w:val="EndnoteReference"/>
        </w:rPr>
        <w:endnoteRef/>
      </w:r>
      <w:r>
        <w:t xml:space="preserve"> Cf. Palmer, </w:t>
      </w:r>
      <w:r>
        <w:rPr>
          <w:i/>
        </w:rPr>
        <w:t>Parmenides and Presocratic Philosophy</w:t>
      </w:r>
      <w:r>
        <w:t>, 329-330.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7CF" w:rsidRDefault="00FA17CF" w:rsidP="005A374E">
      <w:r>
        <w:separator/>
      </w:r>
    </w:p>
  </w:footnote>
  <w:footnote w:type="continuationSeparator" w:id="0">
    <w:p w:rsidR="00FA17CF" w:rsidRDefault="00FA17CF" w:rsidP="005A3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2199304"/>
      <w:docPartObj>
        <w:docPartGallery w:val="Page Numbers (Top of Page)"/>
        <w:docPartUnique/>
      </w:docPartObj>
    </w:sdtPr>
    <w:sdtEndPr>
      <w:rPr>
        <w:noProof/>
      </w:rPr>
    </w:sdtEndPr>
    <w:sdtContent>
      <w:p w:rsidR="00D8670C" w:rsidRDefault="00D8670C">
        <w:pPr>
          <w:pStyle w:val="Header"/>
          <w:jc w:val="right"/>
        </w:pPr>
        <w:r>
          <w:fldChar w:fldCharType="begin"/>
        </w:r>
        <w:r>
          <w:instrText xml:space="preserve"> PAGE   \* MERGEFORMAT </w:instrText>
        </w:r>
        <w:r>
          <w:fldChar w:fldCharType="separate"/>
        </w:r>
        <w:r w:rsidR="005D44CC">
          <w:rPr>
            <w:noProof/>
          </w:rPr>
          <w:t>2</w:t>
        </w:r>
        <w:r>
          <w:rPr>
            <w:noProof/>
          </w:rPr>
          <w:fldChar w:fldCharType="end"/>
        </w:r>
      </w:p>
    </w:sdtContent>
  </w:sdt>
  <w:p w:rsidR="00D8670C" w:rsidRDefault="00D86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A432C"/>
    <w:multiLevelType w:val="multilevel"/>
    <w:tmpl w:val="8548991C"/>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lowerRoman"/>
      <w:lvlText w:val="%3."/>
      <w:lvlJc w:val="right"/>
      <w:pPr>
        <w:ind w:left="0" w:firstLine="0"/>
      </w:pPr>
      <w:rPr>
        <w:rFonts w:hint="default"/>
      </w:rPr>
    </w:lvl>
    <w:lvl w:ilvl="3">
      <w:start w:val="1"/>
      <w:numFmt w:val="lowerLetter"/>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5C2F2FBC"/>
    <w:multiLevelType w:val="hybridMultilevel"/>
    <w:tmpl w:val="9104C24A"/>
    <w:lvl w:ilvl="0" w:tplc="5A42E8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A14F8F"/>
    <w:multiLevelType w:val="hybridMultilevel"/>
    <w:tmpl w:val="717615DC"/>
    <w:lvl w:ilvl="0" w:tplc="09B854A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E12FFE"/>
    <w:multiLevelType w:val="multilevel"/>
    <w:tmpl w:val="E314270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1"/>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Footno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d22xadt4sx5t8eze9p5r5xe0p90z2wrvz9z&quot;&gt;My EndNote Library Copy&lt;record-ids&gt;&lt;item&gt;592&lt;/item&gt;&lt;item&gt;593&lt;/item&gt;&lt;item&gt;622&lt;/item&gt;&lt;item&gt;626&lt;/item&gt;&lt;/record-ids&gt;&lt;/item&gt;&lt;/Libraries&gt;"/>
  </w:docVars>
  <w:rsids>
    <w:rsidRoot w:val="009A2F2F"/>
    <w:rsid w:val="000050C7"/>
    <w:rsid w:val="00005B16"/>
    <w:rsid w:val="0000604A"/>
    <w:rsid w:val="00010B30"/>
    <w:rsid w:val="00010FC9"/>
    <w:rsid w:val="00011005"/>
    <w:rsid w:val="00013750"/>
    <w:rsid w:val="000150B1"/>
    <w:rsid w:val="00020B14"/>
    <w:rsid w:val="0002112E"/>
    <w:rsid w:val="00021BC6"/>
    <w:rsid w:val="00030A12"/>
    <w:rsid w:val="00030B0C"/>
    <w:rsid w:val="00035794"/>
    <w:rsid w:val="00043675"/>
    <w:rsid w:val="00043D10"/>
    <w:rsid w:val="000500E0"/>
    <w:rsid w:val="000503C4"/>
    <w:rsid w:val="000612CD"/>
    <w:rsid w:val="00064253"/>
    <w:rsid w:val="000657E2"/>
    <w:rsid w:val="000753F9"/>
    <w:rsid w:val="00083F36"/>
    <w:rsid w:val="00090ADB"/>
    <w:rsid w:val="000A634D"/>
    <w:rsid w:val="000A7F58"/>
    <w:rsid w:val="000B389C"/>
    <w:rsid w:val="000B5D07"/>
    <w:rsid w:val="000C05FD"/>
    <w:rsid w:val="000C0DCC"/>
    <w:rsid w:val="000C1B61"/>
    <w:rsid w:val="000C42AA"/>
    <w:rsid w:val="000C4CFA"/>
    <w:rsid w:val="000C5C31"/>
    <w:rsid w:val="000C62CB"/>
    <w:rsid w:val="000C6651"/>
    <w:rsid w:val="000C7786"/>
    <w:rsid w:val="000D0C51"/>
    <w:rsid w:val="000D4B09"/>
    <w:rsid w:val="000D58A3"/>
    <w:rsid w:val="000D5EDF"/>
    <w:rsid w:val="000D6A89"/>
    <w:rsid w:val="000D6AE8"/>
    <w:rsid w:val="000E1B08"/>
    <w:rsid w:val="000E25CF"/>
    <w:rsid w:val="000E630D"/>
    <w:rsid w:val="000F2042"/>
    <w:rsid w:val="000F21AE"/>
    <w:rsid w:val="000F7A51"/>
    <w:rsid w:val="000F7B4E"/>
    <w:rsid w:val="0010538F"/>
    <w:rsid w:val="001065C1"/>
    <w:rsid w:val="00110712"/>
    <w:rsid w:val="00112474"/>
    <w:rsid w:val="00112D62"/>
    <w:rsid w:val="00114D64"/>
    <w:rsid w:val="00115A23"/>
    <w:rsid w:val="0012585E"/>
    <w:rsid w:val="00126076"/>
    <w:rsid w:val="0013589D"/>
    <w:rsid w:val="00143CD3"/>
    <w:rsid w:val="00144E68"/>
    <w:rsid w:val="001511C5"/>
    <w:rsid w:val="001530E3"/>
    <w:rsid w:val="0015322A"/>
    <w:rsid w:val="00154D34"/>
    <w:rsid w:val="00160D35"/>
    <w:rsid w:val="00164871"/>
    <w:rsid w:val="001711B7"/>
    <w:rsid w:val="00172E1B"/>
    <w:rsid w:val="00173F81"/>
    <w:rsid w:val="001751E4"/>
    <w:rsid w:val="0018088C"/>
    <w:rsid w:val="0018495A"/>
    <w:rsid w:val="001858A3"/>
    <w:rsid w:val="00192B88"/>
    <w:rsid w:val="001945DB"/>
    <w:rsid w:val="001957DF"/>
    <w:rsid w:val="001A245D"/>
    <w:rsid w:val="001B13BF"/>
    <w:rsid w:val="001B3E37"/>
    <w:rsid w:val="001C1B6C"/>
    <w:rsid w:val="001C29DC"/>
    <w:rsid w:val="001C338C"/>
    <w:rsid w:val="001C7525"/>
    <w:rsid w:val="001D0659"/>
    <w:rsid w:val="001D2F1A"/>
    <w:rsid w:val="001D5598"/>
    <w:rsid w:val="001D64AE"/>
    <w:rsid w:val="001E1B36"/>
    <w:rsid w:val="001E2064"/>
    <w:rsid w:val="001E28BC"/>
    <w:rsid w:val="001F2302"/>
    <w:rsid w:val="001F4B1E"/>
    <w:rsid w:val="00206259"/>
    <w:rsid w:val="002066DD"/>
    <w:rsid w:val="00212D38"/>
    <w:rsid w:val="00220686"/>
    <w:rsid w:val="00232A0E"/>
    <w:rsid w:val="00243B43"/>
    <w:rsid w:val="002524D3"/>
    <w:rsid w:val="00260974"/>
    <w:rsid w:val="0026412A"/>
    <w:rsid w:val="00264E12"/>
    <w:rsid w:val="00267179"/>
    <w:rsid w:val="00267264"/>
    <w:rsid w:val="00270D26"/>
    <w:rsid w:val="0027145E"/>
    <w:rsid w:val="00274413"/>
    <w:rsid w:val="0028170E"/>
    <w:rsid w:val="00287106"/>
    <w:rsid w:val="00287556"/>
    <w:rsid w:val="0029133C"/>
    <w:rsid w:val="002913AC"/>
    <w:rsid w:val="00294165"/>
    <w:rsid w:val="00294424"/>
    <w:rsid w:val="002951F3"/>
    <w:rsid w:val="002952DE"/>
    <w:rsid w:val="002971EA"/>
    <w:rsid w:val="0029758D"/>
    <w:rsid w:val="002A11D7"/>
    <w:rsid w:val="002B08FA"/>
    <w:rsid w:val="002B0FE4"/>
    <w:rsid w:val="002B14FD"/>
    <w:rsid w:val="002B3746"/>
    <w:rsid w:val="002C3C76"/>
    <w:rsid w:val="002C49E0"/>
    <w:rsid w:val="002C4BEC"/>
    <w:rsid w:val="002D112B"/>
    <w:rsid w:val="002D17B9"/>
    <w:rsid w:val="002D27ED"/>
    <w:rsid w:val="002D2BC3"/>
    <w:rsid w:val="002D3A6B"/>
    <w:rsid w:val="002D6F35"/>
    <w:rsid w:val="002E3D9F"/>
    <w:rsid w:val="002F37BF"/>
    <w:rsid w:val="002F63DB"/>
    <w:rsid w:val="002F6760"/>
    <w:rsid w:val="002F7372"/>
    <w:rsid w:val="00301549"/>
    <w:rsid w:val="00307F1A"/>
    <w:rsid w:val="00314B6B"/>
    <w:rsid w:val="003170D5"/>
    <w:rsid w:val="00317261"/>
    <w:rsid w:val="003239B5"/>
    <w:rsid w:val="003273C1"/>
    <w:rsid w:val="0032799D"/>
    <w:rsid w:val="003306D5"/>
    <w:rsid w:val="00342A09"/>
    <w:rsid w:val="0034468D"/>
    <w:rsid w:val="00346F10"/>
    <w:rsid w:val="00352086"/>
    <w:rsid w:val="003526D0"/>
    <w:rsid w:val="00353918"/>
    <w:rsid w:val="00354425"/>
    <w:rsid w:val="00355C11"/>
    <w:rsid w:val="00355F3A"/>
    <w:rsid w:val="00356C19"/>
    <w:rsid w:val="00357388"/>
    <w:rsid w:val="00360AB8"/>
    <w:rsid w:val="0036168D"/>
    <w:rsid w:val="00361759"/>
    <w:rsid w:val="0036313A"/>
    <w:rsid w:val="0036343C"/>
    <w:rsid w:val="00364271"/>
    <w:rsid w:val="003723C4"/>
    <w:rsid w:val="003764AC"/>
    <w:rsid w:val="00382C5D"/>
    <w:rsid w:val="0038319A"/>
    <w:rsid w:val="003848B3"/>
    <w:rsid w:val="003902F0"/>
    <w:rsid w:val="00390F78"/>
    <w:rsid w:val="00392BCD"/>
    <w:rsid w:val="00393CB6"/>
    <w:rsid w:val="00394063"/>
    <w:rsid w:val="00395F5A"/>
    <w:rsid w:val="003A2E3F"/>
    <w:rsid w:val="003B2378"/>
    <w:rsid w:val="003B7F88"/>
    <w:rsid w:val="003D0212"/>
    <w:rsid w:val="003D038E"/>
    <w:rsid w:val="003D07B6"/>
    <w:rsid w:val="003D3C7F"/>
    <w:rsid w:val="003D3D3E"/>
    <w:rsid w:val="003D4218"/>
    <w:rsid w:val="003D4E42"/>
    <w:rsid w:val="003D5719"/>
    <w:rsid w:val="003E30CF"/>
    <w:rsid w:val="003F0011"/>
    <w:rsid w:val="003F170A"/>
    <w:rsid w:val="003F20D2"/>
    <w:rsid w:val="003F5CB2"/>
    <w:rsid w:val="0040041F"/>
    <w:rsid w:val="004011A5"/>
    <w:rsid w:val="00401467"/>
    <w:rsid w:val="00415614"/>
    <w:rsid w:val="00422575"/>
    <w:rsid w:val="004248FB"/>
    <w:rsid w:val="00426194"/>
    <w:rsid w:val="00426E27"/>
    <w:rsid w:val="0043219C"/>
    <w:rsid w:val="00434844"/>
    <w:rsid w:val="004423EC"/>
    <w:rsid w:val="00442AD5"/>
    <w:rsid w:val="00446508"/>
    <w:rsid w:val="00447B5A"/>
    <w:rsid w:val="00447F10"/>
    <w:rsid w:val="00454E38"/>
    <w:rsid w:val="004573E1"/>
    <w:rsid w:val="004655B4"/>
    <w:rsid w:val="004670AE"/>
    <w:rsid w:val="00471EA1"/>
    <w:rsid w:val="00490B4C"/>
    <w:rsid w:val="004955BD"/>
    <w:rsid w:val="004A05E4"/>
    <w:rsid w:val="004A78B8"/>
    <w:rsid w:val="004C0FD1"/>
    <w:rsid w:val="004C2479"/>
    <w:rsid w:val="004C31ED"/>
    <w:rsid w:val="004C4235"/>
    <w:rsid w:val="004C5AC3"/>
    <w:rsid w:val="004D1720"/>
    <w:rsid w:val="004D4A7D"/>
    <w:rsid w:val="004D54A9"/>
    <w:rsid w:val="004D7838"/>
    <w:rsid w:val="004E1117"/>
    <w:rsid w:val="004E1B18"/>
    <w:rsid w:val="004E40C8"/>
    <w:rsid w:val="004E4384"/>
    <w:rsid w:val="004F12BA"/>
    <w:rsid w:val="004F244F"/>
    <w:rsid w:val="004F3CDC"/>
    <w:rsid w:val="004F5927"/>
    <w:rsid w:val="00501D75"/>
    <w:rsid w:val="005073DA"/>
    <w:rsid w:val="00510466"/>
    <w:rsid w:val="00513608"/>
    <w:rsid w:val="0051441D"/>
    <w:rsid w:val="00515066"/>
    <w:rsid w:val="00537569"/>
    <w:rsid w:val="00537C57"/>
    <w:rsid w:val="0054170C"/>
    <w:rsid w:val="005466EA"/>
    <w:rsid w:val="00547454"/>
    <w:rsid w:val="0055782B"/>
    <w:rsid w:val="005660E5"/>
    <w:rsid w:val="00571798"/>
    <w:rsid w:val="00574CC5"/>
    <w:rsid w:val="005839C1"/>
    <w:rsid w:val="00590D1D"/>
    <w:rsid w:val="00594832"/>
    <w:rsid w:val="005A11A2"/>
    <w:rsid w:val="005A374E"/>
    <w:rsid w:val="005A492E"/>
    <w:rsid w:val="005B0C6D"/>
    <w:rsid w:val="005B7677"/>
    <w:rsid w:val="005C041A"/>
    <w:rsid w:val="005C063E"/>
    <w:rsid w:val="005C10CA"/>
    <w:rsid w:val="005C4FD7"/>
    <w:rsid w:val="005C5E42"/>
    <w:rsid w:val="005D2C5C"/>
    <w:rsid w:val="005D44CC"/>
    <w:rsid w:val="005D701A"/>
    <w:rsid w:val="005E075C"/>
    <w:rsid w:val="005E3864"/>
    <w:rsid w:val="005E4565"/>
    <w:rsid w:val="005E7780"/>
    <w:rsid w:val="005F1837"/>
    <w:rsid w:val="005F3A73"/>
    <w:rsid w:val="005F60A5"/>
    <w:rsid w:val="005F7253"/>
    <w:rsid w:val="00605366"/>
    <w:rsid w:val="00606877"/>
    <w:rsid w:val="00616F88"/>
    <w:rsid w:val="00624DA3"/>
    <w:rsid w:val="00625BAD"/>
    <w:rsid w:val="00632606"/>
    <w:rsid w:val="00653550"/>
    <w:rsid w:val="0066044A"/>
    <w:rsid w:val="006655B4"/>
    <w:rsid w:val="0067500A"/>
    <w:rsid w:val="00693348"/>
    <w:rsid w:val="00697C7E"/>
    <w:rsid w:val="006A2B7E"/>
    <w:rsid w:val="006A48A9"/>
    <w:rsid w:val="006A6D06"/>
    <w:rsid w:val="006A7CC9"/>
    <w:rsid w:val="006B2114"/>
    <w:rsid w:val="006B47D8"/>
    <w:rsid w:val="006C7EC2"/>
    <w:rsid w:val="006D245A"/>
    <w:rsid w:val="006D5B38"/>
    <w:rsid w:val="006D721F"/>
    <w:rsid w:val="006D7DFA"/>
    <w:rsid w:val="006E0048"/>
    <w:rsid w:val="006E0778"/>
    <w:rsid w:val="006E47A5"/>
    <w:rsid w:val="006E611A"/>
    <w:rsid w:val="006F0887"/>
    <w:rsid w:val="006F6A08"/>
    <w:rsid w:val="00705D5E"/>
    <w:rsid w:val="00706AF2"/>
    <w:rsid w:val="00707BDE"/>
    <w:rsid w:val="00707D74"/>
    <w:rsid w:val="00716670"/>
    <w:rsid w:val="0072070B"/>
    <w:rsid w:val="00724544"/>
    <w:rsid w:val="00725FE2"/>
    <w:rsid w:val="007305EB"/>
    <w:rsid w:val="00731EC4"/>
    <w:rsid w:val="00733ABF"/>
    <w:rsid w:val="0073417A"/>
    <w:rsid w:val="00737556"/>
    <w:rsid w:val="00737B27"/>
    <w:rsid w:val="00753CAC"/>
    <w:rsid w:val="007559D2"/>
    <w:rsid w:val="00761C55"/>
    <w:rsid w:val="007626B3"/>
    <w:rsid w:val="00762B93"/>
    <w:rsid w:val="007718AC"/>
    <w:rsid w:val="00772875"/>
    <w:rsid w:val="00775A8A"/>
    <w:rsid w:val="00776666"/>
    <w:rsid w:val="00777817"/>
    <w:rsid w:val="0078066D"/>
    <w:rsid w:val="007846FC"/>
    <w:rsid w:val="00786E15"/>
    <w:rsid w:val="007901E4"/>
    <w:rsid w:val="00790B7F"/>
    <w:rsid w:val="00793997"/>
    <w:rsid w:val="007965AB"/>
    <w:rsid w:val="00797E45"/>
    <w:rsid w:val="00797E86"/>
    <w:rsid w:val="007A36DF"/>
    <w:rsid w:val="007A59D4"/>
    <w:rsid w:val="007A6F63"/>
    <w:rsid w:val="007B0619"/>
    <w:rsid w:val="007B17C4"/>
    <w:rsid w:val="007B4DC3"/>
    <w:rsid w:val="007C05FB"/>
    <w:rsid w:val="007C0904"/>
    <w:rsid w:val="007C422D"/>
    <w:rsid w:val="007C6F91"/>
    <w:rsid w:val="007D30E0"/>
    <w:rsid w:val="007D3A6C"/>
    <w:rsid w:val="007D79A8"/>
    <w:rsid w:val="007E23BC"/>
    <w:rsid w:val="007E49C7"/>
    <w:rsid w:val="007E4A54"/>
    <w:rsid w:val="007E51A0"/>
    <w:rsid w:val="007F0D38"/>
    <w:rsid w:val="007F18E1"/>
    <w:rsid w:val="008124F4"/>
    <w:rsid w:val="008164AA"/>
    <w:rsid w:val="00817C92"/>
    <w:rsid w:val="0083117A"/>
    <w:rsid w:val="00833BBD"/>
    <w:rsid w:val="00833E5A"/>
    <w:rsid w:val="00834F61"/>
    <w:rsid w:val="0083625E"/>
    <w:rsid w:val="00837572"/>
    <w:rsid w:val="008403CC"/>
    <w:rsid w:val="00840DB4"/>
    <w:rsid w:val="0084367D"/>
    <w:rsid w:val="00843DDF"/>
    <w:rsid w:val="008444D2"/>
    <w:rsid w:val="008523A4"/>
    <w:rsid w:val="0085462F"/>
    <w:rsid w:val="00857AA1"/>
    <w:rsid w:val="00861603"/>
    <w:rsid w:val="00863525"/>
    <w:rsid w:val="008656F6"/>
    <w:rsid w:val="008664E7"/>
    <w:rsid w:val="00875538"/>
    <w:rsid w:val="008800EB"/>
    <w:rsid w:val="00881154"/>
    <w:rsid w:val="00881414"/>
    <w:rsid w:val="00883C90"/>
    <w:rsid w:val="00885A9E"/>
    <w:rsid w:val="00893477"/>
    <w:rsid w:val="00897314"/>
    <w:rsid w:val="008A03EA"/>
    <w:rsid w:val="008A4E70"/>
    <w:rsid w:val="008C0A81"/>
    <w:rsid w:val="008C4F4F"/>
    <w:rsid w:val="008C7177"/>
    <w:rsid w:val="008C7F1C"/>
    <w:rsid w:val="008D0C83"/>
    <w:rsid w:val="008D2ECF"/>
    <w:rsid w:val="008D4832"/>
    <w:rsid w:val="008D6221"/>
    <w:rsid w:val="008D7A53"/>
    <w:rsid w:val="008E2987"/>
    <w:rsid w:val="008E3A0A"/>
    <w:rsid w:val="008E55BA"/>
    <w:rsid w:val="008E6582"/>
    <w:rsid w:val="008F385F"/>
    <w:rsid w:val="00903D56"/>
    <w:rsid w:val="009058B4"/>
    <w:rsid w:val="009108B0"/>
    <w:rsid w:val="00910A50"/>
    <w:rsid w:val="00912517"/>
    <w:rsid w:val="009147EE"/>
    <w:rsid w:val="00925001"/>
    <w:rsid w:val="0093120F"/>
    <w:rsid w:val="009337A9"/>
    <w:rsid w:val="00936E80"/>
    <w:rsid w:val="0094057C"/>
    <w:rsid w:val="009425E8"/>
    <w:rsid w:val="00942867"/>
    <w:rsid w:val="009435C0"/>
    <w:rsid w:val="009439E5"/>
    <w:rsid w:val="00943AEF"/>
    <w:rsid w:val="00945586"/>
    <w:rsid w:val="00951AB8"/>
    <w:rsid w:val="00955477"/>
    <w:rsid w:val="009628D7"/>
    <w:rsid w:val="00967EF1"/>
    <w:rsid w:val="009727C5"/>
    <w:rsid w:val="00973A5B"/>
    <w:rsid w:val="00981C20"/>
    <w:rsid w:val="00982F92"/>
    <w:rsid w:val="00983ABE"/>
    <w:rsid w:val="00984307"/>
    <w:rsid w:val="00984947"/>
    <w:rsid w:val="00986298"/>
    <w:rsid w:val="009916BC"/>
    <w:rsid w:val="009925BD"/>
    <w:rsid w:val="00996621"/>
    <w:rsid w:val="009A2F2F"/>
    <w:rsid w:val="009A3716"/>
    <w:rsid w:val="009A4D38"/>
    <w:rsid w:val="009A6AAE"/>
    <w:rsid w:val="009B522D"/>
    <w:rsid w:val="009B5D6E"/>
    <w:rsid w:val="009C0F95"/>
    <w:rsid w:val="009C5C46"/>
    <w:rsid w:val="009D0F56"/>
    <w:rsid w:val="009D75A3"/>
    <w:rsid w:val="009E02DF"/>
    <w:rsid w:val="009E4161"/>
    <w:rsid w:val="00A03117"/>
    <w:rsid w:val="00A0455F"/>
    <w:rsid w:val="00A11FD7"/>
    <w:rsid w:val="00A12F2F"/>
    <w:rsid w:val="00A134D6"/>
    <w:rsid w:val="00A15F8F"/>
    <w:rsid w:val="00A3247D"/>
    <w:rsid w:val="00A325AC"/>
    <w:rsid w:val="00A328D8"/>
    <w:rsid w:val="00A36213"/>
    <w:rsid w:val="00A42D0F"/>
    <w:rsid w:val="00A51D0F"/>
    <w:rsid w:val="00A53425"/>
    <w:rsid w:val="00A54CDB"/>
    <w:rsid w:val="00A579A7"/>
    <w:rsid w:val="00A657EC"/>
    <w:rsid w:val="00A6787D"/>
    <w:rsid w:val="00A757D9"/>
    <w:rsid w:val="00A77FD4"/>
    <w:rsid w:val="00A80797"/>
    <w:rsid w:val="00A83065"/>
    <w:rsid w:val="00A85853"/>
    <w:rsid w:val="00A87616"/>
    <w:rsid w:val="00A901B3"/>
    <w:rsid w:val="00A9151A"/>
    <w:rsid w:val="00AB06B5"/>
    <w:rsid w:val="00AB2FEE"/>
    <w:rsid w:val="00AB768C"/>
    <w:rsid w:val="00AD170E"/>
    <w:rsid w:val="00AD55CF"/>
    <w:rsid w:val="00AF2B08"/>
    <w:rsid w:val="00AF2E10"/>
    <w:rsid w:val="00AF30BC"/>
    <w:rsid w:val="00AF30F5"/>
    <w:rsid w:val="00AF5B19"/>
    <w:rsid w:val="00AF6C82"/>
    <w:rsid w:val="00B02E0C"/>
    <w:rsid w:val="00B042EC"/>
    <w:rsid w:val="00B05769"/>
    <w:rsid w:val="00B0720B"/>
    <w:rsid w:val="00B12F1B"/>
    <w:rsid w:val="00B14F47"/>
    <w:rsid w:val="00B205FF"/>
    <w:rsid w:val="00B2287C"/>
    <w:rsid w:val="00B24E5B"/>
    <w:rsid w:val="00B34D51"/>
    <w:rsid w:val="00B362EF"/>
    <w:rsid w:val="00B378F4"/>
    <w:rsid w:val="00B41480"/>
    <w:rsid w:val="00B42B0E"/>
    <w:rsid w:val="00B478CB"/>
    <w:rsid w:val="00B52BEF"/>
    <w:rsid w:val="00B55DD3"/>
    <w:rsid w:val="00B627B5"/>
    <w:rsid w:val="00B649ED"/>
    <w:rsid w:val="00B66C1C"/>
    <w:rsid w:val="00B70CAC"/>
    <w:rsid w:val="00B719D8"/>
    <w:rsid w:val="00B729C1"/>
    <w:rsid w:val="00B81618"/>
    <w:rsid w:val="00B829AA"/>
    <w:rsid w:val="00B86EC6"/>
    <w:rsid w:val="00BA01E0"/>
    <w:rsid w:val="00BA0914"/>
    <w:rsid w:val="00BA3BF7"/>
    <w:rsid w:val="00BA68D1"/>
    <w:rsid w:val="00BB2374"/>
    <w:rsid w:val="00BB353D"/>
    <w:rsid w:val="00BB47BA"/>
    <w:rsid w:val="00BB7C32"/>
    <w:rsid w:val="00BC0024"/>
    <w:rsid w:val="00BC026A"/>
    <w:rsid w:val="00BC555D"/>
    <w:rsid w:val="00BD0FA3"/>
    <w:rsid w:val="00BD3A84"/>
    <w:rsid w:val="00BE283A"/>
    <w:rsid w:val="00BE3309"/>
    <w:rsid w:val="00BE3914"/>
    <w:rsid w:val="00BF5242"/>
    <w:rsid w:val="00BF676D"/>
    <w:rsid w:val="00C01DF3"/>
    <w:rsid w:val="00C10D96"/>
    <w:rsid w:val="00C148F6"/>
    <w:rsid w:val="00C1632B"/>
    <w:rsid w:val="00C1765F"/>
    <w:rsid w:val="00C21390"/>
    <w:rsid w:val="00C23D87"/>
    <w:rsid w:val="00C26B78"/>
    <w:rsid w:val="00C27CBC"/>
    <w:rsid w:val="00C52ADF"/>
    <w:rsid w:val="00C66F8F"/>
    <w:rsid w:val="00C6752D"/>
    <w:rsid w:val="00C67BA5"/>
    <w:rsid w:val="00C67F4B"/>
    <w:rsid w:val="00C73988"/>
    <w:rsid w:val="00C7628B"/>
    <w:rsid w:val="00C769F7"/>
    <w:rsid w:val="00C81741"/>
    <w:rsid w:val="00C83CB4"/>
    <w:rsid w:val="00C930A8"/>
    <w:rsid w:val="00CA218A"/>
    <w:rsid w:val="00CA69B0"/>
    <w:rsid w:val="00CB419C"/>
    <w:rsid w:val="00CB65BE"/>
    <w:rsid w:val="00CB67F6"/>
    <w:rsid w:val="00CB6B90"/>
    <w:rsid w:val="00CC62D8"/>
    <w:rsid w:val="00CC7C11"/>
    <w:rsid w:val="00CD14B1"/>
    <w:rsid w:val="00CD31D2"/>
    <w:rsid w:val="00CD3599"/>
    <w:rsid w:val="00CD3C65"/>
    <w:rsid w:val="00CD6683"/>
    <w:rsid w:val="00CE1473"/>
    <w:rsid w:val="00CE2AE6"/>
    <w:rsid w:val="00CE3737"/>
    <w:rsid w:val="00CF26AE"/>
    <w:rsid w:val="00CF48D7"/>
    <w:rsid w:val="00CF6E62"/>
    <w:rsid w:val="00D21C52"/>
    <w:rsid w:val="00D222DC"/>
    <w:rsid w:val="00D22693"/>
    <w:rsid w:val="00D231CE"/>
    <w:rsid w:val="00D354A5"/>
    <w:rsid w:val="00D433CD"/>
    <w:rsid w:val="00D4521F"/>
    <w:rsid w:val="00D461DE"/>
    <w:rsid w:val="00D46246"/>
    <w:rsid w:val="00D46E90"/>
    <w:rsid w:val="00D4712E"/>
    <w:rsid w:val="00D4713D"/>
    <w:rsid w:val="00D53F93"/>
    <w:rsid w:val="00D56A81"/>
    <w:rsid w:val="00D60638"/>
    <w:rsid w:val="00D6113B"/>
    <w:rsid w:val="00D65E66"/>
    <w:rsid w:val="00D741AC"/>
    <w:rsid w:val="00D75A7A"/>
    <w:rsid w:val="00D76234"/>
    <w:rsid w:val="00D815CA"/>
    <w:rsid w:val="00D81AFF"/>
    <w:rsid w:val="00D86411"/>
    <w:rsid w:val="00D8670C"/>
    <w:rsid w:val="00D90F50"/>
    <w:rsid w:val="00D9316B"/>
    <w:rsid w:val="00DA3493"/>
    <w:rsid w:val="00DA6D6B"/>
    <w:rsid w:val="00DB03AA"/>
    <w:rsid w:val="00DB3B10"/>
    <w:rsid w:val="00DC0284"/>
    <w:rsid w:val="00DC067E"/>
    <w:rsid w:val="00DC29BA"/>
    <w:rsid w:val="00DC4DA5"/>
    <w:rsid w:val="00DC5E96"/>
    <w:rsid w:val="00DD7419"/>
    <w:rsid w:val="00DE0078"/>
    <w:rsid w:val="00DE112D"/>
    <w:rsid w:val="00DE4E46"/>
    <w:rsid w:val="00DE5CD7"/>
    <w:rsid w:val="00DF0229"/>
    <w:rsid w:val="00DF1A6B"/>
    <w:rsid w:val="00DF4295"/>
    <w:rsid w:val="00DF5828"/>
    <w:rsid w:val="00DF7098"/>
    <w:rsid w:val="00E018BF"/>
    <w:rsid w:val="00E01B12"/>
    <w:rsid w:val="00E033C2"/>
    <w:rsid w:val="00E07973"/>
    <w:rsid w:val="00E133C1"/>
    <w:rsid w:val="00E22F6D"/>
    <w:rsid w:val="00E30925"/>
    <w:rsid w:val="00E32B7F"/>
    <w:rsid w:val="00E36144"/>
    <w:rsid w:val="00E37805"/>
    <w:rsid w:val="00E402ED"/>
    <w:rsid w:val="00E452AD"/>
    <w:rsid w:val="00E4550C"/>
    <w:rsid w:val="00E4580A"/>
    <w:rsid w:val="00E62A59"/>
    <w:rsid w:val="00E671EF"/>
    <w:rsid w:val="00E71A62"/>
    <w:rsid w:val="00E71DA5"/>
    <w:rsid w:val="00E728F4"/>
    <w:rsid w:val="00E74F57"/>
    <w:rsid w:val="00E77774"/>
    <w:rsid w:val="00E81C1E"/>
    <w:rsid w:val="00E831F7"/>
    <w:rsid w:val="00E87318"/>
    <w:rsid w:val="00E92120"/>
    <w:rsid w:val="00E92EFF"/>
    <w:rsid w:val="00E94408"/>
    <w:rsid w:val="00E94D11"/>
    <w:rsid w:val="00E94E57"/>
    <w:rsid w:val="00E95B8D"/>
    <w:rsid w:val="00EA0C3E"/>
    <w:rsid w:val="00EA181D"/>
    <w:rsid w:val="00EB4239"/>
    <w:rsid w:val="00EB5E45"/>
    <w:rsid w:val="00EC2DE2"/>
    <w:rsid w:val="00EC3A6F"/>
    <w:rsid w:val="00EC6C55"/>
    <w:rsid w:val="00ED024D"/>
    <w:rsid w:val="00ED14C2"/>
    <w:rsid w:val="00ED2E83"/>
    <w:rsid w:val="00ED3933"/>
    <w:rsid w:val="00ED3E97"/>
    <w:rsid w:val="00EE7DA6"/>
    <w:rsid w:val="00EF318B"/>
    <w:rsid w:val="00F0475F"/>
    <w:rsid w:val="00F105B1"/>
    <w:rsid w:val="00F11FDC"/>
    <w:rsid w:val="00F12D03"/>
    <w:rsid w:val="00F153D7"/>
    <w:rsid w:val="00F17025"/>
    <w:rsid w:val="00F172DD"/>
    <w:rsid w:val="00F2493B"/>
    <w:rsid w:val="00F25B1C"/>
    <w:rsid w:val="00F2607D"/>
    <w:rsid w:val="00F27DE4"/>
    <w:rsid w:val="00F3266C"/>
    <w:rsid w:val="00F3335C"/>
    <w:rsid w:val="00F33E3A"/>
    <w:rsid w:val="00F40B91"/>
    <w:rsid w:val="00F423F4"/>
    <w:rsid w:val="00F43E01"/>
    <w:rsid w:val="00F458C5"/>
    <w:rsid w:val="00F53005"/>
    <w:rsid w:val="00F549FA"/>
    <w:rsid w:val="00F60931"/>
    <w:rsid w:val="00F638B2"/>
    <w:rsid w:val="00F63AF9"/>
    <w:rsid w:val="00F70BC3"/>
    <w:rsid w:val="00F71B39"/>
    <w:rsid w:val="00F74D6D"/>
    <w:rsid w:val="00F80640"/>
    <w:rsid w:val="00F811F4"/>
    <w:rsid w:val="00F872AC"/>
    <w:rsid w:val="00F87645"/>
    <w:rsid w:val="00F9051F"/>
    <w:rsid w:val="00F910CA"/>
    <w:rsid w:val="00F91916"/>
    <w:rsid w:val="00F95CA3"/>
    <w:rsid w:val="00FA17CF"/>
    <w:rsid w:val="00FA477D"/>
    <w:rsid w:val="00FA4E46"/>
    <w:rsid w:val="00FB3B17"/>
    <w:rsid w:val="00FB49F4"/>
    <w:rsid w:val="00FB60B9"/>
    <w:rsid w:val="00FC1E8D"/>
    <w:rsid w:val="00FC2F46"/>
    <w:rsid w:val="00FC33B0"/>
    <w:rsid w:val="00FC6618"/>
    <w:rsid w:val="00FD0721"/>
    <w:rsid w:val="00FE32CA"/>
    <w:rsid w:val="00FE79C9"/>
    <w:rsid w:val="00FF0779"/>
    <w:rsid w:val="00FF3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79661-203A-4280-ADF3-EFD88782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0914"/>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7F18E1"/>
    <w:pPr>
      <w:keepNext/>
      <w:keepLines/>
      <w:numPr>
        <w:numId w:val="4"/>
      </w:numPr>
      <w:spacing w:before="240" w:after="240" w:line="276" w:lineRule="auto"/>
      <w:ind w:hanging="36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7F18E1"/>
    <w:pPr>
      <w:keepNext/>
      <w:keepLines/>
      <w:tabs>
        <w:tab w:val="num" w:pos="720"/>
      </w:tabs>
      <w:spacing w:before="240" w:after="240" w:line="276" w:lineRule="auto"/>
      <w:ind w:left="720" w:hanging="360"/>
      <w:outlineLvl w:val="1"/>
    </w:pPr>
    <w:rPr>
      <w:rFonts w:eastAsiaTheme="majorEastAsia" w:cstheme="majorBidi"/>
      <w:b/>
      <w:color w:val="000000" w:themeColor="text1"/>
      <w:szCs w:val="26"/>
    </w:rPr>
  </w:style>
  <w:style w:type="paragraph" w:styleId="Heading4">
    <w:name w:val="heading 4"/>
    <w:basedOn w:val="Normal"/>
    <w:next w:val="Normal"/>
    <w:link w:val="Heading4Char"/>
    <w:uiPriority w:val="9"/>
    <w:unhideWhenUsed/>
    <w:qFormat/>
    <w:rsid w:val="009A4D3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A4D38"/>
    <w:pPr>
      <w:keepNext/>
      <w:keepLines/>
      <w:spacing w:before="200" w:line="276" w:lineRule="auto"/>
      <w:outlineLvl w:val="4"/>
    </w:pPr>
    <w:rPr>
      <w:rFonts w:asciiTheme="majorHAnsi" w:eastAsiaTheme="majorEastAsia" w:hAnsiTheme="majorHAnsi" w:cstheme="majorBidi"/>
      <w:color w:val="1F4D78" w:themeColor="accent1" w:themeShade="7F"/>
      <w:sz w:val="22"/>
    </w:rPr>
  </w:style>
  <w:style w:type="paragraph" w:styleId="Heading6">
    <w:name w:val="heading 6"/>
    <w:basedOn w:val="Normal"/>
    <w:next w:val="Normal"/>
    <w:link w:val="Heading6Char"/>
    <w:uiPriority w:val="9"/>
    <w:semiHidden/>
    <w:unhideWhenUsed/>
    <w:qFormat/>
    <w:rsid w:val="009A4D38"/>
    <w:pPr>
      <w:keepNext/>
      <w:keepLines/>
      <w:spacing w:before="200" w:line="276" w:lineRule="auto"/>
      <w:outlineLvl w:val="5"/>
    </w:pPr>
    <w:rPr>
      <w:rFonts w:asciiTheme="majorHAnsi" w:eastAsiaTheme="majorEastAsia" w:hAnsiTheme="majorHAnsi" w:cstheme="majorBidi"/>
      <w:i/>
      <w:iCs/>
      <w:color w:val="1F4D78" w:themeColor="accent1" w:themeShade="7F"/>
      <w:sz w:val="22"/>
    </w:rPr>
  </w:style>
  <w:style w:type="paragraph" w:styleId="Heading7">
    <w:name w:val="heading 7"/>
    <w:basedOn w:val="Normal"/>
    <w:next w:val="Normal"/>
    <w:link w:val="Heading7Char"/>
    <w:uiPriority w:val="9"/>
    <w:semiHidden/>
    <w:unhideWhenUsed/>
    <w:qFormat/>
    <w:rsid w:val="009A4D38"/>
    <w:pPr>
      <w:keepNext/>
      <w:keepLines/>
      <w:spacing w:before="200" w:line="276" w:lineRule="auto"/>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9A4D38"/>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4D38"/>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8E1"/>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7F18E1"/>
    <w:rPr>
      <w:rFonts w:ascii="Times New Roman" w:eastAsiaTheme="majorEastAsia" w:hAnsi="Times New Roman" w:cstheme="majorBidi"/>
      <w:b/>
      <w:color w:val="000000" w:themeColor="text1"/>
      <w:sz w:val="24"/>
      <w:szCs w:val="26"/>
    </w:rPr>
  </w:style>
  <w:style w:type="paragraph" w:styleId="NoSpacing">
    <w:name w:val="No Spacing"/>
    <w:link w:val="NoSpacingChar"/>
    <w:uiPriority w:val="1"/>
    <w:qFormat/>
    <w:rsid w:val="009A2F2F"/>
    <w:pPr>
      <w:spacing w:after="0" w:line="240" w:lineRule="auto"/>
    </w:pPr>
  </w:style>
  <w:style w:type="paragraph" w:styleId="FootnoteText">
    <w:name w:val="footnote text"/>
    <w:basedOn w:val="Normal"/>
    <w:link w:val="FootnoteTextChar"/>
    <w:uiPriority w:val="99"/>
    <w:unhideWhenUsed/>
    <w:rsid w:val="005A374E"/>
    <w:rPr>
      <w:sz w:val="20"/>
      <w:szCs w:val="20"/>
    </w:rPr>
  </w:style>
  <w:style w:type="character" w:customStyle="1" w:styleId="FootnoteTextChar">
    <w:name w:val="Footnote Text Char"/>
    <w:basedOn w:val="DefaultParagraphFont"/>
    <w:link w:val="FootnoteText"/>
    <w:uiPriority w:val="99"/>
    <w:rsid w:val="005A374E"/>
    <w:rPr>
      <w:sz w:val="20"/>
      <w:szCs w:val="20"/>
    </w:rPr>
  </w:style>
  <w:style w:type="character" w:styleId="FootnoteReference">
    <w:name w:val="footnote reference"/>
    <w:basedOn w:val="DefaultParagraphFont"/>
    <w:uiPriority w:val="99"/>
    <w:semiHidden/>
    <w:unhideWhenUsed/>
    <w:rsid w:val="005A374E"/>
    <w:rPr>
      <w:vertAlign w:val="superscript"/>
    </w:rPr>
  </w:style>
  <w:style w:type="paragraph" w:styleId="EndnoteText">
    <w:name w:val="endnote text"/>
    <w:basedOn w:val="Normal"/>
    <w:link w:val="EndnoteTextChar"/>
    <w:uiPriority w:val="99"/>
    <w:semiHidden/>
    <w:unhideWhenUsed/>
    <w:rsid w:val="005A374E"/>
    <w:rPr>
      <w:sz w:val="20"/>
      <w:szCs w:val="20"/>
    </w:rPr>
  </w:style>
  <w:style w:type="character" w:customStyle="1" w:styleId="EndnoteTextChar">
    <w:name w:val="Endnote Text Char"/>
    <w:basedOn w:val="DefaultParagraphFont"/>
    <w:link w:val="EndnoteText"/>
    <w:uiPriority w:val="99"/>
    <w:semiHidden/>
    <w:rsid w:val="005A374E"/>
    <w:rPr>
      <w:sz w:val="20"/>
      <w:szCs w:val="20"/>
    </w:rPr>
  </w:style>
  <w:style w:type="character" w:styleId="EndnoteReference">
    <w:name w:val="endnote reference"/>
    <w:basedOn w:val="DefaultParagraphFont"/>
    <w:uiPriority w:val="99"/>
    <w:semiHidden/>
    <w:unhideWhenUsed/>
    <w:rsid w:val="005A374E"/>
    <w:rPr>
      <w:vertAlign w:val="superscript"/>
    </w:rPr>
  </w:style>
  <w:style w:type="character" w:styleId="Hyperlink">
    <w:name w:val="Hyperlink"/>
    <w:basedOn w:val="DefaultParagraphFont"/>
    <w:semiHidden/>
    <w:rsid w:val="005C10CA"/>
    <w:rPr>
      <w:color w:val="0000FF"/>
      <w:u w:val="single"/>
    </w:rPr>
  </w:style>
  <w:style w:type="paragraph" w:customStyle="1" w:styleId="EndNoteBibliographyTitle">
    <w:name w:val="EndNote Bibliography Title"/>
    <w:basedOn w:val="Normal"/>
    <w:link w:val="EndNoteBibliographyTitleChar"/>
    <w:rsid w:val="005F60A5"/>
    <w:pPr>
      <w:jc w:val="center"/>
    </w:pPr>
    <w:rPr>
      <w:rFonts w:ascii="Calibri" w:hAnsi="Calibri"/>
      <w:noProof/>
      <w:sz w:val="22"/>
    </w:rPr>
  </w:style>
  <w:style w:type="character" w:customStyle="1" w:styleId="EndNoteBibliographyTitleChar">
    <w:name w:val="EndNote Bibliography Title Char"/>
    <w:basedOn w:val="DefaultParagraphFont"/>
    <w:link w:val="EndNoteBibliographyTitle"/>
    <w:rsid w:val="005F60A5"/>
    <w:rPr>
      <w:rFonts w:ascii="Calibri" w:hAnsi="Calibri"/>
      <w:noProof/>
    </w:rPr>
  </w:style>
  <w:style w:type="paragraph" w:customStyle="1" w:styleId="EndNoteBibliography">
    <w:name w:val="EndNote Bibliography"/>
    <w:basedOn w:val="Normal"/>
    <w:link w:val="EndNoteBibliographyChar"/>
    <w:rsid w:val="005F60A5"/>
    <w:rPr>
      <w:rFonts w:ascii="Calibri" w:hAnsi="Calibri"/>
      <w:noProof/>
      <w:sz w:val="22"/>
    </w:rPr>
  </w:style>
  <w:style w:type="character" w:customStyle="1" w:styleId="EndNoteBibliographyChar">
    <w:name w:val="EndNote Bibliography Char"/>
    <w:basedOn w:val="DefaultParagraphFont"/>
    <w:link w:val="EndNoteBibliography"/>
    <w:rsid w:val="005F60A5"/>
    <w:rPr>
      <w:rFonts w:ascii="Calibri" w:hAnsi="Calibri"/>
      <w:noProof/>
    </w:rPr>
  </w:style>
  <w:style w:type="character" w:customStyle="1" w:styleId="greek">
    <w:name w:val="greek"/>
    <w:basedOn w:val="DefaultParagraphFont"/>
    <w:rsid w:val="005F60A5"/>
  </w:style>
  <w:style w:type="character" w:customStyle="1" w:styleId="NoSpacingChar">
    <w:name w:val="No Spacing Char"/>
    <w:basedOn w:val="DefaultParagraphFont"/>
    <w:link w:val="NoSpacing"/>
    <w:uiPriority w:val="1"/>
    <w:rsid w:val="005F60A5"/>
  </w:style>
  <w:style w:type="character" w:customStyle="1" w:styleId="Heading4Char">
    <w:name w:val="Heading 4 Char"/>
    <w:basedOn w:val="DefaultParagraphFont"/>
    <w:link w:val="Heading4"/>
    <w:uiPriority w:val="9"/>
    <w:semiHidden/>
    <w:rsid w:val="009A4D38"/>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9A4D38"/>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9A4D38"/>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A4D3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4D3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4D38"/>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20"/>
    <w:qFormat/>
    <w:rsid w:val="009628D7"/>
    <w:rPr>
      <w:i/>
      <w:iCs/>
    </w:rPr>
  </w:style>
  <w:style w:type="paragraph" w:styleId="Header">
    <w:name w:val="header"/>
    <w:basedOn w:val="Normal"/>
    <w:link w:val="HeaderChar"/>
    <w:uiPriority w:val="99"/>
    <w:unhideWhenUsed/>
    <w:rsid w:val="005E3864"/>
    <w:pPr>
      <w:tabs>
        <w:tab w:val="center" w:pos="4680"/>
        <w:tab w:val="right" w:pos="9360"/>
      </w:tabs>
    </w:pPr>
  </w:style>
  <w:style w:type="character" w:customStyle="1" w:styleId="HeaderChar">
    <w:name w:val="Header Char"/>
    <w:basedOn w:val="DefaultParagraphFont"/>
    <w:link w:val="Header"/>
    <w:uiPriority w:val="99"/>
    <w:rsid w:val="005E3864"/>
    <w:rPr>
      <w:rFonts w:ascii="Times New Roman" w:hAnsi="Times New Roman"/>
      <w:sz w:val="24"/>
    </w:rPr>
  </w:style>
  <w:style w:type="paragraph" w:styleId="Footer">
    <w:name w:val="footer"/>
    <w:basedOn w:val="Normal"/>
    <w:link w:val="FooterChar"/>
    <w:uiPriority w:val="99"/>
    <w:unhideWhenUsed/>
    <w:rsid w:val="005E3864"/>
    <w:pPr>
      <w:tabs>
        <w:tab w:val="center" w:pos="4680"/>
        <w:tab w:val="right" w:pos="9360"/>
      </w:tabs>
    </w:pPr>
  </w:style>
  <w:style w:type="character" w:customStyle="1" w:styleId="FooterChar">
    <w:name w:val="Footer Char"/>
    <w:basedOn w:val="DefaultParagraphFont"/>
    <w:link w:val="Footer"/>
    <w:uiPriority w:val="99"/>
    <w:rsid w:val="005E386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1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iep.utm.edu/xenoph/" TargetMode="External"/><Relationship Id="rId1" Type="http://schemas.openxmlformats.org/officeDocument/2006/relationships/hyperlink" Target="mailto:jeremydelong@sbcglob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202A48B-EAF4-4982-A167-9D4ED2D8D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4042</Words>
  <Characters>23043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DeLong</dc:creator>
  <cp:keywords/>
  <dc:description/>
  <cp:lastModifiedBy>Jeremy DeLong</cp:lastModifiedBy>
  <cp:revision>3</cp:revision>
  <dcterms:created xsi:type="dcterms:W3CDTF">2018-02-16T01:14:00Z</dcterms:created>
  <dcterms:modified xsi:type="dcterms:W3CDTF">2018-02-16T01:15:00Z</dcterms:modified>
</cp:coreProperties>
</file>