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0198B" w14:textId="77777777" w:rsidR="00AB1F4E" w:rsidRDefault="00AB1F4E" w:rsidP="00AB1F4E">
      <w:pPr>
        <w:pStyle w:val="Titre2"/>
        <w:numPr>
          <w:ilvl w:val="0"/>
          <w:numId w:val="0"/>
        </w:numPr>
        <w:rPr>
          <w:rFonts w:cs="Times New Roman"/>
          <w:lang w:val="en-GB"/>
        </w:rPr>
      </w:pPr>
      <w:bookmarkStart w:id="0" w:name="_Ref35383227"/>
      <w:bookmarkStart w:id="1" w:name="_Ref37580863"/>
      <w:bookmarkStart w:id="2" w:name="_Toc37760730"/>
      <w:bookmarkStart w:id="3" w:name="_Toc41635614"/>
    </w:p>
    <w:p w14:paraId="35E09F98" w14:textId="77777777" w:rsidR="00AB1F4E" w:rsidRDefault="00AB1F4E" w:rsidP="00AB1F4E">
      <w:pPr>
        <w:pStyle w:val="Titre2"/>
        <w:numPr>
          <w:ilvl w:val="0"/>
          <w:numId w:val="0"/>
        </w:numPr>
        <w:rPr>
          <w:rFonts w:cs="Times New Roman"/>
          <w:lang w:val="en-GB"/>
        </w:rPr>
      </w:pPr>
    </w:p>
    <w:p w14:paraId="0557699C" w14:textId="77777777" w:rsidR="00AB1F4E" w:rsidRDefault="00AB1F4E" w:rsidP="00AB1F4E">
      <w:pPr>
        <w:pStyle w:val="Titre2"/>
        <w:numPr>
          <w:ilvl w:val="0"/>
          <w:numId w:val="0"/>
        </w:numPr>
        <w:spacing w:line="276" w:lineRule="auto"/>
        <w:rPr>
          <w:rFonts w:cs="Times New Roman"/>
          <w:sz w:val="40"/>
          <w:szCs w:val="40"/>
          <w:lang w:val="en-GB"/>
        </w:rPr>
      </w:pPr>
      <w:r w:rsidRPr="00AB1F4E">
        <w:rPr>
          <w:rFonts w:cs="Times New Roman"/>
          <w:sz w:val="40"/>
          <w:szCs w:val="40"/>
          <w:lang w:val="en-GB"/>
        </w:rPr>
        <w:t>Misleading Expressions</w:t>
      </w:r>
      <w:bookmarkEnd w:id="0"/>
      <w:r w:rsidRPr="00AB1F4E">
        <w:rPr>
          <w:rFonts w:cs="Times New Roman"/>
          <w:sz w:val="40"/>
          <w:szCs w:val="40"/>
          <w:lang w:val="en-GB"/>
        </w:rPr>
        <w:t xml:space="preserve">: </w:t>
      </w:r>
    </w:p>
    <w:p w14:paraId="057B328F" w14:textId="77777777" w:rsidR="00AB1F4E" w:rsidRPr="00AB1F4E" w:rsidRDefault="00AB1F4E" w:rsidP="00AB1F4E">
      <w:pPr>
        <w:pStyle w:val="Titre2"/>
        <w:numPr>
          <w:ilvl w:val="0"/>
          <w:numId w:val="0"/>
        </w:numPr>
        <w:rPr>
          <w:rFonts w:cs="Times New Roman"/>
          <w:sz w:val="40"/>
          <w:szCs w:val="40"/>
          <w:lang w:val="en-GB"/>
        </w:rPr>
      </w:pPr>
      <w:r w:rsidRPr="00AB1F4E">
        <w:rPr>
          <w:rFonts w:cs="Times New Roman"/>
          <w:sz w:val="40"/>
          <w:szCs w:val="40"/>
          <w:lang w:val="en-GB"/>
        </w:rPr>
        <w:t>The Brentano-Ryle Connection</w:t>
      </w:r>
      <w:bookmarkEnd w:id="1"/>
      <w:bookmarkEnd w:id="2"/>
      <w:bookmarkEnd w:id="3"/>
    </w:p>
    <w:p w14:paraId="624F43DB" w14:textId="77777777" w:rsidR="00AB1F4E" w:rsidRPr="008603AC" w:rsidRDefault="00AB1F4E" w:rsidP="00AB1F4E">
      <w:pPr>
        <w:spacing w:after="120"/>
        <w:ind w:left="284" w:hanging="284"/>
        <w:jc w:val="center"/>
        <w:rPr>
          <w:rFonts w:cs="Times New Roman"/>
          <w:szCs w:val="24"/>
          <w:lang w:val="en-GB"/>
        </w:rPr>
      </w:pPr>
      <w:r w:rsidRPr="008603AC">
        <w:rPr>
          <w:rFonts w:cs="Times New Roman"/>
          <w:szCs w:val="24"/>
          <w:lang w:val="en-GB"/>
        </w:rPr>
        <w:t>Arnaud Dewalque</w:t>
      </w:r>
    </w:p>
    <w:p w14:paraId="15EB1356" w14:textId="77777777" w:rsidR="00AB1F4E" w:rsidRDefault="00AB1F4E" w:rsidP="00AB1F4E">
      <w:pPr>
        <w:ind w:firstLine="0"/>
        <w:rPr>
          <w:rFonts w:cs="Times New Roman"/>
          <w:lang w:val="en-GB"/>
        </w:rPr>
      </w:pPr>
    </w:p>
    <w:p w14:paraId="7651777F" w14:textId="77777777" w:rsidR="00AB1F4E" w:rsidRPr="00AB1F4E" w:rsidRDefault="00AB1F4E" w:rsidP="00AB1F4E">
      <w:pPr>
        <w:spacing w:line="360" w:lineRule="auto"/>
        <w:ind w:firstLine="0"/>
        <w:jc w:val="left"/>
        <w:rPr>
          <w:rFonts w:cs="Times New Roman"/>
          <w:sz w:val="20"/>
          <w:szCs w:val="20"/>
          <w:lang w:val="en-GB"/>
        </w:rPr>
      </w:pPr>
      <w:r w:rsidRPr="00AB1F4E">
        <w:rPr>
          <w:rFonts w:cs="Times New Roman"/>
          <w:b/>
          <w:sz w:val="20"/>
          <w:szCs w:val="20"/>
          <w:lang w:val="en-GB"/>
        </w:rPr>
        <w:t>Abstract</w:t>
      </w:r>
      <w:r w:rsidRPr="00AB1F4E">
        <w:rPr>
          <w:rFonts w:cs="Times New Roman"/>
          <w:sz w:val="20"/>
          <w:szCs w:val="20"/>
          <w:lang w:val="en-GB"/>
        </w:rPr>
        <w:t xml:space="preserve">. This chapter argues that Gilbert Ryle’s account of misleading expressions, which is rightly considered a milestone in the history of analytic philosophy, is continuous with Brentano’s. Not only did they identify roughly the same classes of misleading expressions, but their analyses are driven by a form of ontological parsimony which sharply contrasts with rival views in the Brentano School, like those of Meinong and Husserl. Section 1 suggests that Ryle and Brentano share a similar notion of analysis. Section 2 spells out the notion of misleading expression by means of the surface-grammar/truth-conditions distinction, which I argue is implicit in their accounts. Section 3 zooms in on a specific class of misleading expressions, namely expressions about </w:t>
      </w:r>
      <w:r w:rsidRPr="00AB1F4E">
        <w:rPr>
          <w:rFonts w:cs="Times New Roman"/>
          <w:i/>
          <w:sz w:val="20"/>
          <w:szCs w:val="20"/>
          <w:lang w:val="en-GB"/>
        </w:rPr>
        <w:t>ficta</w:t>
      </w:r>
      <w:r w:rsidRPr="00AB1F4E">
        <w:rPr>
          <w:rFonts w:cs="Times New Roman"/>
          <w:sz w:val="20"/>
          <w:szCs w:val="20"/>
          <w:lang w:val="en-GB"/>
        </w:rPr>
        <w:t>. Finally, Section 4 draws the consequences of what precedes for a correct understanding of the notion of meaning.</w:t>
      </w:r>
    </w:p>
    <w:p w14:paraId="2E623840" w14:textId="77777777" w:rsidR="00AB1F4E" w:rsidRDefault="00AB1F4E" w:rsidP="00AB1F4E">
      <w:pPr>
        <w:ind w:firstLine="0"/>
        <w:jc w:val="left"/>
        <w:rPr>
          <w:rFonts w:cs="Times New Roman"/>
          <w:lang w:val="en-GB"/>
        </w:rPr>
      </w:pPr>
    </w:p>
    <w:p w14:paraId="0914C57F" w14:textId="77777777" w:rsidR="00AB1F4E" w:rsidRPr="008603AC" w:rsidRDefault="00AB1F4E" w:rsidP="00AB1F4E">
      <w:pPr>
        <w:ind w:firstLine="0"/>
        <w:jc w:val="left"/>
        <w:rPr>
          <w:rFonts w:cs="Times New Roman"/>
          <w:lang w:val="en-GB"/>
        </w:rPr>
      </w:pPr>
      <w:r w:rsidRPr="008603AC">
        <w:rPr>
          <w:rFonts w:cs="Times New Roman"/>
          <w:lang w:val="en-GB"/>
        </w:rPr>
        <w:t xml:space="preserve">Some linguistic expressions are misleading in the sense that they look as if they are about something while they actually are about something </w:t>
      </w:r>
      <w:r w:rsidRPr="008603AC">
        <w:rPr>
          <w:rFonts w:cs="Times New Roman"/>
          <w:i/>
          <w:lang w:val="en-GB"/>
        </w:rPr>
        <w:t>else</w:t>
      </w:r>
      <w:r w:rsidRPr="008603AC">
        <w:rPr>
          <w:rFonts w:cs="Times New Roman"/>
          <w:lang w:val="en-GB"/>
        </w:rPr>
        <w:t xml:space="preserve">. In this chapter I argue </w:t>
      </w:r>
      <w:r w:rsidRPr="008603AC">
        <w:rPr>
          <w:rFonts w:cs="Times New Roman"/>
          <w:szCs w:val="24"/>
          <w:lang w:val="en-GB"/>
        </w:rPr>
        <w:t xml:space="preserve">that Gilbert Ryle’s account of misleading expressions, which is rightly considered a milestone in the history of analytic philosophy, is continuous with Brentano’s critique of language. </w:t>
      </w:r>
      <w:r w:rsidRPr="008603AC">
        <w:rPr>
          <w:rFonts w:cs="Times New Roman"/>
          <w:lang w:val="en-GB"/>
        </w:rPr>
        <w:t>Not only did they identify roughly the same classes of misleading expressions, but their analyses are driven by a form of ontological parsimony which sharply contrasts with rival views in the Brentano School, like those of Meinong and Husserl. It is true that Brentano’s account, unlike Ryle’s, is put in terms of underlying mental phenomena. However, this difference, I submit, is mainly terminological and does not reflect any substantial disagreement.</w:t>
      </w:r>
    </w:p>
    <w:p w14:paraId="7CE94F3B" w14:textId="77777777" w:rsidR="00AB1F4E" w:rsidRPr="008603AC" w:rsidRDefault="00AB1F4E" w:rsidP="00AB1F4E">
      <w:pPr>
        <w:jc w:val="left"/>
        <w:rPr>
          <w:rFonts w:cs="Times New Roman"/>
          <w:lang w:val="en-GB"/>
        </w:rPr>
      </w:pPr>
      <w:r w:rsidRPr="008603AC">
        <w:rPr>
          <w:rFonts w:cs="Times New Roman"/>
          <w:lang w:val="en-GB"/>
        </w:rPr>
        <w:lastRenderedPageBreak/>
        <w:t>The chapter has four sections. Section 1 (‘Analysis’) suggests that Ryle and Brentano share a similar notion of analysis as paraphrase of misleading expressions. Section 2 (‘Two Senses of “About”’) spells out the notion of misleading expression by means of the surface-grammar/truth-conditions distinction, which I argue is implicit in their accounts. Section 3 (‘</w:t>
      </w:r>
      <w:r w:rsidRPr="008603AC">
        <w:rPr>
          <w:rFonts w:cs="Times New Roman"/>
          <w:i/>
          <w:lang w:val="la-Latn"/>
        </w:rPr>
        <w:t>Ficta</w:t>
      </w:r>
      <w:r w:rsidRPr="008603AC">
        <w:rPr>
          <w:rFonts w:cs="Times New Roman"/>
          <w:lang w:val="en-GB"/>
        </w:rPr>
        <w:t xml:space="preserve">’) zooms in on a specific class of misleading expressions, namely expressions about </w:t>
      </w:r>
      <w:r w:rsidRPr="008603AC">
        <w:rPr>
          <w:rFonts w:cs="Times New Roman"/>
          <w:i/>
          <w:lang w:val="la-Latn"/>
        </w:rPr>
        <w:t>ficta</w:t>
      </w:r>
      <w:r w:rsidRPr="008603AC">
        <w:rPr>
          <w:rFonts w:cs="Times New Roman"/>
          <w:lang w:val="en-GB"/>
        </w:rPr>
        <w:t>. Finally, Section 4 (‘A Moral About the Meaning of “Meaning”’) draws the consequences of what precedes for a correct understanding of the notion of meaning.</w:t>
      </w:r>
    </w:p>
    <w:p w14:paraId="1D91902F" w14:textId="77777777" w:rsidR="00AB1F4E" w:rsidRPr="00AB1F4E" w:rsidRDefault="00AB1F4E" w:rsidP="00AB1F4E">
      <w:pPr>
        <w:pStyle w:val="Titre3"/>
        <w:jc w:val="left"/>
        <w:rPr>
          <w:rFonts w:cs="Times New Roman"/>
          <w:b/>
          <w:lang w:val="en-GB"/>
        </w:rPr>
      </w:pPr>
      <w:bookmarkStart w:id="4" w:name="_Toc41635615"/>
      <w:r w:rsidRPr="00AB1F4E">
        <w:rPr>
          <w:rFonts w:cs="Times New Roman"/>
          <w:b/>
          <w:lang w:val="en-GB"/>
        </w:rPr>
        <w:t>Analysis</w:t>
      </w:r>
      <w:bookmarkEnd w:id="4"/>
    </w:p>
    <w:p w14:paraId="74551763" w14:textId="77777777" w:rsidR="00AB1F4E" w:rsidRPr="008603AC" w:rsidRDefault="00AB1F4E" w:rsidP="00AB1F4E">
      <w:pPr>
        <w:ind w:firstLine="0"/>
        <w:jc w:val="left"/>
        <w:rPr>
          <w:rFonts w:cs="Times New Roman"/>
          <w:lang w:val="en-GB"/>
        </w:rPr>
      </w:pPr>
      <w:r w:rsidRPr="008603AC">
        <w:rPr>
          <w:rFonts w:cs="Times New Roman"/>
          <w:lang w:val="en-GB"/>
        </w:rPr>
        <w:t xml:space="preserve">In this section I suggest that Ryle and Brentano share a similar view of analysis. On this view, the latter is best understood as a type of paraphrase which prevents professional philosophers of being </w:t>
      </w:r>
      <w:r w:rsidRPr="008603AC">
        <w:rPr>
          <w:rFonts w:cs="Times New Roman"/>
          <w:i/>
          <w:lang w:val="en-GB"/>
        </w:rPr>
        <w:t>misled by language into multiplying entities without necessity</w:t>
      </w:r>
      <w:r w:rsidRPr="008603AC">
        <w:rPr>
          <w:rFonts w:cs="Times New Roman"/>
          <w:lang w:val="en-GB"/>
        </w:rPr>
        <w:t>. In other words, their conception of analysis is motivated at the outset by a principle of ontological parsimony traditionally associated with Occam’s razor. Before getting there, though, let me very briefly recall some background information about Ryle’s relation to phenomenology in general and to Brentano in particular.</w:t>
      </w:r>
    </w:p>
    <w:p w14:paraId="7F6F39A1" w14:textId="77777777" w:rsidR="00AB1F4E" w:rsidRPr="008603AC" w:rsidRDefault="00AB1F4E" w:rsidP="00AB1F4E">
      <w:pPr>
        <w:jc w:val="left"/>
        <w:rPr>
          <w:rFonts w:cs="Times New Roman"/>
          <w:lang w:val="en-GB"/>
        </w:rPr>
      </w:pPr>
      <w:r w:rsidRPr="008603AC">
        <w:rPr>
          <w:rFonts w:cs="Times New Roman"/>
          <w:lang w:val="en-GB"/>
        </w:rPr>
        <w:t xml:space="preserve">It is common knowledge that Ryle, who started his career with a book review of Roman Ingarden in </w:t>
      </w:r>
      <w:r w:rsidRPr="008603AC">
        <w:rPr>
          <w:rFonts w:cs="Times New Roman"/>
          <w:i/>
          <w:lang w:val="en-GB"/>
        </w:rPr>
        <w:t xml:space="preserve">Mind </w:t>
      </w:r>
      <w:r w:rsidRPr="008603AC">
        <w:rPr>
          <w:rFonts w:cs="Times New Roman"/>
          <w:lang w:val="en-GB"/>
        </w:rPr>
        <w:t xml:space="preserve">in 1927 and visited Husserl in Freiburg (presumably) in 1929 (Schuhmann 1977, 340), was thoroughly familiar with the Austro-German phenomenological tradition, for which he showed a continued interest throughout his life. Over the last two decades, a growing number of studies have pointed at his mediating role between phenomenology and analytic philosophy (see e.g. Brandl 2002; Bourdeau 2003; Thomasson 2002; 2007; Vrahimis 2013, 110–159; Morran 2014, 254–259; Chase and Reynolds 2017). Unsurprisingly, one of the chief things those studies reveal is that there is something of a tension in Ryle’s position. On the one hand, indeed, he had strong sympathies for the phenomenological project and went as far as acknowledging that his major book, </w:t>
      </w:r>
      <w:r w:rsidRPr="008603AC">
        <w:rPr>
          <w:rFonts w:cs="Times New Roman"/>
          <w:i/>
          <w:lang w:val="en-GB"/>
        </w:rPr>
        <w:t>The Concept of Mind</w:t>
      </w:r>
      <w:r w:rsidRPr="008603AC">
        <w:rPr>
          <w:rFonts w:cs="Times New Roman"/>
          <w:lang w:val="en-GB"/>
        </w:rPr>
        <w:t>,</w:t>
      </w:r>
      <w:r w:rsidRPr="008603AC">
        <w:rPr>
          <w:rFonts w:cs="Times New Roman"/>
          <w:i/>
          <w:lang w:val="en-GB"/>
        </w:rPr>
        <w:t xml:space="preserve"> </w:t>
      </w:r>
      <w:r w:rsidRPr="008603AC">
        <w:rPr>
          <w:rFonts w:cs="Times New Roman"/>
          <w:lang w:val="en-GB"/>
        </w:rPr>
        <w:t xml:space="preserve">might be described as </w:t>
      </w:r>
      <w:r w:rsidRPr="008603AC">
        <w:rPr>
          <w:rFonts w:cs="Times New Roman"/>
        </w:rPr>
        <w:t>‘</w:t>
      </w:r>
      <w:r w:rsidRPr="008603AC">
        <w:rPr>
          <w:rFonts w:cs="Times New Roman"/>
          <w:lang w:val="en-GB"/>
        </w:rPr>
        <w:t>a sustained essay in phenomenology’</w:t>
      </w:r>
      <w:r w:rsidRPr="008603AC">
        <w:rPr>
          <w:rFonts w:cs="Times New Roman"/>
        </w:rPr>
        <w:t xml:space="preserve"> (Ryle 2009, 196)</w:t>
      </w:r>
      <w:r w:rsidRPr="008603AC">
        <w:rPr>
          <w:rFonts w:cs="Times New Roman"/>
          <w:lang w:val="en-GB"/>
        </w:rPr>
        <w:t xml:space="preserve">; on the other, he challenged dubious claims made by Husserl (and Heidegger) – claims he believed should be </w:t>
      </w:r>
      <w:r w:rsidRPr="008603AC">
        <w:rPr>
          <w:rFonts w:cs="Times New Roman"/>
          <w:i/>
          <w:lang w:val="en-GB"/>
        </w:rPr>
        <w:t>excised from the phenomenological project</w:t>
      </w:r>
      <w:r w:rsidRPr="008603AC">
        <w:rPr>
          <w:rFonts w:cs="Times New Roman"/>
          <w:lang w:val="en-GB"/>
        </w:rPr>
        <w:t xml:space="preserve"> (Thomasson 2002, 137). My hypothesis is that this tension is best explained against the background of </w:t>
      </w:r>
      <w:r w:rsidRPr="008603AC">
        <w:rPr>
          <w:rFonts w:cs="Times New Roman"/>
          <w:i/>
          <w:lang w:val="en-GB"/>
        </w:rPr>
        <w:t>another</w:t>
      </w:r>
      <w:r w:rsidRPr="008603AC">
        <w:rPr>
          <w:rFonts w:cs="Times New Roman"/>
          <w:lang w:val="en-GB"/>
        </w:rPr>
        <w:t xml:space="preserve"> tension which is internal to the Brentano School, namely the opposition between Brentano’s ontological parsimony, on the one hand, and the more liberal views held by Husserl and Meinong, on the other. On Brentano’s account, indeed, both Meinong and Husserl are typical examples of philosophers who have been misled by language into multiplying entities without necessity, in blatant violation of Occam’s razor. Very roughly, I contend that the early Ryle endorsed the same line of thought and took sides with Brentano against Meinong’s object theory and Husserl’s so-called ‘Platonism of meaning’. In the course of this chapter, I will gather some evidence to substantiate this hypothesis (although I will focus more on Meinong’s object theory than on Husserl’s Platonism).</w:t>
      </w:r>
    </w:p>
    <w:p w14:paraId="6902E1AD" w14:textId="77777777" w:rsidR="00AB1F4E" w:rsidRPr="008603AC" w:rsidRDefault="00AB1F4E" w:rsidP="00AB1F4E">
      <w:pPr>
        <w:jc w:val="left"/>
        <w:rPr>
          <w:rFonts w:cs="Times New Roman"/>
          <w:lang w:val="en-GB"/>
        </w:rPr>
      </w:pPr>
      <w:r w:rsidRPr="008603AC">
        <w:rPr>
          <w:rFonts w:cs="Times New Roman"/>
          <w:lang w:val="en-GB"/>
        </w:rPr>
        <w:t xml:space="preserve">My starting point lies in the following observation: however different their metaphilosophical views may be, Ryle and Brentano share the idea that philosophers may be misled by language not just occasionally but in some significant and systematic way. In his </w:t>
      </w:r>
      <w:r w:rsidRPr="008603AC">
        <w:rPr>
          <w:rFonts w:cs="Times New Roman"/>
          <w:i/>
          <w:lang w:val="en-GB"/>
        </w:rPr>
        <w:t>Psychology from an Empirical Standpoint</w:t>
      </w:r>
      <w:r w:rsidRPr="008603AC">
        <w:rPr>
          <w:rFonts w:cs="Times New Roman"/>
          <w:lang w:val="en-GB"/>
        </w:rPr>
        <w:t xml:space="preserve"> of 1874, for example, Brentano bluntly states that, when it comes to describing and classifying mental phenomena, ordinary language ‘offers no sufficient guarantee and would mislead [</w:t>
      </w:r>
      <w:r w:rsidRPr="008603AC">
        <w:rPr>
          <w:rFonts w:cs="Times New Roman"/>
          <w:i/>
          <w:lang w:val="de-DE"/>
        </w:rPr>
        <w:t>in Irrthümer führen</w:t>
      </w:r>
      <w:r w:rsidRPr="008603AC">
        <w:rPr>
          <w:rFonts w:cs="Times New Roman"/>
          <w:lang w:val="en-GB"/>
        </w:rPr>
        <w:t>]</w:t>
      </w:r>
      <w:r w:rsidRPr="008603AC">
        <w:rPr>
          <w:rFonts w:cs="Times New Roman"/>
          <w:i/>
          <w:lang w:val="en-GB"/>
        </w:rPr>
        <w:t xml:space="preserve"> </w:t>
      </w:r>
      <w:r w:rsidRPr="008603AC">
        <w:rPr>
          <w:rFonts w:cs="Times New Roman"/>
          <w:lang w:val="en-GB"/>
        </w:rPr>
        <w:t>those who relied on it too much, just as it would facilitate the discovery of the truth for those who utilise its determinations with caution’ (Brentano 1924, 63; 1995, 45; my translation). Later in the book, in a long footnote devoted to his debate with Mill on existential propositions, he writes: ‘I hope that people will finally, once and for all, stop confusing linguistic differences with differences in thought’ (Brentano 1925, 63, note; 1995, 220, note). What Brentano is up against in those passages is what he often calls ‘linguistic fictions’ or fictions created by language – a topic which is usually associated with his so-called ‘reistic turn’ but which is far from being absent from his earlier writings.</w:t>
      </w:r>
      <w:r w:rsidRPr="008603AC">
        <w:rPr>
          <w:rStyle w:val="Marquedenotedefin"/>
          <w:rFonts w:cs="Times New Roman"/>
        </w:rPr>
        <w:endnoteReference w:id="1"/>
      </w:r>
      <w:r w:rsidRPr="008603AC">
        <w:rPr>
          <w:rFonts w:cs="Times New Roman"/>
          <w:lang w:val="en-GB"/>
        </w:rPr>
        <w:t xml:space="preserve"> As we shall see, ‘linguistic fiction’ is just another name for what Ryle calls ‘misleading expression’ or what may be termed ‘grammatical illusion’ (see Seron, this volume). I shall give examples of such expressions momentarily.</w:t>
      </w:r>
    </w:p>
    <w:p w14:paraId="2E98A45B" w14:textId="77777777" w:rsidR="00AB1F4E" w:rsidRPr="008603AC" w:rsidRDefault="00AB1F4E" w:rsidP="00AB1F4E">
      <w:pPr>
        <w:jc w:val="left"/>
        <w:rPr>
          <w:rFonts w:cs="Times New Roman"/>
          <w:lang w:val="en-GB"/>
        </w:rPr>
      </w:pPr>
      <w:r w:rsidRPr="008603AC">
        <w:rPr>
          <w:rFonts w:cs="Times New Roman"/>
          <w:lang w:val="en-GB"/>
        </w:rPr>
        <w:t xml:space="preserve">Ryle’s account of misleading expressions was first presented in his speech to the meeting of the Aristotelian Society in London on March 21, 1932, the same year he wrote his well-known critical essay on “Phenomenology”. Both essays have initially been published in the </w:t>
      </w:r>
      <w:r w:rsidRPr="008603AC">
        <w:rPr>
          <w:rFonts w:cs="Times New Roman"/>
          <w:i/>
          <w:lang w:val="en-GB"/>
        </w:rPr>
        <w:t>Proceedings</w:t>
      </w:r>
      <w:r w:rsidRPr="008603AC">
        <w:rPr>
          <w:rFonts w:cs="Times New Roman"/>
          <w:lang w:val="en-GB"/>
        </w:rPr>
        <w:t xml:space="preserve"> of the Society (Ryle 1932; 1932a; reprinted in 2009, 174–185; 2009a, 41–65). Ryle’s study on misleading expressions is usually considered a significant document in the history of analytic philosophy – with good reason, since it aims at establishing the legitimacy of a philosophical research programme in which the notion of analysis plays the central role. His main concern is with what a philosophical analysis of linguistic meaning can achieve and whether such analysis is needed at all. His diagnosis has a negative and a positive side. On the negative side, Ryle insists that it cannot be a legitimate goal for philosophy to (i) clarify the meaning of linguistic expressions used in ordinary discourse, for it is already known by the speakers who use them, nor to (ii) paraphrase them in order to ensure the effectiveness or elegance of linguistic communication in real-life situations, for this is the business of </w:t>
      </w:r>
      <w:r w:rsidRPr="008603AC">
        <w:rPr>
          <w:rFonts w:cs="Times New Roman"/>
          <w:i/>
          <w:lang w:val="en-GB"/>
        </w:rPr>
        <w:t>linguistic</w:t>
      </w:r>
      <w:r w:rsidRPr="008603AC">
        <w:rPr>
          <w:rFonts w:cs="Times New Roman"/>
          <w:lang w:val="en-GB"/>
        </w:rPr>
        <w:t>, lexical or philological analysis (Ryle 1932a, 139–141; 2009a, 41–43).</w:t>
      </w:r>
      <w:r w:rsidRPr="008603AC">
        <w:rPr>
          <w:rStyle w:val="Marquedenotedefin"/>
          <w:rFonts w:cs="Times New Roman"/>
        </w:rPr>
        <w:endnoteReference w:id="2"/>
      </w:r>
      <w:r w:rsidRPr="008603AC">
        <w:rPr>
          <w:rFonts w:cs="Times New Roman"/>
          <w:lang w:val="en-GB"/>
        </w:rPr>
        <w:t xml:space="preserve"> On the positive side, even once these misconceptions of philosophical analysis have been discarded, he argues, there remains ‘an important sense in which philosophers can and must discover and state what is really meant by expressions of this or that radical type’ (Ryle 1932a, 142; 2009a, 43).</w:t>
      </w:r>
    </w:p>
    <w:p w14:paraId="30E61039" w14:textId="77777777" w:rsidR="00AB1F4E" w:rsidRPr="008603AC" w:rsidRDefault="00AB1F4E" w:rsidP="00AB1F4E">
      <w:pPr>
        <w:jc w:val="left"/>
        <w:rPr>
          <w:rFonts w:cs="Times New Roman"/>
          <w:lang w:val="en-GB"/>
        </w:rPr>
      </w:pPr>
      <w:r w:rsidRPr="008603AC">
        <w:rPr>
          <w:rFonts w:cs="Times New Roman"/>
          <w:lang w:val="en-GB"/>
        </w:rPr>
        <w:t xml:space="preserve">How, then, should we conceive of philosophical analysis? Very roughly, Ryle’s reply is as follows. The point of philosophical analysis is to avoid </w:t>
      </w:r>
      <w:r w:rsidRPr="008603AC">
        <w:rPr>
          <w:rFonts w:cs="Times New Roman"/>
          <w:i/>
          <w:lang w:val="en-GB"/>
        </w:rPr>
        <w:t>philosophers</w:t>
      </w:r>
      <w:r w:rsidRPr="008603AC">
        <w:rPr>
          <w:rFonts w:cs="Times New Roman"/>
          <w:lang w:val="en-GB"/>
        </w:rPr>
        <w:t xml:space="preserve"> – and, generally speaking, ‘any man who embarks on abstraction’ (Ryle 1932a, 146; 2009a, 46) – to be misled by the surface grammar of some linguistic expressions into drawing false conclusions of a logical, ontological or epistemological nature. In other words, the ensuing programme of analysis is philosophical through and through: it is to be carried out, so to speak, </w:t>
      </w:r>
      <w:r w:rsidRPr="008603AC">
        <w:rPr>
          <w:rFonts w:cs="Times New Roman"/>
          <w:i/>
          <w:lang w:val="en-GB"/>
        </w:rPr>
        <w:t xml:space="preserve">by </w:t>
      </w:r>
      <w:r w:rsidRPr="008603AC">
        <w:rPr>
          <w:rFonts w:cs="Times New Roman"/>
          <w:lang w:val="en-GB"/>
        </w:rPr>
        <w:t xml:space="preserve">philosophers </w:t>
      </w:r>
      <w:r w:rsidRPr="008603AC">
        <w:rPr>
          <w:rFonts w:cs="Times New Roman"/>
          <w:i/>
          <w:lang w:val="en-GB"/>
        </w:rPr>
        <w:t>for</w:t>
      </w:r>
      <w:r w:rsidRPr="008603AC">
        <w:rPr>
          <w:rFonts w:cs="Times New Roman"/>
          <w:lang w:val="en-GB"/>
        </w:rPr>
        <w:t xml:space="preserve"> philosophers, merely for the sake of avoiding philosophical mistakes. Thus understood, philosophical analysis is not a matter of paraphrasing some expressions into more elegant, familiar or readily intelligible ones. It is a matter of paraphrasing them into </w:t>
      </w:r>
      <w:r w:rsidRPr="008603AC">
        <w:rPr>
          <w:rFonts w:cs="Times New Roman"/>
          <w:i/>
          <w:lang w:val="en-GB"/>
        </w:rPr>
        <w:t>less elegant but</w:t>
      </w:r>
      <w:r w:rsidRPr="008603AC">
        <w:rPr>
          <w:rFonts w:cs="Times New Roman"/>
          <w:lang w:val="en-GB"/>
        </w:rPr>
        <w:t xml:space="preserve"> </w:t>
      </w:r>
      <w:r w:rsidRPr="008603AC">
        <w:rPr>
          <w:rFonts w:cs="Times New Roman"/>
          <w:i/>
          <w:lang w:val="en-GB"/>
        </w:rPr>
        <w:t>less misleading</w:t>
      </w:r>
      <w:r w:rsidRPr="008603AC">
        <w:rPr>
          <w:rFonts w:cs="Times New Roman"/>
          <w:lang w:val="en-GB"/>
        </w:rPr>
        <w:t xml:space="preserve"> expressions for the sake of pursuing philosophical (i.e. ontological, epistemological, etc.)</w:t>
      </w:r>
      <w:r w:rsidRPr="008603AC">
        <w:rPr>
          <w:rFonts w:cs="Times New Roman"/>
          <w:i/>
          <w:lang w:val="en-GB"/>
        </w:rPr>
        <w:t xml:space="preserve"> </w:t>
      </w:r>
      <w:r w:rsidRPr="008603AC">
        <w:rPr>
          <w:rFonts w:cs="Times New Roman"/>
          <w:lang w:val="en-GB"/>
        </w:rPr>
        <w:t>inquiries.</w:t>
      </w:r>
    </w:p>
    <w:p w14:paraId="05093A65" w14:textId="77777777" w:rsidR="00AB1F4E" w:rsidRPr="008603AC" w:rsidRDefault="00AB1F4E" w:rsidP="00AB1F4E">
      <w:pPr>
        <w:jc w:val="left"/>
        <w:rPr>
          <w:rFonts w:cs="Times New Roman"/>
          <w:lang w:val="en-GB"/>
        </w:rPr>
      </w:pPr>
      <w:r w:rsidRPr="008603AC">
        <w:rPr>
          <w:rFonts w:cs="Times New Roman"/>
          <w:lang w:val="en-GB"/>
        </w:rPr>
        <w:t xml:space="preserve">Interestingly, this understanding of philosophical analysis is in line with Brentano’s criticism of linguistic fictions. Here again, the point is not to reform ordinary language. As a matter of fact, Brentano has it that such a reform is impossible for misleading expressions are an integral part of ordinary language, to the effect that eliminating them would be tantamount to replacing ordinary language with a different language altogether. In a dictation on </w:t>
      </w:r>
      <w:r w:rsidRPr="008603AC">
        <w:rPr>
          <w:rFonts w:cs="Times New Roman"/>
          <w:i/>
          <w:lang w:val="la-Latn"/>
        </w:rPr>
        <w:t>ens rationis</w:t>
      </w:r>
      <w:r w:rsidRPr="008603AC">
        <w:rPr>
          <w:rFonts w:cs="Times New Roman"/>
          <w:lang w:val="en-GB"/>
        </w:rPr>
        <w:t xml:space="preserve"> dated January 6 1917, he writes:</w:t>
      </w:r>
    </w:p>
    <w:p w14:paraId="4E11E671" w14:textId="77777777" w:rsidR="00AB1F4E" w:rsidRPr="008603AC" w:rsidRDefault="00AB1F4E" w:rsidP="00AB1F4E">
      <w:pPr>
        <w:pStyle w:val="Citation"/>
        <w:jc w:val="left"/>
        <w:rPr>
          <w:rFonts w:cs="Times New Roman"/>
          <w:lang w:val="en-GB"/>
        </w:rPr>
      </w:pPr>
      <w:r w:rsidRPr="008603AC">
        <w:rPr>
          <w:rFonts w:cs="Times New Roman"/>
          <w:lang w:val="en-GB"/>
        </w:rPr>
        <w:t>Naturally, this variety of locutions [i.e. misleading expressions] arises from complications in our thinking. They make possible abbreviated discourse which is highly advantageous. The whole of ordinary language is so much under their influence that we could not possibly give them up without giving up the use of that language completely and resolving to invent an entirely new and extremely unwieldy language.</w:t>
      </w:r>
      <w:r>
        <w:rPr>
          <w:rFonts w:cs="Times New Roman"/>
          <w:lang w:val="en-GB"/>
        </w:rPr>
        <w:t xml:space="preserve"> (Brentano 1925, </w:t>
      </w:r>
      <w:r w:rsidRPr="008603AC">
        <w:rPr>
          <w:rFonts w:cs="Times New Roman"/>
          <w:lang w:val="en-GB"/>
        </w:rPr>
        <w:t>275; 1995, 367)</w:t>
      </w:r>
    </w:p>
    <w:p w14:paraId="1FC26E45" w14:textId="77777777" w:rsidR="00AB1F4E" w:rsidRPr="008603AC" w:rsidRDefault="00AB1F4E" w:rsidP="00AB1F4E">
      <w:pPr>
        <w:jc w:val="left"/>
        <w:rPr>
          <w:rFonts w:cs="Times New Roman"/>
          <w:lang w:val="en-GB"/>
        </w:rPr>
      </w:pPr>
      <w:r w:rsidRPr="008603AC">
        <w:rPr>
          <w:rFonts w:cs="Times New Roman"/>
          <w:lang w:val="en-GB"/>
        </w:rPr>
        <w:t>As we shall see, the idea of ‘complications in our thinking’ (</w:t>
      </w:r>
      <w:r w:rsidRPr="008603AC">
        <w:rPr>
          <w:rFonts w:cs="Times New Roman"/>
          <w:i/>
          <w:lang w:val="de-DE"/>
        </w:rPr>
        <w:t>Verwicklungen in unserem Denken</w:t>
      </w:r>
      <w:r w:rsidRPr="008603AC">
        <w:rPr>
          <w:rFonts w:cs="Times New Roman"/>
          <w:lang w:val="en-GB"/>
        </w:rPr>
        <w:t>)</w:t>
      </w:r>
      <w:r w:rsidRPr="008603AC">
        <w:rPr>
          <w:rFonts w:cs="Times New Roman"/>
          <w:i/>
          <w:lang w:val="en-GB"/>
        </w:rPr>
        <w:t xml:space="preserve"> </w:t>
      </w:r>
      <w:r w:rsidRPr="008603AC">
        <w:rPr>
          <w:rFonts w:cs="Times New Roman"/>
          <w:lang w:val="en-GB"/>
        </w:rPr>
        <w:t xml:space="preserve">has to be understood literally: on Brentano’s view, misleading expressions typically express </w:t>
      </w:r>
      <w:r w:rsidRPr="008603AC">
        <w:rPr>
          <w:rFonts w:cs="Times New Roman"/>
          <w:i/>
          <w:lang w:val="en-GB"/>
        </w:rPr>
        <w:t>mental phenomena directed at other mental phenomena</w:t>
      </w:r>
      <w:r w:rsidRPr="008603AC">
        <w:rPr>
          <w:rFonts w:cs="Times New Roman"/>
          <w:lang w:val="en-GB"/>
        </w:rPr>
        <w:t xml:space="preserve">, nested into each other like Russian dolls – or so I shall argue (more on that in Section 3). For now, though, suffice it to say that both Ryle and Brentano agree on the following claims: (i) misleading expressions are an integral part of ordinary language; (ii) in non-philosophical, ordinary context, they offer convenient and harmless abbreviations for complicated states-of-affairs; (iii) taken at face value, however, such expressions may mislead professional philosophers into multiplying entities without necessity. Accordingly, the point of analysing misleading expressions merely is to apply Occam’s razor (Ryle 1932a, 165; 2009a, 61) and avoid ‘infinite </w:t>
      </w:r>
      <w:r>
        <w:rPr>
          <w:rFonts w:cs="Times New Roman"/>
          <w:lang w:val="en-GB"/>
        </w:rPr>
        <w:t xml:space="preserve">complications’ (Brentano 1925, </w:t>
      </w:r>
      <w:r w:rsidRPr="008603AC">
        <w:rPr>
          <w:rFonts w:cs="Times New Roman"/>
          <w:lang w:val="en-GB"/>
        </w:rPr>
        <w:t>160; 1995, 292–293).</w:t>
      </w:r>
      <w:r w:rsidRPr="008603AC">
        <w:rPr>
          <w:rStyle w:val="Marquedenotedefin"/>
          <w:rFonts w:cs="Times New Roman"/>
        </w:rPr>
        <w:endnoteReference w:id="3"/>
      </w:r>
    </w:p>
    <w:p w14:paraId="010D1228" w14:textId="77777777" w:rsidR="00AB1F4E" w:rsidRPr="008603AC" w:rsidRDefault="00AB1F4E" w:rsidP="00AB1F4E">
      <w:pPr>
        <w:jc w:val="left"/>
        <w:rPr>
          <w:rFonts w:cs="Times New Roman"/>
          <w:lang w:val="en-GB"/>
        </w:rPr>
      </w:pPr>
      <w:r w:rsidRPr="008603AC">
        <w:rPr>
          <w:rFonts w:cs="Times New Roman"/>
          <w:lang w:val="en-GB"/>
        </w:rPr>
        <w:t>What do such misleading sentences look like? Ryle takes it that the types of misleading expressions are ‘in principle unlimited’ in number, even though ‘the number of prevalent and obsessing types is fairly small’ (Ryle 1932a, 169; 2009a, 64).</w:t>
      </w:r>
      <w:r w:rsidRPr="008603AC">
        <w:rPr>
          <w:rStyle w:val="Marquedenotedefin"/>
          <w:rFonts w:cs="Times New Roman"/>
        </w:rPr>
        <w:endnoteReference w:id="4"/>
      </w:r>
      <w:r w:rsidRPr="008603AC">
        <w:rPr>
          <w:rFonts w:cs="Times New Roman"/>
          <w:lang w:val="en-GB"/>
        </w:rPr>
        <w:t xml:space="preserve"> He identifies three main classes thereof, to which a fourth one may be added, namely:</w:t>
      </w:r>
    </w:p>
    <w:p w14:paraId="6D7E27C6" w14:textId="77777777" w:rsidR="00AB1F4E" w:rsidRPr="008603AC" w:rsidRDefault="00AB1F4E" w:rsidP="00AB1F4E">
      <w:pPr>
        <w:keepNext/>
        <w:spacing w:after="0"/>
        <w:jc w:val="left"/>
        <w:rPr>
          <w:rFonts w:cs="Times New Roman"/>
          <w:i/>
          <w:lang w:val="en-GB"/>
        </w:rPr>
      </w:pPr>
      <w:r w:rsidRPr="008603AC">
        <w:rPr>
          <w:rFonts w:cs="Times New Roman"/>
          <w:i/>
          <w:lang w:val="en-GB"/>
        </w:rPr>
        <w:t>Quasi-ontological statements</w:t>
      </w:r>
    </w:p>
    <w:p w14:paraId="1BC8CD52" w14:textId="77777777" w:rsidR="00AB1F4E" w:rsidRPr="008603AC" w:rsidRDefault="00AB1F4E" w:rsidP="00AB1F4E">
      <w:pPr>
        <w:spacing w:after="0"/>
        <w:jc w:val="left"/>
        <w:rPr>
          <w:rFonts w:cs="Times New Roman"/>
          <w:lang w:val="en-GB"/>
        </w:rPr>
      </w:pPr>
      <w:r w:rsidRPr="008603AC">
        <w:rPr>
          <w:rFonts w:cs="Times New Roman"/>
          <w:lang w:val="en-GB"/>
        </w:rPr>
        <w:t>(1) ‘Satan is not a reality’</w:t>
      </w:r>
    </w:p>
    <w:p w14:paraId="01798182" w14:textId="77777777" w:rsidR="00AB1F4E" w:rsidRPr="008603AC" w:rsidRDefault="00AB1F4E" w:rsidP="00AB1F4E">
      <w:pPr>
        <w:jc w:val="left"/>
        <w:rPr>
          <w:rFonts w:cs="Times New Roman"/>
          <w:lang w:val="en-GB"/>
        </w:rPr>
      </w:pPr>
      <w:r w:rsidRPr="008603AC">
        <w:rPr>
          <w:rFonts w:cs="Times New Roman"/>
          <w:lang w:val="en-GB"/>
        </w:rPr>
        <w:t>(2) ‘Unicorns do not exist’</w:t>
      </w:r>
    </w:p>
    <w:p w14:paraId="2D6A0CFA" w14:textId="77777777" w:rsidR="00AB1F4E" w:rsidRPr="008603AC" w:rsidRDefault="00AB1F4E" w:rsidP="00AB1F4E">
      <w:pPr>
        <w:keepNext/>
        <w:spacing w:after="0"/>
        <w:jc w:val="left"/>
        <w:rPr>
          <w:rFonts w:cs="Times New Roman"/>
          <w:i/>
          <w:lang w:val="en-GB"/>
        </w:rPr>
      </w:pPr>
      <w:r w:rsidRPr="008603AC">
        <w:rPr>
          <w:rFonts w:cs="Times New Roman"/>
          <w:i/>
          <w:lang w:val="en-GB"/>
        </w:rPr>
        <w:t>Quasi-Platonic statements</w:t>
      </w:r>
    </w:p>
    <w:p w14:paraId="5880A7DD" w14:textId="77777777" w:rsidR="00AB1F4E" w:rsidRPr="008603AC" w:rsidRDefault="00AB1F4E" w:rsidP="00AB1F4E">
      <w:pPr>
        <w:spacing w:after="0"/>
        <w:jc w:val="left"/>
        <w:rPr>
          <w:rFonts w:cs="Times New Roman"/>
          <w:lang w:val="en-GB"/>
        </w:rPr>
      </w:pPr>
      <w:r w:rsidRPr="008603AC">
        <w:rPr>
          <w:rFonts w:cs="Times New Roman"/>
          <w:lang w:val="en-GB"/>
        </w:rPr>
        <w:t>(3) ‘Unpunctuality is reprehensible’</w:t>
      </w:r>
    </w:p>
    <w:p w14:paraId="5AB4B4D8" w14:textId="77777777" w:rsidR="00AB1F4E" w:rsidRPr="008603AC" w:rsidRDefault="00AB1F4E" w:rsidP="00AB1F4E">
      <w:pPr>
        <w:jc w:val="left"/>
        <w:rPr>
          <w:rFonts w:cs="Times New Roman"/>
          <w:lang w:val="en-GB"/>
        </w:rPr>
      </w:pPr>
      <w:r w:rsidRPr="008603AC">
        <w:rPr>
          <w:rFonts w:cs="Times New Roman"/>
          <w:lang w:val="en-GB"/>
        </w:rPr>
        <w:t>(4) ‘Colour involves extension’</w:t>
      </w:r>
    </w:p>
    <w:p w14:paraId="618AA5AC" w14:textId="77777777" w:rsidR="00AB1F4E" w:rsidRPr="008603AC" w:rsidRDefault="00AB1F4E" w:rsidP="00AB1F4E">
      <w:pPr>
        <w:keepNext/>
        <w:spacing w:after="0"/>
        <w:jc w:val="left"/>
        <w:rPr>
          <w:rFonts w:cs="Times New Roman"/>
          <w:i/>
          <w:lang w:val="en-GB"/>
        </w:rPr>
      </w:pPr>
      <w:r w:rsidRPr="008603AC">
        <w:rPr>
          <w:rFonts w:cs="Times New Roman"/>
          <w:i/>
          <w:lang w:val="en-GB"/>
        </w:rPr>
        <w:t>Quasi-referential the-phrases</w:t>
      </w:r>
    </w:p>
    <w:p w14:paraId="1F02A435" w14:textId="77777777" w:rsidR="00AB1F4E" w:rsidRPr="008603AC" w:rsidRDefault="00AB1F4E" w:rsidP="00AB1F4E">
      <w:pPr>
        <w:spacing w:after="0"/>
        <w:jc w:val="left"/>
        <w:rPr>
          <w:rFonts w:cs="Times New Roman"/>
          <w:lang w:val="en-GB"/>
        </w:rPr>
      </w:pPr>
      <w:r w:rsidRPr="008603AC">
        <w:rPr>
          <w:rFonts w:cs="Times New Roman"/>
          <w:lang w:val="en-GB"/>
        </w:rPr>
        <w:t>(5) ‘Poincaré is not the King of France’</w:t>
      </w:r>
    </w:p>
    <w:p w14:paraId="43624E3C" w14:textId="77777777" w:rsidR="00AB1F4E" w:rsidRPr="008603AC" w:rsidRDefault="00AB1F4E" w:rsidP="00AB1F4E">
      <w:pPr>
        <w:jc w:val="left"/>
        <w:rPr>
          <w:rFonts w:cs="Times New Roman"/>
          <w:lang w:val="en-GB"/>
        </w:rPr>
      </w:pPr>
      <w:r w:rsidRPr="008603AC">
        <w:rPr>
          <w:rFonts w:cs="Times New Roman"/>
          <w:lang w:val="en-GB"/>
        </w:rPr>
        <w:t>(6) ‘Jones hates the thought of going to the hospital’</w:t>
      </w:r>
    </w:p>
    <w:p w14:paraId="2D602A7E" w14:textId="77777777" w:rsidR="00AB1F4E" w:rsidRPr="008603AC" w:rsidRDefault="00AB1F4E" w:rsidP="00AB1F4E">
      <w:pPr>
        <w:keepNext/>
        <w:spacing w:after="0"/>
        <w:jc w:val="left"/>
        <w:rPr>
          <w:rFonts w:cs="Times New Roman"/>
          <w:i/>
          <w:lang w:val="en-GB"/>
        </w:rPr>
      </w:pPr>
      <w:r w:rsidRPr="008603AC">
        <w:rPr>
          <w:rFonts w:cs="Times New Roman"/>
          <w:lang w:val="en-GB"/>
        </w:rPr>
        <w:t>[</w:t>
      </w:r>
      <w:r w:rsidRPr="008603AC">
        <w:rPr>
          <w:rFonts w:cs="Times New Roman"/>
          <w:i/>
          <w:lang w:val="en-GB"/>
        </w:rPr>
        <w:t>Modifying expressions</w:t>
      </w:r>
      <w:r w:rsidRPr="008603AC">
        <w:rPr>
          <w:rFonts w:cs="Times New Roman"/>
          <w:lang w:val="en-GB"/>
        </w:rPr>
        <w:t>]</w:t>
      </w:r>
      <w:r w:rsidRPr="008603AC">
        <w:rPr>
          <w:rStyle w:val="Marquedenotedefin"/>
          <w:rFonts w:cs="Times New Roman"/>
        </w:rPr>
        <w:endnoteReference w:id="5"/>
      </w:r>
    </w:p>
    <w:p w14:paraId="5D4ADD51" w14:textId="77777777" w:rsidR="00AB1F4E" w:rsidRPr="008603AC" w:rsidRDefault="00AB1F4E" w:rsidP="00AB1F4E">
      <w:pPr>
        <w:spacing w:after="0"/>
        <w:jc w:val="left"/>
        <w:rPr>
          <w:rFonts w:cs="Times New Roman"/>
          <w:lang w:val="en-GB"/>
        </w:rPr>
      </w:pPr>
      <w:r w:rsidRPr="008603AC">
        <w:rPr>
          <w:rFonts w:cs="Times New Roman"/>
          <w:lang w:val="en-GB"/>
        </w:rPr>
        <w:t>(7) ‘Jones is an alleged murderer’</w:t>
      </w:r>
    </w:p>
    <w:p w14:paraId="1C195973" w14:textId="77777777" w:rsidR="00AB1F4E" w:rsidRPr="008603AC" w:rsidRDefault="00AB1F4E" w:rsidP="00AB1F4E">
      <w:pPr>
        <w:jc w:val="left"/>
        <w:rPr>
          <w:rFonts w:cs="Times New Roman"/>
          <w:lang w:val="en-GB"/>
        </w:rPr>
      </w:pPr>
      <w:r w:rsidRPr="008603AC">
        <w:rPr>
          <w:rFonts w:cs="Times New Roman"/>
          <w:lang w:val="en-GB"/>
        </w:rPr>
        <w:t>(8) ‘Smith is a probable Lord Mayor’</w:t>
      </w:r>
    </w:p>
    <w:p w14:paraId="13894F45" w14:textId="77777777" w:rsidR="00AB1F4E" w:rsidRPr="008603AC" w:rsidRDefault="00AB1F4E" w:rsidP="00AB1F4E">
      <w:pPr>
        <w:jc w:val="left"/>
        <w:rPr>
          <w:rFonts w:cs="Times New Roman"/>
          <w:lang w:val="en-GB"/>
        </w:rPr>
      </w:pPr>
      <w:r w:rsidRPr="008603AC">
        <w:rPr>
          <w:rFonts w:cs="Times New Roman"/>
          <w:lang w:val="en-GB"/>
        </w:rPr>
        <w:t>As far as I know, Brentano didn’t offer any classification of its own, but his account of linguistic fictions includes at least a critical discussion of quasi-ontological statements, quasi-Platonic statements and modifying expressions. On the whole, then, I think it is fair to say that Ryle and Brentano roughly pinned down the same main classes of misleading expressions. Now, if they are right, there must be a sense in which sentences (1)</w:t>
      </w:r>
      <w:r w:rsidRPr="008603AC">
        <w:rPr>
          <w:rFonts w:cs="Times New Roman"/>
          <w:szCs w:val="24"/>
          <w:lang w:val="en-GB"/>
        </w:rPr>
        <w:t xml:space="preserve"> –</w:t>
      </w:r>
      <w:r w:rsidRPr="008603AC">
        <w:rPr>
          <w:rFonts w:cs="Times New Roman"/>
          <w:lang w:val="en-GB"/>
        </w:rPr>
        <w:t xml:space="preserve"> (8), however different, may all be said to be misleading in a similar way. Spelling out this sense is the business of the next section.</w:t>
      </w:r>
    </w:p>
    <w:p w14:paraId="15B2D047" w14:textId="77777777" w:rsidR="00AB1F4E" w:rsidRPr="00AB1F4E" w:rsidRDefault="00AB1F4E" w:rsidP="00AB1F4E">
      <w:pPr>
        <w:pStyle w:val="Titre3"/>
        <w:jc w:val="left"/>
        <w:rPr>
          <w:rFonts w:cs="Times New Roman"/>
          <w:b/>
          <w:lang w:val="en-GB"/>
        </w:rPr>
      </w:pPr>
      <w:bookmarkStart w:id="5" w:name="_Toc41635616"/>
      <w:r w:rsidRPr="00AB1F4E">
        <w:rPr>
          <w:rFonts w:cs="Times New Roman"/>
          <w:b/>
          <w:lang w:val="en-GB"/>
        </w:rPr>
        <w:t>Two Senses of ‘About’</w:t>
      </w:r>
      <w:bookmarkEnd w:id="5"/>
    </w:p>
    <w:p w14:paraId="07ECEED7" w14:textId="77777777" w:rsidR="00AB1F4E" w:rsidRPr="008603AC" w:rsidRDefault="00AB1F4E" w:rsidP="00AB1F4E">
      <w:pPr>
        <w:ind w:firstLine="0"/>
        <w:jc w:val="left"/>
        <w:rPr>
          <w:rFonts w:cs="Times New Roman"/>
          <w:lang w:val="en-GB"/>
        </w:rPr>
      </w:pPr>
      <w:r w:rsidRPr="008603AC">
        <w:rPr>
          <w:rFonts w:cs="Times New Roman"/>
          <w:lang w:val="en-GB"/>
        </w:rPr>
        <w:t>In this section I explain what it means for sentences like (1)</w:t>
      </w:r>
      <w:r w:rsidRPr="008603AC">
        <w:rPr>
          <w:rFonts w:cs="Times New Roman"/>
          <w:szCs w:val="24"/>
          <w:lang w:val="en-GB"/>
        </w:rPr>
        <w:t xml:space="preserve"> –</w:t>
      </w:r>
      <w:r w:rsidRPr="008603AC">
        <w:rPr>
          <w:rFonts w:cs="Times New Roman"/>
          <w:lang w:val="en-GB"/>
        </w:rPr>
        <w:t xml:space="preserve"> (8) to be misleading in the sense here discussed. Drawing on (Ryle 1933; 2009a, 86–88), the proposed explanation hinges on the distinction between two senses of ‘about’. As stated at the outset, the notion of misleading expression applies to cases where a linguistic expression – typically, a sentence – looks as if it is about something while in fact it is about something else. But how are we to understand the difference between what a sentence seems to be about and what it actually is about? More pointedly, what clue do we have as to what a sentence actually is about? I argue that, whereas what a sentence seems to be about is determined by its </w:t>
      </w:r>
      <w:r w:rsidRPr="008603AC">
        <w:rPr>
          <w:rFonts w:cs="Times New Roman"/>
          <w:i/>
          <w:lang w:val="en-GB"/>
        </w:rPr>
        <w:t xml:space="preserve">surface grammar </w:t>
      </w:r>
      <w:r w:rsidRPr="008603AC">
        <w:rPr>
          <w:rFonts w:cs="Times New Roman"/>
          <w:lang w:val="en-GB"/>
        </w:rPr>
        <w:t xml:space="preserve">(starting with its grammatical subject), what it actually is about is determined by its </w:t>
      </w:r>
      <w:r w:rsidRPr="008603AC">
        <w:rPr>
          <w:rFonts w:cs="Times New Roman"/>
          <w:i/>
          <w:lang w:val="en-GB"/>
        </w:rPr>
        <w:t>truth conditions</w:t>
      </w:r>
      <w:r w:rsidRPr="008603AC">
        <w:rPr>
          <w:rFonts w:cs="Times New Roman"/>
          <w:lang w:val="en-GB"/>
        </w:rPr>
        <w:t>. Accordingly, successfully analysing a misleading expression amounts to paraphrasing it into a non-misleading expression with the same truth conditions. This, I submit, is at bottom the view held by Ryle and Brentano, as I interpret them.</w:t>
      </w:r>
    </w:p>
    <w:p w14:paraId="279366AE" w14:textId="77777777" w:rsidR="00AB1F4E" w:rsidRPr="008603AC" w:rsidRDefault="00AB1F4E" w:rsidP="00AB1F4E">
      <w:pPr>
        <w:jc w:val="left"/>
        <w:rPr>
          <w:rFonts w:cs="Times New Roman"/>
          <w:lang w:val="en-GB"/>
        </w:rPr>
      </w:pPr>
      <w:r w:rsidRPr="008603AC">
        <w:rPr>
          <w:rFonts w:cs="Times New Roman"/>
          <w:lang w:val="en-GB"/>
        </w:rPr>
        <w:t xml:space="preserve">Consider (1) ‘Satan is not a reality’. It has the same surface grammar than ‘Capone is not a philosopher’, and yet, whereas the latter denies a certain property (namely, that of ‘being a philosopher’) to the individual called ‘Capone’, it would be an error to say that the former denies a certain property (that of ‘being a reality’) to an individual called ‘Satan’. Despite the grammatical appearances, the sentence ‘Satan is not a reality’ is not about Satan in the way in which ‘Capone is not a philosopher’ is about Capone (Ryle 1932a, 148–149; 2009a, 48). (1) refers, if at all, to something </w:t>
      </w:r>
      <w:r w:rsidRPr="008603AC">
        <w:rPr>
          <w:rFonts w:cs="Times New Roman"/>
          <w:i/>
          <w:lang w:val="en-GB"/>
        </w:rPr>
        <w:t>else</w:t>
      </w:r>
      <w:r w:rsidRPr="008603AC">
        <w:rPr>
          <w:rFonts w:cs="Times New Roman"/>
          <w:lang w:val="en-GB"/>
        </w:rPr>
        <w:t xml:space="preserve">, namely the fact that </w:t>
      </w:r>
      <w:r w:rsidRPr="008603AC">
        <w:rPr>
          <w:rFonts w:cs="Times New Roman"/>
          <w:i/>
          <w:lang w:val="en-GB"/>
        </w:rPr>
        <w:t>there is no individual</w:t>
      </w:r>
      <w:r w:rsidRPr="008603AC">
        <w:rPr>
          <w:rFonts w:cs="Times New Roman"/>
          <w:lang w:val="en-GB"/>
        </w:rPr>
        <w:t xml:space="preserve"> which is called ‘Satan’ and exhibits the related features (is devilish, etc.). A similar observation, Ryle suggests, applies to (2)</w:t>
      </w:r>
      <w:r w:rsidRPr="008603AC">
        <w:rPr>
          <w:rFonts w:cs="Times New Roman"/>
          <w:szCs w:val="24"/>
          <w:lang w:val="en-GB"/>
        </w:rPr>
        <w:t xml:space="preserve"> –</w:t>
      </w:r>
      <w:r w:rsidRPr="008603AC">
        <w:rPr>
          <w:rFonts w:cs="Times New Roman"/>
          <w:lang w:val="en-GB"/>
        </w:rPr>
        <w:t xml:space="preserve"> (8): (2) looks as if it is denying existence to unicorns in the way in which ‘Cows are not carnivorous’ </w:t>
      </w:r>
      <w:r w:rsidR="00BA2C61">
        <w:rPr>
          <w:rFonts w:cs="Times New Roman"/>
          <w:lang w:val="en-GB"/>
        </w:rPr>
        <w:t xml:space="preserve">(say) </w:t>
      </w:r>
      <w:r w:rsidRPr="008603AC">
        <w:rPr>
          <w:rFonts w:cs="Times New Roman"/>
          <w:lang w:val="en-GB"/>
        </w:rPr>
        <w:t xml:space="preserve">denies the property of being carnivorous to cows; (3) looks as if it ascribes the property of being reprehensible to unpunctuality in the way in which ‘Paul is eligible (to become governor)’ ascribes the property of being eligible to Paul; (4) looks as if it is ascribing to colour the property of involving extension in the way in which ‘The final list involves Paul’s name’ ascribes to the final list the property of involving Paul’s name; (5) looks as if it is about the King of France in the way in which ‘This is the picture which is on my desk’ is about the picture which is on my desk, etc. </w:t>
      </w:r>
      <w:r w:rsidR="00BA2C61">
        <w:rPr>
          <w:rFonts w:cs="Times New Roman"/>
          <w:lang w:val="en-GB"/>
        </w:rPr>
        <w:t>S</w:t>
      </w:r>
      <w:r w:rsidRPr="008603AC">
        <w:rPr>
          <w:rFonts w:cs="Times New Roman"/>
          <w:lang w:val="en-GB"/>
        </w:rPr>
        <w:t xml:space="preserve">entences </w:t>
      </w:r>
      <w:r w:rsidR="00BA2C61">
        <w:rPr>
          <w:rFonts w:cs="Times New Roman"/>
          <w:lang w:val="en-GB"/>
        </w:rPr>
        <w:t>(1</w:t>
      </w:r>
      <w:r w:rsidR="00BA2C61" w:rsidRPr="008603AC">
        <w:rPr>
          <w:rFonts w:cs="Times New Roman"/>
          <w:lang w:val="en-GB"/>
        </w:rPr>
        <w:t>)</w:t>
      </w:r>
      <w:r w:rsidR="00BA2C61" w:rsidRPr="008603AC">
        <w:rPr>
          <w:rFonts w:cs="Times New Roman"/>
          <w:szCs w:val="24"/>
          <w:lang w:val="en-GB"/>
        </w:rPr>
        <w:t xml:space="preserve"> –</w:t>
      </w:r>
      <w:r w:rsidR="00BA2C61" w:rsidRPr="008603AC">
        <w:rPr>
          <w:rFonts w:cs="Times New Roman"/>
          <w:lang w:val="en-GB"/>
        </w:rPr>
        <w:t xml:space="preserve"> (8)</w:t>
      </w:r>
      <w:r w:rsidRPr="008603AC">
        <w:rPr>
          <w:rFonts w:cs="Times New Roman"/>
          <w:lang w:val="en-GB"/>
        </w:rPr>
        <w:t xml:space="preserve">are misleading in the sense that they look as if they refer to something while that actually refer to </w:t>
      </w:r>
      <w:r w:rsidRPr="008603AC">
        <w:rPr>
          <w:rFonts w:cs="Times New Roman"/>
          <w:i/>
          <w:lang w:val="en-GB"/>
        </w:rPr>
        <w:t>something else, which is not explicitly named in them</w:t>
      </w:r>
      <w:r w:rsidRPr="008603AC">
        <w:rPr>
          <w:rFonts w:cs="Times New Roman"/>
          <w:lang w:val="en-GB"/>
        </w:rPr>
        <w:t>.</w:t>
      </w:r>
    </w:p>
    <w:p w14:paraId="5CD6DA01" w14:textId="77777777" w:rsidR="00AB1F4E" w:rsidRPr="008603AC" w:rsidRDefault="00AB1F4E" w:rsidP="00AB1F4E">
      <w:pPr>
        <w:jc w:val="left"/>
        <w:rPr>
          <w:rFonts w:cs="Times New Roman"/>
          <w:lang w:val="en-GB"/>
        </w:rPr>
      </w:pPr>
      <w:r w:rsidRPr="008603AC">
        <w:rPr>
          <w:rFonts w:cs="Times New Roman"/>
          <w:lang w:val="en-GB"/>
        </w:rPr>
        <w:t>Here is yet another example:</w:t>
      </w:r>
    </w:p>
    <w:p w14:paraId="39764C6E" w14:textId="77777777" w:rsidR="00AB1F4E" w:rsidRPr="008603AC" w:rsidRDefault="00AB1F4E" w:rsidP="00AB1F4E">
      <w:pPr>
        <w:jc w:val="left"/>
        <w:rPr>
          <w:rFonts w:cs="Times New Roman"/>
          <w:lang w:val="en-GB"/>
        </w:rPr>
      </w:pPr>
      <w:r w:rsidRPr="008603AC">
        <w:rPr>
          <w:rFonts w:cs="Times New Roman"/>
          <w:lang w:val="en-GB"/>
        </w:rPr>
        <w:t>(9) ‘Centaurs are fictional creatures’.</w:t>
      </w:r>
    </w:p>
    <w:p w14:paraId="0A5ED94D" w14:textId="77777777" w:rsidR="00AB1F4E" w:rsidRPr="008603AC" w:rsidRDefault="00AB1F4E" w:rsidP="00AB1F4E">
      <w:pPr>
        <w:ind w:firstLine="0"/>
        <w:jc w:val="left"/>
        <w:rPr>
          <w:rFonts w:cs="Times New Roman"/>
          <w:lang w:val="en-GB"/>
        </w:rPr>
      </w:pPr>
      <w:r w:rsidRPr="008603AC">
        <w:rPr>
          <w:rFonts w:cs="Times New Roman"/>
          <w:lang w:val="en-GB"/>
        </w:rPr>
        <w:t xml:space="preserve">Now take the following, </w:t>
      </w:r>
      <w:r w:rsidRPr="008603AC">
        <w:rPr>
          <w:rFonts w:cs="Times New Roman"/>
          <w:i/>
          <w:lang w:val="en-GB"/>
        </w:rPr>
        <w:t>non</w:t>
      </w:r>
      <w:r w:rsidRPr="008603AC">
        <w:rPr>
          <w:rFonts w:cs="Times New Roman"/>
          <w:lang w:val="en-GB"/>
        </w:rPr>
        <w:t>-misleading sentence:</w:t>
      </w:r>
    </w:p>
    <w:p w14:paraId="73C3216E" w14:textId="77777777" w:rsidR="00AB1F4E" w:rsidRPr="008603AC" w:rsidRDefault="00AB1F4E" w:rsidP="00AB1F4E">
      <w:pPr>
        <w:jc w:val="left"/>
        <w:rPr>
          <w:rFonts w:cs="Times New Roman"/>
          <w:lang w:val="en-GB"/>
        </w:rPr>
      </w:pPr>
      <w:r w:rsidRPr="008603AC">
        <w:rPr>
          <w:rFonts w:cs="Times New Roman"/>
          <w:lang w:val="en-GB"/>
        </w:rPr>
        <w:t xml:space="preserve">(10) ‘Whales are marine mammals’. </w:t>
      </w:r>
    </w:p>
    <w:p w14:paraId="1FE67D96" w14:textId="77777777" w:rsidR="00AB1F4E" w:rsidRPr="008603AC" w:rsidRDefault="00AB1F4E" w:rsidP="00AB1F4E">
      <w:pPr>
        <w:ind w:firstLine="0"/>
        <w:jc w:val="left"/>
        <w:rPr>
          <w:rFonts w:cs="Times New Roman"/>
          <w:lang w:val="en-GB"/>
        </w:rPr>
      </w:pPr>
      <w:r w:rsidRPr="008603AC">
        <w:rPr>
          <w:rFonts w:cs="Times New Roman"/>
          <w:lang w:val="en-GB"/>
        </w:rPr>
        <w:t xml:space="preserve">Plainly, the grammatical structure of (9) is identical to that of (10): they have exactly the same surface grammar. However, whereas (10) ascribes the property of being marine mammals to whales, (9) does not ascribe the property of being mythical creatures to centaurs. ‘Though the grammatical appearances are to the contrary’, as Ryle puts it (1932a, 144; 2009a, 45), (9) is not about centaurs in the way in which (10) is about whales, for the word ‘centaurs’ does not signify a ‘subject of attributes’. Rather, (9) is a shorthand for what would be less conveniently, albeit less misleadingly, expressed by means of </w:t>
      </w:r>
      <w:r w:rsidRPr="008603AC">
        <w:rPr>
          <w:rFonts w:cs="Times New Roman"/>
          <w:i/>
          <w:lang w:val="en-GB"/>
        </w:rPr>
        <w:t>another</w:t>
      </w:r>
      <w:r w:rsidRPr="008603AC">
        <w:rPr>
          <w:rFonts w:cs="Times New Roman"/>
          <w:lang w:val="en-GB"/>
        </w:rPr>
        <w:t xml:space="preserve"> sentence like, perhaps:</w:t>
      </w:r>
    </w:p>
    <w:p w14:paraId="686CAA72" w14:textId="77777777" w:rsidR="00AB1F4E" w:rsidRPr="008603AC" w:rsidRDefault="00AB1F4E" w:rsidP="00AB1F4E">
      <w:pPr>
        <w:ind w:left="567" w:firstLine="0"/>
        <w:jc w:val="left"/>
        <w:rPr>
          <w:rFonts w:cs="Times New Roman"/>
          <w:lang w:val="en-GB"/>
        </w:rPr>
      </w:pPr>
      <w:r w:rsidRPr="008603AC">
        <w:rPr>
          <w:rFonts w:cs="Times New Roman"/>
          <w:lang w:val="en-GB"/>
        </w:rPr>
        <w:t>(9*) ‘There is no creature in the non-fictional world which is half-man and half-horse’ (or whatever properties are taken to be definitional of centaurs).</w:t>
      </w:r>
    </w:p>
    <w:p w14:paraId="2BD3D824" w14:textId="77777777" w:rsidR="00AB1F4E" w:rsidRPr="008603AC" w:rsidRDefault="00AB1F4E" w:rsidP="00AB1F4E">
      <w:pPr>
        <w:jc w:val="left"/>
        <w:rPr>
          <w:rFonts w:cs="Times New Roman"/>
          <w:lang w:val="en-GB"/>
        </w:rPr>
      </w:pPr>
      <w:r w:rsidRPr="008603AC">
        <w:rPr>
          <w:rFonts w:cs="Times New Roman"/>
          <w:lang w:val="en-GB"/>
        </w:rPr>
        <w:t xml:space="preserve">It is important to note that systematically misleading sentences are not </w:t>
      </w:r>
      <w:r w:rsidRPr="008603AC">
        <w:rPr>
          <w:rFonts w:cs="Times New Roman"/>
          <w:i/>
          <w:lang w:val="en-GB"/>
        </w:rPr>
        <w:t>per se</w:t>
      </w:r>
      <w:r w:rsidRPr="008603AC">
        <w:rPr>
          <w:rFonts w:cs="Times New Roman"/>
          <w:lang w:val="en-GB"/>
        </w:rPr>
        <w:t xml:space="preserve"> syntactically ill-formed (e.g. ‘green is where’), nonsensical (‘the number three is screaming loudly’) or false (‘Descartes is born in the 1400s’). On the contrary, they do not violate any rule of grammar or semantics. What is more, they are not to be conflated with equivocal expressions (‘this curry is hot’), which admittedly are </w:t>
      </w:r>
      <w:r w:rsidRPr="008603AC">
        <w:rPr>
          <w:rFonts w:cs="Times New Roman"/>
          <w:i/>
          <w:lang w:val="en-GB"/>
        </w:rPr>
        <w:t>occasionally</w:t>
      </w:r>
      <w:r w:rsidRPr="008603AC">
        <w:rPr>
          <w:rFonts w:cs="Times New Roman"/>
          <w:lang w:val="en-GB"/>
        </w:rPr>
        <w:t xml:space="preserve"> misleading – even though, most of the time, the context of utterance usually contributes to remove any doubt as to their actual meaning. Again, the ‘plain man’ is in no way misled or puzzled by them. They are a source of trouble for philosophers only.</w:t>
      </w:r>
    </w:p>
    <w:p w14:paraId="7917B929" w14:textId="77777777" w:rsidR="00AB1F4E" w:rsidRPr="008603AC" w:rsidRDefault="00AB1F4E" w:rsidP="00AB1F4E">
      <w:pPr>
        <w:jc w:val="left"/>
        <w:rPr>
          <w:rFonts w:cs="Times New Roman"/>
          <w:lang w:val="en-GB"/>
        </w:rPr>
      </w:pPr>
      <w:r w:rsidRPr="008603AC">
        <w:rPr>
          <w:rFonts w:cs="Times New Roman"/>
          <w:lang w:val="en-GB"/>
        </w:rPr>
        <w:t>Surely, at this point, it would be good to have a definition of the notion of misleading expression. Ryle himself does not offer any formal definition but describes the situation as follows: (9) and (10), despite having the same surface grammar, actually refer to ‘different types’ of states-of-affairs or to facts with a ‘different logical structure’. Now when two sentences with the same grammatical structure refer to different types of states-of-affairs, taking the linguistic expressions ‘at face value’ can result in one’s becoming oblivious to the differences between the types of facts referred to. Hence, Ryle suggests that the following holds true of all systematically misleading expressions: they ‘are couched in a syntactical form improper to the facts recorded and proper to facts of quite another logical form than the facts recorded’ (Ryle 1932a, 143; 2009a, 44).</w:t>
      </w:r>
    </w:p>
    <w:p w14:paraId="1E27632A" w14:textId="77777777" w:rsidR="00AB1F4E" w:rsidRPr="008603AC" w:rsidRDefault="00AB1F4E" w:rsidP="00AB1F4E">
      <w:pPr>
        <w:jc w:val="left"/>
        <w:rPr>
          <w:rFonts w:cs="Times New Roman"/>
          <w:lang w:val="en-GB"/>
        </w:rPr>
      </w:pPr>
      <w:r w:rsidRPr="008603AC">
        <w:rPr>
          <w:rFonts w:cs="Times New Roman"/>
          <w:lang w:val="en-GB"/>
        </w:rPr>
        <w:t xml:space="preserve">Admittedly, this is hardly a definition. Besides, this description is utterly silent on what clue one might have as to what fact is actually ‘recorded’. In his three-page article for the first issue of the journal </w:t>
      </w:r>
      <w:r w:rsidRPr="008603AC">
        <w:rPr>
          <w:rFonts w:cs="Times New Roman"/>
          <w:i/>
          <w:lang w:val="en-GB"/>
        </w:rPr>
        <w:t>Analysis</w:t>
      </w:r>
      <w:r w:rsidRPr="008603AC">
        <w:rPr>
          <w:rFonts w:cs="Times New Roman"/>
          <w:lang w:val="en-GB"/>
        </w:rPr>
        <w:t xml:space="preserve">, though, Ryle introduces an interesting distinction between various senses of ‘about’ which, as it happens, makes it possible to spell out the notion of misleading sentence in a somewhat more precise fashion. He distinguishes between what a sentence is about in a </w:t>
      </w:r>
      <w:r w:rsidRPr="008603AC">
        <w:rPr>
          <w:rFonts w:cs="Times New Roman"/>
          <w:i/>
          <w:lang w:val="en-GB"/>
        </w:rPr>
        <w:t>linguistic</w:t>
      </w:r>
      <w:r w:rsidRPr="008603AC">
        <w:rPr>
          <w:rFonts w:cs="Times New Roman"/>
          <w:lang w:val="en-GB"/>
        </w:rPr>
        <w:t xml:space="preserve"> sense and what it is about in a </w:t>
      </w:r>
      <w:r w:rsidRPr="008603AC">
        <w:rPr>
          <w:rFonts w:cs="Times New Roman"/>
          <w:i/>
          <w:lang w:val="en-GB"/>
        </w:rPr>
        <w:t>referential</w:t>
      </w:r>
      <w:r w:rsidRPr="008603AC">
        <w:rPr>
          <w:rFonts w:cs="Times New Roman"/>
          <w:lang w:val="en-GB"/>
        </w:rPr>
        <w:t xml:space="preserve"> sense (Ryle 1933; 2009a, 86–88). Thus, (1) ‘Satan is not a reality’ is about Satan in a merely linguistic (and nominal) sense. Yet, it does not refer to Satan, since there is no such a thing as an individual called Satan. The distinction can be captured by means of the following notation: sentence (1) is ‘about (l)’ Satan (in the linguistic sense of ‘about’) while it is not ‘about (r)’ Satan (in the referential sense of ‘about’). Note that, contrary to what this example suggests, what a sentence is about (l) is not exhausted by its grammatical subject. On Ryle’s account, the sentence (5) ‘Poincaré is not the King of France’ is ‘nominatively’ (i.e. in virtue of its grammatical subject) ‘about (l)’ Poincaré, but it is also ‘about (l)’ the King of France, just like the sentence (8) ‘Smith is a probable Lord Mayor’ is both ‘about (l)’ Smith and ‘about (l)’ a probable Lord Mayor. The important thing, however, is that they are </w:t>
      </w:r>
      <w:r w:rsidRPr="008603AC">
        <w:rPr>
          <w:rFonts w:cs="Times New Roman"/>
          <w:i/>
          <w:lang w:val="en-GB"/>
        </w:rPr>
        <w:t>not</w:t>
      </w:r>
      <w:r w:rsidRPr="008603AC">
        <w:rPr>
          <w:rFonts w:cs="Times New Roman"/>
          <w:lang w:val="en-GB"/>
        </w:rPr>
        <w:t xml:space="preserve"> ‘about (r)’ the King of France or a probable Lord Mayor. Again, they refer, if at all, to something else.</w:t>
      </w:r>
    </w:p>
    <w:p w14:paraId="6814131A" w14:textId="77777777" w:rsidR="00AB1F4E" w:rsidRPr="008603AC" w:rsidRDefault="00AB1F4E" w:rsidP="00AB1F4E">
      <w:pPr>
        <w:jc w:val="left"/>
        <w:rPr>
          <w:rFonts w:cs="Times New Roman"/>
          <w:lang w:val="en-GB"/>
        </w:rPr>
      </w:pPr>
      <w:r w:rsidRPr="008603AC">
        <w:rPr>
          <w:rFonts w:cs="Times New Roman"/>
          <w:lang w:val="en-GB"/>
        </w:rPr>
        <w:t>My suggestion is that this distinction between the linguistic and the referential use of ‘about’ may be employed to define the notion of systematically misleading sentence. The definition I have in mind is as follows:</w:t>
      </w:r>
    </w:p>
    <w:p w14:paraId="652DCC45" w14:textId="77777777" w:rsidR="00AB1F4E" w:rsidRPr="008603AC" w:rsidRDefault="00AB1F4E" w:rsidP="00AB1F4E">
      <w:pPr>
        <w:keepNext/>
        <w:ind w:left="284" w:firstLine="0"/>
        <w:jc w:val="left"/>
        <w:rPr>
          <w:rFonts w:cs="Times New Roman"/>
          <w:i/>
          <w:lang w:val="en-GB"/>
        </w:rPr>
      </w:pPr>
      <w:r w:rsidRPr="008603AC">
        <w:rPr>
          <w:rFonts w:cs="Times New Roman"/>
          <w:i/>
          <w:lang w:val="en-GB"/>
        </w:rPr>
        <w:t>Systematically Misleading Sentence</w:t>
      </w:r>
    </w:p>
    <w:p w14:paraId="29026EA0" w14:textId="77777777" w:rsidR="00AB1F4E" w:rsidRPr="008603AC" w:rsidRDefault="00AB1F4E" w:rsidP="00AB1F4E">
      <w:pPr>
        <w:ind w:left="284" w:firstLine="0"/>
        <w:jc w:val="left"/>
        <w:rPr>
          <w:rFonts w:cs="Times New Roman"/>
          <w:lang w:val="en-GB"/>
        </w:rPr>
      </w:pPr>
      <w:r w:rsidRPr="008603AC">
        <w:rPr>
          <w:rFonts w:cs="Times New Roman"/>
          <w:lang w:val="en-GB"/>
        </w:rPr>
        <w:t xml:space="preserve">For any sentence </w:t>
      </w:r>
      <w:r w:rsidRPr="008603AC">
        <w:rPr>
          <w:rFonts w:cs="Times New Roman"/>
          <w:i/>
          <w:lang w:val="en-GB"/>
        </w:rPr>
        <w:t>S</w:t>
      </w:r>
      <w:r w:rsidRPr="008603AC">
        <w:rPr>
          <w:rFonts w:cs="Times New Roman"/>
          <w:lang w:val="en-GB"/>
        </w:rPr>
        <w:t xml:space="preserve">, </w:t>
      </w:r>
      <w:r w:rsidRPr="008603AC">
        <w:rPr>
          <w:rFonts w:cs="Times New Roman"/>
          <w:i/>
          <w:lang w:val="en-GB"/>
        </w:rPr>
        <w:t>S</w:t>
      </w:r>
      <w:r w:rsidRPr="008603AC">
        <w:rPr>
          <w:rFonts w:cs="Times New Roman"/>
          <w:lang w:val="en-GB"/>
        </w:rPr>
        <w:t xml:space="preserve"> is systematically misleading if, and only if, (i) </w:t>
      </w:r>
      <w:r w:rsidRPr="008603AC">
        <w:rPr>
          <w:rFonts w:cs="Times New Roman"/>
          <w:i/>
          <w:lang w:val="en-GB"/>
        </w:rPr>
        <w:t>S</w:t>
      </w:r>
      <w:r w:rsidRPr="008603AC">
        <w:rPr>
          <w:rFonts w:cs="Times New Roman"/>
          <w:lang w:val="en-GB"/>
        </w:rPr>
        <w:t xml:space="preserve"> is ‘about (l)’ </w:t>
      </w:r>
      <w:r w:rsidRPr="008603AC">
        <w:rPr>
          <w:rFonts w:cs="Times New Roman"/>
          <w:i/>
          <w:lang w:val="en-GB"/>
        </w:rPr>
        <w:t>x</w:t>
      </w:r>
      <w:r w:rsidRPr="008603AC">
        <w:rPr>
          <w:rFonts w:cs="Times New Roman"/>
          <w:lang w:val="en-GB"/>
        </w:rPr>
        <w:t xml:space="preserve"> and (ii) </w:t>
      </w:r>
      <w:r w:rsidRPr="008603AC">
        <w:rPr>
          <w:rFonts w:cs="Times New Roman"/>
          <w:i/>
          <w:lang w:val="en-GB"/>
        </w:rPr>
        <w:t>S</w:t>
      </w:r>
      <w:r w:rsidRPr="008603AC">
        <w:rPr>
          <w:rFonts w:cs="Times New Roman"/>
          <w:lang w:val="en-GB"/>
        </w:rPr>
        <w:t xml:space="preserve"> is ‘about (r)’ </w:t>
      </w:r>
      <w:r w:rsidRPr="008603AC">
        <w:rPr>
          <w:rFonts w:cs="Times New Roman"/>
          <w:i/>
          <w:lang w:val="en-GB"/>
        </w:rPr>
        <w:t>y</w:t>
      </w:r>
      <w:r w:rsidRPr="008603AC">
        <w:rPr>
          <w:rFonts w:cs="Times New Roman"/>
          <w:lang w:val="en-GB"/>
        </w:rPr>
        <w:t xml:space="preserve"> and (iii) </w:t>
      </w:r>
      <w:r w:rsidRPr="008603AC">
        <w:rPr>
          <w:rFonts w:cs="Times New Roman"/>
          <w:i/>
          <w:lang w:val="en-GB"/>
        </w:rPr>
        <w:t>x</w:t>
      </w:r>
      <w:r w:rsidRPr="008603AC">
        <w:rPr>
          <w:rFonts w:cs="Times New Roman"/>
          <w:lang w:val="en-GB"/>
        </w:rPr>
        <w:t xml:space="preserve"> ≠ </w:t>
      </w:r>
      <w:r w:rsidRPr="008603AC">
        <w:rPr>
          <w:rFonts w:cs="Times New Roman"/>
          <w:i/>
          <w:lang w:val="en-GB"/>
        </w:rPr>
        <w:t>y</w:t>
      </w:r>
      <w:r w:rsidRPr="008603AC">
        <w:rPr>
          <w:rFonts w:cs="Times New Roman"/>
          <w:lang w:val="en-GB"/>
        </w:rPr>
        <w:t>.</w:t>
      </w:r>
    </w:p>
    <w:p w14:paraId="5D5AB7C1" w14:textId="77777777" w:rsidR="00AB1F4E" w:rsidRPr="008603AC" w:rsidRDefault="00AB1F4E" w:rsidP="00AB1F4E">
      <w:pPr>
        <w:jc w:val="left"/>
        <w:rPr>
          <w:rFonts w:cs="Times New Roman"/>
          <w:lang w:val="en-GB"/>
        </w:rPr>
      </w:pPr>
      <w:r w:rsidRPr="008603AC">
        <w:rPr>
          <w:rFonts w:cs="Times New Roman"/>
          <w:lang w:val="en-GB"/>
        </w:rPr>
        <w:t>On the face of it, this sounds quite promising.</w:t>
      </w:r>
      <w:r w:rsidRPr="008603AC">
        <w:rPr>
          <w:rFonts w:cs="Times New Roman"/>
          <w:sz w:val="20"/>
          <w:szCs w:val="20"/>
          <w:lang w:val="en-GB"/>
        </w:rPr>
        <w:t xml:space="preserve"> </w:t>
      </w:r>
      <w:r w:rsidRPr="008603AC">
        <w:rPr>
          <w:rFonts w:cs="Times New Roman"/>
          <w:lang w:val="en-GB"/>
        </w:rPr>
        <w:t xml:space="preserve">But we are still faced with the same difficulty: how are we supposed to find out what a given expression is ‘about (r)’? Ryle is not very explicit on that score, to say the least, but I suspect that the notion of </w:t>
      </w:r>
      <w:r w:rsidRPr="008603AC">
        <w:rPr>
          <w:rFonts w:cs="Times New Roman"/>
          <w:i/>
          <w:lang w:val="en-GB"/>
        </w:rPr>
        <w:t>truth conditions</w:t>
      </w:r>
      <w:r w:rsidRPr="008603AC">
        <w:rPr>
          <w:rFonts w:cs="Times New Roman"/>
          <w:lang w:val="en-GB"/>
        </w:rPr>
        <w:t xml:space="preserve"> offers the needed leverage here. Recall that systematically misleading sentences like (1) ‘Satan is not a reality’ or (9) ‘Centaurs are fictional creatures’ are not false. In most cases they are true, and they are so in the perfectly common sense that some fact or state-of-affairs makes them true. Yet, even when they are not true, they have </w:t>
      </w:r>
      <w:r w:rsidRPr="008603AC">
        <w:rPr>
          <w:rFonts w:cs="Times New Roman"/>
          <w:i/>
          <w:lang w:val="en-GB"/>
        </w:rPr>
        <w:t>truth conditions</w:t>
      </w:r>
      <w:r w:rsidRPr="008603AC">
        <w:rPr>
          <w:rFonts w:cs="Times New Roman"/>
          <w:lang w:val="en-GB"/>
        </w:rPr>
        <w:t xml:space="preserve"> and this, I submit, is of paramount importance whenever it comes to paraphrasing them into less misleading expressions. Note well: Ryle himself does not talk of truth conditions; yet, if I’m not mistaken, this notion captures what he and Brentano are after in their analyses. Take (6) ‘Jones hates the thought of going to the hospital’. It looks as if it is about an entity referred to as ‘the thought of going to the hospital’, but this grammatical appearance is deceptive, Ryle says. How can we tell? Reply: by considering its truth conditions. ‘</w:t>
      </w:r>
      <w:r w:rsidRPr="008603AC">
        <w:rPr>
          <w:rFonts w:cs="Times New Roman"/>
          <w:i/>
          <w:lang w:val="en-GB"/>
        </w:rPr>
        <w:t>For it to be true</w:t>
      </w:r>
      <w:r w:rsidRPr="008603AC">
        <w:rPr>
          <w:rFonts w:cs="Times New Roman"/>
          <w:lang w:val="en-GB"/>
        </w:rPr>
        <w:t xml:space="preserve">’, he writes, ‘the world must contain a Jones who is sometimes thinking and sometimes, say, sleeping; but it need no more contain both Jones and “the thought or idea of so and so” than it need contain both someone called “Jones” and something called “Sleep”’ (Ryle 1932a, 161; 2009a, 58; my emphasis). Compare Brentano: ‘The proposition, “A centaur is a poetic fiction,” does not imply […] that a centaur exists, rather it implies the opposite. But </w:t>
      </w:r>
      <w:r w:rsidRPr="008603AC">
        <w:rPr>
          <w:rFonts w:cs="Times New Roman"/>
          <w:i/>
          <w:lang w:val="en-GB"/>
        </w:rPr>
        <w:t xml:space="preserve">if it is true, </w:t>
      </w:r>
      <w:r w:rsidRPr="008603AC">
        <w:rPr>
          <w:rFonts w:cs="Times New Roman"/>
          <w:lang w:val="en-GB"/>
        </w:rPr>
        <w:t>it does imply that somethin</w:t>
      </w:r>
      <w:r>
        <w:rPr>
          <w:rFonts w:cs="Times New Roman"/>
          <w:lang w:val="en-GB"/>
        </w:rPr>
        <w:t xml:space="preserve">g else exists’ (Brentano 1925, </w:t>
      </w:r>
      <w:r w:rsidRPr="008603AC">
        <w:rPr>
          <w:rFonts w:cs="Times New Roman"/>
          <w:lang w:val="en-GB"/>
        </w:rPr>
        <w:t>61; 1995, 219; my emphasis). As I interpret them, those passages speak in favour of reframing Ryle and Brentano’s conception of analysis in terms of truth conditions. In order to find out what a sentence really is about (r), all you have to do is inquire what should be the case for the sentence to be true.</w:t>
      </w:r>
    </w:p>
    <w:p w14:paraId="7C4859D3" w14:textId="77777777" w:rsidR="00AB1F4E" w:rsidRPr="008603AC" w:rsidRDefault="00AB1F4E" w:rsidP="00AB1F4E">
      <w:pPr>
        <w:jc w:val="left"/>
        <w:rPr>
          <w:rFonts w:cs="Times New Roman"/>
          <w:lang w:val="en-GB"/>
        </w:rPr>
      </w:pPr>
      <w:r w:rsidRPr="008603AC">
        <w:rPr>
          <w:rFonts w:cs="Times New Roman"/>
          <w:lang w:val="en-GB"/>
        </w:rPr>
        <w:t xml:space="preserve">Let me take stock. Saying that linguistic expressions may be misleading in a systematic or non-occasional way amounts to saying that there is sometimes a gap between what an expression </w:t>
      </w:r>
      <w:r w:rsidRPr="008603AC">
        <w:rPr>
          <w:rFonts w:cs="Times New Roman"/>
          <w:i/>
          <w:lang w:val="en-GB"/>
        </w:rPr>
        <w:t xml:space="preserve">seems </w:t>
      </w:r>
      <w:r w:rsidRPr="008603AC">
        <w:rPr>
          <w:rFonts w:cs="Times New Roman"/>
          <w:lang w:val="en-GB"/>
        </w:rPr>
        <w:t xml:space="preserve">to be about and what it </w:t>
      </w:r>
      <w:r w:rsidRPr="008603AC">
        <w:rPr>
          <w:rFonts w:cs="Times New Roman"/>
          <w:i/>
          <w:lang w:val="en-GB"/>
        </w:rPr>
        <w:t xml:space="preserve">actually </w:t>
      </w:r>
      <w:r w:rsidRPr="008603AC">
        <w:rPr>
          <w:rFonts w:cs="Times New Roman"/>
          <w:lang w:val="en-GB"/>
        </w:rPr>
        <w:t xml:space="preserve">is about. On the proposed interpretation, this difference is best understood when applied to sentences – that is, truth-assessible expressions. What a sentence seems to be about is determined by its surface grammar, including its grammatical subject. (9) looks as if it is about centaurs in virtue of having the word ‘centaurs’ as grammatical subject, just like (5) looks as if it is about the King of France as having ‘the King of France’ as grammatical predicate. By contrast, what a sentence </w:t>
      </w:r>
      <w:r w:rsidRPr="008603AC">
        <w:rPr>
          <w:rFonts w:cs="Times New Roman"/>
          <w:i/>
          <w:lang w:val="en-GB"/>
        </w:rPr>
        <w:t>actually</w:t>
      </w:r>
      <w:r w:rsidRPr="008603AC">
        <w:rPr>
          <w:rFonts w:cs="Times New Roman"/>
          <w:lang w:val="en-GB"/>
        </w:rPr>
        <w:t xml:space="preserve"> is about is determined by its </w:t>
      </w:r>
      <w:r w:rsidRPr="008603AC">
        <w:rPr>
          <w:rFonts w:cs="Times New Roman"/>
          <w:i/>
          <w:lang w:val="en-GB"/>
        </w:rPr>
        <w:t>truth conditions</w:t>
      </w:r>
      <w:r w:rsidRPr="008603AC">
        <w:rPr>
          <w:rFonts w:cs="Times New Roman"/>
          <w:lang w:val="en-GB"/>
        </w:rPr>
        <w:t>. For (9) to be true, it is not necessary that there exist centaurs which have the property of being fictional creatures, etc. As a result, I suggest understanding systematically misleading expressions as those which generate systematically misleading sentenc</w:t>
      </w:r>
      <w:r w:rsidR="00BA2C61">
        <w:rPr>
          <w:rFonts w:cs="Times New Roman"/>
          <w:lang w:val="en-GB"/>
        </w:rPr>
        <w:t>es and defining</w:t>
      </w:r>
      <w:r w:rsidRPr="008603AC">
        <w:rPr>
          <w:rFonts w:cs="Times New Roman"/>
          <w:lang w:val="en-GB"/>
        </w:rPr>
        <w:t xml:space="preserve"> the latter as follows, with ‘about</w:t>
      </w:r>
      <w:r w:rsidRPr="008603AC">
        <w:rPr>
          <w:rFonts w:cs="Times New Roman"/>
          <w:vertAlign w:val="subscript"/>
          <w:lang w:val="en-GB"/>
        </w:rPr>
        <w:t xml:space="preserve">SG </w:t>
      </w:r>
      <w:r w:rsidRPr="008603AC">
        <w:rPr>
          <w:rFonts w:cs="Times New Roman"/>
          <w:i/>
          <w:lang w:val="en-GB"/>
        </w:rPr>
        <w:t>x</w:t>
      </w:r>
      <w:r w:rsidRPr="008603AC">
        <w:rPr>
          <w:rFonts w:cs="Times New Roman"/>
          <w:lang w:val="en-GB"/>
        </w:rPr>
        <w:t xml:space="preserve">’ meaning ‘about </w:t>
      </w:r>
      <w:r w:rsidRPr="008603AC">
        <w:rPr>
          <w:rFonts w:cs="Times New Roman"/>
          <w:i/>
          <w:lang w:val="en-GB"/>
        </w:rPr>
        <w:t xml:space="preserve">x </w:t>
      </w:r>
      <w:r w:rsidRPr="008603AC">
        <w:rPr>
          <w:rFonts w:cs="Times New Roman"/>
          <w:lang w:val="en-GB"/>
        </w:rPr>
        <w:t>in virtue of its surface grammar’ and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y</w:t>
      </w:r>
      <w:r w:rsidRPr="008603AC">
        <w:rPr>
          <w:rFonts w:cs="Times New Roman"/>
          <w:lang w:val="en-GB"/>
        </w:rPr>
        <w:t xml:space="preserve">’ meaning ‘about </w:t>
      </w:r>
      <w:r w:rsidRPr="008603AC">
        <w:rPr>
          <w:rFonts w:cs="Times New Roman"/>
          <w:i/>
          <w:lang w:val="en-GB"/>
        </w:rPr>
        <w:t xml:space="preserve">y </w:t>
      </w:r>
      <w:r w:rsidRPr="008603AC">
        <w:rPr>
          <w:rFonts w:cs="Times New Roman"/>
          <w:lang w:val="en-GB"/>
        </w:rPr>
        <w:t>in virtue of its truth conditions’:</w:t>
      </w:r>
    </w:p>
    <w:p w14:paraId="7EAAF75F" w14:textId="77777777" w:rsidR="00AB1F4E" w:rsidRPr="008603AC" w:rsidRDefault="00AB1F4E" w:rsidP="00AB1F4E">
      <w:pPr>
        <w:keepNext/>
        <w:spacing w:after="0"/>
        <w:ind w:left="284" w:firstLine="0"/>
        <w:jc w:val="left"/>
        <w:rPr>
          <w:rFonts w:cs="Times New Roman"/>
          <w:i/>
          <w:lang w:val="en-GB"/>
        </w:rPr>
      </w:pPr>
      <w:r w:rsidRPr="008603AC">
        <w:rPr>
          <w:rFonts w:cs="Times New Roman"/>
          <w:i/>
          <w:lang w:val="en-GB"/>
        </w:rPr>
        <w:t>Systematically Misleading Sentence*</w:t>
      </w:r>
    </w:p>
    <w:p w14:paraId="7FE1044C" w14:textId="77777777" w:rsidR="00AB1F4E" w:rsidRPr="008603AC" w:rsidRDefault="00AB1F4E" w:rsidP="00AB1F4E">
      <w:pPr>
        <w:ind w:left="284" w:firstLine="0"/>
        <w:jc w:val="left"/>
        <w:rPr>
          <w:rFonts w:cs="Times New Roman"/>
          <w:lang w:val="en-GB"/>
        </w:rPr>
      </w:pPr>
      <w:r w:rsidRPr="008603AC">
        <w:rPr>
          <w:rFonts w:cs="Times New Roman"/>
          <w:lang w:val="en-GB"/>
        </w:rPr>
        <w:t xml:space="preserve">For any sentence </w:t>
      </w:r>
      <w:r w:rsidRPr="008603AC">
        <w:rPr>
          <w:rFonts w:cs="Times New Roman"/>
          <w:i/>
          <w:lang w:val="en-GB"/>
        </w:rPr>
        <w:t>S</w:t>
      </w:r>
      <w:r w:rsidRPr="008603AC">
        <w:rPr>
          <w:rFonts w:cs="Times New Roman"/>
          <w:lang w:val="en-GB"/>
        </w:rPr>
        <w:t xml:space="preserve">, </w:t>
      </w:r>
      <w:r w:rsidRPr="008603AC">
        <w:rPr>
          <w:rFonts w:cs="Times New Roman"/>
          <w:i/>
          <w:lang w:val="en-GB"/>
        </w:rPr>
        <w:t>S</w:t>
      </w:r>
      <w:r w:rsidRPr="008603AC">
        <w:rPr>
          <w:rFonts w:cs="Times New Roman"/>
          <w:lang w:val="en-GB"/>
        </w:rPr>
        <w:t xml:space="preserve"> is systematically misleading if, and only if, (i) </w:t>
      </w:r>
      <w:r w:rsidRPr="008603AC">
        <w:rPr>
          <w:rFonts w:cs="Times New Roman"/>
          <w:i/>
          <w:lang w:val="en-GB"/>
        </w:rPr>
        <w:t>S</w:t>
      </w:r>
      <w:r w:rsidRPr="008603AC">
        <w:rPr>
          <w:rFonts w:cs="Times New Roman"/>
          <w:lang w:val="en-GB"/>
        </w:rPr>
        <w:t xml:space="preserve"> is about</w:t>
      </w:r>
      <w:r w:rsidRPr="008603AC">
        <w:rPr>
          <w:rFonts w:cs="Times New Roman"/>
          <w:vertAlign w:val="subscript"/>
          <w:lang w:val="en-GB"/>
        </w:rPr>
        <w:t>SG</w:t>
      </w:r>
      <w:r w:rsidRPr="008603AC">
        <w:rPr>
          <w:rFonts w:cs="Times New Roman"/>
          <w:lang w:val="en-GB"/>
        </w:rPr>
        <w:t xml:space="preserve"> </w:t>
      </w:r>
      <w:r w:rsidRPr="008603AC">
        <w:rPr>
          <w:rFonts w:cs="Times New Roman"/>
          <w:i/>
          <w:lang w:val="en-GB"/>
        </w:rPr>
        <w:t>x</w:t>
      </w:r>
      <w:r w:rsidRPr="008603AC">
        <w:rPr>
          <w:rFonts w:cs="Times New Roman"/>
          <w:lang w:val="en-GB"/>
        </w:rPr>
        <w:t xml:space="preserve"> and (ii) </w:t>
      </w:r>
      <w:r w:rsidRPr="008603AC">
        <w:rPr>
          <w:rFonts w:cs="Times New Roman"/>
          <w:i/>
          <w:lang w:val="en-GB"/>
        </w:rPr>
        <w:t xml:space="preserve">S </w:t>
      </w:r>
      <w:r w:rsidRPr="008603AC">
        <w:rPr>
          <w:rFonts w:cs="Times New Roman"/>
          <w:lang w:val="en-GB"/>
        </w:rPr>
        <w:t>is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y</w:t>
      </w:r>
      <w:r w:rsidRPr="008603AC">
        <w:rPr>
          <w:rFonts w:cs="Times New Roman"/>
          <w:lang w:val="en-GB"/>
        </w:rPr>
        <w:t xml:space="preserve"> and (iii) </w:t>
      </w:r>
      <w:r w:rsidRPr="008603AC">
        <w:rPr>
          <w:rFonts w:cs="Times New Roman"/>
          <w:i/>
          <w:lang w:val="en-GB"/>
        </w:rPr>
        <w:t>x</w:t>
      </w:r>
      <w:r w:rsidRPr="008603AC">
        <w:rPr>
          <w:rFonts w:cs="Times New Roman"/>
          <w:lang w:val="en-GB"/>
        </w:rPr>
        <w:t xml:space="preserve"> ≠ </w:t>
      </w:r>
      <w:r w:rsidRPr="008603AC">
        <w:rPr>
          <w:rFonts w:cs="Times New Roman"/>
          <w:i/>
          <w:lang w:val="en-GB"/>
        </w:rPr>
        <w:t>y</w:t>
      </w:r>
      <w:r w:rsidRPr="008603AC">
        <w:rPr>
          <w:rFonts w:cs="Times New Roman"/>
          <w:lang w:val="en-GB"/>
        </w:rPr>
        <w:t>.</w:t>
      </w:r>
    </w:p>
    <w:p w14:paraId="766EE37F" w14:textId="77777777" w:rsidR="00AB1F4E" w:rsidRPr="008603AC" w:rsidRDefault="00AB1F4E" w:rsidP="00AB1F4E">
      <w:pPr>
        <w:jc w:val="left"/>
        <w:rPr>
          <w:rFonts w:cs="Times New Roman"/>
          <w:lang w:val="en-GB"/>
        </w:rPr>
      </w:pPr>
      <w:r w:rsidRPr="008603AC">
        <w:rPr>
          <w:rFonts w:cs="Times New Roman"/>
          <w:lang w:val="en-GB"/>
        </w:rPr>
        <w:t>To my opinion, this understanding of misleading expressions is implicit in both Ryle and Brentano. It captures the sense in which sentences (1)</w:t>
      </w:r>
      <w:r w:rsidRPr="008603AC">
        <w:rPr>
          <w:rFonts w:cs="Times New Roman"/>
          <w:szCs w:val="24"/>
          <w:lang w:val="en-GB"/>
        </w:rPr>
        <w:t xml:space="preserve"> –</w:t>
      </w:r>
      <w:r w:rsidRPr="008603AC">
        <w:rPr>
          <w:rFonts w:cs="Times New Roman"/>
          <w:lang w:val="en-GB"/>
        </w:rPr>
        <w:t xml:space="preserve"> (8) may be said to be misleading. In virtue of their surface grammar, indeed, (1)</w:t>
      </w:r>
      <w:r w:rsidRPr="008603AC">
        <w:rPr>
          <w:rFonts w:cs="Times New Roman"/>
          <w:szCs w:val="24"/>
          <w:lang w:val="en-GB"/>
        </w:rPr>
        <w:t> –</w:t>
      </w:r>
      <w:r w:rsidRPr="008603AC">
        <w:rPr>
          <w:rFonts w:cs="Times New Roman"/>
          <w:lang w:val="en-GB"/>
        </w:rPr>
        <w:t> (8) are about</w:t>
      </w:r>
      <w:r w:rsidRPr="008603AC">
        <w:rPr>
          <w:rFonts w:cs="Times New Roman"/>
          <w:vertAlign w:val="subscript"/>
          <w:lang w:val="en-GB"/>
        </w:rPr>
        <w:t>SG</w:t>
      </w:r>
      <w:r w:rsidRPr="008603AC">
        <w:rPr>
          <w:rFonts w:cs="Times New Roman"/>
          <w:lang w:val="en-GB"/>
        </w:rPr>
        <w:t xml:space="preserve"> Satan, unicorns, unpunctuality, colour, the King of France, the thought of g</w:t>
      </w:r>
      <w:r w:rsidR="00BA2C61">
        <w:rPr>
          <w:rFonts w:cs="Times New Roman"/>
          <w:lang w:val="en-GB"/>
        </w:rPr>
        <w:t>oing to the hospital, a murderer</w:t>
      </w:r>
      <w:r w:rsidRPr="008603AC">
        <w:rPr>
          <w:rFonts w:cs="Times New Roman"/>
          <w:lang w:val="en-GB"/>
        </w:rPr>
        <w:t xml:space="preserve"> and a Lord Mayor. Yet, they are not about</w:t>
      </w:r>
      <w:r w:rsidRPr="008603AC">
        <w:rPr>
          <w:rFonts w:cs="Times New Roman"/>
          <w:vertAlign w:val="subscript"/>
          <w:lang w:val="en-GB"/>
        </w:rPr>
        <w:t>TC</w:t>
      </w:r>
      <w:r w:rsidRPr="008603AC">
        <w:rPr>
          <w:rFonts w:cs="Times New Roman"/>
          <w:lang w:val="en-GB"/>
        </w:rPr>
        <w:t xml:space="preserve"> Satan, unicorns, unpunctuality, etc. In other words, they are all misleading for the same reason: what they are about</w:t>
      </w:r>
      <w:r w:rsidRPr="008603AC">
        <w:rPr>
          <w:rFonts w:cs="Times New Roman"/>
          <w:vertAlign w:val="subscript"/>
          <w:lang w:val="en-GB"/>
        </w:rPr>
        <w:t>SG</w:t>
      </w:r>
      <w:r w:rsidRPr="008603AC">
        <w:rPr>
          <w:rFonts w:cs="Times New Roman"/>
          <w:lang w:val="en-GB"/>
        </w:rPr>
        <w:t xml:space="preserve"> is not identical to what they are about</w:t>
      </w:r>
      <w:r w:rsidRPr="008603AC">
        <w:rPr>
          <w:rFonts w:cs="Times New Roman"/>
          <w:vertAlign w:val="subscript"/>
          <w:lang w:val="en-GB"/>
        </w:rPr>
        <w:t>TC</w:t>
      </w:r>
      <w:r w:rsidRPr="008603AC">
        <w:rPr>
          <w:rFonts w:cs="Times New Roman"/>
          <w:lang w:val="en-GB"/>
        </w:rPr>
        <w:t>.</w:t>
      </w:r>
    </w:p>
    <w:p w14:paraId="171A8423" w14:textId="77777777" w:rsidR="00AB1F4E" w:rsidRPr="008603AC" w:rsidRDefault="00AB1F4E" w:rsidP="00AB1F4E">
      <w:pPr>
        <w:jc w:val="left"/>
        <w:rPr>
          <w:rFonts w:cs="Times New Roman"/>
          <w:lang w:val="en-GB"/>
        </w:rPr>
      </w:pPr>
      <w:r w:rsidRPr="008603AC">
        <w:rPr>
          <w:rFonts w:cs="Times New Roman"/>
          <w:lang w:val="en-GB"/>
        </w:rPr>
        <w:t>In Section 1 I have suggested that both Brentano and Ryle share a certain notion of philosophical analysis. Philosophically analysing misleading expressions like (1)</w:t>
      </w:r>
      <w:r w:rsidRPr="008603AC">
        <w:rPr>
          <w:rFonts w:cs="Times New Roman"/>
          <w:szCs w:val="24"/>
          <w:lang w:val="en-GB"/>
        </w:rPr>
        <w:t xml:space="preserve"> –</w:t>
      </w:r>
      <w:r w:rsidRPr="008603AC">
        <w:rPr>
          <w:rFonts w:cs="Times New Roman"/>
          <w:lang w:val="en-GB"/>
        </w:rPr>
        <w:t xml:space="preserve"> (8) amounts to successfully paraphrasing them into non-misleading (or, at any rate, less-misleading) ones. We are now in a position to get a better grip on the relevant notion of analysis. All is needed is to define in turn the notions of non-misleading sentence and successful paraphrase. Given what precedes, the following definitions suggest themselves:</w:t>
      </w:r>
    </w:p>
    <w:p w14:paraId="6F4BF613" w14:textId="77777777" w:rsidR="00AB1F4E" w:rsidRPr="008603AC" w:rsidRDefault="00AB1F4E" w:rsidP="00AB1F4E">
      <w:pPr>
        <w:keepNext/>
        <w:spacing w:after="0"/>
        <w:ind w:left="284" w:firstLine="0"/>
        <w:jc w:val="left"/>
        <w:rPr>
          <w:rFonts w:cs="Times New Roman"/>
          <w:i/>
          <w:lang w:val="en-GB"/>
        </w:rPr>
      </w:pPr>
      <w:r w:rsidRPr="008603AC">
        <w:rPr>
          <w:rFonts w:cs="Times New Roman"/>
          <w:i/>
          <w:lang w:val="en-GB"/>
        </w:rPr>
        <w:t>Non-Misleading Sentence</w:t>
      </w:r>
    </w:p>
    <w:p w14:paraId="502C1C0E" w14:textId="77777777" w:rsidR="00AB1F4E" w:rsidRPr="008603AC" w:rsidRDefault="00AB1F4E" w:rsidP="00AB1F4E">
      <w:pPr>
        <w:ind w:left="284" w:firstLine="0"/>
        <w:jc w:val="left"/>
        <w:rPr>
          <w:rFonts w:cs="Times New Roman"/>
          <w:lang w:val="en-GB"/>
        </w:rPr>
      </w:pPr>
      <w:r w:rsidRPr="008603AC">
        <w:rPr>
          <w:rFonts w:cs="Times New Roman"/>
          <w:lang w:val="en-GB"/>
        </w:rPr>
        <w:t xml:space="preserve">For any sentence </w:t>
      </w:r>
      <w:r w:rsidRPr="008603AC">
        <w:rPr>
          <w:rFonts w:cs="Times New Roman"/>
          <w:i/>
          <w:lang w:val="en-GB"/>
        </w:rPr>
        <w:t>S</w:t>
      </w:r>
      <w:r w:rsidRPr="008603AC">
        <w:rPr>
          <w:rFonts w:cs="Times New Roman"/>
          <w:lang w:val="en-GB"/>
        </w:rPr>
        <w:t xml:space="preserve">, </w:t>
      </w:r>
      <w:r w:rsidRPr="008603AC">
        <w:rPr>
          <w:rFonts w:cs="Times New Roman"/>
          <w:i/>
          <w:lang w:val="en-GB"/>
        </w:rPr>
        <w:t>S</w:t>
      </w:r>
      <w:r w:rsidRPr="008603AC">
        <w:rPr>
          <w:rFonts w:cs="Times New Roman"/>
          <w:lang w:val="en-GB"/>
        </w:rPr>
        <w:t xml:space="preserve"> is a non-misleading sentence if, and only if, (i) </w:t>
      </w:r>
      <w:r w:rsidRPr="008603AC">
        <w:rPr>
          <w:rFonts w:cs="Times New Roman"/>
          <w:i/>
          <w:lang w:val="en-GB"/>
        </w:rPr>
        <w:t>S</w:t>
      </w:r>
      <w:r w:rsidRPr="008603AC">
        <w:rPr>
          <w:rFonts w:cs="Times New Roman"/>
          <w:lang w:val="en-GB"/>
        </w:rPr>
        <w:t xml:space="preserve"> is about</w:t>
      </w:r>
      <w:r w:rsidRPr="008603AC">
        <w:rPr>
          <w:rFonts w:cs="Times New Roman"/>
          <w:vertAlign w:val="subscript"/>
          <w:lang w:val="en-GB"/>
        </w:rPr>
        <w:t>SG</w:t>
      </w:r>
      <w:r w:rsidRPr="008603AC">
        <w:rPr>
          <w:rFonts w:cs="Times New Roman"/>
          <w:lang w:val="en-GB"/>
        </w:rPr>
        <w:t xml:space="preserve"> </w:t>
      </w:r>
      <w:r w:rsidRPr="008603AC">
        <w:rPr>
          <w:rFonts w:cs="Times New Roman"/>
          <w:i/>
          <w:lang w:val="en-GB"/>
        </w:rPr>
        <w:t>x</w:t>
      </w:r>
      <w:r w:rsidRPr="008603AC">
        <w:rPr>
          <w:rFonts w:cs="Times New Roman"/>
          <w:lang w:val="en-GB"/>
        </w:rPr>
        <w:t xml:space="preserve"> and (ii) </w:t>
      </w:r>
      <w:r w:rsidRPr="008603AC">
        <w:rPr>
          <w:rFonts w:cs="Times New Roman"/>
          <w:i/>
          <w:lang w:val="en-GB"/>
        </w:rPr>
        <w:t>S</w:t>
      </w:r>
      <w:r w:rsidRPr="008603AC">
        <w:rPr>
          <w:rFonts w:cs="Times New Roman"/>
          <w:lang w:val="en-GB"/>
        </w:rPr>
        <w:t xml:space="preserve"> is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y</w:t>
      </w:r>
      <w:r w:rsidRPr="008603AC">
        <w:rPr>
          <w:rFonts w:cs="Times New Roman"/>
          <w:lang w:val="en-GB"/>
        </w:rPr>
        <w:t xml:space="preserve"> and (iii) </w:t>
      </w:r>
      <w:r w:rsidRPr="008603AC">
        <w:rPr>
          <w:rFonts w:cs="Times New Roman"/>
          <w:i/>
          <w:lang w:val="en-GB"/>
        </w:rPr>
        <w:t>x</w:t>
      </w:r>
      <w:r w:rsidRPr="008603AC">
        <w:rPr>
          <w:rFonts w:cs="Times New Roman"/>
          <w:lang w:val="en-GB"/>
        </w:rPr>
        <w:t xml:space="preserve"> = </w:t>
      </w:r>
      <w:r w:rsidRPr="008603AC">
        <w:rPr>
          <w:rFonts w:cs="Times New Roman"/>
          <w:i/>
          <w:lang w:val="en-GB"/>
        </w:rPr>
        <w:t>y</w:t>
      </w:r>
      <w:r w:rsidRPr="008603AC">
        <w:rPr>
          <w:rFonts w:cs="Times New Roman"/>
          <w:lang w:val="en-GB"/>
        </w:rPr>
        <w:t>.</w:t>
      </w:r>
    </w:p>
    <w:p w14:paraId="473D2751" w14:textId="77777777" w:rsidR="00AB1F4E" w:rsidRPr="008603AC" w:rsidRDefault="00AB1F4E" w:rsidP="00AB1F4E">
      <w:pPr>
        <w:keepNext/>
        <w:spacing w:after="0"/>
        <w:ind w:left="284" w:firstLine="0"/>
        <w:jc w:val="left"/>
        <w:rPr>
          <w:rFonts w:cs="Times New Roman"/>
          <w:lang w:val="en-GB"/>
        </w:rPr>
      </w:pPr>
      <w:r w:rsidRPr="008603AC">
        <w:rPr>
          <w:rFonts w:cs="Times New Roman"/>
          <w:i/>
          <w:lang w:val="en-GB"/>
        </w:rPr>
        <w:t>Successful Paraphrase</w:t>
      </w:r>
    </w:p>
    <w:p w14:paraId="101A2D4A" w14:textId="77777777" w:rsidR="00AB1F4E" w:rsidRPr="008603AC" w:rsidRDefault="00AB1F4E" w:rsidP="00AB1F4E">
      <w:pPr>
        <w:ind w:left="284" w:firstLine="0"/>
        <w:jc w:val="left"/>
        <w:rPr>
          <w:rFonts w:cs="Times New Roman"/>
          <w:lang w:val="en-GB"/>
        </w:rPr>
      </w:pPr>
      <w:r w:rsidRPr="008603AC">
        <w:rPr>
          <w:rFonts w:cs="Times New Roman"/>
          <w:lang w:val="en-GB"/>
        </w:rPr>
        <w:t xml:space="preserve">For any pair of sentences </w:t>
      </w:r>
      <w:r w:rsidRPr="008603AC">
        <w:rPr>
          <w:rFonts w:cs="Times New Roman"/>
          <w:i/>
          <w:lang w:val="en-GB"/>
        </w:rPr>
        <w:t>S</w:t>
      </w:r>
      <w:r w:rsidRPr="008603AC">
        <w:rPr>
          <w:rFonts w:cs="Times New Roman"/>
          <w:i/>
          <w:vertAlign w:val="subscript"/>
          <w:lang w:val="en-GB"/>
        </w:rPr>
        <w:t>1</w:t>
      </w:r>
      <w:r w:rsidRPr="008603AC">
        <w:rPr>
          <w:rFonts w:cs="Times New Roman"/>
          <w:i/>
          <w:lang w:val="en-GB"/>
        </w:rPr>
        <w:t xml:space="preserve"> </w:t>
      </w:r>
      <w:r w:rsidRPr="008603AC">
        <w:rPr>
          <w:rFonts w:cs="Times New Roman"/>
          <w:lang w:val="en-GB"/>
        </w:rPr>
        <w:t xml:space="preserve">and </w:t>
      </w:r>
      <w:r w:rsidRPr="008603AC">
        <w:rPr>
          <w:rFonts w:cs="Times New Roman"/>
          <w:i/>
          <w:lang w:val="en-GB"/>
        </w:rPr>
        <w:t>S</w:t>
      </w:r>
      <w:r w:rsidRPr="008603AC">
        <w:rPr>
          <w:rFonts w:cs="Times New Roman"/>
          <w:i/>
          <w:vertAlign w:val="subscript"/>
          <w:lang w:val="en-GB"/>
        </w:rPr>
        <w:t>2</w:t>
      </w:r>
      <w:r w:rsidRPr="008603AC">
        <w:rPr>
          <w:rFonts w:cs="Times New Roman"/>
          <w:lang w:val="en-GB"/>
        </w:rPr>
        <w:t xml:space="preserve">, </w:t>
      </w:r>
      <w:r w:rsidRPr="008603AC">
        <w:rPr>
          <w:rFonts w:cs="Times New Roman"/>
          <w:i/>
          <w:lang w:val="en-GB"/>
        </w:rPr>
        <w:t>S</w:t>
      </w:r>
      <w:r w:rsidRPr="008603AC">
        <w:rPr>
          <w:rFonts w:cs="Times New Roman"/>
          <w:i/>
          <w:vertAlign w:val="subscript"/>
          <w:lang w:val="en-GB"/>
        </w:rPr>
        <w:t>2</w:t>
      </w:r>
      <w:r w:rsidRPr="008603AC">
        <w:rPr>
          <w:rFonts w:cs="Times New Roman"/>
          <w:i/>
          <w:lang w:val="en-GB"/>
        </w:rPr>
        <w:t xml:space="preserve"> </w:t>
      </w:r>
      <w:r w:rsidRPr="008603AC">
        <w:rPr>
          <w:rFonts w:cs="Times New Roman"/>
          <w:lang w:val="en-GB"/>
        </w:rPr>
        <w:t xml:space="preserve">is a successful paraphrase of </w:t>
      </w:r>
      <w:r w:rsidRPr="008603AC">
        <w:rPr>
          <w:rFonts w:cs="Times New Roman"/>
          <w:i/>
          <w:lang w:val="en-GB"/>
        </w:rPr>
        <w:t>S</w:t>
      </w:r>
      <w:r w:rsidRPr="008603AC">
        <w:rPr>
          <w:rFonts w:cs="Times New Roman"/>
          <w:i/>
          <w:vertAlign w:val="subscript"/>
          <w:lang w:val="en-GB"/>
        </w:rPr>
        <w:t>1</w:t>
      </w:r>
      <w:r w:rsidRPr="008603AC">
        <w:rPr>
          <w:rFonts w:cs="Times New Roman"/>
          <w:lang w:val="en-GB"/>
        </w:rPr>
        <w:t xml:space="preserve"> if, and only if, (i) </w:t>
      </w:r>
      <w:r w:rsidRPr="008603AC">
        <w:rPr>
          <w:rFonts w:cs="Times New Roman"/>
          <w:i/>
          <w:lang w:val="en-GB"/>
        </w:rPr>
        <w:t>S</w:t>
      </w:r>
      <w:r w:rsidRPr="008603AC">
        <w:rPr>
          <w:rFonts w:cs="Times New Roman"/>
          <w:i/>
          <w:vertAlign w:val="subscript"/>
          <w:lang w:val="en-GB"/>
        </w:rPr>
        <w:t>1</w:t>
      </w:r>
      <w:r w:rsidRPr="008603AC">
        <w:rPr>
          <w:rFonts w:cs="Times New Roman"/>
          <w:lang w:val="en-GB"/>
        </w:rPr>
        <w:t xml:space="preserve">’s surface grammar ≠ </w:t>
      </w:r>
      <w:r w:rsidRPr="008603AC">
        <w:rPr>
          <w:rFonts w:cs="Times New Roman"/>
          <w:i/>
          <w:lang w:val="en-GB"/>
        </w:rPr>
        <w:t>S</w:t>
      </w:r>
      <w:r w:rsidRPr="008603AC">
        <w:rPr>
          <w:rFonts w:cs="Times New Roman"/>
          <w:i/>
          <w:vertAlign w:val="subscript"/>
          <w:lang w:val="en-GB"/>
        </w:rPr>
        <w:t>2</w:t>
      </w:r>
      <w:r w:rsidRPr="008603AC">
        <w:rPr>
          <w:rFonts w:cs="Times New Roman"/>
          <w:lang w:val="en-GB"/>
        </w:rPr>
        <w:t xml:space="preserve">’s surface grammar and (ii) </w:t>
      </w:r>
      <w:r w:rsidRPr="008603AC">
        <w:rPr>
          <w:rFonts w:cs="Times New Roman"/>
          <w:i/>
          <w:lang w:val="en-GB"/>
        </w:rPr>
        <w:t>S</w:t>
      </w:r>
      <w:r w:rsidRPr="008603AC">
        <w:rPr>
          <w:rFonts w:cs="Times New Roman"/>
          <w:i/>
          <w:vertAlign w:val="subscript"/>
          <w:lang w:val="en-GB"/>
        </w:rPr>
        <w:t>1</w:t>
      </w:r>
      <w:r w:rsidRPr="008603AC">
        <w:rPr>
          <w:rFonts w:cs="Times New Roman"/>
          <w:lang w:val="en-GB"/>
        </w:rPr>
        <w:t xml:space="preserve">’s truth conditions = </w:t>
      </w:r>
      <w:r w:rsidRPr="008603AC">
        <w:rPr>
          <w:rFonts w:cs="Times New Roman"/>
          <w:i/>
          <w:lang w:val="en-GB"/>
        </w:rPr>
        <w:t>S</w:t>
      </w:r>
      <w:r w:rsidRPr="008603AC">
        <w:rPr>
          <w:rFonts w:cs="Times New Roman"/>
          <w:i/>
          <w:vertAlign w:val="subscript"/>
          <w:lang w:val="en-GB"/>
        </w:rPr>
        <w:t>2</w:t>
      </w:r>
      <w:r w:rsidRPr="008603AC">
        <w:rPr>
          <w:rFonts w:cs="Times New Roman"/>
          <w:lang w:val="en-GB"/>
        </w:rPr>
        <w:t xml:space="preserve">’s truth conditions and (iii) </w:t>
      </w:r>
      <w:r w:rsidRPr="008603AC">
        <w:rPr>
          <w:rFonts w:cs="Times New Roman"/>
          <w:i/>
          <w:lang w:val="en-GB"/>
        </w:rPr>
        <w:t>S</w:t>
      </w:r>
      <w:r w:rsidRPr="008603AC">
        <w:rPr>
          <w:rFonts w:cs="Times New Roman"/>
          <w:i/>
          <w:vertAlign w:val="subscript"/>
          <w:lang w:val="en-GB"/>
        </w:rPr>
        <w:t>2</w:t>
      </w:r>
      <w:r w:rsidRPr="008603AC">
        <w:rPr>
          <w:rFonts w:cs="Times New Roman"/>
          <w:vertAlign w:val="subscript"/>
          <w:lang w:val="en-GB"/>
        </w:rPr>
        <w:t xml:space="preserve"> </w:t>
      </w:r>
      <w:r w:rsidRPr="008603AC">
        <w:rPr>
          <w:rFonts w:cs="Times New Roman"/>
          <w:lang w:val="en-GB"/>
        </w:rPr>
        <w:t>is a non-misleading sentence.</w:t>
      </w:r>
    </w:p>
    <w:p w14:paraId="574821B6" w14:textId="77777777" w:rsidR="00AB1F4E" w:rsidRPr="008603AC" w:rsidRDefault="00AB1F4E" w:rsidP="00AB1F4E">
      <w:pPr>
        <w:jc w:val="left"/>
        <w:rPr>
          <w:rFonts w:cs="Times New Roman"/>
          <w:lang w:val="en-GB"/>
        </w:rPr>
      </w:pPr>
      <w:r w:rsidRPr="008603AC">
        <w:rPr>
          <w:rFonts w:cs="Times New Roman"/>
          <w:lang w:val="en-GB"/>
        </w:rPr>
        <w:t xml:space="preserve">With those definitions in hand, I now turn to the analysis of some misleading sentences. For reasons of limited space, I will zoom in on Ryle’s first class of misleading expressions, namely ‘quasi-ontological statements’ or statements about </w:t>
      </w:r>
      <w:r w:rsidRPr="008603AC">
        <w:rPr>
          <w:rFonts w:cs="Times New Roman"/>
          <w:i/>
          <w:lang w:val="la-Latn"/>
        </w:rPr>
        <w:t>ficta</w:t>
      </w:r>
      <w:r w:rsidRPr="008603AC">
        <w:rPr>
          <w:rFonts w:cs="Times New Roman"/>
          <w:lang w:val="en-GB"/>
        </w:rPr>
        <w:t>, and compare Brentano’s analysis thereof with Ryle’s.</w:t>
      </w:r>
    </w:p>
    <w:p w14:paraId="054214F1" w14:textId="77777777" w:rsidR="00AB1F4E" w:rsidRPr="00AB1F4E" w:rsidRDefault="00AB1F4E" w:rsidP="00AB1F4E">
      <w:pPr>
        <w:pStyle w:val="Titre3"/>
        <w:jc w:val="left"/>
        <w:rPr>
          <w:rFonts w:cs="Times New Roman"/>
          <w:b/>
          <w:lang w:val="la-Latn"/>
        </w:rPr>
      </w:pPr>
      <w:bookmarkStart w:id="6" w:name="_Toc41635617"/>
      <w:r w:rsidRPr="00AB1F4E">
        <w:rPr>
          <w:rFonts w:cs="Times New Roman"/>
          <w:b/>
          <w:i/>
          <w:lang w:val="la-Latn"/>
        </w:rPr>
        <w:t>Ficta</w:t>
      </w:r>
      <w:bookmarkEnd w:id="6"/>
    </w:p>
    <w:p w14:paraId="532A2283" w14:textId="77777777" w:rsidR="00AB1F4E" w:rsidRPr="008603AC" w:rsidRDefault="00AB1F4E" w:rsidP="00AB1F4E">
      <w:pPr>
        <w:ind w:firstLine="0"/>
        <w:jc w:val="left"/>
        <w:rPr>
          <w:rFonts w:cs="Times New Roman"/>
          <w:lang w:val="en-GB"/>
        </w:rPr>
      </w:pPr>
      <w:r w:rsidRPr="008603AC">
        <w:rPr>
          <w:rFonts w:cs="Times New Roman"/>
          <w:lang w:val="en-GB"/>
        </w:rPr>
        <w:t>Recall Ryle’s examples of quasi-ontological statements:</w:t>
      </w:r>
    </w:p>
    <w:p w14:paraId="127AE7F0" w14:textId="77777777" w:rsidR="00AB1F4E" w:rsidRPr="008603AC" w:rsidRDefault="00AB1F4E" w:rsidP="00AB1F4E">
      <w:pPr>
        <w:spacing w:after="0"/>
        <w:jc w:val="left"/>
        <w:rPr>
          <w:rFonts w:cs="Times New Roman"/>
          <w:lang w:val="en-GB"/>
        </w:rPr>
      </w:pPr>
      <w:r w:rsidRPr="008603AC">
        <w:rPr>
          <w:rFonts w:cs="Times New Roman"/>
          <w:lang w:val="en-GB"/>
        </w:rPr>
        <w:t>(1) ‘Satan is not a reality’.</w:t>
      </w:r>
    </w:p>
    <w:p w14:paraId="1020AEB1" w14:textId="77777777" w:rsidR="00AB1F4E" w:rsidRPr="008603AC" w:rsidRDefault="00AB1F4E" w:rsidP="00AB1F4E">
      <w:pPr>
        <w:jc w:val="left"/>
        <w:rPr>
          <w:rFonts w:cs="Times New Roman"/>
          <w:lang w:val="en-GB"/>
        </w:rPr>
      </w:pPr>
      <w:r w:rsidRPr="008603AC">
        <w:rPr>
          <w:rFonts w:cs="Times New Roman"/>
          <w:lang w:val="en-GB"/>
        </w:rPr>
        <w:t>(2) ‘Unicorns do not exist’.</w:t>
      </w:r>
    </w:p>
    <w:p w14:paraId="50DA813C" w14:textId="77777777" w:rsidR="00AB1F4E" w:rsidRPr="008603AC" w:rsidRDefault="00AB1F4E" w:rsidP="00AB1F4E">
      <w:pPr>
        <w:jc w:val="left"/>
        <w:rPr>
          <w:rFonts w:cs="Times New Roman"/>
          <w:lang w:val="en-GB"/>
        </w:rPr>
      </w:pPr>
      <w:r w:rsidRPr="008603AC">
        <w:rPr>
          <w:rFonts w:cs="Times New Roman"/>
          <w:lang w:val="en-GB"/>
        </w:rPr>
        <w:t>Although those sentences are about</w:t>
      </w:r>
      <w:r w:rsidRPr="008603AC">
        <w:rPr>
          <w:rFonts w:cs="Times New Roman"/>
          <w:vertAlign w:val="subscript"/>
          <w:lang w:val="en-GB"/>
        </w:rPr>
        <w:t>SG</w:t>
      </w:r>
      <w:r w:rsidRPr="008603AC">
        <w:rPr>
          <w:rFonts w:cs="Times New Roman"/>
          <w:lang w:val="en-GB"/>
        </w:rPr>
        <w:t xml:space="preserve"> Satan and unicorns (respectively), they are not about</w:t>
      </w:r>
      <w:r w:rsidRPr="008603AC">
        <w:rPr>
          <w:rFonts w:cs="Times New Roman"/>
          <w:vertAlign w:val="subscript"/>
          <w:lang w:val="en-GB"/>
        </w:rPr>
        <w:t>TC</w:t>
      </w:r>
      <w:r w:rsidRPr="008603AC">
        <w:rPr>
          <w:rFonts w:cs="Times New Roman"/>
          <w:lang w:val="en-GB"/>
        </w:rPr>
        <w:t xml:space="preserve"> Satan and unicorns. For (1) to be true, indeed, it is not required that there is an individual which is called ‘Satan’ and which is devilish and of which it is true that it is not a reality. Similarly, for (2) to be true it is not required that there are horses having a horn and of which it is true that they do not exist. What is required, then? What exactly are the </w:t>
      </w:r>
      <w:r w:rsidRPr="008603AC">
        <w:rPr>
          <w:rFonts w:cs="Times New Roman"/>
          <w:i/>
          <w:lang w:val="en-GB"/>
        </w:rPr>
        <w:t>truth conditions</w:t>
      </w:r>
      <w:r w:rsidRPr="008603AC">
        <w:rPr>
          <w:rFonts w:cs="Times New Roman"/>
          <w:lang w:val="en-GB"/>
        </w:rPr>
        <w:t xml:space="preserve"> of (1) and (2)? In this section I review three options I call the </w:t>
      </w:r>
      <w:r w:rsidRPr="00BA2C61">
        <w:rPr>
          <w:rFonts w:cs="Times New Roman"/>
          <w:i/>
          <w:lang w:val="en-GB"/>
        </w:rPr>
        <w:t>Lockean</w:t>
      </w:r>
      <w:r w:rsidRPr="008603AC">
        <w:rPr>
          <w:rFonts w:cs="Times New Roman"/>
          <w:lang w:val="en-GB"/>
        </w:rPr>
        <w:t xml:space="preserve">, the </w:t>
      </w:r>
      <w:r w:rsidRPr="00BA2C61">
        <w:rPr>
          <w:rFonts w:cs="Times New Roman"/>
          <w:i/>
          <w:lang w:val="en-GB"/>
        </w:rPr>
        <w:t>Meinongian</w:t>
      </w:r>
      <w:r w:rsidRPr="008603AC">
        <w:rPr>
          <w:rFonts w:cs="Times New Roman"/>
          <w:lang w:val="en-GB"/>
        </w:rPr>
        <w:t xml:space="preserve"> and the </w:t>
      </w:r>
      <w:r w:rsidRPr="00BA2C61">
        <w:rPr>
          <w:rFonts w:cs="Times New Roman"/>
          <w:i/>
          <w:lang w:val="en-GB"/>
        </w:rPr>
        <w:t>Brentanian</w:t>
      </w:r>
      <w:r w:rsidRPr="008603AC">
        <w:rPr>
          <w:rFonts w:cs="Times New Roman"/>
          <w:lang w:val="en-GB"/>
        </w:rPr>
        <w:t xml:space="preserve"> option. According to the Lockean option, quasi-ontological statements are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ideas</w:t>
      </w:r>
      <w:r w:rsidRPr="008603AC">
        <w:rPr>
          <w:rFonts w:cs="Times New Roman"/>
          <w:lang w:val="en-GB"/>
        </w:rPr>
        <w:t>; according to the Meinongian option, they are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non-existent objects</w:t>
      </w:r>
      <w:r w:rsidRPr="008603AC">
        <w:rPr>
          <w:rFonts w:cs="Times New Roman"/>
          <w:lang w:val="en-GB"/>
        </w:rPr>
        <w:t>; and according to the Brentanian option, they are about</w:t>
      </w:r>
      <w:r w:rsidRPr="008603AC">
        <w:rPr>
          <w:rFonts w:cs="Times New Roman"/>
          <w:vertAlign w:val="subscript"/>
          <w:lang w:val="en-GB"/>
        </w:rPr>
        <w:t>TC</w:t>
      </w:r>
      <w:r w:rsidRPr="008603AC">
        <w:rPr>
          <w:rFonts w:cs="Times New Roman"/>
          <w:lang w:val="en-GB"/>
        </w:rPr>
        <w:t xml:space="preserve"> </w:t>
      </w:r>
      <w:r w:rsidRPr="008603AC">
        <w:rPr>
          <w:rFonts w:cs="Times New Roman"/>
          <w:i/>
          <w:lang w:val="en-GB"/>
        </w:rPr>
        <w:t>mental phenomena</w:t>
      </w:r>
      <w:r w:rsidRPr="008603AC">
        <w:rPr>
          <w:rFonts w:cs="Times New Roman"/>
          <w:lang w:val="en-GB"/>
        </w:rPr>
        <w:t>. I argue that Brentano and Ryle both reject option</w:t>
      </w:r>
      <w:r w:rsidR="00BA2C61">
        <w:rPr>
          <w:rFonts w:cs="Times New Roman"/>
          <w:lang w:val="en-GB"/>
        </w:rPr>
        <w:t>s</w:t>
      </w:r>
      <w:r w:rsidRPr="008603AC">
        <w:rPr>
          <w:rFonts w:cs="Times New Roman"/>
          <w:lang w:val="en-GB"/>
        </w:rPr>
        <w:t xml:space="preserve"> 1 and 2 and endorse option 3.</w:t>
      </w:r>
    </w:p>
    <w:p w14:paraId="699CB8D4" w14:textId="77777777" w:rsidR="00AB1F4E" w:rsidRPr="008603AC" w:rsidRDefault="00AB1F4E" w:rsidP="00AB1F4E">
      <w:pPr>
        <w:jc w:val="left"/>
        <w:rPr>
          <w:rFonts w:cs="Times New Roman"/>
          <w:lang w:val="en-GB"/>
        </w:rPr>
      </w:pPr>
      <w:r w:rsidRPr="008603AC">
        <w:rPr>
          <w:rFonts w:cs="Times New Roman"/>
          <w:i/>
          <w:lang w:val="en-GB"/>
        </w:rPr>
        <w:t>The Lockean option: quasi-ontological statements are about</w:t>
      </w:r>
      <w:r w:rsidRPr="008603AC">
        <w:rPr>
          <w:rFonts w:cs="Times New Roman"/>
          <w:i/>
          <w:vertAlign w:val="subscript"/>
          <w:lang w:val="en-GB"/>
        </w:rPr>
        <w:t>TC</w:t>
      </w:r>
      <w:r w:rsidRPr="008603AC">
        <w:rPr>
          <w:rFonts w:cs="Times New Roman"/>
          <w:i/>
          <w:lang w:val="en-GB"/>
        </w:rPr>
        <w:t xml:space="preserve"> ideas</w:t>
      </w:r>
      <w:r w:rsidRPr="008603AC">
        <w:rPr>
          <w:rFonts w:cs="Times New Roman"/>
          <w:lang w:val="en-GB"/>
        </w:rPr>
        <w:t>. – Although it is associated with Locke’s notion of ‘ideas in the head’, the claim that a name does not mean the thing itself but our idea of the thing is usually traced to Hobbes. On this account, (1) is true in virtue of there being an idea of Satan in my mind. John Stuart Mill famously objected that this view is incompatible with a correct analysis of the underlying mental phenomena. When we use the word ‘sun’, Mill argues, we do not name our idea of the sun, but the sun itself. His argument rests on the view that we do not only use words in order to communicate some presentations of a thing, but also in order to indicate that we judge a thing to be so-and-so. Now such judgements are not about our idea of the thing, but about the thing itself. For example, when I say that ‘the sun shines’, surely I do not mean that my idea of the sun shines or that my idea of the sun involves the idea of shining. Rather, this sentence expresses an act of judging which is about</w:t>
      </w:r>
      <w:r w:rsidRPr="008603AC">
        <w:rPr>
          <w:rFonts w:cs="Times New Roman"/>
          <w:vertAlign w:val="subscript"/>
          <w:lang w:val="en-GB"/>
        </w:rPr>
        <w:t>TC</w:t>
      </w:r>
      <w:r w:rsidRPr="008603AC">
        <w:rPr>
          <w:rFonts w:cs="Times New Roman"/>
          <w:lang w:val="en-GB"/>
        </w:rPr>
        <w:t xml:space="preserve"> the sun itself: my judgement is true if the sun actually shines (of course, it is also about</w:t>
      </w:r>
      <w:r w:rsidRPr="008603AC">
        <w:rPr>
          <w:rFonts w:cs="Times New Roman"/>
          <w:vertAlign w:val="subscript"/>
          <w:lang w:val="en-GB"/>
        </w:rPr>
        <w:t>SG</w:t>
      </w:r>
      <w:r w:rsidRPr="008603AC">
        <w:rPr>
          <w:rFonts w:cs="Times New Roman"/>
          <w:lang w:val="en-GB"/>
        </w:rPr>
        <w:t xml:space="preserve"> the sun; ‘the sun shines’ is a non-misleading sentence). Mill writes:</w:t>
      </w:r>
    </w:p>
    <w:p w14:paraId="3C6B9BA5" w14:textId="77777777" w:rsidR="00AB1F4E" w:rsidRPr="008603AC" w:rsidRDefault="00AB1F4E" w:rsidP="00AB1F4E">
      <w:pPr>
        <w:pStyle w:val="Citation"/>
        <w:jc w:val="left"/>
        <w:rPr>
          <w:rFonts w:cs="Times New Roman"/>
          <w:lang w:val="en-GB"/>
        </w:rPr>
      </w:pPr>
      <w:r w:rsidRPr="008603AC">
        <w:rPr>
          <w:rFonts w:cs="Times New Roman"/>
          <w:lang w:val="en-GB"/>
        </w:rPr>
        <w:t>Names are not intended only to make the hearer conceive what we conceive, but also to inform him what we believe. Now, when I use a name for the purpose of expressing a belief, it is a belief concerning the thing itself, not concerning my idea of it. When I say, ‘the sun is the cause of the day’, I do not mean that my idea of the sun causes or excites in me the idea of day; or in other words, that thinking of the sun makes me think of day. I mean, that a certain physical fact, which is called the sun’s presence […] causes another physical fact, which is called day. (Mill 1974, 25)</w:t>
      </w:r>
    </w:p>
    <w:p w14:paraId="073EE1BC" w14:textId="77777777" w:rsidR="00AB1F4E" w:rsidRPr="008603AC" w:rsidRDefault="00AB1F4E" w:rsidP="00AB1F4E">
      <w:pPr>
        <w:jc w:val="left"/>
        <w:rPr>
          <w:rFonts w:cs="Times New Roman"/>
          <w:lang w:val="en-GB"/>
        </w:rPr>
      </w:pPr>
      <w:r w:rsidRPr="008603AC">
        <w:rPr>
          <w:rFonts w:cs="Times New Roman"/>
          <w:lang w:val="en-GB"/>
        </w:rPr>
        <w:t xml:space="preserve">Of course, Mill’s example is not about a </w:t>
      </w:r>
      <w:r w:rsidRPr="008603AC">
        <w:rPr>
          <w:rFonts w:cs="Times New Roman"/>
          <w:i/>
          <w:lang w:val="la-Latn"/>
        </w:rPr>
        <w:t>fictum</w:t>
      </w:r>
      <w:r w:rsidRPr="008603AC">
        <w:rPr>
          <w:rFonts w:cs="Times New Roman"/>
          <w:lang w:val="en-GB"/>
        </w:rPr>
        <w:t xml:space="preserve">, so the question arises whether it is any different with names of </w:t>
      </w:r>
      <w:r w:rsidRPr="008603AC">
        <w:rPr>
          <w:rFonts w:cs="Times New Roman"/>
          <w:i/>
          <w:lang w:val="la-Latn"/>
        </w:rPr>
        <w:t>ficta</w:t>
      </w:r>
      <w:r w:rsidRPr="008603AC">
        <w:rPr>
          <w:rFonts w:cs="Times New Roman"/>
          <w:lang w:val="en-GB"/>
        </w:rPr>
        <w:t xml:space="preserve"> like ‘Satan’ and ‘unicorns’. Shouldn’t we retain Hobbes’ suggestion when it comes to sentences such as (1) and (2)? Both Ryle and Brentano answer this question negatively: </w:t>
      </w:r>
      <w:r w:rsidRPr="008603AC">
        <w:rPr>
          <w:rFonts w:cs="Times New Roman"/>
          <w:i/>
          <w:lang w:val="en-GB"/>
        </w:rPr>
        <w:t>no</w:t>
      </w:r>
      <w:r w:rsidRPr="008603AC">
        <w:rPr>
          <w:rFonts w:cs="Times New Roman"/>
          <w:lang w:val="en-GB"/>
        </w:rPr>
        <w:t xml:space="preserve">, </w:t>
      </w:r>
      <w:r w:rsidRPr="008603AC">
        <w:rPr>
          <w:rFonts w:cs="Times New Roman"/>
          <w:i/>
          <w:lang w:val="en-GB"/>
        </w:rPr>
        <w:t xml:space="preserve">pace </w:t>
      </w:r>
      <w:r w:rsidRPr="008603AC">
        <w:rPr>
          <w:rFonts w:cs="Times New Roman"/>
          <w:lang w:val="en-GB"/>
        </w:rPr>
        <w:t>Hobbes, (1) and (2) are not about</w:t>
      </w:r>
      <w:r w:rsidRPr="008603AC">
        <w:rPr>
          <w:rFonts w:cs="Times New Roman"/>
          <w:vertAlign w:val="subscript"/>
          <w:lang w:val="en-GB"/>
        </w:rPr>
        <w:t>TC</w:t>
      </w:r>
      <w:r w:rsidRPr="008603AC">
        <w:rPr>
          <w:rFonts w:cs="Times New Roman"/>
          <w:lang w:val="en-GB"/>
        </w:rPr>
        <w:t xml:space="preserve"> ideas (Ryle 1932a, 144; 2009a, 45).</w:t>
      </w:r>
      <w:r w:rsidRPr="008603AC">
        <w:rPr>
          <w:rStyle w:val="Marquedenotedefin"/>
          <w:rFonts w:cs="Times New Roman"/>
        </w:rPr>
        <w:endnoteReference w:id="6"/>
      </w:r>
      <w:r w:rsidRPr="008603AC">
        <w:rPr>
          <w:rFonts w:cs="Times New Roman"/>
          <w:lang w:val="en-GB"/>
        </w:rPr>
        <w:t xml:space="preserve"> Plainly, (1) cannot possibly be paraphrased by saying something like ‘my idea of Satan is not a reality’ or ‘my idea of Satan does not involve the idea of a reality’ or ‘my idea of Satan does not involve the feature “real”’ (whatever that would mean). Likewise, (2) does not mean something like ‘my idea of unicorns does not exist’ or ‘my idea of unicorns does not involve the idea of existence’. The moral seems to be that, when uttering (1) and (2), we are not talking about</w:t>
      </w:r>
      <w:r w:rsidRPr="008603AC">
        <w:rPr>
          <w:rFonts w:cs="Times New Roman"/>
          <w:vertAlign w:val="subscript"/>
          <w:lang w:val="en-GB"/>
        </w:rPr>
        <w:t>TC</w:t>
      </w:r>
      <w:r w:rsidRPr="008603AC">
        <w:rPr>
          <w:rFonts w:cs="Times New Roman"/>
          <w:lang w:val="en-GB"/>
        </w:rPr>
        <w:t xml:space="preserve"> ideas in the mind. So much for option 1. What about option 2?</w:t>
      </w:r>
    </w:p>
    <w:p w14:paraId="1266A624" w14:textId="77777777" w:rsidR="00AB1F4E" w:rsidRPr="008603AC" w:rsidRDefault="00AB1F4E" w:rsidP="00AB1F4E">
      <w:pPr>
        <w:jc w:val="left"/>
        <w:rPr>
          <w:rFonts w:cs="Times New Roman"/>
          <w:lang w:val="en-GB"/>
        </w:rPr>
      </w:pPr>
      <w:r w:rsidRPr="008603AC">
        <w:rPr>
          <w:rFonts w:cs="Times New Roman"/>
          <w:i/>
          <w:lang w:val="en-GB"/>
        </w:rPr>
        <w:t>The Meinongian option: quasi-ontological statements are about</w:t>
      </w:r>
      <w:r w:rsidRPr="008603AC">
        <w:rPr>
          <w:rFonts w:cs="Times New Roman"/>
          <w:i/>
          <w:vertAlign w:val="subscript"/>
          <w:lang w:val="en-GB"/>
        </w:rPr>
        <w:t>TC</w:t>
      </w:r>
      <w:r w:rsidRPr="008603AC">
        <w:rPr>
          <w:rFonts w:cs="Times New Roman"/>
          <w:i/>
          <w:lang w:val="en-GB"/>
        </w:rPr>
        <w:t xml:space="preserve"> non-existent objects. – </w:t>
      </w:r>
      <w:r w:rsidRPr="008603AC">
        <w:rPr>
          <w:rFonts w:cs="Times New Roman"/>
          <w:lang w:val="en-GB"/>
        </w:rPr>
        <w:t>This is the option favoured by Meinong and the supporters of object theory. In fact, on Meinong’s view, (1) and (2) are not misleading sentences. What they are about</w:t>
      </w:r>
      <w:r w:rsidRPr="008603AC">
        <w:rPr>
          <w:rFonts w:cs="Times New Roman"/>
          <w:vertAlign w:val="subscript"/>
          <w:lang w:val="en-GB"/>
        </w:rPr>
        <w:t>SG</w:t>
      </w:r>
      <w:r w:rsidRPr="008603AC">
        <w:rPr>
          <w:rFonts w:cs="Times New Roman"/>
          <w:lang w:val="en-GB"/>
        </w:rPr>
        <w:t xml:space="preserve"> is identical to what they are about</w:t>
      </w:r>
      <w:r w:rsidRPr="008603AC">
        <w:rPr>
          <w:rFonts w:cs="Times New Roman"/>
          <w:vertAlign w:val="subscript"/>
          <w:lang w:val="en-GB"/>
        </w:rPr>
        <w:t>TC</w:t>
      </w:r>
      <w:r w:rsidRPr="008603AC">
        <w:rPr>
          <w:rFonts w:cs="Times New Roman"/>
          <w:lang w:val="en-GB"/>
        </w:rPr>
        <w:t xml:space="preserve">, namely fictional objects or </w:t>
      </w:r>
      <w:r w:rsidRPr="008603AC">
        <w:rPr>
          <w:rFonts w:cs="Times New Roman"/>
          <w:i/>
          <w:lang w:val="la-Latn"/>
        </w:rPr>
        <w:t>ficta</w:t>
      </w:r>
      <w:r w:rsidRPr="008603AC">
        <w:rPr>
          <w:rFonts w:cs="Times New Roman"/>
          <w:lang w:val="en-GB"/>
        </w:rPr>
        <w:t xml:space="preserve">, objects of which it is true to say that they don’t exist. Therefore, there is no need to paraphrase (1) and (2). This view, however, raises well-known difficulties. Like option 1, option 2 is based on the thought that something may </w:t>
      </w:r>
      <w:r w:rsidRPr="008603AC">
        <w:rPr>
          <w:rFonts w:cs="Times New Roman"/>
          <w:i/>
          <w:lang w:val="en-GB"/>
        </w:rPr>
        <w:t>be</w:t>
      </w:r>
      <w:r w:rsidRPr="008603AC">
        <w:rPr>
          <w:rFonts w:cs="Times New Roman"/>
          <w:lang w:val="en-GB"/>
        </w:rPr>
        <w:t xml:space="preserve"> without </w:t>
      </w:r>
      <w:r w:rsidRPr="008603AC">
        <w:rPr>
          <w:rFonts w:cs="Times New Roman"/>
          <w:i/>
          <w:lang w:val="en-GB"/>
        </w:rPr>
        <w:t>existing</w:t>
      </w:r>
      <w:r w:rsidRPr="008603AC">
        <w:rPr>
          <w:rFonts w:cs="Times New Roman"/>
          <w:lang w:val="en-GB"/>
        </w:rPr>
        <w:t xml:space="preserve">. Now this thought is highly problematic. Brentano rejects it outright: ‘I confess that I am unable to make any sense of this distinction between being </w:t>
      </w:r>
      <w:r>
        <w:rPr>
          <w:rFonts w:cs="Times New Roman"/>
          <w:lang w:val="en-GB"/>
        </w:rPr>
        <w:t xml:space="preserve">and existence’ (Brentano 1925, </w:t>
      </w:r>
      <w:r w:rsidRPr="008603AC">
        <w:rPr>
          <w:rFonts w:cs="Times New Roman"/>
          <w:lang w:val="en-GB"/>
        </w:rPr>
        <w:t xml:space="preserve">137; 1995, 274). Brentano’s main reason for rejecting the distinction between being and existing is that it generates contradictions. For example, if we follow Meinong, we are led to attribute a being to things which we correctly deny, i.e. which are not, and thus we are led to speak of </w:t>
      </w:r>
      <w:r w:rsidR="00BA2C61">
        <w:rPr>
          <w:rFonts w:cs="Times New Roman"/>
          <w:lang w:val="en-GB"/>
        </w:rPr>
        <w:t xml:space="preserve">‘existing </w:t>
      </w:r>
      <w:r w:rsidRPr="008603AC">
        <w:rPr>
          <w:rFonts w:cs="Times New Roman"/>
          <w:lang w:val="en-GB"/>
        </w:rPr>
        <w:t>unicorns</w:t>
      </w:r>
      <w:r w:rsidR="00BA2C61">
        <w:rPr>
          <w:rFonts w:cs="Times New Roman"/>
          <w:lang w:val="en-GB"/>
        </w:rPr>
        <w:t>’</w:t>
      </w:r>
      <w:r w:rsidRPr="008603AC">
        <w:rPr>
          <w:rFonts w:cs="Times New Roman"/>
          <w:lang w:val="en-GB"/>
        </w:rPr>
        <w:t>, say, as being and non-being at the same time, which contravenes the principle of non-contradiction. Russell makes a similar point against Meinong in his well-known essay, “On Denoting” (Russell 1905; 1973, 117–118). Ryle shares Brentano and Russell’s opinion:</w:t>
      </w:r>
    </w:p>
    <w:p w14:paraId="07007971" w14:textId="77777777" w:rsidR="00AB1F4E" w:rsidRPr="008603AC" w:rsidRDefault="00AB1F4E" w:rsidP="00AB1F4E">
      <w:pPr>
        <w:pStyle w:val="Citation"/>
        <w:jc w:val="left"/>
        <w:rPr>
          <w:rFonts w:cs="Times New Roman"/>
          <w:lang w:val="en-GB"/>
        </w:rPr>
      </w:pPr>
      <w:r w:rsidRPr="008603AC">
        <w:rPr>
          <w:rFonts w:cs="Times New Roman"/>
          <w:lang w:val="en-GB"/>
        </w:rPr>
        <w:t>Some argued that the statement [(1)] was about something described as ‘the idea of Satan’, others that it was about a subsistent but non-actual entity called ‘Satan’. Both theories in effect try to show that something may be (whether as being ‘merely mental’ or as being in ‘the realm of subsistents’), but not be in existence. But as we can say ‘round squares do not exist’, and ‘real nonentities do no exist’, this sort of interpretation of negative existentials is bound to fill either the realm of subsistents or the realm of ideas with walking self-contradictions. (Ryle 1932a, 144; 2009a, 45)</w:t>
      </w:r>
    </w:p>
    <w:p w14:paraId="383F86AB" w14:textId="77777777" w:rsidR="00AB1F4E" w:rsidRPr="008603AC" w:rsidRDefault="00AB1F4E" w:rsidP="00AB1F4E">
      <w:pPr>
        <w:ind w:firstLine="0"/>
        <w:jc w:val="left"/>
        <w:rPr>
          <w:rFonts w:cs="Times New Roman"/>
          <w:lang w:val="en-GB"/>
        </w:rPr>
      </w:pPr>
      <w:r w:rsidRPr="008603AC">
        <w:rPr>
          <w:rFonts w:cs="Times New Roman"/>
          <w:lang w:val="en-GB"/>
        </w:rPr>
        <w:t>Furthermore, the Meinongian option violates the principle of ontological parsimony, for it would imply that, besides an apple (say), there would be ‘the existence of an apple’, ‘the subsistence of the existence of an apple’, and so on – which is hardly acceptable in light of</w:t>
      </w:r>
      <w:r>
        <w:rPr>
          <w:rFonts w:cs="Times New Roman"/>
          <w:lang w:val="en-GB"/>
        </w:rPr>
        <w:t xml:space="preserve"> Occam’s razor (Brentano 1925,</w:t>
      </w:r>
      <w:r w:rsidRPr="008603AC">
        <w:rPr>
          <w:rFonts w:cs="Times New Roman"/>
          <w:lang w:val="en-GB"/>
        </w:rPr>
        <w:t xml:space="preserve"> 160; 1995, 292–293). Thus, we are left with the third, Brentanian option.</w:t>
      </w:r>
    </w:p>
    <w:p w14:paraId="781E24CF" w14:textId="77777777" w:rsidR="00AB1F4E" w:rsidRPr="008603AC" w:rsidRDefault="00AB1F4E" w:rsidP="00AB1F4E">
      <w:pPr>
        <w:jc w:val="left"/>
        <w:rPr>
          <w:rFonts w:cs="Times New Roman"/>
          <w:lang w:val="en-GB"/>
        </w:rPr>
      </w:pPr>
      <w:r w:rsidRPr="008603AC">
        <w:rPr>
          <w:rFonts w:cs="Times New Roman"/>
          <w:i/>
          <w:lang w:val="en-GB"/>
        </w:rPr>
        <w:t>The Brentanian option: quasi-ontological statements are about</w:t>
      </w:r>
      <w:r w:rsidRPr="008603AC">
        <w:rPr>
          <w:rFonts w:cs="Times New Roman"/>
          <w:i/>
          <w:vertAlign w:val="subscript"/>
          <w:lang w:val="en-GB"/>
        </w:rPr>
        <w:t>TC</w:t>
      </w:r>
      <w:r w:rsidRPr="008603AC">
        <w:rPr>
          <w:rFonts w:cs="Times New Roman"/>
          <w:i/>
          <w:lang w:val="en-GB"/>
        </w:rPr>
        <w:t xml:space="preserve"> mental phenomena</w:t>
      </w:r>
      <w:r w:rsidRPr="008603AC">
        <w:rPr>
          <w:rFonts w:cs="Times New Roman"/>
          <w:lang w:val="en-GB"/>
        </w:rPr>
        <w:t>. – The key idea here is that of a complication of mental phenomena: (1) and (2) are about</w:t>
      </w:r>
      <w:r w:rsidRPr="008603AC">
        <w:rPr>
          <w:rFonts w:cs="Times New Roman"/>
          <w:vertAlign w:val="subscript"/>
          <w:lang w:val="en-GB"/>
        </w:rPr>
        <w:t>TC</w:t>
      </w:r>
      <w:r w:rsidRPr="008603AC">
        <w:rPr>
          <w:rFonts w:cs="Times New Roman"/>
          <w:lang w:val="en-GB"/>
        </w:rPr>
        <w:t xml:space="preserve"> mental phenomena inasmuch as they express mental phenomena </w:t>
      </w:r>
      <w:r w:rsidRPr="008603AC">
        <w:rPr>
          <w:rFonts w:cs="Times New Roman"/>
          <w:i/>
          <w:lang w:val="en-GB"/>
        </w:rPr>
        <w:t>directed at other mental phenomena</w:t>
      </w:r>
      <w:r w:rsidRPr="008603AC">
        <w:rPr>
          <w:rFonts w:cs="Times New Roman"/>
          <w:lang w:val="en-GB"/>
        </w:rPr>
        <w:t>. To fully understand this idea, though, it is necessary to make a brief detour via Brentano’</w:t>
      </w:r>
      <w:r>
        <w:rPr>
          <w:rFonts w:cs="Times New Roman"/>
          <w:lang w:val="en-GB"/>
        </w:rPr>
        <w:t>s logic course (Brentano Ms. EL </w:t>
      </w:r>
      <w:r w:rsidRPr="008603AC">
        <w:rPr>
          <w:rFonts w:cs="Times New Roman"/>
          <w:lang w:val="en-GB"/>
        </w:rPr>
        <w:t>80).</w:t>
      </w:r>
    </w:p>
    <w:p w14:paraId="37771F79" w14:textId="77777777" w:rsidR="00AB1F4E" w:rsidRPr="008603AC" w:rsidRDefault="00AB1F4E" w:rsidP="00AB1F4E">
      <w:pPr>
        <w:jc w:val="left"/>
        <w:rPr>
          <w:rFonts w:cs="Times New Roman"/>
          <w:lang w:val="en-GB"/>
        </w:rPr>
      </w:pPr>
      <w:r w:rsidRPr="008603AC">
        <w:rPr>
          <w:rFonts w:cs="Times New Roman"/>
          <w:lang w:val="en-GB"/>
        </w:rPr>
        <w:t xml:space="preserve">On Brentano’s view, it is the primary function of language to express (or arouse) mental phenomena. He calls </w:t>
      </w:r>
      <w:r w:rsidRPr="008603AC">
        <w:rPr>
          <w:rFonts w:cs="Times New Roman"/>
          <w:i/>
          <w:lang w:val="en-GB"/>
        </w:rPr>
        <w:t>categorematic</w:t>
      </w:r>
      <w:r w:rsidRPr="008603AC">
        <w:rPr>
          <w:rFonts w:cs="Times New Roman"/>
          <w:lang w:val="en-GB"/>
        </w:rPr>
        <w:t xml:space="preserve"> any linguistic expression which by itself expresses (or arouses) a mental phenomenon, where ‘by itself’ means ‘without being supplemented by any further word or group of words’. He then calls </w:t>
      </w:r>
      <w:r w:rsidRPr="008603AC">
        <w:rPr>
          <w:rFonts w:cs="Times New Roman"/>
          <w:i/>
          <w:lang w:val="en-GB"/>
        </w:rPr>
        <w:t>name</w:t>
      </w:r>
      <w:r w:rsidRPr="008603AC">
        <w:rPr>
          <w:rFonts w:cs="Times New Roman"/>
          <w:lang w:val="en-GB"/>
        </w:rPr>
        <w:t xml:space="preserve"> any </w:t>
      </w:r>
      <w:r w:rsidR="00BA2C61">
        <w:rPr>
          <w:rFonts w:cs="Times New Roman"/>
          <w:lang w:val="en-GB"/>
        </w:rPr>
        <w:t>categorematic</w:t>
      </w:r>
      <w:r w:rsidRPr="008603AC">
        <w:rPr>
          <w:rFonts w:cs="Times New Roman"/>
          <w:lang w:val="en-GB"/>
        </w:rPr>
        <w:t xml:space="preserve"> expression that expresses (or arouses) an act of presentation, and contrasts names with </w:t>
      </w:r>
      <w:r w:rsidRPr="008603AC">
        <w:rPr>
          <w:rFonts w:cs="Times New Roman"/>
          <w:i/>
          <w:lang w:val="en-GB"/>
        </w:rPr>
        <w:t>speech</w:t>
      </w:r>
      <w:r w:rsidRPr="008603AC">
        <w:rPr>
          <w:rFonts w:cs="Times New Roman"/>
          <w:lang w:val="en-GB"/>
        </w:rPr>
        <w:t xml:space="preserve"> (</w:t>
      </w:r>
      <w:r w:rsidRPr="008603AC">
        <w:rPr>
          <w:rFonts w:cs="Times New Roman"/>
          <w:i/>
          <w:lang w:val="de-DE"/>
        </w:rPr>
        <w:t>Rede</w:t>
      </w:r>
      <w:r w:rsidRPr="008603AC">
        <w:rPr>
          <w:rFonts w:cs="Times New Roman"/>
          <w:lang w:val="en-GB"/>
        </w:rPr>
        <w:t>), which is any categorematic expression that expresses another type of mental phenomena, namely an act of judgement or an act of interest.</w:t>
      </w:r>
      <w:r w:rsidRPr="008603AC">
        <w:rPr>
          <w:rStyle w:val="Marquedenotedefin"/>
          <w:rFonts w:cs="Times New Roman"/>
        </w:rPr>
        <w:endnoteReference w:id="7"/>
      </w:r>
      <w:r w:rsidRPr="008603AC">
        <w:rPr>
          <w:rFonts w:cs="Times New Roman"/>
          <w:lang w:val="en-GB"/>
        </w:rPr>
        <w:t xml:space="preserve"> Now central to Brentano’s analysis of names is the distinction between what a name </w:t>
      </w:r>
      <w:r w:rsidRPr="008603AC">
        <w:rPr>
          <w:rFonts w:cs="Times New Roman"/>
          <w:i/>
          <w:lang w:val="en-GB"/>
        </w:rPr>
        <w:t>means</w:t>
      </w:r>
      <w:r w:rsidRPr="008603AC">
        <w:rPr>
          <w:rFonts w:cs="Times New Roman"/>
          <w:lang w:val="en-GB"/>
        </w:rPr>
        <w:t xml:space="preserve"> (</w:t>
      </w:r>
      <w:r w:rsidRPr="008603AC">
        <w:rPr>
          <w:rFonts w:cs="Times New Roman"/>
          <w:i/>
          <w:lang w:val="de-DE"/>
        </w:rPr>
        <w:t>bedeutet</w:t>
      </w:r>
      <w:r w:rsidRPr="008603AC">
        <w:rPr>
          <w:rFonts w:cs="Times New Roman"/>
          <w:lang w:val="en-GB"/>
        </w:rPr>
        <w:t>)</w:t>
      </w:r>
      <w:r w:rsidRPr="008603AC">
        <w:rPr>
          <w:rFonts w:cs="Times New Roman"/>
          <w:i/>
          <w:lang w:val="en-GB"/>
        </w:rPr>
        <w:t xml:space="preserve"> </w:t>
      </w:r>
      <w:r w:rsidRPr="008603AC">
        <w:rPr>
          <w:rFonts w:cs="Times New Roman"/>
          <w:lang w:val="en-GB"/>
        </w:rPr>
        <w:t xml:space="preserve">and what it refers to or </w:t>
      </w:r>
      <w:r w:rsidRPr="008603AC">
        <w:rPr>
          <w:rFonts w:cs="Times New Roman"/>
          <w:i/>
          <w:lang w:val="en-GB"/>
        </w:rPr>
        <w:t xml:space="preserve">names </w:t>
      </w:r>
      <w:r w:rsidRPr="008603AC">
        <w:rPr>
          <w:rFonts w:cs="Times New Roman"/>
          <w:lang w:val="en-GB"/>
        </w:rPr>
        <w:t>(</w:t>
      </w:r>
      <w:r w:rsidRPr="008603AC">
        <w:rPr>
          <w:rFonts w:cs="Times New Roman"/>
          <w:i/>
          <w:lang w:val="de-DE"/>
        </w:rPr>
        <w:t>nennt</w:t>
      </w:r>
      <w:r w:rsidRPr="008603AC">
        <w:rPr>
          <w:rFonts w:cs="Times New Roman"/>
          <w:lang w:val="en-GB"/>
        </w:rPr>
        <w:t xml:space="preserve">). What a name </w:t>
      </w:r>
      <w:r w:rsidRPr="008603AC">
        <w:rPr>
          <w:rFonts w:cs="Times New Roman"/>
          <w:i/>
          <w:lang w:val="en-GB"/>
        </w:rPr>
        <w:t>means</w:t>
      </w:r>
      <w:r w:rsidRPr="008603AC">
        <w:rPr>
          <w:rFonts w:cs="Times New Roman"/>
          <w:lang w:val="en-GB"/>
        </w:rPr>
        <w:t xml:space="preserve"> depends on the ‘content’ of the corresponding presentation, whereas what it </w:t>
      </w:r>
      <w:r w:rsidRPr="008603AC">
        <w:rPr>
          <w:rFonts w:cs="Times New Roman"/>
          <w:i/>
          <w:lang w:val="en-GB"/>
        </w:rPr>
        <w:t>names</w:t>
      </w:r>
      <w:r w:rsidRPr="008603AC">
        <w:rPr>
          <w:rFonts w:cs="Times New Roman"/>
          <w:lang w:val="en-GB"/>
        </w:rPr>
        <w:t xml:space="preserve"> depends on what thing in the world, if any, is picked out by means of this content. In other words, it depends on the object of the presentation.</w:t>
      </w:r>
      <w:r w:rsidRPr="008603AC">
        <w:rPr>
          <w:rStyle w:val="Marquedenotedefin"/>
          <w:rFonts w:cs="Times New Roman"/>
        </w:rPr>
        <w:endnoteReference w:id="8"/>
      </w:r>
      <w:r w:rsidRPr="008603AC">
        <w:rPr>
          <w:rFonts w:cs="Times New Roman"/>
          <w:lang w:val="en-GB"/>
        </w:rPr>
        <w:t xml:space="preserve"> For the sake of illustration, consider the phrase ‘my cat’. Unlike ‘and’, ‘or’, ‘is’ and the likes, ‘my cat’ is a </w:t>
      </w:r>
      <w:r w:rsidRPr="008603AC">
        <w:rPr>
          <w:rFonts w:cs="Times New Roman"/>
          <w:i/>
          <w:lang w:val="en-GB"/>
        </w:rPr>
        <w:t>categorematic</w:t>
      </w:r>
      <w:r w:rsidRPr="008603AC">
        <w:rPr>
          <w:rFonts w:cs="Times New Roman"/>
          <w:lang w:val="en-GB"/>
        </w:rPr>
        <w:t xml:space="preserve"> expression for it expresses by itself a mental phenomenon occurring in the mind of the speaker or aroused in the mind of the addressee. Unlike ‘my cat is sleeping on the mat’, which expresses an act of judging, ‘my cat’ is a </w:t>
      </w:r>
      <w:r w:rsidRPr="008603AC">
        <w:rPr>
          <w:rFonts w:cs="Times New Roman"/>
          <w:i/>
          <w:lang w:val="en-GB"/>
        </w:rPr>
        <w:t>name</w:t>
      </w:r>
      <w:r w:rsidRPr="008603AC">
        <w:rPr>
          <w:rFonts w:cs="Times New Roman"/>
          <w:lang w:val="en-GB"/>
        </w:rPr>
        <w:t xml:space="preserve"> for it expresses an act of presentation. It </w:t>
      </w:r>
      <w:r w:rsidRPr="008603AC">
        <w:rPr>
          <w:rFonts w:cs="Times New Roman"/>
          <w:i/>
          <w:lang w:val="en-GB"/>
        </w:rPr>
        <w:t>means</w:t>
      </w:r>
      <w:r w:rsidRPr="008603AC">
        <w:rPr>
          <w:rFonts w:cs="Times New Roman"/>
          <w:lang w:val="en-GB"/>
        </w:rPr>
        <w:t xml:space="preserve"> whatever is the content of </w:t>
      </w:r>
      <w:r w:rsidR="00BA2C61">
        <w:rPr>
          <w:rFonts w:cs="Times New Roman"/>
          <w:lang w:val="en-GB"/>
        </w:rPr>
        <w:t xml:space="preserve">the related presentation and </w:t>
      </w:r>
      <w:r w:rsidRPr="008603AC">
        <w:rPr>
          <w:rFonts w:cs="Times New Roman"/>
          <w:i/>
          <w:lang w:val="en-GB"/>
        </w:rPr>
        <w:t>names</w:t>
      </w:r>
      <w:r w:rsidRPr="008603AC">
        <w:rPr>
          <w:rFonts w:cs="Times New Roman"/>
          <w:lang w:val="en-GB"/>
        </w:rPr>
        <w:t xml:space="preserve"> the animal which was chasing birds in the garden earlier in the morning and is presently sleeping on the mat in my living-room. On Brentano’s view, a similar distinction applies to pieces of discourse: the assertion ‘my cat is sleeping on the mat’ </w:t>
      </w:r>
      <w:r w:rsidRPr="008603AC">
        <w:rPr>
          <w:rFonts w:cs="Times New Roman"/>
          <w:i/>
          <w:lang w:val="en-GB"/>
        </w:rPr>
        <w:t>means</w:t>
      </w:r>
      <w:r w:rsidRPr="008603AC">
        <w:rPr>
          <w:rFonts w:cs="Times New Roman"/>
          <w:lang w:val="en-GB"/>
        </w:rPr>
        <w:t xml:space="preserve"> whatever is the content of the related judging act and </w:t>
      </w:r>
      <w:r w:rsidRPr="008603AC">
        <w:rPr>
          <w:rFonts w:cs="Times New Roman"/>
          <w:i/>
          <w:lang w:val="en-GB"/>
        </w:rPr>
        <w:t>indicates</w:t>
      </w:r>
      <w:r w:rsidRPr="008603AC">
        <w:rPr>
          <w:rFonts w:cs="Times New Roman"/>
          <w:lang w:val="en-GB"/>
        </w:rPr>
        <w:t xml:space="preserve"> (</w:t>
      </w:r>
      <w:r w:rsidRPr="008603AC">
        <w:rPr>
          <w:rFonts w:cs="Times New Roman"/>
          <w:i/>
          <w:lang w:val="de-DE"/>
        </w:rPr>
        <w:t>anzeigt</w:t>
      </w:r>
      <w:r w:rsidRPr="008603AC">
        <w:rPr>
          <w:rFonts w:cs="Times New Roman"/>
          <w:lang w:val="en-GB"/>
        </w:rPr>
        <w:t>)</w:t>
      </w:r>
      <w:r w:rsidRPr="008603AC">
        <w:rPr>
          <w:rFonts w:cs="Times New Roman"/>
          <w:i/>
          <w:lang w:val="en-GB"/>
        </w:rPr>
        <w:t xml:space="preserve"> </w:t>
      </w:r>
      <w:r w:rsidRPr="008603AC">
        <w:rPr>
          <w:rFonts w:cs="Times New Roman"/>
          <w:lang w:val="en-GB"/>
        </w:rPr>
        <w:t xml:space="preserve">that which is accepted or rejected by this judging act, what is judged </w:t>
      </w:r>
      <w:r w:rsidRPr="008603AC">
        <w:rPr>
          <w:rFonts w:cs="Times New Roman"/>
          <w:i/>
          <w:lang w:val="en-GB"/>
        </w:rPr>
        <w:t>about</w:t>
      </w:r>
      <w:r w:rsidRPr="008603AC">
        <w:rPr>
          <w:rFonts w:cs="Times New Roman"/>
          <w:lang w:val="en-GB"/>
        </w:rPr>
        <w:t xml:space="preserve">. Those distinctions are captured in </w:t>
      </w:r>
      <w:r w:rsidRPr="008603AC">
        <w:rPr>
          <w:rFonts w:cs="Times New Roman"/>
          <w:i/>
          <w:lang w:val="en-GB"/>
        </w:rPr>
        <w:t xml:space="preserve">Fig. 5.1 </w:t>
      </w:r>
      <w:r w:rsidRPr="008603AC">
        <w:rPr>
          <w:rFonts w:cs="Times New Roman"/>
          <w:lang w:val="en-GB"/>
        </w:rPr>
        <w:t xml:space="preserve">and </w:t>
      </w:r>
      <w:r w:rsidRPr="008603AC">
        <w:rPr>
          <w:rFonts w:cs="Times New Roman"/>
          <w:i/>
          <w:lang w:val="en-GB"/>
        </w:rPr>
        <w:t>Fig. 5.2</w:t>
      </w:r>
      <w:r w:rsidR="00BA2C61">
        <w:rPr>
          <w:rFonts w:cs="Times New Roman"/>
          <w:lang w:val="en-GB"/>
        </w:rPr>
        <w:t>.</w:t>
      </w: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43"/>
        <w:gridCol w:w="531"/>
        <w:gridCol w:w="543"/>
        <w:gridCol w:w="1006"/>
        <w:gridCol w:w="918"/>
        <w:gridCol w:w="567"/>
        <w:gridCol w:w="529"/>
        <w:gridCol w:w="567"/>
        <w:gridCol w:w="625"/>
      </w:tblGrid>
      <w:tr w:rsidR="00AB1F4E" w:rsidRPr="009120BD" w14:paraId="4FA74B87" w14:textId="77777777" w:rsidTr="00B7295C">
        <w:trPr>
          <w:trHeight w:val="365"/>
          <w:jc w:val="center"/>
        </w:trPr>
        <w:tc>
          <w:tcPr>
            <w:tcW w:w="1074" w:type="dxa"/>
            <w:gridSpan w:val="2"/>
            <w:vMerge w:val="restart"/>
            <w:vAlign w:val="center"/>
          </w:tcPr>
          <w:p w14:paraId="6FFF2B9D"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names</w:t>
            </w:r>
            <w:r w:rsidRPr="009120BD">
              <w:rPr>
                <w:rFonts w:cs="Times New Roman"/>
                <w:sz w:val="20"/>
                <w:szCs w:val="20"/>
                <w:lang w:val="en-GB"/>
              </w:rPr>
              <w:t xml:space="preserve"> </w:t>
            </w:r>
          </w:p>
          <w:p w14:paraId="2B390AE4"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 xml:space="preserve">the object of </w:t>
            </w:r>
          </w:p>
        </w:tc>
        <w:tc>
          <w:tcPr>
            <w:tcW w:w="1074" w:type="dxa"/>
            <w:gridSpan w:val="2"/>
            <w:tcBorders>
              <w:bottom w:val="single" w:sz="4" w:space="0" w:color="auto"/>
              <w:right w:val="single" w:sz="4" w:space="0" w:color="auto"/>
            </w:tcBorders>
            <w:vAlign w:val="center"/>
          </w:tcPr>
          <w:p w14:paraId="46639330" w14:textId="77777777" w:rsidR="00AB1F4E" w:rsidRPr="009120BD" w:rsidRDefault="00AB1F4E" w:rsidP="00B7295C">
            <w:pPr>
              <w:keepNext/>
              <w:spacing w:after="0" w:line="240" w:lineRule="auto"/>
              <w:ind w:firstLine="0"/>
              <w:jc w:val="center"/>
              <w:rPr>
                <w:rFonts w:cs="Times New Roman"/>
                <w:i/>
                <w:sz w:val="20"/>
                <w:szCs w:val="20"/>
                <w:lang w:val="en-GB"/>
              </w:rPr>
            </w:pPr>
          </w:p>
        </w:tc>
        <w:tc>
          <w:tcPr>
            <w:tcW w:w="1924" w:type="dxa"/>
            <w:gridSpan w:val="2"/>
            <w:vMerge w:val="restart"/>
            <w:tcBorders>
              <w:top w:val="single" w:sz="4" w:space="0" w:color="auto"/>
              <w:left w:val="single" w:sz="4" w:space="0" w:color="auto"/>
              <w:bottom w:val="single" w:sz="4" w:space="0" w:color="auto"/>
              <w:right w:val="single" w:sz="4" w:space="0" w:color="auto"/>
            </w:tcBorders>
            <w:vAlign w:val="center"/>
          </w:tcPr>
          <w:p w14:paraId="7512616A"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 xml:space="preserve">Name </w:t>
            </w:r>
          </w:p>
        </w:tc>
        <w:tc>
          <w:tcPr>
            <w:tcW w:w="1096" w:type="dxa"/>
            <w:gridSpan w:val="2"/>
            <w:tcBorders>
              <w:left w:val="single" w:sz="4" w:space="0" w:color="auto"/>
              <w:bottom w:val="single" w:sz="4" w:space="0" w:color="auto"/>
            </w:tcBorders>
            <w:vAlign w:val="center"/>
          </w:tcPr>
          <w:p w14:paraId="5D301C90"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restart"/>
            <w:vAlign w:val="center"/>
          </w:tcPr>
          <w:p w14:paraId="19C4A04C"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means</w:t>
            </w:r>
            <w:r w:rsidRPr="009120BD">
              <w:rPr>
                <w:rFonts w:cs="Times New Roman"/>
                <w:sz w:val="20"/>
                <w:szCs w:val="20"/>
                <w:lang w:val="en-GB"/>
              </w:rPr>
              <w:t xml:space="preserve"> </w:t>
            </w:r>
          </w:p>
          <w:p w14:paraId="2746513D"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the content of</w:t>
            </w:r>
          </w:p>
        </w:tc>
      </w:tr>
      <w:tr w:rsidR="00AB1F4E" w:rsidRPr="009120BD" w14:paraId="23141A3F" w14:textId="77777777" w:rsidTr="00B7295C">
        <w:trPr>
          <w:trHeight w:val="151"/>
          <w:jc w:val="center"/>
        </w:trPr>
        <w:tc>
          <w:tcPr>
            <w:tcW w:w="1074" w:type="dxa"/>
            <w:gridSpan w:val="2"/>
            <w:vMerge/>
            <w:vAlign w:val="center"/>
          </w:tcPr>
          <w:p w14:paraId="600966FD"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tcBorders>
              <w:top w:val="single" w:sz="4" w:space="0" w:color="auto"/>
              <w:right w:val="single" w:sz="4" w:space="0" w:color="auto"/>
            </w:tcBorders>
            <w:vAlign w:val="center"/>
          </w:tcPr>
          <w:p w14:paraId="63C0D5CB"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tcBorders>
              <w:left w:val="single" w:sz="4" w:space="0" w:color="auto"/>
              <w:bottom w:val="single" w:sz="4" w:space="0" w:color="auto"/>
              <w:right w:val="single" w:sz="4" w:space="0" w:color="auto"/>
            </w:tcBorders>
            <w:vAlign w:val="center"/>
          </w:tcPr>
          <w:p w14:paraId="77D6BD6F"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96" w:type="dxa"/>
            <w:gridSpan w:val="2"/>
            <w:tcBorders>
              <w:top w:val="single" w:sz="4" w:space="0" w:color="auto"/>
              <w:left w:val="single" w:sz="4" w:space="0" w:color="auto"/>
            </w:tcBorders>
            <w:vAlign w:val="center"/>
          </w:tcPr>
          <w:p w14:paraId="042E52B9"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ign w:val="center"/>
          </w:tcPr>
          <w:p w14:paraId="00283F61"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0526B4EF" w14:textId="77777777" w:rsidTr="00B7295C">
        <w:trPr>
          <w:trHeight w:val="64"/>
          <w:jc w:val="center"/>
        </w:trPr>
        <w:tc>
          <w:tcPr>
            <w:tcW w:w="1074" w:type="dxa"/>
            <w:gridSpan w:val="2"/>
            <w:vMerge/>
            <w:vAlign w:val="center"/>
          </w:tcPr>
          <w:p w14:paraId="553FAA98"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vAlign w:val="center"/>
          </w:tcPr>
          <w:p w14:paraId="06806AEE"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06" w:type="dxa"/>
            <w:tcBorders>
              <w:top w:val="single" w:sz="4" w:space="0" w:color="auto"/>
              <w:right w:val="single" w:sz="4" w:space="0" w:color="auto"/>
            </w:tcBorders>
            <w:vAlign w:val="center"/>
          </w:tcPr>
          <w:p w14:paraId="0792DA8C"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918" w:type="dxa"/>
            <w:tcBorders>
              <w:top w:val="single" w:sz="4" w:space="0" w:color="auto"/>
              <w:left w:val="single" w:sz="4" w:space="0" w:color="auto"/>
            </w:tcBorders>
            <w:vAlign w:val="center"/>
          </w:tcPr>
          <w:p w14:paraId="27D6D52C" w14:textId="77777777" w:rsidR="00AB1F4E" w:rsidRPr="009120BD" w:rsidRDefault="00AB1F4E" w:rsidP="00B7295C">
            <w:pPr>
              <w:keepNext/>
              <w:spacing w:after="0" w:line="240" w:lineRule="auto"/>
              <w:ind w:firstLine="0"/>
              <w:rPr>
                <w:rFonts w:cs="Times New Roman"/>
                <w:sz w:val="20"/>
                <w:szCs w:val="20"/>
                <w:lang w:val="en-GB"/>
              </w:rPr>
            </w:pPr>
          </w:p>
          <w:p w14:paraId="77BCC82E" w14:textId="77777777" w:rsidR="00AB1F4E" w:rsidRPr="009120BD" w:rsidRDefault="00AB1F4E" w:rsidP="00B7295C">
            <w:pPr>
              <w:keepNext/>
              <w:spacing w:after="0" w:line="240" w:lineRule="auto"/>
              <w:ind w:firstLine="0"/>
              <w:rPr>
                <w:rFonts w:cs="Times New Roman"/>
                <w:sz w:val="20"/>
                <w:szCs w:val="20"/>
                <w:lang w:val="en-GB"/>
              </w:rPr>
            </w:pPr>
          </w:p>
        </w:tc>
        <w:tc>
          <w:tcPr>
            <w:tcW w:w="1096" w:type="dxa"/>
            <w:gridSpan w:val="2"/>
            <w:vAlign w:val="center"/>
          </w:tcPr>
          <w:p w14:paraId="20588CB1"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ign w:val="center"/>
          </w:tcPr>
          <w:p w14:paraId="001A1F12"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2D3A57DA" w14:textId="77777777" w:rsidTr="00B7295C">
        <w:trPr>
          <w:trHeight w:val="491"/>
          <w:jc w:val="center"/>
        </w:trPr>
        <w:tc>
          <w:tcPr>
            <w:tcW w:w="531" w:type="dxa"/>
            <w:tcBorders>
              <w:right w:val="dashed" w:sz="4" w:space="0" w:color="auto"/>
            </w:tcBorders>
            <w:vAlign w:val="center"/>
          </w:tcPr>
          <w:p w14:paraId="38F7DB90"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43" w:type="dxa"/>
            <w:tcBorders>
              <w:left w:val="dashed" w:sz="4" w:space="0" w:color="auto"/>
              <w:bottom w:val="dashed" w:sz="4" w:space="0" w:color="auto"/>
            </w:tcBorders>
            <w:vAlign w:val="center"/>
          </w:tcPr>
          <w:p w14:paraId="17AF0801"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31" w:type="dxa"/>
            <w:tcBorders>
              <w:bottom w:val="dashed" w:sz="4" w:space="0" w:color="auto"/>
            </w:tcBorders>
            <w:vAlign w:val="center"/>
          </w:tcPr>
          <w:p w14:paraId="30D2D625"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43" w:type="dxa"/>
            <w:tcBorders>
              <w:bottom w:val="dashed" w:sz="4" w:space="0" w:color="auto"/>
            </w:tcBorders>
            <w:vAlign w:val="center"/>
          </w:tcPr>
          <w:p w14:paraId="236E23BB"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val="restart"/>
            <w:vAlign w:val="center"/>
          </w:tcPr>
          <w:p w14:paraId="535D920D"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expresses/arouses</w:t>
            </w:r>
          </w:p>
          <w:p w14:paraId="47B8E3C0"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the related act of presentation</w:t>
            </w:r>
          </w:p>
        </w:tc>
        <w:tc>
          <w:tcPr>
            <w:tcW w:w="567" w:type="dxa"/>
            <w:tcBorders>
              <w:bottom w:val="dashed" w:sz="4" w:space="0" w:color="auto"/>
            </w:tcBorders>
            <w:vAlign w:val="center"/>
          </w:tcPr>
          <w:p w14:paraId="1B060D3A"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29" w:type="dxa"/>
            <w:tcBorders>
              <w:bottom w:val="dashed" w:sz="4" w:space="0" w:color="auto"/>
            </w:tcBorders>
            <w:vAlign w:val="center"/>
          </w:tcPr>
          <w:p w14:paraId="523620B1"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67" w:type="dxa"/>
            <w:tcBorders>
              <w:bottom w:val="dashed" w:sz="4" w:space="0" w:color="auto"/>
              <w:right w:val="dashed" w:sz="4" w:space="0" w:color="auto"/>
            </w:tcBorders>
            <w:vAlign w:val="center"/>
          </w:tcPr>
          <w:p w14:paraId="0191101B"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625" w:type="dxa"/>
            <w:tcBorders>
              <w:left w:val="dashed" w:sz="4" w:space="0" w:color="auto"/>
            </w:tcBorders>
            <w:vAlign w:val="center"/>
          </w:tcPr>
          <w:p w14:paraId="35237B34"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109DC117" w14:textId="77777777" w:rsidTr="00B7295C">
        <w:trPr>
          <w:trHeight w:val="170"/>
          <w:jc w:val="center"/>
        </w:trPr>
        <w:tc>
          <w:tcPr>
            <w:tcW w:w="1074" w:type="dxa"/>
            <w:gridSpan w:val="2"/>
            <w:vAlign w:val="center"/>
          </w:tcPr>
          <w:p w14:paraId="324922FF"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vAlign w:val="center"/>
          </w:tcPr>
          <w:p w14:paraId="3AD055D5"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vAlign w:val="center"/>
          </w:tcPr>
          <w:p w14:paraId="6579AF9F" w14:textId="77777777" w:rsidR="00AB1F4E" w:rsidRPr="009120BD" w:rsidRDefault="00AB1F4E" w:rsidP="00B7295C">
            <w:pPr>
              <w:keepNext/>
              <w:spacing w:after="0" w:line="240" w:lineRule="auto"/>
              <w:ind w:firstLine="0"/>
              <w:jc w:val="center"/>
              <w:rPr>
                <w:rFonts w:cs="Times New Roman"/>
                <w:i/>
                <w:sz w:val="20"/>
                <w:szCs w:val="20"/>
                <w:lang w:val="en-GB"/>
              </w:rPr>
            </w:pPr>
          </w:p>
        </w:tc>
        <w:tc>
          <w:tcPr>
            <w:tcW w:w="1096" w:type="dxa"/>
            <w:gridSpan w:val="2"/>
            <w:vAlign w:val="center"/>
          </w:tcPr>
          <w:p w14:paraId="085343D4"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Align w:val="center"/>
          </w:tcPr>
          <w:p w14:paraId="7D5DC00D" w14:textId="77777777" w:rsidR="00AB1F4E" w:rsidRPr="009120BD" w:rsidRDefault="00AB1F4E" w:rsidP="00B7295C">
            <w:pPr>
              <w:keepNext/>
              <w:spacing w:after="0" w:line="240" w:lineRule="auto"/>
              <w:ind w:firstLine="0"/>
              <w:jc w:val="center"/>
              <w:rPr>
                <w:rFonts w:cs="Times New Roman"/>
                <w:sz w:val="20"/>
                <w:szCs w:val="20"/>
                <w:lang w:val="en-GB"/>
              </w:rPr>
            </w:pPr>
          </w:p>
        </w:tc>
      </w:tr>
    </w:tbl>
    <w:p w14:paraId="0F054755" w14:textId="77777777" w:rsidR="00AB1F4E" w:rsidRPr="008603AC" w:rsidRDefault="00AB1F4E" w:rsidP="00AB1F4E">
      <w:pPr>
        <w:spacing w:after="0" w:line="240" w:lineRule="auto"/>
        <w:ind w:firstLine="0"/>
        <w:jc w:val="left"/>
        <w:rPr>
          <w:rFonts w:cs="Times New Roman"/>
          <w:lang w:val="en-GB"/>
        </w:rPr>
      </w:pPr>
    </w:p>
    <w:p w14:paraId="588E2F4A" w14:textId="77777777" w:rsidR="00AB1F4E" w:rsidRPr="008603AC" w:rsidRDefault="00AB1F4E" w:rsidP="00AB1F4E">
      <w:pPr>
        <w:spacing w:after="0" w:line="240" w:lineRule="auto"/>
        <w:ind w:firstLine="0"/>
        <w:jc w:val="center"/>
        <w:rPr>
          <w:rFonts w:cs="Times New Roman"/>
          <w:i/>
          <w:lang w:val="en-GB"/>
        </w:rPr>
      </w:pPr>
      <w:r w:rsidRPr="008603AC">
        <w:rPr>
          <w:rFonts w:cs="Times New Roman"/>
          <w:i/>
          <w:lang w:val="en-GB"/>
        </w:rPr>
        <w:t>Fig. 5.1 Brentano’s analysis of a name</w:t>
      </w:r>
    </w:p>
    <w:p w14:paraId="61B9188D" w14:textId="77777777" w:rsidR="00AB1F4E" w:rsidRPr="008603AC" w:rsidRDefault="00AB1F4E" w:rsidP="00AB1F4E">
      <w:pPr>
        <w:spacing w:after="0" w:line="240" w:lineRule="auto"/>
        <w:ind w:firstLine="0"/>
        <w:jc w:val="left"/>
        <w:rPr>
          <w:rFonts w:cs="Times New Roman"/>
          <w:i/>
          <w:lang w:val="en-GB"/>
        </w:rPr>
      </w:pPr>
    </w:p>
    <w:p w14:paraId="14EFBDEE" w14:textId="77777777" w:rsidR="00AB1F4E" w:rsidRDefault="00AB1F4E" w:rsidP="00AB1F4E">
      <w:pPr>
        <w:spacing w:after="0" w:line="240" w:lineRule="auto"/>
        <w:ind w:firstLine="0"/>
        <w:jc w:val="left"/>
        <w:rPr>
          <w:rFonts w:cs="Times New Roman"/>
          <w:szCs w:val="24"/>
          <w:lang w:val="en-G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43"/>
        <w:gridCol w:w="531"/>
        <w:gridCol w:w="543"/>
        <w:gridCol w:w="1006"/>
        <w:gridCol w:w="918"/>
        <w:gridCol w:w="567"/>
        <w:gridCol w:w="529"/>
        <w:gridCol w:w="567"/>
        <w:gridCol w:w="625"/>
      </w:tblGrid>
      <w:tr w:rsidR="00AB1F4E" w:rsidRPr="009120BD" w14:paraId="550E0A3F" w14:textId="77777777" w:rsidTr="00B7295C">
        <w:trPr>
          <w:trHeight w:val="365"/>
          <w:jc w:val="center"/>
        </w:trPr>
        <w:tc>
          <w:tcPr>
            <w:tcW w:w="1074" w:type="dxa"/>
            <w:gridSpan w:val="2"/>
            <w:vMerge w:val="restart"/>
            <w:vAlign w:val="center"/>
          </w:tcPr>
          <w:p w14:paraId="4C560BBB"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indicates</w:t>
            </w:r>
          </w:p>
          <w:p w14:paraId="1C0CEE96"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 xml:space="preserve">the object of </w:t>
            </w:r>
          </w:p>
        </w:tc>
        <w:tc>
          <w:tcPr>
            <w:tcW w:w="1074" w:type="dxa"/>
            <w:gridSpan w:val="2"/>
            <w:tcBorders>
              <w:bottom w:val="single" w:sz="4" w:space="0" w:color="auto"/>
              <w:right w:val="single" w:sz="4" w:space="0" w:color="auto"/>
            </w:tcBorders>
            <w:vAlign w:val="center"/>
          </w:tcPr>
          <w:p w14:paraId="3729A851" w14:textId="77777777" w:rsidR="00AB1F4E" w:rsidRPr="009120BD" w:rsidRDefault="00AB1F4E" w:rsidP="00B7295C">
            <w:pPr>
              <w:keepNext/>
              <w:spacing w:after="0" w:line="240" w:lineRule="auto"/>
              <w:ind w:firstLine="0"/>
              <w:jc w:val="center"/>
              <w:rPr>
                <w:rFonts w:cs="Times New Roman"/>
                <w:i/>
                <w:sz w:val="20"/>
                <w:szCs w:val="20"/>
                <w:lang w:val="en-GB"/>
              </w:rPr>
            </w:pPr>
          </w:p>
        </w:tc>
        <w:tc>
          <w:tcPr>
            <w:tcW w:w="1924" w:type="dxa"/>
            <w:gridSpan w:val="2"/>
            <w:vMerge w:val="restart"/>
            <w:tcBorders>
              <w:top w:val="single" w:sz="4" w:space="0" w:color="auto"/>
              <w:left w:val="single" w:sz="4" w:space="0" w:color="auto"/>
              <w:bottom w:val="single" w:sz="4" w:space="0" w:color="auto"/>
              <w:right w:val="single" w:sz="4" w:space="0" w:color="auto"/>
            </w:tcBorders>
            <w:vAlign w:val="center"/>
          </w:tcPr>
          <w:p w14:paraId="542AEB44" w14:textId="77777777" w:rsidR="00AB1F4E" w:rsidRPr="009120BD" w:rsidRDefault="00AB1F4E" w:rsidP="00B7295C">
            <w:pPr>
              <w:keepNext/>
              <w:spacing w:after="0" w:line="240" w:lineRule="auto"/>
              <w:ind w:firstLine="0"/>
              <w:jc w:val="center"/>
              <w:rPr>
                <w:rFonts w:cs="Times New Roman"/>
                <w:iCs/>
                <w:smallCaps/>
                <w:color w:val="C0504D" w:themeColor="accent2"/>
                <w:spacing w:val="5"/>
                <w:sz w:val="20"/>
                <w:szCs w:val="20"/>
                <w:lang w:val="en-GB"/>
              </w:rPr>
            </w:pPr>
            <w:r>
              <w:rPr>
                <w:rFonts w:cs="Times New Roman"/>
                <w:sz w:val="20"/>
                <w:szCs w:val="20"/>
                <w:lang w:val="en-GB"/>
              </w:rPr>
              <w:t>Speech</w:t>
            </w:r>
          </w:p>
        </w:tc>
        <w:tc>
          <w:tcPr>
            <w:tcW w:w="1096" w:type="dxa"/>
            <w:gridSpan w:val="2"/>
            <w:tcBorders>
              <w:left w:val="single" w:sz="4" w:space="0" w:color="auto"/>
              <w:bottom w:val="single" w:sz="4" w:space="0" w:color="auto"/>
            </w:tcBorders>
            <w:vAlign w:val="center"/>
          </w:tcPr>
          <w:p w14:paraId="0D906041"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restart"/>
            <w:vAlign w:val="center"/>
          </w:tcPr>
          <w:p w14:paraId="76C95B34"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means</w:t>
            </w:r>
            <w:r w:rsidRPr="009120BD">
              <w:rPr>
                <w:rFonts w:cs="Times New Roman"/>
                <w:sz w:val="20"/>
                <w:szCs w:val="20"/>
                <w:lang w:val="en-GB"/>
              </w:rPr>
              <w:t xml:space="preserve"> </w:t>
            </w:r>
          </w:p>
          <w:p w14:paraId="25BCBF92"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the content of</w:t>
            </w:r>
          </w:p>
        </w:tc>
      </w:tr>
      <w:tr w:rsidR="00AB1F4E" w:rsidRPr="009120BD" w14:paraId="4D231AC0" w14:textId="77777777" w:rsidTr="00B7295C">
        <w:trPr>
          <w:trHeight w:val="151"/>
          <w:jc w:val="center"/>
        </w:trPr>
        <w:tc>
          <w:tcPr>
            <w:tcW w:w="1074" w:type="dxa"/>
            <w:gridSpan w:val="2"/>
            <w:vMerge/>
            <w:vAlign w:val="center"/>
          </w:tcPr>
          <w:p w14:paraId="16ABF44C"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tcBorders>
              <w:top w:val="single" w:sz="4" w:space="0" w:color="auto"/>
              <w:right w:val="single" w:sz="4" w:space="0" w:color="auto"/>
            </w:tcBorders>
            <w:vAlign w:val="center"/>
          </w:tcPr>
          <w:p w14:paraId="5DC7C02E"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tcBorders>
              <w:left w:val="single" w:sz="4" w:space="0" w:color="auto"/>
              <w:bottom w:val="single" w:sz="4" w:space="0" w:color="auto"/>
              <w:right w:val="single" w:sz="4" w:space="0" w:color="auto"/>
            </w:tcBorders>
            <w:vAlign w:val="center"/>
          </w:tcPr>
          <w:p w14:paraId="532483DE"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96" w:type="dxa"/>
            <w:gridSpan w:val="2"/>
            <w:tcBorders>
              <w:top w:val="single" w:sz="4" w:space="0" w:color="auto"/>
              <w:left w:val="single" w:sz="4" w:space="0" w:color="auto"/>
            </w:tcBorders>
            <w:vAlign w:val="center"/>
          </w:tcPr>
          <w:p w14:paraId="3AE3CFB7"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ign w:val="center"/>
          </w:tcPr>
          <w:p w14:paraId="50A460D1"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5EBA1241" w14:textId="77777777" w:rsidTr="00B7295C">
        <w:trPr>
          <w:trHeight w:val="407"/>
          <w:jc w:val="center"/>
        </w:trPr>
        <w:tc>
          <w:tcPr>
            <w:tcW w:w="1074" w:type="dxa"/>
            <w:gridSpan w:val="2"/>
            <w:vMerge/>
            <w:vAlign w:val="center"/>
          </w:tcPr>
          <w:p w14:paraId="56C61602"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vAlign w:val="center"/>
          </w:tcPr>
          <w:p w14:paraId="084737E7"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06" w:type="dxa"/>
            <w:tcBorders>
              <w:top w:val="single" w:sz="4" w:space="0" w:color="auto"/>
              <w:right w:val="single" w:sz="4" w:space="0" w:color="auto"/>
            </w:tcBorders>
            <w:vAlign w:val="center"/>
          </w:tcPr>
          <w:p w14:paraId="2F383EFC"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918" w:type="dxa"/>
            <w:tcBorders>
              <w:top w:val="single" w:sz="4" w:space="0" w:color="auto"/>
              <w:left w:val="single" w:sz="4" w:space="0" w:color="auto"/>
            </w:tcBorders>
            <w:vAlign w:val="center"/>
          </w:tcPr>
          <w:p w14:paraId="1BD50784" w14:textId="77777777" w:rsidR="00AB1F4E" w:rsidRPr="009120BD" w:rsidRDefault="00AB1F4E" w:rsidP="00B7295C">
            <w:pPr>
              <w:keepNext/>
              <w:spacing w:after="0" w:line="240" w:lineRule="auto"/>
              <w:ind w:firstLine="0"/>
              <w:rPr>
                <w:rFonts w:cs="Times New Roman"/>
                <w:sz w:val="20"/>
                <w:szCs w:val="20"/>
                <w:lang w:val="en-GB"/>
              </w:rPr>
            </w:pPr>
          </w:p>
          <w:p w14:paraId="568E0EBF" w14:textId="77777777" w:rsidR="00AB1F4E" w:rsidRPr="009120BD" w:rsidRDefault="00AB1F4E" w:rsidP="00B7295C">
            <w:pPr>
              <w:keepNext/>
              <w:spacing w:after="0" w:line="240" w:lineRule="auto"/>
              <w:ind w:firstLine="0"/>
              <w:rPr>
                <w:rFonts w:cs="Times New Roman"/>
                <w:sz w:val="20"/>
                <w:szCs w:val="20"/>
                <w:lang w:val="en-GB"/>
              </w:rPr>
            </w:pPr>
          </w:p>
        </w:tc>
        <w:tc>
          <w:tcPr>
            <w:tcW w:w="1096" w:type="dxa"/>
            <w:gridSpan w:val="2"/>
            <w:vAlign w:val="center"/>
          </w:tcPr>
          <w:p w14:paraId="22D88D48"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Merge/>
            <w:vAlign w:val="center"/>
          </w:tcPr>
          <w:p w14:paraId="68B0B91A"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692D0BCE" w14:textId="77777777" w:rsidTr="00B7295C">
        <w:trPr>
          <w:trHeight w:val="491"/>
          <w:jc w:val="center"/>
        </w:trPr>
        <w:tc>
          <w:tcPr>
            <w:tcW w:w="531" w:type="dxa"/>
            <w:tcBorders>
              <w:right w:val="dashed" w:sz="4" w:space="0" w:color="auto"/>
            </w:tcBorders>
            <w:vAlign w:val="center"/>
          </w:tcPr>
          <w:p w14:paraId="235B3277"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43" w:type="dxa"/>
            <w:tcBorders>
              <w:left w:val="dashed" w:sz="4" w:space="0" w:color="auto"/>
              <w:bottom w:val="dashed" w:sz="4" w:space="0" w:color="auto"/>
            </w:tcBorders>
            <w:vAlign w:val="center"/>
          </w:tcPr>
          <w:p w14:paraId="7CABB374"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31" w:type="dxa"/>
            <w:tcBorders>
              <w:bottom w:val="dashed" w:sz="4" w:space="0" w:color="auto"/>
            </w:tcBorders>
            <w:vAlign w:val="center"/>
          </w:tcPr>
          <w:p w14:paraId="62105A21"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43" w:type="dxa"/>
            <w:tcBorders>
              <w:bottom w:val="dashed" w:sz="4" w:space="0" w:color="auto"/>
            </w:tcBorders>
            <w:vAlign w:val="center"/>
          </w:tcPr>
          <w:p w14:paraId="285EA0E5"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val="restart"/>
            <w:vAlign w:val="center"/>
          </w:tcPr>
          <w:p w14:paraId="514F432A"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i/>
                <w:sz w:val="20"/>
                <w:szCs w:val="20"/>
                <w:lang w:val="en-GB"/>
              </w:rPr>
              <w:t>expresses/arouses</w:t>
            </w:r>
          </w:p>
          <w:p w14:paraId="68D07128" w14:textId="77777777" w:rsidR="00AB1F4E" w:rsidRPr="009120BD" w:rsidRDefault="00AB1F4E" w:rsidP="00B7295C">
            <w:pPr>
              <w:keepNext/>
              <w:spacing w:after="0" w:line="240" w:lineRule="auto"/>
              <w:ind w:firstLine="0"/>
              <w:jc w:val="center"/>
              <w:rPr>
                <w:rFonts w:cs="Times New Roman"/>
                <w:iCs/>
                <w:sz w:val="20"/>
                <w:szCs w:val="20"/>
                <w:lang w:val="en-GB"/>
              </w:rPr>
            </w:pPr>
            <w:r w:rsidRPr="009120BD">
              <w:rPr>
                <w:rFonts w:cs="Times New Roman"/>
                <w:sz w:val="20"/>
                <w:szCs w:val="20"/>
                <w:lang w:val="en-GB"/>
              </w:rPr>
              <w:t>the related act of judgement/interest</w:t>
            </w:r>
          </w:p>
        </w:tc>
        <w:tc>
          <w:tcPr>
            <w:tcW w:w="567" w:type="dxa"/>
            <w:tcBorders>
              <w:bottom w:val="dashed" w:sz="4" w:space="0" w:color="auto"/>
            </w:tcBorders>
            <w:vAlign w:val="center"/>
          </w:tcPr>
          <w:p w14:paraId="1F91EFA3"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29" w:type="dxa"/>
            <w:tcBorders>
              <w:bottom w:val="dashed" w:sz="4" w:space="0" w:color="auto"/>
            </w:tcBorders>
            <w:vAlign w:val="center"/>
          </w:tcPr>
          <w:p w14:paraId="3CA30D77"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567" w:type="dxa"/>
            <w:tcBorders>
              <w:bottom w:val="dashed" w:sz="4" w:space="0" w:color="auto"/>
              <w:right w:val="dashed" w:sz="4" w:space="0" w:color="auto"/>
            </w:tcBorders>
            <w:vAlign w:val="center"/>
          </w:tcPr>
          <w:p w14:paraId="5648727C"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625" w:type="dxa"/>
            <w:tcBorders>
              <w:left w:val="dashed" w:sz="4" w:space="0" w:color="auto"/>
            </w:tcBorders>
            <w:vAlign w:val="center"/>
          </w:tcPr>
          <w:p w14:paraId="345CDA3C" w14:textId="77777777" w:rsidR="00AB1F4E" w:rsidRPr="009120BD" w:rsidRDefault="00AB1F4E" w:rsidP="00B7295C">
            <w:pPr>
              <w:keepNext/>
              <w:spacing w:after="0" w:line="240" w:lineRule="auto"/>
              <w:ind w:firstLine="0"/>
              <w:jc w:val="center"/>
              <w:rPr>
                <w:rFonts w:cs="Times New Roman"/>
                <w:sz w:val="20"/>
                <w:szCs w:val="20"/>
                <w:lang w:val="en-GB"/>
              </w:rPr>
            </w:pPr>
          </w:p>
        </w:tc>
      </w:tr>
      <w:tr w:rsidR="00AB1F4E" w:rsidRPr="009120BD" w14:paraId="071CCB6D" w14:textId="77777777" w:rsidTr="00B7295C">
        <w:trPr>
          <w:trHeight w:val="170"/>
          <w:jc w:val="center"/>
        </w:trPr>
        <w:tc>
          <w:tcPr>
            <w:tcW w:w="1074" w:type="dxa"/>
            <w:gridSpan w:val="2"/>
            <w:vAlign w:val="center"/>
          </w:tcPr>
          <w:p w14:paraId="002AE024"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074" w:type="dxa"/>
            <w:gridSpan w:val="2"/>
            <w:vAlign w:val="center"/>
          </w:tcPr>
          <w:p w14:paraId="07E573B0"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924" w:type="dxa"/>
            <w:gridSpan w:val="2"/>
            <w:vMerge/>
            <w:vAlign w:val="center"/>
          </w:tcPr>
          <w:p w14:paraId="0893D9AB" w14:textId="77777777" w:rsidR="00AB1F4E" w:rsidRPr="009120BD" w:rsidRDefault="00AB1F4E" w:rsidP="00B7295C">
            <w:pPr>
              <w:keepNext/>
              <w:spacing w:after="0" w:line="240" w:lineRule="auto"/>
              <w:ind w:firstLine="0"/>
              <w:jc w:val="center"/>
              <w:rPr>
                <w:rFonts w:cs="Times New Roman"/>
                <w:i/>
                <w:sz w:val="20"/>
                <w:szCs w:val="20"/>
                <w:lang w:val="en-GB"/>
              </w:rPr>
            </w:pPr>
          </w:p>
        </w:tc>
        <w:tc>
          <w:tcPr>
            <w:tcW w:w="1096" w:type="dxa"/>
            <w:gridSpan w:val="2"/>
            <w:vAlign w:val="center"/>
          </w:tcPr>
          <w:p w14:paraId="2B1235DA" w14:textId="77777777" w:rsidR="00AB1F4E" w:rsidRPr="009120BD" w:rsidRDefault="00AB1F4E" w:rsidP="00B7295C">
            <w:pPr>
              <w:keepNext/>
              <w:spacing w:after="0" w:line="240" w:lineRule="auto"/>
              <w:ind w:firstLine="0"/>
              <w:jc w:val="center"/>
              <w:rPr>
                <w:rFonts w:cs="Times New Roman"/>
                <w:sz w:val="20"/>
                <w:szCs w:val="20"/>
                <w:lang w:val="en-GB"/>
              </w:rPr>
            </w:pPr>
          </w:p>
        </w:tc>
        <w:tc>
          <w:tcPr>
            <w:tcW w:w="1192" w:type="dxa"/>
            <w:gridSpan w:val="2"/>
            <w:vAlign w:val="center"/>
          </w:tcPr>
          <w:p w14:paraId="74A8B460" w14:textId="77777777" w:rsidR="00AB1F4E" w:rsidRPr="009120BD" w:rsidRDefault="00AB1F4E" w:rsidP="00B7295C">
            <w:pPr>
              <w:keepNext/>
              <w:spacing w:after="0" w:line="240" w:lineRule="auto"/>
              <w:ind w:firstLine="0"/>
              <w:jc w:val="center"/>
              <w:rPr>
                <w:rFonts w:cs="Times New Roman"/>
                <w:sz w:val="20"/>
                <w:szCs w:val="20"/>
                <w:lang w:val="en-GB"/>
              </w:rPr>
            </w:pPr>
          </w:p>
        </w:tc>
      </w:tr>
    </w:tbl>
    <w:p w14:paraId="76B4D482" w14:textId="77777777" w:rsidR="00AB1F4E" w:rsidRPr="008603AC" w:rsidRDefault="00AB1F4E" w:rsidP="00AB1F4E">
      <w:pPr>
        <w:spacing w:after="0" w:line="240" w:lineRule="auto"/>
        <w:ind w:firstLine="0"/>
        <w:jc w:val="left"/>
        <w:rPr>
          <w:rFonts w:cs="Times New Roman"/>
          <w:i/>
          <w:lang w:val="en-GB"/>
        </w:rPr>
      </w:pPr>
    </w:p>
    <w:p w14:paraId="12497D1C" w14:textId="77777777" w:rsidR="00AB1F4E" w:rsidRPr="008603AC" w:rsidRDefault="00AB1F4E" w:rsidP="00AB1F4E">
      <w:pPr>
        <w:ind w:firstLine="0"/>
        <w:jc w:val="center"/>
        <w:rPr>
          <w:rFonts w:cs="Times New Roman"/>
          <w:i/>
          <w:lang w:val="en-GB"/>
        </w:rPr>
      </w:pPr>
      <w:r w:rsidRPr="008603AC">
        <w:rPr>
          <w:rFonts w:cs="Times New Roman"/>
          <w:i/>
          <w:lang w:val="en-GB"/>
        </w:rPr>
        <w:t>Fig. 5.2 Brentano’s analysis of a speech</w:t>
      </w:r>
    </w:p>
    <w:p w14:paraId="285154A5" w14:textId="77777777" w:rsidR="00AB1F4E" w:rsidRPr="008603AC" w:rsidRDefault="00AB1F4E" w:rsidP="00AB1F4E">
      <w:pPr>
        <w:jc w:val="left"/>
        <w:rPr>
          <w:rFonts w:cs="Times New Roman"/>
          <w:lang w:val="en-GB"/>
        </w:rPr>
      </w:pPr>
      <w:r w:rsidRPr="008603AC">
        <w:rPr>
          <w:rFonts w:cs="Times New Roman"/>
          <w:lang w:val="en-GB"/>
        </w:rPr>
        <w:t xml:space="preserve">Brentano has it that many errors in philosophical theories about language derive from a confusion between those three fundamental functions, namely </w:t>
      </w:r>
      <w:r w:rsidRPr="008603AC">
        <w:rPr>
          <w:rFonts w:cs="Times New Roman"/>
          <w:i/>
          <w:lang w:val="en-GB"/>
        </w:rPr>
        <w:t>expressing</w:t>
      </w:r>
      <w:r w:rsidRPr="008603AC">
        <w:rPr>
          <w:rFonts w:cs="Times New Roman"/>
          <w:lang w:val="en-GB"/>
        </w:rPr>
        <w:t xml:space="preserve"> (respectively, arousing), </w:t>
      </w:r>
      <w:r w:rsidRPr="008603AC">
        <w:rPr>
          <w:rFonts w:cs="Times New Roman"/>
          <w:i/>
          <w:lang w:val="en-GB"/>
        </w:rPr>
        <w:t>naming</w:t>
      </w:r>
      <w:r w:rsidRPr="008603AC">
        <w:rPr>
          <w:rFonts w:cs="Times New Roman"/>
          <w:lang w:val="en-GB"/>
        </w:rPr>
        <w:t xml:space="preserve"> (respectively, indicating) and </w:t>
      </w:r>
      <w:r w:rsidRPr="008603AC">
        <w:rPr>
          <w:rFonts w:cs="Times New Roman"/>
          <w:i/>
          <w:lang w:val="en-GB"/>
        </w:rPr>
        <w:t>meaning</w:t>
      </w:r>
      <w:r w:rsidRPr="008603AC">
        <w:rPr>
          <w:rFonts w:cs="Times New Roman"/>
          <w:lang w:val="en-GB"/>
        </w:rPr>
        <w:t>.</w:t>
      </w:r>
      <w:r w:rsidRPr="008603AC">
        <w:rPr>
          <w:rStyle w:val="Marquedenotedefin"/>
          <w:rFonts w:cs="Times New Roman"/>
        </w:rPr>
        <w:endnoteReference w:id="9"/>
      </w:r>
      <w:r w:rsidRPr="008603AC">
        <w:rPr>
          <w:rFonts w:cs="Times New Roman"/>
          <w:lang w:val="en-GB"/>
        </w:rPr>
        <w:t xml:space="preserve"> It is plain, for example, that ‘my cat’ does not name or mean the related act of presentation but </w:t>
      </w:r>
      <w:r w:rsidRPr="008603AC">
        <w:rPr>
          <w:rFonts w:cs="Times New Roman"/>
          <w:i/>
          <w:lang w:val="en-GB"/>
        </w:rPr>
        <w:t>expresses</w:t>
      </w:r>
      <w:r w:rsidRPr="008603AC">
        <w:rPr>
          <w:rFonts w:cs="Times New Roman"/>
          <w:lang w:val="en-GB"/>
        </w:rPr>
        <w:t xml:space="preserve"> it, and does not express or mean the animal which is sleeping on the mat but </w:t>
      </w:r>
      <w:r w:rsidRPr="008603AC">
        <w:rPr>
          <w:rFonts w:cs="Times New Roman"/>
          <w:i/>
          <w:lang w:val="en-GB"/>
        </w:rPr>
        <w:t xml:space="preserve">names </w:t>
      </w:r>
      <w:r w:rsidRPr="008603AC">
        <w:rPr>
          <w:rFonts w:cs="Times New Roman"/>
          <w:lang w:val="en-GB"/>
        </w:rPr>
        <w:t>it.</w:t>
      </w:r>
    </w:p>
    <w:p w14:paraId="5328FDA1" w14:textId="77777777" w:rsidR="00AB1F4E" w:rsidRPr="008603AC" w:rsidRDefault="00AB1F4E" w:rsidP="00AB1F4E">
      <w:pPr>
        <w:jc w:val="left"/>
        <w:rPr>
          <w:rFonts w:cs="Times New Roman"/>
          <w:lang w:val="en-GB"/>
        </w:rPr>
      </w:pPr>
      <w:r w:rsidRPr="008603AC">
        <w:rPr>
          <w:rFonts w:cs="Times New Roman"/>
          <w:lang w:val="en-GB"/>
        </w:rPr>
        <w:t xml:space="preserve">As it happens, this idea of a confusion between the aforementioned functions places Brentano’s rejection of the Lockean and Meinongian options under a new light. One way of interpreting Brentano’s criticism indeed is to say that the Lockean option rests on a confusion between what is named and what is expressed, while the Meinongian option rests on a confusion between what is named and what is meant. Plainly, the presentation of Satan is what is expressed by the name ‘Satan’, not what it refers to or what it </w:t>
      </w:r>
      <w:r w:rsidRPr="008603AC">
        <w:rPr>
          <w:rFonts w:cs="Times New Roman"/>
          <w:i/>
          <w:lang w:val="en-GB"/>
        </w:rPr>
        <w:t>names</w:t>
      </w:r>
      <w:r w:rsidRPr="008603AC">
        <w:rPr>
          <w:rFonts w:cs="Times New Roman"/>
          <w:lang w:val="en-GB"/>
        </w:rPr>
        <w:t xml:space="preserve">. Likewise, the non-existence of Satan is what is </w:t>
      </w:r>
      <w:r w:rsidRPr="008603AC">
        <w:rPr>
          <w:rFonts w:cs="Times New Roman"/>
          <w:i/>
          <w:lang w:val="en-GB"/>
        </w:rPr>
        <w:t>meant</w:t>
      </w:r>
      <w:r w:rsidRPr="008603AC">
        <w:rPr>
          <w:rFonts w:cs="Times New Roman"/>
          <w:lang w:val="en-GB"/>
        </w:rPr>
        <w:t xml:space="preserve"> in (1) – it is the </w:t>
      </w:r>
      <w:r w:rsidRPr="008603AC">
        <w:rPr>
          <w:rFonts w:cs="Times New Roman"/>
          <w:i/>
          <w:lang w:val="en-GB"/>
        </w:rPr>
        <w:t>content</w:t>
      </w:r>
      <w:r w:rsidRPr="008603AC">
        <w:rPr>
          <w:rFonts w:cs="Times New Roman"/>
          <w:lang w:val="en-GB"/>
        </w:rPr>
        <w:t xml:space="preserve"> of the related act of judgement –, but it is not what is </w:t>
      </w:r>
      <w:r w:rsidRPr="008603AC">
        <w:rPr>
          <w:rFonts w:cs="Times New Roman"/>
          <w:i/>
          <w:lang w:val="en-GB"/>
        </w:rPr>
        <w:t>indicated</w:t>
      </w:r>
      <w:r w:rsidRPr="008603AC">
        <w:rPr>
          <w:rFonts w:cs="Times New Roman"/>
          <w:lang w:val="en-GB"/>
        </w:rPr>
        <w:t xml:space="preserve"> or judged about. This explains why, on Brentano’s account, (1) is not about</w:t>
      </w:r>
      <w:r w:rsidRPr="008603AC">
        <w:rPr>
          <w:rFonts w:cs="Times New Roman"/>
          <w:vertAlign w:val="subscript"/>
          <w:lang w:val="en-GB"/>
        </w:rPr>
        <w:t>TC</w:t>
      </w:r>
      <w:r w:rsidRPr="008603AC">
        <w:rPr>
          <w:rFonts w:cs="Times New Roman"/>
          <w:lang w:val="en-GB"/>
        </w:rPr>
        <w:t xml:space="preserve"> the non-existence of Satan, any more than it is about</w:t>
      </w:r>
      <w:r w:rsidRPr="008603AC">
        <w:rPr>
          <w:rFonts w:cs="Times New Roman"/>
          <w:vertAlign w:val="subscript"/>
          <w:lang w:val="en-GB"/>
        </w:rPr>
        <w:t>TC</w:t>
      </w:r>
      <w:r w:rsidRPr="008603AC">
        <w:rPr>
          <w:rFonts w:cs="Times New Roman"/>
          <w:lang w:val="en-GB"/>
        </w:rPr>
        <w:t xml:space="preserve"> Satan or the non-existent object called ‘Satan’. When I utter (1) in a communicational context, I’m not communicating to my addressee, </w:t>
      </w:r>
      <w:r w:rsidRPr="008603AC">
        <w:rPr>
          <w:rFonts w:cs="Times New Roman"/>
          <w:i/>
          <w:lang w:val="en-GB"/>
        </w:rPr>
        <w:t xml:space="preserve">pace </w:t>
      </w:r>
      <w:r w:rsidRPr="008603AC">
        <w:rPr>
          <w:rFonts w:cs="Times New Roman"/>
          <w:lang w:val="en-GB"/>
        </w:rPr>
        <w:t>Meinong, that I’m performing a judging act to the effect that the non-existence of Satan obtains or that there is an individual called Satan of which it is true to say that it does not exist. Again, such analyses would violate Occam’s principle according to which entities should not be multiplied without necessity:</w:t>
      </w:r>
    </w:p>
    <w:p w14:paraId="6696F276" w14:textId="77777777" w:rsidR="00AB1F4E" w:rsidRPr="008603AC" w:rsidRDefault="00AB1F4E" w:rsidP="00AB1F4E">
      <w:pPr>
        <w:pStyle w:val="Citation"/>
        <w:jc w:val="left"/>
        <w:rPr>
          <w:rFonts w:cs="Times New Roman"/>
          <w:lang w:val="en-GB"/>
        </w:rPr>
      </w:pPr>
      <w:r w:rsidRPr="008603AC">
        <w:rPr>
          <w:rFonts w:cs="Times New Roman"/>
          <w:lang w:val="en-GB"/>
        </w:rPr>
        <w:t xml:space="preserve">If a content, e.g. the being or the non-being of Napoleon, could become an object, then it would also have to hold true of it that it either is or is not, and we would have to be able to say in the strict sense not only of Napoleon but of the being of Napoleon as well, that it has being at one time and at another time it does not. </w:t>
      </w:r>
      <w:r>
        <w:rPr>
          <w:rFonts w:cs="Times New Roman"/>
          <w:lang w:val="en-GB"/>
        </w:rPr>
        <w:t xml:space="preserve">(Brentano 1925, </w:t>
      </w:r>
      <w:r w:rsidRPr="008603AC">
        <w:rPr>
          <w:rFonts w:cs="Times New Roman"/>
          <w:lang w:val="en-GB"/>
        </w:rPr>
        <w:t>161; 1995, 293)</w:t>
      </w:r>
    </w:p>
    <w:p w14:paraId="47E08510" w14:textId="77777777" w:rsidR="00AB1F4E" w:rsidRPr="008603AC" w:rsidRDefault="00AB1F4E" w:rsidP="00AB1F4E">
      <w:pPr>
        <w:jc w:val="left"/>
        <w:rPr>
          <w:rFonts w:cs="Times New Roman"/>
          <w:lang w:val="en-GB"/>
        </w:rPr>
      </w:pPr>
      <w:r w:rsidRPr="008603AC">
        <w:rPr>
          <w:rFonts w:cs="Times New Roman"/>
          <w:lang w:val="en-GB"/>
        </w:rPr>
        <w:t>Let me return to our opening question: what are (1) and (2) about</w:t>
      </w:r>
      <w:r w:rsidRPr="008603AC">
        <w:rPr>
          <w:rFonts w:cs="Times New Roman"/>
          <w:vertAlign w:val="subscript"/>
          <w:lang w:val="en-GB"/>
        </w:rPr>
        <w:t>TC</w:t>
      </w:r>
      <w:r w:rsidRPr="008603AC">
        <w:rPr>
          <w:rFonts w:cs="Times New Roman"/>
          <w:lang w:val="en-GB"/>
        </w:rPr>
        <w:t xml:space="preserve">? Brentano has it that, to answer this question, it is necessary to ‘peep beneath’ their surface grammar in order to identify the actual objects of the underlying acts of judgement, i.e. </w:t>
      </w:r>
      <w:r w:rsidRPr="008603AC">
        <w:rPr>
          <w:rFonts w:cs="Times New Roman"/>
          <w:i/>
          <w:lang w:val="en-GB"/>
        </w:rPr>
        <w:t>what must be the case for (1) and (2) to be true</w:t>
      </w:r>
      <w:r w:rsidRPr="008603AC">
        <w:rPr>
          <w:rFonts w:cs="Times New Roman"/>
          <w:lang w:val="en-GB"/>
        </w:rPr>
        <w:t xml:space="preserve">. Take Mill’s well-known example: ‘A centaur is a poetic fiction’. Plainly, there is no centaur in the world. Still, as we have seen, there must exist </w:t>
      </w:r>
      <w:r w:rsidRPr="008603AC">
        <w:rPr>
          <w:rFonts w:cs="Times New Roman"/>
          <w:i/>
          <w:lang w:val="en-GB"/>
        </w:rPr>
        <w:t>something else</w:t>
      </w:r>
      <w:r w:rsidRPr="008603AC">
        <w:rPr>
          <w:rFonts w:cs="Times New Roman"/>
          <w:lang w:val="en-GB"/>
        </w:rPr>
        <w:t>, which makes the sentence true. I quote Brentano again:</w:t>
      </w:r>
    </w:p>
    <w:p w14:paraId="0B5D9BBF" w14:textId="77777777" w:rsidR="00AB1F4E" w:rsidRPr="008603AC" w:rsidRDefault="00AB1F4E" w:rsidP="00AB1F4E">
      <w:pPr>
        <w:pStyle w:val="Citation"/>
        <w:jc w:val="left"/>
        <w:rPr>
          <w:rFonts w:cs="Times New Roman"/>
          <w:lang w:val="en-GB"/>
        </w:rPr>
      </w:pPr>
      <w:r w:rsidRPr="008603AC">
        <w:rPr>
          <w:rFonts w:cs="Times New Roman"/>
          <w:lang w:val="en-GB"/>
        </w:rPr>
        <w:t>The proposition, ‘A centaur is a poetic fiction’, does not imply […] that a centaur exists, rather it implies the opposite. But if it is true, it does imply that something else exists, namely a poetic fiction which combines part of a horse with part of a human body in a particular way. If there were no poetic fictions and if there were no centaurs imaginatively created by poets, the proposition would be false.</w:t>
      </w:r>
      <w:r>
        <w:rPr>
          <w:rFonts w:cs="Times New Roman"/>
          <w:lang w:val="en-GB"/>
        </w:rPr>
        <w:t xml:space="preserve"> (Brentano 1925,</w:t>
      </w:r>
      <w:r w:rsidRPr="008603AC">
        <w:rPr>
          <w:rFonts w:cs="Times New Roman"/>
          <w:lang w:val="en-GB"/>
        </w:rPr>
        <w:t xml:space="preserve"> 61; 1995, 219)</w:t>
      </w:r>
    </w:p>
    <w:p w14:paraId="212C9534" w14:textId="77777777" w:rsidR="00AB1F4E" w:rsidRPr="008603AC" w:rsidRDefault="00AB1F4E" w:rsidP="00AB1F4E">
      <w:pPr>
        <w:jc w:val="left"/>
        <w:rPr>
          <w:rFonts w:cs="Times New Roman"/>
          <w:lang w:val="en-GB"/>
        </w:rPr>
      </w:pPr>
      <w:r w:rsidRPr="008603AC">
        <w:rPr>
          <w:rFonts w:cs="Times New Roman"/>
          <w:lang w:val="en-GB"/>
        </w:rPr>
        <w:t xml:space="preserve">Accordingly, ‘A centaur is a poetic fiction’ might be less conveniently but less misleadingly paraphrased by ‘There is a poetic fiction which conceives the upper parts of the human body joined to the body and legs of a horse’ or ‘Some people have imagined a creature which is half-man and half-horse’. Note that, since mental acts are not just ‘floating in the air’, they always presuppose </w:t>
      </w:r>
      <w:r w:rsidRPr="008603AC">
        <w:rPr>
          <w:rFonts w:cs="Times New Roman"/>
          <w:i/>
          <w:lang w:val="en-GB"/>
        </w:rPr>
        <w:t>someone</w:t>
      </w:r>
      <w:r w:rsidRPr="008603AC">
        <w:rPr>
          <w:rFonts w:cs="Times New Roman"/>
          <w:lang w:val="en-GB"/>
        </w:rPr>
        <w:t>, some individual or group of individuals, who is performing them – hence the second paraphrase. Therefore, ‘A centaur is a poetic fiction’ may be said to be about</w:t>
      </w:r>
      <w:r w:rsidRPr="008603AC">
        <w:rPr>
          <w:rFonts w:cs="Times New Roman"/>
          <w:vertAlign w:val="subscript"/>
          <w:lang w:val="en-GB"/>
        </w:rPr>
        <w:t>TC</w:t>
      </w:r>
      <w:r w:rsidRPr="008603AC">
        <w:rPr>
          <w:rFonts w:cs="Times New Roman"/>
          <w:lang w:val="en-GB"/>
        </w:rPr>
        <w:t xml:space="preserve"> an act of imagining or, more pointedly, about</w:t>
      </w:r>
      <w:r w:rsidRPr="008603AC">
        <w:rPr>
          <w:rFonts w:cs="Times New Roman"/>
          <w:vertAlign w:val="subscript"/>
          <w:lang w:val="en-GB"/>
        </w:rPr>
        <w:t>TC</w:t>
      </w:r>
      <w:r w:rsidRPr="008603AC">
        <w:rPr>
          <w:rFonts w:cs="Times New Roman"/>
          <w:lang w:val="en-GB"/>
        </w:rPr>
        <w:t xml:space="preserve"> the one who performs this act, namely an undetermined ‘imaginer’. If this analysis is correct, one </w:t>
      </w:r>
      <w:r w:rsidR="00BA2C61">
        <w:rPr>
          <w:rFonts w:cs="Times New Roman"/>
          <w:lang w:val="en-GB"/>
        </w:rPr>
        <w:t>should</w:t>
      </w:r>
      <w:r w:rsidRPr="008603AC">
        <w:rPr>
          <w:rFonts w:cs="Times New Roman"/>
          <w:lang w:val="en-GB"/>
        </w:rPr>
        <w:t xml:space="preserve"> say that (1) ‘Satan is not a reality’ expresses a judgement which is not about</w:t>
      </w:r>
      <w:r w:rsidRPr="008603AC">
        <w:rPr>
          <w:rFonts w:cs="Times New Roman"/>
          <w:vertAlign w:val="subscript"/>
          <w:lang w:val="en-GB"/>
        </w:rPr>
        <w:t>TC</w:t>
      </w:r>
      <w:r w:rsidRPr="008603AC">
        <w:rPr>
          <w:rFonts w:cs="Times New Roman"/>
          <w:lang w:val="en-GB"/>
        </w:rPr>
        <w:t xml:space="preserve"> a thing called ‘Satan’ but </w:t>
      </w:r>
      <w:r w:rsidRPr="008603AC">
        <w:rPr>
          <w:rFonts w:cs="Times New Roman"/>
          <w:i/>
          <w:lang w:val="en-GB"/>
        </w:rPr>
        <w:t>about</w:t>
      </w:r>
      <w:r w:rsidRPr="008603AC">
        <w:rPr>
          <w:rFonts w:cs="Times New Roman"/>
          <w:i/>
          <w:vertAlign w:val="subscript"/>
          <w:lang w:val="en-GB"/>
        </w:rPr>
        <w:t>TC</w:t>
      </w:r>
      <w:r w:rsidRPr="008603AC">
        <w:rPr>
          <w:rFonts w:cs="Times New Roman"/>
          <w:i/>
          <w:lang w:val="en-GB"/>
        </w:rPr>
        <w:t xml:space="preserve"> another judgement</w:t>
      </w:r>
      <w:r w:rsidRPr="008603AC">
        <w:rPr>
          <w:rFonts w:cs="Times New Roman"/>
          <w:lang w:val="en-GB"/>
        </w:rPr>
        <w:t>, for example ‘The act of acknowledging an individual called “Satan” and being so and so, is incorrect’, or:</w:t>
      </w:r>
    </w:p>
    <w:p w14:paraId="4664A2D0" w14:textId="77777777" w:rsidR="00AB1F4E" w:rsidRPr="008603AC" w:rsidRDefault="00AB1F4E" w:rsidP="00AB1F4E">
      <w:pPr>
        <w:ind w:left="567" w:firstLine="0"/>
        <w:jc w:val="left"/>
        <w:rPr>
          <w:rFonts w:cs="Times New Roman"/>
          <w:lang w:val="en-GB"/>
        </w:rPr>
      </w:pPr>
      <w:r w:rsidRPr="008603AC">
        <w:rPr>
          <w:rFonts w:cs="Times New Roman"/>
          <w:lang w:val="en-GB"/>
        </w:rPr>
        <w:t>(1*) ‘Those who acknowledge an individual called ‘Satan’ and being so and so, are in error’.</w:t>
      </w:r>
    </w:p>
    <w:p w14:paraId="1DC6E4E0" w14:textId="77777777" w:rsidR="00AB1F4E" w:rsidRPr="008603AC" w:rsidRDefault="00AB1F4E" w:rsidP="00AB1F4E">
      <w:pPr>
        <w:jc w:val="left"/>
        <w:rPr>
          <w:rFonts w:cs="Times New Roman"/>
          <w:lang w:val="en-GB"/>
        </w:rPr>
      </w:pPr>
      <w:r w:rsidRPr="008603AC">
        <w:rPr>
          <w:rFonts w:cs="Times New Roman"/>
          <w:lang w:val="en-GB"/>
        </w:rPr>
        <w:t>Likewise, (2) ‘Unicorns do not exist’ might be paraphrased by saying that ‘The act of acknowledging creatures which resemble horses and have a horn, is incorrect’, or again:</w:t>
      </w:r>
    </w:p>
    <w:p w14:paraId="72471AA5" w14:textId="77777777" w:rsidR="00AB1F4E" w:rsidRPr="008603AC" w:rsidRDefault="00AB1F4E" w:rsidP="00AB1F4E">
      <w:pPr>
        <w:ind w:left="567" w:firstLine="0"/>
        <w:jc w:val="left"/>
        <w:rPr>
          <w:rFonts w:cs="Times New Roman"/>
          <w:lang w:val="en-GB"/>
        </w:rPr>
      </w:pPr>
      <w:r w:rsidRPr="008603AC">
        <w:rPr>
          <w:rFonts w:cs="Times New Roman"/>
          <w:lang w:val="en-GB"/>
        </w:rPr>
        <w:t>(2*) ‘Those who acknowledge creatures which resemble horses and have a horn, are in error’.</w:t>
      </w:r>
    </w:p>
    <w:p w14:paraId="2CD631C4" w14:textId="77777777" w:rsidR="00AB1F4E" w:rsidRPr="008603AC" w:rsidRDefault="00AB1F4E" w:rsidP="00AB1F4E">
      <w:pPr>
        <w:jc w:val="left"/>
        <w:rPr>
          <w:rFonts w:cs="Times New Roman"/>
          <w:lang w:val="en-GB"/>
        </w:rPr>
      </w:pPr>
      <w:r w:rsidRPr="008603AC">
        <w:rPr>
          <w:rFonts w:cs="Times New Roman"/>
          <w:lang w:val="en-GB"/>
        </w:rPr>
        <w:t>Let me briefly comment on that. First, since what (1*) and (2*) are about</w:t>
      </w:r>
      <w:r w:rsidRPr="008603AC">
        <w:rPr>
          <w:rFonts w:cs="Times New Roman"/>
          <w:vertAlign w:val="subscript"/>
          <w:lang w:val="en-GB"/>
        </w:rPr>
        <w:t>SG</w:t>
      </w:r>
      <w:r w:rsidRPr="008603AC">
        <w:rPr>
          <w:rFonts w:cs="Times New Roman"/>
          <w:lang w:val="en-GB"/>
        </w:rPr>
        <w:t xml:space="preserve"> is identical to what they are about</w:t>
      </w:r>
      <w:r w:rsidRPr="008603AC">
        <w:rPr>
          <w:rFonts w:cs="Times New Roman"/>
          <w:vertAlign w:val="subscript"/>
          <w:lang w:val="en-GB"/>
        </w:rPr>
        <w:t>TC</w:t>
      </w:r>
      <w:r w:rsidRPr="008603AC">
        <w:rPr>
          <w:rFonts w:cs="Times New Roman"/>
          <w:lang w:val="en-GB"/>
        </w:rPr>
        <w:t xml:space="preserve">, they are non-misleading sentences in the above-defined sense. Furthermore, if Brentano’s analysis is correct, their truth conditions are identical to those of (1) and (2), respectively, to the effect that they are successful paraphrases of (1) and (2). Next, we see how the whole process of analysing misleading expressions is driven by the thought of ontological parsimony underlying Occam’s razor. Clearly, (1*) and (2*) are assertions: they are pieces of discourse which express some judging acts. The key to Brentano’s account is that those judging acts are not intentionally directed at Satan or centaurs but </w:t>
      </w:r>
      <w:r w:rsidRPr="008603AC">
        <w:rPr>
          <w:rFonts w:cs="Times New Roman"/>
          <w:i/>
          <w:lang w:val="en-GB"/>
        </w:rPr>
        <w:t>at</w:t>
      </w:r>
      <w:r w:rsidRPr="008603AC">
        <w:rPr>
          <w:rFonts w:cs="Times New Roman"/>
          <w:lang w:val="en-GB"/>
        </w:rPr>
        <w:t xml:space="preserve"> </w:t>
      </w:r>
      <w:r w:rsidRPr="008603AC">
        <w:rPr>
          <w:rFonts w:cs="Times New Roman"/>
          <w:i/>
          <w:lang w:val="en-GB"/>
        </w:rPr>
        <w:t>other mental acts</w:t>
      </w:r>
      <w:r w:rsidRPr="008603AC">
        <w:rPr>
          <w:rFonts w:cs="Times New Roman"/>
          <w:lang w:val="en-GB"/>
        </w:rPr>
        <w:t>: (1*) makes it manifest that (1) really is about</w:t>
      </w:r>
      <w:r w:rsidRPr="008603AC">
        <w:rPr>
          <w:rFonts w:cs="Times New Roman"/>
          <w:vertAlign w:val="subscript"/>
          <w:lang w:val="en-GB"/>
        </w:rPr>
        <w:t>TC</w:t>
      </w:r>
      <w:r w:rsidRPr="008603AC">
        <w:rPr>
          <w:rFonts w:cs="Times New Roman"/>
          <w:lang w:val="en-GB"/>
        </w:rPr>
        <w:t xml:space="preserve"> the act of acknowledging an individual called ‘Satan’, etc., just like (2*) makes it manifest that (2) really is about</w:t>
      </w:r>
      <w:r w:rsidRPr="008603AC">
        <w:rPr>
          <w:rFonts w:cs="Times New Roman"/>
          <w:vertAlign w:val="subscript"/>
          <w:lang w:val="en-GB"/>
        </w:rPr>
        <w:t>TC</w:t>
      </w:r>
      <w:r w:rsidRPr="008603AC">
        <w:rPr>
          <w:rFonts w:cs="Times New Roman"/>
          <w:lang w:val="en-GB"/>
        </w:rPr>
        <w:t xml:space="preserve"> the act of acknowledging creatures which resemble horses and have a horn. If one nonetheless wants to say that they are ‘about’ Satan and unicorns, one should say that they are about them only </w:t>
      </w:r>
      <w:r w:rsidRPr="008603AC">
        <w:rPr>
          <w:rFonts w:cs="Times New Roman"/>
          <w:i/>
          <w:lang w:val="en-GB"/>
        </w:rPr>
        <w:t>in modo obliquo</w:t>
      </w:r>
      <w:r w:rsidRPr="008603AC">
        <w:rPr>
          <w:rFonts w:cs="Times New Roman"/>
          <w:lang w:val="en-GB"/>
        </w:rPr>
        <w:t>, which is Brentano’s way of capturing the thought of mental phenomena nestled into other mental phenomena (see Dewalque 2014).</w:t>
      </w:r>
      <w:r w:rsidRPr="008603AC">
        <w:rPr>
          <w:rFonts w:cs="Times New Roman"/>
          <w:i/>
          <w:lang w:val="en-GB"/>
        </w:rPr>
        <w:t xml:space="preserve"> </w:t>
      </w:r>
      <w:r w:rsidRPr="008603AC">
        <w:rPr>
          <w:rFonts w:cs="Times New Roman"/>
          <w:lang w:val="en-GB"/>
        </w:rPr>
        <w:t xml:space="preserve">Admittedly, this account implies that expressions about </w:t>
      </w:r>
      <w:r w:rsidRPr="008603AC">
        <w:rPr>
          <w:rFonts w:cs="Times New Roman"/>
          <w:i/>
          <w:lang w:val="la-Latn"/>
        </w:rPr>
        <w:t>ficta</w:t>
      </w:r>
      <w:r w:rsidRPr="008603AC">
        <w:rPr>
          <w:rFonts w:cs="Times New Roman"/>
          <w:lang w:val="en-GB"/>
        </w:rPr>
        <w:t xml:space="preserve"> rest upon a complication of mental phenomena. Yet, this complication is quite acceptable in Brentano’s eyes, for unlike the Lockean and the Meinongian options, it does not imply the existence of anything above and beyond mental phenomena or mentally active subjects. Ontologically speaking, mental acts or mentally active subjects are regular entities. They have nothing in common with weird entities like ‘ideas in the head’ or ‘non-existent objects’.</w:t>
      </w:r>
    </w:p>
    <w:p w14:paraId="303FEF91" w14:textId="77777777" w:rsidR="00AB1F4E" w:rsidRPr="008603AC" w:rsidRDefault="00AB1F4E" w:rsidP="00AB1F4E">
      <w:pPr>
        <w:jc w:val="left"/>
        <w:rPr>
          <w:rFonts w:cs="Times New Roman"/>
          <w:lang w:val="en-GB"/>
        </w:rPr>
      </w:pPr>
      <w:r w:rsidRPr="008603AC">
        <w:rPr>
          <w:rFonts w:cs="Times New Roman"/>
          <w:lang w:val="en-GB"/>
        </w:rPr>
        <w:t xml:space="preserve">So far I have briefly reconstructed (what I take to be) Brentano’s analysis of (1) and (2). What about Ryle? Regarding (1), he maintains that ‘the fact recorded would have been properly or less improperly recorded in the statement “‘Satan’ is not a proper name” or ‘No one is called ‘Satan’” or “No one is both called ‘Satan’ and is infinitely malevolent, etc.” </w:t>
      </w:r>
      <w:r w:rsidRPr="008603AC">
        <w:rPr>
          <w:rFonts w:cs="Times New Roman"/>
          <w:i/>
          <w:lang w:val="en-GB"/>
        </w:rPr>
        <w:t>or perhaps “Some people believe that someone is both called ‘Satan’ and infinitely malevolent, but their belief is false</w:t>
      </w:r>
      <w:r w:rsidRPr="008603AC">
        <w:rPr>
          <w:rFonts w:cs="Times New Roman"/>
          <w:lang w:val="en-GB"/>
        </w:rPr>
        <w:t>”’ (Ryle 1932a, 149; my emphasis). The last paraphrase is very close to (1*). To be sure, it is not explicitly couched in terms of a complication of mental phenomena and I’m not sure Ryle would be happy with such a terminology. But I see no reason why his own analysis in 1932 should be constructed as incompatible with that of Brentano. After all, Brentano’s theory of mental phenomena has nothing to do with the ‘Lockean demonology’ Ryle rejects (Ryle 1932a, 161). On the contrary, as Ryle himself points out, mental phenomena in Brentano’s sense are nothing but ‘directly discernible manifestations of mental functioning’, the variety of which is in no way reducible to ideas in the head (Ryle 2009, 175). Similarly, Ryle paraphrases (2) by saying that ‘Nothing has the property of resembling a horse and having a horn’, which on Brentano’s account should in turn be paraphrased in terms of (2*), for ‘nothing’ is not a categorematic expression and does not refer to anything, as Ryle himself recognises.</w:t>
      </w:r>
    </w:p>
    <w:p w14:paraId="1FD64C78" w14:textId="77777777" w:rsidR="00AB1F4E" w:rsidRPr="008603AC" w:rsidRDefault="00AB1F4E" w:rsidP="00AB1F4E">
      <w:pPr>
        <w:jc w:val="left"/>
        <w:rPr>
          <w:rFonts w:cs="Times New Roman"/>
          <w:lang w:val="en-GB"/>
        </w:rPr>
      </w:pPr>
      <w:r w:rsidRPr="008603AC">
        <w:rPr>
          <w:rFonts w:cs="Times New Roman"/>
          <w:lang w:val="en-GB"/>
        </w:rPr>
        <w:t xml:space="preserve">Brentano’s analysis, therefore, does not seem to me to be incompatible with Ryle’s. If anything, it goes a step further by investigating the structure of the underlying mental phenomena, while Ryle rather sticks to case-by-case paraphrases and refrains from embarking on psychological descriptions (the question of which option is better is a question that I will not address here). Admittedly, this difference is not negligible. It probably reflects the fact that they have different views of philosophy – not to mention the fact that Ryle’s anti-Cartesianism, which will come to the fore in </w:t>
      </w:r>
      <w:r w:rsidRPr="008603AC">
        <w:rPr>
          <w:rFonts w:cs="Times New Roman"/>
          <w:i/>
          <w:lang w:val="en-GB"/>
        </w:rPr>
        <w:t>The Concept of Mind</w:t>
      </w:r>
      <w:r w:rsidRPr="008603AC">
        <w:rPr>
          <w:rFonts w:cs="Times New Roman"/>
          <w:lang w:val="en-GB"/>
        </w:rPr>
        <w:t xml:space="preserve">, will still increase the gap between them. Still, Ryle’s 1932 account of misleading expressions is, if not identical to, at least </w:t>
      </w:r>
      <w:r w:rsidRPr="008603AC">
        <w:rPr>
          <w:rFonts w:cs="Times New Roman"/>
          <w:i/>
          <w:lang w:val="en-GB"/>
        </w:rPr>
        <w:t>continuous with</w:t>
      </w:r>
      <w:r w:rsidRPr="008603AC">
        <w:rPr>
          <w:rFonts w:cs="Times New Roman"/>
          <w:lang w:val="en-GB"/>
        </w:rPr>
        <w:t xml:space="preserve"> that of Brentano.</w:t>
      </w:r>
    </w:p>
    <w:p w14:paraId="7B40534F" w14:textId="77777777" w:rsidR="00AB1F4E" w:rsidRPr="008603AC" w:rsidRDefault="00AB1F4E" w:rsidP="00AB1F4E">
      <w:pPr>
        <w:pStyle w:val="Titre3"/>
        <w:jc w:val="left"/>
        <w:rPr>
          <w:rFonts w:cs="Times New Roman"/>
          <w:lang w:val="en-GB"/>
        </w:rPr>
      </w:pPr>
      <w:bookmarkStart w:id="7" w:name="_Toc41635618"/>
      <w:r w:rsidRPr="008603AC">
        <w:rPr>
          <w:rFonts w:cs="Times New Roman"/>
          <w:lang w:val="en-GB"/>
        </w:rPr>
        <w:t>A Moral About the Meaning of ‘Meaning’</w:t>
      </w:r>
      <w:bookmarkEnd w:id="7"/>
    </w:p>
    <w:p w14:paraId="6DC8F4FC" w14:textId="77777777" w:rsidR="00AB1F4E" w:rsidRPr="008603AC" w:rsidRDefault="00AB1F4E" w:rsidP="00AB1F4E">
      <w:pPr>
        <w:ind w:firstLine="0"/>
        <w:jc w:val="left"/>
        <w:rPr>
          <w:rFonts w:cs="Times New Roman"/>
          <w:lang w:val="en-GB"/>
        </w:rPr>
      </w:pPr>
      <w:r w:rsidRPr="008603AC">
        <w:rPr>
          <w:rFonts w:cs="Times New Roman"/>
          <w:lang w:val="en-GB"/>
        </w:rPr>
        <w:t xml:space="preserve">I have argued that Brentano and the early Ryle share a strikingly similar conception of philosophical analysis and misleading expressions. The backbone of this conception is the principle of ontological parsimony associated with Occam’s razor. I have illustrated this claim by comparing their analyses of statements about </w:t>
      </w:r>
      <w:r w:rsidRPr="008603AC">
        <w:rPr>
          <w:rFonts w:cs="Times New Roman"/>
          <w:i/>
          <w:lang w:val="la-Latn"/>
        </w:rPr>
        <w:t>ficta</w:t>
      </w:r>
      <w:r w:rsidRPr="008603AC">
        <w:rPr>
          <w:rFonts w:cs="Times New Roman"/>
          <w:lang w:val="en-GB"/>
        </w:rPr>
        <w:t>. I suspect (although I cannot show it here) that a similar observation can be made for their analyses of quasi-Platonic statements (statements about universals) and modifying expressions.</w:t>
      </w:r>
    </w:p>
    <w:p w14:paraId="516B47FB" w14:textId="77777777" w:rsidR="00AB1F4E" w:rsidRPr="008603AC" w:rsidRDefault="00AB1F4E" w:rsidP="00AB1F4E">
      <w:pPr>
        <w:jc w:val="left"/>
        <w:rPr>
          <w:rFonts w:cs="Times New Roman"/>
          <w:lang w:val="en-GB"/>
        </w:rPr>
      </w:pPr>
      <w:r w:rsidRPr="008603AC">
        <w:rPr>
          <w:rFonts w:cs="Times New Roman"/>
          <w:lang w:val="en-GB"/>
        </w:rPr>
        <w:t xml:space="preserve">To conclude, I would like to draw a consequence of what precedes for a correct understanding of the notion of meaning. On Brentano’s view, as we have seen, what is called ‘the meaning of a name’ just is the content of the underlying act of presentation. Likewise, ‘the meaning of an assertion’ just is the content of the related act of judgement. Because Brentano has it that the content-object distinction must be preserved, the contents of those mental phenomena cannot become the true </w:t>
      </w:r>
      <w:r w:rsidRPr="008603AC">
        <w:rPr>
          <w:rFonts w:cs="Times New Roman"/>
          <w:i/>
          <w:lang w:val="en-GB"/>
        </w:rPr>
        <w:t>objects</w:t>
      </w:r>
      <w:r w:rsidRPr="008603AC">
        <w:rPr>
          <w:rFonts w:cs="Times New Roman"/>
          <w:lang w:val="en-GB"/>
        </w:rPr>
        <w:t xml:space="preserve"> of further assertions. Although it sometimes looks as if we are referring to the meaning of an expression, we do not actually judge about</w:t>
      </w:r>
      <w:r w:rsidRPr="008603AC">
        <w:rPr>
          <w:rFonts w:cs="Times New Roman"/>
          <w:vertAlign w:val="subscript"/>
          <w:lang w:val="en-GB"/>
        </w:rPr>
        <w:t>TC</w:t>
      </w:r>
      <w:r w:rsidRPr="008603AC">
        <w:rPr>
          <w:rFonts w:cs="Times New Roman"/>
          <w:lang w:val="en-GB"/>
        </w:rPr>
        <w:t xml:space="preserve"> it. In other words, </w:t>
      </w:r>
      <w:r w:rsidRPr="008603AC">
        <w:rPr>
          <w:rFonts w:cs="Times New Roman"/>
          <w:i/>
          <w:lang w:val="en-GB"/>
        </w:rPr>
        <w:t>meanings are not objects</w:t>
      </w:r>
      <w:r w:rsidRPr="008603AC">
        <w:rPr>
          <w:rFonts w:cs="Times New Roman"/>
          <w:lang w:val="en-GB"/>
        </w:rPr>
        <w:t xml:space="preserve"> </w:t>
      </w:r>
      <w:r w:rsidRPr="008603AC">
        <w:rPr>
          <w:rFonts w:cs="Times New Roman"/>
          <w:i/>
          <w:lang w:val="en-GB"/>
        </w:rPr>
        <w:t>we can talk about</w:t>
      </w:r>
      <w:r w:rsidRPr="008603AC">
        <w:rPr>
          <w:rFonts w:cs="Times New Roman"/>
          <w:i/>
          <w:vertAlign w:val="subscript"/>
          <w:lang w:val="en-GB"/>
        </w:rPr>
        <w:t>TC</w:t>
      </w:r>
      <w:r w:rsidRPr="008603AC">
        <w:rPr>
          <w:rFonts w:cs="Times New Roman"/>
          <w:lang w:val="en-GB"/>
        </w:rPr>
        <w:t>. Whenever we talk about</w:t>
      </w:r>
      <w:r w:rsidRPr="008603AC">
        <w:rPr>
          <w:rFonts w:cs="Times New Roman"/>
          <w:vertAlign w:val="subscript"/>
          <w:lang w:val="en-GB"/>
        </w:rPr>
        <w:t>SG</w:t>
      </w:r>
      <w:r w:rsidRPr="008603AC">
        <w:rPr>
          <w:rFonts w:cs="Times New Roman"/>
          <w:lang w:val="en-GB"/>
        </w:rPr>
        <w:t xml:space="preserve"> the meaning of a linguistic expression, what we really are talking about</w:t>
      </w:r>
      <w:r w:rsidRPr="008603AC">
        <w:rPr>
          <w:rFonts w:cs="Times New Roman"/>
          <w:vertAlign w:val="subscript"/>
          <w:lang w:val="en-GB"/>
        </w:rPr>
        <w:t>TC</w:t>
      </w:r>
      <w:r w:rsidRPr="008603AC">
        <w:rPr>
          <w:rFonts w:cs="Times New Roman"/>
          <w:lang w:val="en-GB"/>
        </w:rPr>
        <w:t xml:space="preserve"> is the underlying mental phenomenon with such and such content. For example, saying that ‘the meaning of </w:t>
      </w:r>
      <w:r w:rsidRPr="008603AC">
        <w:rPr>
          <w:rFonts w:cs="Times New Roman"/>
          <w:i/>
          <w:lang w:val="en-GB"/>
        </w:rPr>
        <w:t>x</w:t>
      </w:r>
      <w:r w:rsidRPr="008603AC">
        <w:rPr>
          <w:rFonts w:cs="Times New Roman"/>
          <w:lang w:val="en-GB"/>
        </w:rPr>
        <w:t xml:space="preserve"> is vague’ is a convenient, albeit misleading, way of saying that ‘there is an underlying mental phenomenon whose content is not sharply determined’. One of the main consequences of this view is that all questions of philosophy of language which presuppose that meanings are objects are wrongheaded. Worse, they are </w:t>
      </w:r>
      <w:r w:rsidRPr="008603AC">
        <w:rPr>
          <w:rFonts w:cs="Times New Roman"/>
          <w:i/>
          <w:lang w:val="en-GB"/>
        </w:rPr>
        <w:t>senseless</w:t>
      </w:r>
      <w:r w:rsidRPr="008603AC">
        <w:rPr>
          <w:rFonts w:cs="Times New Roman"/>
          <w:lang w:val="en-GB"/>
        </w:rPr>
        <w:t>. Treating meanings as if they were objects distinct from, and on a par with, physical things and mental episodes, is just another way of allowing oneself to be misled by language into multiplying entities without necessity.</w:t>
      </w:r>
    </w:p>
    <w:p w14:paraId="1BB53955" w14:textId="77777777" w:rsidR="00AB1F4E" w:rsidRPr="008603AC" w:rsidRDefault="00AB1F4E" w:rsidP="00AB1F4E">
      <w:pPr>
        <w:jc w:val="left"/>
        <w:rPr>
          <w:rFonts w:cs="Times New Roman"/>
          <w:lang w:val="en-GB"/>
        </w:rPr>
      </w:pPr>
      <w:r w:rsidRPr="008603AC">
        <w:rPr>
          <w:rFonts w:cs="Times New Roman"/>
          <w:lang w:val="en-GB"/>
        </w:rPr>
        <w:t>Ryle, among all people, had perfectly grasped this fundamental lesson from Brentano.</w:t>
      </w:r>
      <w:r w:rsidRPr="008603AC">
        <w:rPr>
          <w:rStyle w:val="Marquedenotedefin"/>
          <w:rFonts w:cs="Times New Roman"/>
        </w:rPr>
        <w:endnoteReference w:id="10"/>
      </w:r>
      <w:r w:rsidRPr="008603AC">
        <w:rPr>
          <w:rFonts w:cs="Times New Roman"/>
          <w:lang w:val="en-GB"/>
        </w:rPr>
        <w:t xml:space="preserve"> The sentence ‘I have just grasped the meaning of </w:t>
      </w:r>
      <w:r w:rsidRPr="008603AC">
        <w:rPr>
          <w:rFonts w:cs="Times New Roman"/>
          <w:i/>
          <w:lang w:val="en-GB"/>
        </w:rPr>
        <w:t>x</w:t>
      </w:r>
      <w:r w:rsidRPr="008603AC">
        <w:rPr>
          <w:rFonts w:cs="Times New Roman"/>
          <w:lang w:val="en-GB"/>
        </w:rPr>
        <w:t xml:space="preserve">’, he writes, is systematically misleading in that it grammatically resembles sentences such as ‘I have just met the village policeman’, whereas in fact there is no object corresponding to ‘the meaning of </w:t>
      </w:r>
      <w:r w:rsidRPr="008603AC">
        <w:rPr>
          <w:rFonts w:cs="Times New Roman"/>
          <w:i/>
          <w:lang w:val="en-GB"/>
        </w:rPr>
        <w:t>x</w:t>
      </w:r>
      <w:r w:rsidRPr="008603AC">
        <w:rPr>
          <w:rFonts w:cs="Times New Roman"/>
          <w:lang w:val="en-GB"/>
        </w:rPr>
        <w:t xml:space="preserve">’ (no more than there is an object corresponding to ‘Satan’ or ‘the present King of France’). Hence, enquiring into the status of the object allegedly referred to by ‘the meaning of </w:t>
      </w:r>
      <w:r w:rsidRPr="008603AC">
        <w:rPr>
          <w:rFonts w:cs="Times New Roman"/>
          <w:i/>
          <w:lang w:val="en-GB"/>
        </w:rPr>
        <w:t>x</w:t>
      </w:r>
      <w:r w:rsidRPr="008603AC">
        <w:rPr>
          <w:rFonts w:cs="Times New Roman"/>
          <w:lang w:val="en-GB"/>
        </w:rPr>
        <w:t xml:space="preserve">’ is absurd, since there simply is no such object. As Ryle puts it: “It is as pointless to discuss whether word-meanings (i.e. ‘concepts’ or ‘universals’) are subjective or objective, or whether sentence-meanings (i.e. ‘judgements” or “objectives’) are subjective or objective, as it would be to discuss whether the equator or the sky is subjective or objective. For the questions themselves are not about anything’ (Ryle 1932a, 163; 2009a, 65). On this approach, anti-Platonism about meaning does not imply that meaning is psychological or subjective. Rather, it implies that the question whether meaning is subjective or objective is </w:t>
      </w:r>
      <w:r w:rsidRPr="008603AC">
        <w:rPr>
          <w:rFonts w:cs="Times New Roman"/>
          <w:i/>
          <w:lang w:val="en-GB"/>
        </w:rPr>
        <w:t>senseless</w:t>
      </w:r>
      <w:r w:rsidRPr="008603AC">
        <w:rPr>
          <w:rFonts w:cs="Times New Roman"/>
          <w:lang w:val="en-GB"/>
        </w:rPr>
        <w:t>. Here, I suspect, Ryle is more ‘Brentanian’ than many philosophers of the Brentano School.</w:t>
      </w:r>
    </w:p>
    <w:p w14:paraId="126540DB" w14:textId="77777777" w:rsidR="00BA2C61" w:rsidRDefault="00BA2C61" w:rsidP="00AB1F4E">
      <w:pPr>
        <w:ind w:firstLine="0"/>
        <w:jc w:val="left"/>
        <w:rPr>
          <w:rFonts w:cs="Times New Roman"/>
          <w:b/>
          <w:lang w:val="en-GB"/>
        </w:rPr>
      </w:pPr>
    </w:p>
    <w:p w14:paraId="5175D644" w14:textId="77777777" w:rsidR="00AB1F4E" w:rsidRPr="008603AC" w:rsidRDefault="00AB1F4E" w:rsidP="00AB1F4E">
      <w:pPr>
        <w:ind w:firstLine="0"/>
        <w:jc w:val="left"/>
        <w:rPr>
          <w:rFonts w:cs="Times New Roman"/>
          <w:i/>
          <w:lang w:val="en-GB"/>
        </w:rPr>
      </w:pPr>
      <w:bookmarkStart w:id="8" w:name="_GoBack"/>
      <w:bookmarkEnd w:id="8"/>
      <w:r w:rsidRPr="00BA2C61">
        <w:rPr>
          <w:rFonts w:cs="Times New Roman"/>
          <w:b/>
          <w:lang w:val="en-GB"/>
        </w:rPr>
        <w:t>References</w:t>
      </w:r>
    </w:p>
    <w:p w14:paraId="30A9DE33"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Bourdeau, Michel. 2003. “</w:t>
      </w:r>
      <w:r w:rsidRPr="008603AC">
        <w:rPr>
          <w:rFonts w:cs="Times New Roman"/>
          <w:lang w:val="fr-FR"/>
        </w:rPr>
        <w:t>Ryle et la phénoménologie</w:t>
      </w:r>
      <w:r w:rsidRPr="008603AC">
        <w:rPr>
          <w:rFonts w:cs="Times New Roman"/>
          <w:lang w:val="en-GB"/>
        </w:rPr>
        <w:t xml:space="preserve">”. </w:t>
      </w:r>
      <w:r w:rsidRPr="008603AC">
        <w:rPr>
          <w:rFonts w:cs="Times New Roman"/>
          <w:i/>
          <w:iCs/>
          <w:lang w:val="fr-FR"/>
        </w:rPr>
        <w:t>Revue Internationale de Philosophie</w:t>
      </w:r>
      <w:r w:rsidRPr="008603AC">
        <w:rPr>
          <w:rFonts w:cs="Times New Roman"/>
          <w:lang w:val="en-GB"/>
        </w:rPr>
        <w:t xml:space="preserve"> 223: 13–35.</w:t>
      </w:r>
    </w:p>
    <w:p w14:paraId="7FBE08CA"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Brandl, Johannes L. 2002. “Gilbert Ryle: A Mediator </w:t>
      </w:r>
      <w:r>
        <w:rPr>
          <w:rFonts w:cs="Times New Roman"/>
          <w:lang w:val="en-GB"/>
        </w:rPr>
        <w:t>b</w:t>
      </w:r>
      <w:r w:rsidRPr="008603AC">
        <w:rPr>
          <w:rFonts w:cs="Times New Roman"/>
          <w:lang w:val="en-GB"/>
        </w:rPr>
        <w:t xml:space="preserve">etween Analytic Philosophy and Phenomenology”. </w:t>
      </w:r>
      <w:r w:rsidRPr="008603AC">
        <w:rPr>
          <w:rFonts w:cs="Times New Roman"/>
          <w:i/>
          <w:iCs/>
          <w:lang w:val="en-GB"/>
        </w:rPr>
        <w:t>Southern Journal of Philosophy</w:t>
      </w:r>
      <w:r w:rsidRPr="008603AC">
        <w:rPr>
          <w:rFonts w:cs="Times New Roman"/>
          <w:lang w:val="en-GB"/>
        </w:rPr>
        <w:t xml:space="preserve"> 40 (S1): 143–151.</w:t>
      </w:r>
    </w:p>
    <w:p w14:paraId="38642B6A"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Brentano, Franz. Ms. EL</w:t>
      </w:r>
      <w:r>
        <w:rPr>
          <w:rFonts w:cs="Times New Roman"/>
          <w:lang w:val="en-GB"/>
        </w:rPr>
        <w:t> </w:t>
      </w:r>
      <w:r w:rsidRPr="008603AC">
        <w:rPr>
          <w:rFonts w:cs="Times New Roman"/>
          <w:lang w:val="en-GB"/>
        </w:rPr>
        <w:t xml:space="preserve">80. </w:t>
      </w:r>
      <w:r w:rsidRPr="008603AC">
        <w:rPr>
          <w:rFonts w:cs="Times New Roman"/>
          <w:i/>
          <w:lang w:val="de-DE"/>
        </w:rPr>
        <w:t>Logik</w:t>
      </w:r>
      <w:r w:rsidRPr="008603AC">
        <w:rPr>
          <w:rFonts w:cs="Times New Roman"/>
          <w:lang w:val="en-GB"/>
        </w:rPr>
        <w:t>. Unpublished Manuscript EL</w:t>
      </w:r>
      <w:r>
        <w:rPr>
          <w:rFonts w:cs="Times New Roman"/>
          <w:lang w:val="en-GB"/>
        </w:rPr>
        <w:t> </w:t>
      </w:r>
      <w:r w:rsidRPr="008603AC">
        <w:rPr>
          <w:rFonts w:cs="Times New Roman"/>
          <w:lang w:val="en-GB"/>
        </w:rPr>
        <w:t>80. Provisional Online Edition’. Edited by Robin D. Rollinger. Franz Brentano Archiv Graz. http://gams.uni-graz.at/archive/objects/context:bag/methods/sdef:Context/get?mode=logik.</w:t>
      </w:r>
    </w:p>
    <w:p w14:paraId="75E24910"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1924. </w:t>
      </w:r>
      <w:r w:rsidRPr="008603AC">
        <w:rPr>
          <w:rFonts w:cs="Times New Roman"/>
          <w:i/>
          <w:iCs/>
          <w:lang w:val="de-DE"/>
        </w:rPr>
        <w:t>Psychologie vom empirischen Standpunkt</w:t>
      </w:r>
      <w:r w:rsidRPr="008603AC">
        <w:rPr>
          <w:rFonts w:cs="Times New Roman"/>
          <w:iCs/>
          <w:lang w:val="de-DE"/>
        </w:rPr>
        <w:t>, vol. 1</w:t>
      </w:r>
      <w:r w:rsidRPr="008603AC">
        <w:rPr>
          <w:rFonts w:cs="Times New Roman"/>
          <w:lang w:val="en-GB"/>
        </w:rPr>
        <w:t>. Edited by Oskar Kraus. Leipzig: Meiner.</w:t>
      </w:r>
    </w:p>
    <w:p w14:paraId="0519D690"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1925. </w:t>
      </w:r>
      <w:r w:rsidRPr="008603AC">
        <w:rPr>
          <w:rFonts w:cs="Times New Roman"/>
          <w:i/>
          <w:iCs/>
          <w:lang w:val="de-DE"/>
        </w:rPr>
        <w:t>Psychologie vom empirischen Standpunkt</w:t>
      </w:r>
      <w:r w:rsidRPr="008603AC">
        <w:rPr>
          <w:rFonts w:cs="Times New Roman"/>
          <w:iCs/>
          <w:lang w:val="de-DE"/>
        </w:rPr>
        <w:t>, vol. 2</w:t>
      </w:r>
      <w:r w:rsidRPr="008603AC">
        <w:rPr>
          <w:rFonts w:cs="Times New Roman"/>
          <w:lang w:val="en-GB"/>
        </w:rPr>
        <w:t>. Edited by Oskar Kraus. Leipzig: Meiner.</w:t>
      </w:r>
    </w:p>
    <w:p w14:paraId="4B490D95"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1995. </w:t>
      </w:r>
      <w:r w:rsidRPr="008603AC">
        <w:rPr>
          <w:rFonts w:cs="Times New Roman"/>
          <w:i/>
          <w:iCs/>
          <w:lang w:val="en-GB"/>
        </w:rPr>
        <w:t>Psychology from an Empirical Standpoint</w:t>
      </w:r>
      <w:r w:rsidRPr="008603AC">
        <w:rPr>
          <w:rFonts w:cs="Times New Roman"/>
          <w:lang w:val="en-GB"/>
        </w:rPr>
        <w:t>. Translated by Antos C. Rancurello, D. B. Terrell, and Linda L. McAlister. London: Routledge.</w:t>
      </w:r>
    </w:p>
    <w:p w14:paraId="4C9ADA9B"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Chase, James, and Jack Reynolds. 2017. “Russell, Ryle and Phenomenology: An Alternative Parsing of the Ways”. In </w:t>
      </w:r>
      <w:r w:rsidRPr="008603AC">
        <w:rPr>
          <w:rFonts w:cs="Times New Roman"/>
          <w:i/>
          <w:iCs/>
          <w:lang w:val="en-GB"/>
        </w:rPr>
        <w:t>Analytic Philosophy: An Interpretive History</w:t>
      </w:r>
      <w:r w:rsidRPr="008603AC">
        <w:rPr>
          <w:rFonts w:cs="Times New Roman"/>
          <w:lang w:val="en-GB"/>
        </w:rPr>
        <w:t>, edited by Aaron Preston, 52–69. New York: Routledge.</w:t>
      </w:r>
    </w:p>
    <w:p w14:paraId="6BC13F1A"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Dewalque, Arnaud. 2014. “</w:t>
      </w:r>
      <w:r w:rsidRPr="008603AC">
        <w:rPr>
          <w:rFonts w:cs="Times New Roman"/>
          <w:lang w:val="fr-FR"/>
        </w:rPr>
        <w:t>Intentionnalité</w:t>
      </w:r>
      <w:r w:rsidRPr="008603AC">
        <w:rPr>
          <w:rFonts w:cs="Times New Roman"/>
          <w:lang w:val="en-GB"/>
        </w:rPr>
        <w:t xml:space="preserve"> </w:t>
      </w:r>
      <w:r w:rsidRPr="008603AC">
        <w:rPr>
          <w:rFonts w:cs="Times New Roman"/>
          <w:i/>
          <w:lang w:val="en-GB"/>
        </w:rPr>
        <w:t>in obliquo</w:t>
      </w:r>
      <w:r w:rsidRPr="008603AC">
        <w:rPr>
          <w:rFonts w:cs="Times New Roman"/>
          <w:lang w:val="en-GB"/>
        </w:rPr>
        <w:t xml:space="preserve">”. </w:t>
      </w:r>
      <w:r w:rsidRPr="008603AC">
        <w:rPr>
          <w:rFonts w:cs="Times New Roman"/>
          <w:i/>
          <w:iCs/>
          <w:lang w:val="fr-FR"/>
        </w:rPr>
        <w:t>Bulletin d’Analyse Phénoménologique</w:t>
      </w:r>
      <w:r w:rsidRPr="008603AC">
        <w:rPr>
          <w:rFonts w:cs="Times New Roman"/>
          <w:lang w:val="en-GB"/>
        </w:rPr>
        <w:t>, 10 (6): 40–84.</w:t>
      </w:r>
    </w:p>
    <w:p w14:paraId="6F9EBDA1"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2018. ‘Natural Classes in Brentano’s Psychology’. </w:t>
      </w:r>
      <w:r w:rsidRPr="008603AC">
        <w:rPr>
          <w:rFonts w:cs="Times New Roman"/>
          <w:i/>
          <w:iCs/>
          <w:lang w:val="de-DE"/>
        </w:rPr>
        <w:t>Brentano Studien</w:t>
      </w:r>
      <w:r w:rsidRPr="008603AC">
        <w:rPr>
          <w:rFonts w:cs="Times New Roman"/>
          <w:lang w:val="en-GB"/>
        </w:rPr>
        <w:t xml:space="preserve"> 16: 107–38.</w:t>
      </w:r>
    </w:p>
    <w:p w14:paraId="37DDCCFD"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cs-CZ"/>
        </w:rPr>
        <w:t>Janou</w:t>
      </w:r>
      <w:r w:rsidRPr="008603AC">
        <w:rPr>
          <w:rFonts w:cs="Times New Roman"/>
          <w:szCs w:val="24"/>
          <w:lang w:val="cs-CZ"/>
        </w:rPr>
        <w:t>š</w:t>
      </w:r>
      <w:r w:rsidRPr="008603AC">
        <w:rPr>
          <w:rFonts w:cs="Times New Roman"/>
          <w:lang w:val="cs-CZ"/>
        </w:rPr>
        <w:t>ek</w:t>
      </w:r>
      <w:r w:rsidRPr="008603AC">
        <w:rPr>
          <w:rFonts w:cs="Times New Roman"/>
          <w:lang w:val="en-GB"/>
        </w:rPr>
        <w:t xml:space="preserve">, Hynek, and Robin D. Rollinger. 2017. “The Prague School”. In </w:t>
      </w:r>
      <w:r w:rsidRPr="008603AC">
        <w:rPr>
          <w:rFonts w:cs="Times New Roman"/>
          <w:i/>
          <w:iCs/>
          <w:lang w:val="en-GB"/>
        </w:rPr>
        <w:t>The Routledge Handbook of Brentano and the Brentano School</w:t>
      </w:r>
      <w:r w:rsidRPr="008603AC">
        <w:rPr>
          <w:rFonts w:cs="Times New Roman"/>
          <w:lang w:val="en-GB"/>
        </w:rPr>
        <w:t>, edited by Uriah Kriegel, 313–322. New York and London: Routledge.</w:t>
      </w:r>
    </w:p>
    <w:p w14:paraId="530DD75B"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Mill, John Stuart. 1974. </w:t>
      </w:r>
      <w:r w:rsidRPr="008603AC">
        <w:rPr>
          <w:rFonts w:cs="Times New Roman"/>
          <w:i/>
          <w:iCs/>
          <w:lang w:val="en-GB"/>
        </w:rPr>
        <w:t>A System of Logic, Ratiocinative and Inductive</w:t>
      </w:r>
      <w:r w:rsidRPr="008603AC">
        <w:rPr>
          <w:rFonts w:cs="Times New Roman"/>
          <w:lang w:val="en-GB"/>
        </w:rPr>
        <w:t xml:space="preserve">. Edited by John M. Robson. </w:t>
      </w:r>
      <w:r w:rsidRPr="008603AC">
        <w:rPr>
          <w:rFonts w:cs="Times New Roman"/>
          <w:i/>
          <w:lang w:val="en-GB"/>
        </w:rPr>
        <w:t>The Collected Works of John Stuart Mill</w:t>
      </w:r>
      <w:r w:rsidRPr="008603AC">
        <w:rPr>
          <w:rFonts w:cs="Times New Roman"/>
          <w:lang w:val="en-GB"/>
        </w:rPr>
        <w:t>, VII. Toronto-London: University of Toronto Press - Routledge and Kegan Paul.</w:t>
      </w:r>
    </w:p>
    <w:p w14:paraId="550BA8E8"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Moore, George Edward. 2004. </w:t>
      </w:r>
      <w:r w:rsidRPr="008603AC">
        <w:rPr>
          <w:rFonts w:cs="Times New Roman"/>
          <w:i/>
          <w:iCs/>
          <w:lang w:val="en-GB"/>
        </w:rPr>
        <w:t>Lectures on Philosophy</w:t>
      </w:r>
      <w:r w:rsidRPr="008603AC">
        <w:rPr>
          <w:rFonts w:cs="Times New Roman"/>
          <w:lang w:val="en-GB"/>
        </w:rPr>
        <w:t>. London and New York: Routledge.</w:t>
      </w:r>
    </w:p>
    <w:p w14:paraId="3B5BA6DF"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Morran, Dermot. 2014. “Analytic Philosophy and Continental Philosophy: Four Confrontations”. In </w:t>
      </w:r>
      <w:r w:rsidRPr="008603AC">
        <w:rPr>
          <w:rFonts w:cs="Times New Roman"/>
          <w:i/>
          <w:iCs/>
          <w:lang w:val="en-GB"/>
        </w:rPr>
        <w:t>Phenomenology: Responses and Developments</w:t>
      </w:r>
      <w:r w:rsidRPr="008603AC">
        <w:rPr>
          <w:rFonts w:cs="Times New Roman"/>
          <w:lang w:val="en-GB"/>
        </w:rPr>
        <w:t>, edited by Leonard Lawlor, 235–266. London and New York: Routledge.</w:t>
      </w:r>
    </w:p>
    <w:p w14:paraId="461D83A4"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Russell, Bertrand. 1905. “On Denoting”. </w:t>
      </w:r>
      <w:r w:rsidRPr="008603AC">
        <w:rPr>
          <w:rFonts w:cs="Times New Roman"/>
          <w:i/>
          <w:lang w:val="en-GB"/>
        </w:rPr>
        <w:t xml:space="preserve">Mind </w:t>
      </w:r>
      <w:r w:rsidRPr="008603AC">
        <w:rPr>
          <w:rFonts w:cs="Times New Roman"/>
          <w:lang w:val="en-GB"/>
        </w:rPr>
        <w:t>(n.s.) 14: 479–493.</w:t>
      </w:r>
    </w:p>
    <w:p w14:paraId="7550011E"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1973. </w:t>
      </w:r>
      <w:r w:rsidRPr="008603AC">
        <w:rPr>
          <w:rFonts w:cs="Times New Roman"/>
          <w:i/>
          <w:szCs w:val="24"/>
          <w:lang w:val="en-GB"/>
        </w:rPr>
        <w:t>Essays in Analysis</w:t>
      </w:r>
      <w:r w:rsidRPr="008603AC">
        <w:rPr>
          <w:rFonts w:cs="Times New Roman"/>
          <w:szCs w:val="24"/>
          <w:lang w:val="en-GB"/>
        </w:rPr>
        <w:t>. New York: George Braziller.</w:t>
      </w:r>
    </w:p>
    <w:p w14:paraId="1947D43C"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Ryle, Gilbert. 1932. “Phenomenology”. </w:t>
      </w:r>
      <w:r w:rsidRPr="008603AC">
        <w:rPr>
          <w:rFonts w:cs="Times New Roman"/>
          <w:i/>
          <w:iCs/>
          <w:lang w:val="en-GB"/>
        </w:rPr>
        <w:t>Proceedings of the Aristotelian Society. Supplementary Volumes</w:t>
      </w:r>
      <w:r w:rsidRPr="008603AC">
        <w:rPr>
          <w:rFonts w:cs="Times New Roman"/>
          <w:lang w:val="en-GB"/>
        </w:rPr>
        <w:t xml:space="preserve"> 11: 68–83.</w:t>
      </w:r>
    </w:p>
    <w:p w14:paraId="73A5D0D8"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1932a. “Systematically Misleading Expressions”. </w:t>
      </w:r>
      <w:r w:rsidRPr="008603AC">
        <w:rPr>
          <w:rFonts w:cs="Times New Roman"/>
          <w:i/>
          <w:iCs/>
          <w:lang w:val="en-GB"/>
        </w:rPr>
        <w:t>Proceedings of the Aristotelian Society (New Series)</w:t>
      </w:r>
      <w:r w:rsidRPr="008603AC">
        <w:rPr>
          <w:rFonts w:cs="Times New Roman"/>
          <w:lang w:val="en-GB"/>
        </w:rPr>
        <w:t xml:space="preserve"> 32: 139–170.</w:t>
      </w:r>
    </w:p>
    <w:p w14:paraId="3B49E083"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1933. “‘About’”. </w:t>
      </w:r>
      <w:r w:rsidRPr="008603AC">
        <w:rPr>
          <w:rFonts w:cs="Times New Roman"/>
          <w:i/>
          <w:iCs/>
          <w:lang w:val="en-GB"/>
        </w:rPr>
        <w:t>Analysis</w:t>
      </w:r>
      <w:r>
        <w:rPr>
          <w:rFonts w:cs="Times New Roman"/>
          <w:lang w:val="en-GB"/>
        </w:rPr>
        <w:t xml:space="preserve"> 1, no 1 </w:t>
      </w:r>
      <w:r w:rsidRPr="008603AC">
        <w:rPr>
          <w:rFonts w:cs="Times New Roman"/>
          <w:lang w:val="en-GB"/>
        </w:rPr>
        <w:t>: 10–12.</w:t>
      </w:r>
    </w:p>
    <w:p w14:paraId="1C36C6C0"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2009. </w:t>
      </w:r>
      <w:r w:rsidRPr="008603AC">
        <w:rPr>
          <w:rFonts w:cs="Times New Roman"/>
          <w:i/>
          <w:iCs/>
          <w:lang w:val="en-GB"/>
        </w:rPr>
        <w:t>Collected Papers. 1: Critical Essays</w:t>
      </w:r>
      <w:r w:rsidRPr="008603AC">
        <w:rPr>
          <w:rFonts w:cs="Times New Roman"/>
          <w:lang w:val="en-GB"/>
        </w:rPr>
        <w:t>. London and New York: Routledge.</w:t>
      </w:r>
    </w:p>
    <w:p w14:paraId="7C738053"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2009a. </w:t>
      </w:r>
      <w:r w:rsidRPr="008603AC">
        <w:rPr>
          <w:rFonts w:cs="Times New Roman"/>
          <w:i/>
          <w:iCs/>
          <w:lang w:val="en-GB"/>
        </w:rPr>
        <w:t>Collected Papers. 2: Collected Essays</w:t>
      </w:r>
      <w:r w:rsidRPr="008603AC">
        <w:rPr>
          <w:rFonts w:cs="Times New Roman"/>
          <w:lang w:val="en-GB"/>
        </w:rPr>
        <w:t>. London and New York: Routledge.</w:t>
      </w:r>
    </w:p>
    <w:p w14:paraId="760EE26A"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Sauer, Werner. 2017. “Brentano’s Reism”. In </w:t>
      </w:r>
      <w:r w:rsidRPr="008603AC">
        <w:rPr>
          <w:rFonts w:cs="Times New Roman"/>
          <w:i/>
          <w:iCs/>
          <w:lang w:val="en-GB"/>
        </w:rPr>
        <w:t>The Routledge Handbook of Brentano and the Brentano School</w:t>
      </w:r>
      <w:r w:rsidRPr="008603AC">
        <w:rPr>
          <w:rFonts w:cs="Times New Roman"/>
          <w:lang w:val="en-GB"/>
        </w:rPr>
        <w:t>, edited by Uriah Kriegel, 133–143. New York and London: Routledge.</w:t>
      </w:r>
    </w:p>
    <w:p w14:paraId="3410FCDC"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Schuhmann, Karl. 1977. </w:t>
      </w:r>
      <w:r w:rsidRPr="008603AC">
        <w:rPr>
          <w:rFonts w:cs="Times New Roman"/>
          <w:i/>
          <w:iCs/>
          <w:lang w:val="de-DE"/>
        </w:rPr>
        <w:t>Husserl-Chronik. Denk- Und Lebensweg Edmund Husserls</w:t>
      </w:r>
      <w:r w:rsidRPr="008603AC">
        <w:rPr>
          <w:rFonts w:cs="Times New Roman"/>
          <w:lang w:val="de-DE"/>
        </w:rPr>
        <w:t>. Husserliana Dokumente</w:t>
      </w:r>
      <w:r w:rsidRPr="008603AC">
        <w:rPr>
          <w:rFonts w:cs="Times New Roman"/>
          <w:lang w:val="en-GB"/>
        </w:rPr>
        <w:t xml:space="preserve"> 1. Dordrecht: Springer.</w:t>
      </w:r>
    </w:p>
    <w:p w14:paraId="0AC1639C"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Thomasson, Amie L. 2002. “Phenomenology and the Development of Analytic Philosophy”. </w:t>
      </w:r>
      <w:r w:rsidRPr="008603AC">
        <w:rPr>
          <w:rFonts w:cs="Times New Roman"/>
          <w:i/>
          <w:iCs/>
          <w:lang w:val="en-GB"/>
        </w:rPr>
        <w:t>Southern Journal of Philosophy</w:t>
      </w:r>
      <w:r w:rsidRPr="008603AC">
        <w:rPr>
          <w:rFonts w:cs="Times New Roman"/>
          <w:lang w:val="en-GB"/>
        </w:rPr>
        <w:t xml:space="preserve"> 40: 115–142.</w:t>
      </w:r>
    </w:p>
    <w:p w14:paraId="3817096D"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szCs w:val="24"/>
          <w:lang w:val="en-GB"/>
        </w:rPr>
        <w:t xml:space="preserve">———. </w:t>
      </w:r>
      <w:r w:rsidRPr="008603AC">
        <w:rPr>
          <w:rFonts w:cs="Times New Roman"/>
          <w:lang w:val="en-GB"/>
        </w:rPr>
        <w:t xml:space="preserve">2007. “Conceptual Analysis in Phenomenology and Ordinary Language Philosophy”. In </w:t>
      </w:r>
      <w:r w:rsidRPr="008603AC">
        <w:rPr>
          <w:rFonts w:cs="Times New Roman"/>
          <w:i/>
          <w:iCs/>
          <w:lang w:val="en-GB"/>
        </w:rPr>
        <w:t>The Analytic Turn</w:t>
      </w:r>
      <w:r w:rsidRPr="008603AC">
        <w:rPr>
          <w:rFonts w:cs="Times New Roman"/>
          <w:lang w:val="en-GB"/>
        </w:rPr>
        <w:t>, edited by Michael Beaney, 270. Routledge.</w:t>
      </w:r>
    </w:p>
    <w:p w14:paraId="66D16573" w14:textId="77777777" w:rsidR="00AB1F4E" w:rsidRPr="008603AC" w:rsidRDefault="00AB1F4E" w:rsidP="00AB1F4E">
      <w:pPr>
        <w:widowControl w:val="0"/>
        <w:autoSpaceDE w:val="0"/>
        <w:autoSpaceDN w:val="0"/>
        <w:adjustRightInd w:val="0"/>
        <w:ind w:left="284" w:hanging="284"/>
        <w:jc w:val="left"/>
        <w:rPr>
          <w:rFonts w:cs="Times New Roman"/>
          <w:lang w:val="en-GB"/>
        </w:rPr>
      </w:pPr>
      <w:r w:rsidRPr="008603AC">
        <w:rPr>
          <w:rFonts w:cs="Times New Roman"/>
          <w:lang w:val="en-GB"/>
        </w:rPr>
        <w:t xml:space="preserve">Vrahimis, Andreas. 2013. </w:t>
      </w:r>
      <w:r w:rsidRPr="008603AC">
        <w:rPr>
          <w:rFonts w:cs="Times New Roman"/>
          <w:i/>
          <w:iCs/>
          <w:lang w:val="en-GB"/>
        </w:rPr>
        <w:t>Encounters Between Analytic and Continental Philosophy</w:t>
      </w:r>
      <w:r w:rsidRPr="008603AC">
        <w:rPr>
          <w:rFonts w:cs="Times New Roman"/>
          <w:lang w:val="en-GB"/>
        </w:rPr>
        <w:t>. Basingstoke: Palgrave Macmillan.</w:t>
      </w:r>
    </w:p>
    <w:p w14:paraId="0A2DD83A" w14:textId="77777777" w:rsidR="001E1929" w:rsidRDefault="001E1929"/>
    <w:sectPr w:rsidR="001E1929" w:rsidSect="00AB1F4E">
      <w:headerReference w:type="firs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C4870" w14:textId="77777777" w:rsidR="00AB1F4E" w:rsidRDefault="00AB1F4E" w:rsidP="00AB1F4E">
      <w:pPr>
        <w:spacing w:after="0" w:line="240" w:lineRule="auto"/>
      </w:pPr>
      <w:r>
        <w:separator/>
      </w:r>
    </w:p>
  </w:endnote>
  <w:endnote w:type="continuationSeparator" w:id="0">
    <w:p w14:paraId="30ECCB3A" w14:textId="77777777" w:rsidR="00AB1F4E" w:rsidRDefault="00AB1F4E" w:rsidP="00AB1F4E">
      <w:pPr>
        <w:spacing w:after="0" w:line="240" w:lineRule="auto"/>
      </w:pPr>
      <w:r>
        <w:continuationSeparator/>
      </w:r>
    </w:p>
  </w:endnote>
  <w:endnote w:id="1">
    <w:p w14:paraId="5BE57D7A" w14:textId="77777777" w:rsidR="00AB1F4E" w:rsidRPr="008603AC" w:rsidRDefault="00AB1F4E" w:rsidP="00AB1F4E">
      <w:pPr>
        <w:pStyle w:val="Notedefin"/>
        <w:numPr>
          <w:ilvl w:val="0"/>
          <w:numId w:val="4"/>
        </w:numPr>
        <w:spacing w:after="200"/>
        <w:ind w:left="284" w:hanging="284"/>
        <w:jc w:val="left"/>
        <w:rPr>
          <w:rFonts w:cs="Times New Roman"/>
          <w:lang w:val="en-GB"/>
        </w:rPr>
      </w:pPr>
      <w:r w:rsidRPr="008603AC">
        <w:rPr>
          <w:rFonts w:cs="Times New Roman"/>
          <w:lang w:val="en-GB"/>
        </w:rPr>
        <w:t xml:space="preserve">My own feeling is that Brentano’s position is much more continuous than suggested by the talk of a reist ‘turn’, but I will bracket this issue here. For a recent account of Brentano’s reism and related developments in the Prague School, see </w:t>
      </w:r>
      <w:r w:rsidRPr="008603AC">
        <w:rPr>
          <w:rFonts w:cs="Times New Roman"/>
          <w:noProof/>
          <w:lang w:val="en-GB"/>
        </w:rPr>
        <w:t>(Sauer 2017; Janousek and Rollinger 2017)</w:t>
      </w:r>
      <w:r w:rsidRPr="008603AC">
        <w:rPr>
          <w:rFonts w:cs="Times New Roman"/>
          <w:lang w:val="en-GB"/>
        </w:rPr>
        <w:t>.</w:t>
      </w:r>
    </w:p>
  </w:endnote>
  <w:endnote w:id="2">
    <w:p w14:paraId="0E0B9D99"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Interestingly, Ryle is not the only analytic philosopher to defend that view. G.E. Moore makes approximately the same points in 1933</w:t>
      </w:r>
      <w:r w:rsidRPr="008603AC">
        <w:rPr>
          <w:rFonts w:cs="Times New Roman"/>
          <w:szCs w:val="24"/>
          <w:lang w:val="en-GB"/>
        </w:rPr>
        <w:t>–19</w:t>
      </w:r>
      <w:r w:rsidRPr="008603AC">
        <w:rPr>
          <w:rFonts w:cs="Times New Roman"/>
          <w:lang w:val="en-GB"/>
        </w:rPr>
        <w:t>34 (see Moore 2004, 165–171).</w:t>
      </w:r>
    </w:p>
  </w:endnote>
  <w:endnote w:id="3">
    <w:p w14:paraId="6EA9ACC1"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 xml:space="preserve">Ryle himself retrospectively talks of the ‘Occamizing zeal’ deployed in his early writings </w:t>
      </w:r>
      <w:r w:rsidRPr="008603AC">
        <w:rPr>
          <w:rFonts w:cs="Times New Roman"/>
          <w:noProof/>
          <w:lang w:val="en-GB"/>
        </w:rPr>
        <w:t>(Ryle 2009a, xx)</w:t>
      </w:r>
      <w:r w:rsidRPr="008603AC">
        <w:rPr>
          <w:rFonts w:cs="Times New Roman"/>
          <w:lang w:val="en-GB"/>
        </w:rPr>
        <w:t>.</w:t>
      </w:r>
    </w:p>
  </w:endnote>
  <w:endnote w:id="4">
    <w:p w14:paraId="7E554E76" w14:textId="77777777" w:rsidR="00AB1F4E" w:rsidRPr="008603AC" w:rsidRDefault="00AB1F4E" w:rsidP="00AB1F4E">
      <w:pPr>
        <w:pStyle w:val="Notedefin"/>
        <w:spacing w:after="200"/>
        <w:ind w:left="284" w:hanging="284"/>
        <w:jc w:val="left"/>
        <w:rPr>
          <w:rFonts w:cs="Times New Roman"/>
          <w:lang w:val="nl-NL"/>
        </w:rPr>
      </w:pPr>
      <w:r w:rsidRPr="008603AC">
        <w:rPr>
          <w:rFonts w:cs="Times New Roman"/>
          <w:lang w:val="en-GB"/>
        </w:rPr>
        <w:t xml:space="preserve">Compare </w:t>
      </w:r>
      <w:r>
        <w:rPr>
          <w:rFonts w:cs="Times New Roman"/>
          <w:noProof/>
          <w:lang w:val="en-GB"/>
        </w:rPr>
        <w:t xml:space="preserve">(Brentano 1925, </w:t>
      </w:r>
      <w:r w:rsidRPr="008603AC">
        <w:rPr>
          <w:rFonts w:cs="Times New Roman"/>
          <w:noProof/>
          <w:lang w:val="en-GB"/>
        </w:rPr>
        <w:t>305; 1995, 367)</w:t>
      </w:r>
      <w:r w:rsidRPr="008603AC">
        <w:rPr>
          <w:rFonts w:cs="Times New Roman"/>
          <w:lang w:val="en-GB"/>
        </w:rPr>
        <w:t xml:space="preserve">: ‘If one wished to make a </w:t>
      </w:r>
      <w:r w:rsidRPr="008603AC">
        <w:rPr>
          <w:rFonts w:cs="Times New Roman"/>
          <w:i/>
          <w:lang w:val="en-GB"/>
        </w:rPr>
        <w:t>complete</w:t>
      </w:r>
      <w:r w:rsidRPr="008603AC">
        <w:rPr>
          <w:rFonts w:cs="Times New Roman"/>
          <w:lang w:val="en-GB"/>
        </w:rPr>
        <w:t xml:space="preserve"> survey of </w:t>
      </w:r>
      <w:r w:rsidRPr="008603AC">
        <w:rPr>
          <w:rFonts w:cs="Times New Roman"/>
          <w:i/>
          <w:lang w:val="la-Latn"/>
        </w:rPr>
        <w:t>entia rationis</w:t>
      </w:r>
      <w:r w:rsidRPr="008603AC">
        <w:rPr>
          <w:rFonts w:cs="Times New Roman"/>
          <w:lang w:val="en-GB"/>
        </w:rPr>
        <w:t xml:space="preserve">, one would have to go into the great variety of locutions which make </w:t>
      </w:r>
      <w:r w:rsidRPr="008603AC">
        <w:rPr>
          <w:rFonts w:cs="Times New Roman"/>
          <w:i/>
          <w:lang w:val="en-GB"/>
        </w:rPr>
        <w:t>words</w:t>
      </w:r>
      <w:r w:rsidRPr="008603AC">
        <w:rPr>
          <w:rFonts w:cs="Times New Roman"/>
          <w:lang w:val="en-GB"/>
        </w:rPr>
        <w:t xml:space="preserve"> the subject and predicate of propositions </w:t>
      </w:r>
      <w:r w:rsidRPr="008603AC">
        <w:rPr>
          <w:rFonts w:cs="Times New Roman"/>
          <w:i/>
          <w:lang w:val="en-GB"/>
        </w:rPr>
        <w:t>which do not refer to real things in and of themselves</w:t>
      </w:r>
      <w:r w:rsidRPr="008603AC">
        <w:rPr>
          <w:rFonts w:cs="Times New Roman"/>
          <w:lang w:val="en-GB"/>
        </w:rPr>
        <w:t>’.</w:t>
      </w:r>
    </w:p>
  </w:endnote>
  <w:endnote w:id="5">
    <w:p w14:paraId="29B009DE"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 xml:space="preserve">Ryle does not give any name to this fourth class, to which he devotes only a couple of lines </w:t>
      </w:r>
      <w:r w:rsidRPr="008603AC">
        <w:rPr>
          <w:rFonts w:cs="Times New Roman"/>
          <w:noProof/>
          <w:lang w:val="en-GB"/>
        </w:rPr>
        <w:t>(see Ryle 1932a, 165; 2009a, 61)</w:t>
      </w:r>
      <w:r w:rsidRPr="008603AC">
        <w:rPr>
          <w:rFonts w:cs="Times New Roman"/>
          <w:lang w:val="en-GB"/>
        </w:rPr>
        <w:t>. For the sake of convenience, I use here the Brentanian label.</w:t>
      </w:r>
    </w:p>
  </w:endnote>
  <w:endnote w:id="6">
    <w:p w14:paraId="61774D02"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 xml:space="preserve">See e.g. </w:t>
      </w:r>
      <w:r>
        <w:rPr>
          <w:rFonts w:cs="Times New Roman"/>
          <w:noProof/>
          <w:lang w:val="en-GB"/>
        </w:rPr>
        <w:t>(Brentano Ms. EL </w:t>
      </w:r>
      <w:r w:rsidRPr="008603AC">
        <w:rPr>
          <w:rFonts w:cs="Times New Roman"/>
          <w:noProof/>
          <w:lang w:val="en-GB"/>
        </w:rPr>
        <w:t>80, 13.001[3]</w:t>
      </w:r>
      <w:r w:rsidRPr="008603AC">
        <w:rPr>
          <w:rFonts w:cs="Times New Roman"/>
          <w:szCs w:val="24"/>
          <w:lang w:val="en-GB"/>
        </w:rPr>
        <w:t>–</w:t>
      </w:r>
      <w:r w:rsidRPr="008603AC">
        <w:rPr>
          <w:rFonts w:cs="Times New Roman"/>
          <w:noProof/>
          <w:lang w:val="en-GB"/>
        </w:rPr>
        <w:t>13.002[7])</w:t>
      </w:r>
      <w:r w:rsidRPr="008603AC">
        <w:rPr>
          <w:rFonts w:cs="Times New Roman"/>
          <w:lang w:val="en-GB"/>
        </w:rPr>
        <w:t xml:space="preserve">: ‘Regarding names, the question arises as to </w:t>
      </w:r>
      <w:r w:rsidRPr="008603AC">
        <w:rPr>
          <w:rFonts w:cs="Times New Roman"/>
          <w:i/>
          <w:lang w:val="en-GB"/>
        </w:rPr>
        <w:t>what they</w:t>
      </w:r>
      <w:r w:rsidRPr="008603AC">
        <w:rPr>
          <w:rFonts w:cs="Times New Roman"/>
          <w:lang w:val="en-GB"/>
        </w:rPr>
        <w:t xml:space="preserve"> </w:t>
      </w:r>
      <w:r w:rsidRPr="008603AC">
        <w:rPr>
          <w:rFonts w:cs="Times New Roman"/>
          <w:i/>
          <w:lang w:val="en-GB"/>
        </w:rPr>
        <w:t>mean</w:t>
      </w:r>
      <w:r w:rsidRPr="008603AC">
        <w:rPr>
          <w:rFonts w:cs="Times New Roman"/>
          <w:lang w:val="en-GB"/>
        </w:rPr>
        <w:t>. Th</w:t>
      </w:r>
      <w:r w:rsidR="00BA2C61">
        <w:rPr>
          <w:rFonts w:cs="Times New Roman"/>
          <w:lang w:val="en-GB"/>
        </w:rPr>
        <w:t>ey mean: 1. not themselves; 2. n</w:t>
      </w:r>
      <w:r w:rsidRPr="008603AC">
        <w:rPr>
          <w:rFonts w:cs="Times New Roman"/>
          <w:lang w:val="en-GB"/>
        </w:rPr>
        <w:t xml:space="preserve">ot the act of presentation or the presentation; 3. not what is presented as presented; 4. and yet they do not seem to denote the things a) for many names are not names of things, they are fictions, e.g. Jupiter, [and] b) </w:t>
      </w:r>
      <w:r w:rsidRPr="008603AC">
        <w:rPr>
          <w:rFonts w:cs="Times New Roman"/>
          <w:i/>
          <w:lang w:val="en-GB"/>
        </w:rPr>
        <w:t>hoc animal</w:t>
      </w:r>
      <w:r w:rsidRPr="008603AC">
        <w:rPr>
          <w:rFonts w:cs="Times New Roman"/>
          <w:lang w:val="en-GB"/>
        </w:rPr>
        <w:t xml:space="preserve"> and </w:t>
      </w:r>
      <w:r w:rsidRPr="008603AC">
        <w:rPr>
          <w:rFonts w:cs="Times New Roman"/>
          <w:i/>
          <w:lang w:val="en-GB"/>
        </w:rPr>
        <w:t>hic homo</w:t>
      </w:r>
      <w:r w:rsidRPr="008603AC">
        <w:rPr>
          <w:rFonts w:cs="Times New Roman"/>
          <w:lang w:val="en-GB"/>
        </w:rPr>
        <w:t xml:space="preserve"> would not have a different meaning. They denote something presented, though not as presented but as that as what it is presented [</w:t>
      </w:r>
      <w:r w:rsidRPr="008603AC">
        <w:rPr>
          <w:rFonts w:cs="Times New Roman"/>
          <w:i/>
          <w:lang w:val="de-DE"/>
        </w:rPr>
        <w:t>als das, als was es vorgestellt wird</w:t>
      </w:r>
      <w:r w:rsidRPr="008603AC">
        <w:rPr>
          <w:rFonts w:cs="Times New Roman"/>
          <w:lang w:val="en-GB"/>
        </w:rPr>
        <w:t>]. This accommodates a) and b), for we are presented here with a thing, albeit through the mediation of various presentations’.</w:t>
      </w:r>
    </w:p>
  </w:endnote>
  <w:endnote w:id="7">
    <w:p w14:paraId="38D22AE1"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 xml:space="preserve">I won’t comment here on Brentano’s classification of mental phenomena. For a reconstruction, see </w:t>
      </w:r>
      <w:r w:rsidRPr="008603AC">
        <w:rPr>
          <w:rFonts w:cs="Times New Roman"/>
          <w:noProof/>
          <w:lang w:val="en-GB"/>
        </w:rPr>
        <w:t>(Dewalque 2018)</w:t>
      </w:r>
      <w:r w:rsidRPr="008603AC">
        <w:rPr>
          <w:rFonts w:cs="Times New Roman"/>
          <w:lang w:val="en-GB"/>
        </w:rPr>
        <w:t>.</w:t>
      </w:r>
    </w:p>
  </w:endnote>
  <w:endnote w:id="8">
    <w:p w14:paraId="71C3DBD1" w14:textId="77777777" w:rsidR="00AB1F4E" w:rsidRPr="008603AC" w:rsidRDefault="00AB1F4E" w:rsidP="00AB1F4E">
      <w:pPr>
        <w:pStyle w:val="Notedefin"/>
        <w:spacing w:after="200"/>
        <w:ind w:left="284" w:hanging="284"/>
        <w:jc w:val="left"/>
        <w:rPr>
          <w:rFonts w:cs="Times New Roman"/>
          <w:lang w:val="nl-NL"/>
        </w:rPr>
      </w:pPr>
      <w:r w:rsidRPr="008603AC">
        <w:rPr>
          <w:rFonts w:cs="Times New Roman"/>
          <w:lang w:val="en-GB"/>
        </w:rPr>
        <w:t xml:space="preserve">See </w:t>
      </w:r>
      <w:r>
        <w:rPr>
          <w:rFonts w:cs="Times New Roman"/>
          <w:noProof/>
          <w:lang w:val="en-GB"/>
        </w:rPr>
        <w:t>(Brentano Ms. EL </w:t>
      </w:r>
      <w:r w:rsidRPr="008603AC">
        <w:rPr>
          <w:rFonts w:cs="Times New Roman"/>
          <w:noProof/>
          <w:lang w:val="en-GB"/>
        </w:rPr>
        <w:t>80, 13.018[1]</w:t>
      </w:r>
      <w:r w:rsidRPr="008603AC">
        <w:rPr>
          <w:rFonts w:cs="Times New Roman"/>
          <w:szCs w:val="24"/>
          <w:lang w:val="en-GB"/>
        </w:rPr>
        <w:t>–</w:t>
      </w:r>
      <w:r w:rsidRPr="008603AC">
        <w:rPr>
          <w:rFonts w:cs="Times New Roman"/>
          <w:noProof/>
          <w:lang w:val="en-GB"/>
        </w:rPr>
        <w:t>13.018[5])</w:t>
      </w:r>
      <w:r w:rsidRPr="008603AC">
        <w:rPr>
          <w:rFonts w:cs="Times New Roman"/>
          <w:lang w:val="en-GB"/>
        </w:rPr>
        <w:t>: ‘The name designates [</w:t>
      </w:r>
      <w:r w:rsidRPr="008603AC">
        <w:rPr>
          <w:rFonts w:cs="Times New Roman"/>
          <w:i/>
          <w:lang w:val="de-DE"/>
        </w:rPr>
        <w:t>bezeichnet</w:t>
      </w:r>
      <w:r w:rsidRPr="008603AC">
        <w:rPr>
          <w:rFonts w:cs="Times New Roman"/>
          <w:lang w:val="en-GB"/>
        </w:rPr>
        <w:t xml:space="preserve">] in some way the </w:t>
      </w:r>
      <w:r w:rsidRPr="008603AC">
        <w:rPr>
          <w:rFonts w:cs="Times New Roman"/>
          <w:i/>
          <w:lang w:val="en-GB"/>
        </w:rPr>
        <w:t>content</w:t>
      </w:r>
      <w:r w:rsidRPr="008603AC">
        <w:rPr>
          <w:rFonts w:cs="Times New Roman"/>
          <w:lang w:val="en-GB"/>
        </w:rPr>
        <w:t xml:space="preserve"> of a presentation as such, the immanent object. In some way, [it designates] </w:t>
      </w:r>
      <w:r w:rsidRPr="008603AC">
        <w:rPr>
          <w:rFonts w:cs="Times New Roman"/>
          <w:i/>
          <w:lang w:val="en-GB"/>
        </w:rPr>
        <w:t>what is presented by means of the content of a presentation</w:t>
      </w:r>
      <w:r w:rsidRPr="008603AC">
        <w:rPr>
          <w:rFonts w:cs="Times New Roman"/>
          <w:lang w:val="en-GB"/>
        </w:rPr>
        <w:t xml:space="preserve">. The </w:t>
      </w:r>
      <w:r w:rsidRPr="008603AC">
        <w:rPr>
          <w:rFonts w:cs="Times New Roman"/>
          <w:i/>
          <w:lang w:val="en-GB"/>
        </w:rPr>
        <w:t>former</w:t>
      </w:r>
      <w:r w:rsidRPr="008603AC">
        <w:rPr>
          <w:rFonts w:cs="Times New Roman"/>
          <w:lang w:val="en-GB"/>
        </w:rPr>
        <w:t xml:space="preserve"> is the meaning of the name. The latter is what the name names [</w:t>
      </w:r>
      <w:r w:rsidRPr="008603AC">
        <w:rPr>
          <w:rFonts w:cs="Times New Roman"/>
          <w:i/>
          <w:lang w:val="de-DE"/>
        </w:rPr>
        <w:t>nennt</w:t>
      </w:r>
      <w:r w:rsidRPr="008603AC">
        <w:rPr>
          <w:rFonts w:cs="Times New Roman"/>
          <w:lang w:val="en-GB"/>
        </w:rPr>
        <w:t>]. We say about it that it has the name [</w:t>
      </w:r>
      <w:r w:rsidRPr="008603AC">
        <w:rPr>
          <w:rFonts w:cs="Times New Roman"/>
          <w:i/>
          <w:lang w:val="de-DE"/>
        </w:rPr>
        <w:t>es komme der Name ihm zu</w:t>
      </w:r>
      <w:r w:rsidRPr="008603AC">
        <w:rPr>
          <w:rFonts w:cs="Times New Roman"/>
          <w:lang w:val="en-GB"/>
        </w:rPr>
        <w:t>]. When it exists, it is an external object of presentation. One names through the mediation of meaning’.</w:t>
      </w:r>
    </w:p>
  </w:endnote>
  <w:endnote w:id="9">
    <w:p w14:paraId="01D4D837" w14:textId="77777777" w:rsidR="00AB1F4E" w:rsidRPr="008603AC" w:rsidRDefault="00AB1F4E" w:rsidP="00AB1F4E">
      <w:pPr>
        <w:pStyle w:val="Notedefin"/>
        <w:spacing w:after="200"/>
        <w:ind w:left="284" w:hanging="284"/>
        <w:jc w:val="left"/>
        <w:rPr>
          <w:rFonts w:cs="Times New Roman"/>
          <w:lang w:val="en-GB"/>
        </w:rPr>
      </w:pPr>
      <w:r w:rsidRPr="008603AC">
        <w:rPr>
          <w:rFonts w:cs="Times New Roman"/>
          <w:lang w:val="en-GB"/>
        </w:rPr>
        <w:t xml:space="preserve">Another source of errors lies in the fact of regarding syncategorematic expressions as categorematic ones, like when one takes at face value expressions such as ‘the truth of </w:t>
      </w:r>
      <w:r w:rsidRPr="008603AC">
        <w:rPr>
          <w:rFonts w:cs="Times New Roman"/>
          <w:i/>
          <w:lang w:val="en-GB"/>
        </w:rPr>
        <w:t>p</w:t>
      </w:r>
      <w:r w:rsidRPr="008603AC">
        <w:rPr>
          <w:rFonts w:cs="Times New Roman"/>
          <w:lang w:val="en-GB"/>
        </w:rPr>
        <w:t xml:space="preserve">’ of ‘the impossibility of </w:t>
      </w:r>
      <w:r w:rsidRPr="008603AC">
        <w:rPr>
          <w:rFonts w:cs="Times New Roman"/>
          <w:i/>
          <w:lang w:val="en-GB"/>
        </w:rPr>
        <w:t>A</w:t>
      </w:r>
      <w:r w:rsidRPr="008603AC">
        <w:rPr>
          <w:rFonts w:cs="Times New Roman"/>
          <w:lang w:val="en-GB"/>
        </w:rPr>
        <w:t xml:space="preserve">’ </w:t>
      </w:r>
      <w:r w:rsidRPr="008603AC">
        <w:rPr>
          <w:rFonts w:cs="Times New Roman"/>
          <w:noProof/>
          <w:lang w:val="en-GB"/>
        </w:rPr>
        <w:t>(see e.g. Brentano 1995, 322)</w:t>
      </w:r>
      <w:r w:rsidRPr="008603AC">
        <w:rPr>
          <w:rFonts w:cs="Times New Roman"/>
          <w:lang w:val="en-GB"/>
        </w:rPr>
        <w:t>. I won’t address this kind of confusion here.</w:t>
      </w:r>
    </w:p>
  </w:endnote>
  <w:endnote w:id="10">
    <w:p w14:paraId="5D77700C" w14:textId="77777777" w:rsidR="00AB1F4E" w:rsidRPr="008603AC" w:rsidRDefault="00AB1F4E" w:rsidP="00AB1F4E">
      <w:pPr>
        <w:pStyle w:val="Notedefin"/>
        <w:numPr>
          <w:ilvl w:val="0"/>
          <w:numId w:val="4"/>
        </w:numPr>
        <w:spacing w:after="200"/>
        <w:ind w:left="284" w:hanging="284"/>
        <w:jc w:val="left"/>
        <w:rPr>
          <w:rFonts w:cs="Times New Roman"/>
          <w:lang w:val="en-GB"/>
        </w:rPr>
      </w:pPr>
      <w:r w:rsidRPr="008603AC">
        <w:rPr>
          <w:rFonts w:cs="Times New Roman"/>
          <w:lang w:val="en-GB"/>
        </w:rPr>
        <w:t xml:space="preserve">Thomasson rightly noted that the anti-Platonistic approach to meaning is a major commonality between Ryle and Brentano: ‘Ryle – like Brentano – takes it to be a systematic mistake to conceive of the procedure of conceptual analysis as involving a description of relations among Platonized meanings or concepts’ </w:t>
      </w:r>
      <w:r w:rsidRPr="008603AC">
        <w:rPr>
          <w:rFonts w:cs="Times New Roman"/>
          <w:lang w:val="en-GB"/>
        </w:rPr>
        <w:fldChar w:fldCharType="begin"/>
      </w:r>
      <w:r w:rsidRPr="008603AC">
        <w:rPr>
          <w:rFonts w:cs="Times New Roman"/>
          <w:lang w:val="en-GB"/>
        </w:rPr>
        <w:instrText xml:space="preserve"> ADDIN ZOTERO_ITEM CSL_CITATION {"citationID":"QQ7qg8wt","properties":{"formattedCitation":"(Thomasson 2002, 129)","plainCitation":"(Thomasson 2002, 129)","noteIndex":0},"citationItems":[{"id":15,"uris":["http://zotero.org/users/local/bd63jyxh/items/L5R83VS3"],"uri":["http://zotero.org/users/local/bd63jyxh/items/L5R83VS3"],"itemData":{"id":15,"type":"article-journal","container-title":"Southern Journal of Philosophy","page":"115–142","title":"Phenomenology and the Development of Analytic Philosophy","volume":"40","author":[{"family":"Thomasson","given":"Amie L."}],"issued":{"date-parts":[["2002"]]}},"locator":"129"}],"schema":"https://github.com/citation-style-language/schema/raw/master/csl-citation.json"} </w:instrText>
      </w:r>
      <w:r w:rsidRPr="008603AC">
        <w:rPr>
          <w:rFonts w:cs="Times New Roman"/>
          <w:lang w:val="en-GB"/>
        </w:rPr>
        <w:fldChar w:fldCharType="separate"/>
      </w:r>
      <w:r w:rsidRPr="008603AC">
        <w:rPr>
          <w:rFonts w:cs="Times New Roman"/>
          <w:lang w:val="en-GB"/>
        </w:rPr>
        <w:t>(Thomasson 2002, 129)</w:t>
      </w:r>
      <w:r w:rsidRPr="008603AC">
        <w:rPr>
          <w:rFonts w:cs="Times New Roman"/>
          <w:lang w:val="en-GB"/>
        </w:rPr>
        <w:fldChar w:fldCharType="end"/>
      </w:r>
      <w:r w:rsidRPr="008603AC">
        <w:rPr>
          <w:rFonts w:cs="Times New Roman"/>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CEEAE" w14:textId="77777777" w:rsidR="00AB1F4E" w:rsidRDefault="00AB1F4E" w:rsidP="00AB1F4E">
      <w:pPr>
        <w:spacing w:after="0" w:line="240" w:lineRule="auto"/>
      </w:pPr>
      <w:r>
        <w:separator/>
      </w:r>
    </w:p>
  </w:footnote>
  <w:footnote w:type="continuationSeparator" w:id="0">
    <w:p w14:paraId="6F852C55" w14:textId="77777777" w:rsidR="00AB1F4E" w:rsidRDefault="00AB1F4E" w:rsidP="00AB1F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635EF" w14:textId="77777777" w:rsidR="00AB1F4E" w:rsidRPr="00AB1F4E" w:rsidRDefault="00AB1F4E" w:rsidP="00AB1F4E">
    <w:pPr>
      <w:widowControl w:val="0"/>
      <w:autoSpaceDE w:val="0"/>
      <w:autoSpaceDN w:val="0"/>
      <w:adjustRightInd w:val="0"/>
      <w:spacing w:after="0" w:line="240" w:lineRule="auto"/>
      <w:ind w:firstLine="0"/>
      <w:jc w:val="center"/>
      <w:rPr>
        <w:rFonts w:eastAsiaTheme="minorEastAsia" w:cs="Times New Roman"/>
        <w:sz w:val="20"/>
        <w:szCs w:val="20"/>
        <w:lang w:val="fr-FR" w:eastAsia="fr-FR"/>
      </w:rPr>
    </w:pPr>
    <w:r w:rsidRPr="00AB1F4E">
      <w:rPr>
        <w:rFonts w:eastAsiaTheme="minorEastAsia" w:cs="Times New Roman"/>
        <w:sz w:val="20"/>
        <w:szCs w:val="20"/>
        <w:lang w:val="fr-FR" w:eastAsia="fr-FR"/>
      </w:rPr>
      <w:t xml:space="preserve">Forthcoming in A. Dewalque, Ch. Gauvry and S. Richard (eds.), </w:t>
    </w:r>
    <w:r w:rsidRPr="00AB1F4E">
      <w:rPr>
        <w:rFonts w:ascii="Times" w:eastAsiaTheme="minorEastAsia" w:hAnsi="Times" w:cs="Times"/>
        <w:i/>
        <w:iCs/>
        <w:sz w:val="20"/>
        <w:szCs w:val="20"/>
        <w:lang w:val="fr-FR" w:eastAsia="fr-FR"/>
      </w:rPr>
      <w:t>Philosophy of Language in the Brentano School</w:t>
    </w:r>
    <w:r w:rsidRPr="00AB1F4E">
      <w:rPr>
        <w:rFonts w:eastAsiaTheme="minorEastAsia" w:cs="Times New Roman"/>
        <w:sz w:val="20"/>
        <w:szCs w:val="20"/>
        <w:lang w:val="fr-FR" w:eastAsia="fr-FR"/>
      </w:rPr>
      <w:t xml:space="preserve">, Basingstoke : Palgrave Macmilan. </w:t>
    </w:r>
    <w:r w:rsidRPr="00AB1F4E">
      <w:rPr>
        <w:rFonts w:ascii="Times" w:eastAsiaTheme="minorEastAsia" w:hAnsi="Times" w:cs="Times"/>
        <w:bCs/>
        <w:sz w:val="20"/>
        <w:szCs w:val="20"/>
        <w:u w:val="single"/>
        <w:lang w:val="fr-FR" w:eastAsia="fr-FR"/>
      </w:rPr>
      <w:t>Please refer only to the published version</w:t>
    </w:r>
    <w:r w:rsidRPr="00AB1F4E">
      <w:rPr>
        <w:rFonts w:eastAsiaTheme="minorEastAsia" w:cs="Times New Roman"/>
        <w:sz w:val="20"/>
        <w:szCs w:val="20"/>
        <w:lang w:val="fr-FR" w:eastAsia="fr-FR"/>
      </w:rPr>
      <w:t>.</w:t>
    </w:r>
  </w:p>
  <w:p w14:paraId="5E900031" w14:textId="77777777" w:rsidR="00AB1F4E" w:rsidRDefault="00AB1F4E" w:rsidP="00AB1F4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91620"/>
    <w:multiLevelType w:val="hybridMultilevel"/>
    <w:tmpl w:val="1F542476"/>
    <w:lvl w:ilvl="0" w:tplc="B330E4EE">
      <w:start w:val="1"/>
      <w:numFmt w:val="decimal"/>
      <w:pStyle w:val="Notedefin"/>
      <w:lvlText w:val="%1."/>
      <w:lvlJc w:val="left"/>
      <w:pPr>
        <w:ind w:left="720" w:hanging="360"/>
      </w:pPr>
      <w:rPr>
        <w:rFonts w:hint="default"/>
        <w:color w:val="auto"/>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AF82171"/>
    <w:multiLevelType w:val="multilevel"/>
    <w:tmpl w:val="04BC2140"/>
    <w:styleLink w:val="Maliste"/>
    <w:lvl w:ilvl="0">
      <w:start w:val="1"/>
      <w:numFmt w:val="upperRoman"/>
      <w:pStyle w:val="Titre1"/>
      <w:lvlText w:val="Part %1."/>
      <w:lvlJc w:val="center"/>
      <w:pPr>
        <w:ind w:left="2629" w:hanging="644"/>
      </w:pPr>
      <w:rPr>
        <w:rFonts w:hint="default"/>
        <w:b w:val="0"/>
      </w:rPr>
    </w:lvl>
    <w:lvl w:ilvl="1">
      <w:start w:val="1"/>
      <w:numFmt w:val="decimal"/>
      <w:lvlRestart w:val="0"/>
      <w:pStyle w:val="Titre2"/>
      <w:lvlText w:val="Chapter %2."/>
      <w:lvlJc w:val="left"/>
      <w:pPr>
        <w:ind w:left="0" w:firstLine="0"/>
      </w:pPr>
      <w:rPr>
        <w:rFonts w:hint="default"/>
      </w:rPr>
    </w:lvl>
    <w:lvl w:ilvl="2">
      <w:start w:val="1"/>
      <w:numFmt w:val="decimal"/>
      <w:pStyle w:val="Titre3"/>
      <w:lvlText w:val="%3."/>
      <w:lvlJc w:val="center"/>
      <w:pPr>
        <w:ind w:left="0" w:firstLine="0"/>
      </w:pPr>
      <w:rPr>
        <w:rFonts w:hint="default"/>
      </w:rPr>
    </w:lvl>
    <w:lvl w:ilvl="3">
      <w:start w:val="1"/>
      <w:numFmt w:val="decimal"/>
      <w:pStyle w:val="Titre4"/>
      <w:lvlText w:val="%3.%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lvlOverride w:ilvl="0">
      <w:lvl w:ilvl="0">
        <w:start w:val="1"/>
        <w:numFmt w:val="upperRoman"/>
        <w:pStyle w:val="Titre1"/>
        <w:lvlText w:val="Part %1."/>
        <w:lvlJc w:val="center"/>
        <w:pPr>
          <w:ind w:left="5181" w:hanging="644"/>
        </w:pPr>
        <w:rPr>
          <w:rFonts w:hint="default"/>
          <w:b w:val="0"/>
        </w:rPr>
      </w:lvl>
    </w:lvlOverride>
    <w:lvlOverride w:ilvl="1">
      <w:lvl w:ilvl="1">
        <w:start w:val="1"/>
        <w:numFmt w:val="decimal"/>
        <w:lvlRestart w:val="0"/>
        <w:pStyle w:val="Titre2"/>
        <w:lvlText w:val="Chapter %2."/>
        <w:lvlJc w:val="left"/>
        <w:pPr>
          <w:ind w:left="2552" w:firstLine="0"/>
        </w:pPr>
        <w:rPr>
          <w:rFonts w:hint="default"/>
          <w:b w:val="0"/>
          <w:i w:val="0"/>
        </w:rPr>
      </w:lvl>
    </w:lvlOverride>
    <w:lvlOverride w:ilvl="2">
      <w:lvl w:ilvl="2">
        <w:start w:val="1"/>
        <w:numFmt w:val="decimal"/>
        <w:pStyle w:val="Titre3"/>
        <w:lvlText w:val="%3."/>
        <w:lvlJc w:val="center"/>
        <w:pPr>
          <w:ind w:left="2552" w:firstLine="0"/>
        </w:pPr>
        <w:rPr>
          <w:rFonts w:hint="default"/>
          <w:b w:val="0"/>
        </w:rPr>
      </w:lvl>
    </w:lvlOverride>
    <w:lvlOverride w:ilvl="3">
      <w:lvl w:ilvl="3">
        <w:start w:val="1"/>
        <w:numFmt w:val="decimal"/>
        <w:pStyle w:val="Titre4"/>
        <w:lvlText w:val="%3.%4."/>
        <w:lvlJc w:val="left"/>
        <w:pPr>
          <w:ind w:left="2552" w:firstLine="0"/>
        </w:pPr>
        <w:rPr>
          <w:rFonts w:hint="default"/>
        </w:rPr>
      </w:lvl>
    </w:lvlOverride>
    <w:lvlOverride w:ilvl="4">
      <w:lvl w:ilvl="4">
        <w:start w:val="1"/>
        <w:numFmt w:val="lowerLetter"/>
        <w:lvlText w:val="%5."/>
        <w:lvlJc w:val="left"/>
        <w:pPr>
          <w:ind w:left="6152" w:hanging="360"/>
        </w:pPr>
        <w:rPr>
          <w:rFonts w:hint="default"/>
        </w:rPr>
      </w:lvl>
    </w:lvlOverride>
    <w:lvlOverride w:ilvl="5">
      <w:lvl w:ilvl="5">
        <w:start w:val="1"/>
        <w:numFmt w:val="lowerRoman"/>
        <w:lvlText w:val="%6."/>
        <w:lvlJc w:val="right"/>
        <w:pPr>
          <w:ind w:left="6872" w:hanging="180"/>
        </w:pPr>
        <w:rPr>
          <w:rFonts w:hint="default"/>
        </w:rPr>
      </w:lvl>
    </w:lvlOverride>
    <w:lvlOverride w:ilvl="6">
      <w:lvl w:ilvl="6">
        <w:start w:val="1"/>
        <w:numFmt w:val="decimal"/>
        <w:lvlText w:val="%7."/>
        <w:lvlJc w:val="left"/>
        <w:pPr>
          <w:ind w:left="7592" w:hanging="360"/>
        </w:pPr>
        <w:rPr>
          <w:rFonts w:hint="default"/>
        </w:rPr>
      </w:lvl>
    </w:lvlOverride>
    <w:lvlOverride w:ilvl="7">
      <w:lvl w:ilvl="7">
        <w:start w:val="1"/>
        <w:numFmt w:val="lowerLetter"/>
        <w:lvlText w:val="%8."/>
        <w:lvlJc w:val="left"/>
        <w:pPr>
          <w:ind w:left="8312" w:hanging="360"/>
        </w:pPr>
        <w:rPr>
          <w:rFonts w:hint="default"/>
        </w:rPr>
      </w:lvl>
    </w:lvlOverride>
    <w:lvlOverride w:ilvl="8">
      <w:lvl w:ilvl="8">
        <w:start w:val="1"/>
        <w:numFmt w:val="lowerRoman"/>
        <w:lvlText w:val="%9."/>
        <w:lvlJc w:val="right"/>
        <w:pPr>
          <w:ind w:left="9032" w:hanging="180"/>
        </w:pPr>
        <w:rPr>
          <w:rFonts w:hint="default"/>
        </w:rPr>
      </w:lvl>
    </w:lvlOverride>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4E"/>
    <w:rsid w:val="001E1929"/>
    <w:rsid w:val="00AB1F4E"/>
    <w:rsid w:val="00BA2C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02B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4E"/>
    <w:pPr>
      <w:spacing w:after="200" w:line="480" w:lineRule="auto"/>
      <w:ind w:firstLine="284"/>
      <w:jc w:val="both"/>
    </w:pPr>
    <w:rPr>
      <w:rFonts w:ascii="Times New Roman" w:eastAsiaTheme="minorHAnsi" w:hAnsi="Times New Roman"/>
      <w:szCs w:val="22"/>
      <w:lang w:val="fr-BE" w:eastAsia="en-US"/>
    </w:rPr>
  </w:style>
  <w:style w:type="paragraph" w:styleId="Titre1">
    <w:name w:val="heading 1"/>
    <w:basedOn w:val="Normal"/>
    <w:next w:val="Normal"/>
    <w:link w:val="Titre1Car"/>
    <w:uiPriority w:val="9"/>
    <w:qFormat/>
    <w:rsid w:val="00AB1F4E"/>
    <w:pPr>
      <w:keepNext/>
      <w:keepLines/>
      <w:numPr>
        <w:numId w:val="2"/>
      </w:numPr>
      <w:ind w:left="2629"/>
      <w:jc w:val="center"/>
      <w:outlineLvl w:val="0"/>
    </w:pPr>
    <w:rPr>
      <w:rFonts w:eastAsiaTheme="majorEastAsia" w:cstheme="majorBidi"/>
      <w:szCs w:val="32"/>
    </w:rPr>
  </w:style>
  <w:style w:type="paragraph" w:styleId="Titre2">
    <w:name w:val="heading 2"/>
    <w:basedOn w:val="Normal"/>
    <w:next w:val="Normal"/>
    <w:link w:val="Titre2Car"/>
    <w:uiPriority w:val="9"/>
    <w:unhideWhenUsed/>
    <w:qFormat/>
    <w:rsid w:val="00AB1F4E"/>
    <w:pPr>
      <w:keepNext/>
      <w:keepLines/>
      <w:numPr>
        <w:ilvl w:val="1"/>
        <w:numId w:val="2"/>
      </w:numPr>
      <w:spacing w:after="0"/>
      <w:ind w:left="0"/>
      <w:jc w:val="center"/>
      <w:outlineLvl w:val="1"/>
    </w:pPr>
    <w:rPr>
      <w:rFonts w:eastAsiaTheme="majorEastAsia" w:cstheme="majorBidi"/>
      <w:szCs w:val="26"/>
    </w:rPr>
  </w:style>
  <w:style w:type="paragraph" w:styleId="Titre3">
    <w:name w:val="heading 3"/>
    <w:basedOn w:val="Normal"/>
    <w:next w:val="Normal"/>
    <w:link w:val="Titre3Car"/>
    <w:uiPriority w:val="9"/>
    <w:unhideWhenUsed/>
    <w:qFormat/>
    <w:rsid w:val="00AB1F4E"/>
    <w:pPr>
      <w:keepNext/>
      <w:keepLines/>
      <w:numPr>
        <w:ilvl w:val="2"/>
        <w:numId w:val="2"/>
      </w:numPr>
      <w:spacing w:before="400"/>
      <w:ind w:left="0"/>
      <w:jc w:val="center"/>
      <w:outlineLvl w:val="2"/>
    </w:pPr>
    <w:rPr>
      <w:rFonts w:eastAsiaTheme="majorEastAsia" w:cstheme="majorBidi"/>
      <w:szCs w:val="24"/>
    </w:rPr>
  </w:style>
  <w:style w:type="paragraph" w:styleId="Titre4">
    <w:name w:val="heading 4"/>
    <w:basedOn w:val="Normal"/>
    <w:next w:val="Normal"/>
    <w:link w:val="Titre4Car"/>
    <w:uiPriority w:val="9"/>
    <w:unhideWhenUsed/>
    <w:qFormat/>
    <w:rsid w:val="00AB1F4E"/>
    <w:pPr>
      <w:keepNext/>
      <w:keepLines/>
      <w:numPr>
        <w:ilvl w:val="3"/>
        <w:numId w:val="2"/>
      </w:numPr>
      <w:spacing w:before="400"/>
      <w:ind w:left="0"/>
      <w:jc w:val="left"/>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1F4E"/>
    <w:rPr>
      <w:rFonts w:ascii="Times New Roman" w:eastAsiaTheme="majorEastAsia" w:hAnsi="Times New Roman" w:cstheme="majorBidi"/>
      <w:szCs w:val="32"/>
      <w:lang w:val="fr-BE" w:eastAsia="en-US"/>
    </w:rPr>
  </w:style>
  <w:style w:type="character" w:customStyle="1" w:styleId="Titre2Car">
    <w:name w:val="Titre 2 Car"/>
    <w:basedOn w:val="Policepardfaut"/>
    <w:link w:val="Titre2"/>
    <w:uiPriority w:val="9"/>
    <w:rsid w:val="00AB1F4E"/>
    <w:rPr>
      <w:rFonts w:ascii="Times New Roman" w:eastAsiaTheme="majorEastAsia" w:hAnsi="Times New Roman" w:cstheme="majorBidi"/>
      <w:szCs w:val="26"/>
      <w:lang w:val="fr-BE" w:eastAsia="en-US"/>
    </w:rPr>
  </w:style>
  <w:style w:type="character" w:customStyle="1" w:styleId="Titre3Car">
    <w:name w:val="Titre 3 Car"/>
    <w:basedOn w:val="Policepardfaut"/>
    <w:link w:val="Titre3"/>
    <w:uiPriority w:val="9"/>
    <w:rsid w:val="00AB1F4E"/>
    <w:rPr>
      <w:rFonts w:ascii="Times New Roman" w:eastAsiaTheme="majorEastAsia" w:hAnsi="Times New Roman" w:cstheme="majorBidi"/>
      <w:lang w:val="fr-BE" w:eastAsia="en-US"/>
    </w:rPr>
  </w:style>
  <w:style w:type="character" w:customStyle="1" w:styleId="Titre4Car">
    <w:name w:val="Titre 4 Car"/>
    <w:basedOn w:val="Policepardfaut"/>
    <w:link w:val="Titre4"/>
    <w:uiPriority w:val="9"/>
    <w:rsid w:val="00AB1F4E"/>
    <w:rPr>
      <w:rFonts w:ascii="Times New Roman" w:eastAsiaTheme="majorEastAsia" w:hAnsi="Times New Roman" w:cstheme="majorBidi"/>
      <w:iCs/>
      <w:szCs w:val="22"/>
      <w:lang w:val="fr-BE" w:eastAsia="en-US"/>
    </w:rPr>
  </w:style>
  <w:style w:type="paragraph" w:styleId="Citation">
    <w:name w:val="Quote"/>
    <w:basedOn w:val="Normal"/>
    <w:next w:val="Normal"/>
    <w:link w:val="CitationCar"/>
    <w:uiPriority w:val="29"/>
    <w:qFormat/>
    <w:rsid w:val="00AB1F4E"/>
    <w:pPr>
      <w:ind w:left="284" w:right="284" w:firstLine="0"/>
    </w:pPr>
    <w:rPr>
      <w:iCs/>
      <w:sz w:val="22"/>
    </w:rPr>
  </w:style>
  <w:style w:type="character" w:customStyle="1" w:styleId="CitationCar">
    <w:name w:val="Citation Car"/>
    <w:basedOn w:val="Policepardfaut"/>
    <w:link w:val="Citation"/>
    <w:uiPriority w:val="29"/>
    <w:rsid w:val="00AB1F4E"/>
    <w:rPr>
      <w:rFonts w:ascii="Times New Roman" w:eastAsiaTheme="minorHAnsi" w:hAnsi="Times New Roman"/>
      <w:iCs/>
      <w:sz w:val="22"/>
      <w:szCs w:val="22"/>
      <w:lang w:val="fr-BE" w:eastAsia="en-US"/>
    </w:rPr>
  </w:style>
  <w:style w:type="paragraph" w:styleId="Notedefin">
    <w:name w:val="endnote text"/>
    <w:basedOn w:val="Normal"/>
    <w:link w:val="NotedefinCar"/>
    <w:unhideWhenUsed/>
    <w:rsid w:val="00AB1F4E"/>
    <w:pPr>
      <w:numPr>
        <w:numId w:val="1"/>
      </w:numPr>
      <w:spacing w:after="0"/>
    </w:pPr>
    <w:rPr>
      <w:sz w:val="20"/>
      <w:szCs w:val="20"/>
    </w:rPr>
  </w:style>
  <w:style w:type="character" w:customStyle="1" w:styleId="NotedefinCar">
    <w:name w:val="Note de fin Car"/>
    <w:basedOn w:val="Policepardfaut"/>
    <w:link w:val="Notedefin"/>
    <w:rsid w:val="00AB1F4E"/>
    <w:rPr>
      <w:rFonts w:ascii="Times New Roman" w:eastAsiaTheme="minorHAnsi" w:hAnsi="Times New Roman"/>
      <w:sz w:val="20"/>
      <w:szCs w:val="20"/>
      <w:lang w:val="fr-BE" w:eastAsia="en-US"/>
    </w:rPr>
  </w:style>
  <w:style w:type="character" w:styleId="Marquedenotedefin">
    <w:name w:val="endnote reference"/>
    <w:basedOn w:val="Policepardfaut"/>
    <w:unhideWhenUsed/>
    <w:rsid w:val="00AB1F4E"/>
    <w:rPr>
      <w:vertAlign w:val="superscript"/>
    </w:rPr>
  </w:style>
  <w:style w:type="numbering" w:customStyle="1" w:styleId="Maliste">
    <w:name w:val="Maliste"/>
    <w:uiPriority w:val="99"/>
    <w:rsid w:val="00AB1F4E"/>
    <w:pPr>
      <w:numPr>
        <w:numId w:val="3"/>
      </w:numPr>
    </w:pPr>
  </w:style>
  <w:style w:type="paragraph" w:styleId="En-tte">
    <w:name w:val="header"/>
    <w:basedOn w:val="Normal"/>
    <w:link w:val="En-tteCar"/>
    <w:uiPriority w:val="99"/>
    <w:unhideWhenUsed/>
    <w:rsid w:val="00AB1F4E"/>
    <w:pPr>
      <w:tabs>
        <w:tab w:val="center" w:pos="4536"/>
        <w:tab w:val="right" w:pos="9072"/>
      </w:tabs>
      <w:spacing w:after="0" w:line="240" w:lineRule="auto"/>
    </w:pPr>
  </w:style>
  <w:style w:type="character" w:customStyle="1" w:styleId="En-tteCar">
    <w:name w:val="En-tête Car"/>
    <w:basedOn w:val="Policepardfaut"/>
    <w:link w:val="En-tte"/>
    <w:uiPriority w:val="99"/>
    <w:rsid w:val="00AB1F4E"/>
    <w:rPr>
      <w:rFonts w:ascii="Times New Roman" w:eastAsiaTheme="minorHAnsi" w:hAnsi="Times New Roman"/>
      <w:szCs w:val="22"/>
      <w:lang w:val="fr-BE" w:eastAsia="en-US"/>
    </w:rPr>
  </w:style>
  <w:style w:type="paragraph" w:styleId="Pieddepage">
    <w:name w:val="footer"/>
    <w:basedOn w:val="Normal"/>
    <w:link w:val="PieddepageCar"/>
    <w:uiPriority w:val="99"/>
    <w:unhideWhenUsed/>
    <w:rsid w:val="00AB1F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F4E"/>
    <w:rPr>
      <w:rFonts w:ascii="Times New Roman" w:eastAsiaTheme="minorHAnsi" w:hAnsi="Times New Roman"/>
      <w:szCs w:val="22"/>
      <w:lang w:val="fr-BE" w:eastAsia="en-US"/>
    </w:rPr>
  </w:style>
  <w:style w:type="table" w:styleId="Grille">
    <w:name w:val="Table Grid"/>
    <w:basedOn w:val="TableauNormal"/>
    <w:uiPriority w:val="59"/>
    <w:rsid w:val="00AB1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4E"/>
    <w:pPr>
      <w:spacing w:after="200" w:line="480" w:lineRule="auto"/>
      <w:ind w:firstLine="284"/>
      <w:jc w:val="both"/>
    </w:pPr>
    <w:rPr>
      <w:rFonts w:ascii="Times New Roman" w:eastAsiaTheme="minorHAnsi" w:hAnsi="Times New Roman"/>
      <w:szCs w:val="22"/>
      <w:lang w:val="fr-BE" w:eastAsia="en-US"/>
    </w:rPr>
  </w:style>
  <w:style w:type="paragraph" w:styleId="Titre1">
    <w:name w:val="heading 1"/>
    <w:basedOn w:val="Normal"/>
    <w:next w:val="Normal"/>
    <w:link w:val="Titre1Car"/>
    <w:uiPriority w:val="9"/>
    <w:qFormat/>
    <w:rsid w:val="00AB1F4E"/>
    <w:pPr>
      <w:keepNext/>
      <w:keepLines/>
      <w:numPr>
        <w:numId w:val="2"/>
      </w:numPr>
      <w:ind w:left="2629"/>
      <w:jc w:val="center"/>
      <w:outlineLvl w:val="0"/>
    </w:pPr>
    <w:rPr>
      <w:rFonts w:eastAsiaTheme="majorEastAsia" w:cstheme="majorBidi"/>
      <w:szCs w:val="32"/>
    </w:rPr>
  </w:style>
  <w:style w:type="paragraph" w:styleId="Titre2">
    <w:name w:val="heading 2"/>
    <w:basedOn w:val="Normal"/>
    <w:next w:val="Normal"/>
    <w:link w:val="Titre2Car"/>
    <w:uiPriority w:val="9"/>
    <w:unhideWhenUsed/>
    <w:qFormat/>
    <w:rsid w:val="00AB1F4E"/>
    <w:pPr>
      <w:keepNext/>
      <w:keepLines/>
      <w:numPr>
        <w:ilvl w:val="1"/>
        <w:numId w:val="2"/>
      </w:numPr>
      <w:spacing w:after="0"/>
      <w:ind w:left="0"/>
      <w:jc w:val="center"/>
      <w:outlineLvl w:val="1"/>
    </w:pPr>
    <w:rPr>
      <w:rFonts w:eastAsiaTheme="majorEastAsia" w:cstheme="majorBidi"/>
      <w:szCs w:val="26"/>
    </w:rPr>
  </w:style>
  <w:style w:type="paragraph" w:styleId="Titre3">
    <w:name w:val="heading 3"/>
    <w:basedOn w:val="Normal"/>
    <w:next w:val="Normal"/>
    <w:link w:val="Titre3Car"/>
    <w:uiPriority w:val="9"/>
    <w:unhideWhenUsed/>
    <w:qFormat/>
    <w:rsid w:val="00AB1F4E"/>
    <w:pPr>
      <w:keepNext/>
      <w:keepLines/>
      <w:numPr>
        <w:ilvl w:val="2"/>
        <w:numId w:val="2"/>
      </w:numPr>
      <w:spacing w:before="400"/>
      <w:ind w:left="0"/>
      <w:jc w:val="center"/>
      <w:outlineLvl w:val="2"/>
    </w:pPr>
    <w:rPr>
      <w:rFonts w:eastAsiaTheme="majorEastAsia" w:cstheme="majorBidi"/>
      <w:szCs w:val="24"/>
    </w:rPr>
  </w:style>
  <w:style w:type="paragraph" w:styleId="Titre4">
    <w:name w:val="heading 4"/>
    <w:basedOn w:val="Normal"/>
    <w:next w:val="Normal"/>
    <w:link w:val="Titre4Car"/>
    <w:uiPriority w:val="9"/>
    <w:unhideWhenUsed/>
    <w:qFormat/>
    <w:rsid w:val="00AB1F4E"/>
    <w:pPr>
      <w:keepNext/>
      <w:keepLines/>
      <w:numPr>
        <w:ilvl w:val="3"/>
        <w:numId w:val="2"/>
      </w:numPr>
      <w:spacing w:before="400"/>
      <w:ind w:left="0"/>
      <w:jc w:val="left"/>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1F4E"/>
    <w:rPr>
      <w:rFonts w:ascii="Times New Roman" w:eastAsiaTheme="majorEastAsia" w:hAnsi="Times New Roman" w:cstheme="majorBidi"/>
      <w:szCs w:val="32"/>
      <w:lang w:val="fr-BE" w:eastAsia="en-US"/>
    </w:rPr>
  </w:style>
  <w:style w:type="character" w:customStyle="1" w:styleId="Titre2Car">
    <w:name w:val="Titre 2 Car"/>
    <w:basedOn w:val="Policepardfaut"/>
    <w:link w:val="Titre2"/>
    <w:uiPriority w:val="9"/>
    <w:rsid w:val="00AB1F4E"/>
    <w:rPr>
      <w:rFonts w:ascii="Times New Roman" w:eastAsiaTheme="majorEastAsia" w:hAnsi="Times New Roman" w:cstheme="majorBidi"/>
      <w:szCs w:val="26"/>
      <w:lang w:val="fr-BE" w:eastAsia="en-US"/>
    </w:rPr>
  </w:style>
  <w:style w:type="character" w:customStyle="1" w:styleId="Titre3Car">
    <w:name w:val="Titre 3 Car"/>
    <w:basedOn w:val="Policepardfaut"/>
    <w:link w:val="Titre3"/>
    <w:uiPriority w:val="9"/>
    <w:rsid w:val="00AB1F4E"/>
    <w:rPr>
      <w:rFonts w:ascii="Times New Roman" w:eastAsiaTheme="majorEastAsia" w:hAnsi="Times New Roman" w:cstheme="majorBidi"/>
      <w:lang w:val="fr-BE" w:eastAsia="en-US"/>
    </w:rPr>
  </w:style>
  <w:style w:type="character" w:customStyle="1" w:styleId="Titre4Car">
    <w:name w:val="Titre 4 Car"/>
    <w:basedOn w:val="Policepardfaut"/>
    <w:link w:val="Titre4"/>
    <w:uiPriority w:val="9"/>
    <w:rsid w:val="00AB1F4E"/>
    <w:rPr>
      <w:rFonts w:ascii="Times New Roman" w:eastAsiaTheme="majorEastAsia" w:hAnsi="Times New Roman" w:cstheme="majorBidi"/>
      <w:iCs/>
      <w:szCs w:val="22"/>
      <w:lang w:val="fr-BE" w:eastAsia="en-US"/>
    </w:rPr>
  </w:style>
  <w:style w:type="paragraph" w:styleId="Citation">
    <w:name w:val="Quote"/>
    <w:basedOn w:val="Normal"/>
    <w:next w:val="Normal"/>
    <w:link w:val="CitationCar"/>
    <w:uiPriority w:val="29"/>
    <w:qFormat/>
    <w:rsid w:val="00AB1F4E"/>
    <w:pPr>
      <w:ind w:left="284" w:right="284" w:firstLine="0"/>
    </w:pPr>
    <w:rPr>
      <w:iCs/>
      <w:sz w:val="22"/>
    </w:rPr>
  </w:style>
  <w:style w:type="character" w:customStyle="1" w:styleId="CitationCar">
    <w:name w:val="Citation Car"/>
    <w:basedOn w:val="Policepardfaut"/>
    <w:link w:val="Citation"/>
    <w:uiPriority w:val="29"/>
    <w:rsid w:val="00AB1F4E"/>
    <w:rPr>
      <w:rFonts w:ascii="Times New Roman" w:eastAsiaTheme="minorHAnsi" w:hAnsi="Times New Roman"/>
      <w:iCs/>
      <w:sz w:val="22"/>
      <w:szCs w:val="22"/>
      <w:lang w:val="fr-BE" w:eastAsia="en-US"/>
    </w:rPr>
  </w:style>
  <w:style w:type="paragraph" w:styleId="Notedefin">
    <w:name w:val="endnote text"/>
    <w:basedOn w:val="Normal"/>
    <w:link w:val="NotedefinCar"/>
    <w:unhideWhenUsed/>
    <w:rsid w:val="00AB1F4E"/>
    <w:pPr>
      <w:numPr>
        <w:numId w:val="1"/>
      </w:numPr>
      <w:spacing w:after="0"/>
    </w:pPr>
    <w:rPr>
      <w:sz w:val="20"/>
      <w:szCs w:val="20"/>
    </w:rPr>
  </w:style>
  <w:style w:type="character" w:customStyle="1" w:styleId="NotedefinCar">
    <w:name w:val="Note de fin Car"/>
    <w:basedOn w:val="Policepardfaut"/>
    <w:link w:val="Notedefin"/>
    <w:rsid w:val="00AB1F4E"/>
    <w:rPr>
      <w:rFonts w:ascii="Times New Roman" w:eastAsiaTheme="minorHAnsi" w:hAnsi="Times New Roman"/>
      <w:sz w:val="20"/>
      <w:szCs w:val="20"/>
      <w:lang w:val="fr-BE" w:eastAsia="en-US"/>
    </w:rPr>
  </w:style>
  <w:style w:type="character" w:styleId="Marquedenotedefin">
    <w:name w:val="endnote reference"/>
    <w:basedOn w:val="Policepardfaut"/>
    <w:unhideWhenUsed/>
    <w:rsid w:val="00AB1F4E"/>
    <w:rPr>
      <w:vertAlign w:val="superscript"/>
    </w:rPr>
  </w:style>
  <w:style w:type="numbering" w:customStyle="1" w:styleId="Maliste">
    <w:name w:val="Maliste"/>
    <w:uiPriority w:val="99"/>
    <w:rsid w:val="00AB1F4E"/>
    <w:pPr>
      <w:numPr>
        <w:numId w:val="3"/>
      </w:numPr>
    </w:pPr>
  </w:style>
  <w:style w:type="paragraph" w:styleId="En-tte">
    <w:name w:val="header"/>
    <w:basedOn w:val="Normal"/>
    <w:link w:val="En-tteCar"/>
    <w:uiPriority w:val="99"/>
    <w:unhideWhenUsed/>
    <w:rsid w:val="00AB1F4E"/>
    <w:pPr>
      <w:tabs>
        <w:tab w:val="center" w:pos="4536"/>
        <w:tab w:val="right" w:pos="9072"/>
      </w:tabs>
      <w:spacing w:after="0" w:line="240" w:lineRule="auto"/>
    </w:pPr>
  </w:style>
  <w:style w:type="character" w:customStyle="1" w:styleId="En-tteCar">
    <w:name w:val="En-tête Car"/>
    <w:basedOn w:val="Policepardfaut"/>
    <w:link w:val="En-tte"/>
    <w:uiPriority w:val="99"/>
    <w:rsid w:val="00AB1F4E"/>
    <w:rPr>
      <w:rFonts w:ascii="Times New Roman" w:eastAsiaTheme="minorHAnsi" w:hAnsi="Times New Roman"/>
      <w:szCs w:val="22"/>
      <w:lang w:val="fr-BE" w:eastAsia="en-US"/>
    </w:rPr>
  </w:style>
  <w:style w:type="paragraph" w:styleId="Pieddepage">
    <w:name w:val="footer"/>
    <w:basedOn w:val="Normal"/>
    <w:link w:val="PieddepageCar"/>
    <w:uiPriority w:val="99"/>
    <w:unhideWhenUsed/>
    <w:rsid w:val="00AB1F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F4E"/>
    <w:rPr>
      <w:rFonts w:ascii="Times New Roman" w:eastAsiaTheme="minorHAnsi" w:hAnsi="Times New Roman"/>
      <w:szCs w:val="22"/>
      <w:lang w:val="fr-BE" w:eastAsia="en-US"/>
    </w:rPr>
  </w:style>
  <w:style w:type="table" w:styleId="Grille">
    <w:name w:val="Table Grid"/>
    <w:basedOn w:val="TableauNormal"/>
    <w:uiPriority w:val="59"/>
    <w:rsid w:val="00AB1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7416</Words>
  <Characters>40788</Characters>
  <Application>Microsoft Macintosh Word</Application>
  <DocSecurity>0</DocSecurity>
  <Lines>339</Lines>
  <Paragraphs>96</Paragraphs>
  <ScaleCrop>false</ScaleCrop>
  <Company>Université de Liège</Company>
  <LinksUpToDate>false</LinksUpToDate>
  <CharactersWithSpaces>48108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Dewalque</dc:creator>
  <cp:keywords/>
  <dc:description/>
  <cp:lastModifiedBy>Arnaud Dewalque</cp:lastModifiedBy>
  <cp:revision>2</cp:revision>
  <dcterms:created xsi:type="dcterms:W3CDTF">2020-08-16T12:14:00Z</dcterms:created>
  <dcterms:modified xsi:type="dcterms:W3CDTF">2020-08-18T11:24:00Z</dcterms:modified>
</cp:coreProperties>
</file>