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A759" w14:textId="4624460B" w:rsidR="0073504D" w:rsidRDefault="0073504D" w:rsidP="005C7E2C">
      <w:pPr>
        <w:spacing w:line="480" w:lineRule="auto"/>
        <w:contextualSpacing/>
        <w:rPr>
          <w:rFonts w:asciiTheme="majorBidi" w:hAnsiTheme="majorBidi" w:cstheme="majorBidi"/>
          <w:sz w:val="24"/>
          <w:szCs w:val="24"/>
          <w:lang w:val="en-US"/>
        </w:rPr>
      </w:pPr>
      <w:r>
        <w:rPr>
          <w:rFonts w:asciiTheme="majorBidi" w:hAnsiTheme="majorBidi" w:cstheme="majorBidi"/>
          <w:sz w:val="24"/>
          <w:szCs w:val="24"/>
          <w:lang w:val="en-US"/>
        </w:rPr>
        <w:t>Final version forthcoming</w:t>
      </w:r>
    </w:p>
    <w:p w14:paraId="5714FD5F" w14:textId="0849CA75" w:rsidR="005C7E2C" w:rsidRPr="00577D92" w:rsidRDefault="00577D92" w:rsidP="005C7E2C">
      <w:pPr>
        <w:spacing w:line="480" w:lineRule="auto"/>
        <w:contextualSpacing/>
        <w:rPr>
          <w:rFonts w:asciiTheme="majorBidi" w:hAnsiTheme="majorBidi" w:cstheme="majorBidi"/>
          <w:sz w:val="24"/>
          <w:szCs w:val="24"/>
          <w:lang w:val="en-US"/>
        </w:rPr>
      </w:pPr>
      <w:r w:rsidRPr="00577D92">
        <w:rPr>
          <w:rFonts w:asciiTheme="majorBidi" w:hAnsiTheme="majorBidi" w:cstheme="majorBidi"/>
          <w:sz w:val="24"/>
          <w:szCs w:val="24"/>
          <w:lang w:val="en-US"/>
        </w:rPr>
        <w:t xml:space="preserve">Word Count (all inclusive): </w:t>
      </w:r>
      <w:r w:rsidR="0004134B">
        <w:rPr>
          <w:rFonts w:asciiTheme="majorBidi" w:hAnsiTheme="majorBidi" w:cstheme="majorBidi"/>
          <w:sz w:val="24"/>
          <w:szCs w:val="24"/>
          <w:lang w:val="en-US"/>
        </w:rPr>
        <w:t>7,279</w:t>
      </w:r>
    </w:p>
    <w:p w14:paraId="2C91AC0F" w14:textId="004FB0D4" w:rsidR="006759B9" w:rsidRDefault="006759B9" w:rsidP="003547E1">
      <w:pPr>
        <w:spacing w:line="480" w:lineRule="auto"/>
        <w:contextualSpacing/>
        <w:jc w:val="center"/>
        <w:rPr>
          <w:rFonts w:asciiTheme="majorBidi" w:hAnsiTheme="majorBidi" w:cstheme="majorBidi"/>
          <w:b/>
          <w:bCs/>
          <w:sz w:val="24"/>
          <w:szCs w:val="24"/>
          <w:lang w:val="en-US"/>
        </w:rPr>
      </w:pPr>
      <w:r w:rsidRPr="00301BB7">
        <w:rPr>
          <w:rFonts w:asciiTheme="majorBidi" w:hAnsiTheme="majorBidi" w:cstheme="majorBidi"/>
          <w:b/>
          <w:bCs/>
          <w:sz w:val="24"/>
          <w:szCs w:val="24"/>
          <w:lang w:val="en-US"/>
        </w:rPr>
        <w:t>Dementia</w:t>
      </w:r>
      <w:r w:rsidR="005E4282" w:rsidRPr="00301BB7">
        <w:rPr>
          <w:rFonts w:asciiTheme="majorBidi" w:hAnsiTheme="majorBidi" w:cstheme="majorBidi"/>
          <w:b/>
          <w:bCs/>
          <w:sz w:val="24"/>
          <w:szCs w:val="24"/>
          <w:lang w:val="en-US"/>
        </w:rPr>
        <w:t xml:space="preserve"> and </w:t>
      </w:r>
      <w:r w:rsidR="00D5794A">
        <w:rPr>
          <w:rFonts w:asciiTheme="majorBidi" w:hAnsiTheme="majorBidi" w:cstheme="majorBidi"/>
          <w:b/>
          <w:bCs/>
          <w:sz w:val="24"/>
          <w:szCs w:val="24"/>
          <w:lang w:val="en-US"/>
        </w:rPr>
        <w:t xml:space="preserve">Concurrent </w:t>
      </w:r>
      <w:r w:rsidRPr="00301BB7">
        <w:rPr>
          <w:rFonts w:asciiTheme="majorBidi" w:hAnsiTheme="majorBidi" w:cstheme="majorBidi"/>
          <w:b/>
          <w:bCs/>
          <w:sz w:val="24"/>
          <w:szCs w:val="24"/>
          <w:lang w:val="en-US"/>
        </w:rPr>
        <w:t>Consent to Sexual Relations</w:t>
      </w:r>
    </w:p>
    <w:p w14:paraId="56D26DAC" w14:textId="1DF865F3" w:rsidR="00812794" w:rsidRPr="00301BB7" w:rsidRDefault="00BB2746" w:rsidP="00C337F6">
      <w:pPr>
        <w:spacing w:line="480" w:lineRule="auto"/>
        <w:ind w:firstLine="708"/>
        <w:contextualSpacing/>
        <w:rPr>
          <w:rFonts w:asciiTheme="majorBidi" w:hAnsiTheme="majorBidi" w:cstheme="majorBidi"/>
          <w:sz w:val="24"/>
          <w:szCs w:val="24"/>
          <w:lang w:val="en-US"/>
        </w:rPr>
      </w:pPr>
      <w:r w:rsidRPr="007B4899">
        <w:rPr>
          <w:rFonts w:asciiTheme="majorBidi" w:hAnsiTheme="majorBidi" w:cstheme="majorBidi"/>
          <w:sz w:val="24"/>
          <w:szCs w:val="24"/>
          <w:u w:val="single"/>
          <w:lang w:val="en-US"/>
        </w:rPr>
        <w:t xml:space="preserve">In the small town of Byron, Illinois (two hours outside </w:t>
      </w:r>
      <w:r w:rsidR="00F51C86" w:rsidRPr="007B4899">
        <w:rPr>
          <w:rFonts w:asciiTheme="majorBidi" w:hAnsiTheme="majorBidi" w:cstheme="majorBidi"/>
          <w:sz w:val="24"/>
          <w:szCs w:val="24"/>
          <w:u w:val="single"/>
          <w:lang w:val="en-US"/>
        </w:rPr>
        <w:t xml:space="preserve">of </w:t>
      </w:r>
      <w:r w:rsidRPr="007B4899">
        <w:rPr>
          <w:rFonts w:asciiTheme="majorBidi" w:hAnsiTheme="majorBidi" w:cstheme="majorBidi"/>
          <w:sz w:val="24"/>
          <w:szCs w:val="24"/>
          <w:u w:val="single"/>
          <w:lang w:val="en-US"/>
        </w:rPr>
        <w:t>Chicago), a nursing home</w:t>
      </w:r>
      <w:r w:rsidR="00935836" w:rsidRPr="007B4899">
        <w:rPr>
          <w:rFonts w:asciiTheme="majorBidi" w:hAnsiTheme="majorBidi" w:cstheme="majorBidi"/>
          <w:sz w:val="24"/>
          <w:szCs w:val="24"/>
          <w:u w:val="single"/>
          <w:lang w:val="en-US"/>
        </w:rPr>
        <w:t xml:space="preserve"> named </w:t>
      </w:r>
      <w:r w:rsidR="00C337F6" w:rsidRPr="007B4899">
        <w:rPr>
          <w:rFonts w:asciiTheme="majorBidi" w:hAnsiTheme="majorBidi" w:cstheme="majorBidi"/>
          <w:sz w:val="24"/>
          <w:szCs w:val="24"/>
          <w:u w:val="single"/>
          <w:lang w:val="en-US"/>
        </w:rPr>
        <w:t>Neighbors Rehabilitation Center</w:t>
      </w:r>
      <w:r w:rsidRPr="007B4899">
        <w:rPr>
          <w:rFonts w:asciiTheme="majorBidi" w:hAnsiTheme="majorBidi" w:cstheme="majorBidi"/>
          <w:sz w:val="24"/>
          <w:szCs w:val="24"/>
          <w:u w:val="single"/>
          <w:lang w:val="en-US"/>
        </w:rPr>
        <w:t xml:space="preserve"> was fined $83,000 </w:t>
      </w:r>
      <w:r w:rsidR="00F50844" w:rsidRPr="007B4899">
        <w:rPr>
          <w:rFonts w:asciiTheme="majorBidi" w:hAnsiTheme="majorBidi" w:cstheme="majorBidi"/>
          <w:sz w:val="24"/>
          <w:szCs w:val="24"/>
          <w:u w:val="single"/>
          <w:lang w:val="en-US"/>
        </w:rPr>
        <w:t>by the Centers for Medica</w:t>
      </w:r>
      <w:r w:rsidR="00B84A4F" w:rsidRPr="007B4899">
        <w:rPr>
          <w:rFonts w:asciiTheme="majorBidi" w:hAnsiTheme="majorBidi" w:cstheme="majorBidi"/>
          <w:sz w:val="24"/>
          <w:szCs w:val="24"/>
          <w:u w:val="single"/>
          <w:lang w:val="en-US"/>
        </w:rPr>
        <w:t>r</w:t>
      </w:r>
      <w:r w:rsidR="00F50844" w:rsidRPr="007B4899">
        <w:rPr>
          <w:rFonts w:asciiTheme="majorBidi" w:hAnsiTheme="majorBidi" w:cstheme="majorBidi"/>
          <w:sz w:val="24"/>
          <w:szCs w:val="24"/>
          <w:u w:val="single"/>
          <w:lang w:val="en-US"/>
        </w:rPr>
        <w:t xml:space="preserve">e and Medicaid Services </w:t>
      </w:r>
      <w:r w:rsidRPr="007B4899">
        <w:rPr>
          <w:rFonts w:asciiTheme="majorBidi" w:hAnsiTheme="majorBidi" w:cstheme="majorBidi"/>
          <w:sz w:val="24"/>
          <w:szCs w:val="24"/>
          <w:u w:val="single"/>
          <w:lang w:val="en-US"/>
        </w:rPr>
        <w:t>for an “Immediate Jeopardy”</w:t>
      </w:r>
      <w:r w:rsidR="00C337F6" w:rsidRPr="007B4899">
        <w:rPr>
          <w:rFonts w:asciiTheme="majorBidi" w:hAnsiTheme="majorBidi" w:cstheme="majorBidi"/>
          <w:sz w:val="24"/>
          <w:szCs w:val="24"/>
          <w:u w:val="single"/>
          <w:lang w:val="en-US"/>
        </w:rPr>
        <w:t xml:space="preserve"> infraction</w:t>
      </w:r>
      <w:r w:rsidR="00C33380">
        <w:rPr>
          <w:rFonts w:asciiTheme="majorBidi" w:hAnsiTheme="majorBidi" w:cstheme="majorBidi"/>
          <w:sz w:val="24"/>
          <w:szCs w:val="24"/>
          <w:u w:val="single"/>
          <w:lang w:val="en-US"/>
        </w:rPr>
        <w:t>,</w:t>
      </w:r>
      <w:r w:rsidRPr="007B4899">
        <w:rPr>
          <w:rFonts w:asciiTheme="majorBidi" w:hAnsiTheme="majorBidi" w:cstheme="majorBidi"/>
          <w:sz w:val="24"/>
          <w:szCs w:val="24"/>
          <w:u w:val="single"/>
          <w:lang w:val="en-US"/>
        </w:rPr>
        <w:t xml:space="preserve"> which </w:t>
      </w:r>
      <w:r w:rsidR="00C337F6" w:rsidRPr="007B4899">
        <w:rPr>
          <w:rFonts w:asciiTheme="majorBidi" w:hAnsiTheme="majorBidi" w:cstheme="majorBidi"/>
          <w:sz w:val="24"/>
          <w:szCs w:val="24"/>
          <w:u w:val="single"/>
          <w:lang w:val="en-US"/>
        </w:rPr>
        <w:t>means that regulators believed Neighbor’s noncompliance “caused or created a likelihood that serious injury, harm, impairment, or death to one or more recipients would occur or recur.”</w:t>
      </w:r>
      <w:r w:rsidRPr="007B4899">
        <w:rPr>
          <w:rStyle w:val="FootnoteReference"/>
          <w:rFonts w:asciiTheme="majorBidi" w:hAnsiTheme="majorBidi" w:cstheme="majorBidi"/>
          <w:sz w:val="24"/>
          <w:szCs w:val="24"/>
          <w:u w:val="single"/>
          <w:lang w:val="en-US"/>
        </w:rPr>
        <w:footnoteReference w:id="1"/>
      </w:r>
      <w:r w:rsidR="00935836" w:rsidRPr="007B4899">
        <w:rPr>
          <w:rFonts w:asciiTheme="majorBidi" w:hAnsiTheme="majorBidi" w:cstheme="majorBidi"/>
          <w:sz w:val="24"/>
          <w:szCs w:val="24"/>
          <w:u w:val="single"/>
          <w:lang w:val="en-US"/>
        </w:rPr>
        <w:t xml:space="preserve"> Contrary to what one might think, this fine was not imposed for practices like failing to properly vet employees for criminal backgrounds, negligence in administering medications, etc. This fine was imposed because </w:t>
      </w:r>
      <w:r w:rsidR="00C337F6" w:rsidRPr="007B4899">
        <w:rPr>
          <w:rFonts w:asciiTheme="majorBidi" w:hAnsiTheme="majorBidi" w:cstheme="majorBidi"/>
          <w:sz w:val="24"/>
          <w:szCs w:val="24"/>
          <w:u w:val="single"/>
        </w:rPr>
        <w:t>“Neighbors allowed residents to have consensual sexual interactions and that supervisors told Neighbors’ staff that they were not to intervene or report sexual interactions unless a participant showed outward signs of non‐consent</w:t>
      </w:r>
      <w:r w:rsidR="00935836" w:rsidRPr="007B4899">
        <w:rPr>
          <w:rFonts w:asciiTheme="majorBidi" w:hAnsiTheme="majorBidi" w:cstheme="majorBidi"/>
          <w:sz w:val="24"/>
          <w:szCs w:val="24"/>
          <w:u w:val="single"/>
          <w:lang w:val="en-US"/>
        </w:rPr>
        <w:t>.”</w:t>
      </w:r>
      <w:r w:rsidR="00935836" w:rsidRPr="007B4899">
        <w:rPr>
          <w:rStyle w:val="FootnoteReference"/>
          <w:rFonts w:asciiTheme="majorBidi" w:hAnsiTheme="majorBidi" w:cstheme="majorBidi"/>
          <w:sz w:val="24"/>
          <w:szCs w:val="24"/>
          <w:u w:val="single"/>
          <w:lang w:val="en-US"/>
        </w:rPr>
        <w:footnoteReference w:id="2"/>
      </w:r>
      <w:r w:rsidR="00935836" w:rsidRPr="007B4899">
        <w:rPr>
          <w:rFonts w:asciiTheme="majorBidi" w:hAnsiTheme="majorBidi" w:cstheme="majorBidi"/>
          <w:sz w:val="24"/>
          <w:szCs w:val="24"/>
          <w:u w:val="single"/>
          <w:lang w:val="en-US"/>
        </w:rPr>
        <w:t xml:space="preserve"> Ultimately, an appellate court upheld this fine</w:t>
      </w:r>
      <w:r w:rsidR="00F50844">
        <w:rPr>
          <w:rFonts w:asciiTheme="majorBidi" w:hAnsiTheme="majorBidi" w:cstheme="majorBidi"/>
          <w:sz w:val="24"/>
          <w:szCs w:val="24"/>
          <w:lang w:val="en-US"/>
        </w:rPr>
        <w:t>.</w:t>
      </w:r>
      <w:r w:rsidR="00935836">
        <w:rPr>
          <w:rFonts w:asciiTheme="majorBidi" w:hAnsiTheme="majorBidi" w:cstheme="majorBidi"/>
          <w:sz w:val="24"/>
          <w:szCs w:val="24"/>
          <w:lang w:val="en-US"/>
        </w:rPr>
        <w:t xml:space="preserve"> Cases like this are very common. </w:t>
      </w:r>
      <w:r w:rsidR="00B53289">
        <w:rPr>
          <w:rFonts w:asciiTheme="majorBidi" w:hAnsiTheme="majorBidi" w:cstheme="majorBidi"/>
          <w:sz w:val="24"/>
          <w:szCs w:val="24"/>
          <w:lang w:val="en-US"/>
        </w:rPr>
        <w:t xml:space="preserve">Contrary to popular belief, many elderly people want to have sex and see sex as a regular part of their lives. </w:t>
      </w:r>
      <w:r w:rsidR="00B53289" w:rsidRPr="00301BB7">
        <w:rPr>
          <w:rFonts w:asciiTheme="majorBidi" w:hAnsiTheme="majorBidi" w:cstheme="majorBidi"/>
          <w:sz w:val="24"/>
          <w:szCs w:val="24"/>
          <w:lang w:val="en-US"/>
        </w:rPr>
        <w:t xml:space="preserve">Many </w:t>
      </w:r>
      <w:r w:rsidR="009F2172">
        <w:rPr>
          <w:rFonts w:asciiTheme="majorBidi" w:hAnsiTheme="majorBidi" w:cstheme="majorBidi"/>
          <w:sz w:val="24"/>
          <w:szCs w:val="24"/>
          <w:lang w:val="en-US"/>
        </w:rPr>
        <w:t xml:space="preserve">non-elderly people </w:t>
      </w:r>
      <w:r w:rsidR="00B53289" w:rsidRPr="00301BB7">
        <w:rPr>
          <w:rFonts w:asciiTheme="majorBidi" w:hAnsiTheme="majorBidi" w:cstheme="majorBidi"/>
          <w:sz w:val="24"/>
          <w:szCs w:val="24"/>
          <w:lang w:val="en-US"/>
        </w:rPr>
        <w:t xml:space="preserve">believe one of two myths about elderly sexuality. First, it is common to believe that the elderly </w:t>
      </w:r>
      <w:proofErr w:type="gramStart"/>
      <w:r w:rsidR="00B53289" w:rsidRPr="00301BB7">
        <w:rPr>
          <w:rFonts w:asciiTheme="majorBidi" w:hAnsiTheme="majorBidi" w:cstheme="majorBidi"/>
          <w:sz w:val="24"/>
          <w:szCs w:val="24"/>
          <w:lang w:val="en-US"/>
        </w:rPr>
        <w:t>do</w:t>
      </w:r>
      <w:proofErr w:type="gramEnd"/>
      <w:r w:rsidR="00B53289" w:rsidRPr="00301BB7">
        <w:rPr>
          <w:rFonts w:asciiTheme="majorBidi" w:hAnsiTheme="majorBidi" w:cstheme="majorBidi"/>
          <w:sz w:val="24"/>
          <w:szCs w:val="24"/>
          <w:lang w:val="en-US"/>
        </w:rPr>
        <w:t xml:space="preserve"> not have sex </w:t>
      </w:r>
      <w:r w:rsidR="00DA38C4">
        <w:rPr>
          <w:rFonts w:asciiTheme="majorBidi" w:hAnsiTheme="majorBidi" w:cstheme="majorBidi"/>
          <w:sz w:val="24"/>
          <w:szCs w:val="24"/>
          <w:lang w:val="en-US"/>
        </w:rPr>
        <w:t xml:space="preserve">and </w:t>
      </w:r>
      <w:r w:rsidR="00B53289" w:rsidRPr="00301BB7">
        <w:rPr>
          <w:rFonts w:asciiTheme="majorBidi" w:hAnsiTheme="majorBidi" w:cstheme="majorBidi"/>
          <w:sz w:val="24"/>
          <w:szCs w:val="24"/>
          <w:lang w:val="en-US"/>
        </w:rPr>
        <w:t xml:space="preserve">do not have sexual desires. </w:t>
      </w:r>
      <w:r w:rsidR="00B53289">
        <w:rPr>
          <w:rFonts w:asciiTheme="majorBidi" w:hAnsiTheme="majorBidi" w:cstheme="majorBidi"/>
          <w:sz w:val="24"/>
          <w:szCs w:val="24"/>
          <w:lang w:val="en-US"/>
        </w:rPr>
        <w:t>E</w:t>
      </w:r>
      <w:r w:rsidR="00B53289" w:rsidRPr="00301BB7">
        <w:rPr>
          <w:rFonts w:asciiTheme="majorBidi" w:hAnsiTheme="majorBidi" w:cstheme="majorBidi"/>
          <w:sz w:val="24"/>
          <w:szCs w:val="24"/>
          <w:lang w:val="en-US"/>
        </w:rPr>
        <w:t>mpirical evidence shows this to be a myth</w:t>
      </w:r>
      <w:r w:rsidR="00DA38C4">
        <w:rPr>
          <w:rFonts w:asciiTheme="majorBidi" w:hAnsiTheme="majorBidi" w:cstheme="majorBidi"/>
          <w:sz w:val="24"/>
          <w:szCs w:val="24"/>
          <w:lang w:val="en-US"/>
        </w:rPr>
        <w:t>.</w:t>
      </w:r>
      <w:r w:rsidR="00DA38C4">
        <w:rPr>
          <w:rStyle w:val="FootnoteReference"/>
          <w:rFonts w:asciiTheme="majorBidi" w:hAnsiTheme="majorBidi" w:cstheme="majorBidi"/>
          <w:sz w:val="24"/>
          <w:szCs w:val="24"/>
          <w:lang w:val="en-US"/>
        </w:rPr>
        <w:footnoteReference w:id="3"/>
      </w:r>
      <w:r w:rsidR="00B53289" w:rsidRPr="00301BB7">
        <w:rPr>
          <w:rFonts w:asciiTheme="majorBidi" w:hAnsiTheme="majorBidi" w:cstheme="majorBidi"/>
          <w:sz w:val="24"/>
          <w:szCs w:val="24"/>
          <w:lang w:val="en-US"/>
        </w:rPr>
        <w:t xml:space="preserve"> Second, many people believe that elderly sexuality is perverted or </w:t>
      </w:r>
      <w:r w:rsidR="00B53289" w:rsidRPr="00F57BB8">
        <w:rPr>
          <w:rFonts w:asciiTheme="majorBidi" w:hAnsiTheme="majorBidi" w:cstheme="majorBidi"/>
          <w:i/>
          <w:iCs/>
          <w:sz w:val="24"/>
          <w:szCs w:val="24"/>
          <w:lang w:val="en-US"/>
        </w:rPr>
        <w:t>gross</w:t>
      </w:r>
      <w:r w:rsidR="00B53289" w:rsidRPr="00301BB7">
        <w:rPr>
          <w:rFonts w:asciiTheme="majorBidi" w:hAnsiTheme="majorBidi" w:cstheme="majorBidi"/>
          <w:sz w:val="24"/>
          <w:szCs w:val="24"/>
          <w:lang w:val="en-US"/>
        </w:rPr>
        <w:t>.</w:t>
      </w:r>
      <w:r w:rsidR="00B53289" w:rsidRPr="00301BB7">
        <w:rPr>
          <w:rStyle w:val="FootnoteReference"/>
          <w:rFonts w:asciiTheme="majorBidi" w:hAnsiTheme="majorBidi" w:cstheme="majorBidi"/>
          <w:sz w:val="24"/>
          <w:szCs w:val="24"/>
          <w:lang w:val="en-US"/>
        </w:rPr>
        <w:footnoteReference w:id="4"/>
      </w:r>
      <w:r w:rsidR="00B53289" w:rsidRPr="00301BB7">
        <w:rPr>
          <w:rFonts w:asciiTheme="majorBidi" w:hAnsiTheme="majorBidi" w:cstheme="majorBidi"/>
          <w:sz w:val="24"/>
          <w:szCs w:val="24"/>
          <w:lang w:val="en-US"/>
        </w:rPr>
        <w:t xml:space="preserve"> </w:t>
      </w:r>
      <w:r w:rsidR="00B53289">
        <w:rPr>
          <w:rFonts w:asciiTheme="majorBidi" w:hAnsiTheme="majorBidi" w:cstheme="majorBidi"/>
          <w:sz w:val="24"/>
          <w:szCs w:val="24"/>
          <w:lang w:val="en-US"/>
        </w:rPr>
        <w:t xml:space="preserve">If society harbors ignorance and prejudice toward elderly sexuality, it harbors stronger views toward the sexual expression of elderly people with </w:t>
      </w:r>
      <w:r w:rsidR="00B53289">
        <w:rPr>
          <w:rFonts w:asciiTheme="majorBidi" w:hAnsiTheme="majorBidi" w:cstheme="majorBidi"/>
          <w:sz w:val="24"/>
          <w:szCs w:val="24"/>
          <w:lang w:val="en-US"/>
        </w:rPr>
        <w:lastRenderedPageBreak/>
        <w:t>dementia. People with dementia are often prohibited by nursing home staff, sometimes in extreme ways, from having sex with their partners.</w:t>
      </w:r>
      <w:r w:rsidR="00B53289">
        <w:rPr>
          <w:rStyle w:val="FootnoteReference"/>
          <w:rFonts w:asciiTheme="majorBidi" w:hAnsiTheme="majorBidi" w:cstheme="majorBidi"/>
          <w:sz w:val="24"/>
          <w:szCs w:val="24"/>
          <w:lang w:val="en-US"/>
        </w:rPr>
        <w:footnoteReference w:id="5"/>
      </w:r>
      <w:r w:rsidR="00B53289">
        <w:rPr>
          <w:rFonts w:asciiTheme="majorBidi" w:hAnsiTheme="majorBidi" w:cstheme="majorBidi"/>
          <w:sz w:val="24"/>
          <w:szCs w:val="24"/>
          <w:lang w:val="en-US"/>
        </w:rPr>
        <w:t xml:space="preserve"> This prohibition is motivated by the goal of protecting the vulnerable. But, cutting patients with dementia off from sex has negative health effects and is a needless restriction of their autonomy.</w:t>
      </w:r>
      <w:r w:rsidR="00B53289">
        <w:rPr>
          <w:rStyle w:val="FootnoteReference"/>
          <w:rFonts w:asciiTheme="majorBidi" w:hAnsiTheme="majorBidi" w:cstheme="majorBidi"/>
          <w:sz w:val="24"/>
          <w:szCs w:val="24"/>
          <w:lang w:val="en-US"/>
        </w:rPr>
        <w:footnoteReference w:id="6"/>
      </w:r>
      <w:r w:rsidR="00B53289">
        <w:rPr>
          <w:rFonts w:asciiTheme="majorBidi" w:hAnsiTheme="majorBidi" w:cstheme="majorBidi"/>
          <w:sz w:val="24"/>
          <w:szCs w:val="24"/>
          <w:lang w:val="en-US"/>
        </w:rPr>
        <w:t xml:space="preserve"> Philosophers have become newly interested in the ethics of sex. One promising feature of this new discussion is that it has been broadening our moral lens to include individuals whose sexual interests have historically been denied or ignored. In this paper, I argue that our expanding moral lens in sexual ethics should include the sexual expression of elderly individuals with dementia and that their sexual expression should be respected.</w:t>
      </w:r>
      <w:r w:rsidR="00816314">
        <w:rPr>
          <w:rStyle w:val="FootnoteReference"/>
          <w:rFonts w:asciiTheme="majorBidi" w:hAnsiTheme="majorBidi" w:cstheme="majorBidi"/>
          <w:sz w:val="24"/>
          <w:szCs w:val="24"/>
          <w:lang w:val="en-US"/>
        </w:rPr>
        <w:footnoteReference w:id="7"/>
      </w:r>
      <w:r w:rsidR="00B53289">
        <w:rPr>
          <w:rFonts w:asciiTheme="majorBidi" w:hAnsiTheme="majorBidi" w:cstheme="majorBidi"/>
          <w:sz w:val="24"/>
          <w:szCs w:val="24"/>
          <w:lang w:val="en-US"/>
        </w:rPr>
        <w:t xml:space="preserve"> More precisely,</w:t>
      </w:r>
      <w:r w:rsidR="000A3078">
        <w:rPr>
          <w:rFonts w:asciiTheme="majorBidi" w:hAnsiTheme="majorBidi" w:cstheme="majorBidi"/>
          <w:sz w:val="24"/>
          <w:szCs w:val="24"/>
          <w:lang w:val="en-US"/>
        </w:rPr>
        <w:t xml:space="preserve"> s</w:t>
      </w:r>
      <w:r w:rsidR="003D474B" w:rsidRPr="00301BB7">
        <w:rPr>
          <w:rFonts w:asciiTheme="majorBidi" w:hAnsiTheme="majorBidi" w:cstheme="majorBidi"/>
          <w:sz w:val="24"/>
          <w:szCs w:val="24"/>
          <w:lang w:val="en-US"/>
        </w:rPr>
        <w:t xml:space="preserve">uppose that two individuals, C and D, have been in a long-term committed relationship, and D now has dementia, while C is </w:t>
      </w:r>
      <w:r w:rsidR="00990D53" w:rsidRPr="00990D53">
        <w:rPr>
          <w:rFonts w:asciiTheme="majorBidi" w:hAnsiTheme="majorBidi" w:cstheme="majorBidi"/>
          <w:sz w:val="24"/>
          <w:szCs w:val="24"/>
          <w:u w:val="single"/>
          <w:lang w:val="en-US"/>
        </w:rPr>
        <w:t>clearly</w:t>
      </w:r>
      <w:r w:rsidR="00990D53">
        <w:rPr>
          <w:rFonts w:asciiTheme="majorBidi" w:hAnsiTheme="majorBidi" w:cstheme="majorBidi"/>
          <w:sz w:val="24"/>
          <w:szCs w:val="24"/>
          <w:lang w:val="en-US"/>
        </w:rPr>
        <w:t xml:space="preserve"> </w:t>
      </w:r>
      <w:r w:rsidR="003D474B" w:rsidRPr="00301BB7">
        <w:rPr>
          <w:rFonts w:asciiTheme="majorBidi" w:hAnsiTheme="majorBidi" w:cstheme="majorBidi"/>
          <w:sz w:val="24"/>
          <w:szCs w:val="24"/>
          <w:lang w:val="en-US"/>
        </w:rPr>
        <w:t>competent</w:t>
      </w:r>
      <w:r w:rsidR="003D474B">
        <w:rPr>
          <w:rFonts w:asciiTheme="majorBidi" w:hAnsiTheme="majorBidi" w:cstheme="majorBidi"/>
          <w:sz w:val="24"/>
          <w:szCs w:val="24"/>
          <w:lang w:val="en-US"/>
        </w:rPr>
        <w:t xml:space="preserve">. </w:t>
      </w:r>
      <w:r w:rsidR="00D5794A">
        <w:rPr>
          <w:rFonts w:asciiTheme="majorBidi" w:hAnsiTheme="majorBidi" w:cstheme="majorBidi"/>
          <w:sz w:val="24"/>
          <w:szCs w:val="24"/>
          <w:lang w:val="en-US"/>
        </w:rPr>
        <w:t xml:space="preserve">The </w:t>
      </w:r>
      <w:r w:rsidR="00787188">
        <w:rPr>
          <w:rFonts w:asciiTheme="majorBidi" w:hAnsiTheme="majorBidi" w:cstheme="majorBidi"/>
          <w:sz w:val="24"/>
          <w:szCs w:val="24"/>
          <w:lang w:val="en-US"/>
        </w:rPr>
        <w:t>common</w:t>
      </w:r>
      <w:r w:rsidR="00D5794A">
        <w:rPr>
          <w:rFonts w:asciiTheme="majorBidi" w:hAnsiTheme="majorBidi" w:cstheme="majorBidi"/>
          <w:sz w:val="24"/>
          <w:szCs w:val="24"/>
          <w:lang w:val="en-US"/>
        </w:rPr>
        <w:t xml:space="preserve"> view in the </w:t>
      </w:r>
      <w:r w:rsidR="00B53289">
        <w:rPr>
          <w:rFonts w:asciiTheme="majorBidi" w:hAnsiTheme="majorBidi" w:cstheme="majorBidi"/>
          <w:sz w:val="24"/>
          <w:szCs w:val="24"/>
          <w:lang w:val="en-US"/>
        </w:rPr>
        <w:t>nursing home</w:t>
      </w:r>
      <w:r w:rsidR="00D5794A">
        <w:rPr>
          <w:rFonts w:asciiTheme="majorBidi" w:hAnsiTheme="majorBidi" w:cstheme="majorBidi"/>
          <w:sz w:val="24"/>
          <w:szCs w:val="24"/>
          <w:lang w:val="en-US"/>
        </w:rPr>
        <w:t xml:space="preserve"> community is that sex between C and D is not permissible, because D’s condition </w:t>
      </w:r>
      <w:r w:rsidR="001A5AE3">
        <w:rPr>
          <w:rFonts w:asciiTheme="majorBidi" w:hAnsiTheme="majorBidi" w:cstheme="majorBidi"/>
          <w:sz w:val="24"/>
          <w:szCs w:val="24"/>
          <w:lang w:val="en-US"/>
        </w:rPr>
        <w:t xml:space="preserve">supposedly </w:t>
      </w:r>
      <w:r w:rsidR="00D5794A">
        <w:rPr>
          <w:rFonts w:asciiTheme="majorBidi" w:hAnsiTheme="majorBidi" w:cstheme="majorBidi"/>
          <w:sz w:val="24"/>
          <w:szCs w:val="24"/>
          <w:lang w:val="en-US"/>
        </w:rPr>
        <w:t>renders her unable to give valid consent. In this paper, I argue that this is mistaken</w:t>
      </w:r>
      <w:r w:rsidR="00B53289">
        <w:rPr>
          <w:rFonts w:asciiTheme="majorBidi" w:hAnsiTheme="majorBidi" w:cstheme="majorBidi"/>
          <w:sz w:val="24"/>
          <w:szCs w:val="24"/>
          <w:lang w:val="en-US"/>
        </w:rPr>
        <w:t>. I begin by outlining some parameters to govern my discussion</w:t>
      </w:r>
      <w:r w:rsidR="00136EB5" w:rsidRPr="00301BB7">
        <w:rPr>
          <w:rFonts w:asciiTheme="majorBidi" w:hAnsiTheme="majorBidi" w:cstheme="majorBidi"/>
          <w:sz w:val="24"/>
          <w:szCs w:val="24"/>
          <w:lang w:val="en-US"/>
        </w:rPr>
        <w:t xml:space="preserve">. </w:t>
      </w:r>
      <w:r w:rsidR="00B53289">
        <w:rPr>
          <w:rFonts w:asciiTheme="majorBidi" w:hAnsiTheme="majorBidi" w:cstheme="majorBidi"/>
          <w:sz w:val="24"/>
          <w:szCs w:val="24"/>
          <w:lang w:val="en-US"/>
        </w:rPr>
        <w:t>I then</w:t>
      </w:r>
      <w:r w:rsidR="00136EB5" w:rsidRPr="00301BB7">
        <w:rPr>
          <w:rFonts w:asciiTheme="majorBidi" w:hAnsiTheme="majorBidi" w:cstheme="majorBidi"/>
          <w:sz w:val="24"/>
          <w:szCs w:val="24"/>
          <w:lang w:val="en-US"/>
        </w:rPr>
        <w:t xml:space="preserve"> I defend the </w:t>
      </w:r>
      <w:r w:rsidR="00B53289">
        <w:rPr>
          <w:rFonts w:asciiTheme="majorBidi" w:hAnsiTheme="majorBidi" w:cstheme="majorBidi"/>
          <w:sz w:val="24"/>
          <w:szCs w:val="24"/>
          <w:lang w:val="en-US"/>
        </w:rPr>
        <w:t xml:space="preserve">view that, under certain conditions, people </w:t>
      </w:r>
      <w:r w:rsidR="00DA38C4">
        <w:rPr>
          <w:rFonts w:asciiTheme="majorBidi" w:hAnsiTheme="majorBidi" w:cstheme="majorBidi"/>
          <w:sz w:val="24"/>
          <w:szCs w:val="24"/>
          <w:lang w:val="en-US"/>
        </w:rPr>
        <w:t xml:space="preserve">with </w:t>
      </w:r>
      <w:r w:rsidR="00B53289">
        <w:rPr>
          <w:rFonts w:asciiTheme="majorBidi" w:hAnsiTheme="majorBidi" w:cstheme="majorBidi"/>
          <w:sz w:val="24"/>
          <w:szCs w:val="24"/>
          <w:lang w:val="en-US"/>
        </w:rPr>
        <w:t>dementia can give valid consent to sexual intimacy.</w:t>
      </w:r>
      <w:r w:rsidR="00136EB5" w:rsidRPr="00301BB7">
        <w:rPr>
          <w:rFonts w:asciiTheme="majorBidi" w:hAnsiTheme="majorBidi" w:cstheme="majorBidi"/>
          <w:sz w:val="24"/>
          <w:szCs w:val="24"/>
          <w:lang w:val="en-US"/>
        </w:rPr>
        <w:t xml:space="preserve"> </w:t>
      </w:r>
      <w:r w:rsidR="00B53289">
        <w:rPr>
          <w:rFonts w:asciiTheme="majorBidi" w:hAnsiTheme="majorBidi" w:cstheme="majorBidi"/>
          <w:sz w:val="24"/>
          <w:szCs w:val="24"/>
          <w:lang w:val="en-US"/>
        </w:rPr>
        <w:t xml:space="preserve">I conclude by </w:t>
      </w:r>
      <w:r w:rsidR="008235B5" w:rsidRPr="00301BB7">
        <w:rPr>
          <w:rFonts w:asciiTheme="majorBidi" w:hAnsiTheme="majorBidi" w:cstheme="majorBidi"/>
          <w:sz w:val="24"/>
          <w:szCs w:val="24"/>
          <w:lang w:val="en-US"/>
        </w:rPr>
        <w:t>address</w:t>
      </w:r>
      <w:r w:rsidR="00B53289">
        <w:rPr>
          <w:rFonts w:asciiTheme="majorBidi" w:hAnsiTheme="majorBidi" w:cstheme="majorBidi"/>
          <w:sz w:val="24"/>
          <w:szCs w:val="24"/>
          <w:lang w:val="en-US"/>
        </w:rPr>
        <w:t>ing</w:t>
      </w:r>
      <w:r w:rsidR="008235B5" w:rsidRPr="00301BB7">
        <w:rPr>
          <w:rFonts w:asciiTheme="majorBidi" w:hAnsiTheme="majorBidi" w:cstheme="majorBidi"/>
          <w:sz w:val="24"/>
          <w:szCs w:val="24"/>
          <w:lang w:val="en-US"/>
        </w:rPr>
        <w:t xml:space="preserve"> objection</w:t>
      </w:r>
      <w:r w:rsidR="003D6118" w:rsidRPr="00301BB7">
        <w:rPr>
          <w:rFonts w:asciiTheme="majorBidi" w:hAnsiTheme="majorBidi" w:cstheme="majorBidi"/>
          <w:sz w:val="24"/>
          <w:szCs w:val="24"/>
          <w:lang w:val="en-US"/>
        </w:rPr>
        <w:t>s</w:t>
      </w:r>
      <w:r w:rsidR="008235B5" w:rsidRPr="00301BB7">
        <w:rPr>
          <w:rFonts w:asciiTheme="majorBidi" w:hAnsiTheme="majorBidi" w:cstheme="majorBidi"/>
          <w:sz w:val="24"/>
          <w:szCs w:val="24"/>
          <w:lang w:val="en-US"/>
        </w:rPr>
        <w:t>.</w:t>
      </w:r>
    </w:p>
    <w:p w14:paraId="10074EFF" w14:textId="2E311AC5" w:rsidR="00812794" w:rsidRPr="00B42C2B" w:rsidRDefault="00B53289" w:rsidP="00B42C2B">
      <w:pPr>
        <w:spacing w:before="360" w:after="120" w:line="480" w:lineRule="auto"/>
        <w:rPr>
          <w:rFonts w:asciiTheme="majorBidi" w:hAnsiTheme="majorBidi" w:cstheme="majorBidi"/>
          <w:b/>
          <w:bCs/>
          <w:i/>
          <w:iCs/>
          <w:sz w:val="28"/>
          <w:szCs w:val="28"/>
          <w:lang w:val="en-US"/>
        </w:rPr>
      </w:pPr>
      <w:r w:rsidRPr="00B42C2B">
        <w:rPr>
          <w:rFonts w:asciiTheme="majorBidi" w:hAnsiTheme="majorBidi" w:cstheme="majorBidi"/>
          <w:b/>
          <w:bCs/>
          <w:i/>
          <w:iCs/>
          <w:sz w:val="28"/>
          <w:szCs w:val="28"/>
          <w:lang w:val="en-US"/>
        </w:rPr>
        <w:t>Parameters</w:t>
      </w:r>
    </w:p>
    <w:p w14:paraId="19FFE48E" w14:textId="10305817" w:rsidR="00EF4C2E" w:rsidRDefault="00EF4C2E" w:rsidP="00EF4C2E">
      <w:pPr>
        <w:spacing w:line="480" w:lineRule="auto"/>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In this paper, I will use </w:t>
      </w:r>
      <w:r w:rsidR="00F17F49" w:rsidRPr="00301BB7">
        <w:rPr>
          <w:rFonts w:asciiTheme="majorBidi" w:hAnsiTheme="majorBidi" w:cstheme="majorBidi"/>
          <w:sz w:val="24"/>
          <w:szCs w:val="24"/>
          <w:lang w:val="en-US"/>
        </w:rPr>
        <w:t xml:space="preserve">a hypothetical case involving two partners, C and D. C is the competent partner, and D is the partner with dementia. I refer to D as a woman and C as a man, but the </w:t>
      </w:r>
      <w:r w:rsidR="00F17F49" w:rsidRPr="00301BB7">
        <w:rPr>
          <w:rFonts w:asciiTheme="majorBidi" w:hAnsiTheme="majorBidi" w:cstheme="majorBidi"/>
          <w:sz w:val="24"/>
          <w:szCs w:val="24"/>
          <w:lang w:val="en-US"/>
        </w:rPr>
        <w:lastRenderedPageBreak/>
        <w:t>reader can alter the genders</w:t>
      </w:r>
      <w:r w:rsidR="00B2707C">
        <w:rPr>
          <w:rFonts w:asciiTheme="majorBidi" w:hAnsiTheme="majorBidi" w:cstheme="majorBidi"/>
          <w:sz w:val="24"/>
          <w:szCs w:val="24"/>
          <w:lang w:val="en-US"/>
        </w:rPr>
        <w:t xml:space="preserve"> </w:t>
      </w:r>
      <w:r w:rsidR="00B2707C" w:rsidRPr="00B2707C">
        <w:rPr>
          <w:rFonts w:asciiTheme="majorBidi" w:hAnsiTheme="majorBidi" w:cstheme="majorBidi"/>
          <w:sz w:val="24"/>
          <w:szCs w:val="24"/>
          <w:u w:val="single"/>
          <w:lang w:val="en-US"/>
        </w:rPr>
        <w:t>and the sexual orientations of both people</w:t>
      </w:r>
      <w:r w:rsidR="00F17F49" w:rsidRPr="00301BB7">
        <w:rPr>
          <w:rFonts w:asciiTheme="majorBidi" w:hAnsiTheme="majorBidi" w:cstheme="majorBidi"/>
          <w:sz w:val="24"/>
          <w:szCs w:val="24"/>
          <w:lang w:val="en-US"/>
        </w:rPr>
        <w:t>.</w:t>
      </w:r>
      <w:r>
        <w:rPr>
          <w:rFonts w:asciiTheme="majorBidi" w:hAnsiTheme="majorBidi" w:cstheme="majorBidi"/>
          <w:sz w:val="24"/>
          <w:szCs w:val="24"/>
          <w:lang w:val="en-US"/>
        </w:rPr>
        <w:t xml:space="preserve"> A few general parameters are useful in discussing the case of C and D. Let us assume that</w:t>
      </w:r>
      <w:r w:rsidR="00F17F49">
        <w:rPr>
          <w:rFonts w:asciiTheme="majorBidi" w:hAnsiTheme="majorBidi" w:cstheme="majorBidi"/>
          <w:sz w:val="24"/>
          <w:szCs w:val="24"/>
          <w:lang w:val="en-US"/>
        </w:rPr>
        <w:t xml:space="preserve"> </w:t>
      </w:r>
      <w:r w:rsidR="00F17F49" w:rsidRPr="00B82D5F">
        <w:rPr>
          <w:rFonts w:asciiTheme="majorBidi" w:hAnsiTheme="majorBidi" w:cstheme="majorBidi"/>
          <w:sz w:val="24"/>
          <w:szCs w:val="24"/>
          <w:lang w:val="en-US"/>
        </w:rPr>
        <w:t xml:space="preserve">C and D have been in a long-term, committed relationship with no history of abuse. </w:t>
      </w:r>
      <w:r w:rsidR="00BE1A06">
        <w:rPr>
          <w:rFonts w:asciiTheme="majorBidi" w:hAnsiTheme="majorBidi" w:cstheme="majorBidi"/>
          <w:sz w:val="24"/>
          <w:szCs w:val="24"/>
          <w:lang w:val="en-US"/>
        </w:rPr>
        <w:t>Before</w:t>
      </w:r>
      <w:r w:rsidR="00F17F49" w:rsidRPr="00B82D5F">
        <w:rPr>
          <w:rFonts w:asciiTheme="majorBidi" w:hAnsiTheme="majorBidi" w:cstheme="majorBidi"/>
          <w:sz w:val="24"/>
          <w:szCs w:val="24"/>
          <w:lang w:val="en-US"/>
        </w:rPr>
        <w:t xml:space="preserve"> D’s diagnosis, C and D</w:t>
      </w:r>
      <w:r w:rsidR="00BE1A06">
        <w:rPr>
          <w:rFonts w:asciiTheme="majorBidi" w:hAnsiTheme="majorBidi" w:cstheme="majorBidi"/>
          <w:sz w:val="24"/>
          <w:szCs w:val="24"/>
          <w:lang w:val="en-US"/>
        </w:rPr>
        <w:t xml:space="preserve"> frequently</w:t>
      </w:r>
      <w:r w:rsidR="00F17F49" w:rsidRPr="00B82D5F">
        <w:rPr>
          <w:rFonts w:asciiTheme="majorBidi" w:hAnsiTheme="majorBidi" w:cstheme="majorBidi"/>
          <w:sz w:val="24"/>
          <w:szCs w:val="24"/>
          <w:lang w:val="en-US"/>
        </w:rPr>
        <w:t xml:space="preserve"> </w:t>
      </w:r>
      <w:r w:rsidR="00BE1A06">
        <w:rPr>
          <w:rFonts w:asciiTheme="majorBidi" w:hAnsiTheme="majorBidi" w:cstheme="majorBidi"/>
          <w:sz w:val="24"/>
          <w:szCs w:val="24"/>
          <w:lang w:val="en-US"/>
        </w:rPr>
        <w:t>engaged in</w:t>
      </w:r>
      <w:r w:rsidR="00F17F49" w:rsidRPr="00B82D5F">
        <w:rPr>
          <w:rFonts w:asciiTheme="majorBidi" w:hAnsiTheme="majorBidi" w:cstheme="majorBidi"/>
          <w:sz w:val="24"/>
          <w:szCs w:val="24"/>
          <w:lang w:val="en-US"/>
        </w:rPr>
        <w:t xml:space="preserve"> consensual sex</w:t>
      </w:r>
      <w:r w:rsidR="007B6E53">
        <w:rPr>
          <w:rFonts w:asciiTheme="majorBidi" w:hAnsiTheme="majorBidi" w:cstheme="majorBidi"/>
          <w:sz w:val="24"/>
          <w:szCs w:val="24"/>
          <w:lang w:val="en-US"/>
        </w:rPr>
        <w:t>,</w:t>
      </w:r>
      <w:r w:rsidR="00F17F49" w:rsidRPr="00B82D5F">
        <w:rPr>
          <w:rFonts w:asciiTheme="majorBidi" w:hAnsiTheme="majorBidi" w:cstheme="majorBidi"/>
          <w:sz w:val="24"/>
          <w:szCs w:val="24"/>
          <w:lang w:val="en-US"/>
        </w:rPr>
        <w:t xml:space="preserve"> and they are familiar with each other’s verbal and non-verbal sexual cues. </w:t>
      </w:r>
      <w:r>
        <w:rPr>
          <w:rFonts w:asciiTheme="majorBidi" w:hAnsiTheme="majorBidi" w:cstheme="majorBidi"/>
          <w:sz w:val="24"/>
          <w:szCs w:val="24"/>
          <w:lang w:val="en-US"/>
        </w:rPr>
        <w:t>Let us also assume that C</w:t>
      </w:r>
      <w:r w:rsidR="00F17F49" w:rsidRPr="00B82D5F">
        <w:rPr>
          <w:rFonts w:asciiTheme="majorBidi" w:hAnsiTheme="majorBidi" w:cstheme="majorBidi"/>
          <w:sz w:val="24"/>
          <w:szCs w:val="24"/>
          <w:lang w:val="en-US"/>
        </w:rPr>
        <w:t xml:space="preserve"> is competent. D</w:t>
      </w:r>
      <w:r w:rsidR="00BE1A06">
        <w:rPr>
          <w:rFonts w:asciiTheme="majorBidi" w:hAnsiTheme="majorBidi" w:cstheme="majorBidi"/>
          <w:sz w:val="24"/>
          <w:szCs w:val="24"/>
          <w:lang w:val="en-US"/>
        </w:rPr>
        <w:t xml:space="preserve">’s dementia </w:t>
      </w:r>
      <w:r w:rsidR="00F17F49" w:rsidRPr="00B82D5F">
        <w:rPr>
          <w:rFonts w:asciiTheme="majorBidi" w:hAnsiTheme="majorBidi" w:cstheme="majorBidi"/>
          <w:sz w:val="24"/>
          <w:szCs w:val="24"/>
          <w:lang w:val="en-US"/>
        </w:rPr>
        <w:t>impair</w:t>
      </w:r>
      <w:r w:rsidR="00C63835">
        <w:rPr>
          <w:rFonts w:asciiTheme="majorBidi" w:hAnsiTheme="majorBidi" w:cstheme="majorBidi"/>
          <w:sz w:val="24"/>
          <w:szCs w:val="24"/>
          <w:lang w:val="en-US"/>
        </w:rPr>
        <w:t>s</w:t>
      </w:r>
      <w:r w:rsidR="00F17F49" w:rsidRPr="00B82D5F">
        <w:rPr>
          <w:rFonts w:asciiTheme="majorBidi" w:hAnsiTheme="majorBidi" w:cstheme="majorBidi"/>
          <w:sz w:val="24"/>
          <w:szCs w:val="24"/>
          <w:lang w:val="en-US"/>
        </w:rPr>
        <w:t xml:space="preserve"> her</w:t>
      </w:r>
      <w:r w:rsidR="00BE1A06">
        <w:rPr>
          <w:rFonts w:asciiTheme="majorBidi" w:hAnsiTheme="majorBidi" w:cstheme="majorBidi"/>
          <w:sz w:val="24"/>
          <w:szCs w:val="24"/>
          <w:lang w:val="en-US"/>
        </w:rPr>
        <w:t xml:space="preserve"> cognitively</w:t>
      </w:r>
      <w:r w:rsidR="00F17F49" w:rsidRPr="00B82D5F">
        <w:rPr>
          <w:rFonts w:asciiTheme="majorBidi" w:hAnsiTheme="majorBidi" w:cstheme="majorBidi"/>
          <w:sz w:val="24"/>
          <w:szCs w:val="24"/>
          <w:lang w:val="en-US"/>
        </w:rPr>
        <w:t xml:space="preserve">. Dementia </w:t>
      </w:r>
      <w:r w:rsidR="00BE1A06">
        <w:rPr>
          <w:rFonts w:asciiTheme="majorBidi" w:hAnsiTheme="majorBidi" w:cstheme="majorBidi"/>
          <w:sz w:val="24"/>
          <w:szCs w:val="24"/>
          <w:lang w:val="en-US"/>
        </w:rPr>
        <w:t>includes</w:t>
      </w:r>
      <w:r w:rsidR="00F17F49" w:rsidRPr="00B82D5F">
        <w:rPr>
          <w:rFonts w:asciiTheme="majorBidi" w:hAnsiTheme="majorBidi" w:cstheme="majorBidi"/>
          <w:sz w:val="24"/>
          <w:szCs w:val="24"/>
          <w:lang w:val="en-US"/>
        </w:rPr>
        <w:t xml:space="preserve"> a wide range of </w:t>
      </w:r>
      <w:r w:rsidR="00BE1A06">
        <w:rPr>
          <w:rFonts w:asciiTheme="majorBidi" w:hAnsiTheme="majorBidi" w:cstheme="majorBidi"/>
          <w:sz w:val="24"/>
          <w:szCs w:val="24"/>
          <w:lang w:val="en-US"/>
        </w:rPr>
        <w:t>severity</w:t>
      </w:r>
      <w:r w:rsidR="00F17F49" w:rsidRPr="00B82D5F">
        <w:rPr>
          <w:rFonts w:asciiTheme="majorBidi" w:hAnsiTheme="majorBidi" w:cstheme="majorBidi"/>
          <w:sz w:val="24"/>
          <w:szCs w:val="24"/>
          <w:lang w:val="en-US"/>
        </w:rPr>
        <w:t xml:space="preserve"> of cognitive impairment. Individuals with very mild dementia are competent to consent to a </w:t>
      </w:r>
      <w:r w:rsidR="00BE1A06">
        <w:rPr>
          <w:rFonts w:asciiTheme="majorBidi" w:hAnsiTheme="majorBidi" w:cstheme="majorBidi"/>
          <w:sz w:val="24"/>
          <w:szCs w:val="24"/>
          <w:lang w:val="en-US"/>
        </w:rPr>
        <w:t>lot</w:t>
      </w:r>
      <w:r w:rsidR="00F17F49" w:rsidRPr="00B82D5F">
        <w:rPr>
          <w:rFonts w:asciiTheme="majorBidi" w:hAnsiTheme="majorBidi" w:cstheme="majorBidi"/>
          <w:sz w:val="24"/>
          <w:szCs w:val="24"/>
          <w:lang w:val="en-US"/>
        </w:rPr>
        <w:t xml:space="preserve"> of things. </w:t>
      </w:r>
      <w:proofErr w:type="gramStart"/>
      <w:r w:rsidR="00F17F49" w:rsidRPr="00B82D5F">
        <w:rPr>
          <w:rFonts w:asciiTheme="majorBidi" w:hAnsiTheme="majorBidi" w:cstheme="majorBidi"/>
          <w:sz w:val="24"/>
          <w:szCs w:val="24"/>
          <w:lang w:val="en-US"/>
        </w:rPr>
        <w:t>And,</w:t>
      </w:r>
      <w:proofErr w:type="gramEnd"/>
      <w:r w:rsidR="00F17F49" w:rsidRPr="00B82D5F">
        <w:rPr>
          <w:rFonts w:asciiTheme="majorBidi" w:hAnsiTheme="majorBidi" w:cstheme="majorBidi"/>
          <w:sz w:val="24"/>
          <w:szCs w:val="24"/>
          <w:lang w:val="en-US"/>
        </w:rPr>
        <w:t xml:space="preserve"> individuals with </w:t>
      </w:r>
      <w:r w:rsidR="00F17F49" w:rsidRPr="00B82D5F">
        <w:rPr>
          <w:rFonts w:asciiTheme="majorBidi" w:hAnsiTheme="majorBidi" w:cstheme="majorBidi"/>
          <w:i/>
          <w:iCs/>
          <w:sz w:val="24"/>
          <w:szCs w:val="24"/>
          <w:lang w:val="en-US"/>
        </w:rPr>
        <w:t>extreme</w:t>
      </w:r>
      <w:r w:rsidR="00F17F49" w:rsidRPr="00B82D5F">
        <w:rPr>
          <w:rFonts w:asciiTheme="majorBidi" w:hAnsiTheme="majorBidi" w:cstheme="majorBidi"/>
          <w:sz w:val="24"/>
          <w:szCs w:val="24"/>
          <w:lang w:val="en-US"/>
        </w:rPr>
        <w:t xml:space="preserve"> dementia (i.e. non-verbal and non-communicative) clearly </w:t>
      </w:r>
      <w:r w:rsidR="00BE1A06">
        <w:rPr>
          <w:rFonts w:asciiTheme="majorBidi" w:hAnsiTheme="majorBidi" w:cstheme="majorBidi"/>
          <w:sz w:val="24"/>
          <w:szCs w:val="24"/>
          <w:lang w:val="en-US"/>
        </w:rPr>
        <w:t>can</w:t>
      </w:r>
      <w:r w:rsidR="00F17F49" w:rsidRPr="00B82D5F">
        <w:rPr>
          <w:rFonts w:asciiTheme="majorBidi" w:hAnsiTheme="majorBidi" w:cstheme="majorBidi"/>
          <w:sz w:val="24"/>
          <w:szCs w:val="24"/>
          <w:lang w:val="en-US"/>
        </w:rPr>
        <w:t xml:space="preserve">not consent to anything. I am not </w:t>
      </w:r>
      <w:r w:rsidR="00BE1A06">
        <w:rPr>
          <w:rFonts w:asciiTheme="majorBidi" w:hAnsiTheme="majorBidi" w:cstheme="majorBidi"/>
          <w:sz w:val="24"/>
          <w:szCs w:val="24"/>
          <w:lang w:val="en-US"/>
        </w:rPr>
        <w:t>discussing</w:t>
      </w:r>
      <w:r w:rsidR="00F17F49" w:rsidRPr="00B82D5F">
        <w:rPr>
          <w:rFonts w:asciiTheme="majorBidi" w:hAnsiTheme="majorBidi" w:cstheme="majorBidi"/>
          <w:sz w:val="24"/>
          <w:szCs w:val="24"/>
          <w:lang w:val="en-US"/>
        </w:rPr>
        <w:t xml:space="preserve"> individuals whose dementia is so bad that they have lost all awareness and ability to communicate. It seems </w:t>
      </w:r>
      <w:r w:rsidR="00BE1A06">
        <w:rPr>
          <w:rFonts w:asciiTheme="majorBidi" w:hAnsiTheme="majorBidi" w:cstheme="majorBidi"/>
          <w:sz w:val="24"/>
          <w:szCs w:val="24"/>
          <w:lang w:val="en-US"/>
        </w:rPr>
        <w:t>obvious</w:t>
      </w:r>
      <w:r w:rsidR="00F17F49" w:rsidRPr="00B82D5F">
        <w:rPr>
          <w:rFonts w:asciiTheme="majorBidi" w:hAnsiTheme="majorBidi" w:cstheme="majorBidi"/>
          <w:sz w:val="24"/>
          <w:szCs w:val="24"/>
          <w:lang w:val="en-US"/>
        </w:rPr>
        <w:t xml:space="preserve"> that </w:t>
      </w:r>
      <w:r w:rsidR="00BE1A06">
        <w:rPr>
          <w:rFonts w:asciiTheme="majorBidi" w:hAnsiTheme="majorBidi" w:cstheme="majorBidi"/>
          <w:sz w:val="24"/>
          <w:szCs w:val="24"/>
          <w:lang w:val="en-US"/>
        </w:rPr>
        <w:t>they</w:t>
      </w:r>
      <w:r w:rsidR="00F17F49" w:rsidRPr="00B82D5F">
        <w:rPr>
          <w:rFonts w:asciiTheme="majorBidi" w:hAnsiTheme="majorBidi" w:cstheme="majorBidi"/>
          <w:sz w:val="24"/>
          <w:szCs w:val="24"/>
          <w:lang w:val="en-US"/>
        </w:rPr>
        <w:t xml:space="preserve"> cannot </w:t>
      </w:r>
      <w:r w:rsidR="00BE1A06">
        <w:rPr>
          <w:rFonts w:asciiTheme="majorBidi" w:hAnsiTheme="majorBidi" w:cstheme="majorBidi"/>
          <w:sz w:val="24"/>
          <w:szCs w:val="24"/>
          <w:lang w:val="en-US"/>
        </w:rPr>
        <w:t xml:space="preserve">validly </w:t>
      </w:r>
      <w:r w:rsidR="00F17F49" w:rsidRPr="00B82D5F">
        <w:rPr>
          <w:rFonts w:asciiTheme="majorBidi" w:hAnsiTheme="majorBidi" w:cstheme="majorBidi"/>
          <w:sz w:val="24"/>
          <w:szCs w:val="24"/>
          <w:lang w:val="en-US"/>
        </w:rPr>
        <w:t xml:space="preserve">consent to sex. </w:t>
      </w:r>
      <w:r w:rsidR="00BE1A06">
        <w:rPr>
          <w:rFonts w:asciiTheme="majorBidi" w:hAnsiTheme="majorBidi" w:cstheme="majorBidi"/>
          <w:sz w:val="24"/>
          <w:szCs w:val="24"/>
          <w:lang w:val="en-US"/>
        </w:rPr>
        <w:t>Rather</w:t>
      </w:r>
      <w:r w:rsidR="00F17F49" w:rsidRPr="00B82D5F">
        <w:rPr>
          <w:rFonts w:asciiTheme="majorBidi" w:hAnsiTheme="majorBidi" w:cstheme="majorBidi"/>
          <w:sz w:val="24"/>
          <w:szCs w:val="24"/>
          <w:lang w:val="en-US"/>
        </w:rPr>
        <w:t xml:space="preserve">, I am interested in whether individuals with </w:t>
      </w:r>
      <w:r w:rsidR="00F17F49" w:rsidRPr="00EF4C2E">
        <w:rPr>
          <w:rFonts w:asciiTheme="majorBidi" w:hAnsiTheme="majorBidi" w:cstheme="majorBidi"/>
          <w:i/>
          <w:iCs/>
          <w:sz w:val="24"/>
          <w:szCs w:val="24"/>
          <w:lang w:val="en-US"/>
        </w:rPr>
        <w:t>mild</w:t>
      </w:r>
      <w:r w:rsidR="00F17F49" w:rsidRPr="00B82D5F">
        <w:rPr>
          <w:rFonts w:asciiTheme="majorBidi" w:hAnsiTheme="majorBidi" w:cstheme="majorBidi"/>
          <w:sz w:val="24"/>
          <w:szCs w:val="24"/>
          <w:lang w:val="en-US"/>
        </w:rPr>
        <w:t xml:space="preserve"> to </w:t>
      </w:r>
      <w:r w:rsidR="00F17F49" w:rsidRPr="00EF4C2E">
        <w:rPr>
          <w:rFonts w:asciiTheme="majorBidi" w:hAnsiTheme="majorBidi" w:cstheme="majorBidi"/>
          <w:i/>
          <w:iCs/>
          <w:sz w:val="24"/>
          <w:szCs w:val="24"/>
          <w:lang w:val="en-US"/>
        </w:rPr>
        <w:t>severe</w:t>
      </w:r>
      <w:r w:rsidR="00F17F49" w:rsidRPr="00B82D5F">
        <w:rPr>
          <w:rFonts w:asciiTheme="majorBidi" w:hAnsiTheme="majorBidi" w:cstheme="majorBidi"/>
          <w:sz w:val="24"/>
          <w:szCs w:val="24"/>
          <w:lang w:val="en-US"/>
        </w:rPr>
        <w:t xml:space="preserve"> dementia can consent to sex. So, </w:t>
      </w:r>
      <w:r>
        <w:rPr>
          <w:rFonts w:asciiTheme="majorBidi" w:hAnsiTheme="majorBidi" w:cstheme="majorBidi"/>
          <w:sz w:val="24"/>
          <w:szCs w:val="24"/>
          <w:lang w:val="en-US"/>
        </w:rPr>
        <w:t>let’s assume that</w:t>
      </w:r>
      <w:r w:rsidR="00F17F49" w:rsidRPr="00B82D5F">
        <w:rPr>
          <w:rFonts w:asciiTheme="majorBidi" w:hAnsiTheme="majorBidi" w:cstheme="majorBidi"/>
          <w:sz w:val="24"/>
          <w:szCs w:val="24"/>
          <w:lang w:val="en-US"/>
        </w:rPr>
        <w:t xml:space="preserve"> D’s dementia does not rise to the extreme level </w:t>
      </w:r>
      <w:r w:rsidR="00BE1A06">
        <w:rPr>
          <w:rFonts w:asciiTheme="majorBidi" w:hAnsiTheme="majorBidi" w:cstheme="majorBidi"/>
          <w:sz w:val="24"/>
          <w:szCs w:val="24"/>
          <w:lang w:val="en-US"/>
        </w:rPr>
        <w:t>described</w:t>
      </w:r>
      <w:r w:rsidR="00F17F49" w:rsidRPr="00B82D5F">
        <w:rPr>
          <w:rFonts w:asciiTheme="majorBidi" w:hAnsiTheme="majorBidi" w:cstheme="majorBidi"/>
          <w:sz w:val="24"/>
          <w:szCs w:val="24"/>
          <w:lang w:val="en-US"/>
        </w:rPr>
        <w:t xml:space="preserve"> above; rather, D’s dementia </w:t>
      </w:r>
      <w:r w:rsidR="00BE1A06">
        <w:rPr>
          <w:rFonts w:asciiTheme="majorBidi" w:hAnsiTheme="majorBidi" w:cstheme="majorBidi"/>
          <w:sz w:val="24"/>
          <w:szCs w:val="24"/>
          <w:lang w:val="en-US"/>
        </w:rPr>
        <w:t>is</w:t>
      </w:r>
      <w:r w:rsidR="00F17F49" w:rsidRPr="00B82D5F">
        <w:rPr>
          <w:rFonts w:asciiTheme="majorBidi" w:hAnsiTheme="majorBidi" w:cstheme="majorBidi"/>
          <w:sz w:val="24"/>
          <w:szCs w:val="24"/>
          <w:lang w:val="en-US"/>
        </w:rPr>
        <w:t xml:space="preserve"> </w:t>
      </w:r>
      <w:r w:rsidR="00961004">
        <w:rPr>
          <w:rFonts w:asciiTheme="majorBidi" w:hAnsiTheme="majorBidi" w:cstheme="majorBidi"/>
          <w:sz w:val="24"/>
          <w:szCs w:val="24"/>
          <w:lang w:val="en-US"/>
        </w:rPr>
        <w:t>between</w:t>
      </w:r>
      <w:r w:rsidR="00F17F49" w:rsidRPr="00B82D5F">
        <w:rPr>
          <w:rFonts w:asciiTheme="majorBidi" w:hAnsiTheme="majorBidi" w:cstheme="majorBidi"/>
          <w:sz w:val="24"/>
          <w:szCs w:val="24"/>
          <w:lang w:val="en-US"/>
        </w:rPr>
        <w:t xml:space="preserve"> very mild to severe. So, although </w:t>
      </w:r>
      <w:r w:rsidR="00BE1A06">
        <w:rPr>
          <w:rFonts w:asciiTheme="majorBidi" w:hAnsiTheme="majorBidi" w:cstheme="majorBidi"/>
          <w:sz w:val="24"/>
          <w:szCs w:val="24"/>
          <w:lang w:val="en-US"/>
        </w:rPr>
        <w:t>her cognition is</w:t>
      </w:r>
      <w:r w:rsidR="00F17F49" w:rsidRPr="00B82D5F">
        <w:rPr>
          <w:rFonts w:asciiTheme="majorBidi" w:hAnsiTheme="majorBidi" w:cstheme="majorBidi"/>
          <w:sz w:val="24"/>
          <w:szCs w:val="24"/>
          <w:lang w:val="en-US"/>
        </w:rPr>
        <w:t xml:space="preserve"> impaired, D can communicate, has a sense of self, etc.</w:t>
      </w:r>
      <w:r>
        <w:rPr>
          <w:rFonts w:asciiTheme="majorBidi" w:hAnsiTheme="majorBidi" w:cstheme="majorBidi"/>
          <w:sz w:val="24"/>
          <w:szCs w:val="24"/>
          <w:lang w:val="en-US"/>
        </w:rPr>
        <w:t xml:space="preserve"> </w:t>
      </w:r>
      <w:r w:rsidR="007870A7">
        <w:rPr>
          <w:rFonts w:asciiTheme="majorBidi" w:hAnsiTheme="majorBidi" w:cstheme="majorBidi"/>
          <w:sz w:val="24"/>
          <w:szCs w:val="24"/>
          <w:lang w:val="en-US"/>
        </w:rPr>
        <w:t xml:space="preserve">To my knowledge the objections to people with dementia engaging in sex are meant to apply to all levels of dementia and are not restricted just to saying that people with extreme dementia should be barred from sex. </w:t>
      </w:r>
      <w:r>
        <w:rPr>
          <w:rFonts w:asciiTheme="majorBidi" w:hAnsiTheme="majorBidi" w:cstheme="majorBidi"/>
          <w:sz w:val="24"/>
          <w:szCs w:val="24"/>
          <w:lang w:val="en-US"/>
        </w:rPr>
        <w:t xml:space="preserve">I will also assume that </w:t>
      </w:r>
      <w:r w:rsidR="00F17F49" w:rsidRPr="00B82D5F">
        <w:rPr>
          <w:rFonts w:asciiTheme="majorBidi" w:hAnsiTheme="majorBidi" w:cstheme="majorBidi"/>
          <w:sz w:val="24"/>
          <w:szCs w:val="24"/>
          <w:lang w:val="en-US"/>
        </w:rPr>
        <w:t xml:space="preserve">D has </w:t>
      </w:r>
      <w:r w:rsidR="00F17F49" w:rsidRPr="00B82D5F">
        <w:rPr>
          <w:rFonts w:asciiTheme="majorBidi" w:hAnsiTheme="majorBidi" w:cstheme="majorBidi"/>
          <w:i/>
          <w:iCs/>
          <w:sz w:val="24"/>
          <w:szCs w:val="24"/>
          <w:lang w:val="en-US"/>
        </w:rPr>
        <w:t>assent</w:t>
      </w:r>
      <w:r w:rsidR="00BE1A06">
        <w:rPr>
          <w:rFonts w:asciiTheme="majorBidi" w:hAnsiTheme="majorBidi" w:cstheme="majorBidi"/>
          <w:i/>
          <w:iCs/>
          <w:sz w:val="24"/>
          <w:szCs w:val="24"/>
          <w:lang w:val="en-US"/>
        </w:rPr>
        <w:t>ed</w:t>
      </w:r>
      <w:r w:rsidR="00F17F49" w:rsidRPr="00B82D5F">
        <w:rPr>
          <w:rFonts w:asciiTheme="majorBidi" w:hAnsiTheme="majorBidi" w:cstheme="majorBidi"/>
          <w:sz w:val="24"/>
          <w:szCs w:val="24"/>
          <w:lang w:val="en-US"/>
        </w:rPr>
        <w:t xml:space="preserve"> to sex with C. Consent and assent are both a kind of ‘yes.’ </w:t>
      </w:r>
      <w:proofErr w:type="gramStart"/>
      <w:r w:rsidR="00F17F49" w:rsidRPr="00B82D5F">
        <w:rPr>
          <w:rFonts w:asciiTheme="majorBidi" w:hAnsiTheme="majorBidi" w:cstheme="majorBidi"/>
          <w:sz w:val="24"/>
          <w:szCs w:val="24"/>
          <w:lang w:val="en-US"/>
        </w:rPr>
        <w:t>But,</w:t>
      </w:r>
      <w:proofErr w:type="gramEnd"/>
      <w:r w:rsidR="00F17F49" w:rsidRPr="00B82D5F">
        <w:rPr>
          <w:rFonts w:asciiTheme="majorBidi" w:hAnsiTheme="majorBidi" w:cstheme="majorBidi"/>
          <w:sz w:val="24"/>
          <w:szCs w:val="24"/>
          <w:lang w:val="en-US"/>
        </w:rPr>
        <w:t xml:space="preserve"> assent is weaker than consent and </w:t>
      </w:r>
      <w:r w:rsidR="00C63835">
        <w:rPr>
          <w:rFonts w:asciiTheme="majorBidi" w:hAnsiTheme="majorBidi" w:cstheme="majorBidi"/>
          <w:sz w:val="24"/>
          <w:szCs w:val="24"/>
          <w:lang w:val="en-US"/>
        </w:rPr>
        <w:t>cannot</w:t>
      </w:r>
      <w:r w:rsidR="00F17F49" w:rsidRPr="00B82D5F">
        <w:rPr>
          <w:rFonts w:asciiTheme="majorBidi" w:hAnsiTheme="majorBidi" w:cstheme="majorBidi"/>
          <w:sz w:val="24"/>
          <w:szCs w:val="24"/>
          <w:lang w:val="en-US"/>
        </w:rPr>
        <w:t>, on its own, render an action permissible when it otherwise would not have been.</w:t>
      </w:r>
      <w:r w:rsidR="00F3075F">
        <w:rPr>
          <w:rStyle w:val="FootnoteReference"/>
          <w:rFonts w:asciiTheme="majorBidi" w:hAnsiTheme="majorBidi" w:cstheme="majorBidi"/>
          <w:sz w:val="24"/>
          <w:szCs w:val="24"/>
          <w:lang w:val="en-US"/>
        </w:rPr>
        <w:footnoteReference w:id="8"/>
      </w:r>
      <w:r w:rsidR="00F17F49" w:rsidRPr="00B82D5F">
        <w:rPr>
          <w:rFonts w:asciiTheme="majorBidi" w:hAnsiTheme="majorBidi" w:cstheme="majorBidi"/>
          <w:sz w:val="24"/>
          <w:szCs w:val="24"/>
          <w:lang w:val="en-US"/>
        </w:rPr>
        <w:t xml:space="preserve"> This </w:t>
      </w:r>
      <w:r>
        <w:rPr>
          <w:rFonts w:asciiTheme="majorBidi" w:hAnsiTheme="majorBidi" w:cstheme="majorBidi"/>
          <w:sz w:val="24"/>
          <w:szCs w:val="24"/>
          <w:lang w:val="en-US"/>
        </w:rPr>
        <w:t>limitation</w:t>
      </w:r>
      <w:r w:rsidR="00F17F49" w:rsidRPr="00B82D5F">
        <w:rPr>
          <w:rFonts w:asciiTheme="majorBidi" w:hAnsiTheme="majorBidi" w:cstheme="majorBidi"/>
          <w:sz w:val="24"/>
          <w:szCs w:val="24"/>
          <w:lang w:val="en-US"/>
        </w:rPr>
        <w:t xml:space="preserve"> is crucial, as it excludes cases where D does not even assent to sex with C. I</w:t>
      </w:r>
      <w:r w:rsidR="00BE1A06">
        <w:rPr>
          <w:rFonts w:asciiTheme="majorBidi" w:hAnsiTheme="majorBidi" w:cstheme="majorBidi"/>
          <w:sz w:val="24"/>
          <w:szCs w:val="24"/>
          <w:lang w:val="en-US"/>
        </w:rPr>
        <w:t xml:space="preserve"> only</w:t>
      </w:r>
      <w:r w:rsidR="00F17F49" w:rsidRPr="00B82D5F">
        <w:rPr>
          <w:rFonts w:asciiTheme="majorBidi" w:hAnsiTheme="majorBidi" w:cstheme="majorBidi"/>
          <w:sz w:val="24"/>
          <w:szCs w:val="24"/>
          <w:lang w:val="en-US"/>
        </w:rPr>
        <w:t xml:space="preserve"> </w:t>
      </w:r>
      <w:r w:rsidR="00BE1A06">
        <w:rPr>
          <w:rFonts w:asciiTheme="majorBidi" w:hAnsiTheme="majorBidi" w:cstheme="majorBidi"/>
          <w:sz w:val="24"/>
          <w:szCs w:val="24"/>
          <w:lang w:val="en-US"/>
        </w:rPr>
        <w:t>discuss cases in which</w:t>
      </w:r>
      <w:r w:rsidR="00F17F49" w:rsidRPr="00B82D5F">
        <w:rPr>
          <w:rFonts w:asciiTheme="majorBidi" w:hAnsiTheme="majorBidi" w:cstheme="majorBidi"/>
          <w:sz w:val="24"/>
          <w:szCs w:val="24"/>
          <w:lang w:val="en-US"/>
        </w:rPr>
        <w:t xml:space="preserve"> D has either asked for sex from C or has agreed to sex after being asked. I will not </w:t>
      </w:r>
      <w:r w:rsidR="00961004">
        <w:rPr>
          <w:rFonts w:asciiTheme="majorBidi" w:hAnsiTheme="majorBidi" w:cstheme="majorBidi"/>
          <w:sz w:val="24"/>
          <w:szCs w:val="24"/>
          <w:lang w:val="en-US"/>
        </w:rPr>
        <w:t>evaluate</w:t>
      </w:r>
      <w:r w:rsidR="00F17F49" w:rsidRPr="00B82D5F">
        <w:rPr>
          <w:rFonts w:asciiTheme="majorBidi" w:hAnsiTheme="majorBidi" w:cstheme="majorBidi"/>
          <w:sz w:val="24"/>
          <w:szCs w:val="24"/>
          <w:lang w:val="en-US"/>
        </w:rPr>
        <w:t xml:space="preserve"> case</w:t>
      </w:r>
      <w:r w:rsidR="00C63835">
        <w:rPr>
          <w:rFonts w:asciiTheme="majorBidi" w:hAnsiTheme="majorBidi" w:cstheme="majorBidi"/>
          <w:sz w:val="24"/>
          <w:szCs w:val="24"/>
          <w:lang w:val="en-US"/>
        </w:rPr>
        <w:t>s</w:t>
      </w:r>
      <w:r w:rsidR="00F17F49" w:rsidRPr="00B82D5F">
        <w:rPr>
          <w:rFonts w:asciiTheme="majorBidi" w:hAnsiTheme="majorBidi" w:cstheme="majorBidi"/>
          <w:sz w:val="24"/>
          <w:szCs w:val="24"/>
          <w:lang w:val="en-US"/>
        </w:rPr>
        <w:t xml:space="preserve"> in which D </w:t>
      </w:r>
      <w:r w:rsidR="00F17F49" w:rsidRPr="00B82D5F">
        <w:rPr>
          <w:rFonts w:asciiTheme="majorBidi" w:hAnsiTheme="majorBidi" w:cstheme="majorBidi"/>
          <w:i/>
          <w:iCs/>
          <w:sz w:val="24"/>
          <w:szCs w:val="24"/>
          <w:lang w:val="en-US"/>
        </w:rPr>
        <w:t>dissent</w:t>
      </w:r>
      <w:r w:rsidR="00BE1A06">
        <w:rPr>
          <w:rFonts w:asciiTheme="majorBidi" w:hAnsiTheme="majorBidi" w:cstheme="majorBidi"/>
          <w:i/>
          <w:iCs/>
          <w:sz w:val="24"/>
          <w:szCs w:val="24"/>
          <w:lang w:val="en-US"/>
        </w:rPr>
        <w:t>s</w:t>
      </w:r>
      <w:r w:rsidR="00F17F49" w:rsidRPr="00B82D5F">
        <w:rPr>
          <w:rFonts w:asciiTheme="majorBidi" w:hAnsiTheme="majorBidi" w:cstheme="majorBidi"/>
          <w:sz w:val="24"/>
          <w:szCs w:val="24"/>
          <w:lang w:val="en-US"/>
        </w:rPr>
        <w:t xml:space="preserve"> </w:t>
      </w:r>
      <w:r w:rsidR="00BE1A06">
        <w:rPr>
          <w:rFonts w:asciiTheme="majorBidi" w:hAnsiTheme="majorBidi" w:cstheme="majorBidi"/>
          <w:sz w:val="24"/>
          <w:szCs w:val="24"/>
          <w:lang w:val="en-US"/>
        </w:rPr>
        <w:t>from</w:t>
      </w:r>
      <w:r w:rsidR="00F17F49" w:rsidRPr="00B82D5F">
        <w:rPr>
          <w:rFonts w:asciiTheme="majorBidi" w:hAnsiTheme="majorBidi" w:cstheme="majorBidi"/>
          <w:sz w:val="24"/>
          <w:szCs w:val="24"/>
          <w:lang w:val="en-US"/>
        </w:rPr>
        <w:t xml:space="preserve"> sex with C. </w:t>
      </w:r>
      <w:r w:rsidR="00C63835">
        <w:rPr>
          <w:rFonts w:asciiTheme="majorBidi" w:hAnsiTheme="majorBidi" w:cstheme="majorBidi"/>
          <w:sz w:val="24"/>
          <w:szCs w:val="24"/>
          <w:lang w:val="en-US"/>
        </w:rPr>
        <w:t xml:space="preserve">Sex is clearly </w:t>
      </w:r>
      <w:r w:rsidR="00F17F49" w:rsidRPr="00B82D5F">
        <w:rPr>
          <w:rFonts w:asciiTheme="majorBidi" w:hAnsiTheme="majorBidi" w:cstheme="majorBidi"/>
          <w:sz w:val="24"/>
          <w:szCs w:val="24"/>
          <w:lang w:val="en-US"/>
        </w:rPr>
        <w:t>impermissible in those cases.</w:t>
      </w:r>
    </w:p>
    <w:p w14:paraId="68A17E70" w14:textId="66829D80" w:rsidR="00B41248" w:rsidRPr="003B76DA" w:rsidRDefault="00F17F49" w:rsidP="003B76DA">
      <w:pPr>
        <w:spacing w:line="480" w:lineRule="auto"/>
        <w:ind w:firstLine="706"/>
        <w:rPr>
          <w:rFonts w:asciiTheme="majorBidi" w:hAnsiTheme="majorBidi" w:cstheme="majorBidi"/>
          <w:sz w:val="24"/>
          <w:szCs w:val="24"/>
          <w:lang w:val="en-US"/>
        </w:rPr>
      </w:pPr>
      <w:r w:rsidRPr="00B82D5F">
        <w:rPr>
          <w:rFonts w:asciiTheme="majorBidi" w:hAnsiTheme="majorBidi" w:cstheme="majorBidi"/>
          <w:sz w:val="24"/>
          <w:szCs w:val="24"/>
          <w:lang w:val="en-US"/>
        </w:rPr>
        <w:lastRenderedPageBreak/>
        <w:t xml:space="preserve">I only address cases of sex between </w:t>
      </w:r>
      <w:r w:rsidR="00EF4C2E">
        <w:rPr>
          <w:rFonts w:asciiTheme="majorBidi" w:hAnsiTheme="majorBidi" w:cstheme="majorBidi"/>
          <w:sz w:val="24"/>
          <w:szCs w:val="24"/>
          <w:lang w:val="en-US"/>
        </w:rPr>
        <w:t>two long-term partners where one has dementia</w:t>
      </w:r>
      <w:r w:rsidRPr="00B82D5F">
        <w:rPr>
          <w:rFonts w:asciiTheme="majorBidi" w:hAnsiTheme="majorBidi" w:cstheme="majorBidi"/>
          <w:sz w:val="24"/>
          <w:szCs w:val="24"/>
          <w:lang w:val="en-US"/>
        </w:rPr>
        <w:t xml:space="preserve">. </w:t>
      </w:r>
      <w:r w:rsidR="00C63835">
        <w:rPr>
          <w:rFonts w:asciiTheme="majorBidi" w:hAnsiTheme="majorBidi" w:cstheme="majorBidi"/>
          <w:sz w:val="24"/>
          <w:szCs w:val="24"/>
          <w:lang w:val="en-US"/>
        </w:rPr>
        <w:t>M</w:t>
      </w:r>
      <w:r w:rsidR="000A3078">
        <w:rPr>
          <w:rFonts w:asciiTheme="majorBidi" w:hAnsiTheme="majorBidi" w:cstheme="majorBidi"/>
          <w:sz w:val="24"/>
          <w:szCs w:val="24"/>
          <w:lang w:val="en-US"/>
        </w:rPr>
        <w:t xml:space="preserve">y analysis won’t directly cover </w:t>
      </w:r>
      <w:r w:rsidRPr="00B82D5F">
        <w:rPr>
          <w:rFonts w:asciiTheme="majorBidi" w:hAnsiTheme="majorBidi" w:cstheme="majorBidi"/>
          <w:sz w:val="24"/>
          <w:szCs w:val="24"/>
          <w:lang w:val="en-US"/>
        </w:rPr>
        <w:t>cases in which two people who both have dementia want to have sex with each other</w:t>
      </w:r>
      <w:r w:rsidR="000A3078">
        <w:rPr>
          <w:rFonts w:asciiTheme="majorBidi" w:hAnsiTheme="majorBidi" w:cstheme="majorBidi"/>
          <w:sz w:val="24"/>
          <w:szCs w:val="24"/>
          <w:lang w:val="en-US"/>
        </w:rPr>
        <w:t xml:space="preserve"> </w:t>
      </w:r>
      <w:r w:rsidRPr="00B82D5F">
        <w:rPr>
          <w:rFonts w:asciiTheme="majorBidi" w:hAnsiTheme="majorBidi" w:cstheme="majorBidi"/>
          <w:sz w:val="24"/>
          <w:szCs w:val="24"/>
          <w:lang w:val="en-US"/>
        </w:rPr>
        <w:t>or cases in which an individual with dementia wants to begin a new sexual relationship with someone who has not been her long-term</w:t>
      </w:r>
      <w:r>
        <w:rPr>
          <w:rFonts w:asciiTheme="majorBidi" w:hAnsiTheme="majorBidi" w:cstheme="majorBidi"/>
          <w:sz w:val="24"/>
          <w:szCs w:val="24"/>
          <w:lang w:val="en-US"/>
        </w:rPr>
        <w:t xml:space="preserve"> partner.</w:t>
      </w:r>
      <w:r w:rsidR="000A3078">
        <w:rPr>
          <w:rFonts w:asciiTheme="majorBidi" w:hAnsiTheme="majorBidi" w:cstheme="majorBidi"/>
          <w:sz w:val="24"/>
          <w:szCs w:val="24"/>
          <w:lang w:val="en-US"/>
        </w:rPr>
        <w:t xml:space="preserve"> </w:t>
      </w:r>
      <w:r w:rsidR="00812794">
        <w:rPr>
          <w:rFonts w:asciiTheme="majorBidi" w:hAnsiTheme="majorBidi" w:cstheme="majorBidi"/>
          <w:sz w:val="24"/>
          <w:szCs w:val="24"/>
          <w:lang w:val="en-US"/>
        </w:rPr>
        <w:t xml:space="preserve">For reasons that will become clear </w:t>
      </w:r>
      <w:r w:rsidR="00B41248">
        <w:rPr>
          <w:rFonts w:asciiTheme="majorBidi" w:hAnsiTheme="majorBidi" w:cstheme="majorBidi"/>
          <w:sz w:val="24"/>
          <w:szCs w:val="24"/>
          <w:lang w:val="en-US"/>
        </w:rPr>
        <w:t>later</w:t>
      </w:r>
      <w:r w:rsidR="00812794">
        <w:rPr>
          <w:rFonts w:asciiTheme="majorBidi" w:hAnsiTheme="majorBidi" w:cstheme="majorBidi"/>
          <w:sz w:val="24"/>
          <w:szCs w:val="24"/>
          <w:lang w:val="en-US"/>
        </w:rPr>
        <w:t xml:space="preserve">, I think that these cases introduce a complicating feature that makes them more difficult. </w:t>
      </w:r>
      <w:r w:rsidR="00E13FA5">
        <w:rPr>
          <w:rFonts w:asciiTheme="majorBidi" w:hAnsiTheme="majorBidi" w:cstheme="majorBidi"/>
          <w:sz w:val="24"/>
          <w:szCs w:val="24"/>
          <w:lang w:val="en-US"/>
        </w:rPr>
        <w:t xml:space="preserve">My view </w:t>
      </w:r>
      <w:r w:rsidR="00C63835">
        <w:rPr>
          <w:rFonts w:asciiTheme="majorBidi" w:hAnsiTheme="majorBidi" w:cstheme="majorBidi"/>
          <w:sz w:val="24"/>
          <w:szCs w:val="24"/>
          <w:lang w:val="en-US"/>
        </w:rPr>
        <w:t>has</w:t>
      </w:r>
      <w:r w:rsidR="00E13FA5">
        <w:rPr>
          <w:rFonts w:asciiTheme="majorBidi" w:hAnsiTheme="majorBidi" w:cstheme="majorBidi"/>
          <w:sz w:val="24"/>
          <w:szCs w:val="24"/>
          <w:lang w:val="en-US"/>
        </w:rPr>
        <w:t xml:space="preserve"> indirect implications for these cases, which are discussed </w:t>
      </w:r>
      <w:r w:rsidR="00EF4C2E">
        <w:rPr>
          <w:rFonts w:asciiTheme="majorBidi" w:hAnsiTheme="majorBidi" w:cstheme="majorBidi"/>
          <w:sz w:val="24"/>
          <w:szCs w:val="24"/>
          <w:lang w:val="en-US"/>
        </w:rPr>
        <w:t>later</w:t>
      </w:r>
      <w:r w:rsidR="00E13FA5">
        <w:rPr>
          <w:rFonts w:asciiTheme="majorBidi" w:hAnsiTheme="majorBidi" w:cstheme="majorBidi"/>
          <w:sz w:val="24"/>
          <w:szCs w:val="24"/>
          <w:lang w:val="en-US"/>
        </w:rPr>
        <w:t>.</w:t>
      </w:r>
      <w:r w:rsidR="00EF4C2E">
        <w:rPr>
          <w:rFonts w:asciiTheme="majorBidi" w:hAnsiTheme="majorBidi" w:cstheme="majorBidi"/>
          <w:sz w:val="24"/>
          <w:szCs w:val="24"/>
          <w:lang w:val="en-US"/>
        </w:rPr>
        <w:t xml:space="preserve"> </w:t>
      </w:r>
    </w:p>
    <w:p w14:paraId="2017E43B" w14:textId="2F519A84" w:rsidR="00F17F49" w:rsidRPr="00B42C2B" w:rsidRDefault="00812794" w:rsidP="00812794">
      <w:pPr>
        <w:spacing w:line="480" w:lineRule="auto"/>
        <w:rPr>
          <w:rFonts w:asciiTheme="majorBidi" w:hAnsiTheme="majorBidi" w:cstheme="majorBidi"/>
          <w:i/>
          <w:iCs/>
          <w:sz w:val="28"/>
          <w:szCs w:val="28"/>
          <w:lang w:val="en-US"/>
        </w:rPr>
      </w:pPr>
      <w:r w:rsidRPr="00B42C2B">
        <w:rPr>
          <w:rFonts w:asciiTheme="majorBidi" w:hAnsiTheme="majorBidi" w:cstheme="majorBidi"/>
          <w:b/>
          <w:bCs/>
          <w:i/>
          <w:iCs/>
          <w:sz w:val="28"/>
          <w:szCs w:val="28"/>
          <w:lang w:val="en-US"/>
        </w:rPr>
        <w:t>People With Dementia Can Consent</w:t>
      </w:r>
    </w:p>
    <w:p w14:paraId="4F9B7264" w14:textId="6EE3B52C" w:rsidR="00F17F49" w:rsidRPr="00301BB7" w:rsidRDefault="00F17F49" w:rsidP="00812794">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If a person with dementia </w:t>
      </w:r>
      <w:r w:rsidR="00961004" w:rsidRPr="00301BB7">
        <w:rPr>
          <w:rFonts w:asciiTheme="majorBidi" w:hAnsiTheme="majorBidi" w:cstheme="majorBidi"/>
          <w:sz w:val="24"/>
          <w:szCs w:val="24"/>
          <w:lang w:val="en-US"/>
        </w:rPr>
        <w:t>can give</w:t>
      </w:r>
      <w:r w:rsidRPr="00301BB7">
        <w:rPr>
          <w:rFonts w:asciiTheme="majorBidi" w:hAnsiTheme="majorBidi" w:cstheme="majorBidi"/>
          <w:sz w:val="24"/>
          <w:szCs w:val="24"/>
          <w:lang w:val="en-US"/>
        </w:rPr>
        <w:t xml:space="preserve"> valid </w:t>
      </w:r>
      <w:r w:rsidR="00B41248">
        <w:rPr>
          <w:rFonts w:asciiTheme="majorBidi" w:hAnsiTheme="majorBidi" w:cstheme="majorBidi"/>
          <w:sz w:val="24"/>
          <w:szCs w:val="24"/>
          <w:lang w:val="en-US"/>
        </w:rPr>
        <w:t>in the moment</w:t>
      </w:r>
      <w:r w:rsidRPr="00301BB7">
        <w:rPr>
          <w:rFonts w:asciiTheme="majorBidi" w:hAnsiTheme="majorBidi" w:cstheme="majorBidi"/>
          <w:sz w:val="24"/>
          <w:szCs w:val="24"/>
          <w:lang w:val="en-US"/>
        </w:rPr>
        <w:t xml:space="preserve"> consent to sex, then it is permissible for her competent partner to have sex with her,</w:t>
      </w:r>
      <w:r w:rsidRPr="00301BB7">
        <w:rPr>
          <w:rFonts w:asciiTheme="majorBidi" w:hAnsiTheme="majorBidi" w:cstheme="majorBidi"/>
          <w:i/>
          <w:iCs/>
          <w:sz w:val="24"/>
          <w:szCs w:val="24"/>
          <w:lang w:val="en-US"/>
        </w:rPr>
        <w:t xml:space="preserve"> </w:t>
      </w:r>
      <w:r w:rsidRPr="00301BB7">
        <w:rPr>
          <w:rFonts w:asciiTheme="majorBidi" w:hAnsiTheme="majorBidi" w:cstheme="majorBidi"/>
          <w:sz w:val="24"/>
          <w:szCs w:val="24"/>
          <w:lang w:val="en-US"/>
        </w:rPr>
        <w:t xml:space="preserve">assuming the action isn’t wrong for other reasons. Again, D has at least assented to sex with C. I now defend the claim that D </w:t>
      </w:r>
      <w:r w:rsidR="0063513B" w:rsidRPr="00301BB7">
        <w:rPr>
          <w:rFonts w:asciiTheme="majorBidi" w:hAnsiTheme="majorBidi" w:cstheme="majorBidi"/>
          <w:sz w:val="24"/>
          <w:szCs w:val="24"/>
          <w:lang w:val="en-US"/>
        </w:rPr>
        <w:t>can give</w:t>
      </w:r>
      <w:r w:rsidRPr="00301BB7">
        <w:rPr>
          <w:rFonts w:asciiTheme="majorBidi" w:hAnsiTheme="majorBidi" w:cstheme="majorBidi"/>
          <w:sz w:val="24"/>
          <w:szCs w:val="24"/>
          <w:lang w:val="en-US"/>
        </w:rPr>
        <w:t xml:space="preserve"> valid concurrent consent to sex with C, despite having dementia. </w:t>
      </w:r>
      <w:r w:rsidR="00812794">
        <w:rPr>
          <w:rFonts w:asciiTheme="majorBidi" w:hAnsiTheme="majorBidi" w:cstheme="majorBidi"/>
          <w:sz w:val="24"/>
          <w:szCs w:val="24"/>
          <w:lang w:val="en-US"/>
        </w:rPr>
        <w:t>Assume</w:t>
      </w:r>
      <w:r w:rsidRPr="00301BB7">
        <w:rPr>
          <w:rFonts w:asciiTheme="majorBidi" w:hAnsiTheme="majorBidi" w:cstheme="majorBidi"/>
          <w:sz w:val="24"/>
          <w:szCs w:val="24"/>
          <w:lang w:val="en-US"/>
        </w:rPr>
        <w:t xml:space="preserve"> that other consent invalidating conditions (deception, coercion, etc.) </w:t>
      </w:r>
      <w:r w:rsidR="00812794">
        <w:rPr>
          <w:rFonts w:asciiTheme="majorBidi" w:hAnsiTheme="majorBidi" w:cstheme="majorBidi"/>
          <w:sz w:val="24"/>
          <w:szCs w:val="24"/>
          <w:lang w:val="en-US"/>
        </w:rPr>
        <w:t>are not present</w:t>
      </w:r>
      <w:r w:rsidRPr="00301BB7">
        <w:rPr>
          <w:rFonts w:asciiTheme="majorBidi" w:hAnsiTheme="majorBidi" w:cstheme="majorBidi"/>
          <w:sz w:val="24"/>
          <w:szCs w:val="24"/>
          <w:lang w:val="en-US"/>
        </w:rPr>
        <w:t xml:space="preserve">. The question at hand is whether D, in virtue of </w:t>
      </w:r>
      <w:r w:rsidR="0063513B">
        <w:rPr>
          <w:rFonts w:asciiTheme="majorBidi" w:hAnsiTheme="majorBidi" w:cstheme="majorBidi"/>
          <w:sz w:val="24"/>
          <w:szCs w:val="24"/>
          <w:lang w:val="en-US"/>
        </w:rPr>
        <w:t>her</w:t>
      </w:r>
      <w:r w:rsidRPr="00301BB7">
        <w:rPr>
          <w:rFonts w:asciiTheme="majorBidi" w:hAnsiTheme="majorBidi" w:cstheme="majorBidi"/>
          <w:sz w:val="24"/>
          <w:szCs w:val="24"/>
          <w:lang w:val="en-US"/>
        </w:rPr>
        <w:t xml:space="preserve"> dementia, is sufficiently </w:t>
      </w:r>
      <w:r w:rsidR="0063513B">
        <w:rPr>
          <w:rFonts w:asciiTheme="majorBidi" w:hAnsiTheme="majorBidi" w:cstheme="majorBidi"/>
          <w:sz w:val="24"/>
          <w:szCs w:val="24"/>
          <w:lang w:val="en-US"/>
        </w:rPr>
        <w:t>impaired</w:t>
      </w:r>
      <w:r w:rsidRPr="00301BB7">
        <w:rPr>
          <w:rFonts w:asciiTheme="majorBidi" w:hAnsiTheme="majorBidi" w:cstheme="majorBidi"/>
          <w:sz w:val="24"/>
          <w:szCs w:val="24"/>
          <w:lang w:val="en-US"/>
        </w:rPr>
        <w:t xml:space="preserve"> that she cannot give valid consent to sex with C. </w:t>
      </w:r>
    </w:p>
    <w:p w14:paraId="61A5233C" w14:textId="5334ED20" w:rsidR="00D030E1" w:rsidRPr="00301BB7" w:rsidRDefault="00D030E1" w:rsidP="00D030E1">
      <w:pPr>
        <w:spacing w:line="480" w:lineRule="auto"/>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I argue that C and D can permissibly have sex with each other. My</w:t>
      </w:r>
      <w:r w:rsidR="00F17F49" w:rsidRPr="00301BB7">
        <w:rPr>
          <w:rFonts w:asciiTheme="majorBidi" w:hAnsiTheme="majorBidi" w:cstheme="majorBidi"/>
          <w:sz w:val="24"/>
          <w:szCs w:val="24"/>
          <w:lang w:val="en-US"/>
        </w:rPr>
        <w:t xml:space="preserve"> argument has two goals: </w:t>
      </w:r>
      <w:r>
        <w:rPr>
          <w:rFonts w:asciiTheme="majorBidi" w:hAnsiTheme="majorBidi" w:cstheme="majorBidi"/>
          <w:sz w:val="24"/>
          <w:szCs w:val="24"/>
          <w:lang w:val="en-US"/>
        </w:rPr>
        <w:t xml:space="preserve">the first is </w:t>
      </w:r>
      <w:r w:rsidR="00F17F49" w:rsidRPr="00301BB7">
        <w:rPr>
          <w:rFonts w:asciiTheme="majorBidi" w:hAnsiTheme="majorBidi" w:cstheme="majorBidi"/>
          <w:sz w:val="24"/>
          <w:szCs w:val="24"/>
          <w:lang w:val="en-US"/>
        </w:rPr>
        <w:t>to establish that D can give valid concurrent consent to sex</w:t>
      </w:r>
      <w:r>
        <w:rPr>
          <w:rFonts w:asciiTheme="majorBidi" w:hAnsiTheme="majorBidi" w:cstheme="majorBidi"/>
          <w:sz w:val="24"/>
          <w:szCs w:val="24"/>
          <w:lang w:val="en-US"/>
        </w:rPr>
        <w:t xml:space="preserve">, and the second is to show that </w:t>
      </w:r>
      <w:r w:rsidR="00F17F49" w:rsidRPr="00301BB7">
        <w:rPr>
          <w:rFonts w:asciiTheme="majorBidi" w:hAnsiTheme="majorBidi" w:cstheme="majorBidi"/>
          <w:sz w:val="24"/>
          <w:szCs w:val="24"/>
          <w:lang w:val="en-US"/>
        </w:rPr>
        <w:t>C can justifiably believe that D has given valid concurrent consent. Both are necessary conditions of establishing the permissibility of sex between C and D</w:t>
      </w:r>
      <w:r>
        <w:rPr>
          <w:rFonts w:asciiTheme="majorBidi" w:hAnsiTheme="majorBidi" w:cstheme="majorBidi"/>
          <w:sz w:val="24"/>
          <w:szCs w:val="24"/>
          <w:lang w:val="en-US"/>
        </w:rPr>
        <w:t>. The core principle behind my argument is this:</w:t>
      </w:r>
    </w:p>
    <w:p w14:paraId="45E892DF" w14:textId="63EFF15B" w:rsidR="00F17F49" w:rsidRDefault="00D030E1" w:rsidP="00E90CDA">
      <w:pPr>
        <w:spacing w:line="240" w:lineRule="auto"/>
        <w:ind w:left="360"/>
        <w:contextualSpacing/>
        <w:rPr>
          <w:rFonts w:asciiTheme="majorBidi" w:hAnsiTheme="majorBidi" w:cstheme="majorBidi"/>
          <w:sz w:val="24"/>
          <w:szCs w:val="24"/>
          <w:lang w:val="en-US"/>
        </w:rPr>
      </w:pPr>
      <w:r w:rsidRPr="003E127D">
        <w:rPr>
          <w:rFonts w:asciiTheme="majorBidi" w:hAnsiTheme="majorBidi" w:cstheme="majorBidi"/>
          <w:b/>
          <w:bCs/>
          <w:i/>
          <w:iCs/>
          <w:sz w:val="24"/>
          <w:szCs w:val="24"/>
          <w:lang w:val="en-US"/>
        </w:rPr>
        <w:t>Dementia and Consent</w:t>
      </w:r>
      <w:r w:rsidR="00B41248">
        <w:rPr>
          <w:rFonts w:asciiTheme="majorBidi" w:hAnsiTheme="majorBidi" w:cstheme="majorBidi"/>
          <w:b/>
          <w:bCs/>
          <w:i/>
          <w:iCs/>
          <w:sz w:val="24"/>
          <w:szCs w:val="24"/>
          <w:lang w:val="en-US"/>
        </w:rPr>
        <w:t xml:space="preserve"> to Sex</w:t>
      </w:r>
      <w:r w:rsidRPr="003E127D">
        <w:rPr>
          <w:rFonts w:asciiTheme="majorBidi" w:hAnsiTheme="majorBidi" w:cstheme="majorBidi"/>
          <w:b/>
          <w:bCs/>
          <w:i/>
          <w:iCs/>
          <w:sz w:val="24"/>
          <w:szCs w:val="24"/>
          <w:lang w:val="en-US"/>
        </w:rPr>
        <w:t>:</w:t>
      </w:r>
      <w:r w:rsidR="00F17F49" w:rsidRPr="00301BB7">
        <w:rPr>
          <w:rFonts w:asciiTheme="majorBidi" w:hAnsiTheme="majorBidi" w:cstheme="majorBidi"/>
          <w:sz w:val="24"/>
          <w:szCs w:val="24"/>
          <w:lang w:val="en-US"/>
        </w:rPr>
        <w:t xml:space="preserve"> if, despite having dementia, D knows who she is, knows who C is, understands what sex is, can express her wishes, and has (in general) stable preferences, then D is sufficiently competent to validly consent to sex with C.</w:t>
      </w:r>
      <w:r w:rsidR="00AA33E8">
        <w:rPr>
          <w:rStyle w:val="FootnoteReference"/>
          <w:rFonts w:asciiTheme="majorBidi" w:hAnsiTheme="majorBidi" w:cstheme="majorBidi"/>
          <w:sz w:val="24"/>
          <w:szCs w:val="24"/>
          <w:lang w:val="en-US"/>
        </w:rPr>
        <w:footnoteReference w:id="9"/>
      </w:r>
    </w:p>
    <w:p w14:paraId="0CB43E57" w14:textId="6610BDB2" w:rsidR="00D030E1" w:rsidRDefault="00D030E1" w:rsidP="00D030E1">
      <w:pPr>
        <w:spacing w:line="240" w:lineRule="auto"/>
        <w:contextualSpacing/>
        <w:rPr>
          <w:rFonts w:asciiTheme="majorBidi" w:hAnsiTheme="majorBidi" w:cstheme="majorBidi"/>
          <w:sz w:val="24"/>
          <w:szCs w:val="24"/>
          <w:lang w:val="en-US"/>
        </w:rPr>
      </w:pPr>
    </w:p>
    <w:p w14:paraId="0620F7B5" w14:textId="709B4E5C" w:rsidR="00F17F49" w:rsidRPr="00301BB7" w:rsidRDefault="00D030E1" w:rsidP="00D030E1">
      <w:pPr>
        <w:spacing w:line="480" w:lineRule="auto"/>
        <w:contextualSpacing/>
        <w:rPr>
          <w:rFonts w:asciiTheme="majorBidi" w:hAnsiTheme="majorBidi" w:cstheme="majorBidi"/>
          <w:sz w:val="24"/>
          <w:szCs w:val="24"/>
          <w:lang w:val="en-US"/>
        </w:rPr>
      </w:pPr>
      <w:r>
        <w:rPr>
          <w:rFonts w:asciiTheme="majorBidi" w:hAnsiTheme="majorBidi" w:cstheme="majorBidi"/>
          <w:sz w:val="24"/>
          <w:szCs w:val="24"/>
          <w:lang w:val="en-US"/>
        </w:rPr>
        <w:lastRenderedPageBreak/>
        <w:t>After defending this principle, I will argue that it is empirically true of people with mild to severe dementia, meaning that they are competent to consent to sex. The Dementia and Consent (henceforth DC</w:t>
      </w:r>
      <w:r w:rsidR="00B41248">
        <w:rPr>
          <w:rFonts w:asciiTheme="majorBidi" w:hAnsiTheme="majorBidi" w:cstheme="majorBidi"/>
          <w:sz w:val="24"/>
          <w:szCs w:val="24"/>
          <w:lang w:val="en-US"/>
        </w:rPr>
        <w:t>S</w:t>
      </w:r>
      <w:r>
        <w:rPr>
          <w:rFonts w:asciiTheme="majorBidi" w:hAnsiTheme="majorBidi" w:cstheme="majorBidi"/>
          <w:sz w:val="24"/>
          <w:szCs w:val="24"/>
          <w:lang w:val="en-US"/>
        </w:rPr>
        <w:t xml:space="preserve">) principle </w:t>
      </w:r>
      <w:r w:rsidR="00F17F49" w:rsidRPr="00301BB7">
        <w:rPr>
          <w:rFonts w:asciiTheme="majorBidi" w:hAnsiTheme="majorBidi" w:cstheme="majorBidi"/>
          <w:sz w:val="24"/>
          <w:szCs w:val="24"/>
          <w:lang w:val="en-US"/>
        </w:rPr>
        <w:t xml:space="preserve">outlines five conditions that, if D satisfies, she is sufficiently competent to give valid consent to sex. </w:t>
      </w:r>
    </w:p>
    <w:p w14:paraId="39CB80F8" w14:textId="38525F6B" w:rsidR="00F17F49" w:rsidRPr="00301BB7" w:rsidRDefault="00F17F49" w:rsidP="003547E1">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It is important to clarify what </w:t>
      </w:r>
      <w:r w:rsidR="00D030E1">
        <w:rPr>
          <w:rFonts w:asciiTheme="majorBidi" w:hAnsiTheme="majorBidi" w:cstheme="majorBidi"/>
          <w:sz w:val="24"/>
          <w:szCs w:val="24"/>
          <w:lang w:val="en-US"/>
        </w:rPr>
        <w:t>DC</w:t>
      </w:r>
      <w:r w:rsidR="00B41248">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doesn’t claim. Though the competence of individuals with dementia is clearly diminished, when evaluating their competence, we must distinguish between “task-specific” and “global” capacity to consent.</w:t>
      </w:r>
      <w:r w:rsidRPr="00301BB7">
        <w:rPr>
          <w:rStyle w:val="FootnoteReference"/>
          <w:rFonts w:asciiTheme="majorBidi" w:hAnsiTheme="majorBidi" w:cstheme="majorBidi"/>
          <w:sz w:val="24"/>
          <w:szCs w:val="24"/>
          <w:lang w:val="en-US"/>
        </w:rPr>
        <w:footnoteReference w:id="10"/>
      </w:r>
      <w:r w:rsidRPr="00301BB7">
        <w:rPr>
          <w:rFonts w:asciiTheme="majorBidi" w:hAnsiTheme="majorBidi" w:cstheme="majorBidi"/>
          <w:sz w:val="24"/>
          <w:szCs w:val="24"/>
          <w:lang w:val="en-US"/>
        </w:rPr>
        <w:t xml:space="preserve"> There is consensus in medical ethics that competence/capacity, as Lichtenberg says, “is not global but always specific to the decision in question.”</w:t>
      </w:r>
      <w:r w:rsidRPr="00301BB7">
        <w:rPr>
          <w:rStyle w:val="FootnoteReference"/>
          <w:rFonts w:asciiTheme="majorBidi" w:hAnsiTheme="majorBidi" w:cstheme="majorBidi"/>
          <w:sz w:val="24"/>
          <w:szCs w:val="24"/>
          <w:lang w:val="en-US"/>
        </w:rPr>
        <w:footnoteReference w:id="11"/>
      </w:r>
      <w:r w:rsidRPr="00301BB7">
        <w:rPr>
          <w:rFonts w:asciiTheme="majorBidi" w:hAnsiTheme="majorBidi" w:cstheme="majorBidi"/>
          <w:sz w:val="24"/>
          <w:szCs w:val="24"/>
          <w:lang w:val="en-US"/>
        </w:rPr>
        <w:t xml:space="preserve"> For people with dementia, competence isn’t all or nothing; these individuals may be competent in certain </w:t>
      </w:r>
      <w:r w:rsidR="00B41248">
        <w:rPr>
          <w:rFonts w:asciiTheme="majorBidi" w:hAnsiTheme="majorBidi" w:cstheme="majorBidi"/>
          <w:sz w:val="24"/>
          <w:szCs w:val="24"/>
          <w:lang w:val="en-US"/>
        </w:rPr>
        <w:t>areas</w:t>
      </w:r>
      <w:r w:rsidRPr="00301BB7">
        <w:rPr>
          <w:rFonts w:asciiTheme="majorBidi" w:hAnsiTheme="majorBidi" w:cstheme="majorBidi"/>
          <w:sz w:val="24"/>
          <w:szCs w:val="24"/>
          <w:lang w:val="en-US"/>
        </w:rPr>
        <w:t xml:space="preserve"> and not others.</w:t>
      </w:r>
      <w:r w:rsidR="00010A69">
        <w:rPr>
          <w:rFonts w:asciiTheme="majorBidi" w:hAnsiTheme="majorBidi" w:cstheme="majorBidi"/>
          <w:sz w:val="24"/>
          <w:szCs w:val="24"/>
          <w:lang w:val="en-US"/>
        </w:rPr>
        <w:t xml:space="preserve"> A</w:t>
      </w:r>
      <w:r w:rsidRPr="00301BB7">
        <w:rPr>
          <w:rFonts w:asciiTheme="majorBidi" w:hAnsiTheme="majorBidi" w:cstheme="majorBidi"/>
          <w:sz w:val="24"/>
          <w:szCs w:val="24"/>
          <w:lang w:val="en-US"/>
        </w:rPr>
        <w:t xml:space="preserve"> person </w:t>
      </w:r>
      <w:r w:rsidR="00A367ED">
        <w:rPr>
          <w:rFonts w:asciiTheme="majorBidi" w:hAnsiTheme="majorBidi" w:cstheme="majorBidi"/>
          <w:sz w:val="24"/>
          <w:szCs w:val="24"/>
          <w:lang w:val="en-US"/>
        </w:rPr>
        <w:t xml:space="preserve">with dementia </w:t>
      </w:r>
      <w:r w:rsidRPr="00301BB7">
        <w:rPr>
          <w:rFonts w:asciiTheme="majorBidi" w:hAnsiTheme="majorBidi" w:cstheme="majorBidi"/>
          <w:sz w:val="24"/>
          <w:szCs w:val="24"/>
          <w:lang w:val="en-US"/>
        </w:rPr>
        <w:t xml:space="preserve">might not be competent to manage her finances while </w:t>
      </w:r>
      <w:r>
        <w:rPr>
          <w:rFonts w:asciiTheme="majorBidi" w:hAnsiTheme="majorBidi" w:cstheme="majorBidi"/>
          <w:sz w:val="24"/>
          <w:szCs w:val="24"/>
          <w:lang w:val="en-US"/>
        </w:rPr>
        <w:t xml:space="preserve">still </w:t>
      </w:r>
      <w:r w:rsidRPr="00301BB7">
        <w:rPr>
          <w:rFonts w:asciiTheme="majorBidi" w:hAnsiTheme="majorBidi" w:cstheme="majorBidi"/>
          <w:sz w:val="24"/>
          <w:szCs w:val="24"/>
          <w:lang w:val="en-US"/>
        </w:rPr>
        <w:t>being competent to decide where she wants to live.</w:t>
      </w:r>
      <w:r w:rsidRPr="00301BB7">
        <w:rPr>
          <w:rStyle w:val="FootnoteReference"/>
          <w:rFonts w:asciiTheme="majorBidi" w:hAnsiTheme="majorBidi" w:cstheme="majorBidi"/>
          <w:sz w:val="24"/>
          <w:szCs w:val="24"/>
          <w:lang w:val="en-US"/>
        </w:rPr>
        <w:footnoteReference w:id="12"/>
      </w:r>
      <w:r w:rsidRPr="00301BB7">
        <w:rPr>
          <w:rFonts w:asciiTheme="majorBidi" w:hAnsiTheme="majorBidi" w:cstheme="majorBidi"/>
          <w:sz w:val="24"/>
          <w:szCs w:val="24"/>
          <w:lang w:val="en-US"/>
        </w:rPr>
        <w:t xml:space="preserve"> </w:t>
      </w:r>
      <w:r w:rsidR="003E127D">
        <w:rPr>
          <w:rFonts w:asciiTheme="majorBidi" w:hAnsiTheme="majorBidi" w:cstheme="majorBidi"/>
          <w:sz w:val="24"/>
          <w:szCs w:val="24"/>
          <w:lang w:val="en-US"/>
        </w:rPr>
        <w:t>DC</w:t>
      </w:r>
      <w:r w:rsidR="00B41248">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doesn’t claim that individuals with dementia should be considered </w:t>
      </w:r>
      <w:r w:rsidRPr="003E127D">
        <w:rPr>
          <w:rFonts w:asciiTheme="majorBidi" w:hAnsiTheme="majorBidi" w:cstheme="majorBidi"/>
          <w:i/>
          <w:iCs/>
          <w:sz w:val="24"/>
          <w:szCs w:val="24"/>
          <w:lang w:val="en-US"/>
        </w:rPr>
        <w:t>globally competent</w:t>
      </w:r>
      <w:r w:rsidRPr="00301BB7">
        <w:rPr>
          <w:rFonts w:asciiTheme="majorBidi" w:hAnsiTheme="majorBidi" w:cstheme="majorBidi"/>
          <w:sz w:val="24"/>
          <w:szCs w:val="24"/>
          <w:lang w:val="en-US"/>
        </w:rPr>
        <w:t xml:space="preserve">; it claims that they possess </w:t>
      </w:r>
      <w:r w:rsidRPr="003E127D">
        <w:rPr>
          <w:rFonts w:asciiTheme="majorBidi" w:hAnsiTheme="majorBidi" w:cstheme="majorBidi"/>
          <w:i/>
          <w:iCs/>
          <w:sz w:val="24"/>
          <w:szCs w:val="24"/>
          <w:lang w:val="en-US"/>
        </w:rPr>
        <w:t>sex-specific</w:t>
      </w:r>
      <w:r w:rsidRPr="00301BB7">
        <w:rPr>
          <w:rFonts w:asciiTheme="majorBidi" w:hAnsiTheme="majorBidi" w:cstheme="majorBidi"/>
          <w:i/>
          <w:iCs/>
          <w:sz w:val="24"/>
          <w:szCs w:val="24"/>
          <w:lang w:val="en-US"/>
        </w:rPr>
        <w:t xml:space="preserve"> </w:t>
      </w:r>
      <w:r w:rsidRPr="00301BB7">
        <w:rPr>
          <w:rFonts w:asciiTheme="majorBidi" w:hAnsiTheme="majorBidi" w:cstheme="majorBidi"/>
          <w:sz w:val="24"/>
          <w:szCs w:val="24"/>
          <w:lang w:val="en-US"/>
        </w:rPr>
        <w:t xml:space="preserve">competency. It may be that these individuals cannot consent to complicated medical procedures while </w:t>
      </w:r>
      <w:r>
        <w:rPr>
          <w:rFonts w:asciiTheme="majorBidi" w:hAnsiTheme="majorBidi" w:cstheme="majorBidi"/>
          <w:sz w:val="24"/>
          <w:szCs w:val="24"/>
          <w:lang w:val="en-US"/>
        </w:rPr>
        <w:t xml:space="preserve">still </w:t>
      </w:r>
      <w:r w:rsidRPr="00301BB7">
        <w:rPr>
          <w:rFonts w:asciiTheme="majorBidi" w:hAnsiTheme="majorBidi" w:cstheme="majorBidi"/>
          <w:sz w:val="24"/>
          <w:szCs w:val="24"/>
          <w:lang w:val="en-US"/>
        </w:rPr>
        <w:t>being able to consent to sex with their partner.</w:t>
      </w:r>
    </w:p>
    <w:p w14:paraId="4F1F75FF" w14:textId="22EF9A0D" w:rsidR="00F17F49" w:rsidRPr="00301BB7" w:rsidRDefault="00F17F49" w:rsidP="003547E1">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With this distinction in mind, </w:t>
      </w:r>
      <w:r w:rsidR="003E127D">
        <w:rPr>
          <w:rFonts w:asciiTheme="majorBidi" w:hAnsiTheme="majorBidi" w:cstheme="majorBidi"/>
          <w:sz w:val="24"/>
          <w:szCs w:val="24"/>
          <w:lang w:val="en-US"/>
        </w:rPr>
        <w:t>DC</w:t>
      </w:r>
      <w:r w:rsidR="00B41248">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is highly plausible. It claims that, if the five conditions it outlines are satisfied, an individual with dementia has task-specific competence to consent to sex with her long-term partner. It seems plausible that, if a person knows who she is, knows who her partner is, understands what sex is, can express her wishes, and has stable preferences, this person can consent to sex with her long-term partner. Beyond this bare plausibility, I offer a </w:t>
      </w:r>
      <w:r w:rsidR="00CC11CD">
        <w:rPr>
          <w:rFonts w:asciiTheme="majorBidi" w:hAnsiTheme="majorBidi" w:cstheme="majorBidi"/>
          <w:sz w:val="24"/>
          <w:szCs w:val="24"/>
          <w:lang w:val="en-US"/>
        </w:rPr>
        <w:t xml:space="preserve">brief </w:t>
      </w:r>
      <w:r w:rsidRPr="00301BB7">
        <w:rPr>
          <w:rFonts w:asciiTheme="majorBidi" w:hAnsiTheme="majorBidi" w:cstheme="majorBidi"/>
          <w:sz w:val="24"/>
          <w:szCs w:val="24"/>
          <w:lang w:val="en-US"/>
        </w:rPr>
        <w:t xml:space="preserve">defense of each condition in </w:t>
      </w:r>
      <w:r w:rsidR="003E127D">
        <w:rPr>
          <w:rFonts w:asciiTheme="majorBidi" w:hAnsiTheme="majorBidi" w:cstheme="majorBidi"/>
          <w:sz w:val="24"/>
          <w:szCs w:val="24"/>
          <w:lang w:val="en-US"/>
        </w:rPr>
        <w:t>DC</w:t>
      </w:r>
      <w:r w:rsidRPr="00301BB7">
        <w:rPr>
          <w:rFonts w:asciiTheme="majorBidi" w:hAnsiTheme="majorBidi" w:cstheme="majorBidi"/>
          <w:sz w:val="24"/>
          <w:szCs w:val="24"/>
          <w:lang w:val="en-US"/>
        </w:rPr>
        <w:t>.</w:t>
      </w:r>
    </w:p>
    <w:p w14:paraId="04FE918E" w14:textId="795A493E" w:rsidR="00F17F49" w:rsidRPr="00301BB7" w:rsidRDefault="003E127D" w:rsidP="003547E1">
      <w:pPr>
        <w:spacing w:line="480" w:lineRule="auto"/>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lastRenderedPageBreak/>
        <w:t>T</w:t>
      </w:r>
      <w:r w:rsidR="00F17F49" w:rsidRPr="00301BB7">
        <w:rPr>
          <w:rFonts w:asciiTheme="majorBidi" w:hAnsiTheme="majorBidi" w:cstheme="majorBidi"/>
          <w:sz w:val="24"/>
          <w:szCs w:val="24"/>
          <w:lang w:val="en-US"/>
        </w:rPr>
        <w:t xml:space="preserve">o consent to sex, D must know who she is. If D doesn’t know who she is, then she lacks sufficient self-awareness to consent to something that would require her to decide what </w:t>
      </w:r>
      <w:r w:rsidR="00F17F49" w:rsidRPr="00301BB7">
        <w:rPr>
          <w:rFonts w:asciiTheme="majorBidi" w:hAnsiTheme="majorBidi" w:cstheme="majorBidi"/>
          <w:i/>
          <w:iCs/>
          <w:sz w:val="24"/>
          <w:szCs w:val="24"/>
          <w:lang w:val="en-US"/>
        </w:rPr>
        <w:t>she</w:t>
      </w:r>
      <w:r w:rsidR="00F17F49" w:rsidRPr="00301BB7">
        <w:rPr>
          <w:rFonts w:asciiTheme="majorBidi" w:hAnsiTheme="majorBidi" w:cstheme="majorBidi"/>
          <w:sz w:val="24"/>
          <w:szCs w:val="24"/>
          <w:lang w:val="en-US"/>
        </w:rPr>
        <w:t xml:space="preserve"> wants. To know that she is the kind of person who wants to have sex with her partner, and to know who her partner is, D needs to know who she is and must have a concept of her identity and preferences. For D to know who she is, she must have awareness of her identity as a particular person, meaning that she </w:t>
      </w:r>
      <w:r w:rsidR="00EF6B14" w:rsidRPr="00301BB7">
        <w:rPr>
          <w:rFonts w:asciiTheme="majorBidi" w:hAnsiTheme="majorBidi" w:cstheme="majorBidi"/>
          <w:sz w:val="24"/>
          <w:szCs w:val="24"/>
          <w:lang w:val="en-US"/>
        </w:rPr>
        <w:t>must</w:t>
      </w:r>
      <w:r w:rsidR="00F17F49" w:rsidRPr="00301BB7">
        <w:rPr>
          <w:rFonts w:asciiTheme="majorBidi" w:hAnsiTheme="majorBidi" w:cstheme="majorBidi"/>
          <w:sz w:val="24"/>
          <w:szCs w:val="24"/>
          <w:lang w:val="en-US"/>
        </w:rPr>
        <w:t xml:space="preserve"> know that she is D. I won’t develop a</w:t>
      </w:r>
      <w:r w:rsidR="00EF6B14">
        <w:rPr>
          <w:rFonts w:asciiTheme="majorBidi" w:hAnsiTheme="majorBidi" w:cstheme="majorBidi"/>
          <w:sz w:val="24"/>
          <w:szCs w:val="24"/>
          <w:lang w:val="en-US"/>
        </w:rPr>
        <w:t xml:space="preserve">n </w:t>
      </w:r>
      <w:r w:rsidR="00F17F49" w:rsidRPr="00301BB7">
        <w:rPr>
          <w:rFonts w:asciiTheme="majorBidi" w:hAnsiTheme="majorBidi" w:cstheme="majorBidi"/>
          <w:sz w:val="24"/>
          <w:szCs w:val="24"/>
          <w:lang w:val="en-US"/>
        </w:rPr>
        <w:t xml:space="preserve">account of self-identity; instead, I rely on our intuitive concept of self-identity. </w:t>
      </w:r>
      <w:r w:rsidR="000A4DB2">
        <w:rPr>
          <w:rFonts w:asciiTheme="majorBidi" w:hAnsiTheme="majorBidi" w:cstheme="majorBidi"/>
          <w:sz w:val="24"/>
          <w:szCs w:val="24"/>
          <w:lang w:val="en-US"/>
        </w:rPr>
        <w:t>D</w:t>
      </w:r>
      <w:r w:rsidR="00F17F49" w:rsidRPr="00301BB7">
        <w:rPr>
          <w:rFonts w:asciiTheme="majorBidi" w:hAnsiTheme="majorBidi" w:cstheme="majorBidi"/>
          <w:sz w:val="24"/>
          <w:szCs w:val="24"/>
          <w:lang w:val="en-US"/>
        </w:rPr>
        <w:t xml:space="preserve"> know</w:t>
      </w:r>
      <w:r w:rsidR="000A4DB2">
        <w:rPr>
          <w:rFonts w:asciiTheme="majorBidi" w:hAnsiTheme="majorBidi" w:cstheme="majorBidi"/>
          <w:sz w:val="24"/>
          <w:szCs w:val="24"/>
          <w:lang w:val="en-US"/>
        </w:rPr>
        <w:t>s</w:t>
      </w:r>
      <w:r w:rsidR="00F17F49" w:rsidRPr="00301BB7">
        <w:rPr>
          <w:rFonts w:asciiTheme="majorBidi" w:hAnsiTheme="majorBidi" w:cstheme="majorBidi"/>
          <w:sz w:val="24"/>
          <w:szCs w:val="24"/>
          <w:lang w:val="en-US"/>
        </w:rPr>
        <w:t xml:space="preserve"> who </w:t>
      </w:r>
      <w:r w:rsidR="000A4DB2">
        <w:rPr>
          <w:rFonts w:asciiTheme="majorBidi" w:hAnsiTheme="majorBidi" w:cstheme="majorBidi"/>
          <w:sz w:val="24"/>
          <w:szCs w:val="24"/>
          <w:lang w:val="en-US"/>
        </w:rPr>
        <w:t>she is</w:t>
      </w:r>
      <w:r w:rsidR="00F17F49" w:rsidRPr="00301BB7">
        <w:rPr>
          <w:rFonts w:asciiTheme="majorBidi" w:hAnsiTheme="majorBidi" w:cstheme="majorBidi"/>
          <w:sz w:val="24"/>
          <w:szCs w:val="24"/>
          <w:lang w:val="en-US"/>
        </w:rPr>
        <w:t xml:space="preserve">, because </w:t>
      </w:r>
      <w:r w:rsidR="000A4DB2">
        <w:rPr>
          <w:rFonts w:asciiTheme="majorBidi" w:hAnsiTheme="majorBidi" w:cstheme="majorBidi"/>
          <w:sz w:val="24"/>
          <w:szCs w:val="24"/>
          <w:lang w:val="en-US"/>
        </w:rPr>
        <w:t xml:space="preserve">she is </w:t>
      </w:r>
      <w:r w:rsidR="00F17F49" w:rsidRPr="00301BB7">
        <w:rPr>
          <w:rFonts w:asciiTheme="majorBidi" w:hAnsiTheme="majorBidi" w:cstheme="majorBidi"/>
          <w:sz w:val="24"/>
          <w:szCs w:val="24"/>
          <w:lang w:val="en-US"/>
        </w:rPr>
        <w:t xml:space="preserve">aware of </w:t>
      </w:r>
      <w:r w:rsidR="000A4DB2">
        <w:rPr>
          <w:rFonts w:asciiTheme="majorBidi" w:hAnsiTheme="majorBidi" w:cstheme="majorBidi"/>
          <w:sz w:val="24"/>
          <w:szCs w:val="24"/>
          <w:lang w:val="en-US"/>
        </w:rPr>
        <w:t>her</w:t>
      </w:r>
      <w:r w:rsidR="00F17F49" w:rsidRPr="00301BB7">
        <w:rPr>
          <w:rFonts w:asciiTheme="majorBidi" w:hAnsiTheme="majorBidi" w:cstheme="majorBidi"/>
          <w:sz w:val="24"/>
          <w:szCs w:val="24"/>
          <w:lang w:val="en-US"/>
        </w:rPr>
        <w:t xml:space="preserve"> history, </w:t>
      </w:r>
      <w:r w:rsidR="000A4DB2">
        <w:rPr>
          <w:rFonts w:asciiTheme="majorBidi" w:hAnsiTheme="majorBidi" w:cstheme="majorBidi"/>
          <w:sz w:val="24"/>
          <w:szCs w:val="24"/>
          <w:lang w:val="en-US"/>
        </w:rPr>
        <w:t>her</w:t>
      </w:r>
      <w:r w:rsidR="00F17F49" w:rsidRPr="00301BB7">
        <w:rPr>
          <w:rFonts w:asciiTheme="majorBidi" w:hAnsiTheme="majorBidi" w:cstheme="majorBidi"/>
          <w:sz w:val="24"/>
          <w:szCs w:val="24"/>
          <w:lang w:val="en-US"/>
        </w:rPr>
        <w:t xml:space="preserve"> desires, </w:t>
      </w:r>
      <w:r w:rsidR="000A4DB2">
        <w:rPr>
          <w:rFonts w:asciiTheme="majorBidi" w:hAnsiTheme="majorBidi" w:cstheme="majorBidi"/>
          <w:sz w:val="24"/>
          <w:szCs w:val="24"/>
          <w:lang w:val="en-US"/>
        </w:rPr>
        <w:t>her</w:t>
      </w:r>
      <w:r w:rsidR="00F17F49" w:rsidRPr="00301BB7">
        <w:rPr>
          <w:rFonts w:asciiTheme="majorBidi" w:hAnsiTheme="majorBidi" w:cstheme="majorBidi"/>
          <w:sz w:val="24"/>
          <w:szCs w:val="24"/>
          <w:lang w:val="en-US"/>
        </w:rPr>
        <w:t xml:space="preserve"> beliefs, etc.</w:t>
      </w:r>
      <w:r w:rsidR="004D244E">
        <w:rPr>
          <w:rStyle w:val="FootnoteReference"/>
          <w:rFonts w:asciiTheme="majorBidi" w:hAnsiTheme="majorBidi" w:cstheme="majorBidi"/>
          <w:sz w:val="24"/>
          <w:szCs w:val="24"/>
          <w:lang w:val="en-US"/>
        </w:rPr>
        <w:footnoteReference w:id="13"/>
      </w:r>
    </w:p>
    <w:p w14:paraId="3522A6DD" w14:textId="6BA5D012" w:rsidR="00F17F49" w:rsidRPr="00301BB7" w:rsidRDefault="00F17F49" w:rsidP="003547E1">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Second, D has to know who C is to consent to sex with him. Sexual consent is </w:t>
      </w:r>
      <w:r w:rsidR="00CC11CD">
        <w:rPr>
          <w:rFonts w:asciiTheme="majorBidi" w:hAnsiTheme="majorBidi" w:cstheme="majorBidi"/>
          <w:sz w:val="24"/>
          <w:szCs w:val="24"/>
          <w:lang w:val="en-US"/>
        </w:rPr>
        <w:t>generally assumed to be given to a specific person</w:t>
      </w:r>
      <w:r w:rsidRPr="00301BB7">
        <w:rPr>
          <w:rFonts w:asciiTheme="majorBidi" w:hAnsiTheme="majorBidi" w:cstheme="majorBidi"/>
          <w:sz w:val="24"/>
          <w:szCs w:val="24"/>
          <w:lang w:val="en-US"/>
        </w:rPr>
        <w:t xml:space="preserve">. Consequently, D has to know </w:t>
      </w:r>
      <w:r w:rsidRPr="000A4DB2">
        <w:rPr>
          <w:rFonts w:asciiTheme="majorBidi" w:hAnsiTheme="majorBidi" w:cstheme="majorBidi"/>
          <w:i/>
          <w:iCs/>
          <w:sz w:val="24"/>
          <w:szCs w:val="24"/>
          <w:lang w:val="en-US"/>
        </w:rPr>
        <w:t>who</w:t>
      </w:r>
      <w:r w:rsidRPr="00301BB7">
        <w:rPr>
          <w:rFonts w:asciiTheme="majorBidi" w:hAnsiTheme="majorBidi" w:cstheme="majorBidi"/>
          <w:sz w:val="24"/>
          <w:szCs w:val="24"/>
          <w:lang w:val="en-US"/>
        </w:rPr>
        <w:t xml:space="preserve"> she is having sex with, not simply </w:t>
      </w:r>
      <w:r w:rsidRPr="000A4DB2">
        <w:rPr>
          <w:rFonts w:asciiTheme="majorBidi" w:hAnsiTheme="majorBidi" w:cstheme="majorBidi"/>
          <w:i/>
          <w:iCs/>
          <w:sz w:val="24"/>
          <w:szCs w:val="24"/>
          <w:lang w:val="en-US"/>
        </w:rPr>
        <w:t>that</w:t>
      </w:r>
      <w:r w:rsidRPr="00301BB7">
        <w:rPr>
          <w:rFonts w:asciiTheme="majorBidi" w:hAnsiTheme="majorBidi" w:cstheme="majorBidi"/>
          <w:sz w:val="24"/>
          <w:szCs w:val="24"/>
          <w:lang w:val="en-US"/>
        </w:rPr>
        <w:t xml:space="preserve"> she is having sex with someone. This is an important part of D’s general understanding of her situation; if D is having sex with someone without knowing who it is, this </w:t>
      </w:r>
      <w:r w:rsidR="00A95D7F">
        <w:rPr>
          <w:rFonts w:asciiTheme="majorBidi" w:hAnsiTheme="majorBidi" w:cstheme="majorBidi"/>
          <w:sz w:val="24"/>
          <w:szCs w:val="24"/>
          <w:lang w:val="en-US"/>
        </w:rPr>
        <w:t>suggests</w:t>
      </w:r>
      <w:r w:rsidRPr="00301BB7">
        <w:rPr>
          <w:rFonts w:asciiTheme="majorBidi" w:hAnsiTheme="majorBidi" w:cstheme="majorBidi"/>
          <w:sz w:val="24"/>
          <w:szCs w:val="24"/>
          <w:lang w:val="en-US"/>
        </w:rPr>
        <w:t xml:space="preserve"> that she isn’t sufficiently aware and rational to consent to sex.</w:t>
      </w:r>
    </w:p>
    <w:p w14:paraId="0D68418F" w14:textId="64581AE2" w:rsidR="00F17F49" w:rsidRPr="00301BB7" w:rsidRDefault="00F17F49" w:rsidP="003547E1">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Third, D has to understand what sex is for her consent to be valid. </w:t>
      </w:r>
      <w:r w:rsidR="00A95D7F">
        <w:rPr>
          <w:rFonts w:asciiTheme="majorBidi" w:hAnsiTheme="majorBidi" w:cstheme="majorBidi"/>
          <w:sz w:val="24"/>
          <w:szCs w:val="24"/>
          <w:lang w:val="en-US"/>
        </w:rPr>
        <w:t>T</w:t>
      </w:r>
      <w:r w:rsidRPr="00301BB7">
        <w:rPr>
          <w:rFonts w:asciiTheme="majorBidi" w:hAnsiTheme="majorBidi" w:cstheme="majorBidi"/>
          <w:sz w:val="24"/>
          <w:szCs w:val="24"/>
          <w:lang w:val="en-US"/>
        </w:rPr>
        <w:t xml:space="preserve">o consent to something, one must understand what this thing is. This is just to say that the person </w:t>
      </w:r>
      <w:r w:rsidR="000A4DB2" w:rsidRPr="00301BB7">
        <w:rPr>
          <w:rFonts w:asciiTheme="majorBidi" w:hAnsiTheme="majorBidi" w:cstheme="majorBidi"/>
          <w:sz w:val="24"/>
          <w:szCs w:val="24"/>
          <w:lang w:val="en-US"/>
        </w:rPr>
        <w:t>must</w:t>
      </w:r>
      <w:r w:rsidRPr="00301BB7">
        <w:rPr>
          <w:rFonts w:asciiTheme="majorBidi" w:hAnsiTheme="majorBidi" w:cstheme="majorBidi"/>
          <w:sz w:val="24"/>
          <w:szCs w:val="24"/>
          <w:lang w:val="en-US"/>
        </w:rPr>
        <w:t xml:space="preserve"> be informed about what she will be consenting to. One might wonder to what degree D has to understand what sex is to consent to it. There</w:t>
      </w:r>
      <w:r w:rsidR="00A95D7F">
        <w:rPr>
          <w:rFonts w:asciiTheme="majorBidi" w:hAnsiTheme="majorBidi" w:cstheme="majorBidi"/>
          <w:sz w:val="24"/>
          <w:szCs w:val="24"/>
          <w:lang w:val="en-US"/>
        </w:rPr>
        <w:t>’</w:t>
      </w:r>
      <w:r w:rsidRPr="00301BB7">
        <w:rPr>
          <w:rFonts w:asciiTheme="majorBidi" w:hAnsiTheme="majorBidi" w:cstheme="majorBidi"/>
          <w:sz w:val="24"/>
          <w:szCs w:val="24"/>
          <w:lang w:val="en-US"/>
        </w:rPr>
        <w:t xml:space="preserve">s </w:t>
      </w:r>
      <w:r w:rsidR="00133120">
        <w:rPr>
          <w:rFonts w:asciiTheme="majorBidi" w:hAnsiTheme="majorBidi" w:cstheme="majorBidi"/>
          <w:sz w:val="24"/>
          <w:szCs w:val="24"/>
          <w:lang w:val="en-US"/>
        </w:rPr>
        <w:t>no clear answer here</w:t>
      </w:r>
      <w:r w:rsidRPr="00301BB7">
        <w:rPr>
          <w:rFonts w:asciiTheme="majorBidi" w:hAnsiTheme="majorBidi" w:cstheme="majorBidi"/>
          <w:sz w:val="24"/>
          <w:szCs w:val="24"/>
          <w:lang w:val="en-US"/>
        </w:rPr>
        <w:t>. D must, at least, understand the nature and potential effects of the physical actions involved in the sexual acts that she consents to. So, she must know that intercourse involves penetration, etc.</w:t>
      </w:r>
      <w:r w:rsidR="00F17443">
        <w:rPr>
          <w:rFonts w:asciiTheme="majorBidi" w:hAnsiTheme="majorBidi" w:cstheme="majorBidi"/>
          <w:sz w:val="24"/>
          <w:szCs w:val="24"/>
          <w:lang w:val="en-US"/>
        </w:rPr>
        <w:t xml:space="preserve"> </w:t>
      </w:r>
    </w:p>
    <w:p w14:paraId="73A7B32F" w14:textId="7C464660" w:rsidR="00F17F49" w:rsidRPr="00301BB7" w:rsidRDefault="00F17F49" w:rsidP="003547E1">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lastRenderedPageBreak/>
        <w:t xml:space="preserve">Fourth, for her consent to be valid, D must have stable preferences </w:t>
      </w:r>
      <w:r w:rsidR="00CC11CD">
        <w:rPr>
          <w:rFonts w:asciiTheme="majorBidi" w:hAnsiTheme="majorBidi" w:cstheme="majorBidi"/>
          <w:sz w:val="24"/>
          <w:szCs w:val="24"/>
          <w:lang w:val="en-US"/>
        </w:rPr>
        <w:t xml:space="preserve">about sex. </w:t>
      </w:r>
      <w:r w:rsidRPr="00301BB7">
        <w:rPr>
          <w:rFonts w:asciiTheme="majorBidi" w:hAnsiTheme="majorBidi" w:cstheme="majorBidi"/>
          <w:sz w:val="24"/>
          <w:szCs w:val="24"/>
          <w:lang w:val="en-US"/>
        </w:rPr>
        <w:t>By ‘stable preferences,’ I mean preferences that are unlikely to change from moment to moment. If D’s wishes were to change frequently and quickly, it would be implausible to suggest that C could trust that D really wants to have sex at a given moment, as her wishes could easily change from one moment to the next. For D to give consent, her desire to have sex must not be subject to quick and unstable changes.</w:t>
      </w:r>
      <w:r w:rsidR="00CC11CD">
        <w:rPr>
          <w:rFonts w:asciiTheme="majorBidi" w:hAnsiTheme="majorBidi" w:cstheme="majorBidi"/>
          <w:sz w:val="24"/>
          <w:szCs w:val="24"/>
          <w:lang w:val="en-US"/>
        </w:rPr>
        <w:t xml:space="preserve"> To clarify, I am not saying that D must never lose her in the moment desire to have sex. People who do not have dementia can lose the, so to speak, mood and not want to have sex </w:t>
      </w:r>
      <w:r w:rsidR="00133120">
        <w:rPr>
          <w:rFonts w:asciiTheme="majorBidi" w:hAnsiTheme="majorBidi" w:cstheme="majorBidi"/>
          <w:sz w:val="24"/>
          <w:szCs w:val="24"/>
          <w:lang w:val="en-US"/>
        </w:rPr>
        <w:t>even if</w:t>
      </w:r>
      <w:r w:rsidR="00CC11CD">
        <w:rPr>
          <w:rFonts w:asciiTheme="majorBidi" w:hAnsiTheme="majorBidi" w:cstheme="majorBidi"/>
          <w:sz w:val="24"/>
          <w:szCs w:val="24"/>
          <w:lang w:val="en-US"/>
        </w:rPr>
        <w:t xml:space="preserve"> they wanted </w:t>
      </w:r>
      <w:r w:rsidR="00133120">
        <w:rPr>
          <w:rFonts w:asciiTheme="majorBidi" w:hAnsiTheme="majorBidi" w:cstheme="majorBidi"/>
          <w:sz w:val="24"/>
          <w:szCs w:val="24"/>
          <w:lang w:val="en-US"/>
        </w:rPr>
        <w:t xml:space="preserve">to </w:t>
      </w:r>
      <w:r w:rsidR="00CC11CD">
        <w:rPr>
          <w:rFonts w:asciiTheme="majorBidi" w:hAnsiTheme="majorBidi" w:cstheme="majorBidi"/>
          <w:sz w:val="24"/>
          <w:szCs w:val="24"/>
          <w:lang w:val="en-US"/>
        </w:rPr>
        <w:t>moments before. Instead, I mean that D’s background preferences regarding sex must be stable. It must be the case that D generally thinks that sex is something she wants to engage in. Of course, it still must also be the case that she desires to engage in sex in the moment of doing so.</w:t>
      </w:r>
    </w:p>
    <w:p w14:paraId="039200AC" w14:textId="77777777" w:rsidR="00F17F49" w:rsidRPr="00301BB7" w:rsidRDefault="00F17F49" w:rsidP="003547E1">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Fifth, for her consent to be valid, D must be able to express her wishes, meaning that she must have some way of signaling </w:t>
      </w:r>
      <w:r w:rsidRPr="00301BB7">
        <w:rPr>
          <w:rFonts w:asciiTheme="majorBidi" w:hAnsiTheme="majorBidi" w:cstheme="majorBidi"/>
          <w:i/>
          <w:iCs/>
          <w:sz w:val="24"/>
          <w:szCs w:val="24"/>
          <w:lang w:val="en-US"/>
        </w:rPr>
        <w:t>that</w:t>
      </w:r>
      <w:r w:rsidRPr="00301BB7">
        <w:rPr>
          <w:rFonts w:asciiTheme="majorBidi" w:hAnsiTheme="majorBidi" w:cstheme="majorBidi"/>
          <w:sz w:val="24"/>
          <w:szCs w:val="24"/>
          <w:lang w:val="en-US"/>
        </w:rPr>
        <w:t xml:space="preserve"> she consents and </w:t>
      </w:r>
      <w:r w:rsidRPr="00301BB7">
        <w:rPr>
          <w:rFonts w:asciiTheme="majorBidi" w:hAnsiTheme="majorBidi" w:cstheme="majorBidi"/>
          <w:i/>
          <w:iCs/>
          <w:sz w:val="24"/>
          <w:szCs w:val="24"/>
          <w:lang w:val="en-US"/>
        </w:rPr>
        <w:t>what</w:t>
      </w:r>
      <w:r w:rsidRPr="00301BB7">
        <w:rPr>
          <w:rFonts w:asciiTheme="majorBidi" w:hAnsiTheme="majorBidi" w:cstheme="majorBidi"/>
          <w:sz w:val="24"/>
          <w:szCs w:val="24"/>
          <w:lang w:val="en-US"/>
        </w:rPr>
        <w:t xml:space="preserve"> she is consenting to. Additionally, an important feature of D being able to express her wishes is that she can express her wish to not engage in sex or to withdraw consent during sex.</w:t>
      </w:r>
    </w:p>
    <w:p w14:paraId="46591D50" w14:textId="51B72C7E" w:rsidR="00F17F49" w:rsidRPr="00301BB7" w:rsidRDefault="00F17F49" w:rsidP="00B877AC">
      <w:pPr>
        <w:spacing w:line="480" w:lineRule="auto"/>
        <w:ind w:firstLine="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I take it that I have established the necessity of each condition of </w:t>
      </w:r>
      <w:r w:rsidR="00CC11CD">
        <w:rPr>
          <w:rFonts w:asciiTheme="majorBidi" w:hAnsiTheme="majorBidi" w:cstheme="majorBidi"/>
          <w:sz w:val="24"/>
          <w:szCs w:val="24"/>
          <w:lang w:val="en-US"/>
        </w:rPr>
        <w:t>DC</w:t>
      </w:r>
      <w:r w:rsidR="00133120">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It remains to be shown that these conditions </w:t>
      </w:r>
      <w:r w:rsidR="00CC11CD">
        <w:rPr>
          <w:rFonts w:asciiTheme="majorBidi" w:hAnsiTheme="majorBidi" w:cstheme="majorBidi"/>
          <w:sz w:val="24"/>
          <w:szCs w:val="24"/>
          <w:lang w:val="en-US"/>
        </w:rPr>
        <w:t xml:space="preserve">taken together are </w:t>
      </w:r>
      <w:r w:rsidRPr="00301BB7">
        <w:rPr>
          <w:rFonts w:asciiTheme="majorBidi" w:hAnsiTheme="majorBidi" w:cstheme="majorBidi"/>
          <w:sz w:val="24"/>
          <w:szCs w:val="24"/>
          <w:lang w:val="en-US"/>
        </w:rPr>
        <w:t xml:space="preserve">jointly sufficient for consent to sex. </w:t>
      </w:r>
      <w:r w:rsidR="00D9457C">
        <w:rPr>
          <w:rFonts w:asciiTheme="majorBidi" w:hAnsiTheme="majorBidi" w:cstheme="majorBidi"/>
          <w:sz w:val="24"/>
          <w:szCs w:val="24"/>
          <w:lang w:val="en-US"/>
        </w:rPr>
        <w:t xml:space="preserve">Given that I lack space to eliminate all other possible necessary conditions for D being competent, I will instead appeal to the plausibility of </w:t>
      </w:r>
      <w:r w:rsidR="00A42ED9">
        <w:rPr>
          <w:rFonts w:asciiTheme="majorBidi" w:hAnsiTheme="majorBidi" w:cstheme="majorBidi"/>
          <w:sz w:val="24"/>
          <w:szCs w:val="24"/>
          <w:lang w:val="en-US"/>
        </w:rPr>
        <w:t>DC</w:t>
      </w:r>
      <w:r w:rsidR="00133120">
        <w:rPr>
          <w:rFonts w:asciiTheme="majorBidi" w:hAnsiTheme="majorBidi" w:cstheme="majorBidi"/>
          <w:sz w:val="24"/>
          <w:szCs w:val="24"/>
          <w:lang w:val="en-US"/>
        </w:rPr>
        <w:t>S</w:t>
      </w:r>
      <w:r w:rsidR="00D9457C">
        <w:rPr>
          <w:rFonts w:asciiTheme="majorBidi" w:hAnsiTheme="majorBidi" w:cstheme="majorBidi"/>
          <w:sz w:val="24"/>
          <w:szCs w:val="24"/>
          <w:lang w:val="en-US"/>
        </w:rPr>
        <w:t xml:space="preserve">. All </w:t>
      </w:r>
      <w:r w:rsidR="00A42ED9">
        <w:rPr>
          <w:rFonts w:asciiTheme="majorBidi" w:hAnsiTheme="majorBidi" w:cstheme="majorBidi"/>
          <w:sz w:val="24"/>
          <w:szCs w:val="24"/>
          <w:lang w:val="en-US"/>
        </w:rPr>
        <w:t>DC</w:t>
      </w:r>
      <w:r w:rsidR="00133120">
        <w:rPr>
          <w:rFonts w:asciiTheme="majorBidi" w:hAnsiTheme="majorBidi" w:cstheme="majorBidi"/>
          <w:sz w:val="24"/>
          <w:szCs w:val="24"/>
          <w:lang w:val="en-US"/>
        </w:rPr>
        <w:t>S</w:t>
      </w:r>
      <w:r w:rsidR="00D9457C">
        <w:rPr>
          <w:rFonts w:asciiTheme="majorBidi" w:hAnsiTheme="majorBidi" w:cstheme="majorBidi"/>
          <w:sz w:val="24"/>
          <w:szCs w:val="24"/>
          <w:lang w:val="en-US"/>
        </w:rPr>
        <w:t xml:space="preserve"> claims is that if D </w:t>
      </w:r>
      <w:r w:rsidRPr="00D9457C">
        <w:rPr>
          <w:rFonts w:asciiTheme="majorBidi" w:hAnsiTheme="majorBidi" w:cstheme="majorBidi"/>
          <w:sz w:val="24"/>
          <w:szCs w:val="24"/>
          <w:lang w:val="en-US"/>
        </w:rPr>
        <w:t>has a sense of self, knows who she is having sex with, knows what sex is, and can stably express what she wants, then she is competent enough to have sex with her partner.</w:t>
      </w:r>
      <w:r w:rsidR="00D9457C">
        <w:rPr>
          <w:rFonts w:asciiTheme="majorBidi" w:hAnsiTheme="majorBidi" w:cstheme="majorBidi"/>
          <w:sz w:val="24"/>
          <w:szCs w:val="24"/>
          <w:lang w:val="en-US"/>
        </w:rPr>
        <w:t xml:space="preserve"> In general, if someone knows what they are doing, who they are doing it with</w:t>
      </w:r>
      <w:r w:rsidR="00B877AC">
        <w:rPr>
          <w:rFonts w:asciiTheme="majorBidi" w:hAnsiTheme="majorBidi" w:cstheme="majorBidi"/>
          <w:sz w:val="24"/>
          <w:szCs w:val="24"/>
          <w:lang w:val="en-US"/>
        </w:rPr>
        <w:t xml:space="preserve">, has stable preferences about the decision in question, and is </w:t>
      </w:r>
      <w:r w:rsidR="00B877AC">
        <w:rPr>
          <w:rFonts w:asciiTheme="majorBidi" w:hAnsiTheme="majorBidi" w:cstheme="majorBidi"/>
          <w:sz w:val="24"/>
          <w:szCs w:val="24"/>
          <w:lang w:val="en-US"/>
        </w:rPr>
        <w:lastRenderedPageBreak/>
        <w:t xml:space="preserve">neither deceived nor coerced, then this person should be able to do what she wants within that domain. </w:t>
      </w:r>
    </w:p>
    <w:p w14:paraId="53ABD973" w14:textId="664FF5F6" w:rsidR="00F17F49" w:rsidRPr="00301BB7" w:rsidRDefault="00F17F49" w:rsidP="00A42ED9">
      <w:pPr>
        <w:spacing w:line="480" w:lineRule="auto"/>
        <w:ind w:firstLine="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For now, I take it that </w:t>
      </w:r>
      <w:r w:rsidR="00A42ED9">
        <w:rPr>
          <w:rFonts w:asciiTheme="majorBidi" w:hAnsiTheme="majorBidi" w:cstheme="majorBidi"/>
          <w:sz w:val="24"/>
          <w:szCs w:val="24"/>
          <w:lang w:val="en-US"/>
        </w:rPr>
        <w:t>DC</w:t>
      </w:r>
      <w:r w:rsidR="00133120">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has been established as plausible. </w:t>
      </w:r>
      <w:r w:rsidR="00A42ED9">
        <w:rPr>
          <w:rFonts w:asciiTheme="majorBidi" w:hAnsiTheme="majorBidi" w:cstheme="majorBidi"/>
          <w:sz w:val="24"/>
          <w:szCs w:val="24"/>
          <w:lang w:val="en-US"/>
        </w:rPr>
        <w:t>I now turn to argue that DC</w:t>
      </w:r>
      <w:r w:rsidR="00133120">
        <w:rPr>
          <w:rFonts w:asciiTheme="majorBidi" w:hAnsiTheme="majorBidi" w:cstheme="majorBidi"/>
          <w:sz w:val="24"/>
          <w:szCs w:val="24"/>
          <w:lang w:val="en-US"/>
        </w:rPr>
        <w:t>S</w:t>
      </w:r>
      <w:r w:rsidR="00A42ED9">
        <w:rPr>
          <w:rFonts w:asciiTheme="majorBidi" w:hAnsiTheme="majorBidi" w:cstheme="majorBidi"/>
          <w:sz w:val="24"/>
          <w:szCs w:val="24"/>
          <w:lang w:val="en-US"/>
        </w:rPr>
        <w:t xml:space="preserve"> is empirically true of people with mild to severe dementia. Here</w:t>
      </w:r>
      <w:r w:rsidRPr="00301BB7">
        <w:rPr>
          <w:rFonts w:asciiTheme="majorBidi" w:hAnsiTheme="majorBidi" w:cstheme="majorBidi"/>
          <w:sz w:val="24"/>
          <w:szCs w:val="24"/>
          <w:lang w:val="en-US"/>
        </w:rPr>
        <w:t>, I outline empirical evidence that people at varying stages of dementia satisfy these conditions. I mainly draw empirical evidence from three studies.</w:t>
      </w:r>
      <w:r w:rsidRPr="00301BB7">
        <w:rPr>
          <w:rStyle w:val="FootnoteReference"/>
          <w:rFonts w:asciiTheme="majorBidi" w:hAnsiTheme="majorBidi" w:cstheme="majorBidi"/>
          <w:sz w:val="24"/>
          <w:szCs w:val="24"/>
          <w:lang w:val="en-US"/>
        </w:rPr>
        <w:footnoteReference w:id="14"/>
      </w:r>
      <w:r w:rsidRPr="00301BB7">
        <w:rPr>
          <w:rFonts w:asciiTheme="majorBidi" w:hAnsiTheme="majorBidi" w:cstheme="majorBidi"/>
          <w:sz w:val="24"/>
          <w:szCs w:val="24"/>
          <w:lang w:val="en-US"/>
        </w:rPr>
        <w:t xml:space="preserve"> In these studies, individuals with varying levels of dementia were asked fact-based questions (questions about their lives, such as their birthday, how many children they have, etc.) and state-dependent questions (questions about their preferences, opinions, etc.). They were asked the same questions </w:t>
      </w:r>
      <w:r w:rsidR="00096E50">
        <w:rPr>
          <w:rFonts w:asciiTheme="majorBidi" w:hAnsiTheme="majorBidi" w:cstheme="majorBidi"/>
          <w:sz w:val="24"/>
          <w:szCs w:val="24"/>
          <w:lang w:val="en-US"/>
        </w:rPr>
        <w:t xml:space="preserve">typically a week </w:t>
      </w:r>
      <w:r w:rsidR="00096E50" w:rsidRPr="00301BB7">
        <w:rPr>
          <w:rFonts w:asciiTheme="majorBidi" w:hAnsiTheme="majorBidi" w:cstheme="majorBidi"/>
          <w:sz w:val="24"/>
          <w:szCs w:val="24"/>
          <w:lang w:val="en-US"/>
        </w:rPr>
        <w:t>later</w:t>
      </w:r>
      <w:r w:rsidRPr="00301BB7">
        <w:rPr>
          <w:rFonts w:asciiTheme="majorBidi" w:hAnsiTheme="majorBidi" w:cstheme="majorBidi"/>
          <w:sz w:val="24"/>
          <w:szCs w:val="24"/>
          <w:lang w:val="en-US"/>
        </w:rPr>
        <w:t xml:space="preserve"> to check for consistency </w:t>
      </w:r>
      <w:r w:rsidR="00FB5A4C">
        <w:rPr>
          <w:rFonts w:asciiTheme="majorBidi" w:hAnsiTheme="majorBidi" w:cstheme="majorBidi"/>
          <w:sz w:val="24"/>
          <w:szCs w:val="24"/>
          <w:lang w:val="en-US"/>
        </w:rPr>
        <w:t xml:space="preserve">and accuracy </w:t>
      </w:r>
      <w:r w:rsidRPr="00301BB7">
        <w:rPr>
          <w:rFonts w:asciiTheme="majorBidi" w:hAnsiTheme="majorBidi" w:cstheme="majorBidi"/>
          <w:sz w:val="24"/>
          <w:szCs w:val="24"/>
          <w:lang w:val="en-US"/>
        </w:rPr>
        <w:t>between their answers at the first and second interview</w:t>
      </w:r>
      <w:r w:rsidR="00096E50">
        <w:rPr>
          <w:rFonts w:asciiTheme="majorBidi" w:hAnsiTheme="majorBidi" w:cstheme="majorBidi"/>
          <w:sz w:val="24"/>
          <w:szCs w:val="24"/>
          <w:lang w:val="en-US"/>
        </w:rPr>
        <w:t>s</w:t>
      </w:r>
      <w:r w:rsidRPr="00301BB7">
        <w:rPr>
          <w:rFonts w:asciiTheme="majorBidi" w:hAnsiTheme="majorBidi" w:cstheme="majorBidi"/>
          <w:sz w:val="24"/>
          <w:szCs w:val="24"/>
          <w:lang w:val="en-US"/>
        </w:rPr>
        <w:t>.</w:t>
      </w:r>
    </w:p>
    <w:p w14:paraId="02C1F855" w14:textId="1CC5CB4C" w:rsidR="00F17F49" w:rsidRPr="00301BB7" w:rsidRDefault="00F17F49" w:rsidP="003547E1">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These studies refer to an individual’s MMSE score. The MMSE (Mini-Mental State Exam) is a test used to assess competence across seven different measures.</w:t>
      </w:r>
      <w:r w:rsidRPr="00301BB7">
        <w:rPr>
          <w:rStyle w:val="FootnoteReference"/>
          <w:rFonts w:asciiTheme="majorBidi" w:hAnsiTheme="majorBidi" w:cstheme="majorBidi"/>
          <w:sz w:val="24"/>
          <w:szCs w:val="24"/>
          <w:lang w:val="en-US"/>
        </w:rPr>
        <w:footnoteReference w:id="15"/>
      </w:r>
      <w:r w:rsidRPr="00301BB7">
        <w:rPr>
          <w:rFonts w:asciiTheme="majorBidi" w:hAnsiTheme="majorBidi" w:cstheme="majorBidi"/>
          <w:sz w:val="24"/>
          <w:szCs w:val="24"/>
          <w:lang w:val="en-US"/>
        </w:rPr>
        <w:t xml:space="preserve"> </w:t>
      </w:r>
      <w:r w:rsidR="00781AD3" w:rsidRPr="00781AD3">
        <w:rPr>
          <w:rFonts w:asciiTheme="majorBidi" w:hAnsiTheme="majorBidi" w:cstheme="majorBidi"/>
          <w:sz w:val="24"/>
          <w:szCs w:val="24"/>
          <w:lang w:val="en-US"/>
        </w:rPr>
        <w:t>I am not using the MMSE as a test for determining an individual’s capacity to consent. There is compelling evidence that the MMSE should not be used in this way.</w:t>
      </w:r>
      <w:r w:rsidR="00A428A9">
        <w:rPr>
          <w:rStyle w:val="FootnoteReference"/>
          <w:rFonts w:asciiTheme="majorBidi" w:hAnsiTheme="majorBidi" w:cstheme="majorBidi"/>
          <w:sz w:val="24"/>
          <w:szCs w:val="24"/>
          <w:lang w:val="en-US"/>
        </w:rPr>
        <w:footnoteReference w:id="16"/>
      </w:r>
      <w:r w:rsidR="00781AD3" w:rsidRPr="00781AD3">
        <w:rPr>
          <w:rFonts w:asciiTheme="majorBidi" w:hAnsiTheme="majorBidi" w:cstheme="majorBidi"/>
          <w:sz w:val="24"/>
          <w:szCs w:val="24"/>
          <w:lang w:val="en-US"/>
        </w:rPr>
        <w:t xml:space="preserve"> Instead, I use the MMSE as an approximation of different levels of impairment among individuals</w:t>
      </w:r>
      <w:r w:rsidR="003C41C5">
        <w:rPr>
          <w:rFonts w:asciiTheme="majorBidi" w:hAnsiTheme="majorBidi" w:cstheme="majorBidi"/>
          <w:sz w:val="24"/>
          <w:szCs w:val="24"/>
          <w:lang w:val="en-US"/>
        </w:rPr>
        <w:t xml:space="preserve"> with dementia</w:t>
      </w:r>
      <w:r w:rsidR="00781AD3" w:rsidRPr="00781AD3">
        <w:rPr>
          <w:rFonts w:asciiTheme="majorBidi" w:hAnsiTheme="majorBidi" w:cstheme="majorBidi"/>
          <w:sz w:val="24"/>
          <w:szCs w:val="24"/>
          <w:lang w:val="en-US"/>
        </w:rPr>
        <w:t xml:space="preserve">, which the test is well-equipped to do. </w:t>
      </w:r>
      <w:r w:rsidRPr="00301BB7">
        <w:rPr>
          <w:rFonts w:asciiTheme="majorBidi" w:hAnsiTheme="majorBidi" w:cstheme="majorBidi"/>
          <w:sz w:val="24"/>
          <w:szCs w:val="24"/>
          <w:lang w:val="en-US"/>
        </w:rPr>
        <w:t xml:space="preserve">The test has a maximum score of 30. Score ranges </w:t>
      </w:r>
      <w:r w:rsidR="00751A4A">
        <w:rPr>
          <w:rFonts w:asciiTheme="majorBidi" w:hAnsiTheme="majorBidi" w:cstheme="majorBidi"/>
          <w:sz w:val="24"/>
          <w:szCs w:val="24"/>
          <w:lang w:val="en-US"/>
        </w:rPr>
        <w:t>can be</w:t>
      </w:r>
      <w:r w:rsidRPr="00301BB7">
        <w:rPr>
          <w:rFonts w:asciiTheme="majorBidi" w:hAnsiTheme="majorBidi" w:cstheme="majorBidi"/>
          <w:sz w:val="24"/>
          <w:szCs w:val="24"/>
          <w:lang w:val="en-US"/>
        </w:rPr>
        <w:t xml:space="preserve"> used to classify levels of dementia. Different studies set the ranges slightly differently, but they are all in rough agreement about how many points on the MMSE correlate with certain levels of dementia.</w:t>
      </w:r>
      <w:r w:rsidRPr="00301BB7">
        <w:rPr>
          <w:rStyle w:val="FootnoteReference"/>
          <w:rFonts w:asciiTheme="majorBidi" w:hAnsiTheme="majorBidi" w:cstheme="majorBidi"/>
          <w:sz w:val="24"/>
          <w:szCs w:val="24"/>
          <w:lang w:val="en-US"/>
        </w:rPr>
        <w:footnoteReference w:id="17"/>
      </w:r>
      <w:r w:rsidRPr="00301BB7">
        <w:rPr>
          <w:rFonts w:asciiTheme="majorBidi" w:hAnsiTheme="majorBidi" w:cstheme="majorBidi"/>
          <w:sz w:val="24"/>
          <w:szCs w:val="24"/>
          <w:lang w:val="en-US"/>
        </w:rPr>
        <w:t xml:space="preserve"> For </w:t>
      </w:r>
      <w:r w:rsidRPr="00301BB7">
        <w:rPr>
          <w:rFonts w:asciiTheme="majorBidi" w:hAnsiTheme="majorBidi" w:cstheme="majorBidi"/>
          <w:sz w:val="24"/>
          <w:szCs w:val="24"/>
          <w:lang w:val="en-US"/>
        </w:rPr>
        <w:lastRenderedPageBreak/>
        <w:t>clarity, I follow Clark, who sets the ranges as follows: a person with a score of 27-30 has very little impairment, 23-26 has mild impairment, 18-22 has moderate impairment, and 13-17 has severe impairment.</w:t>
      </w:r>
      <w:r w:rsidRPr="00301BB7">
        <w:rPr>
          <w:rStyle w:val="FootnoteReference"/>
          <w:rFonts w:asciiTheme="majorBidi" w:hAnsiTheme="majorBidi" w:cstheme="majorBidi"/>
          <w:sz w:val="24"/>
          <w:szCs w:val="24"/>
          <w:lang w:val="en-US"/>
        </w:rPr>
        <w:footnoteReference w:id="18"/>
      </w:r>
      <w:r w:rsidRPr="00301BB7">
        <w:rPr>
          <w:rFonts w:asciiTheme="majorBidi" w:hAnsiTheme="majorBidi" w:cstheme="majorBidi"/>
          <w:sz w:val="24"/>
          <w:szCs w:val="24"/>
          <w:lang w:val="en-US"/>
        </w:rPr>
        <w:t xml:space="preserve"> When I </w:t>
      </w:r>
      <w:r w:rsidR="00FB5A4C">
        <w:rPr>
          <w:rFonts w:asciiTheme="majorBidi" w:hAnsiTheme="majorBidi" w:cstheme="majorBidi"/>
          <w:sz w:val="24"/>
          <w:szCs w:val="24"/>
          <w:lang w:val="en-US"/>
        </w:rPr>
        <w:t>discuss</w:t>
      </w:r>
      <w:r w:rsidRPr="00301BB7">
        <w:rPr>
          <w:rFonts w:asciiTheme="majorBidi" w:hAnsiTheme="majorBidi" w:cstheme="majorBidi"/>
          <w:sz w:val="24"/>
          <w:szCs w:val="24"/>
          <w:lang w:val="en-US"/>
        </w:rPr>
        <w:t xml:space="preserve"> levels of dementia, it correspond</w:t>
      </w:r>
      <w:r w:rsidR="00FB5A4C">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roughly to this range. </w:t>
      </w:r>
    </w:p>
    <w:p w14:paraId="70A1FCF5" w14:textId="1582785F" w:rsidR="00A42ED9" w:rsidRPr="00A42ED9" w:rsidRDefault="00FB5A4C" w:rsidP="00A42ED9">
      <w:pPr>
        <w:spacing w:line="480" w:lineRule="auto"/>
        <w:ind w:firstLine="720"/>
        <w:contextualSpacing/>
        <w:rPr>
          <w:rFonts w:asciiTheme="majorBidi" w:hAnsiTheme="majorBidi" w:cstheme="majorBidi"/>
          <w:sz w:val="24"/>
          <w:szCs w:val="24"/>
          <w:lang w:val="en-US"/>
        </w:rPr>
      </w:pPr>
      <w:r>
        <w:rPr>
          <w:rFonts w:asciiTheme="majorBidi" w:hAnsiTheme="majorBidi" w:cstheme="majorBidi"/>
          <w:sz w:val="24"/>
          <w:szCs w:val="24"/>
          <w:lang w:val="en-US"/>
        </w:rPr>
        <w:t>I</w:t>
      </w:r>
      <w:r w:rsidR="00F17F49" w:rsidRPr="00301BB7">
        <w:rPr>
          <w:rFonts w:asciiTheme="majorBidi" w:hAnsiTheme="majorBidi" w:cstheme="majorBidi"/>
          <w:sz w:val="24"/>
          <w:szCs w:val="24"/>
          <w:lang w:val="en-US"/>
        </w:rPr>
        <w:t>t is worth noting some broad conclusions from these studies. These studies find that individuals with varying levels of dementia can give consistent (the same from interview 1 to 2) and accurate (factually correct) answers to both factual questions about their lives and to questions about their state of mind.</w:t>
      </w:r>
      <w:r w:rsidR="00F17F49" w:rsidRPr="00301BB7">
        <w:rPr>
          <w:rStyle w:val="FootnoteReference"/>
          <w:rFonts w:asciiTheme="majorBidi" w:hAnsiTheme="majorBidi" w:cstheme="majorBidi"/>
          <w:sz w:val="24"/>
          <w:szCs w:val="24"/>
          <w:lang w:val="en-US"/>
        </w:rPr>
        <w:footnoteReference w:id="19"/>
      </w:r>
      <w:r w:rsidR="00F17F49" w:rsidRPr="00301BB7">
        <w:rPr>
          <w:rFonts w:asciiTheme="majorBidi" w:hAnsiTheme="majorBidi" w:cstheme="majorBidi"/>
          <w:sz w:val="24"/>
          <w:szCs w:val="24"/>
          <w:lang w:val="en-US"/>
        </w:rPr>
        <w:t xml:space="preserve">  As Clark says, individuals with dementia “were able to provide consistent responses to fact-based questions…[with] near perfect agreement between Part 1 and Part 2 responses,” with 79-96% of  respondents answering nearly all questions consistently.</w:t>
      </w:r>
      <w:r w:rsidR="00F17F49" w:rsidRPr="00301BB7">
        <w:rPr>
          <w:rStyle w:val="FootnoteReference"/>
          <w:rFonts w:asciiTheme="majorBidi" w:hAnsiTheme="majorBidi" w:cstheme="majorBidi"/>
          <w:sz w:val="24"/>
          <w:szCs w:val="24"/>
          <w:lang w:val="en-US"/>
        </w:rPr>
        <w:footnoteReference w:id="20"/>
      </w:r>
      <w:r w:rsidR="00F17F49" w:rsidRPr="00301BB7">
        <w:rPr>
          <w:rFonts w:asciiTheme="majorBidi" w:hAnsiTheme="majorBidi" w:cstheme="majorBidi"/>
          <w:sz w:val="24"/>
          <w:szCs w:val="24"/>
          <w:lang w:val="en-US"/>
        </w:rPr>
        <w:t xml:space="preserve"> Clark also finds that individuals with dementia “provided accurate responses to nine fact-based demographic questions,” with “five of the nine questions (birth day, birth month, birth year, siblings, and marital status)” at near perfect accuracy.</w:t>
      </w:r>
      <w:r w:rsidR="00F17F49" w:rsidRPr="00301BB7">
        <w:rPr>
          <w:rStyle w:val="FootnoteReference"/>
          <w:rFonts w:asciiTheme="majorBidi" w:hAnsiTheme="majorBidi" w:cstheme="majorBidi"/>
          <w:sz w:val="24"/>
          <w:szCs w:val="24"/>
          <w:lang w:val="en-US"/>
        </w:rPr>
        <w:footnoteReference w:id="21"/>
      </w:r>
      <w:r w:rsidR="00F17F49" w:rsidRPr="00301BB7">
        <w:rPr>
          <w:rFonts w:asciiTheme="majorBidi" w:hAnsiTheme="majorBidi" w:cstheme="majorBidi"/>
          <w:sz w:val="24"/>
          <w:szCs w:val="24"/>
          <w:lang w:val="en-US"/>
        </w:rPr>
        <w:t xml:space="preserve"> Feinberg adds to this, finding that individuals “with the lowest MMSE scores [i.e. people with severe dementia] responded accurately to nearly all questions at both Time 1 and Time 2”</w:t>
      </w:r>
      <w:r w:rsidR="00F17F49" w:rsidRPr="00301BB7">
        <w:rPr>
          <w:rStyle w:val="FootnoteReference"/>
          <w:rFonts w:asciiTheme="majorBidi" w:hAnsiTheme="majorBidi" w:cstheme="majorBidi"/>
          <w:sz w:val="24"/>
          <w:szCs w:val="24"/>
          <w:lang w:val="en-US"/>
        </w:rPr>
        <w:footnoteReference w:id="22"/>
      </w:r>
      <w:r w:rsidR="00F17F49" w:rsidRPr="00301BB7">
        <w:rPr>
          <w:rFonts w:asciiTheme="majorBidi" w:hAnsiTheme="majorBidi" w:cstheme="majorBidi"/>
          <w:sz w:val="24"/>
          <w:szCs w:val="24"/>
          <w:lang w:val="en-US"/>
        </w:rPr>
        <w:t xml:space="preserve"> These results show that individuals with even severe dementia can consistently and accurately answer questions about their lives and mental states.  With these overall results noted, I now show evidence that individuals at varying levels of dementia satisfy each condition of competence from </w:t>
      </w:r>
      <w:r w:rsidR="00A42ED9">
        <w:rPr>
          <w:rFonts w:asciiTheme="majorBidi" w:hAnsiTheme="majorBidi" w:cstheme="majorBidi"/>
          <w:sz w:val="24"/>
          <w:szCs w:val="24"/>
          <w:lang w:val="en-US"/>
        </w:rPr>
        <w:t>DC</w:t>
      </w:r>
      <w:r w:rsidR="00FB40EA">
        <w:rPr>
          <w:rFonts w:asciiTheme="majorBidi" w:hAnsiTheme="majorBidi" w:cstheme="majorBidi"/>
          <w:sz w:val="24"/>
          <w:szCs w:val="24"/>
          <w:lang w:val="en-US"/>
        </w:rPr>
        <w:t>S</w:t>
      </w:r>
      <w:r w:rsidR="00F17F49" w:rsidRPr="00301BB7">
        <w:rPr>
          <w:rFonts w:asciiTheme="majorBidi" w:hAnsiTheme="majorBidi" w:cstheme="majorBidi"/>
          <w:sz w:val="24"/>
          <w:szCs w:val="24"/>
          <w:lang w:val="en-US"/>
        </w:rPr>
        <w:t>.</w:t>
      </w:r>
    </w:p>
    <w:p w14:paraId="40725426" w14:textId="7D131FAD" w:rsidR="00A42ED9" w:rsidRPr="00301BB7" w:rsidRDefault="00F17F49" w:rsidP="00A42ED9">
      <w:pPr>
        <w:spacing w:before="360" w:after="120" w:line="480" w:lineRule="auto"/>
        <w:rPr>
          <w:rFonts w:asciiTheme="majorBidi" w:hAnsiTheme="majorBidi" w:cstheme="majorBidi"/>
          <w:i/>
          <w:iCs/>
          <w:sz w:val="24"/>
          <w:szCs w:val="24"/>
          <w:lang w:val="en-US"/>
        </w:rPr>
      </w:pPr>
      <w:r w:rsidRPr="00301BB7">
        <w:rPr>
          <w:rFonts w:asciiTheme="majorBidi" w:hAnsiTheme="majorBidi" w:cstheme="majorBidi"/>
          <w:i/>
          <w:iCs/>
          <w:sz w:val="24"/>
          <w:szCs w:val="24"/>
          <w:lang w:val="en-US"/>
        </w:rPr>
        <w:lastRenderedPageBreak/>
        <w:t>D knows who she is:</w:t>
      </w:r>
    </w:p>
    <w:p w14:paraId="31C3805F" w14:textId="77777777" w:rsidR="00A42ED9" w:rsidRDefault="00F17F49" w:rsidP="00A42ED9">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Individuals at all levels of dementia retain their sense of self</w:t>
      </w:r>
      <w:r w:rsidR="00314BEE">
        <w:rPr>
          <w:rFonts w:asciiTheme="majorBidi" w:hAnsiTheme="majorBidi" w:cstheme="majorBidi"/>
          <w:sz w:val="24"/>
          <w:szCs w:val="24"/>
          <w:lang w:val="en-US"/>
        </w:rPr>
        <w:t>, understood as a continuity of consciousness</w:t>
      </w:r>
      <w:r w:rsidRPr="00301BB7">
        <w:rPr>
          <w:rFonts w:asciiTheme="majorBidi" w:hAnsiTheme="majorBidi" w:cstheme="majorBidi"/>
          <w:sz w:val="24"/>
          <w:szCs w:val="24"/>
          <w:lang w:val="en-US"/>
        </w:rPr>
        <w:t>. As Feinberg says, “a growing body of research suggests that people with dementia retain a sense of self, despite cognitive impairment, into the late stages of the illness.”</w:t>
      </w:r>
      <w:r w:rsidRPr="00301BB7">
        <w:rPr>
          <w:rStyle w:val="FootnoteReference"/>
          <w:rFonts w:asciiTheme="majorBidi" w:hAnsiTheme="majorBidi" w:cstheme="majorBidi"/>
          <w:sz w:val="24"/>
          <w:szCs w:val="24"/>
          <w:lang w:val="en-US"/>
        </w:rPr>
        <w:footnoteReference w:id="23"/>
      </w:r>
      <w:r w:rsidRPr="00301BB7">
        <w:rPr>
          <w:rFonts w:asciiTheme="majorBidi" w:hAnsiTheme="majorBidi" w:cstheme="majorBidi"/>
          <w:sz w:val="24"/>
          <w:szCs w:val="24"/>
          <w:lang w:val="en-US"/>
        </w:rPr>
        <w:t xml:space="preserve"> This is further evidenced by the fact that (as discussed below), individuals at all stages of dementia accurately remember key facts about their lives, suggesting that they remember who they are. Clark finds that, for even the most impaired individuals, 88% accurately recall their birthdays, 93% accurately recall their birth month, 83% accurately remember if they have siblings, 88% accurately remember if they are married, and 83% accurately remember if they have children.</w:t>
      </w:r>
      <w:r w:rsidRPr="00301BB7">
        <w:rPr>
          <w:rStyle w:val="FootnoteReference"/>
          <w:rFonts w:asciiTheme="majorBidi" w:hAnsiTheme="majorBidi" w:cstheme="majorBidi"/>
          <w:sz w:val="24"/>
          <w:szCs w:val="24"/>
          <w:lang w:val="en-US"/>
        </w:rPr>
        <w:footnoteReference w:id="24"/>
      </w:r>
      <w:r w:rsidRPr="00301BB7">
        <w:rPr>
          <w:rFonts w:asciiTheme="majorBidi" w:hAnsiTheme="majorBidi" w:cstheme="majorBidi"/>
          <w:sz w:val="24"/>
          <w:szCs w:val="24"/>
          <w:lang w:val="en-US"/>
        </w:rPr>
        <w:t xml:space="preserve"> These numbers increase with less impaired individuals.</w:t>
      </w:r>
      <w:r w:rsidR="00FB5A4C">
        <w:rPr>
          <w:rFonts w:asciiTheme="majorBidi" w:hAnsiTheme="majorBidi" w:cstheme="majorBidi"/>
          <w:sz w:val="24"/>
          <w:szCs w:val="24"/>
          <w:lang w:val="en-US"/>
        </w:rPr>
        <w:t xml:space="preserve"> E</w:t>
      </w:r>
      <w:r w:rsidRPr="00301BB7">
        <w:rPr>
          <w:rFonts w:asciiTheme="majorBidi" w:hAnsiTheme="majorBidi" w:cstheme="majorBidi"/>
          <w:sz w:val="24"/>
          <w:szCs w:val="24"/>
          <w:lang w:val="en-US"/>
        </w:rPr>
        <w:t>ven people with severe dementia accurately remember facts about their lives, suggesting they know who they are.</w:t>
      </w:r>
    </w:p>
    <w:p w14:paraId="1936D884" w14:textId="753FEBED" w:rsidR="00F17F49" w:rsidRPr="00A42ED9" w:rsidRDefault="00F17F49" w:rsidP="00A42ED9">
      <w:pPr>
        <w:spacing w:before="360" w:line="480" w:lineRule="auto"/>
        <w:rPr>
          <w:rFonts w:asciiTheme="majorBidi" w:hAnsiTheme="majorBidi" w:cstheme="majorBidi"/>
          <w:sz w:val="24"/>
          <w:szCs w:val="24"/>
          <w:lang w:val="en-US"/>
        </w:rPr>
      </w:pPr>
      <w:r w:rsidRPr="00301BB7">
        <w:rPr>
          <w:rFonts w:asciiTheme="majorBidi" w:hAnsiTheme="majorBidi" w:cstheme="majorBidi"/>
          <w:i/>
          <w:iCs/>
          <w:sz w:val="24"/>
          <w:szCs w:val="24"/>
          <w:lang w:val="en-US"/>
        </w:rPr>
        <w:t>D knows who C is:</w:t>
      </w:r>
    </w:p>
    <w:p w14:paraId="684404AB" w14:textId="2EBC50B9" w:rsidR="00E23866" w:rsidRPr="009E52EF" w:rsidRDefault="00F17F49" w:rsidP="006C6C54">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Individuals at all stages of dementia can correctly answer questions about their marital status. Clark finds that 100% of individuals with very little impairment can correctly remember their marital status and that 88% of individuals with severe impairment can correctly report their marital status.</w:t>
      </w:r>
      <w:r w:rsidRPr="00301BB7">
        <w:rPr>
          <w:rStyle w:val="FootnoteReference"/>
          <w:rFonts w:asciiTheme="majorBidi" w:hAnsiTheme="majorBidi" w:cstheme="majorBidi"/>
          <w:sz w:val="24"/>
          <w:szCs w:val="24"/>
          <w:lang w:val="en-US"/>
        </w:rPr>
        <w:footnoteReference w:id="25"/>
      </w:r>
      <w:r w:rsidRPr="00301BB7">
        <w:rPr>
          <w:rFonts w:asciiTheme="majorBidi" w:hAnsiTheme="majorBidi" w:cstheme="majorBidi"/>
          <w:sz w:val="24"/>
          <w:szCs w:val="24"/>
          <w:lang w:val="en-US"/>
        </w:rPr>
        <w:t xml:space="preserve"> In terms of consistency, </w:t>
      </w:r>
      <w:proofErr w:type="spellStart"/>
      <w:r w:rsidRPr="00301BB7">
        <w:rPr>
          <w:rFonts w:asciiTheme="majorBidi" w:hAnsiTheme="majorBidi" w:cstheme="majorBidi"/>
          <w:sz w:val="24"/>
          <w:szCs w:val="24"/>
          <w:lang w:val="en-US"/>
        </w:rPr>
        <w:t>Whitlatch</w:t>
      </w:r>
      <w:proofErr w:type="spellEnd"/>
      <w:r w:rsidRPr="00301BB7">
        <w:rPr>
          <w:rFonts w:asciiTheme="majorBidi" w:hAnsiTheme="majorBidi" w:cstheme="majorBidi"/>
          <w:sz w:val="24"/>
          <w:szCs w:val="24"/>
          <w:lang w:val="en-US"/>
        </w:rPr>
        <w:t xml:space="preserve"> finds that 93% of individuals with severe to moderate dementia give consistent answers from time 1 to time 2 to questions about their marital status.</w:t>
      </w:r>
      <w:r w:rsidRPr="00301BB7">
        <w:rPr>
          <w:rStyle w:val="FootnoteReference"/>
          <w:rFonts w:asciiTheme="majorBidi" w:hAnsiTheme="majorBidi" w:cstheme="majorBidi"/>
          <w:sz w:val="24"/>
          <w:szCs w:val="24"/>
          <w:lang w:val="en-US"/>
        </w:rPr>
        <w:footnoteReference w:id="26"/>
      </w:r>
      <w:r w:rsidRPr="00301BB7">
        <w:rPr>
          <w:rFonts w:asciiTheme="majorBidi" w:hAnsiTheme="majorBidi" w:cstheme="majorBidi"/>
          <w:sz w:val="24"/>
          <w:szCs w:val="24"/>
          <w:lang w:val="en-US"/>
        </w:rPr>
        <w:t xml:space="preserve"> Overall, even individuals with severe dementia know that they are married. Knowing that one is married is different from knowing who one’s spouse is. However, given the evidence that even severely impaired individuals can accurately recall facts about their life, it seems likely that </w:t>
      </w:r>
      <w:r w:rsidRPr="00301BB7">
        <w:rPr>
          <w:rFonts w:asciiTheme="majorBidi" w:hAnsiTheme="majorBidi" w:cstheme="majorBidi"/>
          <w:sz w:val="24"/>
          <w:szCs w:val="24"/>
          <w:lang w:val="en-US"/>
        </w:rPr>
        <w:lastRenderedPageBreak/>
        <w:t xml:space="preserve">these individuals remember both that they are married and who they are married to. </w:t>
      </w:r>
      <w:r w:rsidR="00E23866">
        <w:rPr>
          <w:rFonts w:asciiTheme="majorBidi" w:hAnsiTheme="majorBidi" w:cstheme="majorBidi"/>
          <w:sz w:val="24"/>
          <w:szCs w:val="24"/>
          <w:lang w:val="en-US"/>
        </w:rPr>
        <w:t>I</w:t>
      </w:r>
      <w:r w:rsidRPr="00301BB7">
        <w:rPr>
          <w:rFonts w:asciiTheme="majorBidi" w:hAnsiTheme="majorBidi" w:cstheme="majorBidi"/>
          <w:sz w:val="24"/>
          <w:szCs w:val="24"/>
          <w:lang w:val="en-US"/>
        </w:rPr>
        <w:t>t is unlikely that D could recall that she is married, when she was born, how many children she has, etc., while not remembering who her spouse is.</w:t>
      </w:r>
      <w:r w:rsidR="00D22FCE">
        <w:rPr>
          <w:rStyle w:val="FootnoteReference"/>
          <w:rFonts w:asciiTheme="majorBidi" w:hAnsiTheme="majorBidi" w:cstheme="majorBidi"/>
          <w:sz w:val="24"/>
          <w:szCs w:val="24"/>
          <w:lang w:val="en-US"/>
        </w:rPr>
        <w:footnoteReference w:id="27"/>
      </w:r>
    </w:p>
    <w:p w14:paraId="3BD2DC31" w14:textId="6478F170" w:rsidR="00F17F49" w:rsidRPr="00301BB7" w:rsidRDefault="00F17F49" w:rsidP="00A42ED9">
      <w:pPr>
        <w:spacing w:before="360" w:line="480" w:lineRule="auto"/>
        <w:rPr>
          <w:rFonts w:asciiTheme="majorBidi" w:hAnsiTheme="majorBidi" w:cstheme="majorBidi"/>
          <w:i/>
          <w:iCs/>
          <w:sz w:val="24"/>
          <w:szCs w:val="24"/>
          <w:lang w:val="en-US"/>
        </w:rPr>
      </w:pPr>
      <w:r w:rsidRPr="00301BB7">
        <w:rPr>
          <w:rFonts w:asciiTheme="majorBidi" w:hAnsiTheme="majorBidi" w:cstheme="majorBidi"/>
          <w:i/>
          <w:iCs/>
          <w:sz w:val="24"/>
          <w:szCs w:val="24"/>
          <w:lang w:val="en-US"/>
        </w:rPr>
        <w:t>D understands what sex is:</w:t>
      </w:r>
    </w:p>
    <w:p w14:paraId="23561194" w14:textId="10B5A286" w:rsidR="00F17F49" w:rsidRPr="00301BB7" w:rsidRDefault="00F17F49" w:rsidP="003547E1">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None of the research I cite directly addresses what individuals with dementia understand about sex. However, based on what has been shown, we can establish that even individuals with severe dementia understand what sex is. Individuals with dementia want to have sex. As Ballard found in interviews with </w:t>
      </w:r>
      <w:r w:rsidR="003C41C5">
        <w:rPr>
          <w:rFonts w:asciiTheme="majorBidi" w:hAnsiTheme="majorBidi" w:cstheme="majorBidi"/>
          <w:sz w:val="24"/>
          <w:szCs w:val="24"/>
          <w:lang w:val="en-US"/>
        </w:rPr>
        <w:t xml:space="preserve">patients with </w:t>
      </w:r>
      <w:r w:rsidRPr="00301BB7">
        <w:rPr>
          <w:rFonts w:asciiTheme="majorBidi" w:hAnsiTheme="majorBidi" w:cstheme="majorBidi"/>
          <w:sz w:val="24"/>
          <w:szCs w:val="24"/>
          <w:lang w:val="en-US"/>
        </w:rPr>
        <w:t>mild to moderate</w:t>
      </w:r>
      <w:r w:rsidR="003C41C5">
        <w:rPr>
          <w:rFonts w:asciiTheme="majorBidi" w:hAnsiTheme="majorBidi" w:cstheme="majorBidi"/>
          <w:sz w:val="24"/>
          <w:szCs w:val="24"/>
          <w:lang w:val="en-US"/>
        </w:rPr>
        <w:t xml:space="preserve"> dementia</w:t>
      </w:r>
      <w:r w:rsidRPr="00301BB7">
        <w:rPr>
          <w:rFonts w:asciiTheme="majorBidi" w:hAnsiTheme="majorBidi" w:cstheme="majorBidi"/>
          <w:sz w:val="24"/>
          <w:szCs w:val="24"/>
          <w:lang w:val="en-US"/>
        </w:rPr>
        <w:t xml:space="preserve"> and their partners, “22.5% of the couples continued to have an active sexual relationship. All the partners continuing to have a sexual relationship reported that they were satisfied with the situation and thought that their partners were also satisfied.”</w:t>
      </w:r>
      <w:r w:rsidRPr="00301BB7">
        <w:rPr>
          <w:rStyle w:val="FootnoteReference"/>
          <w:rFonts w:asciiTheme="majorBidi" w:hAnsiTheme="majorBidi" w:cstheme="majorBidi"/>
          <w:sz w:val="24"/>
          <w:szCs w:val="24"/>
          <w:lang w:val="en-US"/>
        </w:rPr>
        <w:footnoteReference w:id="28"/>
      </w:r>
      <w:r w:rsidRPr="00301BB7">
        <w:rPr>
          <w:rFonts w:asciiTheme="majorBidi" w:hAnsiTheme="majorBidi" w:cstheme="majorBidi"/>
          <w:sz w:val="24"/>
          <w:szCs w:val="24"/>
          <w:lang w:val="en-US"/>
        </w:rPr>
        <w:t xml:space="preserve"> Essentially, individuals with dementia still want to have sex and can report on their levels of </w:t>
      </w:r>
      <w:r w:rsidR="00783BDE">
        <w:rPr>
          <w:rFonts w:asciiTheme="majorBidi" w:hAnsiTheme="majorBidi" w:cstheme="majorBidi"/>
          <w:sz w:val="24"/>
          <w:szCs w:val="24"/>
          <w:lang w:val="en-US"/>
        </w:rPr>
        <w:t xml:space="preserve">sexual </w:t>
      </w:r>
      <w:r w:rsidRPr="00301BB7">
        <w:rPr>
          <w:rFonts w:asciiTheme="majorBidi" w:hAnsiTheme="majorBidi" w:cstheme="majorBidi"/>
          <w:sz w:val="24"/>
          <w:szCs w:val="24"/>
          <w:lang w:val="en-US"/>
        </w:rPr>
        <w:t>satisfaction.</w:t>
      </w:r>
      <w:r w:rsidR="00EA3FCC">
        <w:rPr>
          <w:rStyle w:val="FootnoteReference"/>
          <w:rFonts w:asciiTheme="majorBidi" w:hAnsiTheme="majorBidi" w:cstheme="majorBidi"/>
          <w:sz w:val="24"/>
          <w:szCs w:val="24"/>
          <w:lang w:val="en-US"/>
        </w:rPr>
        <w:footnoteReference w:id="29"/>
      </w:r>
      <w:r w:rsidRPr="00301BB7">
        <w:rPr>
          <w:rFonts w:asciiTheme="majorBidi" w:hAnsiTheme="majorBidi" w:cstheme="majorBidi"/>
          <w:sz w:val="24"/>
          <w:szCs w:val="24"/>
          <w:lang w:val="en-US"/>
        </w:rPr>
        <w:t xml:space="preserve"> If D can report on her satisfaction with sex, it is safe to say that D knows what sex is. D cannot desire to have sex nor report her satisfaction with it without having a basic understanding of what sex is. </w:t>
      </w:r>
      <w:r w:rsidR="00783BDE">
        <w:rPr>
          <w:rFonts w:asciiTheme="majorBidi" w:hAnsiTheme="majorBidi" w:cstheme="majorBidi"/>
          <w:sz w:val="24"/>
          <w:szCs w:val="24"/>
          <w:lang w:val="en-US"/>
        </w:rPr>
        <w:t>As a further argument,</w:t>
      </w:r>
      <w:r w:rsidRPr="00301BB7">
        <w:rPr>
          <w:rFonts w:asciiTheme="majorBidi" w:hAnsiTheme="majorBidi" w:cstheme="majorBidi"/>
          <w:sz w:val="24"/>
          <w:szCs w:val="24"/>
          <w:lang w:val="en-US"/>
        </w:rPr>
        <w:t xml:space="preserve"> </w:t>
      </w:r>
      <w:r w:rsidR="00783BDE">
        <w:rPr>
          <w:rFonts w:asciiTheme="majorBidi" w:hAnsiTheme="majorBidi" w:cstheme="majorBidi"/>
          <w:sz w:val="24"/>
          <w:szCs w:val="24"/>
          <w:lang w:val="en-US"/>
        </w:rPr>
        <w:t>e</w:t>
      </w:r>
      <w:r w:rsidRPr="00301BB7">
        <w:rPr>
          <w:rFonts w:asciiTheme="majorBidi" w:hAnsiTheme="majorBidi" w:cstheme="majorBidi"/>
          <w:sz w:val="24"/>
          <w:szCs w:val="24"/>
          <w:lang w:val="en-US"/>
        </w:rPr>
        <w:t xml:space="preserve">ven individuals with severe dementia understand questions that involve concepts </w:t>
      </w:r>
      <w:r w:rsidR="00783BDE">
        <w:rPr>
          <w:rFonts w:asciiTheme="majorBidi" w:hAnsiTheme="majorBidi" w:cstheme="majorBidi"/>
          <w:sz w:val="24"/>
          <w:szCs w:val="24"/>
          <w:lang w:val="en-US"/>
        </w:rPr>
        <w:t>like</w:t>
      </w:r>
      <w:r w:rsidRPr="00301BB7">
        <w:rPr>
          <w:rFonts w:asciiTheme="majorBidi" w:hAnsiTheme="majorBidi" w:cstheme="majorBidi"/>
          <w:sz w:val="24"/>
          <w:szCs w:val="24"/>
          <w:lang w:val="en-US"/>
        </w:rPr>
        <w:t xml:space="preserve"> siblings, children, education, etc. These concepts aren’t substantially more complex than the basic concept of sex. </w:t>
      </w:r>
      <w:r w:rsidR="00783BDE">
        <w:rPr>
          <w:rFonts w:asciiTheme="majorBidi" w:hAnsiTheme="majorBidi" w:cstheme="majorBidi"/>
          <w:sz w:val="24"/>
          <w:szCs w:val="24"/>
          <w:lang w:val="en-US"/>
        </w:rPr>
        <w:t>I</w:t>
      </w:r>
      <w:r w:rsidR="00AE290D">
        <w:rPr>
          <w:rFonts w:asciiTheme="majorBidi" w:hAnsiTheme="majorBidi" w:cstheme="majorBidi"/>
          <w:sz w:val="24"/>
          <w:szCs w:val="24"/>
          <w:lang w:val="en-US"/>
        </w:rPr>
        <w:t xml:space="preserve">f one can understand that another person has the same parents as them, it’s not a big leap to think that this person can understand that sex involves activity with one’s sexual organs. </w:t>
      </w:r>
      <w:r w:rsidRPr="00301BB7">
        <w:rPr>
          <w:rFonts w:asciiTheme="majorBidi" w:hAnsiTheme="majorBidi" w:cstheme="majorBidi"/>
          <w:sz w:val="24"/>
          <w:szCs w:val="24"/>
          <w:lang w:val="en-US"/>
        </w:rPr>
        <w:t xml:space="preserve">Thus, if individuals </w:t>
      </w:r>
      <w:r w:rsidRPr="00301BB7">
        <w:rPr>
          <w:rFonts w:asciiTheme="majorBidi" w:hAnsiTheme="majorBidi" w:cstheme="majorBidi"/>
          <w:sz w:val="24"/>
          <w:szCs w:val="24"/>
          <w:lang w:val="en-US"/>
        </w:rPr>
        <w:lastRenderedPageBreak/>
        <w:t xml:space="preserve">with severe dementia understand these concepts enough to give consistent and accurate answers to questions about them, then they </w:t>
      </w:r>
      <w:r w:rsidR="00783BDE">
        <w:rPr>
          <w:rFonts w:asciiTheme="majorBidi" w:hAnsiTheme="majorBidi" w:cstheme="majorBidi"/>
          <w:sz w:val="24"/>
          <w:szCs w:val="24"/>
          <w:lang w:val="en-US"/>
        </w:rPr>
        <w:t>likely</w:t>
      </w:r>
      <w:r w:rsidRPr="00301BB7">
        <w:rPr>
          <w:rFonts w:asciiTheme="majorBidi" w:hAnsiTheme="majorBidi" w:cstheme="majorBidi"/>
          <w:sz w:val="24"/>
          <w:szCs w:val="24"/>
          <w:lang w:val="en-US"/>
        </w:rPr>
        <w:t xml:space="preserve"> understand what sex is. </w:t>
      </w:r>
      <w:r w:rsidR="00F47B5F" w:rsidRPr="00F47B5F">
        <w:rPr>
          <w:rFonts w:asciiTheme="majorBidi" w:hAnsiTheme="majorBidi" w:cstheme="majorBidi"/>
          <w:sz w:val="24"/>
          <w:szCs w:val="24"/>
          <w:u w:val="single"/>
          <w:lang w:val="en-US"/>
        </w:rPr>
        <w:t xml:space="preserve">Additionally, I want to make it clear that I am not merely discussing consent to genetical contact but instead mean to be arguing that D can understand sexual intimacy broadly construed (including </w:t>
      </w:r>
      <w:proofErr w:type="gramStart"/>
      <w:r w:rsidR="00F47B5F" w:rsidRPr="00F47B5F">
        <w:rPr>
          <w:rFonts w:asciiTheme="majorBidi" w:hAnsiTheme="majorBidi" w:cstheme="majorBidi"/>
          <w:sz w:val="24"/>
          <w:szCs w:val="24"/>
          <w:u w:val="single"/>
          <w:lang w:val="en-US"/>
        </w:rPr>
        <w:t>hand-holding</w:t>
      </w:r>
      <w:proofErr w:type="gramEnd"/>
      <w:r w:rsidR="00F47B5F" w:rsidRPr="00F47B5F">
        <w:rPr>
          <w:rFonts w:asciiTheme="majorBidi" w:hAnsiTheme="majorBidi" w:cstheme="majorBidi"/>
          <w:sz w:val="24"/>
          <w:szCs w:val="24"/>
          <w:u w:val="single"/>
          <w:lang w:val="en-US"/>
        </w:rPr>
        <w:t>, cuddling, kissing, etc.).</w:t>
      </w:r>
      <w:r w:rsidR="00F47B5F">
        <w:rPr>
          <w:rFonts w:asciiTheme="majorBidi" w:hAnsiTheme="majorBidi" w:cstheme="majorBidi"/>
          <w:sz w:val="24"/>
          <w:szCs w:val="24"/>
          <w:lang w:val="en-US"/>
        </w:rPr>
        <w:t xml:space="preserve"> </w:t>
      </w:r>
      <w:r w:rsidRPr="00301BB7">
        <w:rPr>
          <w:rFonts w:asciiTheme="majorBidi" w:hAnsiTheme="majorBidi" w:cstheme="majorBidi"/>
          <w:sz w:val="24"/>
          <w:szCs w:val="24"/>
          <w:lang w:val="en-US"/>
        </w:rPr>
        <w:t xml:space="preserve">Lastly, there is evidence that individuals </w:t>
      </w:r>
      <w:r w:rsidR="003C41C5">
        <w:rPr>
          <w:rFonts w:asciiTheme="majorBidi" w:hAnsiTheme="majorBidi" w:cstheme="majorBidi"/>
          <w:sz w:val="24"/>
          <w:szCs w:val="24"/>
          <w:lang w:val="en-US"/>
        </w:rPr>
        <w:t xml:space="preserve">with dementia </w:t>
      </w:r>
      <w:r w:rsidRPr="00301BB7">
        <w:rPr>
          <w:rFonts w:asciiTheme="majorBidi" w:hAnsiTheme="majorBidi" w:cstheme="majorBidi"/>
          <w:sz w:val="24"/>
          <w:szCs w:val="24"/>
          <w:lang w:val="en-US"/>
        </w:rPr>
        <w:t>can understand and express their preferences about their medical care. As Feinberg says, “persons with dementia possess sufficient capacity to state specific preferences and make care-related decisions.”</w:t>
      </w:r>
      <w:r w:rsidRPr="00301BB7">
        <w:rPr>
          <w:rStyle w:val="FootnoteReference"/>
          <w:rFonts w:asciiTheme="majorBidi" w:hAnsiTheme="majorBidi" w:cstheme="majorBidi"/>
          <w:sz w:val="24"/>
          <w:szCs w:val="24"/>
          <w:lang w:val="en-US"/>
        </w:rPr>
        <w:footnoteReference w:id="30"/>
      </w:r>
      <w:r w:rsidRPr="00301BB7">
        <w:rPr>
          <w:rFonts w:asciiTheme="majorBidi" w:hAnsiTheme="majorBidi" w:cstheme="majorBidi"/>
          <w:sz w:val="24"/>
          <w:szCs w:val="24"/>
          <w:lang w:val="en-US"/>
        </w:rPr>
        <w:t xml:space="preserve"> If D understands questions about medical care, then D </w:t>
      </w:r>
      <w:r w:rsidR="00783BDE">
        <w:rPr>
          <w:rFonts w:asciiTheme="majorBidi" w:hAnsiTheme="majorBidi" w:cstheme="majorBidi"/>
          <w:sz w:val="24"/>
          <w:szCs w:val="24"/>
          <w:lang w:val="en-US"/>
        </w:rPr>
        <w:t>likely</w:t>
      </w:r>
      <w:r w:rsidRPr="00301BB7">
        <w:rPr>
          <w:rFonts w:asciiTheme="majorBidi" w:hAnsiTheme="majorBidi" w:cstheme="majorBidi"/>
          <w:sz w:val="24"/>
          <w:szCs w:val="24"/>
          <w:lang w:val="en-US"/>
        </w:rPr>
        <w:t xml:space="preserve"> understand</w:t>
      </w:r>
      <w:r w:rsidR="00783BDE">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what sex is.</w:t>
      </w:r>
    </w:p>
    <w:p w14:paraId="37ED2312" w14:textId="2AF06C56" w:rsidR="00F17F49" w:rsidRPr="00301BB7" w:rsidRDefault="00F17F49" w:rsidP="00A42ED9">
      <w:pPr>
        <w:spacing w:before="360" w:line="480" w:lineRule="auto"/>
        <w:rPr>
          <w:rFonts w:asciiTheme="majorBidi" w:hAnsiTheme="majorBidi" w:cstheme="majorBidi"/>
          <w:i/>
          <w:iCs/>
          <w:sz w:val="24"/>
          <w:szCs w:val="24"/>
          <w:lang w:val="en-US"/>
        </w:rPr>
      </w:pPr>
      <w:r w:rsidRPr="00301BB7">
        <w:rPr>
          <w:rFonts w:asciiTheme="majorBidi" w:hAnsiTheme="majorBidi" w:cstheme="majorBidi"/>
          <w:i/>
          <w:iCs/>
          <w:sz w:val="24"/>
          <w:szCs w:val="24"/>
          <w:lang w:val="en-US"/>
        </w:rPr>
        <w:t>D can express her wishes:</w:t>
      </w:r>
    </w:p>
    <w:p w14:paraId="1F674E3F" w14:textId="7DFD820D" w:rsidR="00F17F49" w:rsidRPr="00301BB7" w:rsidRDefault="00F17F49" w:rsidP="003547E1">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Individuals with dementia can express their wishes. Feinberg says that “individuals who are mildly to moderately cognitively impaired can articulate their feelings, concerns, and preferences and provide self-assessments of their health and quality of life.”</w:t>
      </w:r>
      <w:r w:rsidRPr="00301BB7">
        <w:rPr>
          <w:rStyle w:val="FootnoteReference"/>
          <w:rFonts w:asciiTheme="majorBidi" w:hAnsiTheme="majorBidi" w:cstheme="majorBidi"/>
          <w:sz w:val="24"/>
          <w:szCs w:val="24"/>
          <w:lang w:val="en-US"/>
        </w:rPr>
        <w:footnoteReference w:id="31"/>
      </w:r>
      <w:r w:rsidRPr="00301BB7">
        <w:rPr>
          <w:rFonts w:asciiTheme="majorBidi" w:hAnsiTheme="majorBidi" w:cstheme="majorBidi"/>
          <w:sz w:val="24"/>
          <w:szCs w:val="24"/>
          <w:lang w:val="en-US"/>
        </w:rPr>
        <w:t xml:space="preserve"> The empirical research (cited earlier) shows that individuals at all stages of dementia consistently and accurately respond to questions about their preferences and mental states, showing that they can express their wishes/desires. Additionally, an important part of D’s ability to express her wishes is that she can say ‘no’ both before and during sex. Buckles interviewed individuals with mild to moderate dementia to determine what they understand about consent; he found that “at least 90% of individuals in all groups answered correctly [‘yes’]” when asked, if they knew that they could “choose to stop answering our [the interviewer’s] questions at any time.”</w:t>
      </w:r>
      <w:r w:rsidRPr="00301BB7">
        <w:rPr>
          <w:rStyle w:val="FootnoteReference"/>
          <w:rFonts w:asciiTheme="majorBidi" w:hAnsiTheme="majorBidi" w:cstheme="majorBidi"/>
          <w:sz w:val="24"/>
          <w:szCs w:val="24"/>
          <w:lang w:val="en-US"/>
        </w:rPr>
        <w:footnoteReference w:id="32"/>
      </w:r>
      <w:r w:rsidRPr="00301BB7">
        <w:rPr>
          <w:rFonts w:asciiTheme="majorBidi" w:hAnsiTheme="majorBidi" w:cstheme="majorBidi"/>
          <w:sz w:val="24"/>
          <w:szCs w:val="24"/>
          <w:lang w:val="en-US"/>
        </w:rPr>
        <w:t xml:space="preserve"> This suggests that they understand that they can opt out of situations that they don’t like.</w:t>
      </w:r>
      <w:r w:rsidR="001324ED">
        <w:rPr>
          <w:rFonts w:asciiTheme="majorBidi" w:hAnsiTheme="majorBidi" w:cstheme="majorBidi"/>
          <w:sz w:val="24"/>
          <w:szCs w:val="24"/>
          <w:lang w:val="en-US"/>
        </w:rPr>
        <w:t xml:space="preserve"> </w:t>
      </w:r>
    </w:p>
    <w:p w14:paraId="59317F28" w14:textId="0ED3397F" w:rsidR="00F17F49" w:rsidRPr="00301BB7" w:rsidRDefault="00F17F49" w:rsidP="00A42ED9">
      <w:pPr>
        <w:spacing w:before="360" w:line="480" w:lineRule="auto"/>
        <w:rPr>
          <w:rFonts w:asciiTheme="majorBidi" w:hAnsiTheme="majorBidi" w:cstheme="majorBidi"/>
          <w:i/>
          <w:iCs/>
          <w:sz w:val="24"/>
          <w:szCs w:val="24"/>
          <w:lang w:val="en-US"/>
        </w:rPr>
      </w:pPr>
      <w:r w:rsidRPr="00301BB7">
        <w:rPr>
          <w:rFonts w:asciiTheme="majorBidi" w:hAnsiTheme="majorBidi" w:cstheme="majorBidi"/>
          <w:i/>
          <w:iCs/>
          <w:sz w:val="24"/>
          <w:szCs w:val="24"/>
          <w:lang w:val="en-US"/>
        </w:rPr>
        <w:lastRenderedPageBreak/>
        <w:t>D has stable preferences:</w:t>
      </w:r>
    </w:p>
    <w:p w14:paraId="5AE80B2E" w14:textId="787C42EF" w:rsidR="00F17F49" w:rsidRPr="00301BB7" w:rsidRDefault="00F17F49" w:rsidP="003547E1">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Individuals at all levels of dementia provide consistent answers to questions about their preferences. As Clark says, individuals with dementia gave identical answers at interview 1 and 2 to 81% of state-dependent questions.</w:t>
      </w:r>
      <w:r w:rsidRPr="00301BB7">
        <w:rPr>
          <w:rStyle w:val="FootnoteReference"/>
          <w:rFonts w:asciiTheme="majorBidi" w:hAnsiTheme="majorBidi" w:cstheme="majorBidi"/>
          <w:sz w:val="24"/>
          <w:szCs w:val="24"/>
          <w:lang w:val="en-US"/>
        </w:rPr>
        <w:footnoteReference w:id="33"/>
      </w:r>
      <w:r w:rsidRPr="00301BB7">
        <w:rPr>
          <w:rFonts w:asciiTheme="majorBidi" w:hAnsiTheme="majorBidi" w:cstheme="majorBidi"/>
          <w:sz w:val="24"/>
          <w:szCs w:val="24"/>
          <w:lang w:val="en-US"/>
        </w:rPr>
        <w:t xml:space="preserve"> This extends to individuals in later stages of dementia. </w:t>
      </w:r>
      <w:proofErr w:type="spellStart"/>
      <w:r w:rsidRPr="00301BB7">
        <w:rPr>
          <w:rFonts w:asciiTheme="majorBidi" w:hAnsiTheme="majorBidi" w:cstheme="majorBidi"/>
          <w:sz w:val="24"/>
          <w:szCs w:val="24"/>
          <w:lang w:val="en-US"/>
        </w:rPr>
        <w:t>Whitlatch</w:t>
      </w:r>
      <w:proofErr w:type="spellEnd"/>
      <w:r w:rsidRPr="00301BB7">
        <w:rPr>
          <w:rFonts w:asciiTheme="majorBidi" w:hAnsiTheme="majorBidi" w:cstheme="majorBidi"/>
          <w:sz w:val="24"/>
          <w:szCs w:val="24"/>
          <w:lang w:val="en-US"/>
        </w:rPr>
        <w:t xml:space="preserve"> finds that 90% of people with dementia give the same answer from interview 1 to 2 when asked if they like to watch television, 73% give the same answer when asked if they prefer winter to summer, etc.</w:t>
      </w:r>
      <w:r w:rsidRPr="00301BB7">
        <w:rPr>
          <w:rStyle w:val="FootnoteReference"/>
          <w:rFonts w:asciiTheme="majorBidi" w:hAnsiTheme="majorBidi" w:cstheme="majorBidi"/>
          <w:sz w:val="24"/>
          <w:szCs w:val="24"/>
          <w:lang w:val="en-US"/>
        </w:rPr>
        <w:footnoteReference w:id="34"/>
      </w:r>
      <w:r w:rsidRPr="00301BB7">
        <w:rPr>
          <w:rFonts w:asciiTheme="majorBidi" w:hAnsiTheme="majorBidi" w:cstheme="majorBidi"/>
          <w:sz w:val="24"/>
          <w:szCs w:val="24"/>
          <w:lang w:val="en-US"/>
        </w:rPr>
        <w:t xml:space="preserve"> It seems clear that preference</w:t>
      </w:r>
      <w:r w:rsidR="00FF36A4">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w:t>
      </w:r>
      <w:r w:rsidR="00FF36A4">
        <w:rPr>
          <w:rFonts w:asciiTheme="majorBidi" w:hAnsiTheme="majorBidi" w:cstheme="majorBidi"/>
          <w:sz w:val="24"/>
          <w:szCs w:val="24"/>
          <w:lang w:val="en-US"/>
        </w:rPr>
        <w:t>are</w:t>
      </w:r>
      <w:r w:rsidRPr="00301BB7">
        <w:rPr>
          <w:rFonts w:asciiTheme="majorBidi" w:hAnsiTheme="majorBidi" w:cstheme="majorBidi"/>
          <w:sz w:val="24"/>
          <w:szCs w:val="24"/>
          <w:lang w:val="en-US"/>
        </w:rPr>
        <w:t xml:space="preserve"> stable if </w:t>
      </w:r>
      <w:r w:rsidR="00FF36A4">
        <w:rPr>
          <w:rFonts w:asciiTheme="majorBidi" w:hAnsiTheme="majorBidi" w:cstheme="majorBidi"/>
          <w:sz w:val="24"/>
          <w:szCs w:val="24"/>
          <w:lang w:val="en-US"/>
        </w:rPr>
        <w:t>they</w:t>
      </w:r>
      <w:r w:rsidRPr="00301BB7">
        <w:rPr>
          <w:rFonts w:asciiTheme="majorBidi" w:hAnsiTheme="majorBidi" w:cstheme="majorBidi"/>
          <w:sz w:val="24"/>
          <w:szCs w:val="24"/>
          <w:lang w:val="en-US"/>
        </w:rPr>
        <w:t xml:space="preserve"> can be replicated a week later. </w:t>
      </w:r>
    </w:p>
    <w:p w14:paraId="29F5A3FA" w14:textId="666D1225" w:rsidR="00F17F49" w:rsidRDefault="00F17F49" w:rsidP="00B42C2B">
      <w:pPr>
        <w:spacing w:line="480" w:lineRule="auto"/>
        <w:ind w:firstLine="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With </w:t>
      </w:r>
      <w:r w:rsidR="00FF36A4" w:rsidRPr="00301BB7">
        <w:rPr>
          <w:rFonts w:asciiTheme="majorBidi" w:hAnsiTheme="majorBidi" w:cstheme="majorBidi"/>
          <w:sz w:val="24"/>
          <w:szCs w:val="24"/>
          <w:lang w:val="en-US"/>
        </w:rPr>
        <w:t>all</w:t>
      </w:r>
      <w:r w:rsidRPr="00301BB7">
        <w:rPr>
          <w:rFonts w:asciiTheme="majorBidi" w:hAnsiTheme="majorBidi" w:cstheme="majorBidi"/>
          <w:sz w:val="24"/>
          <w:szCs w:val="24"/>
          <w:lang w:val="en-US"/>
        </w:rPr>
        <w:t xml:space="preserve"> this evidence stated, I conclude that the five conditions of </w:t>
      </w:r>
      <w:r w:rsidR="00A42ED9">
        <w:rPr>
          <w:rFonts w:asciiTheme="majorBidi" w:hAnsiTheme="majorBidi" w:cstheme="majorBidi"/>
          <w:sz w:val="24"/>
          <w:szCs w:val="24"/>
          <w:lang w:val="en-US"/>
        </w:rPr>
        <w:t>DC</w:t>
      </w:r>
      <w:r w:rsidR="008B6A62">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apply to D, meaning that </w:t>
      </w:r>
      <w:r w:rsidR="00A42ED9">
        <w:rPr>
          <w:rFonts w:asciiTheme="majorBidi" w:hAnsiTheme="majorBidi" w:cstheme="majorBidi"/>
          <w:sz w:val="24"/>
          <w:szCs w:val="24"/>
          <w:lang w:val="en-US"/>
        </w:rPr>
        <w:t xml:space="preserve">people with mild to severe dementia can give valid consent to sex. Of course, it’s not enough </w:t>
      </w:r>
      <w:r w:rsidRPr="00301BB7">
        <w:rPr>
          <w:rFonts w:asciiTheme="majorBidi" w:hAnsiTheme="majorBidi" w:cstheme="majorBidi"/>
          <w:sz w:val="24"/>
          <w:szCs w:val="24"/>
          <w:lang w:val="en-US"/>
        </w:rPr>
        <w:t xml:space="preserve">to establish that D is sufficiently competent to consent. It must also be true that C is capable of justifiably believing this. </w:t>
      </w:r>
      <w:r w:rsidR="00B42C2B">
        <w:rPr>
          <w:rFonts w:asciiTheme="majorBidi" w:hAnsiTheme="majorBidi" w:cstheme="majorBidi"/>
          <w:sz w:val="24"/>
          <w:szCs w:val="24"/>
          <w:lang w:val="en-US"/>
        </w:rPr>
        <w:t>I</w:t>
      </w:r>
      <w:r w:rsidRPr="00301BB7">
        <w:rPr>
          <w:rFonts w:asciiTheme="majorBidi" w:hAnsiTheme="majorBidi" w:cstheme="majorBidi"/>
          <w:sz w:val="24"/>
          <w:szCs w:val="24"/>
          <w:lang w:val="en-US"/>
        </w:rPr>
        <w:t xml:space="preserve">f C can, with a reasonable amount of justification, believe that D satisfies the conditions of </w:t>
      </w:r>
      <w:r w:rsidR="00B42C2B">
        <w:rPr>
          <w:rFonts w:asciiTheme="majorBidi" w:hAnsiTheme="majorBidi" w:cstheme="majorBidi"/>
          <w:sz w:val="24"/>
          <w:szCs w:val="24"/>
          <w:lang w:val="en-US"/>
        </w:rPr>
        <w:t>DC</w:t>
      </w:r>
      <w:r w:rsidR="008B6A62">
        <w:rPr>
          <w:rFonts w:asciiTheme="majorBidi" w:hAnsiTheme="majorBidi" w:cstheme="majorBidi"/>
          <w:sz w:val="24"/>
          <w:szCs w:val="24"/>
          <w:lang w:val="en-US"/>
        </w:rPr>
        <w:t>S</w:t>
      </w:r>
      <w:r w:rsidRPr="00301BB7">
        <w:rPr>
          <w:rFonts w:asciiTheme="majorBidi" w:hAnsiTheme="majorBidi" w:cstheme="majorBidi"/>
          <w:sz w:val="24"/>
          <w:szCs w:val="24"/>
          <w:lang w:val="en-US"/>
        </w:rPr>
        <w:t xml:space="preserve">, and if D says ‘yes’ to sex with C, then </w:t>
      </w:r>
      <w:r w:rsidR="00B42C2B">
        <w:rPr>
          <w:rFonts w:asciiTheme="majorBidi" w:hAnsiTheme="majorBidi" w:cstheme="majorBidi"/>
          <w:sz w:val="24"/>
          <w:szCs w:val="24"/>
          <w:lang w:val="en-US"/>
        </w:rPr>
        <w:t xml:space="preserve">it seems that </w:t>
      </w:r>
      <w:r w:rsidRPr="00301BB7">
        <w:rPr>
          <w:rFonts w:asciiTheme="majorBidi" w:hAnsiTheme="majorBidi" w:cstheme="majorBidi"/>
          <w:sz w:val="24"/>
          <w:szCs w:val="24"/>
          <w:lang w:val="en-US"/>
        </w:rPr>
        <w:t>C may permissibly act on D’s consent.</w:t>
      </w:r>
      <w:r w:rsidR="00B42C2B">
        <w:rPr>
          <w:rFonts w:asciiTheme="majorBidi" w:hAnsiTheme="majorBidi" w:cstheme="majorBidi"/>
          <w:sz w:val="24"/>
          <w:szCs w:val="24"/>
          <w:lang w:val="en-US"/>
        </w:rPr>
        <w:t xml:space="preserve"> </w:t>
      </w:r>
      <w:r w:rsidRPr="00301BB7">
        <w:rPr>
          <w:rFonts w:asciiTheme="majorBidi" w:hAnsiTheme="majorBidi" w:cstheme="majorBidi"/>
          <w:i/>
          <w:iCs/>
          <w:sz w:val="24"/>
          <w:szCs w:val="24"/>
          <w:lang w:val="en-US"/>
        </w:rPr>
        <w:t>Knowledge</w:t>
      </w:r>
      <w:r w:rsidRPr="00301BB7">
        <w:rPr>
          <w:rFonts w:asciiTheme="majorBidi" w:hAnsiTheme="majorBidi" w:cstheme="majorBidi"/>
          <w:sz w:val="24"/>
          <w:szCs w:val="24"/>
          <w:lang w:val="en-US"/>
        </w:rPr>
        <w:t xml:space="preserve"> of ability to consent isn’t required to act on another person’s token of consent. </w:t>
      </w:r>
      <w:r w:rsidRPr="00301BB7">
        <w:rPr>
          <w:rFonts w:asciiTheme="majorBidi" w:hAnsiTheme="majorBidi" w:cstheme="majorBidi"/>
          <w:i/>
          <w:iCs/>
          <w:sz w:val="24"/>
          <w:szCs w:val="24"/>
          <w:lang w:val="en-US"/>
        </w:rPr>
        <w:t>Justified belief</w:t>
      </w:r>
      <w:r w:rsidRPr="00301BB7">
        <w:rPr>
          <w:rFonts w:asciiTheme="majorBidi" w:hAnsiTheme="majorBidi" w:cstheme="majorBidi"/>
          <w:sz w:val="24"/>
          <w:szCs w:val="24"/>
          <w:lang w:val="en-US"/>
        </w:rPr>
        <w:t xml:space="preserve"> is sufficient.</w:t>
      </w:r>
      <w:r w:rsidR="0044586D">
        <w:rPr>
          <w:rStyle w:val="FootnoteReference"/>
          <w:rFonts w:asciiTheme="majorBidi" w:hAnsiTheme="majorBidi" w:cstheme="majorBidi"/>
          <w:sz w:val="24"/>
          <w:szCs w:val="24"/>
          <w:lang w:val="en-US"/>
        </w:rPr>
        <w:footnoteReference w:id="35"/>
      </w:r>
      <w:r w:rsidRPr="00301BB7">
        <w:rPr>
          <w:rFonts w:asciiTheme="majorBidi" w:hAnsiTheme="majorBidi" w:cstheme="majorBidi"/>
          <w:sz w:val="24"/>
          <w:szCs w:val="24"/>
          <w:lang w:val="en-US"/>
        </w:rPr>
        <w:t xml:space="preserve"> I see no reason to change the standard here. </w:t>
      </w:r>
      <w:proofErr w:type="gramStart"/>
      <w:r w:rsidRPr="00301BB7">
        <w:rPr>
          <w:rFonts w:asciiTheme="majorBidi" w:hAnsiTheme="majorBidi" w:cstheme="majorBidi"/>
          <w:sz w:val="24"/>
          <w:szCs w:val="24"/>
          <w:lang w:val="en-US"/>
        </w:rPr>
        <w:t>Assuming that</w:t>
      </w:r>
      <w:proofErr w:type="gramEnd"/>
      <w:r w:rsidRPr="00301BB7">
        <w:rPr>
          <w:rFonts w:asciiTheme="majorBidi" w:hAnsiTheme="majorBidi" w:cstheme="majorBidi"/>
          <w:sz w:val="24"/>
          <w:szCs w:val="24"/>
          <w:lang w:val="en-US"/>
        </w:rPr>
        <w:t xml:space="preserve"> D asks for sex</w:t>
      </w:r>
      <w:r w:rsidR="00FF36A4">
        <w:rPr>
          <w:rFonts w:asciiTheme="majorBidi" w:hAnsiTheme="majorBidi" w:cstheme="majorBidi"/>
          <w:sz w:val="24"/>
          <w:szCs w:val="24"/>
          <w:lang w:val="en-US"/>
        </w:rPr>
        <w:t xml:space="preserve">, </w:t>
      </w:r>
      <w:r w:rsidRPr="00301BB7">
        <w:rPr>
          <w:rFonts w:asciiTheme="majorBidi" w:hAnsiTheme="majorBidi" w:cstheme="majorBidi"/>
          <w:sz w:val="24"/>
          <w:szCs w:val="24"/>
          <w:lang w:val="en-US"/>
        </w:rPr>
        <w:t>says ‘yes</w:t>
      </w:r>
      <w:r w:rsidR="00FF36A4">
        <w:rPr>
          <w:rFonts w:asciiTheme="majorBidi" w:hAnsiTheme="majorBidi" w:cstheme="majorBidi"/>
          <w:sz w:val="24"/>
          <w:szCs w:val="24"/>
          <w:lang w:val="en-US"/>
        </w:rPr>
        <w:t xml:space="preserve">,’ </w:t>
      </w:r>
      <w:r w:rsidR="00EE6CF6">
        <w:rPr>
          <w:rFonts w:asciiTheme="majorBidi" w:hAnsiTheme="majorBidi" w:cstheme="majorBidi"/>
          <w:sz w:val="24"/>
          <w:szCs w:val="24"/>
          <w:lang w:val="en-US"/>
        </w:rPr>
        <w:t>or signals agreement in some way</w:t>
      </w:r>
      <w:r w:rsidR="00FF36A4">
        <w:rPr>
          <w:rFonts w:asciiTheme="majorBidi" w:hAnsiTheme="majorBidi" w:cstheme="majorBidi"/>
          <w:sz w:val="24"/>
          <w:szCs w:val="24"/>
          <w:lang w:val="en-US"/>
        </w:rPr>
        <w:t xml:space="preserve"> </w:t>
      </w:r>
      <w:r w:rsidRPr="00301BB7">
        <w:rPr>
          <w:rFonts w:asciiTheme="majorBidi" w:hAnsiTheme="majorBidi" w:cstheme="majorBidi"/>
          <w:sz w:val="24"/>
          <w:szCs w:val="24"/>
          <w:lang w:val="en-US"/>
        </w:rPr>
        <w:t>when asked if she wants to have sex, then, if C justifiably believes that D is competent, C may have sex with D.</w:t>
      </w:r>
    </w:p>
    <w:p w14:paraId="521EEE19" w14:textId="1835972E" w:rsidR="00F17F49" w:rsidRDefault="00B42C2B" w:rsidP="00B42C2B">
      <w:pPr>
        <w:spacing w:line="480" w:lineRule="auto"/>
        <w:ind w:firstLine="720"/>
        <w:contextualSpacing/>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But,</w:t>
      </w:r>
      <w:proofErr w:type="gramEnd"/>
      <w:r>
        <w:rPr>
          <w:rFonts w:asciiTheme="majorBidi" w:hAnsiTheme="majorBidi" w:cstheme="majorBidi"/>
          <w:sz w:val="24"/>
          <w:szCs w:val="24"/>
          <w:lang w:val="en-US"/>
        </w:rPr>
        <w:t xml:space="preserve"> can C, with a reasonable amount of confidence, believe that D satisfies the conditions of DC</w:t>
      </w:r>
      <w:r w:rsidR="008B6A62">
        <w:rPr>
          <w:rFonts w:asciiTheme="majorBidi" w:hAnsiTheme="majorBidi" w:cstheme="majorBidi"/>
          <w:sz w:val="24"/>
          <w:szCs w:val="24"/>
          <w:lang w:val="en-US"/>
        </w:rPr>
        <w:t>S</w:t>
      </w:r>
      <w:r>
        <w:rPr>
          <w:rFonts w:asciiTheme="majorBidi" w:hAnsiTheme="majorBidi" w:cstheme="majorBidi"/>
          <w:sz w:val="24"/>
          <w:szCs w:val="24"/>
          <w:lang w:val="en-US"/>
        </w:rPr>
        <w:t xml:space="preserve">? I think so. </w:t>
      </w:r>
      <w:r w:rsidR="00F17F49" w:rsidRPr="00301BB7">
        <w:rPr>
          <w:rFonts w:asciiTheme="majorBidi" w:hAnsiTheme="majorBidi" w:cstheme="majorBidi"/>
          <w:sz w:val="24"/>
          <w:szCs w:val="24"/>
          <w:lang w:val="en-US"/>
        </w:rPr>
        <w:t xml:space="preserve">By stipulation, D said ‘yes’ to sex with C. C can establish if D is sufficiently competent to consent by observing whether she exhibits the conditions of competence from </w:t>
      </w:r>
      <w:r>
        <w:rPr>
          <w:rFonts w:asciiTheme="majorBidi" w:hAnsiTheme="majorBidi" w:cstheme="majorBidi"/>
          <w:sz w:val="24"/>
          <w:szCs w:val="24"/>
          <w:lang w:val="en-US"/>
        </w:rPr>
        <w:t>DC</w:t>
      </w:r>
      <w:r w:rsidR="008B6A62">
        <w:rPr>
          <w:rFonts w:asciiTheme="majorBidi" w:hAnsiTheme="majorBidi" w:cstheme="majorBidi"/>
          <w:sz w:val="24"/>
          <w:szCs w:val="24"/>
          <w:lang w:val="en-US"/>
        </w:rPr>
        <w:t>S</w:t>
      </w:r>
      <w:r>
        <w:rPr>
          <w:rFonts w:asciiTheme="majorBidi" w:hAnsiTheme="majorBidi" w:cstheme="majorBidi"/>
          <w:sz w:val="24"/>
          <w:szCs w:val="24"/>
          <w:lang w:val="en-US"/>
        </w:rPr>
        <w:t xml:space="preserve">. </w:t>
      </w:r>
      <w:r w:rsidR="00F17F49" w:rsidRPr="00301BB7">
        <w:rPr>
          <w:rFonts w:asciiTheme="majorBidi" w:hAnsiTheme="majorBidi" w:cstheme="majorBidi"/>
          <w:sz w:val="24"/>
          <w:szCs w:val="24"/>
          <w:lang w:val="en-US"/>
        </w:rPr>
        <w:t>To establish this, C can ask D questions about what she knows about herself, her family, etc. He can ask her if she knows who he is</w:t>
      </w:r>
      <w:r w:rsidR="00FF36A4">
        <w:rPr>
          <w:rFonts w:asciiTheme="majorBidi" w:hAnsiTheme="majorBidi" w:cstheme="majorBidi"/>
          <w:sz w:val="24"/>
          <w:szCs w:val="24"/>
          <w:lang w:val="en-US"/>
        </w:rPr>
        <w:t xml:space="preserve">, </w:t>
      </w:r>
      <w:r w:rsidR="00F17F49" w:rsidRPr="00301BB7">
        <w:rPr>
          <w:rFonts w:asciiTheme="majorBidi" w:hAnsiTheme="majorBidi" w:cstheme="majorBidi"/>
          <w:sz w:val="24"/>
          <w:szCs w:val="24"/>
          <w:lang w:val="en-US"/>
        </w:rPr>
        <w:t xml:space="preserve">if she understands what sex is, listen as she expresses her wishes, and wait a few weeks before engaging in sex to ensure that her preferences are stable. If C determines that D answers these questions with consistency and accuracy, then C can justifiably believe that D is competent to consent to sex. Recall that C and D have been committed, long-term partners in a relationship that involved a history of consensual sex, and both know each other’s verbal and non-verbal sexual cues. Because of this, C has considerably more epistemic access to D’s state of mind than the average person. He can read her cues, knows her preferences, etc. This means that C is best suited to know if D is answering these questions correctly. </w:t>
      </w:r>
    </w:p>
    <w:p w14:paraId="1313FDDC" w14:textId="3CF268AD" w:rsidR="00F17F49" w:rsidRPr="002B56CF" w:rsidRDefault="006D1BC0" w:rsidP="00B42C2B">
      <w:pPr>
        <w:spacing w:line="480" w:lineRule="auto"/>
        <w:contextualSpacing/>
        <w:rPr>
          <w:rFonts w:asciiTheme="majorBidi" w:hAnsiTheme="majorBidi" w:cstheme="majorBidi"/>
          <w:sz w:val="24"/>
          <w:szCs w:val="24"/>
          <w:u w:val="single"/>
          <w:lang w:val="en-US"/>
        </w:rPr>
      </w:pPr>
      <w:r>
        <w:rPr>
          <w:rFonts w:asciiTheme="majorBidi" w:hAnsiTheme="majorBidi" w:cstheme="majorBidi"/>
          <w:sz w:val="24"/>
          <w:szCs w:val="24"/>
          <w:lang w:val="en-US"/>
        </w:rPr>
        <w:tab/>
        <w:t xml:space="preserve">One might object that giving this power to C is problematic, </w:t>
      </w:r>
      <w:r w:rsidR="00E35A2F">
        <w:rPr>
          <w:rFonts w:asciiTheme="majorBidi" w:hAnsiTheme="majorBidi" w:cstheme="majorBidi"/>
          <w:sz w:val="24"/>
          <w:szCs w:val="24"/>
          <w:lang w:val="en-US"/>
        </w:rPr>
        <w:t>because</w:t>
      </w:r>
      <w:r>
        <w:rPr>
          <w:rFonts w:asciiTheme="majorBidi" w:hAnsiTheme="majorBidi" w:cstheme="majorBidi"/>
          <w:sz w:val="24"/>
          <w:szCs w:val="24"/>
          <w:lang w:val="en-US"/>
        </w:rPr>
        <w:t xml:space="preserve"> C has a</w:t>
      </w:r>
      <w:r w:rsidR="0054091D">
        <w:rPr>
          <w:rFonts w:asciiTheme="majorBidi" w:hAnsiTheme="majorBidi" w:cstheme="majorBidi"/>
          <w:sz w:val="24"/>
          <w:szCs w:val="24"/>
          <w:lang w:val="en-US"/>
        </w:rPr>
        <w:t xml:space="preserve">n </w:t>
      </w:r>
      <w:r>
        <w:rPr>
          <w:rFonts w:asciiTheme="majorBidi" w:hAnsiTheme="majorBidi" w:cstheme="majorBidi"/>
          <w:sz w:val="24"/>
          <w:szCs w:val="24"/>
          <w:lang w:val="en-US"/>
        </w:rPr>
        <w:t xml:space="preserve">interest in whether D consents to sex, and C might stack the deck in a way that permits him to have sex. </w:t>
      </w:r>
      <w:r w:rsidR="00E35A2F">
        <w:rPr>
          <w:rFonts w:asciiTheme="majorBidi" w:hAnsiTheme="majorBidi" w:cstheme="majorBidi"/>
          <w:sz w:val="24"/>
          <w:szCs w:val="24"/>
          <w:lang w:val="en-US"/>
        </w:rPr>
        <w:t>This is an important concern</w:t>
      </w:r>
      <w:r>
        <w:rPr>
          <w:rFonts w:asciiTheme="majorBidi" w:hAnsiTheme="majorBidi" w:cstheme="majorBidi"/>
          <w:sz w:val="24"/>
          <w:szCs w:val="24"/>
          <w:lang w:val="en-US"/>
        </w:rPr>
        <w:t xml:space="preserve">. However, the fact that </w:t>
      </w:r>
      <w:r w:rsidRPr="00573CD3">
        <w:rPr>
          <w:rFonts w:asciiTheme="majorBidi" w:hAnsiTheme="majorBidi" w:cstheme="majorBidi"/>
          <w:i/>
          <w:iCs/>
          <w:sz w:val="24"/>
          <w:szCs w:val="24"/>
          <w:lang w:val="en-US"/>
        </w:rPr>
        <w:t>some</w:t>
      </w:r>
      <w:r>
        <w:rPr>
          <w:rFonts w:asciiTheme="majorBidi" w:hAnsiTheme="majorBidi" w:cstheme="majorBidi"/>
          <w:sz w:val="24"/>
          <w:szCs w:val="24"/>
          <w:lang w:val="en-US"/>
        </w:rPr>
        <w:t xml:space="preserve"> people might take advantage of their partners is not a good reason to prohibit </w:t>
      </w:r>
      <w:r w:rsidRPr="00573CD3">
        <w:rPr>
          <w:rFonts w:asciiTheme="majorBidi" w:hAnsiTheme="majorBidi" w:cstheme="majorBidi"/>
          <w:i/>
          <w:iCs/>
          <w:sz w:val="24"/>
          <w:szCs w:val="24"/>
          <w:lang w:val="en-US"/>
        </w:rPr>
        <w:t>all</w:t>
      </w:r>
      <w:r>
        <w:rPr>
          <w:rFonts w:asciiTheme="majorBidi" w:hAnsiTheme="majorBidi" w:cstheme="majorBidi"/>
          <w:sz w:val="24"/>
          <w:szCs w:val="24"/>
          <w:lang w:val="en-US"/>
        </w:rPr>
        <w:t xml:space="preserve"> sex between partners when one has dementia. </w:t>
      </w:r>
      <w:r w:rsidR="00E35A2F">
        <w:rPr>
          <w:rFonts w:asciiTheme="majorBidi" w:hAnsiTheme="majorBidi" w:cstheme="majorBidi"/>
          <w:sz w:val="24"/>
          <w:szCs w:val="24"/>
          <w:lang w:val="en-US"/>
        </w:rPr>
        <w:t xml:space="preserve">When permitting all competent people to exercise </w:t>
      </w:r>
      <w:r w:rsidR="008B6A62">
        <w:rPr>
          <w:rFonts w:asciiTheme="majorBidi" w:hAnsiTheme="majorBidi" w:cstheme="majorBidi"/>
          <w:sz w:val="24"/>
          <w:szCs w:val="24"/>
          <w:lang w:val="en-US"/>
        </w:rPr>
        <w:t xml:space="preserve">a </w:t>
      </w:r>
      <w:proofErr w:type="gramStart"/>
      <w:r w:rsidR="008B6A62">
        <w:rPr>
          <w:rFonts w:asciiTheme="majorBidi" w:hAnsiTheme="majorBidi" w:cstheme="majorBidi"/>
          <w:sz w:val="24"/>
          <w:szCs w:val="24"/>
          <w:lang w:val="en-US"/>
        </w:rPr>
        <w:t xml:space="preserve">certain </w:t>
      </w:r>
      <w:r w:rsidR="00E35A2F">
        <w:rPr>
          <w:rFonts w:asciiTheme="majorBidi" w:hAnsiTheme="majorBidi" w:cstheme="majorBidi"/>
          <w:sz w:val="24"/>
          <w:szCs w:val="24"/>
          <w:lang w:val="en-US"/>
        </w:rPr>
        <w:t>liberty</w:t>
      </w:r>
      <w:r w:rsidR="008B6A62">
        <w:rPr>
          <w:rFonts w:asciiTheme="majorBidi" w:hAnsiTheme="majorBidi" w:cstheme="majorBidi"/>
          <w:sz w:val="24"/>
          <w:szCs w:val="24"/>
          <w:lang w:val="en-US"/>
        </w:rPr>
        <w:t xml:space="preserve"> </w:t>
      </w:r>
      <w:r w:rsidR="00E35A2F">
        <w:rPr>
          <w:rFonts w:asciiTheme="majorBidi" w:hAnsiTheme="majorBidi" w:cstheme="majorBidi"/>
          <w:sz w:val="24"/>
          <w:szCs w:val="24"/>
          <w:lang w:val="en-US"/>
        </w:rPr>
        <w:t>result</w:t>
      </w:r>
      <w:r w:rsidR="00B24661">
        <w:rPr>
          <w:rFonts w:asciiTheme="majorBidi" w:hAnsiTheme="majorBidi" w:cstheme="majorBidi"/>
          <w:sz w:val="24"/>
          <w:szCs w:val="24"/>
          <w:lang w:val="en-US"/>
        </w:rPr>
        <w:t>s</w:t>
      </w:r>
      <w:proofErr w:type="gramEnd"/>
      <w:r w:rsidR="00E35A2F">
        <w:rPr>
          <w:rFonts w:asciiTheme="majorBidi" w:hAnsiTheme="majorBidi" w:cstheme="majorBidi"/>
          <w:sz w:val="24"/>
          <w:szCs w:val="24"/>
          <w:lang w:val="en-US"/>
        </w:rPr>
        <w:t xml:space="preserve"> in some people abusing </w:t>
      </w:r>
      <w:r w:rsidR="008B6A62">
        <w:rPr>
          <w:rFonts w:asciiTheme="majorBidi" w:hAnsiTheme="majorBidi" w:cstheme="majorBidi"/>
          <w:sz w:val="24"/>
          <w:szCs w:val="24"/>
          <w:lang w:val="en-US"/>
        </w:rPr>
        <w:t>that liberty</w:t>
      </w:r>
      <w:r w:rsidR="00E35A2F">
        <w:rPr>
          <w:rFonts w:asciiTheme="majorBidi" w:hAnsiTheme="majorBidi" w:cstheme="majorBidi"/>
          <w:sz w:val="24"/>
          <w:szCs w:val="24"/>
          <w:lang w:val="en-US"/>
        </w:rPr>
        <w:t xml:space="preserve"> for immoral ends, restricting everyone’s access to </w:t>
      </w:r>
      <w:r w:rsidR="008B6A62">
        <w:rPr>
          <w:rFonts w:asciiTheme="majorBidi" w:hAnsiTheme="majorBidi" w:cstheme="majorBidi"/>
          <w:sz w:val="24"/>
          <w:szCs w:val="24"/>
          <w:lang w:val="en-US"/>
        </w:rPr>
        <w:t>this liberty</w:t>
      </w:r>
      <w:r w:rsidR="00E35A2F">
        <w:rPr>
          <w:rFonts w:asciiTheme="majorBidi" w:hAnsiTheme="majorBidi" w:cstheme="majorBidi"/>
          <w:sz w:val="24"/>
          <w:szCs w:val="24"/>
          <w:lang w:val="en-US"/>
        </w:rPr>
        <w:t xml:space="preserve"> would not be fair to those who would use </w:t>
      </w:r>
      <w:r w:rsidR="008B6A62">
        <w:rPr>
          <w:rFonts w:asciiTheme="majorBidi" w:hAnsiTheme="majorBidi" w:cstheme="majorBidi"/>
          <w:sz w:val="24"/>
          <w:szCs w:val="24"/>
          <w:lang w:val="en-US"/>
        </w:rPr>
        <w:t>it</w:t>
      </w:r>
      <w:r w:rsidR="00E35A2F">
        <w:rPr>
          <w:rFonts w:asciiTheme="majorBidi" w:hAnsiTheme="majorBidi" w:cstheme="majorBidi"/>
          <w:sz w:val="24"/>
          <w:szCs w:val="24"/>
          <w:lang w:val="en-US"/>
        </w:rPr>
        <w:t xml:space="preserve"> permissibly. Instead, we need oversight. This may </w:t>
      </w:r>
      <w:r w:rsidR="00573CD3">
        <w:rPr>
          <w:rFonts w:asciiTheme="majorBidi" w:hAnsiTheme="majorBidi" w:cstheme="majorBidi"/>
          <w:sz w:val="24"/>
          <w:szCs w:val="24"/>
          <w:lang w:val="en-US"/>
        </w:rPr>
        <w:t>take a variety of forms</w:t>
      </w:r>
      <w:r w:rsidR="00E35A2F">
        <w:rPr>
          <w:rFonts w:asciiTheme="majorBidi" w:hAnsiTheme="majorBidi" w:cstheme="majorBidi"/>
          <w:sz w:val="24"/>
          <w:szCs w:val="24"/>
          <w:lang w:val="en-US"/>
        </w:rPr>
        <w:t xml:space="preserve">. </w:t>
      </w:r>
      <w:r w:rsidR="00505867">
        <w:rPr>
          <w:rFonts w:asciiTheme="majorBidi" w:hAnsiTheme="majorBidi" w:cstheme="majorBidi"/>
          <w:sz w:val="24"/>
          <w:szCs w:val="24"/>
          <w:lang w:val="en-US"/>
        </w:rPr>
        <w:t>N</w:t>
      </w:r>
      <w:r w:rsidR="00E35A2F">
        <w:rPr>
          <w:rFonts w:asciiTheme="majorBidi" w:hAnsiTheme="majorBidi" w:cstheme="majorBidi"/>
          <w:sz w:val="24"/>
          <w:szCs w:val="24"/>
          <w:lang w:val="en-US"/>
        </w:rPr>
        <w:t xml:space="preserve">ursing home staff </w:t>
      </w:r>
      <w:r w:rsidR="00505867">
        <w:rPr>
          <w:rFonts w:asciiTheme="majorBidi" w:hAnsiTheme="majorBidi" w:cstheme="majorBidi"/>
          <w:sz w:val="24"/>
          <w:szCs w:val="24"/>
          <w:lang w:val="en-US"/>
        </w:rPr>
        <w:t>can investigate</w:t>
      </w:r>
      <w:r w:rsidR="00E35A2F">
        <w:rPr>
          <w:rFonts w:asciiTheme="majorBidi" w:hAnsiTheme="majorBidi" w:cstheme="majorBidi"/>
          <w:sz w:val="24"/>
          <w:szCs w:val="24"/>
          <w:lang w:val="en-US"/>
        </w:rPr>
        <w:t xml:space="preserve"> any suspicious cases of spouses claiming that their partners can consent</w:t>
      </w:r>
      <w:r w:rsidR="00505867">
        <w:rPr>
          <w:rFonts w:asciiTheme="majorBidi" w:hAnsiTheme="majorBidi" w:cstheme="majorBidi"/>
          <w:sz w:val="24"/>
          <w:szCs w:val="24"/>
          <w:lang w:val="en-US"/>
        </w:rPr>
        <w:t xml:space="preserve"> when the contrary seems true</w:t>
      </w:r>
      <w:r w:rsidR="00E35A2F">
        <w:rPr>
          <w:rFonts w:asciiTheme="majorBidi" w:hAnsiTheme="majorBidi" w:cstheme="majorBidi"/>
          <w:sz w:val="24"/>
          <w:szCs w:val="24"/>
          <w:lang w:val="en-US"/>
        </w:rPr>
        <w:t>.</w:t>
      </w:r>
      <w:r w:rsidR="00505867">
        <w:rPr>
          <w:rFonts w:asciiTheme="majorBidi" w:hAnsiTheme="majorBidi" w:cstheme="majorBidi"/>
          <w:sz w:val="24"/>
          <w:szCs w:val="24"/>
          <w:lang w:val="en-US"/>
        </w:rPr>
        <w:t xml:space="preserve"> </w:t>
      </w:r>
      <w:proofErr w:type="gramStart"/>
      <w:r w:rsidR="00505867">
        <w:rPr>
          <w:rFonts w:asciiTheme="majorBidi" w:hAnsiTheme="majorBidi" w:cstheme="majorBidi"/>
          <w:sz w:val="24"/>
          <w:szCs w:val="24"/>
          <w:lang w:val="en-US"/>
        </w:rPr>
        <w:t>And,</w:t>
      </w:r>
      <w:proofErr w:type="gramEnd"/>
      <w:r w:rsidR="00505867">
        <w:rPr>
          <w:rFonts w:asciiTheme="majorBidi" w:hAnsiTheme="majorBidi" w:cstheme="majorBidi"/>
          <w:sz w:val="24"/>
          <w:szCs w:val="24"/>
          <w:lang w:val="en-US"/>
        </w:rPr>
        <w:t xml:space="preserve"> there can be a third-party present while C asks </w:t>
      </w:r>
      <w:r w:rsidR="00505867">
        <w:rPr>
          <w:rFonts w:asciiTheme="majorBidi" w:hAnsiTheme="majorBidi" w:cstheme="majorBidi"/>
          <w:sz w:val="24"/>
          <w:szCs w:val="24"/>
          <w:lang w:val="en-US"/>
        </w:rPr>
        <w:lastRenderedPageBreak/>
        <w:t>questions to D to ascertain her mental state.</w:t>
      </w:r>
      <w:r w:rsidR="00E35A2F">
        <w:rPr>
          <w:rStyle w:val="FootnoteReference"/>
          <w:rFonts w:asciiTheme="majorBidi" w:hAnsiTheme="majorBidi" w:cstheme="majorBidi"/>
          <w:sz w:val="24"/>
          <w:szCs w:val="24"/>
          <w:lang w:val="en-US"/>
        </w:rPr>
        <w:footnoteReference w:id="36"/>
      </w:r>
      <w:r w:rsidR="00E35A2F">
        <w:rPr>
          <w:rFonts w:asciiTheme="majorBidi" w:hAnsiTheme="majorBidi" w:cstheme="majorBidi"/>
          <w:sz w:val="24"/>
          <w:szCs w:val="24"/>
          <w:lang w:val="en-US"/>
        </w:rPr>
        <w:t xml:space="preserve"> </w:t>
      </w:r>
      <w:r w:rsidR="00F17F49" w:rsidRPr="00301BB7">
        <w:rPr>
          <w:rFonts w:asciiTheme="majorBidi" w:hAnsiTheme="majorBidi" w:cstheme="majorBidi"/>
          <w:sz w:val="24"/>
          <w:szCs w:val="24"/>
          <w:lang w:val="en-US"/>
        </w:rPr>
        <w:t>Furthermore, C can have an MMSE test administered on D. If the evidence suggests that other people with the same MMSE score can consent, and if C can confirm these results by asking D questions, then he can justifiably believe that she is competent to consent.</w:t>
      </w:r>
      <w:r w:rsidR="002B56CF">
        <w:rPr>
          <w:rFonts w:asciiTheme="majorBidi" w:hAnsiTheme="majorBidi" w:cstheme="majorBidi"/>
          <w:sz w:val="24"/>
          <w:szCs w:val="24"/>
          <w:lang w:val="en-US"/>
        </w:rPr>
        <w:t xml:space="preserve"> </w:t>
      </w:r>
      <w:r w:rsidR="002B56CF" w:rsidRPr="002B56CF">
        <w:rPr>
          <w:rFonts w:asciiTheme="majorBidi" w:hAnsiTheme="majorBidi" w:cstheme="majorBidi"/>
          <w:sz w:val="24"/>
          <w:szCs w:val="24"/>
          <w:u w:val="single"/>
          <w:lang w:val="en-US"/>
        </w:rPr>
        <w:t>As stated earlier, the MMSE is not a perfect guide for assessing competence to consent; I on</w:t>
      </w:r>
      <w:r w:rsidR="002B56CF">
        <w:rPr>
          <w:rFonts w:asciiTheme="majorBidi" w:hAnsiTheme="majorBidi" w:cstheme="majorBidi"/>
          <w:sz w:val="24"/>
          <w:szCs w:val="24"/>
          <w:u w:val="single"/>
          <w:lang w:val="en-US"/>
        </w:rPr>
        <w:t xml:space="preserve">ly </w:t>
      </w:r>
      <w:r w:rsidR="002B56CF" w:rsidRPr="002B56CF">
        <w:rPr>
          <w:rFonts w:asciiTheme="majorBidi" w:hAnsiTheme="majorBidi" w:cstheme="majorBidi"/>
          <w:sz w:val="24"/>
          <w:szCs w:val="24"/>
          <w:u w:val="single"/>
          <w:lang w:val="en-US"/>
        </w:rPr>
        <w:t>mean that it can be used as a heuristic to assess the degree of impairment that D’s dementia has caused</w:t>
      </w:r>
      <w:r w:rsidR="002B56CF">
        <w:rPr>
          <w:rFonts w:asciiTheme="majorBidi" w:hAnsiTheme="majorBidi" w:cstheme="majorBidi"/>
          <w:sz w:val="24"/>
          <w:szCs w:val="24"/>
          <w:u w:val="single"/>
          <w:lang w:val="en-US"/>
        </w:rPr>
        <w:t xml:space="preserve">, which can then be used with other evidence to help </w:t>
      </w:r>
      <w:proofErr w:type="gramStart"/>
      <w:r w:rsidR="002B56CF">
        <w:rPr>
          <w:rFonts w:asciiTheme="majorBidi" w:hAnsiTheme="majorBidi" w:cstheme="majorBidi"/>
          <w:sz w:val="24"/>
          <w:szCs w:val="24"/>
          <w:u w:val="single"/>
          <w:lang w:val="en-US"/>
        </w:rPr>
        <w:t>make a determination</w:t>
      </w:r>
      <w:proofErr w:type="gramEnd"/>
      <w:r w:rsidR="002B56CF" w:rsidRPr="002B56CF">
        <w:rPr>
          <w:rFonts w:asciiTheme="majorBidi" w:hAnsiTheme="majorBidi" w:cstheme="majorBidi"/>
          <w:sz w:val="24"/>
          <w:szCs w:val="24"/>
          <w:u w:val="single"/>
          <w:lang w:val="en-US"/>
        </w:rPr>
        <w:t xml:space="preserve">.  </w:t>
      </w:r>
      <w:r w:rsidR="00527729" w:rsidRPr="00527729">
        <w:rPr>
          <w:rFonts w:asciiTheme="majorBidi" w:hAnsiTheme="majorBidi" w:cstheme="majorBidi"/>
          <w:sz w:val="24"/>
          <w:szCs w:val="24"/>
          <w:u w:val="single"/>
          <w:lang w:val="en-US"/>
        </w:rPr>
        <w:t xml:space="preserve">In other words, if other people with dementia who clearly meet the conditions of DCS have a score of </w:t>
      </w:r>
      <w:proofErr w:type="gramStart"/>
      <w:r w:rsidR="00527729" w:rsidRPr="00527729">
        <w:rPr>
          <w:rFonts w:asciiTheme="majorBidi" w:hAnsiTheme="majorBidi" w:cstheme="majorBidi"/>
          <w:sz w:val="24"/>
          <w:szCs w:val="24"/>
          <w:u w:val="single"/>
          <w:lang w:val="en-US"/>
        </w:rPr>
        <w:t>X</w:t>
      </w:r>
      <w:proofErr w:type="gramEnd"/>
      <w:r w:rsidR="00527729" w:rsidRPr="00527729">
        <w:rPr>
          <w:rFonts w:asciiTheme="majorBidi" w:hAnsiTheme="majorBidi" w:cstheme="majorBidi"/>
          <w:sz w:val="24"/>
          <w:szCs w:val="24"/>
          <w:u w:val="single"/>
          <w:lang w:val="en-US"/>
        </w:rPr>
        <w:t xml:space="preserve"> on the MMSE, it would be helpful to know if D has a score at or above X.</w:t>
      </w:r>
    </w:p>
    <w:p w14:paraId="29B4AD8E" w14:textId="6389DDC3" w:rsidR="007B4899" w:rsidRPr="007B4899" w:rsidRDefault="007B4899" w:rsidP="00B42C2B">
      <w:pPr>
        <w:spacing w:line="480" w:lineRule="auto"/>
        <w:contextualSpacing/>
        <w:rPr>
          <w:rFonts w:asciiTheme="majorBidi" w:hAnsiTheme="majorBidi" w:cstheme="majorBidi"/>
          <w:sz w:val="24"/>
          <w:szCs w:val="24"/>
          <w:u w:val="single"/>
          <w:lang w:val="en-US"/>
        </w:rPr>
      </w:pPr>
      <w:r>
        <w:rPr>
          <w:rFonts w:asciiTheme="majorBidi" w:hAnsiTheme="majorBidi" w:cstheme="majorBidi"/>
          <w:sz w:val="24"/>
          <w:szCs w:val="24"/>
          <w:lang w:val="en-US"/>
        </w:rPr>
        <w:tab/>
      </w:r>
      <w:r w:rsidRPr="007B4899">
        <w:rPr>
          <w:rFonts w:asciiTheme="majorBidi" w:hAnsiTheme="majorBidi" w:cstheme="majorBidi"/>
          <w:sz w:val="24"/>
          <w:szCs w:val="24"/>
          <w:u w:val="single"/>
          <w:lang w:val="en-US"/>
        </w:rPr>
        <w:t xml:space="preserve">A related worry concerns the legal obligations of nursing homes, who are tasked with (and liable for) protecting their residents from abuse. </w:t>
      </w:r>
      <w:r w:rsidR="00877EF3">
        <w:rPr>
          <w:rFonts w:asciiTheme="majorBidi" w:hAnsiTheme="majorBidi" w:cstheme="majorBidi"/>
          <w:sz w:val="24"/>
          <w:szCs w:val="24"/>
          <w:u w:val="single"/>
          <w:lang w:val="en-US"/>
        </w:rPr>
        <w:t>T</w:t>
      </w:r>
      <w:r>
        <w:rPr>
          <w:rFonts w:asciiTheme="majorBidi" w:hAnsiTheme="majorBidi" w:cstheme="majorBidi"/>
          <w:sz w:val="24"/>
          <w:szCs w:val="24"/>
          <w:u w:val="single"/>
          <w:lang w:val="en-US"/>
        </w:rPr>
        <w:t xml:space="preserve">his means that retirement facilities must do some at least minimal verification that no abuse is occurring if they allow sex between partners where one has dementia. </w:t>
      </w:r>
      <w:proofErr w:type="gramStart"/>
      <w:r>
        <w:rPr>
          <w:rFonts w:asciiTheme="majorBidi" w:hAnsiTheme="majorBidi" w:cstheme="majorBidi"/>
          <w:sz w:val="24"/>
          <w:szCs w:val="24"/>
          <w:u w:val="single"/>
          <w:lang w:val="en-US"/>
        </w:rPr>
        <w:t>In order to</w:t>
      </w:r>
      <w:proofErr w:type="gramEnd"/>
      <w:r>
        <w:rPr>
          <w:rFonts w:asciiTheme="majorBidi" w:hAnsiTheme="majorBidi" w:cstheme="majorBidi"/>
          <w:sz w:val="24"/>
          <w:szCs w:val="24"/>
          <w:u w:val="single"/>
          <w:lang w:val="en-US"/>
        </w:rPr>
        <w:t xml:space="preserve"> do this, the nursing home can perform a background check for domestic violence charges, conduct an interview with both C and D, and have a representative present when C asks questions of D to ascertain her attitude toward sex.</w:t>
      </w:r>
    </w:p>
    <w:p w14:paraId="00FE9BAB" w14:textId="3DD603B0" w:rsidR="00F17F49" w:rsidRDefault="00B42C2B" w:rsidP="008B6A62">
      <w:pPr>
        <w:spacing w:line="480" w:lineRule="auto"/>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Overall, I have argued that D is competent to </w:t>
      </w:r>
      <w:proofErr w:type="gramStart"/>
      <w:r>
        <w:rPr>
          <w:rFonts w:asciiTheme="majorBidi" w:hAnsiTheme="majorBidi" w:cstheme="majorBidi"/>
          <w:sz w:val="24"/>
          <w:szCs w:val="24"/>
          <w:lang w:val="en-US"/>
        </w:rPr>
        <w:t>consent</w:t>
      </w:r>
      <w:proofErr w:type="gramEnd"/>
      <w:r>
        <w:rPr>
          <w:rFonts w:asciiTheme="majorBidi" w:hAnsiTheme="majorBidi" w:cstheme="majorBidi"/>
          <w:sz w:val="24"/>
          <w:szCs w:val="24"/>
          <w:lang w:val="en-US"/>
        </w:rPr>
        <w:t xml:space="preserve"> and that C is able to believe this with enough confidence to engage in sex with D.</w:t>
      </w:r>
    </w:p>
    <w:p w14:paraId="565851C0" w14:textId="4291EB99" w:rsidR="00B42C2B" w:rsidRPr="00B42C2B" w:rsidRDefault="00B42C2B" w:rsidP="00B42C2B">
      <w:pPr>
        <w:spacing w:before="360" w:line="480" w:lineRule="auto"/>
        <w:rPr>
          <w:rFonts w:asciiTheme="majorBidi" w:hAnsiTheme="majorBidi" w:cstheme="majorBidi"/>
          <w:b/>
          <w:bCs/>
          <w:i/>
          <w:iCs/>
          <w:sz w:val="28"/>
          <w:szCs w:val="28"/>
          <w:lang w:val="en-US"/>
        </w:rPr>
      </w:pPr>
      <w:r w:rsidRPr="00B42C2B">
        <w:rPr>
          <w:rFonts w:asciiTheme="majorBidi" w:hAnsiTheme="majorBidi" w:cstheme="majorBidi"/>
          <w:b/>
          <w:bCs/>
          <w:i/>
          <w:iCs/>
          <w:sz w:val="28"/>
          <w:szCs w:val="28"/>
          <w:lang w:val="en-US"/>
        </w:rPr>
        <w:t>Personal Identity</w:t>
      </w:r>
    </w:p>
    <w:p w14:paraId="60CAA99A" w14:textId="38BB99F6" w:rsidR="00B42C2B" w:rsidRPr="008B6A62" w:rsidRDefault="00F17F49" w:rsidP="008B6A62">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One might wonder how my account interacts with personal identity. Some philosophers believe that, in the late stages of dementia, the person </w:t>
      </w:r>
      <w:r w:rsidR="003C41C5">
        <w:rPr>
          <w:rFonts w:asciiTheme="majorBidi" w:hAnsiTheme="majorBidi" w:cstheme="majorBidi"/>
          <w:sz w:val="24"/>
          <w:szCs w:val="24"/>
          <w:lang w:val="en-US"/>
        </w:rPr>
        <w:t xml:space="preserve">with dementia </w:t>
      </w:r>
      <w:r w:rsidRPr="00301BB7">
        <w:rPr>
          <w:rFonts w:asciiTheme="majorBidi" w:hAnsiTheme="majorBidi" w:cstheme="majorBidi"/>
          <w:sz w:val="24"/>
          <w:szCs w:val="24"/>
          <w:lang w:val="en-US"/>
        </w:rPr>
        <w:t xml:space="preserve">either ceases to exist or becomes a new person. Suppose D ceased to exist and D* came into existence in D’s body. This might complicate my account. However, </w:t>
      </w:r>
      <w:r w:rsidR="00B24661">
        <w:rPr>
          <w:rFonts w:asciiTheme="majorBidi" w:hAnsiTheme="majorBidi" w:cstheme="majorBidi"/>
          <w:sz w:val="24"/>
          <w:szCs w:val="24"/>
          <w:lang w:val="en-US"/>
        </w:rPr>
        <w:t>the</w:t>
      </w:r>
      <w:r w:rsidRPr="00301BB7">
        <w:rPr>
          <w:rFonts w:asciiTheme="majorBidi" w:hAnsiTheme="majorBidi" w:cstheme="majorBidi"/>
          <w:sz w:val="24"/>
          <w:szCs w:val="24"/>
          <w:lang w:val="en-US"/>
        </w:rPr>
        <w:t xml:space="preserve"> evidence shows that </w:t>
      </w:r>
      <w:r w:rsidR="003C41C5">
        <w:rPr>
          <w:rFonts w:asciiTheme="majorBidi" w:hAnsiTheme="majorBidi" w:cstheme="majorBidi"/>
          <w:sz w:val="24"/>
          <w:szCs w:val="24"/>
          <w:lang w:val="en-US"/>
        </w:rPr>
        <w:t xml:space="preserve">individuals with dementia </w:t>
      </w:r>
      <w:r w:rsidR="0054091D">
        <w:rPr>
          <w:rFonts w:asciiTheme="majorBidi" w:hAnsiTheme="majorBidi" w:cstheme="majorBidi"/>
          <w:sz w:val="24"/>
          <w:szCs w:val="24"/>
          <w:lang w:val="en-US"/>
        </w:rPr>
        <w:t xml:space="preserve">(other than </w:t>
      </w:r>
      <w:r w:rsidR="0054091D">
        <w:rPr>
          <w:rFonts w:asciiTheme="majorBidi" w:hAnsiTheme="majorBidi" w:cstheme="majorBidi"/>
          <w:sz w:val="24"/>
          <w:szCs w:val="24"/>
          <w:lang w:val="en-US"/>
        </w:rPr>
        <w:lastRenderedPageBreak/>
        <w:t xml:space="preserve">extreme dementia) </w:t>
      </w:r>
      <w:r w:rsidRPr="00301BB7">
        <w:rPr>
          <w:rFonts w:asciiTheme="majorBidi" w:hAnsiTheme="majorBidi" w:cstheme="majorBidi"/>
          <w:sz w:val="24"/>
          <w:szCs w:val="24"/>
          <w:lang w:val="en-US"/>
        </w:rPr>
        <w:t xml:space="preserve">don’t become new people. Individuals with severe dementia accurately answer numerous questions about their memories and pasts; if individuals with severe dementia have access to their memories and </w:t>
      </w:r>
      <w:r w:rsidR="00B24661">
        <w:rPr>
          <w:rFonts w:asciiTheme="majorBidi" w:hAnsiTheme="majorBidi" w:cstheme="majorBidi"/>
          <w:sz w:val="24"/>
          <w:szCs w:val="24"/>
          <w:lang w:val="en-US"/>
        </w:rPr>
        <w:t xml:space="preserve">a </w:t>
      </w:r>
      <w:r w:rsidRPr="00301BB7">
        <w:rPr>
          <w:rFonts w:asciiTheme="majorBidi" w:hAnsiTheme="majorBidi" w:cstheme="majorBidi"/>
          <w:sz w:val="24"/>
          <w:szCs w:val="24"/>
          <w:lang w:val="en-US"/>
        </w:rPr>
        <w:t>sense of self, they are the same person even into the late stages of dementia.</w:t>
      </w:r>
      <w:r w:rsidRPr="00301BB7">
        <w:rPr>
          <w:rStyle w:val="FootnoteReference"/>
          <w:rFonts w:asciiTheme="majorBidi" w:hAnsiTheme="majorBidi" w:cstheme="majorBidi"/>
          <w:sz w:val="24"/>
          <w:szCs w:val="24"/>
          <w:lang w:val="en-US"/>
        </w:rPr>
        <w:footnoteReference w:id="37"/>
      </w:r>
      <w:r w:rsidRPr="00301BB7">
        <w:rPr>
          <w:rFonts w:asciiTheme="majorBidi" w:hAnsiTheme="majorBidi" w:cstheme="majorBidi"/>
          <w:sz w:val="24"/>
          <w:szCs w:val="24"/>
          <w:lang w:val="en-US"/>
        </w:rPr>
        <w:t xml:space="preserve">  Thus, if D were to cease to exist and become D*, this would happen </w:t>
      </w:r>
      <w:r w:rsidR="00AF302D">
        <w:rPr>
          <w:rFonts w:asciiTheme="majorBidi" w:hAnsiTheme="majorBidi" w:cstheme="majorBidi"/>
          <w:sz w:val="24"/>
          <w:szCs w:val="24"/>
          <w:lang w:val="en-US"/>
        </w:rPr>
        <w:t>only with extreme</w:t>
      </w:r>
      <w:r w:rsidRPr="00301BB7">
        <w:rPr>
          <w:rFonts w:asciiTheme="majorBidi" w:hAnsiTheme="majorBidi" w:cstheme="majorBidi"/>
          <w:sz w:val="24"/>
          <w:szCs w:val="24"/>
          <w:lang w:val="en-US"/>
        </w:rPr>
        <w:t xml:space="preserve"> dementia</w:t>
      </w:r>
      <w:r w:rsidR="00AF302D">
        <w:rPr>
          <w:rFonts w:asciiTheme="majorBidi" w:hAnsiTheme="majorBidi" w:cstheme="majorBidi"/>
          <w:sz w:val="24"/>
          <w:szCs w:val="24"/>
          <w:lang w:val="en-US"/>
        </w:rPr>
        <w:t>, which I have already said falls outside my analysis</w:t>
      </w:r>
      <w:r w:rsidR="008B6A62">
        <w:rPr>
          <w:rFonts w:asciiTheme="majorBidi" w:hAnsiTheme="majorBidi" w:cstheme="majorBidi"/>
          <w:sz w:val="24"/>
          <w:szCs w:val="24"/>
          <w:lang w:val="en-US"/>
        </w:rPr>
        <w:t>.</w:t>
      </w:r>
    </w:p>
    <w:p w14:paraId="100E7E5C" w14:textId="7659742C" w:rsidR="00F17F49" w:rsidRPr="00B42C2B" w:rsidRDefault="00F17F49" w:rsidP="00B42C2B">
      <w:pPr>
        <w:spacing w:before="360" w:line="480" w:lineRule="auto"/>
        <w:rPr>
          <w:rFonts w:asciiTheme="majorBidi" w:hAnsiTheme="majorBidi" w:cstheme="majorBidi"/>
          <w:b/>
          <w:bCs/>
          <w:sz w:val="28"/>
          <w:szCs w:val="28"/>
          <w:lang w:val="en-US"/>
        </w:rPr>
      </w:pPr>
      <w:r w:rsidRPr="00B42C2B">
        <w:rPr>
          <w:rFonts w:asciiTheme="majorBidi" w:hAnsiTheme="majorBidi" w:cstheme="majorBidi"/>
          <w:b/>
          <w:bCs/>
          <w:sz w:val="28"/>
          <w:szCs w:val="28"/>
          <w:lang w:val="en-US"/>
        </w:rPr>
        <w:t>Objections:</w:t>
      </w:r>
    </w:p>
    <w:p w14:paraId="171240BA" w14:textId="689F5003" w:rsidR="00F17F49" w:rsidRPr="00D36F02" w:rsidRDefault="00F17F49" w:rsidP="006C6C54">
      <w:pPr>
        <w:spacing w:line="480" w:lineRule="auto"/>
        <w:contextualSpacing/>
        <w:rPr>
          <w:rFonts w:asciiTheme="majorBidi" w:hAnsiTheme="majorBidi" w:cstheme="majorBidi"/>
          <w:i/>
          <w:iCs/>
          <w:sz w:val="28"/>
          <w:szCs w:val="28"/>
          <w:lang w:val="en-US"/>
        </w:rPr>
      </w:pPr>
      <w:r w:rsidRPr="00D36F02">
        <w:rPr>
          <w:rFonts w:asciiTheme="majorBidi" w:hAnsiTheme="majorBidi" w:cstheme="majorBidi"/>
          <w:i/>
          <w:iCs/>
          <w:sz w:val="28"/>
          <w:szCs w:val="28"/>
          <w:lang w:val="en-US"/>
        </w:rPr>
        <w:t xml:space="preserve">Does This </w:t>
      </w:r>
      <w:r w:rsidR="00D36F02">
        <w:rPr>
          <w:rFonts w:asciiTheme="majorBidi" w:hAnsiTheme="majorBidi" w:cstheme="majorBidi"/>
          <w:i/>
          <w:iCs/>
          <w:sz w:val="28"/>
          <w:szCs w:val="28"/>
          <w:lang w:val="en-US"/>
        </w:rPr>
        <w:t>Mean</w:t>
      </w:r>
      <w:r w:rsidRPr="00D36F02">
        <w:rPr>
          <w:rFonts w:asciiTheme="majorBidi" w:hAnsiTheme="majorBidi" w:cstheme="majorBidi"/>
          <w:i/>
          <w:iCs/>
          <w:sz w:val="28"/>
          <w:szCs w:val="28"/>
          <w:lang w:val="en-US"/>
        </w:rPr>
        <w:t xml:space="preserve"> That D Can Alter Advance Directives?</w:t>
      </w:r>
    </w:p>
    <w:p w14:paraId="3249E6FA" w14:textId="61AC4431" w:rsidR="00F17F49" w:rsidRPr="00301BB7" w:rsidRDefault="00F17F49" w:rsidP="003547E1">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One might object that my position entails that individuals</w:t>
      </w:r>
      <w:r w:rsidR="003C41C5">
        <w:rPr>
          <w:rFonts w:asciiTheme="majorBidi" w:hAnsiTheme="majorBidi" w:cstheme="majorBidi"/>
          <w:sz w:val="24"/>
          <w:szCs w:val="24"/>
          <w:lang w:val="en-US"/>
        </w:rPr>
        <w:t xml:space="preserve"> with dementia</w:t>
      </w:r>
      <w:r w:rsidRPr="00301BB7">
        <w:rPr>
          <w:rFonts w:asciiTheme="majorBidi" w:hAnsiTheme="majorBidi" w:cstheme="majorBidi"/>
          <w:sz w:val="24"/>
          <w:szCs w:val="24"/>
          <w:lang w:val="en-US"/>
        </w:rPr>
        <w:t xml:space="preserve"> can change medical advance directives they made when they were competent. Although this view isn’t obviously false, it is sufficiently controversial to render my view untenable to many. </w:t>
      </w:r>
    </w:p>
    <w:p w14:paraId="582EE2A1" w14:textId="223FD08E" w:rsidR="00F17F49" w:rsidRDefault="00F17F49" w:rsidP="00746FB0">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My view doesn’t imply this. To claim that D has task-specific competence to consent to sex with her partner doesn’t entail that she is sufficiently competent to consent to other, more complicated things. The competence required to make a serious</w:t>
      </w:r>
      <w:r w:rsidR="001324ED">
        <w:rPr>
          <w:rFonts w:asciiTheme="majorBidi" w:hAnsiTheme="majorBidi" w:cstheme="majorBidi"/>
          <w:sz w:val="24"/>
          <w:szCs w:val="24"/>
          <w:lang w:val="en-US"/>
        </w:rPr>
        <w:t>, often permanent</w:t>
      </w:r>
      <w:r w:rsidRPr="00301BB7">
        <w:rPr>
          <w:rFonts w:asciiTheme="majorBidi" w:hAnsiTheme="majorBidi" w:cstheme="majorBidi"/>
          <w:sz w:val="24"/>
          <w:szCs w:val="24"/>
          <w:lang w:val="en-US"/>
        </w:rPr>
        <w:t xml:space="preserve"> decision about one’s medical care is much higher than the competence required to consent to </w:t>
      </w:r>
      <w:r w:rsidR="0054091D">
        <w:rPr>
          <w:rFonts w:asciiTheme="majorBidi" w:hAnsiTheme="majorBidi" w:cstheme="majorBidi"/>
          <w:sz w:val="24"/>
          <w:szCs w:val="24"/>
          <w:lang w:val="en-US"/>
        </w:rPr>
        <w:t>sex with one’s loving partner</w:t>
      </w:r>
      <w:r w:rsidRPr="00301BB7">
        <w:rPr>
          <w:rFonts w:asciiTheme="majorBidi" w:hAnsiTheme="majorBidi" w:cstheme="majorBidi"/>
          <w:sz w:val="24"/>
          <w:szCs w:val="24"/>
          <w:lang w:val="en-US"/>
        </w:rPr>
        <w:t xml:space="preserve">. </w:t>
      </w:r>
      <w:r w:rsidR="0054091D">
        <w:rPr>
          <w:rFonts w:asciiTheme="majorBidi" w:hAnsiTheme="majorBidi" w:cstheme="majorBidi"/>
          <w:sz w:val="24"/>
          <w:szCs w:val="24"/>
          <w:lang w:val="en-US"/>
        </w:rPr>
        <w:t xml:space="preserve">Having sex with C is likely to benefit D’s health, but </w:t>
      </w:r>
      <w:r w:rsidR="0054091D" w:rsidRPr="00301BB7">
        <w:rPr>
          <w:rFonts w:asciiTheme="majorBidi" w:hAnsiTheme="majorBidi" w:cstheme="majorBidi"/>
          <w:sz w:val="24"/>
          <w:szCs w:val="24"/>
          <w:lang w:val="en-US"/>
        </w:rPr>
        <w:t>changing an advance directive is</w:t>
      </w:r>
      <w:r w:rsidR="0054091D">
        <w:rPr>
          <w:rFonts w:asciiTheme="majorBidi" w:hAnsiTheme="majorBidi" w:cstheme="majorBidi"/>
          <w:sz w:val="24"/>
          <w:szCs w:val="24"/>
          <w:lang w:val="en-US"/>
        </w:rPr>
        <w:t xml:space="preserve"> often a</w:t>
      </w:r>
      <w:r w:rsidR="0054091D" w:rsidRPr="00301BB7">
        <w:rPr>
          <w:rFonts w:asciiTheme="majorBidi" w:hAnsiTheme="majorBidi" w:cstheme="majorBidi"/>
          <w:sz w:val="24"/>
          <w:szCs w:val="24"/>
          <w:lang w:val="en-US"/>
        </w:rPr>
        <w:t xml:space="preserve"> matter of life or death</w:t>
      </w:r>
      <w:r w:rsidR="0054091D">
        <w:rPr>
          <w:rFonts w:asciiTheme="majorBidi" w:hAnsiTheme="majorBidi" w:cstheme="majorBidi"/>
          <w:sz w:val="24"/>
          <w:szCs w:val="24"/>
          <w:lang w:val="en-US"/>
        </w:rPr>
        <w:t xml:space="preserve">. Changing one’s advance directive or consenting to a medical procedure requires one to reason through complex, multi-step decisions. Having sex with one’s partner does not require this, because sex is simpler than a medical procedure or medical decision. </w:t>
      </w:r>
      <w:r w:rsidR="00C70B43" w:rsidRPr="00746FB0">
        <w:rPr>
          <w:rFonts w:asciiTheme="majorBidi" w:hAnsiTheme="majorBidi" w:cstheme="majorBidi"/>
          <w:sz w:val="24"/>
          <w:szCs w:val="24"/>
          <w:u w:val="single"/>
          <w:lang w:val="en-US"/>
        </w:rPr>
        <w:t xml:space="preserve">When I say that sex is simpler than a medical decision, I mean </w:t>
      </w:r>
      <w:r w:rsidR="00746FB0" w:rsidRPr="00746FB0">
        <w:rPr>
          <w:rFonts w:asciiTheme="majorBidi" w:hAnsiTheme="majorBidi" w:cstheme="majorBidi"/>
          <w:sz w:val="24"/>
          <w:szCs w:val="24"/>
          <w:u w:val="single"/>
          <w:lang w:val="en-US"/>
        </w:rPr>
        <w:t xml:space="preserve">that </w:t>
      </w:r>
      <w:r w:rsidR="004B0CB1">
        <w:rPr>
          <w:rFonts w:asciiTheme="majorBidi" w:hAnsiTheme="majorBidi" w:cstheme="majorBidi"/>
          <w:sz w:val="24"/>
          <w:szCs w:val="24"/>
          <w:u w:val="single"/>
          <w:lang w:val="en-US"/>
        </w:rPr>
        <w:t xml:space="preserve">the physical act of </w:t>
      </w:r>
      <w:r w:rsidR="00746FB0" w:rsidRPr="00746FB0">
        <w:rPr>
          <w:rFonts w:asciiTheme="majorBidi" w:hAnsiTheme="majorBidi" w:cstheme="majorBidi"/>
          <w:sz w:val="24"/>
          <w:szCs w:val="24"/>
          <w:u w:val="single"/>
          <w:lang w:val="en-US"/>
        </w:rPr>
        <w:t>sex is less complicated, requires less understanding and has fewer steps than many medical procedures; additionally, the risks of sex for D are typically lower</w:t>
      </w:r>
      <w:r w:rsidR="00C70B43" w:rsidRPr="00746FB0">
        <w:rPr>
          <w:rFonts w:asciiTheme="majorBidi" w:hAnsiTheme="majorBidi" w:cstheme="majorBidi"/>
          <w:sz w:val="24"/>
          <w:szCs w:val="24"/>
          <w:u w:val="single"/>
          <w:lang w:val="en-US"/>
        </w:rPr>
        <w:t xml:space="preserve"> </w:t>
      </w:r>
      <w:r w:rsidR="00746FB0" w:rsidRPr="00746FB0">
        <w:rPr>
          <w:rFonts w:asciiTheme="majorBidi" w:hAnsiTheme="majorBidi" w:cstheme="majorBidi"/>
          <w:sz w:val="24"/>
          <w:szCs w:val="24"/>
          <w:u w:val="single"/>
          <w:lang w:val="en-US"/>
        </w:rPr>
        <w:t>than they are for medical procedures</w:t>
      </w:r>
      <w:r w:rsidR="00746FB0">
        <w:rPr>
          <w:rFonts w:asciiTheme="majorBidi" w:hAnsiTheme="majorBidi" w:cstheme="majorBidi"/>
          <w:sz w:val="24"/>
          <w:szCs w:val="24"/>
          <w:u w:val="single"/>
          <w:lang w:val="en-US"/>
        </w:rPr>
        <w:t xml:space="preserve"> (more </w:t>
      </w:r>
      <w:r w:rsidR="00746FB0">
        <w:rPr>
          <w:rFonts w:asciiTheme="majorBidi" w:hAnsiTheme="majorBidi" w:cstheme="majorBidi"/>
          <w:sz w:val="24"/>
          <w:szCs w:val="24"/>
          <w:u w:val="single"/>
          <w:lang w:val="en-US"/>
        </w:rPr>
        <w:lastRenderedPageBreak/>
        <w:t>on this below)</w:t>
      </w:r>
      <w:r w:rsidR="00746FB0" w:rsidRPr="00746FB0">
        <w:rPr>
          <w:rFonts w:asciiTheme="majorBidi" w:hAnsiTheme="majorBidi" w:cstheme="majorBidi"/>
          <w:sz w:val="24"/>
          <w:szCs w:val="24"/>
          <w:u w:val="single"/>
          <w:lang w:val="en-US"/>
        </w:rPr>
        <w:t>.</w:t>
      </w:r>
      <w:r w:rsidR="004B0CB1">
        <w:rPr>
          <w:rFonts w:asciiTheme="majorBidi" w:hAnsiTheme="majorBidi" w:cstheme="majorBidi"/>
          <w:sz w:val="24"/>
          <w:szCs w:val="24"/>
          <w:u w:val="single"/>
          <w:lang w:val="en-US"/>
        </w:rPr>
        <w:t xml:space="preserve"> And, when the risks are lower, the standard for competence becomes lower. </w:t>
      </w:r>
      <w:r w:rsidR="0054091D">
        <w:rPr>
          <w:rFonts w:asciiTheme="majorBidi" w:hAnsiTheme="majorBidi" w:cstheme="majorBidi"/>
          <w:sz w:val="24"/>
          <w:szCs w:val="24"/>
          <w:lang w:val="en-US"/>
        </w:rPr>
        <w:t xml:space="preserve">Because of this, D </w:t>
      </w:r>
      <w:r w:rsidRPr="00301BB7">
        <w:rPr>
          <w:rFonts w:asciiTheme="majorBidi" w:hAnsiTheme="majorBidi" w:cstheme="majorBidi"/>
          <w:sz w:val="24"/>
          <w:szCs w:val="24"/>
          <w:lang w:val="en-US"/>
        </w:rPr>
        <w:t xml:space="preserve">must be considerably more competent to consent to changing her advance directive than she must be to consent to sex. Thus, to say that D is competent to consent to sex doesn’t entail that D is competent to make complicated medical decisions, </w:t>
      </w:r>
      <w:proofErr w:type="gramStart"/>
      <w:r w:rsidR="00E53509">
        <w:rPr>
          <w:rFonts w:asciiTheme="majorBidi" w:hAnsiTheme="majorBidi" w:cstheme="majorBidi"/>
          <w:sz w:val="24"/>
          <w:szCs w:val="24"/>
          <w:lang w:val="en-US"/>
        </w:rPr>
        <w:t>i.e.</w:t>
      </w:r>
      <w:proofErr w:type="gramEnd"/>
      <w:r w:rsidRPr="00301BB7">
        <w:rPr>
          <w:rFonts w:asciiTheme="majorBidi" w:hAnsiTheme="majorBidi" w:cstheme="majorBidi"/>
          <w:sz w:val="24"/>
          <w:szCs w:val="24"/>
          <w:lang w:val="en-US"/>
        </w:rPr>
        <w:t xml:space="preserve"> altering an advance directive.</w:t>
      </w:r>
      <w:r w:rsidR="004B0CB1" w:rsidRPr="004B0CB1">
        <w:rPr>
          <w:rFonts w:ascii="Times" w:hAnsi="Times"/>
          <w:sz w:val="24"/>
          <w:szCs w:val="24"/>
          <w:u w:val="single"/>
          <w:lang w:val="en-US"/>
        </w:rPr>
        <w:t xml:space="preserve"> </w:t>
      </w:r>
      <w:r w:rsidR="004B0CB1" w:rsidRPr="004B0CB1">
        <w:rPr>
          <w:rFonts w:asciiTheme="majorBidi" w:hAnsiTheme="majorBidi" w:cstheme="majorBidi"/>
          <w:sz w:val="24"/>
          <w:szCs w:val="24"/>
          <w:u w:val="single"/>
          <w:lang w:val="en-US"/>
        </w:rPr>
        <w:t>Of course, some medical procedures are fairly simple (</w:t>
      </w:r>
      <w:proofErr w:type="gramStart"/>
      <w:r w:rsidR="004B0CB1" w:rsidRPr="004B0CB1">
        <w:rPr>
          <w:rFonts w:asciiTheme="majorBidi" w:hAnsiTheme="majorBidi" w:cstheme="majorBidi"/>
          <w:sz w:val="24"/>
          <w:szCs w:val="24"/>
          <w:u w:val="single"/>
          <w:lang w:val="en-US"/>
        </w:rPr>
        <w:t>i.e.</w:t>
      </w:r>
      <w:proofErr w:type="gramEnd"/>
      <w:r w:rsidR="004B0CB1" w:rsidRPr="004B0CB1">
        <w:rPr>
          <w:rFonts w:asciiTheme="majorBidi" w:hAnsiTheme="majorBidi" w:cstheme="majorBidi"/>
          <w:sz w:val="24"/>
          <w:szCs w:val="24"/>
          <w:u w:val="single"/>
          <w:lang w:val="en-US"/>
        </w:rPr>
        <w:t xml:space="preserve"> a dental cleaning, a blood pressure check, etc.); for these procedures, I think D would be competent.</w:t>
      </w:r>
    </w:p>
    <w:p w14:paraId="672901FC" w14:textId="585FFDB0" w:rsidR="001324ED" w:rsidRPr="00301BB7" w:rsidRDefault="001324ED" w:rsidP="003547E1">
      <w:pPr>
        <w:spacing w:line="480" w:lineRule="auto"/>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One might object that </w:t>
      </w:r>
      <w:r w:rsidR="00E53509">
        <w:rPr>
          <w:rFonts w:asciiTheme="majorBidi" w:hAnsiTheme="majorBidi" w:cstheme="majorBidi"/>
          <w:sz w:val="24"/>
          <w:szCs w:val="24"/>
          <w:lang w:val="en-US"/>
        </w:rPr>
        <w:t>this</w:t>
      </w:r>
      <w:r>
        <w:rPr>
          <w:rFonts w:asciiTheme="majorBidi" w:hAnsiTheme="majorBidi" w:cstheme="majorBidi"/>
          <w:sz w:val="24"/>
          <w:szCs w:val="24"/>
          <w:lang w:val="en-US"/>
        </w:rPr>
        <w:t xml:space="preserve"> does not account for the potential harms of sex for D</w:t>
      </w:r>
      <w:r w:rsidR="0050586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If the potential harms of sex are very high, this may raise the bar of competence for consent to sex to the same level as consent to change one’s advance directive. </w:t>
      </w:r>
      <w:r w:rsidR="00C957C1">
        <w:rPr>
          <w:rFonts w:asciiTheme="majorBidi" w:hAnsiTheme="majorBidi" w:cstheme="majorBidi"/>
          <w:sz w:val="24"/>
          <w:szCs w:val="24"/>
          <w:lang w:val="en-US"/>
        </w:rPr>
        <w:t xml:space="preserve">I in no way mean to minimize the very serious risks that sex may pose to people with dementia. </w:t>
      </w:r>
      <w:r w:rsidR="008242D3">
        <w:rPr>
          <w:rFonts w:asciiTheme="majorBidi" w:hAnsiTheme="majorBidi" w:cstheme="majorBidi"/>
          <w:sz w:val="24"/>
          <w:szCs w:val="24"/>
          <w:lang w:val="en-US"/>
        </w:rPr>
        <w:t xml:space="preserve">If D does not actually consent, and C proceeds with sex, the harm would be severe. </w:t>
      </w:r>
      <w:r w:rsidR="00C957C1">
        <w:rPr>
          <w:rFonts w:asciiTheme="majorBidi" w:hAnsiTheme="majorBidi" w:cstheme="majorBidi"/>
          <w:sz w:val="24"/>
          <w:szCs w:val="24"/>
          <w:lang w:val="en-US"/>
        </w:rPr>
        <w:t xml:space="preserve">However, in the parameters of this discussion, these harms are far less likely. Given that the couples I am discussing are in loving, non-abusive relationships, and given that the partners with dementia meet a sufficient level of understanding and ability to communicate, </w:t>
      </w:r>
      <w:r w:rsidR="00505867">
        <w:rPr>
          <w:rFonts w:asciiTheme="majorBidi" w:hAnsiTheme="majorBidi" w:cstheme="majorBidi"/>
          <w:sz w:val="24"/>
          <w:szCs w:val="24"/>
          <w:lang w:val="en-US"/>
        </w:rPr>
        <w:t xml:space="preserve">and given the possibility for oversight, </w:t>
      </w:r>
      <w:r w:rsidR="00C957C1">
        <w:rPr>
          <w:rFonts w:asciiTheme="majorBidi" w:hAnsiTheme="majorBidi" w:cstheme="majorBidi"/>
          <w:sz w:val="24"/>
          <w:szCs w:val="24"/>
          <w:lang w:val="en-US"/>
        </w:rPr>
        <w:t xml:space="preserve">the harms of sex are unlikely for such individuals. Of course, there may be partners who take advantage of their spouse’s dementia to have nonconsensual sex with them. This is clearly wrong. </w:t>
      </w:r>
      <w:proofErr w:type="gramStart"/>
      <w:r w:rsidR="00C957C1">
        <w:rPr>
          <w:rFonts w:asciiTheme="majorBidi" w:hAnsiTheme="majorBidi" w:cstheme="majorBidi"/>
          <w:sz w:val="24"/>
          <w:szCs w:val="24"/>
          <w:lang w:val="en-US"/>
        </w:rPr>
        <w:t>But,</w:t>
      </w:r>
      <w:proofErr w:type="gramEnd"/>
      <w:r w:rsidR="00C957C1">
        <w:rPr>
          <w:rFonts w:asciiTheme="majorBidi" w:hAnsiTheme="majorBidi" w:cstheme="majorBidi"/>
          <w:sz w:val="24"/>
          <w:szCs w:val="24"/>
          <w:lang w:val="en-US"/>
        </w:rPr>
        <w:t xml:space="preserve"> we should not limit the </w:t>
      </w:r>
      <w:r w:rsidR="00307356">
        <w:rPr>
          <w:rFonts w:asciiTheme="majorBidi" w:hAnsiTheme="majorBidi" w:cstheme="majorBidi"/>
          <w:sz w:val="24"/>
          <w:szCs w:val="24"/>
          <w:lang w:val="en-US"/>
        </w:rPr>
        <w:t>autonomy</w:t>
      </w:r>
      <w:r w:rsidR="00C957C1">
        <w:rPr>
          <w:rFonts w:asciiTheme="majorBidi" w:hAnsiTheme="majorBidi" w:cstheme="majorBidi"/>
          <w:sz w:val="24"/>
          <w:szCs w:val="24"/>
          <w:lang w:val="en-US"/>
        </w:rPr>
        <w:t xml:space="preserve"> of those who wish to carry on their loving sexual relationships because others will abuse the rules.</w:t>
      </w:r>
      <w:r w:rsidR="00691075">
        <w:rPr>
          <w:rFonts w:asciiTheme="majorBidi" w:hAnsiTheme="majorBidi" w:cstheme="majorBidi"/>
          <w:sz w:val="24"/>
          <w:szCs w:val="24"/>
          <w:lang w:val="en-US"/>
        </w:rPr>
        <w:t xml:space="preserve"> </w:t>
      </w:r>
      <w:r w:rsidR="00307356">
        <w:rPr>
          <w:rFonts w:asciiTheme="majorBidi" w:hAnsiTheme="majorBidi" w:cstheme="majorBidi"/>
          <w:sz w:val="24"/>
          <w:szCs w:val="24"/>
          <w:lang w:val="en-US"/>
        </w:rPr>
        <w:t>S</w:t>
      </w:r>
      <w:r w:rsidR="00691075">
        <w:rPr>
          <w:rFonts w:asciiTheme="majorBidi" w:hAnsiTheme="majorBidi" w:cstheme="majorBidi"/>
          <w:sz w:val="24"/>
          <w:szCs w:val="24"/>
          <w:lang w:val="en-US"/>
        </w:rPr>
        <w:t>uppose that people have a right to freedom of movement across borders. If one immigrant were to murder a citizen, this is not a reason against all uses of freedom of migration.</w:t>
      </w:r>
      <w:r w:rsidR="006B6D3F">
        <w:rPr>
          <w:rFonts w:asciiTheme="majorBidi" w:hAnsiTheme="majorBidi" w:cstheme="majorBidi"/>
          <w:sz w:val="24"/>
          <w:szCs w:val="24"/>
          <w:lang w:val="en-US"/>
        </w:rPr>
        <w:t xml:space="preserve"> </w:t>
      </w:r>
    </w:p>
    <w:p w14:paraId="665E5703" w14:textId="42CD7C06" w:rsidR="00F17F49" w:rsidRPr="00D36F02" w:rsidRDefault="00F17F49" w:rsidP="00D36F02">
      <w:pPr>
        <w:spacing w:before="360" w:line="480" w:lineRule="auto"/>
        <w:rPr>
          <w:rFonts w:asciiTheme="majorBidi" w:hAnsiTheme="majorBidi" w:cstheme="majorBidi"/>
          <w:i/>
          <w:iCs/>
          <w:sz w:val="28"/>
          <w:szCs w:val="28"/>
          <w:lang w:val="en-US"/>
        </w:rPr>
      </w:pPr>
      <w:r w:rsidRPr="00D36F02">
        <w:rPr>
          <w:rFonts w:asciiTheme="majorBidi" w:hAnsiTheme="majorBidi" w:cstheme="majorBidi"/>
          <w:i/>
          <w:iCs/>
          <w:sz w:val="28"/>
          <w:szCs w:val="28"/>
          <w:lang w:val="en-US"/>
        </w:rPr>
        <w:t>Why C?</w:t>
      </w:r>
    </w:p>
    <w:p w14:paraId="4C3CF232" w14:textId="77777777" w:rsidR="00F17F49" w:rsidRPr="00301BB7" w:rsidRDefault="00F17F49" w:rsidP="003547E1">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One might object that my account unjustifiably restricts who D can give consent to. If D can consent, then D can consent to someone other than C. </w:t>
      </w:r>
    </w:p>
    <w:p w14:paraId="59244347" w14:textId="7A7B5A5F" w:rsidR="00550DE7" w:rsidRPr="006D63AC" w:rsidRDefault="00F17F49" w:rsidP="003547E1">
      <w:pPr>
        <w:spacing w:line="480" w:lineRule="auto"/>
        <w:ind w:firstLine="708"/>
        <w:contextualSpacing/>
        <w:rPr>
          <w:rFonts w:asciiTheme="majorBidi" w:hAnsiTheme="majorBidi" w:cstheme="majorBidi"/>
          <w:sz w:val="24"/>
          <w:szCs w:val="24"/>
          <w:u w:val="single"/>
          <w:lang w:val="en-US"/>
        </w:rPr>
      </w:pPr>
      <w:r w:rsidRPr="00301BB7">
        <w:rPr>
          <w:rFonts w:asciiTheme="majorBidi" w:hAnsiTheme="majorBidi" w:cstheme="majorBidi"/>
          <w:sz w:val="24"/>
          <w:szCs w:val="24"/>
          <w:lang w:val="en-US"/>
        </w:rPr>
        <w:lastRenderedPageBreak/>
        <w:t xml:space="preserve">Although D can consent, the person to whom she gives consent must be able to justifiably believe that she has consented. C is best positioned to determine if D is competent. C has unique access to D’s sexual cues, her memories, her sense of self, etc. </w:t>
      </w:r>
      <w:r w:rsidR="00425513" w:rsidRPr="00301BB7">
        <w:rPr>
          <w:rFonts w:asciiTheme="majorBidi" w:hAnsiTheme="majorBidi" w:cstheme="majorBidi"/>
          <w:sz w:val="24"/>
          <w:szCs w:val="24"/>
          <w:lang w:val="en-US"/>
        </w:rPr>
        <w:t xml:space="preserve">Some other person, P, </w:t>
      </w:r>
      <w:r w:rsidR="000A3078">
        <w:rPr>
          <w:rFonts w:asciiTheme="majorBidi" w:hAnsiTheme="majorBidi" w:cstheme="majorBidi"/>
          <w:sz w:val="24"/>
          <w:szCs w:val="24"/>
          <w:lang w:val="en-US"/>
        </w:rPr>
        <w:t xml:space="preserve">likely </w:t>
      </w:r>
      <w:r w:rsidR="00425513" w:rsidRPr="00301BB7">
        <w:rPr>
          <w:rFonts w:asciiTheme="majorBidi" w:hAnsiTheme="majorBidi" w:cstheme="majorBidi"/>
          <w:sz w:val="24"/>
          <w:szCs w:val="24"/>
          <w:lang w:val="en-US"/>
        </w:rPr>
        <w:t xml:space="preserve">couldn’t </w:t>
      </w:r>
      <w:r w:rsidR="00550DE7" w:rsidRPr="00301BB7">
        <w:rPr>
          <w:rFonts w:asciiTheme="majorBidi" w:hAnsiTheme="majorBidi" w:cstheme="majorBidi"/>
          <w:sz w:val="24"/>
          <w:szCs w:val="24"/>
          <w:lang w:val="en-US"/>
        </w:rPr>
        <w:t xml:space="preserve">know if D can give valid consent to sex, because P </w:t>
      </w:r>
      <w:r w:rsidR="00711E73" w:rsidRPr="00301BB7">
        <w:rPr>
          <w:rFonts w:asciiTheme="majorBidi" w:hAnsiTheme="majorBidi" w:cstheme="majorBidi"/>
          <w:sz w:val="24"/>
          <w:szCs w:val="24"/>
          <w:lang w:val="en-US"/>
        </w:rPr>
        <w:t>lack</w:t>
      </w:r>
      <w:r w:rsidR="00322077" w:rsidRPr="00301BB7">
        <w:rPr>
          <w:rFonts w:asciiTheme="majorBidi" w:hAnsiTheme="majorBidi" w:cstheme="majorBidi"/>
          <w:sz w:val="24"/>
          <w:szCs w:val="24"/>
          <w:lang w:val="en-US"/>
        </w:rPr>
        <w:t>s</w:t>
      </w:r>
      <w:r w:rsidR="00711E73" w:rsidRPr="00301BB7">
        <w:rPr>
          <w:rFonts w:asciiTheme="majorBidi" w:hAnsiTheme="majorBidi" w:cstheme="majorBidi"/>
          <w:sz w:val="24"/>
          <w:szCs w:val="24"/>
          <w:lang w:val="en-US"/>
        </w:rPr>
        <w:t xml:space="preserve"> this access.</w:t>
      </w:r>
      <w:r w:rsidR="00425513" w:rsidRPr="00301BB7">
        <w:rPr>
          <w:rFonts w:asciiTheme="majorBidi" w:hAnsiTheme="majorBidi" w:cstheme="majorBidi"/>
          <w:sz w:val="24"/>
          <w:szCs w:val="24"/>
          <w:lang w:val="en-US"/>
        </w:rPr>
        <w:t xml:space="preserve"> To clarify, my claim isn’t </w:t>
      </w:r>
      <w:r w:rsidR="00550DE7" w:rsidRPr="00301BB7">
        <w:rPr>
          <w:rFonts w:asciiTheme="majorBidi" w:hAnsiTheme="majorBidi" w:cstheme="majorBidi"/>
          <w:sz w:val="24"/>
          <w:szCs w:val="24"/>
          <w:lang w:val="en-US"/>
        </w:rPr>
        <w:t xml:space="preserve">that only C is capable of knowing if D is competent; my claim is that </w:t>
      </w:r>
      <w:r w:rsidR="00711E73" w:rsidRPr="00301BB7">
        <w:rPr>
          <w:rFonts w:asciiTheme="majorBidi" w:hAnsiTheme="majorBidi" w:cstheme="majorBidi"/>
          <w:sz w:val="24"/>
          <w:szCs w:val="24"/>
          <w:lang w:val="en-US"/>
        </w:rPr>
        <w:t xml:space="preserve">C is best positioned </w:t>
      </w:r>
      <w:r w:rsidR="00550DE7" w:rsidRPr="00301BB7">
        <w:rPr>
          <w:rFonts w:asciiTheme="majorBidi" w:hAnsiTheme="majorBidi" w:cstheme="majorBidi"/>
          <w:sz w:val="24"/>
          <w:szCs w:val="24"/>
          <w:lang w:val="en-US"/>
        </w:rPr>
        <w:t>to know if D is competent. It is possible that someone other than C could have enough access to D’s mind to assess her competence, but is unlikely.</w:t>
      </w:r>
      <w:r w:rsidR="00711E73" w:rsidRPr="00301BB7">
        <w:rPr>
          <w:rFonts w:asciiTheme="majorBidi" w:hAnsiTheme="majorBidi" w:cstheme="majorBidi"/>
          <w:sz w:val="24"/>
          <w:szCs w:val="24"/>
          <w:lang w:val="en-US"/>
        </w:rPr>
        <w:t xml:space="preserve"> I</w:t>
      </w:r>
      <w:r w:rsidR="00550DE7" w:rsidRPr="00301BB7">
        <w:rPr>
          <w:rFonts w:asciiTheme="majorBidi" w:hAnsiTheme="majorBidi" w:cstheme="majorBidi"/>
          <w:sz w:val="24"/>
          <w:szCs w:val="24"/>
          <w:lang w:val="en-US"/>
        </w:rPr>
        <w:t xml:space="preserve">n principle, if </w:t>
      </w:r>
      <w:r w:rsidR="00711E73" w:rsidRPr="00301BB7">
        <w:rPr>
          <w:rFonts w:asciiTheme="majorBidi" w:hAnsiTheme="majorBidi" w:cstheme="majorBidi"/>
          <w:sz w:val="24"/>
          <w:szCs w:val="24"/>
          <w:lang w:val="en-US"/>
        </w:rPr>
        <w:t>P had</w:t>
      </w:r>
      <w:r w:rsidR="00550DE7" w:rsidRPr="00301BB7">
        <w:rPr>
          <w:rFonts w:asciiTheme="majorBidi" w:hAnsiTheme="majorBidi" w:cstheme="majorBidi"/>
          <w:sz w:val="24"/>
          <w:szCs w:val="24"/>
          <w:lang w:val="en-US"/>
        </w:rPr>
        <w:t xml:space="preserve"> the same epistemic access as C, then D could permissibly have sex with </w:t>
      </w:r>
      <w:r w:rsidR="00711E73" w:rsidRPr="00301BB7">
        <w:rPr>
          <w:rFonts w:asciiTheme="majorBidi" w:hAnsiTheme="majorBidi" w:cstheme="majorBidi"/>
          <w:sz w:val="24"/>
          <w:szCs w:val="24"/>
          <w:lang w:val="en-US"/>
        </w:rPr>
        <w:t>P</w:t>
      </w:r>
      <w:r w:rsidR="00550DE7" w:rsidRPr="00301BB7">
        <w:rPr>
          <w:rFonts w:asciiTheme="majorBidi" w:hAnsiTheme="majorBidi" w:cstheme="majorBidi"/>
          <w:sz w:val="24"/>
          <w:szCs w:val="24"/>
          <w:lang w:val="en-US"/>
        </w:rPr>
        <w:t>.</w:t>
      </w:r>
      <w:r w:rsidR="00691075">
        <w:rPr>
          <w:rFonts w:asciiTheme="majorBidi" w:hAnsiTheme="majorBidi" w:cstheme="majorBidi"/>
          <w:sz w:val="24"/>
          <w:szCs w:val="24"/>
          <w:lang w:val="en-US"/>
        </w:rPr>
        <w:t xml:space="preserve"> </w:t>
      </w:r>
      <w:r w:rsidR="005752DB">
        <w:rPr>
          <w:rFonts w:asciiTheme="majorBidi" w:hAnsiTheme="majorBidi" w:cstheme="majorBidi"/>
          <w:sz w:val="24"/>
          <w:szCs w:val="24"/>
          <w:lang w:val="en-US"/>
        </w:rPr>
        <w:t>Overall</w:t>
      </w:r>
      <w:r w:rsidR="00691075">
        <w:rPr>
          <w:rFonts w:asciiTheme="majorBidi" w:hAnsiTheme="majorBidi" w:cstheme="majorBidi"/>
          <w:sz w:val="24"/>
          <w:szCs w:val="24"/>
          <w:lang w:val="en-US"/>
        </w:rPr>
        <w:t xml:space="preserve">, my claim is that, in principle, D is competent to give consent </w:t>
      </w:r>
      <w:r w:rsidR="005752DB">
        <w:rPr>
          <w:rFonts w:asciiTheme="majorBidi" w:hAnsiTheme="majorBidi" w:cstheme="majorBidi"/>
          <w:sz w:val="24"/>
          <w:szCs w:val="24"/>
          <w:lang w:val="en-US"/>
        </w:rPr>
        <w:t xml:space="preserve">to sex </w:t>
      </w:r>
      <w:r w:rsidR="00691075">
        <w:rPr>
          <w:rFonts w:asciiTheme="majorBidi" w:hAnsiTheme="majorBidi" w:cstheme="majorBidi"/>
          <w:sz w:val="24"/>
          <w:szCs w:val="24"/>
          <w:lang w:val="en-US"/>
        </w:rPr>
        <w:t>broadly, but, in practice, D is most likely only able to consent to C.</w:t>
      </w:r>
      <w:r w:rsidR="006D63AC">
        <w:rPr>
          <w:rFonts w:asciiTheme="majorBidi" w:hAnsiTheme="majorBidi" w:cstheme="majorBidi"/>
          <w:sz w:val="24"/>
          <w:szCs w:val="24"/>
          <w:lang w:val="en-US"/>
        </w:rPr>
        <w:t xml:space="preserve"> </w:t>
      </w:r>
      <w:r w:rsidR="006D63AC" w:rsidRPr="006D63AC">
        <w:rPr>
          <w:rFonts w:asciiTheme="majorBidi" w:hAnsiTheme="majorBidi" w:cstheme="majorBidi"/>
          <w:sz w:val="24"/>
          <w:szCs w:val="24"/>
          <w:u w:val="single"/>
          <w:lang w:val="en-US"/>
        </w:rPr>
        <w:t>Again, if it were the case that a new partner in the nursing home could develop sufficient familiarity with D, then D could have consensual sex with this person.</w:t>
      </w:r>
    </w:p>
    <w:p w14:paraId="367508FB" w14:textId="5D9EA45F" w:rsidR="00E13FA5" w:rsidRDefault="009C3CE3" w:rsidP="00E13FA5">
      <w:pPr>
        <w:spacing w:line="480" w:lineRule="auto"/>
        <w:ind w:firstLine="708"/>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The objector might </w:t>
      </w:r>
      <w:r w:rsidR="00695687" w:rsidRPr="00301BB7">
        <w:rPr>
          <w:rFonts w:asciiTheme="majorBidi" w:hAnsiTheme="majorBidi" w:cstheme="majorBidi"/>
          <w:sz w:val="24"/>
          <w:szCs w:val="24"/>
          <w:lang w:val="en-US"/>
        </w:rPr>
        <w:t>claim</w:t>
      </w:r>
      <w:r w:rsidRPr="00301BB7">
        <w:rPr>
          <w:rFonts w:asciiTheme="majorBidi" w:hAnsiTheme="majorBidi" w:cstheme="majorBidi"/>
          <w:sz w:val="24"/>
          <w:szCs w:val="24"/>
          <w:lang w:val="en-US"/>
        </w:rPr>
        <w:t xml:space="preserve"> that I have excluded cases in which D wants to have sex with another person with dementia</w:t>
      </w:r>
      <w:r w:rsidR="00695687" w:rsidRPr="00301BB7">
        <w:rPr>
          <w:rFonts w:asciiTheme="majorBidi" w:hAnsiTheme="majorBidi" w:cstheme="majorBidi"/>
          <w:sz w:val="24"/>
          <w:szCs w:val="24"/>
          <w:lang w:val="en-US"/>
        </w:rPr>
        <w:t xml:space="preserve">, H. The same reasons would apply to H. as he would lack </w:t>
      </w:r>
      <w:r w:rsidR="00272052" w:rsidRPr="00301BB7">
        <w:rPr>
          <w:rFonts w:asciiTheme="majorBidi" w:hAnsiTheme="majorBidi" w:cstheme="majorBidi"/>
          <w:sz w:val="24"/>
          <w:szCs w:val="24"/>
          <w:lang w:val="en-US"/>
        </w:rPr>
        <w:t>C’s special</w:t>
      </w:r>
      <w:r w:rsidR="00695687" w:rsidRPr="00301BB7">
        <w:rPr>
          <w:rFonts w:asciiTheme="majorBidi" w:hAnsiTheme="majorBidi" w:cstheme="majorBidi"/>
          <w:sz w:val="24"/>
          <w:szCs w:val="24"/>
          <w:lang w:val="en-US"/>
        </w:rPr>
        <w:t xml:space="preserve"> epistemic access to D. </w:t>
      </w:r>
      <w:r w:rsidR="00E13FA5">
        <w:rPr>
          <w:rFonts w:asciiTheme="majorBidi" w:hAnsiTheme="majorBidi" w:cstheme="majorBidi"/>
          <w:sz w:val="24"/>
          <w:szCs w:val="24"/>
          <w:lang w:val="en-US"/>
        </w:rPr>
        <w:t>Neither D nor H would be able to have a justified belief that the other satisfies the condition of the Concurrent Consent Thesis.</w:t>
      </w:r>
    </w:p>
    <w:p w14:paraId="1257A112" w14:textId="0281BC4D" w:rsidR="00884F5A" w:rsidRPr="00D36F02" w:rsidRDefault="00F15D0A" w:rsidP="00D36F02">
      <w:pPr>
        <w:spacing w:before="360" w:line="480" w:lineRule="auto"/>
        <w:rPr>
          <w:rFonts w:asciiTheme="majorBidi" w:hAnsiTheme="majorBidi" w:cstheme="majorBidi"/>
          <w:b/>
          <w:bCs/>
          <w:i/>
          <w:iCs/>
          <w:sz w:val="24"/>
          <w:szCs w:val="24"/>
          <w:lang w:val="en-US"/>
        </w:rPr>
      </w:pPr>
      <w:r w:rsidRPr="00D36F02">
        <w:rPr>
          <w:rFonts w:asciiTheme="majorBidi" w:hAnsiTheme="majorBidi" w:cstheme="majorBidi"/>
          <w:b/>
          <w:bCs/>
          <w:i/>
          <w:iCs/>
          <w:sz w:val="24"/>
          <w:szCs w:val="24"/>
          <w:lang w:val="en-US"/>
        </w:rPr>
        <w:t>Conclusion</w:t>
      </w:r>
    </w:p>
    <w:p w14:paraId="46CAE5C9" w14:textId="30B88656" w:rsidR="00B11539" w:rsidRDefault="00B72266" w:rsidP="00B11539">
      <w:pPr>
        <w:spacing w:line="480" w:lineRule="auto"/>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If</w:t>
      </w:r>
      <w:r w:rsidR="00CE716E" w:rsidRPr="00301BB7">
        <w:rPr>
          <w:rFonts w:asciiTheme="majorBidi" w:hAnsiTheme="majorBidi" w:cstheme="majorBidi"/>
          <w:sz w:val="24"/>
          <w:szCs w:val="24"/>
          <w:lang w:val="en-US"/>
        </w:rPr>
        <w:t xml:space="preserve"> certain conditions obtain, partners who have been in a committed, long-term relationship may continue having sex even after one partner </w:t>
      </w:r>
      <w:r w:rsidR="003C41C5">
        <w:rPr>
          <w:rFonts w:asciiTheme="majorBidi" w:hAnsiTheme="majorBidi" w:cstheme="majorBidi"/>
          <w:sz w:val="24"/>
          <w:szCs w:val="24"/>
          <w:lang w:val="en-US"/>
        </w:rPr>
        <w:t>develops dementia</w:t>
      </w:r>
      <w:r w:rsidR="00CE716E" w:rsidRPr="00301BB7">
        <w:rPr>
          <w:rFonts w:asciiTheme="majorBidi" w:hAnsiTheme="majorBidi" w:cstheme="majorBidi"/>
          <w:sz w:val="24"/>
          <w:szCs w:val="24"/>
          <w:lang w:val="en-US"/>
        </w:rPr>
        <w:t xml:space="preserve">. This is the case because individuals with dementia </w:t>
      </w:r>
      <w:r w:rsidR="00F15D0A" w:rsidRPr="00301BB7">
        <w:rPr>
          <w:rFonts w:asciiTheme="majorBidi" w:hAnsiTheme="majorBidi" w:cstheme="majorBidi"/>
          <w:sz w:val="24"/>
          <w:szCs w:val="24"/>
          <w:lang w:val="en-US"/>
        </w:rPr>
        <w:t>can give</w:t>
      </w:r>
      <w:r w:rsidR="00CE716E" w:rsidRPr="00301BB7">
        <w:rPr>
          <w:rFonts w:asciiTheme="majorBidi" w:hAnsiTheme="majorBidi" w:cstheme="majorBidi"/>
          <w:sz w:val="24"/>
          <w:szCs w:val="24"/>
          <w:lang w:val="en-US"/>
        </w:rPr>
        <w:t xml:space="preserve"> valid concurrent consent to sex</w:t>
      </w:r>
      <w:r w:rsidR="0028285D">
        <w:rPr>
          <w:rFonts w:asciiTheme="majorBidi" w:hAnsiTheme="majorBidi" w:cstheme="majorBidi"/>
          <w:sz w:val="24"/>
          <w:szCs w:val="24"/>
          <w:lang w:val="en-US"/>
        </w:rPr>
        <w:t xml:space="preserve">. </w:t>
      </w:r>
      <w:r w:rsidR="00BB4649">
        <w:rPr>
          <w:rFonts w:asciiTheme="majorBidi" w:hAnsiTheme="majorBidi" w:cstheme="majorBidi"/>
          <w:sz w:val="24"/>
          <w:szCs w:val="24"/>
          <w:lang w:val="en-US"/>
        </w:rPr>
        <w:t>T</w:t>
      </w:r>
      <w:r w:rsidR="008F1D87" w:rsidRPr="00301BB7">
        <w:rPr>
          <w:rFonts w:asciiTheme="majorBidi" w:hAnsiTheme="majorBidi" w:cstheme="majorBidi"/>
          <w:sz w:val="24"/>
          <w:szCs w:val="24"/>
          <w:lang w:val="en-US"/>
        </w:rPr>
        <w:t>he status quo un</w:t>
      </w:r>
      <w:r w:rsidR="00EC28EF" w:rsidRPr="00301BB7">
        <w:rPr>
          <w:rFonts w:asciiTheme="majorBidi" w:hAnsiTheme="majorBidi" w:cstheme="majorBidi"/>
          <w:sz w:val="24"/>
          <w:szCs w:val="24"/>
          <w:lang w:val="en-US"/>
        </w:rPr>
        <w:t>justly prevent</w:t>
      </w:r>
      <w:r w:rsidR="00BB4649">
        <w:rPr>
          <w:rFonts w:asciiTheme="majorBidi" w:hAnsiTheme="majorBidi" w:cstheme="majorBidi"/>
          <w:sz w:val="24"/>
          <w:szCs w:val="24"/>
          <w:lang w:val="en-US"/>
        </w:rPr>
        <w:t>s</w:t>
      </w:r>
      <w:r w:rsidR="008F1D87" w:rsidRPr="00301BB7">
        <w:rPr>
          <w:rFonts w:asciiTheme="majorBidi" w:hAnsiTheme="majorBidi" w:cstheme="majorBidi"/>
          <w:sz w:val="24"/>
          <w:szCs w:val="24"/>
          <w:lang w:val="en-US"/>
        </w:rPr>
        <w:t xml:space="preserve"> individuals </w:t>
      </w:r>
      <w:r w:rsidR="003C41C5">
        <w:rPr>
          <w:rFonts w:asciiTheme="majorBidi" w:hAnsiTheme="majorBidi" w:cstheme="majorBidi"/>
          <w:sz w:val="24"/>
          <w:szCs w:val="24"/>
          <w:lang w:val="en-US"/>
        </w:rPr>
        <w:t xml:space="preserve">with dementia </w:t>
      </w:r>
      <w:r w:rsidR="008F1D87" w:rsidRPr="00301BB7">
        <w:rPr>
          <w:rFonts w:asciiTheme="majorBidi" w:hAnsiTheme="majorBidi" w:cstheme="majorBidi"/>
          <w:sz w:val="24"/>
          <w:szCs w:val="24"/>
          <w:lang w:val="en-US"/>
        </w:rPr>
        <w:t>from engaging in sexual expression.</w:t>
      </w:r>
    </w:p>
    <w:p w14:paraId="7943E6BE" w14:textId="77777777" w:rsidR="00F17F49" w:rsidRDefault="00F17F49">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14:paraId="70DE3D56" w14:textId="2EA7DFDD" w:rsidR="00474D97" w:rsidRPr="00B11539" w:rsidRDefault="00474D97" w:rsidP="00BF2829">
      <w:pPr>
        <w:spacing w:line="240" w:lineRule="auto"/>
        <w:contextualSpacing/>
        <w:jc w:val="center"/>
        <w:rPr>
          <w:rFonts w:asciiTheme="majorBidi" w:hAnsiTheme="majorBidi" w:cstheme="majorBidi"/>
          <w:sz w:val="24"/>
          <w:szCs w:val="24"/>
          <w:lang w:val="en-US"/>
        </w:rPr>
      </w:pPr>
      <w:r w:rsidRPr="00036758">
        <w:rPr>
          <w:rFonts w:asciiTheme="majorBidi" w:hAnsiTheme="majorBidi" w:cstheme="majorBidi"/>
          <w:b/>
          <w:bCs/>
          <w:sz w:val="24"/>
          <w:szCs w:val="24"/>
          <w:lang w:val="en-US"/>
        </w:rPr>
        <w:lastRenderedPageBreak/>
        <w:t>References</w:t>
      </w:r>
    </w:p>
    <w:p w14:paraId="7FD26254" w14:textId="6784847B" w:rsidR="00474D97" w:rsidRPr="00301BB7" w:rsidRDefault="00474D97" w:rsidP="005C6808">
      <w:pPr>
        <w:spacing w:line="240" w:lineRule="auto"/>
        <w:ind w:left="720" w:hanging="720"/>
        <w:contextualSpacing/>
        <w:rPr>
          <w:rFonts w:asciiTheme="majorBidi" w:hAnsiTheme="majorBidi" w:cstheme="majorBidi"/>
          <w:b/>
          <w:bCs/>
          <w:sz w:val="24"/>
          <w:szCs w:val="24"/>
          <w:lang w:val="en-US"/>
        </w:rPr>
      </w:pPr>
      <w:r w:rsidRPr="00301BB7">
        <w:rPr>
          <w:rFonts w:asciiTheme="majorBidi" w:hAnsiTheme="majorBidi" w:cstheme="majorBidi"/>
          <w:sz w:val="24"/>
          <w:szCs w:val="24"/>
          <w:lang w:val="en-US"/>
        </w:rPr>
        <w:t>Alzheimer’s Association. “Tests for Alzheimer’s Disease and Dementia.</w:t>
      </w:r>
      <w:r w:rsidR="00115BC7">
        <w:rPr>
          <w:rFonts w:asciiTheme="majorBidi" w:hAnsiTheme="majorBidi" w:cstheme="majorBidi"/>
          <w:sz w:val="24"/>
          <w:szCs w:val="24"/>
          <w:lang w:val="en-US"/>
        </w:rPr>
        <w:t>”</w:t>
      </w:r>
      <w:r w:rsidRPr="00301BB7">
        <w:rPr>
          <w:rFonts w:asciiTheme="majorBidi" w:hAnsiTheme="majorBidi" w:cstheme="majorBidi"/>
          <w:sz w:val="24"/>
          <w:szCs w:val="24"/>
          <w:lang w:val="en-US"/>
        </w:rPr>
        <w:t xml:space="preserve"> https://www.alz.org/alzheimers_disease_steps_to_diagnosis.asp</w:t>
      </w:r>
    </w:p>
    <w:p w14:paraId="09F38F2E"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Ballard, C.G., M. Solis, P. Cullen, and G. Wilcock. “Sexual Relationships in Married Dementia Sufferers.” </w:t>
      </w:r>
      <w:r w:rsidRPr="00301BB7">
        <w:rPr>
          <w:rFonts w:asciiTheme="majorBidi" w:hAnsiTheme="majorBidi" w:cstheme="majorBidi"/>
          <w:i/>
          <w:iCs/>
          <w:sz w:val="24"/>
          <w:szCs w:val="24"/>
          <w:lang w:val="en-US"/>
        </w:rPr>
        <w:t>International Journal of Geriatric Psychiatry</w:t>
      </w:r>
      <w:r w:rsidRPr="00301BB7">
        <w:rPr>
          <w:rFonts w:asciiTheme="majorBidi" w:hAnsiTheme="majorBidi" w:cstheme="majorBidi"/>
          <w:sz w:val="24"/>
          <w:szCs w:val="24"/>
          <w:lang w:val="en-US"/>
        </w:rPr>
        <w:t xml:space="preserve"> 12 (1997): 447-451.</w:t>
      </w:r>
    </w:p>
    <w:p w14:paraId="5FC8997F"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proofErr w:type="spellStart"/>
      <w:r w:rsidRPr="00301BB7">
        <w:rPr>
          <w:rFonts w:asciiTheme="majorBidi" w:hAnsiTheme="majorBidi" w:cstheme="majorBidi"/>
          <w:sz w:val="24"/>
          <w:szCs w:val="24"/>
          <w:lang w:val="en-US"/>
        </w:rPr>
        <w:t>Beitchman</w:t>
      </w:r>
      <w:proofErr w:type="spellEnd"/>
      <w:r w:rsidRPr="00301BB7">
        <w:rPr>
          <w:rFonts w:asciiTheme="majorBidi" w:hAnsiTheme="majorBidi" w:cstheme="majorBidi"/>
          <w:sz w:val="24"/>
          <w:szCs w:val="24"/>
          <w:lang w:val="en-US"/>
        </w:rPr>
        <w:t xml:space="preserve">, Joseph H et al. “A Review of the Long-Term Effects of Child Sexual Abuse.” </w:t>
      </w:r>
      <w:r w:rsidRPr="00301BB7">
        <w:rPr>
          <w:rFonts w:asciiTheme="majorBidi" w:hAnsiTheme="majorBidi" w:cstheme="majorBidi"/>
          <w:i/>
          <w:iCs/>
          <w:sz w:val="24"/>
          <w:szCs w:val="24"/>
          <w:lang w:val="en-US"/>
        </w:rPr>
        <w:t>Child Abuse &amp; Neglect</w:t>
      </w:r>
      <w:r w:rsidRPr="00301BB7">
        <w:rPr>
          <w:rFonts w:asciiTheme="majorBidi" w:hAnsiTheme="majorBidi" w:cstheme="majorBidi"/>
          <w:sz w:val="24"/>
          <w:szCs w:val="24"/>
          <w:lang w:val="en-US"/>
        </w:rPr>
        <w:t xml:space="preserve"> 16 (1992): 101-118.</w:t>
      </w:r>
    </w:p>
    <w:p w14:paraId="2F1AD81F" w14:textId="0174FE64" w:rsidR="003E5FA5" w:rsidRDefault="003E5FA5" w:rsidP="005C6808">
      <w:pPr>
        <w:spacing w:line="240" w:lineRule="auto"/>
        <w:ind w:left="720" w:hanging="72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Bianchi, Andria. “Sex, Dementia, and Consent.” Doctoral Dissertation (2018): </w:t>
      </w:r>
      <w:hyperlink r:id="rId8" w:history="1">
        <w:r w:rsidR="00FA2D10" w:rsidRPr="00DD097C">
          <w:rPr>
            <w:rStyle w:val="Hyperlink"/>
            <w:rFonts w:asciiTheme="majorBidi" w:hAnsiTheme="majorBidi" w:cstheme="majorBidi"/>
            <w:sz w:val="24"/>
            <w:szCs w:val="24"/>
            <w:lang w:val="en-US"/>
          </w:rPr>
          <w:t>https://uwspace.uwaterloo.ca/bitstream/handle/10012/13520/Bianchi_Andria.pdf?sequence=3&amp;isAllowed=y</w:t>
        </w:r>
      </w:hyperlink>
    </w:p>
    <w:p w14:paraId="5845E6B4" w14:textId="10A1E412" w:rsidR="00816314" w:rsidRDefault="00816314" w:rsidP="00580523">
      <w:pPr>
        <w:spacing w:line="240" w:lineRule="auto"/>
        <w:ind w:left="720" w:hanging="720"/>
        <w:contextualSpacing/>
        <w:rPr>
          <w:rFonts w:asciiTheme="majorBidi" w:hAnsiTheme="majorBidi" w:cstheme="majorBidi"/>
          <w:sz w:val="24"/>
          <w:szCs w:val="24"/>
          <w:lang w:val="en-US"/>
        </w:rPr>
      </w:pPr>
      <w:r w:rsidRPr="00816314">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81631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“Sexual Consent, Aging, and Dementia.” In </w:t>
      </w:r>
      <w:r w:rsidRPr="00580523">
        <w:rPr>
          <w:rFonts w:asciiTheme="majorBidi" w:hAnsiTheme="majorBidi" w:cstheme="majorBidi"/>
          <w:i/>
          <w:iCs/>
          <w:sz w:val="24"/>
          <w:szCs w:val="24"/>
          <w:lang w:val="en-US"/>
        </w:rPr>
        <w:t>The Routledge Handbook of Philosophy of Sex and Sexuality</w:t>
      </w:r>
      <w:r>
        <w:rPr>
          <w:rFonts w:asciiTheme="majorBidi" w:hAnsiTheme="majorBidi" w:cstheme="majorBidi"/>
          <w:sz w:val="24"/>
          <w:szCs w:val="24"/>
          <w:lang w:val="en-US"/>
        </w:rPr>
        <w:t>. Ed Brian Earp, Clare Chambers, and Lori Watson. Routledge. 2022a. 1-11.</w:t>
      </w:r>
    </w:p>
    <w:p w14:paraId="2DB73ED0" w14:textId="55788DDE" w:rsidR="00816314" w:rsidRPr="00816314" w:rsidRDefault="00816314" w:rsidP="00580523">
      <w:pPr>
        <w:spacing w:line="240" w:lineRule="auto"/>
        <w:ind w:left="720" w:hanging="72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 - - “Sexual Consent, Dementia, and Well-Being.” </w:t>
      </w:r>
      <w:r w:rsidR="00580523">
        <w:rPr>
          <w:rFonts w:asciiTheme="majorBidi" w:hAnsiTheme="majorBidi" w:cstheme="majorBidi"/>
          <w:sz w:val="24"/>
          <w:szCs w:val="24"/>
          <w:lang w:val="en-US"/>
        </w:rPr>
        <w:t xml:space="preserve">In </w:t>
      </w:r>
      <w:r w:rsidR="00580523" w:rsidRPr="00580523">
        <w:rPr>
          <w:rFonts w:asciiTheme="majorBidi" w:hAnsiTheme="majorBidi" w:cstheme="majorBidi"/>
          <w:i/>
          <w:iCs/>
          <w:sz w:val="24"/>
          <w:szCs w:val="24"/>
          <w:lang w:val="en-US"/>
        </w:rPr>
        <w:t>The Palgrave Handbook of Sexual Ethics</w:t>
      </w:r>
      <w:r w:rsidR="00580523">
        <w:rPr>
          <w:rFonts w:asciiTheme="majorBidi" w:hAnsiTheme="majorBidi" w:cstheme="majorBidi"/>
          <w:sz w:val="24"/>
          <w:szCs w:val="24"/>
          <w:lang w:val="en-US"/>
        </w:rPr>
        <w:t xml:space="preserve">. Ed. David </w:t>
      </w:r>
      <w:proofErr w:type="spellStart"/>
      <w:r w:rsidR="00580523">
        <w:rPr>
          <w:rFonts w:asciiTheme="majorBidi" w:hAnsiTheme="majorBidi" w:cstheme="majorBidi"/>
          <w:sz w:val="24"/>
          <w:szCs w:val="24"/>
          <w:lang w:val="en-US"/>
        </w:rPr>
        <w:t>Boonin</w:t>
      </w:r>
      <w:proofErr w:type="spellEnd"/>
      <w:r w:rsidR="00580523">
        <w:rPr>
          <w:rFonts w:asciiTheme="majorBidi" w:hAnsiTheme="majorBidi" w:cstheme="majorBidi"/>
          <w:sz w:val="24"/>
          <w:szCs w:val="24"/>
          <w:lang w:val="en-US"/>
        </w:rPr>
        <w:t>. Palgrave Macmillan. 2022. 357-376.</w:t>
      </w:r>
    </w:p>
    <w:p w14:paraId="69C7D66A" w14:textId="14428DC8" w:rsidR="00FA2D10" w:rsidRPr="00597929" w:rsidRDefault="00FA2D10" w:rsidP="00115BC7">
      <w:pPr>
        <w:spacing w:line="240" w:lineRule="auto"/>
        <w:ind w:left="720" w:hanging="720"/>
        <w:contextualSpacing/>
        <w:rPr>
          <w:rFonts w:asciiTheme="majorBidi" w:hAnsiTheme="majorBidi" w:cstheme="majorBidi"/>
          <w:sz w:val="24"/>
          <w:szCs w:val="24"/>
          <w:lang w:val="en-US"/>
        </w:rPr>
      </w:pPr>
      <w:proofErr w:type="spellStart"/>
      <w:r>
        <w:rPr>
          <w:rFonts w:asciiTheme="majorBidi" w:hAnsiTheme="majorBidi" w:cstheme="majorBidi"/>
          <w:sz w:val="24"/>
          <w:szCs w:val="24"/>
          <w:lang w:val="en-US"/>
        </w:rPr>
        <w:t>Boni</w:t>
      </w:r>
      <w:proofErr w:type="spellEnd"/>
      <w:r>
        <w:rPr>
          <w:rFonts w:asciiTheme="majorBidi" w:hAnsiTheme="majorBidi" w:cstheme="majorBidi"/>
          <w:sz w:val="24"/>
          <w:szCs w:val="24"/>
          <w:lang w:val="en-US"/>
        </w:rPr>
        <w:t>-Saenz, Alexander.</w:t>
      </w:r>
      <w:r w:rsidR="00597929">
        <w:rPr>
          <w:rFonts w:asciiTheme="majorBidi" w:hAnsiTheme="majorBidi" w:cstheme="majorBidi"/>
          <w:sz w:val="24"/>
          <w:szCs w:val="24"/>
          <w:lang w:val="en-US"/>
        </w:rPr>
        <w:t xml:space="preserve"> “</w:t>
      </w:r>
      <w:r w:rsidRPr="00597929">
        <w:rPr>
          <w:rFonts w:asciiTheme="majorBidi" w:hAnsiTheme="majorBidi" w:cstheme="majorBidi"/>
          <w:sz w:val="24"/>
          <w:szCs w:val="24"/>
          <w:lang w:val="en-US"/>
        </w:rPr>
        <w:t>Sexual advance directives</w:t>
      </w:r>
      <w:r w:rsidR="00597929">
        <w:rPr>
          <w:rFonts w:asciiTheme="majorBidi" w:hAnsiTheme="majorBidi" w:cstheme="majorBidi"/>
          <w:sz w:val="24"/>
          <w:szCs w:val="24"/>
          <w:lang w:val="en-US"/>
        </w:rPr>
        <w:t xml:space="preserve">.” </w:t>
      </w:r>
      <w:r w:rsidR="00597929" w:rsidRPr="00597929">
        <w:rPr>
          <w:rFonts w:asciiTheme="majorBidi" w:hAnsiTheme="majorBidi" w:cstheme="majorBidi"/>
          <w:i/>
          <w:iCs/>
          <w:sz w:val="24"/>
          <w:szCs w:val="24"/>
          <w:lang w:val="en-US"/>
        </w:rPr>
        <w:t>Alabama Law Review</w:t>
      </w:r>
      <w:r w:rsidR="00597929">
        <w:rPr>
          <w:rFonts w:asciiTheme="majorBidi" w:hAnsiTheme="majorBidi" w:cstheme="majorBidi"/>
          <w:sz w:val="24"/>
          <w:szCs w:val="24"/>
          <w:lang w:val="en-US"/>
        </w:rPr>
        <w:t xml:space="preserve"> 68, no. 1 (2016): 1-47.</w:t>
      </w:r>
    </w:p>
    <w:p w14:paraId="2DB58969" w14:textId="1A5379CA"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Buckles, V.D., K.K. </w:t>
      </w:r>
      <w:proofErr w:type="spellStart"/>
      <w:r w:rsidRPr="00301BB7">
        <w:rPr>
          <w:rFonts w:asciiTheme="majorBidi" w:hAnsiTheme="majorBidi" w:cstheme="majorBidi"/>
          <w:sz w:val="24"/>
          <w:szCs w:val="24"/>
          <w:lang w:val="en-US"/>
        </w:rPr>
        <w:t>Powlishta</w:t>
      </w:r>
      <w:proofErr w:type="spellEnd"/>
      <w:r w:rsidRPr="00301BB7">
        <w:rPr>
          <w:rFonts w:asciiTheme="majorBidi" w:hAnsiTheme="majorBidi" w:cstheme="majorBidi"/>
          <w:sz w:val="24"/>
          <w:szCs w:val="24"/>
          <w:lang w:val="en-US"/>
        </w:rPr>
        <w:t xml:space="preserve">, M. Coats, T. </w:t>
      </w:r>
      <w:proofErr w:type="spellStart"/>
      <w:r w:rsidRPr="00301BB7">
        <w:rPr>
          <w:rFonts w:asciiTheme="majorBidi" w:hAnsiTheme="majorBidi" w:cstheme="majorBidi"/>
          <w:sz w:val="24"/>
          <w:szCs w:val="24"/>
          <w:lang w:val="en-US"/>
        </w:rPr>
        <w:t>Hosto</w:t>
      </w:r>
      <w:proofErr w:type="spellEnd"/>
      <w:r w:rsidRPr="00301BB7">
        <w:rPr>
          <w:rFonts w:asciiTheme="majorBidi" w:hAnsiTheme="majorBidi" w:cstheme="majorBidi"/>
          <w:sz w:val="24"/>
          <w:szCs w:val="24"/>
          <w:lang w:val="en-US"/>
        </w:rPr>
        <w:t xml:space="preserve">, A. Buckley, and J.C. Morris. “Understanding of Informed Consent </w:t>
      </w:r>
      <w:proofErr w:type="gramStart"/>
      <w:r w:rsidRPr="00301BB7">
        <w:rPr>
          <w:rFonts w:asciiTheme="majorBidi" w:hAnsiTheme="majorBidi" w:cstheme="majorBidi"/>
          <w:sz w:val="24"/>
          <w:szCs w:val="24"/>
          <w:lang w:val="en-US"/>
        </w:rPr>
        <w:t>By</w:t>
      </w:r>
      <w:proofErr w:type="gramEnd"/>
      <w:r w:rsidRPr="00301BB7">
        <w:rPr>
          <w:rFonts w:asciiTheme="majorBidi" w:hAnsiTheme="majorBidi" w:cstheme="majorBidi"/>
          <w:sz w:val="24"/>
          <w:szCs w:val="24"/>
          <w:lang w:val="en-US"/>
        </w:rPr>
        <w:t xml:space="preserve"> Demented Individuals.” </w:t>
      </w:r>
      <w:r w:rsidRPr="00301BB7">
        <w:rPr>
          <w:rFonts w:asciiTheme="majorBidi" w:hAnsiTheme="majorBidi" w:cstheme="majorBidi"/>
          <w:i/>
          <w:iCs/>
          <w:sz w:val="24"/>
          <w:szCs w:val="24"/>
          <w:lang w:val="en-US"/>
        </w:rPr>
        <w:t>Neurology</w:t>
      </w:r>
      <w:r w:rsidRPr="00301BB7">
        <w:rPr>
          <w:rFonts w:asciiTheme="majorBidi" w:hAnsiTheme="majorBidi" w:cstheme="majorBidi"/>
          <w:sz w:val="24"/>
          <w:szCs w:val="24"/>
          <w:lang w:val="en-US"/>
        </w:rPr>
        <w:t xml:space="preserve"> 61, no. 12 (2003): 1662-1666.</w:t>
      </w:r>
    </w:p>
    <w:p w14:paraId="25C7F495" w14:textId="31014BE4" w:rsidR="00B84A4F" w:rsidRDefault="00B84A4F" w:rsidP="005C6808">
      <w:pPr>
        <w:spacing w:line="240" w:lineRule="auto"/>
        <w:ind w:left="720" w:hanging="72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Centers for Medicare and Medicaid Services” Revisions to Appendix Q, Guidance on Immediate Jeopardy.” 2019: </w:t>
      </w:r>
      <w:r w:rsidRPr="00B84A4F">
        <w:rPr>
          <w:rFonts w:asciiTheme="majorBidi" w:hAnsiTheme="majorBidi" w:cstheme="majorBidi"/>
          <w:sz w:val="24"/>
          <w:szCs w:val="24"/>
          <w:lang w:val="en-US"/>
        </w:rPr>
        <w:t>https://www.cms.gov/Medicare/Provider-Enrollment-and-Certification/SurveyCertificationGenInfo/Policy-and-Memos-to-States-and-Regions-Items/QSO19-09-ALL</w:t>
      </w:r>
    </w:p>
    <w:p w14:paraId="286546AE" w14:textId="42FAACE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Charland, Louis C. “Decision-Making Capacity.” </w:t>
      </w:r>
      <w:r w:rsidRPr="00301BB7">
        <w:rPr>
          <w:rFonts w:asciiTheme="majorBidi" w:hAnsiTheme="majorBidi" w:cstheme="majorBidi"/>
          <w:i/>
          <w:iCs/>
          <w:sz w:val="24"/>
          <w:szCs w:val="24"/>
          <w:lang w:val="en-US"/>
        </w:rPr>
        <w:t>The Stanford Encyclopedia of Philosophy</w:t>
      </w:r>
      <w:r w:rsidRPr="00301BB7">
        <w:rPr>
          <w:rFonts w:asciiTheme="majorBidi" w:hAnsiTheme="majorBidi" w:cstheme="majorBidi"/>
          <w:sz w:val="24"/>
          <w:szCs w:val="24"/>
          <w:lang w:val="en-US"/>
        </w:rPr>
        <w:t>. 2015. https://stanford.library.sydney.edu.au/entries/decision-capacity/#EleCap</w:t>
      </w:r>
    </w:p>
    <w:p w14:paraId="50554A44"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Clark, Patricia A, Shandra S. </w:t>
      </w:r>
      <w:proofErr w:type="spellStart"/>
      <w:r w:rsidRPr="00301BB7">
        <w:rPr>
          <w:rFonts w:asciiTheme="majorBidi" w:hAnsiTheme="majorBidi" w:cstheme="majorBidi"/>
          <w:sz w:val="24"/>
          <w:szCs w:val="24"/>
          <w:lang w:val="en-US"/>
        </w:rPr>
        <w:t>Tucke</w:t>
      </w:r>
      <w:proofErr w:type="spellEnd"/>
      <w:r w:rsidRPr="00301BB7">
        <w:rPr>
          <w:rFonts w:asciiTheme="majorBidi" w:hAnsiTheme="majorBidi" w:cstheme="majorBidi"/>
          <w:sz w:val="24"/>
          <w:szCs w:val="24"/>
          <w:lang w:val="en-US"/>
        </w:rPr>
        <w:t xml:space="preserve">, Carol J. Whitlatch. “Consistency of Information from Persons with Dementia: An Analysis of Differences by Question Type.” </w:t>
      </w:r>
      <w:r w:rsidRPr="00301BB7">
        <w:rPr>
          <w:rFonts w:asciiTheme="majorBidi" w:hAnsiTheme="majorBidi" w:cstheme="majorBidi"/>
          <w:i/>
          <w:iCs/>
          <w:sz w:val="24"/>
          <w:szCs w:val="24"/>
          <w:lang w:val="en-US"/>
        </w:rPr>
        <w:t>Dementia</w:t>
      </w:r>
      <w:r w:rsidRPr="00301BB7">
        <w:rPr>
          <w:rFonts w:asciiTheme="majorBidi" w:hAnsiTheme="majorBidi" w:cstheme="majorBidi"/>
          <w:sz w:val="24"/>
          <w:szCs w:val="24"/>
          <w:lang w:val="en-US"/>
        </w:rPr>
        <w:t xml:space="preserve"> 7, no. 3 (2008): 341-358.</w:t>
      </w:r>
    </w:p>
    <w:p w14:paraId="37C5C683" w14:textId="3ECBCB3A" w:rsidR="00E615B8" w:rsidRDefault="00E615B8" w:rsidP="00B80F37">
      <w:pPr>
        <w:spacing w:line="240" w:lineRule="auto"/>
        <w:ind w:left="720" w:hanging="72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Davies, Helen, et al. “Sexuality and Intimacy in Alzheimer’s Patients and Their Partners.” </w:t>
      </w:r>
      <w:r w:rsidRPr="00E615B8">
        <w:rPr>
          <w:rFonts w:asciiTheme="majorBidi" w:hAnsiTheme="majorBidi" w:cstheme="majorBidi"/>
          <w:i/>
          <w:iCs/>
          <w:sz w:val="24"/>
          <w:szCs w:val="24"/>
          <w:lang w:val="en-US"/>
        </w:rPr>
        <w:t>Sexuality and Disability</w:t>
      </w:r>
      <w:r>
        <w:rPr>
          <w:rFonts w:asciiTheme="majorBidi" w:hAnsiTheme="majorBidi" w:cstheme="majorBidi"/>
          <w:sz w:val="24"/>
          <w:szCs w:val="24"/>
          <w:lang w:val="en-US"/>
        </w:rPr>
        <w:t xml:space="preserve"> 16, no. 3 (1998): 193-203.</w:t>
      </w:r>
    </w:p>
    <w:p w14:paraId="6F65C6BC" w14:textId="3CE4FCDF" w:rsidR="00B80F37" w:rsidRDefault="00B80F37" w:rsidP="00B80F37">
      <w:pPr>
        <w:spacing w:line="240" w:lineRule="auto"/>
        <w:ind w:left="720" w:hanging="720"/>
        <w:contextualSpacing/>
        <w:rPr>
          <w:rFonts w:asciiTheme="majorBidi" w:hAnsiTheme="majorBidi" w:cstheme="majorBidi"/>
          <w:sz w:val="24"/>
          <w:szCs w:val="24"/>
          <w:lang w:val="en-US"/>
        </w:rPr>
      </w:pPr>
      <w:r>
        <w:rPr>
          <w:rFonts w:asciiTheme="majorBidi" w:hAnsiTheme="majorBidi" w:cstheme="majorBidi"/>
          <w:sz w:val="24"/>
          <w:szCs w:val="24"/>
          <w:lang w:val="en-US"/>
        </w:rPr>
        <w:t>Director, Samuel. “Consent’s Dominion: Dementia and Prior Consent to Sexual Relations.”</w:t>
      </w:r>
      <w:r w:rsidR="0083104E">
        <w:rPr>
          <w:rFonts w:asciiTheme="majorBidi" w:hAnsiTheme="majorBidi" w:cstheme="majorBidi"/>
          <w:sz w:val="24"/>
          <w:szCs w:val="24"/>
          <w:lang w:val="en-US"/>
        </w:rPr>
        <w:t xml:space="preserve"> </w:t>
      </w:r>
      <w:r w:rsidR="0083104E" w:rsidRPr="0083104E">
        <w:rPr>
          <w:rFonts w:asciiTheme="majorBidi" w:hAnsiTheme="majorBidi" w:cstheme="majorBidi"/>
          <w:i/>
          <w:iCs/>
          <w:sz w:val="24"/>
          <w:szCs w:val="24"/>
          <w:lang w:val="en-US"/>
        </w:rPr>
        <w:t>Bioethics</w:t>
      </w:r>
      <w:r w:rsidR="0083104E">
        <w:rPr>
          <w:rFonts w:asciiTheme="majorBidi" w:hAnsiTheme="majorBidi" w:cstheme="majorBidi"/>
          <w:sz w:val="24"/>
          <w:szCs w:val="24"/>
          <w:lang w:val="en-US"/>
        </w:rPr>
        <w:t xml:space="preserve"> 33, no. 9 (2019): 1065-1071.</w:t>
      </w:r>
    </w:p>
    <w:p w14:paraId="5908AA1E"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Downs, </w:t>
      </w:r>
      <w:proofErr w:type="spellStart"/>
      <w:r w:rsidRPr="00301BB7">
        <w:rPr>
          <w:rFonts w:asciiTheme="majorBidi" w:hAnsiTheme="majorBidi" w:cstheme="majorBidi"/>
          <w:sz w:val="24"/>
          <w:szCs w:val="24"/>
          <w:lang w:val="en-US"/>
        </w:rPr>
        <w:t>Murna</w:t>
      </w:r>
      <w:proofErr w:type="spellEnd"/>
      <w:r w:rsidRPr="00301BB7">
        <w:rPr>
          <w:rFonts w:asciiTheme="majorBidi" w:hAnsiTheme="majorBidi" w:cstheme="majorBidi"/>
          <w:sz w:val="24"/>
          <w:szCs w:val="24"/>
          <w:lang w:val="en-US"/>
        </w:rPr>
        <w:t xml:space="preserve">. “The Emergence of the Person in Dementia Research.” </w:t>
      </w:r>
      <w:r w:rsidRPr="00301BB7">
        <w:rPr>
          <w:rFonts w:asciiTheme="majorBidi" w:hAnsiTheme="majorBidi" w:cstheme="majorBidi"/>
          <w:i/>
          <w:iCs/>
          <w:sz w:val="24"/>
          <w:szCs w:val="24"/>
          <w:lang w:val="en-US"/>
        </w:rPr>
        <w:t>Ageing &amp; Society</w:t>
      </w:r>
      <w:r w:rsidRPr="00301BB7">
        <w:rPr>
          <w:rFonts w:asciiTheme="majorBidi" w:hAnsiTheme="majorBidi" w:cstheme="majorBidi"/>
          <w:sz w:val="24"/>
          <w:szCs w:val="24"/>
          <w:lang w:val="en-US"/>
        </w:rPr>
        <w:t xml:space="preserve"> 17, no. 5 (1997): 597-607.</w:t>
      </w:r>
    </w:p>
    <w:p w14:paraId="1D004542" w14:textId="45CF1EA1" w:rsidR="00D22FCE" w:rsidRPr="00D22FCE" w:rsidRDefault="00D22FCE" w:rsidP="005C6808">
      <w:pPr>
        <w:spacing w:line="240" w:lineRule="auto"/>
        <w:ind w:left="720" w:hanging="720"/>
        <w:contextualSpacing/>
        <w:rPr>
          <w:rFonts w:asciiTheme="majorBidi" w:hAnsiTheme="majorBidi" w:cstheme="majorBidi"/>
          <w:sz w:val="24"/>
          <w:szCs w:val="24"/>
          <w:lang w:val="en-US"/>
        </w:rPr>
      </w:pPr>
      <w:r w:rsidRPr="00D22FCE">
        <w:rPr>
          <w:rFonts w:asciiTheme="majorBidi" w:hAnsiTheme="majorBidi" w:cstheme="majorBidi"/>
          <w:sz w:val="24"/>
          <w:szCs w:val="24"/>
          <w:lang w:val="en-US"/>
        </w:rPr>
        <w:t>Ehrenfeld</w:t>
      </w:r>
      <w:r w:rsidR="008619F6">
        <w:rPr>
          <w:rFonts w:asciiTheme="majorBidi" w:hAnsiTheme="majorBidi" w:cstheme="majorBidi"/>
          <w:sz w:val="24"/>
          <w:szCs w:val="24"/>
          <w:lang w:val="en-US"/>
        </w:rPr>
        <w:t>, M.</w:t>
      </w:r>
      <w:r w:rsidRPr="00D22FCE">
        <w:rPr>
          <w:rFonts w:asciiTheme="majorBidi" w:hAnsiTheme="majorBidi" w:cstheme="majorBidi"/>
          <w:sz w:val="24"/>
          <w:szCs w:val="24"/>
          <w:lang w:val="en-US"/>
        </w:rPr>
        <w:t xml:space="preserve"> et al.</w:t>
      </w:r>
      <w:r>
        <w:rPr>
          <w:rFonts w:asciiTheme="majorBidi" w:hAnsiTheme="majorBidi" w:cstheme="majorBidi"/>
          <w:sz w:val="24"/>
          <w:szCs w:val="24"/>
          <w:lang w:val="en-US"/>
        </w:rPr>
        <w:t xml:space="preserve"> “</w:t>
      </w:r>
      <w:r w:rsidRPr="00D22FCE">
        <w:rPr>
          <w:rFonts w:asciiTheme="majorBidi" w:hAnsiTheme="majorBidi" w:cstheme="majorBidi"/>
          <w:sz w:val="24"/>
          <w:szCs w:val="24"/>
          <w:lang w:val="en-US"/>
        </w:rPr>
        <w:t>Sexuality Among Institutionalized Elderly Patients with Dementia</w:t>
      </w:r>
      <w:r>
        <w:rPr>
          <w:rFonts w:asciiTheme="majorBidi" w:hAnsiTheme="majorBidi" w:cstheme="majorBidi"/>
          <w:sz w:val="24"/>
          <w:szCs w:val="24"/>
          <w:lang w:val="en-US"/>
        </w:rPr>
        <w:t>.”</w:t>
      </w:r>
      <w:r w:rsidRPr="00D22FCE">
        <w:rPr>
          <w:rFonts w:asciiTheme="majorBidi" w:hAnsiTheme="majorBidi" w:cstheme="majorBidi"/>
          <w:sz w:val="24"/>
          <w:szCs w:val="24"/>
          <w:lang w:val="en-US"/>
        </w:rPr>
        <w:t xml:space="preserve"> </w:t>
      </w:r>
      <w:r w:rsidRPr="00D22FCE">
        <w:rPr>
          <w:rFonts w:asciiTheme="majorBidi" w:hAnsiTheme="majorBidi" w:cstheme="majorBidi"/>
          <w:i/>
          <w:iCs/>
          <w:sz w:val="24"/>
          <w:szCs w:val="24"/>
          <w:lang w:val="en-US"/>
        </w:rPr>
        <w:t xml:space="preserve">Nursing Ethics </w:t>
      </w:r>
      <w:r w:rsidRPr="00D22FCE">
        <w:rPr>
          <w:rFonts w:asciiTheme="majorBidi" w:hAnsiTheme="majorBidi" w:cstheme="majorBidi"/>
          <w:sz w:val="24"/>
          <w:szCs w:val="24"/>
          <w:lang w:val="en-US"/>
        </w:rPr>
        <w:t>(1999): 144-149.</w:t>
      </w:r>
    </w:p>
    <w:p w14:paraId="5F22E2BB" w14:textId="6A781D13"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Feinberg, Lynn </w:t>
      </w:r>
      <w:proofErr w:type="spellStart"/>
      <w:r w:rsidRPr="00301BB7">
        <w:rPr>
          <w:rFonts w:asciiTheme="majorBidi" w:hAnsiTheme="majorBidi" w:cstheme="majorBidi"/>
          <w:sz w:val="24"/>
          <w:szCs w:val="24"/>
          <w:lang w:val="en-US"/>
        </w:rPr>
        <w:t>Friss</w:t>
      </w:r>
      <w:proofErr w:type="spellEnd"/>
      <w:r w:rsidRPr="00301BB7">
        <w:rPr>
          <w:rFonts w:asciiTheme="majorBidi" w:hAnsiTheme="majorBidi" w:cstheme="majorBidi"/>
          <w:sz w:val="24"/>
          <w:szCs w:val="24"/>
          <w:lang w:val="en-US"/>
        </w:rPr>
        <w:t xml:space="preserve">, Carol J. Whitlatch. “Are Persons With Cognitive Impairment Able to State Consistent Choices?” </w:t>
      </w:r>
      <w:r w:rsidRPr="00301BB7">
        <w:rPr>
          <w:rFonts w:asciiTheme="majorBidi" w:hAnsiTheme="majorBidi" w:cstheme="majorBidi"/>
          <w:i/>
          <w:iCs/>
          <w:sz w:val="24"/>
          <w:szCs w:val="24"/>
          <w:lang w:val="en-US"/>
        </w:rPr>
        <w:t>The Gerontologist</w:t>
      </w:r>
      <w:r w:rsidRPr="00301BB7">
        <w:rPr>
          <w:rFonts w:asciiTheme="majorBidi" w:hAnsiTheme="majorBidi" w:cstheme="majorBidi"/>
          <w:sz w:val="24"/>
          <w:szCs w:val="24"/>
          <w:lang w:val="en-US"/>
        </w:rPr>
        <w:t xml:space="preserve"> 41, no. 3 (2001): 374-382.</w:t>
      </w:r>
    </w:p>
    <w:p w14:paraId="268B00BF" w14:textId="07EFCC60" w:rsidR="00E34E65" w:rsidRDefault="00E34E65" w:rsidP="005C6808">
      <w:pPr>
        <w:spacing w:line="240" w:lineRule="auto"/>
        <w:ind w:left="720" w:hanging="72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Fyfe, </w:t>
      </w:r>
      <w:proofErr w:type="gramStart"/>
      <w:r>
        <w:rPr>
          <w:rFonts w:asciiTheme="majorBidi" w:hAnsiTheme="majorBidi" w:cstheme="majorBidi"/>
          <w:sz w:val="24"/>
          <w:szCs w:val="24"/>
          <w:lang w:val="en-US"/>
        </w:rPr>
        <w:t>Shannon</w:t>
      </w:r>
      <w:proofErr w:type="gramEnd"/>
      <w:r>
        <w:rPr>
          <w:rFonts w:asciiTheme="majorBidi" w:hAnsiTheme="majorBidi" w:cstheme="majorBidi"/>
          <w:sz w:val="24"/>
          <w:szCs w:val="24"/>
          <w:lang w:val="en-US"/>
        </w:rPr>
        <w:t xml:space="preserve"> and Elizabeth </w:t>
      </w:r>
      <w:proofErr w:type="spellStart"/>
      <w:r>
        <w:rPr>
          <w:rFonts w:asciiTheme="majorBidi" w:hAnsiTheme="majorBidi" w:cstheme="majorBidi"/>
          <w:sz w:val="24"/>
          <w:szCs w:val="24"/>
          <w:lang w:val="en-US"/>
        </w:rPr>
        <w:t>Lanphier</w:t>
      </w:r>
      <w:proofErr w:type="spellEnd"/>
      <w:r>
        <w:rPr>
          <w:rFonts w:asciiTheme="majorBidi" w:hAnsiTheme="majorBidi" w:cstheme="majorBidi"/>
          <w:sz w:val="24"/>
          <w:szCs w:val="24"/>
          <w:lang w:val="en-US"/>
        </w:rPr>
        <w:t xml:space="preserve">. “The Moral Weight of Preferences: Death, Sex and Dementia.” </w:t>
      </w:r>
      <w:r w:rsidRPr="00E34E65">
        <w:rPr>
          <w:rFonts w:asciiTheme="majorBidi" w:hAnsiTheme="majorBidi" w:cstheme="majorBidi"/>
          <w:i/>
          <w:iCs/>
          <w:sz w:val="24"/>
          <w:szCs w:val="24"/>
          <w:lang w:val="en-US"/>
        </w:rPr>
        <w:t>American Journal of Bioethics</w:t>
      </w:r>
      <w:r>
        <w:rPr>
          <w:rFonts w:asciiTheme="majorBidi" w:hAnsiTheme="majorBidi" w:cstheme="majorBidi"/>
          <w:sz w:val="24"/>
          <w:szCs w:val="24"/>
          <w:lang w:val="en-US"/>
        </w:rPr>
        <w:t xml:space="preserve"> 20, no. 8 (2020): 76-78.</w:t>
      </w:r>
    </w:p>
    <w:p w14:paraId="70CCAEFC" w14:textId="3520B7DE" w:rsidR="003E5FA5" w:rsidRDefault="003E5FA5" w:rsidP="005C6808">
      <w:pPr>
        <w:spacing w:line="240" w:lineRule="auto"/>
        <w:ind w:left="720" w:hanging="720"/>
        <w:contextualSpacing/>
        <w:rPr>
          <w:rFonts w:asciiTheme="majorBidi" w:hAnsiTheme="majorBidi" w:cstheme="majorBidi"/>
          <w:sz w:val="24"/>
          <w:szCs w:val="24"/>
          <w:lang w:val="en-US"/>
        </w:rPr>
      </w:pPr>
      <w:proofErr w:type="spellStart"/>
      <w:r>
        <w:rPr>
          <w:rFonts w:asciiTheme="majorBidi" w:hAnsiTheme="majorBidi" w:cstheme="majorBidi"/>
          <w:sz w:val="24"/>
          <w:szCs w:val="24"/>
          <w:lang w:val="en-US"/>
        </w:rPr>
        <w:t>Jecker</w:t>
      </w:r>
      <w:proofErr w:type="spellEnd"/>
      <w:r>
        <w:rPr>
          <w:rFonts w:asciiTheme="majorBidi" w:hAnsiTheme="majorBidi" w:cstheme="majorBidi"/>
          <w:sz w:val="24"/>
          <w:szCs w:val="24"/>
          <w:lang w:val="en-US"/>
        </w:rPr>
        <w:t xml:space="preserve">, Nancy. “Nothing to be ashamed </w:t>
      </w:r>
      <w:proofErr w:type="gramStart"/>
      <w:r>
        <w:rPr>
          <w:rFonts w:asciiTheme="majorBidi" w:hAnsiTheme="majorBidi" w:cstheme="majorBidi"/>
          <w:sz w:val="24"/>
          <w:szCs w:val="24"/>
          <w:lang w:val="en-US"/>
        </w:rPr>
        <w:t>of:</w:t>
      </w:r>
      <w:proofErr w:type="gramEnd"/>
      <w:r>
        <w:rPr>
          <w:rFonts w:asciiTheme="majorBidi" w:hAnsiTheme="majorBidi" w:cstheme="majorBidi"/>
          <w:sz w:val="24"/>
          <w:szCs w:val="24"/>
          <w:lang w:val="en-US"/>
        </w:rPr>
        <w:t xml:space="preserve"> sex robots for older adults with disabilities.” </w:t>
      </w:r>
      <w:r w:rsidRPr="00FA2D10">
        <w:rPr>
          <w:rFonts w:asciiTheme="majorBidi" w:hAnsiTheme="majorBidi" w:cstheme="majorBidi"/>
          <w:i/>
          <w:iCs/>
          <w:sz w:val="24"/>
          <w:szCs w:val="24"/>
          <w:lang w:val="en-US"/>
        </w:rPr>
        <w:t>Journal of Medical Ethics</w:t>
      </w:r>
      <w:r w:rsidR="00FA2D10">
        <w:rPr>
          <w:rFonts w:asciiTheme="majorBidi" w:hAnsiTheme="majorBidi" w:cstheme="majorBidi"/>
          <w:sz w:val="24"/>
          <w:szCs w:val="24"/>
          <w:lang w:val="en-US"/>
        </w:rPr>
        <w:t xml:space="preserve"> 47, no. 1 (2020): 26-32.</w:t>
      </w:r>
    </w:p>
    <w:p w14:paraId="13B6B069" w14:textId="40BEE7E7" w:rsidR="00CE0CA2" w:rsidRDefault="00CE0CA2" w:rsidP="005C6808">
      <w:pPr>
        <w:spacing w:line="240" w:lineRule="auto"/>
        <w:ind w:left="720" w:hanging="720"/>
        <w:contextualSpacing/>
        <w:rPr>
          <w:rFonts w:asciiTheme="majorBidi" w:hAnsiTheme="majorBidi" w:cstheme="majorBidi"/>
          <w:sz w:val="24"/>
          <w:szCs w:val="24"/>
          <w:lang w:val="en-US"/>
        </w:rPr>
      </w:pPr>
      <w:proofErr w:type="spellStart"/>
      <w:r>
        <w:rPr>
          <w:rFonts w:asciiTheme="majorBidi" w:hAnsiTheme="majorBidi" w:cstheme="majorBidi"/>
          <w:sz w:val="24"/>
          <w:szCs w:val="24"/>
          <w:lang w:val="en-US"/>
        </w:rPr>
        <w:t>Kukla</w:t>
      </w:r>
      <w:proofErr w:type="spellEnd"/>
      <w:r>
        <w:rPr>
          <w:rFonts w:asciiTheme="majorBidi" w:hAnsiTheme="majorBidi" w:cstheme="majorBidi"/>
          <w:sz w:val="24"/>
          <w:szCs w:val="24"/>
          <w:lang w:val="en-US"/>
        </w:rPr>
        <w:t xml:space="preserve">, Quill R. “A Nonideal Theory of Sexual Consent.” </w:t>
      </w:r>
      <w:r w:rsidRPr="00CE0CA2">
        <w:rPr>
          <w:rFonts w:asciiTheme="majorBidi" w:hAnsiTheme="majorBidi" w:cstheme="majorBidi"/>
          <w:i/>
          <w:iCs/>
          <w:sz w:val="24"/>
          <w:szCs w:val="24"/>
          <w:lang w:val="en-US"/>
        </w:rPr>
        <w:t>Ethics</w:t>
      </w:r>
      <w:r>
        <w:rPr>
          <w:rFonts w:asciiTheme="majorBidi" w:hAnsiTheme="majorBidi" w:cstheme="majorBidi"/>
          <w:sz w:val="24"/>
          <w:szCs w:val="24"/>
          <w:lang w:val="en-US"/>
        </w:rPr>
        <w:t xml:space="preserve"> 131 (2021): 270-292.</w:t>
      </w:r>
    </w:p>
    <w:p w14:paraId="14C31037" w14:textId="0B108478" w:rsidR="00474D97" w:rsidRPr="00301BB7" w:rsidRDefault="00474D97" w:rsidP="005C6808">
      <w:pPr>
        <w:spacing w:line="240" w:lineRule="auto"/>
        <w:ind w:left="720" w:hanging="720"/>
        <w:contextualSpacing/>
        <w:rPr>
          <w:rFonts w:asciiTheme="majorBidi" w:hAnsiTheme="majorBidi" w:cstheme="majorBidi"/>
          <w:sz w:val="24"/>
          <w:szCs w:val="24"/>
          <w:lang w:val="en-US"/>
        </w:rPr>
      </w:pPr>
      <w:proofErr w:type="spellStart"/>
      <w:r w:rsidRPr="00301BB7">
        <w:rPr>
          <w:rFonts w:asciiTheme="majorBidi" w:hAnsiTheme="majorBidi" w:cstheme="majorBidi"/>
          <w:sz w:val="24"/>
          <w:szCs w:val="24"/>
          <w:lang w:val="en-US"/>
        </w:rPr>
        <w:t>Kuther</w:t>
      </w:r>
      <w:proofErr w:type="spellEnd"/>
      <w:r w:rsidRPr="00301BB7">
        <w:rPr>
          <w:rFonts w:asciiTheme="majorBidi" w:hAnsiTheme="majorBidi" w:cstheme="majorBidi"/>
          <w:sz w:val="24"/>
          <w:szCs w:val="24"/>
          <w:lang w:val="en-US"/>
        </w:rPr>
        <w:t xml:space="preserve">, Tara L. “Medical decision-making and minors: Issues of consent and assent.” </w:t>
      </w:r>
      <w:r w:rsidRPr="00301BB7">
        <w:rPr>
          <w:rFonts w:asciiTheme="majorBidi" w:hAnsiTheme="majorBidi" w:cstheme="majorBidi"/>
          <w:i/>
          <w:iCs/>
          <w:sz w:val="24"/>
          <w:szCs w:val="24"/>
          <w:lang w:val="en-US"/>
        </w:rPr>
        <w:t>Adolescence</w:t>
      </w:r>
      <w:r w:rsidRPr="00301BB7">
        <w:rPr>
          <w:rFonts w:asciiTheme="majorBidi" w:hAnsiTheme="majorBidi" w:cstheme="majorBidi"/>
          <w:sz w:val="24"/>
          <w:szCs w:val="24"/>
          <w:lang w:val="en-US"/>
        </w:rPr>
        <w:t xml:space="preserve"> 38, no. 150 (2003): 343-358.</w:t>
      </w:r>
    </w:p>
    <w:p w14:paraId="1A51D64A" w14:textId="6754DF88"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lastRenderedPageBreak/>
        <w:t xml:space="preserve">Lichtenberg, Peter. “Sexuality and Physical Intimacy in Long Term Care: Sexuality, Long Term Care, Capacity Assessment.” </w:t>
      </w:r>
      <w:r w:rsidRPr="00301BB7">
        <w:rPr>
          <w:rFonts w:asciiTheme="majorBidi" w:hAnsiTheme="majorBidi" w:cstheme="majorBidi"/>
          <w:i/>
          <w:iCs/>
          <w:sz w:val="24"/>
          <w:szCs w:val="24"/>
          <w:lang w:val="en-US"/>
        </w:rPr>
        <w:t>Occup</w:t>
      </w:r>
      <w:r w:rsidR="00DA1630">
        <w:rPr>
          <w:rFonts w:asciiTheme="majorBidi" w:hAnsiTheme="majorBidi" w:cstheme="majorBidi"/>
          <w:i/>
          <w:iCs/>
          <w:sz w:val="24"/>
          <w:szCs w:val="24"/>
          <w:lang w:val="en-US"/>
        </w:rPr>
        <w:t>ational</w:t>
      </w:r>
      <w:r w:rsidRPr="00301BB7">
        <w:rPr>
          <w:rFonts w:asciiTheme="majorBidi" w:hAnsiTheme="majorBidi" w:cstheme="majorBidi"/>
          <w:i/>
          <w:iCs/>
          <w:sz w:val="24"/>
          <w:szCs w:val="24"/>
          <w:lang w:val="en-US"/>
        </w:rPr>
        <w:t xml:space="preserve"> Ther</w:t>
      </w:r>
      <w:r w:rsidR="00DA1630">
        <w:rPr>
          <w:rFonts w:asciiTheme="majorBidi" w:hAnsiTheme="majorBidi" w:cstheme="majorBidi"/>
          <w:i/>
          <w:iCs/>
          <w:sz w:val="24"/>
          <w:szCs w:val="24"/>
          <w:lang w:val="en-US"/>
        </w:rPr>
        <w:t>apy in</w:t>
      </w:r>
      <w:r w:rsidRPr="00301BB7">
        <w:rPr>
          <w:rFonts w:asciiTheme="majorBidi" w:hAnsiTheme="majorBidi" w:cstheme="majorBidi"/>
          <w:i/>
          <w:iCs/>
          <w:sz w:val="24"/>
          <w:szCs w:val="24"/>
          <w:lang w:val="en-US"/>
        </w:rPr>
        <w:t xml:space="preserve"> Health Care</w:t>
      </w:r>
      <w:r w:rsidRPr="00301BB7">
        <w:rPr>
          <w:rFonts w:asciiTheme="majorBidi" w:hAnsiTheme="majorBidi" w:cstheme="majorBidi"/>
          <w:sz w:val="24"/>
          <w:szCs w:val="24"/>
          <w:lang w:val="en-US"/>
        </w:rPr>
        <w:t xml:space="preserve"> 28, no. 1 (2014): 1-10</w:t>
      </w:r>
      <w:r w:rsidR="00DA1630">
        <w:rPr>
          <w:rFonts w:asciiTheme="majorBidi" w:hAnsiTheme="majorBidi" w:cstheme="majorBidi"/>
          <w:sz w:val="24"/>
          <w:szCs w:val="24"/>
          <w:lang w:val="en-US"/>
        </w:rPr>
        <w:t>.</w:t>
      </w:r>
    </w:p>
    <w:p w14:paraId="50969339"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Lindau, Stacy Tessler, L. Philip Schumm, Edward O. </w:t>
      </w:r>
      <w:proofErr w:type="spellStart"/>
      <w:r w:rsidRPr="00301BB7">
        <w:rPr>
          <w:rFonts w:asciiTheme="majorBidi" w:hAnsiTheme="majorBidi" w:cstheme="majorBidi"/>
          <w:sz w:val="24"/>
          <w:szCs w:val="24"/>
          <w:lang w:val="en-US"/>
        </w:rPr>
        <w:t>Laumann</w:t>
      </w:r>
      <w:proofErr w:type="spellEnd"/>
      <w:r w:rsidRPr="00301BB7">
        <w:rPr>
          <w:rFonts w:asciiTheme="majorBidi" w:hAnsiTheme="majorBidi" w:cstheme="majorBidi"/>
          <w:sz w:val="24"/>
          <w:szCs w:val="24"/>
          <w:lang w:val="en-US"/>
        </w:rPr>
        <w:t xml:space="preserve">, Wendy Levinson, Colm A. </w:t>
      </w:r>
      <w:proofErr w:type="spellStart"/>
      <w:r w:rsidRPr="00301BB7">
        <w:rPr>
          <w:rFonts w:asciiTheme="majorBidi" w:hAnsiTheme="majorBidi" w:cstheme="majorBidi"/>
          <w:sz w:val="24"/>
          <w:szCs w:val="24"/>
          <w:lang w:val="en-US"/>
        </w:rPr>
        <w:t>O’muircheartaigh</w:t>
      </w:r>
      <w:proofErr w:type="spellEnd"/>
      <w:r w:rsidRPr="00301BB7">
        <w:rPr>
          <w:rFonts w:asciiTheme="majorBidi" w:hAnsiTheme="majorBidi" w:cstheme="majorBidi"/>
          <w:sz w:val="24"/>
          <w:szCs w:val="24"/>
          <w:lang w:val="en-US"/>
        </w:rPr>
        <w:t xml:space="preserve">, Linda J. Waite. “A Study of Sexuality and Health Among Older Adults in the United States.” </w:t>
      </w:r>
      <w:r w:rsidRPr="00301BB7">
        <w:rPr>
          <w:rFonts w:asciiTheme="majorBidi" w:hAnsiTheme="majorBidi" w:cstheme="majorBidi"/>
          <w:i/>
          <w:iCs/>
          <w:sz w:val="24"/>
          <w:szCs w:val="24"/>
          <w:lang w:val="en-US"/>
        </w:rPr>
        <w:t>The New England Journal of Medicine</w:t>
      </w:r>
      <w:r w:rsidRPr="00301BB7">
        <w:rPr>
          <w:rFonts w:asciiTheme="majorBidi" w:hAnsiTheme="majorBidi" w:cstheme="majorBidi"/>
          <w:sz w:val="24"/>
          <w:szCs w:val="24"/>
          <w:lang w:val="en-US"/>
        </w:rPr>
        <w:t xml:space="preserve"> 357 (2007): 762-774.</w:t>
      </w:r>
    </w:p>
    <w:p w14:paraId="022A7901" w14:textId="36D8F953" w:rsidR="008458F7" w:rsidRDefault="00A95301" w:rsidP="008458F7">
      <w:pPr>
        <w:spacing w:line="240" w:lineRule="auto"/>
        <w:ind w:left="720" w:hanging="720"/>
        <w:contextualSpacing/>
        <w:rPr>
          <w:rFonts w:asciiTheme="majorBidi" w:hAnsiTheme="majorBidi" w:cstheme="majorBidi"/>
          <w:sz w:val="24"/>
          <w:szCs w:val="24"/>
          <w:lang w:val="en-US"/>
        </w:rPr>
      </w:pPr>
      <w:r w:rsidRPr="0037764F">
        <w:rPr>
          <w:rFonts w:asciiTheme="majorBidi" w:hAnsiTheme="majorBidi" w:cstheme="majorBidi"/>
          <w:sz w:val="24"/>
          <w:szCs w:val="24"/>
          <w:lang w:val="en-US"/>
        </w:rPr>
        <w:t xml:space="preserve">Manson, Neil. “Permissive Consent: a Robust Reason-Changing Account.” </w:t>
      </w:r>
      <w:r w:rsidRPr="0037764F">
        <w:rPr>
          <w:rFonts w:asciiTheme="majorBidi" w:hAnsiTheme="majorBidi" w:cstheme="majorBidi"/>
          <w:i/>
          <w:iCs/>
          <w:sz w:val="24"/>
          <w:szCs w:val="24"/>
          <w:lang w:val="en-US"/>
        </w:rPr>
        <w:t>Philosophical Studies</w:t>
      </w:r>
      <w:r w:rsidRPr="0037764F">
        <w:rPr>
          <w:rFonts w:asciiTheme="majorBidi" w:hAnsiTheme="majorBidi" w:cstheme="majorBidi"/>
          <w:sz w:val="24"/>
          <w:szCs w:val="24"/>
          <w:lang w:val="en-US"/>
        </w:rPr>
        <w:t xml:space="preserve"> 173, no. 12 (2016): 3317-3334.</w:t>
      </w:r>
    </w:p>
    <w:p w14:paraId="16B0A250" w14:textId="4152022E"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Miles, Steven H and Kara Parker. “Sexuality in the Nursing Home: Iatrogenic Loneliness.” </w:t>
      </w:r>
      <w:r w:rsidRPr="00301BB7">
        <w:rPr>
          <w:rFonts w:asciiTheme="majorBidi" w:hAnsiTheme="majorBidi" w:cstheme="majorBidi"/>
          <w:i/>
          <w:iCs/>
          <w:sz w:val="24"/>
          <w:szCs w:val="24"/>
          <w:lang w:val="en-US"/>
        </w:rPr>
        <w:t>Generations</w:t>
      </w:r>
      <w:r w:rsidRPr="00301BB7">
        <w:rPr>
          <w:rFonts w:asciiTheme="majorBidi" w:hAnsiTheme="majorBidi" w:cstheme="majorBidi"/>
          <w:sz w:val="24"/>
          <w:szCs w:val="24"/>
          <w:lang w:val="en-US"/>
        </w:rPr>
        <w:t xml:space="preserve"> 23, no. 1 (1999): 36-43.</w:t>
      </w:r>
    </w:p>
    <w:p w14:paraId="114FA79D"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Mills, Marie A., and Peter G. Coleman. “Nostalgic Memories in Dementia-A Case Study.” </w:t>
      </w:r>
      <w:r w:rsidRPr="00301BB7">
        <w:rPr>
          <w:rFonts w:asciiTheme="majorBidi" w:hAnsiTheme="majorBidi" w:cstheme="majorBidi"/>
          <w:i/>
          <w:iCs/>
          <w:sz w:val="24"/>
          <w:szCs w:val="24"/>
          <w:lang w:val="en-US"/>
        </w:rPr>
        <w:t xml:space="preserve">The International Journal of Aging and Human Development </w:t>
      </w:r>
      <w:r w:rsidRPr="00301BB7">
        <w:rPr>
          <w:rFonts w:asciiTheme="majorBidi" w:hAnsiTheme="majorBidi" w:cstheme="majorBidi"/>
          <w:sz w:val="24"/>
          <w:szCs w:val="24"/>
          <w:lang w:val="en-US"/>
        </w:rPr>
        <w:t>38, no. 3 (1994): 203-219.</w:t>
      </w:r>
    </w:p>
    <w:p w14:paraId="583EB2CD" w14:textId="77777777" w:rsidR="00792722" w:rsidRPr="00301BB7" w:rsidRDefault="00792722"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Mitchell, Alex J. “A meta-analysis of the accuracy of the mini-mental state examination in the detection of dementia and mild cognitive impairment.” </w:t>
      </w:r>
      <w:r w:rsidRPr="00301BB7">
        <w:rPr>
          <w:rFonts w:asciiTheme="majorBidi" w:hAnsiTheme="majorBidi" w:cstheme="majorBidi"/>
          <w:i/>
          <w:iCs/>
          <w:sz w:val="24"/>
          <w:szCs w:val="24"/>
          <w:lang w:val="en-US"/>
        </w:rPr>
        <w:t>Journal of Psychiatric Research</w:t>
      </w:r>
      <w:r w:rsidRPr="00301BB7">
        <w:rPr>
          <w:rFonts w:asciiTheme="majorBidi" w:hAnsiTheme="majorBidi" w:cstheme="majorBidi"/>
          <w:sz w:val="24"/>
          <w:szCs w:val="24"/>
          <w:lang w:val="en-US"/>
        </w:rPr>
        <w:t xml:space="preserve"> 43 (2009): 411-431.</w:t>
      </w:r>
    </w:p>
    <w:p w14:paraId="0146F5F0" w14:textId="7F2AD7C0" w:rsidR="007849F7" w:rsidRDefault="007849F7" w:rsidP="007849F7">
      <w:pPr>
        <w:spacing w:line="240" w:lineRule="auto"/>
        <w:ind w:left="720" w:hanging="720"/>
        <w:contextualSpacing/>
        <w:rPr>
          <w:rFonts w:asciiTheme="majorBidi" w:hAnsiTheme="majorBidi" w:cstheme="majorBidi"/>
          <w:sz w:val="24"/>
          <w:szCs w:val="24"/>
          <w:lang w:val="en-US"/>
        </w:rPr>
      </w:pPr>
      <w:r>
        <w:rPr>
          <w:rFonts w:asciiTheme="majorBidi" w:hAnsiTheme="majorBidi" w:cstheme="majorBidi"/>
          <w:sz w:val="24"/>
          <w:szCs w:val="24"/>
          <w:lang w:val="en-US"/>
        </w:rPr>
        <w:t>Neighbor</w:t>
      </w:r>
      <w:r w:rsidR="00B84A4F">
        <w:rPr>
          <w:rFonts w:asciiTheme="majorBidi" w:hAnsiTheme="majorBidi" w:cstheme="majorBidi"/>
          <w:sz w:val="24"/>
          <w:szCs w:val="24"/>
          <w:lang w:val="en-US"/>
        </w:rPr>
        <w:t>s</w:t>
      </w:r>
      <w:r>
        <w:rPr>
          <w:rFonts w:asciiTheme="majorBidi" w:hAnsiTheme="majorBidi" w:cstheme="majorBidi"/>
          <w:sz w:val="24"/>
          <w:szCs w:val="24"/>
          <w:lang w:val="en-US"/>
        </w:rPr>
        <w:t xml:space="preserve"> Rehabilitation Center LLC, vs. United States Department of Health and Human Services, Departmental Appeals Board, and Centers for Medicate and Medicaid Services. 18-2147 (7</w:t>
      </w:r>
      <w:r w:rsidRPr="007849F7">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Circuit 2018).</w:t>
      </w:r>
    </w:p>
    <w:p w14:paraId="7A4FCB85" w14:textId="15355B3C"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Robinson, Janice G., and Anita E. </w:t>
      </w:r>
      <w:proofErr w:type="spellStart"/>
      <w:r w:rsidRPr="00301BB7">
        <w:rPr>
          <w:rFonts w:asciiTheme="majorBidi" w:hAnsiTheme="majorBidi" w:cstheme="majorBidi"/>
          <w:sz w:val="24"/>
          <w:szCs w:val="24"/>
          <w:lang w:val="en-US"/>
        </w:rPr>
        <w:t>Molzahn</w:t>
      </w:r>
      <w:proofErr w:type="spellEnd"/>
      <w:r w:rsidRPr="00301BB7">
        <w:rPr>
          <w:rFonts w:asciiTheme="majorBidi" w:hAnsiTheme="majorBidi" w:cstheme="majorBidi"/>
          <w:sz w:val="24"/>
          <w:szCs w:val="24"/>
          <w:lang w:val="en-US"/>
        </w:rPr>
        <w:t xml:space="preserve">. “Sexuality and Quality of Life.” </w:t>
      </w:r>
      <w:r w:rsidRPr="00301BB7">
        <w:rPr>
          <w:rFonts w:asciiTheme="majorBidi" w:hAnsiTheme="majorBidi" w:cstheme="majorBidi"/>
          <w:i/>
          <w:iCs/>
          <w:sz w:val="24"/>
          <w:szCs w:val="24"/>
          <w:lang w:val="en-US"/>
        </w:rPr>
        <w:t xml:space="preserve">Journal of Gerontological Nursing </w:t>
      </w:r>
      <w:r w:rsidRPr="00301BB7">
        <w:rPr>
          <w:rFonts w:asciiTheme="majorBidi" w:hAnsiTheme="majorBidi" w:cstheme="majorBidi"/>
          <w:sz w:val="24"/>
          <w:szCs w:val="24"/>
          <w:lang w:val="en-US"/>
        </w:rPr>
        <w:t>(2007): 19-27.</w:t>
      </w:r>
    </w:p>
    <w:p w14:paraId="6EF70B8F" w14:textId="4449ED40" w:rsidR="007849F7" w:rsidRDefault="007849F7" w:rsidP="005C6808">
      <w:pPr>
        <w:spacing w:line="240" w:lineRule="auto"/>
        <w:ind w:left="720" w:hanging="720"/>
        <w:contextualSpacing/>
        <w:rPr>
          <w:rFonts w:asciiTheme="majorBidi" w:hAnsiTheme="majorBidi" w:cstheme="majorBidi"/>
          <w:sz w:val="24"/>
          <w:szCs w:val="24"/>
          <w:lang w:val="en-US"/>
        </w:rPr>
      </w:pPr>
      <w:proofErr w:type="spellStart"/>
      <w:r>
        <w:rPr>
          <w:rFonts w:asciiTheme="majorBidi" w:hAnsiTheme="majorBidi" w:cstheme="majorBidi"/>
          <w:sz w:val="24"/>
          <w:szCs w:val="24"/>
          <w:lang w:val="en-US"/>
        </w:rPr>
        <w:t>Stempniak</w:t>
      </w:r>
      <w:proofErr w:type="spellEnd"/>
      <w:r>
        <w:rPr>
          <w:rFonts w:asciiTheme="majorBidi" w:hAnsiTheme="majorBidi" w:cstheme="majorBidi"/>
          <w:sz w:val="24"/>
          <w:szCs w:val="24"/>
          <w:lang w:val="en-US"/>
        </w:rPr>
        <w:t xml:space="preserve">, Marty. “What Nursing Homes Can Learn </w:t>
      </w:r>
      <w:proofErr w:type="gramStart"/>
      <w:r>
        <w:rPr>
          <w:rFonts w:asciiTheme="majorBidi" w:hAnsiTheme="majorBidi" w:cstheme="majorBidi"/>
          <w:sz w:val="24"/>
          <w:szCs w:val="24"/>
          <w:lang w:val="en-US"/>
        </w:rPr>
        <w:t>From</w:t>
      </w:r>
      <w:proofErr w:type="gramEnd"/>
      <w:r>
        <w:rPr>
          <w:rFonts w:asciiTheme="majorBidi" w:hAnsiTheme="majorBidi" w:cstheme="majorBidi"/>
          <w:sz w:val="24"/>
          <w:szCs w:val="24"/>
          <w:lang w:val="en-US"/>
        </w:rPr>
        <w:t xml:space="preserve"> A ‘Troubling’ Court Decision on Sexual Consent.” </w:t>
      </w:r>
      <w:proofErr w:type="spellStart"/>
      <w:r>
        <w:rPr>
          <w:rFonts w:asciiTheme="majorBidi" w:hAnsiTheme="majorBidi" w:cstheme="majorBidi"/>
          <w:sz w:val="24"/>
          <w:szCs w:val="24"/>
          <w:lang w:val="en-US"/>
        </w:rPr>
        <w:t>McKnights</w:t>
      </w:r>
      <w:proofErr w:type="spellEnd"/>
      <w:r>
        <w:rPr>
          <w:rFonts w:asciiTheme="majorBidi" w:hAnsiTheme="majorBidi" w:cstheme="majorBidi"/>
          <w:sz w:val="24"/>
          <w:szCs w:val="24"/>
          <w:lang w:val="en-US"/>
        </w:rPr>
        <w:t xml:space="preserve"> Long-Term Care News (2018): </w:t>
      </w:r>
      <w:r w:rsidRPr="007849F7">
        <w:rPr>
          <w:rFonts w:asciiTheme="majorBidi" w:hAnsiTheme="majorBidi" w:cstheme="majorBidi"/>
          <w:sz w:val="24"/>
          <w:szCs w:val="24"/>
          <w:lang w:val="en-US"/>
        </w:rPr>
        <w:t>https://www.mcknights.com/daily-editors-notes/what-nursing-homes-can-learn-from-a-troubling-court-decision-on-sexual-consent/</w:t>
      </w:r>
    </w:p>
    <w:p w14:paraId="516A89C2" w14:textId="4449ED40" w:rsidR="00474D97" w:rsidRPr="00301BB7" w:rsidRDefault="00474D97" w:rsidP="005C6808">
      <w:pPr>
        <w:spacing w:line="240" w:lineRule="auto"/>
        <w:ind w:left="720" w:hanging="720"/>
        <w:contextualSpacing/>
        <w:rPr>
          <w:rFonts w:asciiTheme="majorBidi" w:hAnsiTheme="majorBidi" w:cstheme="majorBidi"/>
          <w:sz w:val="24"/>
          <w:szCs w:val="24"/>
          <w:lang w:val="en-US"/>
        </w:rPr>
      </w:pPr>
      <w:proofErr w:type="spellStart"/>
      <w:r w:rsidRPr="00301BB7">
        <w:rPr>
          <w:rFonts w:asciiTheme="majorBidi" w:hAnsiTheme="majorBidi" w:cstheme="majorBidi"/>
          <w:sz w:val="24"/>
          <w:szCs w:val="24"/>
          <w:lang w:val="en-US"/>
        </w:rPr>
        <w:t>Tarzia</w:t>
      </w:r>
      <w:proofErr w:type="spellEnd"/>
      <w:r w:rsidRPr="00301BB7">
        <w:rPr>
          <w:rFonts w:asciiTheme="majorBidi" w:hAnsiTheme="majorBidi" w:cstheme="majorBidi"/>
          <w:sz w:val="24"/>
          <w:szCs w:val="24"/>
          <w:lang w:val="en-US"/>
        </w:rPr>
        <w:t xml:space="preserve">, Laura, Deirdre </w:t>
      </w:r>
      <w:proofErr w:type="spellStart"/>
      <w:r w:rsidRPr="00301BB7">
        <w:rPr>
          <w:rFonts w:asciiTheme="majorBidi" w:hAnsiTheme="majorBidi" w:cstheme="majorBidi"/>
          <w:sz w:val="24"/>
          <w:szCs w:val="24"/>
          <w:lang w:val="en-US"/>
        </w:rPr>
        <w:t>Fetherstonhaugh</w:t>
      </w:r>
      <w:proofErr w:type="spellEnd"/>
      <w:r w:rsidRPr="00301BB7">
        <w:rPr>
          <w:rFonts w:asciiTheme="majorBidi" w:hAnsiTheme="majorBidi" w:cstheme="majorBidi"/>
          <w:sz w:val="24"/>
          <w:szCs w:val="24"/>
          <w:lang w:val="en-US"/>
        </w:rPr>
        <w:t xml:space="preserve">, Michael Bauer. “Dementia, Sexuality and Consent In Residential Aged Care Facilities.” </w:t>
      </w:r>
      <w:r w:rsidRPr="00301BB7">
        <w:rPr>
          <w:rFonts w:asciiTheme="majorBidi" w:hAnsiTheme="majorBidi" w:cstheme="majorBidi"/>
          <w:i/>
          <w:iCs/>
          <w:sz w:val="24"/>
          <w:szCs w:val="24"/>
          <w:lang w:val="en-US"/>
        </w:rPr>
        <w:t>Journal of Medical Ethics</w:t>
      </w:r>
      <w:r w:rsidRPr="00301BB7">
        <w:rPr>
          <w:rFonts w:asciiTheme="majorBidi" w:hAnsiTheme="majorBidi" w:cstheme="majorBidi"/>
          <w:sz w:val="24"/>
          <w:szCs w:val="24"/>
          <w:lang w:val="en-US"/>
        </w:rPr>
        <w:t xml:space="preserve"> 38 (2012): 609-613. </w:t>
      </w:r>
    </w:p>
    <w:p w14:paraId="7F33AE9D" w14:textId="28C619D9" w:rsidR="00474D9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Tenenbaum, Evelyn M. “To Be or To Exist: Standards for Deciding Whether Dementia Patients In Nursing Homes Should Engage In Intimacy, Sex, And Adultery.” </w:t>
      </w:r>
      <w:r w:rsidRPr="00301BB7">
        <w:rPr>
          <w:rFonts w:asciiTheme="majorBidi" w:hAnsiTheme="majorBidi" w:cstheme="majorBidi"/>
          <w:i/>
          <w:iCs/>
          <w:sz w:val="24"/>
          <w:szCs w:val="24"/>
          <w:lang w:val="en-US"/>
        </w:rPr>
        <w:t>Indiana Law Review</w:t>
      </w:r>
      <w:r w:rsidRPr="00301BB7">
        <w:rPr>
          <w:rFonts w:asciiTheme="majorBidi" w:hAnsiTheme="majorBidi" w:cstheme="majorBidi"/>
          <w:sz w:val="24"/>
          <w:szCs w:val="24"/>
          <w:lang w:val="en-US"/>
        </w:rPr>
        <w:t xml:space="preserve"> 42 (2009): 674-720.</w:t>
      </w:r>
    </w:p>
    <w:p w14:paraId="52DA741F" w14:textId="47090FC0" w:rsidR="00064224" w:rsidRPr="00301BB7" w:rsidRDefault="00064224" w:rsidP="00064224">
      <w:pPr>
        <w:spacing w:line="240" w:lineRule="auto"/>
        <w:ind w:left="720" w:hanging="72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 - - “Assessing Consent to Intimate Sexual Relations Among Nursing Home Residents with Dementia.” </w:t>
      </w:r>
      <w:r w:rsidRPr="00064224">
        <w:rPr>
          <w:rFonts w:asciiTheme="majorBidi" w:hAnsiTheme="majorBidi" w:cstheme="majorBidi"/>
          <w:i/>
          <w:iCs/>
          <w:sz w:val="24"/>
          <w:szCs w:val="24"/>
          <w:lang w:val="en-US"/>
        </w:rPr>
        <w:t>Living With Dementia</w:t>
      </w:r>
      <w:r>
        <w:rPr>
          <w:rFonts w:asciiTheme="majorBidi" w:hAnsiTheme="majorBidi" w:cstheme="majorBidi"/>
          <w:sz w:val="24"/>
          <w:szCs w:val="24"/>
          <w:lang w:val="en-US"/>
        </w:rPr>
        <w:t xml:space="preserve">: </w:t>
      </w:r>
      <w:r w:rsidRPr="00064224">
        <w:rPr>
          <w:rFonts w:asciiTheme="majorBidi" w:hAnsiTheme="majorBidi" w:cstheme="majorBidi"/>
          <w:i/>
          <w:iCs/>
          <w:sz w:val="24"/>
          <w:szCs w:val="24"/>
          <w:lang w:val="en-US"/>
        </w:rPr>
        <w:t>Neuroethical Issues and International Perspectives</w:t>
      </w:r>
      <w:r>
        <w:rPr>
          <w:rFonts w:asciiTheme="majorBidi" w:hAnsiTheme="majorBidi" w:cstheme="majorBidi"/>
          <w:sz w:val="24"/>
          <w:szCs w:val="24"/>
          <w:lang w:val="en-US"/>
        </w:rPr>
        <w:t>. Ed. V</w:t>
      </w:r>
      <w:r w:rsidRPr="00064224">
        <w:rPr>
          <w:rFonts w:asciiTheme="majorBidi" w:hAnsiTheme="majorBidi" w:cstheme="majorBidi"/>
          <w:sz w:val="24"/>
          <w:szCs w:val="24"/>
          <w:lang w:val="en-US"/>
        </w:rPr>
        <w:t>eljko </w:t>
      </w:r>
      <w:proofErr w:type="spellStart"/>
      <w:r w:rsidRPr="00064224">
        <w:rPr>
          <w:rFonts w:asciiTheme="majorBidi" w:hAnsiTheme="majorBidi" w:cstheme="majorBidi"/>
          <w:sz w:val="24"/>
          <w:szCs w:val="24"/>
          <w:lang w:val="en-US"/>
        </w:rPr>
        <w:t>Dubljević</w:t>
      </w:r>
      <w:proofErr w:type="spellEnd"/>
      <w:r>
        <w:rPr>
          <w:rFonts w:asciiTheme="majorBidi" w:hAnsiTheme="majorBidi" w:cstheme="majorBidi"/>
          <w:sz w:val="24"/>
          <w:szCs w:val="24"/>
          <w:lang w:val="en-US"/>
        </w:rPr>
        <w:t xml:space="preserve"> and </w:t>
      </w:r>
      <w:r w:rsidRPr="00064224">
        <w:rPr>
          <w:rFonts w:asciiTheme="majorBidi" w:hAnsiTheme="majorBidi" w:cstheme="majorBidi"/>
          <w:sz w:val="24"/>
          <w:szCs w:val="24"/>
          <w:lang w:val="en-US"/>
        </w:rPr>
        <w:t>Frances </w:t>
      </w:r>
      <w:proofErr w:type="spellStart"/>
      <w:r w:rsidRPr="00064224">
        <w:rPr>
          <w:rFonts w:asciiTheme="majorBidi" w:hAnsiTheme="majorBidi" w:cstheme="majorBidi"/>
          <w:sz w:val="24"/>
          <w:szCs w:val="24"/>
          <w:lang w:val="en-US"/>
        </w:rPr>
        <w:t>Bottenberg</w:t>
      </w:r>
      <w:proofErr w:type="spellEnd"/>
      <w:r>
        <w:rPr>
          <w:rFonts w:asciiTheme="majorBidi" w:hAnsiTheme="majorBidi" w:cstheme="majorBidi"/>
          <w:sz w:val="24"/>
          <w:szCs w:val="24"/>
          <w:lang w:val="en-US"/>
        </w:rPr>
        <w:t>. Springer. 2021.131-151.</w:t>
      </w:r>
    </w:p>
    <w:p w14:paraId="7CBEC6C0"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rPr>
        <w:t xml:space="preserve">Tilvis, Reijo S., et al. </w:t>
      </w:r>
      <w:r w:rsidRPr="00301BB7">
        <w:rPr>
          <w:rFonts w:asciiTheme="majorBidi" w:hAnsiTheme="majorBidi" w:cstheme="majorBidi"/>
          <w:sz w:val="24"/>
          <w:szCs w:val="24"/>
          <w:lang w:val="en-US"/>
        </w:rPr>
        <w:t xml:space="preserve">“Predictors of Cognitive Decline and Mortality of Aged People Over a 10-Year Period.” </w:t>
      </w:r>
      <w:r w:rsidRPr="00301BB7">
        <w:rPr>
          <w:rFonts w:asciiTheme="majorBidi" w:hAnsiTheme="majorBidi" w:cstheme="majorBidi"/>
          <w:i/>
          <w:iCs/>
          <w:sz w:val="24"/>
          <w:szCs w:val="24"/>
          <w:lang w:val="en-US"/>
        </w:rPr>
        <w:t>Journal of Gerontology</w:t>
      </w:r>
      <w:r w:rsidRPr="00301BB7">
        <w:rPr>
          <w:rFonts w:asciiTheme="majorBidi" w:hAnsiTheme="majorBidi" w:cstheme="majorBidi"/>
          <w:sz w:val="24"/>
          <w:szCs w:val="24"/>
          <w:lang w:val="en-US"/>
        </w:rPr>
        <w:t xml:space="preserve"> 59A, no. 3 (2004): 268-274.</w:t>
      </w:r>
    </w:p>
    <w:p w14:paraId="3DDBAE8F"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Weeks, David J. “Sex for the mature adult: Health, self-esteem and countering ageist stereotypes.” </w:t>
      </w:r>
      <w:r w:rsidRPr="00301BB7">
        <w:rPr>
          <w:rFonts w:asciiTheme="majorBidi" w:hAnsiTheme="majorBidi" w:cstheme="majorBidi"/>
          <w:i/>
          <w:iCs/>
          <w:sz w:val="24"/>
          <w:szCs w:val="24"/>
          <w:lang w:val="en-US"/>
        </w:rPr>
        <w:t>Sexual and Relationship Therapy</w:t>
      </w:r>
      <w:r w:rsidRPr="00301BB7">
        <w:rPr>
          <w:rFonts w:asciiTheme="majorBidi" w:hAnsiTheme="majorBidi" w:cstheme="majorBidi"/>
          <w:sz w:val="24"/>
          <w:szCs w:val="24"/>
          <w:lang w:val="en-US"/>
        </w:rPr>
        <w:t xml:space="preserve"> 17, no. 3 (2002): 231-240.</w:t>
      </w:r>
    </w:p>
    <w:p w14:paraId="04A9228A"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White, Melissa C. “The Eternal Flame: Capacity to Consent to Sexual Behavior Among Nursing Home Residents With Dementia.” </w:t>
      </w:r>
      <w:r w:rsidRPr="00301BB7">
        <w:rPr>
          <w:rFonts w:asciiTheme="majorBidi" w:hAnsiTheme="majorBidi" w:cstheme="majorBidi"/>
          <w:i/>
          <w:iCs/>
          <w:sz w:val="24"/>
          <w:szCs w:val="24"/>
          <w:lang w:val="en-US"/>
        </w:rPr>
        <w:t>The Elder Law Journal</w:t>
      </w:r>
      <w:r w:rsidRPr="00301BB7">
        <w:rPr>
          <w:rFonts w:asciiTheme="majorBidi" w:hAnsiTheme="majorBidi" w:cstheme="majorBidi"/>
          <w:sz w:val="24"/>
          <w:szCs w:val="24"/>
          <w:lang w:val="en-US"/>
        </w:rPr>
        <w:t xml:space="preserve"> 18 (2010): 133-158.</w:t>
      </w:r>
    </w:p>
    <w:p w14:paraId="679EC400"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Whitlatch, Carol J, Lynn </w:t>
      </w:r>
      <w:proofErr w:type="spellStart"/>
      <w:r w:rsidRPr="00301BB7">
        <w:rPr>
          <w:rFonts w:asciiTheme="majorBidi" w:hAnsiTheme="majorBidi" w:cstheme="majorBidi"/>
          <w:sz w:val="24"/>
          <w:szCs w:val="24"/>
          <w:lang w:val="en-US"/>
        </w:rPr>
        <w:t>Friss</w:t>
      </w:r>
      <w:proofErr w:type="spellEnd"/>
      <w:r w:rsidRPr="00301BB7">
        <w:rPr>
          <w:rFonts w:asciiTheme="majorBidi" w:hAnsiTheme="majorBidi" w:cstheme="majorBidi"/>
          <w:sz w:val="24"/>
          <w:szCs w:val="24"/>
          <w:lang w:val="en-US"/>
        </w:rPr>
        <w:t xml:space="preserve"> Feinberg, and Shandra </w:t>
      </w:r>
      <w:proofErr w:type="spellStart"/>
      <w:r w:rsidRPr="00301BB7">
        <w:rPr>
          <w:rFonts w:asciiTheme="majorBidi" w:hAnsiTheme="majorBidi" w:cstheme="majorBidi"/>
          <w:sz w:val="24"/>
          <w:szCs w:val="24"/>
          <w:lang w:val="en-US"/>
        </w:rPr>
        <w:t>Tucke</w:t>
      </w:r>
      <w:proofErr w:type="spellEnd"/>
      <w:r w:rsidRPr="00301BB7">
        <w:rPr>
          <w:rFonts w:asciiTheme="majorBidi" w:hAnsiTheme="majorBidi" w:cstheme="majorBidi"/>
          <w:sz w:val="24"/>
          <w:szCs w:val="24"/>
          <w:lang w:val="en-US"/>
        </w:rPr>
        <w:t xml:space="preserve">. “Accuracy and Consistency of Responses from Persons with Cognitive Impairment.” </w:t>
      </w:r>
      <w:r w:rsidRPr="00301BB7">
        <w:rPr>
          <w:rFonts w:asciiTheme="majorBidi" w:hAnsiTheme="majorBidi" w:cstheme="majorBidi"/>
          <w:i/>
          <w:iCs/>
          <w:sz w:val="24"/>
          <w:szCs w:val="24"/>
          <w:lang w:val="en-US"/>
        </w:rPr>
        <w:t>Dementia</w:t>
      </w:r>
      <w:r w:rsidRPr="00301BB7">
        <w:rPr>
          <w:rFonts w:asciiTheme="majorBidi" w:hAnsiTheme="majorBidi" w:cstheme="majorBidi"/>
          <w:sz w:val="24"/>
          <w:szCs w:val="24"/>
          <w:lang w:val="en-US"/>
        </w:rPr>
        <w:t xml:space="preserve"> 4, no. 2 (2005): 717-183.</w:t>
      </w:r>
    </w:p>
    <w:p w14:paraId="50D212DC" w14:textId="77777777" w:rsidR="00474D97" w:rsidRPr="00301BB7" w:rsidRDefault="00474D97" w:rsidP="005C6808">
      <w:pPr>
        <w:spacing w:line="240" w:lineRule="auto"/>
        <w:ind w:left="720" w:hanging="720"/>
        <w:contextualSpacing/>
        <w:rPr>
          <w:rFonts w:asciiTheme="majorBidi" w:hAnsiTheme="majorBidi" w:cstheme="majorBidi"/>
          <w:sz w:val="24"/>
          <w:szCs w:val="24"/>
          <w:lang w:val="en-US"/>
        </w:rPr>
      </w:pPr>
      <w:r w:rsidRPr="00301BB7">
        <w:rPr>
          <w:rFonts w:asciiTheme="majorBidi" w:hAnsiTheme="majorBidi" w:cstheme="majorBidi"/>
          <w:sz w:val="24"/>
          <w:szCs w:val="24"/>
          <w:lang w:val="en-US"/>
        </w:rPr>
        <w:t xml:space="preserve">Wilkins, James M. “Dementia, Decision Making, and Quality of Life.” </w:t>
      </w:r>
      <w:r w:rsidRPr="00301BB7">
        <w:rPr>
          <w:rFonts w:asciiTheme="majorBidi" w:hAnsiTheme="majorBidi" w:cstheme="majorBidi"/>
          <w:i/>
          <w:iCs/>
          <w:sz w:val="24"/>
          <w:szCs w:val="24"/>
          <w:lang w:val="en-US"/>
        </w:rPr>
        <w:t>AMA Journal of Ethics</w:t>
      </w:r>
      <w:r w:rsidRPr="00301BB7">
        <w:rPr>
          <w:rFonts w:asciiTheme="majorBidi" w:hAnsiTheme="majorBidi" w:cstheme="majorBidi"/>
          <w:sz w:val="24"/>
          <w:szCs w:val="24"/>
          <w:lang w:val="en-US"/>
        </w:rPr>
        <w:t xml:space="preserve"> 19, no. 7 (2017): 637-639</w:t>
      </w:r>
    </w:p>
    <w:p w14:paraId="262A5A1D" w14:textId="77777777" w:rsidR="00B64AF3" w:rsidRPr="00301BB7" w:rsidRDefault="00B64AF3" w:rsidP="005C6808">
      <w:pPr>
        <w:spacing w:line="240" w:lineRule="auto"/>
        <w:contextualSpacing/>
        <w:rPr>
          <w:rFonts w:asciiTheme="majorBidi" w:hAnsiTheme="majorBidi" w:cstheme="majorBidi"/>
          <w:sz w:val="24"/>
          <w:szCs w:val="24"/>
          <w:lang w:val="en-US"/>
        </w:rPr>
      </w:pPr>
    </w:p>
    <w:p w14:paraId="41CFDC5B" w14:textId="77777777" w:rsidR="00C12BAC" w:rsidRPr="00301BB7" w:rsidRDefault="00C12BAC" w:rsidP="005C6808">
      <w:pPr>
        <w:spacing w:line="240" w:lineRule="auto"/>
        <w:contextualSpacing/>
        <w:rPr>
          <w:rFonts w:asciiTheme="majorBidi" w:hAnsiTheme="majorBidi" w:cstheme="majorBidi"/>
          <w:sz w:val="24"/>
          <w:szCs w:val="24"/>
          <w:lang w:val="en-US"/>
        </w:rPr>
      </w:pPr>
    </w:p>
    <w:sectPr w:rsidR="00C12BAC" w:rsidRPr="00301BB7">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0333" w14:textId="77777777" w:rsidR="005E646F" w:rsidRDefault="005E646F" w:rsidP="003C17ED">
      <w:pPr>
        <w:spacing w:after="0" w:line="240" w:lineRule="auto"/>
      </w:pPr>
      <w:r>
        <w:separator/>
      </w:r>
    </w:p>
  </w:endnote>
  <w:endnote w:type="continuationSeparator" w:id="0">
    <w:p w14:paraId="57D2820A" w14:textId="77777777" w:rsidR="005E646F" w:rsidRDefault="005E646F" w:rsidP="003C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BEA" w14:textId="77777777" w:rsidR="005E646F" w:rsidRDefault="005E646F" w:rsidP="003C17ED">
      <w:pPr>
        <w:spacing w:after="0" w:line="240" w:lineRule="auto"/>
      </w:pPr>
      <w:r>
        <w:separator/>
      </w:r>
    </w:p>
  </w:footnote>
  <w:footnote w:type="continuationSeparator" w:id="0">
    <w:p w14:paraId="6AB856C1" w14:textId="77777777" w:rsidR="005E646F" w:rsidRDefault="005E646F" w:rsidP="003C17ED">
      <w:pPr>
        <w:spacing w:after="0" w:line="240" w:lineRule="auto"/>
      </w:pPr>
      <w:r>
        <w:continuationSeparator/>
      </w:r>
    </w:p>
  </w:footnote>
  <w:footnote w:id="1">
    <w:p w14:paraId="5E7CEE65" w14:textId="5D6BD951" w:rsidR="00BB2746" w:rsidRPr="00FC7132" w:rsidRDefault="00BB2746">
      <w:pPr>
        <w:pStyle w:val="FootnoteText"/>
        <w:rPr>
          <w:rFonts w:ascii="Times" w:hAnsi="Times"/>
          <w:u w:val="single"/>
          <w:lang w:val="en-US"/>
        </w:rPr>
      </w:pPr>
      <w:r w:rsidRPr="00FC7132">
        <w:rPr>
          <w:rStyle w:val="FootnoteReference"/>
          <w:rFonts w:ascii="Times" w:hAnsi="Times"/>
        </w:rPr>
        <w:footnoteRef/>
      </w:r>
      <w:r w:rsidR="00C337F6" w:rsidRPr="00FC7132">
        <w:rPr>
          <w:rFonts w:ascii="Times" w:hAnsi="Times"/>
        </w:rPr>
        <w:t xml:space="preserve"> </w:t>
      </w:r>
      <w:r w:rsidR="00C337F6" w:rsidRPr="00FC7132">
        <w:rPr>
          <w:rFonts w:ascii="Times" w:hAnsi="Times"/>
          <w:u w:val="single"/>
        </w:rPr>
        <w:t>Stempniak, n.p.</w:t>
      </w:r>
      <w:r w:rsidR="00B84A4F" w:rsidRPr="00FC7132">
        <w:rPr>
          <w:rFonts w:ascii="Times" w:hAnsi="Times"/>
          <w:u w:val="single"/>
        </w:rPr>
        <w:t xml:space="preserve"> This definition of an </w:t>
      </w:r>
      <w:r w:rsidR="0032269C" w:rsidRPr="00FC7132">
        <w:rPr>
          <w:rFonts w:ascii="Times" w:hAnsi="Times"/>
          <w:u w:val="single"/>
        </w:rPr>
        <w:t>immediate</w:t>
      </w:r>
      <w:r w:rsidR="00B84A4F" w:rsidRPr="00FC7132">
        <w:rPr>
          <w:rFonts w:ascii="Times" w:hAnsi="Times"/>
          <w:u w:val="single"/>
        </w:rPr>
        <w:t xml:space="preserve"> jeopardy violation comes from CMS’s guidance.</w:t>
      </w:r>
      <w:r w:rsidR="00F50844" w:rsidRPr="00FC7132">
        <w:rPr>
          <w:rFonts w:ascii="Times" w:hAnsi="Times"/>
          <w:u w:val="single"/>
        </w:rPr>
        <w:t xml:space="preserve"> The citation was for a violation of C.F.R. § 488.301, which states that a facility must have “a level of compliance with the requirements of participation such that any identified deficiencies pose no greater risk to resident health or safety than the potential for causing minimal harm.”</w:t>
      </w:r>
    </w:p>
  </w:footnote>
  <w:footnote w:id="2">
    <w:p w14:paraId="1BD1CFD6" w14:textId="75441985" w:rsidR="00935836" w:rsidRPr="00FC7132" w:rsidRDefault="00935836">
      <w:pPr>
        <w:pStyle w:val="FootnoteText"/>
        <w:rPr>
          <w:rFonts w:ascii="Times" w:hAnsi="Times"/>
          <w:u w:val="single"/>
          <w:lang w:val="en-US"/>
        </w:rPr>
      </w:pPr>
      <w:r w:rsidRPr="00FC7132">
        <w:rPr>
          <w:rStyle w:val="FootnoteReference"/>
          <w:rFonts w:ascii="Times" w:hAnsi="Times"/>
          <w:u w:val="single"/>
        </w:rPr>
        <w:footnoteRef/>
      </w:r>
      <w:r w:rsidRPr="00FC7132">
        <w:rPr>
          <w:rFonts w:ascii="Times" w:hAnsi="Times"/>
          <w:u w:val="single"/>
        </w:rPr>
        <w:t xml:space="preserve"> </w:t>
      </w:r>
      <w:r w:rsidR="00B84A4F" w:rsidRPr="00FC7132">
        <w:rPr>
          <w:rFonts w:ascii="Times" w:hAnsi="Times"/>
          <w:u w:val="single"/>
          <w:lang w:val="en-US"/>
        </w:rPr>
        <w:t xml:space="preserve">Neighbors Rehabilitation Center LLC, vs. United States Department of Health and Human Services, Departmental Appeals Board, and Centers for Medicate and Medicaid Services, </w:t>
      </w:r>
      <w:r w:rsidR="00C337F6" w:rsidRPr="00FC7132">
        <w:rPr>
          <w:rFonts w:ascii="Times" w:hAnsi="Times"/>
          <w:u w:val="single"/>
          <w:lang w:val="en-US"/>
        </w:rPr>
        <w:t xml:space="preserve">p. 6. </w:t>
      </w:r>
    </w:p>
  </w:footnote>
  <w:footnote w:id="3">
    <w:p w14:paraId="4EDD06B4" w14:textId="77777777" w:rsidR="00DA38C4" w:rsidRPr="00FC7132" w:rsidRDefault="00DA38C4" w:rsidP="00DA38C4">
      <w:pPr>
        <w:pStyle w:val="FootnoteText"/>
        <w:rPr>
          <w:rFonts w:ascii="Times" w:hAnsi="Times"/>
          <w:lang w:val="en-US"/>
        </w:rPr>
      </w:pPr>
      <w:r w:rsidRPr="00FC7132">
        <w:rPr>
          <w:rStyle w:val="FootnoteReference"/>
          <w:rFonts w:ascii="Times" w:hAnsi="Times"/>
        </w:rPr>
        <w:footnoteRef/>
      </w:r>
      <w:r w:rsidRPr="00FC7132">
        <w:rPr>
          <w:rFonts w:ascii="Times" w:hAnsi="Times"/>
        </w:rPr>
        <w:t xml:space="preserve"> </w:t>
      </w:r>
      <w:r w:rsidRPr="00FC7132">
        <w:rPr>
          <w:rFonts w:ascii="Times" w:hAnsi="Times"/>
          <w:lang w:val="en-US"/>
        </w:rPr>
        <w:t>See Lindau for a survey of the attitudes of the elderly toward sex and the frequency with which they engage in sex.</w:t>
      </w:r>
    </w:p>
  </w:footnote>
  <w:footnote w:id="4">
    <w:p w14:paraId="3D8F5415" w14:textId="77777777" w:rsidR="00B53289" w:rsidRPr="00FC7132" w:rsidRDefault="00B53289" w:rsidP="00B53289">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See White 138 for a discussion.</w:t>
      </w:r>
    </w:p>
  </w:footnote>
  <w:footnote w:id="5">
    <w:p w14:paraId="3E996C8A" w14:textId="77777777" w:rsidR="00B53289" w:rsidRPr="00FC7132" w:rsidRDefault="00B53289" w:rsidP="00B53289">
      <w:pPr>
        <w:pStyle w:val="FootnoteText"/>
        <w:rPr>
          <w:rFonts w:ascii="Times" w:hAnsi="Times"/>
          <w:lang w:val="en-US"/>
        </w:rPr>
      </w:pPr>
      <w:r w:rsidRPr="00FC7132">
        <w:rPr>
          <w:rStyle w:val="FootnoteReference"/>
          <w:rFonts w:ascii="Times" w:hAnsi="Times"/>
        </w:rPr>
        <w:footnoteRef/>
      </w:r>
      <w:r w:rsidRPr="00FC7132">
        <w:rPr>
          <w:rFonts w:ascii="Times" w:hAnsi="Times"/>
        </w:rPr>
        <w:t xml:space="preserve"> </w:t>
      </w:r>
      <w:r w:rsidRPr="00FC7132">
        <w:rPr>
          <w:rFonts w:ascii="Times" w:hAnsi="Times"/>
          <w:lang w:val="en-US"/>
        </w:rPr>
        <w:t>A woman was “reprimanded by a member of the nursing home staff for snuggling, fully clothed, in bed with her husband during a visit” (White, 2010, 139).</w:t>
      </w:r>
    </w:p>
  </w:footnote>
  <w:footnote w:id="6">
    <w:p w14:paraId="1EE5CBD7" w14:textId="7DB9BFC8" w:rsidR="00B53289" w:rsidRPr="00FC7132" w:rsidRDefault="00B53289" w:rsidP="00B53289">
      <w:pPr>
        <w:pStyle w:val="FootnoteText"/>
        <w:rPr>
          <w:rFonts w:ascii="Times" w:hAnsi="Times"/>
          <w:lang w:val="en-US"/>
        </w:rPr>
      </w:pPr>
      <w:r w:rsidRPr="00FC7132">
        <w:rPr>
          <w:rStyle w:val="FootnoteReference"/>
          <w:rFonts w:ascii="Times" w:hAnsi="Times"/>
        </w:rPr>
        <w:footnoteRef/>
      </w:r>
      <w:r w:rsidRPr="00FC7132">
        <w:rPr>
          <w:rFonts w:ascii="Times" w:hAnsi="Times"/>
        </w:rPr>
        <w:t xml:space="preserve"> </w:t>
      </w:r>
      <w:r w:rsidRPr="00FC7132">
        <w:rPr>
          <w:rFonts w:ascii="Times" w:hAnsi="Times"/>
          <w:lang w:val="en-US"/>
        </w:rPr>
        <w:t>Sex can help the elderly to avoid depression and may lower risks of cancer and cardiovascular disease (Tenenbaum, 2009, 680-681).</w:t>
      </w:r>
      <w:r w:rsidR="00E615B8" w:rsidRPr="00FC7132">
        <w:rPr>
          <w:rFonts w:ascii="Times" w:hAnsi="Times"/>
          <w:lang w:val="en-US"/>
        </w:rPr>
        <w:t xml:space="preserve"> For further support of this point, see Davies et al. (1998, 195).</w:t>
      </w:r>
    </w:p>
  </w:footnote>
  <w:footnote w:id="7">
    <w:p w14:paraId="18F5822C" w14:textId="2095D628" w:rsidR="00816314" w:rsidRPr="00FC7132" w:rsidRDefault="00816314">
      <w:pPr>
        <w:pStyle w:val="FootnoteText"/>
        <w:rPr>
          <w:rFonts w:ascii="Times" w:hAnsi="Times"/>
          <w:lang w:val="en-US"/>
        </w:rPr>
      </w:pPr>
      <w:r w:rsidRPr="00FC7132">
        <w:rPr>
          <w:rStyle w:val="FootnoteReference"/>
          <w:rFonts w:ascii="Times" w:hAnsi="Times"/>
        </w:rPr>
        <w:footnoteRef/>
      </w:r>
      <w:r w:rsidRPr="00FC7132">
        <w:rPr>
          <w:rFonts w:ascii="Times" w:hAnsi="Times"/>
        </w:rPr>
        <w:t xml:space="preserve"> </w:t>
      </w:r>
      <w:r w:rsidRPr="00FC7132">
        <w:rPr>
          <w:rFonts w:ascii="Times" w:hAnsi="Times"/>
          <w:lang w:val="en-US"/>
        </w:rPr>
        <w:t xml:space="preserve">Although this is an undertheorized topic, there are many good initial entries regarding ethics, dementia, and sex. For </w:t>
      </w:r>
      <w:r w:rsidR="009F2172" w:rsidRPr="00FC7132">
        <w:rPr>
          <w:rFonts w:ascii="Times" w:hAnsi="Times"/>
          <w:lang w:val="en-US"/>
        </w:rPr>
        <w:t>discussions of whether</w:t>
      </w:r>
      <w:r w:rsidRPr="00FC7132">
        <w:rPr>
          <w:rFonts w:ascii="Times" w:hAnsi="Times"/>
          <w:lang w:val="en-US"/>
        </w:rPr>
        <w:t xml:space="preserve"> people with dementia can give advance consent to sex, see Director (2019), </w:t>
      </w:r>
      <w:proofErr w:type="spellStart"/>
      <w:r w:rsidRPr="00FC7132">
        <w:rPr>
          <w:rFonts w:ascii="Times" w:hAnsi="Times"/>
          <w:lang w:val="en-US"/>
        </w:rPr>
        <w:t>Boni</w:t>
      </w:r>
      <w:proofErr w:type="spellEnd"/>
      <w:r w:rsidRPr="00FC7132">
        <w:rPr>
          <w:rFonts w:ascii="Times" w:hAnsi="Times"/>
          <w:lang w:val="en-US"/>
        </w:rPr>
        <w:t>-Saenz (2016), and Bianchi (2018). For a helpful general discussion of the issue of dementia and consent to sex, see Bianchi (2022a, 2022b).</w:t>
      </w:r>
      <w:r w:rsidR="00655212" w:rsidRPr="00FC7132">
        <w:rPr>
          <w:rFonts w:ascii="Times" w:hAnsi="Times"/>
          <w:lang w:val="en-US"/>
        </w:rPr>
        <w:t xml:space="preserve"> In a 2021 article, </w:t>
      </w:r>
      <w:proofErr w:type="spellStart"/>
      <w:r w:rsidR="00655212" w:rsidRPr="00FC7132">
        <w:rPr>
          <w:rFonts w:ascii="Times" w:hAnsi="Times"/>
          <w:lang w:val="en-US"/>
        </w:rPr>
        <w:t>Kukla</w:t>
      </w:r>
      <w:proofErr w:type="spellEnd"/>
      <w:r w:rsidR="00655212" w:rsidRPr="00FC7132">
        <w:rPr>
          <w:rFonts w:ascii="Times" w:hAnsi="Times"/>
          <w:lang w:val="en-US"/>
        </w:rPr>
        <w:t xml:space="preserve"> </w:t>
      </w:r>
      <w:r w:rsidR="00CE0CA2" w:rsidRPr="00FC7132">
        <w:rPr>
          <w:rFonts w:ascii="Times" w:hAnsi="Times"/>
          <w:lang w:val="en-US"/>
        </w:rPr>
        <w:t xml:space="preserve">also discusses dementia and consent to sex in the context of illustrating a broader theory of nonideal sexual consent. </w:t>
      </w:r>
      <w:r w:rsidR="00655212" w:rsidRPr="00FC7132">
        <w:rPr>
          <w:rFonts w:ascii="Times" w:hAnsi="Times"/>
          <w:lang w:val="en-US"/>
        </w:rPr>
        <w:t xml:space="preserve">A related issue involving using sex robots for the elderly is raised by </w:t>
      </w:r>
      <w:proofErr w:type="spellStart"/>
      <w:r w:rsidR="00655212" w:rsidRPr="00FC7132">
        <w:rPr>
          <w:rFonts w:ascii="Times" w:hAnsi="Times"/>
          <w:lang w:val="en-US"/>
        </w:rPr>
        <w:t>Jecker</w:t>
      </w:r>
      <w:proofErr w:type="spellEnd"/>
      <w:r w:rsidR="00655212" w:rsidRPr="00FC7132">
        <w:rPr>
          <w:rFonts w:ascii="Times" w:hAnsi="Times"/>
          <w:lang w:val="en-US"/>
        </w:rPr>
        <w:t xml:space="preserve"> (2020).</w:t>
      </w:r>
    </w:p>
  </w:footnote>
  <w:footnote w:id="8">
    <w:p w14:paraId="17F38A81" w14:textId="7A22ACB7" w:rsidR="00F3075F" w:rsidRPr="00FC7132" w:rsidRDefault="00F3075F">
      <w:pPr>
        <w:pStyle w:val="FootnoteText"/>
        <w:rPr>
          <w:rFonts w:ascii="Times" w:hAnsi="Times"/>
          <w:lang w:val="en-US"/>
        </w:rPr>
      </w:pPr>
      <w:r w:rsidRPr="00FC7132">
        <w:rPr>
          <w:rStyle w:val="FootnoteReference"/>
          <w:rFonts w:ascii="Times" w:hAnsi="Times"/>
        </w:rPr>
        <w:footnoteRef/>
      </w:r>
      <w:r w:rsidRPr="00FC7132">
        <w:rPr>
          <w:rFonts w:ascii="Times" w:hAnsi="Times"/>
        </w:rPr>
        <w:t xml:space="preserve"> </w:t>
      </w:r>
      <w:r w:rsidRPr="00FC7132">
        <w:rPr>
          <w:rFonts w:ascii="Times" w:hAnsi="Times"/>
          <w:lang w:val="en-US"/>
        </w:rPr>
        <w:t xml:space="preserve">There is disagreement about assent. By “assent” I mean “a yes that is morally significant but not at the level of valid consent.” </w:t>
      </w:r>
    </w:p>
  </w:footnote>
  <w:footnote w:id="9">
    <w:p w14:paraId="070B1969" w14:textId="67270D71" w:rsidR="00AA33E8" w:rsidRPr="00AA33E8" w:rsidRDefault="00AA33E8">
      <w:pPr>
        <w:pStyle w:val="FootnoteText"/>
        <w:rPr>
          <w:rFonts w:ascii="Times" w:hAnsi="Times"/>
          <w:u w:val="single"/>
          <w:lang w:val="en-US"/>
        </w:rPr>
      </w:pPr>
      <w:r w:rsidRPr="00AA33E8">
        <w:rPr>
          <w:rStyle w:val="FootnoteReference"/>
          <w:rFonts w:ascii="Times" w:hAnsi="Times"/>
          <w:u w:val="single"/>
        </w:rPr>
        <w:footnoteRef/>
      </w:r>
      <w:r w:rsidRPr="00AA33E8">
        <w:rPr>
          <w:rFonts w:ascii="Times" w:hAnsi="Times"/>
          <w:u w:val="single"/>
        </w:rPr>
        <w:t xml:space="preserve"> </w:t>
      </w:r>
      <w:r w:rsidRPr="00AA33E8">
        <w:rPr>
          <w:rFonts w:ascii="Times" w:hAnsi="Times"/>
          <w:u w:val="single"/>
          <w:lang w:val="en-US"/>
        </w:rPr>
        <w:t xml:space="preserve">As an anonymous reviewer pointed out to me, it won’t be true that all people with mild to severe dementia satisfy </w:t>
      </w:r>
      <w:proofErr w:type="gramStart"/>
      <w:r w:rsidRPr="00AA33E8">
        <w:rPr>
          <w:rFonts w:ascii="Times" w:hAnsi="Times"/>
          <w:u w:val="single"/>
          <w:lang w:val="en-US"/>
        </w:rPr>
        <w:t>all of</w:t>
      </w:r>
      <w:proofErr w:type="gramEnd"/>
      <w:r w:rsidRPr="00AA33E8">
        <w:rPr>
          <w:rFonts w:ascii="Times" w:hAnsi="Times"/>
          <w:u w:val="single"/>
          <w:lang w:val="en-US"/>
        </w:rPr>
        <w:t xml:space="preserve"> these conditions. I agree with this. Given that, I mean to argue that our default assumption (</w:t>
      </w:r>
      <w:r w:rsidR="00C33380">
        <w:rPr>
          <w:rFonts w:ascii="Times" w:hAnsi="Times"/>
          <w:u w:val="single"/>
          <w:lang w:val="en-US"/>
        </w:rPr>
        <w:t>based on</w:t>
      </w:r>
      <w:r w:rsidRPr="00AA33E8">
        <w:rPr>
          <w:rFonts w:ascii="Times" w:hAnsi="Times"/>
          <w:u w:val="single"/>
          <w:lang w:val="en-US"/>
        </w:rPr>
        <w:t xml:space="preserve"> the empirical evidence) should be that individuals with mild to severe dementia can consent. </w:t>
      </w:r>
      <w:proofErr w:type="gramStart"/>
      <w:r w:rsidRPr="00AA33E8">
        <w:rPr>
          <w:rFonts w:ascii="Times" w:hAnsi="Times"/>
          <w:u w:val="single"/>
          <w:lang w:val="en-US"/>
        </w:rPr>
        <w:t>But,</w:t>
      </w:r>
      <w:proofErr w:type="gramEnd"/>
      <w:r w:rsidRPr="00AA33E8">
        <w:rPr>
          <w:rFonts w:ascii="Times" w:hAnsi="Times"/>
          <w:u w:val="single"/>
          <w:lang w:val="en-US"/>
        </w:rPr>
        <w:t xml:space="preserve"> I agree that it could turn out that some of those individuals fail some conditions of my thesis, rendering them unable to validly consent to sex.</w:t>
      </w:r>
    </w:p>
  </w:footnote>
  <w:footnote w:id="10">
    <w:p w14:paraId="1E709A58" w14:textId="3E844A13" w:rsidR="00F17F49" w:rsidRPr="00FC7132" w:rsidRDefault="00F17F49" w:rsidP="009309DB">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Downs, 1997, 601.</w:t>
      </w:r>
      <w:r w:rsidR="00B80F37" w:rsidRPr="00FC7132">
        <w:rPr>
          <w:rFonts w:ascii="Times" w:hAnsi="Times" w:cstheme="majorBidi"/>
          <w:lang w:val="en-US"/>
        </w:rPr>
        <w:t xml:space="preserve"> I use</w:t>
      </w:r>
      <w:r w:rsidR="00617FEC" w:rsidRPr="00FC7132">
        <w:rPr>
          <w:rFonts w:ascii="Times" w:hAnsi="Times" w:cstheme="majorBidi"/>
          <w:lang w:val="en-US"/>
        </w:rPr>
        <w:t xml:space="preserve"> </w:t>
      </w:r>
      <w:r w:rsidR="00B80F37" w:rsidRPr="00FC7132">
        <w:rPr>
          <w:rFonts w:ascii="Times" w:hAnsi="Times" w:cstheme="majorBidi"/>
          <w:lang w:val="en-US"/>
        </w:rPr>
        <w:t xml:space="preserve">“capacity” and “competence” interchangeably. In different areas of </w:t>
      </w:r>
      <w:r w:rsidR="00617FEC" w:rsidRPr="00FC7132">
        <w:rPr>
          <w:rFonts w:ascii="Times" w:hAnsi="Times" w:cstheme="majorBidi"/>
          <w:lang w:val="en-US"/>
        </w:rPr>
        <w:t>bioethics and law</w:t>
      </w:r>
      <w:r w:rsidR="00B80F37" w:rsidRPr="00FC7132">
        <w:rPr>
          <w:rFonts w:ascii="Times" w:hAnsi="Times" w:cstheme="majorBidi"/>
          <w:lang w:val="en-US"/>
        </w:rPr>
        <w:t>, these terms have different meanings. In other areas, they are used synonymously. For a discussion of this dispute, see Charland (2015).</w:t>
      </w:r>
    </w:p>
  </w:footnote>
  <w:footnote w:id="11">
    <w:p w14:paraId="60DDEFD1" w14:textId="77777777" w:rsidR="00F17F49" w:rsidRPr="00FC7132" w:rsidRDefault="00F17F49" w:rsidP="009309DB">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Lichtenberg, 2014, 4.</w:t>
      </w:r>
    </w:p>
  </w:footnote>
  <w:footnote w:id="12">
    <w:p w14:paraId="3D461A90" w14:textId="77777777" w:rsidR="00F17F49" w:rsidRPr="00FC7132" w:rsidRDefault="00F17F49" w:rsidP="00E25642">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Downs, 1997, 601.</w:t>
      </w:r>
    </w:p>
  </w:footnote>
  <w:footnote w:id="13">
    <w:p w14:paraId="171A00B4" w14:textId="6206F98B" w:rsidR="004D244E" w:rsidRPr="007406B6" w:rsidRDefault="004D244E">
      <w:pPr>
        <w:pStyle w:val="FootnoteText"/>
        <w:rPr>
          <w:rFonts w:ascii="Times" w:hAnsi="Times"/>
          <w:u w:val="single"/>
          <w:lang w:val="en-US"/>
        </w:rPr>
      </w:pPr>
      <w:r w:rsidRPr="00FC7132">
        <w:rPr>
          <w:rStyle w:val="FootnoteReference"/>
          <w:rFonts w:ascii="Times" w:hAnsi="Times"/>
        </w:rPr>
        <w:footnoteRef/>
      </w:r>
      <w:r w:rsidRPr="00FC7132">
        <w:rPr>
          <w:rFonts w:ascii="Times" w:hAnsi="Times"/>
        </w:rPr>
        <w:t xml:space="preserve"> </w:t>
      </w:r>
      <w:r w:rsidRPr="00FC7132">
        <w:rPr>
          <w:rFonts w:ascii="Times" w:hAnsi="Times"/>
          <w:lang w:val="en-US"/>
        </w:rPr>
        <w:t xml:space="preserve">I </w:t>
      </w:r>
      <w:r w:rsidR="00A95D7F" w:rsidRPr="00FC7132">
        <w:rPr>
          <w:rFonts w:ascii="Times" w:hAnsi="Times"/>
          <w:lang w:val="en-US"/>
        </w:rPr>
        <w:t>assume</w:t>
      </w:r>
      <w:r w:rsidRPr="00FC7132">
        <w:rPr>
          <w:rFonts w:ascii="Times" w:hAnsi="Times"/>
          <w:lang w:val="en-US"/>
        </w:rPr>
        <w:t xml:space="preserve"> a continuity of consciousness view of personal identity. </w:t>
      </w:r>
      <w:r w:rsidR="007406B6" w:rsidRPr="007406B6">
        <w:rPr>
          <w:rFonts w:ascii="Times" w:hAnsi="Times"/>
          <w:u w:val="single"/>
          <w:lang w:val="en-US"/>
        </w:rPr>
        <w:t xml:space="preserve">Additionally, I am not endorsing the view that D must engage </w:t>
      </w:r>
      <w:r w:rsidR="00E5614C">
        <w:rPr>
          <w:rFonts w:ascii="Times" w:hAnsi="Times"/>
          <w:u w:val="single"/>
          <w:lang w:val="en-US"/>
        </w:rPr>
        <w:t xml:space="preserve">or act in line with </w:t>
      </w:r>
      <w:r w:rsidR="007406B6" w:rsidRPr="007406B6">
        <w:rPr>
          <w:rFonts w:ascii="Times" w:hAnsi="Times"/>
          <w:u w:val="single"/>
          <w:lang w:val="en-US"/>
        </w:rPr>
        <w:t xml:space="preserve">her values </w:t>
      </w:r>
      <w:proofErr w:type="gramStart"/>
      <w:r w:rsidR="007406B6" w:rsidRPr="007406B6">
        <w:rPr>
          <w:rFonts w:ascii="Times" w:hAnsi="Times"/>
          <w:u w:val="single"/>
          <w:lang w:val="en-US"/>
        </w:rPr>
        <w:t>in order for</w:t>
      </w:r>
      <w:proofErr w:type="gramEnd"/>
      <w:r w:rsidR="007406B6" w:rsidRPr="007406B6">
        <w:rPr>
          <w:rFonts w:ascii="Times" w:hAnsi="Times"/>
          <w:u w:val="single"/>
          <w:lang w:val="en-US"/>
        </w:rPr>
        <w:t xml:space="preserve"> her consent to be vali</w:t>
      </w:r>
      <w:r w:rsidR="006F7630">
        <w:rPr>
          <w:rFonts w:ascii="Times" w:hAnsi="Times"/>
          <w:u w:val="single"/>
          <w:lang w:val="en-US"/>
        </w:rPr>
        <w:t xml:space="preserve">d. For example, a devout Catholic can consensually engage in adultery. </w:t>
      </w:r>
      <w:r w:rsidR="00E5614C" w:rsidRPr="00E5614C">
        <w:rPr>
          <w:rFonts w:ascii="Times" w:hAnsi="Times"/>
          <w:u w:val="single"/>
          <w:lang w:val="en-US"/>
        </w:rPr>
        <w:t>However, if I am wrong in this position, and it turns out that engagement with and acting in line with one’s values is a necessary condition of consent, then I believe my view can accommodate this. In the cases I’m discussing, having sex with their long-term partner is in harmony with D’s pre-dementia values.</w:t>
      </w:r>
    </w:p>
  </w:footnote>
  <w:footnote w:id="14">
    <w:p w14:paraId="5727BE33" w14:textId="127BFAE6" w:rsidR="00F17F49" w:rsidRPr="00FC7132" w:rsidRDefault="00F17F49" w:rsidP="009309DB">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Clark (et al.), 2008, Feinberg (et al.), 2001, and </w:t>
      </w:r>
      <w:proofErr w:type="spellStart"/>
      <w:r w:rsidRPr="00FC7132">
        <w:rPr>
          <w:rFonts w:ascii="Times" w:hAnsi="Times" w:cstheme="majorBidi"/>
          <w:lang w:val="en-US"/>
        </w:rPr>
        <w:t>Whitlatch</w:t>
      </w:r>
      <w:proofErr w:type="spellEnd"/>
      <w:r w:rsidRPr="00FC7132">
        <w:rPr>
          <w:rFonts w:ascii="Times" w:hAnsi="Times" w:cstheme="majorBidi"/>
          <w:lang w:val="en-US"/>
        </w:rPr>
        <w:t xml:space="preserve"> (et al.), 2005.</w:t>
      </w:r>
      <w:r w:rsidR="00655212" w:rsidRPr="00FC7132">
        <w:rPr>
          <w:rFonts w:ascii="Times" w:hAnsi="Times" w:cstheme="majorBidi"/>
          <w:lang w:val="en-US"/>
        </w:rPr>
        <w:t xml:space="preserve"> These studies had n=213, n=51, and n=111 respectively. </w:t>
      </w:r>
    </w:p>
  </w:footnote>
  <w:footnote w:id="15">
    <w:p w14:paraId="2AB890A8" w14:textId="77777777" w:rsidR="00F17F49" w:rsidRPr="00FC7132" w:rsidRDefault="00F17F49" w:rsidP="00BB4A47">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The MMSE assesses “seven dimensions of cognitive functioning,” including “orientation and time,” “orientation to place,” “recall,” “attention and calculation,” etc. (Feinberg, 2001, 377).</w:t>
      </w:r>
    </w:p>
  </w:footnote>
  <w:footnote w:id="16">
    <w:p w14:paraId="71B513A2" w14:textId="143E6FFA" w:rsidR="00A428A9" w:rsidRPr="00FC7132" w:rsidRDefault="00A428A9">
      <w:pPr>
        <w:pStyle w:val="FootnoteText"/>
        <w:rPr>
          <w:rFonts w:ascii="Times" w:hAnsi="Times"/>
          <w:lang w:val="en-US"/>
        </w:rPr>
      </w:pPr>
      <w:r w:rsidRPr="00FC7132">
        <w:rPr>
          <w:rStyle w:val="FootnoteReference"/>
          <w:rFonts w:ascii="Times" w:hAnsi="Times"/>
        </w:rPr>
        <w:footnoteRef/>
      </w:r>
      <w:r w:rsidR="00BD1B7D" w:rsidRPr="00FC7132">
        <w:rPr>
          <w:rFonts w:ascii="Times" w:hAnsi="Times" w:cstheme="majorBidi"/>
          <w:lang w:val="en-US"/>
        </w:rPr>
        <w:t xml:space="preserve"> S</w:t>
      </w:r>
      <w:r w:rsidRPr="00FC7132">
        <w:rPr>
          <w:rFonts w:ascii="Times" w:hAnsi="Times" w:cstheme="majorBidi"/>
          <w:lang w:val="en-US"/>
        </w:rPr>
        <w:t>ee Mitchell (2009).</w:t>
      </w:r>
    </w:p>
  </w:footnote>
  <w:footnote w:id="17">
    <w:p w14:paraId="0592469D" w14:textId="6869D525" w:rsidR="00F17F49" w:rsidRPr="00FC7132" w:rsidRDefault="00F17F49" w:rsidP="00B74F9A">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Feinberg’s study categorizes individuals </w:t>
      </w:r>
      <w:r w:rsidR="003C41C5" w:rsidRPr="00FC7132">
        <w:rPr>
          <w:rFonts w:ascii="Times" w:hAnsi="Times" w:cstheme="majorBidi"/>
          <w:lang w:val="en-US"/>
        </w:rPr>
        <w:t xml:space="preserve">with dementia </w:t>
      </w:r>
      <w:r w:rsidRPr="00FC7132">
        <w:rPr>
          <w:rFonts w:ascii="Times" w:hAnsi="Times" w:cstheme="majorBidi"/>
          <w:lang w:val="en-US"/>
        </w:rPr>
        <w:t xml:space="preserve">in </w:t>
      </w:r>
      <w:r w:rsidR="00BD1B7D" w:rsidRPr="00FC7132">
        <w:rPr>
          <w:rFonts w:ascii="Times" w:hAnsi="Times" w:cstheme="majorBidi"/>
          <w:lang w:val="en-US"/>
        </w:rPr>
        <w:t>this</w:t>
      </w:r>
      <w:r w:rsidRPr="00FC7132">
        <w:rPr>
          <w:rFonts w:ascii="Times" w:hAnsi="Times" w:cstheme="majorBidi"/>
          <w:lang w:val="en-US"/>
        </w:rPr>
        <w:t xml:space="preserve"> way based on MMSE scores: “low scores between 13–15…indicating greater cognitive impairment; medium scores between 16–23…and high scores between 24–26…indicating mild cognitive impairment” (2001, 377). According to the Alzheimer’s Association “a score of 20 to 24 suggests mild dementia, 13 to 20 suggests moderate dementia, and less than 12 indicates severe dementia” (Alzheimer’s Association). Although they don’t agree perfectly, the disagreements are </w:t>
      </w:r>
      <w:proofErr w:type="gramStart"/>
      <w:r w:rsidRPr="00FC7132">
        <w:rPr>
          <w:rFonts w:ascii="Times" w:hAnsi="Times" w:cstheme="majorBidi"/>
          <w:lang w:val="en-US"/>
        </w:rPr>
        <w:t>fairly trivial</w:t>
      </w:r>
      <w:proofErr w:type="gramEnd"/>
      <w:r w:rsidRPr="00FC7132">
        <w:rPr>
          <w:rFonts w:ascii="Times" w:hAnsi="Times" w:cstheme="majorBidi"/>
          <w:lang w:val="en-US"/>
        </w:rPr>
        <w:t>.</w:t>
      </w:r>
    </w:p>
  </w:footnote>
  <w:footnote w:id="18">
    <w:p w14:paraId="57ABB6BF" w14:textId="77777777" w:rsidR="00F17F49" w:rsidRPr="00FC7132" w:rsidRDefault="00F17F49" w:rsidP="00AE7AE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Clark, 2008, 346-347.</w:t>
      </w:r>
    </w:p>
  </w:footnote>
  <w:footnote w:id="19">
    <w:p w14:paraId="080429F6" w14:textId="3F22E693" w:rsidR="00F17F49" w:rsidRPr="00FC7132" w:rsidRDefault="00F17F49" w:rsidP="00B74F9A">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Philosophers mischaracterize the stability of demen</w:t>
      </w:r>
      <w:r w:rsidR="003C41C5" w:rsidRPr="00FC7132">
        <w:rPr>
          <w:rFonts w:ascii="Times" w:hAnsi="Times" w:cstheme="majorBidi"/>
          <w:lang w:val="en-US"/>
        </w:rPr>
        <w:t xml:space="preserve">tia patients’ </w:t>
      </w:r>
      <w:r w:rsidRPr="00FC7132">
        <w:rPr>
          <w:rFonts w:ascii="Times" w:hAnsi="Times" w:cstheme="majorBidi"/>
          <w:lang w:val="en-US"/>
        </w:rPr>
        <w:t>preferences. For example, McMahan states that “the preferences of the demented are notoriously arbitrary, whimsical, and ephemeral” (2002: 497-498). This doesn’t fit the evidence.</w:t>
      </w:r>
    </w:p>
  </w:footnote>
  <w:footnote w:id="20">
    <w:p w14:paraId="22CA64C3" w14:textId="77777777" w:rsidR="00F17F49" w:rsidRPr="00FC7132" w:rsidRDefault="00F17F49" w:rsidP="00D415A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Clark, 2008, 348. Feinberg finds an identical result: “care receivers [individuals with dementia] were able to provide answers with significant levels of agreement to nearly every question…of the 17 questions asked of care receivers, only one (the care receiver’s age) yielded responses that were significantly different from Time 1 to Time 2. Even among those care receivers whose MMSE scores were lowest (MMSE 13–15…) [severe dementia], significant levels of agreement were obtained for all but two questions” (Feinberg, 2001, 378).</w:t>
      </w:r>
    </w:p>
  </w:footnote>
  <w:footnote w:id="21">
    <w:p w14:paraId="49884EA0" w14:textId="77777777" w:rsidR="00F17F49" w:rsidRPr="00FC7132" w:rsidRDefault="00F17F49" w:rsidP="00D415A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Clark, 2008, 350.</w:t>
      </w:r>
    </w:p>
  </w:footnote>
  <w:footnote w:id="22">
    <w:p w14:paraId="0D3D3C66" w14:textId="4B450A56" w:rsidR="00F17F49" w:rsidRPr="00FC7132" w:rsidRDefault="00F17F49" w:rsidP="00720917">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Feinberg, 2001, 380. Clark confirms this: “results show that individuals with MMSE scores as low as 13 [severe impairment] are able to provide reliable responses to fact-based and state-dependent interview questions” (2008, 355).</w:t>
      </w:r>
    </w:p>
  </w:footnote>
  <w:footnote w:id="23">
    <w:p w14:paraId="0142DA98" w14:textId="77777777" w:rsidR="00F17F49" w:rsidRPr="00FC7132" w:rsidRDefault="00F17F49" w:rsidP="007B6C5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Feinberg, 2001, 374. Clark, 2008, 343, Downs, 1997, 599, and   Mills and Coleman, 1994, 213 confirm this.</w:t>
      </w:r>
    </w:p>
  </w:footnote>
  <w:footnote w:id="24">
    <w:p w14:paraId="7CC89BE8" w14:textId="77777777" w:rsidR="00F17F49" w:rsidRPr="00FC7132" w:rsidRDefault="00F17F49" w:rsidP="00D415A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Clark, 2008, 350. </w:t>
      </w:r>
      <w:proofErr w:type="spellStart"/>
      <w:r w:rsidRPr="00FC7132">
        <w:rPr>
          <w:rFonts w:ascii="Times" w:hAnsi="Times" w:cstheme="majorBidi"/>
          <w:lang w:val="en-US"/>
        </w:rPr>
        <w:t>Whitlatch</w:t>
      </w:r>
      <w:proofErr w:type="spellEnd"/>
      <w:r w:rsidRPr="00FC7132">
        <w:rPr>
          <w:rFonts w:ascii="Times" w:hAnsi="Times" w:cstheme="majorBidi"/>
          <w:lang w:val="en-US"/>
        </w:rPr>
        <w:t xml:space="preserve"> finds nearly identical numbers in her later study (2005, 179).</w:t>
      </w:r>
    </w:p>
  </w:footnote>
  <w:footnote w:id="25">
    <w:p w14:paraId="3712174F" w14:textId="14C9AA49" w:rsidR="00F17F49" w:rsidRPr="00FC7132" w:rsidRDefault="00F17F49" w:rsidP="00D415A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Clark, 2008, 350. This is confirmed by </w:t>
      </w:r>
      <w:proofErr w:type="spellStart"/>
      <w:r w:rsidRPr="00FC7132">
        <w:rPr>
          <w:rFonts w:ascii="Times" w:hAnsi="Times" w:cstheme="majorBidi"/>
          <w:lang w:val="en-US"/>
        </w:rPr>
        <w:t>Whitlatch</w:t>
      </w:r>
      <w:proofErr w:type="spellEnd"/>
      <w:r w:rsidRPr="00FC7132">
        <w:rPr>
          <w:rFonts w:ascii="Times" w:hAnsi="Times" w:cstheme="majorBidi"/>
          <w:lang w:val="en-US"/>
        </w:rPr>
        <w:t>, who finds that 83% of individuals with severe impairment accurately report their marital status (2005, 179).</w:t>
      </w:r>
    </w:p>
  </w:footnote>
  <w:footnote w:id="26">
    <w:p w14:paraId="4C14F2A9" w14:textId="77777777" w:rsidR="00F17F49" w:rsidRPr="00FC7132" w:rsidRDefault="00F17F49" w:rsidP="00233F70">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w:t>
      </w:r>
      <w:proofErr w:type="spellStart"/>
      <w:r w:rsidRPr="00FC7132">
        <w:rPr>
          <w:rFonts w:ascii="Times" w:hAnsi="Times" w:cstheme="majorBidi"/>
          <w:lang w:val="en-US"/>
        </w:rPr>
        <w:t>Whitlatch</w:t>
      </w:r>
      <w:proofErr w:type="spellEnd"/>
      <w:r w:rsidRPr="00FC7132">
        <w:rPr>
          <w:rFonts w:ascii="Times" w:hAnsi="Times" w:cstheme="majorBidi"/>
          <w:lang w:val="en-US"/>
        </w:rPr>
        <w:t>, 2005, 178. Feinberg, 2001, 378 confirms this.</w:t>
      </w:r>
    </w:p>
  </w:footnote>
  <w:footnote w:id="27">
    <w:p w14:paraId="09719FAE" w14:textId="6E2BA7FF" w:rsidR="00D22FCE" w:rsidRPr="00FC7132" w:rsidRDefault="00D22FCE">
      <w:pPr>
        <w:pStyle w:val="FootnoteText"/>
        <w:rPr>
          <w:rFonts w:ascii="Times" w:hAnsi="Times"/>
          <w:u w:val="single"/>
          <w:lang w:val="en-US"/>
        </w:rPr>
      </w:pPr>
      <w:r w:rsidRPr="00FC7132">
        <w:rPr>
          <w:rStyle w:val="FootnoteReference"/>
          <w:rFonts w:ascii="Times" w:hAnsi="Times"/>
          <w:u w:val="single"/>
        </w:rPr>
        <w:footnoteRef/>
      </w:r>
      <w:r w:rsidRPr="00FC7132">
        <w:rPr>
          <w:rFonts w:ascii="Times" w:hAnsi="Times"/>
          <w:u w:val="single"/>
        </w:rPr>
        <w:t xml:space="preserve"> Ehrenfeld et al. (147) report cases in which women with dementia have sex with someone who is not their spouse but call that person by their spouse’s name, indicating that although they know the name and identity of their spsouse, they cannot correctly identify if a person is their spouse. This is potentially conecerning for my view, because it would show that knowing who one’s partner is is not sufficient to guarantee that one gives consent to their actual partner. </w:t>
      </w:r>
      <w:r w:rsidR="00FC7132">
        <w:rPr>
          <w:rFonts w:ascii="Times" w:hAnsi="Times"/>
          <w:u w:val="single"/>
        </w:rPr>
        <w:t>However</w:t>
      </w:r>
      <w:r w:rsidRPr="00FC7132">
        <w:rPr>
          <w:rFonts w:ascii="Times" w:hAnsi="Times"/>
          <w:u w:val="single"/>
        </w:rPr>
        <w:t>, this was reported in a minority of cases and could be remedied by better oversight.</w:t>
      </w:r>
      <w:r w:rsidR="00FC7132">
        <w:rPr>
          <w:rFonts w:ascii="Times" w:hAnsi="Times"/>
          <w:u w:val="single"/>
        </w:rPr>
        <w:t xml:space="preserve"> </w:t>
      </w:r>
      <w:r w:rsidR="00FC7132" w:rsidRPr="00FC7132">
        <w:rPr>
          <w:rFonts w:ascii="Times" w:hAnsi="Times"/>
          <w:u w:val="single"/>
        </w:rPr>
        <w:t>For example, the screening interview mentioned later in this paper could be used to determine if D can correctly identify C as her partner from a lineup of photos with other similarly aged men.</w:t>
      </w:r>
    </w:p>
  </w:footnote>
  <w:footnote w:id="28">
    <w:p w14:paraId="5AAE29BD" w14:textId="77777777" w:rsidR="00F17F49" w:rsidRPr="00FC7132" w:rsidRDefault="00F17F49" w:rsidP="009309DB">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Ballard (et al.), 1997, 450.</w:t>
      </w:r>
    </w:p>
  </w:footnote>
  <w:footnote w:id="29">
    <w:p w14:paraId="72771C65" w14:textId="6CDB2895" w:rsidR="00EA3FCC" w:rsidRPr="00FC7132" w:rsidRDefault="00EA3FCC">
      <w:pPr>
        <w:pStyle w:val="FootnoteText"/>
        <w:rPr>
          <w:rFonts w:ascii="Times" w:hAnsi="Times"/>
          <w:lang w:val="en-US"/>
        </w:rPr>
      </w:pPr>
      <w:r w:rsidRPr="00FC7132">
        <w:rPr>
          <w:rStyle w:val="FootnoteReference"/>
          <w:rFonts w:ascii="Times" w:hAnsi="Times"/>
        </w:rPr>
        <w:footnoteRef/>
      </w:r>
      <w:r w:rsidRPr="00FC7132">
        <w:rPr>
          <w:rFonts w:ascii="Times" w:hAnsi="Times"/>
        </w:rPr>
        <w:t xml:space="preserve"> </w:t>
      </w:r>
      <w:r w:rsidR="00BD1B7D" w:rsidRPr="00FC7132">
        <w:rPr>
          <w:rFonts w:ascii="Times" w:hAnsi="Times"/>
          <w:lang w:val="en-US"/>
        </w:rPr>
        <w:t>This study</w:t>
      </w:r>
      <w:r w:rsidR="001324ED" w:rsidRPr="00FC7132">
        <w:rPr>
          <w:rFonts w:ascii="Times" w:hAnsi="Times"/>
          <w:lang w:val="en-US"/>
        </w:rPr>
        <w:t xml:space="preserve"> only studied people with mild to moderate dementia. So, this evidence would</w:t>
      </w:r>
      <w:r w:rsidR="00BD1B7D" w:rsidRPr="00FC7132">
        <w:rPr>
          <w:rFonts w:ascii="Times" w:hAnsi="Times"/>
          <w:lang w:val="en-US"/>
        </w:rPr>
        <w:t>n’</w:t>
      </w:r>
      <w:r w:rsidR="001324ED" w:rsidRPr="00FC7132">
        <w:rPr>
          <w:rFonts w:ascii="Times" w:hAnsi="Times"/>
          <w:lang w:val="en-US"/>
        </w:rPr>
        <w:t xml:space="preserve">t apply to any level of dementia beyond that. The other arguments in this section would apply to such individuals. </w:t>
      </w:r>
    </w:p>
  </w:footnote>
  <w:footnote w:id="30">
    <w:p w14:paraId="66842A86" w14:textId="77777777" w:rsidR="00F17F49" w:rsidRPr="00FC7132" w:rsidRDefault="00F17F49" w:rsidP="00D415A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Feinberg, 2001, 380.</w:t>
      </w:r>
    </w:p>
  </w:footnote>
  <w:footnote w:id="31">
    <w:p w14:paraId="776041F9" w14:textId="77777777" w:rsidR="00F17F49" w:rsidRPr="00FC7132" w:rsidRDefault="00F17F49" w:rsidP="00D415A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Feinberg, 2001, 375. Clark, 2008, 343 confirms this.</w:t>
      </w:r>
    </w:p>
  </w:footnote>
  <w:footnote w:id="32">
    <w:p w14:paraId="42CFF1DB" w14:textId="77777777" w:rsidR="00F17F49" w:rsidRPr="00FC7132" w:rsidRDefault="00F17F49" w:rsidP="009309DB">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Buckles (et al.), 2003, 1664.</w:t>
      </w:r>
    </w:p>
  </w:footnote>
  <w:footnote w:id="33">
    <w:p w14:paraId="3E7E36E6" w14:textId="77777777" w:rsidR="00F17F49" w:rsidRPr="00FC7132" w:rsidRDefault="00F17F49" w:rsidP="00D415A8">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Clark, 2008, 351.</w:t>
      </w:r>
    </w:p>
  </w:footnote>
  <w:footnote w:id="34">
    <w:p w14:paraId="0B0CF551" w14:textId="77777777" w:rsidR="00F17F49" w:rsidRPr="00FC7132" w:rsidRDefault="00F17F49" w:rsidP="00F84FD3">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w:t>
      </w:r>
      <w:proofErr w:type="spellStart"/>
      <w:r w:rsidRPr="00FC7132">
        <w:rPr>
          <w:rFonts w:ascii="Times" w:hAnsi="Times" w:cstheme="majorBidi"/>
          <w:lang w:val="en-US"/>
        </w:rPr>
        <w:t>Whitlatch</w:t>
      </w:r>
      <w:proofErr w:type="spellEnd"/>
      <w:r w:rsidRPr="00FC7132">
        <w:rPr>
          <w:rFonts w:ascii="Times" w:hAnsi="Times" w:cstheme="majorBidi"/>
          <w:lang w:val="en-US"/>
        </w:rPr>
        <w:t>, 2005, 178.  Wilkins confirms this: “evidence suggests…that many people with dementia, even those with more advanced disease, can still articulate their values, preferences, and choices in a reliable manner” (2017, 637).</w:t>
      </w:r>
    </w:p>
  </w:footnote>
  <w:footnote w:id="35">
    <w:p w14:paraId="5A4C1238" w14:textId="3E6739BC" w:rsidR="0044586D" w:rsidRPr="00FC7132" w:rsidRDefault="0044586D">
      <w:pPr>
        <w:pStyle w:val="FootnoteText"/>
        <w:rPr>
          <w:rFonts w:ascii="Times" w:hAnsi="Times"/>
          <w:lang w:val="en-US"/>
        </w:rPr>
      </w:pPr>
      <w:r w:rsidRPr="00FC7132">
        <w:rPr>
          <w:rStyle w:val="FootnoteReference"/>
          <w:rFonts w:ascii="Times" w:hAnsi="Times"/>
        </w:rPr>
        <w:footnoteRef/>
      </w:r>
      <w:r w:rsidRPr="00FC7132">
        <w:rPr>
          <w:rFonts w:ascii="Times" w:hAnsi="Times"/>
        </w:rPr>
        <w:t xml:space="preserve"> </w:t>
      </w:r>
      <w:r w:rsidRPr="00FC7132">
        <w:rPr>
          <w:rFonts w:ascii="Times" w:hAnsi="Times"/>
          <w:lang w:val="en-US"/>
        </w:rPr>
        <w:t xml:space="preserve">In </w:t>
      </w:r>
      <w:r w:rsidR="00BD1B7D" w:rsidRPr="00FC7132">
        <w:rPr>
          <w:rFonts w:ascii="Times" w:hAnsi="Times"/>
          <w:lang w:val="en-US"/>
        </w:rPr>
        <w:t xml:space="preserve">the consent </w:t>
      </w:r>
      <w:r w:rsidRPr="00FC7132">
        <w:rPr>
          <w:rFonts w:ascii="Times" w:hAnsi="Times"/>
          <w:lang w:val="en-US"/>
        </w:rPr>
        <w:t xml:space="preserve">literature, philosophers distinguish between an action being </w:t>
      </w:r>
      <w:r w:rsidRPr="00FC7132">
        <w:rPr>
          <w:rFonts w:ascii="Times" w:hAnsi="Times"/>
          <w:i/>
          <w:iCs/>
          <w:lang w:val="en-US"/>
        </w:rPr>
        <w:t>permissible</w:t>
      </w:r>
      <w:r w:rsidRPr="00FC7132">
        <w:rPr>
          <w:rFonts w:ascii="Times" w:hAnsi="Times"/>
          <w:lang w:val="en-US"/>
        </w:rPr>
        <w:t xml:space="preserve"> (the </w:t>
      </w:r>
      <w:proofErr w:type="spellStart"/>
      <w:r w:rsidRPr="00FC7132">
        <w:rPr>
          <w:rFonts w:ascii="Times" w:hAnsi="Times"/>
          <w:lang w:val="en-US"/>
        </w:rPr>
        <w:t>consentor</w:t>
      </w:r>
      <w:proofErr w:type="spellEnd"/>
      <w:r w:rsidRPr="00FC7132">
        <w:rPr>
          <w:rFonts w:ascii="Times" w:hAnsi="Times"/>
          <w:lang w:val="en-US"/>
        </w:rPr>
        <w:t xml:space="preserve"> gave valid consent</w:t>
      </w:r>
      <w:r w:rsidR="00BD1B7D" w:rsidRPr="00FC7132">
        <w:rPr>
          <w:rFonts w:ascii="Times" w:hAnsi="Times"/>
          <w:lang w:val="en-US"/>
        </w:rPr>
        <w:t xml:space="preserve">, </w:t>
      </w:r>
      <w:r w:rsidRPr="00FC7132">
        <w:rPr>
          <w:rFonts w:ascii="Times" w:hAnsi="Times"/>
          <w:lang w:val="en-US"/>
        </w:rPr>
        <w:t xml:space="preserve">and the </w:t>
      </w:r>
      <w:proofErr w:type="spellStart"/>
      <w:r w:rsidRPr="00FC7132">
        <w:rPr>
          <w:rFonts w:ascii="Times" w:hAnsi="Times"/>
          <w:lang w:val="en-US"/>
        </w:rPr>
        <w:t>consentee</w:t>
      </w:r>
      <w:proofErr w:type="spellEnd"/>
      <w:r w:rsidRPr="00FC7132">
        <w:rPr>
          <w:rFonts w:ascii="Times" w:hAnsi="Times"/>
          <w:lang w:val="en-US"/>
        </w:rPr>
        <w:t xml:space="preserve"> has a justified belief that this is true) and an action being </w:t>
      </w:r>
      <w:r w:rsidRPr="00FC7132">
        <w:rPr>
          <w:rFonts w:ascii="Times" w:hAnsi="Times"/>
          <w:i/>
          <w:iCs/>
          <w:lang w:val="en-US"/>
        </w:rPr>
        <w:t>culpable</w:t>
      </w:r>
      <w:r w:rsidRPr="00FC7132">
        <w:rPr>
          <w:rFonts w:ascii="Times" w:hAnsi="Times"/>
          <w:lang w:val="en-US"/>
        </w:rPr>
        <w:t xml:space="preserve"> (the </w:t>
      </w:r>
      <w:proofErr w:type="spellStart"/>
      <w:r w:rsidRPr="00FC7132">
        <w:rPr>
          <w:rFonts w:ascii="Times" w:hAnsi="Times"/>
          <w:lang w:val="en-US"/>
        </w:rPr>
        <w:t>consentor</w:t>
      </w:r>
      <w:proofErr w:type="spellEnd"/>
      <w:r w:rsidRPr="00FC7132">
        <w:rPr>
          <w:rFonts w:ascii="Times" w:hAnsi="Times"/>
          <w:lang w:val="en-US"/>
        </w:rPr>
        <w:t xml:space="preserve"> did not give valid consent</w:t>
      </w:r>
      <w:r w:rsidR="00BD1B7D" w:rsidRPr="00FC7132">
        <w:rPr>
          <w:rFonts w:ascii="Times" w:hAnsi="Times"/>
          <w:lang w:val="en-US"/>
        </w:rPr>
        <w:t>,</w:t>
      </w:r>
      <w:r w:rsidRPr="00FC7132">
        <w:rPr>
          <w:rFonts w:ascii="Times" w:hAnsi="Times"/>
          <w:lang w:val="en-US"/>
        </w:rPr>
        <w:t xml:space="preserve"> but the </w:t>
      </w:r>
      <w:proofErr w:type="spellStart"/>
      <w:r w:rsidRPr="00FC7132">
        <w:rPr>
          <w:rFonts w:ascii="Times" w:hAnsi="Times"/>
          <w:lang w:val="en-US"/>
        </w:rPr>
        <w:t>consentee</w:t>
      </w:r>
      <w:proofErr w:type="spellEnd"/>
      <w:r w:rsidRPr="00FC7132">
        <w:rPr>
          <w:rFonts w:ascii="Times" w:hAnsi="Times"/>
          <w:lang w:val="en-US"/>
        </w:rPr>
        <w:t xml:space="preserve"> has a justified belief that the </w:t>
      </w:r>
      <w:proofErr w:type="spellStart"/>
      <w:r w:rsidRPr="00FC7132">
        <w:rPr>
          <w:rFonts w:ascii="Times" w:hAnsi="Times"/>
          <w:lang w:val="en-US"/>
        </w:rPr>
        <w:t>consentor</w:t>
      </w:r>
      <w:proofErr w:type="spellEnd"/>
      <w:r w:rsidRPr="00FC7132">
        <w:rPr>
          <w:rFonts w:ascii="Times" w:hAnsi="Times"/>
          <w:lang w:val="en-US"/>
        </w:rPr>
        <w:t xml:space="preserve"> did consent). </w:t>
      </w:r>
    </w:p>
  </w:footnote>
  <w:footnote w:id="36">
    <w:p w14:paraId="6CA7EE50" w14:textId="4CBAA161" w:rsidR="00E35A2F" w:rsidRPr="00FC7132" w:rsidRDefault="00E35A2F">
      <w:pPr>
        <w:pStyle w:val="FootnoteText"/>
        <w:rPr>
          <w:rFonts w:ascii="Times" w:hAnsi="Times"/>
          <w:lang w:val="en-US"/>
        </w:rPr>
      </w:pPr>
      <w:r w:rsidRPr="00FC7132">
        <w:rPr>
          <w:rStyle w:val="FootnoteReference"/>
          <w:rFonts w:ascii="Times" w:hAnsi="Times"/>
        </w:rPr>
        <w:footnoteRef/>
      </w:r>
      <w:r w:rsidRPr="00FC7132">
        <w:rPr>
          <w:rFonts w:ascii="Times" w:hAnsi="Times"/>
        </w:rPr>
        <w:t xml:space="preserve"> </w:t>
      </w:r>
      <w:r w:rsidRPr="00FC7132">
        <w:rPr>
          <w:rFonts w:ascii="Times" w:hAnsi="Times"/>
          <w:lang w:val="en-US"/>
        </w:rPr>
        <w:t>For an extended discussion of the problems posed in this paragraph, see Bianchi (2018, 85-99).</w:t>
      </w:r>
    </w:p>
  </w:footnote>
  <w:footnote w:id="37">
    <w:p w14:paraId="0B2BDD26" w14:textId="4A03EAA3" w:rsidR="00F17F49" w:rsidRPr="00FC7132" w:rsidRDefault="00F17F49" w:rsidP="003C1006">
      <w:pPr>
        <w:pStyle w:val="FootnoteText"/>
        <w:rPr>
          <w:rFonts w:ascii="Times" w:hAnsi="Times" w:cstheme="majorBidi"/>
          <w:lang w:val="en-US"/>
        </w:rPr>
      </w:pPr>
      <w:r w:rsidRPr="00FC7132">
        <w:rPr>
          <w:rStyle w:val="FootnoteReference"/>
          <w:rFonts w:ascii="Times" w:hAnsi="Times" w:cstheme="majorBidi"/>
        </w:rPr>
        <w:footnoteRef/>
      </w:r>
      <w:r w:rsidRPr="00FC7132">
        <w:rPr>
          <w:rFonts w:ascii="Times" w:hAnsi="Times" w:cstheme="majorBidi"/>
          <w:lang w:val="en-US"/>
        </w:rPr>
        <w:t xml:space="preserve"> I assume a continuity of consciousness view of personal identity.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1509006"/>
      <w:docPartObj>
        <w:docPartGallery w:val="Page Numbers (Top of Page)"/>
        <w:docPartUnique/>
      </w:docPartObj>
    </w:sdtPr>
    <w:sdtContent>
      <w:p w14:paraId="3EC7B0E3" w14:textId="77777777" w:rsidR="00DA1630" w:rsidRDefault="00DA1630" w:rsidP="00BA46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9B9ED" w14:textId="77777777" w:rsidR="00DA1630" w:rsidRDefault="00DA1630" w:rsidP="00DA16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1932201452"/>
      <w:docPartObj>
        <w:docPartGallery w:val="Page Numbers (Top of Page)"/>
        <w:docPartUnique/>
      </w:docPartObj>
    </w:sdtPr>
    <w:sdtContent>
      <w:p w14:paraId="4A889BDB" w14:textId="77777777" w:rsidR="00DA1630" w:rsidRPr="00DA1630" w:rsidRDefault="00DA1630" w:rsidP="00BA4663">
        <w:pPr>
          <w:pStyle w:val="Header"/>
          <w:framePr w:wrap="none" w:vAnchor="text" w:hAnchor="margin" w:xAlign="right" w:y="1"/>
          <w:rPr>
            <w:rStyle w:val="PageNumber"/>
            <w:rFonts w:ascii="Times" w:hAnsi="Times"/>
          </w:rPr>
        </w:pPr>
        <w:r w:rsidRPr="00DA1630">
          <w:rPr>
            <w:rStyle w:val="PageNumber"/>
            <w:rFonts w:ascii="Times" w:hAnsi="Times"/>
          </w:rPr>
          <w:fldChar w:fldCharType="begin"/>
        </w:r>
        <w:r w:rsidRPr="00DA1630">
          <w:rPr>
            <w:rStyle w:val="PageNumber"/>
            <w:rFonts w:ascii="Times" w:hAnsi="Times"/>
          </w:rPr>
          <w:instrText xml:space="preserve"> PAGE </w:instrText>
        </w:r>
        <w:r w:rsidRPr="00DA1630">
          <w:rPr>
            <w:rStyle w:val="PageNumber"/>
            <w:rFonts w:ascii="Times" w:hAnsi="Times"/>
          </w:rPr>
          <w:fldChar w:fldCharType="separate"/>
        </w:r>
        <w:r w:rsidRPr="00DA1630">
          <w:rPr>
            <w:rStyle w:val="PageNumber"/>
            <w:rFonts w:ascii="Times" w:hAnsi="Times"/>
            <w:noProof/>
          </w:rPr>
          <w:t>2</w:t>
        </w:r>
        <w:r w:rsidRPr="00DA1630">
          <w:rPr>
            <w:rStyle w:val="PageNumber"/>
            <w:rFonts w:ascii="Times" w:hAnsi="Times"/>
          </w:rPr>
          <w:fldChar w:fldCharType="end"/>
        </w:r>
      </w:p>
    </w:sdtContent>
  </w:sdt>
  <w:p w14:paraId="75CFFC0B" w14:textId="77777777" w:rsidR="00DA1630" w:rsidRDefault="00DA1630" w:rsidP="00DA163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A9"/>
    <w:multiLevelType w:val="hybridMultilevel"/>
    <w:tmpl w:val="24F4ED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07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A25172"/>
    <w:multiLevelType w:val="hybridMultilevel"/>
    <w:tmpl w:val="74962C2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184E45"/>
    <w:multiLevelType w:val="hybridMultilevel"/>
    <w:tmpl w:val="BA40BCF4"/>
    <w:lvl w:ilvl="0" w:tplc="BE58AA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B"/>
    <w:multiLevelType w:val="multilevel"/>
    <w:tmpl w:val="1AF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91520"/>
    <w:multiLevelType w:val="hybridMultilevel"/>
    <w:tmpl w:val="5302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041462"/>
    <w:multiLevelType w:val="hybridMultilevel"/>
    <w:tmpl w:val="409272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8626CC"/>
    <w:multiLevelType w:val="hybridMultilevel"/>
    <w:tmpl w:val="5978E2B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160F03"/>
    <w:multiLevelType w:val="hybridMultilevel"/>
    <w:tmpl w:val="3418F1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C437A0"/>
    <w:multiLevelType w:val="hybridMultilevel"/>
    <w:tmpl w:val="8B3C0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FE37B4"/>
    <w:multiLevelType w:val="hybridMultilevel"/>
    <w:tmpl w:val="EB00E5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753AACA0">
      <w:start w:val="1"/>
      <w:numFmt w:val="lowerRoman"/>
      <w:lvlText w:val="%3."/>
      <w:lvlJc w:val="right"/>
      <w:pPr>
        <w:ind w:left="2160" w:hanging="180"/>
      </w:pPr>
      <w:rPr>
        <w:lang w:val="en-US"/>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0666403">
    <w:abstractNumId w:val="9"/>
  </w:num>
  <w:num w:numId="2" w16cid:durableId="320355656">
    <w:abstractNumId w:val="7"/>
  </w:num>
  <w:num w:numId="3" w16cid:durableId="1045258680">
    <w:abstractNumId w:val="1"/>
  </w:num>
  <w:num w:numId="4" w16cid:durableId="1372002425">
    <w:abstractNumId w:val="8"/>
  </w:num>
  <w:num w:numId="5" w16cid:durableId="1282540577">
    <w:abstractNumId w:val="5"/>
  </w:num>
  <w:num w:numId="6" w16cid:durableId="890270505">
    <w:abstractNumId w:val="6"/>
  </w:num>
  <w:num w:numId="7" w16cid:durableId="1968663987">
    <w:abstractNumId w:val="4"/>
  </w:num>
  <w:num w:numId="8" w16cid:durableId="1873837380">
    <w:abstractNumId w:val="0"/>
  </w:num>
  <w:num w:numId="9" w16cid:durableId="1030255468">
    <w:abstractNumId w:val="3"/>
  </w:num>
  <w:num w:numId="10" w16cid:durableId="1951550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proofState w:spelling="clean" w:grammar="clean"/>
  <w:defaultTabStop w:val="708"/>
  <w:autoHyphenation/>
  <w:hyphenationZone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AA"/>
    <w:rsid w:val="00001FFF"/>
    <w:rsid w:val="000046E0"/>
    <w:rsid w:val="00004A6C"/>
    <w:rsid w:val="00005DE4"/>
    <w:rsid w:val="00010A69"/>
    <w:rsid w:val="00010D44"/>
    <w:rsid w:val="00013B47"/>
    <w:rsid w:val="00017B04"/>
    <w:rsid w:val="000213FC"/>
    <w:rsid w:val="00023379"/>
    <w:rsid w:val="00024C82"/>
    <w:rsid w:val="00026094"/>
    <w:rsid w:val="00030880"/>
    <w:rsid w:val="00036758"/>
    <w:rsid w:val="00036B1C"/>
    <w:rsid w:val="0004134B"/>
    <w:rsid w:val="000445BE"/>
    <w:rsid w:val="00047D29"/>
    <w:rsid w:val="00053EEF"/>
    <w:rsid w:val="00060472"/>
    <w:rsid w:val="000604B6"/>
    <w:rsid w:val="00061631"/>
    <w:rsid w:val="00062A02"/>
    <w:rsid w:val="00064224"/>
    <w:rsid w:val="000651E2"/>
    <w:rsid w:val="00073119"/>
    <w:rsid w:val="00076168"/>
    <w:rsid w:val="00080C1B"/>
    <w:rsid w:val="00090E0B"/>
    <w:rsid w:val="00091E30"/>
    <w:rsid w:val="00096E50"/>
    <w:rsid w:val="000A0E96"/>
    <w:rsid w:val="000A3078"/>
    <w:rsid w:val="000A4DB2"/>
    <w:rsid w:val="000B0F73"/>
    <w:rsid w:val="000B3E6C"/>
    <w:rsid w:val="000B6022"/>
    <w:rsid w:val="000B663F"/>
    <w:rsid w:val="000C5601"/>
    <w:rsid w:val="000C7550"/>
    <w:rsid w:val="000D28FC"/>
    <w:rsid w:val="000D3390"/>
    <w:rsid w:val="000D6EC4"/>
    <w:rsid w:val="000E0361"/>
    <w:rsid w:val="000E1F0F"/>
    <w:rsid w:val="000E381D"/>
    <w:rsid w:val="000E5D1A"/>
    <w:rsid w:val="000F1E2F"/>
    <w:rsid w:val="00102FEC"/>
    <w:rsid w:val="00103ACB"/>
    <w:rsid w:val="00107C72"/>
    <w:rsid w:val="00115BC7"/>
    <w:rsid w:val="00116837"/>
    <w:rsid w:val="001168C6"/>
    <w:rsid w:val="00124481"/>
    <w:rsid w:val="001244BE"/>
    <w:rsid w:val="00126369"/>
    <w:rsid w:val="00131489"/>
    <w:rsid w:val="001324ED"/>
    <w:rsid w:val="00133120"/>
    <w:rsid w:val="00133FC5"/>
    <w:rsid w:val="00136EB5"/>
    <w:rsid w:val="001422FC"/>
    <w:rsid w:val="001436F0"/>
    <w:rsid w:val="00146954"/>
    <w:rsid w:val="00146BA5"/>
    <w:rsid w:val="001515E0"/>
    <w:rsid w:val="00154705"/>
    <w:rsid w:val="00154D0E"/>
    <w:rsid w:val="00156005"/>
    <w:rsid w:val="001578D0"/>
    <w:rsid w:val="00161C74"/>
    <w:rsid w:val="00166970"/>
    <w:rsid w:val="00170F1C"/>
    <w:rsid w:val="0018325A"/>
    <w:rsid w:val="0018369C"/>
    <w:rsid w:val="0018438F"/>
    <w:rsid w:val="00191F15"/>
    <w:rsid w:val="00197BA8"/>
    <w:rsid w:val="001A1332"/>
    <w:rsid w:val="001A4040"/>
    <w:rsid w:val="001A5AE3"/>
    <w:rsid w:val="001B3900"/>
    <w:rsid w:val="001C1B21"/>
    <w:rsid w:val="001C2E81"/>
    <w:rsid w:val="001E4ACD"/>
    <w:rsid w:val="001E6DF8"/>
    <w:rsid w:val="001E6E3C"/>
    <w:rsid w:val="001F0C4F"/>
    <w:rsid w:val="001F277D"/>
    <w:rsid w:val="001F314B"/>
    <w:rsid w:val="001F792D"/>
    <w:rsid w:val="00201163"/>
    <w:rsid w:val="00201B7D"/>
    <w:rsid w:val="002036FD"/>
    <w:rsid w:val="00204F54"/>
    <w:rsid w:val="00210426"/>
    <w:rsid w:val="00213548"/>
    <w:rsid w:val="00214BB2"/>
    <w:rsid w:val="00214F56"/>
    <w:rsid w:val="00224694"/>
    <w:rsid w:val="00233F70"/>
    <w:rsid w:val="00235FBC"/>
    <w:rsid w:val="002363B4"/>
    <w:rsid w:val="0024117E"/>
    <w:rsid w:val="00243471"/>
    <w:rsid w:val="00250309"/>
    <w:rsid w:val="002560E2"/>
    <w:rsid w:val="00256FDF"/>
    <w:rsid w:val="00264104"/>
    <w:rsid w:val="00267CA3"/>
    <w:rsid w:val="00272052"/>
    <w:rsid w:val="00280E21"/>
    <w:rsid w:val="002819DE"/>
    <w:rsid w:val="0028285D"/>
    <w:rsid w:val="002841E5"/>
    <w:rsid w:val="00286D9F"/>
    <w:rsid w:val="00287297"/>
    <w:rsid w:val="0028743C"/>
    <w:rsid w:val="00287838"/>
    <w:rsid w:val="00295458"/>
    <w:rsid w:val="00295BDC"/>
    <w:rsid w:val="00295D72"/>
    <w:rsid w:val="00297532"/>
    <w:rsid w:val="002A1759"/>
    <w:rsid w:val="002A26E8"/>
    <w:rsid w:val="002A4422"/>
    <w:rsid w:val="002A56BF"/>
    <w:rsid w:val="002A7CAB"/>
    <w:rsid w:val="002B56CF"/>
    <w:rsid w:val="002B639F"/>
    <w:rsid w:val="002C0AD2"/>
    <w:rsid w:val="002C3D04"/>
    <w:rsid w:val="002C6BBF"/>
    <w:rsid w:val="002D5C3D"/>
    <w:rsid w:val="002D5C9C"/>
    <w:rsid w:val="002D63B5"/>
    <w:rsid w:val="002E0735"/>
    <w:rsid w:val="002E082C"/>
    <w:rsid w:val="002E18FB"/>
    <w:rsid w:val="002E27AA"/>
    <w:rsid w:val="002E5206"/>
    <w:rsid w:val="002E6687"/>
    <w:rsid w:val="002E7538"/>
    <w:rsid w:val="002E7679"/>
    <w:rsid w:val="002E7E9E"/>
    <w:rsid w:val="002F360A"/>
    <w:rsid w:val="002F3845"/>
    <w:rsid w:val="002F4826"/>
    <w:rsid w:val="002F6A42"/>
    <w:rsid w:val="0030067B"/>
    <w:rsid w:val="00300886"/>
    <w:rsid w:val="003011BE"/>
    <w:rsid w:val="00301BB7"/>
    <w:rsid w:val="00307356"/>
    <w:rsid w:val="00313D16"/>
    <w:rsid w:val="00314BEE"/>
    <w:rsid w:val="00322077"/>
    <w:rsid w:val="0032269C"/>
    <w:rsid w:val="0032309C"/>
    <w:rsid w:val="003261CA"/>
    <w:rsid w:val="00334BD0"/>
    <w:rsid w:val="00335009"/>
    <w:rsid w:val="00337B99"/>
    <w:rsid w:val="00337E35"/>
    <w:rsid w:val="00343C8B"/>
    <w:rsid w:val="00345D15"/>
    <w:rsid w:val="003547E1"/>
    <w:rsid w:val="00360743"/>
    <w:rsid w:val="00360AA3"/>
    <w:rsid w:val="003619FB"/>
    <w:rsid w:val="00370CD1"/>
    <w:rsid w:val="0037493C"/>
    <w:rsid w:val="0037764F"/>
    <w:rsid w:val="00380658"/>
    <w:rsid w:val="00384193"/>
    <w:rsid w:val="00393D1E"/>
    <w:rsid w:val="003A24DF"/>
    <w:rsid w:val="003A5140"/>
    <w:rsid w:val="003B3054"/>
    <w:rsid w:val="003B76DA"/>
    <w:rsid w:val="003C1006"/>
    <w:rsid w:val="003C17ED"/>
    <w:rsid w:val="003C41C5"/>
    <w:rsid w:val="003D2BB1"/>
    <w:rsid w:val="003D30DE"/>
    <w:rsid w:val="003D474B"/>
    <w:rsid w:val="003D6118"/>
    <w:rsid w:val="003D6637"/>
    <w:rsid w:val="003E127D"/>
    <w:rsid w:val="003E2D6E"/>
    <w:rsid w:val="003E484A"/>
    <w:rsid w:val="003E5B4C"/>
    <w:rsid w:val="003E5FA5"/>
    <w:rsid w:val="003E68F9"/>
    <w:rsid w:val="003E72A9"/>
    <w:rsid w:val="003F355C"/>
    <w:rsid w:val="003F5C27"/>
    <w:rsid w:val="0040708A"/>
    <w:rsid w:val="0040769E"/>
    <w:rsid w:val="00410C64"/>
    <w:rsid w:val="00411716"/>
    <w:rsid w:val="004148D4"/>
    <w:rsid w:val="004206A1"/>
    <w:rsid w:val="00423893"/>
    <w:rsid w:val="00425513"/>
    <w:rsid w:val="004269E9"/>
    <w:rsid w:val="004275B8"/>
    <w:rsid w:val="00430327"/>
    <w:rsid w:val="0043692C"/>
    <w:rsid w:val="00437A1A"/>
    <w:rsid w:val="0044045A"/>
    <w:rsid w:val="00442351"/>
    <w:rsid w:val="0044314F"/>
    <w:rsid w:val="00445506"/>
    <w:rsid w:val="0044586D"/>
    <w:rsid w:val="00453D35"/>
    <w:rsid w:val="004614F3"/>
    <w:rsid w:val="0046386D"/>
    <w:rsid w:val="00466197"/>
    <w:rsid w:val="004717DA"/>
    <w:rsid w:val="00472B96"/>
    <w:rsid w:val="00472FB1"/>
    <w:rsid w:val="00474D97"/>
    <w:rsid w:val="00475A7E"/>
    <w:rsid w:val="004768F0"/>
    <w:rsid w:val="0048088F"/>
    <w:rsid w:val="00487A28"/>
    <w:rsid w:val="00487D10"/>
    <w:rsid w:val="00490244"/>
    <w:rsid w:val="00492A10"/>
    <w:rsid w:val="004A2417"/>
    <w:rsid w:val="004A3EE7"/>
    <w:rsid w:val="004B0CB1"/>
    <w:rsid w:val="004B79EA"/>
    <w:rsid w:val="004C3F52"/>
    <w:rsid w:val="004C6322"/>
    <w:rsid w:val="004D144F"/>
    <w:rsid w:val="004D244E"/>
    <w:rsid w:val="004D6CF1"/>
    <w:rsid w:val="004E5233"/>
    <w:rsid w:val="004E5E8D"/>
    <w:rsid w:val="004E6A9A"/>
    <w:rsid w:val="004E6B32"/>
    <w:rsid w:val="004E6B5D"/>
    <w:rsid w:val="004E6E9D"/>
    <w:rsid w:val="004F2BAA"/>
    <w:rsid w:val="004F4462"/>
    <w:rsid w:val="0050000F"/>
    <w:rsid w:val="00500D5E"/>
    <w:rsid w:val="00505867"/>
    <w:rsid w:val="00506704"/>
    <w:rsid w:val="0051384E"/>
    <w:rsid w:val="005146D8"/>
    <w:rsid w:val="00514FFF"/>
    <w:rsid w:val="00516FF5"/>
    <w:rsid w:val="00522236"/>
    <w:rsid w:val="00522C0E"/>
    <w:rsid w:val="00522E77"/>
    <w:rsid w:val="00523C95"/>
    <w:rsid w:val="005242D8"/>
    <w:rsid w:val="00525675"/>
    <w:rsid w:val="005259B6"/>
    <w:rsid w:val="00527729"/>
    <w:rsid w:val="00532C93"/>
    <w:rsid w:val="00533F6D"/>
    <w:rsid w:val="0053596F"/>
    <w:rsid w:val="00536F80"/>
    <w:rsid w:val="0054091D"/>
    <w:rsid w:val="0054186E"/>
    <w:rsid w:val="00541EAB"/>
    <w:rsid w:val="00542C72"/>
    <w:rsid w:val="0054451B"/>
    <w:rsid w:val="00545F98"/>
    <w:rsid w:val="005500FF"/>
    <w:rsid w:val="00550DE7"/>
    <w:rsid w:val="00555925"/>
    <w:rsid w:val="005625A9"/>
    <w:rsid w:val="0056316C"/>
    <w:rsid w:val="005642A4"/>
    <w:rsid w:val="005665BD"/>
    <w:rsid w:val="00567CE7"/>
    <w:rsid w:val="00567F4A"/>
    <w:rsid w:val="00571DD9"/>
    <w:rsid w:val="00571F12"/>
    <w:rsid w:val="00573CD3"/>
    <w:rsid w:val="00574BD7"/>
    <w:rsid w:val="005752DB"/>
    <w:rsid w:val="00576694"/>
    <w:rsid w:val="00577D92"/>
    <w:rsid w:val="00577E60"/>
    <w:rsid w:val="00580523"/>
    <w:rsid w:val="00585260"/>
    <w:rsid w:val="005863B1"/>
    <w:rsid w:val="00586CD8"/>
    <w:rsid w:val="00590489"/>
    <w:rsid w:val="00593BF4"/>
    <w:rsid w:val="00595C89"/>
    <w:rsid w:val="00596640"/>
    <w:rsid w:val="00597929"/>
    <w:rsid w:val="005A11AA"/>
    <w:rsid w:val="005A1D84"/>
    <w:rsid w:val="005A3A07"/>
    <w:rsid w:val="005A4BF3"/>
    <w:rsid w:val="005B1C30"/>
    <w:rsid w:val="005B6225"/>
    <w:rsid w:val="005B7C3D"/>
    <w:rsid w:val="005C0B5B"/>
    <w:rsid w:val="005C6808"/>
    <w:rsid w:val="005C7E2C"/>
    <w:rsid w:val="005D52F1"/>
    <w:rsid w:val="005D7F29"/>
    <w:rsid w:val="005E0394"/>
    <w:rsid w:val="005E159B"/>
    <w:rsid w:val="005E4282"/>
    <w:rsid w:val="005E646F"/>
    <w:rsid w:val="00600E27"/>
    <w:rsid w:val="00600E65"/>
    <w:rsid w:val="00601D7D"/>
    <w:rsid w:val="00613022"/>
    <w:rsid w:val="00614DD7"/>
    <w:rsid w:val="006178FD"/>
    <w:rsid w:val="00617FEC"/>
    <w:rsid w:val="006208A0"/>
    <w:rsid w:val="0063513B"/>
    <w:rsid w:val="00651EF4"/>
    <w:rsid w:val="00652C5C"/>
    <w:rsid w:val="00654131"/>
    <w:rsid w:val="00655212"/>
    <w:rsid w:val="0065578F"/>
    <w:rsid w:val="0065791F"/>
    <w:rsid w:val="00660946"/>
    <w:rsid w:val="0066102B"/>
    <w:rsid w:val="00665A1A"/>
    <w:rsid w:val="00673DC8"/>
    <w:rsid w:val="006759B9"/>
    <w:rsid w:val="006811FF"/>
    <w:rsid w:val="00691075"/>
    <w:rsid w:val="00691845"/>
    <w:rsid w:val="006920D0"/>
    <w:rsid w:val="006946A5"/>
    <w:rsid w:val="00695687"/>
    <w:rsid w:val="006974A3"/>
    <w:rsid w:val="006A0C86"/>
    <w:rsid w:val="006A1D7F"/>
    <w:rsid w:val="006A2213"/>
    <w:rsid w:val="006B09E6"/>
    <w:rsid w:val="006B2C36"/>
    <w:rsid w:val="006B534F"/>
    <w:rsid w:val="006B6D3F"/>
    <w:rsid w:val="006B73B8"/>
    <w:rsid w:val="006B796C"/>
    <w:rsid w:val="006C0D6C"/>
    <w:rsid w:val="006C25C8"/>
    <w:rsid w:val="006C52DE"/>
    <w:rsid w:val="006C6C54"/>
    <w:rsid w:val="006D194E"/>
    <w:rsid w:val="006D1BC0"/>
    <w:rsid w:val="006D20B0"/>
    <w:rsid w:val="006D63AC"/>
    <w:rsid w:val="006E318D"/>
    <w:rsid w:val="006F0993"/>
    <w:rsid w:val="006F2189"/>
    <w:rsid w:val="006F7630"/>
    <w:rsid w:val="007007FD"/>
    <w:rsid w:val="00700E82"/>
    <w:rsid w:val="00701612"/>
    <w:rsid w:val="00711E73"/>
    <w:rsid w:val="00720917"/>
    <w:rsid w:val="007212A2"/>
    <w:rsid w:val="00723C4D"/>
    <w:rsid w:val="0073504D"/>
    <w:rsid w:val="00737D02"/>
    <w:rsid w:val="007406B6"/>
    <w:rsid w:val="00743FF9"/>
    <w:rsid w:val="0074473E"/>
    <w:rsid w:val="00746D71"/>
    <w:rsid w:val="00746FB0"/>
    <w:rsid w:val="00751A4A"/>
    <w:rsid w:val="007571A3"/>
    <w:rsid w:val="00760415"/>
    <w:rsid w:val="007635AD"/>
    <w:rsid w:val="00764708"/>
    <w:rsid w:val="00767F8A"/>
    <w:rsid w:val="00770F8B"/>
    <w:rsid w:val="007722A5"/>
    <w:rsid w:val="007736AF"/>
    <w:rsid w:val="00773833"/>
    <w:rsid w:val="007768EE"/>
    <w:rsid w:val="00781AD3"/>
    <w:rsid w:val="00783BDE"/>
    <w:rsid w:val="007841E4"/>
    <w:rsid w:val="007845C1"/>
    <w:rsid w:val="007847EC"/>
    <w:rsid w:val="007849F7"/>
    <w:rsid w:val="00786B8C"/>
    <w:rsid w:val="007870A7"/>
    <w:rsid w:val="00787188"/>
    <w:rsid w:val="0078752F"/>
    <w:rsid w:val="00792722"/>
    <w:rsid w:val="0079474B"/>
    <w:rsid w:val="00794E54"/>
    <w:rsid w:val="007960EC"/>
    <w:rsid w:val="007971B5"/>
    <w:rsid w:val="007A383D"/>
    <w:rsid w:val="007B43D8"/>
    <w:rsid w:val="007B4899"/>
    <w:rsid w:val="007B5E6B"/>
    <w:rsid w:val="007B6C58"/>
    <w:rsid w:val="007B6D14"/>
    <w:rsid w:val="007B6E53"/>
    <w:rsid w:val="007B7E62"/>
    <w:rsid w:val="007C5D6F"/>
    <w:rsid w:val="007D0D62"/>
    <w:rsid w:val="007D18B8"/>
    <w:rsid w:val="007D47EE"/>
    <w:rsid w:val="007D562B"/>
    <w:rsid w:val="007D58C5"/>
    <w:rsid w:val="007D66DD"/>
    <w:rsid w:val="007E1F4B"/>
    <w:rsid w:val="007E3E4E"/>
    <w:rsid w:val="007F0726"/>
    <w:rsid w:val="007F0BF5"/>
    <w:rsid w:val="007F2BBA"/>
    <w:rsid w:val="007F3B90"/>
    <w:rsid w:val="007F40C7"/>
    <w:rsid w:val="00802584"/>
    <w:rsid w:val="008033C3"/>
    <w:rsid w:val="00803F38"/>
    <w:rsid w:val="0081067B"/>
    <w:rsid w:val="008111B5"/>
    <w:rsid w:val="00812794"/>
    <w:rsid w:val="0081588C"/>
    <w:rsid w:val="00816314"/>
    <w:rsid w:val="0081656C"/>
    <w:rsid w:val="00822263"/>
    <w:rsid w:val="00823106"/>
    <w:rsid w:val="008235B5"/>
    <w:rsid w:val="008242D3"/>
    <w:rsid w:val="0083104E"/>
    <w:rsid w:val="00832E3A"/>
    <w:rsid w:val="008348D9"/>
    <w:rsid w:val="00837576"/>
    <w:rsid w:val="00840931"/>
    <w:rsid w:val="0084243E"/>
    <w:rsid w:val="00842F22"/>
    <w:rsid w:val="00843307"/>
    <w:rsid w:val="008458F7"/>
    <w:rsid w:val="0084635E"/>
    <w:rsid w:val="00846E5C"/>
    <w:rsid w:val="00847D5D"/>
    <w:rsid w:val="008619F6"/>
    <w:rsid w:val="008667B0"/>
    <w:rsid w:val="00867E14"/>
    <w:rsid w:val="00874294"/>
    <w:rsid w:val="0087725E"/>
    <w:rsid w:val="00877EF3"/>
    <w:rsid w:val="00884B6E"/>
    <w:rsid w:val="00884F5A"/>
    <w:rsid w:val="00887FEF"/>
    <w:rsid w:val="008910A5"/>
    <w:rsid w:val="00891B32"/>
    <w:rsid w:val="00893241"/>
    <w:rsid w:val="008A5F41"/>
    <w:rsid w:val="008A619D"/>
    <w:rsid w:val="008A6650"/>
    <w:rsid w:val="008B08B7"/>
    <w:rsid w:val="008B4E34"/>
    <w:rsid w:val="008B6A62"/>
    <w:rsid w:val="008C4017"/>
    <w:rsid w:val="008D64F0"/>
    <w:rsid w:val="008E40AC"/>
    <w:rsid w:val="008E4161"/>
    <w:rsid w:val="008E4575"/>
    <w:rsid w:val="008E6C00"/>
    <w:rsid w:val="008F1B0E"/>
    <w:rsid w:val="008F1D87"/>
    <w:rsid w:val="008F6BA0"/>
    <w:rsid w:val="008F7DA7"/>
    <w:rsid w:val="00903BD7"/>
    <w:rsid w:val="009051F0"/>
    <w:rsid w:val="00905802"/>
    <w:rsid w:val="00912033"/>
    <w:rsid w:val="00917944"/>
    <w:rsid w:val="00924AA7"/>
    <w:rsid w:val="009309DB"/>
    <w:rsid w:val="009337D9"/>
    <w:rsid w:val="00935836"/>
    <w:rsid w:val="009361B6"/>
    <w:rsid w:val="00941708"/>
    <w:rsid w:val="00945005"/>
    <w:rsid w:val="00945EA7"/>
    <w:rsid w:val="009463D6"/>
    <w:rsid w:val="00950022"/>
    <w:rsid w:val="00951D71"/>
    <w:rsid w:val="00961004"/>
    <w:rsid w:val="009715D0"/>
    <w:rsid w:val="00971B73"/>
    <w:rsid w:val="00971C89"/>
    <w:rsid w:val="00971EB8"/>
    <w:rsid w:val="00977F67"/>
    <w:rsid w:val="009824C8"/>
    <w:rsid w:val="0098389D"/>
    <w:rsid w:val="00985EC0"/>
    <w:rsid w:val="009873F2"/>
    <w:rsid w:val="00987583"/>
    <w:rsid w:val="00990D53"/>
    <w:rsid w:val="00992E2D"/>
    <w:rsid w:val="00996529"/>
    <w:rsid w:val="009A17BB"/>
    <w:rsid w:val="009B0415"/>
    <w:rsid w:val="009B2A07"/>
    <w:rsid w:val="009B3D3F"/>
    <w:rsid w:val="009B4698"/>
    <w:rsid w:val="009C3CE3"/>
    <w:rsid w:val="009D0EF2"/>
    <w:rsid w:val="009D2531"/>
    <w:rsid w:val="009D38E4"/>
    <w:rsid w:val="009D6D70"/>
    <w:rsid w:val="009D752A"/>
    <w:rsid w:val="009E0387"/>
    <w:rsid w:val="009E0797"/>
    <w:rsid w:val="009E52EF"/>
    <w:rsid w:val="009E75FE"/>
    <w:rsid w:val="009F2172"/>
    <w:rsid w:val="00A05008"/>
    <w:rsid w:val="00A06A6B"/>
    <w:rsid w:val="00A10228"/>
    <w:rsid w:val="00A11921"/>
    <w:rsid w:val="00A15DBD"/>
    <w:rsid w:val="00A1670B"/>
    <w:rsid w:val="00A179ED"/>
    <w:rsid w:val="00A27C34"/>
    <w:rsid w:val="00A333F3"/>
    <w:rsid w:val="00A367ED"/>
    <w:rsid w:val="00A37162"/>
    <w:rsid w:val="00A40D49"/>
    <w:rsid w:val="00A41973"/>
    <w:rsid w:val="00A428A9"/>
    <w:rsid w:val="00A42ED9"/>
    <w:rsid w:val="00A475C6"/>
    <w:rsid w:val="00A5295B"/>
    <w:rsid w:val="00A611E7"/>
    <w:rsid w:val="00A64E1F"/>
    <w:rsid w:val="00A70592"/>
    <w:rsid w:val="00A722C1"/>
    <w:rsid w:val="00A72558"/>
    <w:rsid w:val="00A77B7D"/>
    <w:rsid w:val="00A917D6"/>
    <w:rsid w:val="00A91A10"/>
    <w:rsid w:val="00A95301"/>
    <w:rsid w:val="00A95D7F"/>
    <w:rsid w:val="00A97331"/>
    <w:rsid w:val="00A97C63"/>
    <w:rsid w:val="00AA33E8"/>
    <w:rsid w:val="00AB0EBF"/>
    <w:rsid w:val="00AB27A1"/>
    <w:rsid w:val="00AC6476"/>
    <w:rsid w:val="00AC7238"/>
    <w:rsid w:val="00AC7297"/>
    <w:rsid w:val="00AC7F8F"/>
    <w:rsid w:val="00AD2E59"/>
    <w:rsid w:val="00AD2F28"/>
    <w:rsid w:val="00AD3609"/>
    <w:rsid w:val="00AD448E"/>
    <w:rsid w:val="00AD4CDE"/>
    <w:rsid w:val="00AE1389"/>
    <w:rsid w:val="00AE24D1"/>
    <w:rsid w:val="00AE290D"/>
    <w:rsid w:val="00AE2C40"/>
    <w:rsid w:val="00AE3CEF"/>
    <w:rsid w:val="00AE7AE8"/>
    <w:rsid w:val="00AF302D"/>
    <w:rsid w:val="00AF33D0"/>
    <w:rsid w:val="00B0275B"/>
    <w:rsid w:val="00B036E1"/>
    <w:rsid w:val="00B04367"/>
    <w:rsid w:val="00B04D90"/>
    <w:rsid w:val="00B11539"/>
    <w:rsid w:val="00B15428"/>
    <w:rsid w:val="00B212B8"/>
    <w:rsid w:val="00B24519"/>
    <w:rsid w:val="00B24661"/>
    <w:rsid w:val="00B2707C"/>
    <w:rsid w:val="00B32434"/>
    <w:rsid w:val="00B345AA"/>
    <w:rsid w:val="00B4053B"/>
    <w:rsid w:val="00B41248"/>
    <w:rsid w:val="00B41405"/>
    <w:rsid w:val="00B4167B"/>
    <w:rsid w:val="00B4210F"/>
    <w:rsid w:val="00B4251A"/>
    <w:rsid w:val="00B4254F"/>
    <w:rsid w:val="00B4284C"/>
    <w:rsid w:val="00B42C2B"/>
    <w:rsid w:val="00B46BE6"/>
    <w:rsid w:val="00B5063E"/>
    <w:rsid w:val="00B50E58"/>
    <w:rsid w:val="00B53289"/>
    <w:rsid w:val="00B559E9"/>
    <w:rsid w:val="00B633F2"/>
    <w:rsid w:val="00B64AF3"/>
    <w:rsid w:val="00B666C8"/>
    <w:rsid w:val="00B67FD8"/>
    <w:rsid w:val="00B72266"/>
    <w:rsid w:val="00B728E8"/>
    <w:rsid w:val="00B739F6"/>
    <w:rsid w:val="00B74F9A"/>
    <w:rsid w:val="00B8059E"/>
    <w:rsid w:val="00B80F37"/>
    <w:rsid w:val="00B817F4"/>
    <w:rsid w:val="00B84A4F"/>
    <w:rsid w:val="00B8682E"/>
    <w:rsid w:val="00B877AC"/>
    <w:rsid w:val="00B93427"/>
    <w:rsid w:val="00B95761"/>
    <w:rsid w:val="00BA0347"/>
    <w:rsid w:val="00BA131D"/>
    <w:rsid w:val="00BA6AB9"/>
    <w:rsid w:val="00BA720D"/>
    <w:rsid w:val="00BB191B"/>
    <w:rsid w:val="00BB2746"/>
    <w:rsid w:val="00BB2858"/>
    <w:rsid w:val="00BB4649"/>
    <w:rsid w:val="00BB4A47"/>
    <w:rsid w:val="00BC4253"/>
    <w:rsid w:val="00BC5E30"/>
    <w:rsid w:val="00BC6C10"/>
    <w:rsid w:val="00BD0EA7"/>
    <w:rsid w:val="00BD1B7D"/>
    <w:rsid w:val="00BD5C28"/>
    <w:rsid w:val="00BD6519"/>
    <w:rsid w:val="00BE1A06"/>
    <w:rsid w:val="00BE30C6"/>
    <w:rsid w:val="00BE4245"/>
    <w:rsid w:val="00BE4A04"/>
    <w:rsid w:val="00BE6580"/>
    <w:rsid w:val="00BF2829"/>
    <w:rsid w:val="00BF2DA5"/>
    <w:rsid w:val="00BF445B"/>
    <w:rsid w:val="00C05678"/>
    <w:rsid w:val="00C056C9"/>
    <w:rsid w:val="00C12BAC"/>
    <w:rsid w:val="00C12E6A"/>
    <w:rsid w:val="00C1550C"/>
    <w:rsid w:val="00C165B3"/>
    <w:rsid w:val="00C2014B"/>
    <w:rsid w:val="00C272C9"/>
    <w:rsid w:val="00C3166B"/>
    <w:rsid w:val="00C33380"/>
    <w:rsid w:val="00C337F6"/>
    <w:rsid w:val="00C34A5D"/>
    <w:rsid w:val="00C404FC"/>
    <w:rsid w:val="00C4169D"/>
    <w:rsid w:val="00C432E2"/>
    <w:rsid w:val="00C43335"/>
    <w:rsid w:val="00C45124"/>
    <w:rsid w:val="00C4537F"/>
    <w:rsid w:val="00C60532"/>
    <w:rsid w:val="00C63329"/>
    <w:rsid w:val="00C63835"/>
    <w:rsid w:val="00C70B43"/>
    <w:rsid w:val="00C74AB0"/>
    <w:rsid w:val="00C815C1"/>
    <w:rsid w:val="00C9007F"/>
    <w:rsid w:val="00C90BCA"/>
    <w:rsid w:val="00C957C1"/>
    <w:rsid w:val="00CA029B"/>
    <w:rsid w:val="00CA5E76"/>
    <w:rsid w:val="00CB2177"/>
    <w:rsid w:val="00CB5565"/>
    <w:rsid w:val="00CB5B19"/>
    <w:rsid w:val="00CC11CD"/>
    <w:rsid w:val="00CD0A96"/>
    <w:rsid w:val="00CD2AA8"/>
    <w:rsid w:val="00CD31DC"/>
    <w:rsid w:val="00CD3941"/>
    <w:rsid w:val="00CD4304"/>
    <w:rsid w:val="00CD5A6F"/>
    <w:rsid w:val="00CD67BC"/>
    <w:rsid w:val="00CE0CA2"/>
    <w:rsid w:val="00CE40B3"/>
    <w:rsid w:val="00CE716E"/>
    <w:rsid w:val="00CF2C6E"/>
    <w:rsid w:val="00CF5EE7"/>
    <w:rsid w:val="00CF6DFE"/>
    <w:rsid w:val="00D030E1"/>
    <w:rsid w:val="00D149FF"/>
    <w:rsid w:val="00D15B69"/>
    <w:rsid w:val="00D17AA1"/>
    <w:rsid w:val="00D212E1"/>
    <w:rsid w:val="00D22FCE"/>
    <w:rsid w:val="00D25074"/>
    <w:rsid w:val="00D263F0"/>
    <w:rsid w:val="00D301A2"/>
    <w:rsid w:val="00D3350F"/>
    <w:rsid w:val="00D36F02"/>
    <w:rsid w:val="00D415A8"/>
    <w:rsid w:val="00D46792"/>
    <w:rsid w:val="00D51B35"/>
    <w:rsid w:val="00D51C8D"/>
    <w:rsid w:val="00D53769"/>
    <w:rsid w:val="00D54174"/>
    <w:rsid w:val="00D5545F"/>
    <w:rsid w:val="00D56C5F"/>
    <w:rsid w:val="00D5794A"/>
    <w:rsid w:val="00D6123B"/>
    <w:rsid w:val="00D61EA9"/>
    <w:rsid w:val="00D62353"/>
    <w:rsid w:val="00D6268E"/>
    <w:rsid w:val="00D64126"/>
    <w:rsid w:val="00D7402B"/>
    <w:rsid w:val="00D75958"/>
    <w:rsid w:val="00D77D29"/>
    <w:rsid w:val="00D80980"/>
    <w:rsid w:val="00D80B37"/>
    <w:rsid w:val="00D835FE"/>
    <w:rsid w:val="00D83784"/>
    <w:rsid w:val="00D838C0"/>
    <w:rsid w:val="00D85022"/>
    <w:rsid w:val="00D93A12"/>
    <w:rsid w:val="00D9457C"/>
    <w:rsid w:val="00D96860"/>
    <w:rsid w:val="00D971DD"/>
    <w:rsid w:val="00D97AE2"/>
    <w:rsid w:val="00DA13D4"/>
    <w:rsid w:val="00DA1630"/>
    <w:rsid w:val="00DA38C4"/>
    <w:rsid w:val="00DA5D07"/>
    <w:rsid w:val="00DA7EEE"/>
    <w:rsid w:val="00DB636A"/>
    <w:rsid w:val="00DB7952"/>
    <w:rsid w:val="00DC24F2"/>
    <w:rsid w:val="00DC5587"/>
    <w:rsid w:val="00DC6267"/>
    <w:rsid w:val="00DD0522"/>
    <w:rsid w:val="00DD29CA"/>
    <w:rsid w:val="00DD2B61"/>
    <w:rsid w:val="00DD5E9C"/>
    <w:rsid w:val="00DE7CF3"/>
    <w:rsid w:val="00DF03AB"/>
    <w:rsid w:val="00DF2AD5"/>
    <w:rsid w:val="00DF6206"/>
    <w:rsid w:val="00E01172"/>
    <w:rsid w:val="00E01FE1"/>
    <w:rsid w:val="00E03CF7"/>
    <w:rsid w:val="00E10280"/>
    <w:rsid w:val="00E1062D"/>
    <w:rsid w:val="00E13FA5"/>
    <w:rsid w:val="00E179C1"/>
    <w:rsid w:val="00E20691"/>
    <w:rsid w:val="00E22873"/>
    <w:rsid w:val="00E23866"/>
    <w:rsid w:val="00E24A02"/>
    <w:rsid w:val="00E25642"/>
    <w:rsid w:val="00E26F97"/>
    <w:rsid w:val="00E34A28"/>
    <w:rsid w:val="00E34E65"/>
    <w:rsid w:val="00E35A2F"/>
    <w:rsid w:val="00E3678B"/>
    <w:rsid w:val="00E37795"/>
    <w:rsid w:val="00E43029"/>
    <w:rsid w:val="00E47A02"/>
    <w:rsid w:val="00E513F5"/>
    <w:rsid w:val="00E51689"/>
    <w:rsid w:val="00E522DB"/>
    <w:rsid w:val="00E533DC"/>
    <w:rsid w:val="00E53509"/>
    <w:rsid w:val="00E5614C"/>
    <w:rsid w:val="00E57F4D"/>
    <w:rsid w:val="00E601D7"/>
    <w:rsid w:val="00E615B8"/>
    <w:rsid w:val="00E616A0"/>
    <w:rsid w:val="00E6389D"/>
    <w:rsid w:val="00E7416A"/>
    <w:rsid w:val="00E77C05"/>
    <w:rsid w:val="00E77FEA"/>
    <w:rsid w:val="00E82F4A"/>
    <w:rsid w:val="00E842AE"/>
    <w:rsid w:val="00E8543B"/>
    <w:rsid w:val="00E90CDA"/>
    <w:rsid w:val="00E95FC6"/>
    <w:rsid w:val="00E96F35"/>
    <w:rsid w:val="00EA0733"/>
    <w:rsid w:val="00EA08D1"/>
    <w:rsid w:val="00EA31CF"/>
    <w:rsid w:val="00EA3FCC"/>
    <w:rsid w:val="00EA68C0"/>
    <w:rsid w:val="00EA6966"/>
    <w:rsid w:val="00EA6CD7"/>
    <w:rsid w:val="00EB0342"/>
    <w:rsid w:val="00EB09B4"/>
    <w:rsid w:val="00EB306A"/>
    <w:rsid w:val="00EB339F"/>
    <w:rsid w:val="00EB4EE7"/>
    <w:rsid w:val="00EC0B9E"/>
    <w:rsid w:val="00EC28EF"/>
    <w:rsid w:val="00EC469D"/>
    <w:rsid w:val="00EC51FB"/>
    <w:rsid w:val="00ED259A"/>
    <w:rsid w:val="00ED3959"/>
    <w:rsid w:val="00ED4BE6"/>
    <w:rsid w:val="00EE0FA7"/>
    <w:rsid w:val="00EE5051"/>
    <w:rsid w:val="00EE6294"/>
    <w:rsid w:val="00EE6CF6"/>
    <w:rsid w:val="00EF2777"/>
    <w:rsid w:val="00EF4C2E"/>
    <w:rsid w:val="00EF6463"/>
    <w:rsid w:val="00EF6B14"/>
    <w:rsid w:val="00F0260D"/>
    <w:rsid w:val="00F02DC5"/>
    <w:rsid w:val="00F049EB"/>
    <w:rsid w:val="00F04CBF"/>
    <w:rsid w:val="00F06DE6"/>
    <w:rsid w:val="00F11183"/>
    <w:rsid w:val="00F11697"/>
    <w:rsid w:val="00F118F6"/>
    <w:rsid w:val="00F11E7D"/>
    <w:rsid w:val="00F12A56"/>
    <w:rsid w:val="00F15D0A"/>
    <w:rsid w:val="00F16311"/>
    <w:rsid w:val="00F1650E"/>
    <w:rsid w:val="00F169CD"/>
    <w:rsid w:val="00F1716E"/>
    <w:rsid w:val="00F17443"/>
    <w:rsid w:val="00F17F49"/>
    <w:rsid w:val="00F22113"/>
    <w:rsid w:val="00F24F05"/>
    <w:rsid w:val="00F25310"/>
    <w:rsid w:val="00F25F3E"/>
    <w:rsid w:val="00F26433"/>
    <w:rsid w:val="00F3075F"/>
    <w:rsid w:val="00F345D5"/>
    <w:rsid w:val="00F34FA1"/>
    <w:rsid w:val="00F420AA"/>
    <w:rsid w:val="00F4559B"/>
    <w:rsid w:val="00F46F63"/>
    <w:rsid w:val="00F47B5F"/>
    <w:rsid w:val="00F50844"/>
    <w:rsid w:val="00F51C86"/>
    <w:rsid w:val="00F55634"/>
    <w:rsid w:val="00F57BB8"/>
    <w:rsid w:val="00F65CED"/>
    <w:rsid w:val="00F72870"/>
    <w:rsid w:val="00F749EA"/>
    <w:rsid w:val="00F7741F"/>
    <w:rsid w:val="00F82101"/>
    <w:rsid w:val="00F84F93"/>
    <w:rsid w:val="00F84FD3"/>
    <w:rsid w:val="00F86BF5"/>
    <w:rsid w:val="00F92321"/>
    <w:rsid w:val="00FA2D10"/>
    <w:rsid w:val="00FA31E2"/>
    <w:rsid w:val="00FA5F9F"/>
    <w:rsid w:val="00FA690D"/>
    <w:rsid w:val="00FA7A2C"/>
    <w:rsid w:val="00FA7AFA"/>
    <w:rsid w:val="00FB3654"/>
    <w:rsid w:val="00FB3CED"/>
    <w:rsid w:val="00FB40EA"/>
    <w:rsid w:val="00FB447C"/>
    <w:rsid w:val="00FB5A4C"/>
    <w:rsid w:val="00FB5C1A"/>
    <w:rsid w:val="00FB7A88"/>
    <w:rsid w:val="00FC1F50"/>
    <w:rsid w:val="00FC3A62"/>
    <w:rsid w:val="00FC6B7D"/>
    <w:rsid w:val="00FC7132"/>
    <w:rsid w:val="00FD0AB5"/>
    <w:rsid w:val="00FD3F99"/>
    <w:rsid w:val="00FE089B"/>
    <w:rsid w:val="00FE2EE2"/>
    <w:rsid w:val="00FF36A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E7D"/>
    <w:pPr>
      <w:ind w:left="720"/>
      <w:contextualSpacing/>
    </w:pPr>
  </w:style>
  <w:style w:type="paragraph" w:styleId="FootnoteText">
    <w:name w:val="footnote text"/>
    <w:basedOn w:val="Normal"/>
    <w:link w:val="FootnoteTextChar"/>
    <w:uiPriority w:val="99"/>
    <w:unhideWhenUsed/>
    <w:rsid w:val="003C17ED"/>
    <w:pPr>
      <w:spacing w:after="0" w:line="240" w:lineRule="auto"/>
    </w:pPr>
    <w:rPr>
      <w:sz w:val="20"/>
      <w:szCs w:val="20"/>
    </w:rPr>
  </w:style>
  <w:style w:type="character" w:customStyle="1" w:styleId="FootnoteTextChar">
    <w:name w:val="Footnote Text Char"/>
    <w:basedOn w:val="DefaultParagraphFont"/>
    <w:link w:val="FootnoteText"/>
    <w:uiPriority w:val="99"/>
    <w:rsid w:val="003C17ED"/>
    <w:rPr>
      <w:sz w:val="20"/>
      <w:szCs w:val="20"/>
    </w:rPr>
  </w:style>
  <w:style w:type="character" w:styleId="FootnoteReference">
    <w:name w:val="footnote reference"/>
    <w:basedOn w:val="DefaultParagraphFont"/>
    <w:uiPriority w:val="99"/>
    <w:semiHidden/>
    <w:unhideWhenUsed/>
    <w:rsid w:val="003C17ED"/>
    <w:rPr>
      <w:vertAlign w:val="superscript"/>
    </w:rPr>
  </w:style>
  <w:style w:type="paragraph" w:styleId="Header">
    <w:name w:val="header"/>
    <w:basedOn w:val="Normal"/>
    <w:link w:val="HeaderChar"/>
    <w:uiPriority w:val="99"/>
    <w:unhideWhenUsed/>
    <w:rsid w:val="00DA1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630"/>
  </w:style>
  <w:style w:type="paragraph" w:styleId="Footer">
    <w:name w:val="footer"/>
    <w:basedOn w:val="Normal"/>
    <w:link w:val="FooterChar"/>
    <w:uiPriority w:val="99"/>
    <w:unhideWhenUsed/>
    <w:rsid w:val="00DA1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630"/>
  </w:style>
  <w:style w:type="character" w:styleId="PageNumber">
    <w:name w:val="page number"/>
    <w:basedOn w:val="DefaultParagraphFont"/>
    <w:uiPriority w:val="99"/>
    <w:semiHidden/>
    <w:unhideWhenUsed/>
    <w:rsid w:val="00DA1630"/>
  </w:style>
  <w:style w:type="paragraph" w:styleId="EndnoteText">
    <w:name w:val="endnote text"/>
    <w:basedOn w:val="Normal"/>
    <w:link w:val="EndnoteTextChar"/>
    <w:uiPriority w:val="99"/>
    <w:semiHidden/>
    <w:unhideWhenUsed/>
    <w:rsid w:val="00B115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539"/>
    <w:rPr>
      <w:sz w:val="20"/>
      <w:szCs w:val="20"/>
    </w:rPr>
  </w:style>
  <w:style w:type="character" w:styleId="EndnoteReference">
    <w:name w:val="endnote reference"/>
    <w:basedOn w:val="DefaultParagraphFont"/>
    <w:uiPriority w:val="99"/>
    <w:semiHidden/>
    <w:unhideWhenUsed/>
    <w:rsid w:val="00B11539"/>
    <w:rPr>
      <w:vertAlign w:val="superscript"/>
    </w:rPr>
  </w:style>
  <w:style w:type="character" w:styleId="Hyperlink">
    <w:name w:val="Hyperlink"/>
    <w:basedOn w:val="DefaultParagraphFont"/>
    <w:uiPriority w:val="99"/>
    <w:unhideWhenUsed/>
    <w:rsid w:val="00FA2D10"/>
    <w:rPr>
      <w:color w:val="0000FF" w:themeColor="hyperlink"/>
      <w:u w:val="single"/>
    </w:rPr>
  </w:style>
  <w:style w:type="character" w:styleId="UnresolvedMention">
    <w:name w:val="Unresolved Mention"/>
    <w:basedOn w:val="DefaultParagraphFont"/>
    <w:uiPriority w:val="99"/>
    <w:semiHidden/>
    <w:unhideWhenUsed/>
    <w:rsid w:val="00FA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7706">
      <w:bodyDiv w:val="1"/>
      <w:marLeft w:val="0"/>
      <w:marRight w:val="0"/>
      <w:marTop w:val="0"/>
      <w:marBottom w:val="0"/>
      <w:divBdr>
        <w:top w:val="none" w:sz="0" w:space="0" w:color="auto"/>
        <w:left w:val="none" w:sz="0" w:space="0" w:color="auto"/>
        <w:bottom w:val="none" w:sz="0" w:space="0" w:color="auto"/>
        <w:right w:val="none" w:sz="0" w:space="0" w:color="auto"/>
      </w:divBdr>
      <w:divsChild>
        <w:div w:id="1632441416">
          <w:marLeft w:val="0"/>
          <w:marRight w:val="0"/>
          <w:marTop w:val="0"/>
          <w:marBottom w:val="0"/>
          <w:divBdr>
            <w:top w:val="none" w:sz="0" w:space="0" w:color="auto"/>
            <w:left w:val="none" w:sz="0" w:space="0" w:color="auto"/>
            <w:bottom w:val="none" w:sz="0" w:space="0" w:color="auto"/>
            <w:right w:val="none" w:sz="0" w:space="0" w:color="auto"/>
          </w:divBdr>
        </w:div>
        <w:div w:id="559557184">
          <w:marLeft w:val="0"/>
          <w:marRight w:val="0"/>
          <w:marTop w:val="0"/>
          <w:marBottom w:val="0"/>
          <w:divBdr>
            <w:top w:val="none" w:sz="0" w:space="0" w:color="auto"/>
            <w:left w:val="none" w:sz="0" w:space="0" w:color="auto"/>
            <w:bottom w:val="none" w:sz="0" w:space="0" w:color="auto"/>
            <w:right w:val="none" w:sz="0" w:space="0" w:color="auto"/>
          </w:divBdr>
        </w:div>
        <w:div w:id="1627463692">
          <w:marLeft w:val="0"/>
          <w:marRight w:val="0"/>
          <w:marTop w:val="0"/>
          <w:marBottom w:val="0"/>
          <w:divBdr>
            <w:top w:val="none" w:sz="0" w:space="0" w:color="auto"/>
            <w:left w:val="none" w:sz="0" w:space="0" w:color="auto"/>
            <w:bottom w:val="none" w:sz="0" w:space="0" w:color="auto"/>
            <w:right w:val="none" w:sz="0" w:space="0" w:color="auto"/>
          </w:divBdr>
        </w:div>
        <w:div w:id="215431839">
          <w:marLeft w:val="0"/>
          <w:marRight w:val="0"/>
          <w:marTop w:val="0"/>
          <w:marBottom w:val="0"/>
          <w:divBdr>
            <w:top w:val="none" w:sz="0" w:space="0" w:color="auto"/>
            <w:left w:val="none" w:sz="0" w:space="0" w:color="auto"/>
            <w:bottom w:val="none" w:sz="0" w:space="0" w:color="auto"/>
            <w:right w:val="none" w:sz="0" w:space="0" w:color="auto"/>
          </w:divBdr>
        </w:div>
        <w:div w:id="231473730">
          <w:marLeft w:val="0"/>
          <w:marRight w:val="0"/>
          <w:marTop w:val="0"/>
          <w:marBottom w:val="0"/>
          <w:divBdr>
            <w:top w:val="none" w:sz="0" w:space="0" w:color="auto"/>
            <w:left w:val="none" w:sz="0" w:space="0" w:color="auto"/>
            <w:bottom w:val="none" w:sz="0" w:space="0" w:color="auto"/>
            <w:right w:val="none" w:sz="0" w:space="0" w:color="auto"/>
          </w:divBdr>
        </w:div>
      </w:divsChild>
    </w:div>
    <w:div w:id="601035971">
      <w:bodyDiv w:val="1"/>
      <w:marLeft w:val="0"/>
      <w:marRight w:val="0"/>
      <w:marTop w:val="0"/>
      <w:marBottom w:val="0"/>
      <w:divBdr>
        <w:top w:val="none" w:sz="0" w:space="0" w:color="auto"/>
        <w:left w:val="none" w:sz="0" w:space="0" w:color="auto"/>
        <w:bottom w:val="none" w:sz="0" w:space="0" w:color="auto"/>
        <w:right w:val="none" w:sz="0" w:space="0" w:color="auto"/>
      </w:divBdr>
    </w:div>
    <w:div w:id="1614049187">
      <w:bodyDiv w:val="1"/>
      <w:marLeft w:val="0"/>
      <w:marRight w:val="0"/>
      <w:marTop w:val="0"/>
      <w:marBottom w:val="0"/>
      <w:divBdr>
        <w:top w:val="none" w:sz="0" w:space="0" w:color="auto"/>
        <w:left w:val="none" w:sz="0" w:space="0" w:color="auto"/>
        <w:bottom w:val="none" w:sz="0" w:space="0" w:color="auto"/>
        <w:right w:val="none" w:sz="0" w:space="0" w:color="auto"/>
      </w:divBdr>
    </w:div>
    <w:div w:id="1669166645">
      <w:bodyDiv w:val="1"/>
      <w:marLeft w:val="0"/>
      <w:marRight w:val="0"/>
      <w:marTop w:val="0"/>
      <w:marBottom w:val="0"/>
      <w:divBdr>
        <w:top w:val="none" w:sz="0" w:space="0" w:color="auto"/>
        <w:left w:val="none" w:sz="0" w:space="0" w:color="auto"/>
        <w:bottom w:val="none" w:sz="0" w:space="0" w:color="auto"/>
        <w:right w:val="none" w:sz="0" w:space="0" w:color="auto"/>
      </w:divBdr>
    </w:div>
    <w:div w:id="1901163772">
      <w:bodyDiv w:val="1"/>
      <w:marLeft w:val="0"/>
      <w:marRight w:val="0"/>
      <w:marTop w:val="0"/>
      <w:marBottom w:val="0"/>
      <w:divBdr>
        <w:top w:val="none" w:sz="0" w:space="0" w:color="auto"/>
        <w:left w:val="none" w:sz="0" w:space="0" w:color="auto"/>
        <w:bottom w:val="none" w:sz="0" w:space="0" w:color="auto"/>
        <w:right w:val="none" w:sz="0" w:space="0" w:color="auto"/>
      </w:divBdr>
    </w:div>
    <w:div w:id="1905097835">
      <w:bodyDiv w:val="1"/>
      <w:marLeft w:val="0"/>
      <w:marRight w:val="0"/>
      <w:marTop w:val="0"/>
      <w:marBottom w:val="0"/>
      <w:divBdr>
        <w:top w:val="none" w:sz="0" w:space="0" w:color="auto"/>
        <w:left w:val="none" w:sz="0" w:space="0" w:color="auto"/>
        <w:bottom w:val="none" w:sz="0" w:space="0" w:color="auto"/>
        <w:right w:val="none" w:sz="0" w:space="0" w:color="auto"/>
      </w:divBdr>
      <w:divsChild>
        <w:div w:id="353194508">
          <w:marLeft w:val="0"/>
          <w:marRight w:val="0"/>
          <w:marTop w:val="0"/>
          <w:marBottom w:val="0"/>
          <w:divBdr>
            <w:top w:val="none" w:sz="0" w:space="0" w:color="auto"/>
            <w:left w:val="none" w:sz="0" w:space="0" w:color="auto"/>
            <w:bottom w:val="none" w:sz="0" w:space="0" w:color="auto"/>
            <w:right w:val="none" w:sz="0" w:space="0" w:color="auto"/>
          </w:divBdr>
        </w:div>
        <w:div w:id="1117412568">
          <w:marLeft w:val="0"/>
          <w:marRight w:val="0"/>
          <w:marTop w:val="0"/>
          <w:marBottom w:val="0"/>
          <w:divBdr>
            <w:top w:val="none" w:sz="0" w:space="0" w:color="auto"/>
            <w:left w:val="none" w:sz="0" w:space="0" w:color="auto"/>
            <w:bottom w:val="none" w:sz="0" w:space="0" w:color="auto"/>
            <w:right w:val="none" w:sz="0" w:space="0" w:color="auto"/>
          </w:divBdr>
        </w:div>
        <w:div w:id="1735201028">
          <w:marLeft w:val="0"/>
          <w:marRight w:val="0"/>
          <w:marTop w:val="0"/>
          <w:marBottom w:val="0"/>
          <w:divBdr>
            <w:top w:val="none" w:sz="0" w:space="0" w:color="auto"/>
            <w:left w:val="none" w:sz="0" w:space="0" w:color="auto"/>
            <w:bottom w:val="none" w:sz="0" w:space="0" w:color="auto"/>
            <w:right w:val="none" w:sz="0" w:space="0" w:color="auto"/>
          </w:divBdr>
        </w:div>
        <w:div w:id="1346908719">
          <w:marLeft w:val="0"/>
          <w:marRight w:val="0"/>
          <w:marTop w:val="0"/>
          <w:marBottom w:val="0"/>
          <w:divBdr>
            <w:top w:val="none" w:sz="0" w:space="0" w:color="auto"/>
            <w:left w:val="none" w:sz="0" w:space="0" w:color="auto"/>
            <w:bottom w:val="none" w:sz="0" w:space="0" w:color="auto"/>
            <w:right w:val="none" w:sz="0" w:space="0" w:color="auto"/>
          </w:divBdr>
        </w:div>
        <w:div w:id="1445806033">
          <w:marLeft w:val="0"/>
          <w:marRight w:val="0"/>
          <w:marTop w:val="0"/>
          <w:marBottom w:val="0"/>
          <w:divBdr>
            <w:top w:val="none" w:sz="0" w:space="0" w:color="auto"/>
            <w:left w:val="none" w:sz="0" w:space="0" w:color="auto"/>
            <w:bottom w:val="none" w:sz="0" w:space="0" w:color="auto"/>
            <w:right w:val="none" w:sz="0" w:space="0" w:color="auto"/>
          </w:divBdr>
        </w:div>
        <w:div w:id="1568688005">
          <w:marLeft w:val="0"/>
          <w:marRight w:val="0"/>
          <w:marTop w:val="0"/>
          <w:marBottom w:val="0"/>
          <w:divBdr>
            <w:top w:val="none" w:sz="0" w:space="0" w:color="auto"/>
            <w:left w:val="none" w:sz="0" w:space="0" w:color="auto"/>
            <w:bottom w:val="none" w:sz="0" w:space="0" w:color="auto"/>
            <w:right w:val="none" w:sz="0" w:space="0" w:color="auto"/>
          </w:divBdr>
        </w:div>
        <w:div w:id="1228145325">
          <w:marLeft w:val="0"/>
          <w:marRight w:val="0"/>
          <w:marTop w:val="0"/>
          <w:marBottom w:val="0"/>
          <w:divBdr>
            <w:top w:val="none" w:sz="0" w:space="0" w:color="auto"/>
            <w:left w:val="none" w:sz="0" w:space="0" w:color="auto"/>
            <w:bottom w:val="none" w:sz="0" w:space="0" w:color="auto"/>
            <w:right w:val="none" w:sz="0" w:space="0" w:color="auto"/>
          </w:divBdr>
        </w:div>
        <w:div w:id="503668912">
          <w:marLeft w:val="0"/>
          <w:marRight w:val="0"/>
          <w:marTop w:val="0"/>
          <w:marBottom w:val="0"/>
          <w:divBdr>
            <w:top w:val="none" w:sz="0" w:space="0" w:color="auto"/>
            <w:left w:val="none" w:sz="0" w:space="0" w:color="auto"/>
            <w:bottom w:val="none" w:sz="0" w:space="0" w:color="auto"/>
            <w:right w:val="none" w:sz="0" w:space="0" w:color="auto"/>
          </w:divBdr>
        </w:div>
        <w:div w:id="1412703591">
          <w:marLeft w:val="0"/>
          <w:marRight w:val="0"/>
          <w:marTop w:val="0"/>
          <w:marBottom w:val="0"/>
          <w:divBdr>
            <w:top w:val="none" w:sz="0" w:space="0" w:color="auto"/>
            <w:left w:val="none" w:sz="0" w:space="0" w:color="auto"/>
            <w:bottom w:val="none" w:sz="0" w:space="0" w:color="auto"/>
            <w:right w:val="none" w:sz="0" w:space="0" w:color="auto"/>
          </w:divBdr>
        </w:div>
      </w:divsChild>
    </w:div>
    <w:div w:id="1954703416">
      <w:bodyDiv w:val="1"/>
      <w:marLeft w:val="0"/>
      <w:marRight w:val="0"/>
      <w:marTop w:val="0"/>
      <w:marBottom w:val="0"/>
      <w:divBdr>
        <w:top w:val="none" w:sz="0" w:space="0" w:color="auto"/>
        <w:left w:val="none" w:sz="0" w:space="0" w:color="auto"/>
        <w:bottom w:val="none" w:sz="0" w:space="0" w:color="auto"/>
        <w:right w:val="none" w:sz="0" w:space="0" w:color="auto"/>
      </w:divBdr>
      <w:divsChild>
        <w:div w:id="1012878467">
          <w:marLeft w:val="33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space.uwaterloo.ca/bitstream/handle/10012/13520/Bianchi_Andria.pdf?sequence=3&amp;isAllowe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AFE0-0777-974B-95BC-E81B0583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5623</Words>
  <Characters>32056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2018-09-04T17:13:00Z</cp:lastPrinted>
  <dcterms:created xsi:type="dcterms:W3CDTF">2022-11-15T01:29:00Z</dcterms:created>
  <dcterms:modified xsi:type="dcterms:W3CDTF">2023-05-24T16:28:00Z</dcterms:modified>
</cp:coreProperties>
</file>