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03920C" w:rsidR="00A27F38" w:rsidRDefault="00A74B38">
      <w:pPr>
        <w:pStyle w:val="Title"/>
      </w:pPr>
      <w:r>
        <w:t>Personal/</w:t>
      </w:r>
      <w:proofErr w:type="spellStart"/>
      <w:r>
        <w:t>subpersonal</w:t>
      </w:r>
      <w:proofErr w:type="spellEnd"/>
      <w:r>
        <w:t xml:space="preserve"> distinction</w:t>
      </w:r>
    </w:p>
    <w:p w14:paraId="00000002" w14:textId="55DC576E" w:rsidR="00A27F38" w:rsidRDefault="00A74B38">
      <w:pPr>
        <w:pStyle w:val="Subtitle"/>
      </w:pPr>
      <w:bookmarkStart w:id="0" w:name="_dk0iyomuiy90" w:colFirst="0" w:colLast="0"/>
      <w:bookmarkEnd w:id="0"/>
      <w:r>
        <w:t xml:space="preserve">Zoe </w:t>
      </w:r>
      <w:proofErr w:type="spellStart"/>
      <w:r>
        <w:t>Drayson</w:t>
      </w:r>
      <w:proofErr w:type="spellEnd"/>
      <w:r>
        <w:t xml:space="preserve"> </w:t>
      </w:r>
      <w:r w:rsidR="0024748C">
        <w:t>(</w:t>
      </w:r>
      <w:r w:rsidR="0024748C" w:rsidRPr="00AF299A">
        <w:rPr>
          <w:color w:val="000000"/>
          <w:lang w:val="en-GB"/>
        </w:rPr>
        <w:t>https://orcid.org/</w:t>
      </w:r>
      <w:r w:rsidR="0024748C" w:rsidRPr="00AF299A">
        <w:t>0000-0002-1665-3319</w:t>
      </w:r>
      <w:r w:rsidR="0024748C">
        <w:rPr>
          <w:sz w:val="23"/>
          <w:szCs w:val="23"/>
          <w:shd w:val="clear" w:color="auto" w:fill="FFFFFF"/>
        </w:rPr>
        <w:t>)</w:t>
      </w:r>
    </w:p>
    <w:p w14:paraId="00000003" w14:textId="766DE334" w:rsidR="00A27F38" w:rsidRDefault="00A74B38">
      <w:pPr>
        <w:pStyle w:val="Subtitle"/>
      </w:pPr>
      <w:bookmarkStart w:id="1" w:name="_j6podjtfeirf" w:colFirst="0" w:colLast="0"/>
      <w:bookmarkEnd w:id="1"/>
      <w:r>
        <w:t>University of California, Davis</w:t>
      </w:r>
    </w:p>
    <w:p w14:paraId="00000004" w14:textId="77777777" w:rsidR="00A27F38" w:rsidRDefault="00000000">
      <w:pPr>
        <w:rPr>
          <w:b/>
        </w:rPr>
      </w:pPr>
      <w:r>
        <w:t xml:space="preserve"> </w:t>
      </w:r>
    </w:p>
    <w:p w14:paraId="00000005" w14:textId="77777777" w:rsidR="00A27F38" w:rsidRDefault="00A27F38">
      <w:pPr>
        <w:rPr>
          <w:b/>
        </w:rPr>
      </w:pPr>
    </w:p>
    <w:p w14:paraId="442878B0" w14:textId="75564431" w:rsidR="001843BD" w:rsidRPr="00323510" w:rsidRDefault="001843BD" w:rsidP="001843BD">
      <w:pPr>
        <w:rPr>
          <w:color w:val="000000" w:themeColor="text1"/>
        </w:rPr>
      </w:pPr>
      <w:bookmarkStart w:id="2" w:name="_fk1ketk99ccv" w:colFirst="0" w:colLast="0"/>
      <w:bookmarkEnd w:id="2"/>
      <w:r w:rsidRPr="00323510">
        <w:rPr>
          <w:color w:val="000000" w:themeColor="text1"/>
        </w:rPr>
        <w:t xml:space="preserve">When we </w:t>
      </w:r>
      <w:r>
        <w:rPr>
          <w:color w:val="000000" w:themeColor="text1"/>
        </w:rPr>
        <w:t>say that someone recognizes a</w:t>
      </w:r>
      <w:r w:rsidRPr="00323510">
        <w:rPr>
          <w:color w:val="000000" w:themeColor="text1"/>
        </w:rPr>
        <w:t xml:space="preserve"> </w:t>
      </w:r>
      <w:r>
        <w:rPr>
          <w:color w:val="000000" w:themeColor="text1"/>
        </w:rPr>
        <w:t xml:space="preserve">famous painting, prefers Mexican food, or judges the winner of a competition, </w:t>
      </w:r>
      <w:r w:rsidRPr="00323510">
        <w:rPr>
          <w:color w:val="000000" w:themeColor="text1"/>
        </w:rPr>
        <w:t xml:space="preserve">we are attributing cognitive </w:t>
      </w:r>
      <w:r w:rsidR="0024748C">
        <w:rPr>
          <w:color w:val="000000" w:themeColor="text1"/>
        </w:rPr>
        <w:t>capacities</w:t>
      </w:r>
      <w:r w:rsidR="0024748C" w:rsidRPr="00323510">
        <w:rPr>
          <w:color w:val="000000" w:themeColor="text1"/>
        </w:rPr>
        <w:t xml:space="preserve"> </w:t>
      </w:r>
      <w:r w:rsidRPr="00323510">
        <w:rPr>
          <w:color w:val="000000" w:themeColor="text1"/>
        </w:rPr>
        <w:t xml:space="preserve">to </w:t>
      </w:r>
      <w:r>
        <w:rPr>
          <w:color w:val="000000" w:themeColor="text1"/>
        </w:rPr>
        <w:t>the</w:t>
      </w:r>
      <w:r w:rsidRPr="00323510">
        <w:rPr>
          <w:color w:val="000000" w:themeColor="text1"/>
        </w:rPr>
        <w:t xml:space="preserve"> person. These ‘personal-level’ attributions of cognition can be contrasted with the ‘</w:t>
      </w:r>
      <w:proofErr w:type="spellStart"/>
      <w:r w:rsidRPr="00323510">
        <w:rPr>
          <w:color w:val="000000" w:themeColor="text1"/>
        </w:rPr>
        <w:t>subpersonal</w:t>
      </w:r>
      <w:proofErr w:type="spellEnd"/>
      <w:r w:rsidRPr="00323510">
        <w:rPr>
          <w:color w:val="000000" w:themeColor="text1"/>
        </w:rPr>
        <w:t xml:space="preserve">-level’ attributions </w:t>
      </w:r>
      <w:r>
        <w:rPr>
          <w:color w:val="000000" w:themeColor="text1"/>
        </w:rPr>
        <w:t xml:space="preserve">made by cognitive scientists when they claim that the </w:t>
      </w:r>
      <w:r w:rsidRPr="001536A1">
        <w:t xml:space="preserve">fusiform gyrus </w:t>
      </w:r>
      <w:r>
        <w:t xml:space="preserve">in the brain recognizes faces, </w:t>
      </w:r>
      <w:r w:rsidRPr="001536A1">
        <w:t>that pyloric neurons</w:t>
      </w:r>
      <w:r w:rsidRPr="001536A1">
        <w:rPr>
          <w:i/>
        </w:rPr>
        <w:t xml:space="preserve"> </w:t>
      </w:r>
      <w:r>
        <w:t xml:space="preserve">prefer a certain frequency, or that </w:t>
      </w:r>
      <w:r w:rsidRPr="001536A1">
        <w:t>the early visual system</w:t>
      </w:r>
      <w:r>
        <w:t xml:space="preserve"> </w:t>
      </w:r>
      <w:proofErr w:type="gramStart"/>
      <w:r>
        <w:t>judges</w:t>
      </w:r>
      <w:proofErr w:type="gramEnd"/>
      <w:r>
        <w:t xml:space="preserve"> depth from retinal disparity. In each of these latter cases, the cognitive </w:t>
      </w:r>
      <w:r w:rsidR="0024748C">
        <w:t xml:space="preserve">capacity </w:t>
      </w:r>
      <w:r>
        <w:t>(e.g. recognition, preference, judgment) is attributed not to the person but to some part of their cognitive system.</w:t>
      </w:r>
      <w:r>
        <w:rPr>
          <w:color w:val="000000" w:themeColor="text1"/>
        </w:rPr>
        <w:t xml:space="preserve"> </w:t>
      </w:r>
      <w:r w:rsidRPr="00323510">
        <w:rPr>
          <w:color w:val="000000" w:themeColor="text1"/>
        </w:rPr>
        <w:t xml:space="preserve">This distinction between personal-level and </w:t>
      </w:r>
      <w:proofErr w:type="spellStart"/>
      <w:r w:rsidRPr="00323510">
        <w:rPr>
          <w:color w:val="000000" w:themeColor="text1"/>
        </w:rPr>
        <w:t>subpersonal</w:t>
      </w:r>
      <w:proofErr w:type="spellEnd"/>
      <w:r w:rsidRPr="00323510">
        <w:rPr>
          <w:color w:val="000000" w:themeColor="text1"/>
        </w:rPr>
        <w:t>-level attributions of cognition raises interesting questions</w:t>
      </w:r>
      <w:r>
        <w:rPr>
          <w:color w:val="000000" w:themeColor="text1"/>
        </w:rPr>
        <w:t xml:space="preserve">. </w:t>
      </w:r>
      <w:r w:rsidR="0024748C">
        <w:rPr>
          <w:color w:val="000000" w:themeColor="text1"/>
        </w:rPr>
        <w:t xml:space="preserve">What is the relationship between personal-level and </w:t>
      </w:r>
      <w:proofErr w:type="spellStart"/>
      <w:r w:rsidR="0024748C">
        <w:rPr>
          <w:color w:val="000000" w:themeColor="text1"/>
        </w:rPr>
        <w:t>subpersonal</w:t>
      </w:r>
      <w:proofErr w:type="spellEnd"/>
      <w:r w:rsidR="0024748C">
        <w:rPr>
          <w:color w:val="000000" w:themeColor="text1"/>
        </w:rPr>
        <w:t xml:space="preserve">-level attributions of cognition, for example? </w:t>
      </w:r>
      <w:r w:rsidR="003F1C4C">
        <w:rPr>
          <w:color w:val="000000" w:themeColor="text1"/>
        </w:rPr>
        <w:t>D</w:t>
      </w:r>
      <w:r w:rsidRPr="00323510">
        <w:rPr>
          <w:color w:val="000000" w:themeColor="text1"/>
        </w:rPr>
        <w:t>oes the personal/</w:t>
      </w:r>
      <w:proofErr w:type="spellStart"/>
      <w:r w:rsidRPr="00323510">
        <w:rPr>
          <w:color w:val="000000" w:themeColor="text1"/>
        </w:rPr>
        <w:t>subpersonal</w:t>
      </w:r>
      <w:proofErr w:type="spellEnd"/>
      <w:r w:rsidRPr="00323510">
        <w:rPr>
          <w:color w:val="000000" w:themeColor="text1"/>
        </w:rPr>
        <w:t xml:space="preserve"> distinction</w:t>
      </w:r>
      <w:r w:rsidR="0024748C">
        <w:rPr>
          <w:color w:val="000000" w:themeColor="text1"/>
        </w:rPr>
        <w:t xml:space="preserve"> pick out two different kinds of cognitive processes, or does it</w:t>
      </w:r>
      <w:r w:rsidRPr="00323510">
        <w:rPr>
          <w:color w:val="000000" w:themeColor="text1"/>
        </w:rPr>
        <w:t xml:space="preserve"> </w:t>
      </w:r>
      <w:r w:rsidR="0024748C">
        <w:rPr>
          <w:color w:val="000000" w:themeColor="text1"/>
        </w:rPr>
        <w:t xml:space="preserve">merely reflect two different kinds of explanatory projects we might have? </w:t>
      </w:r>
      <w:r w:rsidRPr="00323510">
        <w:rPr>
          <w:color w:val="000000" w:themeColor="text1"/>
        </w:rPr>
        <w:t xml:space="preserve">This piece </w:t>
      </w:r>
      <w:r>
        <w:rPr>
          <w:color w:val="000000" w:themeColor="text1"/>
        </w:rPr>
        <w:t>gives an overview</w:t>
      </w:r>
      <w:r w:rsidRPr="00323510">
        <w:rPr>
          <w:color w:val="000000" w:themeColor="text1"/>
        </w:rPr>
        <w:t xml:space="preserve"> of the personal/</w:t>
      </w:r>
      <w:proofErr w:type="spellStart"/>
      <w:r w:rsidRPr="00323510">
        <w:rPr>
          <w:color w:val="000000" w:themeColor="text1"/>
        </w:rPr>
        <w:t>subpersonal</w:t>
      </w:r>
      <w:proofErr w:type="spellEnd"/>
      <w:r w:rsidRPr="00323510">
        <w:rPr>
          <w:color w:val="000000" w:themeColor="text1"/>
        </w:rPr>
        <w:t xml:space="preserve"> distinction and explores how the distinction </w:t>
      </w:r>
      <w:r>
        <w:rPr>
          <w:color w:val="000000" w:themeColor="text1"/>
        </w:rPr>
        <w:t>is</w:t>
      </w:r>
      <w:r w:rsidRPr="00323510">
        <w:rPr>
          <w:color w:val="000000" w:themeColor="text1"/>
        </w:rPr>
        <w:t xml:space="preserve"> used to guide research in cognitive science and beyond.</w:t>
      </w:r>
    </w:p>
    <w:p w14:paraId="0000000A" w14:textId="77777777" w:rsidR="00A27F38" w:rsidRDefault="00000000">
      <w:pPr>
        <w:pStyle w:val="Heading1"/>
      </w:pPr>
      <w:r>
        <w:t>History</w:t>
      </w:r>
    </w:p>
    <w:p w14:paraId="2399040D" w14:textId="77777777" w:rsidR="001843BD" w:rsidRDefault="001843BD" w:rsidP="001843BD"/>
    <w:p w14:paraId="07D1C41F" w14:textId="259A8C31" w:rsidR="0024748C" w:rsidRDefault="001843BD" w:rsidP="001843BD">
      <w:r>
        <w:t xml:space="preserve">Personal-level attributions of cognitive </w:t>
      </w:r>
      <w:r w:rsidR="0024748C">
        <w:t xml:space="preserve">capacities </w:t>
      </w:r>
      <w:r>
        <w:t xml:space="preserve">are familiar from our everyday explanations of others’ behavior in terms of their abilities to reason, imagine, remember, plan, and decide.  </w:t>
      </w:r>
      <w:proofErr w:type="spellStart"/>
      <w:r>
        <w:t>Subpersonal</w:t>
      </w:r>
      <w:proofErr w:type="spellEnd"/>
      <w:r>
        <w:t>-level attributions of cognitive states, however, are a relatively recent scientific development</w:t>
      </w:r>
      <w:r w:rsidR="0024748C">
        <w:t xml:space="preserve">. These arose during the </w:t>
      </w:r>
      <w:r>
        <w:t>‘cognitive revolution’</w:t>
      </w:r>
      <w:r w:rsidR="0024748C">
        <w:t xml:space="preserve">, when </w:t>
      </w:r>
      <w:r>
        <w:t xml:space="preserve">psychologists </w:t>
      </w:r>
      <w:r w:rsidR="0024748C">
        <w:t xml:space="preserve">such as Miller (1956) and Broadbent (1958) </w:t>
      </w:r>
      <w:r>
        <w:t>started to model the brain as unconsciously storing, retrieving, and transforming information in the manner of a physical computer.</w:t>
      </w:r>
      <w:r w:rsidR="0024748C">
        <w:t xml:space="preserve"> A well-known example is Baddeley and Hitch’s (1974) model of working memory, on which a person’s capacity to engage in mental arithmetic or follow directions, for example, is broken down in</w:t>
      </w:r>
      <w:r w:rsidR="00E85E8F">
        <w:t>to</w:t>
      </w:r>
      <w:r w:rsidR="0024748C">
        <w:t xml:space="preserve"> the different capacities of separate components or subsystems. One component, the phonological loop, stores and rehearses speech-like sounds; a second component, the visuo-spatial sketchpad, processes and manipulates visual information and spatial movement; and a third component, the central executive, coordinates the first two systems and discriminates between relevant and irrelevant information. The separate subsystems are described cognitively (e.g. as rehearsing, manipulating, discriminating) but the cognitive capacities in question are ascribed to </w:t>
      </w:r>
      <w:proofErr w:type="spellStart"/>
      <w:r w:rsidR="0024748C">
        <w:t>subpersonal</w:t>
      </w:r>
      <w:proofErr w:type="spellEnd"/>
      <w:r w:rsidR="0024748C">
        <w:t xml:space="preserve"> components rather than </w:t>
      </w:r>
      <w:r w:rsidR="00E85E8F">
        <w:t xml:space="preserve">directly </w:t>
      </w:r>
      <w:r w:rsidR="0024748C">
        <w:t xml:space="preserve">to the person.  </w:t>
      </w:r>
    </w:p>
    <w:p w14:paraId="718B55AB" w14:textId="77777777" w:rsidR="0024748C" w:rsidRDefault="0024748C" w:rsidP="001843BD"/>
    <w:p w14:paraId="79A78F3E" w14:textId="4D5C4283" w:rsidR="0024748C" w:rsidRDefault="0024748C" w:rsidP="0024748C">
      <w:pPr>
        <w:rPr>
          <w:rFonts w:ascii="Calibri" w:hAnsi="Calibri" w:cs="Calibri"/>
        </w:rPr>
      </w:pPr>
      <w:r w:rsidRPr="001843BD">
        <w:t>Philosopher Daniel Dennett first introduced the personal/</w:t>
      </w:r>
      <w:proofErr w:type="spellStart"/>
      <w:r w:rsidRPr="001843BD">
        <w:t>subpersonal</w:t>
      </w:r>
      <w:proofErr w:type="spellEnd"/>
      <w:r w:rsidRPr="001843BD">
        <w:t xml:space="preserve"> distinction in </w:t>
      </w:r>
      <w:r w:rsidRPr="001843BD">
        <w:rPr>
          <w:i/>
          <w:iCs/>
        </w:rPr>
        <w:t>Content and Consciousness</w:t>
      </w:r>
      <w:r w:rsidRPr="001843BD">
        <w:t xml:space="preserve"> in 1969, </w:t>
      </w:r>
      <w:r>
        <w:t>noting</w:t>
      </w:r>
      <w:r w:rsidRPr="001843BD">
        <w:t xml:space="preserve"> that in addition t</w:t>
      </w:r>
      <w:r>
        <w:t xml:space="preserve">o our everyday accounts of people’s cognitive capacities to people, </w:t>
      </w:r>
      <w:r w:rsidRPr="008C2B10">
        <w:rPr>
          <w:color w:val="000000" w:themeColor="text1"/>
        </w:rPr>
        <w:t xml:space="preserve">there </w:t>
      </w:r>
      <w:r>
        <w:rPr>
          <w:color w:val="000000" w:themeColor="text1"/>
        </w:rPr>
        <w:t xml:space="preserve">are also scientific accounts which focus on </w:t>
      </w:r>
      <w:r w:rsidRPr="008C2B10">
        <w:rPr>
          <w:color w:val="000000" w:themeColor="text1"/>
        </w:rPr>
        <w:t xml:space="preserve">“the sub-personal level of brains and events in the nervous system” (Dennett </w:t>
      </w:r>
      <w:r>
        <w:rPr>
          <w:color w:val="000000" w:themeColor="text1"/>
        </w:rPr>
        <w:t xml:space="preserve">1969, </w:t>
      </w:r>
      <w:r w:rsidRPr="008C2B10">
        <w:rPr>
          <w:color w:val="000000" w:themeColor="text1"/>
        </w:rPr>
        <w:t>93).</w:t>
      </w:r>
      <w:r>
        <w:rPr>
          <w:rFonts w:ascii="Calibri" w:hAnsi="Calibri" w:cs="Calibri"/>
        </w:rPr>
        <w:t xml:space="preserve"> </w:t>
      </w:r>
    </w:p>
    <w:p w14:paraId="18D7383B" w14:textId="5E84E640" w:rsidR="0024748C" w:rsidRDefault="0024748C" w:rsidP="001843BD">
      <w:r w:rsidRPr="00241D8D">
        <w:lastRenderedPageBreak/>
        <w:t>The so-called Pittsburgh School of philosophers</w:t>
      </w:r>
      <w:r>
        <w:t xml:space="preserve"> (</w:t>
      </w:r>
      <w:r w:rsidR="006E1E36">
        <w:t xml:space="preserve">including </w:t>
      </w:r>
      <w:r>
        <w:t>McDowell</w:t>
      </w:r>
      <w:r w:rsidR="006E1E36">
        <w:t xml:space="preserve"> 1994, </w:t>
      </w:r>
      <w:r>
        <w:t>Hornsby</w:t>
      </w:r>
      <w:r w:rsidR="006E1E36">
        <w:t xml:space="preserve"> 2000</w:t>
      </w:r>
      <w:r>
        <w:t>)</w:t>
      </w:r>
      <w:r w:rsidRPr="00241D8D">
        <w:t xml:space="preserve"> interpreted Dennett to be drawing a clear distinction between two </w:t>
      </w:r>
      <w:r>
        <w:t xml:space="preserve">very </w:t>
      </w:r>
      <w:r w:rsidRPr="00241D8D">
        <w:t xml:space="preserve">different kinds of explanations: normative explanations about how we ought to think and act as rational beings (the personal level), and scientific explanations which describe how the mechanisms in our brains </w:t>
      </w:r>
      <w:proofErr w:type="gramStart"/>
      <w:r w:rsidRPr="00241D8D">
        <w:t>actually work</w:t>
      </w:r>
      <w:proofErr w:type="gramEnd"/>
      <w:r w:rsidRPr="00241D8D">
        <w:t xml:space="preserve"> (the </w:t>
      </w:r>
      <w:proofErr w:type="spellStart"/>
      <w:r w:rsidRPr="00241D8D">
        <w:t>subpersonal</w:t>
      </w:r>
      <w:proofErr w:type="spellEnd"/>
      <w:r w:rsidRPr="00241D8D">
        <w:t xml:space="preserve"> level). In doing so, the Pittsburgh School took the personal/</w:t>
      </w:r>
      <w:proofErr w:type="spellStart"/>
      <w:r w:rsidRPr="00241D8D">
        <w:t>subpersonal</w:t>
      </w:r>
      <w:proofErr w:type="spellEnd"/>
      <w:r w:rsidRPr="00241D8D">
        <w:t xml:space="preserve"> distinction to be a version of Wilfred Sellars</w:t>
      </w:r>
      <w:r>
        <w:t>’</w:t>
      </w:r>
      <w:r w:rsidRPr="00241D8D">
        <w:t xml:space="preserve"> (1956) distinction between a ‘space of reasons’ and a ‘space of causes’ (</w:t>
      </w:r>
      <w:proofErr w:type="spellStart"/>
      <w:r w:rsidRPr="00241D8D">
        <w:t>Drayson</w:t>
      </w:r>
      <w:proofErr w:type="spellEnd"/>
      <w:r w:rsidR="006E1E36">
        <w:t xml:space="preserve"> 2012</w:t>
      </w:r>
      <w:r w:rsidRPr="00241D8D">
        <w:t>)</w:t>
      </w:r>
      <w:r>
        <w:t xml:space="preserve">. This led them question whether there could be a science of cognition which reduced human rationality to computational mechanisms in the brain. </w:t>
      </w:r>
    </w:p>
    <w:p w14:paraId="03D1051D" w14:textId="77777777" w:rsidR="001843BD" w:rsidRDefault="001843BD" w:rsidP="001843BD"/>
    <w:p w14:paraId="04BDDA51" w14:textId="07647D9D" w:rsidR="001843BD" w:rsidRPr="00AF299A" w:rsidRDefault="0024748C" w:rsidP="001843BD">
      <w:proofErr w:type="spellStart"/>
      <w:r>
        <w:t>S</w:t>
      </w:r>
      <w:r w:rsidR="001843BD">
        <w:t>ubpersonal</w:t>
      </w:r>
      <w:proofErr w:type="spellEnd"/>
      <w:r w:rsidR="001843BD">
        <w:t xml:space="preserve">-level attributions of cognitive </w:t>
      </w:r>
      <w:r>
        <w:t xml:space="preserve">capacities </w:t>
      </w:r>
      <w:r w:rsidR="001843BD">
        <w:t xml:space="preserve">faced several </w:t>
      </w:r>
      <w:r>
        <w:t xml:space="preserve">other </w:t>
      </w:r>
      <w:r w:rsidR="001843BD">
        <w:t xml:space="preserve">theoretical objections. Some philosophers argued that it is simply wrong to </w:t>
      </w:r>
      <w:r w:rsidR="001843BD" w:rsidRPr="00AF299A">
        <w:t>describe the brain (rather than the person) as evaluating or discriminating, drawing on Wittgenstein’s claim that</w:t>
      </w:r>
      <w:r w:rsidR="001843BD">
        <w:rPr>
          <w:rFonts w:ascii="Calibri" w:hAnsi="Calibri" w:cs="Calibri"/>
        </w:rPr>
        <w:t xml:space="preserve"> </w:t>
      </w:r>
      <w:r w:rsidR="001843BD">
        <w:t>“</w:t>
      </w:r>
      <w:r w:rsidR="001843BD" w:rsidRPr="00CC08FA">
        <w:t>Only of a living human being and what resembles (behaves like) a living human being can one say: it has sensations; it sees; is blind; hears; is de</w:t>
      </w:r>
      <w:r w:rsidR="001843BD">
        <w:t>af; is conscious or unconscious”</w:t>
      </w:r>
      <w:r w:rsidR="001843BD" w:rsidRPr="00CC08FA">
        <w:t xml:space="preserve"> (</w:t>
      </w:r>
      <w:r w:rsidR="001843BD">
        <w:t xml:space="preserve">Wittgenstein </w:t>
      </w:r>
      <w:r w:rsidR="001843BD" w:rsidRPr="00CC08FA">
        <w:t>1953</w:t>
      </w:r>
      <w:r w:rsidR="001843BD">
        <w:t>,</w:t>
      </w:r>
      <w:r w:rsidR="001843BD" w:rsidRPr="00CC08FA">
        <w:t xml:space="preserve"> §281)</w:t>
      </w:r>
      <w:r w:rsidR="001843BD">
        <w:t xml:space="preserve">. Cognitive psychology was </w:t>
      </w:r>
      <w:r>
        <w:t xml:space="preserve">also </w:t>
      </w:r>
      <w:r w:rsidR="001843BD">
        <w:t xml:space="preserve">accused by some philosophers of committing the ‘mereological fallacy’ by </w:t>
      </w:r>
      <w:r w:rsidR="001843BD" w:rsidRPr="00AF299A">
        <w:t>assuming that a term ascribed to a whole entity is therefore ascribable to one of its parts</w:t>
      </w:r>
      <w:r>
        <w:rPr>
          <w:rFonts w:ascii="Calibri" w:hAnsi="Calibri" w:cs="Calibri"/>
        </w:rPr>
        <w:t xml:space="preserve"> (</w:t>
      </w:r>
      <w:r w:rsidRPr="00AF299A">
        <w:t>Bennet and Hacker 2003).</w:t>
      </w:r>
    </w:p>
    <w:p w14:paraId="2C8A8F53" w14:textId="7BD02262" w:rsidR="0024748C" w:rsidRDefault="0024748C" w:rsidP="001843BD">
      <w:pPr>
        <w:rPr>
          <w:rFonts w:ascii="Calibri" w:hAnsi="Calibri" w:cs="Calibri"/>
        </w:rPr>
      </w:pPr>
    </w:p>
    <w:p w14:paraId="7ECA0A03" w14:textId="0BC37CDC" w:rsidR="0024748C" w:rsidRPr="002F2550" w:rsidRDefault="0024748C" w:rsidP="0024748C">
      <w:pPr>
        <w:rPr>
          <w:rFonts w:ascii="Calibri" w:hAnsi="Calibri" w:cs="Calibri"/>
        </w:rPr>
      </w:pPr>
      <w:r>
        <w:rPr>
          <w:color w:val="000000" w:themeColor="text1"/>
        </w:rPr>
        <w:t xml:space="preserve">Against these criticisms, Dennett argued that the explanatory work done by </w:t>
      </w:r>
      <w:proofErr w:type="spellStart"/>
      <w:r>
        <w:rPr>
          <w:color w:val="000000" w:themeColor="text1"/>
        </w:rPr>
        <w:t>subpersonal</w:t>
      </w:r>
      <w:proofErr w:type="spellEnd"/>
      <w:r>
        <w:rPr>
          <w:color w:val="000000" w:themeColor="text1"/>
        </w:rPr>
        <w:t xml:space="preserve"> attributions of cognition is what allows psychologists to ascribe cognitive capacities </w:t>
      </w:r>
      <w:r>
        <w:t xml:space="preserve">below the level of the whole person without thereby committing some fallacy or error: </w:t>
      </w:r>
    </w:p>
    <w:p w14:paraId="27EF210F" w14:textId="77777777" w:rsidR="0024748C" w:rsidRDefault="0024748C" w:rsidP="0024748C">
      <w:pPr>
        <w:ind w:left="720"/>
      </w:pPr>
      <w:r>
        <w:t>“It is an empirical fact, and a surprising one, that our brains — more particularly, parts of our brains — engage in processes that are strikingly like guessing, deciding, believing, jumping to conclusions, etc. And it is enough like these personal level behaviors to warrant stretching ordinary usage to cover it.”</w:t>
      </w:r>
    </w:p>
    <w:p w14:paraId="5D5BFC4A" w14:textId="73991AC3" w:rsidR="0024748C" w:rsidRPr="00AF299A" w:rsidRDefault="0024748C" w:rsidP="00AF299A">
      <w:pPr>
        <w:ind w:left="720"/>
      </w:pPr>
      <w:r>
        <w:t>(Dennett 2007, 86)</w:t>
      </w:r>
    </w:p>
    <w:p w14:paraId="0000000B" w14:textId="3010AB3D" w:rsidR="00A27F38" w:rsidRPr="00AF299A" w:rsidRDefault="001843BD" w:rsidP="001843BD">
      <w:pPr>
        <w:spacing w:before="240"/>
      </w:pPr>
      <w:r>
        <w:t xml:space="preserve">While the </w:t>
      </w:r>
      <w:proofErr w:type="spellStart"/>
      <w:r>
        <w:t>practise</w:t>
      </w:r>
      <w:proofErr w:type="spellEnd"/>
      <w:r>
        <w:t xml:space="preserve"> of attributing </w:t>
      </w:r>
      <w:proofErr w:type="spellStart"/>
      <w:r>
        <w:t>subpersonal</w:t>
      </w:r>
      <w:proofErr w:type="spellEnd"/>
      <w:r>
        <w:t xml:space="preserve"> cognitive </w:t>
      </w:r>
      <w:r w:rsidR="0024748C">
        <w:t xml:space="preserve">capacities </w:t>
      </w:r>
      <w:r>
        <w:t>is now commonplace, questions remain about how to interpret the personal/</w:t>
      </w:r>
      <w:proofErr w:type="spellStart"/>
      <w:r>
        <w:t>subpersonal</w:t>
      </w:r>
      <w:proofErr w:type="spellEnd"/>
      <w:r>
        <w:t xml:space="preserve"> distinction.</w:t>
      </w:r>
      <w:r w:rsidR="003F1C4C">
        <w:t xml:space="preserve"> When neuroscientists describe receptive-field neurons as ‘preferring’ certain spatial orientations, for example, should we take their claims literally as evidence that cells can have preferences (</w:t>
      </w:r>
      <w:proofErr w:type="spellStart"/>
      <w:r w:rsidR="003F1C4C">
        <w:t>Figdor</w:t>
      </w:r>
      <w:proofErr w:type="spellEnd"/>
      <w:r w:rsidR="003F1C4C">
        <w:t xml:space="preserve"> 2018, </w:t>
      </w:r>
      <w:proofErr w:type="spellStart"/>
      <w:r w:rsidR="003F1C4C">
        <w:t>Drayson</w:t>
      </w:r>
      <w:proofErr w:type="spellEnd"/>
      <w:r w:rsidR="003F1C4C">
        <w:t xml:space="preserve"> 2020)? Do </w:t>
      </w:r>
      <w:proofErr w:type="spellStart"/>
      <w:r w:rsidR="003F1C4C">
        <w:t>Libet</w:t>
      </w:r>
      <w:r w:rsidR="00B71445">
        <w:t>’</w:t>
      </w:r>
      <w:r w:rsidR="003F1C4C">
        <w:t>s</w:t>
      </w:r>
      <w:proofErr w:type="spellEnd"/>
      <w:r w:rsidR="003F1C4C">
        <w:t xml:space="preserve"> (</w:t>
      </w:r>
      <w:proofErr w:type="spellStart"/>
      <w:r w:rsidR="00B71445">
        <w:t>Libet</w:t>
      </w:r>
      <w:proofErr w:type="spellEnd"/>
      <w:r w:rsidR="00B71445">
        <w:t xml:space="preserve"> et al. </w:t>
      </w:r>
      <w:r w:rsidR="003F1C4C">
        <w:t xml:space="preserve">1983) measurements of readiness potential in the brain suggest that there is no coherent self to be found at the personal level (Rupert 2018)? </w:t>
      </w:r>
    </w:p>
    <w:p w14:paraId="0000000C" w14:textId="77777777" w:rsidR="00A27F38" w:rsidRDefault="00000000">
      <w:pPr>
        <w:pStyle w:val="Heading1"/>
      </w:pPr>
      <w:r>
        <w:t>Core concepts</w:t>
      </w:r>
    </w:p>
    <w:p w14:paraId="0000000E" w14:textId="5DBC3F62" w:rsidR="00A27F38" w:rsidRDefault="001843BD">
      <w:pPr>
        <w:pStyle w:val="Heading2"/>
        <w:spacing w:after="200"/>
      </w:pPr>
      <w:bookmarkStart w:id="3" w:name="_4htubvh3jx0n" w:colFirst="0" w:colLast="0"/>
      <w:bookmarkEnd w:id="3"/>
      <w:r>
        <w:t>Explanatory levels</w:t>
      </w:r>
    </w:p>
    <w:p w14:paraId="72335123" w14:textId="0A860480" w:rsidR="0024748C" w:rsidRDefault="0024748C" w:rsidP="0024748C">
      <w:pPr>
        <w:rPr>
          <w:rFonts w:ascii="Times New Roman" w:hAnsi="Times New Roman" w:cs="Times New Roman"/>
          <w:i/>
          <w:iCs/>
          <w:lang w:val="en-GB"/>
        </w:rPr>
      </w:pPr>
      <w:r>
        <w:t xml:space="preserve">Since the ‘cognitive revolution’ in psychology and the birth of cognitive science, it has been </w:t>
      </w:r>
      <w:r w:rsidR="00E85E8F">
        <w:t xml:space="preserve">widely </w:t>
      </w:r>
      <w:r>
        <w:t xml:space="preserve">acknowledged that there are many different explanatory levels at which we might try to understand the mind: in terms of first-person experience, information-processing functions, or cellular mechanisms in the brain, for example (Colombo and </w:t>
      </w:r>
      <w:proofErr w:type="spellStart"/>
      <w:r>
        <w:t>Knauff</w:t>
      </w:r>
      <w:proofErr w:type="spellEnd"/>
      <w:r>
        <w:t xml:space="preserve"> 2020). </w:t>
      </w:r>
      <w:r w:rsidR="001843BD">
        <w:t xml:space="preserve">The standard view of </w:t>
      </w:r>
      <w:r w:rsidR="001843BD">
        <w:lastRenderedPageBreak/>
        <w:t>the personal/</w:t>
      </w:r>
      <w:proofErr w:type="spellStart"/>
      <w:r w:rsidR="001843BD">
        <w:t>subpersonal</w:t>
      </w:r>
      <w:proofErr w:type="spellEnd"/>
      <w:r w:rsidR="001843BD">
        <w:t xml:space="preserve"> distinction</w:t>
      </w:r>
      <w:r>
        <w:t xml:space="preserve"> </w:t>
      </w:r>
      <w:r w:rsidR="001843BD">
        <w:t xml:space="preserve">takes it to be a distinction between two </w:t>
      </w:r>
      <w:r w:rsidR="001843BD" w:rsidRPr="00AF299A">
        <w:t>levels of explanation</w:t>
      </w:r>
      <w:r w:rsidR="001843BD" w:rsidRPr="00630274">
        <w:t>.</w:t>
      </w:r>
      <w:r w:rsidR="001843BD">
        <w:t xml:space="preserve"> </w:t>
      </w:r>
    </w:p>
    <w:p w14:paraId="511EBC34" w14:textId="35BCA77F" w:rsidR="0024748C" w:rsidRDefault="0024748C" w:rsidP="001843BD"/>
    <w:p w14:paraId="513AE280" w14:textId="44CBE1B6" w:rsidR="001843BD" w:rsidRDefault="00630274" w:rsidP="0024748C">
      <w:r>
        <w:t xml:space="preserve">Examples of explanations at the </w:t>
      </w:r>
      <w:r w:rsidR="001843BD">
        <w:t>personal</w:t>
      </w:r>
      <w:r>
        <w:t xml:space="preserve"> </w:t>
      </w:r>
      <w:r w:rsidR="001843BD">
        <w:t xml:space="preserve">level </w:t>
      </w:r>
      <w:r>
        <w:t xml:space="preserve">include </w:t>
      </w:r>
      <w:r w:rsidR="001843BD">
        <w:t>our everyday explanations of people’s behavior in terms of their cognitive capacities (e.g. to perceive depth, to comprehend language) and their propositional attitudes (e.g. the belief that the clock is slow, their hope that the meeting starts on time).</w:t>
      </w:r>
      <w:r w:rsidRPr="00630274">
        <w:t xml:space="preserve"> </w:t>
      </w:r>
      <w:r>
        <w:t xml:space="preserve">Much of contemporary cognitive science follows Dennett in assuming that we can apply a similar kind of explanation at the </w:t>
      </w:r>
      <w:proofErr w:type="spellStart"/>
      <w:r>
        <w:t>subpersonal</w:t>
      </w:r>
      <w:proofErr w:type="spellEnd"/>
      <w:r>
        <w:t xml:space="preserve"> level to parts of our cognitive system: cognitive scientists talk about the </w:t>
      </w:r>
      <w:r w:rsidRPr="00AF299A">
        <w:rPr>
          <w:i/>
          <w:iCs/>
        </w:rPr>
        <w:t>goals</w:t>
      </w:r>
      <w:r>
        <w:t xml:space="preserve"> of the visual </w:t>
      </w:r>
      <w:proofErr w:type="gramStart"/>
      <w:r>
        <w:t>system</w:t>
      </w:r>
      <w:proofErr w:type="gramEnd"/>
      <w:r>
        <w:t xml:space="preserve"> or the </w:t>
      </w:r>
      <w:r w:rsidRPr="00AF299A">
        <w:rPr>
          <w:i/>
          <w:iCs/>
        </w:rPr>
        <w:t>calculations</w:t>
      </w:r>
      <w:r>
        <w:t xml:space="preserve"> performed by motor processes, for example, and describe neural populations as </w:t>
      </w:r>
      <w:r w:rsidRPr="00AF299A">
        <w:rPr>
          <w:i/>
          <w:iCs/>
        </w:rPr>
        <w:t>representing</w:t>
      </w:r>
      <w:r>
        <w:t xml:space="preserve">. </w:t>
      </w:r>
      <w:proofErr w:type="spellStart"/>
      <w:r w:rsidR="001843BD">
        <w:t>Subpersonal</w:t>
      </w:r>
      <w:proofErr w:type="spellEnd"/>
      <w:r>
        <w:t>-</w:t>
      </w:r>
      <w:r w:rsidR="001843BD">
        <w:t xml:space="preserve">level explanations </w:t>
      </w:r>
      <w:r>
        <w:t xml:space="preserve">can be applied to different kinds of cognitive frameworks, such as computational </w:t>
      </w:r>
      <w:r w:rsidR="001843BD">
        <w:t>symbol</w:t>
      </w:r>
      <w:r w:rsidR="003F1C4C">
        <w:t xml:space="preserve"> systems</w:t>
      </w:r>
      <w:r>
        <w:t xml:space="preserve">, </w:t>
      </w:r>
      <w:r w:rsidR="001843BD">
        <w:t>activation thresholds in</w:t>
      </w:r>
      <w:r>
        <w:t xml:space="preserve"> </w:t>
      </w:r>
      <w:r w:rsidR="001843BD">
        <w:t>neural network</w:t>
      </w:r>
      <w:r>
        <w:t>s</w:t>
      </w:r>
      <w:r w:rsidR="001843BD">
        <w:t xml:space="preserve">, or the </w:t>
      </w:r>
      <w:r>
        <w:t>firing rates</w:t>
      </w:r>
      <w:r w:rsidR="001843BD">
        <w:t xml:space="preserve"> of individual neurons</w:t>
      </w:r>
      <w:r>
        <w:t>.</w:t>
      </w:r>
      <w:r w:rsidR="001843BD">
        <w:t xml:space="preserve"> </w:t>
      </w:r>
    </w:p>
    <w:p w14:paraId="5B103957" w14:textId="77777777" w:rsidR="001843BD" w:rsidRDefault="001843BD" w:rsidP="001843BD"/>
    <w:p w14:paraId="5BB4D6DC" w14:textId="600F2453" w:rsidR="00630274" w:rsidRDefault="00630274" w:rsidP="001843BD">
      <w:r>
        <w:t xml:space="preserve">The existence of cognitive science owes much to these sorts of </w:t>
      </w:r>
      <w:proofErr w:type="spellStart"/>
      <w:r>
        <w:t>subpersonal</w:t>
      </w:r>
      <w:proofErr w:type="spellEnd"/>
      <w:r>
        <w:t>-level explanations: they act as a bridge between our everyday psychological explanations of people and our neurophysiological explanations of their brains. By d</w:t>
      </w:r>
      <w:r w:rsidR="001843BD">
        <w:t xml:space="preserve">istinguishing between the personal and </w:t>
      </w:r>
      <w:proofErr w:type="spellStart"/>
      <w:r w:rsidR="001843BD">
        <w:t>subpersonal</w:t>
      </w:r>
      <w:proofErr w:type="spellEnd"/>
      <w:r w:rsidR="001843BD">
        <w:t xml:space="preserve"> explanatory levels</w:t>
      </w:r>
      <w:r>
        <w:t>,</w:t>
      </w:r>
      <w:r w:rsidR="001843BD">
        <w:t xml:space="preserve"> </w:t>
      </w:r>
      <w:r>
        <w:t xml:space="preserve">we can </w:t>
      </w:r>
      <w:r w:rsidR="001843BD">
        <w:t xml:space="preserve">make clear when we’re ascribing cognitive terms (such as recognizing, preferring, and judging) to the individual or person, and when we’re ascribing these terms to information-processing subsystems or neural mechanisms. </w:t>
      </w:r>
    </w:p>
    <w:p w14:paraId="0000000F" w14:textId="5A75D096" w:rsidR="00A27F38" w:rsidRDefault="00A27F38"/>
    <w:p w14:paraId="6143297F" w14:textId="358D113C" w:rsidR="001843BD" w:rsidRDefault="001843BD" w:rsidP="001843BD">
      <w:pPr>
        <w:pStyle w:val="Heading2"/>
        <w:spacing w:after="200"/>
      </w:pPr>
      <w:r>
        <w:t>The interface problem</w:t>
      </w:r>
    </w:p>
    <w:p w14:paraId="6B889243" w14:textId="271229D8" w:rsidR="001843BD" w:rsidRDefault="001843BD" w:rsidP="001843BD">
      <w:r>
        <w:t xml:space="preserve">One of the biggest challenges raised by distinguishing personal-level and </w:t>
      </w:r>
      <w:proofErr w:type="spellStart"/>
      <w:r>
        <w:t>subpersonal</w:t>
      </w:r>
      <w:proofErr w:type="spellEnd"/>
      <w:r>
        <w:t>- explanations i</w:t>
      </w:r>
      <w:r w:rsidR="00630274">
        <w:t>s</w:t>
      </w:r>
      <w:r>
        <w:t xml:space="preserve"> to say how they relate to each other. This is known as the “interface problem” (Bermudez 2005): how do our everyday personal-level explanations of people’s behavior interface with the </w:t>
      </w:r>
      <w:proofErr w:type="spellStart"/>
      <w:r>
        <w:t>subpersonal</w:t>
      </w:r>
      <w:proofErr w:type="spellEnd"/>
      <w:r>
        <w:t xml:space="preserve">-level explanations of cognition found in the mind-brain sciences? </w:t>
      </w:r>
    </w:p>
    <w:p w14:paraId="715FF8E4" w14:textId="77777777" w:rsidR="001843BD" w:rsidRDefault="001843BD" w:rsidP="001843BD"/>
    <w:p w14:paraId="09DC39E5" w14:textId="3879D01A" w:rsidR="001843BD" w:rsidRDefault="001843BD" w:rsidP="001843BD">
      <w:r>
        <w:t xml:space="preserve">One way to address the interface problem is through </w:t>
      </w:r>
      <w:r w:rsidR="00630274">
        <w:t xml:space="preserve">the sort of </w:t>
      </w:r>
      <w:r>
        <w:t>functional decomposition</w:t>
      </w:r>
      <w:r w:rsidR="00630274">
        <w:t xml:space="preserve"> found in Baddeley and Hitch’s </w:t>
      </w:r>
      <w:r w:rsidR="003F1C4C">
        <w:t xml:space="preserve">(1974) </w:t>
      </w:r>
      <w:r w:rsidR="00630274">
        <w:t xml:space="preserve">model of working memory, in which the cognitive capacity of working memory was decomposed into separate functions </w:t>
      </w:r>
      <w:r w:rsidR="003F1C4C">
        <w:t>including</w:t>
      </w:r>
      <w:r w:rsidR="00630274">
        <w:t xml:space="preserve"> the phonological loop and the visuospatial sketchpad. The phonological loop can be further decomposed into the acoustic store and the articulatory loop, and the visuospatial sketchpad can be further decomposed into a visual cache and an inner scribe. On this account, the cognitive capacity at the personal level is explained by the combination of multiple </w:t>
      </w:r>
      <w:proofErr w:type="spellStart"/>
      <w:r w:rsidR="00630274">
        <w:t>subcapacities</w:t>
      </w:r>
      <w:proofErr w:type="spellEnd"/>
      <w:r w:rsidR="00630274">
        <w:t xml:space="preserve"> at the </w:t>
      </w:r>
      <w:proofErr w:type="spellStart"/>
      <w:r w:rsidR="00630274">
        <w:t>subpersonal</w:t>
      </w:r>
      <w:proofErr w:type="spellEnd"/>
      <w:r w:rsidR="00630274">
        <w:t xml:space="preserve"> level. </w:t>
      </w:r>
      <w:r>
        <w:t xml:space="preserve">If each capacity or function is decomposed into progressively less-complex capacities or functions, worries about explanatory regress can be avoided because the process will eventually bottom-out in neural structures. </w:t>
      </w:r>
    </w:p>
    <w:p w14:paraId="60A5AB6E" w14:textId="77777777" w:rsidR="001843BD" w:rsidRDefault="001843BD" w:rsidP="001843BD"/>
    <w:p w14:paraId="7655285B" w14:textId="0B1CF64B" w:rsidR="00630274" w:rsidRDefault="00630274" w:rsidP="001843BD">
      <w:r>
        <w:t xml:space="preserve">An alternative way to </w:t>
      </w:r>
      <w:r w:rsidR="001843BD">
        <w:t>address the interface problem</w:t>
      </w:r>
      <w:r>
        <w:t xml:space="preserve"> is </w:t>
      </w:r>
      <w:proofErr w:type="gramStart"/>
      <w:r>
        <w:t>through the use of</w:t>
      </w:r>
      <w:proofErr w:type="gramEnd"/>
      <w:r>
        <w:t xml:space="preserve"> symbolic computation. The sorts of inferential thought processes which appear in explanations at the personal level, such as planning and decision-making, can be characterized as algorithmic transitions between symbols</w:t>
      </w:r>
      <w:r w:rsidR="003F1C4C">
        <w:t xml:space="preserve"> (Fodor 1975).</w:t>
      </w:r>
      <w:r>
        <w:t xml:space="preserve"> </w:t>
      </w:r>
      <w:r>
        <w:t xml:space="preserve">These symbols can themselves be physically implemented by neural </w:t>
      </w:r>
      <w:r>
        <w:lastRenderedPageBreak/>
        <w:t>properties, just as the 0 and 1 symbols of binary are physically implemented by voltages in computer hardware.</w:t>
      </w:r>
      <w:r>
        <w:t xml:space="preserve"> On this approach, the relationship between personal-level explanations and </w:t>
      </w:r>
      <w:proofErr w:type="spellStart"/>
      <w:r>
        <w:t>subpersonal</w:t>
      </w:r>
      <w:proofErr w:type="spellEnd"/>
      <w:r>
        <w:t xml:space="preserve">-level explanations is one of mirroring rather than decomposition.  </w:t>
      </w:r>
    </w:p>
    <w:p w14:paraId="1758FBEA" w14:textId="77777777" w:rsidR="001843BD" w:rsidRDefault="001843BD" w:rsidP="001843BD"/>
    <w:p w14:paraId="4BC4ED6A" w14:textId="5268CB29" w:rsidR="001843BD" w:rsidRDefault="001843BD" w:rsidP="001843BD">
      <w:r>
        <w:t>We might, however, attempt to address the interface problem</w:t>
      </w:r>
      <w:r w:rsidR="006E1E36">
        <w:t xml:space="preserve"> by</w:t>
      </w:r>
      <w:r>
        <w:t xml:space="preserve"> </w:t>
      </w:r>
      <w:r w:rsidR="004E2311">
        <w:t xml:space="preserve">explaining a person’s cognitive capacities </w:t>
      </w:r>
      <w:r>
        <w:t xml:space="preserve">directly in terms of neural structures and processes. On this approach, personal-level explanations could be seen as characterizing the higher-level complex patterns which emerge from the more basic interactions between lower-level neurophysiological states. </w:t>
      </w:r>
      <w:r w:rsidR="003F1C4C">
        <w:t>T</w:t>
      </w:r>
      <w:r w:rsidR="004E2311">
        <w:t xml:space="preserve">his approach </w:t>
      </w:r>
      <w:r w:rsidR="003F1C4C">
        <w:t xml:space="preserve">attempts to account for our mental lives directly in neurophysiological terms, rather than </w:t>
      </w:r>
      <w:r w:rsidR="004E2311">
        <w:t>appeal</w:t>
      </w:r>
      <w:r w:rsidR="003F1C4C">
        <w:t>ing</w:t>
      </w:r>
      <w:r w:rsidR="004E2311">
        <w:t xml:space="preserve"> to abstract intermediaries such functions and symbols, </w:t>
      </w:r>
      <w:r w:rsidR="003F1C4C">
        <w:t>and so</w:t>
      </w:r>
      <w:r w:rsidR="004E2311">
        <w:t xml:space="preserve"> </w:t>
      </w:r>
      <w:r w:rsidR="003F1C4C">
        <w:t>omits</w:t>
      </w:r>
      <w:r w:rsidR="004E2311">
        <w:t xml:space="preserve"> a </w:t>
      </w:r>
      <w:r w:rsidR="003F1C4C">
        <w:t>separate</w:t>
      </w:r>
      <w:r w:rsidR="004E2311">
        <w:t xml:space="preserve"> cognitive level of explanation. </w:t>
      </w:r>
    </w:p>
    <w:p w14:paraId="5CD4D831" w14:textId="77777777" w:rsidR="001843BD" w:rsidRDefault="001843BD" w:rsidP="001843BD"/>
    <w:p w14:paraId="6C76C416" w14:textId="61E39089" w:rsidR="001843BD" w:rsidRDefault="001843BD" w:rsidP="001843BD">
      <w:r>
        <w:t xml:space="preserve">Each of these approaches </w:t>
      </w:r>
      <w:r w:rsidR="00630274">
        <w:t xml:space="preserve">attempts to solve </w:t>
      </w:r>
      <w:r>
        <w:t xml:space="preserve">the interface problem </w:t>
      </w:r>
      <w:r w:rsidR="00630274">
        <w:t xml:space="preserve">by </w:t>
      </w:r>
      <w:r>
        <w:t>offering a</w:t>
      </w:r>
      <w:r w:rsidR="00630274">
        <w:t xml:space="preserve"> scientific</w:t>
      </w:r>
      <w:r>
        <w:t xml:space="preserve"> account of how personal-level phenomena arise from </w:t>
      </w:r>
      <w:proofErr w:type="spellStart"/>
      <w:r>
        <w:t>subpersonal</w:t>
      </w:r>
      <w:proofErr w:type="spellEnd"/>
      <w:r>
        <w:t xml:space="preserve">-level processes. </w:t>
      </w:r>
      <w:r w:rsidR="00630274">
        <w:t xml:space="preserve">Some philosophers, such as those who take the approach of the </w:t>
      </w:r>
      <w:r>
        <w:t xml:space="preserve">Pittsburgh </w:t>
      </w:r>
      <w:r w:rsidR="00E85E8F">
        <w:t>S</w:t>
      </w:r>
      <w:r>
        <w:t>chool</w:t>
      </w:r>
      <w:r w:rsidR="00630274">
        <w:t xml:space="preserve">, </w:t>
      </w:r>
      <w:r>
        <w:t xml:space="preserve">deny that we should expect to find a </w:t>
      </w:r>
      <w:r w:rsidR="00630274">
        <w:t xml:space="preserve">scientific </w:t>
      </w:r>
      <w:r>
        <w:t>solution to the interface problem</w:t>
      </w:r>
      <w:r w:rsidR="00630274">
        <w:t>. T</w:t>
      </w:r>
      <w:r>
        <w:t xml:space="preserve">hey propose that </w:t>
      </w:r>
      <w:r w:rsidR="00630274">
        <w:t xml:space="preserve">the distinctively reason-giving explanations that are characteristic of the </w:t>
      </w:r>
      <w:r>
        <w:t xml:space="preserve">personal-level </w:t>
      </w:r>
      <w:r w:rsidR="00630274">
        <w:t xml:space="preserve">cannot be adequately analyzed or comprehended in terms of scientific laws or mechanisms. </w:t>
      </w:r>
    </w:p>
    <w:p w14:paraId="6940427A" w14:textId="77777777" w:rsidR="001843BD" w:rsidRDefault="001843BD"/>
    <w:p w14:paraId="1B97322E" w14:textId="722CD20D" w:rsidR="001843BD" w:rsidRDefault="00630274" w:rsidP="001843BD">
      <w:pPr>
        <w:pStyle w:val="Heading2"/>
        <w:spacing w:after="200"/>
      </w:pPr>
      <w:r>
        <w:t>Entities</w:t>
      </w:r>
    </w:p>
    <w:p w14:paraId="1BC777E4" w14:textId="0B7E5EE8" w:rsidR="00C03FF1" w:rsidRDefault="00630274" w:rsidP="00630274">
      <w:r>
        <w:t xml:space="preserve">When we make attributions of cognition, either personal or </w:t>
      </w:r>
      <w:proofErr w:type="spellStart"/>
      <w:r>
        <w:t>subpersonal</w:t>
      </w:r>
      <w:proofErr w:type="spellEnd"/>
      <w:r>
        <w:t xml:space="preserve">, there is still a further question about what sorts of </w:t>
      </w:r>
      <w:r w:rsidR="00551648">
        <w:t xml:space="preserve">cognitive </w:t>
      </w:r>
      <w:r>
        <w:t xml:space="preserve">entities we are talking about. When we </w:t>
      </w:r>
      <w:r w:rsidR="00C03FF1">
        <w:t xml:space="preserve">use </w:t>
      </w:r>
      <w:proofErr w:type="spellStart"/>
      <w:r w:rsidR="00C03FF1">
        <w:t>subpersonal</w:t>
      </w:r>
      <w:proofErr w:type="spellEnd"/>
      <w:r w:rsidR="00C03FF1">
        <w:t>-level explanations to posit</w:t>
      </w:r>
      <w:r>
        <w:t xml:space="preserve"> neural representations, for example, we might be talking about the firing response of an individual neuron, the chemical connections between populations of neurons, or the abstract mathematical properties of a neural manifold. </w:t>
      </w:r>
      <w:r w:rsidR="00551648">
        <w:t xml:space="preserve">Different theories and research programs can posit different kinds of cognitive entities, and it is important to realize that these are not necessarily </w:t>
      </w:r>
      <w:r w:rsidR="001C4D2C">
        <w:t>observable or concrete objects. Cognitive subsystems, for example, are distinguished by their functional roles and need not be identified with localized neural structures</w:t>
      </w:r>
      <w:r w:rsidR="00551648">
        <w:t xml:space="preserve">; and some theories of cognition posit abstract mathematical entities such as multidimensional state-spaces and response thresholds. </w:t>
      </w:r>
    </w:p>
    <w:p w14:paraId="4CA77BB6" w14:textId="77777777" w:rsidR="00630274" w:rsidRDefault="00630274" w:rsidP="00630274"/>
    <w:p w14:paraId="422C468B" w14:textId="618B8CC9" w:rsidR="00551648" w:rsidRDefault="00551648" w:rsidP="00630274">
      <w:r>
        <w:t xml:space="preserve">Some cognitive scientists talk of the cognitive entities themselves, rather than the explanations or theories, as being personal or </w:t>
      </w:r>
      <w:proofErr w:type="spellStart"/>
      <w:r>
        <w:t>subpersonal</w:t>
      </w:r>
      <w:proofErr w:type="spellEnd"/>
      <w:r>
        <w:t xml:space="preserve">. Notice, however, that personal and </w:t>
      </w:r>
      <w:proofErr w:type="spellStart"/>
      <w:r>
        <w:t>subpersonal</w:t>
      </w:r>
      <w:proofErr w:type="spellEnd"/>
      <w:r>
        <w:t xml:space="preserve"> explanations can pick out the same cognitive entities in two different ways – just as the same systems can be described by both statistical mechanics and classical mechanics. </w:t>
      </w:r>
    </w:p>
    <w:p w14:paraId="0EB7866A" w14:textId="77777777" w:rsidR="00551648" w:rsidRDefault="00551648" w:rsidP="00630274"/>
    <w:p w14:paraId="39124CF3" w14:textId="7EB00BA7" w:rsidR="001843BD" w:rsidRDefault="00551648" w:rsidP="001843BD">
      <w:r>
        <w:t xml:space="preserve">Many cognitive scientists are realists about cognitive entities: they think that the success of our theories commits us to the existence of the entities they posit, whether concrete or abstract, observable or unobservable. Realists propose that the function of a cognitive subsystem is something that we discover rather than assign, and that there is a fact of the matter about whether a certain neural structure is a representation and what it represents. The use of personal and </w:t>
      </w:r>
      <w:proofErr w:type="spellStart"/>
      <w:r>
        <w:t>subpersonal</w:t>
      </w:r>
      <w:proofErr w:type="spellEnd"/>
      <w:r>
        <w:t xml:space="preserve"> explanations, however, is compatible with a more instrumentalist or </w:t>
      </w:r>
      <w:r>
        <w:lastRenderedPageBreak/>
        <w:t xml:space="preserve">pragmatic stance on the cognitive entities they </w:t>
      </w:r>
      <w:proofErr w:type="gramStart"/>
      <w:r>
        <w:t>posit:</w:t>
      </w:r>
      <w:proofErr w:type="gramEnd"/>
      <w:r>
        <w:t xml:space="preserve"> perhaps the theories are just useful tools or frameworks, or perhaps their theoretical commitments are relative to individual research programs or explanatory goals. </w:t>
      </w:r>
    </w:p>
    <w:p w14:paraId="332E8AFF" w14:textId="77777777" w:rsidR="001843BD" w:rsidRDefault="001843BD"/>
    <w:p w14:paraId="00000010" w14:textId="77777777" w:rsidR="00A27F38" w:rsidRDefault="00000000">
      <w:pPr>
        <w:pStyle w:val="Heading1"/>
      </w:pPr>
      <w:bookmarkStart w:id="4" w:name="_fyy4e277fwl" w:colFirst="0" w:colLast="0"/>
      <w:bookmarkEnd w:id="4"/>
      <w:r>
        <w:t>Questions, controversies, and new developments</w:t>
      </w:r>
    </w:p>
    <w:p w14:paraId="7B7EAF4C" w14:textId="00C4CC5F" w:rsidR="001843BD" w:rsidRDefault="001843BD" w:rsidP="001843BD">
      <w:pPr>
        <w:pStyle w:val="Heading2"/>
        <w:spacing w:after="200"/>
      </w:pPr>
      <w:r>
        <w:t>The scope and limits of the personal level</w:t>
      </w:r>
    </w:p>
    <w:p w14:paraId="0BABDD36" w14:textId="149643CD" w:rsidR="001843BD" w:rsidRDefault="001843BD" w:rsidP="001843BD">
      <w:r>
        <w:t xml:space="preserve">Some </w:t>
      </w:r>
      <w:r w:rsidR="00551648">
        <w:t xml:space="preserve">philosophers </w:t>
      </w:r>
      <w:r>
        <w:t xml:space="preserve">who talk about personal-level </w:t>
      </w:r>
      <w:r w:rsidR="00551648">
        <w:t xml:space="preserve">attributions of </w:t>
      </w:r>
      <w:r>
        <w:t>cogniti</w:t>
      </w:r>
      <w:r w:rsidR="00551648">
        <w:t>on</w:t>
      </w:r>
      <w:r>
        <w:t xml:space="preserve"> have a robust notion of personhood in mind</w:t>
      </w:r>
      <w:r w:rsidR="00551648">
        <w:t xml:space="preserve"> on which</w:t>
      </w:r>
      <w:r>
        <w:t xml:space="preserve"> a person </w:t>
      </w:r>
      <w:r w:rsidR="00551648">
        <w:t>i</w:t>
      </w:r>
      <w:r>
        <w:t xml:space="preserve">s a rational and reflective agent who can be held responsible for their actions. On such a view, personal-level explanations seem not to be applicable to infants, non-human animals, or artificial systems. </w:t>
      </w:r>
      <w:r w:rsidR="00551648">
        <w:t>Most cognitive scientists, however, tend to</w:t>
      </w:r>
      <w:r>
        <w:t xml:space="preserve"> understand a person as simply an individual or cognitive system, </w:t>
      </w:r>
      <w:r w:rsidR="00551648">
        <w:t xml:space="preserve">and are prepared to </w:t>
      </w:r>
      <w:r>
        <w:t xml:space="preserve">attribute personal-level </w:t>
      </w:r>
      <w:r w:rsidR="00551648">
        <w:t xml:space="preserve">capacities </w:t>
      </w:r>
      <w:r>
        <w:t>like language competence to an artificial intelligence, or personality traits to a rat. Many of the disagreements between theorists about personal-level attributions of cogniti</w:t>
      </w:r>
      <w:r w:rsidR="00551648">
        <w:t xml:space="preserve">on </w:t>
      </w:r>
      <w:r>
        <w:t xml:space="preserve">turn on what concept of personhood it requires. </w:t>
      </w:r>
    </w:p>
    <w:p w14:paraId="5B521750" w14:textId="77777777" w:rsidR="001843BD" w:rsidRDefault="001843BD" w:rsidP="001843BD"/>
    <w:p w14:paraId="2EF8A259" w14:textId="182E38FE" w:rsidR="00551648" w:rsidRDefault="001843BD" w:rsidP="001843BD">
      <w:r>
        <w:t xml:space="preserve">Even if we agree on a notion of personhood, there is </w:t>
      </w:r>
      <w:r w:rsidR="00551648">
        <w:t xml:space="preserve">still </w:t>
      </w:r>
      <w:r>
        <w:t xml:space="preserve">a question of how we decide whether a cognitive </w:t>
      </w:r>
      <w:r w:rsidR="004E2311">
        <w:t xml:space="preserve">capacity </w:t>
      </w:r>
      <w:r>
        <w:t>is attributable to the person</w:t>
      </w:r>
      <w:r w:rsidR="00551648">
        <w:t xml:space="preserve"> or to some </w:t>
      </w:r>
      <w:proofErr w:type="spellStart"/>
      <w:r w:rsidR="00551648">
        <w:t>subpersonal</w:t>
      </w:r>
      <w:proofErr w:type="spellEnd"/>
      <w:r w:rsidR="00551648">
        <w:t xml:space="preserve"> component or system</w:t>
      </w:r>
      <w:r w:rsidR="00E85E8F">
        <w:t xml:space="preserve"> </w:t>
      </w:r>
      <w:r>
        <w:t>(Westfall 2022). On one view, this is a matter</w:t>
      </w:r>
      <w:r w:rsidR="00551648">
        <w:t xml:space="preserve"> to be settled by</w:t>
      </w:r>
      <w:r>
        <w:t xml:space="preserve"> our linguistic </w:t>
      </w:r>
      <w:proofErr w:type="spellStart"/>
      <w:r>
        <w:t>practise</w:t>
      </w:r>
      <w:proofErr w:type="spellEnd"/>
      <w:r>
        <w:t xml:space="preserve">: which terms we do in fact </w:t>
      </w:r>
      <w:r w:rsidR="00551648">
        <w:t xml:space="preserve">tend to </w:t>
      </w:r>
      <w:r>
        <w:t xml:space="preserve">ascribe to persons. Alternatively, and more commonly, we can think of our linguistic </w:t>
      </w:r>
      <w:proofErr w:type="spellStart"/>
      <w:r>
        <w:t>practise</w:t>
      </w:r>
      <w:proofErr w:type="spellEnd"/>
      <w:r>
        <w:t xml:space="preserve"> as tracking some feature </w:t>
      </w:r>
      <w:r w:rsidR="00551648">
        <w:t xml:space="preserve">of the world </w:t>
      </w:r>
      <w:r>
        <w:t>which makes our attributions correct</w:t>
      </w:r>
      <w:r w:rsidR="00551648">
        <w:t>: perhaps cognition is correctly attributable to the person if they are consciously aware of the cognition in question</w:t>
      </w:r>
      <w:r w:rsidR="00E85E8F">
        <w:t>, for example</w:t>
      </w:r>
      <w:r>
        <w:t xml:space="preserve">. </w:t>
      </w:r>
      <w:r w:rsidR="00551648">
        <w:t xml:space="preserve">There are good reasons to challenge this </w:t>
      </w:r>
      <w:proofErr w:type="gramStart"/>
      <w:r w:rsidR="00E85E8F">
        <w:t xml:space="preserve">particular </w:t>
      </w:r>
      <w:r w:rsidR="00551648">
        <w:t>view</w:t>
      </w:r>
      <w:proofErr w:type="gramEnd"/>
      <w:r w:rsidR="00551648">
        <w:t xml:space="preserve">: we might attribute </w:t>
      </w:r>
      <w:r w:rsidR="00551648" w:rsidRPr="00AF299A">
        <w:rPr>
          <w:i/>
          <w:iCs/>
        </w:rPr>
        <w:t>the belief that oranges are not green</w:t>
      </w:r>
      <w:r w:rsidR="00551648">
        <w:t xml:space="preserve"> to a person even if they have never reflected upon or articulated this view, for example. And we might think that most English speakers have the cognitive capacity to order adjectives correctly (</w:t>
      </w:r>
      <w:proofErr w:type="spellStart"/>
      <w:r w:rsidR="00551648">
        <w:t>e.g</w:t>
      </w:r>
      <w:proofErr w:type="spellEnd"/>
      <w:r w:rsidR="00551648">
        <w:t xml:space="preserve"> “cute old purple house” rather than “purple old cute house”) despite them being unaware of this.  </w:t>
      </w:r>
    </w:p>
    <w:p w14:paraId="64DF8FA2" w14:textId="41206E03" w:rsidR="001843BD" w:rsidRDefault="00551648">
      <w:pPr>
        <w:spacing w:before="240"/>
      </w:pPr>
      <w:r>
        <w:t xml:space="preserve">Instead of consciousness, we might appeal to some form of cognitive integration as the criterion for correctly attributing cognition to the person: </w:t>
      </w:r>
      <w:r w:rsidR="001843BD">
        <w:t xml:space="preserve">cognitive </w:t>
      </w:r>
      <w:r>
        <w:t xml:space="preserve">capacities </w:t>
      </w:r>
      <w:r w:rsidR="001843BD">
        <w:t xml:space="preserve">are </w:t>
      </w:r>
      <w:r>
        <w:t xml:space="preserve">generally attributed at the </w:t>
      </w:r>
      <w:r w:rsidR="001843BD">
        <w:t xml:space="preserve">personal level when they are appropriately integrated into the person’s behavior. </w:t>
      </w:r>
      <w:r>
        <w:t xml:space="preserve">We can attribute the belief that oranges are not green to a person if they don’t select oranges when asked to select only green fruit, for example, and we can attribute the cognitive capacity to order adjectives correctly when they consistently do so in speech. There are further questions, however, on how much integration is required and what sort of behavior is relevant: is voluntary action required, for example, or does reflexive behavior count? </w:t>
      </w:r>
    </w:p>
    <w:p w14:paraId="3F3EEF69" w14:textId="23E08DAE" w:rsidR="001843BD" w:rsidRDefault="001843BD" w:rsidP="001843BD">
      <w:pPr>
        <w:pStyle w:val="Heading2"/>
        <w:spacing w:after="200"/>
      </w:pPr>
      <w:r>
        <w:t xml:space="preserve">The scope and limits of the </w:t>
      </w:r>
      <w:proofErr w:type="spellStart"/>
      <w:r>
        <w:t>subpersonal</w:t>
      </w:r>
      <w:proofErr w:type="spellEnd"/>
      <w:r>
        <w:t xml:space="preserve"> level</w:t>
      </w:r>
    </w:p>
    <w:p w14:paraId="64C75803" w14:textId="142930A6" w:rsidR="00551648" w:rsidRDefault="001843BD" w:rsidP="00551648">
      <w:r>
        <w:t xml:space="preserve">Prior to the cognitive revolution, there were </w:t>
      </w:r>
      <w:r w:rsidR="00551648">
        <w:t>few</w:t>
      </w:r>
      <w:r>
        <w:t xml:space="preserve"> </w:t>
      </w:r>
      <w:proofErr w:type="spellStart"/>
      <w:r>
        <w:t>subpersonal</w:t>
      </w:r>
      <w:proofErr w:type="spellEnd"/>
      <w:r>
        <w:t xml:space="preserve">-level </w:t>
      </w:r>
      <w:r w:rsidRPr="0005698D">
        <w:rPr>
          <w:i/>
          <w:iCs/>
        </w:rPr>
        <w:t>psychological</w:t>
      </w:r>
      <w:r>
        <w:t xml:space="preserve"> explanations. </w:t>
      </w:r>
      <w:r w:rsidR="00551648">
        <w:t>Mental states were generally understood to be things that people could self-attribute by introspecting. When Freud and other psychologists began talking about non-</w:t>
      </w:r>
      <w:proofErr w:type="spellStart"/>
      <w:r w:rsidR="00551648">
        <w:t>introspectible</w:t>
      </w:r>
      <w:proofErr w:type="spellEnd"/>
      <w:r w:rsidR="00551648">
        <w:t xml:space="preserve"> beliefs and desires, these were still attributed to the person (although unconsciously) rather than </w:t>
      </w:r>
      <w:r w:rsidR="00551648">
        <w:lastRenderedPageBreak/>
        <w:t xml:space="preserve">to some </w:t>
      </w:r>
      <w:r w:rsidR="00E40BF0">
        <w:t>computational</w:t>
      </w:r>
      <w:r w:rsidR="00551648">
        <w:t xml:space="preserve"> subsystem or neural mechanism. The sorts of </w:t>
      </w:r>
      <w:proofErr w:type="spellStart"/>
      <w:r w:rsidR="00551648">
        <w:t>subpersonal</w:t>
      </w:r>
      <w:proofErr w:type="spellEnd"/>
      <w:r w:rsidR="00551648">
        <w:t xml:space="preserve"> explanations which kickstarted the cognitive revolution, on the other hand, make attributions of cognition to functional subsystems, computational symbols, </w:t>
      </w:r>
      <w:r w:rsidR="00E40BF0">
        <w:t>and</w:t>
      </w:r>
      <w:r w:rsidR="00551648">
        <w:t xml:space="preserve"> neuronal structures. </w:t>
      </w:r>
    </w:p>
    <w:p w14:paraId="4B6CF070" w14:textId="4E886080" w:rsidR="00551648" w:rsidRDefault="00551648" w:rsidP="001843BD"/>
    <w:p w14:paraId="778E57C9" w14:textId="4E76D2F4" w:rsidR="001843BD" w:rsidRDefault="00551648" w:rsidP="001843BD">
      <w:r>
        <w:t xml:space="preserve">Even those philosophers who question whether it is appropriate or accurate to attribute </w:t>
      </w:r>
      <w:proofErr w:type="spellStart"/>
      <w:r>
        <w:t>subpersonal</w:t>
      </w:r>
      <w:proofErr w:type="spellEnd"/>
      <w:r>
        <w:t xml:space="preserve"> </w:t>
      </w:r>
      <w:r w:rsidRPr="00AF299A">
        <w:rPr>
          <w:i/>
          <w:iCs/>
        </w:rPr>
        <w:t>cognition</w:t>
      </w:r>
      <w:r>
        <w:t xml:space="preserve"> can agree that there are neural explanations which are </w:t>
      </w:r>
      <w:proofErr w:type="spellStart"/>
      <w:r>
        <w:t>subpersonal</w:t>
      </w:r>
      <w:proofErr w:type="spellEnd"/>
      <w:r>
        <w:t xml:space="preserve"> in the sense of not being </w:t>
      </w:r>
      <w:proofErr w:type="gramStart"/>
      <w:r>
        <w:t>personal-level</w:t>
      </w:r>
      <w:proofErr w:type="gramEnd"/>
      <w:r>
        <w:t xml:space="preserve">: </w:t>
      </w:r>
      <w:r w:rsidR="001843BD">
        <w:t xml:space="preserve">neurophysiological explanations which </w:t>
      </w:r>
      <w:r>
        <w:t xml:space="preserve">do </w:t>
      </w:r>
      <w:r w:rsidR="001843BD">
        <w:t xml:space="preserve">not employ </w:t>
      </w:r>
      <w:r w:rsidR="00E85E8F">
        <w:t xml:space="preserve">cognitive terminology, but talk only of </w:t>
      </w:r>
      <w:r w:rsidR="001843BD">
        <w:t>neural firing rates and neurotransmitters</w:t>
      </w:r>
      <w:r>
        <w:t xml:space="preserve">, for example. </w:t>
      </w:r>
      <w:r w:rsidR="001843BD">
        <w:t xml:space="preserve">Some people further extend the idea of </w:t>
      </w:r>
      <w:proofErr w:type="spellStart"/>
      <w:r w:rsidR="001843BD">
        <w:t>subpersonal</w:t>
      </w:r>
      <w:proofErr w:type="spellEnd"/>
      <w:r w:rsidR="001843BD">
        <w:t xml:space="preserve"> explanations beyond the brain</w:t>
      </w:r>
      <w:r w:rsidR="00220B17">
        <w:t>,</w:t>
      </w:r>
      <w:r w:rsidR="001843BD">
        <w:t xml:space="preserve"> describ</w:t>
      </w:r>
      <w:r w:rsidR="00220B17">
        <w:t>ing</w:t>
      </w:r>
      <w:r w:rsidR="001843BD">
        <w:t xml:space="preserve"> explanations of respiration in terms of chemical reactions in the mitochondria of our cells as </w:t>
      </w:r>
      <w:proofErr w:type="spellStart"/>
      <w:r w:rsidR="001843BD">
        <w:t>subpersonal</w:t>
      </w:r>
      <w:proofErr w:type="spellEnd"/>
      <w:r w:rsidR="001843BD">
        <w:t>, for example</w:t>
      </w:r>
      <w:r w:rsidR="00220B17">
        <w:t xml:space="preserve"> (Naeem 2023). </w:t>
      </w:r>
      <w:r w:rsidR="001843BD">
        <w:t xml:space="preserve"> </w:t>
      </w:r>
    </w:p>
    <w:p w14:paraId="62A157F8" w14:textId="4FF45500" w:rsidR="001843BD" w:rsidRDefault="001843BD" w:rsidP="001843BD">
      <w:pPr>
        <w:pStyle w:val="Heading2"/>
        <w:spacing w:after="200"/>
      </w:pPr>
      <w:r>
        <w:t>The mind-body problem</w:t>
      </w:r>
    </w:p>
    <w:p w14:paraId="5991D7B5" w14:textId="12E4F9B3" w:rsidR="001843BD" w:rsidRPr="00AF299A" w:rsidRDefault="001843BD" w:rsidP="001843BD">
      <w:pPr>
        <w:rPr>
          <w:strike/>
        </w:rPr>
      </w:pPr>
      <w:r>
        <w:t xml:space="preserve">The interface problem should be distinguished from the mind-body problem in philosophy. The interface problem concerns the explanatory </w:t>
      </w:r>
      <w:r w:rsidR="00630274">
        <w:t>relationship between</w:t>
      </w:r>
      <w:r>
        <w:t xml:space="preserve"> the personal level </w:t>
      </w:r>
      <w:r w:rsidR="00630274">
        <w:t>and</w:t>
      </w:r>
      <w:r>
        <w:t xml:space="preserve"> the </w:t>
      </w:r>
      <w:proofErr w:type="spellStart"/>
      <w:r>
        <w:t>subpersonal</w:t>
      </w:r>
      <w:proofErr w:type="spellEnd"/>
      <w:r>
        <w:t xml:space="preserve"> level</w:t>
      </w:r>
      <w:r w:rsidR="00630274">
        <w:t xml:space="preserve">: how does an appeal to </w:t>
      </w:r>
      <w:proofErr w:type="spellStart"/>
      <w:r w:rsidR="00630274">
        <w:t>subpersonal</w:t>
      </w:r>
      <w:proofErr w:type="spellEnd"/>
      <w:r w:rsidR="00630274">
        <w:t xml:space="preserve">-level </w:t>
      </w:r>
      <w:r w:rsidR="00E85E8F">
        <w:t>theories</w:t>
      </w:r>
      <w:r w:rsidR="00630274">
        <w:t xml:space="preserve"> help us to account for personal-level phenomena?</w:t>
      </w:r>
      <w:r>
        <w:t xml:space="preserve"> </w:t>
      </w:r>
      <w:r w:rsidR="00630274">
        <w:t>It is a question about the relationship between different kinds of scientific theories</w:t>
      </w:r>
      <w:r w:rsidR="00E85E8F">
        <w:t xml:space="preserve"> or explanations</w:t>
      </w:r>
      <w:r w:rsidR="00630274">
        <w:t>. T</w:t>
      </w:r>
      <w:r>
        <w:t>he mind-body problem</w:t>
      </w:r>
      <w:r w:rsidR="00630274">
        <w:t>, on the other hand, is traditionally understood as concerning the metaphysical relationship between the mental and physical</w:t>
      </w:r>
      <w:r w:rsidR="00220B17">
        <w:t xml:space="preserve"> realms</w:t>
      </w:r>
      <w:r w:rsidR="00630274">
        <w:t xml:space="preserve">: are minds necessarily physical things, or are they the sorts of thing which could </w:t>
      </w:r>
      <w:r w:rsidR="00551648">
        <w:t xml:space="preserve">(in principle, even if not in actuality) </w:t>
      </w:r>
      <w:r w:rsidR="00630274">
        <w:t>exist independently of any physical substrate?</w:t>
      </w:r>
      <w:r>
        <w:t xml:space="preserve"> </w:t>
      </w:r>
    </w:p>
    <w:p w14:paraId="4B0D2E7B" w14:textId="77777777" w:rsidR="001843BD" w:rsidRDefault="001843BD" w:rsidP="001843BD"/>
    <w:p w14:paraId="63F900D2" w14:textId="59BC85A7" w:rsidR="001843BD" w:rsidRPr="001843BD" w:rsidRDefault="00630274" w:rsidP="00630274">
      <w:r>
        <w:t xml:space="preserve">Some philosophers have developed positions on the mind-body problem which are motivated by </w:t>
      </w:r>
      <w:proofErr w:type="gramStart"/>
      <w:r>
        <w:t>particular solutions</w:t>
      </w:r>
      <w:proofErr w:type="gramEnd"/>
      <w:r>
        <w:t xml:space="preserve"> to the interface problem, most notably homuncular functionalism (Lycan 1988) and the computational theory of mind (Fodor 1975)</w:t>
      </w:r>
      <w:r w:rsidR="00220B17">
        <w:t xml:space="preserve">. These positions claim </w:t>
      </w:r>
      <w:r>
        <w:t xml:space="preserve">that personal-level mental states </w:t>
      </w:r>
      <w:r w:rsidR="001843BD">
        <w:t xml:space="preserve">are </w:t>
      </w:r>
      <w:r>
        <w:t xml:space="preserve">not merely explained by </w:t>
      </w:r>
      <w:proofErr w:type="spellStart"/>
      <w:r>
        <w:t>subpersonal</w:t>
      </w:r>
      <w:proofErr w:type="spellEnd"/>
      <w:r>
        <w:t xml:space="preserve"> phenomena but </w:t>
      </w:r>
      <w:r w:rsidR="001843BD" w:rsidRPr="0038489C">
        <w:rPr>
          <w:i/>
          <w:iCs/>
        </w:rPr>
        <w:t>identical</w:t>
      </w:r>
      <w:r w:rsidR="001843BD">
        <w:t xml:space="preserve"> to </w:t>
      </w:r>
      <w:r>
        <w:t xml:space="preserve">them. </w:t>
      </w:r>
    </w:p>
    <w:p w14:paraId="6F20252C" w14:textId="77777777" w:rsidR="001843BD" w:rsidRDefault="001843BD">
      <w:pPr>
        <w:spacing w:before="240"/>
      </w:pPr>
    </w:p>
    <w:p w14:paraId="00000012" w14:textId="77777777" w:rsidR="00A27F38" w:rsidRDefault="00000000">
      <w:pPr>
        <w:pStyle w:val="Heading1"/>
      </w:pPr>
      <w:bookmarkStart w:id="5" w:name="_9yzpoihu8l69" w:colFirst="0" w:colLast="0"/>
      <w:bookmarkEnd w:id="5"/>
      <w:r>
        <w:t>Broader connections</w:t>
      </w:r>
    </w:p>
    <w:p w14:paraId="417A6445" w14:textId="4FE244F4" w:rsidR="001843BD" w:rsidRDefault="001843BD" w:rsidP="001843BD">
      <w:pPr>
        <w:pStyle w:val="Heading2"/>
        <w:spacing w:after="200"/>
      </w:pPr>
      <w:r>
        <w:t>Unconscious perception</w:t>
      </w:r>
    </w:p>
    <w:p w14:paraId="72299D09" w14:textId="57B181A0" w:rsidR="001843BD" w:rsidRDefault="001843BD">
      <w:pPr>
        <w:spacing w:before="240"/>
        <w:rPr>
          <w:b/>
        </w:rPr>
      </w:pPr>
      <w:r>
        <w:rPr>
          <w:bCs/>
        </w:rPr>
        <w:t>The personal/</w:t>
      </w:r>
      <w:proofErr w:type="spellStart"/>
      <w:r>
        <w:rPr>
          <w:bCs/>
        </w:rPr>
        <w:t>subpersonal</w:t>
      </w:r>
      <w:proofErr w:type="spellEnd"/>
      <w:r>
        <w:rPr>
          <w:bCs/>
        </w:rPr>
        <w:t xml:space="preserve"> distinction plays a role in recent debates about unconscious perception. </w:t>
      </w:r>
      <w:r w:rsidR="0089073E">
        <w:rPr>
          <w:bCs/>
        </w:rPr>
        <w:t xml:space="preserve">The existence of </w:t>
      </w:r>
      <w:r w:rsidR="008473D3">
        <w:rPr>
          <w:bCs/>
        </w:rPr>
        <w:t xml:space="preserve">unconscious </w:t>
      </w:r>
      <w:r w:rsidR="0089073E">
        <w:rPr>
          <w:bCs/>
        </w:rPr>
        <w:t>perceptual</w:t>
      </w:r>
      <w:r w:rsidR="008473D3">
        <w:rPr>
          <w:bCs/>
        </w:rPr>
        <w:t xml:space="preserve"> processing </w:t>
      </w:r>
      <w:r w:rsidR="0089073E">
        <w:rPr>
          <w:bCs/>
        </w:rPr>
        <w:t>in the visual system is uncontroversial, but perception attributed to the person is normally in the form of conscious perceptual experience. Some experimental data, however, appears to suggest that our behavior can be given a personal-level perceptual explanation even where conscious perceptual experience is lacking. S</w:t>
      </w:r>
      <w:r>
        <w:rPr>
          <w:bCs/>
        </w:rPr>
        <w:t xml:space="preserve">ubjects </w:t>
      </w:r>
      <w:r w:rsidR="0089073E">
        <w:rPr>
          <w:bCs/>
        </w:rPr>
        <w:t xml:space="preserve">presented with </w:t>
      </w:r>
      <w:r>
        <w:rPr>
          <w:bCs/>
        </w:rPr>
        <w:t xml:space="preserve">nude images </w:t>
      </w:r>
      <w:r w:rsidR="0089073E">
        <w:rPr>
          <w:bCs/>
        </w:rPr>
        <w:t xml:space="preserve">to one eye while given </w:t>
      </w:r>
      <w:proofErr w:type="gramStart"/>
      <w:r w:rsidR="0089073E">
        <w:rPr>
          <w:bCs/>
        </w:rPr>
        <w:t>rapidly-changing</w:t>
      </w:r>
      <w:proofErr w:type="gramEnd"/>
      <w:r w:rsidR="0089073E">
        <w:rPr>
          <w:bCs/>
        </w:rPr>
        <w:t xml:space="preserve"> stimuli to the other eye </w:t>
      </w:r>
      <w:r>
        <w:rPr>
          <w:bCs/>
        </w:rPr>
        <w:t xml:space="preserve">report no conscious experience of </w:t>
      </w:r>
      <w:r w:rsidR="0089073E">
        <w:rPr>
          <w:bCs/>
        </w:rPr>
        <w:t>nude images</w:t>
      </w:r>
      <w:r w:rsidR="004616B5">
        <w:rPr>
          <w:bCs/>
        </w:rPr>
        <w:t>,</w:t>
      </w:r>
      <w:r>
        <w:rPr>
          <w:bCs/>
        </w:rPr>
        <w:t xml:space="preserve"> </w:t>
      </w:r>
      <w:r w:rsidR="004616B5">
        <w:rPr>
          <w:bCs/>
        </w:rPr>
        <w:t xml:space="preserve">but they </w:t>
      </w:r>
      <w:r>
        <w:rPr>
          <w:bCs/>
        </w:rPr>
        <w:t xml:space="preserve">seem to attend more closely to male or female nudes in ways that align with their gender preferences (Jiang et al. 2006). </w:t>
      </w:r>
      <w:r w:rsidR="004616B5">
        <w:rPr>
          <w:bCs/>
        </w:rPr>
        <w:t xml:space="preserve">One way to interpret this data is to say that the attentional </w:t>
      </w:r>
      <w:proofErr w:type="spellStart"/>
      <w:r w:rsidR="004616B5">
        <w:rPr>
          <w:bCs/>
        </w:rPr>
        <w:t>phenemona</w:t>
      </w:r>
      <w:proofErr w:type="spellEnd"/>
      <w:r w:rsidR="004616B5">
        <w:rPr>
          <w:bCs/>
        </w:rPr>
        <w:t xml:space="preserve"> are best explained by the person having perceived the nude images despite reporting no such experience. An alternative interpretation is to attribute attentional capacities </w:t>
      </w:r>
      <w:proofErr w:type="spellStart"/>
      <w:r w:rsidR="004616B5">
        <w:rPr>
          <w:bCs/>
        </w:rPr>
        <w:t>subpersonally</w:t>
      </w:r>
      <w:proofErr w:type="spellEnd"/>
      <w:r w:rsidR="004616B5">
        <w:rPr>
          <w:bCs/>
        </w:rPr>
        <w:t xml:space="preserve"> and </w:t>
      </w:r>
      <w:r w:rsidR="004616B5">
        <w:rPr>
          <w:bCs/>
        </w:rPr>
        <w:lastRenderedPageBreak/>
        <w:t xml:space="preserve">claim that a cognitive subsystem of the person is attending, which can in turn be explained by sensory processing of the stimuli by perceptual subsystems rather than personal-level perception. One way to characterize this debate is in terms of the </w:t>
      </w:r>
      <w:r w:rsidR="00E55C40">
        <w:rPr>
          <w:bCs/>
        </w:rPr>
        <w:t>criteria being used for personal-level attribution: if we think that only high-level agential phenomena are properly attributable to the person, then we might deny that the attentional and perceptual capacities being exercised are genuinely personal-level on the grounds that they are more reflex-like (</w:t>
      </w:r>
      <w:r>
        <w:rPr>
          <w:bCs/>
        </w:rPr>
        <w:t>Phillips and Block 2016</w:t>
      </w:r>
      <w:r w:rsidR="00E55C40">
        <w:rPr>
          <w:bCs/>
        </w:rPr>
        <w:t xml:space="preserve">, </w:t>
      </w:r>
      <w:r>
        <w:rPr>
          <w:bCs/>
        </w:rPr>
        <w:t>Phillips 2019)</w:t>
      </w:r>
      <w:r w:rsidR="00E55C40">
        <w:rPr>
          <w:bCs/>
        </w:rPr>
        <w:t>.</w:t>
      </w:r>
      <w:r>
        <w:rPr>
          <w:bCs/>
        </w:rPr>
        <w:t xml:space="preserve"> </w:t>
      </w:r>
      <w:r w:rsidR="00E55C40">
        <w:rPr>
          <w:bCs/>
        </w:rPr>
        <w:t>What seems to be a debate about the nature of perception can be interpreted instead as a disagreement about how to characterize the domain of personal-level attributions.</w:t>
      </w:r>
    </w:p>
    <w:p w14:paraId="1F6A8EA5" w14:textId="6470253F" w:rsidR="001843BD" w:rsidRDefault="001843BD" w:rsidP="001843BD">
      <w:pPr>
        <w:pStyle w:val="Heading2"/>
        <w:spacing w:after="200"/>
      </w:pPr>
      <w:r>
        <w:t>Dual-process theory</w:t>
      </w:r>
    </w:p>
    <w:p w14:paraId="4D4352F7" w14:textId="7E4DCF1F" w:rsidR="001843BD" w:rsidRDefault="001843BD">
      <w:pPr>
        <w:spacing w:before="240"/>
        <w:rPr>
          <w:b/>
        </w:rPr>
      </w:pPr>
      <w:r>
        <w:t>Dual-process theory proposes that human cognitive processing comes in two different varieties: some cognitive processes (‘Type 1’) are fast, unconscious, and intuitive; while others (‘Type 2’) are slow, conscious, and reflective</w:t>
      </w:r>
      <w:r w:rsidR="00E55C40">
        <w:t xml:space="preserve"> (</w:t>
      </w:r>
      <w:proofErr w:type="spellStart"/>
      <w:r w:rsidR="00E55C40">
        <w:t>Kahnemann</w:t>
      </w:r>
      <w:proofErr w:type="spellEnd"/>
      <w:r w:rsidR="00E55C40">
        <w:t xml:space="preserve"> 2011)</w:t>
      </w:r>
      <w:r w:rsidR="004E2311">
        <w:t xml:space="preserve">. </w:t>
      </w:r>
      <w:r>
        <w:t>Some theorists propose to identify th</w:t>
      </w:r>
      <w:r w:rsidR="00CA58E6">
        <w:t>is</w:t>
      </w:r>
      <w:r>
        <w:t xml:space="preserve"> distinction</w:t>
      </w:r>
      <w:r w:rsidR="00E85E8F">
        <w:t xml:space="preserve"> </w:t>
      </w:r>
      <w:r>
        <w:t>with the personal/</w:t>
      </w:r>
      <w:proofErr w:type="spellStart"/>
      <w:r>
        <w:t>subpersonal</w:t>
      </w:r>
      <w:proofErr w:type="spellEnd"/>
      <w:r>
        <w:t xml:space="preserve"> distinction</w:t>
      </w:r>
      <w:r w:rsidR="00CA58E6">
        <w:t xml:space="preserve">, such that only Type 2 cognitive processes are attributed to the person, while Type 1 processes are attributed </w:t>
      </w:r>
      <w:proofErr w:type="spellStart"/>
      <w:r w:rsidR="00CA58E6">
        <w:t>subpersonally</w:t>
      </w:r>
      <w:proofErr w:type="spellEnd"/>
      <w:r w:rsidR="00CA58E6">
        <w:t xml:space="preserve"> </w:t>
      </w:r>
      <w:r w:rsidR="00E55C40">
        <w:t>(Frankish 2009)</w:t>
      </w:r>
      <w:r>
        <w:t>. Such a move, however, is in tension with the standard approach to dual-process theory,</w:t>
      </w:r>
      <w:r w:rsidR="00C03FF1">
        <w:t xml:space="preserve"> on which the distinction between Type 1 and Type 2 cognition is a distinction between two different </w:t>
      </w:r>
      <w:proofErr w:type="spellStart"/>
      <w:r w:rsidR="00C03FF1">
        <w:t>subpersonal</w:t>
      </w:r>
      <w:proofErr w:type="spellEnd"/>
      <w:r w:rsidR="00C03FF1">
        <w:t>-level explanation</w:t>
      </w:r>
      <w:r w:rsidR="00CA58E6">
        <w:t>s</w:t>
      </w:r>
      <w:r w:rsidR="00C03FF1">
        <w:t xml:space="preserve">. </w:t>
      </w:r>
      <w:r>
        <w:t xml:space="preserve">Type 1 processes are usually characterized as non-symbolic parallel information-processing taking place in evolutionarily older areas of the brain, whereas Type 2 processes are usually characterized as symbolic sequential information-processing taking place in evolutionarily newer areas of the brain. Dual-process theory is thus best understood as the claim that some of the cognitive states attributed to a person </w:t>
      </w:r>
      <w:r w:rsidR="00CA58E6">
        <w:t xml:space="preserve">can be given </w:t>
      </w:r>
      <w:r>
        <w:t xml:space="preserve">Type 1 </w:t>
      </w:r>
      <w:proofErr w:type="spellStart"/>
      <w:r>
        <w:t>subpersonal</w:t>
      </w:r>
      <w:proofErr w:type="spellEnd"/>
      <w:r>
        <w:t xml:space="preserve">-level explanations, whereas other cognitive states attributed to the person </w:t>
      </w:r>
      <w:r w:rsidR="00CA58E6">
        <w:t xml:space="preserve">can be given </w:t>
      </w:r>
      <w:r>
        <w:t xml:space="preserve">Type 2 </w:t>
      </w:r>
      <w:proofErr w:type="spellStart"/>
      <w:r>
        <w:t>subpersonal</w:t>
      </w:r>
      <w:proofErr w:type="spellEnd"/>
      <w:r>
        <w:t>-level explanations.</w:t>
      </w:r>
    </w:p>
    <w:p w14:paraId="54CCE4FE" w14:textId="17B8F93E" w:rsidR="001843BD" w:rsidRDefault="001843BD" w:rsidP="001843BD">
      <w:pPr>
        <w:pStyle w:val="Heading2"/>
        <w:spacing w:after="200"/>
      </w:pPr>
      <w:r>
        <w:t>Implicit bias</w:t>
      </w:r>
    </w:p>
    <w:p w14:paraId="6F6D7275" w14:textId="3342A3D3" w:rsidR="001843BD" w:rsidRPr="00AF299A" w:rsidRDefault="001843BD" w:rsidP="00AF299A">
      <w:pPr>
        <w:pStyle w:val="NoSpacing"/>
        <w:spacing w:line="276" w:lineRule="auto"/>
      </w:pPr>
      <w:r w:rsidRPr="001843BD">
        <w:rPr>
          <w:rFonts w:ascii="Arial" w:hAnsi="Arial" w:cs="Arial"/>
          <w:sz w:val="22"/>
          <w:szCs w:val="22"/>
        </w:rPr>
        <w:t>Sometimes people sincerely voice one opinion while behaving in a way which suggests they endorse a contradictory opinion.</w:t>
      </w:r>
      <w:r w:rsidRPr="001843BD">
        <w:rPr>
          <w:rFonts w:ascii="Arial" w:hAnsi="Arial" w:cs="Arial"/>
          <w:i/>
          <w:iCs/>
          <w:color w:val="000000"/>
          <w:kern w:val="0"/>
          <w:sz w:val="22"/>
          <w:szCs w:val="22"/>
        </w:rPr>
        <w:t xml:space="preserve"> </w:t>
      </w:r>
      <w:r w:rsidR="00CA58E6">
        <w:rPr>
          <w:rFonts w:ascii="Arial" w:hAnsi="Arial" w:cs="Arial"/>
          <w:color w:val="000000"/>
          <w:kern w:val="0"/>
          <w:sz w:val="22"/>
          <w:szCs w:val="22"/>
        </w:rPr>
        <w:t xml:space="preserve">Consider, for example, </w:t>
      </w:r>
      <w:r w:rsidR="00E85E8F">
        <w:rPr>
          <w:rFonts w:ascii="Arial" w:hAnsi="Arial" w:cs="Arial"/>
          <w:color w:val="000000"/>
          <w:kern w:val="0"/>
          <w:sz w:val="22"/>
          <w:szCs w:val="22"/>
        </w:rPr>
        <w:t xml:space="preserve">data from </w:t>
      </w:r>
      <w:r w:rsidR="00CA58E6">
        <w:rPr>
          <w:rFonts w:ascii="Arial" w:hAnsi="Arial" w:cs="Arial"/>
          <w:color w:val="000000"/>
          <w:kern w:val="0"/>
          <w:sz w:val="22"/>
          <w:szCs w:val="22"/>
        </w:rPr>
        <w:t>the Implicit Association Test which appear</w:t>
      </w:r>
      <w:r w:rsidR="00A758B6">
        <w:rPr>
          <w:rFonts w:ascii="Arial" w:hAnsi="Arial" w:cs="Arial"/>
          <w:color w:val="000000"/>
          <w:kern w:val="0"/>
          <w:sz w:val="22"/>
          <w:szCs w:val="22"/>
        </w:rPr>
        <w:t>s</w:t>
      </w:r>
      <w:r w:rsidR="00CA58E6">
        <w:rPr>
          <w:rFonts w:ascii="Arial" w:hAnsi="Arial" w:cs="Arial"/>
          <w:color w:val="000000"/>
          <w:kern w:val="0"/>
          <w:sz w:val="22"/>
          <w:szCs w:val="22"/>
        </w:rPr>
        <w:t xml:space="preserve"> to suggest that someone who sincerely </w:t>
      </w:r>
      <w:r w:rsidRPr="001843BD">
        <w:rPr>
          <w:rFonts w:ascii="Arial" w:hAnsi="Arial" w:cs="Arial"/>
          <w:sz w:val="22"/>
          <w:szCs w:val="22"/>
        </w:rPr>
        <w:t>articulate</w:t>
      </w:r>
      <w:r w:rsidR="00CA58E6">
        <w:rPr>
          <w:rFonts w:ascii="Arial" w:hAnsi="Arial" w:cs="Arial"/>
          <w:sz w:val="22"/>
          <w:szCs w:val="22"/>
        </w:rPr>
        <w:t>s</w:t>
      </w:r>
      <w:r w:rsidRPr="001843BD">
        <w:rPr>
          <w:rFonts w:ascii="Arial" w:hAnsi="Arial" w:cs="Arial"/>
          <w:sz w:val="22"/>
          <w:szCs w:val="22"/>
        </w:rPr>
        <w:t xml:space="preserve"> and defend anti-racist belief</w:t>
      </w:r>
      <w:r w:rsidR="00CA58E6">
        <w:rPr>
          <w:rFonts w:ascii="Arial" w:hAnsi="Arial" w:cs="Arial"/>
          <w:sz w:val="22"/>
          <w:szCs w:val="22"/>
        </w:rPr>
        <w:t>s will still</w:t>
      </w:r>
      <w:r w:rsidR="006935A0">
        <w:rPr>
          <w:rFonts w:ascii="Arial" w:hAnsi="Arial" w:cs="Arial"/>
          <w:sz w:val="22"/>
          <w:szCs w:val="22"/>
        </w:rPr>
        <w:t xml:space="preserve"> categorize stimuli in accordance with negative racial stereotypes </w:t>
      </w:r>
      <w:r w:rsidR="00CA58E6">
        <w:rPr>
          <w:rFonts w:ascii="Arial" w:hAnsi="Arial" w:cs="Arial"/>
          <w:color w:val="000000"/>
          <w:kern w:val="0"/>
          <w:sz w:val="22"/>
          <w:szCs w:val="22"/>
        </w:rPr>
        <w:t>(Greenwald, McGhee and Schwartz 1998)</w:t>
      </w:r>
      <w:r w:rsidR="006935A0">
        <w:rPr>
          <w:rFonts w:ascii="Arial" w:hAnsi="Arial" w:cs="Arial"/>
          <w:color w:val="000000"/>
          <w:kern w:val="0"/>
          <w:sz w:val="22"/>
          <w:szCs w:val="22"/>
        </w:rPr>
        <w:t>.</w:t>
      </w:r>
      <w:r w:rsidR="00CA58E6">
        <w:rPr>
          <w:rFonts w:ascii="Arial" w:hAnsi="Arial" w:cs="Arial"/>
          <w:color w:val="000000"/>
          <w:kern w:val="0"/>
          <w:sz w:val="22"/>
          <w:szCs w:val="22"/>
        </w:rPr>
        <w:t xml:space="preserve"> </w:t>
      </w:r>
      <w:r w:rsidR="006935A0">
        <w:rPr>
          <w:rFonts w:ascii="Arial" w:hAnsi="Arial" w:cs="Arial"/>
          <w:sz w:val="22"/>
          <w:szCs w:val="22"/>
        </w:rPr>
        <w:t xml:space="preserve">This categorization data is often explained by </w:t>
      </w:r>
      <w:r w:rsidRPr="001843BD">
        <w:rPr>
          <w:rFonts w:ascii="Arial" w:hAnsi="Arial" w:cs="Arial"/>
          <w:sz w:val="22"/>
          <w:szCs w:val="22"/>
        </w:rPr>
        <w:t>attribut</w:t>
      </w:r>
      <w:r w:rsidR="006935A0">
        <w:rPr>
          <w:rFonts w:ascii="Arial" w:hAnsi="Arial" w:cs="Arial"/>
          <w:sz w:val="22"/>
          <w:szCs w:val="22"/>
        </w:rPr>
        <w:t>ing</w:t>
      </w:r>
      <w:r w:rsidRPr="001843BD">
        <w:rPr>
          <w:rFonts w:ascii="Arial" w:hAnsi="Arial" w:cs="Arial"/>
          <w:sz w:val="22"/>
          <w:szCs w:val="22"/>
        </w:rPr>
        <w:t xml:space="preserve"> an </w:t>
      </w:r>
      <w:r w:rsidRPr="00AF299A">
        <w:rPr>
          <w:i/>
          <w:iCs/>
        </w:rPr>
        <w:t>implicit</w:t>
      </w:r>
      <w:r w:rsidRPr="001843BD">
        <w:rPr>
          <w:rFonts w:ascii="Arial" w:hAnsi="Arial" w:cs="Arial"/>
          <w:sz w:val="22"/>
          <w:szCs w:val="22"/>
        </w:rPr>
        <w:t xml:space="preserve"> cognitive state to the person: an implicit racial bias or an implicitly racist attitude. </w:t>
      </w:r>
      <w:r w:rsidR="006935A0">
        <w:rPr>
          <w:rFonts w:ascii="Arial" w:hAnsi="Arial" w:cs="Arial"/>
          <w:sz w:val="22"/>
          <w:szCs w:val="22"/>
        </w:rPr>
        <w:t xml:space="preserve">Implicit cognition, however, can </w:t>
      </w:r>
      <w:r w:rsidR="00A758B6">
        <w:rPr>
          <w:rFonts w:ascii="Arial" w:hAnsi="Arial" w:cs="Arial"/>
          <w:sz w:val="22"/>
          <w:szCs w:val="22"/>
        </w:rPr>
        <w:t xml:space="preserve">be </w:t>
      </w:r>
      <w:r w:rsidR="006935A0">
        <w:rPr>
          <w:rFonts w:ascii="Arial" w:hAnsi="Arial" w:cs="Arial"/>
          <w:sz w:val="22"/>
          <w:szCs w:val="22"/>
        </w:rPr>
        <w:t xml:space="preserve">attributed at either the personal or </w:t>
      </w:r>
      <w:proofErr w:type="spellStart"/>
      <w:r w:rsidR="006935A0">
        <w:rPr>
          <w:rFonts w:ascii="Arial" w:hAnsi="Arial" w:cs="Arial"/>
          <w:sz w:val="22"/>
          <w:szCs w:val="22"/>
        </w:rPr>
        <w:t>subpersonal</w:t>
      </w:r>
      <w:proofErr w:type="spellEnd"/>
      <w:r w:rsidR="006935A0">
        <w:rPr>
          <w:rFonts w:ascii="Arial" w:hAnsi="Arial" w:cs="Arial"/>
          <w:sz w:val="22"/>
          <w:szCs w:val="22"/>
        </w:rPr>
        <w:t xml:space="preserve"> level, depending on how we understand </w:t>
      </w:r>
      <w:r w:rsidR="006935A0" w:rsidRPr="001843BD">
        <w:rPr>
          <w:rFonts w:ascii="Arial" w:hAnsi="Arial" w:cs="Arial"/>
          <w:sz w:val="22"/>
          <w:szCs w:val="22"/>
        </w:rPr>
        <w:t>the criteria for correct attribution at the personal level</w:t>
      </w:r>
      <w:r w:rsidR="006935A0">
        <w:rPr>
          <w:rFonts w:ascii="Arial" w:hAnsi="Arial" w:cs="Arial"/>
          <w:sz w:val="22"/>
          <w:szCs w:val="22"/>
        </w:rPr>
        <w:t xml:space="preserve"> (</w:t>
      </w:r>
      <w:proofErr w:type="spellStart"/>
      <w:r w:rsidR="006935A0">
        <w:rPr>
          <w:rFonts w:ascii="Arial" w:hAnsi="Arial" w:cs="Arial"/>
          <w:sz w:val="22"/>
          <w:szCs w:val="22"/>
        </w:rPr>
        <w:t>Drayson</w:t>
      </w:r>
      <w:proofErr w:type="spellEnd"/>
      <w:r w:rsidR="006935A0">
        <w:rPr>
          <w:rFonts w:ascii="Arial" w:hAnsi="Arial" w:cs="Arial"/>
          <w:sz w:val="22"/>
          <w:szCs w:val="22"/>
        </w:rPr>
        <w:t xml:space="preserve"> 2023). </w:t>
      </w:r>
      <w:r w:rsidRPr="001843BD">
        <w:rPr>
          <w:rFonts w:ascii="Arial" w:hAnsi="Arial" w:cs="Arial"/>
          <w:sz w:val="22"/>
          <w:szCs w:val="22"/>
        </w:rPr>
        <w:t>If a correct attribution of a personal-level cogniti</w:t>
      </w:r>
      <w:r w:rsidR="006935A0">
        <w:rPr>
          <w:rFonts w:ascii="Arial" w:hAnsi="Arial" w:cs="Arial"/>
          <w:sz w:val="22"/>
          <w:szCs w:val="22"/>
        </w:rPr>
        <w:t>on</w:t>
      </w:r>
      <w:r w:rsidRPr="001843BD">
        <w:rPr>
          <w:rFonts w:ascii="Arial" w:hAnsi="Arial" w:cs="Arial"/>
          <w:sz w:val="22"/>
          <w:szCs w:val="22"/>
        </w:rPr>
        <w:t xml:space="preserve"> requires that </w:t>
      </w:r>
      <w:r w:rsidR="006935A0">
        <w:rPr>
          <w:rFonts w:ascii="Arial" w:hAnsi="Arial" w:cs="Arial"/>
          <w:sz w:val="22"/>
          <w:szCs w:val="22"/>
        </w:rPr>
        <w:t xml:space="preserve">such cognition can be </w:t>
      </w:r>
      <w:r w:rsidRPr="001843BD">
        <w:rPr>
          <w:rFonts w:ascii="Arial" w:hAnsi="Arial" w:cs="Arial"/>
          <w:sz w:val="22"/>
          <w:szCs w:val="22"/>
        </w:rPr>
        <w:t xml:space="preserve">introspectively </w:t>
      </w:r>
      <w:r w:rsidR="006935A0">
        <w:rPr>
          <w:rFonts w:ascii="Arial" w:hAnsi="Arial" w:cs="Arial"/>
          <w:sz w:val="22"/>
          <w:szCs w:val="22"/>
        </w:rPr>
        <w:t xml:space="preserve">accessed and </w:t>
      </w:r>
      <w:r w:rsidRPr="001843BD">
        <w:rPr>
          <w:rFonts w:ascii="Arial" w:hAnsi="Arial" w:cs="Arial"/>
          <w:sz w:val="22"/>
          <w:szCs w:val="22"/>
        </w:rPr>
        <w:t>endorse</w:t>
      </w:r>
      <w:r w:rsidR="006935A0">
        <w:rPr>
          <w:rFonts w:ascii="Arial" w:hAnsi="Arial" w:cs="Arial"/>
          <w:sz w:val="22"/>
          <w:szCs w:val="22"/>
        </w:rPr>
        <w:t xml:space="preserve">d by the person, </w:t>
      </w:r>
      <w:r w:rsidRPr="001843BD">
        <w:rPr>
          <w:rFonts w:ascii="Arial" w:hAnsi="Arial" w:cs="Arial"/>
          <w:sz w:val="22"/>
          <w:szCs w:val="22"/>
        </w:rPr>
        <w:t xml:space="preserve">then an implicit racial bias will not be correctly attributable at the personal level. </w:t>
      </w:r>
      <w:r w:rsidR="006935A0">
        <w:rPr>
          <w:rFonts w:ascii="Arial" w:hAnsi="Arial" w:cs="Arial"/>
          <w:sz w:val="22"/>
          <w:szCs w:val="22"/>
        </w:rPr>
        <w:t>But g</w:t>
      </w:r>
      <w:r w:rsidRPr="001843BD">
        <w:rPr>
          <w:rFonts w:ascii="Arial" w:hAnsi="Arial" w:cs="Arial"/>
          <w:sz w:val="22"/>
          <w:szCs w:val="22"/>
        </w:rPr>
        <w:t xml:space="preserve">iven a weaker construal of cognitive integration, on which personal-level </w:t>
      </w:r>
      <w:r w:rsidR="006935A0">
        <w:rPr>
          <w:rFonts w:ascii="Arial" w:hAnsi="Arial" w:cs="Arial"/>
          <w:sz w:val="22"/>
          <w:szCs w:val="22"/>
        </w:rPr>
        <w:t>cognition</w:t>
      </w:r>
      <w:r w:rsidRPr="001843BD">
        <w:rPr>
          <w:rFonts w:ascii="Arial" w:hAnsi="Arial" w:cs="Arial"/>
          <w:sz w:val="22"/>
          <w:szCs w:val="22"/>
        </w:rPr>
        <w:t xml:space="preserve"> merely needs to be </w:t>
      </w:r>
      <w:proofErr w:type="spellStart"/>
      <w:r w:rsidRPr="001843BD">
        <w:rPr>
          <w:rFonts w:ascii="Arial" w:hAnsi="Arial" w:cs="Arial"/>
          <w:sz w:val="22"/>
          <w:szCs w:val="22"/>
        </w:rPr>
        <w:t>behavior</w:t>
      </w:r>
      <w:proofErr w:type="spellEnd"/>
      <w:r w:rsidRPr="001843BD">
        <w:rPr>
          <w:rFonts w:ascii="Arial" w:hAnsi="Arial" w:cs="Arial"/>
          <w:sz w:val="22"/>
          <w:szCs w:val="22"/>
        </w:rPr>
        <w:t xml:space="preserve">-guiding, an implicit racial bias can be correctly attributable at the personal level. </w:t>
      </w:r>
      <w:r w:rsidR="006935A0">
        <w:rPr>
          <w:rFonts w:ascii="Arial" w:hAnsi="Arial" w:cs="Arial"/>
          <w:sz w:val="22"/>
          <w:szCs w:val="22"/>
        </w:rPr>
        <w:t xml:space="preserve">In the latter case, we might still appeal to </w:t>
      </w:r>
      <w:proofErr w:type="spellStart"/>
      <w:r w:rsidR="006935A0">
        <w:rPr>
          <w:rFonts w:ascii="Arial" w:hAnsi="Arial" w:cs="Arial"/>
          <w:sz w:val="22"/>
          <w:szCs w:val="22"/>
        </w:rPr>
        <w:t>subpersonal</w:t>
      </w:r>
      <w:proofErr w:type="spellEnd"/>
      <w:r w:rsidR="006935A0">
        <w:rPr>
          <w:rFonts w:ascii="Arial" w:hAnsi="Arial" w:cs="Arial"/>
          <w:sz w:val="22"/>
          <w:szCs w:val="22"/>
        </w:rPr>
        <w:t xml:space="preserve"> phenomena to account for the </w:t>
      </w:r>
      <w:r w:rsidRPr="00AF299A">
        <w:rPr>
          <w:rFonts w:ascii="Arial" w:hAnsi="Arial" w:cs="Arial"/>
          <w:sz w:val="22"/>
          <w:szCs w:val="22"/>
        </w:rPr>
        <w:t xml:space="preserve">implicit bias. We might explain why someone lacks introspective awareness of their implicit bias </w:t>
      </w:r>
      <w:r w:rsidR="006935A0">
        <w:rPr>
          <w:rFonts w:ascii="Arial" w:hAnsi="Arial" w:cs="Arial"/>
          <w:sz w:val="22"/>
          <w:szCs w:val="22"/>
        </w:rPr>
        <w:t xml:space="preserve">by appealing to the nature of the computational </w:t>
      </w:r>
      <w:r w:rsidR="006935A0">
        <w:rPr>
          <w:rFonts w:ascii="Arial" w:hAnsi="Arial" w:cs="Arial"/>
          <w:sz w:val="22"/>
          <w:szCs w:val="22"/>
        </w:rPr>
        <w:lastRenderedPageBreak/>
        <w:t xml:space="preserve">processes involved, or the format in which information is </w:t>
      </w:r>
      <w:proofErr w:type="spellStart"/>
      <w:r w:rsidR="006935A0">
        <w:rPr>
          <w:rFonts w:ascii="Arial" w:hAnsi="Arial" w:cs="Arial"/>
          <w:sz w:val="22"/>
          <w:szCs w:val="22"/>
        </w:rPr>
        <w:t>neurally</w:t>
      </w:r>
      <w:proofErr w:type="spellEnd"/>
      <w:r w:rsidR="006935A0">
        <w:rPr>
          <w:rFonts w:ascii="Arial" w:hAnsi="Arial" w:cs="Arial"/>
          <w:sz w:val="22"/>
          <w:szCs w:val="22"/>
        </w:rPr>
        <w:t xml:space="preserve"> encoded (</w:t>
      </w:r>
      <w:proofErr w:type="spellStart"/>
      <w:r w:rsidR="006935A0">
        <w:rPr>
          <w:rFonts w:ascii="Arial" w:hAnsi="Arial" w:cs="Arial"/>
          <w:sz w:val="22"/>
          <w:szCs w:val="22"/>
        </w:rPr>
        <w:t>Drayson</w:t>
      </w:r>
      <w:proofErr w:type="spellEnd"/>
      <w:r w:rsidR="006E1E36">
        <w:rPr>
          <w:rFonts w:ascii="Arial" w:hAnsi="Arial" w:cs="Arial"/>
          <w:sz w:val="22"/>
          <w:szCs w:val="22"/>
        </w:rPr>
        <w:t xml:space="preserve"> forthcoming).</w:t>
      </w:r>
    </w:p>
    <w:p w14:paraId="0332D179" w14:textId="77777777" w:rsidR="001843BD" w:rsidRDefault="001843BD" w:rsidP="001843BD">
      <w:pPr>
        <w:spacing w:before="240"/>
        <w:rPr>
          <w:b/>
        </w:rPr>
      </w:pPr>
    </w:p>
    <w:p w14:paraId="00000016" w14:textId="77777777" w:rsidR="00A27F38" w:rsidRDefault="00000000">
      <w:pPr>
        <w:pStyle w:val="Heading1"/>
      </w:pPr>
      <w:bookmarkStart w:id="6" w:name="_kxrpbo30pkcb" w:colFirst="0" w:colLast="0"/>
      <w:bookmarkStart w:id="7" w:name="_4u4c309bbj1e" w:colFirst="0" w:colLast="0"/>
      <w:bookmarkEnd w:id="6"/>
      <w:bookmarkEnd w:id="7"/>
      <w:r>
        <w:t xml:space="preserve">Further reading </w:t>
      </w:r>
    </w:p>
    <w:p w14:paraId="35BC2546" w14:textId="77777777" w:rsidR="001843BD" w:rsidRDefault="001843BD" w:rsidP="001843BD">
      <w:pPr>
        <w:pStyle w:val="NoSpacing"/>
        <w:spacing w:line="276" w:lineRule="auto"/>
        <w:rPr>
          <w:rFonts w:ascii="Arial" w:hAnsi="Arial" w:cs="Arial"/>
          <w:sz w:val="22"/>
          <w:szCs w:val="22"/>
        </w:rPr>
      </w:pPr>
    </w:p>
    <w:p w14:paraId="52ACC57E" w14:textId="47CD9AE5" w:rsidR="001843BD" w:rsidRPr="001843BD" w:rsidRDefault="001843BD" w:rsidP="001843BD">
      <w:pPr>
        <w:pStyle w:val="NoSpacing"/>
        <w:numPr>
          <w:ilvl w:val="0"/>
          <w:numId w:val="2"/>
        </w:numPr>
        <w:spacing w:line="276" w:lineRule="auto"/>
        <w:rPr>
          <w:rFonts w:ascii="Arial" w:hAnsi="Arial" w:cs="Arial"/>
          <w:sz w:val="22"/>
          <w:szCs w:val="22"/>
        </w:rPr>
      </w:pPr>
      <w:r w:rsidRPr="001843BD">
        <w:rPr>
          <w:rFonts w:ascii="Arial" w:hAnsi="Arial" w:cs="Arial"/>
          <w:sz w:val="22"/>
          <w:szCs w:val="22"/>
        </w:rPr>
        <w:t xml:space="preserve">Bermudez, J.L. (2005) Philosophy of Psychology: A Contemporary Introduction. London: Routledge. </w:t>
      </w:r>
    </w:p>
    <w:p w14:paraId="0ADBD4DD" w14:textId="73F32A5A" w:rsidR="001843BD" w:rsidRPr="001843BD" w:rsidRDefault="001843BD" w:rsidP="001843BD">
      <w:pPr>
        <w:pStyle w:val="NoSpacing"/>
        <w:numPr>
          <w:ilvl w:val="0"/>
          <w:numId w:val="2"/>
        </w:numPr>
        <w:spacing w:line="276" w:lineRule="auto"/>
        <w:rPr>
          <w:rFonts w:ascii="Arial" w:hAnsi="Arial" w:cs="Arial"/>
          <w:sz w:val="22"/>
          <w:szCs w:val="22"/>
        </w:rPr>
      </w:pPr>
      <w:r w:rsidRPr="001843BD">
        <w:rPr>
          <w:rFonts w:ascii="Arial" w:hAnsi="Arial" w:cs="Arial"/>
          <w:sz w:val="22"/>
          <w:szCs w:val="22"/>
        </w:rPr>
        <w:t>Dennett, D. (1969) Content and Consciousness. New York: Routledge.</w:t>
      </w:r>
    </w:p>
    <w:p w14:paraId="494905C9" w14:textId="227399FB" w:rsidR="001843BD" w:rsidRPr="001843BD" w:rsidRDefault="001843BD" w:rsidP="001843BD">
      <w:pPr>
        <w:pStyle w:val="NoSpacing"/>
        <w:numPr>
          <w:ilvl w:val="0"/>
          <w:numId w:val="2"/>
        </w:numPr>
        <w:spacing w:line="276" w:lineRule="auto"/>
        <w:rPr>
          <w:rFonts w:ascii="Arial" w:hAnsi="Arial" w:cs="Arial"/>
          <w:sz w:val="22"/>
          <w:szCs w:val="22"/>
        </w:rPr>
      </w:pPr>
      <w:proofErr w:type="spellStart"/>
      <w:r w:rsidRPr="001843BD">
        <w:rPr>
          <w:rFonts w:ascii="Arial" w:hAnsi="Arial" w:cs="Arial"/>
          <w:sz w:val="22"/>
          <w:szCs w:val="22"/>
        </w:rPr>
        <w:t>Drayson</w:t>
      </w:r>
      <w:proofErr w:type="spellEnd"/>
      <w:r w:rsidRPr="001843BD">
        <w:rPr>
          <w:rFonts w:ascii="Arial" w:hAnsi="Arial" w:cs="Arial"/>
          <w:sz w:val="22"/>
          <w:szCs w:val="22"/>
        </w:rPr>
        <w:t>, Z. (2014) The Personal/</w:t>
      </w:r>
      <w:proofErr w:type="spellStart"/>
      <w:r w:rsidRPr="001843BD">
        <w:rPr>
          <w:rFonts w:ascii="Arial" w:hAnsi="Arial" w:cs="Arial"/>
          <w:sz w:val="22"/>
          <w:szCs w:val="22"/>
        </w:rPr>
        <w:t>Subpersonal</w:t>
      </w:r>
      <w:proofErr w:type="spellEnd"/>
      <w:r w:rsidRPr="001843BD">
        <w:rPr>
          <w:rFonts w:ascii="Arial" w:hAnsi="Arial" w:cs="Arial"/>
          <w:sz w:val="22"/>
          <w:szCs w:val="22"/>
        </w:rPr>
        <w:t xml:space="preserve"> Distinction. Philosophy Compass 9 (5):338-346.</w:t>
      </w:r>
    </w:p>
    <w:p w14:paraId="0000001B" w14:textId="77777777" w:rsidR="00A27F38" w:rsidRDefault="00000000">
      <w:pPr>
        <w:pStyle w:val="Heading1"/>
      </w:pPr>
      <w:bookmarkStart w:id="8" w:name="_mlrt0ssv47z7" w:colFirst="0" w:colLast="0"/>
      <w:bookmarkEnd w:id="8"/>
      <w:r>
        <w:t xml:space="preserve">References </w:t>
      </w:r>
    </w:p>
    <w:p w14:paraId="48359BAA" w14:textId="77777777" w:rsidR="001843BD" w:rsidRDefault="001843BD" w:rsidP="001843BD">
      <w:pPr>
        <w:ind w:left="426" w:hanging="426"/>
      </w:pPr>
    </w:p>
    <w:p w14:paraId="27FDD361" w14:textId="3A58759D" w:rsidR="00B71445" w:rsidRPr="00AF299A" w:rsidRDefault="00B71445" w:rsidP="001843BD">
      <w:pPr>
        <w:ind w:left="426" w:hanging="426"/>
        <w:rPr>
          <w:color w:val="000000"/>
          <w:shd w:val="clear" w:color="auto" w:fill="FFFFFF"/>
        </w:rPr>
      </w:pPr>
      <w:r w:rsidRPr="00AF299A">
        <w:rPr>
          <w:color w:val="000000"/>
          <w:shd w:val="clear" w:color="auto" w:fill="FFFFFF"/>
        </w:rPr>
        <w:t>Baddeley, A. D., &amp; Hitch, G. J. (1974). Working memory. In G. A. Bower (Ed.), </w:t>
      </w:r>
      <w:r w:rsidRPr="00AF299A">
        <w:rPr>
          <w:i/>
          <w:iCs/>
          <w:color w:val="000000"/>
          <w:bdr w:val="none" w:sz="0" w:space="0" w:color="auto" w:frame="1"/>
          <w:shd w:val="clear" w:color="auto" w:fill="FFFFFF"/>
        </w:rPr>
        <w:t>The psychology of learning and </w:t>
      </w:r>
      <w:r w:rsidRPr="00AF299A">
        <w:rPr>
          <w:color w:val="000000"/>
        </w:rPr>
        <w:t>motivation</w:t>
      </w:r>
      <w:r w:rsidRPr="00AF299A">
        <w:rPr>
          <w:i/>
          <w:iCs/>
          <w:color w:val="000000"/>
          <w:bdr w:val="none" w:sz="0" w:space="0" w:color="auto" w:frame="1"/>
          <w:shd w:val="clear" w:color="auto" w:fill="FFFFFF"/>
        </w:rPr>
        <w:t>: Advances in research and theory.</w:t>
      </w:r>
      <w:r w:rsidRPr="00AF299A">
        <w:rPr>
          <w:color w:val="000000"/>
          <w:shd w:val="clear" w:color="auto" w:fill="FFFFFF"/>
        </w:rPr>
        <w:t> (Vol. 8, pp. 47-89). New York: Academic Press.</w:t>
      </w:r>
    </w:p>
    <w:p w14:paraId="697B5263" w14:textId="5F6B31CF" w:rsidR="00B71445" w:rsidRPr="00AF299A" w:rsidRDefault="00B71445" w:rsidP="001843BD">
      <w:pPr>
        <w:ind w:left="426" w:hanging="426"/>
        <w:rPr>
          <w:strike/>
        </w:rPr>
      </w:pPr>
      <w:r w:rsidRPr="00AF299A">
        <w:rPr>
          <w:rFonts w:eastAsiaTheme="minorHAnsi"/>
          <w:color w:val="333333"/>
          <w:kern w:val="2"/>
          <w:shd w:val="clear" w:color="auto" w:fill="FFFFFF"/>
          <w:lang w:val="en-GB" w:eastAsia="en-US"/>
          <w14:ligatures w14:val="standardContextual"/>
        </w:rPr>
        <w:t>Bennett, M. R. &amp; Hacker, P. M. S. (2003). </w:t>
      </w:r>
      <w:r w:rsidRPr="00AF299A">
        <w:rPr>
          <w:rFonts w:eastAsiaTheme="minorHAnsi"/>
          <w:i/>
          <w:iCs/>
          <w:color w:val="333333"/>
          <w:kern w:val="2"/>
          <w:shd w:val="clear" w:color="auto" w:fill="FFFFFF"/>
          <w:lang w:val="en-GB" w:eastAsia="en-US"/>
          <w14:ligatures w14:val="standardContextual"/>
        </w:rPr>
        <w:t>Philosophical Foundations of Neuroscience</w:t>
      </w:r>
      <w:r w:rsidRPr="00AF299A">
        <w:rPr>
          <w:rFonts w:eastAsiaTheme="minorHAnsi"/>
          <w:color w:val="333333"/>
          <w:kern w:val="2"/>
          <w:shd w:val="clear" w:color="auto" w:fill="FFFFFF"/>
          <w:lang w:val="en-GB" w:eastAsia="en-US"/>
          <w14:ligatures w14:val="standardContextual"/>
        </w:rPr>
        <w:t>. Hoboken, New Jersey: Wiley-Blackwell. Edited by P. M. S. Hacker.</w:t>
      </w:r>
    </w:p>
    <w:p w14:paraId="0CD77AA7" w14:textId="77777777" w:rsidR="001843BD" w:rsidRDefault="001843BD" w:rsidP="001843BD">
      <w:pPr>
        <w:pStyle w:val="NoSpacing"/>
        <w:spacing w:line="276" w:lineRule="auto"/>
        <w:ind w:left="426" w:hanging="426"/>
        <w:rPr>
          <w:rFonts w:ascii="Arial" w:hAnsi="Arial" w:cs="Arial"/>
          <w:sz w:val="22"/>
          <w:szCs w:val="22"/>
        </w:rPr>
      </w:pPr>
      <w:r w:rsidRPr="001843BD">
        <w:rPr>
          <w:rFonts w:ascii="Arial" w:hAnsi="Arial" w:cs="Arial"/>
          <w:sz w:val="22"/>
          <w:szCs w:val="22"/>
        </w:rPr>
        <w:t xml:space="preserve">Bermudez, J.L. (2005) Philosophy of Psychology: A Contemporary Introduction. London: Routledge. </w:t>
      </w:r>
    </w:p>
    <w:p w14:paraId="158DBA6F" w14:textId="77777777" w:rsidR="00B71445" w:rsidRDefault="00B71445" w:rsidP="00E40BF0">
      <w:pPr>
        <w:spacing w:line="240" w:lineRule="auto"/>
        <w:ind w:left="426" w:hanging="426"/>
        <w:rPr>
          <w:color w:val="333333"/>
          <w:sz w:val="21"/>
          <w:szCs w:val="21"/>
          <w:shd w:val="clear" w:color="auto" w:fill="FFFFFF"/>
        </w:rPr>
      </w:pPr>
      <w:r>
        <w:rPr>
          <w:color w:val="333333"/>
          <w:sz w:val="21"/>
          <w:szCs w:val="21"/>
          <w:shd w:val="clear" w:color="auto" w:fill="FFFFFF"/>
        </w:rPr>
        <w:t>Broadbent, D. E. (1958). </w:t>
      </w:r>
      <w:r>
        <w:rPr>
          <w:rStyle w:val="Emphasis"/>
          <w:color w:val="333333"/>
          <w:sz w:val="21"/>
          <w:szCs w:val="21"/>
          <w:shd w:val="clear" w:color="auto" w:fill="FFFFFF"/>
        </w:rPr>
        <w:t>Perception and communication.</w:t>
      </w:r>
      <w:r>
        <w:rPr>
          <w:color w:val="333333"/>
          <w:sz w:val="21"/>
          <w:szCs w:val="21"/>
          <w:shd w:val="clear" w:color="auto" w:fill="FFFFFF"/>
        </w:rPr>
        <w:t> Pergamon Press.</w:t>
      </w:r>
    </w:p>
    <w:p w14:paraId="718F0B19" w14:textId="01863AE3" w:rsidR="00E40BF0" w:rsidRPr="00AF299A" w:rsidRDefault="00E40BF0" w:rsidP="00E40BF0">
      <w:pPr>
        <w:spacing w:line="240" w:lineRule="auto"/>
        <w:ind w:left="426" w:hanging="426"/>
        <w:rPr>
          <w:rFonts w:eastAsia="Times New Roman"/>
          <w:color w:val="333333"/>
          <w:lang w:val="en-GB"/>
        </w:rPr>
      </w:pPr>
      <w:r w:rsidRPr="00AF299A">
        <w:rPr>
          <w:rFonts w:eastAsia="Times New Roman"/>
          <w:color w:val="333333"/>
          <w:lang w:val="en-GB"/>
        </w:rPr>
        <w:t xml:space="preserve">Colombo, Matteo &amp; </w:t>
      </w:r>
      <w:proofErr w:type="spellStart"/>
      <w:r w:rsidRPr="00AF299A">
        <w:rPr>
          <w:rFonts w:eastAsia="Times New Roman"/>
          <w:color w:val="333333"/>
          <w:lang w:val="en-GB"/>
        </w:rPr>
        <w:t>Knauff</w:t>
      </w:r>
      <w:proofErr w:type="spellEnd"/>
      <w:r w:rsidRPr="00AF299A">
        <w:rPr>
          <w:rFonts w:eastAsia="Times New Roman"/>
          <w:color w:val="333333"/>
          <w:lang w:val="en-GB"/>
        </w:rPr>
        <w:t>, Markus (2020). Editors’ Review and Introduction: Levels of Explanation in Cognitive Science: From Molecules to Culture. </w:t>
      </w:r>
      <w:r w:rsidRPr="00AF299A">
        <w:rPr>
          <w:rFonts w:eastAsia="Times New Roman"/>
          <w:i/>
          <w:iCs/>
          <w:color w:val="333333"/>
          <w:lang w:val="en-GB"/>
        </w:rPr>
        <w:t>Topics in Cognitive Science</w:t>
      </w:r>
      <w:r w:rsidRPr="00AF299A">
        <w:rPr>
          <w:rFonts w:eastAsia="Times New Roman"/>
          <w:color w:val="333333"/>
          <w:lang w:val="en-GB"/>
        </w:rPr>
        <w:t> 12 (4):1224-1240.</w:t>
      </w:r>
    </w:p>
    <w:p w14:paraId="438C6321" w14:textId="77777777" w:rsidR="001843BD" w:rsidRPr="001843BD" w:rsidRDefault="001843BD" w:rsidP="001843BD">
      <w:pPr>
        <w:pStyle w:val="NoSpacing"/>
        <w:spacing w:line="276" w:lineRule="auto"/>
        <w:rPr>
          <w:rFonts w:ascii="Arial" w:hAnsi="Arial" w:cs="Arial"/>
          <w:sz w:val="22"/>
          <w:szCs w:val="22"/>
        </w:rPr>
      </w:pPr>
      <w:r w:rsidRPr="001843BD">
        <w:rPr>
          <w:rFonts w:ascii="Arial" w:hAnsi="Arial" w:cs="Arial"/>
          <w:sz w:val="22"/>
          <w:szCs w:val="22"/>
        </w:rPr>
        <w:t>Dennett, D. (1969) Content and Consciousness. New York: Routledge.</w:t>
      </w:r>
    </w:p>
    <w:p w14:paraId="16FF5A62" w14:textId="082ABAAE" w:rsidR="00B71445" w:rsidRPr="001843BD" w:rsidRDefault="001843BD" w:rsidP="0024748C">
      <w:pPr>
        <w:ind w:left="426" w:hanging="426"/>
      </w:pPr>
      <w:r>
        <w:t>Dennett, D. C. (2007) Philosophy as naive anthropology: comment on Bennett and Hacker. In</w:t>
      </w:r>
      <w:r w:rsidR="0024748C">
        <w:t xml:space="preserve"> </w:t>
      </w:r>
      <w:r w:rsidR="0024748C">
        <w:t>Bennett, M., Dennett, D. C., Hacker, P. M. S. &amp; Searle, J. R. (eds.) Neuroscience and Philosophy: Brain, Mind, and Language. Columbia University Press.</w:t>
      </w:r>
    </w:p>
    <w:p w14:paraId="15FBD88B" w14:textId="0DA80A9E" w:rsidR="00E40BF0" w:rsidRPr="00E40BF0" w:rsidRDefault="00E40BF0" w:rsidP="00B71445">
      <w:pPr>
        <w:ind w:left="426" w:hanging="426"/>
      </w:pPr>
      <w:proofErr w:type="spellStart"/>
      <w:r w:rsidRPr="00AF299A">
        <w:rPr>
          <w:rFonts w:asciiTheme="minorHAnsi" w:eastAsiaTheme="minorHAnsi" w:hAnsiTheme="minorHAnsi" w:cstheme="minorBidi"/>
          <w:kern w:val="2"/>
          <w:sz w:val="24"/>
          <w:szCs w:val="24"/>
          <w:lang w:val="en-GB" w:eastAsia="en-US"/>
          <w14:ligatures w14:val="standardContextual"/>
        </w:rPr>
        <w:t>Drayson</w:t>
      </w:r>
      <w:proofErr w:type="spellEnd"/>
      <w:r w:rsidRPr="00AF299A">
        <w:rPr>
          <w:rFonts w:asciiTheme="minorHAnsi" w:eastAsiaTheme="minorHAnsi" w:hAnsiTheme="minorHAnsi" w:cstheme="minorBidi"/>
          <w:kern w:val="2"/>
          <w:sz w:val="24"/>
          <w:szCs w:val="24"/>
          <w:lang w:val="en-GB" w:eastAsia="en-US"/>
          <w14:ligatures w14:val="standardContextual"/>
        </w:rPr>
        <w:t>,</w:t>
      </w:r>
      <w:r>
        <w:t xml:space="preserve"> Z. (2012) The uses and abuses of the personal/</w:t>
      </w:r>
      <w:proofErr w:type="spellStart"/>
      <w:r>
        <w:t>subpersonal</w:t>
      </w:r>
      <w:proofErr w:type="spellEnd"/>
      <w:r>
        <w:t xml:space="preserve"> distinction. </w:t>
      </w:r>
      <w:r w:rsidRPr="00AF299A">
        <w:rPr>
          <w:rFonts w:eastAsiaTheme="minorHAnsi"/>
          <w:i/>
          <w:iCs/>
          <w:color w:val="333333"/>
          <w:kern w:val="2"/>
          <w:shd w:val="clear" w:color="auto" w:fill="FFFFFF"/>
          <w:lang w:val="en-GB" w:eastAsia="en-US"/>
          <w14:ligatures w14:val="standardContextual"/>
        </w:rPr>
        <w:t>Philosophical Perspectives</w:t>
      </w:r>
      <w:r w:rsidRPr="00AF299A">
        <w:rPr>
          <w:rFonts w:eastAsiaTheme="minorHAnsi"/>
          <w:color w:val="333333"/>
          <w:kern w:val="2"/>
          <w:shd w:val="clear" w:color="auto" w:fill="FFFFFF"/>
          <w:lang w:val="en-GB" w:eastAsia="en-US"/>
          <w14:ligatures w14:val="standardContextual"/>
        </w:rPr>
        <w:t> 26 (1):1-18.</w:t>
      </w:r>
    </w:p>
    <w:p w14:paraId="1E83A2CC" w14:textId="77777777" w:rsidR="001843BD" w:rsidRPr="001843BD" w:rsidRDefault="001843BD" w:rsidP="001843BD">
      <w:pPr>
        <w:pStyle w:val="NoSpacing"/>
        <w:spacing w:line="276" w:lineRule="auto"/>
        <w:rPr>
          <w:rFonts w:ascii="Arial" w:hAnsi="Arial" w:cs="Arial"/>
          <w:sz w:val="22"/>
          <w:szCs w:val="22"/>
        </w:rPr>
      </w:pPr>
      <w:proofErr w:type="spellStart"/>
      <w:r w:rsidRPr="001843BD">
        <w:rPr>
          <w:rFonts w:ascii="Arial" w:hAnsi="Arial" w:cs="Arial"/>
          <w:sz w:val="22"/>
          <w:szCs w:val="22"/>
        </w:rPr>
        <w:t>Drayson</w:t>
      </w:r>
      <w:proofErr w:type="spellEnd"/>
      <w:r w:rsidRPr="001843BD">
        <w:rPr>
          <w:rFonts w:ascii="Arial" w:hAnsi="Arial" w:cs="Arial"/>
          <w:sz w:val="22"/>
          <w:szCs w:val="22"/>
        </w:rPr>
        <w:t>, Z. (2014) The Personal/</w:t>
      </w:r>
      <w:proofErr w:type="spellStart"/>
      <w:r w:rsidRPr="001843BD">
        <w:rPr>
          <w:rFonts w:ascii="Arial" w:hAnsi="Arial" w:cs="Arial"/>
          <w:sz w:val="22"/>
          <w:szCs w:val="22"/>
        </w:rPr>
        <w:t>Subpersonal</w:t>
      </w:r>
      <w:proofErr w:type="spellEnd"/>
      <w:r w:rsidRPr="001843BD">
        <w:rPr>
          <w:rFonts w:ascii="Arial" w:hAnsi="Arial" w:cs="Arial"/>
          <w:sz w:val="22"/>
          <w:szCs w:val="22"/>
        </w:rPr>
        <w:t xml:space="preserve"> Distinction. Philosophy Compass 9 (5):338-346.</w:t>
      </w:r>
    </w:p>
    <w:p w14:paraId="6EF0FF7D" w14:textId="471E192D" w:rsidR="00B71445" w:rsidRPr="00AF299A" w:rsidRDefault="00B71445" w:rsidP="00B71445">
      <w:pPr>
        <w:shd w:val="clear" w:color="auto" w:fill="FFFFFF"/>
        <w:spacing w:line="240" w:lineRule="auto"/>
        <w:rPr>
          <w:rFonts w:eastAsia="Times New Roman"/>
          <w:color w:val="333333"/>
          <w:lang w:val="en-GB"/>
        </w:rPr>
      </w:pPr>
      <w:proofErr w:type="spellStart"/>
      <w:r w:rsidRPr="00AF299A">
        <w:rPr>
          <w:rFonts w:eastAsia="Times New Roman"/>
          <w:color w:val="333333"/>
          <w:lang w:val="en-GB"/>
        </w:rPr>
        <w:t>Drayson</w:t>
      </w:r>
      <w:proofErr w:type="spellEnd"/>
      <w:r w:rsidRPr="00AF299A">
        <w:rPr>
          <w:rFonts w:eastAsia="Times New Roman"/>
          <w:color w:val="333333"/>
          <w:lang w:val="en-GB"/>
        </w:rPr>
        <w:t>, Z</w:t>
      </w:r>
      <w:r>
        <w:rPr>
          <w:rFonts w:eastAsia="Times New Roman"/>
          <w:color w:val="333333"/>
          <w:lang w:val="en-GB"/>
        </w:rPr>
        <w:t>.</w:t>
      </w:r>
      <w:r w:rsidRPr="00AF299A">
        <w:rPr>
          <w:rFonts w:eastAsia="Times New Roman"/>
          <w:color w:val="333333"/>
          <w:lang w:val="en-GB"/>
        </w:rPr>
        <w:t xml:space="preserve"> (2020). Why I am not a literalist. </w:t>
      </w:r>
      <w:r w:rsidRPr="00AF299A">
        <w:rPr>
          <w:rFonts w:eastAsia="Times New Roman"/>
          <w:i/>
          <w:iCs/>
          <w:color w:val="333333"/>
          <w:lang w:val="en-GB"/>
        </w:rPr>
        <w:t>Mind and Language</w:t>
      </w:r>
      <w:r w:rsidRPr="00AF299A">
        <w:rPr>
          <w:rFonts w:eastAsia="Times New Roman"/>
          <w:color w:val="333333"/>
          <w:lang w:val="en-GB"/>
        </w:rPr>
        <w:t> 35 (5):661-670.</w:t>
      </w:r>
    </w:p>
    <w:p w14:paraId="4AFFB5A0" w14:textId="254FF55E" w:rsidR="00E40BF0" w:rsidRPr="00E40BF0" w:rsidRDefault="00E40BF0" w:rsidP="001843BD">
      <w:pPr>
        <w:ind w:left="426" w:hanging="426"/>
      </w:pPr>
      <w:proofErr w:type="spellStart"/>
      <w:r>
        <w:t>Drayson</w:t>
      </w:r>
      <w:proofErr w:type="spellEnd"/>
      <w:r>
        <w:t xml:space="preserve">, Z. (2023) </w:t>
      </w:r>
      <w:r w:rsidRPr="00AF299A">
        <w:rPr>
          <w:color w:val="333333"/>
          <w:shd w:val="clear" w:color="auto" w:fill="FFFFFF"/>
        </w:rPr>
        <w:t xml:space="preserve">The fragmented mind: personal and </w:t>
      </w:r>
      <w:proofErr w:type="spellStart"/>
      <w:r w:rsidRPr="00AF299A">
        <w:rPr>
          <w:color w:val="333333"/>
          <w:shd w:val="clear" w:color="auto" w:fill="FFFFFF"/>
        </w:rPr>
        <w:t>subpersonal</w:t>
      </w:r>
      <w:proofErr w:type="spellEnd"/>
      <w:r w:rsidRPr="00AF299A">
        <w:rPr>
          <w:color w:val="333333"/>
          <w:shd w:val="clear" w:color="auto" w:fill="FFFFFF"/>
        </w:rPr>
        <w:t xml:space="preserve"> approaches to implicit mental states. In J. Robert Thompson (ed.), </w:t>
      </w:r>
      <w:r w:rsidRPr="00AF299A">
        <w:rPr>
          <w:i/>
          <w:iCs/>
          <w:color w:val="333333"/>
          <w:shd w:val="clear" w:color="auto" w:fill="FFFFFF"/>
        </w:rPr>
        <w:t>The Routledge Handbook of Philosophy and Implicit Cognition</w:t>
      </w:r>
      <w:r w:rsidRPr="00AF299A">
        <w:rPr>
          <w:color w:val="333333"/>
          <w:shd w:val="clear" w:color="auto" w:fill="FFFFFF"/>
        </w:rPr>
        <w:t>. New York, NY: Routledge.</w:t>
      </w:r>
    </w:p>
    <w:p w14:paraId="19AE6742" w14:textId="77777777" w:rsidR="00B71445" w:rsidRDefault="00E40BF0" w:rsidP="00B71445">
      <w:pPr>
        <w:ind w:left="426" w:hanging="426"/>
      </w:pPr>
      <w:proofErr w:type="spellStart"/>
      <w:r>
        <w:t>Drayson</w:t>
      </w:r>
      <w:proofErr w:type="spellEnd"/>
      <w:r>
        <w:t xml:space="preserve">, Z. (forthcoming) The psychology of implicit knowledge. </w:t>
      </w:r>
      <w:r w:rsidRPr="00E40BF0">
        <w:t xml:space="preserve">In K. </w:t>
      </w:r>
      <w:r w:rsidRPr="00AF299A">
        <w:rPr>
          <w:color w:val="333333"/>
          <w:shd w:val="clear" w:color="auto" w:fill="FFFFFF"/>
        </w:rPr>
        <w:t xml:space="preserve">Sylvan, E. Sosa, J. Dancy, &amp; M. </w:t>
      </w:r>
      <w:proofErr w:type="spellStart"/>
      <w:r w:rsidRPr="00AF299A">
        <w:rPr>
          <w:color w:val="333333"/>
          <w:shd w:val="clear" w:color="auto" w:fill="FFFFFF"/>
        </w:rPr>
        <w:t>Steup</w:t>
      </w:r>
      <w:proofErr w:type="spellEnd"/>
      <w:r w:rsidRPr="00AF299A">
        <w:rPr>
          <w:color w:val="333333"/>
          <w:shd w:val="clear" w:color="auto" w:fill="FFFFFF"/>
        </w:rPr>
        <w:t xml:space="preserve"> (eds.) </w:t>
      </w:r>
      <w:r w:rsidRPr="00AF299A">
        <w:rPr>
          <w:i/>
          <w:iCs/>
          <w:color w:val="333333"/>
          <w:shd w:val="clear" w:color="auto" w:fill="FFFFFF"/>
        </w:rPr>
        <w:t>The Blackwell Companion to Epistemology, 3rd edition</w:t>
      </w:r>
      <w:r w:rsidRPr="00AF299A">
        <w:rPr>
          <w:color w:val="333333"/>
          <w:shd w:val="clear" w:color="auto" w:fill="FFFFFF"/>
        </w:rPr>
        <w:t>. Wiley Blackwell.</w:t>
      </w:r>
    </w:p>
    <w:p w14:paraId="3FCF3A12" w14:textId="6B82F2ED" w:rsidR="00B71445" w:rsidRPr="00AF299A" w:rsidRDefault="00B71445" w:rsidP="00AF299A">
      <w:pPr>
        <w:ind w:left="426" w:hanging="426"/>
      </w:pPr>
      <w:proofErr w:type="spellStart"/>
      <w:r w:rsidRPr="00AF299A">
        <w:rPr>
          <w:rFonts w:eastAsia="Times New Roman"/>
          <w:color w:val="333333"/>
          <w:lang w:val="en-GB"/>
        </w:rPr>
        <w:t>Figdor</w:t>
      </w:r>
      <w:proofErr w:type="spellEnd"/>
      <w:r w:rsidRPr="00AF299A">
        <w:rPr>
          <w:rFonts w:eastAsia="Times New Roman"/>
          <w:color w:val="333333"/>
          <w:lang w:val="en-GB"/>
        </w:rPr>
        <w:t>, Carrie (2018). </w:t>
      </w:r>
      <w:r w:rsidRPr="00AF299A">
        <w:rPr>
          <w:rFonts w:eastAsia="Times New Roman"/>
          <w:i/>
          <w:iCs/>
          <w:color w:val="333333"/>
          <w:lang w:val="en-GB"/>
        </w:rPr>
        <w:t>Pieces of Mind: The Proper Domain of Psychological Predicates</w:t>
      </w:r>
      <w:r w:rsidRPr="00AF299A">
        <w:rPr>
          <w:rFonts w:eastAsia="Times New Roman"/>
          <w:color w:val="333333"/>
          <w:lang w:val="en-GB"/>
        </w:rPr>
        <w:t>. Oxford, UK: Oxford University Press.</w:t>
      </w:r>
    </w:p>
    <w:p w14:paraId="0FF67C45" w14:textId="1ED41C12" w:rsidR="001843BD" w:rsidRDefault="001843BD" w:rsidP="001843BD">
      <w:pPr>
        <w:ind w:left="426" w:hanging="426"/>
      </w:pPr>
      <w:r>
        <w:t xml:space="preserve">Fodor, J. A. </w:t>
      </w:r>
      <w:r w:rsidR="00C03FF1">
        <w:t xml:space="preserve">(1975) </w:t>
      </w:r>
      <w:r>
        <w:t>The Language of Thought. Cambridge, MA: Harvard University Press.</w:t>
      </w:r>
    </w:p>
    <w:p w14:paraId="0BD5C29E" w14:textId="4A45A8DF" w:rsidR="00E40BF0" w:rsidRDefault="001843BD" w:rsidP="001843BD">
      <w:pPr>
        <w:ind w:left="426" w:hanging="426"/>
      </w:pPr>
      <w:r w:rsidRPr="002E0423">
        <w:lastRenderedPageBreak/>
        <w:t>Frankish, Keith (2009). Systems and Levels: Dual System Theories and the Personal-</w:t>
      </w:r>
      <w:proofErr w:type="spellStart"/>
      <w:r w:rsidRPr="002E0423">
        <w:t>Subpersonal</w:t>
      </w:r>
      <w:proofErr w:type="spellEnd"/>
      <w:r w:rsidRPr="002E0423">
        <w:t xml:space="preserve"> Distinction</w:t>
      </w:r>
      <w:r>
        <w:t xml:space="preserve">. </w:t>
      </w:r>
      <w:r w:rsidRPr="002E0423">
        <w:t>In Jonathan Evans &amp; Keith Frankish (eds.), In Two Minds: Dual Processes and Beyond. Oxford University Press.</w:t>
      </w:r>
    </w:p>
    <w:p w14:paraId="6ED0402C" w14:textId="77777777" w:rsidR="00E40BF0" w:rsidRDefault="00E40BF0" w:rsidP="00AF299A">
      <w:pPr>
        <w:ind w:left="426" w:hanging="426"/>
        <w:rPr>
          <w:color w:val="202122"/>
          <w:shd w:val="clear" w:color="auto" w:fill="FFFFFF"/>
        </w:rPr>
      </w:pPr>
      <w:r>
        <w:rPr>
          <w:color w:val="202122"/>
          <w:shd w:val="clear" w:color="auto" w:fill="FFFFFF"/>
        </w:rPr>
        <w:t>Greenwald, Anthony G.; McGhee, Debbie E.; Schwartz, Jordan L.K. (1998), "Measuring Individual Differences in Implicit Cognition: The Implicit Association Test", </w:t>
      </w:r>
      <w:r>
        <w:rPr>
          <w:i/>
          <w:iCs/>
          <w:color w:val="202122"/>
          <w:shd w:val="clear" w:color="auto" w:fill="FFFFFF"/>
        </w:rPr>
        <w:t>Journal of Personality and Social Psychology</w:t>
      </w:r>
      <w:r>
        <w:rPr>
          <w:color w:val="202122"/>
          <w:shd w:val="clear" w:color="auto" w:fill="FFFFFF"/>
        </w:rPr>
        <w:t>, </w:t>
      </w:r>
      <w:r>
        <w:rPr>
          <w:b/>
          <w:bCs/>
          <w:color w:val="202122"/>
          <w:shd w:val="clear" w:color="auto" w:fill="FFFFFF"/>
        </w:rPr>
        <w:t>74</w:t>
      </w:r>
      <w:r>
        <w:rPr>
          <w:color w:val="202122"/>
          <w:shd w:val="clear" w:color="auto" w:fill="FFFFFF"/>
        </w:rPr>
        <w:t> (6): 1464–1480</w:t>
      </w:r>
    </w:p>
    <w:p w14:paraId="623B193F" w14:textId="6D6C44AE" w:rsidR="001843BD" w:rsidRDefault="001843BD" w:rsidP="001843BD">
      <w:pPr>
        <w:ind w:left="426" w:hanging="426"/>
      </w:pPr>
      <w:r>
        <w:t xml:space="preserve">Hornsby, J. </w:t>
      </w:r>
      <w:r w:rsidR="00C03FF1">
        <w:t xml:space="preserve">(2000) </w:t>
      </w:r>
      <w:r>
        <w:t xml:space="preserve">‘Personal and Sub-personal: A </w:t>
      </w:r>
      <w:proofErr w:type="spellStart"/>
      <w:r>
        <w:t>Defence</w:t>
      </w:r>
      <w:proofErr w:type="spellEnd"/>
      <w:r>
        <w:t xml:space="preserve"> of Dennett’s Early Distinction.’ Philosophical Explorations 3.1: 6–24.</w:t>
      </w:r>
    </w:p>
    <w:p w14:paraId="4EA64772" w14:textId="6D93C6F6" w:rsidR="00B71445" w:rsidRDefault="001843BD" w:rsidP="001843BD">
      <w:pPr>
        <w:ind w:left="426" w:hanging="426"/>
      </w:pPr>
      <w:r w:rsidRPr="002E0423">
        <w:t>Jiang, Y. V., Costello, P., Fang, F., Huang, M., &amp; He, S. (2006). A gender- and sexual orientation</w:t>
      </w:r>
      <w:r>
        <w:t>-</w:t>
      </w:r>
      <w:r w:rsidRPr="002E0423">
        <w:t>dependent spatial attentional effect of invisible images. Proceedings of the National Academy of Sciences, 103(45), 17048–17052.</w:t>
      </w:r>
    </w:p>
    <w:p w14:paraId="49CEA9EE" w14:textId="77777777" w:rsidR="00B71445" w:rsidRPr="00AF299A" w:rsidRDefault="00B71445" w:rsidP="00AF299A">
      <w:pPr>
        <w:ind w:left="426" w:hanging="426"/>
        <w:rPr>
          <w:rFonts w:eastAsia="Times New Roman"/>
          <w:color w:val="333333"/>
          <w:lang w:val="en-GB"/>
        </w:rPr>
      </w:pPr>
      <w:proofErr w:type="spellStart"/>
      <w:r w:rsidRPr="00AF299A">
        <w:rPr>
          <w:rFonts w:eastAsia="Times New Roman"/>
          <w:color w:val="333333"/>
          <w:lang w:val="en-GB"/>
        </w:rPr>
        <w:t>Libet</w:t>
      </w:r>
      <w:proofErr w:type="spellEnd"/>
      <w:r w:rsidRPr="00AF299A">
        <w:rPr>
          <w:rFonts w:eastAsia="Times New Roman"/>
          <w:color w:val="333333"/>
          <w:lang w:val="en-GB"/>
        </w:rPr>
        <w:t xml:space="preserve">, </w:t>
      </w:r>
      <w:proofErr w:type="gramStart"/>
      <w:r w:rsidRPr="00AF299A">
        <w:rPr>
          <w:rFonts w:eastAsia="Times New Roman"/>
          <w:color w:val="333333"/>
          <w:lang w:val="en-GB"/>
        </w:rPr>
        <w:t>Benjamin ;</w:t>
      </w:r>
      <w:proofErr w:type="gramEnd"/>
      <w:r w:rsidRPr="00AF299A">
        <w:rPr>
          <w:rFonts w:eastAsia="Times New Roman"/>
          <w:color w:val="333333"/>
          <w:lang w:val="en-GB"/>
        </w:rPr>
        <w:t xml:space="preserve"> Gleason, Curtis A. ; Wright, Elwood W. &amp; Pearl, Dennis K. (1983). Time of conscious intention to act in relation to onset of cerebral activity (readiness-potential). The unconscious initiation of a freely voluntary act. </w:t>
      </w:r>
      <w:r w:rsidRPr="00AF299A">
        <w:rPr>
          <w:rFonts w:eastAsia="Times New Roman"/>
          <w:i/>
          <w:iCs/>
          <w:color w:val="333333"/>
          <w:lang w:val="en-GB"/>
        </w:rPr>
        <w:t>Brain</w:t>
      </w:r>
      <w:r w:rsidRPr="00AF299A">
        <w:rPr>
          <w:rFonts w:eastAsia="Times New Roman"/>
          <w:color w:val="333333"/>
          <w:lang w:val="en-GB"/>
        </w:rPr>
        <w:t> 106 (3):623--664.</w:t>
      </w:r>
    </w:p>
    <w:p w14:paraId="2CF91323" w14:textId="1CC70864" w:rsidR="001843BD" w:rsidRDefault="001843BD" w:rsidP="001843BD">
      <w:pPr>
        <w:ind w:left="426" w:hanging="426"/>
      </w:pPr>
      <w:r>
        <w:t>Lycan, William G. (1988). Judgement and Justification. Cambridge University Press.</w:t>
      </w:r>
    </w:p>
    <w:p w14:paraId="6A5FEBEC" w14:textId="5944C008" w:rsidR="001843BD" w:rsidRDefault="001843BD" w:rsidP="001843BD">
      <w:pPr>
        <w:ind w:left="426" w:hanging="426"/>
      </w:pPr>
      <w:r>
        <w:t xml:space="preserve">McDowell, John (1994). The content of perceptual experience. </w:t>
      </w:r>
      <w:proofErr w:type="spellStart"/>
      <w:r>
        <w:t>Philosopical</w:t>
      </w:r>
      <w:proofErr w:type="spellEnd"/>
      <w:r>
        <w:t xml:space="preserve"> Quarterly 44 (175):190-205.</w:t>
      </w:r>
    </w:p>
    <w:p w14:paraId="0CB4ED58" w14:textId="77777777" w:rsidR="00B71445" w:rsidRDefault="00B71445" w:rsidP="001843BD">
      <w:pPr>
        <w:ind w:left="426" w:hanging="426"/>
        <w:rPr>
          <w:color w:val="333333"/>
          <w:sz w:val="21"/>
          <w:szCs w:val="21"/>
          <w:shd w:val="clear" w:color="auto" w:fill="FFFFFF"/>
        </w:rPr>
      </w:pPr>
      <w:r>
        <w:rPr>
          <w:color w:val="333333"/>
          <w:sz w:val="21"/>
          <w:szCs w:val="21"/>
          <w:shd w:val="clear" w:color="auto" w:fill="FFFFFF"/>
        </w:rPr>
        <w:t>Miller, G. A. (1956). The magical number seven, plus or minus two: Some limits on our capacity for processing information. </w:t>
      </w:r>
      <w:r>
        <w:rPr>
          <w:rStyle w:val="Emphasis"/>
          <w:color w:val="333333"/>
          <w:sz w:val="21"/>
          <w:szCs w:val="21"/>
          <w:shd w:val="clear" w:color="auto" w:fill="FFFFFF"/>
        </w:rPr>
        <w:t>Psychological Review, 63</w:t>
      </w:r>
      <w:r>
        <w:rPr>
          <w:color w:val="333333"/>
          <w:sz w:val="21"/>
          <w:szCs w:val="21"/>
          <w:shd w:val="clear" w:color="auto" w:fill="FFFFFF"/>
        </w:rPr>
        <w:t>(2), 81–97.</w:t>
      </w:r>
    </w:p>
    <w:p w14:paraId="7CEA9E23" w14:textId="45709FF2" w:rsidR="001843BD" w:rsidRDefault="001843BD" w:rsidP="001843BD">
      <w:pPr>
        <w:ind w:left="426" w:hanging="426"/>
      </w:pPr>
      <w:r w:rsidRPr="00C61E42">
        <w:t xml:space="preserve">Naeem, Hadeel (2023). Is a </w:t>
      </w:r>
      <w:proofErr w:type="spellStart"/>
      <w:r w:rsidRPr="00C61E42">
        <w:t>subpersonal</w:t>
      </w:r>
      <w:proofErr w:type="spellEnd"/>
      <w:r w:rsidRPr="00C61E42">
        <w:t xml:space="preserve"> virtue epistemology possible? Philosophical Explorations 26 (3):350-367.</w:t>
      </w:r>
    </w:p>
    <w:p w14:paraId="4FC1AA03" w14:textId="3D87C5B4" w:rsidR="001843BD" w:rsidRDefault="001843BD" w:rsidP="001843BD">
      <w:pPr>
        <w:ind w:left="426" w:hanging="426"/>
      </w:pPr>
      <w:r w:rsidRPr="00C61E42">
        <w:t>Phillips</w:t>
      </w:r>
      <w:r>
        <w:t xml:space="preserve">, I. </w:t>
      </w:r>
      <w:r w:rsidR="006E1E36">
        <w:t>(</w:t>
      </w:r>
      <w:r>
        <w:t>2019</w:t>
      </w:r>
      <w:r w:rsidR="006E1E36">
        <w:t>).</w:t>
      </w:r>
      <w:r>
        <w:t xml:space="preserve"> Object files and unconscious perception: a reply to </w:t>
      </w:r>
      <w:proofErr w:type="spellStart"/>
      <w:r>
        <w:t>Quilty</w:t>
      </w:r>
      <w:proofErr w:type="spellEnd"/>
      <w:r>
        <w:t>-Dunn. Analysis.</w:t>
      </w:r>
    </w:p>
    <w:p w14:paraId="738700B2" w14:textId="1CB85938" w:rsidR="00B71445" w:rsidRDefault="001843BD" w:rsidP="001843BD">
      <w:pPr>
        <w:ind w:left="426" w:hanging="426"/>
      </w:pPr>
      <w:r w:rsidRPr="004740AA">
        <w:t>Phillips, Ian &amp; Block, Ned (2016). Debate on unconscious perception. In Bence Nanay (ed.), Current Controversies in Philosophy of Perception. Routledge. pp. 165–192.</w:t>
      </w:r>
    </w:p>
    <w:p w14:paraId="2F677649" w14:textId="77777777" w:rsidR="00B71445" w:rsidRPr="00AF299A" w:rsidRDefault="00B71445" w:rsidP="00AF299A">
      <w:pPr>
        <w:ind w:left="426" w:hanging="426"/>
        <w:rPr>
          <w:rFonts w:eastAsia="Times New Roman"/>
          <w:color w:val="333333"/>
          <w:lang w:val="en-GB"/>
        </w:rPr>
      </w:pPr>
      <w:r w:rsidRPr="00AF299A">
        <w:rPr>
          <w:rFonts w:eastAsia="Times New Roman"/>
          <w:color w:val="333333"/>
          <w:lang w:val="en-GB"/>
        </w:rPr>
        <w:t>Rupert, Robert D. (2018). The Self in the Age of Cognitive Science: Decoupling the Self from the Personal Level. </w:t>
      </w:r>
      <w:r w:rsidRPr="00AF299A">
        <w:rPr>
          <w:rFonts w:eastAsia="Times New Roman"/>
          <w:i/>
          <w:iCs/>
          <w:color w:val="333333"/>
          <w:lang w:val="en-GB"/>
        </w:rPr>
        <w:t>Philosophic Exchange</w:t>
      </w:r>
      <w:r w:rsidRPr="00AF299A">
        <w:rPr>
          <w:rFonts w:eastAsia="Times New Roman"/>
          <w:color w:val="333333"/>
          <w:lang w:val="en-GB"/>
        </w:rPr>
        <w:t> 2018.</w:t>
      </w:r>
    </w:p>
    <w:p w14:paraId="63DBF568" w14:textId="014D3CD5" w:rsidR="00E40BF0" w:rsidRDefault="00E40BF0" w:rsidP="00AF299A">
      <w:pPr>
        <w:ind w:left="426" w:hanging="426"/>
        <w:rPr>
          <w:lang w:val="en-GB"/>
        </w:rPr>
      </w:pPr>
      <w:r>
        <w:rPr>
          <w:lang w:val="en-GB"/>
        </w:rPr>
        <w:t>Sellars, Wilfred. (1956) ‘Empiricism and the Philosophy of Mind.’ Minnesota Studies in the Philosophy of Science, vol. I, Ed. H. Feigl and M. Scriven. Minneapolis, MN: University of Minnesota Press. 253–329.</w:t>
      </w:r>
    </w:p>
    <w:p w14:paraId="58AC88D2" w14:textId="77777777" w:rsidR="001843BD" w:rsidRDefault="001843BD" w:rsidP="001843BD">
      <w:pPr>
        <w:ind w:left="426" w:hanging="426"/>
      </w:pPr>
      <w:r w:rsidRPr="00C61E42">
        <w:t>Westfall</w:t>
      </w:r>
      <w:r>
        <w:t>, M.</w:t>
      </w:r>
      <w:r w:rsidRPr="00C61E42">
        <w:t> (2022) Constructing persons: On the personal–</w:t>
      </w:r>
      <w:proofErr w:type="spellStart"/>
      <w:r w:rsidRPr="00C61E42">
        <w:t>subpersonal</w:t>
      </w:r>
      <w:proofErr w:type="spellEnd"/>
      <w:r w:rsidRPr="00C61E42">
        <w:t xml:space="preserve"> distinction, Philosophical Psychology, DOI: </w:t>
      </w:r>
      <w:hyperlink r:id="rId7" w:history="1">
        <w:r w:rsidRPr="00C61E42">
          <w:t>10.1080/09515089.2022.2096431</w:t>
        </w:r>
      </w:hyperlink>
    </w:p>
    <w:p w14:paraId="6E09C3DE" w14:textId="6743701D" w:rsidR="001843BD" w:rsidRPr="00700A32" w:rsidRDefault="001843BD" w:rsidP="001843BD">
      <w:pPr>
        <w:ind w:left="426" w:hanging="426"/>
      </w:pPr>
      <w:r w:rsidRPr="00C61E42">
        <w:t xml:space="preserve">Wittgenstein, L. </w:t>
      </w:r>
      <w:r w:rsidR="006E1E36">
        <w:t xml:space="preserve">(1953). </w:t>
      </w:r>
      <w:r w:rsidRPr="00C61E42">
        <w:t>Philosophical</w:t>
      </w:r>
      <w:r>
        <w:t xml:space="preserve"> Investigations. Ed. G.E.M. Anscombe and R. </w:t>
      </w:r>
      <w:proofErr w:type="spellStart"/>
      <w:r>
        <w:t>Rhees</w:t>
      </w:r>
      <w:proofErr w:type="spellEnd"/>
      <w:r>
        <w:t>, Trans. G.E.M. Anscombe. Oxford: Blackwell</w:t>
      </w:r>
      <w:r w:rsidR="006E1E36">
        <w:t>.</w:t>
      </w:r>
    </w:p>
    <w:p w14:paraId="0000001E" w14:textId="77777777" w:rsidR="00A27F38" w:rsidRDefault="00000000">
      <w:pPr>
        <w:spacing w:before="240"/>
        <w:rPr>
          <w:b/>
        </w:rPr>
      </w:pPr>
      <w:r>
        <w:rPr>
          <w:b/>
        </w:rPr>
        <w:t xml:space="preserve">Keywords: </w:t>
      </w:r>
    </w:p>
    <w:p w14:paraId="1F40882C" w14:textId="741E76CC" w:rsidR="00A758B6" w:rsidRPr="00A758B6" w:rsidRDefault="00A758B6">
      <w:pPr>
        <w:spacing w:before="240"/>
        <w:rPr>
          <w:bCs/>
        </w:rPr>
      </w:pPr>
      <w:r w:rsidRPr="00AF299A">
        <w:rPr>
          <w:bCs/>
        </w:rPr>
        <w:t xml:space="preserve">Personal, </w:t>
      </w:r>
      <w:proofErr w:type="spellStart"/>
      <w:r w:rsidRPr="00AF299A">
        <w:rPr>
          <w:bCs/>
        </w:rPr>
        <w:t>subpersonal</w:t>
      </w:r>
      <w:proofErr w:type="spellEnd"/>
      <w:r w:rsidRPr="00AF299A">
        <w:rPr>
          <w:bCs/>
        </w:rPr>
        <w:t>, explanation, levels</w:t>
      </w:r>
    </w:p>
    <w:sectPr w:rsidR="00A758B6" w:rsidRPr="00A758B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0114" w14:textId="77777777" w:rsidR="004E5EAF" w:rsidRDefault="004E5EAF">
      <w:pPr>
        <w:spacing w:line="240" w:lineRule="auto"/>
      </w:pPr>
      <w:r>
        <w:separator/>
      </w:r>
    </w:p>
  </w:endnote>
  <w:endnote w:type="continuationSeparator" w:id="0">
    <w:p w14:paraId="2F14AC2A" w14:textId="77777777" w:rsidR="004E5EAF" w:rsidRDefault="004E5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3273" w14:textId="77777777" w:rsidR="004E5EAF" w:rsidRDefault="004E5EAF">
      <w:pPr>
        <w:spacing w:line="240" w:lineRule="auto"/>
      </w:pPr>
      <w:r>
        <w:separator/>
      </w:r>
    </w:p>
  </w:footnote>
  <w:footnote w:type="continuationSeparator" w:id="0">
    <w:p w14:paraId="2CFF3A96" w14:textId="77777777" w:rsidR="004E5EAF" w:rsidRDefault="004E5E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2DE32D6A" w:rsidR="00A27F38" w:rsidRDefault="00AF299A" w:rsidP="00AF299A">
    <w:pPr>
      <w:jc w:val="center"/>
      <w:rPr>
        <w:lang w:val="en-GB"/>
      </w:rPr>
    </w:pPr>
    <w:r>
      <w:rPr>
        <w:lang w:val="en-GB"/>
      </w:rPr>
      <w:t xml:space="preserve">This is penultimate draft of an entry in Michael C. Frank and </w:t>
    </w:r>
    <w:proofErr w:type="spellStart"/>
    <w:r>
      <w:rPr>
        <w:lang w:val="en-GB"/>
      </w:rPr>
      <w:t>Asifa</w:t>
    </w:r>
    <w:proofErr w:type="spellEnd"/>
    <w:r>
      <w:rPr>
        <w:lang w:val="en-GB"/>
      </w:rPr>
      <w:t xml:space="preserve"> </w:t>
    </w:r>
    <w:proofErr w:type="spellStart"/>
    <w:r>
      <w:rPr>
        <w:lang w:val="en-GB"/>
      </w:rPr>
      <w:t>Majïd</w:t>
    </w:r>
    <w:proofErr w:type="spellEnd"/>
    <w:r>
      <w:rPr>
        <w:lang w:val="en-GB"/>
      </w:rPr>
      <w:t xml:space="preserve"> (eds.) </w:t>
    </w:r>
    <w:r w:rsidRPr="00AF299A">
      <w:rPr>
        <w:i/>
        <w:iCs/>
        <w:lang w:val="en-GB"/>
      </w:rPr>
      <w:t xml:space="preserve">Open </w:t>
    </w:r>
    <w:proofErr w:type="spellStart"/>
    <w:r w:rsidRPr="00AF299A">
      <w:rPr>
        <w:i/>
        <w:iCs/>
        <w:lang w:val="en-GB"/>
      </w:rPr>
      <w:t>Encyclopedia</w:t>
    </w:r>
    <w:proofErr w:type="spellEnd"/>
    <w:r w:rsidRPr="00AF299A">
      <w:rPr>
        <w:i/>
        <w:iCs/>
        <w:lang w:val="en-GB"/>
      </w:rPr>
      <w:t xml:space="preserve"> of Cognitive Science</w:t>
    </w:r>
    <w:r>
      <w:rPr>
        <w:lang w:val="en-GB"/>
      </w:rPr>
      <w:t>, MIT (forthcoming). Please cite published version.</w:t>
    </w:r>
  </w:p>
  <w:p w14:paraId="09046049" w14:textId="77777777" w:rsidR="00AF299A" w:rsidRPr="00AF299A" w:rsidRDefault="00AF299A" w:rsidP="00AF299A">
    <w:pP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1ADA"/>
    <w:multiLevelType w:val="hybridMultilevel"/>
    <w:tmpl w:val="B81E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90CE7"/>
    <w:multiLevelType w:val="multilevel"/>
    <w:tmpl w:val="3D1E0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5896587">
    <w:abstractNumId w:val="1"/>
  </w:num>
  <w:num w:numId="2" w16cid:durableId="30057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8"/>
    <w:rsid w:val="00122175"/>
    <w:rsid w:val="001843BD"/>
    <w:rsid w:val="001C4D2C"/>
    <w:rsid w:val="00220B17"/>
    <w:rsid w:val="0024748C"/>
    <w:rsid w:val="003F1C4C"/>
    <w:rsid w:val="00400202"/>
    <w:rsid w:val="0044700F"/>
    <w:rsid w:val="004616B5"/>
    <w:rsid w:val="004E2311"/>
    <w:rsid w:val="004E5EAF"/>
    <w:rsid w:val="00551648"/>
    <w:rsid w:val="00630274"/>
    <w:rsid w:val="006935A0"/>
    <w:rsid w:val="006A2C82"/>
    <w:rsid w:val="006E1E36"/>
    <w:rsid w:val="008317D6"/>
    <w:rsid w:val="008473D3"/>
    <w:rsid w:val="0089073E"/>
    <w:rsid w:val="008D01CE"/>
    <w:rsid w:val="00A27F38"/>
    <w:rsid w:val="00A74B38"/>
    <w:rsid w:val="00A758B6"/>
    <w:rsid w:val="00AF299A"/>
    <w:rsid w:val="00B71445"/>
    <w:rsid w:val="00C03FF1"/>
    <w:rsid w:val="00CA58E6"/>
    <w:rsid w:val="00D34F99"/>
    <w:rsid w:val="00E40BF0"/>
    <w:rsid w:val="00E55C40"/>
    <w:rsid w:val="00E85E8F"/>
    <w:rsid w:val="00ED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AB7A97"/>
  <w15:docId w15:val="{D7F7B609-7467-4948-B6BF-E34EDBAD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rPr>
  </w:style>
  <w:style w:type="paragraph" w:styleId="Heading2">
    <w:name w:val="heading 2"/>
    <w:basedOn w:val="Normal"/>
    <w:next w:val="Normal"/>
    <w:uiPriority w:val="9"/>
    <w:unhideWhenUsed/>
    <w:qFormat/>
    <w:pPr>
      <w:keepNext/>
      <w:keepLines/>
      <w:spacing w:before="240"/>
      <w:outlineLvl w:val="1"/>
    </w:pPr>
    <w:rPr>
      <w:i/>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jc w:val="center"/>
    </w:pPr>
    <w:rPr>
      <w:b/>
    </w:rPr>
  </w:style>
  <w:style w:type="paragraph" w:styleId="Subtitle">
    <w:name w:val="Subtitle"/>
    <w:basedOn w:val="Normal"/>
    <w:next w:val="Normal"/>
    <w:uiPriority w:val="11"/>
    <w:qFormat/>
    <w:pPr>
      <w:keepNext/>
      <w:keepLines/>
      <w:spacing w:before="240"/>
      <w:jc w:val="center"/>
    </w:pPr>
  </w:style>
  <w:style w:type="character" w:styleId="CommentReference">
    <w:name w:val="annotation reference"/>
    <w:basedOn w:val="DefaultParagraphFont"/>
    <w:uiPriority w:val="99"/>
    <w:semiHidden/>
    <w:unhideWhenUsed/>
    <w:rsid w:val="001843BD"/>
    <w:rPr>
      <w:sz w:val="16"/>
      <w:szCs w:val="16"/>
    </w:rPr>
  </w:style>
  <w:style w:type="paragraph" w:styleId="NoSpacing">
    <w:name w:val="No Spacing"/>
    <w:uiPriority w:val="1"/>
    <w:qFormat/>
    <w:rsid w:val="001843BD"/>
    <w:pPr>
      <w:spacing w:line="240" w:lineRule="auto"/>
    </w:pPr>
    <w:rPr>
      <w:rFonts w:asciiTheme="minorHAnsi" w:eastAsiaTheme="minorHAnsi" w:hAnsiTheme="minorHAnsi" w:cstheme="minorBidi"/>
      <w:kern w:val="2"/>
      <w:sz w:val="24"/>
      <w:szCs w:val="24"/>
      <w:lang w:val="en-GB" w:eastAsia="en-US"/>
      <w14:ligatures w14:val="standardContextual"/>
    </w:rPr>
  </w:style>
  <w:style w:type="paragraph" w:styleId="ListParagraph">
    <w:name w:val="List Paragraph"/>
    <w:basedOn w:val="Normal"/>
    <w:uiPriority w:val="34"/>
    <w:qFormat/>
    <w:rsid w:val="001843BD"/>
    <w:pPr>
      <w:ind w:left="720"/>
      <w:contextualSpacing/>
    </w:pPr>
  </w:style>
  <w:style w:type="paragraph" w:styleId="Revision">
    <w:name w:val="Revision"/>
    <w:hidden/>
    <w:uiPriority w:val="99"/>
    <w:semiHidden/>
    <w:rsid w:val="0024748C"/>
    <w:pPr>
      <w:spacing w:line="240" w:lineRule="auto"/>
    </w:pPr>
  </w:style>
  <w:style w:type="character" w:styleId="Hyperlink">
    <w:name w:val="Hyperlink"/>
    <w:basedOn w:val="DefaultParagraphFont"/>
    <w:uiPriority w:val="99"/>
    <w:unhideWhenUsed/>
    <w:rsid w:val="0024748C"/>
    <w:rPr>
      <w:color w:val="0000FF"/>
      <w:u w:val="single"/>
    </w:rPr>
  </w:style>
  <w:style w:type="character" w:styleId="UnresolvedMention">
    <w:name w:val="Unresolved Mention"/>
    <w:basedOn w:val="DefaultParagraphFont"/>
    <w:uiPriority w:val="99"/>
    <w:semiHidden/>
    <w:unhideWhenUsed/>
    <w:rsid w:val="0024748C"/>
    <w:rPr>
      <w:color w:val="605E5C"/>
      <w:shd w:val="clear" w:color="auto" w:fill="E1DFDD"/>
    </w:rPr>
  </w:style>
  <w:style w:type="paragraph" w:styleId="CommentText">
    <w:name w:val="annotation text"/>
    <w:basedOn w:val="Normal"/>
    <w:link w:val="CommentTextChar"/>
    <w:uiPriority w:val="99"/>
    <w:semiHidden/>
    <w:unhideWhenUsed/>
    <w:rsid w:val="003F1C4C"/>
    <w:pPr>
      <w:spacing w:line="240" w:lineRule="auto"/>
    </w:pPr>
    <w:rPr>
      <w:sz w:val="20"/>
      <w:szCs w:val="20"/>
    </w:rPr>
  </w:style>
  <w:style w:type="character" w:customStyle="1" w:styleId="CommentTextChar">
    <w:name w:val="Comment Text Char"/>
    <w:basedOn w:val="DefaultParagraphFont"/>
    <w:link w:val="CommentText"/>
    <w:uiPriority w:val="99"/>
    <w:semiHidden/>
    <w:rsid w:val="003F1C4C"/>
    <w:rPr>
      <w:sz w:val="20"/>
      <w:szCs w:val="20"/>
    </w:rPr>
  </w:style>
  <w:style w:type="paragraph" w:styleId="CommentSubject">
    <w:name w:val="annotation subject"/>
    <w:basedOn w:val="CommentText"/>
    <w:next w:val="CommentText"/>
    <w:link w:val="CommentSubjectChar"/>
    <w:uiPriority w:val="99"/>
    <w:semiHidden/>
    <w:unhideWhenUsed/>
    <w:rsid w:val="003F1C4C"/>
    <w:rPr>
      <w:b/>
      <w:bCs/>
    </w:rPr>
  </w:style>
  <w:style w:type="character" w:customStyle="1" w:styleId="CommentSubjectChar">
    <w:name w:val="Comment Subject Char"/>
    <w:basedOn w:val="CommentTextChar"/>
    <w:link w:val="CommentSubject"/>
    <w:uiPriority w:val="99"/>
    <w:semiHidden/>
    <w:rsid w:val="003F1C4C"/>
    <w:rPr>
      <w:b/>
      <w:bCs/>
      <w:sz w:val="20"/>
      <w:szCs w:val="20"/>
    </w:rPr>
  </w:style>
  <w:style w:type="character" w:styleId="Emphasis">
    <w:name w:val="Emphasis"/>
    <w:basedOn w:val="DefaultParagraphFont"/>
    <w:uiPriority w:val="20"/>
    <w:qFormat/>
    <w:rsid w:val="003F1C4C"/>
    <w:rPr>
      <w:i/>
      <w:iCs/>
    </w:rPr>
  </w:style>
  <w:style w:type="paragraph" w:styleId="Header">
    <w:name w:val="header"/>
    <w:basedOn w:val="Normal"/>
    <w:link w:val="HeaderChar"/>
    <w:uiPriority w:val="99"/>
    <w:unhideWhenUsed/>
    <w:rsid w:val="00AF299A"/>
    <w:pPr>
      <w:tabs>
        <w:tab w:val="center" w:pos="4513"/>
        <w:tab w:val="right" w:pos="9026"/>
      </w:tabs>
      <w:spacing w:line="240" w:lineRule="auto"/>
    </w:pPr>
  </w:style>
  <w:style w:type="character" w:customStyle="1" w:styleId="HeaderChar">
    <w:name w:val="Header Char"/>
    <w:basedOn w:val="DefaultParagraphFont"/>
    <w:link w:val="Header"/>
    <w:uiPriority w:val="99"/>
    <w:rsid w:val="00AF299A"/>
  </w:style>
  <w:style w:type="paragraph" w:styleId="Footer">
    <w:name w:val="footer"/>
    <w:basedOn w:val="Normal"/>
    <w:link w:val="FooterChar"/>
    <w:uiPriority w:val="99"/>
    <w:unhideWhenUsed/>
    <w:rsid w:val="00AF299A"/>
    <w:pPr>
      <w:tabs>
        <w:tab w:val="center" w:pos="4513"/>
        <w:tab w:val="right" w:pos="9026"/>
      </w:tabs>
      <w:spacing w:line="240" w:lineRule="auto"/>
    </w:pPr>
  </w:style>
  <w:style w:type="character" w:customStyle="1" w:styleId="FooterChar">
    <w:name w:val="Footer Char"/>
    <w:basedOn w:val="DefaultParagraphFont"/>
    <w:link w:val="Footer"/>
    <w:uiPriority w:val="99"/>
    <w:rsid w:val="00AF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2393">
      <w:bodyDiv w:val="1"/>
      <w:marLeft w:val="0"/>
      <w:marRight w:val="0"/>
      <w:marTop w:val="0"/>
      <w:marBottom w:val="0"/>
      <w:divBdr>
        <w:top w:val="none" w:sz="0" w:space="0" w:color="auto"/>
        <w:left w:val="none" w:sz="0" w:space="0" w:color="auto"/>
        <w:bottom w:val="none" w:sz="0" w:space="0" w:color="auto"/>
        <w:right w:val="none" w:sz="0" w:space="0" w:color="auto"/>
      </w:divBdr>
      <w:divsChild>
        <w:div w:id="228275614">
          <w:marLeft w:val="0"/>
          <w:marRight w:val="0"/>
          <w:marTop w:val="0"/>
          <w:marBottom w:val="0"/>
          <w:divBdr>
            <w:top w:val="none" w:sz="0" w:space="0" w:color="auto"/>
            <w:left w:val="none" w:sz="0" w:space="0" w:color="auto"/>
            <w:bottom w:val="none" w:sz="0" w:space="0" w:color="auto"/>
            <w:right w:val="none" w:sz="0" w:space="0" w:color="auto"/>
          </w:divBdr>
        </w:div>
      </w:divsChild>
    </w:div>
    <w:div w:id="1490444155">
      <w:bodyDiv w:val="1"/>
      <w:marLeft w:val="0"/>
      <w:marRight w:val="0"/>
      <w:marTop w:val="0"/>
      <w:marBottom w:val="0"/>
      <w:divBdr>
        <w:top w:val="none" w:sz="0" w:space="0" w:color="auto"/>
        <w:left w:val="none" w:sz="0" w:space="0" w:color="auto"/>
        <w:bottom w:val="none" w:sz="0" w:space="0" w:color="auto"/>
        <w:right w:val="none" w:sz="0" w:space="0" w:color="auto"/>
      </w:divBdr>
    </w:div>
    <w:div w:id="2069451928">
      <w:bodyDiv w:val="1"/>
      <w:marLeft w:val="0"/>
      <w:marRight w:val="0"/>
      <w:marTop w:val="0"/>
      <w:marBottom w:val="0"/>
      <w:divBdr>
        <w:top w:val="none" w:sz="0" w:space="0" w:color="auto"/>
        <w:left w:val="none" w:sz="0" w:space="0" w:color="auto"/>
        <w:bottom w:val="none" w:sz="0" w:space="0" w:color="auto"/>
        <w:right w:val="none" w:sz="0" w:space="0" w:color="auto"/>
      </w:divBdr>
      <w:divsChild>
        <w:div w:id="14467771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80/09515089.2022.20964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3847</Words>
  <Characters>23199</Characters>
  <Application>Microsoft Office Word</Application>
  <DocSecurity>0</DocSecurity>
  <Lines>351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Zoe Drayson</cp:lastModifiedBy>
  <cp:revision>2</cp:revision>
  <dcterms:created xsi:type="dcterms:W3CDTF">2024-07-16T03:14:00Z</dcterms:created>
  <dcterms:modified xsi:type="dcterms:W3CDTF">2024-07-16T03:14:00Z</dcterms:modified>
</cp:coreProperties>
</file>