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C2" w:rsidRDefault="008464ED" w:rsidP="008464ED">
      <w:pPr>
        <w:spacing w:line="360" w:lineRule="auto"/>
      </w:pPr>
      <w:r>
        <w:t>Imagination and Association in Kant’s Theory of Cognition</w:t>
      </w:r>
    </w:p>
    <w:p w:rsidR="00F90372" w:rsidRDefault="00F90372" w:rsidP="008464ED">
      <w:pPr>
        <w:spacing w:line="360" w:lineRule="auto"/>
      </w:pPr>
      <w:r>
        <w:t>Corey W. Dyck (London, Canada)</w:t>
      </w:r>
    </w:p>
    <w:p w:rsidR="008464ED" w:rsidRDefault="008464ED" w:rsidP="008464ED">
      <w:pPr>
        <w:spacing w:line="360" w:lineRule="auto"/>
      </w:pPr>
    </w:p>
    <w:p w:rsidR="00E4401C" w:rsidRDefault="00416F3C" w:rsidP="004777E5">
      <w:pPr>
        <w:spacing w:line="360" w:lineRule="auto"/>
      </w:pPr>
      <w:r>
        <w:t>B</w:t>
      </w:r>
      <w:r w:rsidR="00010809">
        <w:t>efitting its importance for Kant, the faculty of imagination has been the subject of a number of dedicated studies</w:t>
      </w:r>
      <w:r w:rsidR="00170479">
        <w:t>, including but by</w:t>
      </w:r>
      <w:r w:rsidR="00010809">
        <w:t xml:space="preserve"> no means limited to Hermann </w:t>
      </w:r>
      <w:proofErr w:type="spellStart"/>
      <w:r w:rsidR="00010809">
        <w:t>Mörchen’s</w:t>
      </w:r>
      <w:proofErr w:type="spellEnd"/>
      <w:r w:rsidR="00010809">
        <w:t xml:space="preserve"> </w:t>
      </w:r>
      <w:r w:rsidR="00010809">
        <w:rPr>
          <w:i/>
        </w:rPr>
        <w:t xml:space="preserve">Die </w:t>
      </w:r>
      <w:proofErr w:type="spellStart"/>
      <w:r w:rsidR="00010809">
        <w:rPr>
          <w:i/>
        </w:rPr>
        <w:t>Einbildungskraft</w:t>
      </w:r>
      <w:proofErr w:type="spellEnd"/>
      <w:r w:rsidR="00010809">
        <w:rPr>
          <w:i/>
        </w:rPr>
        <w:t xml:space="preserve"> </w:t>
      </w:r>
      <w:proofErr w:type="spellStart"/>
      <w:r w:rsidR="00010809">
        <w:rPr>
          <w:i/>
        </w:rPr>
        <w:t>bei</w:t>
      </w:r>
      <w:proofErr w:type="spellEnd"/>
      <w:r w:rsidR="00010809">
        <w:rPr>
          <w:i/>
        </w:rPr>
        <w:t xml:space="preserve"> Kant</w:t>
      </w:r>
      <w:r w:rsidR="004A0130">
        <w:t xml:space="preserve"> (1930, 2</w:t>
      </w:r>
      <w:r w:rsidR="004A0130" w:rsidRPr="004A0130">
        <w:rPr>
          <w:vertAlign w:val="superscript"/>
        </w:rPr>
        <w:t>nd</w:t>
      </w:r>
      <w:r w:rsidR="004A0130">
        <w:t xml:space="preserve"> ed. 1970</w:t>
      </w:r>
      <w:r w:rsidR="00010809">
        <w:t xml:space="preserve">, Rudolf </w:t>
      </w:r>
      <w:proofErr w:type="spellStart"/>
      <w:r w:rsidR="00010809">
        <w:t>Makkreel’s</w:t>
      </w:r>
      <w:proofErr w:type="spellEnd"/>
      <w:r w:rsidR="00010809">
        <w:t xml:space="preserve"> </w:t>
      </w:r>
      <w:r w:rsidR="00010809">
        <w:rPr>
          <w:i/>
        </w:rPr>
        <w:t>Imagination and Interpretation in Kant</w:t>
      </w:r>
      <w:r w:rsidR="00010809">
        <w:t xml:space="preserve"> (1990), and Jane Kneller’s </w:t>
      </w:r>
      <w:r w:rsidR="00010809">
        <w:rPr>
          <w:i/>
        </w:rPr>
        <w:t>Kant and the Power of Imagination</w:t>
      </w:r>
      <w:r w:rsidR="00010809">
        <w:t xml:space="preserve"> (2007). </w:t>
      </w:r>
      <w:r w:rsidR="00170479">
        <w:t>As these scholars recognize, the imagination, while deeply mysterious, is also an essential contributor to our cog</w:t>
      </w:r>
      <w:r w:rsidR="00C27AE2">
        <w:t>nition and aesthetic experience</w:t>
      </w:r>
      <w:r w:rsidR="00170479">
        <w:t xml:space="preserve"> and</w:t>
      </w:r>
      <w:r w:rsidR="00C27AE2">
        <w:t>,</w:t>
      </w:r>
      <w:r w:rsidR="00170479">
        <w:t xml:space="preserve"> as a result</w:t>
      </w:r>
      <w:r w:rsidR="00C27AE2">
        <w:t xml:space="preserve">, any effort to frame Kant’s theory of imagination </w:t>
      </w:r>
      <w:r w:rsidR="00170479">
        <w:t>requires that we ma</w:t>
      </w:r>
      <w:r w:rsidR="00C27AE2">
        <w:t xml:space="preserve">rshal all of the resources at our disposal. </w:t>
      </w:r>
      <w:r w:rsidR="001C47F5">
        <w:t>O</w:t>
      </w:r>
      <w:r w:rsidR="006B0881">
        <w:t>f particular relevance are Kant’s discussions of the faculty in the context of his treatments</w:t>
      </w:r>
      <w:r w:rsidR="00064FBF">
        <w:t>, largely in his lectures,</w:t>
      </w:r>
      <w:r w:rsidR="006B0881">
        <w:t xml:space="preserve"> of empirical psychology and anthropology. Indeed, while the psychological tenor of Kant’s discussion of the imagination, and related doctrine of synthesis, in the first </w:t>
      </w:r>
      <w:r w:rsidR="006B0881">
        <w:rPr>
          <w:i/>
        </w:rPr>
        <w:t>Critique</w:t>
      </w:r>
      <w:r w:rsidR="006B0881">
        <w:t xml:space="preserve"> has provoked the ire of a number of critics, most notoriously </w:t>
      </w:r>
      <w:proofErr w:type="spellStart"/>
      <w:r w:rsidR="006B0881">
        <w:t>Strawson</w:t>
      </w:r>
      <w:proofErr w:type="spellEnd"/>
      <w:r w:rsidR="006B0881">
        <w:t xml:space="preserve">, </w:t>
      </w:r>
      <w:r w:rsidR="004A36A8">
        <w:t xml:space="preserve">scholars have shown that </w:t>
      </w:r>
      <w:r w:rsidR="006B0881">
        <w:t>these sources can be productively used to flesh out Kant’s theory of imagination</w:t>
      </w:r>
      <w:r w:rsidR="00F30733">
        <w:t>, particularly its range of functions in Kant’s aesthetics</w:t>
      </w:r>
      <w:r w:rsidR="006B0881">
        <w:t xml:space="preserve">. </w:t>
      </w:r>
      <w:r w:rsidR="00010809">
        <w:t>So, i</w:t>
      </w:r>
      <w:r w:rsidR="004777E5">
        <w:t xml:space="preserve">n his </w:t>
      </w:r>
      <w:r w:rsidR="00010809">
        <w:t>now-</w:t>
      </w:r>
      <w:r w:rsidR="004777E5">
        <w:t>classic</w:t>
      </w:r>
      <w:r w:rsidR="00010809">
        <w:t xml:space="preserve"> study, </w:t>
      </w:r>
      <w:proofErr w:type="spellStart"/>
      <w:r w:rsidR="00010809">
        <w:t>Makkreel</w:t>
      </w:r>
      <w:proofErr w:type="spellEnd"/>
      <w:r w:rsidR="004777E5">
        <w:t xml:space="preserve"> outlines Kant’s pre-Critical theory of the imagination as presented in the L</w:t>
      </w:r>
      <w:r w:rsidR="004777E5">
        <w:rPr>
          <w:vertAlign w:val="subscript"/>
        </w:rPr>
        <w:t>1</w:t>
      </w:r>
      <w:r w:rsidR="00A04EB7">
        <w:t xml:space="preserve"> (“</w:t>
      </w:r>
      <w:proofErr w:type="spellStart"/>
      <w:r w:rsidR="00A04EB7">
        <w:t>Pölitz</w:t>
      </w:r>
      <w:proofErr w:type="spellEnd"/>
      <w:r w:rsidR="00A04EB7">
        <w:t>”) m</w:t>
      </w:r>
      <w:r w:rsidR="004777E5">
        <w:t>etaphysics lecture notes dating fro</w:t>
      </w:r>
      <w:r w:rsidR="009D77D1">
        <w:t xml:space="preserve">m the second-half of the 1770s, and </w:t>
      </w:r>
      <w:r w:rsidR="004777E5">
        <w:t xml:space="preserve">draws attention in his discussion to the various functions that Kant assigns to the imaginative faculty in addition to those narrowly-cognitive functions he assigns to it in the first </w:t>
      </w:r>
      <w:r w:rsidR="004777E5">
        <w:rPr>
          <w:i/>
        </w:rPr>
        <w:t>Critique</w:t>
      </w:r>
      <w:r w:rsidR="004777E5">
        <w:t xml:space="preserve"> (and which anticipate Kant’s later treatment </w:t>
      </w:r>
      <w:r w:rsidR="009D77D1">
        <w:t xml:space="preserve">of that faculty </w:t>
      </w:r>
      <w:r w:rsidR="004777E5">
        <w:t xml:space="preserve">in the third </w:t>
      </w:r>
      <w:r w:rsidR="004777E5">
        <w:rPr>
          <w:i/>
        </w:rPr>
        <w:t>Critique</w:t>
      </w:r>
      <w:r w:rsidR="004777E5">
        <w:t xml:space="preserve">). </w:t>
      </w:r>
    </w:p>
    <w:p w:rsidR="00DF7C07" w:rsidRDefault="00460E94" w:rsidP="008464ED">
      <w:pPr>
        <w:spacing w:line="360" w:lineRule="auto"/>
      </w:pPr>
      <w:r>
        <w:tab/>
      </w:r>
      <w:r w:rsidR="004777E5">
        <w:t xml:space="preserve">Since </w:t>
      </w:r>
      <w:proofErr w:type="spellStart"/>
      <w:r w:rsidR="004777E5">
        <w:t>Makkreel’s</w:t>
      </w:r>
      <w:proofErr w:type="spellEnd"/>
      <w:r w:rsidR="004777E5">
        <w:t xml:space="preserve"> treatment, however,</w:t>
      </w:r>
      <w:r w:rsidR="00672282">
        <w:t xml:space="preserve"> and apparently unattended to by more recent discussions,</w:t>
      </w:r>
      <w:r>
        <w:rPr>
          <w:rStyle w:val="FootnoteReference"/>
        </w:rPr>
        <w:footnoteReference w:id="1"/>
      </w:r>
      <w:r w:rsidR="004777E5">
        <w:t xml:space="preserve"> a wealth of material relevant to Kant’s acco</w:t>
      </w:r>
      <w:r w:rsidR="008C6441">
        <w:t>unt of the imaginative faculty</w:t>
      </w:r>
      <w:r w:rsidR="004777E5">
        <w:t xml:space="preserve"> has been published in the form of the lectures on anthropology in volume 25 of the </w:t>
      </w:r>
      <w:proofErr w:type="spellStart"/>
      <w:r w:rsidR="004777E5">
        <w:rPr>
          <w:i/>
        </w:rPr>
        <w:t>Akademie</w:t>
      </w:r>
      <w:proofErr w:type="spellEnd"/>
      <w:r w:rsidR="004777E5">
        <w:rPr>
          <w:i/>
        </w:rPr>
        <w:t xml:space="preserve"> </w:t>
      </w:r>
      <w:proofErr w:type="spellStart"/>
      <w:r w:rsidR="004777E5">
        <w:rPr>
          <w:i/>
        </w:rPr>
        <w:t>Ausgabe</w:t>
      </w:r>
      <w:proofErr w:type="spellEnd"/>
      <w:r w:rsidR="004777E5">
        <w:t xml:space="preserve">. These student lecture notes allow us to fill out many of the details of Kant’s account and to arrive at a fairly systematic classification of the various sub-faculties of the imagination; moreover, as I will </w:t>
      </w:r>
      <w:r w:rsidR="00F25939">
        <w:t>argue</w:t>
      </w:r>
      <w:r w:rsidR="004777E5">
        <w:t xml:space="preserve">, </w:t>
      </w:r>
      <w:r w:rsidR="00F25939">
        <w:t xml:space="preserve">while </w:t>
      </w:r>
      <w:r w:rsidR="004777E5">
        <w:t>the discussion recorded in the notes also sheds light on an important</w:t>
      </w:r>
      <w:r w:rsidR="004A36A8">
        <w:t xml:space="preserve"> but under-appreciated change of</w:t>
      </w:r>
      <w:r w:rsidR="004777E5">
        <w:t xml:space="preserve"> emphasis in Kant’s account of the imagination from the </w:t>
      </w:r>
      <w:r w:rsidR="00F25939">
        <w:t xml:space="preserve">pre-Critical to Critical period, it also serves to highlight important continuities, and shows how key arguments in the </w:t>
      </w:r>
      <w:r w:rsidR="00F25939">
        <w:rPr>
          <w:i/>
        </w:rPr>
        <w:t>Critique</w:t>
      </w:r>
      <w:r w:rsidR="00F25939">
        <w:t xml:space="preserve"> are constructed, at least in part, in service of his previous anthropological claims regarding</w:t>
      </w:r>
      <w:r w:rsidR="009D77D1">
        <w:t xml:space="preserve"> </w:t>
      </w:r>
      <w:r w:rsidR="00F25939">
        <w:t xml:space="preserve">the imagination’s role in cognition. To this end, the following will be divided into three sections. In the </w:t>
      </w:r>
      <w:r w:rsidR="00F25939">
        <w:lastRenderedPageBreak/>
        <w:t xml:space="preserve">first, I will consider Kant’s treatment of the imaginative faculty in the student notes to Kant’s lectures on anthropology in the 1770s, with the aim of working up a </w:t>
      </w:r>
      <w:r w:rsidR="009D77D1">
        <w:t xml:space="preserve">more-or-less comprehensive </w:t>
      </w:r>
      <w:r w:rsidR="00F25939">
        <w:t>taxonomy of its various sub-faculties. In the second, I turn to Kant’s account of the activity of the imagination, particularly in accordance with the law of association, in the theory of cognition presented in the notes, and will show that Kant</w:t>
      </w:r>
      <w:r w:rsidR="009D77D1">
        <w:t>, apparently in spite of Hume,</w:t>
      </w:r>
      <w:r w:rsidR="00F64552">
        <w:t xml:space="preserve"> takes the result of this activity as the basis for causal cognition. In the third and final section, I contend that </w:t>
      </w:r>
      <w:r w:rsidR="009F43D4">
        <w:t>Kant’s treatment of affinity in the A edition Deduction is animated</w:t>
      </w:r>
      <w:r w:rsidR="009D77D1">
        <w:t xml:space="preserve"> precisely </w:t>
      </w:r>
      <w:r w:rsidR="009F43D4">
        <w:t xml:space="preserve">by his concern to shore up his previous account of causal cognition </w:t>
      </w:r>
      <w:r w:rsidR="009D77D1">
        <w:t>against</w:t>
      </w:r>
      <w:r w:rsidR="009F43D4">
        <w:t xml:space="preserve"> Hume’s sceptical challenge. </w:t>
      </w:r>
      <w:r w:rsidR="001C73EE">
        <w:t>I</w:t>
      </w:r>
      <w:r w:rsidR="003B20E8">
        <w:t>n the end, we will see that</w:t>
      </w:r>
      <w:r w:rsidR="008C6441">
        <w:t xml:space="preserve"> </w:t>
      </w:r>
      <w:r w:rsidR="009D77D1">
        <w:t>in addition to their</w:t>
      </w:r>
      <w:r w:rsidR="00717360">
        <w:t xml:space="preserve"> value in expanding ou</w:t>
      </w:r>
      <w:r w:rsidR="00234944">
        <w:t xml:space="preserve">r understanding of the functions of the imagination relating to aesthetic experience, </w:t>
      </w:r>
      <w:r w:rsidR="008C6441">
        <w:t xml:space="preserve">Kant’s anthropological </w:t>
      </w:r>
      <w:r w:rsidR="009D77D1">
        <w:t>lectures</w:t>
      </w:r>
      <w:r w:rsidR="008C6441">
        <w:t xml:space="preserve"> provide an indispensable </w:t>
      </w:r>
      <w:r w:rsidR="009D77D1">
        <w:t>(if frequently overlooked) resource</w:t>
      </w:r>
      <w:r w:rsidR="008C6441">
        <w:t xml:space="preserve"> for </w:t>
      </w:r>
      <w:r w:rsidR="009D77D1">
        <w:t xml:space="preserve">appreciating the imagination’s complex role in </w:t>
      </w:r>
      <w:r w:rsidR="008C6441">
        <w:t xml:space="preserve">his </w:t>
      </w:r>
      <w:r w:rsidR="00A04EB7">
        <w:t xml:space="preserve">properly </w:t>
      </w:r>
      <w:r w:rsidR="001C73EE">
        <w:t xml:space="preserve">Critical </w:t>
      </w:r>
      <w:r w:rsidR="00AD23CB">
        <w:t>account of cognition</w:t>
      </w:r>
      <w:r w:rsidR="003B20E8">
        <w:t>.</w:t>
      </w:r>
    </w:p>
    <w:p w:rsidR="00AD53C3" w:rsidRDefault="00AD53C3" w:rsidP="008464ED">
      <w:pPr>
        <w:spacing w:line="360" w:lineRule="auto"/>
      </w:pPr>
    </w:p>
    <w:p w:rsidR="00E0420D" w:rsidRDefault="00092726" w:rsidP="008464ED">
      <w:pPr>
        <w:spacing w:line="360" w:lineRule="auto"/>
      </w:pPr>
      <w:r>
        <w:t>1. Towards</w:t>
      </w:r>
      <w:r w:rsidR="00E0420D">
        <w:t xml:space="preserve"> the </w:t>
      </w:r>
      <w:proofErr w:type="spellStart"/>
      <w:r w:rsidR="00E0420D">
        <w:rPr>
          <w:i/>
        </w:rPr>
        <w:t>Einbildungskraft</w:t>
      </w:r>
      <w:proofErr w:type="spellEnd"/>
      <w:r w:rsidR="00CF0207">
        <w:t>: Kant’s Taxonomy of the</w:t>
      </w:r>
      <w:r w:rsidR="00E0420D">
        <w:t xml:space="preserve"> Imagination</w:t>
      </w:r>
    </w:p>
    <w:p w:rsidR="00E0420D" w:rsidRDefault="00E0420D" w:rsidP="008464ED">
      <w:pPr>
        <w:spacing w:line="360" w:lineRule="auto"/>
      </w:pPr>
    </w:p>
    <w:p w:rsidR="00E0420D" w:rsidRPr="006B2DEE" w:rsidRDefault="00E72C0F" w:rsidP="008464ED">
      <w:pPr>
        <w:spacing w:line="360" w:lineRule="auto"/>
      </w:pPr>
      <w:r>
        <w:tab/>
      </w:r>
      <w:r w:rsidR="00406160">
        <w:t>Throughout</w:t>
      </w:r>
      <w:r w:rsidR="008C40CE">
        <w:t xml:space="preserve"> most of</w:t>
      </w:r>
      <w:r w:rsidR="00406160">
        <w:t xml:space="preserve"> the pre-Critical period, Kant’s discussion of the imagination are couched in terms of an analysis of the </w:t>
      </w:r>
      <w:proofErr w:type="spellStart"/>
      <w:r w:rsidR="007C23DC">
        <w:rPr>
          <w:i/>
        </w:rPr>
        <w:t>b</w:t>
      </w:r>
      <w:r w:rsidR="00406160">
        <w:rPr>
          <w:i/>
        </w:rPr>
        <w:t>ildende</w:t>
      </w:r>
      <w:proofErr w:type="spellEnd"/>
      <w:r w:rsidR="007C23DC">
        <w:rPr>
          <w:i/>
        </w:rPr>
        <w:t xml:space="preserve"> Kraft</w:t>
      </w:r>
      <w:r w:rsidR="007C23DC">
        <w:t xml:space="preserve"> (formative power) or the </w:t>
      </w:r>
      <w:proofErr w:type="spellStart"/>
      <w:r w:rsidR="007C23DC">
        <w:rPr>
          <w:i/>
        </w:rPr>
        <w:t>Bildungsvermögen</w:t>
      </w:r>
      <w:proofErr w:type="spellEnd"/>
      <w:r w:rsidR="007C23DC">
        <w:t xml:space="preserve"> (formative faculty),</w:t>
      </w:r>
      <w:r w:rsidR="007C23DC">
        <w:rPr>
          <w:rStyle w:val="FootnoteReference"/>
        </w:rPr>
        <w:footnoteReference w:id="2"/>
      </w:r>
      <w:r w:rsidR="007C23DC">
        <w:t xml:space="preserve"> terms which Kant appears to use indistinguishably</w:t>
      </w:r>
      <w:r w:rsidR="000F1A62">
        <w:t xml:space="preserve"> (</w:t>
      </w:r>
      <w:r w:rsidR="009D77D1">
        <w:t xml:space="preserve">but </w:t>
      </w:r>
      <w:r w:rsidR="000F1A62">
        <w:t>I will use the latter)</w:t>
      </w:r>
      <w:r w:rsidR="007C23DC">
        <w:t>.</w:t>
      </w:r>
      <w:r w:rsidR="007C23DC">
        <w:rPr>
          <w:rStyle w:val="FootnoteReference"/>
        </w:rPr>
        <w:footnoteReference w:id="3"/>
      </w:r>
      <w:r w:rsidR="007C23DC">
        <w:t xml:space="preserve"> </w:t>
      </w:r>
      <w:r w:rsidR="00D004C6">
        <w:t xml:space="preserve">The </w:t>
      </w:r>
      <w:proofErr w:type="spellStart"/>
      <w:r w:rsidR="00D004C6">
        <w:rPr>
          <w:i/>
        </w:rPr>
        <w:t>Bildungsvermögen</w:t>
      </w:r>
      <w:proofErr w:type="spellEnd"/>
      <w:r w:rsidR="00D004C6">
        <w:rPr>
          <w:i/>
        </w:rPr>
        <w:t xml:space="preserve"> </w:t>
      </w:r>
      <w:r w:rsidR="00D004C6">
        <w:t>is distinguished from the faculty of sensation (</w:t>
      </w:r>
      <w:proofErr w:type="spellStart"/>
      <w:r w:rsidR="00D004C6">
        <w:rPr>
          <w:i/>
        </w:rPr>
        <w:t>Empfindung</w:t>
      </w:r>
      <w:proofErr w:type="spellEnd"/>
      <w:r w:rsidR="00D004C6">
        <w:t>) or the faculty of the senses (</w:t>
      </w:r>
      <w:proofErr w:type="spellStart"/>
      <w:r w:rsidR="00D004C6">
        <w:rPr>
          <w:i/>
        </w:rPr>
        <w:t>Vermögen</w:t>
      </w:r>
      <w:proofErr w:type="spellEnd"/>
      <w:r w:rsidR="00D004C6">
        <w:rPr>
          <w:i/>
        </w:rPr>
        <w:t xml:space="preserve"> der </w:t>
      </w:r>
      <w:proofErr w:type="spellStart"/>
      <w:r w:rsidR="00D004C6" w:rsidRPr="00D004C6">
        <w:rPr>
          <w:i/>
        </w:rPr>
        <w:t>Sinn</w:t>
      </w:r>
      <w:r w:rsidR="00D004C6">
        <w:rPr>
          <w:i/>
        </w:rPr>
        <w:t>e</w:t>
      </w:r>
      <w:proofErr w:type="spellEnd"/>
      <w:r w:rsidR="00D004C6">
        <w:t>) (</w:t>
      </w:r>
      <w:proofErr w:type="spellStart"/>
      <w:r w:rsidR="009D77D1" w:rsidRPr="009D77D1">
        <w:rPr>
          <w:i/>
        </w:rPr>
        <w:t>Anth-Coll</w:t>
      </w:r>
      <w:proofErr w:type="spellEnd"/>
      <w:r w:rsidR="00D004C6">
        <w:t xml:space="preserve"> 25:45, </w:t>
      </w:r>
      <w:proofErr w:type="spellStart"/>
      <w:r w:rsidR="009D77D1" w:rsidRPr="009D77D1">
        <w:rPr>
          <w:i/>
        </w:rPr>
        <w:t>Anth</w:t>
      </w:r>
      <w:proofErr w:type="spellEnd"/>
      <w:r w:rsidR="009D77D1" w:rsidRPr="009D77D1">
        <w:rPr>
          <w:i/>
        </w:rPr>
        <w:t>-Fried</w:t>
      </w:r>
      <w:r w:rsidR="00A32778">
        <w:t xml:space="preserve"> 25:511 </w:t>
      </w:r>
      <w:r w:rsidR="00874B24" w:rsidRPr="00874B24">
        <w:rPr>
          <w:i/>
        </w:rPr>
        <w:t>Met-L1</w:t>
      </w:r>
      <w:r w:rsidR="00A32778">
        <w:t xml:space="preserve"> 28:230) in terms of their products—with the senses yielding sensations or impressions and the </w:t>
      </w:r>
      <w:proofErr w:type="spellStart"/>
      <w:r w:rsidR="00A32778">
        <w:rPr>
          <w:i/>
        </w:rPr>
        <w:t>Bildungsvermögen</w:t>
      </w:r>
      <w:proofErr w:type="spellEnd"/>
      <w:r w:rsidR="00A32778">
        <w:t xml:space="preserve"> producing images (</w:t>
      </w:r>
      <w:proofErr w:type="spellStart"/>
      <w:r w:rsidR="00A32778">
        <w:rPr>
          <w:i/>
        </w:rPr>
        <w:t>Bilder</w:t>
      </w:r>
      <w:proofErr w:type="spellEnd"/>
      <w:r w:rsidR="00A32778">
        <w:t xml:space="preserve">) (see especially </w:t>
      </w:r>
      <w:proofErr w:type="spellStart"/>
      <w:r w:rsidR="009D77D1" w:rsidRPr="009D77D1">
        <w:rPr>
          <w:i/>
        </w:rPr>
        <w:t>Anth-Coll</w:t>
      </w:r>
      <w:proofErr w:type="spellEnd"/>
      <w:r w:rsidR="00A32778">
        <w:t xml:space="preserve"> 25:45, </w:t>
      </w:r>
      <w:proofErr w:type="spellStart"/>
      <w:r w:rsidR="009D77D1" w:rsidRPr="009D77D1">
        <w:rPr>
          <w:i/>
        </w:rPr>
        <w:t>Anth-Parow</w:t>
      </w:r>
      <w:proofErr w:type="spellEnd"/>
      <w:r w:rsidR="00A32778">
        <w:t xml:space="preserve"> 25:303)—but also in terms of the activity of the </w:t>
      </w:r>
      <w:proofErr w:type="spellStart"/>
      <w:r w:rsidR="00A32778">
        <w:rPr>
          <w:i/>
        </w:rPr>
        <w:t>Bildungsvermögen</w:t>
      </w:r>
      <w:proofErr w:type="spellEnd"/>
      <w:r w:rsidR="00A32778">
        <w:t xml:space="preserve"> that is required for the generation of its product</w:t>
      </w:r>
      <w:r w:rsidR="00BE1256">
        <w:t>, in contrast with the passivity of the senses</w:t>
      </w:r>
      <w:r w:rsidR="00A32778">
        <w:t xml:space="preserve"> (see </w:t>
      </w:r>
      <w:proofErr w:type="spellStart"/>
      <w:r w:rsidR="009D77D1" w:rsidRPr="009D77D1">
        <w:rPr>
          <w:i/>
        </w:rPr>
        <w:t>Anth</w:t>
      </w:r>
      <w:proofErr w:type="spellEnd"/>
      <w:r w:rsidR="009D77D1" w:rsidRPr="009D77D1">
        <w:rPr>
          <w:i/>
        </w:rPr>
        <w:t>-Fried</w:t>
      </w:r>
      <w:r w:rsidR="00A32778">
        <w:t xml:space="preserve"> 25:511, </w:t>
      </w:r>
      <w:r w:rsidR="00874B24" w:rsidRPr="00874B24">
        <w:rPr>
          <w:i/>
        </w:rPr>
        <w:t>Met-L1</w:t>
      </w:r>
      <w:r w:rsidR="00A32778">
        <w:t xml:space="preserve"> 28:230</w:t>
      </w:r>
      <w:r w:rsidR="009E0D4D">
        <w:t>, R 314 HN 15:124)</w:t>
      </w:r>
      <w:r w:rsidR="00A32778">
        <w:t>.</w:t>
      </w:r>
      <w:r w:rsidR="00BE1256">
        <w:t xml:space="preserve"> In spite of this distinction, and crucially, Kant contends that </w:t>
      </w:r>
      <w:r w:rsidR="00BE1256">
        <w:rPr>
          <w:i/>
        </w:rPr>
        <w:t>both</w:t>
      </w:r>
      <w:r w:rsidR="00BE1256">
        <w:t xml:space="preserve"> the faculty of sensation and the </w:t>
      </w:r>
      <w:proofErr w:type="spellStart"/>
      <w:r w:rsidR="00BE1256">
        <w:rPr>
          <w:i/>
        </w:rPr>
        <w:t>Bildungsvermögen</w:t>
      </w:r>
      <w:proofErr w:type="spellEnd"/>
      <w:r w:rsidR="00BE1256">
        <w:t xml:space="preserve"> belong to the faculty of sensibility (</w:t>
      </w:r>
      <w:proofErr w:type="spellStart"/>
      <w:r w:rsidR="00BE1256">
        <w:rPr>
          <w:i/>
        </w:rPr>
        <w:t>Sinnlichkeit</w:t>
      </w:r>
      <w:proofErr w:type="spellEnd"/>
      <w:r w:rsidR="00BE1256">
        <w:t>)</w:t>
      </w:r>
      <w:r w:rsidR="009F0290">
        <w:t xml:space="preserve">; thus, the discussion of the imagination in the </w:t>
      </w:r>
      <w:r w:rsidR="009F0290">
        <w:rPr>
          <w:i/>
        </w:rPr>
        <w:t>Anthropologie-Collins</w:t>
      </w:r>
      <w:r w:rsidR="009F0290">
        <w:t xml:space="preserve"> is </w:t>
      </w:r>
      <w:r w:rsidR="009F0290">
        <w:lastRenderedPageBreak/>
        <w:t>presented in the context of the “</w:t>
      </w:r>
      <w:proofErr w:type="spellStart"/>
      <w:r w:rsidR="009F0290">
        <w:rPr>
          <w:i/>
        </w:rPr>
        <w:t>Theorie</w:t>
      </w:r>
      <w:proofErr w:type="spellEnd"/>
      <w:r w:rsidR="009F0290">
        <w:rPr>
          <w:i/>
        </w:rPr>
        <w:t xml:space="preserve"> der </w:t>
      </w:r>
      <w:proofErr w:type="spellStart"/>
      <w:r w:rsidR="009F0290">
        <w:rPr>
          <w:i/>
        </w:rPr>
        <w:t>Sinnlichkeit</w:t>
      </w:r>
      <w:proofErr w:type="spellEnd"/>
      <w:r w:rsidR="009F0290">
        <w:t>” (</w:t>
      </w:r>
      <w:proofErr w:type="spellStart"/>
      <w:r w:rsidR="009D77D1" w:rsidRPr="009D77D1">
        <w:rPr>
          <w:i/>
        </w:rPr>
        <w:t>Anth-Coll</w:t>
      </w:r>
      <w:proofErr w:type="spellEnd"/>
      <w:r w:rsidR="009F0290">
        <w:t xml:space="preserve"> 25:44); in </w:t>
      </w:r>
      <w:r w:rsidR="009F0290">
        <w:rPr>
          <w:i/>
        </w:rPr>
        <w:t>Anthropologie-</w:t>
      </w:r>
      <w:proofErr w:type="spellStart"/>
      <w:r w:rsidR="009F0290">
        <w:rPr>
          <w:i/>
        </w:rPr>
        <w:t>Parow</w:t>
      </w:r>
      <w:proofErr w:type="spellEnd"/>
      <w:r w:rsidR="009F0290">
        <w:t xml:space="preserve"> Kant is recorded as identifying the product of sensibility as a whole as “</w:t>
      </w:r>
      <w:proofErr w:type="spellStart"/>
      <w:r w:rsidR="009F0290">
        <w:rPr>
          <w:i/>
        </w:rPr>
        <w:t>Bilder</w:t>
      </w:r>
      <w:proofErr w:type="spellEnd"/>
      <w:r w:rsidR="009F0290" w:rsidRPr="009F0290">
        <w:t>,</w:t>
      </w:r>
      <w:r w:rsidR="009F0290">
        <w:t xml:space="preserve">” a description that obviously includes the </w:t>
      </w:r>
      <w:proofErr w:type="spellStart"/>
      <w:r w:rsidR="009F0290">
        <w:rPr>
          <w:i/>
        </w:rPr>
        <w:t>Bildungsvermögen</w:t>
      </w:r>
      <w:proofErr w:type="spellEnd"/>
      <w:r w:rsidR="009F0290">
        <w:t xml:space="preserve"> (</w:t>
      </w:r>
      <w:proofErr w:type="spellStart"/>
      <w:r w:rsidR="009D77D1" w:rsidRPr="009D77D1">
        <w:rPr>
          <w:i/>
        </w:rPr>
        <w:t>Anth-Parow</w:t>
      </w:r>
      <w:proofErr w:type="spellEnd"/>
      <w:r w:rsidR="009F0290">
        <w:t xml:space="preserve"> 25:303); and in the </w:t>
      </w:r>
      <w:r w:rsidR="00874B24" w:rsidRPr="00874B24">
        <w:rPr>
          <w:i/>
        </w:rPr>
        <w:t>Met-L1</w:t>
      </w:r>
      <w:r w:rsidR="009F0290">
        <w:t xml:space="preserve"> notes it is claimed that the </w:t>
      </w:r>
      <w:proofErr w:type="spellStart"/>
      <w:r w:rsidR="009F0290">
        <w:rPr>
          <w:i/>
        </w:rPr>
        <w:t>facultas</w:t>
      </w:r>
      <w:proofErr w:type="spellEnd"/>
      <w:r w:rsidR="009F0290">
        <w:rPr>
          <w:i/>
        </w:rPr>
        <w:t xml:space="preserve"> </w:t>
      </w:r>
      <w:proofErr w:type="spellStart"/>
      <w:r w:rsidR="009F0290">
        <w:rPr>
          <w:i/>
        </w:rPr>
        <w:t>fingendi</w:t>
      </w:r>
      <w:proofErr w:type="spellEnd"/>
      <w:r w:rsidR="009F0290">
        <w:rPr>
          <w:i/>
        </w:rPr>
        <w:t xml:space="preserve"> </w:t>
      </w:r>
      <w:r w:rsidR="009F0290">
        <w:t xml:space="preserve">(which is identified with the </w:t>
      </w:r>
      <w:proofErr w:type="spellStart"/>
      <w:r w:rsidR="009F0290">
        <w:rPr>
          <w:i/>
        </w:rPr>
        <w:t>bildende</w:t>
      </w:r>
      <w:proofErr w:type="spellEnd"/>
      <w:r w:rsidR="009F0290">
        <w:rPr>
          <w:i/>
        </w:rPr>
        <w:t xml:space="preserve"> Kraft</w:t>
      </w:r>
      <w:r w:rsidR="009F0290">
        <w:t>), among other faculties, proceeds from the division of sensibility (28:230).</w:t>
      </w:r>
      <w:r w:rsidR="009F0290">
        <w:rPr>
          <w:rStyle w:val="FootnoteReference"/>
        </w:rPr>
        <w:footnoteReference w:id="4"/>
      </w:r>
      <w:r w:rsidR="009F0290">
        <w:t xml:space="preserve"> </w:t>
      </w:r>
      <w:r w:rsidR="006B2DEE">
        <w:t xml:space="preserve">However, Kant’s reasoning behind including the </w:t>
      </w:r>
      <w:proofErr w:type="spellStart"/>
      <w:r w:rsidR="006B2DEE">
        <w:rPr>
          <w:i/>
        </w:rPr>
        <w:t>Bildungsvermögen</w:t>
      </w:r>
      <w:proofErr w:type="spellEnd"/>
      <w:r w:rsidR="006B2DEE">
        <w:rPr>
          <w:i/>
        </w:rPr>
        <w:t xml:space="preserve"> </w:t>
      </w:r>
      <w:r w:rsidR="006B2DEE">
        <w:t xml:space="preserve">within sensibility, at least in the pre-Critical notes and lectures, </w:t>
      </w:r>
      <w:r w:rsidR="0004492F">
        <w:t>is not</w:t>
      </w:r>
      <w:r w:rsidR="006B2DEE">
        <w:t xml:space="preserve"> </w:t>
      </w:r>
      <w:r w:rsidR="0004492F">
        <w:t xml:space="preserve">usually </w:t>
      </w:r>
      <w:r w:rsidR="006B2DEE">
        <w:t xml:space="preserve">that the products of both count as </w:t>
      </w:r>
      <w:r w:rsidR="006B2DEE">
        <w:rPr>
          <w:i/>
        </w:rPr>
        <w:t>intuitions</w:t>
      </w:r>
      <w:r w:rsidR="0004492F">
        <w:rPr>
          <w:rStyle w:val="FootnoteReference"/>
          <w:i/>
        </w:rPr>
        <w:footnoteReference w:id="5"/>
      </w:r>
      <w:r w:rsidR="0004492F">
        <w:t xml:space="preserve"> </w:t>
      </w:r>
      <w:r w:rsidR="006B2DEE">
        <w:t xml:space="preserve">but rather that in all of its functions the </w:t>
      </w:r>
      <w:proofErr w:type="spellStart"/>
      <w:r w:rsidR="006B2DEE">
        <w:rPr>
          <w:i/>
        </w:rPr>
        <w:t>Bildungsvermögen</w:t>
      </w:r>
      <w:proofErr w:type="spellEnd"/>
      <w:r w:rsidR="006B2DEE">
        <w:t xml:space="preserve"> is limited to working with the material supplied by the senses and in its activity it can only alter the form of this material (</w:t>
      </w:r>
      <w:proofErr w:type="spellStart"/>
      <w:r w:rsidR="009D77D1" w:rsidRPr="009D77D1">
        <w:rPr>
          <w:i/>
        </w:rPr>
        <w:t>Anth-Coll</w:t>
      </w:r>
      <w:proofErr w:type="spellEnd"/>
      <w:r w:rsidR="006B2DEE">
        <w:t xml:space="preserve"> 25:44, </w:t>
      </w:r>
      <w:proofErr w:type="spellStart"/>
      <w:r w:rsidR="009D77D1" w:rsidRPr="009D77D1">
        <w:rPr>
          <w:i/>
        </w:rPr>
        <w:t>Anth</w:t>
      </w:r>
      <w:proofErr w:type="spellEnd"/>
      <w:r w:rsidR="009D77D1" w:rsidRPr="009D77D1">
        <w:rPr>
          <w:i/>
        </w:rPr>
        <w:t>-Fried</w:t>
      </w:r>
      <w:r w:rsidR="006B2DEE">
        <w:t xml:space="preserve"> 25:511), which is to say that according to the criterion introduced in the Inaugural Dissertation, the products of the </w:t>
      </w:r>
      <w:proofErr w:type="spellStart"/>
      <w:r w:rsidR="006B2DEE">
        <w:rPr>
          <w:i/>
        </w:rPr>
        <w:t>Bildungsvermögen</w:t>
      </w:r>
      <w:proofErr w:type="spellEnd"/>
      <w:r w:rsidR="006B2DEE">
        <w:t xml:space="preserve"> remain “sensible cognition” (cf. ID 2:394 and </w:t>
      </w:r>
      <w:r w:rsidR="00874B24" w:rsidRPr="00874B24">
        <w:rPr>
          <w:i/>
        </w:rPr>
        <w:t>Met-L1</w:t>
      </w:r>
      <w:r w:rsidR="006B2DEE">
        <w:t xml:space="preserve"> 28:230, where Kant identifies sensibility as “</w:t>
      </w:r>
      <w:r w:rsidR="006B2DEE">
        <w:rPr>
          <w:i/>
        </w:rPr>
        <w:t xml:space="preserve">das </w:t>
      </w:r>
      <w:proofErr w:type="spellStart"/>
      <w:r w:rsidR="006B2DEE">
        <w:rPr>
          <w:i/>
        </w:rPr>
        <w:t>sinnliche</w:t>
      </w:r>
      <w:proofErr w:type="spellEnd"/>
      <w:r w:rsidR="006B2DEE">
        <w:rPr>
          <w:i/>
        </w:rPr>
        <w:t xml:space="preserve"> </w:t>
      </w:r>
      <w:proofErr w:type="spellStart"/>
      <w:r w:rsidR="006B2DEE">
        <w:rPr>
          <w:i/>
        </w:rPr>
        <w:t>Erkenntnißvermögen</w:t>
      </w:r>
      <w:proofErr w:type="spellEnd"/>
      <w:r w:rsidR="006B2DEE">
        <w:t>”).</w:t>
      </w:r>
    </w:p>
    <w:p w:rsidR="0022473B" w:rsidRDefault="00C87BA2" w:rsidP="008464ED">
      <w:pPr>
        <w:spacing w:line="360" w:lineRule="auto"/>
      </w:pPr>
      <w:r>
        <w:tab/>
        <w:t xml:space="preserve">Focusing now on the divisions within the </w:t>
      </w:r>
      <w:proofErr w:type="spellStart"/>
      <w:r>
        <w:rPr>
          <w:i/>
        </w:rPr>
        <w:t>Bildungsvermögen</w:t>
      </w:r>
      <w:proofErr w:type="spellEnd"/>
      <w:r>
        <w:t xml:space="preserve"> itself, Kant sometimes (as in the </w:t>
      </w:r>
      <w:r>
        <w:rPr>
          <w:i/>
        </w:rPr>
        <w:t>Anthropologie-</w:t>
      </w:r>
      <w:proofErr w:type="spellStart"/>
      <w:r>
        <w:rPr>
          <w:i/>
        </w:rPr>
        <w:t>Parow</w:t>
      </w:r>
      <w:proofErr w:type="spellEnd"/>
      <w:r>
        <w:t xml:space="preserve"> or the </w:t>
      </w:r>
      <w:r w:rsidR="00874B24" w:rsidRPr="00874B24">
        <w:rPr>
          <w:i/>
        </w:rPr>
        <w:t>Met-L1</w:t>
      </w:r>
      <w:r>
        <w:t xml:space="preserve"> notes) proceeds directly to a discussion of the various specific forms of </w:t>
      </w:r>
      <w:proofErr w:type="spellStart"/>
      <w:r>
        <w:rPr>
          <w:i/>
        </w:rPr>
        <w:t>Bildung</w:t>
      </w:r>
      <w:proofErr w:type="spellEnd"/>
      <w:r>
        <w:t xml:space="preserve"> or image-formatio</w:t>
      </w:r>
      <w:r w:rsidR="00A34696">
        <w:t xml:space="preserve">n </w:t>
      </w:r>
      <w:r w:rsidR="004A36A8">
        <w:t xml:space="preserve">(enumerated by </w:t>
      </w:r>
      <w:proofErr w:type="spellStart"/>
      <w:r w:rsidR="004A36A8">
        <w:t>Makkreel</w:t>
      </w:r>
      <w:proofErr w:type="spellEnd"/>
      <w:r w:rsidR="004A36A8">
        <w:t xml:space="preserve"> in </w:t>
      </w:r>
      <w:r w:rsidR="00A34696">
        <w:t>1990:</w:t>
      </w:r>
      <w:r>
        <w:t xml:space="preserve">14). However, there are a couple of relevant distinctions that Kant elsewhere introduces before we arrive at this last set of (cognitively crucial) faculties. </w:t>
      </w:r>
      <w:r w:rsidR="0004492F">
        <w:t>F</w:t>
      </w:r>
      <w:r w:rsidR="002F0976">
        <w:t xml:space="preserve">irst, within the </w:t>
      </w:r>
      <w:proofErr w:type="spellStart"/>
      <w:r w:rsidR="002F0976">
        <w:rPr>
          <w:i/>
        </w:rPr>
        <w:t>Bildungsvermögen</w:t>
      </w:r>
      <w:proofErr w:type="spellEnd"/>
      <w:r w:rsidR="002F0976">
        <w:t xml:space="preserve"> itself, Kant distinguishes between two groups of faculties in terms of whether they involve the capacity to produce images from themselves “independent of the actuality of objects, where the images are not borrowed from experience” (</w:t>
      </w:r>
      <w:r w:rsidR="00874B24" w:rsidRPr="00874B24">
        <w:rPr>
          <w:i/>
        </w:rPr>
        <w:t>Met-L1</w:t>
      </w:r>
      <w:r w:rsidR="002F0976">
        <w:t xml:space="preserve"> 28:237</w:t>
      </w:r>
      <w:r w:rsidR="00F949DB">
        <w:t xml:space="preserve">; cf. also </w:t>
      </w:r>
      <w:proofErr w:type="spellStart"/>
      <w:r w:rsidR="009D77D1" w:rsidRPr="009D77D1">
        <w:rPr>
          <w:i/>
        </w:rPr>
        <w:t>Anth-Coll</w:t>
      </w:r>
      <w:proofErr w:type="spellEnd"/>
      <w:r w:rsidR="00F949DB">
        <w:t xml:space="preserve"> 25:77,</w:t>
      </w:r>
      <w:r w:rsidR="00AE6A78">
        <w:t xml:space="preserve"> </w:t>
      </w:r>
      <w:proofErr w:type="spellStart"/>
      <w:r w:rsidR="009D77D1" w:rsidRPr="009D77D1">
        <w:rPr>
          <w:i/>
        </w:rPr>
        <w:t>Anth-Parow</w:t>
      </w:r>
      <w:proofErr w:type="spellEnd"/>
      <w:r w:rsidR="00AE6A78">
        <w:t xml:space="preserve"> 25:305</w:t>
      </w:r>
      <w:r w:rsidR="00A34696">
        <w:t xml:space="preserve"> and </w:t>
      </w:r>
      <w:proofErr w:type="spellStart"/>
      <w:r w:rsidR="001240D0" w:rsidRPr="001240D0">
        <w:rPr>
          <w:i/>
        </w:rPr>
        <w:t>Refl</w:t>
      </w:r>
      <w:proofErr w:type="spellEnd"/>
      <w:r w:rsidR="001240D0">
        <w:t xml:space="preserve"> 316 </w:t>
      </w:r>
      <w:r w:rsidR="00F949DB">
        <w:t>15:125</w:t>
      </w:r>
      <w:r w:rsidR="002F0976">
        <w:t>)</w:t>
      </w:r>
      <w:r w:rsidR="00AE6A78">
        <w:t>. Yet, since Kant has just emphasize</w:t>
      </w:r>
      <w:r w:rsidR="00B25C33">
        <w:t>d</w:t>
      </w:r>
      <w:r w:rsidR="00AE6A78">
        <w:t xml:space="preserve"> that the </w:t>
      </w:r>
      <w:proofErr w:type="spellStart"/>
      <w:r w:rsidR="00AE6A78">
        <w:rPr>
          <w:i/>
        </w:rPr>
        <w:t>Bildungsvermögen</w:t>
      </w:r>
      <w:proofErr w:type="spellEnd"/>
      <w:r w:rsidR="00AE6A78">
        <w:t xml:space="preserve"> is incapable of generating an entirely new sensation but is bound to the material provided by the senses, this must be qualified, as Kant later suggests, in terms of a capacity to bring forth images from itself </w:t>
      </w:r>
      <w:r w:rsidR="00AE6A78">
        <w:rPr>
          <w:i/>
        </w:rPr>
        <w:t>that were not previously present in the same way to the senses</w:t>
      </w:r>
      <w:r w:rsidR="00AE6A78">
        <w:t xml:space="preserve"> (cf. </w:t>
      </w:r>
      <w:proofErr w:type="spellStart"/>
      <w:r w:rsidR="00874B24" w:rsidRPr="00874B24">
        <w:rPr>
          <w:i/>
        </w:rPr>
        <w:t>Menschenkunde</w:t>
      </w:r>
      <w:proofErr w:type="spellEnd"/>
      <w:r w:rsidR="00AE6A78">
        <w:t xml:space="preserve"> 25:945). This yields two groups of faculties within the </w:t>
      </w:r>
      <w:proofErr w:type="spellStart"/>
      <w:r w:rsidR="00AE6A78">
        <w:rPr>
          <w:i/>
        </w:rPr>
        <w:t>Bildungsvermögen</w:t>
      </w:r>
      <w:proofErr w:type="spellEnd"/>
      <w:r w:rsidR="00E24EA3">
        <w:t>, which, following Kant’s</w:t>
      </w:r>
      <w:r w:rsidR="00E62640">
        <w:t xml:space="preserve"> later</w:t>
      </w:r>
      <w:r w:rsidR="00E24EA3">
        <w:t xml:space="preserve"> convention, we might refer to as</w:t>
      </w:r>
      <w:r w:rsidR="00AE6A78">
        <w:t xml:space="preserve"> the </w:t>
      </w:r>
      <w:r w:rsidR="00AE6A78">
        <w:rPr>
          <w:i/>
        </w:rPr>
        <w:t>reproductive</w:t>
      </w:r>
      <w:r w:rsidR="00AE6A78">
        <w:t xml:space="preserve"> and </w:t>
      </w:r>
      <w:r w:rsidR="00AE6A78">
        <w:rPr>
          <w:i/>
        </w:rPr>
        <w:t>productive</w:t>
      </w:r>
      <w:r w:rsidR="00AE6A78">
        <w:t xml:space="preserve">, where the former are limited to reproducing representations, that is, bringing them forth as they were originally present to the senses, and the latter brings forth representations using the material of the senses but </w:t>
      </w:r>
      <w:r w:rsidR="00A30931">
        <w:lastRenderedPageBreak/>
        <w:t>where these resulting re</w:t>
      </w:r>
      <w:r w:rsidR="00AE6A78">
        <w:t>presentation</w:t>
      </w:r>
      <w:r w:rsidR="00A30931">
        <w:t>s are</w:t>
      </w:r>
      <w:r w:rsidR="00AE6A78">
        <w:t xml:space="preserve"> different (in form</w:t>
      </w:r>
      <w:r w:rsidR="00A30931">
        <w:t>) than how they originally</w:t>
      </w:r>
      <w:r w:rsidR="00AE6A78">
        <w:t xml:space="preserve"> appeared to the senses.</w:t>
      </w:r>
      <w:r w:rsidR="00AE6A78">
        <w:rPr>
          <w:rStyle w:val="FootnoteReference"/>
        </w:rPr>
        <w:footnoteReference w:id="6"/>
      </w:r>
      <w:r w:rsidR="00E24EA3">
        <w:t xml:space="preserve"> </w:t>
      </w:r>
    </w:p>
    <w:p w:rsidR="0022473B" w:rsidRPr="00DE234A" w:rsidRDefault="0022473B" w:rsidP="00DE234A">
      <w:pPr>
        <w:spacing w:line="360" w:lineRule="auto"/>
        <w:ind w:firstLine="720"/>
      </w:pPr>
      <w:r>
        <w:t xml:space="preserve">A further </w:t>
      </w:r>
      <w:r w:rsidR="00E24EA3">
        <w:t xml:space="preserve">distinction is applied to both the reproductive and the productive faculties of the </w:t>
      </w:r>
      <w:proofErr w:type="spellStart"/>
      <w:r w:rsidR="00E24EA3">
        <w:rPr>
          <w:i/>
        </w:rPr>
        <w:t>Bildungsvermögen</w:t>
      </w:r>
      <w:proofErr w:type="spellEnd"/>
      <w:r w:rsidR="00E24EA3">
        <w:t>, namely, whether these capacities are exercised “voluntarily [</w:t>
      </w:r>
      <w:proofErr w:type="spellStart"/>
      <w:r w:rsidR="00E24EA3">
        <w:rPr>
          <w:i/>
        </w:rPr>
        <w:t>willkührlich</w:t>
      </w:r>
      <w:proofErr w:type="spellEnd"/>
      <w:r w:rsidR="00E24EA3">
        <w:t>]” or “involuntarily [</w:t>
      </w:r>
      <w:proofErr w:type="spellStart"/>
      <w:r w:rsidR="00E24EA3" w:rsidRPr="00E24EA3">
        <w:rPr>
          <w:i/>
        </w:rPr>
        <w:t>unwillkührlich</w:t>
      </w:r>
      <w:proofErr w:type="spellEnd"/>
      <w:r w:rsidR="00E24EA3">
        <w:t>].”</w:t>
      </w:r>
      <w:r w:rsidR="00155065">
        <w:t xml:space="preserve"> This latter distinction, when applied to the reproductive </w:t>
      </w:r>
      <w:proofErr w:type="spellStart"/>
      <w:r w:rsidR="00155065">
        <w:rPr>
          <w:i/>
        </w:rPr>
        <w:t>Bildungsvermögen</w:t>
      </w:r>
      <w:proofErr w:type="spellEnd"/>
      <w:r w:rsidR="00155065">
        <w:t xml:space="preserve"> yields the faculties of memory (</w:t>
      </w:r>
      <w:proofErr w:type="spellStart"/>
      <w:r w:rsidR="00155065">
        <w:rPr>
          <w:i/>
        </w:rPr>
        <w:t>Gedächtniß</w:t>
      </w:r>
      <w:proofErr w:type="spellEnd"/>
      <w:r w:rsidR="00155065">
        <w:t xml:space="preserve">), as the faculty of voluntary </w:t>
      </w:r>
      <w:r w:rsidR="00A30931">
        <w:t xml:space="preserve">(or also conscious) </w:t>
      </w:r>
      <w:r w:rsidR="00155065">
        <w:t>reproduction of representations</w:t>
      </w:r>
      <w:r w:rsidR="005D1554">
        <w:t xml:space="preserve"> (cf. </w:t>
      </w:r>
      <w:proofErr w:type="spellStart"/>
      <w:r w:rsidR="009D77D1" w:rsidRPr="009D77D1">
        <w:rPr>
          <w:i/>
        </w:rPr>
        <w:t>Anth</w:t>
      </w:r>
      <w:proofErr w:type="spellEnd"/>
      <w:r w:rsidR="009D77D1" w:rsidRPr="009D77D1">
        <w:rPr>
          <w:i/>
        </w:rPr>
        <w:t>-Fried</w:t>
      </w:r>
      <w:r w:rsidR="005D1554">
        <w:t xml:space="preserve"> 25:521 </w:t>
      </w:r>
      <w:proofErr w:type="spellStart"/>
      <w:r w:rsidR="00874B24" w:rsidRPr="00874B24">
        <w:rPr>
          <w:i/>
        </w:rPr>
        <w:t>Menschenkunde</w:t>
      </w:r>
      <w:proofErr w:type="spellEnd"/>
      <w:r w:rsidR="005D1554">
        <w:t xml:space="preserve"> 25:974, </w:t>
      </w:r>
      <w:proofErr w:type="spellStart"/>
      <w:r w:rsidR="00874B24" w:rsidRPr="00874B24">
        <w:rPr>
          <w:i/>
        </w:rPr>
        <w:t>Anth-Mrong</w:t>
      </w:r>
      <w:proofErr w:type="spellEnd"/>
      <w:r w:rsidR="005D1554">
        <w:t xml:space="preserve"> 25:1273)</w:t>
      </w:r>
      <w:r w:rsidR="00155065">
        <w:t xml:space="preserve">, and </w:t>
      </w:r>
      <w:r w:rsidR="006B4B0B">
        <w:t>its involuntary exercise</w:t>
      </w:r>
      <w:r w:rsidR="00793AE1">
        <w:t>,</w:t>
      </w:r>
      <w:r w:rsidR="006B4B0B">
        <w:t xml:space="preserve"> which </w:t>
      </w:r>
      <w:r w:rsidR="00155065">
        <w:t xml:space="preserve">Kant </w:t>
      </w:r>
      <w:r w:rsidR="00793AE1">
        <w:t>does not name at this point</w:t>
      </w:r>
      <w:r w:rsidR="00155065">
        <w:t xml:space="preserve">. </w:t>
      </w:r>
      <w:r>
        <w:t xml:space="preserve">It is this latter, involuntary reproductive capacity of the </w:t>
      </w:r>
      <w:proofErr w:type="spellStart"/>
      <w:r>
        <w:rPr>
          <w:i/>
        </w:rPr>
        <w:t>Bildungsvermögen</w:t>
      </w:r>
      <w:proofErr w:type="spellEnd"/>
      <w:r>
        <w:t xml:space="preserve"> that is further divi</w:t>
      </w:r>
      <w:r w:rsidR="00A30931">
        <w:t xml:space="preserve">ded into the three </w:t>
      </w:r>
      <w:r w:rsidR="00905FE9">
        <w:t>capacities</w:t>
      </w:r>
      <w:r>
        <w:t xml:space="preserve"> of </w:t>
      </w:r>
      <w:proofErr w:type="spellStart"/>
      <w:r>
        <w:rPr>
          <w:i/>
        </w:rPr>
        <w:t>Abbildung</w:t>
      </w:r>
      <w:proofErr w:type="spellEnd"/>
      <w:r>
        <w:t xml:space="preserve"> (direct image-formation), </w:t>
      </w:r>
      <w:proofErr w:type="spellStart"/>
      <w:r>
        <w:rPr>
          <w:i/>
        </w:rPr>
        <w:t>Nachbildung</w:t>
      </w:r>
      <w:proofErr w:type="spellEnd"/>
      <w:r>
        <w:t xml:space="preserve"> (imitative image-formation) also referred to simply as </w:t>
      </w:r>
      <w:r>
        <w:rPr>
          <w:i/>
        </w:rPr>
        <w:t>Imagination</w:t>
      </w:r>
      <w:r>
        <w:t xml:space="preserve">, and </w:t>
      </w:r>
      <w:proofErr w:type="spellStart"/>
      <w:r>
        <w:rPr>
          <w:i/>
        </w:rPr>
        <w:t>Vorbildung</w:t>
      </w:r>
      <w:proofErr w:type="spellEnd"/>
      <w:r>
        <w:t xml:space="preserve"> (anticipatory image-formation).</w:t>
      </w:r>
      <w:r>
        <w:rPr>
          <w:rStyle w:val="FootnoteReference"/>
        </w:rPr>
        <w:footnoteReference w:id="7"/>
      </w:r>
      <w:r w:rsidR="00905FE9">
        <w:t xml:space="preserve"> These three capacities are differentiated according to the temporal modalities of the representations they generate: </w:t>
      </w:r>
      <w:proofErr w:type="spellStart"/>
      <w:r w:rsidR="00905FE9">
        <w:rPr>
          <w:i/>
        </w:rPr>
        <w:t>Abbildungen</w:t>
      </w:r>
      <w:proofErr w:type="spellEnd"/>
      <w:r w:rsidR="00905FE9">
        <w:t xml:space="preserve"> are representations of (some object in) the present time, </w:t>
      </w:r>
      <w:proofErr w:type="spellStart"/>
      <w:r w:rsidR="00905FE9">
        <w:rPr>
          <w:i/>
        </w:rPr>
        <w:t>Nachbildungen</w:t>
      </w:r>
      <w:proofErr w:type="spellEnd"/>
      <w:r w:rsidR="00905FE9">
        <w:t xml:space="preserve"> are representations of the past, and </w:t>
      </w:r>
      <w:proofErr w:type="spellStart"/>
      <w:r w:rsidR="00905FE9">
        <w:rPr>
          <w:i/>
        </w:rPr>
        <w:t>Vorbildungen</w:t>
      </w:r>
      <w:proofErr w:type="spellEnd"/>
      <w:r w:rsidR="00905FE9">
        <w:t xml:space="preserve"> amount to representations of a future time (</w:t>
      </w:r>
      <w:proofErr w:type="spellStart"/>
      <w:r w:rsidR="009D77D1" w:rsidRPr="009D77D1">
        <w:rPr>
          <w:i/>
        </w:rPr>
        <w:t>Anth-Coll</w:t>
      </w:r>
      <w:proofErr w:type="spellEnd"/>
      <w:r w:rsidR="00F65502">
        <w:t xml:space="preserve"> 25:45, </w:t>
      </w:r>
      <w:proofErr w:type="spellStart"/>
      <w:r w:rsidR="009D77D1" w:rsidRPr="009D77D1">
        <w:rPr>
          <w:i/>
        </w:rPr>
        <w:t>Anth-Parow</w:t>
      </w:r>
      <w:proofErr w:type="spellEnd"/>
      <w:r w:rsidR="00053A03">
        <w:t xml:space="preserve"> 25:303</w:t>
      </w:r>
      <w:r w:rsidR="007A7FB6">
        <w:t>–</w:t>
      </w:r>
      <w:r w:rsidR="00053A03">
        <w:t xml:space="preserve">4, </w:t>
      </w:r>
      <w:r w:rsidR="00874B24" w:rsidRPr="00874B24">
        <w:rPr>
          <w:i/>
        </w:rPr>
        <w:t>Met-L1</w:t>
      </w:r>
      <w:r w:rsidR="00905FE9">
        <w:t xml:space="preserve"> 28:235</w:t>
      </w:r>
      <w:r w:rsidR="00053A03">
        <w:t xml:space="preserve">). </w:t>
      </w:r>
      <w:r w:rsidR="00DE234A">
        <w:t xml:space="preserve">Given this, we might question the inclusion of </w:t>
      </w:r>
      <w:proofErr w:type="spellStart"/>
      <w:r w:rsidR="00DE234A">
        <w:rPr>
          <w:i/>
        </w:rPr>
        <w:t>Abbildung</w:t>
      </w:r>
      <w:proofErr w:type="spellEnd"/>
      <w:r w:rsidR="00DE234A">
        <w:t xml:space="preserve"> (and perhaps also </w:t>
      </w:r>
      <w:proofErr w:type="spellStart"/>
      <w:r w:rsidR="00DE234A" w:rsidRPr="00DE234A">
        <w:rPr>
          <w:i/>
        </w:rPr>
        <w:t>Vorbildung</w:t>
      </w:r>
      <w:proofErr w:type="spellEnd"/>
      <w:r w:rsidR="00DE234A">
        <w:t xml:space="preserve">) </w:t>
      </w:r>
      <w:r w:rsidR="00DE234A" w:rsidRPr="00DE234A">
        <w:t>among</w:t>
      </w:r>
      <w:r w:rsidR="00DE234A">
        <w:t xml:space="preserve"> the capacities of the </w:t>
      </w:r>
      <w:r w:rsidR="00DE234A" w:rsidRPr="00DE234A">
        <w:rPr>
          <w:i/>
        </w:rPr>
        <w:t>re</w:t>
      </w:r>
      <w:r w:rsidR="00DE234A">
        <w:t xml:space="preserve">productive </w:t>
      </w:r>
      <w:proofErr w:type="spellStart"/>
      <w:r w:rsidR="00DE234A">
        <w:rPr>
          <w:i/>
        </w:rPr>
        <w:t>Bildungsvermögen</w:t>
      </w:r>
      <w:proofErr w:type="spellEnd"/>
      <w:r w:rsidR="00DE234A">
        <w:t xml:space="preserve">; however, Kant is clear that </w:t>
      </w:r>
      <w:proofErr w:type="spellStart"/>
      <w:r w:rsidR="00DE234A">
        <w:rPr>
          <w:i/>
        </w:rPr>
        <w:t>Abbildung</w:t>
      </w:r>
      <w:proofErr w:type="spellEnd"/>
      <w:r w:rsidR="00DE234A">
        <w:t xml:space="preserve"> does not merely involve the formation of a representation on the basis of</w:t>
      </w:r>
      <w:r w:rsidR="00A30931">
        <w:t xml:space="preserve"> a given sensation but requires</w:t>
      </w:r>
      <w:r w:rsidR="00DE234A">
        <w:t xml:space="preserve"> that the sensible manifold be run-through, a process that involves the reproductive activity of the mind (</w:t>
      </w:r>
      <w:proofErr w:type="spellStart"/>
      <w:r w:rsidR="009D77D1" w:rsidRPr="009D77D1">
        <w:rPr>
          <w:i/>
        </w:rPr>
        <w:t>Anth-Parow</w:t>
      </w:r>
      <w:proofErr w:type="spellEnd"/>
      <w:r w:rsidR="00DE234A">
        <w:t xml:space="preserve"> 25:303, </w:t>
      </w:r>
      <w:r w:rsidR="00874B24" w:rsidRPr="00874B24">
        <w:rPr>
          <w:i/>
        </w:rPr>
        <w:t>Met-L1</w:t>
      </w:r>
      <w:r w:rsidR="00DE234A">
        <w:t xml:space="preserve"> 28:235). It is for this reason that </w:t>
      </w:r>
      <w:r w:rsidR="00053A03">
        <w:t xml:space="preserve">Kant indicates that the capacity for </w:t>
      </w:r>
      <w:proofErr w:type="spellStart"/>
      <w:r w:rsidR="00053A03">
        <w:rPr>
          <w:i/>
        </w:rPr>
        <w:t>Abbildung</w:t>
      </w:r>
      <w:proofErr w:type="spellEnd"/>
      <w:r w:rsidR="00053A03">
        <w:t xml:space="preserve"> is the “</w:t>
      </w:r>
      <w:r w:rsidR="00053A03">
        <w:rPr>
          <w:i/>
        </w:rPr>
        <w:t>fundament</w:t>
      </w:r>
      <w:r w:rsidR="00053A03">
        <w:t>” of the others, according to which th</w:t>
      </w:r>
      <w:r w:rsidR="00DE234A">
        <w:t xml:space="preserve">e representations of </w:t>
      </w:r>
      <w:proofErr w:type="spellStart"/>
      <w:r w:rsidR="00DE234A">
        <w:rPr>
          <w:i/>
        </w:rPr>
        <w:t>Nachbildung</w:t>
      </w:r>
      <w:proofErr w:type="spellEnd"/>
      <w:r w:rsidR="00DE234A">
        <w:t xml:space="preserve"> and </w:t>
      </w:r>
      <w:proofErr w:type="spellStart"/>
      <w:r w:rsidR="00DE234A">
        <w:rPr>
          <w:i/>
        </w:rPr>
        <w:t>Vorbilden</w:t>
      </w:r>
      <w:proofErr w:type="spellEnd"/>
      <w:r w:rsidR="00DE234A">
        <w:t xml:space="preserve"> are made (</w:t>
      </w:r>
      <w:proofErr w:type="spellStart"/>
      <w:r w:rsidR="001240D0" w:rsidRPr="001240D0">
        <w:rPr>
          <w:i/>
        </w:rPr>
        <w:t>Refl</w:t>
      </w:r>
      <w:proofErr w:type="spellEnd"/>
      <w:r w:rsidR="001240D0">
        <w:t xml:space="preserve"> 315 </w:t>
      </w:r>
      <w:r w:rsidR="00DE234A">
        <w:t xml:space="preserve">15:125), namely, inasmuch as it is the </w:t>
      </w:r>
      <w:proofErr w:type="spellStart"/>
      <w:r w:rsidR="00DE234A">
        <w:rPr>
          <w:i/>
        </w:rPr>
        <w:t>Abbildungen</w:t>
      </w:r>
      <w:proofErr w:type="spellEnd"/>
      <w:r w:rsidR="00DE234A">
        <w:t xml:space="preserve"> </w:t>
      </w:r>
      <w:r w:rsidR="00A30931">
        <w:t xml:space="preserve">resulting from this process </w:t>
      </w:r>
      <w:r w:rsidR="00DE234A">
        <w:t>that are reproduced or anticipated to recur later.</w:t>
      </w:r>
      <w:r w:rsidR="00240F10">
        <w:rPr>
          <w:rStyle w:val="FootnoteReference"/>
        </w:rPr>
        <w:footnoteReference w:id="8"/>
      </w:r>
      <w:r w:rsidR="001240D0">
        <w:t xml:space="preserve"> </w:t>
      </w:r>
    </w:p>
    <w:p w:rsidR="00155065" w:rsidRPr="00964B1F" w:rsidRDefault="003D3411" w:rsidP="0022473B">
      <w:pPr>
        <w:spacing w:line="360" w:lineRule="auto"/>
      </w:pPr>
      <w:r>
        <w:lastRenderedPageBreak/>
        <w:tab/>
        <w:t xml:space="preserve">Kant similarly divides </w:t>
      </w:r>
      <w:r w:rsidR="00155065">
        <w:t xml:space="preserve">the productive faculty of the </w:t>
      </w:r>
      <w:proofErr w:type="spellStart"/>
      <w:r w:rsidR="00155065">
        <w:rPr>
          <w:i/>
        </w:rPr>
        <w:t>Bildungsvermögen</w:t>
      </w:r>
      <w:proofErr w:type="spellEnd"/>
      <w:r w:rsidR="00155065">
        <w:t xml:space="preserve"> </w:t>
      </w:r>
      <w:r>
        <w:t>into its voluntary and</w:t>
      </w:r>
      <w:r w:rsidR="00155065">
        <w:t xml:space="preserve"> involuntary </w:t>
      </w:r>
      <w:r>
        <w:t>exercise</w:t>
      </w:r>
      <w:r w:rsidR="00155065">
        <w:t xml:space="preserve">. </w:t>
      </w:r>
      <w:r w:rsidR="00000C83">
        <w:t xml:space="preserve">Kant identifies the involuntary capacity of bringing forth representations as </w:t>
      </w:r>
      <w:proofErr w:type="spellStart"/>
      <w:r w:rsidR="00000C83">
        <w:rPr>
          <w:i/>
        </w:rPr>
        <w:t>Phantasie</w:t>
      </w:r>
      <w:proofErr w:type="spellEnd"/>
      <w:r w:rsidR="00000C83">
        <w:t xml:space="preserve"> (</w:t>
      </w:r>
      <w:proofErr w:type="spellStart"/>
      <w:r w:rsidR="009D77D1" w:rsidRPr="009D77D1">
        <w:rPr>
          <w:i/>
        </w:rPr>
        <w:t>Anth-Coll</w:t>
      </w:r>
      <w:proofErr w:type="spellEnd"/>
      <w:r w:rsidR="00000C83">
        <w:t xml:space="preserve"> 25:87</w:t>
      </w:r>
      <w:r w:rsidR="00A1781F">
        <w:t xml:space="preserve">, </w:t>
      </w:r>
      <w:proofErr w:type="spellStart"/>
      <w:r w:rsidR="009D77D1" w:rsidRPr="009D77D1">
        <w:rPr>
          <w:i/>
        </w:rPr>
        <w:t>Anth-Parow</w:t>
      </w:r>
      <w:proofErr w:type="spellEnd"/>
      <w:r w:rsidR="00A1781F">
        <w:t xml:space="preserve"> 25:314</w:t>
      </w:r>
      <w:r w:rsidR="00000C83">
        <w:t xml:space="preserve">), which capacity differs from memory in its involuntary character and from </w:t>
      </w:r>
      <w:proofErr w:type="spellStart"/>
      <w:r w:rsidR="00000C83">
        <w:rPr>
          <w:i/>
        </w:rPr>
        <w:t>Nachbildung</w:t>
      </w:r>
      <w:proofErr w:type="spellEnd"/>
      <w:r w:rsidR="00000C83">
        <w:t xml:space="preserve"> or </w:t>
      </w:r>
      <w:r w:rsidR="00000C83">
        <w:rPr>
          <w:i/>
        </w:rPr>
        <w:t>Imagination</w:t>
      </w:r>
      <w:r w:rsidR="00000C83">
        <w:t xml:space="preserve"> in that the representations differ in form from their original sensible presentations (</w:t>
      </w:r>
      <w:r w:rsidR="00874B24" w:rsidRPr="00874B24">
        <w:rPr>
          <w:i/>
        </w:rPr>
        <w:t>Met-L1</w:t>
      </w:r>
      <w:r w:rsidR="00000C83">
        <w:t xml:space="preserve"> 28:237).</w:t>
      </w:r>
      <w:r w:rsidR="00F949DB">
        <w:t xml:space="preserve"> As a creative but involuntary power, </w:t>
      </w:r>
      <w:proofErr w:type="spellStart"/>
      <w:r w:rsidR="00F949DB">
        <w:rPr>
          <w:i/>
        </w:rPr>
        <w:t>Phantasie</w:t>
      </w:r>
      <w:proofErr w:type="spellEnd"/>
      <w:r w:rsidR="00B82636">
        <w:t xml:space="preserve"> can be</w:t>
      </w:r>
      <w:r w:rsidR="00F949DB">
        <w:t xml:space="preserve"> symptomatic of a disordered mind, either insofar as it is without a rule (</w:t>
      </w:r>
      <w:proofErr w:type="spellStart"/>
      <w:r w:rsidR="00F949DB">
        <w:rPr>
          <w:i/>
        </w:rPr>
        <w:t>Regellos</w:t>
      </w:r>
      <w:proofErr w:type="spellEnd"/>
      <w:r w:rsidR="00F949DB">
        <w:t>), and so in conflict with the understanding</w:t>
      </w:r>
      <w:r w:rsidR="00725C41">
        <w:t xml:space="preserve"> as in dreaming</w:t>
      </w:r>
      <w:r w:rsidR="00F949DB">
        <w:t>, or utterly unrestrained (</w:t>
      </w:r>
      <w:proofErr w:type="spellStart"/>
      <w:r w:rsidR="00F949DB">
        <w:rPr>
          <w:i/>
        </w:rPr>
        <w:t>Zügellos</w:t>
      </w:r>
      <w:proofErr w:type="spellEnd"/>
      <w:r w:rsidR="00F949DB">
        <w:t>), a condition Kant associates with great genius but also hypochondria (</w:t>
      </w:r>
      <w:proofErr w:type="spellStart"/>
      <w:r w:rsidR="009D77D1" w:rsidRPr="009D77D1">
        <w:rPr>
          <w:i/>
        </w:rPr>
        <w:t>Anth</w:t>
      </w:r>
      <w:proofErr w:type="spellEnd"/>
      <w:r w:rsidR="009D77D1" w:rsidRPr="009D77D1">
        <w:rPr>
          <w:i/>
        </w:rPr>
        <w:t>-Fried</w:t>
      </w:r>
      <w:r w:rsidR="00F949DB">
        <w:t xml:space="preserve"> 25:514</w:t>
      </w:r>
      <w:r w:rsidR="007A7FB6">
        <w:t>–</w:t>
      </w:r>
      <w:r w:rsidR="00F949DB">
        <w:t xml:space="preserve">15, </w:t>
      </w:r>
      <w:proofErr w:type="spellStart"/>
      <w:r w:rsidR="009D77D1" w:rsidRPr="009D77D1">
        <w:rPr>
          <w:i/>
        </w:rPr>
        <w:t>Anth-Pillau</w:t>
      </w:r>
      <w:proofErr w:type="spellEnd"/>
      <w:r w:rsidR="00F949DB">
        <w:t xml:space="preserve"> 25:752</w:t>
      </w:r>
      <w:r w:rsidR="007A7FB6">
        <w:t>–</w:t>
      </w:r>
      <w:r w:rsidR="00F949DB">
        <w:t>3,</w:t>
      </w:r>
      <w:r w:rsidR="00725C41">
        <w:t xml:space="preserve"> 764</w:t>
      </w:r>
      <w:r w:rsidR="007A7FB6">
        <w:t>–</w:t>
      </w:r>
      <w:r w:rsidR="00725C41">
        <w:t>5,</w:t>
      </w:r>
      <w:r w:rsidR="00F949DB">
        <w:t xml:space="preserve"> </w:t>
      </w:r>
      <w:proofErr w:type="spellStart"/>
      <w:r w:rsidR="00874B24" w:rsidRPr="00874B24">
        <w:rPr>
          <w:i/>
        </w:rPr>
        <w:t>Anth-Mrong</w:t>
      </w:r>
      <w:proofErr w:type="spellEnd"/>
      <w:r w:rsidR="00F949DB">
        <w:t xml:space="preserve"> 25:1261).</w:t>
      </w:r>
      <w:r w:rsidR="005547B8">
        <w:t xml:space="preserve"> By contrast, the voluntary productive exercise of the </w:t>
      </w:r>
      <w:proofErr w:type="spellStart"/>
      <w:r w:rsidR="005547B8">
        <w:rPr>
          <w:i/>
        </w:rPr>
        <w:t>Bildungsvermögen</w:t>
      </w:r>
      <w:proofErr w:type="spellEnd"/>
      <w:r w:rsidR="005547B8">
        <w:t xml:space="preserve"> is identified as the </w:t>
      </w:r>
      <w:proofErr w:type="spellStart"/>
      <w:r w:rsidR="005547B8">
        <w:rPr>
          <w:i/>
        </w:rPr>
        <w:t>Einbildungskraft</w:t>
      </w:r>
      <w:proofErr w:type="spellEnd"/>
      <w:r w:rsidR="005547B8">
        <w:t xml:space="preserve"> proper </w:t>
      </w:r>
      <w:r w:rsidR="00113484">
        <w:t>(</w:t>
      </w:r>
      <w:r w:rsidR="00BE12C5">
        <w:t xml:space="preserve">cf. </w:t>
      </w:r>
      <w:proofErr w:type="spellStart"/>
      <w:r w:rsidR="009D77D1" w:rsidRPr="009D77D1">
        <w:rPr>
          <w:i/>
        </w:rPr>
        <w:t>Anth-Coll</w:t>
      </w:r>
      <w:proofErr w:type="spellEnd"/>
      <w:r w:rsidR="00964B1F">
        <w:t xml:space="preserve"> 25:95, </w:t>
      </w:r>
      <w:proofErr w:type="spellStart"/>
      <w:r w:rsidR="009D77D1" w:rsidRPr="009D77D1">
        <w:rPr>
          <w:i/>
        </w:rPr>
        <w:t>Anth-Parow</w:t>
      </w:r>
      <w:proofErr w:type="spellEnd"/>
      <w:r w:rsidR="005547B8">
        <w:t xml:space="preserve"> 25:305</w:t>
      </w:r>
      <w:r w:rsidR="00113484">
        <w:t>)</w:t>
      </w:r>
      <w:r w:rsidR="00990C79">
        <w:t>.</w:t>
      </w:r>
      <w:r w:rsidR="00BE12C5">
        <w:rPr>
          <w:rStyle w:val="FootnoteReference"/>
        </w:rPr>
        <w:footnoteReference w:id="9"/>
      </w:r>
      <w:r w:rsidR="00990C79">
        <w:t xml:space="preserve"> Kant takes this faculty to be responsible for poetic creation (</w:t>
      </w:r>
      <w:proofErr w:type="spellStart"/>
      <w:r w:rsidR="00B82636">
        <w:rPr>
          <w:i/>
        </w:rPr>
        <w:t>D</w:t>
      </w:r>
      <w:r w:rsidR="00990C79">
        <w:rPr>
          <w:i/>
        </w:rPr>
        <w:t>ichten</w:t>
      </w:r>
      <w:proofErr w:type="spellEnd"/>
      <w:r w:rsidR="00990C79">
        <w:t xml:space="preserve">), on account of which he also frequently identifies </w:t>
      </w:r>
      <w:r w:rsidR="00964B1F">
        <w:t xml:space="preserve">it </w:t>
      </w:r>
      <w:r w:rsidR="00990C79">
        <w:t>as the</w:t>
      </w:r>
      <w:r w:rsidR="005547B8">
        <w:t xml:space="preserve"> </w:t>
      </w:r>
      <w:proofErr w:type="spellStart"/>
      <w:r w:rsidR="005547B8">
        <w:rPr>
          <w:i/>
        </w:rPr>
        <w:t>Dichtungsvermögen</w:t>
      </w:r>
      <w:proofErr w:type="spellEnd"/>
      <w:r w:rsidR="005547B8">
        <w:t xml:space="preserve"> (</w:t>
      </w:r>
      <w:proofErr w:type="spellStart"/>
      <w:r w:rsidR="009D77D1" w:rsidRPr="009D77D1">
        <w:rPr>
          <w:i/>
        </w:rPr>
        <w:t>Anth-Parow</w:t>
      </w:r>
      <w:proofErr w:type="spellEnd"/>
      <w:r w:rsidR="005547B8">
        <w:t xml:space="preserve"> 25:321, </w:t>
      </w:r>
      <w:r w:rsidR="00874B24" w:rsidRPr="00874B24">
        <w:rPr>
          <w:i/>
        </w:rPr>
        <w:t>Met-L1</w:t>
      </w:r>
      <w:r w:rsidR="005547B8">
        <w:t xml:space="preserve"> 28:237, </w:t>
      </w:r>
      <w:proofErr w:type="spellStart"/>
      <w:r w:rsidR="00874B24" w:rsidRPr="00874B24">
        <w:rPr>
          <w:i/>
        </w:rPr>
        <w:t>Menschenkunde</w:t>
      </w:r>
      <w:proofErr w:type="spellEnd"/>
      <w:r w:rsidR="005547B8">
        <w:t xml:space="preserve"> 25:981</w:t>
      </w:r>
      <w:r w:rsidR="00113484">
        <w:t xml:space="preserve">, </w:t>
      </w:r>
      <w:proofErr w:type="spellStart"/>
      <w:r w:rsidR="00874B24" w:rsidRPr="00874B24">
        <w:rPr>
          <w:i/>
        </w:rPr>
        <w:t>Anth-Mrong</w:t>
      </w:r>
      <w:proofErr w:type="spellEnd"/>
      <w:r w:rsidR="00113484">
        <w:t xml:space="preserve"> 25:1277, </w:t>
      </w:r>
      <w:proofErr w:type="spellStart"/>
      <w:r w:rsidR="00874B24" w:rsidRPr="00874B24">
        <w:rPr>
          <w:i/>
        </w:rPr>
        <w:t>Anth</w:t>
      </w:r>
      <w:proofErr w:type="spellEnd"/>
      <w:r w:rsidR="00874B24" w:rsidRPr="00874B24">
        <w:rPr>
          <w:i/>
        </w:rPr>
        <w:t>-Bus</w:t>
      </w:r>
      <w:r w:rsidR="007A7FB6">
        <w:rPr>
          <w:i/>
        </w:rPr>
        <w:t xml:space="preserve"> </w:t>
      </w:r>
      <w:r w:rsidR="00113484">
        <w:t>25:1464</w:t>
      </w:r>
      <w:r w:rsidR="005547B8">
        <w:t>)</w:t>
      </w:r>
      <w:r w:rsidR="00964B1F">
        <w:t>, and also contends that it is the primary source of all invention (</w:t>
      </w:r>
      <w:proofErr w:type="spellStart"/>
      <w:r w:rsidR="00964B1F">
        <w:rPr>
          <w:i/>
        </w:rPr>
        <w:t>Erfindung</w:t>
      </w:r>
      <w:proofErr w:type="spellEnd"/>
      <w:r w:rsidR="00BE12C5">
        <w:t>), whether poetic,</w:t>
      </w:r>
      <w:r w:rsidR="00964B1F">
        <w:t xml:space="preserve"> pertaining to new cognitions</w:t>
      </w:r>
      <w:r w:rsidR="00014066">
        <w:t xml:space="preserve"> or even pragmatic, as in the </w:t>
      </w:r>
      <w:proofErr w:type="spellStart"/>
      <w:r w:rsidR="00014066">
        <w:rPr>
          <w:i/>
        </w:rPr>
        <w:t>Einbildung</w:t>
      </w:r>
      <w:proofErr w:type="spellEnd"/>
      <w:r w:rsidR="00014066">
        <w:t xml:space="preserve"> of a still-to-be constructed house</w:t>
      </w:r>
      <w:r w:rsidR="00964B1F">
        <w:t xml:space="preserve"> (</w:t>
      </w:r>
      <w:proofErr w:type="spellStart"/>
      <w:r w:rsidR="009D77D1" w:rsidRPr="009D77D1">
        <w:rPr>
          <w:i/>
        </w:rPr>
        <w:t>Anth-Coll</w:t>
      </w:r>
      <w:proofErr w:type="spellEnd"/>
      <w:r w:rsidR="00964B1F">
        <w:t xml:space="preserve"> 25:97, </w:t>
      </w:r>
      <w:proofErr w:type="spellStart"/>
      <w:r w:rsidR="009D77D1" w:rsidRPr="009D77D1">
        <w:rPr>
          <w:i/>
        </w:rPr>
        <w:t>Anth</w:t>
      </w:r>
      <w:proofErr w:type="spellEnd"/>
      <w:r w:rsidR="009D77D1" w:rsidRPr="009D77D1">
        <w:rPr>
          <w:i/>
        </w:rPr>
        <w:t>-Fried</w:t>
      </w:r>
      <w:r w:rsidR="00964B1F">
        <w:t xml:space="preserve"> 25:524</w:t>
      </w:r>
      <w:r w:rsidR="00014066">
        <w:t xml:space="preserve">, </w:t>
      </w:r>
      <w:r w:rsidR="00874B24" w:rsidRPr="00874B24">
        <w:rPr>
          <w:i/>
        </w:rPr>
        <w:t>Met-L1</w:t>
      </w:r>
      <w:r w:rsidR="00014066">
        <w:t xml:space="preserve"> </w:t>
      </w:r>
      <w:r w:rsidR="00D139D4">
        <w:t xml:space="preserve">28:143, </w:t>
      </w:r>
      <w:r w:rsidR="00014066">
        <w:t>237</w:t>
      </w:r>
      <w:r w:rsidR="00964B1F">
        <w:t xml:space="preserve">). </w:t>
      </w:r>
    </w:p>
    <w:p w:rsidR="002A03FD" w:rsidRDefault="00716F09" w:rsidP="008464ED">
      <w:pPr>
        <w:spacing w:line="360" w:lineRule="auto"/>
      </w:pPr>
      <w:r>
        <w:tab/>
        <w:t xml:space="preserve">Taking all this together, we can provide the following by way of a systematic division of the </w:t>
      </w:r>
      <w:proofErr w:type="spellStart"/>
      <w:r>
        <w:rPr>
          <w:i/>
        </w:rPr>
        <w:t>Bildungsvermögen</w:t>
      </w:r>
      <w:proofErr w:type="spellEnd"/>
      <w:r>
        <w:t xml:space="preserve"> according to Kant’s </w:t>
      </w:r>
      <w:r w:rsidR="00D139D4">
        <w:t>treatment</w:t>
      </w:r>
      <w:r>
        <w:t xml:space="preserve"> of that faculty</w:t>
      </w:r>
      <w:r w:rsidR="00B82636">
        <w:t xml:space="preserve"> in his lectures on anthropology (and empirical psychology in the metaphysics notes)</w:t>
      </w:r>
      <w:r>
        <w:t>:</w:t>
      </w:r>
    </w:p>
    <w:p w:rsidR="00D94CE8" w:rsidRDefault="00243570" w:rsidP="00D94CE8">
      <w:pPr>
        <w:spacing w:line="360" w:lineRule="auto"/>
        <w:jc w:val="center"/>
      </w:pPr>
      <w:r w:rsidRPr="00243570">
        <w:rPr>
          <w:noProof/>
          <w:lang w:eastAsia="en-CA"/>
        </w:rPr>
        <w:lastRenderedPageBreak/>
        <w:drawing>
          <wp:inline distT="0" distB="0" distL="0" distR="0">
            <wp:extent cx="5180310" cy="3100567"/>
            <wp:effectExtent l="0" t="0" r="1905" b="5080"/>
            <wp:docPr id="2" name="Picture 2" descr="C:\Users\Corey\Desktop\Imagination and Association\BVfigure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ey\Desktop\Imagination and Association\BVfigure1.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9330" cy="3111951"/>
                    </a:xfrm>
                    <a:prstGeom prst="rect">
                      <a:avLst/>
                    </a:prstGeom>
                    <a:noFill/>
                    <a:ln>
                      <a:noFill/>
                    </a:ln>
                  </pic:spPr>
                </pic:pic>
              </a:graphicData>
            </a:graphic>
          </wp:inline>
        </w:drawing>
      </w:r>
    </w:p>
    <w:p w:rsidR="00D94CE8" w:rsidRPr="00783907" w:rsidRDefault="00B82636" w:rsidP="008464ED">
      <w:pPr>
        <w:spacing w:line="360" w:lineRule="auto"/>
      </w:pPr>
      <w:r>
        <w:t>Significantly</w:t>
      </w:r>
      <w:r w:rsidR="00793AE1">
        <w:t xml:space="preserve">, Kant adheres to this division in its essentials in the writings and </w:t>
      </w:r>
      <w:r>
        <w:t xml:space="preserve">lecture </w:t>
      </w:r>
      <w:r w:rsidR="00793AE1">
        <w:t xml:space="preserve">notes of the Critical period. Thus, in addition to formally introducing the distinction between ‘reproductive’ and ‘productive’ faculties, he continues to distinguish between voluntary and involuntary functions of the reproductive faculty, referring to the former as memory (cf. </w:t>
      </w:r>
      <w:proofErr w:type="spellStart"/>
      <w:r w:rsidR="009D77D1" w:rsidRPr="009D77D1">
        <w:rPr>
          <w:i/>
        </w:rPr>
        <w:t>Anth-Parow</w:t>
      </w:r>
      <w:proofErr w:type="spellEnd"/>
      <w:r w:rsidR="00F63D7B">
        <w:t xml:space="preserve"> 25:314, </w:t>
      </w:r>
      <w:proofErr w:type="spellStart"/>
      <w:r w:rsidR="00874B24" w:rsidRPr="00874B24">
        <w:rPr>
          <w:i/>
        </w:rPr>
        <w:t>Menschenkunde</w:t>
      </w:r>
      <w:proofErr w:type="spellEnd"/>
      <w:r w:rsidR="00793AE1">
        <w:t xml:space="preserve"> 25:974, </w:t>
      </w:r>
      <w:proofErr w:type="spellStart"/>
      <w:r w:rsidR="00874B24" w:rsidRPr="00874B24">
        <w:rPr>
          <w:i/>
        </w:rPr>
        <w:t>Anth-Mrong</w:t>
      </w:r>
      <w:proofErr w:type="spellEnd"/>
      <w:r w:rsidR="00793AE1">
        <w:t xml:space="preserve"> 25:1273, </w:t>
      </w:r>
      <w:proofErr w:type="spellStart"/>
      <w:r w:rsidR="00874B24" w:rsidRPr="00874B24">
        <w:rPr>
          <w:i/>
        </w:rPr>
        <w:t>Anth</w:t>
      </w:r>
      <w:proofErr w:type="spellEnd"/>
      <w:r w:rsidR="00874B24" w:rsidRPr="00874B24">
        <w:rPr>
          <w:i/>
        </w:rPr>
        <w:t>-Bus</w:t>
      </w:r>
      <w:r w:rsidR="00793AE1">
        <w:t xml:space="preserve"> 25:1462, </w:t>
      </w:r>
      <w:proofErr w:type="spellStart"/>
      <w:r w:rsidR="00793AE1" w:rsidRPr="00634B4B">
        <w:rPr>
          <w:i/>
        </w:rPr>
        <w:t>Anth</w:t>
      </w:r>
      <w:proofErr w:type="spellEnd"/>
      <w:r w:rsidR="00793AE1">
        <w:t xml:space="preserve"> 7:182) and the latter, at least at one point, as the “merely reproductive” </w:t>
      </w:r>
      <w:r w:rsidR="00793AE1" w:rsidRPr="006B4B0B">
        <w:t>faculty</w:t>
      </w:r>
      <w:r w:rsidR="00793AE1">
        <w:t xml:space="preserve"> (</w:t>
      </w:r>
      <w:proofErr w:type="spellStart"/>
      <w:r w:rsidR="00793AE1" w:rsidRPr="00155065">
        <w:rPr>
          <w:i/>
        </w:rPr>
        <w:t>Anth</w:t>
      </w:r>
      <w:proofErr w:type="spellEnd"/>
      <w:r w:rsidR="00793AE1">
        <w:t xml:space="preserve"> 7:182</w:t>
      </w:r>
      <w:r w:rsidR="00793AE1">
        <w:rPr>
          <w:rStyle w:val="FootnoteReference"/>
        </w:rPr>
        <w:footnoteReference w:id="10"/>
      </w:r>
      <w:r w:rsidR="00793AE1">
        <w:t xml:space="preserve">); similarly, Kant distinguishes between involuntary and voluntary productive faculties, typically identifying the former as </w:t>
      </w:r>
      <w:proofErr w:type="spellStart"/>
      <w:r w:rsidR="00793AE1">
        <w:rPr>
          <w:i/>
        </w:rPr>
        <w:t>Phantasie</w:t>
      </w:r>
      <w:proofErr w:type="spellEnd"/>
      <w:r w:rsidR="00793AE1">
        <w:t xml:space="preserve"> (</w:t>
      </w:r>
      <w:proofErr w:type="spellStart"/>
      <w:r w:rsidR="00874B24" w:rsidRPr="00874B24">
        <w:rPr>
          <w:i/>
        </w:rPr>
        <w:t>Anth-Mrong</w:t>
      </w:r>
      <w:proofErr w:type="spellEnd"/>
      <w:r w:rsidR="00793AE1">
        <w:t xml:space="preserve"> 25:1258, </w:t>
      </w:r>
      <w:proofErr w:type="spellStart"/>
      <w:r w:rsidR="00793AE1" w:rsidRPr="00634B4B">
        <w:rPr>
          <w:i/>
        </w:rPr>
        <w:t>Anth</w:t>
      </w:r>
      <w:proofErr w:type="spellEnd"/>
      <w:r w:rsidR="00793AE1">
        <w:t xml:space="preserve"> 7:167, 175, 180) and the latter as </w:t>
      </w:r>
      <w:r w:rsidR="008C40CE">
        <w:t xml:space="preserve">the </w:t>
      </w:r>
      <w:proofErr w:type="spellStart"/>
      <w:r w:rsidR="00793AE1">
        <w:rPr>
          <w:i/>
        </w:rPr>
        <w:t>Dichtungsvermögen</w:t>
      </w:r>
      <w:proofErr w:type="spellEnd"/>
      <w:r w:rsidR="00793AE1">
        <w:rPr>
          <w:i/>
        </w:rPr>
        <w:t xml:space="preserve"> </w:t>
      </w:r>
      <w:r w:rsidR="008C40CE">
        <w:t xml:space="preserve">or sometimes as the </w:t>
      </w:r>
      <w:r w:rsidR="008C40CE">
        <w:rPr>
          <w:i/>
        </w:rPr>
        <w:t xml:space="preserve">Imagination </w:t>
      </w:r>
      <w:r w:rsidR="00793AE1">
        <w:t>(</w:t>
      </w:r>
      <w:proofErr w:type="spellStart"/>
      <w:r w:rsidR="00874B24" w:rsidRPr="00874B24">
        <w:rPr>
          <w:i/>
        </w:rPr>
        <w:t>Anth-Mrong</w:t>
      </w:r>
      <w:proofErr w:type="spellEnd"/>
      <w:r w:rsidR="00793AE1">
        <w:t xml:space="preserve"> 25:</w:t>
      </w:r>
      <w:r w:rsidR="008C40CE">
        <w:t>1258, 1277</w:t>
      </w:r>
      <w:r w:rsidR="00793AE1">
        <w:t xml:space="preserve">, </w:t>
      </w:r>
      <w:proofErr w:type="spellStart"/>
      <w:r w:rsidR="00874B24" w:rsidRPr="00874B24">
        <w:rPr>
          <w:i/>
        </w:rPr>
        <w:t>Anth</w:t>
      </w:r>
      <w:proofErr w:type="spellEnd"/>
      <w:r w:rsidR="00874B24" w:rsidRPr="00874B24">
        <w:rPr>
          <w:i/>
        </w:rPr>
        <w:t>-Bus</w:t>
      </w:r>
      <w:r w:rsidR="00793AE1">
        <w:t xml:space="preserve"> 25:1464).</w:t>
      </w:r>
      <w:r w:rsidR="008C40CE">
        <w:t xml:space="preserve"> The most obvious difference, of course, is that Kant no longer presents this division in terms of an analysis of the </w:t>
      </w:r>
      <w:proofErr w:type="spellStart"/>
      <w:r w:rsidR="008C40CE">
        <w:rPr>
          <w:i/>
        </w:rPr>
        <w:t>Bildungsvermögen</w:t>
      </w:r>
      <w:proofErr w:type="spellEnd"/>
      <w:r w:rsidR="008C40CE">
        <w:t xml:space="preserve"> but rather of the </w:t>
      </w:r>
      <w:proofErr w:type="spellStart"/>
      <w:r w:rsidR="008C40CE">
        <w:rPr>
          <w:i/>
        </w:rPr>
        <w:t>Einbildungskraft</w:t>
      </w:r>
      <w:proofErr w:type="spellEnd"/>
      <w:r w:rsidR="008C40CE">
        <w:t xml:space="preserve">, a change that makes its first appearance, in the materials we have available, with the lectures recorded in the </w:t>
      </w:r>
      <w:r w:rsidR="008C40CE">
        <w:rPr>
          <w:i/>
        </w:rPr>
        <w:t>Anthropologie</w:t>
      </w:r>
      <w:r w:rsidR="008C40CE">
        <w:t>-</w:t>
      </w:r>
      <w:proofErr w:type="spellStart"/>
      <w:r w:rsidR="008C40CE" w:rsidRPr="008C40CE">
        <w:rPr>
          <w:i/>
        </w:rPr>
        <w:t>Pillau</w:t>
      </w:r>
      <w:proofErr w:type="spellEnd"/>
      <w:r w:rsidR="008C40CE">
        <w:t xml:space="preserve"> from the Winter</w:t>
      </w:r>
      <w:r w:rsidR="00634B4B">
        <w:t xml:space="preserve"> Semester of 1777/</w:t>
      </w:r>
      <w:r w:rsidR="008C40CE">
        <w:t xml:space="preserve">78 (cf. </w:t>
      </w:r>
      <w:proofErr w:type="spellStart"/>
      <w:r w:rsidR="009D77D1" w:rsidRPr="009D77D1">
        <w:rPr>
          <w:i/>
        </w:rPr>
        <w:t>Anth-Pillau</w:t>
      </w:r>
      <w:proofErr w:type="spellEnd"/>
      <w:r w:rsidR="008C40CE">
        <w:t xml:space="preserve"> 25:750f). </w:t>
      </w:r>
      <w:r w:rsidR="00783907">
        <w:t xml:space="preserve">Nor should this be taken merely as a change in terminology for Kant, as the </w:t>
      </w:r>
      <w:proofErr w:type="spellStart"/>
      <w:r w:rsidR="00783907">
        <w:rPr>
          <w:i/>
        </w:rPr>
        <w:t>Einbildungskraft</w:t>
      </w:r>
      <w:proofErr w:type="spellEnd"/>
      <w:r w:rsidR="00783907">
        <w:t xml:space="preserve"> is not defined narrowly (as the </w:t>
      </w:r>
      <w:proofErr w:type="spellStart"/>
      <w:r w:rsidR="00783907">
        <w:rPr>
          <w:i/>
        </w:rPr>
        <w:t>Bildungsvermögen</w:t>
      </w:r>
      <w:proofErr w:type="spellEnd"/>
      <w:r w:rsidR="00783907">
        <w:rPr>
          <w:i/>
        </w:rPr>
        <w:t xml:space="preserve"> </w:t>
      </w:r>
      <w:r w:rsidR="00783907">
        <w:t xml:space="preserve">was) in terms of a faculty for the spontaneous generation of images but rather more generally as the faculty for the “representation of things that are not present” (cf. </w:t>
      </w:r>
      <w:proofErr w:type="spellStart"/>
      <w:r w:rsidR="009D77D1" w:rsidRPr="009D77D1">
        <w:rPr>
          <w:i/>
        </w:rPr>
        <w:t>Anth-Pillau</w:t>
      </w:r>
      <w:proofErr w:type="spellEnd"/>
      <w:r w:rsidR="00783907">
        <w:t xml:space="preserve"> 25:750), which likewise distinguishes it from Kant’s previous definition of the </w:t>
      </w:r>
      <w:proofErr w:type="spellStart"/>
      <w:r w:rsidR="00783907">
        <w:rPr>
          <w:i/>
        </w:rPr>
        <w:t>Einbildungskraft</w:t>
      </w:r>
      <w:proofErr w:type="spellEnd"/>
      <w:r w:rsidR="00783907">
        <w:t xml:space="preserve">, that is, insofar as it was identified with the </w:t>
      </w:r>
      <w:proofErr w:type="spellStart"/>
      <w:r w:rsidR="00783907">
        <w:rPr>
          <w:i/>
        </w:rPr>
        <w:t>Dichtungsvermögen</w:t>
      </w:r>
      <w:proofErr w:type="spellEnd"/>
      <w:r w:rsidR="00783907">
        <w:t xml:space="preserve">. </w:t>
      </w:r>
    </w:p>
    <w:p w:rsidR="00D139D4" w:rsidRPr="00451A58" w:rsidRDefault="008867DC" w:rsidP="008464ED">
      <w:pPr>
        <w:spacing w:line="360" w:lineRule="auto"/>
      </w:pPr>
      <w:r>
        <w:lastRenderedPageBreak/>
        <w:tab/>
        <w:t>There is, then, an important</w:t>
      </w:r>
      <w:r w:rsidR="00783907">
        <w:t xml:space="preserve"> </w:t>
      </w:r>
      <w:r w:rsidR="00783907">
        <w:rPr>
          <w:i/>
        </w:rPr>
        <w:t>dis-</w:t>
      </w:r>
      <w:r w:rsidR="00783907">
        <w:t xml:space="preserve">continuity in Kant’s account of the </w:t>
      </w:r>
      <w:proofErr w:type="spellStart"/>
      <w:r w:rsidR="00783907">
        <w:rPr>
          <w:i/>
        </w:rPr>
        <w:t>Einbildungskraft</w:t>
      </w:r>
      <w:proofErr w:type="spellEnd"/>
      <w:r w:rsidR="00783907">
        <w:t xml:space="preserve"> between approximately 1775/76 (the time of the </w:t>
      </w:r>
      <w:r w:rsidR="00783907">
        <w:rPr>
          <w:i/>
        </w:rPr>
        <w:t>Anthropologie-Friedlander</w:t>
      </w:r>
      <w:r w:rsidR="00783907">
        <w:t xml:space="preserve">, where Kant’s presentation proceeds in accordance with the above—cf. </w:t>
      </w:r>
      <w:proofErr w:type="spellStart"/>
      <w:r w:rsidR="009D77D1" w:rsidRPr="009D77D1">
        <w:rPr>
          <w:i/>
        </w:rPr>
        <w:t>Anth</w:t>
      </w:r>
      <w:proofErr w:type="spellEnd"/>
      <w:r w:rsidR="009D77D1" w:rsidRPr="009D77D1">
        <w:rPr>
          <w:i/>
        </w:rPr>
        <w:t>-Fried</w:t>
      </w:r>
      <w:r w:rsidR="00783907">
        <w:t xml:space="preserve"> 25:511) and 1777/78 (when Kant introduces the </w:t>
      </w:r>
      <w:proofErr w:type="spellStart"/>
      <w:r w:rsidR="00783907">
        <w:rPr>
          <w:i/>
        </w:rPr>
        <w:t>Einbildungskraft</w:t>
      </w:r>
      <w:proofErr w:type="spellEnd"/>
      <w:r w:rsidR="00783907">
        <w:rPr>
          <w:i/>
        </w:rPr>
        <w:t xml:space="preserve"> </w:t>
      </w:r>
      <w:r w:rsidR="00783907">
        <w:t>in its now-familiar characterization</w:t>
      </w:r>
      <w:r>
        <w:t>).</w:t>
      </w:r>
      <w:r w:rsidR="00812973">
        <w:t xml:space="preserve"> While the extent of this change has gone largely unnotice</w:t>
      </w:r>
      <w:r w:rsidR="007F3AFC">
        <w:t>d in recent</w:t>
      </w:r>
      <w:r w:rsidR="00812973">
        <w:t xml:space="preserve"> Kant scholarship,</w:t>
      </w:r>
      <w:r>
        <w:rPr>
          <w:rStyle w:val="FootnoteReference"/>
        </w:rPr>
        <w:footnoteReference w:id="11"/>
      </w:r>
      <w:r w:rsidR="00812973">
        <w:t xml:space="preserve"> </w:t>
      </w:r>
      <w:r w:rsidR="00071D6A">
        <w:t>it is potentially rather significant for understanding Kant’s development in t</w:t>
      </w:r>
      <w:r w:rsidR="008E759B">
        <w:t>he 1770s</w:t>
      </w:r>
      <w:r w:rsidR="00617E5E">
        <w:t>.</w:t>
      </w:r>
      <w:r w:rsidR="00071D6A">
        <w:rPr>
          <w:rStyle w:val="FootnoteReference"/>
        </w:rPr>
        <w:footnoteReference w:id="12"/>
      </w:r>
      <w:r w:rsidR="00071D6A">
        <w:t xml:space="preserve"> In any case, insofar as this does not amount to a mere change in terminology or </w:t>
      </w:r>
      <w:r w:rsidR="00B82636">
        <w:t>reversion to</w:t>
      </w:r>
      <w:r w:rsidR="00071D6A">
        <w:t xml:space="preserve"> a definition of imagination that reflects that given in </w:t>
      </w:r>
      <w:proofErr w:type="spellStart"/>
      <w:r w:rsidR="00071D6A">
        <w:t>Baumgarten’s</w:t>
      </w:r>
      <w:proofErr w:type="spellEnd"/>
      <w:r w:rsidR="00071D6A">
        <w:t xml:space="preserve"> source text, we might assume that the change has a philosophical motivation, and one reason that suggests itself is that it reflects a change in </w:t>
      </w:r>
      <w:r w:rsidR="0050280E">
        <w:t xml:space="preserve">the scope of functions Kant assigns to </w:t>
      </w:r>
      <w:r w:rsidR="00071D6A">
        <w:t xml:space="preserve">the imaginative faculty. </w:t>
      </w:r>
      <w:r w:rsidR="005C0385">
        <w:t xml:space="preserve">While the account of the </w:t>
      </w:r>
      <w:proofErr w:type="spellStart"/>
      <w:r w:rsidR="005C0385">
        <w:rPr>
          <w:i/>
        </w:rPr>
        <w:t>Bildungsvermögen</w:t>
      </w:r>
      <w:proofErr w:type="spellEnd"/>
      <w:r w:rsidR="005C0385">
        <w:t xml:space="preserve"> would have sufficed for the range of tasks relating to the generation, manipulation, and augmentation of images insofar as they figured as a mediating step between impression and conceptual cognition (cf. </w:t>
      </w:r>
      <w:proofErr w:type="spellStart"/>
      <w:r w:rsidR="009D77D1" w:rsidRPr="009D77D1">
        <w:rPr>
          <w:i/>
        </w:rPr>
        <w:t>Anth-Coll</w:t>
      </w:r>
      <w:proofErr w:type="spellEnd"/>
      <w:r w:rsidR="005C0385">
        <w:t xml:space="preserve"> 25:76</w:t>
      </w:r>
      <w:r w:rsidR="007A7FB6">
        <w:t>–</w:t>
      </w:r>
      <w:r w:rsidR="005C0385">
        <w:t xml:space="preserve">7), Kant would soon recognize that this performance with respect to images was itself conditioned by a prior activity on the part of the mind, in accordance with which it becomes possible to bring sensible impressions to images in the first place. One way in which this need is expressed is in terms of the generation of the </w:t>
      </w:r>
      <w:r w:rsidR="00451A58">
        <w:t xml:space="preserve">pure </w:t>
      </w:r>
      <w:r w:rsidR="005C0385">
        <w:t>representations of space and time</w:t>
      </w:r>
      <w:r w:rsidR="004A36A8">
        <w:t>, and the problem of</w:t>
      </w:r>
      <w:r w:rsidR="00451A58">
        <w:t xml:space="preserve"> accounting for precisely how this is possible would have been especially apparent to Kant </w:t>
      </w:r>
      <w:r w:rsidR="00B82636">
        <w:t xml:space="preserve">(especially </w:t>
      </w:r>
      <w:r w:rsidR="00451A58">
        <w:t xml:space="preserve">after </w:t>
      </w:r>
      <w:proofErr w:type="spellStart"/>
      <w:r w:rsidR="00451A58">
        <w:t>Tetens</w:t>
      </w:r>
      <w:proofErr w:type="spellEnd"/>
      <w:r w:rsidR="00451A58">
        <w:t xml:space="preserve">’ critical discussion of this topic in his </w:t>
      </w:r>
      <w:proofErr w:type="spellStart"/>
      <w:r w:rsidR="00451A58">
        <w:rPr>
          <w:i/>
        </w:rPr>
        <w:t>Philosophische</w:t>
      </w:r>
      <w:proofErr w:type="spellEnd"/>
      <w:r w:rsidR="00451A58">
        <w:rPr>
          <w:i/>
        </w:rPr>
        <w:t xml:space="preserve"> </w:t>
      </w:r>
      <w:proofErr w:type="spellStart"/>
      <w:r w:rsidR="00451A58">
        <w:rPr>
          <w:i/>
        </w:rPr>
        <w:t>Versuche</w:t>
      </w:r>
      <w:proofErr w:type="spellEnd"/>
      <w:r w:rsidR="00451A58">
        <w:t xml:space="preserve"> of 1777</w:t>
      </w:r>
      <w:r w:rsidR="00B82636">
        <w:t>)</w:t>
      </w:r>
      <w:r w:rsidR="00451A58">
        <w:t>.</w:t>
      </w:r>
      <w:r w:rsidR="00451A58">
        <w:rPr>
          <w:rStyle w:val="FootnoteReference"/>
        </w:rPr>
        <w:footnoteReference w:id="13"/>
      </w:r>
      <w:r w:rsidR="00451A58">
        <w:t xml:space="preserve"> As a result, Kant’s account of the imagination could no longer be limited to the mere reproduction of images and their use in poetic invention, but would need to be widened to include its activity in its novel </w:t>
      </w:r>
      <w:r w:rsidR="00451A58">
        <w:rPr>
          <w:i/>
        </w:rPr>
        <w:t xml:space="preserve">transcendental </w:t>
      </w:r>
      <w:r w:rsidR="00451A58">
        <w:t xml:space="preserve">function. So, while the above taxonomy can still be allowed to hold for </w:t>
      </w:r>
      <w:r w:rsidR="005E71F1">
        <w:t xml:space="preserve">(what will come to be called) </w:t>
      </w:r>
      <w:r w:rsidR="00451A58">
        <w:t xml:space="preserve">the </w:t>
      </w:r>
      <w:r w:rsidR="00451A58" w:rsidRPr="005E71F1">
        <w:rPr>
          <w:i/>
        </w:rPr>
        <w:t>empirical</w:t>
      </w:r>
      <w:r w:rsidR="005E71F1">
        <w:t xml:space="preserve"> function of the imagination, </w:t>
      </w:r>
      <w:r w:rsidR="00451A58">
        <w:t xml:space="preserve">which is limited to the manipulation </w:t>
      </w:r>
      <w:r w:rsidR="00451A58" w:rsidRPr="005E71F1">
        <w:t>and</w:t>
      </w:r>
      <w:r w:rsidR="00451A58">
        <w:t xml:space="preserve"> production of images</w:t>
      </w:r>
      <w:r w:rsidR="005E71F1">
        <w:t>,</w:t>
      </w:r>
      <w:r w:rsidR="005F5198">
        <w:rPr>
          <w:rStyle w:val="FootnoteReference"/>
        </w:rPr>
        <w:footnoteReference w:id="14"/>
      </w:r>
      <w:r w:rsidR="00451A58">
        <w:t xml:space="preserve"> this empirical use is now conditioned by a transcendental function that is not </w:t>
      </w:r>
      <w:r w:rsidR="005E71F1">
        <w:t xml:space="preserve">so </w:t>
      </w:r>
      <w:r w:rsidR="00451A58">
        <w:t>limited.</w:t>
      </w:r>
      <w:r w:rsidR="00451A58">
        <w:rPr>
          <w:rStyle w:val="FootnoteReference"/>
        </w:rPr>
        <w:footnoteReference w:id="15"/>
      </w:r>
    </w:p>
    <w:p w:rsidR="00FE1ABA" w:rsidRDefault="00FE1ABA" w:rsidP="00FE1ABA">
      <w:pPr>
        <w:spacing w:line="360" w:lineRule="auto"/>
      </w:pPr>
    </w:p>
    <w:p w:rsidR="00F41EDB" w:rsidRDefault="00F41EDB" w:rsidP="00FE1ABA">
      <w:pPr>
        <w:spacing w:line="360" w:lineRule="auto"/>
      </w:pPr>
      <w:r>
        <w:t xml:space="preserve">2. </w:t>
      </w:r>
      <w:r w:rsidR="00C53E00">
        <w:t>T</w:t>
      </w:r>
      <w:r w:rsidR="0022473B">
        <w:t xml:space="preserve">he </w:t>
      </w:r>
      <w:r>
        <w:t>Association</w:t>
      </w:r>
      <w:r w:rsidR="0022473B">
        <w:t xml:space="preserve"> of Ideas</w:t>
      </w:r>
      <w:r w:rsidR="00F8670A">
        <w:t xml:space="preserve"> in the Anthropology Lectures</w:t>
      </w:r>
    </w:p>
    <w:p w:rsidR="00F41EDB" w:rsidRDefault="00F41EDB" w:rsidP="00FE1ABA">
      <w:pPr>
        <w:spacing w:line="360" w:lineRule="auto"/>
      </w:pPr>
    </w:p>
    <w:p w:rsidR="007528AE" w:rsidRPr="006D1E4E" w:rsidRDefault="00617E5E" w:rsidP="00FE1ABA">
      <w:pPr>
        <w:spacing w:line="360" w:lineRule="auto"/>
      </w:pPr>
      <w:r>
        <w:tab/>
        <w:t xml:space="preserve">Whatever the significance of Kant’s later turn to the </w:t>
      </w:r>
      <w:proofErr w:type="spellStart"/>
      <w:r>
        <w:rPr>
          <w:i/>
        </w:rPr>
        <w:t>Einbildungskraft</w:t>
      </w:r>
      <w:proofErr w:type="spellEnd"/>
      <w:r>
        <w:t xml:space="preserve">, the foregoing does draw attention to the ways in which Kant takes the imagination to contribute to cognition distinct from its </w:t>
      </w:r>
      <w:r w:rsidR="00B351E2">
        <w:t>image-producing capacity</w:t>
      </w:r>
      <w:r>
        <w:t xml:space="preserve">. </w:t>
      </w:r>
      <w:r w:rsidR="00841E93">
        <w:t>Foremost among these</w:t>
      </w:r>
      <w:r>
        <w:t xml:space="preserve">, Kant’s lectures contain frequent discussion of </w:t>
      </w:r>
      <w:r w:rsidR="00D86BE6">
        <w:t xml:space="preserve">the </w:t>
      </w:r>
      <w:proofErr w:type="spellStart"/>
      <w:r w:rsidR="00D86BE6">
        <w:rPr>
          <w:i/>
        </w:rPr>
        <w:t>lex</w:t>
      </w:r>
      <w:proofErr w:type="spellEnd"/>
      <w:r w:rsidR="00D86BE6">
        <w:rPr>
          <w:i/>
        </w:rPr>
        <w:t xml:space="preserve"> </w:t>
      </w:r>
      <w:proofErr w:type="spellStart"/>
      <w:r w:rsidR="00D86BE6">
        <w:rPr>
          <w:i/>
        </w:rPr>
        <w:t>associationis</w:t>
      </w:r>
      <w:proofErr w:type="spellEnd"/>
      <w:r>
        <w:t>, understood more broadly (and traditionally)</w:t>
      </w:r>
      <w:r w:rsidR="00D86BE6">
        <w:t xml:space="preserve"> as the law that governs the reproduction of </w:t>
      </w:r>
      <w:r w:rsidR="00D86BE6" w:rsidRPr="00617E5E">
        <w:rPr>
          <w:i/>
        </w:rPr>
        <w:t>ideas</w:t>
      </w:r>
      <w:r>
        <w:t xml:space="preserve"> or representations, which Kant contends makes </w:t>
      </w:r>
      <w:r w:rsidR="00D86BE6">
        <w:t>a key cont</w:t>
      </w:r>
      <w:r>
        <w:t>ribution to cognition,</w:t>
      </w:r>
      <w:r w:rsidR="004F3602">
        <w:t xml:space="preserve"> and</w:t>
      </w:r>
      <w:r>
        <w:t xml:space="preserve"> especially</w:t>
      </w:r>
      <w:r w:rsidR="004F3602">
        <w:t xml:space="preserve"> (though this is frequently overlooked) to</w:t>
      </w:r>
      <w:r>
        <w:t xml:space="preserve"> </w:t>
      </w:r>
      <w:r w:rsidR="00B169E3">
        <w:t>that of causal connection.</w:t>
      </w:r>
      <w:r w:rsidR="004F3602">
        <w:rPr>
          <w:rStyle w:val="FootnoteReference"/>
        </w:rPr>
        <w:footnoteReference w:id="16"/>
      </w:r>
      <w:r w:rsidR="00B169E3">
        <w:t xml:space="preserve"> Kant discerns this law at the ground of the activity of </w:t>
      </w:r>
      <w:proofErr w:type="spellStart"/>
      <w:r w:rsidR="00B169E3">
        <w:rPr>
          <w:i/>
        </w:rPr>
        <w:t>Nachbildung</w:t>
      </w:r>
      <w:proofErr w:type="spellEnd"/>
      <w:r w:rsidR="00B169E3">
        <w:t xml:space="preserve">, according to which representations are reproduced as a result of being associated with a presently-occurring representation. As the </w:t>
      </w:r>
      <w:r w:rsidR="00874B24" w:rsidRPr="00874B24">
        <w:rPr>
          <w:i/>
        </w:rPr>
        <w:t>Met-L1</w:t>
      </w:r>
      <w:r w:rsidR="00B169E3">
        <w:t xml:space="preserve"> notes read, “I reproduce representations of the past through association, according to which a representation draws forth another because it was accompanying it”</w:t>
      </w:r>
      <w:r w:rsidR="00B2070F">
        <w:t xml:space="preserve"> (28:236), and in the </w:t>
      </w:r>
      <w:proofErr w:type="spellStart"/>
      <w:r w:rsidR="006D1E4E">
        <w:t>Friedländer</w:t>
      </w:r>
      <w:proofErr w:type="spellEnd"/>
      <w:r w:rsidR="00B2070F">
        <w:t xml:space="preserve"> </w:t>
      </w:r>
      <w:r w:rsidR="006D1E4E">
        <w:t xml:space="preserve">anthropology </w:t>
      </w:r>
      <w:r w:rsidR="00B2070F">
        <w:t xml:space="preserve">notes Kant contends that “the faculty of </w:t>
      </w:r>
      <w:proofErr w:type="spellStart"/>
      <w:r w:rsidR="00B2070F">
        <w:rPr>
          <w:i/>
        </w:rPr>
        <w:t>Nachbildung</w:t>
      </w:r>
      <w:proofErr w:type="spellEnd"/>
      <w:r w:rsidR="00B2070F">
        <w:t xml:space="preserve"> has its law [since] it follows the law of association of representations” (25:512). </w:t>
      </w:r>
      <w:r w:rsidR="006D1E4E">
        <w:t xml:space="preserve">However, the law of association does not only govern the </w:t>
      </w:r>
      <w:r w:rsidR="006D1E4E">
        <w:rPr>
          <w:i/>
        </w:rPr>
        <w:t>involuntary</w:t>
      </w:r>
      <w:r w:rsidR="006D1E4E">
        <w:t xml:space="preserve"> reproduction of ideas or representations, as Kant suggests that it is the law of the entire reproductive activity of the imaginative faculty, and so also of </w:t>
      </w:r>
      <w:proofErr w:type="spellStart"/>
      <w:r w:rsidR="006D1E4E">
        <w:rPr>
          <w:i/>
        </w:rPr>
        <w:t>Gedächtniß</w:t>
      </w:r>
      <w:proofErr w:type="spellEnd"/>
      <w:r w:rsidR="006D1E4E">
        <w:t>. Thus, Kant</w:t>
      </w:r>
      <w:r w:rsidR="00137888">
        <w:t xml:space="preserve"> also identifies it simply as </w:t>
      </w:r>
      <w:r w:rsidR="006D1E4E">
        <w:t>“</w:t>
      </w:r>
      <w:r w:rsidR="00137888">
        <w:t xml:space="preserve">the </w:t>
      </w:r>
      <w:r w:rsidR="006D1E4E">
        <w:t>law of reproduction [</w:t>
      </w:r>
      <w:r w:rsidR="006D1E4E">
        <w:rPr>
          <w:i/>
        </w:rPr>
        <w:t xml:space="preserve">Das </w:t>
      </w:r>
      <w:proofErr w:type="spellStart"/>
      <w:r w:rsidR="006D1E4E">
        <w:rPr>
          <w:i/>
        </w:rPr>
        <w:t>Gesetz</w:t>
      </w:r>
      <w:proofErr w:type="spellEnd"/>
      <w:r w:rsidR="006D1E4E">
        <w:rPr>
          <w:i/>
        </w:rPr>
        <w:t xml:space="preserve"> der Reproduction</w:t>
      </w:r>
      <w:r w:rsidR="006D1E4E">
        <w:t>]” (</w:t>
      </w:r>
      <w:proofErr w:type="spellStart"/>
      <w:r w:rsidR="009D77D1" w:rsidRPr="009D77D1">
        <w:rPr>
          <w:i/>
        </w:rPr>
        <w:t>Anth-Pillau</w:t>
      </w:r>
      <w:proofErr w:type="spellEnd"/>
      <w:r w:rsidR="006D1E4E">
        <w:t xml:space="preserve"> 25:752; cf. also </w:t>
      </w:r>
      <w:proofErr w:type="spellStart"/>
      <w:r w:rsidR="009D77D1" w:rsidRPr="009D77D1">
        <w:rPr>
          <w:i/>
        </w:rPr>
        <w:t>Anth-Coll</w:t>
      </w:r>
      <w:proofErr w:type="spellEnd"/>
      <w:r w:rsidR="006D1E4E">
        <w:t xml:space="preserve"> 25:87), and elsewhere he is explicit that the law governs the </w:t>
      </w:r>
      <w:r w:rsidR="006D1E4E">
        <w:rPr>
          <w:i/>
        </w:rPr>
        <w:t>voluntary</w:t>
      </w:r>
      <w:r w:rsidR="006D1E4E">
        <w:t xml:space="preserve"> rep</w:t>
      </w:r>
      <w:r w:rsidR="007B1952">
        <w:t xml:space="preserve">roduction involved in memory (cf. </w:t>
      </w:r>
      <w:proofErr w:type="spellStart"/>
      <w:r w:rsidR="00874B24" w:rsidRPr="00874B24">
        <w:rPr>
          <w:i/>
        </w:rPr>
        <w:t>Anth-Mrong</w:t>
      </w:r>
      <w:proofErr w:type="spellEnd"/>
      <w:r w:rsidR="007B1952">
        <w:t xml:space="preserve"> 25:1272</w:t>
      </w:r>
      <w:r w:rsidR="007A7FB6">
        <w:t>–</w:t>
      </w:r>
      <w:r w:rsidR="007B1952">
        <w:t>3), and accordingly</w:t>
      </w:r>
      <w:r w:rsidR="006D1E4E">
        <w:t xml:space="preserve"> he </w:t>
      </w:r>
      <w:r w:rsidR="007B1952">
        <w:t xml:space="preserve">repeatedly </w:t>
      </w:r>
      <w:r w:rsidR="0092601B">
        <w:t>recommends repeating specific</w:t>
      </w:r>
      <w:r w:rsidR="006D1E4E">
        <w:t xml:space="preserve"> association</w:t>
      </w:r>
      <w:r w:rsidR="0092601B">
        <w:t>s (of words with one another, for instance)</w:t>
      </w:r>
      <w:r w:rsidR="006D1E4E">
        <w:t xml:space="preserve"> as a way of improving memory </w:t>
      </w:r>
      <w:r w:rsidR="007B1952">
        <w:t>(</w:t>
      </w:r>
      <w:proofErr w:type="spellStart"/>
      <w:r w:rsidR="009D77D1" w:rsidRPr="009D77D1">
        <w:rPr>
          <w:i/>
        </w:rPr>
        <w:t>Anth-Coll</w:t>
      </w:r>
      <w:proofErr w:type="spellEnd"/>
      <w:r w:rsidR="007B1952">
        <w:t xml:space="preserve"> 25:88, 89</w:t>
      </w:r>
      <w:r w:rsidR="007A7FB6">
        <w:t>–9</w:t>
      </w:r>
      <w:r w:rsidR="007B1952">
        <w:t xml:space="preserve">0, </w:t>
      </w:r>
      <w:proofErr w:type="spellStart"/>
      <w:r w:rsidR="009D77D1" w:rsidRPr="009D77D1">
        <w:rPr>
          <w:i/>
        </w:rPr>
        <w:t>Anth-Parow</w:t>
      </w:r>
      <w:proofErr w:type="spellEnd"/>
      <w:r w:rsidR="007B1952">
        <w:t xml:space="preserve"> 315</w:t>
      </w:r>
      <w:r w:rsidR="007A7FB6">
        <w:t>–</w:t>
      </w:r>
      <w:r w:rsidR="007B1952">
        <w:t xml:space="preserve">17, </w:t>
      </w:r>
      <w:proofErr w:type="spellStart"/>
      <w:r w:rsidR="009D77D1" w:rsidRPr="009D77D1">
        <w:rPr>
          <w:i/>
        </w:rPr>
        <w:t>Anth</w:t>
      </w:r>
      <w:proofErr w:type="spellEnd"/>
      <w:r w:rsidR="009D77D1" w:rsidRPr="009D77D1">
        <w:rPr>
          <w:i/>
        </w:rPr>
        <w:t>-Fried</w:t>
      </w:r>
      <w:r w:rsidR="007B1952">
        <w:t xml:space="preserve"> 25:522). </w:t>
      </w:r>
    </w:p>
    <w:p w:rsidR="007528AE" w:rsidRDefault="0092601B" w:rsidP="00FE1ABA">
      <w:pPr>
        <w:spacing w:line="360" w:lineRule="auto"/>
        <w:rPr>
          <w:iCs/>
        </w:rPr>
      </w:pPr>
      <w:r>
        <w:tab/>
      </w:r>
      <w:r w:rsidR="00E22827">
        <w:t>A</w:t>
      </w:r>
      <w:r>
        <w:t xml:space="preserve">s a number of commentators have noted, </w:t>
      </w:r>
      <w:r w:rsidR="00E22827">
        <w:t xml:space="preserve">however, </w:t>
      </w:r>
      <w:r>
        <w:t>Kant takes the law of association to have wider importance for a variety of activities on the part of the imagi</w:t>
      </w:r>
      <w:r w:rsidR="004A0130">
        <w:t xml:space="preserve">native faculty. So, </w:t>
      </w:r>
      <w:proofErr w:type="spellStart"/>
      <w:r w:rsidR="004A0130">
        <w:t>Mörchen</w:t>
      </w:r>
      <w:proofErr w:type="spellEnd"/>
      <w:r w:rsidR="004A0130">
        <w:t xml:space="preserve"> (197</w:t>
      </w:r>
      <w:r>
        <w:t>0</w:t>
      </w:r>
      <w:r w:rsidR="00A34696">
        <w:t>:</w:t>
      </w:r>
      <w:r>
        <w:t>33</w:t>
      </w:r>
      <w:r w:rsidR="007A7FB6">
        <w:t>–</w:t>
      </w:r>
      <w:r>
        <w:t xml:space="preserve">4) and </w:t>
      </w:r>
      <w:proofErr w:type="spellStart"/>
      <w:r>
        <w:t>Makkreel</w:t>
      </w:r>
      <w:proofErr w:type="spellEnd"/>
      <w:r>
        <w:t xml:space="preserve"> (1990</w:t>
      </w:r>
      <w:r w:rsidR="00A34696">
        <w:t>:</w:t>
      </w:r>
      <w:r>
        <w:t xml:space="preserve">17) have </w:t>
      </w:r>
      <w:r w:rsidR="004A36A8">
        <w:t>pointed out</w:t>
      </w:r>
      <w:r>
        <w:t xml:space="preserve"> that Kant also discerns this law at the basis of the operation of </w:t>
      </w:r>
      <w:proofErr w:type="spellStart"/>
      <w:r>
        <w:rPr>
          <w:i/>
        </w:rPr>
        <w:t>Vorbildung</w:t>
      </w:r>
      <w:proofErr w:type="spellEnd"/>
      <w:r>
        <w:t>, insofar as associative connections among past representations yield, upon being</w:t>
      </w:r>
      <w:r w:rsidR="004A36A8">
        <w:t xml:space="preserve"> given a similar representation</w:t>
      </w:r>
      <w:r>
        <w:t xml:space="preserve"> or series of representations, an </w:t>
      </w:r>
      <w:r w:rsidR="000D0342">
        <w:t>anticipation</w:t>
      </w:r>
      <w:r>
        <w:t xml:space="preserve"> of such a representation in the future (</w:t>
      </w:r>
      <w:r w:rsidR="00874B24" w:rsidRPr="00874B24">
        <w:rPr>
          <w:i/>
        </w:rPr>
        <w:t>Met-L1</w:t>
      </w:r>
      <w:r>
        <w:t xml:space="preserve"> 28:236). For this reason, Kant sometimes refers to the “</w:t>
      </w:r>
      <w:r w:rsidRPr="0092601B">
        <w:rPr>
          <w:i/>
        </w:rPr>
        <w:t>laws</w:t>
      </w:r>
      <w:r>
        <w:t xml:space="preserve"> of </w:t>
      </w:r>
      <w:r>
        <w:lastRenderedPageBreak/>
        <w:t xml:space="preserve">the imagination” (as at </w:t>
      </w:r>
      <w:r w:rsidR="00874B24" w:rsidRPr="00874B24">
        <w:rPr>
          <w:i/>
        </w:rPr>
        <w:t>Met-L1</w:t>
      </w:r>
      <w:r>
        <w:t xml:space="preserve"> 28:236, bu</w:t>
      </w:r>
      <w:r w:rsidR="000D0342">
        <w:t xml:space="preserve">t also </w:t>
      </w:r>
      <w:proofErr w:type="spellStart"/>
      <w:r w:rsidR="009D77D1" w:rsidRPr="009D77D1">
        <w:rPr>
          <w:i/>
        </w:rPr>
        <w:t>Anth-Coll</w:t>
      </w:r>
      <w:proofErr w:type="spellEnd"/>
      <w:r w:rsidR="000D0342">
        <w:t xml:space="preserve"> 25:87), and distinguishes specifically between the </w:t>
      </w:r>
      <w:proofErr w:type="spellStart"/>
      <w:r w:rsidR="000D0342">
        <w:rPr>
          <w:i/>
        </w:rPr>
        <w:t>lex</w:t>
      </w:r>
      <w:proofErr w:type="spellEnd"/>
      <w:r w:rsidR="000D0342">
        <w:rPr>
          <w:i/>
        </w:rPr>
        <w:t xml:space="preserve"> </w:t>
      </w:r>
      <w:proofErr w:type="spellStart"/>
      <w:r w:rsidR="000D0342">
        <w:rPr>
          <w:i/>
        </w:rPr>
        <w:t>aßociationis</w:t>
      </w:r>
      <w:proofErr w:type="spellEnd"/>
      <w:r w:rsidR="000D0342">
        <w:rPr>
          <w:i/>
        </w:rPr>
        <w:t xml:space="preserve"> </w:t>
      </w:r>
      <w:proofErr w:type="spellStart"/>
      <w:r w:rsidR="000D0342">
        <w:rPr>
          <w:i/>
        </w:rPr>
        <w:t>idearum</w:t>
      </w:r>
      <w:proofErr w:type="spellEnd"/>
      <w:r w:rsidR="000D0342">
        <w:rPr>
          <w:i/>
        </w:rPr>
        <w:t xml:space="preserve"> </w:t>
      </w:r>
      <w:proofErr w:type="spellStart"/>
      <w:r w:rsidR="000D0342">
        <w:rPr>
          <w:i/>
        </w:rPr>
        <w:t>sociarum</w:t>
      </w:r>
      <w:proofErr w:type="spellEnd"/>
      <w:r w:rsidR="000D0342">
        <w:t xml:space="preserve"> (or law of the association of accompanying ideas) and the </w:t>
      </w:r>
      <w:proofErr w:type="spellStart"/>
      <w:r w:rsidR="000D0342">
        <w:rPr>
          <w:i/>
        </w:rPr>
        <w:t>lex</w:t>
      </w:r>
      <w:proofErr w:type="spellEnd"/>
      <w:r w:rsidR="000D0342">
        <w:rPr>
          <w:i/>
        </w:rPr>
        <w:t xml:space="preserve"> </w:t>
      </w:r>
      <w:proofErr w:type="spellStart"/>
      <w:r w:rsidR="000D0342">
        <w:rPr>
          <w:i/>
        </w:rPr>
        <w:t>expectationis</w:t>
      </w:r>
      <w:proofErr w:type="spellEnd"/>
      <w:r w:rsidR="000D0342">
        <w:rPr>
          <w:i/>
        </w:rPr>
        <w:t xml:space="preserve"> </w:t>
      </w:r>
      <w:proofErr w:type="spellStart"/>
      <w:r w:rsidR="000D0342">
        <w:rPr>
          <w:i/>
        </w:rPr>
        <w:t>casuum</w:t>
      </w:r>
      <w:proofErr w:type="spellEnd"/>
      <w:r w:rsidR="000D0342">
        <w:rPr>
          <w:i/>
        </w:rPr>
        <w:t xml:space="preserve"> </w:t>
      </w:r>
      <w:proofErr w:type="spellStart"/>
      <w:r w:rsidR="000D0342">
        <w:rPr>
          <w:i/>
        </w:rPr>
        <w:t>similium</w:t>
      </w:r>
      <w:proofErr w:type="spellEnd"/>
      <w:r w:rsidR="000D0342">
        <w:t xml:space="preserve"> (or law of the expectation of similar cases) (</w:t>
      </w:r>
      <w:proofErr w:type="spellStart"/>
      <w:r w:rsidR="001240D0" w:rsidRPr="001240D0">
        <w:rPr>
          <w:i/>
        </w:rPr>
        <w:t>Refl</w:t>
      </w:r>
      <w:proofErr w:type="spellEnd"/>
      <w:r w:rsidR="001240D0">
        <w:t xml:space="preserve"> 225 </w:t>
      </w:r>
      <w:r w:rsidR="000D0342">
        <w:t xml:space="preserve">15:86; cf. also </w:t>
      </w:r>
      <w:r w:rsidR="000D0342" w:rsidRPr="009426CC">
        <w:rPr>
          <w:i/>
        </w:rPr>
        <w:t>M</w:t>
      </w:r>
      <w:r w:rsidR="009426CC">
        <w:rPr>
          <w:i/>
        </w:rPr>
        <w:t>et-</w:t>
      </w:r>
      <w:proofErr w:type="spellStart"/>
      <w:r w:rsidR="000D0342" w:rsidRPr="009426CC">
        <w:rPr>
          <w:i/>
        </w:rPr>
        <w:t>Mr</w:t>
      </w:r>
      <w:r w:rsidR="009426CC">
        <w:rPr>
          <w:i/>
        </w:rPr>
        <w:t>ong</w:t>
      </w:r>
      <w:proofErr w:type="spellEnd"/>
      <w:r w:rsidR="000D0342">
        <w:t xml:space="preserve"> 28:883</w:t>
      </w:r>
      <w:r w:rsidR="005E02E6">
        <w:t xml:space="preserve">, </w:t>
      </w:r>
      <w:r w:rsidR="005E02E6" w:rsidRPr="009426CC">
        <w:rPr>
          <w:i/>
        </w:rPr>
        <w:t>M</w:t>
      </w:r>
      <w:r w:rsidR="009426CC">
        <w:rPr>
          <w:i/>
        </w:rPr>
        <w:t>et-</w:t>
      </w:r>
      <w:r w:rsidR="005E02E6" w:rsidRPr="009426CC">
        <w:rPr>
          <w:i/>
        </w:rPr>
        <w:t>L2</w:t>
      </w:r>
      <w:r w:rsidR="005E02E6">
        <w:t xml:space="preserve"> 28:585,</w:t>
      </w:r>
      <w:r w:rsidR="00065A2A">
        <w:t xml:space="preserve"> </w:t>
      </w:r>
      <w:r w:rsidR="00065A2A" w:rsidRPr="009426CC">
        <w:rPr>
          <w:i/>
        </w:rPr>
        <w:t>M</w:t>
      </w:r>
      <w:r w:rsidR="009426CC">
        <w:rPr>
          <w:i/>
        </w:rPr>
        <w:t>et-</w:t>
      </w:r>
      <w:proofErr w:type="spellStart"/>
      <w:r w:rsidR="00065A2A" w:rsidRPr="009426CC">
        <w:rPr>
          <w:i/>
        </w:rPr>
        <w:t>D</w:t>
      </w:r>
      <w:r w:rsidR="009426CC">
        <w:rPr>
          <w:i/>
        </w:rPr>
        <w:t>ohna</w:t>
      </w:r>
      <w:proofErr w:type="spellEnd"/>
      <w:r w:rsidR="00065A2A">
        <w:t xml:space="preserve"> 28:674,</w:t>
      </w:r>
      <w:r w:rsidR="00AF5706">
        <w:t xml:space="preserve"> and </w:t>
      </w:r>
      <w:proofErr w:type="spellStart"/>
      <w:r w:rsidR="00AF5706" w:rsidRPr="009426CC">
        <w:rPr>
          <w:i/>
        </w:rPr>
        <w:t>Anth</w:t>
      </w:r>
      <w:proofErr w:type="spellEnd"/>
      <w:r w:rsidR="00AF5706">
        <w:t xml:space="preserve"> 7:182</w:t>
      </w:r>
      <w:r w:rsidR="000D0342">
        <w:t xml:space="preserve">), both of which are understood as falling under </w:t>
      </w:r>
      <w:r w:rsidR="009426CC">
        <w:t>a</w:t>
      </w:r>
      <w:r w:rsidR="000D0342">
        <w:t xml:space="preserve"> generic law of association.</w:t>
      </w:r>
      <w:r w:rsidR="000D0342">
        <w:rPr>
          <w:rStyle w:val="FootnoteReference"/>
        </w:rPr>
        <w:footnoteReference w:id="17"/>
      </w:r>
      <w:r w:rsidR="000D0342">
        <w:t xml:space="preserve"> </w:t>
      </w:r>
      <w:r w:rsidR="00841E93">
        <w:t>Further</w:t>
      </w:r>
      <w:r w:rsidR="00E22827">
        <w:t>, Kant seems to conceive of the law of association as operating pervasively throughout the activities of the imaginative faculty, including influencing its productive functions. So,</w:t>
      </w:r>
      <w:r w:rsidR="00841E93">
        <w:t xml:space="preserve"> Kant’s explanation of </w:t>
      </w:r>
      <w:r w:rsidR="00E22827">
        <w:t xml:space="preserve">the capacity of </w:t>
      </w:r>
      <w:proofErr w:type="spellStart"/>
      <w:r w:rsidR="00E22827">
        <w:rPr>
          <w:i/>
        </w:rPr>
        <w:t>Ausbildung</w:t>
      </w:r>
      <w:proofErr w:type="spellEnd"/>
      <w:r w:rsidR="00E22827">
        <w:t xml:space="preserve">, insofar </w:t>
      </w:r>
      <w:r w:rsidR="00E22827" w:rsidRPr="00E22827">
        <w:t>as it concerns the drive (</w:t>
      </w:r>
      <w:proofErr w:type="spellStart"/>
      <w:r w:rsidR="00E22827" w:rsidRPr="00E22827">
        <w:rPr>
          <w:i/>
        </w:rPr>
        <w:t>Trieb</w:t>
      </w:r>
      <w:proofErr w:type="spellEnd"/>
      <w:r w:rsidR="00E22827" w:rsidRPr="00E22827">
        <w:t>) to represent a whole on the basis of the</w:t>
      </w:r>
      <w:r w:rsidR="00E22827">
        <w:t xml:space="preserve"> representation of the parts,</w:t>
      </w:r>
      <w:r w:rsidR="00E22827" w:rsidRPr="00E22827">
        <w:t xml:space="preserve"> relates </w:t>
      </w:r>
      <w:r w:rsidR="00841E93">
        <w:t xml:space="preserve">directly </w:t>
      </w:r>
      <w:r w:rsidR="00E22827" w:rsidRPr="00E22827">
        <w:t xml:space="preserve">to </w:t>
      </w:r>
      <w:proofErr w:type="spellStart"/>
      <w:r w:rsidR="00E22827" w:rsidRPr="00E22827">
        <w:t>Baumgarten’s</w:t>
      </w:r>
      <w:proofErr w:type="spellEnd"/>
      <w:r w:rsidR="00E22827" w:rsidRPr="00E22827">
        <w:t xml:space="preserve"> characterization of the law of association (in the context of his discussion of </w:t>
      </w:r>
      <w:proofErr w:type="spellStart"/>
      <w:r w:rsidR="00E22827" w:rsidRPr="00E22827">
        <w:rPr>
          <w:i/>
        </w:rPr>
        <w:t>Phantasia</w:t>
      </w:r>
      <w:proofErr w:type="spellEnd"/>
      <w:r w:rsidR="00841E93">
        <w:t>)</w:t>
      </w:r>
      <w:r w:rsidR="00E22827" w:rsidRPr="00E22827">
        <w:t>: “</w:t>
      </w:r>
      <w:proofErr w:type="spellStart"/>
      <w:r w:rsidR="00E22827" w:rsidRPr="00E22827">
        <w:rPr>
          <w:i/>
          <w:iCs/>
        </w:rPr>
        <w:t>percepta</w:t>
      </w:r>
      <w:proofErr w:type="spellEnd"/>
      <w:r w:rsidR="00E22827" w:rsidRPr="00E22827">
        <w:rPr>
          <w:i/>
          <w:iCs/>
        </w:rPr>
        <w:t xml:space="preserve"> idea </w:t>
      </w:r>
      <w:proofErr w:type="spellStart"/>
      <w:r w:rsidR="00E22827" w:rsidRPr="00E22827">
        <w:rPr>
          <w:i/>
          <w:iCs/>
        </w:rPr>
        <w:t>partiali</w:t>
      </w:r>
      <w:proofErr w:type="spellEnd"/>
      <w:r w:rsidR="00E22827" w:rsidRPr="00E22827">
        <w:rPr>
          <w:i/>
          <w:iCs/>
        </w:rPr>
        <w:t xml:space="preserve"> </w:t>
      </w:r>
      <w:proofErr w:type="spellStart"/>
      <w:r w:rsidR="00E22827" w:rsidRPr="00E22827">
        <w:rPr>
          <w:i/>
          <w:iCs/>
        </w:rPr>
        <w:t>recurrit</w:t>
      </w:r>
      <w:proofErr w:type="spellEnd"/>
      <w:r w:rsidR="00E22827" w:rsidRPr="00E22827">
        <w:rPr>
          <w:i/>
          <w:iCs/>
        </w:rPr>
        <w:t xml:space="preserve"> </w:t>
      </w:r>
      <w:proofErr w:type="spellStart"/>
      <w:r w:rsidR="00E22827" w:rsidRPr="00E22827">
        <w:rPr>
          <w:i/>
          <w:iCs/>
        </w:rPr>
        <w:t>eius</w:t>
      </w:r>
      <w:proofErr w:type="spellEnd"/>
      <w:r w:rsidR="00E22827" w:rsidRPr="00E22827">
        <w:rPr>
          <w:i/>
          <w:iCs/>
        </w:rPr>
        <w:t xml:space="preserve"> </w:t>
      </w:r>
      <w:proofErr w:type="spellStart"/>
      <w:r w:rsidR="00E22827" w:rsidRPr="00E22827">
        <w:rPr>
          <w:i/>
          <w:iCs/>
        </w:rPr>
        <w:t>totalis</w:t>
      </w:r>
      <w:proofErr w:type="spellEnd"/>
      <w:r w:rsidR="00E22827">
        <w:rPr>
          <w:iCs/>
        </w:rPr>
        <w:t>” (</w:t>
      </w:r>
      <w:proofErr w:type="spellStart"/>
      <w:r w:rsidR="000C5A38">
        <w:rPr>
          <w:i/>
          <w:iCs/>
        </w:rPr>
        <w:t>Metaphysica</w:t>
      </w:r>
      <w:proofErr w:type="spellEnd"/>
      <w:r w:rsidR="000C5A38">
        <w:rPr>
          <w:i/>
          <w:iCs/>
        </w:rPr>
        <w:t xml:space="preserve"> </w:t>
      </w:r>
      <w:r w:rsidR="00E22827">
        <w:rPr>
          <w:iCs/>
        </w:rPr>
        <w:t>§561</w:t>
      </w:r>
      <w:r w:rsidR="00AA2C6E">
        <w:rPr>
          <w:iCs/>
        </w:rPr>
        <w:t xml:space="preserve">; cf. </w:t>
      </w:r>
      <w:r w:rsidR="00874B24" w:rsidRPr="00874B24">
        <w:rPr>
          <w:i/>
          <w:iCs/>
        </w:rPr>
        <w:t>Met-L1</w:t>
      </w:r>
      <w:r w:rsidR="00AA2C6E">
        <w:rPr>
          <w:iCs/>
        </w:rPr>
        <w:t xml:space="preserve"> 28:237</w:t>
      </w:r>
      <w:r w:rsidR="00E22827">
        <w:rPr>
          <w:iCs/>
        </w:rPr>
        <w:t xml:space="preserve">). Arguably, the capacity of </w:t>
      </w:r>
      <w:proofErr w:type="spellStart"/>
      <w:r w:rsidR="00E22827">
        <w:rPr>
          <w:i/>
          <w:iCs/>
        </w:rPr>
        <w:t>Gegenbildung</w:t>
      </w:r>
      <w:proofErr w:type="spellEnd"/>
      <w:r w:rsidR="00E22827">
        <w:rPr>
          <w:iCs/>
        </w:rPr>
        <w:t xml:space="preserve">, as a faculty of characteristic, </w:t>
      </w:r>
      <w:r w:rsidR="00AA2C6E">
        <w:rPr>
          <w:iCs/>
        </w:rPr>
        <w:t xml:space="preserve">also </w:t>
      </w:r>
      <w:r w:rsidR="00E22827">
        <w:rPr>
          <w:iCs/>
        </w:rPr>
        <w:t xml:space="preserve">relies on association in order to </w:t>
      </w:r>
      <w:r w:rsidR="00841E93">
        <w:rPr>
          <w:iCs/>
        </w:rPr>
        <w:t xml:space="preserve">establish a </w:t>
      </w:r>
      <w:r w:rsidR="00E22827">
        <w:rPr>
          <w:iCs/>
        </w:rPr>
        <w:t>connect</w:t>
      </w:r>
      <w:r w:rsidR="00841E93">
        <w:rPr>
          <w:iCs/>
        </w:rPr>
        <w:t>ion between</w:t>
      </w:r>
      <w:r w:rsidR="00E22827">
        <w:rPr>
          <w:iCs/>
        </w:rPr>
        <w:t xml:space="preserve"> the artificial signs that it pr</w:t>
      </w:r>
      <w:r w:rsidR="00AF5706">
        <w:rPr>
          <w:iCs/>
        </w:rPr>
        <w:t xml:space="preserve">oduces </w:t>
      </w:r>
      <w:r w:rsidR="00841E93">
        <w:rPr>
          <w:iCs/>
        </w:rPr>
        <w:t>and</w:t>
      </w:r>
      <w:r w:rsidR="00AF5706">
        <w:rPr>
          <w:iCs/>
        </w:rPr>
        <w:t xml:space="preserve"> the item signified, a point likewise underscored by </w:t>
      </w:r>
      <w:proofErr w:type="spellStart"/>
      <w:r w:rsidR="00AF5706">
        <w:rPr>
          <w:iCs/>
        </w:rPr>
        <w:t>Baumgarten</w:t>
      </w:r>
      <w:proofErr w:type="spellEnd"/>
      <w:r w:rsidR="00AF5706">
        <w:rPr>
          <w:iCs/>
        </w:rPr>
        <w:t xml:space="preserve"> (</w:t>
      </w:r>
      <w:proofErr w:type="spellStart"/>
      <w:r w:rsidR="00AF5706">
        <w:rPr>
          <w:i/>
          <w:iCs/>
        </w:rPr>
        <w:t>Metaphysica</w:t>
      </w:r>
      <w:proofErr w:type="spellEnd"/>
      <w:r w:rsidR="00AF5706">
        <w:rPr>
          <w:i/>
          <w:iCs/>
        </w:rPr>
        <w:t xml:space="preserve"> </w:t>
      </w:r>
      <w:r w:rsidR="00AF5706">
        <w:rPr>
          <w:iCs/>
        </w:rPr>
        <w:t>§620</w:t>
      </w:r>
      <w:r w:rsidR="00F45E58">
        <w:rPr>
          <w:iCs/>
        </w:rPr>
        <w:t xml:space="preserve">; cf. </w:t>
      </w:r>
      <w:r w:rsidR="00874B24" w:rsidRPr="00874B24">
        <w:rPr>
          <w:i/>
          <w:iCs/>
        </w:rPr>
        <w:t>Met-L1</w:t>
      </w:r>
      <w:r w:rsidR="00F45E58">
        <w:rPr>
          <w:iCs/>
        </w:rPr>
        <w:t xml:space="preserve"> 28:238</w:t>
      </w:r>
      <w:r w:rsidR="00AF5706">
        <w:rPr>
          <w:iCs/>
        </w:rPr>
        <w:t xml:space="preserve">). Even the productive activities of the imaginative faculty, particularly phantasy, </w:t>
      </w:r>
      <w:r w:rsidR="000C5A38">
        <w:rPr>
          <w:iCs/>
        </w:rPr>
        <w:t xml:space="preserve">can </w:t>
      </w:r>
      <w:r w:rsidR="004A36A8">
        <w:rPr>
          <w:iCs/>
        </w:rPr>
        <w:t>involve</w:t>
      </w:r>
      <w:r w:rsidR="00AF5706">
        <w:rPr>
          <w:iCs/>
        </w:rPr>
        <w:t xml:space="preserve"> the law of association, as Kant notes that in dream, the product of </w:t>
      </w:r>
      <w:proofErr w:type="spellStart"/>
      <w:r w:rsidR="00AF5706">
        <w:rPr>
          <w:i/>
          <w:iCs/>
        </w:rPr>
        <w:t>Phantasie</w:t>
      </w:r>
      <w:proofErr w:type="spellEnd"/>
      <w:r w:rsidR="00AF5706">
        <w:rPr>
          <w:iCs/>
        </w:rPr>
        <w:t>, “the images hang together as they are associated in the waking state”</w:t>
      </w:r>
      <w:r w:rsidR="00AA2C6E">
        <w:rPr>
          <w:iCs/>
        </w:rPr>
        <w:t xml:space="preserve"> (</w:t>
      </w:r>
      <w:proofErr w:type="spellStart"/>
      <w:r w:rsidR="009D77D1" w:rsidRPr="009D77D1">
        <w:rPr>
          <w:i/>
          <w:iCs/>
        </w:rPr>
        <w:t>Anth-Coll</w:t>
      </w:r>
      <w:proofErr w:type="spellEnd"/>
      <w:r w:rsidR="00AA2C6E">
        <w:rPr>
          <w:iCs/>
        </w:rPr>
        <w:t xml:space="preserve"> 25:101), and in a </w:t>
      </w:r>
      <w:proofErr w:type="spellStart"/>
      <w:r w:rsidR="00AA2C6E">
        <w:rPr>
          <w:i/>
          <w:iCs/>
        </w:rPr>
        <w:t>Reflexion</w:t>
      </w:r>
      <w:proofErr w:type="spellEnd"/>
      <w:r w:rsidR="00AA2C6E">
        <w:rPr>
          <w:iCs/>
        </w:rPr>
        <w:t xml:space="preserve"> Kant suggests that when we play with ideas in accordance with the </w:t>
      </w:r>
      <w:proofErr w:type="spellStart"/>
      <w:r w:rsidR="00AA2C6E">
        <w:rPr>
          <w:i/>
          <w:iCs/>
        </w:rPr>
        <w:t>Einbildungskraft</w:t>
      </w:r>
      <w:proofErr w:type="spellEnd"/>
      <w:r w:rsidR="00AA2C6E">
        <w:rPr>
          <w:iCs/>
        </w:rPr>
        <w:t>, our activity remains governed by the “law of association” (</w:t>
      </w:r>
      <w:proofErr w:type="spellStart"/>
      <w:r w:rsidR="001240D0" w:rsidRPr="001240D0">
        <w:rPr>
          <w:i/>
          <w:iCs/>
        </w:rPr>
        <w:t>Refl</w:t>
      </w:r>
      <w:proofErr w:type="spellEnd"/>
      <w:r w:rsidR="001240D0">
        <w:rPr>
          <w:iCs/>
        </w:rPr>
        <w:t xml:space="preserve"> 338 </w:t>
      </w:r>
      <w:r w:rsidR="00AA2C6E">
        <w:rPr>
          <w:iCs/>
        </w:rPr>
        <w:t>15:133).</w:t>
      </w:r>
    </w:p>
    <w:p w:rsidR="00B70B45" w:rsidRDefault="003F6948" w:rsidP="00B70B45">
      <w:pPr>
        <w:spacing w:line="360" w:lineRule="auto"/>
        <w:rPr>
          <w:iCs/>
        </w:rPr>
      </w:pPr>
      <w:r>
        <w:rPr>
          <w:iCs/>
        </w:rPr>
        <w:tab/>
      </w:r>
      <w:r w:rsidR="006421A5">
        <w:rPr>
          <w:iCs/>
        </w:rPr>
        <w:t xml:space="preserve">It is, in any case, insofar as it is the law of the </w:t>
      </w:r>
      <w:r w:rsidR="006421A5" w:rsidRPr="004F3602">
        <w:rPr>
          <w:i/>
          <w:iCs/>
        </w:rPr>
        <w:t>reproductive</w:t>
      </w:r>
      <w:r w:rsidR="006421A5">
        <w:rPr>
          <w:iCs/>
        </w:rPr>
        <w:t xml:space="preserve"> function of the imaginative faculty that Kant holds that this</w:t>
      </w:r>
      <w:r>
        <w:rPr>
          <w:iCs/>
        </w:rPr>
        <w:t xml:space="preserve"> law i</w:t>
      </w:r>
      <w:r w:rsidR="006421A5">
        <w:rPr>
          <w:iCs/>
        </w:rPr>
        <w:t xml:space="preserve">s involved in the generation of </w:t>
      </w:r>
      <w:r>
        <w:rPr>
          <w:iCs/>
        </w:rPr>
        <w:t xml:space="preserve">cognition, and particularly cognition of causal relations. </w:t>
      </w:r>
      <w:r w:rsidR="006421A5">
        <w:rPr>
          <w:iCs/>
        </w:rPr>
        <w:t xml:space="preserve">The importance of the law of association in this respect is underscored by Kant in the </w:t>
      </w:r>
      <w:proofErr w:type="spellStart"/>
      <w:r w:rsidR="006421A5">
        <w:rPr>
          <w:iCs/>
        </w:rPr>
        <w:t>Friedländer</w:t>
      </w:r>
      <w:proofErr w:type="spellEnd"/>
      <w:r w:rsidR="006421A5">
        <w:rPr>
          <w:iCs/>
        </w:rPr>
        <w:t xml:space="preserve"> notes, where it is asserted that the law “is a considerable part of the human mind, and much depends </w:t>
      </w:r>
      <w:r w:rsidR="004F3602">
        <w:rPr>
          <w:iCs/>
        </w:rPr>
        <w:t xml:space="preserve">upon </w:t>
      </w:r>
      <w:r w:rsidR="006421A5">
        <w:rPr>
          <w:iCs/>
        </w:rPr>
        <w:t>the association of representations” (25:512)</w:t>
      </w:r>
      <w:r w:rsidR="00723BBF">
        <w:t>.</w:t>
      </w:r>
      <w:r w:rsidR="006421A5">
        <w:rPr>
          <w:iCs/>
        </w:rPr>
        <w:t xml:space="preserve"> </w:t>
      </w:r>
      <w:r w:rsidR="008E12B3">
        <w:rPr>
          <w:iCs/>
        </w:rPr>
        <w:t xml:space="preserve">Kant is fairly consistent </w:t>
      </w:r>
      <w:r w:rsidR="000D2D36">
        <w:rPr>
          <w:iCs/>
        </w:rPr>
        <w:t>throughout</w:t>
      </w:r>
      <w:r w:rsidR="004F3602">
        <w:rPr>
          <w:iCs/>
        </w:rPr>
        <w:t xml:space="preserve"> the notes</w:t>
      </w:r>
      <w:r w:rsidR="000D2D36">
        <w:rPr>
          <w:iCs/>
        </w:rPr>
        <w:t xml:space="preserve"> </w:t>
      </w:r>
      <w:r w:rsidR="008E12B3">
        <w:rPr>
          <w:iCs/>
        </w:rPr>
        <w:t>in distinguishing</w:t>
      </w:r>
      <w:r w:rsidR="00E44D6F">
        <w:rPr>
          <w:iCs/>
        </w:rPr>
        <w:t xml:space="preserve"> between th</w:t>
      </w:r>
      <w:r w:rsidR="008E12B3">
        <w:rPr>
          <w:iCs/>
        </w:rPr>
        <w:t>ree</w:t>
      </w:r>
      <w:r w:rsidR="00E44D6F">
        <w:rPr>
          <w:iCs/>
        </w:rPr>
        <w:t xml:space="preserve"> “grounds” or “conditions” that can underlie associations</w:t>
      </w:r>
      <w:r w:rsidR="008E12B3">
        <w:rPr>
          <w:iCs/>
        </w:rPr>
        <w:t xml:space="preserve"> or on which associations “rest”, namely, similarity (</w:t>
      </w:r>
      <w:proofErr w:type="spellStart"/>
      <w:r w:rsidR="00940B99">
        <w:rPr>
          <w:i/>
          <w:iCs/>
        </w:rPr>
        <w:t>Einträchtigkeit</w:t>
      </w:r>
      <w:proofErr w:type="spellEnd"/>
      <w:r w:rsidR="00940B99">
        <w:rPr>
          <w:i/>
          <w:iCs/>
        </w:rPr>
        <w:t xml:space="preserve"> </w:t>
      </w:r>
      <w:r w:rsidR="00940B99">
        <w:rPr>
          <w:iCs/>
        </w:rPr>
        <w:t xml:space="preserve">or also </w:t>
      </w:r>
      <w:proofErr w:type="spellStart"/>
      <w:r w:rsidR="008E12B3">
        <w:rPr>
          <w:i/>
          <w:iCs/>
        </w:rPr>
        <w:t>Ähnlichkeit</w:t>
      </w:r>
      <w:proofErr w:type="spellEnd"/>
      <w:r w:rsidR="008E12B3">
        <w:rPr>
          <w:iCs/>
        </w:rPr>
        <w:t xml:space="preserve">), </w:t>
      </w:r>
      <w:r w:rsidR="00940B99">
        <w:rPr>
          <w:iCs/>
        </w:rPr>
        <w:t>contiguity (</w:t>
      </w:r>
      <w:proofErr w:type="spellStart"/>
      <w:r w:rsidR="00940B99">
        <w:rPr>
          <w:i/>
          <w:iCs/>
        </w:rPr>
        <w:t>Nachbarschaft</w:t>
      </w:r>
      <w:proofErr w:type="spellEnd"/>
      <w:r w:rsidR="00940B99">
        <w:rPr>
          <w:iCs/>
        </w:rPr>
        <w:t xml:space="preserve">), </w:t>
      </w:r>
      <w:r w:rsidR="008E12B3">
        <w:rPr>
          <w:iCs/>
        </w:rPr>
        <w:t xml:space="preserve">and </w:t>
      </w:r>
      <w:r w:rsidR="00352913">
        <w:rPr>
          <w:iCs/>
        </w:rPr>
        <w:t>affinity</w:t>
      </w:r>
      <w:r w:rsidR="008E12B3">
        <w:rPr>
          <w:iCs/>
        </w:rPr>
        <w:t xml:space="preserve"> (</w:t>
      </w:r>
      <w:proofErr w:type="spellStart"/>
      <w:r w:rsidR="008E12B3">
        <w:rPr>
          <w:i/>
          <w:iCs/>
        </w:rPr>
        <w:t>Verwandtschaft</w:t>
      </w:r>
      <w:proofErr w:type="spellEnd"/>
      <w:r w:rsidR="00352913">
        <w:rPr>
          <w:rStyle w:val="FootnoteReference"/>
          <w:i/>
          <w:iCs/>
        </w:rPr>
        <w:footnoteReference w:id="18"/>
      </w:r>
      <w:r w:rsidR="008E12B3">
        <w:rPr>
          <w:iCs/>
        </w:rPr>
        <w:t xml:space="preserve">). </w:t>
      </w:r>
      <w:r w:rsidR="00940B99">
        <w:rPr>
          <w:iCs/>
        </w:rPr>
        <w:t xml:space="preserve">Similarity can ground associations insofar as there is some feature common to both representations, which similarity Kant notes is often reflected </w:t>
      </w:r>
      <w:r w:rsidR="00940B99">
        <w:rPr>
          <w:iCs/>
        </w:rPr>
        <w:lastRenderedPageBreak/>
        <w:t>in the resembling names we give to similar things (</w:t>
      </w:r>
      <w:proofErr w:type="spellStart"/>
      <w:r w:rsidR="009D77D1" w:rsidRPr="009D77D1">
        <w:rPr>
          <w:i/>
          <w:iCs/>
        </w:rPr>
        <w:t>Anth-Pillau</w:t>
      </w:r>
      <w:proofErr w:type="spellEnd"/>
      <w:r w:rsidR="00940B99">
        <w:rPr>
          <w:iCs/>
        </w:rPr>
        <w:t xml:space="preserve"> 25:752).</w:t>
      </w:r>
      <w:r w:rsidR="00AD1516">
        <w:rPr>
          <w:rStyle w:val="FootnoteReference"/>
          <w:iCs/>
        </w:rPr>
        <w:footnoteReference w:id="19"/>
      </w:r>
      <w:r w:rsidR="00940B99">
        <w:rPr>
          <w:iCs/>
        </w:rPr>
        <w:t xml:space="preserve"> </w:t>
      </w:r>
      <w:r w:rsidR="00BA6B81">
        <w:rPr>
          <w:iCs/>
        </w:rPr>
        <w:t>As</w:t>
      </w:r>
      <w:r w:rsidR="008E12B3">
        <w:rPr>
          <w:iCs/>
        </w:rPr>
        <w:t>sociations grounded on contiguity</w:t>
      </w:r>
      <w:r w:rsidR="008C634C">
        <w:rPr>
          <w:iCs/>
        </w:rPr>
        <w:t xml:space="preserve"> </w:t>
      </w:r>
      <w:r w:rsidR="00BA6B81">
        <w:rPr>
          <w:iCs/>
        </w:rPr>
        <w:t>involve</w:t>
      </w:r>
      <w:r w:rsidR="008C634C">
        <w:rPr>
          <w:iCs/>
        </w:rPr>
        <w:t xml:space="preserve"> either the (repeated) succession of representations in time,</w:t>
      </w:r>
      <w:r w:rsidR="001240D0">
        <w:rPr>
          <w:iCs/>
        </w:rPr>
        <w:t xml:space="preserve"> </w:t>
      </w:r>
      <w:r w:rsidR="008C634C">
        <w:rPr>
          <w:iCs/>
        </w:rPr>
        <w:t>which Kant also refers to as accompaniment (</w:t>
      </w:r>
      <w:proofErr w:type="spellStart"/>
      <w:r w:rsidR="008C634C">
        <w:rPr>
          <w:i/>
          <w:iCs/>
        </w:rPr>
        <w:t>Begleitung</w:t>
      </w:r>
      <w:proofErr w:type="spellEnd"/>
      <w:r w:rsidR="008C634C">
        <w:rPr>
          <w:iCs/>
        </w:rPr>
        <w:t xml:space="preserve"> or </w:t>
      </w:r>
      <w:proofErr w:type="spellStart"/>
      <w:r w:rsidR="008C634C">
        <w:rPr>
          <w:i/>
          <w:iCs/>
        </w:rPr>
        <w:t>Beygesellung</w:t>
      </w:r>
      <w:proofErr w:type="spellEnd"/>
      <w:r w:rsidR="008C634C">
        <w:rPr>
          <w:iCs/>
        </w:rPr>
        <w:t xml:space="preserve">—cf. </w:t>
      </w:r>
      <w:proofErr w:type="spellStart"/>
      <w:r w:rsidR="009D77D1" w:rsidRPr="009D77D1">
        <w:rPr>
          <w:i/>
          <w:iCs/>
        </w:rPr>
        <w:t>Anth</w:t>
      </w:r>
      <w:proofErr w:type="spellEnd"/>
      <w:r w:rsidR="009D77D1" w:rsidRPr="009D77D1">
        <w:rPr>
          <w:i/>
          <w:iCs/>
        </w:rPr>
        <w:t>-Fried</w:t>
      </w:r>
      <w:r w:rsidR="008C634C">
        <w:rPr>
          <w:iCs/>
        </w:rPr>
        <w:t xml:space="preserve"> 25:512, </w:t>
      </w:r>
      <w:r w:rsidR="004B6D5C">
        <w:rPr>
          <w:iCs/>
        </w:rPr>
        <w:t>1</w:t>
      </w:r>
      <w:r w:rsidR="008C634C">
        <w:rPr>
          <w:iCs/>
        </w:rPr>
        <w:t>5:129</w:t>
      </w:r>
      <w:r w:rsidR="004B6D5C">
        <w:rPr>
          <w:iCs/>
        </w:rPr>
        <w:t xml:space="preserve"> [R 326]</w:t>
      </w:r>
      <w:r w:rsidR="008C634C">
        <w:rPr>
          <w:iCs/>
        </w:rPr>
        <w:t xml:space="preserve">), or their occurrence in relation to a specific space, which Kant sometimes refers to as </w:t>
      </w:r>
      <w:proofErr w:type="spellStart"/>
      <w:r w:rsidR="008C634C">
        <w:rPr>
          <w:i/>
          <w:iCs/>
        </w:rPr>
        <w:t>Nachbarschaft</w:t>
      </w:r>
      <w:proofErr w:type="spellEnd"/>
      <w:r w:rsidR="008C634C">
        <w:rPr>
          <w:iCs/>
        </w:rPr>
        <w:t xml:space="preserve"> (</w:t>
      </w:r>
      <w:proofErr w:type="spellStart"/>
      <w:r w:rsidR="009D77D1" w:rsidRPr="009D77D1">
        <w:rPr>
          <w:i/>
          <w:iCs/>
        </w:rPr>
        <w:t>Anth</w:t>
      </w:r>
      <w:proofErr w:type="spellEnd"/>
      <w:r w:rsidR="009D77D1" w:rsidRPr="009D77D1">
        <w:rPr>
          <w:i/>
          <w:iCs/>
        </w:rPr>
        <w:t>-Fried</w:t>
      </w:r>
      <w:r w:rsidR="008C634C">
        <w:rPr>
          <w:iCs/>
        </w:rPr>
        <w:t xml:space="preserve"> 25:513).</w:t>
      </w:r>
      <w:r w:rsidR="00BA6B81">
        <w:rPr>
          <w:iCs/>
        </w:rPr>
        <w:t xml:space="preserve"> The former, Kant notes, is the ground of its own sort of association, but inasmuch as it involves repeated temporal succession, it is in some way </w:t>
      </w:r>
      <w:r w:rsidR="00940B99">
        <w:rPr>
          <w:iCs/>
        </w:rPr>
        <w:t xml:space="preserve">at </w:t>
      </w:r>
      <w:r w:rsidR="00BA6B81">
        <w:rPr>
          <w:iCs/>
        </w:rPr>
        <w:t>the ground of all associations (</w:t>
      </w:r>
      <w:proofErr w:type="spellStart"/>
      <w:r w:rsidR="009D77D1" w:rsidRPr="009D77D1">
        <w:rPr>
          <w:i/>
          <w:iCs/>
        </w:rPr>
        <w:t>Anth-Coll</w:t>
      </w:r>
      <w:proofErr w:type="spellEnd"/>
      <w:r w:rsidR="00BA6B81">
        <w:rPr>
          <w:iCs/>
        </w:rPr>
        <w:t xml:space="preserve"> </w:t>
      </w:r>
      <w:r w:rsidR="004B6D5C">
        <w:rPr>
          <w:iCs/>
        </w:rPr>
        <w:t>25:</w:t>
      </w:r>
      <w:r w:rsidR="00BA6B81">
        <w:rPr>
          <w:iCs/>
        </w:rPr>
        <w:t xml:space="preserve">89, </w:t>
      </w:r>
      <w:proofErr w:type="spellStart"/>
      <w:r w:rsidR="009D77D1" w:rsidRPr="009D77D1">
        <w:rPr>
          <w:i/>
          <w:iCs/>
        </w:rPr>
        <w:t>Anth-Parow</w:t>
      </w:r>
      <w:proofErr w:type="spellEnd"/>
      <w:r w:rsidR="00BA6B81">
        <w:rPr>
          <w:iCs/>
        </w:rPr>
        <w:t xml:space="preserve"> 25:315, </w:t>
      </w:r>
      <w:proofErr w:type="spellStart"/>
      <w:r w:rsidR="009D77D1" w:rsidRPr="009D77D1">
        <w:rPr>
          <w:i/>
          <w:iCs/>
        </w:rPr>
        <w:t>Anth</w:t>
      </w:r>
      <w:proofErr w:type="spellEnd"/>
      <w:r w:rsidR="009D77D1" w:rsidRPr="009D77D1">
        <w:rPr>
          <w:i/>
          <w:iCs/>
        </w:rPr>
        <w:t>-Fried</w:t>
      </w:r>
      <w:r w:rsidR="00BA6B81">
        <w:rPr>
          <w:iCs/>
        </w:rPr>
        <w:t xml:space="preserve"> 25:512)</w:t>
      </w:r>
      <w:r w:rsidR="00940B99">
        <w:rPr>
          <w:iCs/>
        </w:rPr>
        <w:t xml:space="preserve">. Lastly, associations can also be grounded on </w:t>
      </w:r>
      <w:r w:rsidR="004F7929">
        <w:rPr>
          <w:iCs/>
        </w:rPr>
        <w:t xml:space="preserve">affinity or </w:t>
      </w:r>
      <w:r w:rsidR="00940B99">
        <w:rPr>
          <w:iCs/>
        </w:rPr>
        <w:t xml:space="preserve">a relation obtaining between two representations, which Kant characterizes primarily </w:t>
      </w:r>
      <w:r w:rsidR="004F7929">
        <w:rPr>
          <w:iCs/>
        </w:rPr>
        <w:t xml:space="preserve">in terms </w:t>
      </w:r>
      <w:r w:rsidR="00940B99">
        <w:rPr>
          <w:iCs/>
        </w:rPr>
        <w:t>of “</w:t>
      </w:r>
      <w:r w:rsidR="0004412C">
        <w:rPr>
          <w:iCs/>
        </w:rPr>
        <w:t>stemming from” or (non-logical) “derivation” (</w:t>
      </w:r>
      <w:proofErr w:type="spellStart"/>
      <w:r w:rsidR="0004412C">
        <w:rPr>
          <w:i/>
          <w:iCs/>
        </w:rPr>
        <w:t>Abstammung</w:t>
      </w:r>
      <w:proofErr w:type="spellEnd"/>
      <w:r w:rsidR="0004412C">
        <w:rPr>
          <w:iCs/>
        </w:rPr>
        <w:t>).</w:t>
      </w:r>
      <w:r w:rsidR="00B70B45">
        <w:rPr>
          <w:iCs/>
        </w:rPr>
        <w:t xml:space="preserve"> Such a relation obtains, as Kant notes, “insofar as [representations] proceed from a single ground” (</w:t>
      </w:r>
      <w:proofErr w:type="spellStart"/>
      <w:r w:rsidR="009D77D1" w:rsidRPr="009D77D1">
        <w:rPr>
          <w:i/>
          <w:iCs/>
        </w:rPr>
        <w:t>Anth</w:t>
      </w:r>
      <w:proofErr w:type="spellEnd"/>
      <w:r w:rsidR="009D77D1" w:rsidRPr="009D77D1">
        <w:rPr>
          <w:i/>
          <w:iCs/>
        </w:rPr>
        <w:t>-Fried</w:t>
      </w:r>
      <w:r w:rsidR="00B70B45">
        <w:rPr>
          <w:iCs/>
        </w:rPr>
        <w:t xml:space="preserve"> 25:513) and the primary example of this is the relation between an effect, or effects, and</w:t>
      </w:r>
      <w:r w:rsidR="004F7929">
        <w:rPr>
          <w:iCs/>
        </w:rPr>
        <w:t xml:space="preserve"> a</w:t>
      </w:r>
      <w:r w:rsidR="00B70B45">
        <w:rPr>
          <w:iCs/>
        </w:rPr>
        <w:t xml:space="preserve"> cause (</w:t>
      </w:r>
      <w:proofErr w:type="spellStart"/>
      <w:r w:rsidR="009D77D1" w:rsidRPr="009D77D1">
        <w:rPr>
          <w:i/>
          <w:iCs/>
        </w:rPr>
        <w:t>Anth</w:t>
      </w:r>
      <w:proofErr w:type="spellEnd"/>
      <w:r w:rsidR="009D77D1" w:rsidRPr="009D77D1">
        <w:rPr>
          <w:i/>
          <w:iCs/>
        </w:rPr>
        <w:t>-Fried</w:t>
      </w:r>
      <w:r w:rsidR="00B70B45">
        <w:rPr>
          <w:iCs/>
        </w:rPr>
        <w:t xml:space="preserve"> 25:513, </w:t>
      </w:r>
      <w:proofErr w:type="spellStart"/>
      <w:r w:rsidR="009D77D1" w:rsidRPr="009D77D1">
        <w:rPr>
          <w:i/>
          <w:iCs/>
        </w:rPr>
        <w:t>Anth-Pillau</w:t>
      </w:r>
      <w:proofErr w:type="spellEnd"/>
      <w:r w:rsidR="00B70B45">
        <w:rPr>
          <w:iCs/>
        </w:rPr>
        <w:t xml:space="preserve"> 25:752). </w:t>
      </w:r>
    </w:p>
    <w:p w:rsidR="004D603A" w:rsidRDefault="00D443E6" w:rsidP="00487DCB">
      <w:pPr>
        <w:spacing w:line="360" w:lineRule="auto"/>
        <w:rPr>
          <w:iCs/>
        </w:rPr>
      </w:pPr>
      <w:r>
        <w:rPr>
          <w:iCs/>
        </w:rPr>
        <w:tab/>
        <w:t xml:space="preserve">Significantly, in addition to distinguishing </w:t>
      </w:r>
      <w:r w:rsidR="00AD1516">
        <w:rPr>
          <w:iCs/>
        </w:rPr>
        <w:t xml:space="preserve">between </w:t>
      </w:r>
      <w:r>
        <w:rPr>
          <w:iCs/>
        </w:rPr>
        <w:t>these three grounds or conditions of association, Kant also distinguishes between the resulting assoc</w:t>
      </w:r>
      <w:r w:rsidR="00AD1516">
        <w:rPr>
          <w:iCs/>
        </w:rPr>
        <w:t>iations</w:t>
      </w:r>
      <w:r w:rsidR="004B6D5C">
        <w:rPr>
          <w:iCs/>
        </w:rPr>
        <w:t xml:space="preserve"> in terms of their relevance for cognition</w:t>
      </w:r>
      <w:r w:rsidR="00AD1516">
        <w:rPr>
          <w:iCs/>
        </w:rPr>
        <w:t xml:space="preserve">. In the </w:t>
      </w:r>
      <w:r w:rsidR="00AD1516">
        <w:rPr>
          <w:i/>
          <w:iCs/>
        </w:rPr>
        <w:t>Anthropologie-Collins</w:t>
      </w:r>
      <w:r w:rsidR="00AD1516">
        <w:rPr>
          <w:iCs/>
        </w:rPr>
        <w:t xml:space="preserve">, for instance, we find a distinction between </w:t>
      </w:r>
      <w:proofErr w:type="spellStart"/>
      <w:r w:rsidR="00AD1516">
        <w:rPr>
          <w:i/>
          <w:iCs/>
        </w:rPr>
        <w:t>associatio</w:t>
      </w:r>
      <w:proofErr w:type="spellEnd"/>
      <w:r w:rsidR="00AD1516">
        <w:rPr>
          <w:i/>
          <w:iCs/>
        </w:rPr>
        <w:t xml:space="preserve"> </w:t>
      </w:r>
      <w:proofErr w:type="spellStart"/>
      <w:r w:rsidR="00AD1516">
        <w:rPr>
          <w:i/>
          <w:iCs/>
        </w:rPr>
        <w:t>bruta</w:t>
      </w:r>
      <w:proofErr w:type="spellEnd"/>
      <w:r w:rsidR="00AD1516">
        <w:rPr>
          <w:iCs/>
        </w:rPr>
        <w:t xml:space="preserve">, which pertains to associations grounded on contiguity, </w:t>
      </w:r>
      <w:proofErr w:type="spellStart"/>
      <w:r w:rsidR="00AD1516">
        <w:rPr>
          <w:i/>
          <w:iCs/>
        </w:rPr>
        <w:t>associatio</w:t>
      </w:r>
      <w:proofErr w:type="spellEnd"/>
      <w:r w:rsidR="00AD1516">
        <w:rPr>
          <w:i/>
          <w:iCs/>
        </w:rPr>
        <w:t xml:space="preserve"> </w:t>
      </w:r>
      <w:proofErr w:type="spellStart"/>
      <w:r w:rsidR="00AD1516">
        <w:rPr>
          <w:i/>
          <w:iCs/>
        </w:rPr>
        <w:t>reflexa</w:t>
      </w:r>
      <w:proofErr w:type="spellEnd"/>
      <w:r w:rsidR="00AD1516">
        <w:rPr>
          <w:iCs/>
        </w:rPr>
        <w:t xml:space="preserve">, which pertains to those grounded on similarity, and </w:t>
      </w:r>
      <w:proofErr w:type="spellStart"/>
      <w:r w:rsidR="00AD1516">
        <w:rPr>
          <w:i/>
          <w:iCs/>
        </w:rPr>
        <w:t>associatio</w:t>
      </w:r>
      <w:proofErr w:type="spellEnd"/>
      <w:r w:rsidR="00AD1516">
        <w:rPr>
          <w:i/>
          <w:iCs/>
        </w:rPr>
        <w:t xml:space="preserve"> </w:t>
      </w:r>
      <w:proofErr w:type="spellStart"/>
      <w:r w:rsidR="00AD1516">
        <w:rPr>
          <w:i/>
          <w:iCs/>
        </w:rPr>
        <w:t>intellectualis</w:t>
      </w:r>
      <w:proofErr w:type="spellEnd"/>
      <w:r w:rsidR="00AD1516">
        <w:rPr>
          <w:iCs/>
        </w:rPr>
        <w:t xml:space="preserve">, which pertains to associations grounded on </w:t>
      </w:r>
      <w:r w:rsidR="00D61B0A">
        <w:rPr>
          <w:iCs/>
        </w:rPr>
        <w:t>affinity</w:t>
      </w:r>
      <w:r w:rsidR="00AD1516">
        <w:rPr>
          <w:iCs/>
        </w:rPr>
        <w:t xml:space="preserve"> (</w:t>
      </w:r>
      <w:proofErr w:type="spellStart"/>
      <w:r w:rsidR="009D77D1" w:rsidRPr="009D77D1">
        <w:rPr>
          <w:i/>
          <w:iCs/>
        </w:rPr>
        <w:t>Anth-Coll</w:t>
      </w:r>
      <w:proofErr w:type="spellEnd"/>
      <w:r w:rsidR="00AD1516">
        <w:rPr>
          <w:iCs/>
        </w:rPr>
        <w:t xml:space="preserve"> 25:88</w:t>
      </w:r>
      <w:r w:rsidR="00062914">
        <w:rPr>
          <w:iCs/>
        </w:rPr>
        <w:t>, 90).</w:t>
      </w:r>
      <w:r w:rsidR="00062914">
        <w:rPr>
          <w:rStyle w:val="FootnoteReference"/>
          <w:iCs/>
        </w:rPr>
        <w:footnoteReference w:id="20"/>
      </w:r>
      <w:r w:rsidR="00062914">
        <w:rPr>
          <w:iCs/>
        </w:rPr>
        <w:t xml:space="preserve"> With the </w:t>
      </w:r>
      <w:r w:rsidR="00062914">
        <w:rPr>
          <w:i/>
          <w:iCs/>
        </w:rPr>
        <w:t>Anthropologie-</w:t>
      </w:r>
      <w:proofErr w:type="spellStart"/>
      <w:r w:rsidR="00062914">
        <w:rPr>
          <w:i/>
          <w:iCs/>
        </w:rPr>
        <w:t>Friedländer</w:t>
      </w:r>
      <w:proofErr w:type="spellEnd"/>
      <w:r w:rsidR="00062914">
        <w:rPr>
          <w:iCs/>
        </w:rPr>
        <w:t>, Kant refines this somewhat, distinguishing only between “</w:t>
      </w:r>
      <w:proofErr w:type="spellStart"/>
      <w:r w:rsidR="00062914">
        <w:rPr>
          <w:i/>
          <w:iCs/>
        </w:rPr>
        <w:t>Associationen</w:t>
      </w:r>
      <w:proofErr w:type="spellEnd"/>
      <w:r w:rsidR="00062914">
        <w:rPr>
          <w:i/>
          <w:iCs/>
        </w:rPr>
        <w:t xml:space="preserve"> der </w:t>
      </w:r>
      <w:proofErr w:type="spellStart"/>
      <w:r w:rsidR="00062914">
        <w:rPr>
          <w:i/>
          <w:iCs/>
        </w:rPr>
        <w:t>Sinnlichkeit</w:t>
      </w:r>
      <w:proofErr w:type="spellEnd"/>
      <w:r w:rsidR="00062914">
        <w:rPr>
          <w:iCs/>
        </w:rPr>
        <w:t>” and “</w:t>
      </w:r>
      <w:proofErr w:type="spellStart"/>
      <w:r w:rsidR="00062914">
        <w:rPr>
          <w:i/>
          <w:iCs/>
        </w:rPr>
        <w:t>Associationen</w:t>
      </w:r>
      <w:proofErr w:type="spellEnd"/>
      <w:r w:rsidR="00062914">
        <w:rPr>
          <w:i/>
          <w:iCs/>
        </w:rPr>
        <w:t xml:space="preserve"> des </w:t>
      </w:r>
      <w:proofErr w:type="spellStart"/>
      <w:r w:rsidR="00062914">
        <w:rPr>
          <w:i/>
          <w:iCs/>
        </w:rPr>
        <w:t>Verstandes</w:t>
      </w:r>
      <w:proofErr w:type="spellEnd"/>
      <w:r w:rsidR="00062914">
        <w:rPr>
          <w:iCs/>
        </w:rPr>
        <w:t xml:space="preserve">,” identifying the former with associations grounded on (spatial or temporal) contiguity, and the latter with associations grounded on </w:t>
      </w:r>
      <w:r w:rsidR="00D61B0A">
        <w:rPr>
          <w:iCs/>
        </w:rPr>
        <w:t>affinity</w:t>
      </w:r>
      <w:r w:rsidR="00062914">
        <w:rPr>
          <w:iCs/>
        </w:rPr>
        <w:t xml:space="preserve"> (</w:t>
      </w:r>
      <w:proofErr w:type="spellStart"/>
      <w:r w:rsidR="009D77D1" w:rsidRPr="009D77D1">
        <w:rPr>
          <w:i/>
          <w:iCs/>
        </w:rPr>
        <w:t>Anth</w:t>
      </w:r>
      <w:proofErr w:type="spellEnd"/>
      <w:r w:rsidR="009D77D1" w:rsidRPr="009D77D1">
        <w:rPr>
          <w:i/>
          <w:iCs/>
        </w:rPr>
        <w:t>-Fried</w:t>
      </w:r>
      <w:r w:rsidR="00062914">
        <w:rPr>
          <w:iCs/>
        </w:rPr>
        <w:t xml:space="preserve"> 25:513). </w:t>
      </w:r>
      <w:r w:rsidR="00BC57A7">
        <w:rPr>
          <w:iCs/>
        </w:rPr>
        <w:t xml:space="preserve">The latter version of this distinction effectively brings out an important difference between the resulting associations, namely, that associations grounded (solely) on spatial or temporal contiguity relate merely to the conditions of sensibility (space and time), whereas associations grounded on </w:t>
      </w:r>
      <w:r w:rsidR="00D61B0A">
        <w:rPr>
          <w:iCs/>
        </w:rPr>
        <w:t>affinity</w:t>
      </w:r>
      <w:r w:rsidR="00BC57A7">
        <w:rPr>
          <w:iCs/>
        </w:rPr>
        <w:t xml:space="preserve"> (also) relate to the conditions of the understanding, a </w:t>
      </w:r>
      <w:r w:rsidR="003D55CB">
        <w:rPr>
          <w:iCs/>
        </w:rPr>
        <w:t xml:space="preserve">broad </w:t>
      </w:r>
      <w:r w:rsidR="00BC57A7">
        <w:rPr>
          <w:iCs/>
        </w:rPr>
        <w:t xml:space="preserve">distinction </w:t>
      </w:r>
      <w:r w:rsidR="003D55CB">
        <w:rPr>
          <w:iCs/>
        </w:rPr>
        <w:t xml:space="preserve">between faculties (and types of cognition) </w:t>
      </w:r>
      <w:r w:rsidR="00BC57A7">
        <w:rPr>
          <w:iCs/>
        </w:rPr>
        <w:t>familiar since the Inaugural Dissertation.</w:t>
      </w:r>
      <w:r w:rsidR="006735D1">
        <w:rPr>
          <w:rStyle w:val="FootnoteReference"/>
          <w:iCs/>
        </w:rPr>
        <w:footnoteReference w:id="21"/>
      </w:r>
      <w:r w:rsidR="00BC57A7">
        <w:rPr>
          <w:iCs/>
        </w:rPr>
        <w:t xml:space="preserve"> However, Kant seems to invest this distinction with additional significance inasmuch as he also takes it to amount to a distinction between associations between representations that cannot be reliably taken to hold of objects (those of sensibility) and associations that can (those of </w:t>
      </w:r>
      <w:r w:rsidR="00BC57A7">
        <w:rPr>
          <w:iCs/>
        </w:rPr>
        <w:lastRenderedPageBreak/>
        <w:t>the understanding).</w:t>
      </w:r>
      <w:r w:rsidR="008A1238">
        <w:rPr>
          <w:rStyle w:val="FootnoteReference"/>
          <w:iCs/>
        </w:rPr>
        <w:footnoteReference w:id="22"/>
      </w:r>
      <w:r w:rsidR="00BC57A7">
        <w:rPr>
          <w:iCs/>
        </w:rPr>
        <w:t xml:space="preserve"> </w:t>
      </w:r>
      <w:r w:rsidR="008A1238">
        <w:rPr>
          <w:iCs/>
        </w:rPr>
        <w:t>Associations that are merely based on spatial or temporal contiguity can be misleading, or can interfere with or augment our ordinary cognition, as Kant illustrates through the example of a former student who returns to the place of a stressful examination and feels a renewed sense of dread (</w:t>
      </w:r>
      <w:proofErr w:type="spellStart"/>
      <w:r w:rsidR="009D77D1" w:rsidRPr="009D77D1">
        <w:rPr>
          <w:i/>
          <w:iCs/>
        </w:rPr>
        <w:t>Anth</w:t>
      </w:r>
      <w:proofErr w:type="spellEnd"/>
      <w:r w:rsidR="009D77D1" w:rsidRPr="009D77D1">
        <w:rPr>
          <w:i/>
          <w:iCs/>
        </w:rPr>
        <w:t>-Fried</w:t>
      </w:r>
      <w:r w:rsidR="008A1238">
        <w:rPr>
          <w:iCs/>
        </w:rPr>
        <w:t xml:space="preserve"> 25:513). </w:t>
      </w:r>
      <w:r w:rsidR="00F64AC0">
        <w:rPr>
          <w:iCs/>
        </w:rPr>
        <w:t>Accordingly, Kant claims that such associations are not simply different than those pertaining t</w:t>
      </w:r>
      <w:r w:rsidR="00CA7A8B">
        <w:rPr>
          <w:iCs/>
        </w:rPr>
        <w:t xml:space="preserve">o the understanding but are </w:t>
      </w:r>
      <w:r w:rsidR="004B6D5C">
        <w:rPr>
          <w:iCs/>
        </w:rPr>
        <w:t xml:space="preserve">even </w:t>
      </w:r>
      <w:r w:rsidR="00F64AC0">
        <w:rPr>
          <w:iCs/>
        </w:rPr>
        <w:t>“</w:t>
      </w:r>
      <w:r w:rsidR="004B6D5C">
        <w:rPr>
          <w:iCs/>
        </w:rPr>
        <w:t>counter to</w:t>
      </w:r>
      <w:r w:rsidR="00F64AC0">
        <w:rPr>
          <w:iCs/>
        </w:rPr>
        <w:t xml:space="preserve"> [</w:t>
      </w:r>
      <w:proofErr w:type="spellStart"/>
      <w:r w:rsidR="00F64AC0">
        <w:rPr>
          <w:i/>
          <w:iCs/>
        </w:rPr>
        <w:t>wiedersinnig</w:t>
      </w:r>
      <w:proofErr w:type="spellEnd"/>
      <w:r w:rsidR="004B6D5C">
        <w:rPr>
          <w:iCs/>
        </w:rPr>
        <w:t>]”</w:t>
      </w:r>
      <w:r w:rsidR="00F64AC0">
        <w:rPr>
          <w:iCs/>
        </w:rPr>
        <w:t xml:space="preserve"> the understanding</w:t>
      </w:r>
      <w:r w:rsidR="00CA7A8B">
        <w:rPr>
          <w:iCs/>
        </w:rPr>
        <w:t xml:space="preserve">, which is </w:t>
      </w:r>
      <w:r w:rsidR="004B6D5C">
        <w:rPr>
          <w:iCs/>
        </w:rPr>
        <w:t xml:space="preserve">presumably </w:t>
      </w:r>
      <w:r w:rsidR="00CA7A8B">
        <w:rPr>
          <w:iCs/>
        </w:rPr>
        <w:t xml:space="preserve">to say that there is no </w:t>
      </w:r>
      <w:r w:rsidR="00D61B0A">
        <w:rPr>
          <w:iCs/>
        </w:rPr>
        <w:t>affinity or connection</w:t>
      </w:r>
      <w:r w:rsidR="00CA7A8B">
        <w:rPr>
          <w:iCs/>
        </w:rPr>
        <w:t xml:space="preserve"> that can be discerned to obtain </w:t>
      </w:r>
      <w:r w:rsidR="004A36A8">
        <w:rPr>
          <w:iCs/>
        </w:rPr>
        <w:t>at the ground of the</w:t>
      </w:r>
      <w:r w:rsidR="00CA7A8B">
        <w:rPr>
          <w:iCs/>
        </w:rPr>
        <w:t xml:space="preserve"> associated representations</w:t>
      </w:r>
      <w:r w:rsidR="00F64AC0">
        <w:rPr>
          <w:iCs/>
        </w:rPr>
        <w:t xml:space="preserve"> (</w:t>
      </w:r>
      <w:proofErr w:type="spellStart"/>
      <w:r w:rsidR="009D77D1" w:rsidRPr="009D77D1">
        <w:rPr>
          <w:i/>
          <w:iCs/>
        </w:rPr>
        <w:t>Anth</w:t>
      </w:r>
      <w:proofErr w:type="spellEnd"/>
      <w:r w:rsidR="009D77D1" w:rsidRPr="009D77D1">
        <w:rPr>
          <w:i/>
          <w:iCs/>
        </w:rPr>
        <w:t>-Fried</w:t>
      </w:r>
      <w:r w:rsidR="00F64AC0">
        <w:rPr>
          <w:iCs/>
        </w:rPr>
        <w:t xml:space="preserve"> 25:513). </w:t>
      </w:r>
    </w:p>
    <w:p w:rsidR="00B70B45" w:rsidRDefault="004D603A" w:rsidP="00B00043">
      <w:pPr>
        <w:spacing w:line="360" w:lineRule="auto"/>
        <w:ind w:firstLine="720"/>
        <w:rPr>
          <w:iCs/>
        </w:rPr>
      </w:pPr>
      <w:r>
        <w:rPr>
          <w:iCs/>
        </w:rPr>
        <w:t xml:space="preserve">It is only </w:t>
      </w:r>
      <w:r w:rsidR="00CA7A8B">
        <w:rPr>
          <w:iCs/>
        </w:rPr>
        <w:t xml:space="preserve">with respect to associations of the understanding that </w:t>
      </w:r>
      <w:r w:rsidR="001E0F70">
        <w:rPr>
          <w:iCs/>
        </w:rPr>
        <w:t xml:space="preserve">the connection among representations is such that </w:t>
      </w:r>
      <w:r w:rsidR="00CA7A8B">
        <w:rPr>
          <w:iCs/>
        </w:rPr>
        <w:t>we infer an actual connection obtaining the objects of the representations so connected in the mind.</w:t>
      </w:r>
      <w:r w:rsidR="0034514B">
        <w:rPr>
          <w:iCs/>
        </w:rPr>
        <w:t xml:space="preserve"> Among the examples of such connection that Kant provides</w:t>
      </w:r>
      <w:r w:rsidR="00487DCB">
        <w:rPr>
          <w:iCs/>
        </w:rPr>
        <w:t xml:space="preserve"> are: “when it rains and the sun shines, one quickly looks around to see if there is a rainbow” (</w:t>
      </w:r>
      <w:proofErr w:type="spellStart"/>
      <w:r w:rsidR="009D77D1" w:rsidRPr="009D77D1">
        <w:rPr>
          <w:i/>
          <w:iCs/>
        </w:rPr>
        <w:t>Anth</w:t>
      </w:r>
      <w:proofErr w:type="spellEnd"/>
      <w:r w:rsidR="009D77D1" w:rsidRPr="009D77D1">
        <w:rPr>
          <w:i/>
          <w:iCs/>
        </w:rPr>
        <w:t>-Fried</w:t>
      </w:r>
      <w:r w:rsidR="00487DCB">
        <w:rPr>
          <w:iCs/>
        </w:rPr>
        <w:t xml:space="preserve"> 25:513) and “when someone sees a thunderstorm arise when there are dark clouds, one supposes the same effect when after he sees such clouds again” (</w:t>
      </w:r>
      <w:proofErr w:type="spellStart"/>
      <w:r w:rsidR="009D77D1" w:rsidRPr="009D77D1">
        <w:rPr>
          <w:i/>
          <w:iCs/>
        </w:rPr>
        <w:t>Anth-Pillau</w:t>
      </w:r>
      <w:proofErr w:type="spellEnd"/>
      <w:r w:rsidR="00487DCB">
        <w:rPr>
          <w:iCs/>
        </w:rPr>
        <w:t xml:space="preserve"> 25:752). </w:t>
      </w:r>
      <w:r w:rsidR="00042642">
        <w:rPr>
          <w:iCs/>
        </w:rPr>
        <w:t>In both cases, the association is conditioned by a causal connection among the phenomena observed and</w:t>
      </w:r>
      <w:r w:rsidR="004B7068">
        <w:rPr>
          <w:iCs/>
        </w:rPr>
        <w:t>, as evidence of its objective purport, it</w:t>
      </w:r>
      <w:r w:rsidR="00042642">
        <w:rPr>
          <w:iCs/>
        </w:rPr>
        <w:t xml:space="preserve"> </w:t>
      </w:r>
      <w:r w:rsidR="004D6D8F">
        <w:rPr>
          <w:iCs/>
        </w:rPr>
        <w:t xml:space="preserve">(as opposed to the other associative connections) </w:t>
      </w:r>
      <w:r w:rsidR="00E31A17">
        <w:rPr>
          <w:iCs/>
        </w:rPr>
        <w:t>prompts us to infer</w:t>
      </w:r>
      <w:r w:rsidR="00042642">
        <w:rPr>
          <w:iCs/>
        </w:rPr>
        <w:t xml:space="preserve"> a similar occurrence when the previously observed conditions obtain. </w:t>
      </w:r>
      <w:r>
        <w:rPr>
          <w:iCs/>
        </w:rPr>
        <w:t>Indeed, associations of the understanding are distinguished from those of sensibility insofar as the former, but not the latter, involve or establish a connection (</w:t>
      </w:r>
      <w:proofErr w:type="spellStart"/>
      <w:r>
        <w:rPr>
          <w:i/>
          <w:iCs/>
        </w:rPr>
        <w:t>Verknüpfung</w:t>
      </w:r>
      <w:proofErr w:type="spellEnd"/>
      <w:r>
        <w:rPr>
          <w:iCs/>
        </w:rPr>
        <w:t xml:space="preserve">) </w:t>
      </w:r>
      <w:r w:rsidR="004E3CDF">
        <w:rPr>
          <w:iCs/>
        </w:rPr>
        <w:t>between</w:t>
      </w:r>
      <w:r w:rsidR="00E31A17">
        <w:rPr>
          <w:iCs/>
        </w:rPr>
        <w:t xml:space="preserve"> the representations themselves on the basis of repeated observation (or “constant accompaniment”). Thus, the notes read that </w:t>
      </w:r>
      <w:r w:rsidRPr="004D603A">
        <w:rPr>
          <w:iCs/>
        </w:rPr>
        <w:t>“not all accompany</w:t>
      </w:r>
      <w:r>
        <w:rPr>
          <w:iCs/>
        </w:rPr>
        <w:t>ing</w:t>
      </w:r>
      <w:r w:rsidRPr="004D603A">
        <w:rPr>
          <w:iCs/>
        </w:rPr>
        <w:t xml:space="preserve"> representations [</w:t>
      </w:r>
      <w:proofErr w:type="spellStart"/>
      <w:r w:rsidRPr="004D603A">
        <w:rPr>
          <w:i/>
          <w:iCs/>
        </w:rPr>
        <w:t>begleitende</w:t>
      </w:r>
      <w:proofErr w:type="spellEnd"/>
      <w:r w:rsidRPr="004D603A">
        <w:rPr>
          <w:i/>
          <w:iCs/>
        </w:rPr>
        <w:t xml:space="preserve"> </w:t>
      </w:r>
      <w:proofErr w:type="spellStart"/>
      <w:r w:rsidRPr="004D603A">
        <w:rPr>
          <w:i/>
          <w:iCs/>
        </w:rPr>
        <w:t>Vorstellungen</w:t>
      </w:r>
      <w:proofErr w:type="spellEnd"/>
      <w:r w:rsidRPr="004D603A">
        <w:rPr>
          <w:iCs/>
        </w:rPr>
        <w:t>] are associated [</w:t>
      </w:r>
      <w:proofErr w:type="spellStart"/>
      <w:r w:rsidRPr="004D603A">
        <w:rPr>
          <w:i/>
          <w:iCs/>
        </w:rPr>
        <w:t>vergesellschaftet</w:t>
      </w:r>
      <w:proofErr w:type="spellEnd"/>
      <w:r w:rsidR="00E31A17">
        <w:rPr>
          <w:iCs/>
        </w:rPr>
        <w:t>]”; rather, it is only “what we often see accompanying each other [that] we take for connected through the imagination”</w:t>
      </w:r>
      <w:r w:rsidRPr="004D603A">
        <w:rPr>
          <w:iCs/>
        </w:rPr>
        <w:t xml:space="preserve"> (</w:t>
      </w:r>
      <w:proofErr w:type="spellStart"/>
      <w:r w:rsidR="009D77D1" w:rsidRPr="009D77D1">
        <w:rPr>
          <w:i/>
          <w:iCs/>
        </w:rPr>
        <w:t>Anth-Coll</w:t>
      </w:r>
      <w:proofErr w:type="spellEnd"/>
      <w:r w:rsidRPr="004D603A">
        <w:rPr>
          <w:iCs/>
        </w:rPr>
        <w:t xml:space="preserve"> 25:28</w:t>
      </w:r>
      <w:r w:rsidR="00FD0140">
        <w:rPr>
          <w:iCs/>
        </w:rPr>
        <w:t xml:space="preserve">; cf. also </w:t>
      </w:r>
      <w:proofErr w:type="spellStart"/>
      <w:r w:rsidR="009D77D1" w:rsidRPr="009D77D1">
        <w:rPr>
          <w:i/>
          <w:iCs/>
        </w:rPr>
        <w:t>Anth-Coll</w:t>
      </w:r>
      <w:proofErr w:type="spellEnd"/>
      <w:r w:rsidR="00FD0140">
        <w:rPr>
          <w:iCs/>
        </w:rPr>
        <w:t xml:space="preserve"> 25:89, </w:t>
      </w:r>
      <w:proofErr w:type="spellStart"/>
      <w:r w:rsidR="009D77D1" w:rsidRPr="009D77D1">
        <w:rPr>
          <w:i/>
          <w:iCs/>
        </w:rPr>
        <w:t>Anth-Parow</w:t>
      </w:r>
      <w:proofErr w:type="spellEnd"/>
      <w:r w:rsidR="00FD0140">
        <w:rPr>
          <w:iCs/>
        </w:rPr>
        <w:t xml:space="preserve"> 25:315</w:t>
      </w:r>
      <w:r>
        <w:rPr>
          <w:iCs/>
        </w:rPr>
        <w:t>).</w:t>
      </w:r>
      <w:r w:rsidR="00010309">
        <w:rPr>
          <w:rStyle w:val="FootnoteReference"/>
          <w:iCs/>
        </w:rPr>
        <w:footnoteReference w:id="23"/>
      </w:r>
      <w:r>
        <w:rPr>
          <w:iCs/>
        </w:rPr>
        <w:t xml:space="preserve"> </w:t>
      </w:r>
    </w:p>
    <w:p w:rsidR="00E44D6F" w:rsidRDefault="004F64E9" w:rsidP="00503B16">
      <w:pPr>
        <w:spacing w:line="360" w:lineRule="auto"/>
      </w:pPr>
      <w:r>
        <w:rPr>
          <w:iCs/>
        </w:rPr>
        <w:tab/>
        <w:t xml:space="preserve">There are a number of striking features of Kant’s discussion of association, but for now we might </w:t>
      </w:r>
      <w:r w:rsidR="000C13C1">
        <w:rPr>
          <w:iCs/>
        </w:rPr>
        <w:t xml:space="preserve">just </w:t>
      </w:r>
      <w:r w:rsidR="00F431A7">
        <w:rPr>
          <w:iCs/>
        </w:rPr>
        <w:t xml:space="preserve">focus on </w:t>
      </w:r>
      <w:r w:rsidR="003D55CB">
        <w:rPr>
          <w:iCs/>
        </w:rPr>
        <w:t xml:space="preserve">the most obvious, namely, </w:t>
      </w:r>
      <w:r w:rsidR="00F431A7">
        <w:rPr>
          <w:iCs/>
        </w:rPr>
        <w:t xml:space="preserve">its </w:t>
      </w:r>
      <w:r w:rsidR="004D6D8F">
        <w:rPr>
          <w:iCs/>
        </w:rPr>
        <w:t xml:space="preserve">comparison </w:t>
      </w:r>
      <w:r>
        <w:rPr>
          <w:iCs/>
        </w:rPr>
        <w:t xml:space="preserve">with Hume’s discussion of </w:t>
      </w:r>
      <w:r w:rsidR="003D55CB">
        <w:rPr>
          <w:iCs/>
        </w:rPr>
        <w:t xml:space="preserve">the </w:t>
      </w:r>
      <w:r>
        <w:rPr>
          <w:iCs/>
        </w:rPr>
        <w:t xml:space="preserve">cognition of causal connection. </w:t>
      </w:r>
      <w:r w:rsidR="00E31A17">
        <w:rPr>
          <w:iCs/>
        </w:rPr>
        <w:t xml:space="preserve">As should be evident, Kant seems to help himself to elements of Hume’s </w:t>
      </w:r>
      <w:proofErr w:type="spellStart"/>
      <w:r w:rsidR="00E31A17">
        <w:rPr>
          <w:iCs/>
        </w:rPr>
        <w:t>empiricistic</w:t>
      </w:r>
      <w:proofErr w:type="spellEnd"/>
      <w:r w:rsidR="00E31A17">
        <w:rPr>
          <w:iCs/>
        </w:rPr>
        <w:t xml:space="preserve"> account of causal cognition as he takes, for instance, our cognitions of causal connection to be based on associations effected by the imagination on the basis of </w:t>
      </w:r>
      <w:r w:rsidR="001E0F70">
        <w:rPr>
          <w:iCs/>
        </w:rPr>
        <w:t xml:space="preserve">repeatedly apprehended </w:t>
      </w:r>
      <w:r w:rsidR="00E31A17">
        <w:rPr>
          <w:iCs/>
        </w:rPr>
        <w:t xml:space="preserve">successions. And while Kant was undoubtedly familiar with Hume’s discussion in the </w:t>
      </w:r>
      <w:r w:rsidR="00E31A17">
        <w:rPr>
          <w:i/>
          <w:iCs/>
        </w:rPr>
        <w:lastRenderedPageBreak/>
        <w:t>Enquiry concerning Human Understanding</w:t>
      </w:r>
      <w:r w:rsidR="00E31A17">
        <w:rPr>
          <w:iCs/>
        </w:rPr>
        <w:t xml:space="preserve"> at the time of the lectures, it would appear that his discussion recorded in the notes </w:t>
      </w:r>
      <w:r w:rsidR="00B64467">
        <w:rPr>
          <w:iCs/>
        </w:rPr>
        <w:t xml:space="preserve">does not </w:t>
      </w:r>
      <w:r w:rsidR="00E31A17">
        <w:rPr>
          <w:iCs/>
        </w:rPr>
        <w:t xml:space="preserve">attempt to </w:t>
      </w:r>
      <w:r w:rsidR="00B64467">
        <w:rPr>
          <w:iCs/>
        </w:rPr>
        <w:t>engage with Hume’s own (sceptical) conclusions regarding the rational foundations of our</w:t>
      </w:r>
      <w:r w:rsidR="0030732B">
        <w:rPr>
          <w:iCs/>
        </w:rPr>
        <w:t xml:space="preserve"> cognition of</w:t>
      </w:r>
      <w:r w:rsidR="00B64467">
        <w:rPr>
          <w:iCs/>
        </w:rPr>
        <w:t xml:space="preserve"> causal connection</w:t>
      </w:r>
      <w:r w:rsidR="0030732B">
        <w:rPr>
          <w:iCs/>
        </w:rPr>
        <w:t>s</w:t>
      </w:r>
      <w:r w:rsidR="00E31A17">
        <w:rPr>
          <w:iCs/>
        </w:rPr>
        <w:t>. O</w:t>
      </w:r>
      <w:r w:rsidR="00F431A7">
        <w:rPr>
          <w:iCs/>
        </w:rPr>
        <w:t xml:space="preserve">n the contrary, Kant shows little hesitation in presuming that the connections effected by the mind are grounded in an actual </w:t>
      </w:r>
      <w:r w:rsidR="001E0F70">
        <w:rPr>
          <w:iCs/>
        </w:rPr>
        <w:t xml:space="preserve">(causal) </w:t>
      </w:r>
      <w:r w:rsidR="00F431A7">
        <w:rPr>
          <w:iCs/>
        </w:rPr>
        <w:t>connection among objects</w:t>
      </w:r>
      <w:r w:rsidR="00E31A17">
        <w:rPr>
          <w:iCs/>
        </w:rPr>
        <w:t xml:space="preserve">, and </w:t>
      </w:r>
      <w:r w:rsidR="00846383">
        <w:rPr>
          <w:iCs/>
        </w:rPr>
        <w:t xml:space="preserve">in dubbing associations grounded upon affinity </w:t>
      </w:r>
      <w:r w:rsidR="00846383">
        <w:rPr>
          <w:i/>
          <w:iCs/>
        </w:rPr>
        <w:t>associations of the understanding</w:t>
      </w:r>
      <w:r w:rsidR="00846383">
        <w:rPr>
          <w:iCs/>
        </w:rPr>
        <w:t xml:space="preserve"> , Kant is clearly signalling his presumption, </w:t>
      </w:r>
      <w:r w:rsidR="00846383">
        <w:rPr>
          <w:i/>
          <w:iCs/>
        </w:rPr>
        <w:t xml:space="preserve">contra </w:t>
      </w:r>
      <w:r w:rsidR="00846383">
        <w:rPr>
          <w:iCs/>
        </w:rPr>
        <w:t xml:space="preserve">Hume, that such associations are in fact in agreement with the demands of the understanding and, as such, suitable for serving as </w:t>
      </w:r>
      <w:r w:rsidR="00723BBF">
        <w:rPr>
          <w:iCs/>
        </w:rPr>
        <w:t xml:space="preserve">the basis for causal judgments. </w:t>
      </w:r>
      <w:r w:rsidR="007D347D">
        <w:rPr>
          <w:iCs/>
        </w:rPr>
        <w:t xml:space="preserve">It thus seems peculiar that Kant would help himself to these elements of Hume’s account without attention to the sceptical consequences </w:t>
      </w:r>
      <w:r w:rsidR="001E0F70">
        <w:rPr>
          <w:iCs/>
        </w:rPr>
        <w:t xml:space="preserve">that they introduce. </w:t>
      </w:r>
      <w:r w:rsidR="004A36A8">
        <w:rPr>
          <w:iCs/>
        </w:rPr>
        <w:t>And w</w:t>
      </w:r>
      <w:r w:rsidR="007D347D">
        <w:rPr>
          <w:iCs/>
        </w:rPr>
        <w:t xml:space="preserve">hile it might </w:t>
      </w:r>
      <w:r w:rsidR="004A36A8">
        <w:rPr>
          <w:iCs/>
        </w:rPr>
        <w:t xml:space="preserve">thus </w:t>
      </w:r>
      <w:r w:rsidR="007D347D">
        <w:rPr>
          <w:iCs/>
        </w:rPr>
        <w:t xml:space="preserve">be tempting to think that Kant abandons this account, with all its attendant difficulties and potential incompatibilities, with the first </w:t>
      </w:r>
      <w:r w:rsidR="007D347D">
        <w:rPr>
          <w:i/>
          <w:iCs/>
        </w:rPr>
        <w:t>Critique</w:t>
      </w:r>
      <w:r w:rsidR="007D347D">
        <w:rPr>
          <w:iCs/>
        </w:rPr>
        <w:t>,</w:t>
      </w:r>
      <w:r w:rsidR="007D347D">
        <w:rPr>
          <w:rStyle w:val="FootnoteReference"/>
          <w:iCs/>
        </w:rPr>
        <w:footnoteReference w:id="24"/>
      </w:r>
      <w:r w:rsidR="007D347D">
        <w:rPr>
          <w:iCs/>
        </w:rPr>
        <w:t xml:space="preserve"> I will argue in the following section that Kant does in fact retain this account (at least in its essentials) but also seeks to exorcise the spectre that it threatens to introduce into his account of causal cognition.</w:t>
      </w:r>
    </w:p>
    <w:p w:rsidR="00E44D6F" w:rsidRDefault="00E44D6F" w:rsidP="00AC2067">
      <w:pPr>
        <w:spacing w:line="360" w:lineRule="auto"/>
      </w:pPr>
    </w:p>
    <w:p w:rsidR="003366DA" w:rsidRPr="00297385" w:rsidRDefault="0022473B" w:rsidP="008464ED">
      <w:pPr>
        <w:spacing w:line="360" w:lineRule="auto"/>
        <w:rPr>
          <w:i/>
        </w:rPr>
      </w:pPr>
      <w:r>
        <w:t xml:space="preserve">3. </w:t>
      </w:r>
      <w:r w:rsidR="00297385">
        <w:t xml:space="preserve">Association </w:t>
      </w:r>
      <w:r w:rsidR="00C53E00">
        <w:t xml:space="preserve">and Affinity </w:t>
      </w:r>
      <w:r w:rsidR="00297385">
        <w:t xml:space="preserve">in the </w:t>
      </w:r>
      <w:r w:rsidR="00297385">
        <w:rPr>
          <w:i/>
        </w:rPr>
        <w:t>Critique</w:t>
      </w:r>
    </w:p>
    <w:p w:rsidR="0097637B" w:rsidRDefault="0097637B" w:rsidP="008464ED">
      <w:pPr>
        <w:spacing w:line="360" w:lineRule="auto"/>
      </w:pPr>
    </w:p>
    <w:p w:rsidR="005F6567" w:rsidRDefault="007D347D" w:rsidP="00723BBF">
      <w:pPr>
        <w:spacing w:line="360" w:lineRule="auto"/>
        <w:ind w:firstLine="720"/>
      </w:pPr>
      <w:r>
        <w:rPr>
          <w:iCs/>
        </w:rPr>
        <w:t>W</w:t>
      </w:r>
      <w:r w:rsidR="00E31A17">
        <w:rPr>
          <w:iCs/>
        </w:rPr>
        <w:t>hile there can be no denying that Kant was sensitive to Hume’s challenge</w:t>
      </w:r>
      <w:r>
        <w:rPr>
          <w:iCs/>
        </w:rPr>
        <w:t xml:space="preserve"> during his earliest anthropology lectures in the 1770s</w:t>
      </w:r>
      <w:r w:rsidR="00E31A17">
        <w:rPr>
          <w:iCs/>
        </w:rPr>
        <w:t xml:space="preserve">, </w:t>
      </w:r>
      <w:r>
        <w:rPr>
          <w:iCs/>
        </w:rPr>
        <w:t xml:space="preserve">according to </w:t>
      </w:r>
      <w:r w:rsidR="00E31A17">
        <w:rPr>
          <w:iCs/>
        </w:rPr>
        <w:t xml:space="preserve">his own later confession of the fact (cf. </w:t>
      </w:r>
      <w:proofErr w:type="spellStart"/>
      <w:r w:rsidR="00E31A17" w:rsidRPr="00A22922">
        <w:rPr>
          <w:i/>
          <w:iCs/>
        </w:rPr>
        <w:t>Prol</w:t>
      </w:r>
      <w:proofErr w:type="spellEnd"/>
      <w:r w:rsidR="00E31A17">
        <w:rPr>
          <w:iCs/>
        </w:rPr>
        <w:t xml:space="preserve"> 4:260), it is unlikely that he would have thought </w:t>
      </w:r>
      <w:r>
        <w:rPr>
          <w:iCs/>
        </w:rPr>
        <w:t>an anthropology class</w:t>
      </w:r>
      <w:r w:rsidR="00E31A17">
        <w:rPr>
          <w:iCs/>
        </w:rPr>
        <w:t xml:space="preserve"> the appropriate forum for engaging with this issue (especially when his own </w:t>
      </w:r>
      <w:r>
        <w:rPr>
          <w:iCs/>
        </w:rPr>
        <w:t xml:space="preserve">final </w:t>
      </w:r>
      <w:r w:rsidR="00E31A17">
        <w:rPr>
          <w:iCs/>
        </w:rPr>
        <w:t xml:space="preserve">response to Hume had </w:t>
      </w:r>
      <w:r>
        <w:rPr>
          <w:iCs/>
        </w:rPr>
        <w:t xml:space="preserve">likely </w:t>
      </w:r>
      <w:r w:rsidR="00E31A17">
        <w:rPr>
          <w:iCs/>
        </w:rPr>
        <w:t>still to be worked out). That said,</w:t>
      </w:r>
      <w:r w:rsidR="00503B16">
        <w:rPr>
          <w:iCs/>
        </w:rPr>
        <w:t xml:space="preserve"> </w:t>
      </w:r>
      <w:r w:rsidR="00723BBF">
        <w:rPr>
          <w:iCs/>
        </w:rPr>
        <w:t xml:space="preserve">the A edition of the first </w:t>
      </w:r>
      <w:r w:rsidR="00503B16" w:rsidRPr="00723BBF">
        <w:rPr>
          <w:i/>
          <w:iCs/>
        </w:rPr>
        <w:t>Critique</w:t>
      </w:r>
      <w:r w:rsidR="00503B16">
        <w:rPr>
          <w:iCs/>
        </w:rPr>
        <w:t xml:space="preserve"> </w:t>
      </w:r>
      <w:r w:rsidR="00723BBF">
        <w:rPr>
          <w:iCs/>
        </w:rPr>
        <w:t xml:space="preserve">would prove </w:t>
      </w:r>
      <w:r w:rsidR="00503B16">
        <w:rPr>
          <w:iCs/>
        </w:rPr>
        <w:t>the</w:t>
      </w:r>
      <w:r w:rsidR="002A08AD">
        <w:rPr>
          <w:iCs/>
        </w:rPr>
        <w:t xml:space="preserve"> very</w:t>
      </w:r>
      <w:r w:rsidR="00503B16">
        <w:rPr>
          <w:iCs/>
        </w:rPr>
        <w:t xml:space="preserve"> place to address H</w:t>
      </w:r>
      <w:r w:rsidR="00723BBF">
        <w:rPr>
          <w:iCs/>
        </w:rPr>
        <w:t xml:space="preserve">ume’s </w:t>
      </w:r>
      <w:r w:rsidR="00503B16">
        <w:rPr>
          <w:iCs/>
        </w:rPr>
        <w:t xml:space="preserve">challenge and </w:t>
      </w:r>
      <w:r w:rsidR="00723BBF">
        <w:rPr>
          <w:iCs/>
        </w:rPr>
        <w:t>to vindicate his contention that the associative connections effected by the imagination are</w:t>
      </w:r>
      <w:r w:rsidR="00503B16">
        <w:rPr>
          <w:iCs/>
        </w:rPr>
        <w:t xml:space="preserve"> grounded on </w:t>
      </w:r>
      <w:r w:rsidR="00723BBF">
        <w:rPr>
          <w:iCs/>
        </w:rPr>
        <w:t xml:space="preserve">the actual </w:t>
      </w:r>
      <w:r w:rsidR="00A22922">
        <w:rPr>
          <w:iCs/>
        </w:rPr>
        <w:t xml:space="preserve">causal connection or </w:t>
      </w:r>
      <w:r w:rsidR="00503B16">
        <w:rPr>
          <w:iCs/>
        </w:rPr>
        <w:t>affinity</w:t>
      </w:r>
      <w:r w:rsidR="00723BBF">
        <w:rPr>
          <w:iCs/>
        </w:rPr>
        <w:t xml:space="preserve"> of the manifold and, thus,</w:t>
      </w:r>
      <w:r w:rsidR="00503B16">
        <w:rPr>
          <w:iCs/>
        </w:rPr>
        <w:t xml:space="preserve"> can serve as the basis for causal cognition</w:t>
      </w:r>
      <w:r w:rsidR="00A22922">
        <w:rPr>
          <w:iCs/>
        </w:rPr>
        <w:t xml:space="preserve"> involving association</w:t>
      </w:r>
      <w:r w:rsidR="00723BBF">
        <w:rPr>
          <w:iCs/>
        </w:rPr>
        <w:t xml:space="preserve">. Before considering Kant’s argument, we should note that much of Kant’s account of causal cognition as presented in the early student lecture notes on anthropology remains in place in the </w:t>
      </w:r>
      <w:proofErr w:type="spellStart"/>
      <w:r w:rsidR="00723BBF" w:rsidRPr="00A22922">
        <w:rPr>
          <w:i/>
          <w:iCs/>
        </w:rPr>
        <w:t>KrV</w:t>
      </w:r>
      <w:proofErr w:type="spellEnd"/>
      <w:r w:rsidR="00723BBF">
        <w:rPr>
          <w:iCs/>
        </w:rPr>
        <w:t xml:space="preserve">. So, and unsurprisingly, Kant continues to identify the law of association as the law of the imaginative faculty, affirming its </w:t>
      </w:r>
      <w:r w:rsidR="00723BBF">
        <w:t>status</w:t>
      </w:r>
      <w:r w:rsidR="00503B16">
        <w:t xml:space="preserve"> as a (merely) “empirical law” (A100)</w:t>
      </w:r>
      <w:r w:rsidR="00B83890">
        <w:t xml:space="preserve"> or an “empirical rule” (A112)</w:t>
      </w:r>
      <w:r w:rsidR="00723BBF">
        <w:t>.</w:t>
      </w:r>
      <w:r w:rsidR="00C4522E">
        <w:t xml:space="preserve"> </w:t>
      </w:r>
      <w:r w:rsidR="00EE54FF">
        <w:t>Insofar as this empirical law remains a property of the mind, Kant also identifies the “association of representations” as the “</w:t>
      </w:r>
      <w:r w:rsidR="00EE54FF" w:rsidRPr="00EE54FF">
        <w:rPr>
          <w:i/>
        </w:rPr>
        <w:t>subjective</w:t>
      </w:r>
      <w:r w:rsidR="00EE54FF">
        <w:t xml:space="preserve"> and empirical ground of reproduction” (A121—my emphasis). </w:t>
      </w:r>
    </w:p>
    <w:p w:rsidR="00503B16" w:rsidRPr="00B83890" w:rsidRDefault="00C4522E" w:rsidP="005F6567">
      <w:pPr>
        <w:spacing w:line="360" w:lineRule="auto"/>
        <w:ind w:firstLine="720"/>
        <w:rPr>
          <w:iCs/>
        </w:rPr>
      </w:pPr>
      <w:r>
        <w:lastRenderedPageBreak/>
        <w:t>Moreover, Kant continues to hold that, insofar as the associative connection effected by the imagination is to be suitable as a basis for causal cognition, it will be grounded upon the affinity of the manifold; thus Kant identifies (empirical) affinity as the “</w:t>
      </w:r>
      <w:r w:rsidRPr="00EE54FF">
        <w:rPr>
          <w:i/>
        </w:rPr>
        <w:t>objective</w:t>
      </w:r>
      <w:r>
        <w:t xml:space="preserve"> ground” of </w:t>
      </w:r>
      <w:r w:rsidR="00EE54FF">
        <w:t xml:space="preserve">associative connection </w:t>
      </w:r>
      <w:r>
        <w:t>(A121</w:t>
      </w:r>
      <w:r w:rsidR="00EE54FF">
        <w:t>—my emphasis</w:t>
      </w:r>
      <w:r>
        <w:t>) and likewise refers to it as the “ground of the possibility of the association of the manifold, insofar as it lies in the object” (A113).</w:t>
      </w:r>
      <w:r>
        <w:rPr>
          <w:rStyle w:val="FootnoteReference"/>
        </w:rPr>
        <w:footnoteReference w:id="25"/>
      </w:r>
      <w:r>
        <w:t xml:space="preserve"> </w:t>
      </w:r>
      <w:r w:rsidR="00B83890">
        <w:rPr>
          <w:iCs/>
        </w:rPr>
        <w:t xml:space="preserve">One important novelty in Kant’s account in the </w:t>
      </w:r>
      <w:proofErr w:type="spellStart"/>
      <w:r w:rsidR="00B83890" w:rsidRPr="00234FFC">
        <w:rPr>
          <w:i/>
          <w:iCs/>
        </w:rPr>
        <w:t>KrV</w:t>
      </w:r>
      <w:proofErr w:type="spellEnd"/>
      <w:r w:rsidR="00B83890">
        <w:rPr>
          <w:iCs/>
        </w:rPr>
        <w:t xml:space="preserve"> is that he now provides more detail concerning how, precisely, associative connections—what he had called an association of the understanding but now refers to as a “unity of association” (A121)</w:t>
      </w:r>
      <w:r w:rsidR="005F6567">
        <w:rPr>
          <w:iCs/>
        </w:rPr>
        <w:t xml:space="preserve">—find their </w:t>
      </w:r>
      <w:r w:rsidR="00C90A1B">
        <w:rPr>
          <w:iCs/>
        </w:rPr>
        <w:t>(</w:t>
      </w:r>
      <w:r w:rsidR="005F6567">
        <w:rPr>
          <w:iCs/>
        </w:rPr>
        <w:t>objective</w:t>
      </w:r>
      <w:r w:rsidR="00C90A1B">
        <w:rPr>
          <w:iCs/>
        </w:rPr>
        <w:t>)</w:t>
      </w:r>
      <w:r w:rsidR="005F6567">
        <w:rPr>
          <w:iCs/>
        </w:rPr>
        <w:t xml:space="preserve"> ground in the affinity of the manifold</w:t>
      </w:r>
      <w:r w:rsidR="00B83890">
        <w:rPr>
          <w:iCs/>
        </w:rPr>
        <w:t>. As Kant now explains, the</w:t>
      </w:r>
      <w:r w:rsidR="002E66DA">
        <w:rPr>
          <w:iCs/>
        </w:rPr>
        <w:t xml:space="preserve"> imagination’s activity </w:t>
      </w:r>
      <w:r w:rsidR="00B83890">
        <w:rPr>
          <w:iCs/>
        </w:rPr>
        <w:t xml:space="preserve">in reproducing representations in accordance with the law of association depends upon the </w:t>
      </w:r>
      <w:r w:rsidR="004A36A8">
        <w:rPr>
          <w:iCs/>
        </w:rPr>
        <w:t>fact</w:t>
      </w:r>
      <w:r w:rsidR="00B83890">
        <w:rPr>
          <w:iCs/>
        </w:rPr>
        <w:t xml:space="preserve"> that occurrences take place with sufficient regularity to trigger the associative mechanism on the part of the mind. As Kant writes, </w:t>
      </w:r>
    </w:p>
    <w:p w:rsidR="00723BBF" w:rsidRDefault="005F6567" w:rsidP="005F6567">
      <w:pPr>
        <w:spacing w:line="360" w:lineRule="auto"/>
        <w:ind w:left="720"/>
        <w:rPr>
          <w:iCs/>
        </w:rPr>
      </w:pPr>
      <w:r>
        <w:rPr>
          <w:iCs/>
        </w:rPr>
        <w:t>This law of reproduction, however, presupposes that the appearances are actually subject to such a rule, and that in the manifold of their representations an accompaniment or succession takes place according to certain rules; for without that our empirical imagination would never get to do anything suitable to its capacity, and would thus remain hidden in the interior of the mind like a dead, and to us unknown faculty. (A100)</w:t>
      </w:r>
    </w:p>
    <w:p w:rsidR="00723BBF" w:rsidRDefault="00C94AA9" w:rsidP="008E759B">
      <w:pPr>
        <w:spacing w:line="360" w:lineRule="auto"/>
        <w:rPr>
          <w:iCs/>
        </w:rPr>
      </w:pPr>
      <w:r>
        <w:rPr>
          <w:iCs/>
        </w:rPr>
        <w:t xml:space="preserve">As Kant famously illustrates using the example of cinnabar, were it the case that there were no regularity in its appearance (if it were sometimes red, at other times black, light at one point, heavy another), there would be no occasion for the imagination to effect associations between “heavy cinnabar” and “the colour red” (A101). </w:t>
      </w:r>
    </w:p>
    <w:p w:rsidR="00DB498A" w:rsidRDefault="00DB498A" w:rsidP="008E759B">
      <w:pPr>
        <w:spacing w:line="360" w:lineRule="auto"/>
        <w:rPr>
          <w:iCs/>
        </w:rPr>
      </w:pPr>
      <w:r>
        <w:rPr>
          <w:iCs/>
        </w:rPr>
        <w:tab/>
      </w:r>
      <w:r w:rsidR="006C5DB3">
        <w:rPr>
          <w:iCs/>
        </w:rPr>
        <w:t>This allows us to</w:t>
      </w:r>
      <w:r>
        <w:rPr>
          <w:iCs/>
        </w:rPr>
        <w:t xml:space="preserve"> fill in some of the details of Kant’s account of ordinary causal cognition</w:t>
      </w:r>
      <w:r w:rsidR="00C90A1B">
        <w:rPr>
          <w:iCs/>
        </w:rPr>
        <w:t xml:space="preserve"> outlined in the anthropology lectures</w:t>
      </w:r>
      <w:r>
        <w:rPr>
          <w:iCs/>
        </w:rPr>
        <w:t xml:space="preserve">. </w:t>
      </w:r>
      <w:r w:rsidR="006C5DB3">
        <w:rPr>
          <w:iCs/>
        </w:rPr>
        <w:t xml:space="preserve">Setting out from the assumption of the affinity of the manifold of objects (appearances), which is to say, the assumption that “they stand under constant laws and </w:t>
      </w:r>
      <w:r w:rsidR="006C5DB3">
        <w:rPr>
          <w:i/>
          <w:iCs/>
        </w:rPr>
        <w:t>must</w:t>
      </w:r>
      <w:r w:rsidR="006C5DB3">
        <w:rPr>
          <w:iCs/>
        </w:rPr>
        <w:t xml:space="preserve"> belong under them” (A113), this supplies the objective ground for the imagination’s activity. The apprehension of a regular accompaniment or succession among appearances triggers the imagination to act in accordance with the law of association (the so-called </w:t>
      </w:r>
      <w:r w:rsidR="00C90A1B">
        <w:rPr>
          <w:iCs/>
        </w:rPr>
        <w:t>“</w:t>
      </w:r>
      <w:r w:rsidR="006C5DB3">
        <w:rPr>
          <w:iCs/>
        </w:rPr>
        <w:t>subjective</w:t>
      </w:r>
      <w:r w:rsidR="00C90A1B">
        <w:rPr>
          <w:iCs/>
        </w:rPr>
        <w:t>”</w:t>
      </w:r>
      <w:r w:rsidR="006C5DB3">
        <w:rPr>
          <w:iCs/>
        </w:rPr>
        <w:t xml:space="preserve"> ground of its activity) to effect a connection among the representations. When the connection among appearances is sufficiently constant, the bond effected by the </w:t>
      </w:r>
      <w:r w:rsidR="002E66DA">
        <w:rPr>
          <w:iCs/>
        </w:rPr>
        <w:t>imagination comes to constitute</w:t>
      </w:r>
      <w:r w:rsidR="00EE39FD">
        <w:rPr>
          <w:iCs/>
        </w:rPr>
        <w:t xml:space="preserve"> something like</w:t>
      </w:r>
      <w:r w:rsidR="006C5DB3">
        <w:rPr>
          <w:iCs/>
        </w:rPr>
        <w:t xml:space="preserve"> a </w:t>
      </w:r>
      <w:r w:rsidR="002E66DA">
        <w:rPr>
          <w:iCs/>
        </w:rPr>
        <w:t>rule</w:t>
      </w:r>
      <w:r w:rsidR="006C5DB3">
        <w:rPr>
          <w:iCs/>
        </w:rPr>
        <w:t xml:space="preserve"> as Kant himself explains:</w:t>
      </w:r>
    </w:p>
    <w:p w:rsidR="005F6567" w:rsidRDefault="006C5DB3" w:rsidP="00E92388">
      <w:pPr>
        <w:spacing w:line="360" w:lineRule="auto"/>
        <w:ind w:left="720"/>
        <w:rPr>
          <w:iCs/>
        </w:rPr>
      </w:pPr>
      <w:r>
        <w:rPr>
          <w:iCs/>
        </w:rPr>
        <w:lastRenderedPageBreak/>
        <w:t xml:space="preserve">It is, to be sure, a merely empirical law in accordance with which representations that have often followed or accompanied one another are finally associated with each other and thereby placed in a connection in accordance with which, even without the presence of the object, one of these representations brings </w:t>
      </w:r>
      <w:r w:rsidR="00F572DE">
        <w:rPr>
          <w:iCs/>
        </w:rPr>
        <w:t>about a transition of the mind to the other in accordance with a constant rule (A100)</w:t>
      </w:r>
    </w:p>
    <w:p w:rsidR="00E92388" w:rsidRDefault="002E66DA" w:rsidP="008E759B">
      <w:pPr>
        <w:spacing w:line="360" w:lineRule="auto"/>
        <w:rPr>
          <w:iCs/>
        </w:rPr>
      </w:pPr>
      <w:r>
        <w:rPr>
          <w:iCs/>
        </w:rPr>
        <w:t>The “rule</w:t>
      </w:r>
      <w:r w:rsidR="00E92388">
        <w:rPr>
          <w:iCs/>
        </w:rPr>
        <w:t>”</w:t>
      </w:r>
      <w:r>
        <w:rPr>
          <w:iCs/>
        </w:rPr>
        <w:t xml:space="preserve"> involved in the transition of the mind effected by the imagination,</w:t>
      </w:r>
      <w:r w:rsidR="00E92388">
        <w:rPr>
          <w:iCs/>
        </w:rPr>
        <w:t xml:space="preserve"> as Kant goes on to point out, is</w:t>
      </w:r>
      <w:r w:rsidR="00EE39FD">
        <w:rPr>
          <w:iCs/>
        </w:rPr>
        <w:t xml:space="preserve"> grounded on a</w:t>
      </w:r>
      <w:r w:rsidR="00E92388">
        <w:rPr>
          <w:iCs/>
        </w:rPr>
        <w:t xml:space="preserve"> rule “that the appearances themselves are actually subject to” (A100; </w:t>
      </w:r>
      <w:proofErr w:type="spellStart"/>
      <w:r w:rsidR="00E92388">
        <w:rPr>
          <w:iCs/>
        </w:rPr>
        <w:t>cf</w:t>
      </w:r>
      <w:proofErr w:type="spellEnd"/>
      <w:r w:rsidR="00E92388">
        <w:rPr>
          <w:iCs/>
        </w:rPr>
        <w:t xml:space="preserve"> also A101: “a certain rule to which the appearances are already subjected”</w:t>
      </w:r>
      <w:r w:rsidR="00EE39FD">
        <w:rPr>
          <w:iCs/>
        </w:rPr>
        <w:t>)</w:t>
      </w:r>
      <w:r w:rsidR="00541D8C">
        <w:rPr>
          <w:iCs/>
        </w:rPr>
        <w:t>.</w:t>
      </w:r>
      <w:r w:rsidR="00B26899">
        <w:rPr>
          <w:iCs/>
        </w:rPr>
        <w:t xml:space="preserve"> With this transition among representations in accordance with a constant rule established, the</w:t>
      </w:r>
      <w:r w:rsidR="008E1433">
        <w:rPr>
          <w:iCs/>
        </w:rPr>
        <w:t>re is nothing preventing the</w:t>
      </w:r>
      <w:r w:rsidR="00B26899">
        <w:rPr>
          <w:iCs/>
        </w:rPr>
        <w:t xml:space="preserve"> resulting associative connection </w:t>
      </w:r>
      <w:r w:rsidR="008E1433">
        <w:rPr>
          <w:iCs/>
        </w:rPr>
        <w:t>from being subsumed</w:t>
      </w:r>
      <w:r w:rsidR="00B26899">
        <w:rPr>
          <w:iCs/>
        </w:rPr>
        <w:t xml:space="preserve"> under the schema of causality, which Kant defines in terms of “the real upon which, whenever it is posited, something else always follows” and which therefore “consists in the succession of the manifold insofar as it is subject to a rule” (A144/B183). </w:t>
      </w:r>
    </w:p>
    <w:p w:rsidR="00EE6271" w:rsidRDefault="008B69B3" w:rsidP="00EE6271">
      <w:pPr>
        <w:spacing w:line="360" w:lineRule="auto"/>
        <w:rPr>
          <w:iCs/>
        </w:rPr>
      </w:pPr>
      <w:r>
        <w:rPr>
          <w:iCs/>
        </w:rPr>
        <w:tab/>
      </w:r>
      <w:r w:rsidR="00820D36">
        <w:rPr>
          <w:iCs/>
        </w:rPr>
        <w:t>This sketch, of course, leaves out a number of the crucial details of Kant’s account, such as (to name only one) how we can distinguish in practice between associations that are suitably grounded and those (merely subjective) associations that are not (since they are not likely to be distinguished in terms of the feeling of necessity involved). Even so, o</w:t>
      </w:r>
      <w:r>
        <w:rPr>
          <w:iCs/>
        </w:rPr>
        <w:t>n the basis of this outline we can</w:t>
      </w:r>
      <w:r w:rsidR="00C90A1B">
        <w:rPr>
          <w:iCs/>
        </w:rPr>
        <w:t xml:space="preserve"> </w:t>
      </w:r>
      <w:r>
        <w:rPr>
          <w:iCs/>
        </w:rPr>
        <w:t xml:space="preserve">see the specific challenge Kant would have taken Hume’s scepticism regarding the basis of our knowledge of causation to pose. </w:t>
      </w:r>
      <w:r w:rsidR="0066498C">
        <w:rPr>
          <w:iCs/>
        </w:rPr>
        <w:t>In Kantian terms, Hume’s challenge to our certainty concerning the uniformity of nature amounts to a challenge to the (empirical) affinity of the manifold. Of course, Hume does not dispute that we do in fact assume a regularity among natural occurrences, but</w:t>
      </w:r>
      <w:r w:rsidR="00AE1D0E">
        <w:rPr>
          <w:iCs/>
        </w:rPr>
        <w:t xml:space="preserve"> that appearances are subject to laws that govern them would be</w:t>
      </w:r>
      <w:r w:rsidR="0066498C">
        <w:rPr>
          <w:iCs/>
        </w:rPr>
        <w:t>, at best, a contingent matter of fact</w:t>
      </w:r>
      <w:r w:rsidR="001C5CE9">
        <w:rPr>
          <w:iCs/>
        </w:rPr>
        <w:t xml:space="preserve">. Kant, however, </w:t>
      </w:r>
      <w:r w:rsidR="00A04650">
        <w:rPr>
          <w:iCs/>
        </w:rPr>
        <w:t xml:space="preserve">sets </w:t>
      </w:r>
      <w:r w:rsidR="00C21CE1">
        <w:rPr>
          <w:iCs/>
        </w:rPr>
        <w:t xml:space="preserve">the bar for affinity </w:t>
      </w:r>
      <w:r w:rsidR="00C90A1B">
        <w:rPr>
          <w:iCs/>
        </w:rPr>
        <w:t xml:space="preserve">considerably </w:t>
      </w:r>
      <w:r w:rsidR="009244E1">
        <w:rPr>
          <w:iCs/>
        </w:rPr>
        <w:t xml:space="preserve">higher </w:t>
      </w:r>
      <w:r w:rsidR="00C21CE1">
        <w:rPr>
          <w:iCs/>
        </w:rPr>
        <w:t>tha</w:t>
      </w:r>
      <w:r w:rsidR="004A36A8">
        <w:rPr>
          <w:iCs/>
        </w:rPr>
        <w:t>n</w:t>
      </w:r>
      <w:r w:rsidR="00C21CE1">
        <w:rPr>
          <w:iCs/>
        </w:rPr>
        <w:t xml:space="preserve"> </w:t>
      </w:r>
      <w:proofErr w:type="spellStart"/>
      <w:r w:rsidR="00C21CE1">
        <w:rPr>
          <w:iCs/>
        </w:rPr>
        <w:t>Humean</w:t>
      </w:r>
      <w:proofErr w:type="spellEnd"/>
      <w:r w:rsidR="00C21CE1">
        <w:rPr>
          <w:iCs/>
        </w:rPr>
        <w:t xml:space="preserve"> regularity if that</w:t>
      </w:r>
      <w:r w:rsidR="009244E1">
        <w:rPr>
          <w:iCs/>
        </w:rPr>
        <w:t xml:space="preserve"> </w:t>
      </w:r>
      <w:r w:rsidR="001C5CE9">
        <w:rPr>
          <w:iCs/>
        </w:rPr>
        <w:t xml:space="preserve">affinity </w:t>
      </w:r>
      <w:r w:rsidR="00C21CE1">
        <w:rPr>
          <w:iCs/>
        </w:rPr>
        <w:t>is</w:t>
      </w:r>
      <w:r w:rsidR="001240D0">
        <w:rPr>
          <w:iCs/>
        </w:rPr>
        <w:t xml:space="preserve"> </w:t>
      </w:r>
      <w:r w:rsidR="009244E1">
        <w:rPr>
          <w:iCs/>
        </w:rPr>
        <w:t xml:space="preserve">to serve as the </w:t>
      </w:r>
      <w:r w:rsidR="001C5CE9">
        <w:rPr>
          <w:iCs/>
        </w:rPr>
        <w:t>objective ground for the sorts of associations that might count as genuinely causal cognitions; as he writes, “[f]or even though we had the faculty for associating perceptions [if we lacked an objective ground] it would still remain in itself entirely undetermined and contingent whether they were also associable” (A121</w:t>
      </w:r>
      <w:r w:rsidR="007A7FB6">
        <w:rPr>
          <w:iCs/>
        </w:rPr>
        <w:t>–</w:t>
      </w:r>
      <w:r w:rsidR="001C5CE9">
        <w:rPr>
          <w:iCs/>
        </w:rPr>
        <w:t xml:space="preserve">2). For Kant, and </w:t>
      </w:r>
      <w:r w:rsidR="00C90A1B">
        <w:rPr>
          <w:iCs/>
        </w:rPr>
        <w:t>presumably</w:t>
      </w:r>
      <w:r w:rsidR="001C5CE9">
        <w:rPr>
          <w:iCs/>
        </w:rPr>
        <w:t xml:space="preserve"> for Hume, accepting that the regularity of appearances cannot be known to hold </w:t>
      </w:r>
      <w:r w:rsidR="001C5CE9">
        <w:rPr>
          <w:i/>
          <w:iCs/>
        </w:rPr>
        <w:t>a priori</w:t>
      </w:r>
      <w:r w:rsidR="001C5CE9">
        <w:rPr>
          <w:iCs/>
        </w:rPr>
        <w:t xml:space="preserve"> has the consequence that the resulting associative connections formed by the mind on the basis of observed (contingent) regularities </w:t>
      </w:r>
      <w:r w:rsidR="00C90A1B">
        <w:rPr>
          <w:iCs/>
        </w:rPr>
        <w:t xml:space="preserve">would </w:t>
      </w:r>
      <w:r w:rsidR="001C5CE9">
        <w:rPr>
          <w:iCs/>
        </w:rPr>
        <w:t xml:space="preserve">fall well short of what is required for causal cognition. </w:t>
      </w:r>
      <w:r w:rsidR="006A0B69">
        <w:rPr>
          <w:iCs/>
        </w:rPr>
        <w:t>By contrast, Kant insists that in order for such</w:t>
      </w:r>
      <w:r w:rsidR="001C5CE9">
        <w:rPr>
          <w:iCs/>
        </w:rPr>
        <w:t xml:space="preserve"> connections </w:t>
      </w:r>
      <w:r w:rsidR="006A0B69">
        <w:rPr>
          <w:iCs/>
        </w:rPr>
        <w:t xml:space="preserve">to constitute an appropriate objective ground of association, it does not suffice to show that the manifold is as a matter of fact subject to connection in accordance with a rule, but </w:t>
      </w:r>
      <w:r w:rsidR="006A0B69">
        <w:rPr>
          <w:iCs/>
        </w:rPr>
        <w:lastRenderedPageBreak/>
        <w:t xml:space="preserve">that it </w:t>
      </w:r>
      <w:r w:rsidR="006A0B69">
        <w:rPr>
          <w:i/>
          <w:iCs/>
        </w:rPr>
        <w:t xml:space="preserve">must </w:t>
      </w:r>
      <w:r w:rsidR="006A0B69">
        <w:rPr>
          <w:iCs/>
        </w:rPr>
        <w:t xml:space="preserve">be so subject; thus, he emphasizes that associations must be in accordance with </w:t>
      </w:r>
      <w:r w:rsidR="001C5CE9">
        <w:rPr>
          <w:iCs/>
        </w:rPr>
        <w:t>a “</w:t>
      </w:r>
      <w:r w:rsidR="001C5CE9">
        <w:rPr>
          <w:i/>
          <w:iCs/>
        </w:rPr>
        <w:t>constant</w:t>
      </w:r>
      <w:r w:rsidR="008C6B07">
        <w:rPr>
          <w:iCs/>
        </w:rPr>
        <w:t xml:space="preserve">” </w:t>
      </w:r>
      <w:r w:rsidR="00997C9E">
        <w:rPr>
          <w:iCs/>
        </w:rPr>
        <w:t>or a “</w:t>
      </w:r>
      <w:r w:rsidR="00997C9E" w:rsidRPr="008C6B07">
        <w:rPr>
          <w:i/>
          <w:iCs/>
        </w:rPr>
        <w:t>certain</w:t>
      </w:r>
      <w:r w:rsidR="00997C9E">
        <w:rPr>
          <w:iCs/>
        </w:rPr>
        <w:t xml:space="preserve"> [</w:t>
      </w:r>
      <w:proofErr w:type="spellStart"/>
      <w:r w:rsidR="00997C9E">
        <w:rPr>
          <w:i/>
          <w:iCs/>
        </w:rPr>
        <w:t>gewisse</w:t>
      </w:r>
      <w:proofErr w:type="spellEnd"/>
      <w:r w:rsidR="00997C9E">
        <w:rPr>
          <w:iCs/>
        </w:rPr>
        <w:t>]</w:t>
      </w:r>
      <w:r w:rsidR="008C6B07">
        <w:rPr>
          <w:iCs/>
        </w:rPr>
        <w:t>”</w:t>
      </w:r>
      <w:r w:rsidR="00997C9E">
        <w:rPr>
          <w:iCs/>
        </w:rPr>
        <w:t xml:space="preserve"> rule (A10</w:t>
      </w:r>
      <w:r w:rsidR="008C6B07">
        <w:rPr>
          <w:iCs/>
        </w:rPr>
        <w:t>0, 10</w:t>
      </w:r>
      <w:r w:rsidR="00997C9E">
        <w:rPr>
          <w:iCs/>
        </w:rPr>
        <w:t>1</w:t>
      </w:r>
      <w:r w:rsidR="008C6B07">
        <w:rPr>
          <w:iCs/>
        </w:rPr>
        <w:t>—my emphases</w:t>
      </w:r>
      <w:r w:rsidR="00997C9E">
        <w:rPr>
          <w:iCs/>
        </w:rPr>
        <w:t>)</w:t>
      </w:r>
      <w:r w:rsidR="006A0B69">
        <w:rPr>
          <w:iCs/>
        </w:rPr>
        <w:t>. Yet, i</w:t>
      </w:r>
      <w:r w:rsidR="00C90A1B">
        <w:rPr>
          <w:iCs/>
        </w:rPr>
        <w:t>nsofar</w:t>
      </w:r>
      <w:r w:rsidR="00A8015B">
        <w:rPr>
          <w:iCs/>
        </w:rPr>
        <w:t xml:space="preserve"> as we cannot know </w:t>
      </w:r>
      <w:r w:rsidR="00A8015B">
        <w:rPr>
          <w:i/>
          <w:iCs/>
        </w:rPr>
        <w:t>a priori</w:t>
      </w:r>
      <w:r w:rsidR="00A8015B">
        <w:rPr>
          <w:iCs/>
        </w:rPr>
        <w:t xml:space="preserve"> that the ma</w:t>
      </w:r>
      <w:r w:rsidR="00006A5D">
        <w:rPr>
          <w:iCs/>
        </w:rPr>
        <w:t>nifold is subject to connection</w:t>
      </w:r>
      <w:r w:rsidR="00A8015B">
        <w:rPr>
          <w:iCs/>
        </w:rPr>
        <w:t xml:space="preserve"> in accordance with rules,</w:t>
      </w:r>
      <w:r w:rsidR="00534689">
        <w:rPr>
          <w:iCs/>
        </w:rPr>
        <w:t xml:space="preserve"> that is, we cannot know that the manifold </w:t>
      </w:r>
      <w:r w:rsidR="00534689" w:rsidRPr="00534689">
        <w:rPr>
          <w:i/>
          <w:iCs/>
        </w:rPr>
        <w:t>must</w:t>
      </w:r>
      <w:r w:rsidR="00534689">
        <w:rPr>
          <w:iCs/>
        </w:rPr>
        <w:t xml:space="preserve"> be subject to such connection, </w:t>
      </w:r>
      <w:r w:rsidR="00A8015B">
        <w:rPr>
          <w:iCs/>
        </w:rPr>
        <w:t>then we have no warrant for taking the associative connections framed by the mind to have their ground in anything more than a</w:t>
      </w:r>
      <w:r w:rsidR="0010066A">
        <w:rPr>
          <w:iCs/>
        </w:rPr>
        <w:t xml:space="preserve"> mere contingent regularity and, thus, to</w:t>
      </w:r>
      <w:r w:rsidR="00CE48D8">
        <w:rPr>
          <w:iCs/>
        </w:rPr>
        <w:t xml:space="preserve"> </w:t>
      </w:r>
      <w:r w:rsidR="00C90A1B">
        <w:rPr>
          <w:iCs/>
        </w:rPr>
        <w:t xml:space="preserve">fall short of what is required for </w:t>
      </w:r>
      <w:r w:rsidR="0010066A">
        <w:rPr>
          <w:iCs/>
        </w:rPr>
        <w:t>a cognition of causal connection.</w:t>
      </w:r>
      <w:r w:rsidR="00EE6271">
        <w:rPr>
          <w:iCs/>
        </w:rPr>
        <w:t xml:space="preserve"> </w:t>
      </w:r>
    </w:p>
    <w:p w:rsidR="00C448C8" w:rsidRDefault="00CE4677" w:rsidP="00EE6271">
      <w:pPr>
        <w:spacing w:line="360" w:lineRule="auto"/>
        <w:rPr>
          <w:iCs/>
        </w:rPr>
      </w:pPr>
      <w:r>
        <w:rPr>
          <w:iCs/>
        </w:rPr>
        <w:tab/>
      </w:r>
      <w:r w:rsidR="00EE6271">
        <w:rPr>
          <w:iCs/>
        </w:rPr>
        <w:t>Ultimately, then, in order to defend his account of causal cognition, and his claim that the associative connection effected among representa</w:t>
      </w:r>
      <w:r>
        <w:rPr>
          <w:iCs/>
        </w:rPr>
        <w:t>tions has its ground in a rule-governed connection among the manifold of app</w:t>
      </w:r>
      <w:r w:rsidR="00B779B2">
        <w:rPr>
          <w:iCs/>
        </w:rPr>
        <w:t xml:space="preserve">earances, Kant turns to demonstrating the </w:t>
      </w:r>
      <w:r w:rsidR="00E406E6">
        <w:rPr>
          <w:iCs/>
        </w:rPr>
        <w:t>possibility</w:t>
      </w:r>
      <w:r w:rsidR="00B779B2">
        <w:rPr>
          <w:iCs/>
        </w:rPr>
        <w:t xml:space="preserve"> of “the thoroughgoing affinity of the appearances (by means of which they stand under constant laws and </w:t>
      </w:r>
      <w:r w:rsidR="00B779B2">
        <w:rPr>
          <w:i/>
          <w:iCs/>
        </w:rPr>
        <w:t>must</w:t>
      </w:r>
      <w:r w:rsidR="00B779B2">
        <w:rPr>
          <w:iCs/>
        </w:rPr>
        <w:t xml:space="preserve"> belong under them)” (A113). </w:t>
      </w:r>
      <w:r w:rsidR="00A04650">
        <w:rPr>
          <w:iCs/>
        </w:rPr>
        <w:t xml:space="preserve">In the ensuing paragraph, </w:t>
      </w:r>
      <w:r w:rsidR="00C448C8">
        <w:rPr>
          <w:iCs/>
        </w:rPr>
        <w:t xml:space="preserve">Kant proceeds to summarize his argument which I will </w:t>
      </w:r>
      <w:r w:rsidR="002353F5">
        <w:rPr>
          <w:iCs/>
        </w:rPr>
        <w:t>divide into th</w:t>
      </w:r>
      <w:r w:rsidR="00387212">
        <w:rPr>
          <w:iCs/>
        </w:rPr>
        <w:t>ree steps</w:t>
      </w:r>
      <w:r w:rsidR="00C21CE1">
        <w:rPr>
          <w:iCs/>
        </w:rPr>
        <w:t xml:space="preserve"> and briefly discuss</w:t>
      </w:r>
      <w:r w:rsidR="00387212">
        <w:rPr>
          <w:iCs/>
        </w:rPr>
        <w:t>.</w:t>
      </w:r>
      <w:r w:rsidR="00A04650">
        <w:rPr>
          <w:rStyle w:val="FootnoteReference"/>
          <w:iCs/>
        </w:rPr>
        <w:footnoteReference w:id="26"/>
      </w:r>
      <w:r w:rsidR="00387212">
        <w:rPr>
          <w:iCs/>
        </w:rPr>
        <w:t xml:space="preserve"> Kant begins, as might be expected, by noting that for every manifold of representations that might be something for me it is necessarily possible for us to be conscious of it; inasmuch as Kant takes this consciousness to involve thinking the identity of the subject with respect to a given manifold of representations:</w:t>
      </w:r>
    </w:p>
    <w:p w:rsidR="00C448C8" w:rsidRDefault="00C448C8" w:rsidP="00387212">
      <w:pPr>
        <w:spacing w:line="360" w:lineRule="auto"/>
        <w:ind w:left="720"/>
        <w:rPr>
          <w:iCs/>
        </w:rPr>
      </w:pPr>
      <w:r>
        <w:rPr>
          <w:iCs/>
        </w:rPr>
        <w:t xml:space="preserve">All possible appearances belong, as representations, to the whole possible self-consciousness. But from this, as a transcendental representation, numerical identity is inseparable, and certain </w:t>
      </w:r>
      <w:r>
        <w:rPr>
          <w:i/>
          <w:iCs/>
        </w:rPr>
        <w:t>a priori</w:t>
      </w:r>
      <w:r>
        <w:rPr>
          <w:iCs/>
        </w:rPr>
        <w:t xml:space="preserve">, because nothing can come into cognition except by means of this original apperception. </w:t>
      </w:r>
    </w:p>
    <w:p w:rsidR="00C448C8" w:rsidRPr="00DB0C5A" w:rsidRDefault="00DB0C5A" w:rsidP="00EE6271">
      <w:pPr>
        <w:spacing w:line="360" w:lineRule="auto"/>
        <w:rPr>
          <w:iCs/>
        </w:rPr>
      </w:pPr>
      <w:r>
        <w:rPr>
          <w:iCs/>
        </w:rPr>
        <w:t>The connection here is late</w:t>
      </w:r>
      <w:r w:rsidR="004A36A8">
        <w:rPr>
          <w:iCs/>
        </w:rPr>
        <w:t>r clarified by Kant, since</w:t>
      </w:r>
      <w:r>
        <w:rPr>
          <w:iCs/>
        </w:rPr>
        <w:t xml:space="preserve"> </w:t>
      </w:r>
      <w:r w:rsidRPr="008464ED">
        <w:t>“only because I ascribe all perceptions to one consciousness (of original apperception) can I say of all perceptions that I am conscious of them” (A122)</w:t>
      </w:r>
      <w:r>
        <w:t xml:space="preserve">. </w:t>
      </w:r>
      <w:r>
        <w:rPr>
          <w:iCs/>
        </w:rPr>
        <w:t xml:space="preserve">Kant then proceeds to consider what this ascription to a single, identical subject implies with respect to the manifold, and he contends that it necessitates a synthesis of that manifold (since we think the relation of the manifold to the same subject) but, insofar as this is just to introduce a unity into the manifold (the unity of the identical subject), it also implies that for any manifold of representations it must be possible for it to be brought into a synthetic unity (where, because this unity stems from the identity of apperception, this amounts to an </w:t>
      </w:r>
      <w:r>
        <w:rPr>
          <w:i/>
          <w:iCs/>
        </w:rPr>
        <w:t>a priori</w:t>
      </w:r>
      <w:r>
        <w:rPr>
          <w:iCs/>
        </w:rPr>
        <w:t xml:space="preserve"> condition):</w:t>
      </w:r>
    </w:p>
    <w:p w:rsidR="00EE6271" w:rsidRPr="00C448C8" w:rsidRDefault="00C448C8" w:rsidP="00DB0C5A">
      <w:pPr>
        <w:spacing w:line="360" w:lineRule="auto"/>
        <w:ind w:left="720"/>
        <w:rPr>
          <w:iCs/>
        </w:rPr>
      </w:pPr>
      <w:r>
        <w:rPr>
          <w:iCs/>
        </w:rPr>
        <w:t xml:space="preserve">Now since this identity must necessarily enter into the synthesis of all the manifold of appearances insofar as they are to become empirical cognition, the appearances are thus </w:t>
      </w:r>
      <w:r>
        <w:rPr>
          <w:iCs/>
        </w:rPr>
        <w:lastRenderedPageBreak/>
        <w:t xml:space="preserve">subject to </w:t>
      </w:r>
      <w:r>
        <w:rPr>
          <w:i/>
          <w:iCs/>
        </w:rPr>
        <w:t>a priori</w:t>
      </w:r>
      <w:r>
        <w:rPr>
          <w:iCs/>
        </w:rPr>
        <w:t xml:space="preserve"> conditions with which their synthesis (of apprehension) must be in thoroughgoing accord. </w:t>
      </w:r>
    </w:p>
    <w:p w:rsidR="00CE4677" w:rsidRPr="008C4FA6" w:rsidRDefault="008C4FA6" w:rsidP="008E759B">
      <w:pPr>
        <w:spacing w:line="360" w:lineRule="auto"/>
        <w:rPr>
          <w:iCs/>
        </w:rPr>
      </w:pPr>
      <w:r>
        <w:rPr>
          <w:iCs/>
        </w:rPr>
        <w:t>That Kant mentions “</w:t>
      </w:r>
      <w:r>
        <w:rPr>
          <w:i/>
          <w:iCs/>
        </w:rPr>
        <w:t>a priori</w:t>
      </w:r>
      <w:r>
        <w:rPr>
          <w:iCs/>
        </w:rPr>
        <w:t xml:space="preserve"> conditions” here is, of course, a reference to the categories which, as functions of the understanding are just ways in which a given manifold of representation can be brought to the unity of apperception, that is, different ways of thinking the manifold in relation to the identity of consciousness (cf. A119). This is to say that the manifold of representations, insofar as it belongs to a possible self-consciousness, is necessarily subject to connection in light of the categories (including causality), a conclusion that Kant</w:t>
      </w:r>
      <w:r w:rsidR="004A36A8">
        <w:rPr>
          <w:iCs/>
        </w:rPr>
        <w:t xml:space="preserve"> here</w:t>
      </w:r>
      <w:r>
        <w:rPr>
          <w:iCs/>
        </w:rPr>
        <w:t xml:space="preserve"> glosses in terms of the manifold being subject to connection by </w:t>
      </w:r>
      <w:r>
        <w:rPr>
          <w:i/>
          <w:iCs/>
        </w:rPr>
        <w:t>laws</w:t>
      </w:r>
      <w:r>
        <w:rPr>
          <w:iCs/>
        </w:rPr>
        <w:t>:</w:t>
      </w:r>
    </w:p>
    <w:p w:rsidR="00C448C8" w:rsidRDefault="00C448C8" w:rsidP="008C4FA6">
      <w:pPr>
        <w:spacing w:line="360" w:lineRule="auto"/>
        <w:ind w:left="720"/>
        <w:rPr>
          <w:iCs/>
        </w:rPr>
      </w:pPr>
      <w:r>
        <w:rPr>
          <w:iCs/>
        </w:rPr>
        <w:t xml:space="preserve">Now, however, the representation of a universal condition in accordance with which a certain manifold (of whatever kind) </w:t>
      </w:r>
      <w:r>
        <w:rPr>
          <w:i/>
          <w:iCs/>
        </w:rPr>
        <w:t xml:space="preserve">can </w:t>
      </w:r>
      <w:r>
        <w:rPr>
          <w:iCs/>
        </w:rPr>
        <w:t xml:space="preserve">be posited is called a </w:t>
      </w:r>
      <w:r>
        <w:rPr>
          <w:i/>
          <w:iCs/>
        </w:rPr>
        <w:t>rule</w:t>
      </w:r>
      <w:r>
        <w:rPr>
          <w:iCs/>
        </w:rPr>
        <w:t xml:space="preserve">, and, if it </w:t>
      </w:r>
      <w:r>
        <w:rPr>
          <w:i/>
          <w:iCs/>
        </w:rPr>
        <w:t xml:space="preserve">must </w:t>
      </w:r>
      <w:r>
        <w:rPr>
          <w:iCs/>
        </w:rPr>
        <w:t xml:space="preserve">be so posited, a </w:t>
      </w:r>
      <w:r>
        <w:rPr>
          <w:i/>
          <w:iCs/>
        </w:rPr>
        <w:t>law</w:t>
      </w:r>
      <w:r>
        <w:rPr>
          <w:iCs/>
        </w:rPr>
        <w:t xml:space="preserve">. </w:t>
      </w:r>
    </w:p>
    <w:p w:rsidR="008C4FA6" w:rsidRDefault="00176B97" w:rsidP="008E759B">
      <w:pPr>
        <w:spacing w:line="360" w:lineRule="auto"/>
        <w:rPr>
          <w:iCs/>
        </w:rPr>
      </w:pPr>
      <w:r>
        <w:rPr>
          <w:iCs/>
        </w:rPr>
        <w:t xml:space="preserve">The conclusion, then, is that the manifold is necessarily subject, in virtue of belonging to self-consciousness, to connection in accordance with laws, and it is this fact that Kant now dubs </w:t>
      </w:r>
      <w:r>
        <w:rPr>
          <w:i/>
          <w:iCs/>
        </w:rPr>
        <w:t>transcendental affinity</w:t>
      </w:r>
      <w:r>
        <w:rPr>
          <w:iCs/>
        </w:rPr>
        <w:t xml:space="preserve"> (A114). </w:t>
      </w:r>
    </w:p>
    <w:p w:rsidR="00C5515B" w:rsidRDefault="00176B97" w:rsidP="008E759B">
      <w:pPr>
        <w:spacing w:line="360" w:lineRule="auto"/>
        <w:rPr>
          <w:iCs/>
        </w:rPr>
      </w:pPr>
      <w:r>
        <w:rPr>
          <w:iCs/>
        </w:rPr>
        <w:tab/>
      </w:r>
      <w:r w:rsidR="00A609B2">
        <w:rPr>
          <w:iCs/>
        </w:rPr>
        <w:t xml:space="preserve">Despite Kant’s insistence that the supposition of transcendental affinity </w:t>
      </w:r>
      <w:r w:rsidR="004A36A8">
        <w:rPr>
          <w:iCs/>
        </w:rPr>
        <w:t>h</w:t>
      </w:r>
      <w:r w:rsidR="00A609B2">
        <w:rPr>
          <w:iCs/>
        </w:rPr>
        <w:t>as empirical affinity as its consequence (A114), it is not immediately evident how this provides anything more than a (further) subjective ground for the imagination’s activity rather than accounting for the possibility of its sought-for objective ground. Indeed, Kant seems to court this objection when he claims that this affinity cannot be encountered “anywhere except in the principle of the unity of apperception” (A122).</w:t>
      </w:r>
      <w:r w:rsidR="00C07B98">
        <w:rPr>
          <w:iCs/>
        </w:rPr>
        <w:t xml:space="preserve"> What in any case enables transcendental affinity to fulfill this demand is Kant’s transcendental idealism, and specifically, his reconsideration of the notion of objectivity</w:t>
      </w:r>
      <w:r w:rsidR="00C21CE1">
        <w:rPr>
          <w:iCs/>
        </w:rPr>
        <w:t xml:space="preserve"> </w:t>
      </w:r>
      <w:r w:rsidR="00C07B98">
        <w:rPr>
          <w:iCs/>
        </w:rPr>
        <w:t xml:space="preserve">(cf. A104ff), in accordance with which what it means to think the relation of a manifold of representations to an object is just to show the necessity of unity for that manifold, “i.e., they </w:t>
      </w:r>
      <w:r w:rsidR="00C07B98">
        <w:rPr>
          <w:i/>
          <w:iCs/>
        </w:rPr>
        <w:t>must</w:t>
      </w:r>
      <w:r w:rsidR="00C07B98">
        <w:rPr>
          <w:iCs/>
        </w:rPr>
        <w:t xml:space="preserve"> have that unity that constitutes the concept of the object” (A104).</w:t>
      </w:r>
      <w:r w:rsidR="00C07B98">
        <w:rPr>
          <w:rStyle w:val="FootnoteReference"/>
          <w:iCs/>
        </w:rPr>
        <w:footnoteReference w:id="27"/>
      </w:r>
      <w:r w:rsidR="00C07B98">
        <w:rPr>
          <w:iCs/>
        </w:rPr>
        <w:t xml:space="preserve"> Transcendental affinity, however amounts to the claim that for any manifold of representations of which we can become conscious, it must be possible for that manifold to be united in accordance with the categories, or as Kant elsewhere puts it, </w:t>
      </w:r>
      <w:r w:rsidR="00A609B2">
        <w:rPr>
          <w:iCs/>
        </w:rPr>
        <w:t xml:space="preserve">any apprehension of the manifold must be “in agreement with the unity of apperception, which would be impossible without synthetic unity in their connection” (A122). </w:t>
      </w:r>
      <w:r w:rsidR="00C07B98">
        <w:rPr>
          <w:iCs/>
        </w:rPr>
        <w:t>Transcendental affinity thus implies the necessity of (</w:t>
      </w:r>
      <w:proofErr w:type="spellStart"/>
      <w:r w:rsidR="00C07B98">
        <w:rPr>
          <w:iCs/>
        </w:rPr>
        <w:t>categorial</w:t>
      </w:r>
      <w:proofErr w:type="spellEnd"/>
      <w:r w:rsidR="00C07B98">
        <w:rPr>
          <w:iCs/>
        </w:rPr>
        <w:t xml:space="preserve">) unity for any manifold of representations of which we are </w:t>
      </w:r>
      <w:r w:rsidR="00C07B98">
        <w:rPr>
          <w:iCs/>
        </w:rPr>
        <w:lastRenderedPageBreak/>
        <w:t xml:space="preserve">conscious, and this </w:t>
      </w:r>
      <w:r w:rsidR="00CE4FB6">
        <w:rPr>
          <w:iCs/>
        </w:rPr>
        <w:t>suffices</w:t>
      </w:r>
      <w:r w:rsidR="00C07B98">
        <w:rPr>
          <w:iCs/>
        </w:rPr>
        <w:t xml:space="preserve">, for the transcendental </w:t>
      </w:r>
      <w:r w:rsidR="00CE4FB6">
        <w:rPr>
          <w:iCs/>
        </w:rPr>
        <w:t>idealist, for the thought of the relation of those representations to objects. Accordingly, for Kant, the transcendental idealist</w:t>
      </w:r>
      <w:r w:rsidR="00C21CE1">
        <w:rPr>
          <w:iCs/>
        </w:rPr>
        <w:t>, at least,</w:t>
      </w:r>
      <w:r w:rsidR="00CE4FB6">
        <w:rPr>
          <w:iCs/>
        </w:rPr>
        <w:t xml:space="preserve"> is licensed in drawing the conclusion that</w:t>
      </w:r>
      <w:r w:rsidR="00C07B98">
        <w:rPr>
          <w:iCs/>
        </w:rPr>
        <w:t xml:space="preserve"> “[a</w:t>
      </w:r>
      <w:r w:rsidR="00176630">
        <w:rPr>
          <w:iCs/>
        </w:rPr>
        <w:t>]</w:t>
      </w:r>
      <w:proofErr w:type="spellStart"/>
      <w:r w:rsidR="00C07B98">
        <w:rPr>
          <w:iCs/>
        </w:rPr>
        <w:t>ll</w:t>
      </w:r>
      <w:proofErr w:type="spellEnd"/>
      <w:r w:rsidR="00C07B98">
        <w:rPr>
          <w:iCs/>
        </w:rPr>
        <w:t xml:space="preserve"> </w:t>
      </w:r>
      <w:r w:rsidR="00C07B98" w:rsidRPr="00A609B2">
        <w:rPr>
          <w:i/>
          <w:iCs/>
        </w:rPr>
        <w:t>appearances</w:t>
      </w:r>
      <w:r w:rsidR="00C07B98">
        <w:rPr>
          <w:iCs/>
        </w:rPr>
        <w:t xml:space="preserve"> therefore stand in a thoroughgoing connection according to necessary laws” (A114—my emphasis)</w:t>
      </w:r>
      <w:r w:rsidR="00CE4FB6">
        <w:rPr>
          <w:iCs/>
        </w:rPr>
        <w:t>, that is, that the objective ground of association, or empirical affinity of the manifold, is rendered conceivable through</w:t>
      </w:r>
      <w:r w:rsidR="00BB0B4D">
        <w:rPr>
          <w:iCs/>
        </w:rPr>
        <w:t xml:space="preserve"> transcendental affinity</w:t>
      </w:r>
      <w:r w:rsidR="00CE4FB6">
        <w:rPr>
          <w:iCs/>
        </w:rPr>
        <w:t xml:space="preserve">. </w:t>
      </w:r>
    </w:p>
    <w:p w:rsidR="0006492E" w:rsidRPr="002B7C1B" w:rsidRDefault="00D71679" w:rsidP="0006492E">
      <w:pPr>
        <w:spacing w:line="360" w:lineRule="auto"/>
        <w:rPr>
          <w:iCs/>
        </w:rPr>
      </w:pPr>
      <w:r>
        <w:rPr>
          <w:iCs/>
        </w:rPr>
        <w:tab/>
        <w:t>Having thus shown how the empirical affinity of the manifold of</w:t>
      </w:r>
      <w:r w:rsidR="00D62706">
        <w:rPr>
          <w:iCs/>
        </w:rPr>
        <w:t xml:space="preserve"> appearances is possible</w:t>
      </w:r>
      <w:r>
        <w:rPr>
          <w:iCs/>
        </w:rPr>
        <w:t xml:space="preserve">, </w:t>
      </w:r>
      <w:r w:rsidR="00C21CE1">
        <w:rPr>
          <w:iCs/>
        </w:rPr>
        <w:t>Kant has headed-off the major concern relating to the prominent role he assigns to the imagination and its associative function in his account of causal cognition</w:t>
      </w:r>
      <w:r>
        <w:rPr>
          <w:iCs/>
        </w:rPr>
        <w:t xml:space="preserve">. </w:t>
      </w:r>
      <w:r w:rsidR="00D62706">
        <w:rPr>
          <w:iCs/>
        </w:rPr>
        <w:t>In accordance with the doctrine of transcendental affinity (and transcendental i</w:t>
      </w:r>
      <w:r w:rsidR="00C21CE1">
        <w:rPr>
          <w:iCs/>
        </w:rPr>
        <w:t xml:space="preserve">dealism), Kant can now take </w:t>
      </w:r>
      <w:r w:rsidR="00D62706">
        <w:rPr>
          <w:iCs/>
        </w:rPr>
        <w:t xml:space="preserve">associations </w:t>
      </w:r>
      <w:r w:rsidR="00C21CE1">
        <w:rPr>
          <w:iCs/>
        </w:rPr>
        <w:t xml:space="preserve">on the part of the imagination </w:t>
      </w:r>
      <w:r w:rsidR="00D62706">
        <w:rPr>
          <w:iCs/>
        </w:rPr>
        <w:t xml:space="preserve">to find their objective ground in the fact that appearances are (necessarily) subject to laws, </w:t>
      </w:r>
      <w:r w:rsidR="00C21CE1">
        <w:rPr>
          <w:iCs/>
        </w:rPr>
        <w:t xml:space="preserve">and thus can presume </w:t>
      </w:r>
      <w:r w:rsidR="00D62706">
        <w:rPr>
          <w:iCs/>
        </w:rPr>
        <w:t xml:space="preserve">that the connections among our representations established by the imagination will track genuine causal connections. </w:t>
      </w:r>
      <w:r w:rsidR="002B7C1B">
        <w:rPr>
          <w:iCs/>
        </w:rPr>
        <w:t xml:space="preserve">This is not, of course, to say that Kant takes himself to have proven thereby that </w:t>
      </w:r>
      <w:r w:rsidR="002B7C1B">
        <w:rPr>
          <w:i/>
          <w:iCs/>
        </w:rPr>
        <w:t>all</w:t>
      </w:r>
      <w:r w:rsidR="002B7C1B">
        <w:rPr>
          <w:iCs/>
        </w:rPr>
        <w:t xml:space="preserve"> of the associations on the part of the imagination are so grounded; far from it, Kant has only provided us with a license to assume that at least </w:t>
      </w:r>
      <w:r w:rsidR="002B7C1B" w:rsidRPr="002B7C1B">
        <w:rPr>
          <w:i/>
          <w:iCs/>
        </w:rPr>
        <w:t>some</w:t>
      </w:r>
      <w:r w:rsidR="002B7C1B">
        <w:rPr>
          <w:iCs/>
        </w:rPr>
        <w:t xml:space="preserve"> of our associations are grounded on affinity, and while he does not proceed to offer us a way to distinguish between associations that do find such a ground and those that do not, one presumes that </w:t>
      </w:r>
      <w:r w:rsidR="0006492E">
        <w:rPr>
          <w:iCs/>
        </w:rPr>
        <w:t>sifting out associations based on mere regular accompaniment from those that rest on a causal connection would (and does) involve rigorous empir</w:t>
      </w:r>
      <w:r w:rsidR="008405E9">
        <w:rPr>
          <w:iCs/>
        </w:rPr>
        <w:t>ical i</w:t>
      </w:r>
      <w:r w:rsidR="000D2265">
        <w:rPr>
          <w:iCs/>
        </w:rPr>
        <w:t>nvestigation</w:t>
      </w:r>
      <w:r w:rsidR="000A573F">
        <w:rPr>
          <w:iCs/>
        </w:rPr>
        <w:t xml:space="preserve"> and experimentation</w:t>
      </w:r>
      <w:r w:rsidR="000D2265">
        <w:rPr>
          <w:iCs/>
        </w:rPr>
        <w:t xml:space="preserve">. Indeed, it is likely that Kant’s later account of the origin of (objectively valid) judgments of experience from judgments of perception, which express an at first merely subjectively valid connection of representations (cf. </w:t>
      </w:r>
      <w:proofErr w:type="spellStart"/>
      <w:r w:rsidR="000D2265" w:rsidRPr="000A573F">
        <w:rPr>
          <w:i/>
          <w:iCs/>
        </w:rPr>
        <w:t>Prol</w:t>
      </w:r>
      <w:proofErr w:type="spellEnd"/>
      <w:r w:rsidR="000D2265">
        <w:rPr>
          <w:iCs/>
        </w:rPr>
        <w:t xml:space="preserve"> 4:298), is relevant here, as the initial associative connections are refined into associations of the understanding (and distinguished from those associations expressed in “mere” judgments of perception) and thereby rendered into a form subsumable under the category of causality, though space does not remain to </w:t>
      </w:r>
      <w:r w:rsidR="00E9708C">
        <w:rPr>
          <w:iCs/>
        </w:rPr>
        <w:t>consider</w:t>
      </w:r>
      <w:r w:rsidR="000D2265">
        <w:rPr>
          <w:iCs/>
        </w:rPr>
        <w:t xml:space="preserve"> this</w:t>
      </w:r>
      <w:r w:rsidR="00E9708C">
        <w:rPr>
          <w:iCs/>
        </w:rPr>
        <w:t xml:space="preserve"> proposal</w:t>
      </w:r>
      <w:r w:rsidR="000D2265">
        <w:rPr>
          <w:iCs/>
        </w:rPr>
        <w:t xml:space="preserve"> </w:t>
      </w:r>
      <w:r w:rsidR="00E9708C">
        <w:rPr>
          <w:iCs/>
        </w:rPr>
        <w:t xml:space="preserve">in detail </w:t>
      </w:r>
      <w:r w:rsidR="000D2265">
        <w:rPr>
          <w:iCs/>
        </w:rPr>
        <w:t>here.</w:t>
      </w:r>
      <w:r w:rsidR="000D2265">
        <w:rPr>
          <w:rStyle w:val="FootnoteReference"/>
          <w:iCs/>
        </w:rPr>
        <w:footnoteReference w:id="28"/>
      </w:r>
    </w:p>
    <w:p w:rsidR="00E739D9" w:rsidRDefault="00C5515B" w:rsidP="008E759B">
      <w:pPr>
        <w:spacing w:line="360" w:lineRule="auto"/>
        <w:rPr>
          <w:iCs/>
        </w:rPr>
      </w:pPr>
      <w:r>
        <w:rPr>
          <w:iCs/>
        </w:rPr>
        <w:tab/>
      </w:r>
      <w:r w:rsidR="009A494C">
        <w:rPr>
          <w:iCs/>
        </w:rPr>
        <w:t>Irrespective of the</w:t>
      </w:r>
      <w:r w:rsidR="0012274C">
        <w:rPr>
          <w:iCs/>
        </w:rPr>
        <w:t xml:space="preserve"> many details to be filled in, </w:t>
      </w:r>
      <w:r w:rsidR="00AD53C3">
        <w:rPr>
          <w:iCs/>
        </w:rPr>
        <w:t xml:space="preserve">what cannot be denied </w:t>
      </w:r>
      <w:r w:rsidR="009A494C">
        <w:rPr>
          <w:iCs/>
        </w:rPr>
        <w:t xml:space="preserve">in the end </w:t>
      </w:r>
      <w:r w:rsidR="00AD53C3">
        <w:rPr>
          <w:iCs/>
        </w:rPr>
        <w:t xml:space="preserve">is that </w:t>
      </w:r>
      <w:r w:rsidR="009A494C">
        <w:rPr>
          <w:iCs/>
        </w:rPr>
        <w:t xml:space="preserve">the role Kant assigns the role of the imagination and association in the lectures on anthropology is not a pre-Critical aberration </w:t>
      </w:r>
      <w:r w:rsidR="00CF0FE1">
        <w:rPr>
          <w:iCs/>
        </w:rPr>
        <w:t xml:space="preserve">or dogmatic vestige </w:t>
      </w:r>
      <w:r w:rsidR="009A494C">
        <w:rPr>
          <w:iCs/>
        </w:rPr>
        <w:t xml:space="preserve">but constitutes an important part of his considered, Critical account of empirical cognition, a fact confirmed by his efforts to </w:t>
      </w:r>
      <w:r w:rsidR="00CF0FE1">
        <w:rPr>
          <w:iCs/>
        </w:rPr>
        <w:t xml:space="preserve">exorcise the spectre that has attended the involvement of the imagination and its associative activity since Hume. </w:t>
      </w:r>
      <w:r w:rsidR="0012274C">
        <w:rPr>
          <w:iCs/>
        </w:rPr>
        <w:t xml:space="preserve">Indeed, </w:t>
      </w:r>
      <w:r w:rsidR="006E4087">
        <w:rPr>
          <w:iCs/>
        </w:rPr>
        <w:t xml:space="preserve">the same point is underlined by the fact that </w:t>
      </w:r>
      <w:r w:rsidR="00E739D9">
        <w:rPr>
          <w:iCs/>
        </w:rPr>
        <w:t xml:space="preserve">Kant thinks that </w:t>
      </w:r>
      <w:r w:rsidR="006E4087">
        <w:rPr>
          <w:iCs/>
        </w:rPr>
        <w:t xml:space="preserve">the foregoing also makes sense of the </w:t>
      </w:r>
      <w:r w:rsidR="006E4087">
        <w:rPr>
          <w:iCs/>
        </w:rPr>
        <w:lastRenderedPageBreak/>
        <w:t xml:space="preserve">basis </w:t>
      </w:r>
      <w:r w:rsidR="00E739D9">
        <w:rPr>
          <w:iCs/>
        </w:rPr>
        <w:t xml:space="preserve">of Hume’s error: due to his transcendental realist perspective, Hume is incapable of accounting for how the connection of objects according to constant laws is possible. This means that Hume cannot account for the objective ground of the imagination’s activity, </w:t>
      </w:r>
      <w:r w:rsidR="006E4087">
        <w:rPr>
          <w:iCs/>
        </w:rPr>
        <w:t xml:space="preserve">namely, </w:t>
      </w:r>
      <w:r w:rsidR="00E739D9">
        <w:rPr>
          <w:iCs/>
        </w:rPr>
        <w:t xml:space="preserve">in a unity </w:t>
      </w:r>
      <w:r w:rsidR="006E4087">
        <w:rPr>
          <w:iCs/>
        </w:rPr>
        <w:t xml:space="preserve">ultimately </w:t>
      </w:r>
      <w:r w:rsidR="00E739D9">
        <w:rPr>
          <w:iCs/>
        </w:rPr>
        <w:t xml:space="preserve">supplied by the understanding, but can only admit a </w:t>
      </w:r>
      <w:r w:rsidR="00E739D9" w:rsidRPr="00BB0B4D">
        <w:rPr>
          <w:i/>
          <w:iCs/>
        </w:rPr>
        <w:t>subjective</w:t>
      </w:r>
      <w:r w:rsidR="00E739D9">
        <w:rPr>
          <w:iCs/>
        </w:rPr>
        <w:t xml:space="preserve"> ground, namely, the law of association, with the result being that genuine causal cognition is impossible since the result of the mere imaginative synthesis cannot be taken to have an objective ground in the affinity of the manifold. As Kant summarizes Hume’s error much later in the </w:t>
      </w:r>
      <w:proofErr w:type="spellStart"/>
      <w:r w:rsidR="00E739D9" w:rsidRPr="004A36A8">
        <w:rPr>
          <w:i/>
          <w:iCs/>
        </w:rPr>
        <w:t>KrV</w:t>
      </w:r>
      <w:proofErr w:type="spellEnd"/>
      <w:r w:rsidR="00E739D9">
        <w:rPr>
          <w:iCs/>
        </w:rPr>
        <w:t>: “he made a principle of affinity, which has its seat in the understanding and which asserts necessary connection, into a rule of association, which is found merely in the imitative imagination [</w:t>
      </w:r>
      <w:proofErr w:type="spellStart"/>
      <w:r w:rsidR="00E739D9">
        <w:rPr>
          <w:i/>
          <w:iCs/>
        </w:rPr>
        <w:t>nachbildenden</w:t>
      </w:r>
      <w:proofErr w:type="spellEnd"/>
      <w:r w:rsidR="00E739D9">
        <w:rPr>
          <w:i/>
          <w:iCs/>
        </w:rPr>
        <w:t xml:space="preserve"> </w:t>
      </w:r>
      <w:proofErr w:type="spellStart"/>
      <w:r w:rsidR="00E739D9">
        <w:rPr>
          <w:i/>
          <w:iCs/>
        </w:rPr>
        <w:t>Einbildungskraft</w:t>
      </w:r>
      <w:proofErr w:type="spellEnd"/>
      <w:r w:rsidR="00E739D9">
        <w:rPr>
          <w:iCs/>
        </w:rPr>
        <w:t>] and which can present only contingent combinations, not objective ones at all” (A766</w:t>
      </w:r>
      <w:r w:rsidR="007A7FB6">
        <w:rPr>
          <w:iCs/>
        </w:rPr>
        <w:t>–</w:t>
      </w:r>
      <w:r w:rsidR="00E739D9">
        <w:rPr>
          <w:iCs/>
        </w:rPr>
        <w:t>7/B794</w:t>
      </w:r>
      <w:r w:rsidR="007A7FB6">
        <w:rPr>
          <w:iCs/>
        </w:rPr>
        <w:t>–</w:t>
      </w:r>
      <w:r w:rsidR="00E739D9">
        <w:rPr>
          <w:iCs/>
        </w:rPr>
        <w:t>5).</w:t>
      </w:r>
      <w:r w:rsidR="006E4087">
        <w:rPr>
          <w:iCs/>
        </w:rPr>
        <w:t xml:space="preserve"> Hume</w:t>
      </w:r>
      <w:r w:rsidR="008A0C33">
        <w:rPr>
          <w:iCs/>
        </w:rPr>
        <w:t xml:space="preserve"> thus</w:t>
      </w:r>
      <w:r w:rsidR="006E4087">
        <w:rPr>
          <w:iCs/>
        </w:rPr>
        <w:t xml:space="preserve"> did not err in taking associations </w:t>
      </w:r>
      <w:r w:rsidR="001C73EE">
        <w:rPr>
          <w:iCs/>
        </w:rPr>
        <w:t xml:space="preserve">on the part of the imagination to figure prominently in the </w:t>
      </w:r>
      <w:r w:rsidR="006E4087">
        <w:rPr>
          <w:iCs/>
        </w:rPr>
        <w:t>cognition</w:t>
      </w:r>
      <w:r w:rsidR="001C73EE">
        <w:rPr>
          <w:iCs/>
        </w:rPr>
        <w:t xml:space="preserve"> of events</w:t>
      </w:r>
      <w:r w:rsidR="006E4087">
        <w:rPr>
          <w:iCs/>
        </w:rPr>
        <w:t xml:space="preserve">, </w:t>
      </w:r>
      <w:r w:rsidR="00ED4162">
        <w:rPr>
          <w:iCs/>
        </w:rPr>
        <w:t>and</w:t>
      </w:r>
      <w:r w:rsidR="0029133E">
        <w:rPr>
          <w:iCs/>
        </w:rPr>
        <w:t xml:space="preserve"> to that extent, it is no surprise that Kant’s account parallels Hume </w:t>
      </w:r>
      <w:r w:rsidR="001C73EE">
        <w:rPr>
          <w:iCs/>
        </w:rPr>
        <w:t xml:space="preserve">in the lectures on anthropology; but insofar as this relies for its possibility on a transcendental ground that is (inevitably) overlooked by Hume, it is important for Kant to supplement this account </w:t>
      </w:r>
      <w:r w:rsidR="001A6714">
        <w:rPr>
          <w:iCs/>
        </w:rPr>
        <w:t xml:space="preserve">with a demonstration of the possibility of affinity </w:t>
      </w:r>
      <w:r w:rsidR="001C73EE">
        <w:rPr>
          <w:iCs/>
        </w:rPr>
        <w:t xml:space="preserve">in the </w:t>
      </w:r>
      <w:r w:rsidR="001C73EE">
        <w:rPr>
          <w:i/>
          <w:iCs/>
        </w:rPr>
        <w:t>Critique</w:t>
      </w:r>
      <w:r w:rsidR="001C73EE">
        <w:rPr>
          <w:iCs/>
        </w:rPr>
        <w:t xml:space="preserve">. </w:t>
      </w:r>
      <w:r w:rsidR="00E9708C">
        <w:rPr>
          <w:rStyle w:val="FootnoteReference"/>
          <w:iCs/>
        </w:rPr>
        <w:footnoteReference w:id="29"/>
      </w:r>
      <w:r w:rsidR="001C73EE">
        <w:rPr>
          <w:iCs/>
        </w:rPr>
        <w:t xml:space="preserve"> </w:t>
      </w:r>
    </w:p>
    <w:p w:rsidR="00E739D9" w:rsidRPr="008A0C33" w:rsidRDefault="008A0C33" w:rsidP="008E759B">
      <w:pPr>
        <w:spacing w:line="360" w:lineRule="auto"/>
        <w:rPr>
          <w:iCs/>
        </w:rPr>
      </w:pPr>
      <w:r>
        <w:rPr>
          <w:iCs/>
        </w:rPr>
        <w:tab/>
        <w:t xml:space="preserve">We can see, then, that even in Kant’s </w:t>
      </w:r>
      <w:r>
        <w:rPr>
          <w:i/>
          <w:iCs/>
        </w:rPr>
        <w:t>Critique</w:t>
      </w:r>
      <w:r>
        <w:rPr>
          <w:iCs/>
        </w:rPr>
        <w:t xml:space="preserve"> the positive account of the imagination’s role in our cognition of causal connection as it was elaborated in its essentials in the lectures on anthropology remains in place. Kant holds to this account, well aware of the core that it shares with </w:t>
      </w:r>
      <w:proofErr w:type="spellStart"/>
      <w:r>
        <w:rPr>
          <w:iCs/>
        </w:rPr>
        <w:t>empiricistic</w:t>
      </w:r>
      <w:proofErr w:type="spellEnd"/>
      <w:r>
        <w:rPr>
          <w:iCs/>
        </w:rPr>
        <w:t xml:space="preserve"> accounts of such cognition generally, but actively seeks to dispel the spectre which has haunted it since Hume. Significantly, this reserves an important role in Kant’s mature theory of cognition for the imagination, and its activity in accordance with the law of the association of ideas, which is not reducible to its image-generating capacity. More broadly, we can also see that Kant’s </w:t>
      </w:r>
      <w:r w:rsidR="00033883">
        <w:rPr>
          <w:iCs/>
        </w:rPr>
        <w:t xml:space="preserve">anthropology lectures remain a vital </w:t>
      </w:r>
      <w:r>
        <w:rPr>
          <w:iCs/>
        </w:rPr>
        <w:t xml:space="preserve">supplement to </w:t>
      </w:r>
      <w:r w:rsidR="00AD23CB">
        <w:rPr>
          <w:iCs/>
        </w:rPr>
        <w:t>his</w:t>
      </w:r>
      <w:r>
        <w:rPr>
          <w:iCs/>
        </w:rPr>
        <w:t xml:space="preserve"> mature account of cognition in general and to his discussion of the imagination in particular.</w:t>
      </w:r>
    </w:p>
    <w:p w:rsidR="007E3D57" w:rsidRDefault="007E3D57" w:rsidP="008A0C33">
      <w:pPr>
        <w:spacing w:line="360" w:lineRule="auto"/>
        <w:rPr>
          <w:iCs/>
        </w:rPr>
      </w:pPr>
    </w:p>
    <w:p w:rsidR="002E48A5" w:rsidRDefault="002E48A5" w:rsidP="008A0C33">
      <w:pPr>
        <w:spacing w:line="360" w:lineRule="auto"/>
        <w:rPr>
          <w:iCs/>
        </w:rPr>
      </w:pPr>
    </w:p>
    <w:p w:rsidR="002E48A5" w:rsidRDefault="002E48A5" w:rsidP="002E48A5">
      <w:pPr>
        <w:spacing w:line="360" w:lineRule="auto"/>
      </w:pPr>
      <w:r>
        <w:t>Bibliography</w:t>
      </w:r>
    </w:p>
    <w:p w:rsidR="002E48A5" w:rsidRDefault="002E48A5" w:rsidP="002E48A5">
      <w:pPr>
        <w:spacing w:line="360" w:lineRule="auto"/>
      </w:pPr>
    </w:p>
    <w:p w:rsidR="00620C3B" w:rsidRDefault="002E48A5" w:rsidP="002E48A5">
      <w:pPr>
        <w:spacing w:line="360" w:lineRule="auto"/>
      </w:pPr>
      <w:r>
        <w:lastRenderedPageBreak/>
        <w:t>Allison</w:t>
      </w:r>
      <w:r w:rsidR="00620C3B">
        <w:t xml:space="preserve">, Henry E., 2015, </w:t>
      </w:r>
      <w:r w:rsidR="00620C3B">
        <w:rPr>
          <w:i/>
        </w:rPr>
        <w:t>Kant’s Transcendental Deductio</w:t>
      </w:r>
      <w:r w:rsidR="00620C3B" w:rsidRPr="00620C3B">
        <w:rPr>
          <w:i/>
        </w:rPr>
        <w:t>n: An Analytical-Historical Comm</w:t>
      </w:r>
      <w:r w:rsidR="00620C3B">
        <w:rPr>
          <w:i/>
        </w:rPr>
        <w:t>entary</w:t>
      </w:r>
      <w:r w:rsidR="00620C3B">
        <w:t xml:space="preserve">, Oxford: </w:t>
      </w:r>
    </w:p>
    <w:p w:rsidR="002E48A5" w:rsidRPr="00620C3B" w:rsidRDefault="00620C3B" w:rsidP="00620C3B">
      <w:pPr>
        <w:spacing w:line="360" w:lineRule="auto"/>
        <w:ind w:firstLine="720"/>
      </w:pPr>
      <w:r>
        <w:t>Oxford University Press.</w:t>
      </w:r>
    </w:p>
    <w:p w:rsidR="00620C3B" w:rsidRDefault="00620C3B" w:rsidP="002E48A5">
      <w:pPr>
        <w:spacing w:line="360" w:lineRule="auto"/>
        <w:rPr>
          <w:i/>
        </w:rPr>
      </w:pPr>
      <w:r w:rsidRPr="00620C3B">
        <w:t>———</w:t>
      </w:r>
      <w:r>
        <w:t>, 1974</w:t>
      </w:r>
      <w:r w:rsidRPr="00620C3B">
        <w:t>, “</w:t>
      </w:r>
      <w:r w:rsidRPr="00620C3B">
        <w:rPr>
          <w:bCs/>
        </w:rPr>
        <w:t>Transcendental Affinity</w:t>
      </w:r>
      <w:r w:rsidR="007A7FB6">
        <w:t>—</w:t>
      </w:r>
      <w:r w:rsidRPr="00620C3B">
        <w:t>Kant's Answer to </w:t>
      </w:r>
      <w:r w:rsidRPr="00620C3B">
        <w:rPr>
          <w:bCs/>
        </w:rPr>
        <w:t>Hume</w:t>
      </w:r>
      <w:r>
        <w:t>,”</w:t>
      </w:r>
      <w:r w:rsidRPr="00620C3B">
        <w:t xml:space="preserve"> </w:t>
      </w:r>
      <w:r>
        <w:t xml:space="preserve">in: L.W. Beck (ed.) </w:t>
      </w:r>
      <w:r w:rsidRPr="00620C3B">
        <w:rPr>
          <w:i/>
        </w:rPr>
        <w:t xml:space="preserve">Proceedings of </w:t>
      </w:r>
    </w:p>
    <w:p w:rsidR="002E48A5" w:rsidRPr="00620C3B" w:rsidRDefault="00620C3B" w:rsidP="00620C3B">
      <w:pPr>
        <w:spacing w:line="360" w:lineRule="auto"/>
        <w:ind w:firstLine="720"/>
      </w:pPr>
      <w:r w:rsidRPr="00620C3B">
        <w:rPr>
          <w:i/>
        </w:rPr>
        <w:t>the Third International Kant Congress</w:t>
      </w:r>
      <w:r w:rsidRPr="00620C3B">
        <w:t xml:space="preserve"> (1970),</w:t>
      </w:r>
      <w:r>
        <w:t xml:space="preserve"> Boston: </w:t>
      </w:r>
      <w:proofErr w:type="spellStart"/>
      <w:r>
        <w:t>Reidel</w:t>
      </w:r>
      <w:proofErr w:type="spellEnd"/>
      <w:r>
        <w:t xml:space="preserve">, </w:t>
      </w:r>
      <w:r w:rsidRPr="00620C3B">
        <w:t>303</w:t>
      </w:r>
      <w:r w:rsidR="007A7FB6">
        <w:t>–</w:t>
      </w:r>
      <w:r w:rsidRPr="00620C3B">
        <w:t>11</w:t>
      </w:r>
      <w:r>
        <w:t>.</w:t>
      </w:r>
    </w:p>
    <w:p w:rsidR="00620C3B" w:rsidRDefault="002E48A5" w:rsidP="002E48A5">
      <w:pPr>
        <w:spacing w:line="360" w:lineRule="auto"/>
      </w:pPr>
      <w:proofErr w:type="spellStart"/>
      <w:r>
        <w:t>Ameriks</w:t>
      </w:r>
      <w:proofErr w:type="spellEnd"/>
      <w:r>
        <w:t xml:space="preserve"> </w:t>
      </w:r>
      <w:r w:rsidR="00620C3B">
        <w:t xml:space="preserve">Karl </w:t>
      </w:r>
      <w:r>
        <w:t xml:space="preserve">and </w:t>
      </w:r>
      <w:proofErr w:type="spellStart"/>
      <w:r>
        <w:t>Naragon</w:t>
      </w:r>
      <w:proofErr w:type="spellEnd"/>
      <w:r w:rsidR="00620C3B">
        <w:t xml:space="preserve">, Steve, “Translators Introduction” in: </w:t>
      </w:r>
      <w:proofErr w:type="spellStart"/>
      <w:r w:rsidR="00620C3B">
        <w:t>Ameriks</w:t>
      </w:r>
      <w:proofErr w:type="spellEnd"/>
      <w:r w:rsidR="00620C3B">
        <w:t xml:space="preserve"> and </w:t>
      </w:r>
      <w:proofErr w:type="spellStart"/>
      <w:r w:rsidR="00620C3B">
        <w:t>Naragon</w:t>
      </w:r>
      <w:proofErr w:type="spellEnd"/>
      <w:r w:rsidR="00620C3B">
        <w:t xml:space="preserve"> (trans. and </w:t>
      </w:r>
    </w:p>
    <w:p w:rsidR="002E48A5" w:rsidRPr="00620C3B" w:rsidRDefault="00620C3B" w:rsidP="00620C3B">
      <w:pPr>
        <w:spacing w:line="360" w:lineRule="auto"/>
        <w:ind w:left="720"/>
      </w:pPr>
      <w:r>
        <w:t xml:space="preserve">eds.), </w:t>
      </w:r>
      <w:r>
        <w:rPr>
          <w:i/>
        </w:rPr>
        <w:t>Lectures on Metaphysics, The Cambridge Edition of the Works of Immanuel Kant</w:t>
      </w:r>
      <w:r>
        <w:t xml:space="preserve">, Cambridge, Cambridge University Press, </w:t>
      </w:r>
      <w:r w:rsidRPr="00620C3B">
        <w:t>xiii</w:t>
      </w:r>
      <w:r w:rsidR="007A7FB6">
        <w:t>–</w:t>
      </w:r>
      <w:r w:rsidRPr="00620C3B">
        <w:t>xliv</w:t>
      </w:r>
      <w:r>
        <w:t>.</w:t>
      </w:r>
    </w:p>
    <w:p w:rsidR="00FC2B45" w:rsidRDefault="002E48A5" w:rsidP="002E48A5">
      <w:pPr>
        <w:spacing w:line="360" w:lineRule="auto"/>
      </w:pPr>
      <w:r>
        <w:t xml:space="preserve">Aquila, Richard </w:t>
      </w:r>
      <w:r w:rsidR="00620C3B">
        <w:t>E., 1987, “</w:t>
      </w:r>
      <w:r w:rsidR="00620C3B" w:rsidRPr="00620C3B">
        <w:t>Matter, Form, and Imaginative As</w:t>
      </w:r>
      <w:r w:rsidR="00620C3B">
        <w:t>sociation in Sensory Intuition,”</w:t>
      </w:r>
      <w:r w:rsidR="00620C3B" w:rsidRPr="00620C3B">
        <w:t xml:space="preserve"> in</w:t>
      </w:r>
      <w:r w:rsidR="00620C3B">
        <w:t>:</w:t>
      </w:r>
      <w:r w:rsidR="00620C3B" w:rsidRPr="00620C3B">
        <w:t xml:space="preserve"> </w:t>
      </w:r>
    </w:p>
    <w:p w:rsidR="002E48A5" w:rsidRDefault="00620C3B" w:rsidP="00FC2B45">
      <w:pPr>
        <w:spacing w:line="360" w:lineRule="auto"/>
        <w:ind w:left="720"/>
      </w:pPr>
      <w:r w:rsidRPr="00620C3B">
        <w:t xml:space="preserve">Bernard den </w:t>
      </w:r>
      <w:proofErr w:type="spellStart"/>
      <w:r w:rsidRPr="00620C3B">
        <w:t>Ouden</w:t>
      </w:r>
      <w:proofErr w:type="spellEnd"/>
      <w:r w:rsidRPr="00620C3B">
        <w:t xml:space="preserve"> and Marcia Moen (eds.), </w:t>
      </w:r>
      <w:r w:rsidRPr="00620C3B">
        <w:rPr>
          <w:i/>
          <w:iCs/>
        </w:rPr>
        <w:t>New Essays on Kant</w:t>
      </w:r>
      <w:r>
        <w:rPr>
          <w:iCs/>
        </w:rPr>
        <w:t xml:space="preserve">, </w:t>
      </w:r>
      <w:r w:rsidRPr="00620C3B">
        <w:t>New York: Peter Lang, 73</w:t>
      </w:r>
      <w:r w:rsidRPr="00620C3B">
        <w:noBreakHyphen/>
        <w:t>109</w:t>
      </w:r>
      <w:r>
        <w:t>.</w:t>
      </w:r>
    </w:p>
    <w:p w:rsidR="00D86CB6" w:rsidRDefault="002E48A5" w:rsidP="002E48A5">
      <w:pPr>
        <w:spacing w:line="360" w:lineRule="auto"/>
      </w:pPr>
      <w:proofErr w:type="spellStart"/>
      <w:r>
        <w:t>Baumgarten</w:t>
      </w:r>
      <w:proofErr w:type="spellEnd"/>
      <w:r>
        <w:t>,</w:t>
      </w:r>
      <w:r w:rsidR="00620C3B">
        <w:t xml:space="preserve"> Alexander Gottlieb, </w:t>
      </w:r>
      <w:r w:rsidR="00D86CB6">
        <w:t xml:space="preserve">1757, </w:t>
      </w:r>
      <w:proofErr w:type="spellStart"/>
      <w:r w:rsidR="00D86CB6">
        <w:rPr>
          <w:i/>
        </w:rPr>
        <w:t>Metaphysica</w:t>
      </w:r>
      <w:proofErr w:type="spellEnd"/>
      <w:r w:rsidR="00D86CB6">
        <w:t xml:space="preserve">, reprinted in: </w:t>
      </w:r>
      <w:proofErr w:type="spellStart"/>
      <w:r w:rsidR="00D86CB6">
        <w:rPr>
          <w:i/>
        </w:rPr>
        <w:t>Kants</w:t>
      </w:r>
      <w:proofErr w:type="spellEnd"/>
      <w:r w:rsidR="00D86CB6">
        <w:rPr>
          <w:i/>
        </w:rPr>
        <w:t xml:space="preserve"> </w:t>
      </w:r>
      <w:proofErr w:type="spellStart"/>
      <w:r w:rsidR="00D86CB6">
        <w:rPr>
          <w:i/>
        </w:rPr>
        <w:t>gesammelte</w:t>
      </w:r>
      <w:proofErr w:type="spellEnd"/>
      <w:r w:rsidR="00D86CB6">
        <w:rPr>
          <w:i/>
        </w:rPr>
        <w:t xml:space="preserve"> </w:t>
      </w:r>
      <w:proofErr w:type="spellStart"/>
      <w:r w:rsidR="00D86CB6">
        <w:rPr>
          <w:i/>
        </w:rPr>
        <w:t>Schriften</w:t>
      </w:r>
      <w:proofErr w:type="spellEnd"/>
      <w:r w:rsidR="00D86CB6">
        <w:t xml:space="preserve">, vols. XV &amp; </w:t>
      </w:r>
    </w:p>
    <w:p w:rsidR="002E48A5" w:rsidRPr="00D86CB6" w:rsidRDefault="00D86CB6" w:rsidP="00D86CB6">
      <w:pPr>
        <w:spacing w:line="360" w:lineRule="auto"/>
        <w:ind w:firstLine="720"/>
      </w:pPr>
      <w:r>
        <w:t>XVII.</w:t>
      </w:r>
    </w:p>
    <w:p w:rsidR="00D86CB6" w:rsidRDefault="002E48A5" w:rsidP="002E48A5">
      <w:pPr>
        <w:spacing w:line="360" w:lineRule="auto"/>
      </w:pPr>
      <w:r>
        <w:t>Carl, Wolfgang</w:t>
      </w:r>
      <w:r w:rsidR="00D86CB6">
        <w:t xml:space="preserve">, 1989, </w:t>
      </w:r>
      <w:r w:rsidR="00D86CB6" w:rsidRPr="00D86CB6">
        <w:rPr>
          <w:i/>
        </w:rPr>
        <w:t xml:space="preserve">Der </w:t>
      </w:r>
      <w:proofErr w:type="spellStart"/>
      <w:r w:rsidR="00D86CB6" w:rsidRPr="00D86CB6">
        <w:rPr>
          <w:i/>
        </w:rPr>
        <w:t>schweigende</w:t>
      </w:r>
      <w:proofErr w:type="spellEnd"/>
      <w:r w:rsidR="00D86CB6" w:rsidRPr="00D86CB6">
        <w:rPr>
          <w:i/>
        </w:rPr>
        <w:t xml:space="preserve"> Kant: Die </w:t>
      </w:r>
      <w:proofErr w:type="spellStart"/>
      <w:r w:rsidR="00D86CB6" w:rsidRPr="00D86CB6">
        <w:rPr>
          <w:i/>
        </w:rPr>
        <w:t>Entwurfe</w:t>
      </w:r>
      <w:proofErr w:type="spellEnd"/>
      <w:r w:rsidR="00D86CB6" w:rsidRPr="00D86CB6">
        <w:rPr>
          <w:i/>
        </w:rPr>
        <w:t xml:space="preserve"> </w:t>
      </w:r>
      <w:proofErr w:type="spellStart"/>
      <w:r w:rsidR="00D86CB6" w:rsidRPr="00D86CB6">
        <w:rPr>
          <w:i/>
        </w:rPr>
        <w:t>zu</w:t>
      </w:r>
      <w:proofErr w:type="spellEnd"/>
      <w:r w:rsidR="00D86CB6" w:rsidRPr="00D86CB6">
        <w:rPr>
          <w:i/>
        </w:rPr>
        <w:t xml:space="preserve"> </w:t>
      </w:r>
      <w:proofErr w:type="spellStart"/>
      <w:r w:rsidR="00D86CB6" w:rsidRPr="00D86CB6">
        <w:rPr>
          <w:i/>
        </w:rPr>
        <w:t>einer</w:t>
      </w:r>
      <w:proofErr w:type="spellEnd"/>
      <w:r w:rsidR="00D86CB6" w:rsidRPr="00D86CB6">
        <w:rPr>
          <w:i/>
        </w:rPr>
        <w:t xml:space="preserve"> </w:t>
      </w:r>
      <w:proofErr w:type="spellStart"/>
      <w:r w:rsidR="00D86CB6" w:rsidRPr="00D86CB6">
        <w:rPr>
          <w:i/>
        </w:rPr>
        <w:t>Deduktion</w:t>
      </w:r>
      <w:proofErr w:type="spellEnd"/>
      <w:r w:rsidR="00D86CB6" w:rsidRPr="00D86CB6">
        <w:rPr>
          <w:i/>
        </w:rPr>
        <w:t xml:space="preserve"> der </w:t>
      </w:r>
      <w:proofErr w:type="spellStart"/>
      <w:r w:rsidR="00D86CB6" w:rsidRPr="00D86CB6">
        <w:rPr>
          <w:i/>
        </w:rPr>
        <w:t>Kategorien</w:t>
      </w:r>
      <w:proofErr w:type="spellEnd"/>
      <w:r w:rsidR="00D86CB6" w:rsidRPr="00D86CB6">
        <w:rPr>
          <w:i/>
        </w:rPr>
        <w:t xml:space="preserve"> von 1781</w:t>
      </w:r>
      <w:r w:rsidR="00D86CB6" w:rsidRPr="00D86CB6">
        <w:t xml:space="preserve">, </w:t>
      </w:r>
    </w:p>
    <w:p w:rsidR="002E48A5" w:rsidRDefault="00D86CB6" w:rsidP="00D86CB6">
      <w:pPr>
        <w:spacing w:line="360" w:lineRule="auto"/>
        <w:ind w:left="720"/>
      </w:pPr>
      <w:proofErr w:type="spellStart"/>
      <w:r w:rsidRPr="00D86CB6">
        <w:t>Abhandlungen</w:t>
      </w:r>
      <w:proofErr w:type="spellEnd"/>
      <w:r w:rsidRPr="00D86CB6">
        <w:t xml:space="preserve"> der </w:t>
      </w:r>
      <w:proofErr w:type="spellStart"/>
      <w:r w:rsidRPr="00D86CB6">
        <w:t>Akademie</w:t>
      </w:r>
      <w:proofErr w:type="spellEnd"/>
      <w:r w:rsidRPr="00D86CB6">
        <w:t xml:space="preserve"> der </w:t>
      </w:r>
      <w:proofErr w:type="spellStart"/>
      <w:r w:rsidRPr="00D86CB6">
        <w:t>Wissenschaften</w:t>
      </w:r>
      <w:proofErr w:type="spellEnd"/>
      <w:r w:rsidRPr="00D86CB6">
        <w:t xml:space="preserve"> </w:t>
      </w:r>
      <w:proofErr w:type="spellStart"/>
      <w:r w:rsidRPr="00D86CB6">
        <w:t>zu</w:t>
      </w:r>
      <w:proofErr w:type="spellEnd"/>
      <w:r w:rsidRPr="00D86CB6">
        <w:t xml:space="preserve"> Gottingen, </w:t>
      </w:r>
      <w:proofErr w:type="spellStart"/>
      <w:r w:rsidRPr="00D86CB6">
        <w:t>Philologisch-Historische</w:t>
      </w:r>
      <w:proofErr w:type="spellEnd"/>
      <w:r w:rsidRPr="00D86CB6">
        <w:t xml:space="preserve"> </w:t>
      </w:r>
      <w:proofErr w:type="spellStart"/>
      <w:r w:rsidRPr="00D86CB6">
        <w:t>Klasse</w:t>
      </w:r>
      <w:proofErr w:type="spellEnd"/>
      <w:r w:rsidRPr="00D86CB6">
        <w:t xml:space="preserve">, </w:t>
      </w:r>
      <w:proofErr w:type="spellStart"/>
      <w:r w:rsidRPr="00D86CB6">
        <w:t>Dritte</w:t>
      </w:r>
      <w:proofErr w:type="spellEnd"/>
      <w:r w:rsidRPr="00D86CB6">
        <w:t xml:space="preserve"> </w:t>
      </w:r>
      <w:proofErr w:type="spellStart"/>
      <w:r w:rsidRPr="00D86CB6">
        <w:t>Folge</w:t>
      </w:r>
      <w:proofErr w:type="spellEnd"/>
      <w:r w:rsidRPr="00D86CB6">
        <w:t xml:space="preserve"> Series 182, </w:t>
      </w:r>
      <w:proofErr w:type="spellStart"/>
      <w:r w:rsidRPr="00D86CB6">
        <w:t>Göttingen</w:t>
      </w:r>
      <w:proofErr w:type="spellEnd"/>
      <w:r w:rsidRPr="00D86CB6">
        <w:t xml:space="preserve">: </w:t>
      </w:r>
      <w:proofErr w:type="spellStart"/>
      <w:r w:rsidRPr="00D86CB6">
        <w:t>Vandenhoeck</w:t>
      </w:r>
      <w:proofErr w:type="spellEnd"/>
      <w:r w:rsidRPr="00D86CB6">
        <w:t xml:space="preserve"> and </w:t>
      </w:r>
      <w:proofErr w:type="spellStart"/>
      <w:r w:rsidRPr="00D86CB6">
        <w:t>Ruprecht</w:t>
      </w:r>
      <w:proofErr w:type="spellEnd"/>
      <w:r w:rsidRPr="00D86CB6">
        <w:t>.</w:t>
      </w:r>
    </w:p>
    <w:p w:rsidR="00D86CB6" w:rsidRDefault="002E48A5" w:rsidP="00D86CB6">
      <w:pPr>
        <w:spacing w:line="360" w:lineRule="auto"/>
      </w:pPr>
      <w:r>
        <w:t>Dyck, Corey</w:t>
      </w:r>
      <w:r w:rsidR="00D86CB6">
        <w:t xml:space="preserve"> W., forthcoming</w:t>
      </w:r>
      <w:r w:rsidR="00F70D23">
        <w:t xml:space="preserve"> </w:t>
      </w:r>
      <w:r w:rsidR="00D86CB6">
        <w:t xml:space="preserve">[b], </w:t>
      </w:r>
      <w:r w:rsidR="00D86CB6" w:rsidRPr="00D86CB6">
        <w:t>“</w:t>
      </w:r>
      <w:proofErr w:type="spellStart"/>
      <w:r w:rsidR="00D86CB6" w:rsidRPr="00D86CB6">
        <w:t>Tetens</w:t>
      </w:r>
      <w:proofErr w:type="spellEnd"/>
      <w:r w:rsidR="00D86CB6" w:rsidRPr="00D86CB6">
        <w:t xml:space="preserve"> as a Reader of Kant’s Inaugural Dissertation,” for </w:t>
      </w:r>
    </w:p>
    <w:p w:rsidR="00D86CB6" w:rsidRPr="00D86CB6" w:rsidRDefault="00D86CB6" w:rsidP="00D86CB6">
      <w:pPr>
        <w:spacing w:line="360" w:lineRule="auto"/>
        <w:ind w:firstLine="720"/>
      </w:pPr>
      <w:r w:rsidRPr="00D86CB6">
        <w:rPr>
          <w:i/>
        </w:rPr>
        <w:t xml:space="preserve">Proceedings of the XII International Kant </w:t>
      </w:r>
      <w:proofErr w:type="spellStart"/>
      <w:r w:rsidRPr="00D86CB6">
        <w:rPr>
          <w:i/>
        </w:rPr>
        <w:t>Kongress</w:t>
      </w:r>
      <w:proofErr w:type="spellEnd"/>
      <w:r>
        <w:t xml:space="preserve">, Berlin: De </w:t>
      </w:r>
      <w:proofErr w:type="spellStart"/>
      <w:r>
        <w:t>Gruyter</w:t>
      </w:r>
      <w:proofErr w:type="spellEnd"/>
      <w:r>
        <w:t>.</w:t>
      </w:r>
    </w:p>
    <w:p w:rsidR="00D86CB6" w:rsidRDefault="00D86CB6" w:rsidP="002E48A5">
      <w:pPr>
        <w:spacing w:line="360" w:lineRule="auto"/>
        <w:rPr>
          <w:i/>
          <w:iCs/>
        </w:rPr>
      </w:pPr>
      <w:r>
        <w:t>———, forthcoming</w:t>
      </w:r>
      <w:r w:rsidR="00F70D23">
        <w:t xml:space="preserve"> </w:t>
      </w:r>
      <w:r>
        <w:t xml:space="preserve">[a], </w:t>
      </w:r>
      <w:r w:rsidRPr="00D86CB6">
        <w:t>“The Proof Structure of Kant’s A-Edition Objective Deduction” in</w:t>
      </w:r>
      <w:r>
        <w:t>:</w:t>
      </w:r>
      <w:r w:rsidRPr="00D86CB6">
        <w:t xml:space="preserve"> </w:t>
      </w:r>
      <w:proofErr w:type="spellStart"/>
      <w:r w:rsidRPr="00D86CB6">
        <w:rPr>
          <w:i/>
          <w:iCs/>
        </w:rPr>
        <w:t>Kants</w:t>
      </w:r>
      <w:proofErr w:type="spellEnd"/>
      <w:r w:rsidRPr="00D86CB6">
        <w:rPr>
          <w:i/>
          <w:iCs/>
        </w:rPr>
        <w:t xml:space="preserve"> </w:t>
      </w:r>
    </w:p>
    <w:p w:rsidR="00D86CB6" w:rsidRPr="00D86CB6" w:rsidRDefault="00D86CB6" w:rsidP="00D86CB6">
      <w:pPr>
        <w:spacing w:line="360" w:lineRule="auto"/>
        <w:ind w:left="720"/>
      </w:pPr>
      <w:proofErr w:type="spellStart"/>
      <w:r w:rsidRPr="00D86CB6">
        <w:rPr>
          <w:i/>
          <w:iCs/>
        </w:rPr>
        <w:t>transzendentale</w:t>
      </w:r>
      <w:proofErr w:type="spellEnd"/>
      <w:r w:rsidRPr="00D86CB6">
        <w:rPr>
          <w:i/>
          <w:iCs/>
        </w:rPr>
        <w:t xml:space="preserve"> </w:t>
      </w:r>
      <w:proofErr w:type="spellStart"/>
      <w:r w:rsidRPr="00D86CB6">
        <w:rPr>
          <w:i/>
          <w:iCs/>
        </w:rPr>
        <w:t>Deduktion</w:t>
      </w:r>
      <w:proofErr w:type="spellEnd"/>
      <w:r w:rsidRPr="00D86CB6">
        <w:rPr>
          <w:i/>
          <w:iCs/>
        </w:rPr>
        <w:t xml:space="preserve"> der </w:t>
      </w:r>
      <w:proofErr w:type="spellStart"/>
      <w:r w:rsidRPr="00D86CB6">
        <w:rPr>
          <w:i/>
          <w:iCs/>
        </w:rPr>
        <w:t>Kategorien</w:t>
      </w:r>
      <w:proofErr w:type="spellEnd"/>
      <w:r w:rsidRPr="00D86CB6">
        <w:rPr>
          <w:i/>
          <w:iCs/>
        </w:rPr>
        <w:t xml:space="preserve">: </w:t>
      </w:r>
      <w:proofErr w:type="spellStart"/>
      <w:r w:rsidRPr="00D86CB6">
        <w:rPr>
          <w:i/>
          <w:iCs/>
        </w:rPr>
        <w:t>Neue</w:t>
      </w:r>
      <w:proofErr w:type="spellEnd"/>
      <w:r w:rsidRPr="00D86CB6">
        <w:rPr>
          <w:i/>
          <w:iCs/>
        </w:rPr>
        <w:t xml:space="preserve"> </w:t>
      </w:r>
      <w:proofErr w:type="spellStart"/>
      <w:r w:rsidRPr="00D86CB6">
        <w:rPr>
          <w:i/>
          <w:iCs/>
        </w:rPr>
        <w:t>Interpretationen</w:t>
      </w:r>
      <w:proofErr w:type="spellEnd"/>
      <w:r w:rsidRPr="00D86CB6">
        <w:rPr>
          <w:i/>
          <w:iCs/>
        </w:rPr>
        <w:t xml:space="preserve"> / Kant's Transcendental Deduction of the Categories: New Interpretations</w:t>
      </w:r>
      <w:r w:rsidRPr="00D86CB6">
        <w:rPr>
          <w:iCs/>
        </w:rPr>
        <w:t xml:space="preserve">, G. Motta and D. </w:t>
      </w:r>
      <w:proofErr w:type="spellStart"/>
      <w:r w:rsidRPr="00D86CB6">
        <w:rPr>
          <w:iCs/>
        </w:rPr>
        <w:t>Schulting</w:t>
      </w:r>
      <w:proofErr w:type="spellEnd"/>
      <w:r w:rsidRPr="00D86CB6">
        <w:rPr>
          <w:iCs/>
        </w:rPr>
        <w:t xml:space="preserve"> (eds.)</w:t>
      </w:r>
      <w:r>
        <w:rPr>
          <w:iCs/>
        </w:rPr>
        <w:t xml:space="preserve">, Berlin: </w:t>
      </w:r>
      <w:proofErr w:type="spellStart"/>
      <w:r w:rsidRPr="00D86CB6">
        <w:rPr>
          <w:iCs/>
        </w:rPr>
        <w:t>DeGruyter</w:t>
      </w:r>
      <w:proofErr w:type="spellEnd"/>
      <w:r>
        <w:rPr>
          <w:iCs/>
        </w:rPr>
        <w:t>.</w:t>
      </w:r>
    </w:p>
    <w:p w:rsidR="00D86CB6" w:rsidRDefault="00D86CB6" w:rsidP="00D86CB6">
      <w:pPr>
        <w:spacing w:line="360" w:lineRule="auto"/>
      </w:pPr>
      <w:r>
        <w:t xml:space="preserve">———, 2016, </w:t>
      </w:r>
      <w:r w:rsidRPr="00574942">
        <w:t xml:space="preserve">“Spontaneity </w:t>
      </w:r>
      <w:r w:rsidRPr="006023A0">
        <w:rPr>
          <w:i/>
        </w:rPr>
        <w:t>before</w:t>
      </w:r>
      <w:r w:rsidRPr="00574942">
        <w:rPr>
          <w:i/>
        </w:rPr>
        <w:t xml:space="preserve"> </w:t>
      </w:r>
      <w:r w:rsidRPr="00574942">
        <w:t xml:space="preserve">the Critical Turn: </w:t>
      </w:r>
      <w:proofErr w:type="spellStart"/>
      <w:r>
        <w:t>Crusius</w:t>
      </w:r>
      <w:proofErr w:type="spellEnd"/>
      <w:r>
        <w:t xml:space="preserve">, the Pre-Critical Kant, and </w:t>
      </w:r>
      <w:proofErr w:type="spellStart"/>
      <w:r>
        <w:t>Tetens</w:t>
      </w:r>
      <w:proofErr w:type="spellEnd"/>
      <w:r w:rsidRPr="00574942">
        <w:t xml:space="preserve"> on </w:t>
      </w:r>
    </w:p>
    <w:p w:rsidR="002E48A5" w:rsidRDefault="00D86CB6" w:rsidP="00D86CB6">
      <w:pPr>
        <w:spacing w:line="360" w:lineRule="auto"/>
        <w:ind w:firstLine="720"/>
      </w:pPr>
      <w:r w:rsidRPr="00574942">
        <w:t>the Spontaneity of the Mind</w:t>
      </w:r>
      <w:r w:rsidR="00A23086">
        <w:t>,</w:t>
      </w:r>
      <w:r w:rsidRPr="00574942">
        <w:t>”</w:t>
      </w:r>
      <w:r>
        <w:t xml:space="preserve"> </w:t>
      </w:r>
      <w:r>
        <w:rPr>
          <w:i/>
        </w:rPr>
        <w:t>Journal of the History of Philosophy</w:t>
      </w:r>
      <w:r>
        <w:t>, vol. 54.4, 625</w:t>
      </w:r>
      <w:r w:rsidR="007A7FB6">
        <w:t>–</w:t>
      </w:r>
      <w:r>
        <w:t>48.</w:t>
      </w:r>
    </w:p>
    <w:p w:rsidR="002E48A5" w:rsidRPr="00D86CB6" w:rsidRDefault="002E48A5" w:rsidP="00D86CB6">
      <w:pPr>
        <w:spacing w:line="360" w:lineRule="auto"/>
      </w:pPr>
      <w:r>
        <w:t>Goy, Ina</w:t>
      </w:r>
      <w:r w:rsidR="00D86CB6">
        <w:t xml:space="preserve">, </w:t>
      </w:r>
      <w:r w:rsidR="00D86CB6" w:rsidRPr="00D86CB6">
        <w:t>2012</w:t>
      </w:r>
      <w:r w:rsidR="00D86CB6">
        <w:t>,</w:t>
      </w:r>
      <w:r w:rsidR="00D86CB6" w:rsidRPr="00D86CB6">
        <w:t xml:space="preserve"> </w:t>
      </w:r>
      <w:r w:rsidR="00D86CB6">
        <w:t>“Kant on Formative Power”</w:t>
      </w:r>
      <w:r w:rsidR="00D86CB6" w:rsidRPr="00D86CB6">
        <w:t xml:space="preserve"> </w:t>
      </w:r>
      <w:proofErr w:type="spellStart"/>
      <w:r w:rsidR="00D86CB6" w:rsidRPr="00A23086">
        <w:rPr>
          <w:i/>
        </w:rPr>
        <w:t>Lebenswelt</w:t>
      </w:r>
      <w:proofErr w:type="spellEnd"/>
      <w:r w:rsidR="00D86CB6" w:rsidRPr="00A23086">
        <w:rPr>
          <w:i/>
        </w:rPr>
        <w:t>: Aesthetics and Philosophy of Experience</w:t>
      </w:r>
      <w:r w:rsidR="00A23086">
        <w:t>, 26</w:t>
      </w:r>
      <w:r w:rsidR="007A7FB6">
        <w:t>–</w:t>
      </w:r>
      <w:r w:rsidR="00A23086">
        <w:t>49</w:t>
      </w:r>
      <w:r w:rsidR="00D86CB6" w:rsidRPr="00D86CB6">
        <w:t xml:space="preserve">. </w:t>
      </w:r>
    </w:p>
    <w:p w:rsidR="002E48A5" w:rsidRPr="00A23086" w:rsidRDefault="002E48A5" w:rsidP="002E48A5">
      <w:pPr>
        <w:spacing w:line="360" w:lineRule="auto"/>
      </w:pPr>
      <w:proofErr w:type="spellStart"/>
      <w:r>
        <w:t>Horstmann</w:t>
      </w:r>
      <w:proofErr w:type="spellEnd"/>
      <w:r>
        <w:t>, Rolf-Peter</w:t>
      </w:r>
      <w:r w:rsidR="00A23086">
        <w:t xml:space="preserve">, 2018, </w:t>
      </w:r>
      <w:r w:rsidR="00A23086">
        <w:rPr>
          <w:i/>
        </w:rPr>
        <w:t>Kant’s Power of Imagination</w:t>
      </w:r>
      <w:r w:rsidR="00A23086">
        <w:t>, Cambridge: Cambridge University Press.</w:t>
      </w:r>
    </w:p>
    <w:p w:rsidR="00A23086" w:rsidRDefault="002E48A5" w:rsidP="00A23086">
      <w:pPr>
        <w:spacing w:line="360" w:lineRule="auto"/>
        <w:rPr>
          <w:bCs/>
        </w:rPr>
      </w:pPr>
      <w:proofErr w:type="spellStart"/>
      <w:r w:rsidRPr="00A23086">
        <w:t>Jankowiak</w:t>
      </w:r>
      <w:proofErr w:type="spellEnd"/>
      <w:r w:rsidR="000B4994">
        <w:t>, Tim</w:t>
      </w:r>
      <w:r w:rsidRPr="00A23086">
        <w:t xml:space="preserve"> and Watkins</w:t>
      </w:r>
      <w:r w:rsidR="000B4994">
        <w:t>, Eric</w:t>
      </w:r>
      <w:r w:rsidR="00A23086" w:rsidRPr="00A23086">
        <w:t>, 2014, “</w:t>
      </w:r>
      <w:r w:rsidR="00A23086" w:rsidRPr="00A23086">
        <w:rPr>
          <w:bCs/>
        </w:rPr>
        <w:t xml:space="preserve">Meat on the Bones: Kant's Account of Cognition in the </w:t>
      </w:r>
    </w:p>
    <w:p w:rsidR="00A23086" w:rsidRPr="00A23086" w:rsidRDefault="00A23086" w:rsidP="00A23086">
      <w:pPr>
        <w:spacing w:line="360" w:lineRule="auto"/>
        <w:ind w:left="720"/>
        <w:rPr>
          <w:bCs/>
        </w:rPr>
      </w:pPr>
      <w:r w:rsidRPr="00A23086">
        <w:rPr>
          <w:bCs/>
        </w:rPr>
        <w:t>Anthropology Lectures</w:t>
      </w:r>
      <w:r>
        <w:rPr>
          <w:bCs/>
        </w:rPr>
        <w:t xml:space="preserve">,” in </w:t>
      </w:r>
      <w:proofErr w:type="spellStart"/>
      <w:r w:rsidRPr="00A23086">
        <w:rPr>
          <w:bCs/>
        </w:rPr>
        <w:t>Alix</w:t>
      </w:r>
      <w:proofErr w:type="spellEnd"/>
      <w:r w:rsidRPr="00A23086">
        <w:rPr>
          <w:bCs/>
        </w:rPr>
        <w:t xml:space="preserve"> Cohen (ed.), </w:t>
      </w:r>
      <w:r w:rsidRPr="00A23086">
        <w:rPr>
          <w:bCs/>
          <w:i/>
          <w:iCs/>
        </w:rPr>
        <w:t>Kant's Lectures on Anthropology: A Critical Guide</w:t>
      </w:r>
      <w:r w:rsidRPr="00A23086">
        <w:rPr>
          <w:bCs/>
        </w:rPr>
        <w:t xml:space="preserve">. </w:t>
      </w:r>
      <w:r>
        <w:rPr>
          <w:bCs/>
        </w:rPr>
        <w:t xml:space="preserve">Cambridge University Press, </w:t>
      </w:r>
      <w:r w:rsidRPr="00A23086">
        <w:rPr>
          <w:bCs/>
        </w:rPr>
        <w:t>57</w:t>
      </w:r>
      <w:r w:rsidR="007A7FB6">
        <w:rPr>
          <w:bCs/>
        </w:rPr>
        <w:t>–</w:t>
      </w:r>
      <w:r>
        <w:rPr>
          <w:bCs/>
        </w:rPr>
        <w:t>75.</w:t>
      </w:r>
    </w:p>
    <w:p w:rsidR="002E48A5" w:rsidRPr="00755A31" w:rsidRDefault="002E48A5" w:rsidP="002E48A5">
      <w:pPr>
        <w:spacing w:line="360" w:lineRule="auto"/>
      </w:pPr>
      <w:r>
        <w:t>Kneller, Jane</w:t>
      </w:r>
      <w:r w:rsidR="00755A31">
        <w:t xml:space="preserve">, 2007, </w:t>
      </w:r>
      <w:r w:rsidR="00755A31">
        <w:rPr>
          <w:i/>
        </w:rPr>
        <w:t>Kant and the Power of Imagination</w:t>
      </w:r>
      <w:r w:rsidR="00755A31">
        <w:t>, Cambridge: Cambridge University Press.</w:t>
      </w:r>
    </w:p>
    <w:p w:rsidR="00755A31" w:rsidRDefault="00755A31" w:rsidP="00755A31">
      <w:pPr>
        <w:spacing w:line="360" w:lineRule="auto"/>
        <w:rPr>
          <w:bCs/>
          <w:i/>
        </w:rPr>
      </w:pPr>
      <w:proofErr w:type="spellStart"/>
      <w:r>
        <w:t>Longuenesse</w:t>
      </w:r>
      <w:proofErr w:type="spellEnd"/>
      <w:r>
        <w:t xml:space="preserve">, </w:t>
      </w:r>
      <w:proofErr w:type="spellStart"/>
      <w:r>
        <w:t>Bé</w:t>
      </w:r>
      <w:r w:rsidR="002E48A5">
        <w:t>atrice</w:t>
      </w:r>
      <w:proofErr w:type="spellEnd"/>
      <w:r>
        <w:t xml:space="preserve">, 2001, </w:t>
      </w:r>
      <w:r w:rsidRPr="00755A31">
        <w:rPr>
          <w:bCs/>
          <w:i/>
        </w:rPr>
        <w:t xml:space="preserve">Kant and the Capacity to </w:t>
      </w:r>
      <w:proofErr w:type="spellStart"/>
      <w:r w:rsidRPr="00755A31">
        <w:rPr>
          <w:bCs/>
          <w:i/>
        </w:rPr>
        <w:t>JudgeSensibility</w:t>
      </w:r>
      <w:proofErr w:type="spellEnd"/>
      <w:r w:rsidRPr="00755A31">
        <w:rPr>
          <w:bCs/>
          <w:i/>
        </w:rPr>
        <w:t xml:space="preserve"> and </w:t>
      </w:r>
      <w:proofErr w:type="spellStart"/>
      <w:r w:rsidRPr="00755A31">
        <w:rPr>
          <w:bCs/>
          <w:i/>
        </w:rPr>
        <w:t>Discursivity</w:t>
      </w:r>
      <w:proofErr w:type="spellEnd"/>
      <w:r w:rsidRPr="00755A31">
        <w:rPr>
          <w:bCs/>
          <w:i/>
        </w:rPr>
        <w:t xml:space="preserve"> in the Transcendental </w:t>
      </w:r>
    </w:p>
    <w:p w:rsidR="00755A31" w:rsidRPr="00755A31" w:rsidRDefault="00755A31" w:rsidP="00755A31">
      <w:pPr>
        <w:spacing w:line="360" w:lineRule="auto"/>
        <w:ind w:firstLine="720"/>
        <w:rPr>
          <w:bCs/>
        </w:rPr>
      </w:pPr>
      <w:r w:rsidRPr="00755A31">
        <w:rPr>
          <w:bCs/>
          <w:i/>
        </w:rPr>
        <w:t>Analytic of the </w:t>
      </w:r>
      <w:r w:rsidRPr="00755A31">
        <w:rPr>
          <w:bCs/>
          <w:i/>
          <w:iCs/>
        </w:rPr>
        <w:t>Critique of Pure Reason</w:t>
      </w:r>
      <w:r>
        <w:rPr>
          <w:bCs/>
          <w:iCs/>
        </w:rPr>
        <w:t>, trans. C. Wolfe, Princeton: Princeton University Press.</w:t>
      </w:r>
    </w:p>
    <w:p w:rsidR="00755A31" w:rsidRDefault="002E48A5" w:rsidP="002E48A5">
      <w:pPr>
        <w:spacing w:line="360" w:lineRule="auto"/>
        <w:rPr>
          <w:i/>
        </w:rPr>
      </w:pPr>
      <w:proofErr w:type="spellStart"/>
      <w:r>
        <w:t>Makkreel</w:t>
      </w:r>
      <w:proofErr w:type="spellEnd"/>
      <w:r>
        <w:t>, Rudolf A.</w:t>
      </w:r>
      <w:r w:rsidR="00755A31">
        <w:t xml:space="preserve">, 1990, </w:t>
      </w:r>
      <w:r w:rsidR="00755A31" w:rsidRPr="00755A31">
        <w:rPr>
          <w:i/>
        </w:rPr>
        <w:t xml:space="preserve">Imagination and Interpretation in Kant: The Hermeneutical Import of the Critique of </w:t>
      </w:r>
    </w:p>
    <w:p w:rsidR="002E48A5" w:rsidRPr="00755A31" w:rsidRDefault="00755A31" w:rsidP="00755A31">
      <w:pPr>
        <w:spacing w:line="360" w:lineRule="auto"/>
        <w:ind w:firstLine="720"/>
      </w:pPr>
      <w:r w:rsidRPr="00755A31">
        <w:rPr>
          <w:i/>
        </w:rPr>
        <w:t>Judgment</w:t>
      </w:r>
      <w:r>
        <w:t xml:space="preserve">, Chicago: University of Chicago Press. </w:t>
      </w:r>
    </w:p>
    <w:p w:rsidR="00E31AA2" w:rsidRDefault="002E48A5" w:rsidP="002E48A5">
      <w:pPr>
        <w:spacing w:line="360" w:lineRule="auto"/>
        <w:rPr>
          <w:i/>
        </w:rPr>
      </w:pPr>
      <w:proofErr w:type="spellStart"/>
      <w:r>
        <w:lastRenderedPageBreak/>
        <w:t>Matherne</w:t>
      </w:r>
      <w:proofErr w:type="spellEnd"/>
      <w:r>
        <w:t>, Samantha</w:t>
      </w:r>
      <w:r w:rsidR="00755A31">
        <w:t>, 2015, “</w:t>
      </w:r>
      <w:r w:rsidR="00755A31" w:rsidRPr="00755A31">
        <w:t>Images and Kant’s Theory of Perception</w:t>
      </w:r>
      <w:r w:rsidR="00755A31">
        <w:t xml:space="preserve">,” </w:t>
      </w:r>
      <w:r w:rsidR="00755A31">
        <w:rPr>
          <w:i/>
        </w:rPr>
        <w:t xml:space="preserve">Ergo: An Open Access Journal </w:t>
      </w:r>
    </w:p>
    <w:p w:rsidR="002E48A5" w:rsidRPr="00755A31" w:rsidRDefault="00755A31" w:rsidP="00E31AA2">
      <w:pPr>
        <w:spacing w:line="360" w:lineRule="auto"/>
        <w:ind w:firstLine="720"/>
      </w:pPr>
      <w:r>
        <w:rPr>
          <w:i/>
        </w:rPr>
        <w:t>of Philosophy</w:t>
      </w:r>
      <w:r>
        <w:t xml:space="preserve"> (2) 737</w:t>
      </w:r>
      <w:r w:rsidR="007A7FB6">
        <w:t>–</w:t>
      </w:r>
      <w:r>
        <w:t>77.</w:t>
      </w:r>
    </w:p>
    <w:p w:rsidR="002E48A5" w:rsidRPr="00755A31" w:rsidRDefault="002E48A5" w:rsidP="002E48A5">
      <w:pPr>
        <w:spacing w:line="360" w:lineRule="auto"/>
      </w:pPr>
      <w:proofErr w:type="spellStart"/>
      <w:r>
        <w:t>Mörchen</w:t>
      </w:r>
      <w:proofErr w:type="spellEnd"/>
      <w:r>
        <w:t>, Hermann</w:t>
      </w:r>
      <w:r w:rsidR="00755A31">
        <w:t xml:space="preserve">, 1970 </w:t>
      </w:r>
      <w:r w:rsidR="00755A31">
        <w:rPr>
          <w:i/>
        </w:rPr>
        <w:t xml:space="preserve">Die </w:t>
      </w:r>
      <w:proofErr w:type="spellStart"/>
      <w:r w:rsidR="00755A31">
        <w:rPr>
          <w:i/>
        </w:rPr>
        <w:t>Einbildungskraft</w:t>
      </w:r>
      <w:proofErr w:type="spellEnd"/>
      <w:r w:rsidR="00755A31">
        <w:rPr>
          <w:i/>
        </w:rPr>
        <w:t xml:space="preserve"> </w:t>
      </w:r>
      <w:proofErr w:type="spellStart"/>
      <w:r w:rsidR="00755A31">
        <w:rPr>
          <w:i/>
        </w:rPr>
        <w:t>bei</w:t>
      </w:r>
      <w:proofErr w:type="spellEnd"/>
      <w:r w:rsidR="00755A31">
        <w:rPr>
          <w:i/>
        </w:rPr>
        <w:t xml:space="preserve"> Kant</w:t>
      </w:r>
      <w:r w:rsidR="00755A31">
        <w:t>, 2</w:t>
      </w:r>
      <w:r w:rsidR="00755A31" w:rsidRPr="00755A31">
        <w:rPr>
          <w:vertAlign w:val="superscript"/>
        </w:rPr>
        <w:t>nd</w:t>
      </w:r>
      <w:r w:rsidR="00755A31">
        <w:t xml:space="preserve"> ed., </w:t>
      </w:r>
      <w:proofErr w:type="spellStart"/>
      <w:r w:rsidR="00755A31">
        <w:t>Tübingen</w:t>
      </w:r>
      <w:proofErr w:type="spellEnd"/>
      <w:r w:rsidR="00755A31">
        <w:t xml:space="preserve">: Max Niemeyer </w:t>
      </w:r>
      <w:proofErr w:type="spellStart"/>
      <w:r w:rsidR="00755A31">
        <w:t>Verlag</w:t>
      </w:r>
      <w:proofErr w:type="spellEnd"/>
      <w:r w:rsidR="00755A31">
        <w:t>.</w:t>
      </w:r>
    </w:p>
    <w:p w:rsidR="00250AA4" w:rsidRDefault="00D86CB6" w:rsidP="00D86CB6">
      <w:pPr>
        <w:spacing w:line="360" w:lineRule="auto"/>
      </w:pPr>
      <w:proofErr w:type="spellStart"/>
      <w:r w:rsidRPr="00D86CB6">
        <w:t>Tetens</w:t>
      </w:r>
      <w:proofErr w:type="spellEnd"/>
      <w:r w:rsidRPr="00D86CB6">
        <w:t>, Johann Nicolas</w:t>
      </w:r>
      <w:r>
        <w:t>, 1777</w:t>
      </w:r>
      <w:r w:rsidRPr="00D86CB6">
        <w:t>,</w:t>
      </w:r>
      <w:r w:rsidRPr="00D86CB6">
        <w:rPr>
          <w:i/>
        </w:rPr>
        <w:t xml:space="preserve"> </w:t>
      </w:r>
      <w:proofErr w:type="spellStart"/>
      <w:r w:rsidRPr="00D86CB6">
        <w:rPr>
          <w:i/>
        </w:rPr>
        <w:t>Philosophische</w:t>
      </w:r>
      <w:proofErr w:type="spellEnd"/>
      <w:r w:rsidRPr="00D86CB6">
        <w:rPr>
          <w:i/>
        </w:rPr>
        <w:t xml:space="preserve"> </w:t>
      </w:r>
      <w:proofErr w:type="spellStart"/>
      <w:r w:rsidRPr="00D86CB6">
        <w:rPr>
          <w:i/>
        </w:rPr>
        <w:t>Versuche</w:t>
      </w:r>
      <w:proofErr w:type="spellEnd"/>
      <w:r w:rsidRPr="00D86CB6">
        <w:rPr>
          <w:i/>
        </w:rPr>
        <w:t xml:space="preserve"> </w:t>
      </w:r>
      <w:proofErr w:type="spellStart"/>
      <w:r w:rsidRPr="00D86CB6">
        <w:rPr>
          <w:i/>
        </w:rPr>
        <w:t>über</w:t>
      </w:r>
      <w:proofErr w:type="spellEnd"/>
      <w:r w:rsidRPr="00D86CB6">
        <w:rPr>
          <w:i/>
        </w:rPr>
        <w:t xml:space="preserve"> die </w:t>
      </w:r>
      <w:proofErr w:type="spellStart"/>
      <w:r w:rsidRPr="00D86CB6">
        <w:rPr>
          <w:i/>
        </w:rPr>
        <w:t>menschliche</w:t>
      </w:r>
      <w:proofErr w:type="spellEnd"/>
      <w:r w:rsidRPr="00D86CB6">
        <w:rPr>
          <w:i/>
        </w:rPr>
        <w:t xml:space="preserve"> </w:t>
      </w:r>
      <w:proofErr w:type="spellStart"/>
      <w:r w:rsidRPr="00D86CB6">
        <w:rPr>
          <w:i/>
        </w:rPr>
        <w:t>Natur</w:t>
      </w:r>
      <w:proofErr w:type="spellEnd"/>
      <w:r w:rsidRPr="00D86CB6">
        <w:rPr>
          <w:i/>
        </w:rPr>
        <w:t xml:space="preserve"> und </w:t>
      </w:r>
      <w:proofErr w:type="spellStart"/>
      <w:r w:rsidRPr="00D86CB6">
        <w:rPr>
          <w:i/>
        </w:rPr>
        <w:t>ihre</w:t>
      </w:r>
      <w:proofErr w:type="spellEnd"/>
      <w:r w:rsidRPr="00D86CB6">
        <w:rPr>
          <w:i/>
        </w:rPr>
        <w:t xml:space="preserve"> </w:t>
      </w:r>
      <w:proofErr w:type="spellStart"/>
      <w:r w:rsidRPr="00D86CB6">
        <w:rPr>
          <w:i/>
        </w:rPr>
        <w:t>Entwicklung</w:t>
      </w:r>
      <w:proofErr w:type="spellEnd"/>
      <w:r w:rsidRPr="00D86CB6">
        <w:t xml:space="preserve">, 2 </w:t>
      </w:r>
    </w:p>
    <w:p w:rsidR="00D86CB6" w:rsidRPr="00D86CB6" w:rsidRDefault="00D86CB6" w:rsidP="00250AA4">
      <w:pPr>
        <w:spacing w:line="360" w:lineRule="auto"/>
        <w:ind w:firstLine="720"/>
      </w:pPr>
      <w:r w:rsidRPr="00D86CB6">
        <w:t>vols.</w:t>
      </w:r>
      <w:r>
        <w:t>,</w:t>
      </w:r>
      <w:r w:rsidRPr="00D86CB6">
        <w:t xml:space="preserve"> Leipzig: M.G.</w:t>
      </w:r>
      <w:r>
        <w:t xml:space="preserve"> </w:t>
      </w:r>
      <w:proofErr w:type="spellStart"/>
      <w:r>
        <w:t>Weidmanns</w:t>
      </w:r>
      <w:proofErr w:type="spellEnd"/>
      <w:r>
        <w:t xml:space="preserve"> </w:t>
      </w:r>
      <w:proofErr w:type="spellStart"/>
      <w:r>
        <w:t>Erben</w:t>
      </w:r>
      <w:proofErr w:type="spellEnd"/>
      <w:r>
        <w:t xml:space="preserve"> und Reich</w:t>
      </w:r>
      <w:r w:rsidRPr="00D86CB6">
        <w:t>; re</w:t>
      </w:r>
      <w:r>
        <w:t>printed, Hildesheim: Olms, 1979</w:t>
      </w:r>
      <w:r w:rsidRPr="00D86CB6">
        <w:t xml:space="preserve">. </w:t>
      </w:r>
    </w:p>
    <w:p w:rsidR="00250AA4" w:rsidRDefault="002E48A5" w:rsidP="002E48A5">
      <w:pPr>
        <w:spacing w:line="360" w:lineRule="auto"/>
        <w:rPr>
          <w:i/>
        </w:rPr>
      </w:pPr>
      <w:r>
        <w:t>Watkins</w:t>
      </w:r>
      <w:r w:rsidR="00250AA4">
        <w:t>, Eric</w:t>
      </w:r>
      <w:r>
        <w:t xml:space="preserve"> and </w:t>
      </w:r>
      <w:proofErr w:type="spellStart"/>
      <w:r>
        <w:t>Willaschek</w:t>
      </w:r>
      <w:proofErr w:type="spellEnd"/>
      <w:r w:rsidR="00250AA4">
        <w:t xml:space="preserve">, Marcus, 2017, “Kant’s Account of Cognition,” </w:t>
      </w:r>
      <w:r w:rsidR="00250AA4">
        <w:rPr>
          <w:i/>
        </w:rPr>
        <w:t xml:space="preserve">Journal of the History of </w:t>
      </w:r>
    </w:p>
    <w:p w:rsidR="002E48A5" w:rsidRPr="00250AA4" w:rsidRDefault="00250AA4" w:rsidP="00250AA4">
      <w:pPr>
        <w:spacing w:line="360" w:lineRule="auto"/>
        <w:ind w:firstLine="720"/>
      </w:pPr>
      <w:r>
        <w:rPr>
          <w:i/>
        </w:rPr>
        <w:t>Philosophy</w:t>
      </w:r>
      <w:r>
        <w:t xml:space="preserve"> (55), 83</w:t>
      </w:r>
      <w:r w:rsidR="007A7FB6">
        <w:t>–</w:t>
      </w:r>
      <w:r>
        <w:t>112.</w:t>
      </w:r>
    </w:p>
    <w:p w:rsidR="00250AA4" w:rsidRPr="00250AA4" w:rsidRDefault="002E48A5" w:rsidP="00250AA4">
      <w:pPr>
        <w:spacing w:line="360" w:lineRule="auto"/>
        <w:rPr>
          <w:bCs/>
        </w:rPr>
      </w:pPr>
      <w:proofErr w:type="spellStart"/>
      <w:r>
        <w:t>Wunsch</w:t>
      </w:r>
      <w:proofErr w:type="spellEnd"/>
      <w:r>
        <w:t>, Matthias</w:t>
      </w:r>
      <w:r w:rsidR="00250AA4">
        <w:t>, 2007,</w:t>
      </w:r>
      <w:r w:rsidR="00250AA4" w:rsidRPr="00250AA4">
        <w:rPr>
          <w:i/>
        </w:rPr>
        <w:t xml:space="preserve"> </w:t>
      </w:r>
      <w:proofErr w:type="spellStart"/>
      <w:r w:rsidR="00250AA4" w:rsidRPr="00250AA4">
        <w:rPr>
          <w:bCs/>
          <w:i/>
        </w:rPr>
        <w:t>Einbildungskraft</w:t>
      </w:r>
      <w:proofErr w:type="spellEnd"/>
      <w:r w:rsidR="00250AA4" w:rsidRPr="00250AA4">
        <w:rPr>
          <w:bCs/>
          <w:i/>
        </w:rPr>
        <w:t xml:space="preserve"> und </w:t>
      </w:r>
      <w:proofErr w:type="spellStart"/>
      <w:r w:rsidR="00250AA4" w:rsidRPr="00250AA4">
        <w:rPr>
          <w:bCs/>
          <w:i/>
        </w:rPr>
        <w:t>Erfahrung</w:t>
      </w:r>
      <w:proofErr w:type="spellEnd"/>
      <w:r w:rsidR="00250AA4" w:rsidRPr="00250AA4">
        <w:rPr>
          <w:bCs/>
          <w:i/>
        </w:rPr>
        <w:t xml:space="preserve"> </w:t>
      </w:r>
      <w:proofErr w:type="spellStart"/>
      <w:r w:rsidR="00250AA4" w:rsidRPr="00250AA4">
        <w:rPr>
          <w:bCs/>
          <w:i/>
        </w:rPr>
        <w:t>bei</w:t>
      </w:r>
      <w:proofErr w:type="spellEnd"/>
      <w:r w:rsidR="00250AA4" w:rsidRPr="00250AA4">
        <w:rPr>
          <w:bCs/>
          <w:i/>
        </w:rPr>
        <w:t xml:space="preserve"> Kant</w:t>
      </w:r>
      <w:r w:rsidR="00250AA4">
        <w:rPr>
          <w:bCs/>
        </w:rPr>
        <w:t xml:space="preserve">, Berlin: </w:t>
      </w:r>
      <w:proofErr w:type="spellStart"/>
      <w:r w:rsidR="00250AA4">
        <w:rPr>
          <w:bCs/>
        </w:rPr>
        <w:t>DeGruyter</w:t>
      </w:r>
      <w:proofErr w:type="spellEnd"/>
      <w:r w:rsidR="00250AA4">
        <w:rPr>
          <w:bCs/>
        </w:rPr>
        <w:t>.</w:t>
      </w:r>
    </w:p>
    <w:p w:rsidR="002E48A5" w:rsidRDefault="002E48A5" w:rsidP="002E48A5">
      <w:pPr>
        <w:spacing w:line="360" w:lineRule="auto"/>
      </w:pPr>
    </w:p>
    <w:p w:rsidR="002E48A5" w:rsidRDefault="002E48A5" w:rsidP="002E48A5">
      <w:pPr>
        <w:spacing w:line="360" w:lineRule="auto"/>
      </w:pPr>
    </w:p>
    <w:p w:rsidR="002E48A5" w:rsidRDefault="002E48A5" w:rsidP="008A0C33">
      <w:pPr>
        <w:spacing w:line="360" w:lineRule="auto"/>
        <w:rPr>
          <w:iCs/>
        </w:rPr>
      </w:pPr>
    </w:p>
    <w:sectPr w:rsidR="002E48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672" w:rsidRDefault="00B80672" w:rsidP="008464ED">
      <w:r>
        <w:separator/>
      </w:r>
    </w:p>
  </w:endnote>
  <w:endnote w:type="continuationSeparator" w:id="0">
    <w:p w:rsidR="00B80672" w:rsidRDefault="00B80672" w:rsidP="0084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672" w:rsidRDefault="00B80672" w:rsidP="008464ED">
      <w:r>
        <w:separator/>
      </w:r>
    </w:p>
  </w:footnote>
  <w:footnote w:type="continuationSeparator" w:id="0">
    <w:p w:rsidR="00B80672" w:rsidRDefault="00B80672" w:rsidP="008464ED">
      <w:r>
        <w:continuationSeparator/>
      </w:r>
    </w:p>
  </w:footnote>
  <w:footnote w:id="1">
    <w:p w:rsidR="00460E94" w:rsidRDefault="00460E94">
      <w:pPr>
        <w:pStyle w:val="FootnoteText"/>
      </w:pPr>
      <w:r>
        <w:rPr>
          <w:rStyle w:val="FootnoteReference"/>
        </w:rPr>
        <w:footnoteRef/>
      </w:r>
      <w:r w:rsidR="009D77D1">
        <w:t xml:space="preserve"> These include </w:t>
      </w:r>
      <w:proofErr w:type="spellStart"/>
      <w:r w:rsidR="009D77D1">
        <w:t>Wunsch</w:t>
      </w:r>
      <w:proofErr w:type="spellEnd"/>
      <w:r w:rsidR="009D77D1">
        <w:t xml:space="preserve"> 2007</w:t>
      </w:r>
      <w:r w:rsidR="00EF097B">
        <w:t>,</w:t>
      </w:r>
      <w:r w:rsidR="00755A31">
        <w:t xml:space="preserve"> </w:t>
      </w:r>
      <w:proofErr w:type="spellStart"/>
      <w:r w:rsidR="00755A31">
        <w:t>Matherne</w:t>
      </w:r>
      <w:proofErr w:type="spellEnd"/>
      <w:r w:rsidR="00755A31">
        <w:t xml:space="preserve"> 2015</w:t>
      </w:r>
      <w:r w:rsidR="009D77D1">
        <w:t xml:space="preserve">, and </w:t>
      </w:r>
      <w:proofErr w:type="spellStart"/>
      <w:r w:rsidR="009D77D1">
        <w:t>Horstmann</w:t>
      </w:r>
      <w:proofErr w:type="spellEnd"/>
      <w:r w:rsidR="009D77D1">
        <w:t xml:space="preserve"> 2018</w:t>
      </w:r>
      <w:r w:rsidR="00EF097B">
        <w:t>.</w:t>
      </w:r>
    </w:p>
  </w:footnote>
  <w:footnote w:id="2">
    <w:p w:rsidR="00F16628" w:rsidRPr="00BE1994" w:rsidRDefault="00F16628" w:rsidP="007C23DC">
      <w:pPr>
        <w:pStyle w:val="FootnoteText"/>
      </w:pPr>
      <w:r>
        <w:rPr>
          <w:rStyle w:val="FootnoteReference"/>
        </w:rPr>
        <w:footnoteRef/>
      </w:r>
      <w:r>
        <w:t xml:space="preserve"> In what follows, I have preferred to make use of the German original to more easily highlight the etymological connection between the various sub-faculties of the </w:t>
      </w:r>
      <w:proofErr w:type="spellStart"/>
      <w:r>
        <w:rPr>
          <w:i/>
        </w:rPr>
        <w:t>Bildungsvermögen</w:t>
      </w:r>
      <w:proofErr w:type="spellEnd"/>
      <w:r>
        <w:t xml:space="preserve"> (and for reasons relating to the use of the term ‘imagination’ which will become clear in what follows). Through his career, Kant uses ‘</w:t>
      </w:r>
      <w:proofErr w:type="spellStart"/>
      <w:r>
        <w:rPr>
          <w:i/>
        </w:rPr>
        <w:t>bildende</w:t>
      </w:r>
      <w:proofErr w:type="spellEnd"/>
      <w:r>
        <w:rPr>
          <w:i/>
        </w:rPr>
        <w:t xml:space="preserve"> Kraft</w:t>
      </w:r>
      <w:r>
        <w:t xml:space="preserve">’ designate a faculty of both epistemological and biological significance; Ina Goy </w:t>
      </w:r>
      <w:r w:rsidR="00FA2E1D">
        <w:t xml:space="preserve">(2012) </w:t>
      </w:r>
      <w:r>
        <w:t xml:space="preserve">tracks Kant’s various accounts (albeit without reference to the discussion in the </w:t>
      </w:r>
      <w:r>
        <w:rPr>
          <w:i/>
        </w:rPr>
        <w:t>Anthropologie</w:t>
      </w:r>
      <w:r w:rsidR="00FA2E1D">
        <w:t xml:space="preserve"> lectures)</w:t>
      </w:r>
      <w:r>
        <w:t xml:space="preserve">. </w:t>
      </w:r>
    </w:p>
  </w:footnote>
  <w:footnote w:id="3">
    <w:p w:rsidR="00F16628" w:rsidRPr="007C23DC" w:rsidRDefault="00F16628">
      <w:pPr>
        <w:pStyle w:val="FootnoteText"/>
      </w:pPr>
      <w:r>
        <w:rPr>
          <w:rStyle w:val="FootnoteReference"/>
        </w:rPr>
        <w:footnoteRef/>
      </w:r>
      <w:r>
        <w:t xml:space="preserve"> </w:t>
      </w:r>
      <w:proofErr w:type="spellStart"/>
      <w:r>
        <w:t>Makkreel</w:t>
      </w:r>
      <w:proofErr w:type="spellEnd"/>
      <w:r>
        <w:t xml:space="preserve"> (1990: 13) suggests a distinction between the terms (where the </w:t>
      </w:r>
      <w:proofErr w:type="spellStart"/>
      <w:r>
        <w:rPr>
          <w:i/>
        </w:rPr>
        <w:t>bildende</w:t>
      </w:r>
      <w:proofErr w:type="spellEnd"/>
      <w:r>
        <w:rPr>
          <w:i/>
        </w:rPr>
        <w:t xml:space="preserve"> Kraft</w:t>
      </w:r>
      <w:r>
        <w:t xml:space="preserve"> designates the use of the </w:t>
      </w:r>
      <w:proofErr w:type="spellStart"/>
      <w:r>
        <w:rPr>
          <w:i/>
        </w:rPr>
        <w:t>Bildungsvermögen</w:t>
      </w:r>
      <w:proofErr w:type="spellEnd"/>
      <w:r>
        <w:rPr>
          <w:i/>
        </w:rPr>
        <w:t xml:space="preserve"> </w:t>
      </w:r>
      <w:r>
        <w:t xml:space="preserve">with respect to “given objects”; cf. </w:t>
      </w:r>
      <w:proofErr w:type="spellStart"/>
      <w:r w:rsidR="001240D0" w:rsidRPr="001240D0">
        <w:rPr>
          <w:i/>
        </w:rPr>
        <w:t>Refl</w:t>
      </w:r>
      <w:proofErr w:type="spellEnd"/>
      <w:r w:rsidR="001240D0">
        <w:t xml:space="preserve"> 330 </w:t>
      </w:r>
      <w:r>
        <w:t xml:space="preserve">15:130); however, Kant also uses the former to designate the faculty as a whole (see, for instance, </w:t>
      </w:r>
      <w:r w:rsidR="00A34696" w:rsidRPr="00A34696">
        <w:rPr>
          <w:i/>
        </w:rPr>
        <w:t>Met-L1</w:t>
      </w:r>
      <w:r>
        <w:t xml:space="preserve"> 28:230 and 235).</w:t>
      </w:r>
    </w:p>
  </w:footnote>
  <w:footnote w:id="4">
    <w:p w:rsidR="00F16628" w:rsidRDefault="00F16628">
      <w:pPr>
        <w:pStyle w:val="FootnoteText"/>
      </w:pPr>
      <w:r>
        <w:rPr>
          <w:rStyle w:val="FootnoteReference"/>
        </w:rPr>
        <w:footnoteRef/>
      </w:r>
      <w:r>
        <w:t xml:space="preserve"> Andrew Stephenson has recently </w:t>
      </w:r>
      <w:r w:rsidR="002D3BB6">
        <w:t>emphasized</w:t>
      </w:r>
      <w:r>
        <w:t xml:space="preserve"> that Kant continues to classify the imagination as a faculty of sensibility in the Critical-period lectures and notes; see Stephenson (2015</w:t>
      </w:r>
      <w:r w:rsidR="00A34696">
        <w:t>:</w:t>
      </w:r>
      <w:r>
        <w:t>496–8</w:t>
      </w:r>
      <w:r w:rsidR="00E62640">
        <w:t xml:space="preserve">; and cf. </w:t>
      </w:r>
      <w:proofErr w:type="spellStart"/>
      <w:r w:rsidR="00E62640">
        <w:t>Mörchen</w:t>
      </w:r>
      <w:proofErr w:type="spellEnd"/>
      <w:r w:rsidR="00E62640">
        <w:t xml:space="preserve"> 19</w:t>
      </w:r>
      <w:r w:rsidR="004A0130">
        <w:t>7</w:t>
      </w:r>
      <w:r w:rsidR="00E62640">
        <w:t>0:15, and Aquila 1987:80 and n4</w:t>
      </w:r>
      <w:r w:rsidR="00A30931">
        <w:t xml:space="preserve"> for a similar </w:t>
      </w:r>
      <w:r w:rsidR="0014648B">
        <w:t>emphasis</w:t>
      </w:r>
      <w:r>
        <w:t xml:space="preserve">). See also </w:t>
      </w:r>
      <w:r w:rsidR="00A34696" w:rsidRPr="00A34696">
        <w:rPr>
          <w:i/>
        </w:rPr>
        <w:t>Met-L1</w:t>
      </w:r>
      <w:r>
        <w:t xml:space="preserve"> 28:231, where the notes read “</w:t>
      </w:r>
      <w:proofErr w:type="spellStart"/>
      <w:r>
        <w:t>Diese</w:t>
      </w:r>
      <w:proofErr w:type="spellEnd"/>
      <w:r>
        <w:t xml:space="preserve"> </w:t>
      </w:r>
      <w:proofErr w:type="spellStart"/>
      <w:r>
        <w:t>bildende</w:t>
      </w:r>
      <w:proofErr w:type="spellEnd"/>
      <w:r>
        <w:t xml:space="preserve"> Kraft, die </w:t>
      </w:r>
      <w:proofErr w:type="spellStart"/>
      <w:r>
        <w:t>zur</w:t>
      </w:r>
      <w:proofErr w:type="spellEnd"/>
      <w:r>
        <w:t xml:space="preserve"> </w:t>
      </w:r>
      <w:proofErr w:type="spellStart"/>
      <w:r>
        <w:t>Sinnlichkeit</w:t>
      </w:r>
      <w:proofErr w:type="spellEnd"/>
      <w:r>
        <w:t xml:space="preserve"> </w:t>
      </w:r>
      <w:proofErr w:type="spellStart"/>
      <w:r>
        <w:t>gehört</w:t>
      </w:r>
      <w:proofErr w:type="spellEnd"/>
      <w:r>
        <w:t xml:space="preserve">, </w:t>
      </w:r>
      <w:proofErr w:type="spellStart"/>
      <w:r>
        <w:t>ist</w:t>
      </w:r>
      <w:proofErr w:type="spellEnd"/>
      <w:r>
        <w:t xml:space="preserve"> </w:t>
      </w:r>
      <w:proofErr w:type="spellStart"/>
      <w:r>
        <w:t>unterschieden</w:t>
      </w:r>
      <w:proofErr w:type="spellEnd"/>
      <w:r>
        <w:t xml:space="preserve"> von der </w:t>
      </w:r>
      <w:proofErr w:type="spellStart"/>
      <w:r>
        <w:t>denkenden</w:t>
      </w:r>
      <w:proofErr w:type="spellEnd"/>
      <w:r>
        <w:t xml:space="preserve"> Kraft, die </w:t>
      </w:r>
      <w:proofErr w:type="spellStart"/>
      <w:r>
        <w:t>zum</w:t>
      </w:r>
      <w:proofErr w:type="spellEnd"/>
      <w:r>
        <w:t xml:space="preserve"> </w:t>
      </w:r>
      <w:proofErr w:type="spellStart"/>
      <w:r>
        <w:t>Verstande</w:t>
      </w:r>
      <w:proofErr w:type="spellEnd"/>
      <w:r>
        <w:t xml:space="preserve"> </w:t>
      </w:r>
      <w:proofErr w:type="spellStart"/>
      <w:r>
        <w:t>gehört</w:t>
      </w:r>
      <w:proofErr w:type="spellEnd"/>
      <w:r>
        <w:t>.”</w:t>
      </w:r>
    </w:p>
  </w:footnote>
  <w:footnote w:id="5">
    <w:p w:rsidR="00F16628" w:rsidRDefault="00F16628">
      <w:pPr>
        <w:pStyle w:val="FootnoteText"/>
      </w:pPr>
      <w:r>
        <w:rPr>
          <w:rStyle w:val="FootnoteReference"/>
        </w:rPr>
        <w:footnoteRef/>
      </w:r>
      <w:r>
        <w:t xml:space="preserve"> See, however, </w:t>
      </w:r>
      <w:proofErr w:type="spellStart"/>
      <w:r w:rsidRPr="0014648B">
        <w:rPr>
          <w:i/>
        </w:rPr>
        <w:t>A</w:t>
      </w:r>
      <w:r w:rsidR="0014648B">
        <w:rPr>
          <w:i/>
        </w:rPr>
        <w:t>nth-</w:t>
      </w:r>
      <w:r w:rsidRPr="0014648B">
        <w:rPr>
          <w:i/>
        </w:rPr>
        <w:t>P</w:t>
      </w:r>
      <w:r w:rsidR="0014648B">
        <w:rPr>
          <w:i/>
        </w:rPr>
        <w:t>arow</w:t>
      </w:r>
      <w:proofErr w:type="spellEnd"/>
      <w:r>
        <w:t xml:space="preserve"> 25:305. </w:t>
      </w:r>
    </w:p>
  </w:footnote>
  <w:footnote w:id="6">
    <w:p w:rsidR="00F16628" w:rsidRPr="00000C83" w:rsidRDefault="00F16628">
      <w:pPr>
        <w:pStyle w:val="FootnoteText"/>
      </w:pPr>
      <w:r>
        <w:rPr>
          <w:rStyle w:val="FootnoteReference"/>
        </w:rPr>
        <w:footnoteRef/>
      </w:r>
      <w:r>
        <w:t xml:space="preserve"> Here see again MK 25:945 (though contrast </w:t>
      </w:r>
      <w:proofErr w:type="spellStart"/>
      <w:r w:rsidR="00A34696" w:rsidRPr="00A34696">
        <w:rPr>
          <w:i/>
        </w:rPr>
        <w:t>Anth</w:t>
      </w:r>
      <w:proofErr w:type="spellEnd"/>
      <w:r w:rsidR="00A34696" w:rsidRPr="00A34696">
        <w:rPr>
          <w:i/>
        </w:rPr>
        <w:t>-Bus</w:t>
      </w:r>
      <w:r>
        <w:t xml:space="preserve"> 25:1456), and as in </w:t>
      </w:r>
      <w:r w:rsidR="00A34696" w:rsidRPr="00A34696">
        <w:rPr>
          <w:i/>
        </w:rPr>
        <w:t>Met-L1</w:t>
      </w:r>
      <w:r>
        <w:t xml:space="preserve"> (28:237), this distinction is likewise behind Kant’s distinction between </w:t>
      </w:r>
      <w:proofErr w:type="spellStart"/>
      <w:r>
        <w:rPr>
          <w:i/>
        </w:rPr>
        <w:t>Nachbildung</w:t>
      </w:r>
      <w:proofErr w:type="spellEnd"/>
      <w:r>
        <w:rPr>
          <w:i/>
        </w:rPr>
        <w:t xml:space="preserve"> </w:t>
      </w:r>
      <w:r>
        <w:t xml:space="preserve">and </w:t>
      </w:r>
      <w:proofErr w:type="spellStart"/>
      <w:r>
        <w:rPr>
          <w:i/>
        </w:rPr>
        <w:t>Einbildung</w:t>
      </w:r>
      <w:proofErr w:type="spellEnd"/>
      <w:r>
        <w:t xml:space="preserve"> or </w:t>
      </w:r>
      <w:proofErr w:type="spellStart"/>
      <w:r>
        <w:rPr>
          <w:i/>
        </w:rPr>
        <w:t>Dichtung</w:t>
      </w:r>
      <w:proofErr w:type="spellEnd"/>
      <w:r>
        <w:t xml:space="preserve"> at </w:t>
      </w:r>
      <w:proofErr w:type="spellStart"/>
      <w:r w:rsidR="009D77D1" w:rsidRPr="009D77D1">
        <w:rPr>
          <w:i/>
        </w:rPr>
        <w:t>Anth-Coll</w:t>
      </w:r>
      <w:proofErr w:type="spellEnd"/>
      <w:r>
        <w:t xml:space="preserve"> 25:87 and 95, </w:t>
      </w:r>
      <w:r w:rsidR="00E62640">
        <w:t xml:space="preserve">and </w:t>
      </w:r>
      <w:proofErr w:type="spellStart"/>
      <w:r w:rsidR="009D77D1" w:rsidRPr="009D77D1">
        <w:rPr>
          <w:i/>
        </w:rPr>
        <w:t>Anth-Parow</w:t>
      </w:r>
      <w:proofErr w:type="spellEnd"/>
      <w:r>
        <w:t xml:space="preserve"> 25:305. Kant sometimes refers to the entire “productive” faculty of the </w:t>
      </w:r>
      <w:proofErr w:type="spellStart"/>
      <w:r>
        <w:rPr>
          <w:i/>
        </w:rPr>
        <w:t>Bildungsvermögen</w:t>
      </w:r>
      <w:proofErr w:type="spellEnd"/>
      <w:r>
        <w:rPr>
          <w:i/>
        </w:rPr>
        <w:t xml:space="preserve"> </w:t>
      </w:r>
      <w:r>
        <w:t xml:space="preserve">as the </w:t>
      </w:r>
      <w:proofErr w:type="spellStart"/>
      <w:r>
        <w:rPr>
          <w:i/>
        </w:rPr>
        <w:t>Einbildungsvermögen</w:t>
      </w:r>
      <w:proofErr w:type="spellEnd"/>
      <w:r>
        <w:t xml:space="preserve"> (as at </w:t>
      </w:r>
      <w:proofErr w:type="spellStart"/>
      <w:r w:rsidR="009D77D1" w:rsidRPr="009D77D1">
        <w:rPr>
          <w:i/>
        </w:rPr>
        <w:t>Anth-Coll</w:t>
      </w:r>
      <w:proofErr w:type="spellEnd"/>
      <w:r>
        <w:t xml:space="preserve"> 25:87, and </w:t>
      </w:r>
      <w:r w:rsidR="00A34696" w:rsidRPr="00A34696">
        <w:rPr>
          <w:i/>
        </w:rPr>
        <w:t>Met-L1</w:t>
      </w:r>
      <w:r>
        <w:t xml:space="preserve"> 28:237).</w:t>
      </w:r>
    </w:p>
  </w:footnote>
  <w:footnote w:id="7">
    <w:p w:rsidR="00F16628" w:rsidRPr="00B83CEE" w:rsidRDefault="00F16628">
      <w:pPr>
        <w:pStyle w:val="FootnoteText"/>
      </w:pPr>
      <w:r>
        <w:rPr>
          <w:rStyle w:val="FootnoteReference"/>
        </w:rPr>
        <w:footnoteRef/>
      </w:r>
      <w:r>
        <w:t xml:space="preserve"> The translations here are adapted from those of </w:t>
      </w:r>
      <w:proofErr w:type="spellStart"/>
      <w:r>
        <w:t>Makkreel</w:t>
      </w:r>
      <w:proofErr w:type="spellEnd"/>
      <w:r>
        <w:t xml:space="preserve"> (1990</w:t>
      </w:r>
      <w:r w:rsidR="00A34696">
        <w:t>:</w:t>
      </w:r>
      <w:r>
        <w:t xml:space="preserve">13–14). As documented by </w:t>
      </w:r>
      <w:proofErr w:type="spellStart"/>
      <w:r>
        <w:t>Makkreel</w:t>
      </w:r>
      <w:proofErr w:type="spellEnd"/>
      <w:r>
        <w:t xml:space="preserve">, Kant also distinguishes </w:t>
      </w:r>
      <w:proofErr w:type="spellStart"/>
      <w:r>
        <w:rPr>
          <w:i/>
        </w:rPr>
        <w:t>Einbildung</w:t>
      </w:r>
      <w:proofErr w:type="spellEnd"/>
      <w:r>
        <w:t xml:space="preserve">, </w:t>
      </w:r>
      <w:proofErr w:type="spellStart"/>
      <w:r>
        <w:rPr>
          <w:i/>
        </w:rPr>
        <w:t>Gegenbildung</w:t>
      </w:r>
      <w:proofErr w:type="spellEnd"/>
      <w:r>
        <w:t xml:space="preserve">, and </w:t>
      </w:r>
      <w:proofErr w:type="spellStart"/>
      <w:r>
        <w:rPr>
          <w:i/>
        </w:rPr>
        <w:t>Ausbildung</w:t>
      </w:r>
      <w:proofErr w:type="spellEnd"/>
      <w:r>
        <w:t xml:space="preserve">, which I have not included here. </w:t>
      </w:r>
      <w:proofErr w:type="spellStart"/>
      <w:r>
        <w:rPr>
          <w:i/>
        </w:rPr>
        <w:t>Einbildung</w:t>
      </w:r>
      <w:proofErr w:type="spellEnd"/>
      <w:r>
        <w:t xml:space="preserve"> relates to the </w:t>
      </w:r>
      <w:proofErr w:type="spellStart"/>
      <w:r>
        <w:rPr>
          <w:i/>
        </w:rPr>
        <w:t>Einbildungskraft</w:t>
      </w:r>
      <w:proofErr w:type="spellEnd"/>
      <w:r>
        <w:t>/</w:t>
      </w:r>
      <w:proofErr w:type="spellStart"/>
      <w:r>
        <w:rPr>
          <w:i/>
        </w:rPr>
        <w:t>Vermögen</w:t>
      </w:r>
      <w:proofErr w:type="spellEnd"/>
      <w:r>
        <w:rPr>
          <w:i/>
        </w:rPr>
        <w:t xml:space="preserve"> der </w:t>
      </w:r>
      <w:proofErr w:type="spellStart"/>
      <w:r>
        <w:rPr>
          <w:i/>
        </w:rPr>
        <w:t>Einbildung</w:t>
      </w:r>
      <w:proofErr w:type="spellEnd"/>
      <w:r>
        <w:rPr>
          <w:i/>
        </w:rPr>
        <w:t xml:space="preserve"> </w:t>
      </w:r>
      <w:r>
        <w:t xml:space="preserve">and so will be discussed later; </w:t>
      </w:r>
      <w:proofErr w:type="spellStart"/>
      <w:r>
        <w:rPr>
          <w:i/>
        </w:rPr>
        <w:t>Gegenbildung</w:t>
      </w:r>
      <w:proofErr w:type="spellEnd"/>
      <w:r>
        <w:t xml:space="preserve"> (or the </w:t>
      </w:r>
      <w:proofErr w:type="spellStart"/>
      <w:r>
        <w:rPr>
          <w:i/>
        </w:rPr>
        <w:t>Vermögen</w:t>
      </w:r>
      <w:proofErr w:type="spellEnd"/>
      <w:r>
        <w:rPr>
          <w:i/>
        </w:rPr>
        <w:t xml:space="preserve"> der </w:t>
      </w:r>
      <w:proofErr w:type="spellStart"/>
      <w:r>
        <w:rPr>
          <w:i/>
        </w:rPr>
        <w:t>Characteristik</w:t>
      </w:r>
      <w:proofErr w:type="spellEnd"/>
      <w:r>
        <w:t xml:space="preserve"> [</w:t>
      </w:r>
      <w:r w:rsidR="00A34696" w:rsidRPr="00A34696">
        <w:rPr>
          <w:i/>
        </w:rPr>
        <w:t>Met-L1</w:t>
      </w:r>
      <w:r>
        <w:t xml:space="preserve"> 28:237]or </w:t>
      </w:r>
      <w:proofErr w:type="spellStart"/>
      <w:r>
        <w:rPr>
          <w:i/>
        </w:rPr>
        <w:t>facultas</w:t>
      </w:r>
      <w:proofErr w:type="spellEnd"/>
      <w:r>
        <w:rPr>
          <w:i/>
        </w:rPr>
        <w:t xml:space="preserve"> </w:t>
      </w:r>
      <w:proofErr w:type="spellStart"/>
      <w:r>
        <w:rPr>
          <w:i/>
        </w:rPr>
        <w:t>signandi</w:t>
      </w:r>
      <w:proofErr w:type="spellEnd"/>
      <w:r>
        <w:rPr>
          <w:i/>
        </w:rPr>
        <w:t xml:space="preserve"> </w:t>
      </w:r>
      <w:r>
        <w:t>[</w:t>
      </w:r>
      <w:r w:rsidR="00A34696" w:rsidRPr="00A34696">
        <w:rPr>
          <w:i/>
        </w:rPr>
        <w:t>Met-L1</w:t>
      </w:r>
      <w:r>
        <w:t xml:space="preserve"> 28:230]) seems to be the Kantian equivalent of </w:t>
      </w:r>
      <w:proofErr w:type="spellStart"/>
      <w:r>
        <w:t>Baumgarten’s</w:t>
      </w:r>
      <w:proofErr w:type="spellEnd"/>
      <w:r>
        <w:t xml:space="preserve"> </w:t>
      </w:r>
      <w:proofErr w:type="spellStart"/>
      <w:r>
        <w:rPr>
          <w:i/>
        </w:rPr>
        <w:t>facultas</w:t>
      </w:r>
      <w:proofErr w:type="spellEnd"/>
      <w:r>
        <w:rPr>
          <w:i/>
        </w:rPr>
        <w:t xml:space="preserve"> </w:t>
      </w:r>
      <w:proofErr w:type="spellStart"/>
      <w:r>
        <w:rPr>
          <w:i/>
        </w:rPr>
        <w:t>characteristica</w:t>
      </w:r>
      <w:proofErr w:type="spellEnd"/>
      <w:r>
        <w:t xml:space="preserve"> (</w:t>
      </w:r>
      <w:proofErr w:type="spellStart"/>
      <w:r>
        <w:t>Baumgarten</w:t>
      </w:r>
      <w:proofErr w:type="spellEnd"/>
      <w:r>
        <w:t xml:space="preserve">, </w:t>
      </w:r>
      <w:proofErr w:type="spellStart"/>
      <w:r>
        <w:rPr>
          <w:i/>
        </w:rPr>
        <w:t>Metaphysica</w:t>
      </w:r>
      <w:proofErr w:type="spellEnd"/>
      <w:r>
        <w:t xml:space="preserve"> §619)</w:t>
      </w:r>
      <w:r w:rsidR="00BE12C5">
        <w:t xml:space="preserve"> and not proper to the imaginative faculty</w:t>
      </w:r>
      <w:r>
        <w:t>;</w:t>
      </w:r>
      <w:r w:rsidR="00BE12C5">
        <w:t xml:space="preserve"> and</w:t>
      </w:r>
      <w:r>
        <w:t xml:space="preserve"> </w:t>
      </w:r>
      <w:proofErr w:type="spellStart"/>
      <w:r>
        <w:rPr>
          <w:i/>
        </w:rPr>
        <w:t>Ausbildung</w:t>
      </w:r>
      <w:proofErr w:type="spellEnd"/>
      <w:r>
        <w:t xml:space="preserve"> (</w:t>
      </w:r>
      <w:proofErr w:type="spellStart"/>
      <w:r>
        <w:rPr>
          <w:i/>
        </w:rPr>
        <w:t>facultas</w:t>
      </w:r>
      <w:proofErr w:type="spellEnd"/>
      <w:r>
        <w:rPr>
          <w:i/>
        </w:rPr>
        <w:t xml:space="preserve"> </w:t>
      </w:r>
      <w:proofErr w:type="spellStart"/>
      <w:r>
        <w:rPr>
          <w:i/>
        </w:rPr>
        <w:t>componendi</w:t>
      </w:r>
      <w:proofErr w:type="spellEnd"/>
      <w:r>
        <w:t xml:space="preserve"> [</w:t>
      </w:r>
      <w:r w:rsidR="00A34696" w:rsidRPr="00A34696">
        <w:rPr>
          <w:i/>
        </w:rPr>
        <w:t>Met-L1</w:t>
      </w:r>
      <w:r>
        <w:t xml:space="preserve"> 28:230] or</w:t>
      </w:r>
      <w:r w:rsidR="00AC2067">
        <w:t xml:space="preserve"> also</w:t>
      </w:r>
      <w:r>
        <w:t xml:space="preserve"> </w:t>
      </w:r>
      <w:proofErr w:type="spellStart"/>
      <w:r>
        <w:rPr>
          <w:i/>
        </w:rPr>
        <w:t>perficiendi</w:t>
      </w:r>
      <w:proofErr w:type="spellEnd"/>
      <w:r w:rsidR="001240D0">
        <w:t xml:space="preserve"> [</w:t>
      </w:r>
      <w:proofErr w:type="spellStart"/>
      <w:r w:rsidR="001240D0" w:rsidRPr="001240D0">
        <w:rPr>
          <w:i/>
        </w:rPr>
        <w:t>Refl</w:t>
      </w:r>
      <w:proofErr w:type="spellEnd"/>
      <w:r w:rsidR="00A34696">
        <w:t xml:space="preserve"> 313a</w:t>
      </w:r>
      <w:r w:rsidR="001240D0">
        <w:t xml:space="preserve"> 15:123,</w:t>
      </w:r>
      <w:r>
        <w:t>]</w:t>
      </w:r>
      <w:r w:rsidR="00273FA2">
        <w:t xml:space="preserve"> and </w:t>
      </w:r>
      <w:proofErr w:type="spellStart"/>
      <w:r w:rsidR="009D77D1" w:rsidRPr="009D77D1">
        <w:rPr>
          <w:i/>
        </w:rPr>
        <w:t>Anth</w:t>
      </w:r>
      <w:proofErr w:type="spellEnd"/>
      <w:r w:rsidR="009D77D1" w:rsidRPr="009D77D1">
        <w:rPr>
          <w:i/>
        </w:rPr>
        <w:t>-Fried</w:t>
      </w:r>
      <w:r w:rsidR="00273FA2">
        <w:t xml:space="preserve"> 25:512</w:t>
      </w:r>
      <w:r>
        <w:t>) does not</w:t>
      </w:r>
      <w:r w:rsidR="00E22827">
        <w:t xml:space="preserve"> appear to find</w:t>
      </w:r>
      <w:r>
        <w:t xml:space="preserve"> a clear precedent </w:t>
      </w:r>
      <w:r w:rsidR="00E22827">
        <w:t xml:space="preserve">as a </w:t>
      </w:r>
      <w:r>
        <w:t xml:space="preserve">cognitive function in </w:t>
      </w:r>
      <w:proofErr w:type="spellStart"/>
      <w:r>
        <w:t>Baumgarten</w:t>
      </w:r>
      <w:proofErr w:type="spellEnd"/>
      <w:r>
        <w:t xml:space="preserve"> or </w:t>
      </w:r>
      <w:r w:rsidR="00E22827">
        <w:t>elsewhere (though</w:t>
      </w:r>
      <w:r w:rsidR="00BE12C5">
        <w:t xml:space="preserve"> arguably it does belong among the reproductive power of the imaginative faculty—on this, see section 2</w:t>
      </w:r>
      <w:r w:rsidR="00E22827">
        <w:t xml:space="preserve"> below).</w:t>
      </w:r>
    </w:p>
  </w:footnote>
  <w:footnote w:id="8">
    <w:p w:rsidR="00F16628" w:rsidRPr="00240F10" w:rsidRDefault="00F16628">
      <w:pPr>
        <w:pStyle w:val="FootnoteText"/>
      </w:pPr>
      <w:r>
        <w:rPr>
          <w:rStyle w:val="FootnoteReference"/>
        </w:rPr>
        <w:footnoteRef/>
      </w:r>
      <w:r>
        <w:t xml:space="preserve"> I thus agree with </w:t>
      </w:r>
      <w:proofErr w:type="spellStart"/>
      <w:r>
        <w:t>Makkreel</w:t>
      </w:r>
      <w:proofErr w:type="spellEnd"/>
      <w:r>
        <w:t xml:space="preserve">, albeit for different reasons, that these three capacities of </w:t>
      </w:r>
      <w:proofErr w:type="spellStart"/>
      <w:r>
        <w:rPr>
          <w:i/>
        </w:rPr>
        <w:t>Abbildung</w:t>
      </w:r>
      <w:proofErr w:type="spellEnd"/>
      <w:r>
        <w:t xml:space="preserve">, </w:t>
      </w:r>
      <w:proofErr w:type="spellStart"/>
      <w:r>
        <w:rPr>
          <w:i/>
        </w:rPr>
        <w:t>Nachbildung</w:t>
      </w:r>
      <w:proofErr w:type="spellEnd"/>
      <w:r>
        <w:t xml:space="preserve">, and </w:t>
      </w:r>
      <w:proofErr w:type="spellStart"/>
      <w:r>
        <w:rPr>
          <w:i/>
        </w:rPr>
        <w:t>Vorbildung</w:t>
      </w:r>
      <w:proofErr w:type="spellEnd"/>
      <w:r>
        <w:t xml:space="preserve"> are </w:t>
      </w:r>
      <w:r w:rsidR="007519AF">
        <w:t xml:space="preserve">not </w:t>
      </w:r>
      <w:r>
        <w:t xml:space="preserve">intended to map on to Kant’s Critical doctrine of a three-fold synthesis (see </w:t>
      </w:r>
      <w:proofErr w:type="spellStart"/>
      <w:r>
        <w:t>Makkreel</w:t>
      </w:r>
      <w:proofErr w:type="spellEnd"/>
      <w:r>
        <w:t xml:space="preserve"> 1990</w:t>
      </w:r>
      <w:r w:rsidR="00A34696">
        <w:t>:</w:t>
      </w:r>
      <w:r>
        <w:t xml:space="preserve">25). </w:t>
      </w:r>
      <w:r w:rsidR="00DA00CD">
        <w:t xml:space="preserve">On this, compare </w:t>
      </w:r>
      <w:proofErr w:type="spellStart"/>
      <w:r w:rsidR="00DA00CD">
        <w:t>Mörchen</w:t>
      </w:r>
      <w:proofErr w:type="spellEnd"/>
      <w:r w:rsidR="00DA00CD">
        <w:t xml:space="preserve"> (19</w:t>
      </w:r>
      <w:r w:rsidR="004A0130">
        <w:t>7</w:t>
      </w:r>
      <w:r w:rsidR="00B97DC5">
        <w:t>0</w:t>
      </w:r>
      <w:r w:rsidR="00A34696">
        <w:t>:</w:t>
      </w:r>
      <w:r w:rsidR="00B97DC5">
        <w:t>33).</w:t>
      </w:r>
    </w:p>
  </w:footnote>
  <w:footnote w:id="9">
    <w:p w:rsidR="00BE12C5" w:rsidRDefault="00BE12C5">
      <w:pPr>
        <w:pStyle w:val="FootnoteText"/>
      </w:pPr>
      <w:r>
        <w:rPr>
          <w:rStyle w:val="FootnoteReference"/>
        </w:rPr>
        <w:footnoteRef/>
      </w:r>
      <w:r w:rsidR="001240D0">
        <w:t xml:space="preserve"> See also </w:t>
      </w:r>
      <w:proofErr w:type="spellStart"/>
      <w:r w:rsidR="001240D0" w:rsidRPr="001240D0">
        <w:rPr>
          <w:i/>
        </w:rPr>
        <w:t>Refl</w:t>
      </w:r>
      <w:proofErr w:type="spellEnd"/>
      <w:r w:rsidR="001240D0">
        <w:t xml:space="preserve"> 314 15:124, </w:t>
      </w:r>
      <w:proofErr w:type="spellStart"/>
      <w:r w:rsidR="001240D0" w:rsidRPr="001240D0">
        <w:rPr>
          <w:i/>
        </w:rPr>
        <w:t>Refl</w:t>
      </w:r>
      <w:proofErr w:type="spellEnd"/>
      <w:r w:rsidR="001240D0">
        <w:t xml:space="preserve"> 334 15:132, </w:t>
      </w:r>
      <w:proofErr w:type="spellStart"/>
      <w:r w:rsidR="001240D0" w:rsidRPr="001240D0">
        <w:rPr>
          <w:i/>
        </w:rPr>
        <w:t>Refl</w:t>
      </w:r>
      <w:proofErr w:type="spellEnd"/>
      <w:r w:rsidR="001240D0">
        <w:t xml:space="preserve"> 337 15:133</w:t>
      </w:r>
      <w:r>
        <w:t xml:space="preserve">, </w:t>
      </w:r>
      <w:proofErr w:type="spellStart"/>
      <w:r w:rsidRPr="009D77D1">
        <w:rPr>
          <w:i/>
        </w:rPr>
        <w:t>Anth-Pillau</w:t>
      </w:r>
      <w:proofErr w:type="spellEnd"/>
      <w:r>
        <w:t xml:space="preserve"> 25:758, </w:t>
      </w:r>
      <w:proofErr w:type="spellStart"/>
      <w:r w:rsidRPr="00874B24">
        <w:rPr>
          <w:i/>
        </w:rPr>
        <w:t>Anth-Mrong</w:t>
      </w:r>
      <w:proofErr w:type="spellEnd"/>
      <w:r>
        <w:t xml:space="preserve"> 25:1258, and </w:t>
      </w:r>
      <w:proofErr w:type="spellStart"/>
      <w:r w:rsidRPr="00874B24">
        <w:rPr>
          <w:i/>
        </w:rPr>
        <w:t>Anth</w:t>
      </w:r>
      <w:proofErr w:type="spellEnd"/>
      <w:r w:rsidRPr="00874B24">
        <w:rPr>
          <w:i/>
        </w:rPr>
        <w:t>-Bus</w:t>
      </w:r>
      <w:r>
        <w:t xml:space="preserve"> 25:1462.</w:t>
      </w:r>
    </w:p>
  </w:footnote>
  <w:footnote w:id="10">
    <w:p w:rsidR="00F16628" w:rsidRPr="005D1554" w:rsidRDefault="00F16628" w:rsidP="00793AE1">
      <w:pPr>
        <w:pStyle w:val="FootnoteText"/>
      </w:pPr>
      <w:r>
        <w:rPr>
          <w:rStyle w:val="FootnoteReference"/>
        </w:rPr>
        <w:footnoteRef/>
      </w:r>
      <w:r>
        <w:t xml:space="preserve"> See also </w:t>
      </w:r>
      <w:proofErr w:type="spellStart"/>
      <w:r w:rsidRPr="00634B4B">
        <w:rPr>
          <w:i/>
        </w:rPr>
        <w:t>A</w:t>
      </w:r>
      <w:r w:rsidR="00634B4B">
        <w:rPr>
          <w:i/>
        </w:rPr>
        <w:t>nth-</w:t>
      </w:r>
      <w:r w:rsidRPr="00634B4B">
        <w:rPr>
          <w:i/>
        </w:rPr>
        <w:t>Mr</w:t>
      </w:r>
      <w:r w:rsidR="00634B4B">
        <w:rPr>
          <w:i/>
        </w:rPr>
        <w:t>ong</w:t>
      </w:r>
      <w:proofErr w:type="spellEnd"/>
      <w:r>
        <w:t xml:space="preserve"> 25:1257</w:t>
      </w:r>
      <w:r w:rsidR="00A34696">
        <w:t>:</w:t>
      </w:r>
      <w:r>
        <w:t xml:space="preserve">“das </w:t>
      </w:r>
      <w:proofErr w:type="spellStart"/>
      <w:r>
        <w:t>reproductiv</w:t>
      </w:r>
      <w:proofErr w:type="spellEnd"/>
      <w:r>
        <w:t xml:space="preserve"> </w:t>
      </w:r>
      <w:proofErr w:type="spellStart"/>
      <w:r>
        <w:t>ist</w:t>
      </w:r>
      <w:proofErr w:type="spellEnd"/>
      <w:r>
        <w:t xml:space="preserve"> </w:t>
      </w:r>
      <w:proofErr w:type="spellStart"/>
      <w:r>
        <w:t>unwillkührlich</w:t>
      </w:r>
      <w:proofErr w:type="spellEnd"/>
      <w:r>
        <w:t xml:space="preserve">,” and </w:t>
      </w:r>
      <w:proofErr w:type="spellStart"/>
      <w:r w:rsidR="001240D0" w:rsidRPr="001240D0">
        <w:rPr>
          <w:i/>
        </w:rPr>
        <w:t>Refl</w:t>
      </w:r>
      <w:proofErr w:type="spellEnd"/>
      <w:r w:rsidR="001240D0">
        <w:t xml:space="preserve"> 373 </w:t>
      </w:r>
      <w:r>
        <w:t>15:146-7.</w:t>
      </w:r>
    </w:p>
  </w:footnote>
  <w:footnote w:id="11">
    <w:p w:rsidR="00F16628" w:rsidRPr="008867DC" w:rsidRDefault="00F16628" w:rsidP="008867DC">
      <w:pPr>
        <w:pStyle w:val="FootnoteText"/>
      </w:pPr>
      <w:r>
        <w:rPr>
          <w:rStyle w:val="FootnoteReference"/>
        </w:rPr>
        <w:footnoteRef/>
      </w:r>
      <w:r w:rsidR="007B6E2A">
        <w:t xml:space="preserve"> </w:t>
      </w:r>
      <w:proofErr w:type="spellStart"/>
      <w:r>
        <w:t>Matherne</w:t>
      </w:r>
      <w:proofErr w:type="spellEnd"/>
      <w:r>
        <w:t xml:space="preserve">, for instance, </w:t>
      </w:r>
      <w:bookmarkStart w:id="0" w:name="_GoBack"/>
      <w:bookmarkEnd w:id="0"/>
      <w:r>
        <w:t>claims that “[t]</w:t>
      </w:r>
      <w:r w:rsidRPr="008867DC">
        <w:t xml:space="preserve">his formative power </w:t>
      </w:r>
      <w:r>
        <w:t xml:space="preserve">[in the </w:t>
      </w:r>
      <w:r w:rsidR="00A34696" w:rsidRPr="00A34696">
        <w:rPr>
          <w:i/>
        </w:rPr>
        <w:t>Met-L1</w:t>
      </w:r>
      <w:r>
        <w:t xml:space="preserve"> notes] </w:t>
      </w:r>
      <w:r w:rsidRPr="008867DC">
        <w:t>is what he will later call the</w:t>
      </w:r>
      <w:r>
        <w:t xml:space="preserve"> ‘</w:t>
      </w:r>
      <w:r w:rsidRPr="008867DC">
        <w:t>imagination</w:t>
      </w:r>
      <w:r>
        <w:t>’</w:t>
      </w:r>
      <w:r w:rsidRPr="008867DC">
        <w:t xml:space="preserve"> [</w:t>
      </w:r>
      <w:proofErr w:type="spellStart"/>
      <w:r w:rsidRPr="008867DC">
        <w:rPr>
          <w:i/>
          <w:iCs/>
        </w:rPr>
        <w:t>Einbildungskraft</w:t>
      </w:r>
      <w:proofErr w:type="spellEnd"/>
      <w:r w:rsidRPr="008867DC">
        <w:t xml:space="preserve">] in the first </w:t>
      </w:r>
      <w:r w:rsidRPr="008867DC">
        <w:rPr>
          <w:i/>
          <w:iCs/>
        </w:rPr>
        <w:t>Critique</w:t>
      </w:r>
      <w:r>
        <w:rPr>
          <w:iCs/>
        </w:rPr>
        <w:t>” (2015:747).</w:t>
      </w:r>
    </w:p>
  </w:footnote>
  <w:footnote w:id="12">
    <w:p w:rsidR="00F16628" w:rsidRPr="00D36ED2" w:rsidRDefault="00F16628">
      <w:pPr>
        <w:pStyle w:val="FootnoteText"/>
      </w:pPr>
      <w:r>
        <w:rPr>
          <w:rStyle w:val="FootnoteReference"/>
        </w:rPr>
        <w:footnoteRef/>
      </w:r>
      <w:r>
        <w:t xml:space="preserve"> One case that bears mentioning concerns the contested and complicated question of the dating of the </w:t>
      </w:r>
      <w:r w:rsidR="00A34696" w:rsidRPr="00A34696">
        <w:rPr>
          <w:i/>
        </w:rPr>
        <w:t>Met-L1</w:t>
      </w:r>
      <w:r>
        <w:t xml:space="preserve"> notes (for a discussion, see </w:t>
      </w:r>
      <w:proofErr w:type="spellStart"/>
      <w:r>
        <w:t>Ameriks</w:t>
      </w:r>
      <w:proofErr w:type="spellEnd"/>
      <w:r>
        <w:t xml:space="preserve"> and </w:t>
      </w:r>
      <w:proofErr w:type="spellStart"/>
      <w:r>
        <w:t>Naragon</w:t>
      </w:r>
      <w:proofErr w:type="spellEnd"/>
      <w:r>
        <w:t xml:space="preserve"> 1997:xxx-xxiii). Limiting ourselves to the consideration of the </w:t>
      </w:r>
      <w:proofErr w:type="spellStart"/>
      <w:r>
        <w:rPr>
          <w:i/>
        </w:rPr>
        <w:t>Bildunsvermögen</w:t>
      </w:r>
      <w:proofErr w:type="spellEnd"/>
      <w:r>
        <w:t xml:space="preserve"> presented at </w:t>
      </w:r>
      <w:r w:rsidR="005E71F1">
        <w:t>28:</w:t>
      </w:r>
      <w:r>
        <w:t xml:space="preserve">235-8, Kant’s discussion bears a much closer comparison with the account presented in </w:t>
      </w:r>
      <w:r>
        <w:rPr>
          <w:i/>
        </w:rPr>
        <w:t>Anthropologie-Friedlander</w:t>
      </w:r>
      <w:r>
        <w:t xml:space="preserve"> (and the earlier sets of lectures) rather than that given in </w:t>
      </w:r>
      <w:r>
        <w:rPr>
          <w:i/>
        </w:rPr>
        <w:t>Anthropologie-</w:t>
      </w:r>
      <w:proofErr w:type="spellStart"/>
      <w:r>
        <w:rPr>
          <w:i/>
        </w:rPr>
        <w:t>Pillau</w:t>
      </w:r>
      <w:proofErr w:type="spellEnd"/>
      <w:r>
        <w:t xml:space="preserve">, with which it is taken (by for instance Wolfgang Carl—1989:117-18) to be contemporaneous or later. </w:t>
      </w:r>
    </w:p>
  </w:footnote>
  <w:footnote w:id="13">
    <w:p w:rsidR="00F16628" w:rsidRPr="00451A58" w:rsidRDefault="00F16628">
      <w:pPr>
        <w:pStyle w:val="FootnoteText"/>
        <w:rPr>
          <w:b/>
          <w:bCs/>
        </w:rPr>
      </w:pPr>
      <w:r>
        <w:rPr>
          <w:rStyle w:val="FootnoteReference"/>
        </w:rPr>
        <w:footnoteRef/>
      </w:r>
      <w:r>
        <w:t xml:space="preserve"> For </w:t>
      </w:r>
      <w:proofErr w:type="spellStart"/>
      <w:r>
        <w:t>Tetens</w:t>
      </w:r>
      <w:proofErr w:type="spellEnd"/>
      <w:r>
        <w:t xml:space="preserve">’ identification of this problem, and his attempt to resolve it, on Kant’s behalf, by means of his account of the </w:t>
      </w:r>
      <w:proofErr w:type="spellStart"/>
      <w:r>
        <w:rPr>
          <w:i/>
        </w:rPr>
        <w:t>Dichtkraft</w:t>
      </w:r>
      <w:proofErr w:type="spellEnd"/>
      <w:r>
        <w:t>, see Dyck (2016, and forthcoming</w:t>
      </w:r>
      <w:r w:rsidR="00F70D23">
        <w:t xml:space="preserve"> [b]</w:t>
      </w:r>
      <w:r>
        <w:t xml:space="preserve">). Of course, that </w:t>
      </w:r>
      <w:proofErr w:type="spellStart"/>
      <w:r>
        <w:t>Tetens</w:t>
      </w:r>
      <w:proofErr w:type="spellEnd"/>
      <w:r>
        <w:t xml:space="preserve">’ </w:t>
      </w:r>
      <w:proofErr w:type="spellStart"/>
      <w:r>
        <w:rPr>
          <w:i/>
        </w:rPr>
        <w:t>Versuche</w:t>
      </w:r>
      <w:proofErr w:type="spellEnd"/>
      <w:r>
        <w:t xml:space="preserve"> was read carefully by Kant and was published before the lectures in the </w:t>
      </w:r>
      <w:r>
        <w:rPr>
          <w:i/>
        </w:rPr>
        <w:t>Anthropologie-</w:t>
      </w:r>
      <w:proofErr w:type="spellStart"/>
      <w:r>
        <w:rPr>
          <w:i/>
        </w:rPr>
        <w:t>Pillau</w:t>
      </w:r>
      <w:proofErr w:type="spellEnd"/>
      <w:r>
        <w:t xml:space="preserve"> (a review of the text by J. G. H. </w:t>
      </w:r>
      <w:proofErr w:type="spellStart"/>
      <w:r>
        <w:t>Feder</w:t>
      </w:r>
      <w:proofErr w:type="spellEnd"/>
      <w:r>
        <w:t xml:space="preserve"> is in the August 16</w:t>
      </w:r>
      <w:r w:rsidRPr="00451A58">
        <w:rPr>
          <w:vertAlign w:val="superscript"/>
        </w:rPr>
        <w:t>th</w:t>
      </w:r>
      <w:r>
        <w:t xml:space="preserve"> issue of the </w:t>
      </w:r>
      <w:proofErr w:type="spellStart"/>
      <w:r w:rsidRPr="00451A58">
        <w:rPr>
          <w:bCs/>
          <w:i/>
        </w:rPr>
        <w:t>Göttingische</w:t>
      </w:r>
      <w:proofErr w:type="spellEnd"/>
      <w:r w:rsidRPr="00451A58">
        <w:rPr>
          <w:bCs/>
          <w:i/>
        </w:rPr>
        <w:t xml:space="preserve"> </w:t>
      </w:r>
      <w:proofErr w:type="spellStart"/>
      <w:r w:rsidRPr="00451A58">
        <w:rPr>
          <w:bCs/>
          <w:i/>
        </w:rPr>
        <w:t>gelehrte</w:t>
      </w:r>
      <w:proofErr w:type="spellEnd"/>
      <w:r w:rsidRPr="00451A58">
        <w:rPr>
          <w:bCs/>
          <w:i/>
        </w:rPr>
        <w:t xml:space="preserve"> </w:t>
      </w:r>
      <w:proofErr w:type="spellStart"/>
      <w:r w:rsidRPr="00451A58">
        <w:rPr>
          <w:bCs/>
          <w:i/>
        </w:rPr>
        <w:t>Anzeigen</w:t>
      </w:r>
      <w:proofErr w:type="spellEnd"/>
      <w:r>
        <w:rPr>
          <w:bCs/>
        </w:rPr>
        <w:t xml:space="preserve"> in 1777), is consistent with the apparent changes to the theory of the imagination recorded in those lecture notes.</w:t>
      </w:r>
    </w:p>
  </w:footnote>
  <w:footnote w:id="14">
    <w:p w:rsidR="005F5198" w:rsidRDefault="005F5198">
      <w:pPr>
        <w:pStyle w:val="FootnoteText"/>
      </w:pPr>
      <w:r>
        <w:rPr>
          <w:rStyle w:val="FootnoteReference"/>
        </w:rPr>
        <w:footnoteRef/>
      </w:r>
      <w:r>
        <w:t xml:space="preserve"> On this see also </w:t>
      </w:r>
      <w:proofErr w:type="spellStart"/>
      <w:r>
        <w:t>Longuenesse</w:t>
      </w:r>
      <w:proofErr w:type="spellEnd"/>
      <w:r>
        <w:t xml:space="preserve"> (1999</w:t>
      </w:r>
      <w:r w:rsidR="00A34696">
        <w:t>:</w:t>
      </w:r>
      <w:r>
        <w:t>206).</w:t>
      </w:r>
    </w:p>
  </w:footnote>
  <w:footnote w:id="15">
    <w:p w:rsidR="00F16628" w:rsidRPr="00BF6851" w:rsidRDefault="00F16628">
      <w:pPr>
        <w:pStyle w:val="FootnoteText"/>
      </w:pPr>
      <w:r>
        <w:rPr>
          <w:rStyle w:val="FootnoteReference"/>
        </w:rPr>
        <w:footnoteRef/>
      </w:r>
      <w:r>
        <w:t xml:space="preserve"> </w:t>
      </w:r>
      <w:r w:rsidR="0092601B">
        <w:t xml:space="preserve">See also </w:t>
      </w:r>
      <w:proofErr w:type="spellStart"/>
      <w:r w:rsidR="0092601B">
        <w:t>Makkreel</w:t>
      </w:r>
      <w:proofErr w:type="spellEnd"/>
      <w:r w:rsidR="0092601B">
        <w:t xml:space="preserve"> (1990</w:t>
      </w:r>
      <w:r w:rsidR="00A34696">
        <w:t>:</w:t>
      </w:r>
      <w:r w:rsidR="0092601B">
        <w:t xml:space="preserve">25). </w:t>
      </w:r>
      <w:r>
        <w:t xml:space="preserve">This change is likewise reflected in the contrast between Kant’s early claims that the </w:t>
      </w:r>
      <w:proofErr w:type="spellStart"/>
      <w:r>
        <w:rPr>
          <w:i/>
        </w:rPr>
        <w:t>Bildungsvermögen</w:t>
      </w:r>
      <w:proofErr w:type="spellEnd"/>
      <w:r>
        <w:t xml:space="preserve"> is the “</w:t>
      </w:r>
      <w:proofErr w:type="spellStart"/>
      <w:r>
        <w:rPr>
          <w:i/>
        </w:rPr>
        <w:t>Grund</w:t>
      </w:r>
      <w:proofErr w:type="spellEnd"/>
      <w:r>
        <w:t xml:space="preserve">” of the productive use of the imagination in its function as the </w:t>
      </w:r>
      <w:proofErr w:type="spellStart"/>
      <w:r>
        <w:rPr>
          <w:i/>
        </w:rPr>
        <w:t>Dichtungsvermögen</w:t>
      </w:r>
      <w:proofErr w:type="spellEnd"/>
      <w:r>
        <w:t xml:space="preserve"> (cf. </w:t>
      </w:r>
      <w:proofErr w:type="spellStart"/>
      <w:r w:rsidR="009D77D1" w:rsidRPr="009D77D1">
        <w:rPr>
          <w:i/>
        </w:rPr>
        <w:t>Anth-Coll</w:t>
      </w:r>
      <w:proofErr w:type="spellEnd"/>
      <w:r>
        <w:t xml:space="preserve"> 25:58, </w:t>
      </w:r>
      <w:proofErr w:type="spellStart"/>
      <w:r w:rsidR="009D77D1" w:rsidRPr="009D77D1">
        <w:rPr>
          <w:i/>
        </w:rPr>
        <w:t>Anth-Parow</w:t>
      </w:r>
      <w:proofErr w:type="spellEnd"/>
      <w:r>
        <w:t xml:space="preserve"> 25:305) and his later claim that the empirical use of the imagination is conditioned </w:t>
      </w:r>
      <w:r w:rsidR="00563B0D">
        <w:t>by</w:t>
      </w:r>
      <w:r>
        <w:t xml:space="preserve"> its transcendental (and productive) use (cf. 23:18). </w:t>
      </w:r>
      <w:r w:rsidR="00376AF5">
        <w:t xml:space="preserve">Of course, Kant does </w:t>
      </w:r>
      <w:r w:rsidR="00B043F4">
        <w:t>at one point,</w:t>
      </w:r>
      <w:r w:rsidR="00376AF5">
        <w:t xml:space="preserve"> </w:t>
      </w:r>
      <w:r w:rsidR="00563B0D">
        <w:t>though</w:t>
      </w:r>
      <w:r w:rsidR="00376AF5">
        <w:t xml:space="preserve"> problematically</w:t>
      </w:r>
      <w:r w:rsidR="00B043F4">
        <w:t>,</w:t>
      </w:r>
      <w:r w:rsidR="00376AF5">
        <w:t xml:space="preserve"> refer to</w:t>
      </w:r>
      <w:r w:rsidR="00B043F4">
        <w:t xml:space="preserve"> </w:t>
      </w:r>
      <w:r w:rsidR="00376AF5">
        <w:t>“</w:t>
      </w:r>
      <w:r w:rsidR="00B043F4">
        <w:t>the pure image [</w:t>
      </w:r>
      <w:r w:rsidR="00B043F4">
        <w:rPr>
          <w:i/>
        </w:rPr>
        <w:t xml:space="preserve">das </w:t>
      </w:r>
      <w:proofErr w:type="spellStart"/>
      <w:r w:rsidR="00B043F4">
        <w:rPr>
          <w:i/>
        </w:rPr>
        <w:t>reine</w:t>
      </w:r>
      <w:proofErr w:type="spellEnd"/>
      <w:r w:rsidR="00B043F4">
        <w:rPr>
          <w:i/>
        </w:rPr>
        <w:t xml:space="preserve"> </w:t>
      </w:r>
      <w:proofErr w:type="spellStart"/>
      <w:r w:rsidR="00B043F4">
        <w:rPr>
          <w:i/>
        </w:rPr>
        <w:t>Bild</w:t>
      </w:r>
      <w:proofErr w:type="spellEnd"/>
      <w:r w:rsidR="00B043F4">
        <w:t>]</w:t>
      </w:r>
      <w:r w:rsidR="00376AF5">
        <w:t>” of space and time (A142/B182)</w:t>
      </w:r>
      <w:r w:rsidR="00B043F4">
        <w:t>.</w:t>
      </w:r>
    </w:p>
  </w:footnote>
  <w:footnote w:id="16">
    <w:p w:rsidR="004F3602" w:rsidRDefault="004F3602">
      <w:pPr>
        <w:pStyle w:val="FootnoteText"/>
      </w:pPr>
      <w:r>
        <w:rPr>
          <w:rStyle w:val="FootnoteReference"/>
        </w:rPr>
        <w:footnoteRef/>
      </w:r>
      <w:r w:rsidR="007A33BF">
        <w:t xml:space="preserve"> For instance</w:t>
      </w:r>
      <w:r>
        <w:t>,</w:t>
      </w:r>
      <w:r w:rsidR="007A33BF">
        <w:t xml:space="preserve"> </w:t>
      </w:r>
      <w:r>
        <w:t xml:space="preserve">while Watkins and </w:t>
      </w:r>
      <w:proofErr w:type="spellStart"/>
      <w:r>
        <w:t>Willaschek’s</w:t>
      </w:r>
      <w:proofErr w:type="spellEnd"/>
      <w:r>
        <w:t xml:space="preserve"> recent treatment </w:t>
      </w:r>
      <w:r w:rsidR="003D55CB">
        <w:t xml:space="preserve">(2017) </w:t>
      </w:r>
      <w:r>
        <w:t>of Kant’s theory of cognition does not pretend to be exhaustive, it nonetheless does not take into account the imagination’s associative activity</w:t>
      </w:r>
      <w:r w:rsidR="003D55CB">
        <w:t>, nor how it might be involved in (causal) cognition.</w:t>
      </w:r>
    </w:p>
  </w:footnote>
  <w:footnote w:id="17">
    <w:p w:rsidR="000D0342" w:rsidRPr="000D0342" w:rsidRDefault="000D0342">
      <w:pPr>
        <w:pStyle w:val="FootnoteText"/>
      </w:pPr>
      <w:r>
        <w:rPr>
          <w:rStyle w:val="FootnoteReference"/>
        </w:rPr>
        <w:footnoteRef/>
      </w:r>
      <w:r>
        <w:t xml:space="preserve"> On th</w:t>
      </w:r>
      <w:r w:rsidR="001240D0">
        <w:t xml:space="preserve">e latter law, see also </w:t>
      </w:r>
      <w:proofErr w:type="spellStart"/>
      <w:r w:rsidR="001240D0" w:rsidRPr="001240D0">
        <w:rPr>
          <w:i/>
        </w:rPr>
        <w:t>Refl</w:t>
      </w:r>
      <w:proofErr w:type="spellEnd"/>
      <w:r w:rsidR="001240D0">
        <w:rPr>
          <w:i/>
        </w:rPr>
        <w:t xml:space="preserve"> </w:t>
      </w:r>
      <w:r w:rsidR="001240D0">
        <w:t>336 15:150-1</w:t>
      </w:r>
      <w:r w:rsidR="009426CC">
        <w:t xml:space="preserve"> </w:t>
      </w:r>
      <w:r>
        <w:t xml:space="preserve">and </w:t>
      </w:r>
      <w:proofErr w:type="spellStart"/>
      <w:r w:rsidR="009D77D1" w:rsidRPr="009D77D1">
        <w:rPr>
          <w:i/>
        </w:rPr>
        <w:t>Anth</w:t>
      </w:r>
      <w:proofErr w:type="spellEnd"/>
      <w:r w:rsidR="009D77D1" w:rsidRPr="009D77D1">
        <w:rPr>
          <w:i/>
        </w:rPr>
        <w:t>-Fried</w:t>
      </w:r>
      <w:r>
        <w:t xml:space="preserve"> 25:533.</w:t>
      </w:r>
    </w:p>
  </w:footnote>
  <w:footnote w:id="18">
    <w:p w:rsidR="00352913" w:rsidRPr="004F4CF5" w:rsidRDefault="00352913">
      <w:pPr>
        <w:pStyle w:val="FootnoteText"/>
      </w:pPr>
      <w:r>
        <w:rPr>
          <w:rStyle w:val="FootnoteReference"/>
        </w:rPr>
        <w:footnoteRef/>
      </w:r>
      <w:r>
        <w:t xml:space="preserve"> ‘</w:t>
      </w:r>
      <w:proofErr w:type="spellStart"/>
      <w:r>
        <w:rPr>
          <w:i/>
        </w:rPr>
        <w:t>Verwandtschaft</w:t>
      </w:r>
      <w:proofErr w:type="spellEnd"/>
      <w:r>
        <w:t xml:space="preserve">’ might be translated as </w:t>
      </w:r>
      <w:r w:rsidR="005C4E6A">
        <w:t>‘</w:t>
      </w:r>
      <w:r w:rsidR="004F4CF5">
        <w:t>relatedness</w:t>
      </w:r>
      <w:r w:rsidR="005C4E6A">
        <w:t>’</w:t>
      </w:r>
      <w:r w:rsidR="004F4CF5">
        <w:t xml:space="preserve"> or even ‘relation’ (as in </w:t>
      </w:r>
      <w:proofErr w:type="spellStart"/>
      <w:r w:rsidR="004F4CF5">
        <w:t>Jankowiak</w:t>
      </w:r>
      <w:proofErr w:type="spellEnd"/>
      <w:r w:rsidR="004F4CF5">
        <w:t xml:space="preserve"> and Watkins</w:t>
      </w:r>
      <w:r w:rsidR="004B6D5C">
        <w:t xml:space="preserve"> 2014:70</w:t>
      </w:r>
      <w:r w:rsidR="004F4CF5">
        <w:t xml:space="preserve">), </w:t>
      </w:r>
      <w:r>
        <w:t xml:space="preserve">but Kant </w:t>
      </w:r>
      <w:r w:rsidR="004F4CF5">
        <w:t xml:space="preserve">himself </w:t>
      </w:r>
      <w:r>
        <w:t xml:space="preserve">suggests </w:t>
      </w:r>
      <w:r w:rsidR="00794D12">
        <w:rPr>
          <w:i/>
        </w:rPr>
        <w:t>affinitas</w:t>
      </w:r>
      <w:r w:rsidR="00C233FD">
        <w:t xml:space="preserve"> as the Latinate equivalent at </w:t>
      </w:r>
      <w:proofErr w:type="spellStart"/>
      <w:r w:rsidR="00C233FD" w:rsidRPr="004B6D5C">
        <w:rPr>
          <w:i/>
        </w:rPr>
        <w:t>Anth</w:t>
      </w:r>
      <w:proofErr w:type="spellEnd"/>
      <w:r w:rsidR="00C233FD">
        <w:t xml:space="preserve"> 7:174 and 177, for which reason I have </w:t>
      </w:r>
      <w:r w:rsidR="004F4CF5">
        <w:t>opted to render it as ‘affinity</w:t>
      </w:r>
      <w:r w:rsidR="00C233FD">
        <w:t>’</w:t>
      </w:r>
      <w:r w:rsidR="004F4CF5">
        <w:t xml:space="preserve">; this also has the advantage of making clear the connection between the presentation in the anthropology lectures and that in the A edition of the first </w:t>
      </w:r>
      <w:r w:rsidR="004F4CF5">
        <w:rPr>
          <w:i/>
        </w:rPr>
        <w:t>Critique</w:t>
      </w:r>
      <w:r w:rsidR="004F4CF5">
        <w:t>.</w:t>
      </w:r>
    </w:p>
  </w:footnote>
  <w:footnote w:id="19">
    <w:p w:rsidR="00AD1516" w:rsidRPr="00AD1516" w:rsidRDefault="00AD1516">
      <w:pPr>
        <w:pStyle w:val="FootnoteText"/>
      </w:pPr>
      <w:r>
        <w:rPr>
          <w:rStyle w:val="FootnoteReference"/>
        </w:rPr>
        <w:footnoteRef/>
      </w:r>
      <w:r>
        <w:t xml:space="preserve"> Kant sometimes considers </w:t>
      </w:r>
      <w:r>
        <w:rPr>
          <w:i/>
        </w:rPr>
        <w:t>similarity</w:t>
      </w:r>
      <w:r>
        <w:t xml:space="preserve"> as a species of </w:t>
      </w:r>
      <w:r w:rsidR="00D61B0A">
        <w:t>affinity</w:t>
      </w:r>
      <w:r>
        <w:t xml:space="preserve">, distinguished from causation, as at </w:t>
      </w:r>
      <w:proofErr w:type="spellStart"/>
      <w:r w:rsidR="009D77D1" w:rsidRPr="009D77D1">
        <w:rPr>
          <w:i/>
        </w:rPr>
        <w:t>Anth</w:t>
      </w:r>
      <w:proofErr w:type="spellEnd"/>
      <w:r w:rsidR="009D77D1" w:rsidRPr="009D77D1">
        <w:rPr>
          <w:i/>
        </w:rPr>
        <w:t>-Fried</w:t>
      </w:r>
      <w:r>
        <w:t xml:space="preserve"> 25:513 or </w:t>
      </w:r>
      <w:proofErr w:type="spellStart"/>
      <w:r w:rsidR="004B6D5C">
        <w:rPr>
          <w:i/>
        </w:rPr>
        <w:t>Menschenkunde</w:t>
      </w:r>
      <w:proofErr w:type="spellEnd"/>
      <w:r>
        <w:t xml:space="preserve"> 25:947; however, I will suggest below that there is good reason to distinguish it from this (as indeed Kant more often does).</w:t>
      </w:r>
    </w:p>
  </w:footnote>
  <w:footnote w:id="20">
    <w:p w:rsidR="00062914" w:rsidRPr="00062914" w:rsidRDefault="00062914">
      <w:pPr>
        <w:pStyle w:val="FootnoteText"/>
      </w:pPr>
      <w:r>
        <w:rPr>
          <w:rStyle w:val="FootnoteReference"/>
        </w:rPr>
        <w:footnoteRef/>
      </w:r>
      <w:r>
        <w:t xml:space="preserve"> The </w:t>
      </w:r>
      <w:r>
        <w:rPr>
          <w:i/>
        </w:rPr>
        <w:t>Anthropologie-</w:t>
      </w:r>
      <w:proofErr w:type="spellStart"/>
      <w:r>
        <w:rPr>
          <w:i/>
        </w:rPr>
        <w:t>Parow</w:t>
      </w:r>
      <w:proofErr w:type="spellEnd"/>
      <w:r>
        <w:t xml:space="preserve"> notes mention</w:t>
      </w:r>
      <w:r w:rsidR="00390161">
        <w:t>s</w:t>
      </w:r>
      <w:r>
        <w:t xml:space="preserve"> “</w:t>
      </w:r>
      <w:proofErr w:type="spellStart"/>
      <w:r>
        <w:rPr>
          <w:i/>
        </w:rPr>
        <w:t>leges</w:t>
      </w:r>
      <w:proofErr w:type="spellEnd"/>
      <w:r>
        <w:rPr>
          <w:i/>
        </w:rPr>
        <w:t xml:space="preserve"> </w:t>
      </w:r>
      <w:proofErr w:type="spellStart"/>
      <w:r>
        <w:rPr>
          <w:i/>
        </w:rPr>
        <w:t>phantasiae</w:t>
      </w:r>
      <w:proofErr w:type="spellEnd"/>
      <w:r>
        <w:rPr>
          <w:i/>
        </w:rPr>
        <w:t xml:space="preserve"> </w:t>
      </w:r>
      <w:proofErr w:type="spellStart"/>
      <w:r>
        <w:rPr>
          <w:i/>
        </w:rPr>
        <w:t>brutae</w:t>
      </w:r>
      <w:proofErr w:type="spellEnd"/>
      <w:r>
        <w:t>” (</w:t>
      </w:r>
      <w:proofErr w:type="spellStart"/>
      <w:r w:rsidR="009D77D1" w:rsidRPr="009D77D1">
        <w:rPr>
          <w:i/>
        </w:rPr>
        <w:t>Anth-Parow</w:t>
      </w:r>
      <w:proofErr w:type="spellEnd"/>
      <w:r>
        <w:t xml:space="preserve"> 25:318), which </w:t>
      </w:r>
      <w:r w:rsidR="00390161">
        <w:t xml:space="preserve">is </w:t>
      </w:r>
      <w:r>
        <w:t xml:space="preserve">likely </w:t>
      </w:r>
      <w:r w:rsidR="00390161">
        <w:t>a reference</w:t>
      </w:r>
      <w:r>
        <w:t xml:space="preserve"> to the first of these types of association.</w:t>
      </w:r>
      <w:r w:rsidR="001240D0">
        <w:t xml:space="preserve"> </w:t>
      </w:r>
    </w:p>
  </w:footnote>
  <w:footnote w:id="21">
    <w:p w:rsidR="006735D1" w:rsidRDefault="006735D1">
      <w:pPr>
        <w:pStyle w:val="FootnoteText"/>
      </w:pPr>
      <w:r>
        <w:rPr>
          <w:rStyle w:val="FootnoteReference"/>
        </w:rPr>
        <w:footnoteRef/>
      </w:r>
      <w:r>
        <w:t xml:space="preserve"> Kant lists </w:t>
      </w:r>
      <w:proofErr w:type="spellStart"/>
      <w:r>
        <w:t>‘cause</w:t>
      </w:r>
      <w:proofErr w:type="spellEnd"/>
      <w:r>
        <w:t xml:space="preserve">’ among the concepts of the pure understanding at </w:t>
      </w:r>
      <w:r w:rsidR="004B6D5C">
        <w:rPr>
          <w:i/>
        </w:rPr>
        <w:t xml:space="preserve">De mundi </w:t>
      </w:r>
      <w:r>
        <w:t>2:395</w:t>
      </w:r>
    </w:p>
  </w:footnote>
  <w:footnote w:id="22">
    <w:p w:rsidR="008A1238" w:rsidRDefault="008A1238">
      <w:pPr>
        <w:pStyle w:val="FootnoteText"/>
      </w:pPr>
      <w:r>
        <w:rPr>
          <w:rStyle w:val="FootnoteReference"/>
        </w:rPr>
        <w:footnoteRef/>
      </w:r>
      <w:r>
        <w:t xml:space="preserve"> Such a distinction also seems to be implied by Kant’s contrast between “associations of sensations” (that is, representations pertaining merely to the subject) and “associations of intuitions” (or pertaining to objects) (</w:t>
      </w:r>
      <w:proofErr w:type="spellStart"/>
      <w:r w:rsidR="009D77D1" w:rsidRPr="009D77D1">
        <w:rPr>
          <w:i/>
        </w:rPr>
        <w:t>Anth-Parow</w:t>
      </w:r>
      <w:proofErr w:type="spellEnd"/>
      <w:r>
        <w:t xml:space="preserve"> 25:319). </w:t>
      </w:r>
    </w:p>
  </w:footnote>
  <w:footnote w:id="23">
    <w:p w:rsidR="00010309" w:rsidRDefault="00010309" w:rsidP="00010309">
      <w:pPr>
        <w:pStyle w:val="FootnoteText"/>
      </w:pPr>
      <w:r>
        <w:rPr>
          <w:rStyle w:val="FootnoteReference"/>
        </w:rPr>
        <w:footnoteRef/>
      </w:r>
      <w:r>
        <w:t xml:space="preserve"> </w:t>
      </w:r>
      <w:r w:rsidR="001E0F70">
        <w:t>Insofar as it is also comprehended under affinity as a ground of association, associations involving s</w:t>
      </w:r>
      <w:r>
        <w:t>imilarity</w:t>
      </w:r>
      <w:r w:rsidR="001E0F70">
        <w:t xml:space="preserve"> can</w:t>
      </w:r>
      <w:r>
        <w:t xml:space="preserve"> also </w:t>
      </w:r>
      <w:r w:rsidR="001E0F70">
        <w:t xml:space="preserve">be </w:t>
      </w:r>
      <w:r>
        <w:t>objective ,tho</w:t>
      </w:r>
      <w:r w:rsidR="001E0F70">
        <w:t>ugh</w:t>
      </w:r>
      <w:r>
        <w:t xml:space="preserve"> K</w:t>
      </w:r>
      <w:r w:rsidR="001E0F70">
        <w:t xml:space="preserve">ant does warn </w:t>
      </w:r>
      <w:r>
        <w:t xml:space="preserve">that there is a potential for error when we infer from a </w:t>
      </w:r>
      <w:r>
        <w:rPr>
          <w:iCs/>
        </w:rPr>
        <w:t>similarity among signs of representations to similarities in the objects designated by them (</w:t>
      </w:r>
      <w:proofErr w:type="spellStart"/>
      <w:r w:rsidR="009D77D1" w:rsidRPr="009D77D1">
        <w:rPr>
          <w:i/>
          <w:iCs/>
        </w:rPr>
        <w:t>Anth-Parow</w:t>
      </w:r>
      <w:proofErr w:type="spellEnd"/>
      <w:r>
        <w:rPr>
          <w:iCs/>
        </w:rPr>
        <w:t xml:space="preserve"> 25:318).</w:t>
      </w:r>
    </w:p>
  </w:footnote>
  <w:footnote w:id="24">
    <w:p w:rsidR="007D347D" w:rsidRDefault="007D347D" w:rsidP="007D347D">
      <w:pPr>
        <w:pStyle w:val="FootnoteText"/>
      </w:pPr>
      <w:r>
        <w:rPr>
          <w:rStyle w:val="FootnoteReference"/>
        </w:rPr>
        <w:footnoteRef/>
      </w:r>
      <w:r>
        <w:t xml:space="preserve"> This suggestion is floated by </w:t>
      </w:r>
      <w:proofErr w:type="spellStart"/>
      <w:r>
        <w:t>Jankowiak</w:t>
      </w:r>
      <w:proofErr w:type="spellEnd"/>
      <w:r>
        <w:t xml:space="preserve"> and Watkins (2014</w:t>
      </w:r>
      <w:r w:rsidR="00A34696">
        <w:t>:</w:t>
      </w:r>
      <w:r>
        <w:t>70).</w:t>
      </w:r>
    </w:p>
    <w:p w:rsidR="007D347D" w:rsidRDefault="007D347D" w:rsidP="007D347D">
      <w:pPr>
        <w:pStyle w:val="FootnoteText"/>
      </w:pPr>
    </w:p>
  </w:footnote>
  <w:footnote w:id="25">
    <w:p w:rsidR="00C4522E" w:rsidRDefault="00C4522E">
      <w:pPr>
        <w:pStyle w:val="FootnoteText"/>
      </w:pPr>
      <w:r>
        <w:rPr>
          <w:rStyle w:val="FootnoteReference"/>
        </w:rPr>
        <w:footnoteRef/>
      </w:r>
      <w:r>
        <w:t xml:space="preserve"> Compare as well Kant’s brief discussions of </w:t>
      </w:r>
      <w:r>
        <w:rPr>
          <w:iCs/>
        </w:rPr>
        <w:t xml:space="preserve">affinity in lectures from the Critical period (cf. </w:t>
      </w:r>
      <w:proofErr w:type="spellStart"/>
      <w:r w:rsidR="00052310">
        <w:rPr>
          <w:i/>
          <w:iCs/>
        </w:rPr>
        <w:t>Menschenkunde</w:t>
      </w:r>
      <w:proofErr w:type="spellEnd"/>
      <w:r>
        <w:rPr>
          <w:iCs/>
        </w:rPr>
        <w:t xml:space="preserve"> 25:946-7), as well as in the published </w:t>
      </w:r>
      <w:r>
        <w:rPr>
          <w:i/>
          <w:iCs/>
        </w:rPr>
        <w:t>Anthropology</w:t>
      </w:r>
      <w:r>
        <w:rPr>
          <w:iCs/>
        </w:rPr>
        <w:t xml:space="preserve"> itself (7:176ff)</w:t>
      </w:r>
    </w:p>
  </w:footnote>
  <w:footnote w:id="26">
    <w:p w:rsidR="00A04650" w:rsidRDefault="00A04650">
      <w:pPr>
        <w:pStyle w:val="FootnoteText"/>
      </w:pPr>
      <w:r>
        <w:rPr>
          <w:rStyle w:val="FootnoteReference"/>
        </w:rPr>
        <w:footnoteRef/>
      </w:r>
      <w:r>
        <w:t xml:space="preserve"> Note that I differ from Allison (201</w:t>
      </w:r>
      <w:r w:rsidR="00C21CE1">
        <w:t>5:267ff) in preferring Kant’s exposition of the argument at A113-4, though I take it that both are concerned with the same argument (and so I draw on material from the later exposition to clarify the former).</w:t>
      </w:r>
    </w:p>
  </w:footnote>
  <w:footnote w:id="27">
    <w:p w:rsidR="00C07B98" w:rsidRDefault="00C07B98">
      <w:pPr>
        <w:pStyle w:val="FootnoteText"/>
      </w:pPr>
      <w:r>
        <w:rPr>
          <w:rStyle w:val="FootnoteReference"/>
        </w:rPr>
        <w:footnoteRef/>
      </w:r>
      <w:r w:rsidR="00C21CE1">
        <w:t xml:space="preserve"> For more detail on this</w:t>
      </w:r>
      <w:r w:rsidR="000A573F">
        <w:t xml:space="preserve"> line of argument</w:t>
      </w:r>
      <w:r w:rsidR="00C21CE1">
        <w:t xml:space="preserve">, </w:t>
      </w:r>
      <w:r w:rsidR="00F70D23">
        <w:t xml:space="preserve">see Dyck </w:t>
      </w:r>
      <w:r w:rsidR="000A573F">
        <w:t xml:space="preserve">forthcoming </w:t>
      </w:r>
      <w:r w:rsidR="00F70D23">
        <w:t>[</w:t>
      </w:r>
      <w:r w:rsidR="000A573F">
        <w:t>a</w:t>
      </w:r>
      <w:r w:rsidR="00F70D23">
        <w:t>] (</w:t>
      </w:r>
      <w:r w:rsidR="000A573F">
        <w:t>especially section 2)</w:t>
      </w:r>
      <w:r>
        <w:t>.</w:t>
      </w:r>
    </w:p>
  </w:footnote>
  <w:footnote w:id="28">
    <w:p w:rsidR="000D2265" w:rsidRDefault="000D2265">
      <w:pPr>
        <w:pStyle w:val="FootnoteText"/>
      </w:pPr>
      <w:r>
        <w:rPr>
          <w:rStyle w:val="FootnoteReference"/>
        </w:rPr>
        <w:footnoteRef/>
      </w:r>
      <w:r>
        <w:t xml:space="preserve"> </w:t>
      </w:r>
      <w:r w:rsidR="00BD11BC">
        <w:t>For</w:t>
      </w:r>
      <w:r w:rsidR="000A573F">
        <w:t xml:space="preserve"> a similar comparison of associational connections to judgments of perception, see</w:t>
      </w:r>
      <w:r w:rsidR="00BD11BC">
        <w:t xml:space="preserve"> </w:t>
      </w:r>
      <w:r>
        <w:t>Aquila</w:t>
      </w:r>
      <w:r w:rsidR="000A573F">
        <w:t xml:space="preserve"> 1987:103ff</w:t>
      </w:r>
      <w:r w:rsidR="00E9708C">
        <w:t xml:space="preserve">, </w:t>
      </w:r>
      <w:r w:rsidR="000A573F">
        <w:t>and</w:t>
      </w:r>
      <w:r w:rsidR="00E9708C">
        <w:t xml:space="preserve"> for critical discussion of this proposal, see</w:t>
      </w:r>
      <w:r w:rsidR="000A573F">
        <w:t xml:space="preserve"> </w:t>
      </w:r>
      <w:proofErr w:type="spellStart"/>
      <w:r w:rsidR="000A573F">
        <w:t>Wunsch</w:t>
      </w:r>
      <w:proofErr w:type="spellEnd"/>
      <w:r w:rsidR="000A573F">
        <w:t xml:space="preserve"> 2007:227ff.</w:t>
      </w:r>
    </w:p>
  </w:footnote>
  <w:footnote w:id="29">
    <w:p w:rsidR="00E9708C" w:rsidRPr="00E9708C" w:rsidRDefault="00E9708C">
      <w:pPr>
        <w:pStyle w:val="FootnoteText"/>
      </w:pPr>
      <w:r>
        <w:rPr>
          <w:rStyle w:val="FootnoteReference"/>
        </w:rPr>
        <w:footnoteRef/>
      </w:r>
      <w:r>
        <w:t xml:space="preserve"> Contrast Allison (1972:204 and 2015:267), who takes Kant to offer a “</w:t>
      </w:r>
      <w:proofErr w:type="spellStart"/>
      <w:r>
        <w:rPr>
          <w:i/>
        </w:rPr>
        <w:t>reductio</w:t>
      </w:r>
      <w:proofErr w:type="spellEnd"/>
      <w:r>
        <w:rPr>
          <w:i/>
        </w:rPr>
        <w:t xml:space="preserve"> ad absurdum</w:t>
      </w:r>
      <w:r>
        <w:t xml:space="preserve"> of the </w:t>
      </w:r>
      <w:proofErr w:type="spellStart"/>
      <w:r>
        <w:t>Humean</w:t>
      </w:r>
      <w:proofErr w:type="spellEnd"/>
      <w:r>
        <w:t xml:space="preserve"> position” (specifically, the denial of affinity). On the view presented here, Kant’s argument for affinity does not show Hume’s position to be impossible (or to entail a denial of the bare associability of representations), but rather </w:t>
      </w:r>
      <w:r w:rsidR="001A6714">
        <w:t>is limited to explaining</w:t>
      </w:r>
      <w:r>
        <w:t xml:space="preserve"> Hume’s erroneous denial of causal cognition as the inevitable result of his transcendental realistic perspective</w:t>
      </w:r>
      <w:r w:rsidR="001A6714">
        <w:t xml:space="preserve">; I take it that Hume’s (and indeed the </w:t>
      </w:r>
      <w:proofErr w:type="spellStart"/>
      <w:r w:rsidR="001A6714">
        <w:t>empiricistic</w:t>
      </w:r>
      <w:proofErr w:type="spellEnd"/>
      <w:r w:rsidR="001A6714">
        <w:t xml:space="preserve">) account of the mechanism of association is nonetheless left in tact.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ED"/>
    <w:rsid w:val="00000C83"/>
    <w:rsid w:val="000021D2"/>
    <w:rsid w:val="00006A5D"/>
    <w:rsid w:val="00010309"/>
    <w:rsid w:val="00010809"/>
    <w:rsid w:val="00012FB1"/>
    <w:rsid w:val="00014066"/>
    <w:rsid w:val="000155BC"/>
    <w:rsid w:val="000208B6"/>
    <w:rsid w:val="00030032"/>
    <w:rsid w:val="00032BDB"/>
    <w:rsid w:val="00033883"/>
    <w:rsid w:val="000367CD"/>
    <w:rsid w:val="00042642"/>
    <w:rsid w:val="0004412C"/>
    <w:rsid w:val="0004492F"/>
    <w:rsid w:val="0005200A"/>
    <w:rsid w:val="00052310"/>
    <w:rsid w:val="00053A03"/>
    <w:rsid w:val="00054C46"/>
    <w:rsid w:val="00062914"/>
    <w:rsid w:val="0006492E"/>
    <w:rsid w:val="0006493A"/>
    <w:rsid w:val="00064FBF"/>
    <w:rsid w:val="00065A2A"/>
    <w:rsid w:val="00071C16"/>
    <w:rsid w:val="00071D6A"/>
    <w:rsid w:val="00086A8F"/>
    <w:rsid w:val="00092726"/>
    <w:rsid w:val="00096427"/>
    <w:rsid w:val="000A573F"/>
    <w:rsid w:val="000B33A8"/>
    <w:rsid w:val="000B46BB"/>
    <w:rsid w:val="000B4994"/>
    <w:rsid w:val="000C13C1"/>
    <w:rsid w:val="000C19F5"/>
    <w:rsid w:val="000C5A38"/>
    <w:rsid w:val="000C7640"/>
    <w:rsid w:val="000D0342"/>
    <w:rsid w:val="000D2265"/>
    <w:rsid w:val="000D2D36"/>
    <w:rsid w:val="000D7671"/>
    <w:rsid w:val="000E1B4D"/>
    <w:rsid w:val="000E55C9"/>
    <w:rsid w:val="000F1A62"/>
    <w:rsid w:val="000F272B"/>
    <w:rsid w:val="000F3D78"/>
    <w:rsid w:val="0010066A"/>
    <w:rsid w:val="001008F3"/>
    <w:rsid w:val="001011FE"/>
    <w:rsid w:val="00113484"/>
    <w:rsid w:val="0012274C"/>
    <w:rsid w:val="001240D0"/>
    <w:rsid w:val="0012438C"/>
    <w:rsid w:val="001358D1"/>
    <w:rsid w:val="00136D24"/>
    <w:rsid w:val="0013756F"/>
    <w:rsid w:val="00137888"/>
    <w:rsid w:val="001449B1"/>
    <w:rsid w:val="0014648B"/>
    <w:rsid w:val="00147252"/>
    <w:rsid w:val="00154E93"/>
    <w:rsid w:val="00155065"/>
    <w:rsid w:val="00160C95"/>
    <w:rsid w:val="001652FC"/>
    <w:rsid w:val="00170479"/>
    <w:rsid w:val="00170540"/>
    <w:rsid w:val="00176630"/>
    <w:rsid w:val="00176B97"/>
    <w:rsid w:val="00182AD3"/>
    <w:rsid w:val="00191E1A"/>
    <w:rsid w:val="00193E38"/>
    <w:rsid w:val="001A6714"/>
    <w:rsid w:val="001B252E"/>
    <w:rsid w:val="001C47F5"/>
    <w:rsid w:val="001C4E4C"/>
    <w:rsid w:val="001C4E88"/>
    <w:rsid w:val="001C51B7"/>
    <w:rsid w:val="001C5CE9"/>
    <w:rsid w:val="001C73EE"/>
    <w:rsid w:val="001D12FE"/>
    <w:rsid w:val="001D3536"/>
    <w:rsid w:val="001D5847"/>
    <w:rsid w:val="001E0014"/>
    <w:rsid w:val="001E0F70"/>
    <w:rsid w:val="001E181F"/>
    <w:rsid w:val="001E46F3"/>
    <w:rsid w:val="001F6493"/>
    <w:rsid w:val="002003EE"/>
    <w:rsid w:val="00214257"/>
    <w:rsid w:val="00216933"/>
    <w:rsid w:val="00216A73"/>
    <w:rsid w:val="0022473B"/>
    <w:rsid w:val="00234944"/>
    <w:rsid w:val="00234FFC"/>
    <w:rsid w:val="002353F5"/>
    <w:rsid w:val="00240F10"/>
    <w:rsid w:val="00243570"/>
    <w:rsid w:val="00245FBF"/>
    <w:rsid w:val="00250AA4"/>
    <w:rsid w:val="002566E9"/>
    <w:rsid w:val="00261A79"/>
    <w:rsid w:val="00273FA2"/>
    <w:rsid w:val="00284091"/>
    <w:rsid w:val="00290385"/>
    <w:rsid w:val="0029133E"/>
    <w:rsid w:val="00297385"/>
    <w:rsid w:val="002A03FD"/>
    <w:rsid w:val="002A08AD"/>
    <w:rsid w:val="002A1E65"/>
    <w:rsid w:val="002B7C1B"/>
    <w:rsid w:val="002D3BB6"/>
    <w:rsid w:val="002D400C"/>
    <w:rsid w:val="002E48A5"/>
    <w:rsid w:val="002E5B8F"/>
    <w:rsid w:val="002E66DA"/>
    <w:rsid w:val="002F0976"/>
    <w:rsid w:val="002F5EBD"/>
    <w:rsid w:val="002F63CA"/>
    <w:rsid w:val="002F7621"/>
    <w:rsid w:val="002F7EA0"/>
    <w:rsid w:val="00303DAE"/>
    <w:rsid w:val="0030732B"/>
    <w:rsid w:val="00314B8C"/>
    <w:rsid w:val="00316126"/>
    <w:rsid w:val="003366DA"/>
    <w:rsid w:val="0034514B"/>
    <w:rsid w:val="00352913"/>
    <w:rsid w:val="003745E4"/>
    <w:rsid w:val="00375DE0"/>
    <w:rsid w:val="00376AF5"/>
    <w:rsid w:val="00381D69"/>
    <w:rsid w:val="003835A2"/>
    <w:rsid w:val="00386F2B"/>
    <w:rsid w:val="00387212"/>
    <w:rsid w:val="00390161"/>
    <w:rsid w:val="003A326D"/>
    <w:rsid w:val="003B20E8"/>
    <w:rsid w:val="003B6E89"/>
    <w:rsid w:val="003C29AB"/>
    <w:rsid w:val="003C3BC0"/>
    <w:rsid w:val="003D3411"/>
    <w:rsid w:val="003D55CB"/>
    <w:rsid w:val="003D6F06"/>
    <w:rsid w:val="003D6FBC"/>
    <w:rsid w:val="003E4B0B"/>
    <w:rsid w:val="003E534C"/>
    <w:rsid w:val="003E55AF"/>
    <w:rsid w:val="003F0261"/>
    <w:rsid w:val="003F6948"/>
    <w:rsid w:val="0040397C"/>
    <w:rsid w:val="00406160"/>
    <w:rsid w:val="00415779"/>
    <w:rsid w:val="0041689F"/>
    <w:rsid w:val="00416F3C"/>
    <w:rsid w:val="0043472D"/>
    <w:rsid w:val="004379D3"/>
    <w:rsid w:val="004402F2"/>
    <w:rsid w:val="00451A58"/>
    <w:rsid w:val="0045290D"/>
    <w:rsid w:val="004549EA"/>
    <w:rsid w:val="00457D5E"/>
    <w:rsid w:val="00460E94"/>
    <w:rsid w:val="00462614"/>
    <w:rsid w:val="0047221C"/>
    <w:rsid w:val="004735A7"/>
    <w:rsid w:val="004777E5"/>
    <w:rsid w:val="00487DCB"/>
    <w:rsid w:val="0049291E"/>
    <w:rsid w:val="004A0130"/>
    <w:rsid w:val="004A36A8"/>
    <w:rsid w:val="004A569F"/>
    <w:rsid w:val="004A72A1"/>
    <w:rsid w:val="004B00B5"/>
    <w:rsid w:val="004B6D5C"/>
    <w:rsid w:val="004B7068"/>
    <w:rsid w:val="004C2F09"/>
    <w:rsid w:val="004D603A"/>
    <w:rsid w:val="004D6D8F"/>
    <w:rsid w:val="004E32A0"/>
    <w:rsid w:val="004E3CDF"/>
    <w:rsid w:val="004F1DC9"/>
    <w:rsid w:val="004F3602"/>
    <w:rsid w:val="004F4CF5"/>
    <w:rsid w:val="004F64E9"/>
    <w:rsid w:val="004F7929"/>
    <w:rsid w:val="0050031D"/>
    <w:rsid w:val="0050280E"/>
    <w:rsid w:val="00503B16"/>
    <w:rsid w:val="00505D6C"/>
    <w:rsid w:val="00511411"/>
    <w:rsid w:val="005220B1"/>
    <w:rsid w:val="00534689"/>
    <w:rsid w:val="00541D8C"/>
    <w:rsid w:val="005443A1"/>
    <w:rsid w:val="005511D3"/>
    <w:rsid w:val="005547B8"/>
    <w:rsid w:val="00555049"/>
    <w:rsid w:val="00563B0D"/>
    <w:rsid w:val="0057029E"/>
    <w:rsid w:val="00573E43"/>
    <w:rsid w:val="00580976"/>
    <w:rsid w:val="00581B52"/>
    <w:rsid w:val="005834F6"/>
    <w:rsid w:val="0058612F"/>
    <w:rsid w:val="005B3058"/>
    <w:rsid w:val="005B3841"/>
    <w:rsid w:val="005B67F7"/>
    <w:rsid w:val="005C0385"/>
    <w:rsid w:val="005C4E6A"/>
    <w:rsid w:val="005C52CD"/>
    <w:rsid w:val="005D1554"/>
    <w:rsid w:val="005D3515"/>
    <w:rsid w:val="005E02E6"/>
    <w:rsid w:val="005E1D46"/>
    <w:rsid w:val="005E46E1"/>
    <w:rsid w:val="005E5422"/>
    <w:rsid w:val="005E5DF4"/>
    <w:rsid w:val="005E71F1"/>
    <w:rsid w:val="005F1584"/>
    <w:rsid w:val="005F2838"/>
    <w:rsid w:val="005F5198"/>
    <w:rsid w:val="005F6567"/>
    <w:rsid w:val="0061606D"/>
    <w:rsid w:val="00617E5E"/>
    <w:rsid w:val="00620C3B"/>
    <w:rsid w:val="006258B9"/>
    <w:rsid w:val="006270A1"/>
    <w:rsid w:val="00634B4B"/>
    <w:rsid w:val="00636FF6"/>
    <w:rsid w:val="006421A5"/>
    <w:rsid w:val="00653B5B"/>
    <w:rsid w:val="006576EE"/>
    <w:rsid w:val="00661CD4"/>
    <w:rsid w:val="0066498C"/>
    <w:rsid w:val="00672282"/>
    <w:rsid w:val="006735D1"/>
    <w:rsid w:val="00680FBB"/>
    <w:rsid w:val="00682019"/>
    <w:rsid w:val="006842BB"/>
    <w:rsid w:val="006844B6"/>
    <w:rsid w:val="006A0B69"/>
    <w:rsid w:val="006B0881"/>
    <w:rsid w:val="006B1252"/>
    <w:rsid w:val="006B2DEE"/>
    <w:rsid w:val="006B4B0B"/>
    <w:rsid w:val="006C2B16"/>
    <w:rsid w:val="006C5DB3"/>
    <w:rsid w:val="006D0843"/>
    <w:rsid w:val="006D1E4E"/>
    <w:rsid w:val="006D3CA4"/>
    <w:rsid w:val="006E4087"/>
    <w:rsid w:val="006E5CCC"/>
    <w:rsid w:val="006F327D"/>
    <w:rsid w:val="00701EB5"/>
    <w:rsid w:val="00705F9B"/>
    <w:rsid w:val="00716F09"/>
    <w:rsid w:val="00717085"/>
    <w:rsid w:val="00717360"/>
    <w:rsid w:val="007210E8"/>
    <w:rsid w:val="00723BBF"/>
    <w:rsid w:val="00725C41"/>
    <w:rsid w:val="0074006C"/>
    <w:rsid w:val="007402F1"/>
    <w:rsid w:val="00740FC5"/>
    <w:rsid w:val="007454F7"/>
    <w:rsid w:val="007519AF"/>
    <w:rsid w:val="007528AE"/>
    <w:rsid w:val="00755A31"/>
    <w:rsid w:val="00765D45"/>
    <w:rsid w:val="007721F2"/>
    <w:rsid w:val="007728C9"/>
    <w:rsid w:val="00773E8E"/>
    <w:rsid w:val="00775C90"/>
    <w:rsid w:val="00777350"/>
    <w:rsid w:val="007815A4"/>
    <w:rsid w:val="00783907"/>
    <w:rsid w:val="00786052"/>
    <w:rsid w:val="00793AE1"/>
    <w:rsid w:val="00794D12"/>
    <w:rsid w:val="00795E25"/>
    <w:rsid w:val="007A2339"/>
    <w:rsid w:val="007A2D66"/>
    <w:rsid w:val="007A33BF"/>
    <w:rsid w:val="007A7324"/>
    <w:rsid w:val="007A7FB6"/>
    <w:rsid w:val="007B1952"/>
    <w:rsid w:val="007B3BFE"/>
    <w:rsid w:val="007B6E2A"/>
    <w:rsid w:val="007C23DC"/>
    <w:rsid w:val="007D347D"/>
    <w:rsid w:val="007D55B1"/>
    <w:rsid w:val="007E3D57"/>
    <w:rsid w:val="007F2AD4"/>
    <w:rsid w:val="007F3AFC"/>
    <w:rsid w:val="007F597F"/>
    <w:rsid w:val="007F66C5"/>
    <w:rsid w:val="00812973"/>
    <w:rsid w:val="00820D36"/>
    <w:rsid w:val="008405E9"/>
    <w:rsid w:val="00841E93"/>
    <w:rsid w:val="00846383"/>
    <w:rsid w:val="008464ED"/>
    <w:rsid w:val="00857109"/>
    <w:rsid w:val="00862A5C"/>
    <w:rsid w:val="00863C98"/>
    <w:rsid w:val="00874611"/>
    <w:rsid w:val="00874B24"/>
    <w:rsid w:val="0088019D"/>
    <w:rsid w:val="00880C79"/>
    <w:rsid w:val="0088229E"/>
    <w:rsid w:val="00886561"/>
    <w:rsid w:val="008867DC"/>
    <w:rsid w:val="008A0C33"/>
    <w:rsid w:val="008A0F84"/>
    <w:rsid w:val="008A1238"/>
    <w:rsid w:val="008B69B3"/>
    <w:rsid w:val="008C40CE"/>
    <w:rsid w:val="008C4B0C"/>
    <w:rsid w:val="008C4FA6"/>
    <w:rsid w:val="008C634C"/>
    <w:rsid w:val="008C6441"/>
    <w:rsid w:val="008C6B07"/>
    <w:rsid w:val="008D1A3E"/>
    <w:rsid w:val="008D271A"/>
    <w:rsid w:val="008D3718"/>
    <w:rsid w:val="008E12B3"/>
    <w:rsid w:val="008E1433"/>
    <w:rsid w:val="008E759B"/>
    <w:rsid w:val="00902E74"/>
    <w:rsid w:val="00905FE9"/>
    <w:rsid w:val="009244E1"/>
    <w:rsid w:val="0092601B"/>
    <w:rsid w:val="00940B99"/>
    <w:rsid w:val="009426CC"/>
    <w:rsid w:val="0095181B"/>
    <w:rsid w:val="00952436"/>
    <w:rsid w:val="00964B1F"/>
    <w:rsid w:val="0097637B"/>
    <w:rsid w:val="00990915"/>
    <w:rsid w:val="00990C79"/>
    <w:rsid w:val="00994C16"/>
    <w:rsid w:val="00997C9E"/>
    <w:rsid w:val="009A4101"/>
    <w:rsid w:val="009A494C"/>
    <w:rsid w:val="009B169E"/>
    <w:rsid w:val="009B4A37"/>
    <w:rsid w:val="009C1418"/>
    <w:rsid w:val="009C48E5"/>
    <w:rsid w:val="009C5769"/>
    <w:rsid w:val="009D77D1"/>
    <w:rsid w:val="009E0D4D"/>
    <w:rsid w:val="009E41B6"/>
    <w:rsid w:val="009F0290"/>
    <w:rsid w:val="009F43D4"/>
    <w:rsid w:val="00A03CB5"/>
    <w:rsid w:val="00A0432B"/>
    <w:rsid w:val="00A04650"/>
    <w:rsid w:val="00A04EB7"/>
    <w:rsid w:val="00A1781F"/>
    <w:rsid w:val="00A22922"/>
    <w:rsid w:val="00A23086"/>
    <w:rsid w:val="00A24BDA"/>
    <w:rsid w:val="00A30931"/>
    <w:rsid w:val="00A32778"/>
    <w:rsid w:val="00A34696"/>
    <w:rsid w:val="00A53751"/>
    <w:rsid w:val="00A550B6"/>
    <w:rsid w:val="00A609B2"/>
    <w:rsid w:val="00A66A94"/>
    <w:rsid w:val="00A6708E"/>
    <w:rsid w:val="00A8015B"/>
    <w:rsid w:val="00A81D0A"/>
    <w:rsid w:val="00A85194"/>
    <w:rsid w:val="00A856AF"/>
    <w:rsid w:val="00A95A6A"/>
    <w:rsid w:val="00AA2C6E"/>
    <w:rsid w:val="00AC2067"/>
    <w:rsid w:val="00AC3A9A"/>
    <w:rsid w:val="00AC4522"/>
    <w:rsid w:val="00AD1516"/>
    <w:rsid w:val="00AD23CB"/>
    <w:rsid w:val="00AD53C3"/>
    <w:rsid w:val="00AD7F74"/>
    <w:rsid w:val="00AE1D0E"/>
    <w:rsid w:val="00AE1F7D"/>
    <w:rsid w:val="00AE3CC7"/>
    <w:rsid w:val="00AE4946"/>
    <w:rsid w:val="00AE6A78"/>
    <w:rsid w:val="00AF4240"/>
    <w:rsid w:val="00AF5706"/>
    <w:rsid w:val="00B00043"/>
    <w:rsid w:val="00B043F4"/>
    <w:rsid w:val="00B048EF"/>
    <w:rsid w:val="00B12486"/>
    <w:rsid w:val="00B13ACD"/>
    <w:rsid w:val="00B14681"/>
    <w:rsid w:val="00B169E3"/>
    <w:rsid w:val="00B2070F"/>
    <w:rsid w:val="00B210B3"/>
    <w:rsid w:val="00B22C1C"/>
    <w:rsid w:val="00B25C33"/>
    <w:rsid w:val="00B26899"/>
    <w:rsid w:val="00B26E1A"/>
    <w:rsid w:val="00B30A62"/>
    <w:rsid w:val="00B351E2"/>
    <w:rsid w:val="00B43E1C"/>
    <w:rsid w:val="00B64467"/>
    <w:rsid w:val="00B70B45"/>
    <w:rsid w:val="00B72DD6"/>
    <w:rsid w:val="00B779B2"/>
    <w:rsid w:val="00B80672"/>
    <w:rsid w:val="00B82636"/>
    <w:rsid w:val="00B83765"/>
    <w:rsid w:val="00B83890"/>
    <w:rsid w:val="00B83CEE"/>
    <w:rsid w:val="00B95B7E"/>
    <w:rsid w:val="00B97DC5"/>
    <w:rsid w:val="00BA6B81"/>
    <w:rsid w:val="00BB0B4D"/>
    <w:rsid w:val="00BB11FB"/>
    <w:rsid w:val="00BC0276"/>
    <w:rsid w:val="00BC4B74"/>
    <w:rsid w:val="00BC57A7"/>
    <w:rsid w:val="00BC7B02"/>
    <w:rsid w:val="00BD11BC"/>
    <w:rsid w:val="00BE1256"/>
    <w:rsid w:val="00BE12C5"/>
    <w:rsid w:val="00BE1994"/>
    <w:rsid w:val="00BF22CF"/>
    <w:rsid w:val="00BF6851"/>
    <w:rsid w:val="00C00786"/>
    <w:rsid w:val="00C07B98"/>
    <w:rsid w:val="00C13E72"/>
    <w:rsid w:val="00C14F50"/>
    <w:rsid w:val="00C21CE1"/>
    <w:rsid w:val="00C233FD"/>
    <w:rsid w:val="00C27AE2"/>
    <w:rsid w:val="00C35AC1"/>
    <w:rsid w:val="00C40962"/>
    <w:rsid w:val="00C4230E"/>
    <w:rsid w:val="00C4350E"/>
    <w:rsid w:val="00C448C8"/>
    <w:rsid w:val="00C4522E"/>
    <w:rsid w:val="00C52156"/>
    <w:rsid w:val="00C52199"/>
    <w:rsid w:val="00C539FB"/>
    <w:rsid w:val="00C53E00"/>
    <w:rsid w:val="00C5515B"/>
    <w:rsid w:val="00C56C95"/>
    <w:rsid w:val="00C72CA2"/>
    <w:rsid w:val="00C87BA2"/>
    <w:rsid w:val="00C90A1B"/>
    <w:rsid w:val="00C94AA9"/>
    <w:rsid w:val="00CA169F"/>
    <w:rsid w:val="00CA1A47"/>
    <w:rsid w:val="00CA7A8B"/>
    <w:rsid w:val="00CB4E54"/>
    <w:rsid w:val="00CC678F"/>
    <w:rsid w:val="00CD030C"/>
    <w:rsid w:val="00CE3FC8"/>
    <w:rsid w:val="00CE4677"/>
    <w:rsid w:val="00CE48D8"/>
    <w:rsid w:val="00CE4FB6"/>
    <w:rsid w:val="00CE5315"/>
    <w:rsid w:val="00CF0207"/>
    <w:rsid w:val="00CF0FE1"/>
    <w:rsid w:val="00CF120E"/>
    <w:rsid w:val="00CF7676"/>
    <w:rsid w:val="00D004C6"/>
    <w:rsid w:val="00D013D3"/>
    <w:rsid w:val="00D0558A"/>
    <w:rsid w:val="00D139D4"/>
    <w:rsid w:val="00D25255"/>
    <w:rsid w:val="00D36ED2"/>
    <w:rsid w:val="00D40A8B"/>
    <w:rsid w:val="00D443E6"/>
    <w:rsid w:val="00D541A6"/>
    <w:rsid w:val="00D61B0A"/>
    <w:rsid w:val="00D62706"/>
    <w:rsid w:val="00D65280"/>
    <w:rsid w:val="00D70544"/>
    <w:rsid w:val="00D70873"/>
    <w:rsid w:val="00D71679"/>
    <w:rsid w:val="00D8521B"/>
    <w:rsid w:val="00D85B80"/>
    <w:rsid w:val="00D86BE6"/>
    <w:rsid w:val="00D86CB6"/>
    <w:rsid w:val="00D86EF5"/>
    <w:rsid w:val="00D94CE8"/>
    <w:rsid w:val="00DA00CD"/>
    <w:rsid w:val="00DA2974"/>
    <w:rsid w:val="00DB0C5A"/>
    <w:rsid w:val="00DB498A"/>
    <w:rsid w:val="00DB6F56"/>
    <w:rsid w:val="00DE234A"/>
    <w:rsid w:val="00DE48F8"/>
    <w:rsid w:val="00DF37A3"/>
    <w:rsid w:val="00DF7C07"/>
    <w:rsid w:val="00E0420D"/>
    <w:rsid w:val="00E0458B"/>
    <w:rsid w:val="00E104B9"/>
    <w:rsid w:val="00E22827"/>
    <w:rsid w:val="00E242B7"/>
    <w:rsid w:val="00E24EA3"/>
    <w:rsid w:val="00E31A17"/>
    <w:rsid w:val="00E31AA2"/>
    <w:rsid w:val="00E31F42"/>
    <w:rsid w:val="00E406E6"/>
    <w:rsid w:val="00E4401C"/>
    <w:rsid w:val="00E44D6F"/>
    <w:rsid w:val="00E53F4B"/>
    <w:rsid w:val="00E60269"/>
    <w:rsid w:val="00E60DB6"/>
    <w:rsid w:val="00E62640"/>
    <w:rsid w:val="00E65AF4"/>
    <w:rsid w:val="00E72C0F"/>
    <w:rsid w:val="00E739D9"/>
    <w:rsid w:val="00E830D0"/>
    <w:rsid w:val="00E92388"/>
    <w:rsid w:val="00E9708C"/>
    <w:rsid w:val="00EA4110"/>
    <w:rsid w:val="00EA6AF5"/>
    <w:rsid w:val="00EA70D7"/>
    <w:rsid w:val="00EB1469"/>
    <w:rsid w:val="00EC75DE"/>
    <w:rsid w:val="00EC792F"/>
    <w:rsid w:val="00ED4162"/>
    <w:rsid w:val="00EE21AF"/>
    <w:rsid w:val="00EE39FD"/>
    <w:rsid w:val="00EE54FF"/>
    <w:rsid w:val="00EE6271"/>
    <w:rsid w:val="00EF097B"/>
    <w:rsid w:val="00F16628"/>
    <w:rsid w:val="00F25939"/>
    <w:rsid w:val="00F30733"/>
    <w:rsid w:val="00F36552"/>
    <w:rsid w:val="00F41EDB"/>
    <w:rsid w:val="00F431A7"/>
    <w:rsid w:val="00F45E58"/>
    <w:rsid w:val="00F572DE"/>
    <w:rsid w:val="00F6332C"/>
    <w:rsid w:val="00F63D7B"/>
    <w:rsid w:val="00F64552"/>
    <w:rsid w:val="00F64AC0"/>
    <w:rsid w:val="00F65088"/>
    <w:rsid w:val="00F65502"/>
    <w:rsid w:val="00F65ED9"/>
    <w:rsid w:val="00F666E0"/>
    <w:rsid w:val="00F70D23"/>
    <w:rsid w:val="00F80FD7"/>
    <w:rsid w:val="00F8670A"/>
    <w:rsid w:val="00F90372"/>
    <w:rsid w:val="00F949DB"/>
    <w:rsid w:val="00F94FD1"/>
    <w:rsid w:val="00F95A4F"/>
    <w:rsid w:val="00FA2E1D"/>
    <w:rsid w:val="00FA50C2"/>
    <w:rsid w:val="00FA5EEA"/>
    <w:rsid w:val="00FC2B45"/>
    <w:rsid w:val="00FD0140"/>
    <w:rsid w:val="00FE1ABA"/>
    <w:rsid w:val="00FE3CE2"/>
    <w:rsid w:val="00FF41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1EBE0-9C3E-4C78-8837-D9056FD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80"/>
    <w:pPr>
      <w:contextualSpacing/>
    </w:pPr>
    <w:rPr>
      <w:rFonts w:ascii="Garamond" w:hAnsi="Garamond"/>
      <w:sz w:val="24"/>
    </w:rPr>
  </w:style>
  <w:style w:type="paragraph" w:styleId="Heading1">
    <w:name w:val="heading 1"/>
    <w:basedOn w:val="Normal"/>
    <w:next w:val="Normal"/>
    <w:link w:val="Heading1Char"/>
    <w:uiPriority w:val="9"/>
    <w:qFormat/>
    <w:rsid w:val="00451A5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setQuote">
    <w:name w:val="Offset Quote"/>
    <w:basedOn w:val="Normal"/>
    <w:link w:val="OffsetQuoteChar"/>
    <w:qFormat/>
    <w:rsid w:val="00DA2974"/>
    <w:pPr>
      <w:ind w:left="720"/>
    </w:pPr>
    <w:rPr>
      <w:sz w:val="20"/>
      <w:szCs w:val="20"/>
    </w:rPr>
  </w:style>
  <w:style w:type="character" w:customStyle="1" w:styleId="OffsetQuoteChar">
    <w:name w:val="Offset Quote Char"/>
    <w:basedOn w:val="DefaultParagraphFont"/>
    <w:link w:val="OffsetQuote"/>
    <w:rsid w:val="00DA2974"/>
    <w:rPr>
      <w:rFonts w:ascii="Garamond" w:hAnsi="Garamond"/>
      <w:sz w:val="20"/>
      <w:szCs w:val="20"/>
    </w:rPr>
  </w:style>
  <w:style w:type="paragraph" w:styleId="FootnoteText">
    <w:name w:val="footnote text"/>
    <w:basedOn w:val="Normal"/>
    <w:link w:val="FootnoteTextChar"/>
    <w:uiPriority w:val="99"/>
    <w:unhideWhenUsed/>
    <w:rsid w:val="008464ED"/>
    <w:rPr>
      <w:sz w:val="20"/>
      <w:szCs w:val="20"/>
    </w:rPr>
  </w:style>
  <w:style w:type="character" w:customStyle="1" w:styleId="FootnoteTextChar">
    <w:name w:val="Footnote Text Char"/>
    <w:basedOn w:val="DefaultParagraphFont"/>
    <w:link w:val="FootnoteText"/>
    <w:uiPriority w:val="99"/>
    <w:rsid w:val="008464ED"/>
    <w:rPr>
      <w:rFonts w:ascii="Garamond" w:hAnsi="Garamond"/>
      <w:sz w:val="20"/>
      <w:szCs w:val="20"/>
    </w:rPr>
  </w:style>
  <w:style w:type="character" w:styleId="FootnoteReference">
    <w:name w:val="footnote reference"/>
    <w:basedOn w:val="DefaultParagraphFont"/>
    <w:uiPriority w:val="99"/>
    <w:semiHidden/>
    <w:unhideWhenUsed/>
    <w:rsid w:val="008464ED"/>
    <w:rPr>
      <w:vertAlign w:val="superscript"/>
    </w:rPr>
  </w:style>
  <w:style w:type="paragraph" w:styleId="ListParagraph">
    <w:name w:val="List Paragraph"/>
    <w:basedOn w:val="Normal"/>
    <w:uiPriority w:val="34"/>
    <w:qFormat/>
    <w:rsid w:val="003E534C"/>
    <w:pPr>
      <w:ind w:left="720"/>
    </w:pPr>
  </w:style>
  <w:style w:type="character" w:customStyle="1" w:styleId="Heading1Char">
    <w:name w:val="Heading 1 Char"/>
    <w:basedOn w:val="DefaultParagraphFont"/>
    <w:link w:val="Heading1"/>
    <w:uiPriority w:val="9"/>
    <w:rsid w:val="00451A5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6388">
      <w:bodyDiv w:val="1"/>
      <w:marLeft w:val="0"/>
      <w:marRight w:val="0"/>
      <w:marTop w:val="0"/>
      <w:marBottom w:val="0"/>
      <w:divBdr>
        <w:top w:val="none" w:sz="0" w:space="0" w:color="auto"/>
        <w:left w:val="none" w:sz="0" w:space="0" w:color="auto"/>
        <w:bottom w:val="none" w:sz="0" w:space="0" w:color="auto"/>
        <w:right w:val="none" w:sz="0" w:space="0" w:color="auto"/>
      </w:divBdr>
    </w:div>
    <w:div w:id="105925079">
      <w:bodyDiv w:val="1"/>
      <w:marLeft w:val="0"/>
      <w:marRight w:val="0"/>
      <w:marTop w:val="0"/>
      <w:marBottom w:val="0"/>
      <w:divBdr>
        <w:top w:val="none" w:sz="0" w:space="0" w:color="auto"/>
        <w:left w:val="none" w:sz="0" w:space="0" w:color="auto"/>
        <w:bottom w:val="none" w:sz="0" w:space="0" w:color="auto"/>
        <w:right w:val="none" w:sz="0" w:space="0" w:color="auto"/>
      </w:divBdr>
    </w:div>
    <w:div w:id="239678696">
      <w:bodyDiv w:val="1"/>
      <w:marLeft w:val="0"/>
      <w:marRight w:val="0"/>
      <w:marTop w:val="0"/>
      <w:marBottom w:val="0"/>
      <w:divBdr>
        <w:top w:val="none" w:sz="0" w:space="0" w:color="auto"/>
        <w:left w:val="none" w:sz="0" w:space="0" w:color="auto"/>
        <w:bottom w:val="none" w:sz="0" w:space="0" w:color="auto"/>
        <w:right w:val="none" w:sz="0" w:space="0" w:color="auto"/>
      </w:divBdr>
    </w:div>
    <w:div w:id="680938278">
      <w:bodyDiv w:val="1"/>
      <w:marLeft w:val="0"/>
      <w:marRight w:val="0"/>
      <w:marTop w:val="0"/>
      <w:marBottom w:val="0"/>
      <w:divBdr>
        <w:top w:val="none" w:sz="0" w:space="0" w:color="auto"/>
        <w:left w:val="none" w:sz="0" w:space="0" w:color="auto"/>
        <w:bottom w:val="none" w:sz="0" w:space="0" w:color="auto"/>
        <w:right w:val="none" w:sz="0" w:space="0" w:color="auto"/>
      </w:divBdr>
    </w:div>
    <w:div w:id="682824672">
      <w:bodyDiv w:val="1"/>
      <w:marLeft w:val="0"/>
      <w:marRight w:val="0"/>
      <w:marTop w:val="0"/>
      <w:marBottom w:val="0"/>
      <w:divBdr>
        <w:top w:val="none" w:sz="0" w:space="0" w:color="auto"/>
        <w:left w:val="none" w:sz="0" w:space="0" w:color="auto"/>
        <w:bottom w:val="none" w:sz="0" w:space="0" w:color="auto"/>
        <w:right w:val="none" w:sz="0" w:space="0" w:color="auto"/>
      </w:divBdr>
    </w:div>
    <w:div w:id="702635227">
      <w:bodyDiv w:val="1"/>
      <w:marLeft w:val="0"/>
      <w:marRight w:val="0"/>
      <w:marTop w:val="0"/>
      <w:marBottom w:val="0"/>
      <w:divBdr>
        <w:top w:val="none" w:sz="0" w:space="0" w:color="auto"/>
        <w:left w:val="none" w:sz="0" w:space="0" w:color="auto"/>
        <w:bottom w:val="none" w:sz="0" w:space="0" w:color="auto"/>
        <w:right w:val="none" w:sz="0" w:space="0" w:color="auto"/>
      </w:divBdr>
    </w:div>
    <w:div w:id="1074009841">
      <w:bodyDiv w:val="1"/>
      <w:marLeft w:val="0"/>
      <w:marRight w:val="0"/>
      <w:marTop w:val="0"/>
      <w:marBottom w:val="0"/>
      <w:divBdr>
        <w:top w:val="none" w:sz="0" w:space="0" w:color="auto"/>
        <w:left w:val="none" w:sz="0" w:space="0" w:color="auto"/>
        <w:bottom w:val="none" w:sz="0" w:space="0" w:color="auto"/>
        <w:right w:val="none" w:sz="0" w:space="0" w:color="auto"/>
      </w:divBdr>
    </w:div>
    <w:div w:id="1096053210">
      <w:bodyDiv w:val="1"/>
      <w:marLeft w:val="0"/>
      <w:marRight w:val="0"/>
      <w:marTop w:val="0"/>
      <w:marBottom w:val="0"/>
      <w:divBdr>
        <w:top w:val="none" w:sz="0" w:space="0" w:color="auto"/>
        <w:left w:val="none" w:sz="0" w:space="0" w:color="auto"/>
        <w:bottom w:val="none" w:sz="0" w:space="0" w:color="auto"/>
        <w:right w:val="none" w:sz="0" w:space="0" w:color="auto"/>
      </w:divBdr>
    </w:div>
    <w:div w:id="1315571513">
      <w:bodyDiv w:val="1"/>
      <w:marLeft w:val="0"/>
      <w:marRight w:val="0"/>
      <w:marTop w:val="0"/>
      <w:marBottom w:val="0"/>
      <w:divBdr>
        <w:top w:val="none" w:sz="0" w:space="0" w:color="auto"/>
        <w:left w:val="none" w:sz="0" w:space="0" w:color="auto"/>
        <w:bottom w:val="none" w:sz="0" w:space="0" w:color="auto"/>
        <w:right w:val="none" w:sz="0" w:space="0" w:color="auto"/>
      </w:divBdr>
    </w:div>
    <w:div w:id="1576476653">
      <w:bodyDiv w:val="1"/>
      <w:marLeft w:val="0"/>
      <w:marRight w:val="0"/>
      <w:marTop w:val="0"/>
      <w:marBottom w:val="0"/>
      <w:divBdr>
        <w:top w:val="none" w:sz="0" w:space="0" w:color="auto"/>
        <w:left w:val="none" w:sz="0" w:space="0" w:color="auto"/>
        <w:bottom w:val="none" w:sz="0" w:space="0" w:color="auto"/>
        <w:right w:val="none" w:sz="0" w:space="0" w:color="auto"/>
      </w:divBdr>
    </w:div>
    <w:div w:id="1615667762">
      <w:bodyDiv w:val="1"/>
      <w:marLeft w:val="0"/>
      <w:marRight w:val="0"/>
      <w:marTop w:val="0"/>
      <w:marBottom w:val="0"/>
      <w:divBdr>
        <w:top w:val="none" w:sz="0" w:space="0" w:color="auto"/>
        <w:left w:val="none" w:sz="0" w:space="0" w:color="auto"/>
        <w:bottom w:val="none" w:sz="0" w:space="0" w:color="auto"/>
        <w:right w:val="none" w:sz="0" w:space="0" w:color="auto"/>
      </w:divBdr>
    </w:div>
    <w:div w:id="1932004171">
      <w:bodyDiv w:val="1"/>
      <w:marLeft w:val="0"/>
      <w:marRight w:val="0"/>
      <w:marTop w:val="0"/>
      <w:marBottom w:val="0"/>
      <w:divBdr>
        <w:top w:val="none" w:sz="0" w:space="0" w:color="auto"/>
        <w:left w:val="none" w:sz="0" w:space="0" w:color="auto"/>
        <w:bottom w:val="none" w:sz="0" w:space="0" w:color="auto"/>
        <w:right w:val="none" w:sz="0" w:space="0" w:color="auto"/>
      </w:divBdr>
    </w:div>
    <w:div w:id="1980652091">
      <w:bodyDiv w:val="1"/>
      <w:marLeft w:val="0"/>
      <w:marRight w:val="0"/>
      <w:marTop w:val="0"/>
      <w:marBottom w:val="0"/>
      <w:divBdr>
        <w:top w:val="none" w:sz="0" w:space="0" w:color="auto"/>
        <w:left w:val="none" w:sz="0" w:space="0" w:color="auto"/>
        <w:bottom w:val="none" w:sz="0" w:space="0" w:color="auto"/>
        <w:right w:val="none" w:sz="0" w:space="0" w:color="auto"/>
      </w:divBdr>
    </w:div>
    <w:div w:id="20570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2768-A443-43AB-97BC-DAB2DD0E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21307</TotalTime>
  <Pages>20</Pages>
  <Words>7167</Words>
  <Characters>40855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439</cp:revision>
  <dcterms:created xsi:type="dcterms:W3CDTF">2018-05-31T10:57:00Z</dcterms:created>
  <dcterms:modified xsi:type="dcterms:W3CDTF">2018-10-15T23:34:00Z</dcterms:modified>
</cp:coreProperties>
</file>