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0C2" w:rsidRDefault="00B73112" w:rsidP="00B73112">
      <w:pPr>
        <w:spacing w:after="0"/>
        <w:jc w:val="center"/>
      </w:pPr>
      <w:r>
        <w:t>Kant on Wolff’s General Logic</w:t>
      </w:r>
    </w:p>
    <w:p w:rsidR="00A56EEB" w:rsidRDefault="00A56EEB" w:rsidP="00A56EEB">
      <w:pPr>
        <w:spacing w:after="0"/>
        <w:jc w:val="center"/>
      </w:pPr>
      <w:r>
        <w:t xml:space="preserve">Corey W. </w:t>
      </w:r>
      <w:proofErr w:type="spellStart"/>
      <w:r>
        <w:t>Dyck</w:t>
      </w:r>
      <w:proofErr w:type="spellEnd"/>
    </w:p>
    <w:p w:rsidR="00BE67D8" w:rsidRDefault="00BE67D8" w:rsidP="00BE67D8">
      <w:pPr>
        <w:spacing w:after="0"/>
      </w:pPr>
    </w:p>
    <w:p w:rsidR="00B73112" w:rsidRDefault="00B73112" w:rsidP="00BE67D8">
      <w:pPr>
        <w:spacing w:after="0"/>
      </w:pPr>
    </w:p>
    <w:p w:rsidR="00A71758" w:rsidRDefault="001A33B6" w:rsidP="00BE67D8">
      <w:pPr>
        <w:spacing w:after="0"/>
      </w:pPr>
      <w:r>
        <w:t xml:space="preserve">One would be forgiven for </w:t>
      </w:r>
      <w:r w:rsidR="00E06C32">
        <w:t>suspecting</w:t>
      </w:r>
      <w:r>
        <w:t xml:space="preserve"> that Kant did not think much of Christian Wolff’s contributions to logic. Wolff</w:t>
      </w:r>
      <w:r w:rsidR="00921DCA">
        <w:t>’s works on logic are</w:t>
      </w:r>
      <w:r>
        <w:t xml:space="preserve">, of course, implicated in Kant’s </w:t>
      </w:r>
      <w:r w:rsidR="00921DCA">
        <w:t xml:space="preserve">far-ranging </w:t>
      </w:r>
      <w:r>
        <w:t xml:space="preserve">verdict that </w:t>
      </w:r>
      <w:r w:rsidR="00921DCA">
        <w:t>the discipline</w:t>
      </w:r>
      <w:r>
        <w:t xml:space="preserve"> has not taken a single step forward since Aristotle’s time, </w:t>
      </w:r>
      <w:r w:rsidR="00AD627F">
        <w:t>and Wolff in particular</w:t>
      </w:r>
      <w:r>
        <w:t xml:space="preserve"> frequently comes up for criticism in Kant’s own lectures on the topic</w:t>
      </w:r>
      <w:r w:rsidR="00AD627F">
        <w:t xml:space="preserve">; so, in the Wiener </w:t>
      </w:r>
      <w:proofErr w:type="spellStart"/>
      <w:r w:rsidR="00AD627F">
        <w:t>Logik</w:t>
      </w:r>
      <w:proofErr w:type="spellEnd"/>
      <w:r w:rsidR="00AD627F">
        <w:t xml:space="preserve">, </w:t>
      </w:r>
      <w:r w:rsidR="00921DCA">
        <w:t>Kant is reported as referring to Wolff’s claim that the content of a conc</w:t>
      </w:r>
      <w:r w:rsidR="00E06C32">
        <w:t>ept can be completely analysed a</w:t>
      </w:r>
      <w:r w:rsidR="00921DCA">
        <w:t>s “</w:t>
      </w:r>
      <w:proofErr w:type="spellStart"/>
      <w:r w:rsidR="00921DCA">
        <w:t>zu</w:t>
      </w:r>
      <w:proofErr w:type="spellEnd"/>
      <w:r w:rsidR="00921DCA">
        <w:t xml:space="preserve"> </w:t>
      </w:r>
      <w:proofErr w:type="spellStart"/>
      <w:r w:rsidR="00921DCA">
        <w:t>dictatorisch</w:t>
      </w:r>
      <w:proofErr w:type="spellEnd"/>
      <w:r w:rsidR="00921DCA">
        <w:t>” and that as a result Wolff’s attempts to ground his philosophy on the precise definitions of concepts is “</w:t>
      </w:r>
      <w:proofErr w:type="spellStart"/>
      <w:r w:rsidR="00921DCA">
        <w:t>ganz</w:t>
      </w:r>
      <w:proofErr w:type="spellEnd"/>
      <w:r w:rsidR="00921DCA">
        <w:t xml:space="preserve"> </w:t>
      </w:r>
      <w:proofErr w:type="spellStart"/>
      <w:r w:rsidR="00921DCA">
        <w:t>falsch</w:t>
      </w:r>
      <w:proofErr w:type="spellEnd"/>
      <w:r w:rsidR="00921DCA">
        <w:t>” (</w:t>
      </w:r>
      <w:r w:rsidR="00282E6C">
        <w:t>V-</w:t>
      </w:r>
      <w:proofErr w:type="spellStart"/>
      <w:r w:rsidR="00282E6C">
        <w:t>Lo</w:t>
      </w:r>
      <w:r w:rsidR="00921DCA">
        <w:t>Wiener</w:t>
      </w:r>
      <w:proofErr w:type="spellEnd"/>
      <w:r w:rsidR="00921DCA">
        <w:t xml:space="preserve"> 24:917). </w:t>
      </w:r>
      <w:r w:rsidR="00972D9F">
        <w:t>Given this, it is to say the least surprising that</w:t>
      </w:r>
      <w:r w:rsidR="00A37868">
        <w:t xml:space="preserve"> (</w:t>
      </w:r>
      <w:r w:rsidR="004D4A3C">
        <w:t>from the late 1770’s onwards</w:t>
      </w:r>
      <w:r w:rsidR="00A37868">
        <w:rPr>
          <w:rStyle w:val="FootnoteReference"/>
        </w:rPr>
        <w:footnoteReference w:id="1"/>
      </w:r>
      <w:r w:rsidR="00A37868">
        <w:t>)</w:t>
      </w:r>
      <w:r w:rsidR="00972D9F">
        <w:t xml:space="preserve"> Kant should regularly </w:t>
      </w:r>
      <w:r w:rsidR="00A71758">
        <w:t xml:space="preserve">single out Wolff’s general logic </w:t>
      </w:r>
      <w:r w:rsidR="00972D9F">
        <w:t xml:space="preserve">in those lectures as </w:t>
      </w:r>
      <w:r w:rsidR="00CC2CDB">
        <w:t xml:space="preserve">“die </w:t>
      </w:r>
      <w:proofErr w:type="spellStart"/>
      <w:r w:rsidR="00CC2CDB">
        <w:t>beste</w:t>
      </w:r>
      <w:proofErr w:type="spellEnd"/>
      <w:r w:rsidR="00CC2CDB">
        <w:t xml:space="preserve"> die man hat” (</w:t>
      </w:r>
      <w:r w:rsidR="00282E6C">
        <w:t>V-</w:t>
      </w:r>
      <w:proofErr w:type="spellStart"/>
      <w:r w:rsidR="00282E6C">
        <w:t>Lo</w:t>
      </w:r>
      <w:r w:rsidR="00972D9F">
        <w:t>Pö</w:t>
      </w:r>
      <w:proofErr w:type="spellEnd"/>
      <w:r w:rsidR="00972D9F">
        <w:t xml:space="preserve"> 24:509</w:t>
      </w:r>
      <w:r w:rsidR="00A71758">
        <w:t xml:space="preserve">), “die </w:t>
      </w:r>
      <w:proofErr w:type="spellStart"/>
      <w:r w:rsidR="00A71758">
        <w:t>beste</w:t>
      </w:r>
      <w:proofErr w:type="spellEnd"/>
      <w:r w:rsidR="00A71758">
        <w:t xml:space="preserve">, die man </w:t>
      </w:r>
      <w:proofErr w:type="spellStart"/>
      <w:r w:rsidR="00A71758">
        <w:t>antrifft</w:t>
      </w:r>
      <w:proofErr w:type="spellEnd"/>
      <w:r w:rsidR="00A71758">
        <w:t>” (</w:t>
      </w:r>
      <w:r w:rsidR="00282E6C">
        <w:t>V-</w:t>
      </w:r>
      <w:proofErr w:type="spellStart"/>
      <w:r w:rsidR="00282E6C">
        <w:t>Lo</w:t>
      </w:r>
      <w:r w:rsidR="00A71758">
        <w:t>Wiener</w:t>
      </w:r>
      <w:proofErr w:type="spellEnd"/>
      <w:r w:rsidR="00A71758">
        <w:t xml:space="preserve"> 24:796), or even simply “die </w:t>
      </w:r>
      <w:proofErr w:type="spellStart"/>
      <w:r w:rsidR="00A71758">
        <w:t>beste</w:t>
      </w:r>
      <w:proofErr w:type="spellEnd"/>
      <w:r w:rsidR="00A71758">
        <w:t>” (</w:t>
      </w:r>
      <w:r w:rsidR="00282E6C">
        <w:t>V-</w:t>
      </w:r>
      <w:proofErr w:type="spellStart"/>
      <w:r w:rsidR="00282E6C">
        <w:t>Lo</w:t>
      </w:r>
      <w:r w:rsidR="00907BE9">
        <w:t>Bu</w:t>
      </w:r>
      <w:proofErr w:type="spellEnd"/>
      <w:r w:rsidR="00907BE9">
        <w:t xml:space="preserve"> 24:613</w:t>
      </w:r>
      <w:r w:rsidR="00A71758">
        <w:t>; cf. also</w:t>
      </w:r>
      <w:r w:rsidR="00907BE9">
        <w:t xml:space="preserve"> </w:t>
      </w:r>
      <w:r w:rsidR="00CC2CDB" w:rsidRPr="00801614">
        <w:rPr>
          <w:i/>
        </w:rPr>
        <w:t>JL</w:t>
      </w:r>
      <w:r w:rsidR="00CC2CDB">
        <w:t xml:space="preserve"> 9:20).</w:t>
      </w:r>
      <w:r w:rsidR="00CC2CDB">
        <w:rPr>
          <w:rStyle w:val="FootnoteReference"/>
        </w:rPr>
        <w:footnoteReference w:id="2"/>
      </w:r>
      <w:r w:rsidR="000C1349">
        <w:t xml:space="preserve"> Nor would this seem to be a sort of backhanded compliment, praising Wolff’s as </w:t>
      </w:r>
      <w:r w:rsidR="005E2352">
        <w:t xml:space="preserve">only </w:t>
      </w:r>
      <w:r w:rsidR="000C1349">
        <w:t xml:space="preserve">the best </w:t>
      </w:r>
      <w:r w:rsidR="000C1349" w:rsidRPr="001361BD">
        <w:rPr>
          <w:i/>
        </w:rPr>
        <w:t>of a bad lot</w:t>
      </w:r>
      <w:r w:rsidR="000C1349">
        <w:t xml:space="preserve"> of modern general logics, since this high estimation is </w:t>
      </w:r>
      <w:r w:rsidR="001361BD">
        <w:t>echoed</w:t>
      </w:r>
      <w:r w:rsidR="000C1349">
        <w:t xml:space="preserve"> by some of Kant’s closest disciples:</w:t>
      </w:r>
      <w:r w:rsidR="002044BA">
        <w:t xml:space="preserve"> so,</w:t>
      </w:r>
      <w:r w:rsidR="000C1349">
        <w:t xml:space="preserve"> we find </w:t>
      </w:r>
      <w:r w:rsidR="002044BA">
        <w:t xml:space="preserve">unadulterated praise </w:t>
      </w:r>
      <w:r w:rsidR="000C1349">
        <w:t xml:space="preserve">in </w:t>
      </w:r>
      <w:proofErr w:type="spellStart"/>
      <w:r w:rsidR="002044BA">
        <w:t>Jakob’s</w:t>
      </w:r>
      <w:proofErr w:type="spellEnd"/>
      <w:r w:rsidR="002044BA">
        <w:t xml:space="preserve"> preface to his </w:t>
      </w:r>
      <w:proofErr w:type="spellStart"/>
      <w:r w:rsidR="002044BA">
        <w:rPr>
          <w:i/>
        </w:rPr>
        <w:t>Grundriß</w:t>
      </w:r>
      <w:proofErr w:type="spellEnd"/>
      <w:r w:rsidR="002044BA">
        <w:rPr>
          <w:i/>
        </w:rPr>
        <w:t xml:space="preserve"> der </w:t>
      </w:r>
      <w:proofErr w:type="spellStart"/>
      <w:r w:rsidR="002044BA">
        <w:rPr>
          <w:i/>
        </w:rPr>
        <w:t>allgem</w:t>
      </w:r>
      <w:r w:rsidR="00B01F98">
        <w:rPr>
          <w:i/>
        </w:rPr>
        <w:t>e</w:t>
      </w:r>
      <w:r w:rsidR="002044BA">
        <w:rPr>
          <w:i/>
        </w:rPr>
        <w:t>inen</w:t>
      </w:r>
      <w:proofErr w:type="spellEnd"/>
      <w:r w:rsidR="002044BA">
        <w:rPr>
          <w:i/>
        </w:rPr>
        <w:t xml:space="preserve"> </w:t>
      </w:r>
      <w:proofErr w:type="spellStart"/>
      <w:r w:rsidR="002044BA">
        <w:rPr>
          <w:i/>
        </w:rPr>
        <w:t>Logik</w:t>
      </w:r>
      <w:proofErr w:type="spellEnd"/>
      <w:r w:rsidR="002044BA">
        <w:rPr>
          <w:i/>
        </w:rPr>
        <w:t xml:space="preserve"> </w:t>
      </w:r>
      <w:r w:rsidR="002044BA">
        <w:t xml:space="preserve">(1788), where it is claimed “Wolff hat </w:t>
      </w:r>
      <w:r w:rsidR="002044BA" w:rsidRPr="002044BA">
        <w:rPr>
          <w:i/>
        </w:rPr>
        <w:t xml:space="preserve">die </w:t>
      </w:r>
      <w:proofErr w:type="spellStart"/>
      <w:r w:rsidR="002044BA" w:rsidRPr="002044BA">
        <w:rPr>
          <w:i/>
        </w:rPr>
        <w:t>Idee</w:t>
      </w:r>
      <w:proofErr w:type="spellEnd"/>
      <w:r w:rsidR="002044BA">
        <w:t xml:space="preserve"> </w:t>
      </w:r>
      <w:proofErr w:type="spellStart"/>
      <w:r w:rsidR="002044BA">
        <w:t>einer</w:t>
      </w:r>
      <w:proofErr w:type="spellEnd"/>
      <w:r w:rsidR="002044BA">
        <w:t xml:space="preserve"> </w:t>
      </w:r>
      <w:proofErr w:type="spellStart"/>
      <w:r w:rsidR="002044BA">
        <w:t>allge</w:t>
      </w:r>
      <w:r w:rsidR="00B01F98">
        <w:t>meinen</w:t>
      </w:r>
      <w:proofErr w:type="spellEnd"/>
      <w:r w:rsidR="00B01F98">
        <w:t xml:space="preserve"> </w:t>
      </w:r>
      <w:proofErr w:type="spellStart"/>
      <w:r w:rsidR="00B01F98">
        <w:t>Logik</w:t>
      </w:r>
      <w:proofErr w:type="spellEnd"/>
      <w:r w:rsidR="00B01F98">
        <w:t xml:space="preserve"> </w:t>
      </w:r>
      <w:proofErr w:type="spellStart"/>
      <w:r w:rsidR="00B01F98">
        <w:t>vortrefflich</w:t>
      </w:r>
      <w:proofErr w:type="spellEnd"/>
      <w:r w:rsidR="00B01F98">
        <w:t xml:space="preserve"> </w:t>
      </w:r>
      <w:proofErr w:type="spellStart"/>
      <w:r w:rsidR="00B01F98">
        <w:t>gefaß</w:t>
      </w:r>
      <w:r w:rsidR="002044BA">
        <w:t>t</w:t>
      </w:r>
      <w:proofErr w:type="spellEnd"/>
      <w:r w:rsidR="002044BA">
        <w:t>” (</w:t>
      </w:r>
      <w:proofErr w:type="spellStart"/>
      <w:r w:rsidR="002044BA">
        <w:rPr>
          <w:i/>
        </w:rPr>
        <w:t>Grundriß</w:t>
      </w:r>
      <w:proofErr w:type="spellEnd"/>
      <w:r w:rsidR="002044BA">
        <w:t xml:space="preserve">, </w:t>
      </w:r>
      <w:proofErr w:type="spellStart"/>
      <w:r w:rsidR="002044BA">
        <w:t>Vorr</w:t>
      </w:r>
      <w:r w:rsidR="008E2717">
        <w:t>ede</w:t>
      </w:r>
      <w:proofErr w:type="spellEnd"/>
      <w:r w:rsidR="008E2717">
        <w:t xml:space="preserve"> iv), a passage that is </w:t>
      </w:r>
      <w:r w:rsidR="003E2C85">
        <w:t xml:space="preserve">also </w:t>
      </w:r>
      <w:r w:rsidR="008E2717">
        <w:t xml:space="preserve">approvingly </w:t>
      </w:r>
      <w:r w:rsidR="002044BA">
        <w:t xml:space="preserve">quoted in </w:t>
      </w:r>
      <w:proofErr w:type="spellStart"/>
      <w:r w:rsidR="000C1349">
        <w:t>Jäsche’s</w:t>
      </w:r>
      <w:proofErr w:type="spellEnd"/>
      <w:r w:rsidR="000C1349">
        <w:t xml:space="preserve"> introduction to his edition of Kant’s </w:t>
      </w:r>
      <w:proofErr w:type="spellStart"/>
      <w:r w:rsidR="002044BA">
        <w:rPr>
          <w:i/>
        </w:rPr>
        <w:t>Logik</w:t>
      </w:r>
      <w:proofErr w:type="spellEnd"/>
      <w:r w:rsidR="002044BA">
        <w:t xml:space="preserve">. </w:t>
      </w:r>
    </w:p>
    <w:p w:rsidR="000C1349" w:rsidRPr="003B03FC" w:rsidRDefault="00DA60AB" w:rsidP="00A71758">
      <w:pPr>
        <w:spacing w:after="0"/>
        <w:ind w:firstLine="720"/>
      </w:pPr>
      <w:r>
        <w:t>While this praise of Wolff is surprising in its own right, it is particu</w:t>
      </w:r>
      <w:r w:rsidR="00A71758">
        <w:t xml:space="preserve">larly striking that </w:t>
      </w:r>
      <w:r>
        <w:t xml:space="preserve">it is Wolff’s </w:t>
      </w:r>
      <w:r w:rsidRPr="00DA60AB">
        <w:rPr>
          <w:i/>
        </w:rPr>
        <w:t>general</w:t>
      </w:r>
      <w:r>
        <w:t xml:space="preserve"> or </w:t>
      </w:r>
      <w:r w:rsidRPr="00DA60AB">
        <w:rPr>
          <w:i/>
        </w:rPr>
        <w:t>universal</w:t>
      </w:r>
      <w:r>
        <w:t xml:space="preserve"> (“</w:t>
      </w:r>
      <w:r>
        <w:rPr>
          <w:i/>
        </w:rPr>
        <w:t>al</w:t>
      </w:r>
      <w:r w:rsidR="001361BD" w:rsidRPr="001361BD">
        <w:t>[</w:t>
      </w:r>
      <w:r w:rsidR="001361BD">
        <w:rPr>
          <w:i/>
        </w:rPr>
        <w:t>l</w:t>
      </w:r>
      <w:r w:rsidR="001361BD" w:rsidRPr="001361BD">
        <w:t>]</w:t>
      </w:r>
      <w:proofErr w:type="spellStart"/>
      <w:r>
        <w:rPr>
          <w:i/>
        </w:rPr>
        <w:t>g</w:t>
      </w:r>
      <w:r w:rsidR="001361BD">
        <w:rPr>
          <w:i/>
        </w:rPr>
        <w:t>e</w:t>
      </w:r>
      <w:r>
        <w:rPr>
          <w:i/>
        </w:rPr>
        <w:t>meine</w:t>
      </w:r>
      <w:proofErr w:type="spellEnd"/>
      <w:r>
        <w:t>”</w:t>
      </w:r>
      <w:r w:rsidR="00A71758">
        <w:t>—24:509</w:t>
      </w:r>
      <w:r>
        <w:t xml:space="preserve">) logic that is the specific object of admiration </w:t>
      </w:r>
      <w:r w:rsidR="00A71758">
        <w:t xml:space="preserve">since </w:t>
      </w:r>
      <w:r>
        <w:t xml:space="preserve">Wolff </w:t>
      </w:r>
      <w:r w:rsidR="00A71758">
        <w:t xml:space="preserve">himself </w:t>
      </w:r>
      <w:r w:rsidR="005E2352">
        <w:t>never characterises</w:t>
      </w:r>
      <w:r w:rsidR="00E06C32">
        <w:t xml:space="preserve"> (any part of)</w:t>
      </w:r>
      <w:r w:rsidR="005E2352">
        <w:t xml:space="preserve"> </w:t>
      </w:r>
      <w:r>
        <w:t xml:space="preserve">his </w:t>
      </w:r>
      <w:r w:rsidR="005E2352">
        <w:t xml:space="preserve">treatment of </w:t>
      </w:r>
      <w:r>
        <w:t xml:space="preserve">logic as a general as opposed to </w:t>
      </w:r>
      <w:r w:rsidR="00E06C32">
        <w:t xml:space="preserve">a </w:t>
      </w:r>
      <w:r>
        <w:t>particular logic.</w:t>
      </w:r>
      <w:r w:rsidR="005E2352">
        <w:t xml:space="preserve"> </w:t>
      </w:r>
      <w:r w:rsidR="00522861">
        <w:t>Moreover, it is</w:t>
      </w:r>
      <w:r w:rsidR="00A71758">
        <w:t xml:space="preserve"> not </w:t>
      </w:r>
      <w:r w:rsidR="00522861">
        <w:t xml:space="preserve">immediately </w:t>
      </w:r>
      <w:r w:rsidR="00A71758">
        <w:t>clear what specifically Kant took to be so praiseworthy in Wolff’s logic</w:t>
      </w:r>
      <w:r w:rsidR="009F2D9D">
        <w:t xml:space="preserve"> as opposed to, for instance, the texts by Meier which he regularly used in his lectures, or indeed, any of the other </w:t>
      </w:r>
      <w:r w:rsidR="003C3390">
        <w:t xml:space="preserve">treatments (by </w:t>
      </w:r>
      <w:proofErr w:type="spellStart"/>
      <w:r w:rsidR="003C3390">
        <w:t>Baumgarten</w:t>
      </w:r>
      <w:proofErr w:type="spellEnd"/>
      <w:r w:rsidR="003C3390">
        <w:t xml:space="preserve">, </w:t>
      </w:r>
      <w:proofErr w:type="spellStart"/>
      <w:r w:rsidR="003C3390">
        <w:t>Knutzen</w:t>
      </w:r>
      <w:proofErr w:type="spellEnd"/>
      <w:r w:rsidR="003C3390">
        <w:t xml:space="preserve">, or </w:t>
      </w:r>
      <w:r w:rsidR="00452044">
        <w:t>Lambert for instance</w:t>
      </w:r>
      <w:r w:rsidR="003C3390">
        <w:t>) with which he would have been familiar</w:t>
      </w:r>
      <w:r w:rsidR="00A71758">
        <w:t xml:space="preserve">. </w:t>
      </w:r>
      <w:r w:rsidR="007C3DB5">
        <w:t>In this paper, I will take Kant’s praise of Wolff’s general logic at face value, and attempt to determine both what precisely Kant (and his disciples) underst</w:t>
      </w:r>
      <w:r w:rsidR="007B60BA">
        <w:t>oo</w:t>
      </w:r>
      <w:r w:rsidR="007C3DB5">
        <w:t>d by Wolff’s “general logic” and what specifically they found so praiseworthy about it.</w:t>
      </w:r>
      <w:r w:rsidR="00EA31E6">
        <w:t xml:space="preserve"> As </w:t>
      </w:r>
      <w:r w:rsidR="00EA31E6">
        <w:lastRenderedPageBreak/>
        <w:t>I will show, while Kant took issue with many of the features Wolff himself identified as innovative aspects of his logic, Kant had nothing but praise for Wolff’</w:t>
      </w:r>
      <w:r w:rsidR="001A21A4">
        <w:t xml:space="preserve">s analysis of the </w:t>
      </w:r>
      <w:r w:rsidR="00522861">
        <w:t>operations of the mind</w:t>
      </w:r>
      <w:r w:rsidR="001A21A4">
        <w:t xml:space="preserve"> which</w:t>
      </w:r>
      <w:r w:rsidR="00EA31E6">
        <w:t xml:space="preserve"> preceded the analysis of concepts, judgments, and inferences,</w:t>
      </w:r>
      <w:r w:rsidR="00522861">
        <w:t xml:space="preserve"> in the course of which </w:t>
      </w:r>
      <w:r w:rsidR="003B03FC">
        <w:t xml:space="preserve">analysis </w:t>
      </w:r>
      <w:r w:rsidR="00522861">
        <w:t>Wolff offers</w:t>
      </w:r>
      <w:r w:rsidR="00EA31E6">
        <w:t xml:space="preserve"> an unmistakable anticipation of </w:t>
      </w:r>
      <w:r w:rsidR="003B03FC">
        <w:t xml:space="preserve">what is arguably </w:t>
      </w:r>
      <w:r w:rsidR="00EA31E6" w:rsidRPr="003B03FC">
        <w:rPr>
          <w:i/>
        </w:rPr>
        <w:t>the</w:t>
      </w:r>
      <w:r w:rsidR="00EA31E6">
        <w:t xml:space="preserve"> key claim underlying </w:t>
      </w:r>
      <w:r w:rsidR="003B03FC">
        <w:t xml:space="preserve">the relevance of general logic to </w:t>
      </w:r>
      <w:r w:rsidR="00EA31E6">
        <w:t>Kant’s</w:t>
      </w:r>
      <w:r w:rsidR="003B03FC">
        <w:t xml:space="preserve"> aims in the</w:t>
      </w:r>
      <w:r w:rsidR="00EA31E6">
        <w:t xml:space="preserve"> metaphysical deduction. </w:t>
      </w:r>
      <w:r w:rsidR="003B03FC">
        <w:t xml:space="preserve">The following will be divided into </w:t>
      </w:r>
      <w:r w:rsidR="007B60BA">
        <w:t>four</w:t>
      </w:r>
      <w:r w:rsidR="003B03FC">
        <w:t xml:space="preserve"> sections. In the first, I will outline </w:t>
      </w:r>
      <w:r w:rsidR="007B60BA">
        <w:t xml:space="preserve">some of </w:t>
      </w:r>
      <w:r w:rsidR="003B03FC">
        <w:t>the disti</w:t>
      </w:r>
      <w:r w:rsidR="00B14416">
        <w:t xml:space="preserve">nctive features of Wolff’s logic, particularly his use of the </w:t>
      </w:r>
      <w:proofErr w:type="spellStart"/>
      <w:r w:rsidR="00B14416">
        <w:t>Leibnizian</w:t>
      </w:r>
      <w:proofErr w:type="spellEnd"/>
      <w:r w:rsidR="00B14416">
        <w:t xml:space="preserve"> classification of concepts, his discussion of d</w:t>
      </w:r>
      <w:r w:rsidR="00E83090">
        <w:t>efinitions, and his defense of Aristotelian</w:t>
      </w:r>
      <w:r w:rsidR="00B14416">
        <w:t xml:space="preserve"> </w:t>
      </w:r>
      <w:proofErr w:type="spellStart"/>
      <w:r w:rsidR="00B14416">
        <w:t>syllogistics</w:t>
      </w:r>
      <w:proofErr w:type="spellEnd"/>
      <w:r w:rsidR="003B03FC">
        <w:t>. In the s</w:t>
      </w:r>
      <w:r w:rsidR="002D57FB">
        <w:t>econd section, I will argue that none of th</w:t>
      </w:r>
      <w:r w:rsidR="00B14416">
        <w:t xml:space="preserve">ese innovations on Wolff’s part </w:t>
      </w:r>
      <w:r w:rsidR="007B60BA">
        <w:t>c</w:t>
      </w:r>
      <w:r w:rsidR="00B14416">
        <w:t>ould have served as the basis of</w:t>
      </w:r>
      <w:r w:rsidR="002D57FB">
        <w:t xml:space="preserve"> Kant’s praise inasmuch as Kant takes issue with Wolff with res</w:t>
      </w:r>
      <w:r w:rsidR="007A48AE">
        <w:t>pect to each of them. I</w:t>
      </w:r>
      <w:r w:rsidR="002D57FB">
        <w:t xml:space="preserve">n the third section, I will </w:t>
      </w:r>
      <w:r w:rsidR="007B60BA">
        <w:t>present</w:t>
      </w:r>
      <w:r w:rsidR="002D57FB">
        <w:t xml:space="preserve"> Wolff’s novel analysis of the three operations of the mind with which he opens his </w:t>
      </w:r>
      <w:r w:rsidR="007B60BA">
        <w:t xml:space="preserve">later logic </w:t>
      </w:r>
      <w:r w:rsidR="002D57FB">
        <w:t>presentation</w:t>
      </w:r>
      <w:r w:rsidR="007B60BA">
        <w:t xml:space="preserve"> and show that Kant endorses this analysis. In the fourth and final section I will argue that the reason why Wolff’s presentation </w:t>
      </w:r>
      <w:r w:rsidR="002D57FB">
        <w:t xml:space="preserve">earns Kant’s praise </w:t>
      </w:r>
      <w:r w:rsidR="007B60BA">
        <w:t xml:space="preserve">is that Wolff’s discussion constitutes an important and influential step towards Kant’s contention that </w:t>
      </w:r>
      <w:r w:rsidR="00F54BBC">
        <w:t>the act of judging</w:t>
      </w:r>
      <w:r w:rsidR="002D57FB">
        <w:t xml:space="preserve"> </w:t>
      </w:r>
      <w:r w:rsidR="007B60BA">
        <w:t xml:space="preserve">is primary </w:t>
      </w:r>
      <w:r w:rsidR="002D57FB">
        <w:t xml:space="preserve">among the </w:t>
      </w:r>
      <w:r w:rsidR="00F54BBC">
        <w:t>operations</w:t>
      </w:r>
      <w:r w:rsidR="002D57FB">
        <w:t xml:space="preserve"> of the </w:t>
      </w:r>
      <w:r w:rsidR="009C18FE">
        <w:t>mind</w:t>
      </w:r>
      <w:r w:rsidR="002D57FB">
        <w:t xml:space="preserve">. </w:t>
      </w:r>
    </w:p>
    <w:p w:rsidR="000C1349" w:rsidRDefault="000C1349" w:rsidP="00BE67D8">
      <w:pPr>
        <w:spacing w:after="0"/>
      </w:pPr>
    </w:p>
    <w:p w:rsidR="00742C45" w:rsidRDefault="002D57FB" w:rsidP="003C0EF9">
      <w:pPr>
        <w:spacing w:after="0"/>
      </w:pPr>
      <w:r>
        <w:t xml:space="preserve">I: Wolff’s </w:t>
      </w:r>
      <w:r w:rsidR="00DD174A">
        <w:t>“</w:t>
      </w:r>
      <w:r w:rsidR="003C5055">
        <w:t xml:space="preserve">General </w:t>
      </w:r>
      <w:r>
        <w:t>Logic</w:t>
      </w:r>
      <w:r w:rsidR="00DD174A">
        <w:t>”</w:t>
      </w:r>
    </w:p>
    <w:p w:rsidR="002D57FB" w:rsidRDefault="002D57FB" w:rsidP="003C0EF9">
      <w:pPr>
        <w:spacing w:after="0"/>
      </w:pPr>
    </w:p>
    <w:p w:rsidR="00D11DD4" w:rsidRPr="00505654" w:rsidRDefault="00E62608" w:rsidP="00133FB7">
      <w:pPr>
        <w:spacing w:after="0"/>
        <w:ind w:firstLine="720"/>
      </w:pPr>
      <w:r>
        <w:t>Wolff’s published two major works devoted to logic, first the</w:t>
      </w:r>
      <w:r w:rsidR="00123F91">
        <w:t xml:space="preserve"> </w:t>
      </w:r>
      <w:proofErr w:type="spellStart"/>
      <w:r w:rsidR="00123F91">
        <w:rPr>
          <w:i/>
        </w:rPr>
        <w:t>Vernünftige</w:t>
      </w:r>
      <w:proofErr w:type="spellEnd"/>
      <w:r w:rsidR="00123F91">
        <w:rPr>
          <w:i/>
        </w:rPr>
        <w:t xml:space="preserve"> </w:t>
      </w:r>
      <w:proofErr w:type="spellStart"/>
      <w:r w:rsidR="00123F91">
        <w:rPr>
          <w:i/>
        </w:rPr>
        <w:t>Gedanken</w:t>
      </w:r>
      <w:proofErr w:type="spellEnd"/>
      <w:r w:rsidR="00123F91">
        <w:rPr>
          <w:i/>
        </w:rPr>
        <w:t xml:space="preserve"> von den </w:t>
      </w:r>
      <w:proofErr w:type="spellStart"/>
      <w:r w:rsidR="00123F91">
        <w:rPr>
          <w:i/>
        </w:rPr>
        <w:t>Kräften</w:t>
      </w:r>
      <w:proofErr w:type="spellEnd"/>
      <w:r w:rsidR="00123F91">
        <w:rPr>
          <w:i/>
        </w:rPr>
        <w:t xml:space="preserve"> des </w:t>
      </w:r>
      <w:proofErr w:type="spellStart"/>
      <w:r w:rsidR="00123F91">
        <w:rPr>
          <w:i/>
        </w:rPr>
        <w:t>menschlichen</w:t>
      </w:r>
      <w:proofErr w:type="spellEnd"/>
      <w:r w:rsidR="00123F91">
        <w:rPr>
          <w:i/>
        </w:rPr>
        <w:t xml:space="preserve"> </w:t>
      </w:r>
      <w:proofErr w:type="spellStart"/>
      <w:r w:rsidR="00123F91">
        <w:rPr>
          <w:i/>
        </w:rPr>
        <w:t>Verstandes</w:t>
      </w:r>
      <w:proofErr w:type="spellEnd"/>
      <w:r w:rsidR="00123F91">
        <w:rPr>
          <w:i/>
        </w:rPr>
        <w:t xml:space="preserve"> und </w:t>
      </w:r>
      <w:proofErr w:type="spellStart"/>
      <w:r w:rsidR="00123F91">
        <w:rPr>
          <w:i/>
        </w:rPr>
        <w:t>ihrem</w:t>
      </w:r>
      <w:proofErr w:type="spellEnd"/>
      <w:r w:rsidR="00123F91">
        <w:rPr>
          <w:i/>
        </w:rPr>
        <w:t xml:space="preserve"> </w:t>
      </w:r>
      <w:proofErr w:type="spellStart"/>
      <w:r w:rsidR="00123F91">
        <w:rPr>
          <w:i/>
        </w:rPr>
        <w:t>richtigen</w:t>
      </w:r>
      <w:proofErr w:type="spellEnd"/>
      <w:r w:rsidR="00123F91">
        <w:rPr>
          <w:i/>
        </w:rPr>
        <w:t xml:space="preserve"> </w:t>
      </w:r>
      <w:proofErr w:type="spellStart"/>
      <w:r w:rsidR="00123F91">
        <w:rPr>
          <w:i/>
        </w:rPr>
        <w:t>Gebrauche</w:t>
      </w:r>
      <w:proofErr w:type="spellEnd"/>
      <w:r w:rsidR="00123F91">
        <w:rPr>
          <w:i/>
        </w:rPr>
        <w:t xml:space="preserve"> in </w:t>
      </w:r>
      <w:proofErr w:type="spellStart"/>
      <w:r w:rsidR="00123F91">
        <w:rPr>
          <w:i/>
        </w:rPr>
        <w:t>Erkenntnis</w:t>
      </w:r>
      <w:proofErr w:type="spellEnd"/>
      <w:r w:rsidR="00123F91">
        <w:rPr>
          <w:i/>
        </w:rPr>
        <w:t xml:space="preserve"> der </w:t>
      </w:r>
      <w:proofErr w:type="spellStart"/>
      <w:r w:rsidR="00123F91">
        <w:rPr>
          <w:i/>
        </w:rPr>
        <w:t>Wahrheit</w:t>
      </w:r>
      <w:proofErr w:type="spellEnd"/>
      <w:r w:rsidR="00123F91">
        <w:rPr>
          <w:i/>
        </w:rPr>
        <w:t xml:space="preserve"> </w:t>
      </w:r>
      <w:r w:rsidR="00123F91" w:rsidRPr="00123F91">
        <w:t>(</w:t>
      </w:r>
      <w:r w:rsidR="00123F91">
        <w:t xml:space="preserve">the </w:t>
      </w:r>
      <w:r>
        <w:rPr>
          <w:i/>
        </w:rPr>
        <w:t xml:space="preserve">Deutsche </w:t>
      </w:r>
      <w:proofErr w:type="spellStart"/>
      <w:r>
        <w:rPr>
          <w:i/>
        </w:rPr>
        <w:t>Logik</w:t>
      </w:r>
      <w:proofErr w:type="spellEnd"/>
      <w:r w:rsidR="00123F91">
        <w:t>)</w:t>
      </w:r>
      <w:r>
        <w:t xml:space="preserve"> of 1713 and then the </w:t>
      </w:r>
      <w:proofErr w:type="spellStart"/>
      <w:r>
        <w:t>mutli</w:t>
      </w:r>
      <w:proofErr w:type="spellEnd"/>
      <w:r>
        <w:t xml:space="preserve">-volume Latin </w:t>
      </w:r>
      <w:proofErr w:type="spellStart"/>
      <w:r>
        <w:rPr>
          <w:i/>
        </w:rPr>
        <w:t>Philosophia</w:t>
      </w:r>
      <w:proofErr w:type="spellEnd"/>
      <w:r>
        <w:rPr>
          <w:i/>
        </w:rPr>
        <w:t xml:space="preserve"> </w:t>
      </w:r>
      <w:proofErr w:type="spellStart"/>
      <w:r>
        <w:rPr>
          <w:i/>
        </w:rPr>
        <w:t>rationalis</w:t>
      </w:r>
      <w:proofErr w:type="spellEnd"/>
      <w:r>
        <w:rPr>
          <w:i/>
        </w:rPr>
        <w:t xml:space="preserve">, </w:t>
      </w:r>
      <w:proofErr w:type="spellStart"/>
      <w:r>
        <w:rPr>
          <w:i/>
        </w:rPr>
        <w:t>sive</w:t>
      </w:r>
      <w:proofErr w:type="spellEnd"/>
      <w:r>
        <w:rPr>
          <w:i/>
        </w:rPr>
        <w:t xml:space="preserve"> </w:t>
      </w:r>
      <w:proofErr w:type="spellStart"/>
      <w:r>
        <w:rPr>
          <w:i/>
        </w:rPr>
        <w:t>Logica</w:t>
      </w:r>
      <w:proofErr w:type="spellEnd"/>
      <w:r>
        <w:t xml:space="preserve"> of 1728), though discussions of issues relating to logic can be found throughout his works, including his texts devoted to mathematics, ontology, and psychology.</w:t>
      </w:r>
      <w:r w:rsidR="008C2989">
        <w:rPr>
          <w:rStyle w:val="FootnoteReference"/>
        </w:rPr>
        <w:footnoteReference w:id="3"/>
      </w:r>
      <w:r w:rsidR="000D0558">
        <w:t xml:space="preserve"> Aside from a </w:t>
      </w:r>
      <w:r w:rsidR="007A48AE">
        <w:t>passing</w:t>
      </w:r>
      <w:r w:rsidR="000D0558">
        <w:t xml:space="preserve"> reference to “</w:t>
      </w:r>
      <w:proofErr w:type="spellStart"/>
      <w:r w:rsidR="000D0558">
        <w:t>allgemeine</w:t>
      </w:r>
      <w:proofErr w:type="spellEnd"/>
      <w:r w:rsidR="000D0558">
        <w:t xml:space="preserve"> </w:t>
      </w:r>
      <w:proofErr w:type="spellStart"/>
      <w:r w:rsidR="000D0558">
        <w:t>Logick</w:t>
      </w:r>
      <w:proofErr w:type="spellEnd"/>
      <w:r w:rsidR="000D0558">
        <w:t xml:space="preserve">” </w:t>
      </w:r>
      <w:r w:rsidR="000D0558">
        <w:lastRenderedPageBreak/>
        <w:t xml:space="preserve">in the </w:t>
      </w:r>
      <w:r w:rsidR="000D0558">
        <w:rPr>
          <w:i/>
        </w:rPr>
        <w:t>AN</w:t>
      </w:r>
      <w:r w:rsidR="000D0558">
        <w:t>, by which Wolff appears to intend the same thing as a “</w:t>
      </w:r>
      <w:proofErr w:type="spellStart"/>
      <w:r w:rsidR="000D0558">
        <w:t>gemeine</w:t>
      </w:r>
      <w:proofErr w:type="spellEnd"/>
      <w:r w:rsidR="000D0558">
        <w:t xml:space="preserve"> </w:t>
      </w:r>
      <w:proofErr w:type="spellStart"/>
      <w:r w:rsidR="000D0558">
        <w:t>Logick</w:t>
      </w:r>
      <w:proofErr w:type="spellEnd"/>
      <w:r w:rsidR="000D0558">
        <w:t>,”</w:t>
      </w:r>
      <w:r w:rsidR="00D32B4A">
        <w:rPr>
          <w:rStyle w:val="FootnoteReference"/>
        </w:rPr>
        <w:footnoteReference w:id="4"/>
      </w:r>
      <w:r w:rsidR="000D0558">
        <w:t xml:space="preserve"> Wolff does not characterize his </w:t>
      </w:r>
      <w:r w:rsidR="0092769F">
        <w:t xml:space="preserve">logic </w:t>
      </w:r>
      <w:r w:rsidR="000D0558">
        <w:t>as a general logic, though the distinction had been employed by logicians</w:t>
      </w:r>
      <w:r w:rsidR="0002754C">
        <w:t xml:space="preserve"> whose work </w:t>
      </w:r>
      <w:r w:rsidR="000D0558">
        <w:t>would no doubt have been familiar to him.</w:t>
      </w:r>
      <w:r w:rsidR="000D0558">
        <w:rPr>
          <w:rStyle w:val="FootnoteReference"/>
        </w:rPr>
        <w:footnoteReference w:id="5"/>
      </w:r>
      <w:r w:rsidR="009F4995">
        <w:t xml:space="preserve"> </w:t>
      </w:r>
      <w:r w:rsidR="00275979">
        <w:t>Instead</w:t>
      </w:r>
      <w:r w:rsidR="00F92B65">
        <w:t>,</w:t>
      </w:r>
      <w:r w:rsidR="00D20460">
        <w:t xml:space="preserve"> Wolff employs a broad distinction between the “theoretical” and “practical” parts of logic, a distinction </w:t>
      </w:r>
      <w:r w:rsidR="00F92B65">
        <w:t>he adopts on the basis of the presentation of</w:t>
      </w:r>
      <w:r w:rsidR="00D20460">
        <w:t xml:space="preserve"> his student L. P. </w:t>
      </w:r>
      <w:proofErr w:type="spellStart"/>
      <w:r w:rsidR="00D20460">
        <w:t>Thümmig</w:t>
      </w:r>
      <w:proofErr w:type="spellEnd"/>
      <w:r w:rsidR="00EE07C3">
        <w:t xml:space="preserve"> </w:t>
      </w:r>
      <w:r w:rsidR="00F92B65">
        <w:t xml:space="preserve">published after the </w:t>
      </w:r>
      <w:r w:rsidR="00F92B65">
        <w:rPr>
          <w:i/>
        </w:rPr>
        <w:t>DL</w:t>
      </w:r>
      <w:r w:rsidR="00F92B65">
        <w:t>.</w:t>
      </w:r>
      <w:r w:rsidR="00D20460">
        <w:rPr>
          <w:rStyle w:val="FootnoteReference"/>
        </w:rPr>
        <w:footnoteReference w:id="6"/>
      </w:r>
      <w:r w:rsidR="00F92B65">
        <w:t xml:space="preserve"> </w:t>
      </w:r>
      <w:r w:rsidR="00A94D4C">
        <w:t>With respect to</w:t>
      </w:r>
      <w:r w:rsidR="00133FB7">
        <w:t xml:space="preserve"> what is treated with</w:t>
      </w:r>
      <w:r w:rsidR="00A94D4C">
        <w:t xml:space="preserve"> the t</w:t>
      </w:r>
      <w:r w:rsidR="00706767">
        <w:t>heoretical part of logic, Wolff</w:t>
      </w:r>
      <w:r w:rsidR="0012399F">
        <w:t xml:space="preserve"> indicates broadly</w:t>
      </w:r>
      <w:r w:rsidR="00133FB7">
        <w:t xml:space="preserve"> that it will contain the “rules of logic” as opposed to the practical part which will consider the “manifold uses of the rules” (</w:t>
      </w:r>
      <w:r w:rsidR="00133FB7">
        <w:rPr>
          <w:i/>
        </w:rPr>
        <w:t xml:space="preserve">AN </w:t>
      </w:r>
      <w:r w:rsidR="00133FB7">
        <w:t>§55). In terms of its specific topics, Wolff indicates that</w:t>
      </w:r>
      <w:r w:rsidR="0012399F">
        <w:t>,</w:t>
      </w:r>
      <w:r w:rsidR="00133FB7">
        <w:t xml:space="preserve"> in light of </w:t>
      </w:r>
      <w:proofErr w:type="spellStart"/>
      <w:r w:rsidR="00133FB7">
        <w:t>Thümmig’s</w:t>
      </w:r>
      <w:proofErr w:type="spellEnd"/>
      <w:r w:rsidR="00133FB7">
        <w:t xml:space="preserve"> </w:t>
      </w:r>
      <w:r w:rsidR="00024055">
        <w:t>introduction of the distinction</w:t>
      </w:r>
      <w:r w:rsidR="00133FB7">
        <w:t xml:space="preserve">, he would </w:t>
      </w:r>
      <w:r w:rsidR="0012399F">
        <w:t xml:space="preserve">retrospectively </w:t>
      </w:r>
      <w:r w:rsidR="00724DB9">
        <w:t xml:space="preserve">group the first four chapters of </w:t>
      </w:r>
      <w:r w:rsidR="00724DB9" w:rsidRPr="00F92B65">
        <w:rPr>
          <w:i/>
        </w:rPr>
        <w:t>DL</w:t>
      </w:r>
      <w:r w:rsidR="0012399F">
        <w:t xml:space="preserve"> </w:t>
      </w:r>
      <w:r w:rsidR="00724DB9">
        <w:t xml:space="preserve">under the theoretical part of logic, </w:t>
      </w:r>
      <w:r w:rsidR="0012399F">
        <w:t>which would be to say that it includes the treatments of concept</w:t>
      </w:r>
      <w:r w:rsidR="00133FB7">
        <w:t>s, words, propositions (</w:t>
      </w:r>
      <w:proofErr w:type="spellStart"/>
      <w:r w:rsidR="00133FB7">
        <w:rPr>
          <w:i/>
        </w:rPr>
        <w:t>Sätze</w:t>
      </w:r>
      <w:proofErr w:type="spellEnd"/>
      <w:r w:rsidR="00133FB7">
        <w:t>), and inferences (</w:t>
      </w:r>
      <w:r w:rsidR="00133FB7">
        <w:rPr>
          <w:i/>
        </w:rPr>
        <w:t>AN</w:t>
      </w:r>
      <w:r w:rsidR="00133FB7">
        <w:t xml:space="preserve"> §55). </w:t>
      </w:r>
      <w:r w:rsidR="0012399F">
        <w:t xml:space="preserve">In the </w:t>
      </w:r>
      <w:r w:rsidR="0012399F">
        <w:rPr>
          <w:i/>
        </w:rPr>
        <w:t>LL</w:t>
      </w:r>
      <w:r w:rsidR="00CC6CE6">
        <w:t xml:space="preserve">, Wolff conscientiously characterizes the first part of logic as the theoretical part, though the </w:t>
      </w:r>
      <w:r w:rsidR="00D11DD4">
        <w:t>division</w:t>
      </w:r>
      <w:r w:rsidR="00CC6CE6">
        <w:t xml:space="preserve"> of topics is amended </w:t>
      </w:r>
      <w:r w:rsidR="00D11DD4">
        <w:t>somewhat</w:t>
      </w:r>
      <w:r w:rsidR="00CC6CE6">
        <w:t xml:space="preserve">. </w:t>
      </w:r>
      <w:r w:rsidR="00505654">
        <w:t xml:space="preserve">So, Wolff now treats words in the course of his </w:t>
      </w:r>
      <w:r w:rsidR="003721C6">
        <w:t xml:space="preserve">broader </w:t>
      </w:r>
      <w:r w:rsidR="00505654">
        <w:t xml:space="preserve">account of concepts (rather than taking up a chapter in its own right), and in place of propositions Wolff now considers judgments. </w:t>
      </w:r>
      <w:r w:rsidR="00D11DD4">
        <w:t xml:space="preserve">The most </w:t>
      </w:r>
      <w:r w:rsidR="009A253A">
        <w:t>conspicuous</w:t>
      </w:r>
      <w:r w:rsidR="00505654">
        <w:t xml:space="preserve"> </w:t>
      </w:r>
      <w:r w:rsidR="00D11DD4">
        <w:t xml:space="preserve">difference from the structure of the </w:t>
      </w:r>
      <w:r w:rsidR="00D11DD4">
        <w:rPr>
          <w:i/>
        </w:rPr>
        <w:t>DL</w:t>
      </w:r>
      <w:r w:rsidR="00D11DD4">
        <w:t xml:space="preserve"> consists in the addition of an initial section conce</w:t>
      </w:r>
      <w:r w:rsidR="00024055">
        <w:t>rning the principles of logic (</w:t>
      </w:r>
      <w:r w:rsidR="00D11DD4">
        <w:rPr>
          <w:i/>
        </w:rPr>
        <w:t xml:space="preserve">De </w:t>
      </w:r>
      <w:proofErr w:type="spellStart"/>
      <w:r w:rsidR="00D11DD4">
        <w:rPr>
          <w:i/>
        </w:rPr>
        <w:t>logicae</w:t>
      </w:r>
      <w:proofErr w:type="spellEnd"/>
      <w:r w:rsidR="00D11DD4">
        <w:rPr>
          <w:i/>
        </w:rPr>
        <w:t xml:space="preserve"> </w:t>
      </w:r>
      <w:proofErr w:type="spellStart"/>
      <w:r w:rsidR="00D11DD4">
        <w:rPr>
          <w:i/>
        </w:rPr>
        <w:t>principiis</w:t>
      </w:r>
      <w:proofErr w:type="spellEnd"/>
      <w:r w:rsidR="00D11DD4">
        <w:t xml:space="preserve">), which contains a </w:t>
      </w:r>
      <w:r w:rsidR="009F6F3F">
        <w:t xml:space="preserve">presentation of principles </w:t>
      </w:r>
      <w:r w:rsidR="00024055">
        <w:t>that</w:t>
      </w:r>
      <w:r w:rsidR="009F6F3F">
        <w:t xml:space="preserve"> logic takes from psychology and ontology</w:t>
      </w:r>
      <w:r w:rsidR="00024055">
        <w:t>.</w:t>
      </w:r>
      <w:r w:rsidR="00D44E39">
        <w:rPr>
          <w:rStyle w:val="FootnoteReference"/>
        </w:rPr>
        <w:footnoteReference w:id="7"/>
      </w:r>
      <w:r w:rsidR="009F6F3F">
        <w:t xml:space="preserve"> </w:t>
      </w:r>
      <w:r w:rsidR="00024055">
        <w:t>S</w:t>
      </w:r>
      <w:r w:rsidR="009F6F3F">
        <w:t>o, the first chapter of this section</w:t>
      </w:r>
      <w:r w:rsidR="00D44E39">
        <w:t xml:space="preserve"> (</w:t>
      </w:r>
      <w:r w:rsidR="00D44E39">
        <w:rPr>
          <w:i/>
        </w:rPr>
        <w:t>LL</w:t>
      </w:r>
      <w:r w:rsidR="00D44E39">
        <w:t xml:space="preserve"> §§30-58) </w:t>
      </w:r>
      <w:r w:rsidR="009F6F3F">
        <w:t>concerns the three operations of the mind, which makes use of principles (such as the division of the faculties of the mind) that are only demonstrated later in empirical and rational psychology, and the seco</w:t>
      </w:r>
      <w:r w:rsidR="00D44E39">
        <w:t>nd chapter (</w:t>
      </w:r>
      <w:r w:rsidR="00D44E39">
        <w:rPr>
          <w:i/>
        </w:rPr>
        <w:t>LL</w:t>
      </w:r>
      <w:r w:rsidR="00D44E39">
        <w:t xml:space="preserve"> §§59-76) considers our general knowledge of b</w:t>
      </w:r>
      <w:r w:rsidR="00024055">
        <w:t>eing in terms of</w:t>
      </w:r>
      <w:r w:rsidR="00D44E39">
        <w:t xml:space="preserve"> </w:t>
      </w:r>
      <w:proofErr w:type="spellStart"/>
      <w:r w:rsidR="00D44E39">
        <w:t>es</w:t>
      </w:r>
      <w:r w:rsidR="00024055">
        <w:t>sentiala</w:t>
      </w:r>
      <w:proofErr w:type="spellEnd"/>
      <w:r w:rsidR="00024055">
        <w:t>, attributes, and modes</w:t>
      </w:r>
      <w:r w:rsidR="00D44E39">
        <w:t xml:space="preserve">. </w:t>
      </w:r>
      <w:r w:rsidR="00505654">
        <w:t>These discussions no doubt</w:t>
      </w:r>
      <w:r w:rsidR="003721C6">
        <w:t xml:space="preserve"> already</w:t>
      </w:r>
      <w:r w:rsidR="00505654">
        <w:t xml:space="preserve"> inform the presentation in </w:t>
      </w:r>
      <w:r w:rsidR="00505654">
        <w:rPr>
          <w:i/>
        </w:rPr>
        <w:t>DL</w:t>
      </w:r>
      <w:r w:rsidR="00505654">
        <w:t>—the Aristotelian distinction between three operations of the mind underlies Wolff’s division of the subject matter of logic into concepts, propositions, and inferences</w:t>
      </w:r>
      <w:r w:rsidR="00024055">
        <w:t>,</w:t>
      </w:r>
      <w:r w:rsidR="00D51133">
        <w:rPr>
          <w:rStyle w:val="FootnoteReference"/>
        </w:rPr>
        <w:footnoteReference w:id="8"/>
      </w:r>
      <w:r w:rsidR="00505654">
        <w:t xml:space="preserve"> and </w:t>
      </w:r>
      <w:r w:rsidR="00505654">
        <w:rPr>
          <w:i/>
        </w:rPr>
        <w:t>DL</w:t>
      </w:r>
      <w:r w:rsidR="00505654">
        <w:t xml:space="preserve"> also includes a brief consideration of essence (cf. </w:t>
      </w:r>
      <w:r w:rsidR="00505654">
        <w:rPr>
          <w:i/>
        </w:rPr>
        <w:t>DL</w:t>
      </w:r>
      <w:r w:rsidR="00505654">
        <w:t xml:space="preserve"> c. 2, §48)—but </w:t>
      </w:r>
      <w:r w:rsidR="003721C6">
        <w:t xml:space="preserve"> nonetheless </w:t>
      </w:r>
      <w:r w:rsidR="00505654">
        <w:t xml:space="preserve">do not receive as much or as detailed attention there as in </w:t>
      </w:r>
      <w:r w:rsidR="003721C6">
        <w:rPr>
          <w:i/>
        </w:rPr>
        <w:t>L</w:t>
      </w:r>
      <w:r w:rsidR="00505654">
        <w:rPr>
          <w:i/>
        </w:rPr>
        <w:t>L</w:t>
      </w:r>
      <w:r w:rsidR="009A253A">
        <w:t xml:space="preserve">. </w:t>
      </w:r>
    </w:p>
    <w:p w:rsidR="003C5055" w:rsidRPr="00CD71A1" w:rsidRDefault="00445662" w:rsidP="00445662">
      <w:pPr>
        <w:spacing w:after="0"/>
        <w:ind w:firstLine="720"/>
      </w:pPr>
      <w:r>
        <w:lastRenderedPageBreak/>
        <w:t xml:space="preserve">It is likely that </w:t>
      </w:r>
      <w:r>
        <w:t>it is the theoretica</w:t>
      </w:r>
      <w:r>
        <w:t>l part of Wolff’s logic that</w:t>
      </w:r>
      <w:r>
        <w:t xml:space="preserve"> Kant </w:t>
      </w:r>
      <w:r>
        <w:t>identifies</w:t>
      </w:r>
      <w:r>
        <w:t xml:space="preserve"> as his general logic</w:t>
      </w:r>
      <w:r>
        <w:t xml:space="preserve">. </w:t>
      </w:r>
      <w:r>
        <w:t xml:space="preserve">While neither </w:t>
      </w:r>
      <w:proofErr w:type="spellStart"/>
      <w:r>
        <w:t>Baumgarten</w:t>
      </w:r>
      <w:proofErr w:type="spellEnd"/>
      <w:r>
        <w:t xml:space="preserve"> nor Meier identify their logic (or parts thereof) as a general logic, Martin </w:t>
      </w:r>
      <w:proofErr w:type="spellStart"/>
      <w:r>
        <w:t>Knutzen</w:t>
      </w:r>
      <w:proofErr w:type="spellEnd"/>
      <w:r>
        <w:t xml:space="preserve"> makes use of the general/special distinction in his </w:t>
      </w:r>
      <w:r>
        <w:rPr>
          <w:i/>
        </w:rPr>
        <w:t xml:space="preserve">Elementa </w:t>
      </w:r>
      <w:proofErr w:type="spellStart"/>
      <w:r>
        <w:rPr>
          <w:i/>
        </w:rPr>
        <w:t>philosophiae</w:t>
      </w:r>
      <w:proofErr w:type="spellEnd"/>
      <w:r>
        <w:rPr>
          <w:i/>
        </w:rPr>
        <w:t xml:space="preserve"> </w:t>
      </w:r>
      <w:proofErr w:type="spellStart"/>
      <w:r>
        <w:rPr>
          <w:i/>
        </w:rPr>
        <w:t>rationalis</w:t>
      </w:r>
      <w:proofErr w:type="spellEnd"/>
      <w:r>
        <w:t>,</w:t>
      </w:r>
      <w:r>
        <w:rPr>
          <w:rStyle w:val="FootnoteReference"/>
        </w:rPr>
        <w:footnoteReference w:id="9"/>
      </w:r>
      <w:r>
        <w:t xml:space="preserve"> incorporating both what Wolff had identified as the theoretical and practical parts into his general logic.</w:t>
      </w:r>
      <w:r>
        <w:rPr>
          <w:rStyle w:val="FootnoteReference"/>
        </w:rPr>
        <w:footnoteReference w:id="10"/>
      </w:r>
      <w:r w:rsidR="006171F0">
        <w:t xml:space="preserve"> Kant could have borrowed the distinction between general and particular logic from </w:t>
      </w:r>
      <w:proofErr w:type="spellStart"/>
      <w:r w:rsidR="006171F0">
        <w:t>Knutzen’s</w:t>
      </w:r>
      <w:proofErr w:type="spellEnd"/>
      <w:r w:rsidR="006171F0">
        <w:t xml:space="preserve"> </w:t>
      </w:r>
      <w:r w:rsidR="006171F0">
        <w:rPr>
          <w:i/>
        </w:rPr>
        <w:t>Elementa</w:t>
      </w:r>
      <w:r w:rsidR="006171F0">
        <w:t xml:space="preserve">, </w:t>
      </w:r>
      <w:r>
        <w:t>however,</w:t>
      </w:r>
      <w:r w:rsidR="006171F0">
        <w:t xml:space="preserve"> Kant</w:t>
      </w:r>
      <w:r>
        <w:t xml:space="preserve"> rejects the admission of a practical part into general logic (</w:t>
      </w:r>
      <w:r w:rsidRPr="0002754C">
        <w:t xml:space="preserve">cf. </w:t>
      </w:r>
      <w:r>
        <w:rPr>
          <w:i/>
        </w:rPr>
        <w:t>JL</w:t>
      </w:r>
      <w:r>
        <w:t xml:space="preserve"> 9:17-18</w:t>
      </w:r>
      <w:r w:rsidR="006171F0">
        <w:t>). This would</w:t>
      </w:r>
      <w:r>
        <w:t xml:space="preserve"> </w:t>
      </w:r>
      <w:r>
        <w:t>accordingly only leave the theoretical part of Wolff’s logic</w:t>
      </w:r>
      <w:r w:rsidR="006171F0">
        <w:t xml:space="preserve"> as a candidate for what Kant identifies as Wolff’s general logic, and assuming that it is to this t</w:t>
      </w:r>
      <w:r w:rsidR="00F76F86">
        <w:t>hat Kant and</w:t>
      </w:r>
      <w:r w:rsidR="006171F0">
        <w:t xml:space="preserve"> his followers are referring</w:t>
      </w:r>
      <w:r w:rsidR="00F76F86">
        <w:t xml:space="preserve">, we can consider what in Wolff’s treatment might </w:t>
      </w:r>
      <w:r>
        <w:t xml:space="preserve">serve to </w:t>
      </w:r>
      <w:r w:rsidR="00F76F86">
        <w:t xml:space="preserve">distinguish it from other available treatments. Here, Wolff himself (unsurprisingly) offers some assistance </w:t>
      </w:r>
      <w:r w:rsidR="00FD200F">
        <w:t xml:space="preserve">as </w:t>
      </w:r>
      <w:r w:rsidR="00F76F86">
        <w:t>he provides a</w:t>
      </w:r>
      <w:r w:rsidR="003721C6">
        <w:t xml:space="preserve"> discussion of his logic (as it was presented i</w:t>
      </w:r>
      <w:r w:rsidR="00D67EEE">
        <w:t xml:space="preserve">n the </w:t>
      </w:r>
      <w:r w:rsidR="00D67EEE">
        <w:rPr>
          <w:i/>
        </w:rPr>
        <w:t>DL</w:t>
      </w:r>
      <w:r w:rsidR="00D67EEE">
        <w:t>)</w:t>
      </w:r>
      <w:r w:rsidR="00FD200F">
        <w:t xml:space="preserve"> in the </w:t>
      </w:r>
      <w:proofErr w:type="spellStart"/>
      <w:r w:rsidR="00FD200F">
        <w:rPr>
          <w:i/>
        </w:rPr>
        <w:t>Ausführliche</w:t>
      </w:r>
      <w:proofErr w:type="spellEnd"/>
      <w:r w:rsidR="00FD200F">
        <w:rPr>
          <w:i/>
        </w:rPr>
        <w:t xml:space="preserve"> </w:t>
      </w:r>
      <w:proofErr w:type="spellStart"/>
      <w:r w:rsidR="00FD200F">
        <w:rPr>
          <w:i/>
        </w:rPr>
        <w:t>Nachricht</w:t>
      </w:r>
      <w:proofErr w:type="spellEnd"/>
      <w:r w:rsidR="00FD200F">
        <w:rPr>
          <w:i/>
        </w:rPr>
        <w:t xml:space="preserve"> </w:t>
      </w:r>
      <w:r w:rsidR="00F76F86">
        <w:t xml:space="preserve">that is intended to </w:t>
      </w:r>
      <w:r w:rsidR="00FD200F">
        <w:t>highlight</w:t>
      </w:r>
      <w:r w:rsidR="00F76F86">
        <w:t xml:space="preserve"> precisely</w:t>
      </w:r>
      <w:r w:rsidR="00FD200F">
        <w:t xml:space="preserve"> what he takes to be his most original contributions on the topic. </w:t>
      </w:r>
      <w:r w:rsidR="00F76F86">
        <w:t>For present purposes,</w:t>
      </w:r>
      <w:r w:rsidR="00FD200F">
        <w:t xml:space="preserve"> we might focus on three</w:t>
      </w:r>
      <w:r w:rsidR="00F76F86">
        <w:t xml:space="preserve"> features mentioned by Wolff</w:t>
      </w:r>
      <w:r w:rsidR="003721C6">
        <w:t>:</w:t>
      </w:r>
      <w:r w:rsidR="00FD200F" w:rsidRPr="003918B5">
        <w:t xml:space="preserve"> his adoption and amendment of Leibniz’s </w:t>
      </w:r>
      <w:r w:rsidR="00A53CF0" w:rsidRPr="003918B5">
        <w:t>classification of concepts, his account of definitions as that which the analysis of concepts aims at, and his defens</w:t>
      </w:r>
      <w:r w:rsidR="0013625D" w:rsidRPr="003918B5">
        <w:t>e of</w:t>
      </w:r>
      <w:r w:rsidR="00A53CF0" w:rsidRPr="003918B5">
        <w:t xml:space="preserve"> </w:t>
      </w:r>
      <w:r w:rsidR="00635980" w:rsidRPr="003918B5">
        <w:t>the syllogism</w:t>
      </w:r>
      <w:r w:rsidR="0013625D" w:rsidRPr="003918B5">
        <w:t>.</w:t>
      </w:r>
      <w:r w:rsidR="00635980">
        <w:t xml:space="preserve"> </w:t>
      </w:r>
      <w:r w:rsidR="00431C04">
        <w:t xml:space="preserve">Beginning with Wolff’s treatment of concepts, in </w:t>
      </w:r>
      <w:r w:rsidR="00431C04">
        <w:rPr>
          <w:i/>
        </w:rPr>
        <w:t>AN</w:t>
      </w:r>
      <w:r w:rsidR="00431C04">
        <w:t xml:space="preserve"> he indicates that he thought Leibniz’s discussion of the obscurity, clarity, distinctness, etc., of </w:t>
      </w:r>
      <w:r w:rsidR="00FD2238">
        <w:t>notions</w:t>
      </w:r>
      <w:r w:rsidR="00431C04">
        <w:t xml:space="preserve"> represented a considerable improvement over Descartes’ which never accounted precisely for these differences in co</w:t>
      </w:r>
      <w:r w:rsidR="00FD2238">
        <w:t xml:space="preserve">ncepts, and accordingly </w:t>
      </w:r>
      <w:r w:rsidR="001E4A3A">
        <w:t>Wolff</w:t>
      </w:r>
      <w:r w:rsidR="00FD2238">
        <w:t xml:space="preserve"> incorporated it into his logic while adapting it to his specific uses (</w:t>
      </w:r>
      <w:r w:rsidR="00FD2238">
        <w:rPr>
          <w:i/>
        </w:rPr>
        <w:t>AN</w:t>
      </w:r>
      <w:r w:rsidR="00FD2238">
        <w:t xml:space="preserve"> §58).</w:t>
      </w:r>
      <w:r w:rsidR="00FD2238">
        <w:rPr>
          <w:rStyle w:val="FootnoteReference"/>
        </w:rPr>
        <w:footnoteReference w:id="11"/>
      </w:r>
      <w:r w:rsidR="00FD2238">
        <w:t xml:space="preserve"> </w:t>
      </w:r>
      <w:r w:rsidR="009D2741">
        <w:t>I</w:t>
      </w:r>
      <w:r w:rsidR="00FD2238">
        <w:t xml:space="preserve">n the </w:t>
      </w:r>
      <w:r w:rsidR="00FD2238">
        <w:rPr>
          <w:i/>
        </w:rPr>
        <w:t>DL</w:t>
      </w:r>
      <w:r w:rsidR="00FD2238">
        <w:t xml:space="preserve">, </w:t>
      </w:r>
      <w:r w:rsidR="009D2741">
        <w:t xml:space="preserve">Wolff makes explicit that these classifications apply uniformly to concepts, where Leibniz appeared to apply them to notions, </w:t>
      </w:r>
      <w:r w:rsidR="00CD71A1">
        <w:t>ideas</w:t>
      </w:r>
      <w:r w:rsidR="009D2741">
        <w:t xml:space="preserve">, and knowledge, and in the </w:t>
      </w:r>
      <w:r w:rsidR="009D2741">
        <w:rPr>
          <w:i/>
        </w:rPr>
        <w:t>LL</w:t>
      </w:r>
      <w:r w:rsidR="009D2741">
        <w:t xml:space="preserve"> they are </w:t>
      </w:r>
      <w:r w:rsidR="00183073">
        <w:t>identified as the</w:t>
      </w:r>
      <w:r w:rsidR="009D2741">
        <w:t xml:space="preserve"> “formal differentia</w:t>
      </w:r>
      <w:r w:rsidR="00183073">
        <w:t xml:space="preserve"> [</w:t>
      </w:r>
      <w:r w:rsidR="00183073">
        <w:rPr>
          <w:i/>
        </w:rPr>
        <w:t xml:space="preserve">differentia </w:t>
      </w:r>
      <w:proofErr w:type="spellStart"/>
      <w:r w:rsidR="00183073">
        <w:rPr>
          <w:i/>
        </w:rPr>
        <w:t>formalis</w:t>
      </w:r>
      <w:proofErr w:type="spellEnd"/>
      <w:r w:rsidR="00183073">
        <w:t>]</w:t>
      </w:r>
      <w:r w:rsidR="009D2741">
        <w:t>”</w:t>
      </w:r>
      <w:r w:rsidR="00183073">
        <w:t xml:space="preserve"> of concepts. </w:t>
      </w:r>
      <w:r w:rsidR="004B34DA">
        <w:t>Wolff also amends Leibniz’s classification somewhat, adding his own distinction between complete and incomplete concepts (</w:t>
      </w:r>
      <w:proofErr w:type="spellStart"/>
      <w:r w:rsidR="004B34DA">
        <w:rPr>
          <w:i/>
        </w:rPr>
        <w:t>ausfürhlicher</w:t>
      </w:r>
      <w:proofErr w:type="spellEnd"/>
      <w:r w:rsidR="004B34DA">
        <w:rPr>
          <w:i/>
        </w:rPr>
        <w:t>/</w:t>
      </w:r>
      <w:proofErr w:type="spellStart"/>
      <w:r w:rsidR="004B34DA">
        <w:rPr>
          <w:i/>
        </w:rPr>
        <w:t>unausführlicher</w:t>
      </w:r>
      <w:proofErr w:type="spellEnd"/>
      <w:r w:rsidR="004B34DA">
        <w:rPr>
          <w:i/>
        </w:rPr>
        <w:t xml:space="preserve"> </w:t>
      </w:r>
      <w:proofErr w:type="spellStart"/>
      <w:r w:rsidR="004B34DA">
        <w:rPr>
          <w:i/>
        </w:rPr>
        <w:t>Begriff</w:t>
      </w:r>
      <w:proofErr w:type="spellEnd"/>
      <w:r w:rsidR="004B34DA">
        <w:t xml:space="preserve">; </w:t>
      </w:r>
      <w:proofErr w:type="spellStart"/>
      <w:r w:rsidR="004B34DA" w:rsidRPr="004B34DA">
        <w:rPr>
          <w:i/>
        </w:rPr>
        <w:t>notio</w:t>
      </w:r>
      <w:proofErr w:type="spellEnd"/>
      <w:r w:rsidR="004B34DA">
        <w:t xml:space="preserve"> </w:t>
      </w:r>
      <w:proofErr w:type="spellStart"/>
      <w:r w:rsidR="004B34DA">
        <w:rPr>
          <w:i/>
        </w:rPr>
        <w:t>completa</w:t>
      </w:r>
      <w:proofErr w:type="spellEnd"/>
      <w:r w:rsidR="004B34DA">
        <w:rPr>
          <w:i/>
        </w:rPr>
        <w:t>/</w:t>
      </w:r>
      <w:proofErr w:type="spellStart"/>
      <w:r w:rsidR="004B34DA">
        <w:rPr>
          <w:i/>
        </w:rPr>
        <w:t>incompleta</w:t>
      </w:r>
      <w:proofErr w:type="spellEnd"/>
      <w:r w:rsidR="004B34DA">
        <w:t>)</w:t>
      </w:r>
      <w:r w:rsidR="00EB4239">
        <w:t>, which follows on distinct/indistinct</w:t>
      </w:r>
      <w:r w:rsidR="004B34DA">
        <w:t xml:space="preserve">, </w:t>
      </w:r>
      <w:r w:rsidR="00110B42">
        <w:t>but also</w:t>
      </w:r>
      <w:r w:rsidR="004B34DA">
        <w:t xml:space="preserve"> offering a detailed discussion of </w:t>
      </w:r>
      <w:r w:rsidR="00EB4239">
        <w:t xml:space="preserve">the adequacy </w:t>
      </w:r>
      <w:r w:rsidR="00431C04">
        <w:t>(</w:t>
      </w:r>
      <w:proofErr w:type="spellStart"/>
      <w:r w:rsidR="005D5BDC">
        <w:rPr>
          <w:i/>
        </w:rPr>
        <w:t>Vollständigkeit</w:t>
      </w:r>
      <w:proofErr w:type="spellEnd"/>
      <w:r w:rsidR="005D5BDC" w:rsidRPr="005D5BDC">
        <w:t>/</w:t>
      </w:r>
      <w:proofErr w:type="spellStart"/>
      <w:r w:rsidR="00B71177" w:rsidRPr="00B71177">
        <w:rPr>
          <w:i/>
        </w:rPr>
        <w:t>adaequatio</w:t>
      </w:r>
      <w:proofErr w:type="spellEnd"/>
      <w:r w:rsidR="00B71177">
        <w:t>)</w:t>
      </w:r>
      <w:r w:rsidR="00EB4239">
        <w:t xml:space="preserve"> of a concept which Leibniz had introduced t</w:t>
      </w:r>
      <w:r w:rsidR="00110B42">
        <w:t>o the Cartesian classification and a feature of concepts which Wolff indicates he thought was a particularly helpful addition (</w:t>
      </w:r>
      <w:r w:rsidR="00110B42">
        <w:rPr>
          <w:i/>
        </w:rPr>
        <w:t xml:space="preserve">AN </w:t>
      </w:r>
      <w:r w:rsidR="00110B42">
        <w:lastRenderedPageBreak/>
        <w:t xml:space="preserve">§58). For Leibniz, </w:t>
      </w:r>
      <w:r w:rsidR="00B71177">
        <w:t>a concept is adequate when “everything that enters into a distinct notion is, again, distinctly known, or when analysis has been carried to completion.”</w:t>
      </w:r>
      <w:r w:rsidR="00B71177">
        <w:rPr>
          <w:rStyle w:val="FootnoteReference"/>
        </w:rPr>
        <w:footnoteReference w:id="12"/>
      </w:r>
      <w:r w:rsidR="00B71177">
        <w:t xml:space="preserve"> </w:t>
      </w:r>
      <w:r w:rsidR="001D5141">
        <w:t>In Wolff’</w:t>
      </w:r>
      <w:r w:rsidR="005D5BDC">
        <w:t>s hands, the adequacy o</w:t>
      </w:r>
      <w:r w:rsidR="00437410">
        <w:t>f a</w:t>
      </w:r>
      <w:r w:rsidR="001D5141">
        <w:t xml:space="preserve"> concept </w:t>
      </w:r>
      <w:r w:rsidR="00437410">
        <w:t>also consists in the distinctness of its marks (</w:t>
      </w:r>
      <w:r w:rsidR="00437410">
        <w:rPr>
          <w:i/>
        </w:rPr>
        <w:t>DL</w:t>
      </w:r>
      <w:r w:rsidR="00437410">
        <w:t xml:space="preserve"> c. 2, §16; </w:t>
      </w:r>
      <w:r w:rsidR="00437410">
        <w:rPr>
          <w:i/>
        </w:rPr>
        <w:t>LL</w:t>
      </w:r>
      <w:r w:rsidR="00CD71A1">
        <w:t xml:space="preserve"> §95), though because these marks are themselves concepts, which in turn have marks that can likewise be known distinctly, Wolff contends that adeq</w:t>
      </w:r>
      <w:r w:rsidR="005D5BDC">
        <w:t xml:space="preserve">uacy admits of various degrees, </w:t>
      </w:r>
      <w:r w:rsidR="00CD71A1">
        <w:t>where the first degree of adequacy involves the distinctness of the marks of the concepts, the second degree the distinctness of the marks of the marks, and so on (</w:t>
      </w:r>
      <w:r w:rsidR="00CD71A1">
        <w:rPr>
          <w:i/>
        </w:rPr>
        <w:t>DL</w:t>
      </w:r>
      <w:r w:rsidR="00CD71A1">
        <w:t xml:space="preserve"> c. 2, §17; </w:t>
      </w:r>
      <w:r w:rsidR="00CD71A1">
        <w:rPr>
          <w:i/>
        </w:rPr>
        <w:t>LL</w:t>
      </w:r>
      <w:r w:rsidR="00CD71A1">
        <w:t xml:space="preserve"> §96). </w:t>
      </w:r>
    </w:p>
    <w:p w:rsidR="00927A30" w:rsidRPr="007C1560" w:rsidRDefault="00C26D8E" w:rsidP="003C0EF9">
      <w:pPr>
        <w:spacing w:after="0"/>
      </w:pPr>
      <w:r>
        <w:tab/>
        <w:t xml:space="preserve">A second </w:t>
      </w:r>
      <w:r w:rsidR="005D5BDC">
        <w:t>distinctive</w:t>
      </w:r>
      <w:r>
        <w:t xml:space="preserve"> feature of Wolff’s logic, as identified by Wolff, is his emphasis on the importance of definitions. In </w:t>
      </w:r>
      <w:r>
        <w:rPr>
          <w:i/>
        </w:rPr>
        <w:t>AN</w:t>
      </w:r>
      <w:r>
        <w:t>, Wolff notes that the aim of his discussion of concepts, and his focus on clearly delimiting the criteria of their distinctness, completeness, and adequacy, is for the sake of providing definitions: “</w:t>
      </w:r>
      <w:proofErr w:type="spellStart"/>
      <w:r>
        <w:t>Denn</w:t>
      </w:r>
      <w:proofErr w:type="spellEnd"/>
      <w:r>
        <w:t xml:space="preserve"> </w:t>
      </w:r>
      <w:proofErr w:type="spellStart"/>
      <w:r>
        <w:t>deutliche</w:t>
      </w:r>
      <w:proofErr w:type="spellEnd"/>
      <w:r>
        <w:t xml:space="preserve"> und </w:t>
      </w:r>
      <w:proofErr w:type="spellStart"/>
      <w:r>
        <w:t>ausführliche</w:t>
      </w:r>
      <w:proofErr w:type="spellEnd"/>
      <w:r>
        <w:t xml:space="preserve"> </w:t>
      </w:r>
      <w:proofErr w:type="spellStart"/>
      <w:r>
        <w:t>Begriffe</w:t>
      </w:r>
      <w:proofErr w:type="spellEnd"/>
      <w:r>
        <w:t xml:space="preserve"> </w:t>
      </w:r>
      <w:proofErr w:type="spellStart"/>
      <w:r>
        <w:t>geben</w:t>
      </w:r>
      <w:proofErr w:type="spellEnd"/>
      <w:r>
        <w:t xml:space="preserve"> die </w:t>
      </w:r>
      <w:proofErr w:type="spellStart"/>
      <w:r>
        <w:t>Erklärungen</w:t>
      </w:r>
      <w:proofErr w:type="spellEnd"/>
      <w:r>
        <w:t xml:space="preserve">, und </w:t>
      </w:r>
      <w:proofErr w:type="spellStart"/>
      <w:r>
        <w:t>vollständige</w:t>
      </w:r>
      <w:proofErr w:type="spellEnd"/>
      <w:r w:rsidR="005D5BDC">
        <w:t xml:space="preserve"> [</w:t>
      </w:r>
      <w:proofErr w:type="spellStart"/>
      <w:r w:rsidR="005D5BDC">
        <w:t>Begriffe</w:t>
      </w:r>
      <w:proofErr w:type="spellEnd"/>
      <w:r w:rsidR="005D5BDC">
        <w:t>]</w:t>
      </w:r>
      <w:r>
        <w:t xml:space="preserve"> </w:t>
      </w:r>
      <w:proofErr w:type="spellStart"/>
      <w:r>
        <w:t>ihre</w:t>
      </w:r>
      <w:proofErr w:type="spellEnd"/>
      <w:r>
        <w:t xml:space="preserve"> </w:t>
      </w:r>
      <w:proofErr w:type="spellStart"/>
      <w:r>
        <w:t>Verknüpfung</w:t>
      </w:r>
      <w:proofErr w:type="spellEnd"/>
      <w:r>
        <w:t xml:space="preserve"> </w:t>
      </w:r>
      <w:proofErr w:type="spellStart"/>
      <w:r>
        <w:t>mit</w:t>
      </w:r>
      <w:proofErr w:type="spellEnd"/>
      <w:r>
        <w:t xml:space="preserve"> </w:t>
      </w:r>
      <w:proofErr w:type="spellStart"/>
      <w:r>
        <w:t>einander</w:t>
      </w:r>
      <w:proofErr w:type="spellEnd"/>
      <w:r>
        <w:t>” (</w:t>
      </w:r>
      <w:r>
        <w:rPr>
          <w:i/>
        </w:rPr>
        <w:t>AN</w:t>
      </w:r>
      <w:r>
        <w:t xml:space="preserve"> §62). </w:t>
      </w:r>
      <w:r w:rsidR="00F90872">
        <w:t>Wolff distinguishes nominal definition (</w:t>
      </w:r>
      <w:r w:rsidR="00F90872">
        <w:rPr>
          <w:i/>
        </w:rPr>
        <w:t>Wort-</w:t>
      </w:r>
      <w:proofErr w:type="spellStart"/>
      <w:r w:rsidR="00F90872">
        <w:rPr>
          <w:i/>
        </w:rPr>
        <w:t>Erklärungen</w:t>
      </w:r>
      <w:proofErr w:type="spellEnd"/>
      <w:r w:rsidR="00F90872">
        <w:t xml:space="preserve">, </w:t>
      </w:r>
      <w:proofErr w:type="spellStart"/>
      <w:r w:rsidR="00F90872">
        <w:rPr>
          <w:i/>
        </w:rPr>
        <w:t>definitio</w:t>
      </w:r>
      <w:proofErr w:type="spellEnd"/>
      <w:r w:rsidR="00F90872">
        <w:rPr>
          <w:i/>
        </w:rPr>
        <w:t xml:space="preserve"> </w:t>
      </w:r>
      <w:proofErr w:type="spellStart"/>
      <w:r w:rsidR="00F90872">
        <w:rPr>
          <w:i/>
        </w:rPr>
        <w:t>nominalis</w:t>
      </w:r>
      <w:proofErr w:type="spellEnd"/>
      <w:r w:rsidR="00F90872">
        <w:t>) from real definition (</w:t>
      </w:r>
      <w:proofErr w:type="spellStart"/>
      <w:r w:rsidR="00F90872">
        <w:rPr>
          <w:i/>
        </w:rPr>
        <w:t>Sach-Erklärung</w:t>
      </w:r>
      <w:proofErr w:type="spellEnd"/>
      <w:r w:rsidR="00F90872">
        <w:t xml:space="preserve">, </w:t>
      </w:r>
      <w:proofErr w:type="spellStart"/>
      <w:r w:rsidR="00F90872">
        <w:rPr>
          <w:i/>
        </w:rPr>
        <w:t>definitio</w:t>
      </w:r>
      <w:proofErr w:type="spellEnd"/>
      <w:r w:rsidR="00F90872">
        <w:rPr>
          <w:i/>
        </w:rPr>
        <w:t xml:space="preserve"> realis</w:t>
      </w:r>
      <w:r w:rsidR="00F90872">
        <w:t>), where the former suffices to distinguish the defined thing from all other things whereas the latter shows the defined thing is possible by accounting for how it comes to be (</w:t>
      </w:r>
      <w:r w:rsidR="00F90872">
        <w:rPr>
          <w:i/>
        </w:rPr>
        <w:t>DL</w:t>
      </w:r>
      <w:r w:rsidR="00F90872">
        <w:t xml:space="preserve"> c. 2, §41; </w:t>
      </w:r>
      <w:r w:rsidR="00F90872">
        <w:rPr>
          <w:i/>
        </w:rPr>
        <w:t>LL</w:t>
      </w:r>
      <w:r w:rsidR="00F90872">
        <w:t xml:space="preserve"> §191).</w:t>
      </w:r>
      <w:r w:rsidR="00F90872">
        <w:rPr>
          <w:rStyle w:val="FootnoteReference"/>
        </w:rPr>
        <w:footnoteReference w:id="13"/>
      </w:r>
      <w:r w:rsidR="00780054">
        <w:t xml:space="preserve"> This account of nominal definition brings it in line w</w:t>
      </w:r>
      <w:r w:rsidR="009D5529">
        <w:t>ith what Wolff calls t</w:t>
      </w:r>
      <w:r w:rsidR="00780054">
        <w:t xml:space="preserve">he </w:t>
      </w:r>
      <w:r w:rsidR="00780054" w:rsidRPr="005D5BDC">
        <w:rPr>
          <w:i/>
        </w:rPr>
        <w:t>completeness</w:t>
      </w:r>
      <w:r w:rsidR="00780054">
        <w:t xml:space="preserve"> of concepts in particular, given that a concept is complete when the marks suffice to recognize the object of the concept and distinguish it from others (</w:t>
      </w:r>
      <w:r w:rsidR="00780054">
        <w:rPr>
          <w:i/>
        </w:rPr>
        <w:t>DL</w:t>
      </w:r>
      <w:r w:rsidR="00780054">
        <w:t xml:space="preserve"> c. 2, §15; </w:t>
      </w:r>
      <w:r w:rsidR="00780054">
        <w:rPr>
          <w:i/>
        </w:rPr>
        <w:t>LL</w:t>
      </w:r>
      <w:r w:rsidR="009D5529">
        <w:t xml:space="preserve"> §192). That Wolff should thus make room in his classification of concepts for nominal definitions in this way signals his departure from </w:t>
      </w:r>
      <w:proofErr w:type="spellStart"/>
      <w:r w:rsidR="009D5529">
        <w:t>Tschirnhaus</w:t>
      </w:r>
      <w:proofErr w:type="spellEnd"/>
      <w:r w:rsidR="009D5529">
        <w:t xml:space="preserve"> who, </w:t>
      </w:r>
      <w:r w:rsidR="001415AE">
        <w:t xml:space="preserve">according to </w:t>
      </w:r>
      <w:r w:rsidR="009D5529">
        <w:t>Wolff “</w:t>
      </w:r>
      <w:proofErr w:type="spellStart"/>
      <w:r w:rsidR="009D5529">
        <w:t>rühmet</w:t>
      </w:r>
      <w:proofErr w:type="spellEnd"/>
      <w:r w:rsidR="009D5529">
        <w:t xml:space="preserve"> in seiner </w:t>
      </w:r>
      <w:proofErr w:type="spellStart"/>
      <w:r w:rsidR="009D5529">
        <w:rPr>
          <w:i/>
        </w:rPr>
        <w:t>Medicina</w:t>
      </w:r>
      <w:proofErr w:type="spellEnd"/>
      <w:r w:rsidR="009D5529">
        <w:rPr>
          <w:i/>
        </w:rPr>
        <w:t xml:space="preserve"> Mentis</w:t>
      </w:r>
      <w:r w:rsidR="009D5529">
        <w:t xml:space="preserve"> gar </w:t>
      </w:r>
      <w:proofErr w:type="spellStart"/>
      <w:r w:rsidR="009D5529">
        <w:t>sehr</w:t>
      </w:r>
      <w:proofErr w:type="spellEnd"/>
      <w:r w:rsidR="009D5529">
        <w:t xml:space="preserve"> die </w:t>
      </w:r>
      <w:proofErr w:type="spellStart"/>
      <w:r w:rsidR="009D5529">
        <w:t>Erklärung</w:t>
      </w:r>
      <w:proofErr w:type="spellEnd"/>
      <w:r w:rsidR="009D5529">
        <w:t xml:space="preserve"> der </w:t>
      </w:r>
      <w:proofErr w:type="spellStart"/>
      <w:r w:rsidR="009D5529">
        <w:t>Sachen</w:t>
      </w:r>
      <w:proofErr w:type="spellEnd"/>
      <w:r w:rsidR="009D5529">
        <w:t xml:space="preserve"> und </w:t>
      </w:r>
      <w:proofErr w:type="spellStart"/>
      <w:r w:rsidR="009D5529">
        <w:t>ziehet</w:t>
      </w:r>
      <w:proofErr w:type="spellEnd"/>
      <w:r w:rsidR="009D5529">
        <w:t xml:space="preserve"> </w:t>
      </w:r>
      <w:proofErr w:type="spellStart"/>
      <w:r w:rsidR="009D5529">
        <w:t>sie</w:t>
      </w:r>
      <w:proofErr w:type="spellEnd"/>
      <w:r w:rsidR="009D5529">
        <w:t xml:space="preserve"> den Wort-</w:t>
      </w:r>
      <w:proofErr w:type="spellStart"/>
      <w:r w:rsidR="009D5529">
        <w:t>Erklärungen</w:t>
      </w:r>
      <w:proofErr w:type="spellEnd"/>
      <w:r w:rsidR="009D5529">
        <w:t xml:space="preserve"> </w:t>
      </w:r>
      <w:proofErr w:type="spellStart"/>
      <w:r w:rsidR="009D5529">
        <w:t>vor</w:t>
      </w:r>
      <w:proofErr w:type="spellEnd"/>
      <w:r w:rsidR="009D5529">
        <w:t>” (</w:t>
      </w:r>
      <w:r w:rsidR="009D5529">
        <w:rPr>
          <w:i/>
        </w:rPr>
        <w:t>AN</w:t>
      </w:r>
      <w:r w:rsidR="009D5529">
        <w:t xml:space="preserve"> §62).</w:t>
      </w:r>
      <w:r w:rsidR="001415AE">
        <w:rPr>
          <w:rStyle w:val="FootnoteReference"/>
        </w:rPr>
        <w:footnoteReference w:id="14"/>
      </w:r>
      <w:r w:rsidR="009D5529">
        <w:t xml:space="preserve"> Instead, Wolff emphasizes the utility of </w:t>
      </w:r>
      <w:r w:rsidR="005D5BDC">
        <w:t>nominal definitions, not only for the purposes of</w:t>
      </w:r>
      <w:r w:rsidR="009D5529">
        <w:t xml:space="preserve"> ordinary life but also in the sciences (</w:t>
      </w:r>
      <w:r w:rsidR="009D5529">
        <w:rPr>
          <w:i/>
        </w:rPr>
        <w:t>DL</w:t>
      </w:r>
      <w:r w:rsidR="007C1560">
        <w:t xml:space="preserve"> c. 2, §45), and he </w:t>
      </w:r>
      <w:r w:rsidR="009D5529">
        <w:t xml:space="preserve">contends that they can provide the basis for formulating real definitions. </w:t>
      </w:r>
      <w:r w:rsidR="007C1560">
        <w:t>So, Wolff claims that given a nominal definition, we should seek distinct concepts of each of the marks enumerated in the definition (</w:t>
      </w:r>
      <w:r w:rsidR="007C1560">
        <w:rPr>
          <w:i/>
        </w:rPr>
        <w:t>DL</w:t>
      </w:r>
      <w:r w:rsidR="007C1560">
        <w:t xml:space="preserve"> c. 2, §54). This results in an adequate concept of the thing defined, but insofar as we additionally consider these marks, and compare them with one another and with other cognition we have, we are able to determine in many cases whether and how the defined thing is possible and might come to be, which process accordingly results in a real definition. </w:t>
      </w:r>
    </w:p>
    <w:p w:rsidR="001D7647" w:rsidRPr="00BA707F" w:rsidRDefault="00AC428C" w:rsidP="009D5529">
      <w:pPr>
        <w:spacing w:after="0"/>
      </w:pPr>
      <w:r>
        <w:lastRenderedPageBreak/>
        <w:tab/>
      </w:r>
      <w:r w:rsidR="00255871">
        <w:t xml:space="preserve">A final innovative feature of Wolff’s logic </w:t>
      </w:r>
      <w:r w:rsidR="00921F24">
        <w:t>conce</w:t>
      </w:r>
      <w:r w:rsidR="00255871">
        <w:t xml:space="preserve">rns his defense of the utility </w:t>
      </w:r>
      <w:r w:rsidR="00921F24">
        <w:t>of the syllogism</w:t>
      </w:r>
      <w:r w:rsidR="00426F5F">
        <w:t xml:space="preserve">, though here what is innovative is not </w:t>
      </w:r>
      <w:r w:rsidR="001E4A3A">
        <w:t xml:space="preserve">so much </w:t>
      </w:r>
      <w:r w:rsidR="00426F5F">
        <w:t>an</w:t>
      </w:r>
      <w:r w:rsidR="001E4A3A">
        <w:t>y</w:t>
      </w:r>
      <w:r w:rsidR="00426F5F">
        <w:t xml:space="preserve"> specific doctrine Wolff defends but rather merely the fact that Wolff should assign such importance to </w:t>
      </w:r>
      <w:proofErr w:type="spellStart"/>
      <w:r w:rsidR="00426F5F">
        <w:t>syllogistics</w:t>
      </w:r>
      <w:proofErr w:type="spellEnd"/>
      <w:r w:rsidR="00426F5F">
        <w:t xml:space="preserve"> in contrast to</w:t>
      </w:r>
      <w:r w:rsidR="00671300">
        <w:t xml:space="preserve"> a number of </w:t>
      </w:r>
      <w:r w:rsidR="007F0544">
        <w:t>modern logicians</w:t>
      </w:r>
      <w:r w:rsidR="006B5DAB">
        <w:t xml:space="preserve"> who dismissed</w:t>
      </w:r>
      <w:r w:rsidR="007F0544">
        <w:t xml:space="preserve"> the utility of the sy</w:t>
      </w:r>
      <w:r w:rsidR="00426F5F">
        <w:t>llogism</w:t>
      </w:r>
      <w:r w:rsidR="006B5DAB">
        <w:t>, particularly as a medium of invention</w:t>
      </w:r>
      <w:r w:rsidR="00426F5F">
        <w:t>.</w:t>
      </w:r>
      <w:r w:rsidR="007F0544">
        <w:rPr>
          <w:rStyle w:val="FootnoteReference"/>
        </w:rPr>
        <w:footnoteReference w:id="15"/>
      </w:r>
      <w:r w:rsidR="007F0544">
        <w:t xml:space="preserve"> </w:t>
      </w:r>
      <w:r w:rsidR="00426F5F">
        <w:t>I</w:t>
      </w:r>
      <w:r w:rsidR="007F0544">
        <w:t>ndeed, as is well known, Wolff himself had previously shared this low opinion of syllogistic reasoning,</w:t>
      </w:r>
      <w:r w:rsidR="00236E62">
        <w:rPr>
          <w:rStyle w:val="FootnoteReference"/>
        </w:rPr>
        <w:footnoteReference w:id="16"/>
      </w:r>
      <w:r w:rsidR="007F0544">
        <w:t xml:space="preserve"> a position h</w:t>
      </w:r>
      <w:r w:rsidR="00236E62">
        <w:t>e changed as a result of Leibniz’s intervention</w:t>
      </w:r>
      <w:r w:rsidR="00D8779D">
        <w:t xml:space="preserve"> near the outset of their correspondence</w:t>
      </w:r>
      <w:r w:rsidR="007F0544">
        <w:t>.</w:t>
      </w:r>
      <w:r w:rsidR="007F0544">
        <w:rPr>
          <w:rStyle w:val="FootnoteReference"/>
        </w:rPr>
        <w:footnoteReference w:id="17"/>
      </w:r>
      <w:r w:rsidR="00D8779D">
        <w:t xml:space="preserve"> </w:t>
      </w:r>
      <w:r w:rsidR="00687848">
        <w:t>Having</w:t>
      </w:r>
      <w:r w:rsidR="00D8779D">
        <w:t xml:space="preserve"> </w:t>
      </w:r>
      <w:r w:rsidR="00687848">
        <w:t>defended</w:t>
      </w:r>
      <w:r w:rsidR="00D8779D">
        <w:t xml:space="preserve"> the indispensability of syllogisms in mathematical proofs in the </w:t>
      </w:r>
      <w:proofErr w:type="spellStart"/>
      <w:r w:rsidR="00D8779D">
        <w:rPr>
          <w:i/>
        </w:rPr>
        <w:t>Anfangsgründe</w:t>
      </w:r>
      <w:proofErr w:type="spellEnd"/>
      <w:r w:rsidR="00D8779D">
        <w:t xml:space="preserve"> of 1710,</w:t>
      </w:r>
      <w:r w:rsidR="00D8779D">
        <w:rPr>
          <w:rStyle w:val="FootnoteReference"/>
        </w:rPr>
        <w:footnoteReference w:id="18"/>
      </w:r>
      <w:r w:rsidR="00D8779D">
        <w:t xml:space="preserve"> Wolff </w:t>
      </w:r>
      <w:r w:rsidR="00687848">
        <w:t xml:space="preserve">turns to the subject in his logic textbooks, with a </w:t>
      </w:r>
      <w:r w:rsidR="004E747C">
        <w:t xml:space="preserve">comparatively </w:t>
      </w:r>
      <w:r w:rsidR="00687848">
        <w:t xml:space="preserve">streamlined presentation in his </w:t>
      </w:r>
      <w:r w:rsidR="00687848">
        <w:rPr>
          <w:i/>
        </w:rPr>
        <w:t>DL</w:t>
      </w:r>
      <w:r w:rsidR="00687848">
        <w:t xml:space="preserve"> and a much-expanded discussion in the </w:t>
      </w:r>
      <w:r w:rsidR="00687848">
        <w:rPr>
          <w:i/>
        </w:rPr>
        <w:t>LL</w:t>
      </w:r>
      <w:r w:rsidR="00687848">
        <w:t xml:space="preserve">. </w:t>
      </w:r>
      <w:r w:rsidR="00426F5F">
        <w:t xml:space="preserve">In both cases, Wolff </w:t>
      </w:r>
      <w:r w:rsidR="0027796A">
        <w:t xml:space="preserve">endorses many features of </w:t>
      </w:r>
      <w:r w:rsidR="00426F5F">
        <w:t xml:space="preserve">the </w:t>
      </w:r>
      <w:r w:rsidR="0027796A">
        <w:t>Aristotelian</w:t>
      </w:r>
      <w:r w:rsidR="00426F5F">
        <w:t xml:space="preserve"> doctrine, including the</w:t>
      </w:r>
      <w:r w:rsidR="00687848">
        <w:t xml:space="preserve"> analysis of the principles governing sy</w:t>
      </w:r>
      <w:r w:rsidR="004E747C">
        <w:t xml:space="preserve">llogisms and </w:t>
      </w:r>
      <w:r w:rsidR="00F27248">
        <w:t xml:space="preserve">the reducibility </w:t>
      </w:r>
      <w:r w:rsidR="00687848">
        <w:t>of all syllogistic figures to the first</w:t>
      </w:r>
      <w:r w:rsidR="00426F5F">
        <w:t>.</w:t>
      </w:r>
      <w:r w:rsidR="004E747C">
        <w:rPr>
          <w:rStyle w:val="FootnoteReference"/>
        </w:rPr>
        <w:footnoteReference w:id="19"/>
      </w:r>
      <w:r w:rsidR="00426F5F">
        <w:t xml:space="preserve"> So, Wolff identifies the </w:t>
      </w:r>
      <w:r w:rsidR="00426F5F">
        <w:rPr>
          <w:i/>
        </w:rPr>
        <w:t xml:space="preserve">dictum de </w:t>
      </w:r>
      <w:proofErr w:type="spellStart"/>
      <w:r w:rsidR="00426F5F">
        <w:rPr>
          <w:i/>
        </w:rPr>
        <w:t>omni</w:t>
      </w:r>
      <w:proofErr w:type="spellEnd"/>
      <w:r w:rsidR="00426F5F">
        <w:rPr>
          <w:i/>
        </w:rPr>
        <w:t xml:space="preserve"> et </w:t>
      </w:r>
      <w:proofErr w:type="spellStart"/>
      <w:r w:rsidR="00426F5F">
        <w:rPr>
          <w:i/>
        </w:rPr>
        <w:t>nullo</w:t>
      </w:r>
      <w:proofErr w:type="spellEnd"/>
      <w:r w:rsidR="00426F5F">
        <w:t xml:space="preserve">, in accordance with which anything </w:t>
      </w:r>
      <w:r w:rsidR="001E4A3A">
        <w:t>that</w:t>
      </w:r>
      <w:r w:rsidR="00426F5F">
        <w:t xml:space="preserve"> is asserted (or denied) of an entire genus or species is likewise asserted (or denied) of all genera and species which fall under it, as that</w:t>
      </w:r>
      <w:r w:rsidR="00183217">
        <w:t xml:space="preserve"> (dual)</w:t>
      </w:r>
      <w:r w:rsidR="00426F5F">
        <w:t xml:space="preserve"> principle on which all syllogisms are based (</w:t>
      </w:r>
      <w:r w:rsidR="00426F5F">
        <w:rPr>
          <w:i/>
        </w:rPr>
        <w:t>LL</w:t>
      </w:r>
      <w:r w:rsidR="00426F5F">
        <w:t xml:space="preserve"> §353; </w:t>
      </w:r>
      <w:r w:rsidR="00426F5F">
        <w:rPr>
          <w:i/>
        </w:rPr>
        <w:t>DL</w:t>
      </w:r>
      <w:r w:rsidR="00183217">
        <w:t xml:space="preserve"> c. 4, §10). It is on account of the fact that the </w:t>
      </w:r>
      <w:r w:rsidR="00183217" w:rsidRPr="00183217">
        <w:rPr>
          <w:i/>
        </w:rPr>
        <w:t xml:space="preserve">dictum de </w:t>
      </w:r>
      <w:proofErr w:type="spellStart"/>
      <w:r w:rsidR="00183217" w:rsidRPr="00183217">
        <w:rPr>
          <w:i/>
        </w:rPr>
        <w:t>omni</w:t>
      </w:r>
      <w:proofErr w:type="spellEnd"/>
      <w:r w:rsidR="00183217">
        <w:t xml:space="preserve"> and </w:t>
      </w:r>
      <w:proofErr w:type="spellStart"/>
      <w:r w:rsidR="00183217" w:rsidRPr="00183217">
        <w:rPr>
          <w:i/>
        </w:rPr>
        <w:t>dictim</w:t>
      </w:r>
      <w:proofErr w:type="spellEnd"/>
      <w:r w:rsidR="00183217" w:rsidRPr="00183217">
        <w:rPr>
          <w:i/>
        </w:rPr>
        <w:t xml:space="preserve"> de </w:t>
      </w:r>
      <w:proofErr w:type="spellStart"/>
      <w:r w:rsidR="00183217" w:rsidRPr="00183217">
        <w:rPr>
          <w:i/>
        </w:rPr>
        <w:t>nullo</w:t>
      </w:r>
      <w:proofErr w:type="spellEnd"/>
      <w:r w:rsidR="00183217">
        <w:t xml:space="preserve"> can themselves be reduced to syllogisms of the first figure that Wolff identifies it as the most natural figure (</w:t>
      </w:r>
      <w:r w:rsidR="00183217">
        <w:rPr>
          <w:i/>
        </w:rPr>
        <w:t>LL</w:t>
      </w:r>
      <w:r w:rsidR="00183217">
        <w:t xml:space="preserve"> §380</w:t>
      </w:r>
      <w:r w:rsidR="00CC09D5">
        <w:t xml:space="preserve">; </w:t>
      </w:r>
      <w:r w:rsidR="00CC09D5">
        <w:rPr>
          <w:i/>
        </w:rPr>
        <w:t>DL</w:t>
      </w:r>
      <w:r w:rsidR="00CC09D5">
        <w:t xml:space="preserve"> c. 4, §14</w:t>
      </w:r>
      <w:r w:rsidR="00183217">
        <w:t>), and because the valid syllogistic forms of the first figure suffice to prove conclusions of all four categorical forms, he identifies it as the perfect syllogistic figure (</w:t>
      </w:r>
      <w:r w:rsidR="00183217">
        <w:rPr>
          <w:i/>
        </w:rPr>
        <w:t>LL</w:t>
      </w:r>
      <w:r w:rsidR="00183217">
        <w:t xml:space="preserve"> §§378, 401), and </w:t>
      </w:r>
      <w:r w:rsidR="00151638">
        <w:t>proceeds to reduce</w:t>
      </w:r>
      <w:r w:rsidR="00CC09D5">
        <w:t xml:space="preserve"> </w:t>
      </w:r>
      <w:r w:rsidR="00183217">
        <w:t>the other three syllogistic figures can be reduced to it.</w:t>
      </w:r>
      <w:r w:rsidR="00CE2A1E">
        <w:rPr>
          <w:rStyle w:val="FootnoteReference"/>
        </w:rPr>
        <w:footnoteReference w:id="20"/>
      </w:r>
      <w:r w:rsidR="00183217">
        <w:t xml:space="preserve"> Indeed,</w:t>
      </w:r>
      <w:r w:rsidR="00CE2A1E">
        <w:t xml:space="preserve"> and surprisingly, Wolff goes </w:t>
      </w:r>
      <w:r w:rsidR="00183217">
        <w:t xml:space="preserve">further </w:t>
      </w:r>
      <w:r w:rsidR="00CC09D5">
        <w:t xml:space="preserve">than this </w:t>
      </w:r>
      <w:r w:rsidR="00CE2A1E">
        <w:t>to argue</w:t>
      </w:r>
      <w:r w:rsidR="00CC09D5">
        <w:t xml:space="preserve"> </w:t>
      </w:r>
      <w:r w:rsidR="00CE2A1E">
        <w:t xml:space="preserve">that even </w:t>
      </w:r>
      <w:r w:rsidR="00CC09D5">
        <w:t>hypothetical and dis</w:t>
      </w:r>
      <w:r w:rsidR="00CE2A1E">
        <w:t>junctive</w:t>
      </w:r>
      <w:r w:rsidR="00CC09D5">
        <w:t xml:space="preserve"> syllogism</w:t>
      </w:r>
      <w:r w:rsidR="00CE2A1E">
        <w:t xml:space="preserve">s can be reduced to categorical </w:t>
      </w:r>
      <w:r w:rsidR="00CC09D5">
        <w:t>syllogisms of the first figure.</w:t>
      </w:r>
      <w:r w:rsidR="003B4C2B">
        <w:t xml:space="preserve"> Hypothetical syllogisms are reducible</w:t>
      </w:r>
      <w:r w:rsidR="001E4A3A">
        <w:t xml:space="preserve"> to the first figure</w:t>
      </w:r>
      <w:r w:rsidR="003B4C2B">
        <w:t xml:space="preserve"> given that the hypothetical proposition that serves as the major of the syllogism is equivalent to a universal affirmative categorical proposition provided that the same subject occurs in both antecedent and consequent (</w:t>
      </w:r>
      <w:r w:rsidR="003B4C2B">
        <w:rPr>
          <w:i/>
        </w:rPr>
        <w:t xml:space="preserve">DL </w:t>
      </w:r>
      <w:r w:rsidR="003B4C2B">
        <w:t xml:space="preserve">c. 4, §18; </w:t>
      </w:r>
      <w:r w:rsidR="003B4C2B">
        <w:rPr>
          <w:i/>
        </w:rPr>
        <w:t>LL</w:t>
      </w:r>
      <w:r w:rsidR="003B4C2B">
        <w:t xml:space="preserve"> §§412-13, §415); </w:t>
      </w:r>
      <w:r w:rsidR="001E4A3A">
        <w:t xml:space="preserve">and </w:t>
      </w:r>
      <w:r w:rsidR="003B4C2B">
        <w:t xml:space="preserve">disjunctive syllogisms are reducible given that Wolff takes </w:t>
      </w:r>
      <w:r w:rsidR="003B4C2B">
        <w:lastRenderedPageBreak/>
        <w:t xml:space="preserve">the disjunctive proposition that serves as the major as providing alternate predications of the same subject (which is the only form of disjunctive proposition Wolff considers; see </w:t>
      </w:r>
      <w:r w:rsidR="003B4C2B">
        <w:rPr>
          <w:i/>
        </w:rPr>
        <w:t>LL</w:t>
      </w:r>
      <w:r w:rsidR="003B4C2B" w:rsidRPr="003B4C2B">
        <w:t xml:space="preserve"> </w:t>
      </w:r>
      <w:r w:rsidR="003B4C2B">
        <w:t xml:space="preserve">§417, §420 and </w:t>
      </w:r>
      <w:r w:rsidR="003B4C2B">
        <w:rPr>
          <w:i/>
        </w:rPr>
        <w:t>DL</w:t>
      </w:r>
      <w:r w:rsidR="003B4C2B">
        <w:t xml:space="preserve"> c. 4, §19).</w:t>
      </w:r>
      <w:r w:rsidR="004E747C">
        <w:rPr>
          <w:rStyle w:val="FootnoteReference"/>
        </w:rPr>
        <w:footnoteReference w:id="21"/>
      </w:r>
      <w:r w:rsidR="00BA5F67">
        <w:t xml:space="preserve"> Having considered these three features of Wolff’s theoretical logic that he himself identified as distinctive, we can now turn to Kant’s reception of Wolff’s logic and determine whether Wolff might have earned Kant’s late praise as a result of them. </w:t>
      </w:r>
    </w:p>
    <w:p w:rsidR="001D7647" w:rsidRDefault="001D7647" w:rsidP="009D5529">
      <w:pPr>
        <w:spacing w:after="0"/>
      </w:pPr>
    </w:p>
    <w:p w:rsidR="00CF6DEA" w:rsidRDefault="00CF6DEA" w:rsidP="003C0EF9">
      <w:pPr>
        <w:spacing w:after="0"/>
      </w:pPr>
      <w:r>
        <w:t>II: Kant’s Re</w:t>
      </w:r>
      <w:r w:rsidR="005A5B79">
        <w:t xml:space="preserve">ception of </w:t>
      </w:r>
      <w:r>
        <w:t>Wolff’s Logic</w:t>
      </w:r>
    </w:p>
    <w:p w:rsidR="00F27248" w:rsidRDefault="00F27248" w:rsidP="00F27248">
      <w:pPr>
        <w:spacing w:after="0"/>
      </w:pPr>
    </w:p>
    <w:p w:rsidR="003B48D1" w:rsidRPr="00691139" w:rsidRDefault="001361BD" w:rsidP="00224D16">
      <w:pPr>
        <w:spacing w:after="0"/>
      </w:pPr>
      <w:r>
        <w:tab/>
      </w:r>
      <w:r w:rsidR="003B48D1">
        <w:t xml:space="preserve">Kant himself never adopted Wolff’s </w:t>
      </w:r>
      <w:r w:rsidR="003B48D1">
        <w:rPr>
          <w:i/>
        </w:rPr>
        <w:t>DL</w:t>
      </w:r>
      <w:r w:rsidR="003B48D1">
        <w:t xml:space="preserve"> or </w:t>
      </w:r>
      <w:r w:rsidR="003B48D1">
        <w:rPr>
          <w:i/>
        </w:rPr>
        <w:t xml:space="preserve">LL </w:t>
      </w:r>
      <w:r w:rsidR="003B48D1">
        <w:t xml:space="preserve">for use in his own lectures, though Kant did make use of Wolff’s </w:t>
      </w:r>
      <w:r w:rsidR="009A497C" w:rsidRPr="009A497C">
        <w:rPr>
          <w:i/>
        </w:rPr>
        <w:t xml:space="preserve">Der </w:t>
      </w:r>
      <w:proofErr w:type="spellStart"/>
      <w:r w:rsidR="003B48D1">
        <w:rPr>
          <w:i/>
        </w:rPr>
        <w:t>Anfangsgründe</w:t>
      </w:r>
      <w:proofErr w:type="spellEnd"/>
      <w:r w:rsidR="000D64CC">
        <w:rPr>
          <w:i/>
        </w:rPr>
        <w:t xml:space="preserve"> </w:t>
      </w:r>
      <w:proofErr w:type="spellStart"/>
      <w:r w:rsidR="000D64CC">
        <w:rPr>
          <w:i/>
        </w:rPr>
        <w:t>aller</w:t>
      </w:r>
      <w:proofErr w:type="spellEnd"/>
      <w:r w:rsidR="000D64CC">
        <w:rPr>
          <w:i/>
        </w:rPr>
        <w:t xml:space="preserve"> </w:t>
      </w:r>
      <w:proofErr w:type="spellStart"/>
      <w:r w:rsidR="000D64CC">
        <w:rPr>
          <w:i/>
        </w:rPr>
        <w:t>mathematischen</w:t>
      </w:r>
      <w:proofErr w:type="spellEnd"/>
      <w:r w:rsidR="000D64CC">
        <w:rPr>
          <w:i/>
        </w:rPr>
        <w:t xml:space="preserve"> </w:t>
      </w:r>
      <w:proofErr w:type="spellStart"/>
      <w:r w:rsidR="000D64CC">
        <w:rPr>
          <w:i/>
        </w:rPr>
        <w:t>Wissenschaften</w:t>
      </w:r>
      <w:proofErr w:type="spellEnd"/>
      <w:r w:rsidR="000D64CC">
        <w:t>, which contains a</w:t>
      </w:r>
      <w:r w:rsidR="003B48D1">
        <w:t xml:space="preserve"> “</w:t>
      </w:r>
      <w:proofErr w:type="spellStart"/>
      <w:r w:rsidR="003B48D1" w:rsidRPr="000D64CC">
        <w:t>Kurzer</w:t>
      </w:r>
      <w:proofErr w:type="spellEnd"/>
      <w:r w:rsidR="003B48D1" w:rsidRPr="000D64CC">
        <w:t xml:space="preserve"> </w:t>
      </w:r>
      <w:proofErr w:type="spellStart"/>
      <w:r w:rsidR="003B48D1" w:rsidRPr="000D64CC">
        <w:t>Unterricht</w:t>
      </w:r>
      <w:proofErr w:type="spellEnd"/>
      <w:r w:rsidR="003E4E94">
        <w:t>” that amounts</w:t>
      </w:r>
      <w:r w:rsidR="003B48D1">
        <w:t xml:space="preserve"> to a condensed presentation of Wolff’s logic, for his lectures on mathematics. Even so, the texts he did use for most if not all of his logic lectures—Meier’s </w:t>
      </w:r>
      <w:proofErr w:type="spellStart"/>
      <w:r w:rsidR="003B48D1">
        <w:rPr>
          <w:i/>
        </w:rPr>
        <w:t>Vernunftlehre</w:t>
      </w:r>
      <w:proofErr w:type="spellEnd"/>
      <w:r w:rsidR="003B48D1">
        <w:t xml:space="preserve"> and the </w:t>
      </w:r>
      <w:proofErr w:type="spellStart"/>
      <w:r w:rsidR="003B48D1">
        <w:rPr>
          <w:i/>
        </w:rPr>
        <w:t>Auszug</w:t>
      </w:r>
      <w:proofErr w:type="spellEnd"/>
      <w:r w:rsidR="003B48D1">
        <w:rPr>
          <w:i/>
        </w:rPr>
        <w:t xml:space="preserve"> </w:t>
      </w:r>
      <w:proofErr w:type="spellStart"/>
      <w:r w:rsidR="003B48D1">
        <w:rPr>
          <w:i/>
        </w:rPr>
        <w:t>aus</w:t>
      </w:r>
      <w:proofErr w:type="spellEnd"/>
      <w:r w:rsidR="003B48D1">
        <w:rPr>
          <w:i/>
        </w:rPr>
        <w:t xml:space="preserve"> der </w:t>
      </w:r>
      <w:proofErr w:type="spellStart"/>
      <w:r w:rsidR="003B48D1">
        <w:rPr>
          <w:i/>
        </w:rPr>
        <w:t>Vernunftlehre</w:t>
      </w:r>
      <w:proofErr w:type="spellEnd"/>
      <w:r w:rsidR="003B48D1">
        <w:t xml:space="preserve">—where starkly influenced by Wolff; Kant himself frequently identifies the continuity between </w:t>
      </w:r>
      <w:proofErr w:type="spellStart"/>
      <w:r w:rsidR="003B48D1">
        <w:t>Baumgarten’s</w:t>
      </w:r>
      <w:proofErr w:type="spellEnd"/>
      <w:r w:rsidR="003B48D1">
        <w:t xml:space="preserve"> “concentration” of the </w:t>
      </w:r>
      <w:proofErr w:type="spellStart"/>
      <w:r w:rsidR="003B48D1">
        <w:t>Wolffian</w:t>
      </w:r>
      <w:proofErr w:type="spellEnd"/>
      <w:r w:rsidR="003B48D1">
        <w:t xml:space="preserve"> logic and Meier’s expansion of it (</w:t>
      </w:r>
      <w:r w:rsidR="003B48D1">
        <w:rPr>
          <w:i/>
        </w:rPr>
        <w:t>JL</w:t>
      </w:r>
      <w:r w:rsidR="003B48D1">
        <w:t xml:space="preserve"> 9:21; </w:t>
      </w:r>
      <w:proofErr w:type="spellStart"/>
      <w:r w:rsidR="003B48D1">
        <w:t>cf</w:t>
      </w:r>
      <w:proofErr w:type="spellEnd"/>
      <w:r w:rsidR="003B48D1">
        <w:t xml:space="preserve"> also </w:t>
      </w:r>
      <w:r w:rsidR="00282E6C">
        <w:t>V-</w:t>
      </w:r>
      <w:proofErr w:type="spellStart"/>
      <w:r w:rsidR="00282E6C">
        <w:t>Lo</w:t>
      </w:r>
      <w:r w:rsidR="000C1D8F">
        <w:t>Pö</w:t>
      </w:r>
      <w:proofErr w:type="spellEnd"/>
      <w:r w:rsidR="000C1D8F">
        <w:t xml:space="preserve"> 24:509, </w:t>
      </w:r>
      <w:r w:rsidR="00282E6C">
        <w:t>V-</w:t>
      </w:r>
      <w:proofErr w:type="spellStart"/>
      <w:r w:rsidR="00282E6C">
        <w:t>Lo</w:t>
      </w:r>
      <w:r w:rsidR="00591CE8">
        <w:t>Wiener</w:t>
      </w:r>
      <w:proofErr w:type="spellEnd"/>
      <w:r w:rsidR="00591CE8">
        <w:t xml:space="preserve"> 24:796</w:t>
      </w:r>
      <w:r w:rsidR="003B48D1">
        <w:t>). It is Wolff’s logic</w:t>
      </w:r>
      <w:r w:rsidR="000C1D8F">
        <w:t>,</w:t>
      </w:r>
      <w:r w:rsidR="003B48D1">
        <w:t xml:space="preserve"> however, that is singled out for praise</w:t>
      </w:r>
      <w:r w:rsidR="001F6A64">
        <w:t xml:space="preserve">, and </w:t>
      </w:r>
      <w:r w:rsidR="00224D16">
        <w:t>part of what evidently recommended it to Kant was that it avoided the wide array of deficiencies and defects that afflicted the modern alternatives. Leibniz, for instance, is identified along with Wolff as worthy of note (</w:t>
      </w:r>
      <w:r w:rsidR="00282E6C">
        <w:t>V-</w:t>
      </w:r>
      <w:proofErr w:type="spellStart"/>
      <w:r w:rsidR="00282E6C">
        <w:t>Lo</w:t>
      </w:r>
      <w:r w:rsidR="00224D16">
        <w:t>Wiener</w:t>
      </w:r>
      <w:proofErr w:type="spellEnd"/>
      <w:r w:rsidR="00224D16">
        <w:t xml:space="preserve"> 24:796), particularly for his account of concepts (V-DW 24:701), and even as having (along with Wolff) </w:t>
      </w:r>
      <w:r w:rsidR="00A4085E">
        <w:t xml:space="preserve">set modern </w:t>
      </w:r>
      <w:r w:rsidR="00224D16">
        <w:t>logic “</w:t>
      </w:r>
      <w:r w:rsidR="00224D16" w:rsidRPr="00224D16">
        <w:rPr>
          <w:i/>
        </w:rPr>
        <w:t>in Gang</w:t>
      </w:r>
      <w:r w:rsidR="00224D16">
        <w:t>”</w:t>
      </w:r>
      <w:r w:rsidR="00A4085E">
        <w:t xml:space="preserve"> (</w:t>
      </w:r>
      <w:r w:rsidR="00A4085E">
        <w:rPr>
          <w:i/>
        </w:rPr>
        <w:t>JL</w:t>
      </w:r>
      <w:r w:rsidR="00A4085E">
        <w:t xml:space="preserve"> 9:21), and yet Leibniz </w:t>
      </w:r>
      <w:r w:rsidR="003E0C6A">
        <w:t xml:space="preserve">obviously </w:t>
      </w:r>
      <w:r w:rsidR="00A4085E">
        <w:t xml:space="preserve">did not write a logic (V-DW 24:701). Kant </w:t>
      </w:r>
      <w:r w:rsidR="00A37868">
        <w:t xml:space="preserve">likewise </w:t>
      </w:r>
      <w:r w:rsidR="00816C85">
        <w:t>identifies as deficient</w:t>
      </w:r>
      <w:r w:rsidR="00A37868">
        <w:t xml:space="preserve"> Malebranche’s </w:t>
      </w:r>
      <w:proofErr w:type="spellStart"/>
      <w:r w:rsidR="00E33AD3">
        <w:rPr>
          <w:i/>
        </w:rPr>
        <w:t>Recherche</w:t>
      </w:r>
      <w:proofErr w:type="spellEnd"/>
      <w:r w:rsidR="00E33AD3">
        <w:rPr>
          <w:i/>
        </w:rPr>
        <w:t xml:space="preserve"> de la </w:t>
      </w:r>
      <w:proofErr w:type="spellStart"/>
      <w:r w:rsidR="00E33AD3">
        <w:rPr>
          <w:i/>
        </w:rPr>
        <w:t>vé</w:t>
      </w:r>
      <w:r w:rsidR="00A37868">
        <w:rPr>
          <w:i/>
        </w:rPr>
        <w:t>rité</w:t>
      </w:r>
      <w:proofErr w:type="spellEnd"/>
      <w:r w:rsidR="00A37868">
        <w:t xml:space="preserve"> and </w:t>
      </w:r>
      <w:r w:rsidR="004D4A3C">
        <w:t xml:space="preserve">(in spite of early praise) </w:t>
      </w:r>
      <w:r w:rsidR="00A37868">
        <w:t xml:space="preserve">Locke’s </w:t>
      </w:r>
      <w:r w:rsidR="00A37868">
        <w:rPr>
          <w:i/>
        </w:rPr>
        <w:t>Essay</w:t>
      </w:r>
      <w:r w:rsidR="00A37868">
        <w:t xml:space="preserve"> </w:t>
      </w:r>
      <w:r w:rsidR="00B824E3">
        <w:t>(</w:t>
      </w:r>
      <w:r w:rsidR="00282E6C">
        <w:t>V-</w:t>
      </w:r>
      <w:proofErr w:type="spellStart"/>
      <w:r w:rsidR="00282E6C">
        <w:t>Lo</w:t>
      </w:r>
      <w:r w:rsidR="00816C85">
        <w:t>Bl</w:t>
      </w:r>
      <w:proofErr w:type="spellEnd"/>
      <w:r w:rsidR="00816C85">
        <w:t xml:space="preserve"> 24</w:t>
      </w:r>
      <w:r w:rsidR="00B824E3">
        <w:t>:</w:t>
      </w:r>
      <w:r w:rsidR="00816C85">
        <w:t xml:space="preserve">37, </w:t>
      </w:r>
      <w:r w:rsidR="00282E6C">
        <w:t>V-</w:t>
      </w:r>
      <w:proofErr w:type="spellStart"/>
      <w:r w:rsidR="00282E6C">
        <w:t>Lo</w:t>
      </w:r>
      <w:r w:rsidR="00816C85">
        <w:t>Ph</w:t>
      </w:r>
      <w:proofErr w:type="spellEnd"/>
      <w:r w:rsidR="00816C85">
        <w:t xml:space="preserve"> 24:338) </w:t>
      </w:r>
      <w:r w:rsidR="00A37868">
        <w:t>given that the former amounts more to a metaphysi</w:t>
      </w:r>
      <w:r w:rsidR="00816C85">
        <w:t>cs than a logic (</w:t>
      </w:r>
      <w:r w:rsidR="00282E6C">
        <w:t>V-</w:t>
      </w:r>
      <w:proofErr w:type="spellStart"/>
      <w:r w:rsidR="00282E6C">
        <w:t>Lo</w:t>
      </w:r>
      <w:r w:rsidR="00816C85">
        <w:t>Bu</w:t>
      </w:r>
      <w:proofErr w:type="spellEnd"/>
      <w:r w:rsidR="00816C85">
        <w:t xml:space="preserve"> 24:613), the latter considers the origin of (presumably metaphysical) concepts which is not a proper topic of logic (</w:t>
      </w:r>
      <w:r w:rsidR="00282E6C">
        <w:t>V-</w:t>
      </w:r>
      <w:proofErr w:type="spellStart"/>
      <w:r w:rsidR="00282E6C">
        <w:t>Lo</w:t>
      </w:r>
      <w:r w:rsidR="00816C85">
        <w:t>DW</w:t>
      </w:r>
      <w:proofErr w:type="spellEnd"/>
      <w:r w:rsidR="00816C85">
        <w:t xml:space="preserve"> 24:701, </w:t>
      </w:r>
      <w:r w:rsidR="00816C85">
        <w:rPr>
          <w:i/>
        </w:rPr>
        <w:t>JL</w:t>
      </w:r>
      <w:r w:rsidR="00816C85">
        <w:t xml:space="preserve"> 9:21), and both do not distinguish the consideration of the form of the understanding from that of its content (</w:t>
      </w:r>
      <w:r w:rsidR="00282E6C">
        <w:t>V-</w:t>
      </w:r>
      <w:proofErr w:type="spellStart"/>
      <w:r w:rsidR="00282E6C">
        <w:t>Lo</w:t>
      </w:r>
      <w:r w:rsidR="00816C85">
        <w:t>Wien</w:t>
      </w:r>
      <w:proofErr w:type="spellEnd"/>
      <w:r w:rsidR="00816C85">
        <w:t xml:space="preserve"> 24:796, </w:t>
      </w:r>
      <w:r w:rsidR="00282E6C">
        <w:t>V-</w:t>
      </w:r>
      <w:proofErr w:type="spellStart"/>
      <w:r w:rsidR="00282E6C">
        <w:t>Lo</w:t>
      </w:r>
      <w:r w:rsidR="00816C85">
        <w:t>Pö</w:t>
      </w:r>
      <w:proofErr w:type="spellEnd"/>
      <w:r w:rsidR="00816C85">
        <w:t xml:space="preserve"> 24:509). </w:t>
      </w:r>
      <w:r w:rsidR="001F2527">
        <w:t xml:space="preserve">Lambert’s </w:t>
      </w:r>
      <w:proofErr w:type="spellStart"/>
      <w:r w:rsidR="001F2527">
        <w:rPr>
          <w:i/>
        </w:rPr>
        <w:t>Neues</w:t>
      </w:r>
      <w:proofErr w:type="spellEnd"/>
      <w:r w:rsidR="001F2527">
        <w:rPr>
          <w:i/>
        </w:rPr>
        <w:t xml:space="preserve"> </w:t>
      </w:r>
      <w:proofErr w:type="spellStart"/>
      <w:r w:rsidR="001F2527">
        <w:rPr>
          <w:i/>
        </w:rPr>
        <w:t>Organon</w:t>
      </w:r>
      <w:proofErr w:type="spellEnd"/>
      <w:r w:rsidR="001F2527">
        <w:t xml:space="preserve"> is likewise frequently praised (</w:t>
      </w:r>
      <w:r w:rsidR="00282E6C">
        <w:t>V-</w:t>
      </w:r>
      <w:proofErr w:type="spellStart"/>
      <w:r w:rsidR="00282E6C">
        <w:t>Lo</w:t>
      </w:r>
      <w:r w:rsidR="001F2527">
        <w:t>Ph</w:t>
      </w:r>
      <w:proofErr w:type="spellEnd"/>
      <w:r w:rsidR="001F2527">
        <w:t xml:space="preserve"> 24:338, </w:t>
      </w:r>
      <w:r w:rsidR="00282E6C">
        <w:t>V-</w:t>
      </w:r>
      <w:proofErr w:type="spellStart"/>
      <w:r w:rsidR="00282E6C">
        <w:t>Lo</w:t>
      </w:r>
      <w:r w:rsidR="001F2527">
        <w:t>Pö</w:t>
      </w:r>
      <w:proofErr w:type="spellEnd"/>
      <w:r w:rsidR="001F2527">
        <w:t xml:space="preserve"> 24:509, </w:t>
      </w:r>
      <w:r w:rsidR="00282E6C">
        <w:t>V-</w:t>
      </w:r>
      <w:proofErr w:type="spellStart"/>
      <w:r w:rsidR="00282E6C">
        <w:t>Lo</w:t>
      </w:r>
      <w:r w:rsidR="001F2527">
        <w:t>Bu</w:t>
      </w:r>
      <w:proofErr w:type="spellEnd"/>
      <w:r w:rsidR="001F2527">
        <w:t xml:space="preserve"> 24:613) though presumably was limited in its usefulness </w:t>
      </w:r>
      <w:r w:rsidR="00E33AD3">
        <w:t xml:space="preserve">as a text in general (pure) logic </w:t>
      </w:r>
      <w:r w:rsidR="001F2527">
        <w:t xml:space="preserve">by its </w:t>
      </w:r>
      <w:r w:rsidR="00E33AD3">
        <w:t>avowed aim of disclosing</w:t>
      </w:r>
      <w:r w:rsidR="001F2527">
        <w:t xml:space="preserve"> </w:t>
      </w:r>
      <w:r w:rsidR="00E33AD3">
        <w:t>the rules of scient</w:t>
      </w:r>
      <w:r w:rsidR="003E0C6A">
        <w:t>ific discovery (cf.</w:t>
      </w:r>
      <w:r w:rsidR="00E33AD3">
        <w:t xml:space="preserve"> A53/B77)</w:t>
      </w:r>
      <w:r w:rsidR="001F2527">
        <w:t xml:space="preserve">, and </w:t>
      </w:r>
      <w:r w:rsidR="003E0C6A">
        <w:t xml:space="preserve">J. P. </w:t>
      </w:r>
      <w:proofErr w:type="spellStart"/>
      <w:r w:rsidR="001F2527">
        <w:t>Reusch’s</w:t>
      </w:r>
      <w:proofErr w:type="spellEnd"/>
      <w:r w:rsidR="001F2527">
        <w:t xml:space="preserve"> and </w:t>
      </w:r>
      <w:proofErr w:type="spellStart"/>
      <w:r w:rsidR="001F2527">
        <w:t>Knutzen’s</w:t>
      </w:r>
      <w:proofErr w:type="spellEnd"/>
      <w:r w:rsidR="001F2527">
        <w:t xml:space="preserve"> treatments are mentioned but not credited with much originality (</w:t>
      </w:r>
      <w:r w:rsidR="00691139">
        <w:t xml:space="preserve">cf. </w:t>
      </w:r>
      <w:r w:rsidR="00282E6C">
        <w:t>V-</w:t>
      </w:r>
      <w:proofErr w:type="spellStart"/>
      <w:r w:rsidR="00282E6C">
        <w:t>Lo</w:t>
      </w:r>
      <w:r w:rsidR="001F2527">
        <w:t>Wien</w:t>
      </w:r>
      <w:proofErr w:type="spellEnd"/>
      <w:r w:rsidR="001F2527">
        <w:t xml:space="preserve"> 24:796, </w:t>
      </w:r>
      <w:r w:rsidR="00282E6C">
        <w:t>V-</w:t>
      </w:r>
      <w:proofErr w:type="spellStart"/>
      <w:r w:rsidR="00282E6C">
        <w:t>Lo</w:t>
      </w:r>
      <w:r w:rsidR="001F2527">
        <w:t>DW</w:t>
      </w:r>
      <w:proofErr w:type="spellEnd"/>
      <w:r w:rsidR="001F2527">
        <w:t xml:space="preserve"> 24:701, </w:t>
      </w:r>
      <w:r w:rsidR="001F2527">
        <w:rPr>
          <w:i/>
        </w:rPr>
        <w:t>JL</w:t>
      </w:r>
      <w:r w:rsidR="001F2527">
        <w:t xml:space="preserve"> 9:21)</w:t>
      </w:r>
      <w:r w:rsidR="00691139">
        <w:t xml:space="preserve">. Finally, </w:t>
      </w:r>
      <w:proofErr w:type="spellStart"/>
      <w:r w:rsidR="00691139">
        <w:t>Crusius</w:t>
      </w:r>
      <w:proofErr w:type="spellEnd"/>
      <w:r w:rsidR="00691139">
        <w:t xml:space="preserve">’ logic is also frequently mentioned, and while Kant at </w:t>
      </w:r>
      <w:r w:rsidR="00691139">
        <w:lastRenderedPageBreak/>
        <w:t>one point praises it as providing nourishment for the understanding (</w:t>
      </w:r>
      <w:r w:rsidR="00282E6C">
        <w:t>V-</w:t>
      </w:r>
      <w:proofErr w:type="spellStart"/>
      <w:r w:rsidR="00282E6C">
        <w:t>Lo</w:t>
      </w:r>
      <w:r w:rsidR="00691139">
        <w:t>DW</w:t>
      </w:r>
      <w:proofErr w:type="spellEnd"/>
      <w:r w:rsidR="00691139">
        <w:t xml:space="preserve"> 24:701), he more frequently criticises it as obscure (</w:t>
      </w:r>
      <w:r w:rsidR="00282E6C">
        <w:t>V-</w:t>
      </w:r>
      <w:proofErr w:type="spellStart"/>
      <w:r w:rsidR="00282E6C">
        <w:t>Lo</w:t>
      </w:r>
      <w:r w:rsidR="00691139">
        <w:t>Bl</w:t>
      </w:r>
      <w:proofErr w:type="spellEnd"/>
      <w:r w:rsidR="00691139">
        <w:t xml:space="preserve"> 24:37), as adulterating logic with metaphysical and theological principles (</w:t>
      </w:r>
      <w:r w:rsidR="00282E6C">
        <w:t>V-</w:t>
      </w:r>
      <w:proofErr w:type="spellStart"/>
      <w:r w:rsidR="00282E6C">
        <w:t>Lo</w:t>
      </w:r>
      <w:r w:rsidR="004B156C">
        <w:t>Bl</w:t>
      </w:r>
      <w:proofErr w:type="spellEnd"/>
      <w:r w:rsidR="004B156C">
        <w:t xml:space="preserve"> 24:37, </w:t>
      </w:r>
      <w:r w:rsidR="00282E6C">
        <w:t>V-</w:t>
      </w:r>
      <w:proofErr w:type="spellStart"/>
      <w:r w:rsidR="00282E6C">
        <w:t>Lo</w:t>
      </w:r>
      <w:r w:rsidR="00691139">
        <w:t>Wien</w:t>
      </w:r>
      <w:proofErr w:type="spellEnd"/>
      <w:r w:rsidR="00691139">
        <w:t xml:space="preserve"> 24:796), and as failing to offer a </w:t>
      </w:r>
      <w:r w:rsidR="003E0C6A">
        <w:t>proper</w:t>
      </w:r>
      <w:r w:rsidR="00691139">
        <w:t xml:space="preserve"> account of truth (</w:t>
      </w:r>
      <w:r w:rsidR="00691139">
        <w:rPr>
          <w:i/>
        </w:rPr>
        <w:t>JL</w:t>
      </w:r>
      <w:r w:rsidR="00691139">
        <w:t xml:space="preserve"> 9:21).</w:t>
      </w:r>
    </w:p>
    <w:p w:rsidR="00B4461A" w:rsidRPr="00B70E6B" w:rsidRDefault="00E65B2C" w:rsidP="00F27248">
      <w:pPr>
        <w:spacing w:after="0"/>
      </w:pPr>
      <w:r>
        <w:tab/>
        <w:t>In these, rather general, respects, Wolff’s logic would appear to be preferable to those of his contemporaries, and this likely contributes to Kant’s high estimation of it</w:t>
      </w:r>
      <w:r w:rsidR="001E4DCD">
        <w:t>. Significantly, however, Kant targets for criticism the very claims that Wolff had identified as the distinctive features of his logic</w:t>
      </w:r>
      <w:r w:rsidR="00BC5ECD">
        <w:t>, and his reasons for doing so reveal fundamental differences between the two accounts of logic</w:t>
      </w:r>
      <w:r>
        <w:t xml:space="preserve">. </w:t>
      </w:r>
      <w:r w:rsidR="001E4DCD">
        <w:t>So, as already noted, Kant approves of Leibniz’s classification of concepts, and likewise incorporat</w:t>
      </w:r>
      <w:r w:rsidR="00F540DD">
        <w:t>es it into his own discussion, yet Kant takes issue with a number of Wolff’s amendments to that classification. Most famously, it is Wolff who comes in for criticism for his identification of clarity with the consciousness of a representation (and consequently obscurity with unconsciousness),</w:t>
      </w:r>
      <w:r w:rsidR="00F540DD">
        <w:rPr>
          <w:rStyle w:val="FootnoteReference"/>
        </w:rPr>
        <w:footnoteReference w:id="22"/>
      </w:r>
      <w:r w:rsidR="00F540DD">
        <w:t xml:space="preserve"> given that some degree of consciousness must be met with in obscure representations for them to even qualify as obscurely-had (</w:t>
      </w:r>
      <w:r w:rsidR="00282E6C">
        <w:t>V-</w:t>
      </w:r>
      <w:proofErr w:type="spellStart"/>
      <w:r w:rsidR="00282E6C">
        <w:t>Lo</w:t>
      </w:r>
      <w:r w:rsidR="00F540DD">
        <w:t>Ph</w:t>
      </w:r>
      <w:proofErr w:type="spellEnd"/>
      <w:r w:rsidR="00F540DD">
        <w:t xml:space="preserve"> 24:409, B414-5n). Moreover, Kant accepts </w:t>
      </w:r>
      <w:r w:rsidR="0080703C">
        <w:t xml:space="preserve">a number of </w:t>
      </w:r>
      <w:r w:rsidR="00F540DD">
        <w:t>important supplementations made to Wolff’s ve</w:t>
      </w:r>
      <w:r w:rsidR="0080703C">
        <w:t xml:space="preserve">rsion of the classification, by </w:t>
      </w:r>
      <w:proofErr w:type="spellStart"/>
      <w:r w:rsidR="0080703C">
        <w:t>Baumgarten</w:t>
      </w:r>
      <w:proofErr w:type="spellEnd"/>
      <w:r w:rsidR="0080703C">
        <w:t xml:space="preserve"> and Meier</w:t>
      </w:r>
      <w:r w:rsidR="00F540DD">
        <w:t>, such as the distinction between</w:t>
      </w:r>
      <w:r w:rsidR="00FD65C5">
        <w:t xml:space="preserve"> intensive and extensive clarity (cf. </w:t>
      </w:r>
      <w:r w:rsidR="00282E6C">
        <w:t>V-</w:t>
      </w:r>
      <w:proofErr w:type="spellStart"/>
      <w:r w:rsidR="00282E6C">
        <w:t>Lo</w:t>
      </w:r>
      <w:r w:rsidR="00FD65C5">
        <w:t>Bl</w:t>
      </w:r>
      <w:proofErr w:type="spellEnd"/>
      <w:r w:rsidR="00FD65C5">
        <w:t xml:space="preserve"> 24:138), and</w:t>
      </w:r>
      <w:r w:rsidR="00F540DD">
        <w:t xml:space="preserve"> a</w:t>
      </w:r>
      <w:r w:rsidR="0080703C">
        <w:t>esthetic and logical distinctness (</w:t>
      </w:r>
      <w:r w:rsidR="0080703C">
        <w:rPr>
          <w:i/>
        </w:rPr>
        <w:t>JL</w:t>
      </w:r>
      <w:r w:rsidR="0080703C">
        <w:t xml:space="preserve"> 9:62</w:t>
      </w:r>
      <w:r w:rsidR="00F540DD">
        <w:t>). Mos</w:t>
      </w:r>
      <w:r w:rsidR="00FD65C5">
        <w:t xml:space="preserve">t importantly, however, Kant </w:t>
      </w:r>
      <w:r w:rsidR="00D05725">
        <w:t>objects to</w:t>
      </w:r>
      <w:r w:rsidR="00F540DD">
        <w:t xml:space="preserve"> Wolff’</w:t>
      </w:r>
      <w:r w:rsidR="00B936C0">
        <w:t>s</w:t>
      </w:r>
      <w:r w:rsidR="00F540DD">
        <w:t xml:space="preserve"> account of the adequacy of concepts in terms of the distinctness of their marks. </w:t>
      </w:r>
      <w:r w:rsidR="00B936C0">
        <w:t>In his frequent discussions of Wolff’s treatment, Kant objects that taking the adequacy of a concept to consist in the distinctness of its marks is “</w:t>
      </w:r>
      <w:r w:rsidR="00063272">
        <w:t>precarious</w:t>
      </w:r>
      <w:r w:rsidR="003315E2">
        <w:t xml:space="preserve"> [</w:t>
      </w:r>
      <w:proofErr w:type="spellStart"/>
      <w:r w:rsidR="003315E2">
        <w:rPr>
          <w:i/>
        </w:rPr>
        <w:t>schwankenden</w:t>
      </w:r>
      <w:proofErr w:type="spellEnd"/>
      <w:r w:rsidR="003315E2">
        <w:t>]</w:t>
      </w:r>
      <w:r w:rsidR="00B936C0">
        <w:t xml:space="preserve">” </w:t>
      </w:r>
      <w:r w:rsidR="003315E2">
        <w:t>(</w:t>
      </w:r>
      <w:r w:rsidR="00282E6C">
        <w:t>V-</w:t>
      </w:r>
      <w:proofErr w:type="spellStart"/>
      <w:r w:rsidR="00282E6C">
        <w:t>Lo</w:t>
      </w:r>
      <w:r w:rsidR="003315E2">
        <w:t>Wien</w:t>
      </w:r>
      <w:proofErr w:type="spellEnd"/>
      <w:r w:rsidR="003315E2">
        <w:t xml:space="preserve"> 24:848)</w:t>
      </w:r>
      <w:r w:rsidR="00E33AD3">
        <w:t>, given that in order to make the marks of a concept distinct, we must enumerate the marks of those marks, which would in turn require the enumeration of the marks of those marks, and so on</w:t>
      </w:r>
      <w:r w:rsidR="006E50C8">
        <w:t xml:space="preserve"> (</w:t>
      </w:r>
      <w:r w:rsidR="00282E6C">
        <w:t>V-</w:t>
      </w:r>
      <w:proofErr w:type="spellStart"/>
      <w:r w:rsidR="00282E6C">
        <w:t>Lo</w:t>
      </w:r>
      <w:r w:rsidR="006E50C8">
        <w:t>Pö</w:t>
      </w:r>
      <w:proofErr w:type="spellEnd"/>
      <w:r w:rsidR="006E50C8">
        <w:t xml:space="preserve"> 24:540), where </w:t>
      </w:r>
      <w:r w:rsidR="00351798">
        <w:t>the concept is not rendered adequate until this process is complete (</w:t>
      </w:r>
      <w:r w:rsidR="00282E6C">
        <w:t>V-</w:t>
      </w:r>
      <w:proofErr w:type="spellStart"/>
      <w:r w:rsidR="00282E6C">
        <w:t>Lo</w:t>
      </w:r>
      <w:r w:rsidR="00351798">
        <w:t>DW</w:t>
      </w:r>
      <w:proofErr w:type="spellEnd"/>
      <w:r w:rsidR="00351798">
        <w:t xml:space="preserve"> 23:731)</w:t>
      </w:r>
      <w:r w:rsidR="000D64CC">
        <w:t>;</w:t>
      </w:r>
      <w:r w:rsidR="00B70E6B">
        <w:t xml:space="preserve"> yet</w:t>
      </w:r>
      <w:r w:rsidR="00351798">
        <w:t xml:space="preserve"> </w:t>
      </w:r>
      <w:r w:rsidR="006E50C8">
        <w:t>there is no guarantee that this process must</w:t>
      </w:r>
      <w:r w:rsidR="00D73F64">
        <w:t xml:space="preserve"> always</w:t>
      </w:r>
      <w:r w:rsidR="006E50C8">
        <w:t xml:space="preserve"> come to an end (</w:t>
      </w:r>
      <w:r w:rsidR="00282E6C">
        <w:t>V-</w:t>
      </w:r>
      <w:proofErr w:type="spellStart"/>
      <w:r w:rsidR="00282E6C">
        <w:t>Lo</w:t>
      </w:r>
      <w:r w:rsidR="006E50C8">
        <w:t>Wien</w:t>
      </w:r>
      <w:proofErr w:type="spellEnd"/>
      <w:r w:rsidR="006E50C8">
        <w:t xml:space="preserve"> 24:917</w:t>
      </w:r>
      <w:r w:rsidR="00D73F64">
        <w:t xml:space="preserve">, </w:t>
      </w:r>
      <w:r w:rsidR="00282E6C">
        <w:t>V-</w:t>
      </w:r>
      <w:proofErr w:type="spellStart"/>
      <w:r w:rsidR="00282E6C">
        <w:t>Lo</w:t>
      </w:r>
      <w:r w:rsidR="00B4461A">
        <w:t>Bl</w:t>
      </w:r>
      <w:proofErr w:type="spellEnd"/>
      <w:r w:rsidR="00B4461A">
        <w:t xml:space="preserve"> 24:138). As a result, Kant </w:t>
      </w:r>
      <w:r w:rsidR="00351798">
        <w:t>supplies his own definition of adequacy, where a concept is adequate when the marks “contain no more and no less than what precisely constitutes the concept” (</w:t>
      </w:r>
      <w:r w:rsidR="00282E6C">
        <w:t>V-</w:t>
      </w:r>
      <w:proofErr w:type="spellStart"/>
      <w:r w:rsidR="00282E6C">
        <w:t>Lo</w:t>
      </w:r>
      <w:r w:rsidR="00351798">
        <w:t>Wien</w:t>
      </w:r>
      <w:proofErr w:type="spellEnd"/>
      <w:r w:rsidR="00351798">
        <w:t xml:space="preserve"> 24:913; cf. also </w:t>
      </w:r>
      <w:r w:rsidR="00282E6C">
        <w:t>V-</w:t>
      </w:r>
      <w:proofErr w:type="spellStart"/>
      <w:r w:rsidR="00282E6C">
        <w:t>Lo</w:t>
      </w:r>
      <w:r w:rsidR="00B70E6B">
        <w:t>Bl</w:t>
      </w:r>
      <w:proofErr w:type="spellEnd"/>
      <w:r w:rsidR="00B70E6B">
        <w:t xml:space="preserve"> 24:114, </w:t>
      </w:r>
      <w:r w:rsidR="00282E6C">
        <w:t>V-</w:t>
      </w:r>
      <w:proofErr w:type="spellStart"/>
      <w:r w:rsidR="00282E6C">
        <w:t>Lo</w:t>
      </w:r>
      <w:r w:rsidR="00351798">
        <w:t>Wien</w:t>
      </w:r>
      <w:proofErr w:type="spellEnd"/>
      <w:r w:rsidR="00351798">
        <w:t xml:space="preserve"> 24:848</w:t>
      </w:r>
      <w:r w:rsidR="009C450A">
        <w:t xml:space="preserve">, V-DL 24:731), </w:t>
      </w:r>
      <w:r w:rsidR="00B70E6B">
        <w:t xml:space="preserve">or alternatively </w:t>
      </w:r>
      <w:r w:rsidR="009C450A">
        <w:t xml:space="preserve">that it consists in the “completeness” and “precision” of the </w:t>
      </w:r>
      <w:r w:rsidR="00B70E6B">
        <w:t>cognition of the marks of the concept (</w:t>
      </w:r>
      <w:r w:rsidR="00282E6C">
        <w:t>V-</w:t>
      </w:r>
      <w:proofErr w:type="spellStart"/>
      <w:r w:rsidR="00282E6C">
        <w:t>Lo</w:t>
      </w:r>
      <w:r w:rsidR="00B70E6B">
        <w:t>Bl</w:t>
      </w:r>
      <w:proofErr w:type="spellEnd"/>
      <w:r w:rsidR="00B70E6B">
        <w:t xml:space="preserve"> 24:138</w:t>
      </w:r>
      <w:r w:rsidR="008F2DA9">
        <w:t>, 24:264</w:t>
      </w:r>
      <w:r w:rsidR="00B70E6B">
        <w:t xml:space="preserve">, </w:t>
      </w:r>
      <w:r w:rsidR="00282E6C">
        <w:t>V-</w:t>
      </w:r>
      <w:proofErr w:type="spellStart"/>
      <w:r w:rsidR="00282E6C">
        <w:t>Lo</w:t>
      </w:r>
      <w:r w:rsidR="00B70E6B">
        <w:t>Pö</w:t>
      </w:r>
      <w:proofErr w:type="spellEnd"/>
      <w:r w:rsidR="00B70E6B">
        <w:t xml:space="preserve"> 24:540</w:t>
      </w:r>
      <w:r w:rsidR="008F2DA9">
        <w:t xml:space="preserve">, </w:t>
      </w:r>
      <w:r w:rsidR="00282E6C">
        <w:t>V-</w:t>
      </w:r>
      <w:proofErr w:type="spellStart"/>
      <w:r w:rsidR="00282E6C">
        <w:t>Lo</w:t>
      </w:r>
      <w:r w:rsidR="008F2DA9">
        <w:t>Wien</w:t>
      </w:r>
      <w:proofErr w:type="spellEnd"/>
      <w:r w:rsidR="008F2DA9">
        <w:t xml:space="preserve"> 24:913)</w:t>
      </w:r>
      <w:r w:rsidR="00FD65C5">
        <w:t>. And while Kant ultimately retains Wolff’s notion of adequacy, in the form of the distinctness of a concept’s “subordinated”</w:t>
      </w:r>
      <w:r w:rsidR="00B70E6B">
        <w:t xml:space="preserve"> </w:t>
      </w:r>
      <w:r w:rsidR="00FD65C5">
        <w:t>rather than</w:t>
      </w:r>
      <w:r w:rsidR="00B70E6B">
        <w:t xml:space="preserve"> “co-</w:t>
      </w:r>
      <w:r w:rsidR="00B70E6B">
        <w:lastRenderedPageBreak/>
        <w:t xml:space="preserve">ordinated” </w:t>
      </w:r>
      <w:r w:rsidR="00FD65C5">
        <w:t>marks, he strictly limits its applicability to pure concepts of reason and arbitrary concepts and so not to empirical concepts</w:t>
      </w:r>
      <w:r w:rsidR="00B70E6B">
        <w:t xml:space="preserve"> (</w:t>
      </w:r>
      <w:r w:rsidR="00B70E6B">
        <w:rPr>
          <w:i/>
        </w:rPr>
        <w:t>JL</w:t>
      </w:r>
      <w:r w:rsidR="00B70E6B">
        <w:t xml:space="preserve"> 9:62</w:t>
      </w:r>
      <w:r w:rsidR="00FD65C5">
        <w:t>-3</w:t>
      </w:r>
      <w:r w:rsidR="00B70E6B">
        <w:t>).</w:t>
      </w:r>
    </w:p>
    <w:p w:rsidR="003204D5" w:rsidRPr="000D633D" w:rsidRDefault="00A95453" w:rsidP="00F27248">
      <w:pPr>
        <w:spacing w:after="0"/>
      </w:pPr>
      <w:r>
        <w:tab/>
        <w:t xml:space="preserve">Regarding Wolff’s </w:t>
      </w:r>
      <w:r w:rsidR="008F2DA9">
        <w:t xml:space="preserve">account of definitions, </w:t>
      </w:r>
      <w:r w:rsidR="00DB31D5">
        <w:t>Kant is rather less receptive as he takes issue with much of Wolff’</w:t>
      </w:r>
      <w:r w:rsidR="002D1517">
        <w:t>s treatment. So, while Kant makes use of the distinction between nominal and real definitions, and even adopts Wolff’s characterizations of each, he only regards real definitions as “actual” definitions as he takes nominal definitions as mere clarification of the name of a thing rather than disclosing something essential about it (</w:t>
      </w:r>
      <w:r w:rsidR="00282E6C">
        <w:t>V-</w:t>
      </w:r>
      <w:proofErr w:type="spellStart"/>
      <w:r w:rsidR="00282E6C">
        <w:t>Lo</w:t>
      </w:r>
      <w:r w:rsidR="002D1517">
        <w:t>Wien</w:t>
      </w:r>
      <w:proofErr w:type="spellEnd"/>
      <w:r w:rsidR="002D1517">
        <w:t xml:space="preserve"> 24:919), and as such</w:t>
      </w:r>
      <w:r w:rsidR="00D05725">
        <w:t xml:space="preserve"> these</w:t>
      </w:r>
      <w:r w:rsidR="002D1517">
        <w:t xml:space="preserve"> are more properly identified as descriptions (</w:t>
      </w:r>
      <w:proofErr w:type="spellStart"/>
      <w:r w:rsidR="002D1517">
        <w:rPr>
          <w:i/>
        </w:rPr>
        <w:t>Beschreibungen</w:t>
      </w:r>
      <w:proofErr w:type="spellEnd"/>
      <w:r w:rsidR="002D1517">
        <w:t>) rather than definitions (</w:t>
      </w:r>
      <w:r w:rsidR="002D1517">
        <w:rPr>
          <w:i/>
        </w:rPr>
        <w:t xml:space="preserve">JL </w:t>
      </w:r>
      <w:r w:rsidR="002D1517">
        <w:t>§106).</w:t>
      </w:r>
      <w:r w:rsidR="00644B50">
        <w:t xml:space="preserve"> I</w:t>
      </w:r>
      <w:r w:rsidR="002D1517">
        <w:t>n stark contrast with Wolff’s defense of the utility of nominal definitions, Kant claims that they are “wholly dispensable” (</w:t>
      </w:r>
      <w:r w:rsidR="00282E6C">
        <w:t>V-</w:t>
      </w:r>
      <w:proofErr w:type="spellStart"/>
      <w:r w:rsidR="00282E6C">
        <w:t>Lo</w:t>
      </w:r>
      <w:r w:rsidR="002D1517">
        <w:t>DW</w:t>
      </w:r>
      <w:proofErr w:type="spellEnd"/>
      <w:r w:rsidR="002D1517">
        <w:t xml:space="preserve"> 24:757), </w:t>
      </w:r>
      <w:r w:rsidR="003204D5">
        <w:t>and that they are “</w:t>
      </w:r>
      <w:proofErr w:type="spellStart"/>
      <w:r w:rsidR="003204D5">
        <w:t>nicht</w:t>
      </w:r>
      <w:proofErr w:type="spellEnd"/>
      <w:r w:rsidR="003204D5">
        <w:t xml:space="preserve"> </w:t>
      </w:r>
      <w:proofErr w:type="spellStart"/>
      <w:r w:rsidR="003204D5">
        <w:t>nöthig</w:t>
      </w:r>
      <w:proofErr w:type="spellEnd"/>
      <w:r w:rsidR="003204D5">
        <w:t xml:space="preserve"> </w:t>
      </w:r>
      <w:proofErr w:type="spellStart"/>
      <w:r w:rsidR="003204D5">
        <w:t>wenn</w:t>
      </w:r>
      <w:proofErr w:type="spellEnd"/>
      <w:r w:rsidR="003204D5">
        <w:t xml:space="preserve"> </w:t>
      </w:r>
      <w:proofErr w:type="spellStart"/>
      <w:r w:rsidR="003204D5">
        <w:t>nicht</w:t>
      </w:r>
      <w:proofErr w:type="spellEnd"/>
      <w:r w:rsidR="003204D5">
        <w:t xml:space="preserve"> </w:t>
      </w:r>
      <w:proofErr w:type="spellStart"/>
      <w:r w:rsidR="003204D5">
        <w:t>ein</w:t>
      </w:r>
      <w:proofErr w:type="spellEnd"/>
      <w:r w:rsidR="003204D5">
        <w:t xml:space="preserve"> </w:t>
      </w:r>
      <w:proofErr w:type="spellStart"/>
      <w:r w:rsidR="003204D5">
        <w:t>Mißverstand</w:t>
      </w:r>
      <w:proofErr w:type="spellEnd"/>
      <w:r w:rsidR="003204D5">
        <w:t xml:space="preserve"> des </w:t>
      </w:r>
      <w:proofErr w:type="spellStart"/>
      <w:r w:rsidR="003204D5">
        <w:t>Ausdruckes</w:t>
      </w:r>
      <w:proofErr w:type="spellEnd"/>
      <w:r w:rsidR="003204D5">
        <w:t xml:space="preserve"> </w:t>
      </w:r>
      <w:proofErr w:type="spellStart"/>
      <w:r w:rsidR="003204D5">
        <w:t>besorgt</w:t>
      </w:r>
      <w:proofErr w:type="spellEnd"/>
      <w:r w:rsidR="003204D5">
        <w:t xml:space="preserve"> </w:t>
      </w:r>
      <w:proofErr w:type="spellStart"/>
      <w:r w:rsidR="003204D5">
        <w:t>wird</w:t>
      </w:r>
      <w:proofErr w:type="spellEnd"/>
      <w:r w:rsidR="003204D5">
        <w:t>” (</w:t>
      </w:r>
      <w:r w:rsidR="00282E6C">
        <w:t>V-</w:t>
      </w:r>
      <w:proofErr w:type="spellStart"/>
      <w:r w:rsidR="00282E6C">
        <w:t>Lo</w:t>
      </w:r>
      <w:r w:rsidR="003204D5">
        <w:t>Bu</w:t>
      </w:r>
      <w:proofErr w:type="spellEnd"/>
      <w:r w:rsidR="003204D5">
        <w:t xml:space="preserve"> 24:658). Kant also differs from Wolff with respect to the sorts of concepts for which we might offer real definitions and, in the case of those that we can provide them</w:t>
      </w:r>
      <w:r w:rsidR="00C801FA">
        <w:t xml:space="preserve"> for</w:t>
      </w:r>
      <w:r w:rsidR="003204D5">
        <w:t>, what constitutes their real definition. Kant allows that all concepts except empirical concepts permit of real definitions</w:t>
      </w:r>
      <w:r w:rsidR="006A0FB5">
        <w:t xml:space="preserve"> (</w:t>
      </w:r>
      <w:r w:rsidR="006A0FB5">
        <w:rPr>
          <w:i/>
        </w:rPr>
        <w:t>JL</w:t>
      </w:r>
      <w:r w:rsidR="006A0FB5">
        <w:t xml:space="preserve"> 9:143-4), presumably due to the fact that a definition of such a concept cannot on its own suffice to prove the </w:t>
      </w:r>
      <w:r w:rsidR="00C801FA">
        <w:t>(</w:t>
      </w:r>
      <w:r w:rsidR="006A0FB5">
        <w:t>real</w:t>
      </w:r>
      <w:r w:rsidR="00C801FA">
        <w:t>)</w:t>
      </w:r>
      <w:r w:rsidR="006A0FB5">
        <w:t xml:space="preserve"> possibility of</w:t>
      </w:r>
      <w:r w:rsidR="00C801FA">
        <w:t xml:space="preserve"> something corresponding to it</w:t>
      </w:r>
      <w:r w:rsidR="006A0FB5">
        <w:t>. Moreover, with respect to mathematical concepts, which Kant like Wolff identifies as “made concepts [</w:t>
      </w:r>
      <w:r w:rsidR="006A0FB5" w:rsidRPr="006A0FB5">
        <w:rPr>
          <w:i/>
        </w:rPr>
        <w:t xml:space="preserve">conceptus </w:t>
      </w:r>
      <w:proofErr w:type="spellStart"/>
      <w:r w:rsidR="006A0FB5" w:rsidRPr="006A0FB5">
        <w:rPr>
          <w:i/>
        </w:rPr>
        <w:t>factitii</w:t>
      </w:r>
      <w:proofErr w:type="spellEnd"/>
      <w:r w:rsidR="006A0FB5">
        <w:t>]” (specifically</w:t>
      </w:r>
      <w:r w:rsidR="00D05725">
        <w:t>, made</w:t>
      </w:r>
      <w:r w:rsidR="006A0FB5">
        <w:t xml:space="preserve"> through arbitrary combination of marks</w:t>
      </w:r>
      <w:r w:rsidR="006A0FB5">
        <w:rPr>
          <w:rStyle w:val="FootnoteReference"/>
        </w:rPr>
        <w:footnoteReference w:id="23"/>
      </w:r>
      <w:r w:rsidR="006A0FB5">
        <w:t>), K</w:t>
      </w:r>
      <w:r w:rsidR="00775493">
        <w:t>ant contends that Wolff does not recognize that the real definition of such concepts must include the rule for constructing it and so amount to a “genetic definition” of the concept (</w:t>
      </w:r>
      <w:r w:rsidR="00775493">
        <w:rPr>
          <w:i/>
        </w:rPr>
        <w:t>JL</w:t>
      </w:r>
      <w:r w:rsidR="00775493">
        <w:t xml:space="preserve"> 9:144, §106n3). Instead, the real definitions Wolff supplies, such as for the concept of </w:t>
      </w:r>
      <w:r w:rsidR="00707EB9">
        <w:t>circle</w:t>
      </w:r>
      <w:r w:rsidR="00775493">
        <w:t>, require a further inference to exhibit how the concept comes about.</w:t>
      </w:r>
      <w:r w:rsidR="00126B68">
        <w:rPr>
          <w:rStyle w:val="FootnoteReference"/>
        </w:rPr>
        <w:footnoteReference w:id="24"/>
      </w:r>
      <w:r w:rsidR="000D633D">
        <w:t xml:space="preserve"> </w:t>
      </w:r>
      <w:r w:rsidR="00644B50">
        <w:t xml:space="preserve">In addition to these specific concerns with Wolff’s account of definitions, Kant frequently draws attention to the harmfulness of Wolff’s excessive emphasis on the importance of definitions for philosophy in general (cf. for instance </w:t>
      </w:r>
      <w:r w:rsidR="00282E6C">
        <w:t>V-</w:t>
      </w:r>
      <w:proofErr w:type="spellStart"/>
      <w:r w:rsidR="00282E6C">
        <w:t>Lo</w:t>
      </w:r>
      <w:r w:rsidR="00644B50">
        <w:t>Bl</w:t>
      </w:r>
      <w:proofErr w:type="spellEnd"/>
      <w:r w:rsidR="00644B50">
        <w:t xml:space="preserve"> 24:188-9, </w:t>
      </w:r>
      <w:r w:rsidR="00282E6C">
        <w:t>V-</w:t>
      </w:r>
      <w:proofErr w:type="spellStart"/>
      <w:r w:rsidR="00282E6C">
        <w:t>Lo</w:t>
      </w:r>
      <w:r w:rsidR="00644B50">
        <w:t>Wien</w:t>
      </w:r>
      <w:proofErr w:type="spellEnd"/>
      <w:r w:rsidR="00644B50">
        <w:t xml:space="preserve"> 24:917-18).</w:t>
      </w:r>
    </w:p>
    <w:p w:rsidR="00D638CC" w:rsidRPr="00CA4FA0" w:rsidRDefault="00065CF9" w:rsidP="00D27D1C">
      <w:pPr>
        <w:spacing w:after="0"/>
      </w:pPr>
      <w:r>
        <w:tab/>
        <w:t>As concerns the importance of the syllogism in logic, it would seem that Kant is rather more positive in his evaluation of Wolff’s contribution.</w:t>
      </w:r>
      <w:r w:rsidR="006A17F4">
        <w:rPr>
          <w:rStyle w:val="FootnoteReference"/>
        </w:rPr>
        <w:footnoteReference w:id="25"/>
      </w:r>
      <w:r>
        <w:t xml:space="preserve"> So, not only is Wolff’s</w:t>
      </w:r>
      <w:r w:rsidR="00D27D1C">
        <w:t xml:space="preserve"> appropriation of the Aristotelian</w:t>
      </w:r>
      <w:r>
        <w:t xml:space="preserve"> analysis of the princi</w:t>
      </w:r>
      <w:r w:rsidR="00D27D1C">
        <w:t>ples of syllogistic reasoning</w:t>
      </w:r>
      <w:r>
        <w:t xml:space="preserve"> taken up by Kant</w:t>
      </w:r>
      <w:r w:rsidR="00346EC1">
        <w:t xml:space="preserve"> at one point</w:t>
      </w:r>
      <w:r w:rsidR="00EB4F9E">
        <w:t xml:space="preserve"> (</w:t>
      </w:r>
      <w:r w:rsidR="00707EB9">
        <w:t xml:space="preserve">for </w:t>
      </w:r>
      <w:r w:rsidR="00707EB9">
        <w:lastRenderedPageBreak/>
        <w:t>instance at 2:49</w:t>
      </w:r>
      <w:r w:rsidR="00EB4F9E">
        <w:t>)</w:t>
      </w:r>
      <w:r w:rsidR="00707EB9">
        <w:t xml:space="preserve"> but Wolff’s</w:t>
      </w:r>
      <w:r>
        <w:t xml:space="preserve"> decisive emphasis on the first figure, particularly in his </w:t>
      </w:r>
      <w:r>
        <w:rPr>
          <w:i/>
        </w:rPr>
        <w:t xml:space="preserve">Deutsche </w:t>
      </w:r>
      <w:proofErr w:type="spellStart"/>
      <w:r>
        <w:rPr>
          <w:i/>
        </w:rPr>
        <w:t>Logik</w:t>
      </w:r>
      <w:proofErr w:type="spellEnd"/>
      <w:r>
        <w:rPr>
          <w:i/>
        </w:rPr>
        <w:t xml:space="preserve"> </w:t>
      </w:r>
      <w:r>
        <w:t xml:space="preserve">(cf. </w:t>
      </w:r>
      <w:r>
        <w:rPr>
          <w:i/>
        </w:rPr>
        <w:t xml:space="preserve">AN </w:t>
      </w:r>
      <w:r>
        <w:t xml:space="preserve">§65 [201]), is a likely inspiration for Kant’s discussion in </w:t>
      </w:r>
      <w:r>
        <w:rPr>
          <w:i/>
        </w:rPr>
        <w:t>False Subtlety</w:t>
      </w:r>
      <w:r w:rsidR="00EB4F9E">
        <w:t>. There are, nonetheless, important differences between the two treatments</w:t>
      </w:r>
      <w:r w:rsidR="00346EC1">
        <w:t xml:space="preserve">, such as that Kant </w:t>
      </w:r>
      <w:r w:rsidR="00D55C2C">
        <w:t xml:space="preserve">attempts to further </w:t>
      </w:r>
      <w:r w:rsidR="00346EC1">
        <w:t xml:space="preserve">reduce the </w:t>
      </w:r>
      <w:r w:rsidR="00346EC1">
        <w:rPr>
          <w:i/>
        </w:rPr>
        <w:t xml:space="preserve">dictum de </w:t>
      </w:r>
      <w:proofErr w:type="spellStart"/>
      <w:r w:rsidR="00346EC1">
        <w:rPr>
          <w:i/>
        </w:rPr>
        <w:t>omni</w:t>
      </w:r>
      <w:proofErr w:type="spellEnd"/>
      <w:r w:rsidR="00346EC1">
        <w:rPr>
          <w:i/>
        </w:rPr>
        <w:t xml:space="preserve"> et </w:t>
      </w:r>
      <w:proofErr w:type="spellStart"/>
      <w:r w:rsidR="00346EC1">
        <w:rPr>
          <w:i/>
        </w:rPr>
        <w:t>nullo</w:t>
      </w:r>
      <w:proofErr w:type="spellEnd"/>
      <w:r w:rsidR="00346EC1">
        <w:t xml:space="preserve"> to more fundamental principles governing syllogistic inference (cf. </w:t>
      </w:r>
      <w:r w:rsidR="00346EC1">
        <w:rPr>
          <w:i/>
        </w:rPr>
        <w:t>FS</w:t>
      </w:r>
      <w:r w:rsidR="00346EC1">
        <w:t xml:space="preserve"> 2:49).</w:t>
      </w:r>
      <w:r w:rsidR="00346EC1">
        <w:rPr>
          <w:rStyle w:val="FootnoteReference"/>
        </w:rPr>
        <w:footnoteReference w:id="26"/>
      </w:r>
      <w:r w:rsidR="00346EC1">
        <w:t xml:space="preserve"> More importantly, </w:t>
      </w:r>
      <w:r w:rsidR="00EB4F9E">
        <w:t xml:space="preserve">Kant criticizes Wolff’s </w:t>
      </w:r>
      <w:r w:rsidR="00346EC1">
        <w:t>privileging</w:t>
      </w:r>
      <w:r w:rsidR="00EB4F9E">
        <w:t xml:space="preserve"> of the first figure as both not going far enough and going</w:t>
      </w:r>
      <w:r w:rsidR="00D27D1C">
        <w:t xml:space="preserve"> too far. Regarding the former, </w:t>
      </w:r>
      <w:r w:rsidR="00EB4F9E">
        <w:t>Kant</w:t>
      </w:r>
      <w:r w:rsidR="00D27D1C">
        <w:t xml:space="preserve"> as opposed to Wolff does not defend the </w:t>
      </w:r>
      <w:r w:rsidR="00D27D1C" w:rsidRPr="00D27D1C">
        <w:rPr>
          <w:i/>
        </w:rPr>
        <w:t>reducibility</w:t>
      </w:r>
      <w:r w:rsidR="00D27D1C">
        <w:t xml:space="preserve"> of the syllogistic figures to the first, but rather contends that they deploy hidden premises and for that reason are not to be regarded as syllogisms properly speaking. Moreover, in contrast with his presentation in </w:t>
      </w:r>
      <w:r w:rsidR="00D27D1C">
        <w:rPr>
          <w:i/>
        </w:rPr>
        <w:t>DL</w:t>
      </w:r>
      <w:r w:rsidR="00D27D1C">
        <w:t xml:space="preserve">, Wolff’s later treatment of syllogisms in </w:t>
      </w:r>
      <w:r w:rsidR="00D27D1C">
        <w:rPr>
          <w:i/>
        </w:rPr>
        <w:t>LL</w:t>
      </w:r>
      <w:r w:rsidR="00D27D1C">
        <w:t xml:space="preserve"> considers the second and third figures in detail and even allows that they admit of a limited usefulness (</w:t>
      </w:r>
      <w:r w:rsidR="00D27D1C">
        <w:rPr>
          <w:i/>
        </w:rPr>
        <w:t>LL</w:t>
      </w:r>
      <w:r w:rsidR="00D27D1C">
        <w:t xml:space="preserve"> §401); </w:t>
      </w:r>
      <w:r w:rsidR="003B4C2B">
        <w:t xml:space="preserve">for his part, </w:t>
      </w:r>
      <w:r w:rsidR="00D27D1C">
        <w:t>Kant,</w:t>
      </w:r>
      <w:r w:rsidR="003B4C2B">
        <w:t xml:space="preserve"> d</w:t>
      </w:r>
      <w:r w:rsidR="00D27D1C">
        <w:t xml:space="preserve">ismisses the syllogistic figures outside of the first as not merely useless but also as </w:t>
      </w:r>
      <w:r w:rsidR="0095023F">
        <w:t>“</w:t>
      </w:r>
      <w:proofErr w:type="spellStart"/>
      <w:r w:rsidR="0095023F">
        <w:t>falsch</w:t>
      </w:r>
      <w:proofErr w:type="spellEnd"/>
      <w:r w:rsidR="0095023F">
        <w:t>”</w:t>
      </w:r>
      <w:r>
        <w:t xml:space="preserve"> (</w:t>
      </w:r>
      <w:r w:rsidRPr="008626C1">
        <w:rPr>
          <w:i/>
        </w:rPr>
        <w:t>FS</w:t>
      </w:r>
      <w:r w:rsidR="00D27D1C">
        <w:t xml:space="preserve"> 2:55-6)</w:t>
      </w:r>
      <w:r w:rsidR="0095023F">
        <w:t xml:space="preserve">, at least to the extent that they are (wrongly) taken as </w:t>
      </w:r>
      <w:r w:rsidR="00844661">
        <w:t>“</w:t>
      </w:r>
      <w:r w:rsidR="0095023F">
        <w:t>simple</w:t>
      </w:r>
      <w:r w:rsidR="00844661">
        <w:t>”</w:t>
      </w:r>
      <w:r w:rsidR="0095023F">
        <w:t xml:space="preserve"> forms of syllogistic inference</w:t>
      </w:r>
      <w:r w:rsidR="00391FDA">
        <w:t>, as Wolff seems to do</w:t>
      </w:r>
      <w:r w:rsidR="00D27D1C">
        <w:t>.</w:t>
      </w:r>
      <w:r w:rsidR="0095023F">
        <w:rPr>
          <w:rStyle w:val="FootnoteReference"/>
        </w:rPr>
        <w:footnoteReference w:id="27"/>
      </w:r>
      <w:r w:rsidR="00D27D1C">
        <w:t xml:space="preserve"> While Wolff thus does not go far enough in his discussion of the alternative figures of categorical syllogisms, Kant claims that he goes too far in maintaining the reducibility of </w:t>
      </w:r>
      <w:r w:rsidR="00D27D1C">
        <w:rPr>
          <w:i/>
        </w:rPr>
        <w:t>all forms of syllogisms</w:t>
      </w:r>
      <w:r w:rsidR="00D27D1C">
        <w:t xml:space="preserve"> </w:t>
      </w:r>
      <w:r w:rsidR="00684E61">
        <w:t xml:space="preserve">including </w:t>
      </w:r>
      <w:r w:rsidR="00D27D1C">
        <w:t xml:space="preserve">hypothetical and disjunctive syllogisms </w:t>
      </w:r>
      <w:r w:rsidR="00684E61">
        <w:t xml:space="preserve">(which he groups </w:t>
      </w:r>
      <w:r w:rsidR="00D27D1C">
        <w:t>under “composite”</w:t>
      </w:r>
      <w:r w:rsidR="00684E61">
        <w:t xml:space="preserve"> as opposed to </w:t>
      </w:r>
      <w:r w:rsidR="00D27D1C">
        <w:t>“simple”</w:t>
      </w:r>
      <w:r w:rsidR="00684E61">
        <w:t xml:space="preserve"> or</w:t>
      </w:r>
      <w:r w:rsidR="00D27D1C">
        <w:t xml:space="preserve"> categorical syllogisms</w:t>
      </w:r>
      <w:r w:rsidR="00684E61">
        <w:t xml:space="preserve">—§403) to categorical syllogisms of the first figure. </w:t>
      </w:r>
      <w:r w:rsidR="00CA4FA0">
        <w:t>Kant rejects</w:t>
      </w:r>
      <w:r w:rsidR="003B4C2B">
        <w:t xml:space="preserve"> any such attempt, however,</w:t>
      </w:r>
      <w:r w:rsidR="00CA4FA0">
        <w:t xml:space="preserve"> given that he takes categorical, hypothetical, and disjunctive syllogism (much like categorical, hypothetical, and disjunctive propositions) to express distinct functions of reason and accordingly, the latter cannot</w:t>
      </w:r>
      <w:r w:rsidR="003911E1">
        <w:t xml:space="preserve"> universally</w:t>
      </w:r>
      <w:r w:rsidR="00CA4FA0">
        <w:t xml:space="preserve"> be reduced to the former (</w:t>
      </w:r>
      <w:r w:rsidR="00CA4FA0">
        <w:rPr>
          <w:i/>
        </w:rPr>
        <w:t>JL</w:t>
      </w:r>
      <w:r w:rsidR="00CA4FA0">
        <w:t xml:space="preserve"> §60; </w:t>
      </w:r>
      <w:r w:rsidR="00282E6C">
        <w:t>V-</w:t>
      </w:r>
      <w:proofErr w:type="spellStart"/>
      <w:r w:rsidR="00282E6C">
        <w:t>Lo</w:t>
      </w:r>
      <w:r w:rsidR="00043E25">
        <w:t>Hechs</w:t>
      </w:r>
      <w:proofErr w:type="spellEnd"/>
      <w:r w:rsidR="00CA4FA0">
        <w:t xml:space="preserve"> 391-2). </w:t>
      </w:r>
    </w:p>
    <w:p w:rsidR="00F130D4" w:rsidRDefault="0052236C" w:rsidP="00F130D4">
      <w:pPr>
        <w:spacing w:after="0"/>
      </w:pPr>
      <w:r>
        <w:tab/>
        <w:t>That Kant should thus object to the very doctrines that Wolff identified as the most innovative features of his logic makes it difficult to see why he would have identified the logic of his distinguished predecessor as the best we have. Indeed, Kant’s worries about Wolff’s account of the adequacy of concepts, his treatment of real and nominal definitions, and his defense of the syllogism can all be traced t</w:t>
      </w:r>
      <w:r w:rsidR="009A497C">
        <w:t>o deeper</w:t>
      </w:r>
      <w:r>
        <w:t xml:space="preserve"> concerns with Wolff’s thought. So, Kant’s concerns about Wolff’s views on conceptual adequacy have their ground ultimately in his rejection of the </w:t>
      </w:r>
      <w:proofErr w:type="spellStart"/>
      <w:r>
        <w:t>Leibnizian-Wolffian</w:t>
      </w:r>
      <w:proofErr w:type="spellEnd"/>
      <w:r>
        <w:t xml:space="preserve"> emphasis on </w:t>
      </w:r>
      <w:r w:rsidRPr="00517D3C">
        <w:rPr>
          <w:i/>
        </w:rPr>
        <w:t>analysis</w:t>
      </w:r>
      <w:r>
        <w:t xml:space="preserve"> as the sole means by which we concepts are to be clarified and definitions offered</w:t>
      </w:r>
      <w:r w:rsidR="00F11124">
        <w:t xml:space="preserve"> (</w:t>
      </w:r>
      <w:r w:rsidR="00F11124">
        <w:rPr>
          <w:i/>
        </w:rPr>
        <w:t>JL</w:t>
      </w:r>
      <w:r w:rsidR="00F11124">
        <w:t xml:space="preserve"> 9:63)</w:t>
      </w:r>
      <w:r>
        <w:t xml:space="preserve">, whereas his objections to Wolff’s discussion of definitions as well as his defense of </w:t>
      </w:r>
      <w:proofErr w:type="spellStart"/>
      <w:r>
        <w:t>syllogistics</w:t>
      </w:r>
      <w:proofErr w:type="spellEnd"/>
      <w:r>
        <w:t xml:space="preserve"> likely find their source in Kant’s rejection of Wolff’s efforts to introduce the mathematical method into philosophy</w:t>
      </w:r>
      <w:r w:rsidR="00F11124">
        <w:t xml:space="preserve"> (cf. </w:t>
      </w:r>
      <w:r w:rsidR="00282E6C">
        <w:t>V-</w:t>
      </w:r>
      <w:proofErr w:type="spellStart"/>
      <w:r w:rsidR="00282E6C">
        <w:t>Lo</w:t>
      </w:r>
      <w:r w:rsidR="00F43E03">
        <w:t>Bl</w:t>
      </w:r>
      <w:proofErr w:type="spellEnd"/>
      <w:r w:rsidR="00F11124">
        <w:t xml:space="preserve"> 24:272, 269)</w:t>
      </w:r>
      <w:r>
        <w:t xml:space="preserve">. </w:t>
      </w:r>
      <w:r w:rsidR="00D71460">
        <w:t xml:space="preserve">In seeking for the ground of Kant’s </w:t>
      </w:r>
      <w:r w:rsidR="00D71460">
        <w:lastRenderedPageBreak/>
        <w:t xml:space="preserve">approval of Wolff’s logic, </w:t>
      </w:r>
      <w:r w:rsidR="00D55C2C">
        <w:t xml:space="preserve">then, </w:t>
      </w:r>
      <w:r w:rsidR="00D71460">
        <w:t xml:space="preserve">we might wonder whether it was some other aspect of Wolff’s discussion in his treatment of concepts, judgments, and inferences that served to set his logic apart from others; it might be </w:t>
      </w:r>
      <w:r w:rsidR="002915D9">
        <w:t>wondered</w:t>
      </w:r>
      <w:r w:rsidR="00D71460">
        <w:t xml:space="preserve"> for instance </w:t>
      </w:r>
      <w:r w:rsidR="002915D9">
        <w:t>whether</w:t>
      </w:r>
      <w:r w:rsidR="00D71460">
        <w:t xml:space="preserve"> W</w:t>
      </w:r>
      <w:r w:rsidR="00E93BED">
        <w:t>olff succeeded in providing more than a merely nominal definition of truth in his logic by providing “the general and certain criterion of the truth of any cognition” (A58/B82). As a matter of fact, I doubt that Kant woul</w:t>
      </w:r>
      <w:r w:rsidR="002915D9">
        <w:t>d give Wolff credit for addressing this deficiency</w:t>
      </w:r>
      <w:r w:rsidR="00E93BED">
        <w:t xml:space="preserve"> of traditional logic, though I </w:t>
      </w:r>
      <w:r w:rsidR="008D4F3D">
        <w:t>can</w:t>
      </w:r>
      <w:r w:rsidR="00E93BED">
        <w:t>not go into detail here.</w:t>
      </w:r>
      <w:r w:rsidR="00E93BED">
        <w:rPr>
          <w:rStyle w:val="FootnoteReference"/>
        </w:rPr>
        <w:footnoteReference w:id="28"/>
      </w:r>
      <w:r w:rsidR="00E93BED">
        <w:t xml:space="preserve"> Instead, I would like to turn to a separate discussion within the theoretical part of Wolff’s logic, one that does not concern the different objects of logical investigation (concepts, judgments, and syllogisms), but that rather considers the different activities on the part of the subject that have these distinct </w:t>
      </w:r>
      <w:r w:rsidR="00D55C2C">
        <w:t>products</w:t>
      </w:r>
      <w:r w:rsidR="00E93BED">
        <w:t xml:space="preserve"> as their effe</w:t>
      </w:r>
      <w:r w:rsidR="00D55C2C">
        <w:t>cts, namely,</w:t>
      </w:r>
      <w:r w:rsidR="00E93BED">
        <w:t xml:space="preserve"> the three operations of the intellect which cons</w:t>
      </w:r>
      <w:r w:rsidR="00D55C2C">
        <w:t>titutes the opening section of Wolff’s</w:t>
      </w:r>
      <w:r w:rsidR="00E93BED">
        <w:t xml:space="preserve"> theoretical logic. </w:t>
      </w:r>
    </w:p>
    <w:p w:rsidR="00595F50" w:rsidRDefault="00595F50" w:rsidP="00595F50">
      <w:pPr>
        <w:spacing w:after="0"/>
      </w:pPr>
    </w:p>
    <w:p w:rsidR="00595F50" w:rsidRDefault="00595F50" w:rsidP="00595F50">
      <w:pPr>
        <w:spacing w:after="0"/>
      </w:pPr>
      <w:r>
        <w:t xml:space="preserve">III: Wolff </w:t>
      </w:r>
      <w:r w:rsidR="00605D92">
        <w:t xml:space="preserve">and Kant </w:t>
      </w:r>
      <w:r>
        <w:t xml:space="preserve">on the Three Operations of the </w:t>
      </w:r>
      <w:r w:rsidR="00605D92">
        <w:t>Mind</w:t>
      </w:r>
    </w:p>
    <w:p w:rsidR="00D728BC" w:rsidRDefault="00D728BC" w:rsidP="00D728BC">
      <w:pPr>
        <w:spacing w:after="0"/>
      </w:pPr>
    </w:p>
    <w:p w:rsidR="00B65DFC" w:rsidRDefault="00B65DFC" w:rsidP="00D728BC">
      <w:pPr>
        <w:spacing w:after="0"/>
      </w:pPr>
      <w:r>
        <w:tab/>
      </w:r>
      <w:r w:rsidR="008E371E">
        <w:t>Above, I considered the innovations Wolff introduces within the traditional division of the topics of logic, namely, concepts, judgments, and inferences. However, and i</w:t>
      </w:r>
      <w:r>
        <w:t xml:space="preserve">n addition to the features listed above, Wolff trumpets </w:t>
      </w:r>
      <w:r w:rsidR="00742A31">
        <w:t>his</w:t>
      </w:r>
      <w:r>
        <w:t xml:space="preserve"> reintroduction of the Aristotelian </w:t>
      </w:r>
      <w:r w:rsidR="008E371E">
        <w:t xml:space="preserve">analysis of the operations of the mind—an analysis that </w:t>
      </w:r>
      <w:r w:rsidR="00742A31">
        <w:t>grounds</w:t>
      </w:r>
      <w:r w:rsidR="008E371E">
        <w:t xml:space="preserve"> the </w:t>
      </w:r>
      <w:r>
        <w:t>division of logic into discussion</w:t>
      </w:r>
      <w:r w:rsidR="008E371E">
        <w:t>s</w:t>
      </w:r>
      <w:r>
        <w:t xml:space="preserve"> of concepts, judgments, and inferences</w:t>
      </w:r>
      <w:r w:rsidR="008E371E">
        <w:t>—</w:t>
      </w:r>
      <w:r>
        <w:t xml:space="preserve">as something that distinguishes his treatment from those of his modern contemporaries. </w:t>
      </w:r>
      <w:r w:rsidR="00BB47E0">
        <w:t>Aristotelian thinkers</w:t>
      </w:r>
      <w:r w:rsidR="008B7C0D">
        <w:t xml:space="preserve"> supposed that some such consideration of the various operations of the mind underlies Aristotle’s own treatment in the </w:t>
      </w:r>
      <w:r w:rsidR="008B7C0D">
        <w:rPr>
          <w:i/>
        </w:rPr>
        <w:t>Categories</w:t>
      </w:r>
      <w:r w:rsidR="008B7C0D">
        <w:t xml:space="preserve">, </w:t>
      </w:r>
      <w:r w:rsidR="00742A31">
        <w:rPr>
          <w:i/>
        </w:rPr>
        <w:t xml:space="preserve">De </w:t>
      </w:r>
      <w:proofErr w:type="spellStart"/>
      <w:r w:rsidR="00742A31">
        <w:rPr>
          <w:i/>
        </w:rPr>
        <w:t>I</w:t>
      </w:r>
      <w:r w:rsidR="008B7C0D">
        <w:rPr>
          <w:i/>
        </w:rPr>
        <w:t>nterpretatione</w:t>
      </w:r>
      <w:proofErr w:type="spellEnd"/>
      <w:r w:rsidR="008B7C0D">
        <w:t xml:space="preserve">, and the </w:t>
      </w:r>
      <w:r w:rsidR="008B7C0D">
        <w:rPr>
          <w:i/>
        </w:rPr>
        <w:t xml:space="preserve">Prior </w:t>
      </w:r>
      <w:r w:rsidR="008B7C0D">
        <w:t xml:space="preserve">and </w:t>
      </w:r>
      <w:r w:rsidR="008B7C0D">
        <w:rPr>
          <w:i/>
        </w:rPr>
        <w:t>Posterior Analytics</w:t>
      </w:r>
      <w:r w:rsidR="008B7C0D">
        <w:t>,</w:t>
      </w:r>
      <w:r w:rsidR="00BB47E0">
        <w:t xml:space="preserve"> </w:t>
      </w:r>
      <w:r w:rsidR="008B7C0D">
        <w:t xml:space="preserve">and they identified </w:t>
      </w:r>
      <w:r w:rsidR="00BB47E0">
        <w:t xml:space="preserve">three distinct acts or operations of the intellect, namely the acts of </w:t>
      </w:r>
      <w:r w:rsidR="008E371E">
        <w:t>apprehending concepts</w:t>
      </w:r>
      <w:r w:rsidR="008B7C0D">
        <w:t xml:space="preserve"> (</w:t>
      </w:r>
      <w:r w:rsidR="008B7C0D">
        <w:rPr>
          <w:i/>
        </w:rPr>
        <w:t xml:space="preserve">simplex </w:t>
      </w:r>
      <w:proofErr w:type="spellStart"/>
      <w:r w:rsidR="008B7C0D">
        <w:rPr>
          <w:i/>
        </w:rPr>
        <w:t>apprehensio</w:t>
      </w:r>
      <w:proofErr w:type="spellEnd"/>
      <w:r w:rsidR="008B7C0D">
        <w:t>)</w:t>
      </w:r>
      <w:r w:rsidR="00BB47E0">
        <w:t>, judging</w:t>
      </w:r>
      <w:r w:rsidR="008B7C0D">
        <w:t xml:space="preserve"> (</w:t>
      </w:r>
      <w:proofErr w:type="spellStart"/>
      <w:r w:rsidR="008B7C0D">
        <w:rPr>
          <w:i/>
        </w:rPr>
        <w:t>judicium</w:t>
      </w:r>
      <w:proofErr w:type="spellEnd"/>
      <w:r w:rsidR="008B7C0D">
        <w:t>)</w:t>
      </w:r>
      <w:r w:rsidR="00BB47E0">
        <w:t>, and inferring</w:t>
      </w:r>
      <w:r w:rsidR="008B7C0D">
        <w:t xml:space="preserve"> (</w:t>
      </w:r>
      <w:proofErr w:type="spellStart"/>
      <w:r w:rsidR="008B7C0D">
        <w:rPr>
          <w:i/>
        </w:rPr>
        <w:t>ratiocinium</w:t>
      </w:r>
      <w:proofErr w:type="spellEnd"/>
      <w:r w:rsidR="008B7C0D">
        <w:t>)</w:t>
      </w:r>
      <w:r w:rsidR="00BB47E0">
        <w:t xml:space="preserve">; this is for instance made explicit in St. Thomas’ </w:t>
      </w:r>
      <w:r w:rsidR="00AA1BA0">
        <w:t>Preface to</w:t>
      </w:r>
      <w:r w:rsidR="00BB47E0">
        <w:t xml:space="preserve"> his </w:t>
      </w:r>
      <w:r w:rsidR="00BB47E0">
        <w:rPr>
          <w:i/>
        </w:rPr>
        <w:t>Commentary on the Posterior Analytics</w:t>
      </w:r>
      <w:r w:rsidR="00BB47E0">
        <w:t>:</w:t>
      </w:r>
      <w:r w:rsidR="002732A6">
        <w:t xml:space="preserve"> </w:t>
      </w:r>
    </w:p>
    <w:p w:rsidR="00BB47E0" w:rsidRDefault="00BB47E0" w:rsidP="00BB47E0">
      <w:pPr>
        <w:pStyle w:val="OffsetQuote"/>
      </w:pPr>
      <w:r>
        <w:t>The parts of logic must therefore correspond t</w:t>
      </w:r>
      <w:r w:rsidR="00AA1BA0">
        <w:t>o the different acts of reason</w:t>
      </w:r>
      <w:r>
        <w:t xml:space="preserve">, of which there are three. The first two belong to reason insofar as it is a kind of intellect. The first of these is the understanding of indivisible or simple things, the act by which we conceive what a thing is. [...] The second act of the intellect is the composition or division of things that are understood, the act in which truth or falsity is found. [...] The third </w:t>
      </w:r>
      <w:r>
        <w:lastRenderedPageBreak/>
        <w:t>act is proper to reason itself; it is the act by which we proceed from one thing to another, so as to arrive at a knowledge of the unknown from the known. (</w:t>
      </w:r>
      <w:r w:rsidRPr="00AA1BA0">
        <w:rPr>
          <w:i/>
        </w:rPr>
        <w:t>Commentary</w:t>
      </w:r>
      <w:r w:rsidRPr="00AA1BA0">
        <w:t>, Book I, ¶4; p. 1</w:t>
      </w:r>
      <w:r>
        <w:t>)</w:t>
      </w:r>
      <w:r w:rsidR="00F40380">
        <w:rPr>
          <w:rStyle w:val="FootnoteReference"/>
        </w:rPr>
        <w:footnoteReference w:id="29"/>
      </w:r>
    </w:p>
    <w:p w:rsidR="00BB47E0" w:rsidRDefault="00BB47E0" w:rsidP="00BB47E0">
      <w:pPr>
        <w:pStyle w:val="OffsetQuote"/>
      </w:pPr>
    </w:p>
    <w:p w:rsidR="00BB47E0" w:rsidRPr="00692160" w:rsidRDefault="0068630F" w:rsidP="00D728BC">
      <w:pPr>
        <w:spacing w:after="0"/>
      </w:pPr>
      <w:r>
        <w:t xml:space="preserve">As Wolff notes, however, </w:t>
      </w:r>
      <w:r w:rsidR="009545AC">
        <w:t>as Scholastic logic fel</w:t>
      </w:r>
      <w:r>
        <w:t>l out of favour with many modern philosophers, this traditional division of the topics of logic was discarded.</w:t>
      </w:r>
      <w:r>
        <w:rPr>
          <w:rStyle w:val="FootnoteReference"/>
        </w:rPr>
        <w:footnoteReference w:id="30"/>
      </w:r>
      <w:r>
        <w:t xml:space="preserve"> In spite of the fact that perhaps the most famous treatment of logic in the early modern period—the so-called </w:t>
      </w:r>
      <w:r>
        <w:rPr>
          <w:i/>
        </w:rPr>
        <w:t>Port-Royal Logic</w:t>
      </w:r>
      <w:r>
        <w:t>—</w:t>
      </w:r>
      <w:r w:rsidR="002732A6">
        <w:t>employed</w:t>
      </w:r>
      <w:r>
        <w:t xml:space="preserve"> this division</w:t>
      </w:r>
      <w:r w:rsidR="002732A6">
        <w:t xml:space="preserve"> and assigned at least a structural significance to it</w:t>
      </w:r>
      <w:r>
        <w:t>,</w:t>
      </w:r>
      <w:r>
        <w:rPr>
          <w:rStyle w:val="FootnoteReference"/>
        </w:rPr>
        <w:footnoteReference w:id="31"/>
      </w:r>
      <w:r>
        <w:t xml:space="preserve"> many influential logics particularly within th</w:t>
      </w:r>
      <w:r w:rsidR="009545AC">
        <w:t xml:space="preserve">e Cartesian tradition </w:t>
      </w:r>
      <w:r w:rsidR="00454278">
        <w:t xml:space="preserve">departed from this convention or even </w:t>
      </w:r>
      <w:r w:rsidR="009545AC">
        <w:t>dispensed w</w:t>
      </w:r>
      <w:r w:rsidR="00454278">
        <w:t>ith</w:t>
      </w:r>
      <w:r w:rsidR="00692160">
        <w:t xml:space="preserve"> it entirely</w:t>
      </w:r>
      <w:r w:rsidR="002732A6">
        <w:t>. F</w:t>
      </w:r>
      <w:r w:rsidR="00454278">
        <w:t xml:space="preserve">or instance, Johannes </w:t>
      </w:r>
      <w:proofErr w:type="spellStart"/>
      <w:r w:rsidR="00454278">
        <w:t>Clauberg</w:t>
      </w:r>
      <w:proofErr w:type="spellEnd"/>
      <w:r w:rsidR="00454278">
        <w:t xml:space="preserve"> retained the tripartite division but amended </w:t>
      </w:r>
      <w:r w:rsidR="008B7C0D">
        <w:t xml:space="preserve">it </w:t>
      </w:r>
      <w:r w:rsidR="00454278">
        <w:t>so that clear and distinct percep</w:t>
      </w:r>
      <w:r w:rsidR="00692160">
        <w:t>tion, judgment, and</w:t>
      </w:r>
      <w:r w:rsidR="00454278">
        <w:t xml:space="preserve"> memory w</w:t>
      </w:r>
      <w:r w:rsidR="008B7C0D">
        <w:t>ere the three underlying acts.</w:t>
      </w:r>
      <w:r w:rsidR="00454278">
        <w:rPr>
          <w:rStyle w:val="FootnoteReference"/>
        </w:rPr>
        <w:footnoteReference w:id="32"/>
      </w:r>
      <w:r w:rsidR="00692160">
        <w:t xml:space="preserve"> </w:t>
      </w:r>
      <w:proofErr w:type="spellStart"/>
      <w:r w:rsidR="008B7C0D">
        <w:t>Tschirnhaus</w:t>
      </w:r>
      <w:proofErr w:type="spellEnd"/>
      <w:r w:rsidR="008B7C0D">
        <w:t>, by contrast, abandons</w:t>
      </w:r>
      <w:r w:rsidR="00692160">
        <w:t xml:space="preserve"> the use of this division of the intellect as a framework for his logic, </w:t>
      </w:r>
      <w:r w:rsidR="008B7C0D">
        <w:t xml:space="preserve">and </w:t>
      </w:r>
      <w:r w:rsidR="00692160">
        <w:t>offers a division of operations that appears to take Descartes’ own division of the faculties as its point of departure.</w:t>
      </w:r>
      <w:r w:rsidR="00477D41">
        <w:rPr>
          <w:rStyle w:val="FootnoteReference"/>
        </w:rPr>
        <w:footnoteReference w:id="33"/>
      </w:r>
      <w:r w:rsidR="00692160">
        <w:t xml:space="preserve"> </w:t>
      </w:r>
    </w:p>
    <w:p w:rsidR="00061CAF" w:rsidRDefault="00F245BF" w:rsidP="00706F0C">
      <w:pPr>
        <w:spacing w:after="0"/>
      </w:pPr>
      <w:r>
        <w:tab/>
        <w:t>As concerns Wolff’s appropriation of this division, the analysis of the three operations of the intellect appears to</w:t>
      </w:r>
      <w:r w:rsidR="007137F7">
        <w:t xml:space="preserve"> take on a more prominent and important role in </w:t>
      </w:r>
      <w:r>
        <w:t xml:space="preserve">Wolff’s logic from the </w:t>
      </w:r>
      <w:r>
        <w:rPr>
          <w:i/>
        </w:rPr>
        <w:t>DL</w:t>
      </w:r>
      <w:r>
        <w:t xml:space="preserve"> to the </w:t>
      </w:r>
      <w:r>
        <w:rPr>
          <w:i/>
        </w:rPr>
        <w:t>LL</w:t>
      </w:r>
      <w:r>
        <w:t xml:space="preserve">. In the </w:t>
      </w:r>
      <w:r>
        <w:rPr>
          <w:i/>
        </w:rPr>
        <w:t>DL</w:t>
      </w:r>
      <w:r>
        <w:t xml:space="preserve">, </w:t>
      </w:r>
      <w:r w:rsidR="007137F7">
        <w:t xml:space="preserve">the distinction between conceiving, judging, and reasoning clearly structures Wolff’s presentation in the first four chapters (with no </w:t>
      </w:r>
      <w:r w:rsidR="008B7C0D">
        <w:t>distinct</w:t>
      </w:r>
      <w:r w:rsidR="007137F7">
        <w:t xml:space="preserve"> mental activity connected with the use of words), and Wolff treats of these activities briefly at the outset of each chapter</w:t>
      </w:r>
      <w:r w:rsidR="006669F7">
        <w:t>.</w:t>
      </w:r>
      <w:r w:rsidR="006950E1">
        <w:t xml:space="preserve"> </w:t>
      </w:r>
      <w:r w:rsidR="008B7C0D">
        <w:t xml:space="preserve">Wolff’s account of the operation of the mind in acquiring concepts, </w:t>
      </w:r>
      <w:r w:rsidR="006950E1">
        <w:t xml:space="preserve">corresponding to Scholastic </w:t>
      </w:r>
      <w:proofErr w:type="spellStart"/>
      <w:r w:rsidR="006950E1">
        <w:rPr>
          <w:i/>
        </w:rPr>
        <w:t>apprehensio</w:t>
      </w:r>
      <w:proofErr w:type="spellEnd"/>
      <w:r w:rsidR="006950E1">
        <w:rPr>
          <w:i/>
        </w:rPr>
        <w:t xml:space="preserve"> simplex</w:t>
      </w:r>
      <w:r w:rsidR="006950E1">
        <w:t xml:space="preserve">, </w:t>
      </w:r>
      <w:r w:rsidR="007C5B0B">
        <w:t>begins with</w:t>
      </w:r>
      <w:r w:rsidR="006950E1">
        <w:t xml:space="preserve"> sensation (</w:t>
      </w:r>
      <w:proofErr w:type="spellStart"/>
      <w:r w:rsidR="006950E1">
        <w:rPr>
          <w:i/>
        </w:rPr>
        <w:t>empfinden</w:t>
      </w:r>
      <w:proofErr w:type="spellEnd"/>
      <w:r w:rsidR="005776CB">
        <w:t>)</w:t>
      </w:r>
      <w:r w:rsidR="007C5B0B">
        <w:t xml:space="preserve">, where </w:t>
      </w:r>
      <w:r w:rsidR="006950E1">
        <w:t>Wolff claims that we sense something “</w:t>
      </w:r>
      <w:proofErr w:type="spellStart"/>
      <w:r w:rsidR="006950E1">
        <w:t>wenn</w:t>
      </w:r>
      <w:proofErr w:type="spellEnd"/>
      <w:r w:rsidR="006950E1">
        <w:t xml:space="preserve"> </w:t>
      </w:r>
      <w:proofErr w:type="spellStart"/>
      <w:r w:rsidR="006950E1">
        <w:t>wir</w:t>
      </w:r>
      <w:proofErr w:type="spellEnd"/>
      <w:r w:rsidR="006950E1">
        <w:t xml:space="preserve"> </w:t>
      </w:r>
      <w:proofErr w:type="spellStart"/>
      <w:r w:rsidR="006950E1">
        <w:t>uns</w:t>
      </w:r>
      <w:proofErr w:type="spellEnd"/>
      <w:r w:rsidR="006950E1">
        <w:t xml:space="preserve"> </w:t>
      </w:r>
      <w:proofErr w:type="spellStart"/>
      <w:r w:rsidR="006950E1">
        <w:t>desselben</w:t>
      </w:r>
      <w:proofErr w:type="spellEnd"/>
      <w:r w:rsidR="006950E1">
        <w:t xml:space="preserve"> </w:t>
      </w:r>
      <w:proofErr w:type="spellStart"/>
      <w:r w:rsidR="006950E1">
        <w:t>als</w:t>
      </w:r>
      <w:proofErr w:type="spellEnd"/>
      <w:r w:rsidR="006950E1">
        <w:t xml:space="preserve"> </w:t>
      </w:r>
      <w:proofErr w:type="spellStart"/>
      <w:r w:rsidR="006950E1">
        <w:t>uns</w:t>
      </w:r>
      <w:proofErr w:type="spellEnd"/>
      <w:r w:rsidR="006950E1">
        <w:t xml:space="preserve"> </w:t>
      </w:r>
      <w:proofErr w:type="spellStart"/>
      <w:r w:rsidR="006950E1">
        <w:t>gegenwärtig</w:t>
      </w:r>
      <w:proofErr w:type="spellEnd"/>
      <w:r w:rsidR="006950E1">
        <w:t xml:space="preserve"> </w:t>
      </w:r>
      <w:proofErr w:type="spellStart"/>
      <w:r w:rsidR="006950E1">
        <w:t>bewust</w:t>
      </w:r>
      <w:proofErr w:type="spellEnd"/>
      <w:r w:rsidR="006950E1">
        <w:t xml:space="preserve"> </w:t>
      </w:r>
      <w:proofErr w:type="spellStart"/>
      <w:r w:rsidR="006950E1">
        <w:t>sind</w:t>
      </w:r>
      <w:proofErr w:type="spellEnd"/>
      <w:r w:rsidR="006950E1">
        <w:t>” (</w:t>
      </w:r>
      <w:r w:rsidR="006950E1">
        <w:rPr>
          <w:i/>
        </w:rPr>
        <w:t>DL</w:t>
      </w:r>
      <w:r w:rsidR="006950E1">
        <w:t xml:space="preserve"> c. 1, §1)</w:t>
      </w:r>
      <w:r w:rsidR="007C5B0B">
        <w:t>.</w:t>
      </w:r>
      <w:r w:rsidR="006950E1">
        <w:t xml:space="preserve"> We gain a</w:t>
      </w:r>
      <w:r w:rsidR="005776CB">
        <w:t xml:space="preserve"> concept then, </w:t>
      </w:r>
      <w:r w:rsidR="006950E1">
        <w:t>or “</w:t>
      </w:r>
      <w:proofErr w:type="spellStart"/>
      <w:r w:rsidR="006950E1">
        <w:t>eine</w:t>
      </w:r>
      <w:proofErr w:type="spellEnd"/>
      <w:r w:rsidR="006950E1">
        <w:t xml:space="preserve"> </w:t>
      </w:r>
      <w:proofErr w:type="spellStart"/>
      <w:r w:rsidR="006950E1">
        <w:t>jede</w:t>
      </w:r>
      <w:proofErr w:type="spellEnd"/>
      <w:r w:rsidR="006950E1">
        <w:t xml:space="preserve"> </w:t>
      </w:r>
      <w:proofErr w:type="spellStart"/>
      <w:r w:rsidR="006950E1">
        <w:t>Vorstellung</w:t>
      </w:r>
      <w:proofErr w:type="spellEnd"/>
      <w:r w:rsidR="006950E1">
        <w:t xml:space="preserve"> </w:t>
      </w:r>
      <w:proofErr w:type="spellStart"/>
      <w:r w:rsidR="006950E1">
        <w:t>einer</w:t>
      </w:r>
      <w:proofErr w:type="spellEnd"/>
      <w:r w:rsidR="006950E1">
        <w:t xml:space="preserve"> </w:t>
      </w:r>
      <w:proofErr w:type="spellStart"/>
      <w:r w:rsidR="006950E1">
        <w:t>Sache</w:t>
      </w:r>
      <w:proofErr w:type="spellEnd"/>
      <w:r w:rsidR="006950E1">
        <w:t xml:space="preserve"> in </w:t>
      </w:r>
      <w:proofErr w:type="spellStart"/>
      <w:r w:rsidR="006950E1">
        <w:t>unseren</w:t>
      </w:r>
      <w:proofErr w:type="spellEnd"/>
      <w:r w:rsidR="006950E1">
        <w:t xml:space="preserve"> </w:t>
      </w:r>
      <w:proofErr w:type="spellStart"/>
      <w:r w:rsidR="006950E1">
        <w:t>Gedancken</w:t>
      </w:r>
      <w:proofErr w:type="spellEnd"/>
      <w:r w:rsidR="006950E1">
        <w:t>” (</w:t>
      </w:r>
      <w:r w:rsidR="006950E1">
        <w:rPr>
          <w:i/>
        </w:rPr>
        <w:t>DL</w:t>
      </w:r>
      <w:r w:rsidR="006950E1">
        <w:t xml:space="preserve"> c. 1, §4), from sensation insofar as we represent that which we are conscious of by means o</w:t>
      </w:r>
      <w:r w:rsidR="005776CB">
        <w:t>f sensation as outside of us (</w:t>
      </w:r>
      <w:r w:rsidR="005776CB">
        <w:rPr>
          <w:i/>
        </w:rPr>
        <w:t>DL</w:t>
      </w:r>
      <w:r w:rsidR="005776CB">
        <w:t xml:space="preserve"> c. 1, §5).</w:t>
      </w:r>
      <w:r w:rsidR="00AE15B0">
        <w:rPr>
          <w:rStyle w:val="FootnoteReference"/>
        </w:rPr>
        <w:footnoteReference w:id="34"/>
      </w:r>
      <w:r w:rsidR="005776CB">
        <w:t xml:space="preserve"> The second operation of the mind is judging (</w:t>
      </w:r>
      <w:proofErr w:type="spellStart"/>
      <w:r w:rsidR="005776CB">
        <w:rPr>
          <w:i/>
        </w:rPr>
        <w:t>urtheilen</w:t>
      </w:r>
      <w:proofErr w:type="spellEnd"/>
      <w:r w:rsidR="005776CB">
        <w:t>), which Wolff characterizes as that act through which “</w:t>
      </w:r>
      <w:proofErr w:type="spellStart"/>
      <w:r w:rsidR="005776CB">
        <w:t>wir</w:t>
      </w:r>
      <w:proofErr w:type="spellEnd"/>
      <w:r w:rsidR="005776CB">
        <w:t xml:space="preserve"> </w:t>
      </w:r>
      <w:proofErr w:type="spellStart"/>
      <w:r w:rsidR="005776CB">
        <w:t>uns</w:t>
      </w:r>
      <w:proofErr w:type="spellEnd"/>
      <w:r w:rsidR="005776CB">
        <w:t xml:space="preserve"> </w:t>
      </w:r>
      <w:proofErr w:type="spellStart"/>
      <w:r w:rsidR="005776CB">
        <w:t>gedencken</w:t>
      </w:r>
      <w:proofErr w:type="spellEnd"/>
      <w:r w:rsidR="005776CB">
        <w:t xml:space="preserve">, </w:t>
      </w:r>
      <w:proofErr w:type="spellStart"/>
      <w:r w:rsidR="005776CB">
        <w:t>daß</w:t>
      </w:r>
      <w:proofErr w:type="spellEnd"/>
      <w:r w:rsidR="005776CB">
        <w:t xml:space="preserve"> </w:t>
      </w:r>
      <w:proofErr w:type="spellStart"/>
      <w:r w:rsidR="005776CB">
        <w:t>einer</w:t>
      </w:r>
      <w:proofErr w:type="spellEnd"/>
      <w:r w:rsidR="005776CB">
        <w:t xml:space="preserve"> </w:t>
      </w:r>
      <w:proofErr w:type="spellStart"/>
      <w:r w:rsidR="005776CB">
        <w:t>Sache</w:t>
      </w:r>
      <w:proofErr w:type="spellEnd"/>
      <w:r w:rsidR="005776CB">
        <w:t xml:space="preserve"> </w:t>
      </w:r>
      <w:proofErr w:type="spellStart"/>
      <w:r w:rsidR="005776CB">
        <w:t>etwas</w:t>
      </w:r>
      <w:proofErr w:type="spellEnd"/>
      <w:r w:rsidR="005776CB">
        <w:t xml:space="preserve"> </w:t>
      </w:r>
      <w:proofErr w:type="spellStart"/>
      <w:r w:rsidR="005776CB">
        <w:t>zukomme</w:t>
      </w:r>
      <w:proofErr w:type="spellEnd"/>
      <w:r w:rsidR="005776CB">
        <w:t xml:space="preserve"> </w:t>
      </w:r>
      <w:proofErr w:type="spellStart"/>
      <w:r w:rsidR="005776CB">
        <w:t>oder</w:t>
      </w:r>
      <w:proofErr w:type="spellEnd"/>
      <w:r w:rsidR="005776CB">
        <w:t xml:space="preserve"> </w:t>
      </w:r>
      <w:proofErr w:type="spellStart"/>
      <w:r w:rsidR="005776CB">
        <w:t>nicht</w:t>
      </w:r>
      <w:proofErr w:type="spellEnd"/>
      <w:r w:rsidR="005776CB">
        <w:t>” (</w:t>
      </w:r>
      <w:r w:rsidR="005776CB">
        <w:rPr>
          <w:i/>
        </w:rPr>
        <w:t xml:space="preserve">DL </w:t>
      </w:r>
      <w:r w:rsidR="005776CB">
        <w:t xml:space="preserve">c. 3, §1). The second </w:t>
      </w:r>
      <w:r w:rsidR="005776CB">
        <w:lastRenderedPageBreak/>
        <w:t>operation of the mind yields propositions (</w:t>
      </w:r>
      <w:proofErr w:type="spellStart"/>
      <w:r w:rsidR="005776CB">
        <w:rPr>
          <w:i/>
        </w:rPr>
        <w:t>Sätze</w:t>
      </w:r>
      <w:proofErr w:type="spellEnd"/>
      <w:r w:rsidR="005776CB">
        <w:t>), but clearly presupposes the first operation i</w:t>
      </w:r>
      <w:r w:rsidR="007C5B0B">
        <w:t>nsofar as</w:t>
      </w:r>
      <w:r w:rsidR="005776CB">
        <w:t xml:space="preserve"> through it “</w:t>
      </w:r>
      <w:proofErr w:type="spellStart"/>
      <w:r w:rsidR="005776CB">
        <w:t>verknüpfen</w:t>
      </w:r>
      <w:proofErr w:type="spellEnd"/>
      <w:r w:rsidR="005776CB">
        <w:t xml:space="preserve"> </w:t>
      </w:r>
      <w:proofErr w:type="spellStart"/>
      <w:r w:rsidR="005776CB">
        <w:t>wir</w:t>
      </w:r>
      <w:proofErr w:type="spellEnd"/>
      <w:r w:rsidR="005776CB">
        <w:t xml:space="preserve"> </w:t>
      </w:r>
      <w:proofErr w:type="spellStart"/>
      <w:r w:rsidR="005776CB">
        <w:t>zwey</w:t>
      </w:r>
      <w:proofErr w:type="spellEnd"/>
      <w:r w:rsidR="005776CB">
        <w:t xml:space="preserve"> </w:t>
      </w:r>
      <w:proofErr w:type="spellStart"/>
      <w:r w:rsidR="005776CB">
        <w:t>Begriffe</w:t>
      </w:r>
      <w:proofErr w:type="spellEnd"/>
      <w:r w:rsidR="005776CB">
        <w:t xml:space="preserve"> </w:t>
      </w:r>
      <w:proofErr w:type="spellStart"/>
      <w:r w:rsidR="005776CB">
        <w:t>mit</w:t>
      </w:r>
      <w:proofErr w:type="spellEnd"/>
      <w:r w:rsidR="005776CB">
        <w:t xml:space="preserve"> </w:t>
      </w:r>
      <w:proofErr w:type="spellStart"/>
      <w:r w:rsidR="005776CB">
        <w:t>einander</w:t>
      </w:r>
      <w:proofErr w:type="spellEnd"/>
      <w:r w:rsidR="005776CB">
        <w:t xml:space="preserve">, </w:t>
      </w:r>
      <w:proofErr w:type="spellStart"/>
      <w:r w:rsidR="005776CB">
        <w:t>oder</w:t>
      </w:r>
      <w:proofErr w:type="spellEnd"/>
      <w:r w:rsidR="005776CB">
        <w:t xml:space="preserve"> </w:t>
      </w:r>
      <w:proofErr w:type="spellStart"/>
      <w:r w:rsidR="005776CB">
        <w:t>trennen</w:t>
      </w:r>
      <w:proofErr w:type="spellEnd"/>
      <w:r w:rsidR="005776CB">
        <w:t xml:space="preserve"> </w:t>
      </w:r>
      <w:proofErr w:type="spellStart"/>
      <w:r w:rsidR="005776CB">
        <w:t>sie</w:t>
      </w:r>
      <w:proofErr w:type="spellEnd"/>
      <w:r w:rsidR="005776CB">
        <w:t xml:space="preserve"> von </w:t>
      </w:r>
      <w:proofErr w:type="spellStart"/>
      <w:r w:rsidR="005776CB">
        <w:t>einander</w:t>
      </w:r>
      <w:proofErr w:type="spellEnd"/>
      <w:r w:rsidR="005776CB">
        <w:t>” (</w:t>
      </w:r>
      <w:r w:rsidR="005776CB">
        <w:rPr>
          <w:i/>
        </w:rPr>
        <w:t>DL</w:t>
      </w:r>
      <w:r w:rsidR="005776CB">
        <w:t xml:space="preserve"> c. 3, §2)</w:t>
      </w:r>
      <w:r w:rsidR="0027178B">
        <w:t xml:space="preserve">. </w:t>
      </w:r>
      <w:r w:rsidR="00C1094A">
        <w:t xml:space="preserve">Reasoning, which constitutes the third operation of the mind likewise presupposes the previous two (and, in </w:t>
      </w:r>
      <w:r w:rsidR="00C1094A">
        <w:rPr>
          <w:i/>
        </w:rPr>
        <w:t>DL</w:t>
      </w:r>
      <w:r w:rsidR="00C1094A">
        <w:t>, presupposes the use of words) inasmuch as the paradigm instance of inference for Wolff takes place when we have a universal concept that is combined with a certain name, and from the occurrence of a state of affairs whose marks accord with the definition of the concept, we infer the applicability of the name to that state of affairs (</w:t>
      </w:r>
      <w:r w:rsidR="00C1094A">
        <w:rPr>
          <w:i/>
        </w:rPr>
        <w:t>DL</w:t>
      </w:r>
      <w:r w:rsidR="00C1094A">
        <w:t xml:space="preserve"> c. 4, §1). </w:t>
      </w:r>
    </w:p>
    <w:p w:rsidR="00293D3A" w:rsidRDefault="007C5B0B" w:rsidP="00F02113">
      <w:pPr>
        <w:spacing w:after="0"/>
        <w:ind w:firstLine="720"/>
      </w:pPr>
      <w:r>
        <w:t xml:space="preserve">The </w:t>
      </w:r>
      <w:r w:rsidR="00B444E0">
        <w:t xml:space="preserve">account of the three operations of the mind </w:t>
      </w:r>
      <w:r>
        <w:t>seems to take on increasing importance through Wolff’s subsequent works in logic. So while this account i</w:t>
      </w:r>
      <w:r w:rsidR="00B444E0">
        <w:t xml:space="preserve">s largely behind-the-scenes in the </w:t>
      </w:r>
      <w:r w:rsidR="00B444E0">
        <w:rPr>
          <w:i/>
        </w:rPr>
        <w:t>DL</w:t>
      </w:r>
      <w:r w:rsidR="00B444E0">
        <w:t xml:space="preserve">, Wolff </w:t>
      </w:r>
      <w:r w:rsidR="00AE15B0">
        <w:t xml:space="preserve">makes its role </w:t>
      </w:r>
      <w:r w:rsidR="00B444E0">
        <w:t xml:space="preserve">in driving his division of the subject </w:t>
      </w:r>
      <w:r w:rsidR="00AE15B0">
        <w:t xml:space="preserve">explicit in </w:t>
      </w:r>
      <w:r w:rsidR="00AE15B0">
        <w:rPr>
          <w:i/>
        </w:rPr>
        <w:t>AN</w:t>
      </w:r>
      <w:r w:rsidR="00B444E0">
        <w:t xml:space="preserve">, </w:t>
      </w:r>
      <w:r>
        <w:t>and</w:t>
      </w:r>
      <w:r w:rsidR="00AE15B0">
        <w:t xml:space="preserve"> </w:t>
      </w:r>
      <w:r w:rsidR="00B444E0">
        <w:t>also supplement</w:t>
      </w:r>
      <w:r w:rsidR="00AE15B0">
        <w:t xml:space="preserve">s his discussion </w:t>
      </w:r>
      <w:r w:rsidR="00B444E0">
        <w:t>with a defense of the completeness of the division of the mind’s operation into these three (and only these three) faculties.</w:t>
      </w:r>
      <w:r w:rsidR="00B444E0">
        <w:rPr>
          <w:rStyle w:val="FootnoteReference"/>
        </w:rPr>
        <w:footnoteReference w:id="35"/>
      </w:r>
      <w:r w:rsidR="003C006B">
        <w:t xml:space="preserve"> As Wolff points out, we can do nothing more </w:t>
      </w:r>
      <w:r w:rsidR="007B07EF">
        <w:t>with respect to</w:t>
      </w:r>
      <w:r w:rsidR="003C006B">
        <w:t xml:space="preserve"> things than either m</w:t>
      </w:r>
      <w:r w:rsidR="007B07EF">
        <w:t>erely representing them or judging</w:t>
      </w:r>
      <w:r w:rsidR="003C006B">
        <w:t xml:space="preserve"> regarding them, and thus our cognition must consist in either concepts or judgments; however, when judging regarding things, we assign</w:t>
      </w:r>
      <w:r>
        <w:t xml:space="preserve"> to </w:t>
      </w:r>
      <w:r w:rsidR="003C006B">
        <w:t>things either those properties which we directly perceive of them or properties which we take to pertain to them by means of a further judgment, in which latter case, we infer that the property belongs to them (</w:t>
      </w:r>
      <w:r w:rsidR="003C006B">
        <w:rPr>
          <w:i/>
        </w:rPr>
        <w:t>AN</w:t>
      </w:r>
      <w:r w:rsidR="003C006B">
        <w:t xml:space="preserve"> §56, 182). Accordingly, in order to account for all of our cognition we only need these three distinct operations: “</w:t>
      </w:r>
      <w:proofErr w:type="spellStart"/>
      <w:r w:rsidR="003C006B">
        <w:t>Entweder</w:t>
      </w:r>
      <w:proofErr w:type="spellEnd"/>
      <w:r w:rsidR="003C006B">
        <w:t xml:space="preserve"> </w:t>
      </w:r>
      <w:proofErr w:type="spellStart"/>
      <w:r w:rsidR="003C006B">
        <w:t>wir</w:t>
      </w:r>
      <w:proofErr w:type="spellEnd"/>
      <w:r w:rsidR="003C006B">
        <w:t xml:space="preserve"> </w:t>
      </w:r>
      <w:proofErr w:type="spellStart"/>
      <w:r w:rsidR="003C006B">
        <w:t>stellen</w:t>
      </w:r>
      <w:proofErr w:type="spellEnd"/>
      <w:r w:rsidR="003C006B">
        <w:t xml:space="preserve"> </w:t>
      </w:r>
      <w:proofErr w:type="spellStart"/>
      <w:r w:rsidR="003C006B">
        <w:t>uns</w:t>
      </w:r>
      <w:proofErr w:type="spellEnd"/>
      <w:r w:rsidR="003C006B">
        <w:t xml:space="preserve"> </w:t>
      </w:r>
      <w:proofErr w:type="spellStart"/>
      <w:r w:rsidR="003C006B">
        <w:t>eine</w:t>
      </w:r>
      <w:proofErr w:type="spellEnd"/>
      <w:r w:rsidR="003C006B">
        <w:t xml:space="preserve"> </w:t>
      </w:r>
      <w:proofErr w:type="spellStart"/>
      <w:r w:rsidR="003C006B">
        <w:t>Sache</w:t>
      </w:r>
      <w:proofErr w:type="spellEnd"/>
      <w:r w:rsidR="003C006B">
        <w:t xml:space="preserve"> </w:t>
      </w:r>
      <w:proofErr w:type="spellStart"/>
      <w:r w:rsidR="003C006B">
        <w:t>bloß</w:t>
      </w:r>
      <w:proofErr w:type="spellEnd"/>
      <w:r w:rsidR="003C006B">
        <w:t xml:space="preserve"> </w:t>
      </w:r>
      <w:proofErr w:type="spellStart"/>
      <w:r w:rsidR="003C006B">
        <w:t>vor</w:t>
      </w:r>
      <w:proofErr w:type="spellEnd"/>
      <w:r w:rsidR="003C006B">
        <w:t xml:space="preserve">, und </w:t>
      </w:r>
      <w:proofErr w:type="spellStart"/>
      <w:r w:rsidR="003C006B">
        <w:t>lassen</w:t>
      </w:r>
      <w:proofErr w:type="spellEnd"/>
      <w:r w:rsidR="003C006B">
        <w:t xml:space="preserve"> </w:t>
      </w:r>
      <w:proofErr w:type="spellStart"/>
      <w:r w:rsidR="003C006B">
        <w:t>es</w:t>
      </w:r>
      <w:proofErr w:type="spellEnd"/>
      <w:r w:rsidR="003C006B">
        <w:t xml:space="preserve"> </w:t>
      </w:r>
      <w:proofErr w:type="spellStart"/>
      <w:r w:rsidR="003C006B">
        <w:t>dabey</w:t>
      </w:r>
      <w:proofErr w:type="spellEnd"/>
      <w:r w:rsidR="003C006B">
        <w:t xml:space="preserve"> </w:t>
      </w:r>
      <w:proofErr w:type="spellStart"/>
      <w:r w:rsidR="003C006B">
        <w:t>bewenden</w:t>
      </w:r>
      <w:proofErr w:type="spellEnd"/>
      <w:r w:rsidR="003C006B">
        <w:t xml:space="preserve">; </w:t>
      </w:r>
      <w:proofErr w:type="spellStart"/>
      <w:r w:rsidR="003C006B">
        <w:t>oder</w:t>
      </w:r>
      <w:proofErr w:type="spellEnd"/>
      <w:r w:rsidR="003C006B">
        <w:t xml:space="preserve"> </w:t>
      </w:r>
      <w:proofErr w:type="spellStart"/>
      <w:r w:rsidR="003C006B">
        <w:t>wir</w:t>
      </w:r>
      <w:proofErr w:type="spellEnd"/>
      <w:r w:rsidR="003C006B">
        <w:t xml:space="preserve"> </w:t>
      </w:r>
      <w:proofErr w:type="spellStart"/>
      <w:r w:rsidR="003C006B">
        <w:t>urtheilen</w:t>
      </w:r>
      <w:proofErr w:type="spellEnd"/>
      <w:r w:rsidR="003C006B">
        <w:t xml:space="preserve"> von </w:t>
      </w:r>
      <w:proofErr w:type="spellStart"/>
      <w:r w:rsidR="003C006B">
        <w:t>ihr</w:t>
      </w:r>
      <w:proofErr w:type="spellEnd"/>
      <w:r w:rsidR="003C006B">
        <w:t xml:space="preserve"> </w:t>
      </w:r>
      <w:proofErr w:type="spellStart"/>
      <w:r w:rsidR="003C006B">
        <w:t>entweder</w:t>
      </w:r>
      <w:proofErr w:type="spellEnd"/>
      <w:r w:rsidR="003C006B">
        <w:t xml:space="preserve"> </w:t>
      </w:r>
      <w:proofErr w:type="spellStart"/>
      <w:r w:rsidR="003C006B">
        <w:t>aus</w:t>
      </w:r>
      <w:proofErr w:type="spellEnd"/>
      <w:r w:rsidR="003C006B">
        <w:t xml:space="preserve"> den </w:t>
      </w:r>
      <w:proofErr w:type="spellStart"/>
      <w:r w:rsidR="003C006B">
        <w:t>blossen</w:t>
      </w:r>
      <w:proofErr w:type="spellEnd"/>
      <w:r w:rsidR="003C006B">
        <w:t xml:space="preserve"> </w:t>
      </w:r>
      <w:proofErr w:type="spellStart"/>
      <w:r w:rsidR="003C006B">
        <w:t>Begriffen</w:t>
      </w:r>
      <w:proofErr w:type="spellEnd"/>
      <w:r w:rsidR="003C006B">
        <w:t xml:space="preserve">, </w:t>
      </w:r>
      <w:proofErr w:type="spellStart"/>
      <w:r w:rsidR="003C006B">
        <w:t>oder</w:t>
      </w:r>
      <w:proofErr w:type="spellEnd"/>
      <w:r w:rsidR="003C006B">
        <w:t xml:space="preserve"> </w:t>
      </w:r>
      <w:proofErr w:type="spellStart"/>
      <w:r w:rsidR="003C006B">
        <w:t>vermittelst</w:t>
      </w:r>
      <w:proofErr w:type="spellEnd"/>
      <w:r w:rsidR="003C006B">
        <w:t xml:space="preserve"> der </w:t>
      </w:r>
      <w:proofErr w:type="spellStart"/>
      <w:r w:rsidR="003C006B">
        <w:t>Vernunfft-Schlüsse</w:t>
      </w:r>
      <w:proofErr w:type="spellEnd"/>
      <w:r w:rsidR="003C006B">
        <w:t>” (</w:t>
      </w:r>
      <w:r w:rsidR="003C006B">
        <w:rPr>
          <w:i/>
        </w:rPr>
        <w:t>AN</w:t>
      </w:r>
      <w:r w:rsidR="003C006B">
        <w:t xml:space="preserve"> §56, 182-3). </w:t>
      </w:r>
      <w:r>
        <w:t>Significantly, t</w:t>
      </w:r>
      <w:r w:rsidR="007B07EF">
        <w:t>he</w:t>
      </w:r>
      <w:r w:rsidR="00AE15B0">
        <w:t xml:space="preserve"> </w:t>
      </w:r>
      <w:proofErr w:type="spellStart"/>
      <w:r w:rsidR="00AE15B0">
        <w:rPr>
          <w:i/>
        </w:rPr>
        <w:t>tres</w:t>
      </w:r>
      <w:proofErr w:type="spellEnd"/>
      <w:r w:rsidR="00AE15B0">
        <w:rPr>
          <w:i/>
        </w:rPr>
        <w:t xml:space="preserve"> </w:t>
      </w:r>
      <w:proofErr w:type="spellStart"/>
      <w:r w:rsidR="00AE15B0">
        <w:rPr>
          <w:i/>
        </w:rPr>
        <w:t>operationes</w:t>
      </w:r>
      <w:proofErr w:type="spellEnd"/>
      <w:r w:rsidR="00AE15B0">
        <w:rPr>
          <w:i/>
        </w:rPr>
        <w:t xml:space="preserve"> mentis</w:t>
      </w:r>
      <w:r w:rsidR="00AE15B0">
        <w:t xml:space="preserve"> </w:t>
      </w:r>
      <w:r w:rsidR="007B07EF">
        <w:t>are</w:t>
      </w:r>
      <w:r w:rsidR="00AE15B0">
        <w:t xml:space="preserve"> given an even more prominent place, and much more detailed tr</w:t>
      </w:r>
      <w:r w:rsidR="00EE7A4F">
        <w:t>eatment in Wolff’s Latin logic where, as was noted above, the entire first chapter of the first section of the theoretical part of logic is devoted to it.</w:t>
      </w:r>
      <w:r w:rsidR="00F40380">
        <w:rPr>
          <w:rStyle w:val="FootnoteReference"/>
        </w:rPr>
        <w:footnoteReference w:id="36"/>
      </w:r>
      <w:r w:rsidR="00EE7A4F">
        <w:t xml:space="preserve"> Wolff’s discussion </w:t>
      </w:r>
      <w:r w:rsidR="00293D3A">
        <w:t xml:space="preserve">incorporates many of the features of </w:t>
      </w:r>
      <w:r w:rsidR="00EE7A4F">
        <w:t>his previous treatments as</w:t>
      </w:r>
      <w:r w:rsidR="00293D3A">
        <w:t xml:space="preserve"> he identifies</w:t>
      </w:r>
      <w:r w:rsidR="00EE7A4F">
        <w:t xml:space="preserve"> </w:t>
      </w:r>
      <w:r w:rsidR="00EE7A4F">
        <w:rPr>
          <w:i/>
        </w:rPr>
        <w:t xml:space="preserve">simplex </w:t>
      </w:r>
      <w:proofErr w:type="spellStart"/>
      <w:r w:rsidR="00EE7A4F">
        <w:rPr>
          <w:i/>
        </w:rPr>
        <w:t>apprehensio</w:t>
      </w:r>
      <w:proofErr w:type="spellEnd"/>
      <w:r w:rsidR="00293D3A">
        <w:t xml:space="preserve">, or </w:t>
      </w:r>
      <w:r w:rsidR="00EE7A4F">
        <w:t xml:space="preserve">the act </w:t>
      </w:r>
      <w:r w:rsidR="00293D3A">
        <w:t>of attention to an object present to the senses or imagination through which we acquire notions of those objects (</w:t>
      </w:r>
      <w:r w:rsidR="00293D3A">
        <w:rPr>
          <w:i/>
        </w:rPr>
        <w:t>LL</w:t>
      </w:r>
      <w:r w:rsidR="00293D3A">
        <w:t xml:space="preserve"> §§33-</w:t>
      </w:r>
      <w:r w:rsidR="00977A97">
        <w:t>5</w:t>
      </w:r>
      <w:r w:rsidR="00293D3A">
        <w:t>)</w:t>
      </w:r>
      <w:r w:rsidR="00EE7A4F">
        <w:t>, judgment (</w:t>
      </w:r>
      <w:proofErr w:type="spellStart"/>
      <w:r w:rsidR="00E32C9E">
        <w:rPr>
          <w:i/>
        </w:rPr>
        <w:t>judicium</w:t>
      </w:r>
      <w:proofErr w:type="spellEnd"/>
      <w:r w:rsidR="00EE1035">
        <w:t>—§40</w:t>
      </w:r>
      <w:r w:rsidR="00EE7A4F">
        <w:t>), and reasoning (</w:t>
      </w:r>
      <w:proofErr w:type="spellStart"/>
      <w:r w:rsidR="00E32C9E" w:rsidRPr="00E32C9E">
        <w:rPr>
          <w:i/>
        </w:rPr>
        <w:t>discursus</w:t>
      </w:r>
      <w:proofErr w:type="spellEnd"/>
      <w:r w:rsidR="00EE1035">
        <w:t>—§50</w:t>
      </w:r>
      <w:r w:rsidR="00EE7A4F">
        <w:t xml:space="preserve">) as the three operations of </w:t>
      </w:r>
      <w:r w:rsidR="00977A97">
        <w:t>the mind;</w:t>
      </w:r>
      <w:r w:rsidR="00EE7A4F">
        <w:t xml:space="preserve"> rehearses his argument for the completeness of this division (</w:t>
      </w:r>
      <w:r w:rsidR="00EE7A4F">
        <w:rPr>
          <w:i/>
        </w:rPr>
        <w:t>LL</w:t>
      </w:r>
      <w:r w:rsidR="00EE7A4F">
        <w:t xml:space="preserve"> §</w:t>
      </w:r>
      <w:r w:rsidR="00977A97">
        <w:t>52);</w:t>
      </w:r>
      <w:r w:rsidR="00E32C9E">
        <w:t xml:space="preserve"> and reaffirms the order of these operations in cognition</w:t>
      </w:r>
      <w:r w:rsidR="00977A97">
        <w:t xml:space="preserve"> </w:t>
      </w:r>
      <w:r w:rsidR="00E32C9E">
        <w:t xml:space="preserve"> (</w:t>
      </w:r>
      <w:r w:rsidR="00E32C9E">
        <w:rPr>
          <w:i/>
        </w:rPr>
        <w:t>LL</w:t>
      </w:r>
      <w:r w:rsidR="00E32C9E">
        <w:t xml:space="preserve"> §53). </w:t>
      </w:r>
    </w:p>
    <w:p w:rsidR="00076C4F" w:rsidRDefault="004F04A5" w:rsidP="00076C4F">
      <w:pPr>
        <w:spacing w:after="0"/>
        <w:ind w:firstLine="720"/>
      </w:pPr>
      <w:r>
        <w:t xml:space="preserve">Following </w:t>
      </w:r>
      <w:r w:rsidR="00D640BC">
        <w:t>Wolff</w:t>
      </w:r>
      <w:r>
        <w:t xml:space="preserve">, a number of subsequent works in logic by German thinkers likewise emphasized </w:t>
      </w:r>
      <w:r w:rsidR="00D640BC">
        <w:t>the importance of the analysis of the(se) three operations of the mind</w:t>
      </w:r>
      <w:r>
        <w:t xml:space="preserve"> for logic. In his condensed presentation of </w:t>
      </w:r>
      <w:proofErr w:type="spellStart"/>
      <w:r>
        <w:t>Wolffian</w:t>
      </w:r>
      <w:proofErr w:type="spellEnd"/>
      <w:r>
        <w:t xml:space="preserve"> logic, </w:t>
      </w:r>
      <w:proofErr w:type="spellStart"/>
      <w:r>
        <w:t>Thümmig</w:t>
      </w:r>
      <w:proofErr w:type="spellEnd"/>
      <w:r>
        <w:t xml:space="preserve"> identifies his discussion of the entire theoretical </w:t>
      </w:r>
      <w:r>
        <w:lastRenderedPageBreak/>
        <w:t>part of logic as concerning</w:t>
      </w:r>
      <w:r w:rsidR="009610E1">
        <w:t xml:space="preserve"> the</w:t>
      </w:r>
      <w:r>
        <w:t xml:space="preserve"> “</w:t>
      </w:r>
      <w:proofErr w:type="spellStart"/>
      <w:r w:rsidRPr="004F04A5">
        <w:rPr>
          <w:i/>
        </w:rPr>
        <w:t>tribus</w:t>
      </w:r>
      <w:proofErr w:type="spellEnd"/>
      <w:r w:rsidRPr="004F04A5">
        <w:rPr>
          <w:i/>
        </w:rPr>
        <w:t xml:space="preserve"> mentis </w:t>
      </w:r>
      <w:proofErr w:type="spellStart"/>
      <w:r w:rsidRPr="004F04A5">
        <w:rPr>
          <w:i/>
        </w:rPr>
        <w:t>operationibus</w:t>
      </w:r>
      <w:proofErr w:type="spellEnd"/>
      <w:r w:rsidR="009B504D">
        <w:t>,</w:t>
      </w:r>
      <w:r w:rsidR="00962541">
        <w:t>”</w:t>
      </w:r>
      <w:r w:rsidR="00962541">
        <w:rPr>
          <w:rStyle w:val="FootnoteReference"/>
        </w:rPr>
        <w:footnoteReference w:id="37"/>
      </w:r>
      <w:r w:rsidR="009B504D">
        <w:t xml:space="preserve"> whereas </w:t>
      </w:r>
      <w:proofErr w:type="spellStart"/>
      <w:r w:rsidR="009B504D">
        <w:t>Reusch</w:t>
      </w:r>
      <w:proofErr w:type="spellEnd"/>
      <w:r w:rsidR="009B504D">
        <w:t xml:space="preserve"> offers an account of the operations and faculties of the mind in cognition as part of a “</w:t>
      </w:r>
      <w:proofErr w:type="spellStart"/>
      <w:r w:rsidR="009B504D">
        <w:t>propaed</w:t>
      </w:r>
      <w:r w:rsidR="00962541">
        <w:t>eumatic</w:t>
      </w:r>
      <w:proofErr w:type="spellEnd"/>
      <w:r w:rsidR="00962541">
        <w:t xml:space="preserve"> treatise” to his logic</w:t>
      </w:r>
      <w:r w:rsidR="004171AF">
        <w:t>.</w:t>
      </w:r>
      <w:r w:rsidR="00962541">
        <w:rPr>
          <w:rStyle w:val="FootnoteReference"/>
        </w:rPr>
        <w:footnoteReference w:id="38"/>
      </w:r>
      <w:r w:rsidR="004171AF">
        <w:t xml:space="preserve"> Significantly, </w:t>
      </w:r>
      <w:proofErr w:type="spellStart"/>
      <w:r w:rsidR="004171AF">
        <w:t>Knutzen</w:t>
      </w:r>
      <w:proofErr w:type="spellEnd"/>
      <w:r w:rsidR="004171AF">
        <w:t xml:space="preserve"> identifies the consideration of the faculty of cogn</w:t>
      </w:r>
      <w:r w:rsidR="00293D3A">
        <w:t>ition and its three operations a</w:t>
      </w:r>
      <w:r w:rsidR="004171AF">
        <w:t xml:space="preserve">s the first part of his </w:t>
      </w:r>
      <w:r w:rsidR="00962541">
        <w:t>general logic</w:t>
      </w:r>
      <w:r w:rsidR="0080353F">
        <w:t>.</w:t>
      </w:r>
      <w:r w:rsidR="0080353F">
        <w:rPr>
          <w:rStyle w:val="FootnoteReference"/>
        </w:rPr>
        <w:footnoteReference w:id="39"/>
      </w:r>
      <w:r w:rsidR="00023752">
        <w:t xml:space="preserve"> </w:t>
      </w:r>
      <w:r w:rsidR="003A2E7C">
        <w:t xml:space="preserve">Notably, there is no independent consideration of the three operations of the mind (although the analysis continues to play a structuring role) in </w:t>
      </w:r>
      <w:proofErr w:type="spellStart"/>
      <w:r w:rsidR="003A2E7C">
        <w:t>Baumgarten’s</w:t>
      </w:r>
      <w:proofErr w:type="spellEnd"/>
      <w:r w:rsidR="003A2E7C">
        <w:t xml:space="preserve"> </w:t>
      </w:r>
      <w:r w:rsidR="003A2E7C">
        <w:rPr>
          <w:i/>
        </w:rPr>
        <w:t xml:space="preserve">Acroasis </w:t>
      </w:r>
      <w:proofErr w:type="spellStart"/>
      <w:r w:rsidR="003A2E7C">
        <w:rPr>
          <w:i/>
        </w:rPr>
        <w:t>logica</w:t>
      </w:r>
      <w:proofErr w:type="spellEnd"/>
      <w:r w:rsidR="003A2E7C">
        <w:rPr>
          <w:i/>
        </w:rPr>
        <w:t xml:space="preserve"> </w:t>
      </w:r>
      <w:r w:rsidR="00962541">
        <w:t>of 1725</w:t>
      </w:r>
      <w:r w:rsidR="003A2E7C">
        <w:t xml:space="preserve">, which follows Wolff’s presentation in the </w:t>
      </w:r>
      <w:r w:rsidR="003A2E7C">
        <w:rPr>
          <w:i/>
        </w:rPr>
        <w:t>DL</w:t>
      </w:r>
      <w:r w:rsidR="003A2E7C">
        <w:t xml:space="preserve">, nor in Meier’s </w:t>
      </w:r>
      <w:proofErr w:type="spellStart"/>
      <w:r w:rsidR="003A2E7C">
        <w:rPr>
          <w:i/>
        </w:rPr>
        <w:t>Auszug</w:t>
      </w:r>
      <w:proofErr w:type="spellEnd"/>
      <w:r w:rsidR="003A2E7C">
        <w:rPr>
          <w:i/>
        </w:rPr>
        <w:t xml:space="preserve"> </w:t>
      </w:r>
      <w:proofErr w:type="spellStart"/>
      <w:r w:rsidR="003A2E7C">
        <w:rPr>
          <w:i/>
        </w:rPr>
        <w:t>aus</w:t>
      </w:r>
      <w:proofErr w:type="spellEnd"/>
      <w:r w:rsidR="003A2E7C">
        <w:rPr>
          <w:i/>
        </w:rPr>
        <w:t xml:space="preserve"> der </w:t>
      </w:r>
      <w:proofErr w:type="spellStart"/>
      <w:r w:rsidR="003A2E7C">
        <w:rPr>
          <w:i/>
        </w:rPr>
        <w:t>Vernunftlehre</w:t>
      </w:r>
      <w:proofErr w:type="spellEnd"/>
      <w:r w:rsidR="003A2E7C">
        <w:t>.</w:t>
      </w:r>
      <w:r w:rsidR="00A04E40">
        <w:t xml:space="preserve"> Most importantly</w:t>
      </w:r>
      <w:r w:rsidR="00507EDC">
        <w:t xml:space="preserve">, and in stark contrast with his reception of </w:t>
      </w:r>
      <w:r w:rsidR="00076C4F">
        <w:t xml:space="preserve">the other features of </w:t>
      </w:r>
      <w:r w:rsidR="00507EDC">
        <w:t xml:space="preserve">Wolff’s logic, Kant fully endorses the consideration of the three operations of the intellect. </w:t>
      </w:r>
      <w:r w:rsidR="00A04E40">
        <w:t xml:space="preserve">As a matter of fact, throughout his notes and lectures and logic Kant </w:t>
      </w:r>
      <w:r w:rsidR="003A5390">
        <w:t xml:space="preserve">makes frequent and approving mention </w:t>
      </w:r>
      <w:r w:rsidR="00A04E40">
        <w:t>of the “</w:t>
      </w:r>
      <w:proofErr w:type="spellStart"/>
      <w:r w:rsidR="00A04E40">
        <w:t>alte</w:t>
      </w:r>
      <w:proofErr w:type="spellEnd"/>
      <w:r w:rsidR="00A04E40">
        <w:t xml:space="preserve"> </w:t>
      </w:r>
      <w:proofErr w:type="spellStart"/>
      <w:r w:rsidR="00A04E40">
        <w:t>Eintheilung</w:t>
      </w:r>
      <w:proofErr w:type="spellEnd"/>
      <w:r w:rsidR="00A04E40">
        <w:t>” (</w:t>
      </w:r>
      <w:r w:rsidR="00A04E40">
        <w:rPr>
          <w:i/>
        </w:rPr>
        <w:t xml:space="preserve">R </w:t>
      </w:r>
      <w:r w:rsidR="00A04E40">
        <w:t xml:space="preserve">1705 [16:88]); as the </w:t>
      </w:r>
      <w:proofErr w:type="spellStart"/>
      <w:r w:rsidR="00A04E40">
        <w:t>Busolt</w:t>
      </w:r>
      <w:proofErr w:type="spellEnd"/>
      <w:r w:rsidR="00A04E40">
        <w:t xml:space="preserve"> logic notes read, “</w:t>
      </w:r>
      <w:proofErr w:type="spellStart"/>
      <w:r w:rsidR="00A04E40">
        <w:t>operationes</w:t>
      </w:r>
      <w:proofErr w:type="spellEnd"/>
      <w:r w:rsidR="00A04E40">
        <w:t xml:space="preserve"> mentis </w:t>
      </w:r>
      <w:proofErr w:type="spellStart"/>
      <w:r w:rsidR="00A04E40">
        <w:t>wurden</w:t>
      </w:r>
      <w:proofErr w:type="spellEnd"/>
      <w:r w:rsidR="00A04E40">
        <w:t xml:space="preserve"> </w:t>
      </w:r>
      <w:proofErr w:type="spellStart"/>
      <w:r w:rsidR="00A04E40">
        <w:t>schon</w:t>
      </w:r>
      <w:proofErr w:type="spellEnd"/>
      <w:r w:rsidR="00A04E40">
        <w:t xml:space="preserve"> von den </w:t>
      </w:r>
      <w:proofErr w:type="spellStart"/>
      <w:r w:rsidR="00A04E40">
        <w:t>Alten</w:t>
      </w:r>
      <w:proofErr w:type="spellEnd"/>
      <w:r w:rsidR="00A04E40">
        <w:t xml:space="preserve"> </w:t>
      </w:r>
      <w:proofErr w:type="spellStart"/>
      <w:r w:rsidR="00A04E40">
        <w:t>recht</w:t>
      </w:r>
      <w:proofErr w:type="spellEnd"/>
      <w:r w:rsidR="00A04E40">
        <w:t xml:space="preserve"> </w:t>
      </w:r>
      <w:proofErr w:type="spellStart"/>
      <w:r w:rsidR="00A04E40">
        <w:t>eingetheilt</w:t>
      </w:r>
      <w:proofErr w:type="spellEnd"/>
      <w:r w:rsidR="00A04E40">
        <w:t xml:space="preserve">, </w:t>
      </w:r>
      <w:proofErr w:type="spellStart"/>
      <w:r w:rsidR="00A04E40">
        <w:t>nehmlich</w:t>
      </w:r>
      <w:proofErr w:type="spellEnd"/>
      <w:r w:rsidR="00A04E40">
        <w:t xml:space="preserve">: </w:t>
      </w:r>
      <w:proofErr w:type="spellStart"/>
      <w:r w:rsidR="00A04E40">
        <w:t>apprehensio</w:t>
      </w:r>
      <w:proofErr w:type="spellEnd"/>
      <w:r w:rsidR="00A04E40">
        <w:t xml:space="preserve"> simplex</w:t>
      </w:r>
      <w:r w:rsidR="00076C4F">
        <w:t>[,]</w:t>
      </w:r>
      <w:r w:rsidR="00A04E40">
        <w:t xml:space="preserve"> d. </w:t>
      </w:r>
      <w:proofErr w:type="spellStart"/>
      <w:r w:rsidR="00A04E40">
        <w:t>i</w:t>
      </w:r>
      <w:proofErr w:type="spellEnd"/>
      <w:r w:rsidR="00A04E40">
        <w:t>. conceptus</w:t>
      </w:r>
      <w:r w:rsidR="00076C4F">
        <w:t>[,]</w:t>
      </w:r>
      <w:r w:rsidR="00A04E40">
        <w:t xml:space="preserve"> </w:t>
      </w:r>
      <w:proofErr w:type="spellStart"/>
      <w:r w:rsidR="00A04E40">
        <w:t>iudicium</w:t>
      </w:r>
      <w:proofErr w:type="spellEnd"/>
      <w:r w:rsidR="00A04E40">
        <w:t xml:space="preserve"> et </w:t>
      </w:r>
      <w:proofErr w:type="spellStart"/>
      <w:r w:rsidR="00A04E40">
        <w:t>ratiocinum</w:t>
      </w:r>
      <w:proofErr w:type="spellEnd"/>
      <w:r w:rsidR="00A04E40">
        <w:t>”</w:t>
      </w:r>
      <w:r w:rsidR="004A0BAB">
        <w:t xml:space="preserve"> (</w:t>
      </w:r>
      <w:r w:rsidR="00282E6C">
        <w:t>V-</w:t>
      </w:r>
      <w:proofErr w:type="spellStart"/>
      <w:r w:rsidR="00282E6C">
        <w:t>Lo</w:t>
      </w:r>
      <w:r w:rsidR="004A0BAB">
        <w:t>Bu</w:t>
      </w:r>
      <w:proofErr w:type="spellEnd"/>
      <w:r w:rsidR="004A0BAB">
        <w:t xml:space="preserve"> 24:653). </w:t>
      </w:r>
      <w:r w:rsidR="00A4586B">
        <w:t>Kant even appears to indicate the absence of such a consideration in Meier’s presentation, writing “</w:t>
      </w:r>
      <w:proofErr w:type="spellStart"/>
      <w:r w:rsidR="00A4586B">
        <w:t>tres</w:t>
      </w:r>
      <w:proofErr w:type="spellEnd"/>
      <w:r w:rsidR="00A4586B">
        <w:t xml:space="preserve"> </w:t>
      </w:r>
      <w:proofErr w:type="spellStart"/>
      <w:r w:rsidR="00A4586B">
        <w:t>operationes</w:t>
      </w:r>
      <w:proofErr w:type="spellEnd"/>
      <w:r w:rsidR="00A4586B">
        <w:t xml:space="preserve"> mentis” in his own copy of the </w:t>
      </w:r>
      <w:proofErr w:type="spellStart"/>
      <w:r w:rsidR="00A4586B">
        <w:rPr>
          <w:i/>
        </w:rPr>
        <w:t>Auszug</w:t>
      </w:r>
      <w:proofErr w:type="spellEnd"/>
      <w:r w:rsidR="00A4586B">
        <w:t xml:space="preserve"> at the outset of Meier’s treatment of concepts (</w:t>
      </w:r>
      <w:r w:rsidR="00A4586B">
        <w:rPr>
          <w:i/>
        </w:rPr>
        <w:t>R</w:t>
      </w:r>
      <w:r w:rsidR="00A4586B">
        <w:t xml:space="preserve"> 2829, 16:533; cf. Meier, </w:t>
      </w:r>
      <w:proofErr w:type="spellStart"/>
      <w:r w:rsidR="00A4586B">
        <w:rPr>
          <w:i/>
        </w:rPr>
        <w:t>Auszug</w:t>
      </w:r>
      <w:proofErr w:type="spellEnd"/>
      <w:r w:rsidR="00A4586B">
        <w:t xml:space="preserve"> §249).</w:t>
      </w:r>
      <w:r w:rsidR="00C56E2C">
        <w:rPr>
          <w:rStyle w:val="FootnoteReference"/>
        </w:rPr>
        <w:footnoteReference w:id="40"/>
      </w:r>
      <w:r w:rsidR="00A4586B">
        <w:t xml:space="preserve"> </w:t>
      </w:r>
    </w:p>
    <w:p w:rsidR="009B504D" w:rsidRDefault="003A58DC" w:rsidP="004A0101">
      <w:pPr>
        <w:spacing w:after="0"/>
        <w:ind w:firstLine="720"/>
      </w:pPr>
      <w:r>
        <w:t>It might</w:t>
      </w:r>
      <w:r w:rsidR="004A0101">
        <w:t>,</w:t>
      </w:r>
      <w:r>
        <w:t xml:space="preserve"> therefore</w:t>
      </w:r>
      <w:r w:rsidR="004A0101">
        <w:t>,</w:t>
      </w:r>
      <w:r>
        <w:t xml:space="preserve"> be conjectured that Kant’s praise of Wolff’s general logic as “the best we have” has </w:t>
      </w:r>
      <w:r w:rsidR="00842B96">
        <w:t xml:space="preserve">something </w:t>
      </w:r>
      <w:r>
        <w:t xml:space="preserve">to do specifically with the latter’s decided and distinctive emphasis on the importance of the analysis of the operations of the mind as a part of </w:t>
      </w:r>
      <w:r w:rsidR="00B77B50">
        <w:t xml:space="preserve">general logic </w:t>
      </w:r>
      <w:r w:rsidR="00A4586B">
        <w:t xml:space="preserve">and </w:t>
      </w:r>
      <w:r w:rsidR="00B77B50">
        <w:t xml:space="preserve">a </w:t>
      </w:r>
      <w:r>
        <w:t xml:space="preserve">prologue to </w:t>
      </w:r>
      <w:r w:rsidR="00A4586B">
        <w:t>the treatment of concepts, judgme</w:t>
      </w:r>
      <w:r w:rsidR="00B77B50">
        <w:t>nts, and inferences</w:t>
      </w:r>
      <w:r>
        <w:t>.</w:t>
      </w:r>
      <w:r w:rsidR="00842B96">
        <w:rPr>
          <w:rStyle w:val="FootnoteReference"/>
        </w:rPr>
        <w:footnoteReference w:id="41"/>
      </w:r>
      <w:r>
        <w:t xml:space="preserve"> </w:t>
      </w:r>
      <w:r w:rsidR="00A4586B">
        <w:t>Indeed, t</w:t>
      </w:r>
      <w:r>
        <w:t xml:space="preserve">hat Kant regarded such a division of the operations of the mind as foundational for the structure of general logic is undeniable, as Kant makes clear in the </w:t>
      </w:r>
      <w:proofErr w:type="spellStart"/>
      <w:r>
        <w:rPr>
          <w:i/>
        </w:rPr>
        <w:t>KrV</w:t>
      </w:r>
      <w:proofErr w:type="spellEnd"/>
      <w:r>
        <w:t>:</w:t>
      </w:r>
    </w:p>
    <w:p w:rsidR="003A58DC" w:rsidRDefault="003A58DC" w:rsidP="003A58DC">
      <w:pPr>
        <w:pStyle w:val="OffsetQuote"/>
      </w:pPr>
      <w:r>
        <w:t xml:space="preserve">General logic is constructed on a plan that corresponds quite precisely with the division of the higher faculties of cognition. These are: </w:t>
      </w:r>
      <w:r w:rsidRPr="003A58DC">
        <w:rPr>
          <w:i/>
        </w:rPr>
        <w:t>understanding</w:t>
      </w:r>
      <w:r>
        <w:t xml:space="preserve">, </w:t>
      </w:r>
      <w:r w:rsidRPr="003A58DC">
        <w:rPr>
          <w:i/>
        </w:rPr>
        <w:t>the power of judgment</w:t>
      </w:r>
      <w:r>
        <w:t xml:space="preserve">, and </w:t>
      </w:r>
      <w:r w:rsidRPr="003A58DC">
        <w:rPr>
          <w:i/>
        </w:rPr>
        <w:t>reason</w:t>
      </w:r>
      <w:r>
        <w:t xml:space="preserve">. In its analytic that doctrine accordingly deals with </w:t>
      </w:r>
      <w:r>
        <w:rPr>
          <w:i/>
        </w:rPr>
        <w:t>concepts</w:t>
      </w:r>
      <w:r>
        <w:t xml:space="preserve">, </w:t>
      </w:r>
      <w:r w:rsidRPr="003A58DC">
        <w:rPr>
          <w:i/>
        </w:rPr>
        <w:t>judgments</w:t>
      </w:r>
      <w:r>
        <w:t xml:space="preserve">, and </w:t>
      </w:r>
      <w:r>
        <w:rPr>
          <w:i/>
        </w:rPr>
        <w:t>inferences</w:t>
      </w:r>
      <w:r w:rsidR="00076C4F">
        <w:t>. (A130/B169)</w:t>
      </w:r>
    </w:p>
    <w:p w:rsidR="003A58DC" w:rsidRDefault="003A58DC" w:rsidP="003A58DC">
      <w:pPr>
        <w:pStyle w:val="OffsetQuote"/>
      </w:pPr>
    </w:p>
    <w:p w:rsidR="003A58DC" w:rsidRPr="009D5501" w:rsidRDefault="004A0101" w:rsidP="00706F0C">
      <w:pPr>
        <w:spacing w:after="0"/>
      </w:pPr>
      <w:r>
        <w:lastRenderedPageBreak/>
        <w:t xml:space="preserve">Even </w:t>
      </w:r>
      <w:r w:rsidR="00076C4F">
        <w:t>so</w:t>
      </w:r>
      <w:r>
        <w:t>, it</w:t>
      </w:r>
      <w:r w:rsidR="00076C4F">
        <w:t xml:space="preserve"> i</w:t>
      </w:r>
      <w:r>
        <w:t xml:space="preserve">s not </w:t>
      </w:r>
      <w:r w:rsidR="00A4586B">
        <w:t xml:space="preserve">immediately </w:t>
      </w:r>
      <w:r w:rsidR="003E6979">
        <w:t xml:space="preserve">clear that Wolff should be </w:t>
      </w:r>
      <w:r w:rsidR="00A4586B">
        <w:t xml:space="preserve">credited with </w:t>
      </w:r>
      <w:r w:rsidR="003364F6">
        <w:t>having brought</w:t>
      </w:r>
      <w:r w:rsidR="00A4586B">
        <w:t xml:space="preserve"> this anc</w:t>
      </w:r>
      <w:r w:rsidR="003E6979">
        <w:t>ient division to Kant’s attention. T</w:t>
      </w:r>
      <w:r w:rsidR="00A4586B">
        <w:t>here seems to be, for one, an important difference between Kant and Wolff regarding the operation of the intellect which yields concepts as its effect: so, where Kant takes this to be the understanding, presumably in the narrow sense (as the faculty of concepts)</w:t>
      </w:r>
      <w:r w:rsidR="009D5501">
        <w:t>,</w:t>
      </w:r>
      <w:r w:rsidR="008E0BB9">
        <w:rPr>
          <w:rStyle w:val="FootnoteReference"/>
        </w:rPr>
        <w:footnoteReference w:id="42"/>
      </w:r>
      <w:r w:rsidR="009D5501">
        <w:t xml:space="preserve"> Wolff we have seen takes the lower faculties, including sensation and imagination to be involved in </w:t>
      </w:r>
      <w:proofErr w:type="spellStart"/>
      <w:r w:rsidR="009D5501">
        <w:rPr>
          <w:i/>
        </w:rPr>
        <w:t>apprehensio</w:t>
      </w:r>
      <w:proofErr w:type="spellEnd"/>
      <w:r w:rsidR="009D5501">
        <w:rPr>
          <w:i/>
        </w:rPr>
        <w:t xml:space="preserve"> simplex</w:t>
      </w:r>
      <w:r w:rsidR="009D5501">
        <w:t xml:space="preserve"> and in the generation of concepts. Moreover, </w:t>
      </w:r>
      <w:r w:rsidR="003E6979">
        <w:t xml:space="preserve">and quite consistent with this difference, Kant never credits Wolff with re-introducing this distinction; so not only does he consistently refer to it as the “ancient” division, but </w:t>
      </w:r>
      <w:r w:rsidR="00076C4F">
        <w:t xml:space="preserve">in the student notes for one of his logic lectures </w:t>
      </w:r>
      <w:r w:rsidR="003E6979">
        <w:t xml:space="preserve">Kant </w:t>
      </w:r>
      <w:r w:rsidR="00076C4F">
        <w:t xml:space="preserve">even </w:t>
      </w:r>
      <w:r w:rsidR="003E6979">
        <w:t>appears to deny that Wolff’s logic made use of this division:</w:t>
      </w:r>
    </w:p>
    <w:p w:rsidR="009B504D" w:rsidRDefault="003E6979" w:rsidP="003E6979">
      <w:pPr>
        <w:pStyle w:val="OffsetQuote"/>
      </w:pPr>
      <w:r>
        <w:t xml:space="preserve">Der </w:t>
      </w:r>
      <w:proofErr w:type="spellStart"/>
      <w:r>
        <w:t>Vernunftbegriff</w:t>
      </w:r>
      <w:proofErr w:type="spellEnd"/>
      <w:r>
        <w:t xml:space="preserve"> </w:t>
      </w:r>
      <w:proofErr w:type="spellStart"/>
      <w:r>
        <w:t>entspringt</w:t>
      </w:r>
      <w:proofErr w:type="spellEnd"/>
      <w:r>
        <w:t xml:space="preserve"> </w:t>
      </w:r>
      <w:proofErr w:type="spellStart"/>
      <w:r>
        <w:t>aus</w:t>
      </w:r>
      <w:proofErr w:type="spellEnd"/>
      <w:r>
        <w:t xml:space="preserve"> </w:t>
      </w:r>
      <w:proofErr w:type="spellStart"/>
      <w:r>
        <w:t>einem</w:t>
      </w:r>
      <w:proofErr w:type="spellEnd"/>
      <w:r>
        <w:t xml:space="preserve"> </w:t>
      </w:r>
      <w:proofErr w:type="spellStart"/>
      <w:r>
        <w:t>Vernunftschluß</w:t>
      </w:r>
      <w:proofErr w:type="spellEnd"/>
      <w:r>
        <w:t>.</w:t>
      </w:r>
      <w:r w:rsidR="00980D02">
        <w:rPr>
          <w:rStyle w:val="FootnoteReference"/>
        </w:rPr>
        <w:footnoteReference w:id="43"/>
      </w:r>
      <w:r>
        <w:t xml:space="preserve"> [...] Also </w:t>
      </w:r>
      <w:proofErr w:type="spellStart"/>
      <w:r>
        <w:t>kann</w:t>
      </w:r>
      <w:proofErr w:type="spellEnd"/>
      <w:r>
        <w:t xml:space="preserve"> man auf </w:t>
      </w:r>
      <w:proofErr w:type="spellStart"/>
      <w:r>
        <w:t>eine</w:t>
      </w:r>
      <w:proofErr w:type="spellEnd"/>
      <w:r>
        <w:t xml:space="preserve"> </w:t>
      </w:r>
      <w:proofErr w:type="spellStart"/>
      <w:r>
        <w:t>notam</w:t>
      </w:r>
      <w:proofErr w:type="spellEnd"/>
      <w:r>
        <w:t xml:space="preserve"> </w:t>
      </w:r>
      <w:proofErr w:type="spellStart"/>
      <w:r>
        <w:t>remotam</w:t>
      </w:r>
      <w:proofErr w:type="spellEnd"/>
      <w:r>
        <w:t xml:space="preserve"> </w:t>
      </w:r>
      <w:proofErr w:type="spellStart"/>
      <w:r>
        <w:t>nur</w:t>
      </w:r>
      <w:proofErr w:type="spellEnd"/>
      <w:r>
        <w:t xml:space="preserve"> </w:t>
      </w:r>
      <w:proofErr w:type="spellStart"/>
      <w:r>
        <w:t>durch</w:t>
      </w:r>
      <w:proofErr w:type="spellEnd"/>
      <w:r>
        <w:t xml:space="preserve"> </w:t>
      </w:r>
      <w:proofErr w:type="spellStart"/>
      <w:r>
        <w:t>eine</w:t>
      </w:r>
      <w:proofErr w:type="spellEnd"/>
      <w:r>
        <w:t xml:space="preserve"> </w:t>
      </w:r>
      <w:proofErr w:type="spellStart"/>
      <w:r>
        <w:t>notam</w:t>
      </w:r>
      <w:proofErr w:type="spellEnd"/>
      <w:r>
        <w:t xml:space="preserve"> </w:t>
      </w:r>
      <w:proofErr w:type="spellStart"/>
      <w:r>
        <w:t>mediam</w:t>
      </w:r>
      <w:proofErr w:type="spellEnd"/>
      <w:r>
        <w:t xml:space="preserve">, </w:t>
      </w:r>
      <w:proofErr w:type="spellStart"/>
      <w:r>
        <w:t>durch</w:t>
      </w:r>
      <w:proofErr w:type="spellEnd"/>
      <w:r>
        <w:t xml:space="preserve"> </w:t>
      </w:r>
      <w:proofErr w:type="spellStart"/>
      <w:r>
        <w:t>einen</w:t>
      </w:r>
      <w:proofErr w:type="spellEnd"/>
      <w:r>
        <w:t xml:space="preserve"> </w:t>
      </w:r>
      <w:proofErr w:type="spellStart"/>
      <w:r>
        <w:t>Vernunftschluß</w:t>
      </w:r>
      <w:proofErr w:type="spellEnd"/>
      <w:r>
        <w:t xml:space="preserve"> </w:t>
      </w:r>
      <w:proofErr w:type="spellStart"/>
      <w:r>
        <w:t>schließen</w:t>
      </w:r>
      <w:proofErr w:type="spellEnd"/>
      <w:r>
        <w:t xml:space="preserve">. </w:t>
      </w:r>
      <w:proofErr w:type="spellStart"/>
      <w:r>
        <w:t>Daher</w:t>
      </w:r>
      <w:proofErr w:type="spellEnd"/>
      <w:r>
        <w:t xml:space="preserve"> man </w:t>
      </w:r>
      <w:proofErr w:type="spellStart"/>
      <w:r>
        <w:t>eher</w:t>
      </w:r>
      <w:proofErr w:type="spellEnd"/>
      <w:r>
        <w:t xml:space="preserve"> von </w:t>
      </w:r>
      <w:proofErr w:type="spellStart"/>
      <w:r>
        <w:t>Schlüssen</w:t>
      </w:r>
      <w:proofErr w:type="spellEnd"/>
      <w:r>
        <w:t xml:space="preserve"> </w:t>
      </w:r>
      <w:proofErr w:type="spellStart"/>
      <w:r>
        <w:t>handeln</w:t>
      </w:r>
      <w:proofErr w:type="spellEnd"/>
      <w:r>
        <w:t xml:space="preserve"> </w:t>
      </w:r>
      <w:proofErr w:type="spellStart"/>
      <w:r>
        <w:t>sollte</w:t>
      </w:r>
      <w:proofErr w:type="spellEnd"/>
      <w:r>
        <w:t xml:space="preserve">, die </w:t>
      </w:r>
      <w:proofErr w:type="spellStart"/>
      <w:r>
        <w:t>drei</w:t>
      </w:r>
      <w:proofErr w:type="spellEnd"/>
      <w:r>
        <w:t xml:space="preserve"> </w:t>
      </w:r>
      <w:proofErr w:type="spellStart"/>
      <w:r>
        <w:t>Operationen</w:t>
      </w:r>
      <w:proofErr w:type="spellEnd"/>
      <w:r>
        <w:t xml:space="preserve"> des </w:t>
      </w:r>
      <w:proofErr w:type="spellStart"/>
      <w:r>
        <w:t>Denkens</w:t>
      </w:r>
      <w:proofErr w:type="spellEnd"/>
      <w:r>
        <w:t xml:space="preserve"> </w:t>
      </w:r>
      <w:proofErr w:type="spellStart"/>
      <w:r>
        <w:t>gleich</w:t>
      </w:r>
      <w:proofErr w:type="spellEnd"/>
      <w:r>
        <w:t xml:space="preserve"> </w:t>
      </w:r>
      <w:proofErr w:type="spellStart"/>
      <w:r>
        <w:t>zuerst</w:t>
      </w:r>
      <w:proofErr w:type="spellEnd"/>
      <w:r>
        <w:t xml:space="preserve"> </w:t>
      </w:r>
      <w:proofErr w:type="spellStart"/>
      <w:r>
        <w:t>vornehmen</w:t>
      </w:r>
      <w:proofErr w:type="spellEnd"/>
      <w:r>
        <w:t xml:space="preserve"> </w:t>
      </w:r>
      <w:proofErr w:type="spellStart"/>
      <w:r>
        <w:t>sollte</w:t>
      </w:r>
      <w:proofErr w:type="spellEnd"/>
      <w:r>
        <w:t xml:space="preserve">. Die war Aristoteles’ </w:t>
      </w:r>
      <w:proofErr w:type="spellStart"/>
      <w:r>
        <w:t>Manier</w:t>
      </w:r>
      <w:proofErr w:type="spellEnd"/>
      <w:r>
        <w:t>—</w:t>
      </w:r>
      <w:proofErr w:type="spellStart"/>
      <w:r>
        <w:t>sehr</w:t>
      </w:r>
      <w:proofErr w:type="spellEnd"/>
      <w:r>
        <w:t xml:space="preserve"> stringent. –</w:t>
      </w:r>
      <w:proofErr w:type="spellStart"/>
      <w:r>
        <w:t>Es</w:t>
      </w:r>
      <w:proofErr w:type="spellEnd"/>
      <w:r>
        <w:t xml:space="preserve"> war Wolff, der </w:t>
      </w:r>
      <w:proofErr w:type="spellStart"/>
      <w:r>
        <w:t>es</w:t>
      </w:r>
      <w:proofErr w:type="spellEnd"/>
      <w:r>
        <w:t xml:space="preserve"> </w:t>
      </w:r>
      <w:proofErr w:type="spellStart"/>
      <w:r>
        <w:t>abbrachte</w:t>
      </w:r>
      <w:proofErr w:type="spellEnd"/>
      <w:r>
        <w:t>. (</w:t>
      </w:r>
      <w:r w:rsidR="00282E6C">
        <w:t>V-</w:t>
      </w:r>
      <w:proofErr w:type="spellStart"/>
      <w:r w:rsidR="00282E6C">
        <w:t>Lo</w:t>
      </w:r>
      <w:r>
        <w:t>DW</w:t>
      </w:r>
      <w:proofErr w:type="spellEnd"/>
      <w:r>
        <w:t xml:space="preserve"> 24:763)</w:t>
      </w:r>
    </w:p>
    <w:p w:rsidR="003E6979" w:rsidRDefault="003E6979" w:rsidP="003E6979">
      <w:pPr>
        <w:pStyle w:val="OffsetQuote"/>
      </w:pPr>
    </w:p>
    <w:p w:rsidR="00F02113" w:rsidRDefault="00B962E3" w:rsidP="00F02113">
      <w:pPr>
        <w:spacing w:after="0"/>
      </w:pPr>
      <w:r>
        <w:t xml:space="preserve">These points notwithstanding, </w:t>
      </w:r>
      <w:r w:rsidR="00F02113">
        <w:t xml:space="preserve">I will show in the next </w:t>
      </w:r>
      <w:r w:rsidR="001B63A4">
        <w:t xml:space="preserve">and final </w:t>
      </w:r>
      <w:r w:rsidR="00F02113">
        <w:t xml:space="preserve">section, </w:t>
      </w:r>
      <w:r w:rsidR="00076C4F">
        <w:t xml:space="preserve">that </w:t>
      </w:r>
      <w:r>
        <w:t xml:space="preserve">there is compelling evidence to suggest that Wolff’s analysis of the diverse operations of the mind in particular was taken into account by Kant and that it did in fact prove to be of decisive importance for his own general </w:t>
      </w:r>
      <w:r w:rsidR="001356EC">
        <w:t xml:space="preserve">(and transcendental) </w:t>
      </w:r>
      <w:r>
        <w:t xml:space="preserve">logic. </w:t>
      </w:r>
    </w:p>
    <w:p w:rsidR="00F02113" w:rsidRDefault="00F02113" w:rsidP="00F02113">
      <w:pPr>
        <w:spacing w:after="0"/>
      </w:pPr>
    </w:p>
    <w:p w:rsidR="00F02113" w:rsidRDefault="00B77B50" w:rsidP="00F02113">
      <w:pPr>
        <w:spacing w:after="0"/>
      </w:pPr>
      <w:r>
        <w:t>IV: Kant and Wolff on the Priority of Judging</w:t>
      </w:r>
    </w:p>
    <w:p w:rsidR="00B77B50" w:rsidRDefault="00B77B50" w:rsidP="00F02113">
      <w:pPr>
        <w:spacing w:after="0"/>
      </w:pPr>
    </w:p>
    <w:p w:rsidR="003E1F22" w:rsidRDefault="00293AB7" w:rsidP="00515DB4">
      <w:pPr>
        <w:spacing w:after="0"/>
      </w:pPr>
      <w:r>
        <w:tab/>
        <w:t xml:space="preserve">While Kant clearly departs from the antecedent tradition in substituting the operation of the understanding in its function of conceiving for </w:t>
      </w:r>
      <w:proofErr w:type="spellStart"/>
      <w:r>
        <w:rPr>
          <w:i/>
        </w:rPr>
        <w:t>apprehensio</w:t>
      </w:r>
      <w:proofErr w:type="spellEnd"/>
      <w:r>
        <w:rPr>
          <w:i/>
        </w:rPr>
        <w:t xml:space="preserve"> simplex</w:t>
      </w:r>
      <w:r w:rsidR="008119D2">
        <w:t>,</w:t>
      </w:r>
      <w:r w:rsidR="008119D2">
        <w:rPr>
          <w:rStyle w:val="FootnoteReference"/>
        </w:rPr>
        <w:footnoteReference w:id="44"/>
      </w:r>
      <w:r>
        <w:t xml:space="preserve"> and </w:t>
      </w:r>
      <w:r w:rsidR="0061018F">
        <w:t xml:space="preserve">in </w:t>
      </w:r>
      <w:r>
        <w:t xml:space="preserve">excluding any contribution of the lower faculties of cognition from his general logic, in doing so he appears nonetheless to draw on another, relatively overlooked feature of Wolff’s discussion of the three operations. </w:t>
      </w:r>
      <w:r w:rsidR="001D390D">
        <w:t xml:space="preserve">After arguing that simple apprehension, judgment, and reasoning are the (only) three operations of the mind in </w:t>
      </w:r>
      <w:r w:rsidR="001D390D">
        <w:lastRenderedPageBreak/>
        <w:t>§52, and re-affirming the correctness of their ordering in §53, Wolff turns to a consideration of universal notions (</w:t>
      </w:r>
      <w:proofErr w:type="spellStart"/>
      <w:r w:rsidR="001D390D">
        <w:rPr>
          <w:i/>
        </w:rPr>
        <w:t>notiones</w:t>
      </w:r>
      <w:proofErr w:type="spellEnd"/>
      <w:r w:rsidR="001D390D">
        <w:rPr>
          <w:i/>
        </w:rPr>
        <w:t xml:space="preserve"> </w:t>
      </w:r>
      <w:proofErr w:type="spellStart"/>
      <w:r w:rsidR="001D390D">
        <w:rPr>
          <w:i/>
        </w:rPr>
        <w:t>universales</w:t>
      </w:r>
      <w:proofErr w:type="spellEnd"/>
      <w:r w:rsidR="00FD677C">
        <w:t xml:space="preserve">) and accounting for how these are formed. Wolff’s treatment of this topic at this comparatively late juncture in the discussion of the three operations highlights an important feature of his earlier discussion of simple apprehension, namely, that the notions that we acquire by means of such apprehension are </w:t>
      </w:r>
      <w:r w:rsidR="00FD677C">
        <w:rPr>
          <w:i/>
        </w:rPr>
        <w:t>individual notions</w:t>
      </w:r>
      <w:r w:rsidR="00240D77">
        <w:t xml:space="preserve"> or</w:t>
      </w:r>
      <w:r w:rsidR="00BC2EB1">
        <w:t>,</w:t>
      </w:r>
      <w:r w:rsidR="00240D77">
        <w:t xml:space="preserve"> equivalently</w:t>
      </w:r>
      <w:r w:rsidR="00BC2EB1">
        <w:t>,</w:t>
      </w:r>
      <w:r w:rsidR="00240D77">
        <w:t xml:space="preserve"> </w:t>
      </w:r>
      <w:r w:rsidR="00240D77">
        <w:rPr>
          <w:i/>
        </w:rPr>
        <w:t>ideas</w:t>
      </w:r>
      <w:r w:rsidR="00240D77">
        <w:t xml:space="preserve"> (</w:t>
      </w:r>
      <w:r w:rsidR="00240D77">
        <w:rPr>
          <w:i/>
        </w:rPr>
        <w:t>LL</w:t>
      </w:r>
      <w:r w:rsidR="00BC2EB1">
        <w:t xml:space="preserve"> §34)</w:t>
      </w:r>
      <w:r w:rsidR="00240D77">
        <w:t xml:space="preserve"> which in retrospect is just what we would expect in light of the involvement of sensation which yields representations of individual</w:t>
      </w:r>
      <w:r w:rsidR="003E1F22">
        <w:t xml:space="preserve"> thing</w:t>
      </w:r>
      <w:r w:rsidR="00240D77">
        <w:t>s</w:t>
      </w:r>
      <w:r w:rsidR="00914BC7">
        <w:t xml:space="preserve"> (</w:t>
      </w:r>
      <w:r w:rsidR="00AE2424">
        <w:rPr>
          <w:i/>
        </w:rPr>
        <w:t>LL</w:t>
      </w:r>
      <w:r w:rsidR="00AE2424">
        <w:t xml:space="preserve"> §57</w:t>
      </w:r>
      <w:r w:rsidR="003E1F22">
        <w:t xml:space="preserve">). Accordingly, in §55 Wolff turns to accounting for how universal notions (which is to say </w:t>
      </w:r>
      <w:r w:rsidR="003E1F22" w:rsidRPr="00A10EFC">
        <w:rPr>
          <w:i/>
        </w:rPr>
        <w:t>concepts</w:t>
      </w:r>
      <w:r w:rsidR="003E1F22">
        <w:t xml:space="preserve"> in Kant’s sense), are formed, and </w:t>
      </w:r>
      <w:r w:rsidR="00241D6C">
        <w:t xml:space="preserve">he </w:t>
      </w:r>
      <w:r w:rsidR="003E1F22">
        <w:t>argues that this is only possible through the activ</w:t>
      </w:r>
      <w:r w:rsidR="00A10EFC">
        <w:t>ities of judgment and reasoning. The passage begins as follows:</w:t>
      </w:r>
    </w:p>
    <w:p w:rsidR="003E1F22" w:rsidRDefault="005337F3" w:rsidP="003E1F22">
      <w:pPr>
        <w:pStyle w:val="OffsetQuote"/>
      </w:pPr>
      <w:r>
        <w:rPr>
          <w:i/>
        </w:rPr>
        <w:t>It is not possible to form universal notions without the second and third operations of the mind</w:t>
      </w:r>
      <w:r w:rsidR="003E1F22">
        <w:t xml:space="preserve">. </w:t>
      </w:r>
      <w:r>
        <w:t xml:space="preserve">Since a universal notion comprehends things which are common to the notions of many individuals or of many species (§54), it cannot be formed unless you have distinguished that which is contained in the notion of the things from the things themselves, and you have determined whether these continually belong to them, or if they are subject to changes. </w:t>
      </w:r>
      <w:r w:rsidR="003E1F22">
        <w:t>(</w:t>
      </w:r>
      <w:r w:rsidR="003E1F22">
        <w:rPr>
          <w:i/>
        </w:rPr>
        <w:t>LL</w:t>
      </w:r>
      <w:r w:rsidR="003E1F22">
        <w:t xml:space="preserve"> §55)</w:t>
      </w:r>
    </w:p>
    <w:p w:rsidR="003E1F22" w:rsidRPr="003E1F22" w:rsidRDefault="003E1F22" w:rsidP="003E1F22">
      <w:pPr>
        <w:pStyle w:val="OffsetQuote"/>
      </w:pPr>
    </w:p>
    <w:p w:rsidR="00A97B05" w:rsidRDefault="00241D6C" w:rsidP="00A05EC0">
      <w:pPr>
        <w:spacing w:after="0"/>
      </w:pPr>
      <w:r>
        <w:t>Taking judgment first, Wolff’</w:t>
      </w:r>
      <w:r w:rsidR="00354F30">
        <w:t>s claim would appear to be</w:t>
      </w:r>
      <w:r>
        <w:t xml:space="preserve"> that in order to form a universal notion we must first distinguish between </w:t>
      </w:r>
      <w:r w:rsidR="0073640F">
        <w:t>the</w:t>
      </w:r>
      <w:r w:rsidR="00354F30">
        <w:t xml:space="preserve"> </w:t>
      </w:r>
      <w:r w:rsidR="0073640F">
        <w:t xml:space="preserve">individual </w:t>
      </w:r>
      <w:r w:rsidR="00354F30">
        <w:t>thing</w:t>
      </w:r>
      <w:r w:rsidR="0073640F">
        <w:t>s</w:t>
      </w:r>
      <w:r w:rsidR="00354F30">
        <w:t xml:space="preserve"> and the mar</w:t>
      </w:r>
      <w:r w:rsidR="0073640F">
        <w:t>k that is being attributed to them. Taking</w:t>
      </w:r>
      <w:r w:rsidR="00354F30">
        <w:t xml:space="preserve"> </w:t>
      </w:r>
      <w:r w:rsidR="0073640F">
        <w:t xml:space="preserve">a previous </w:t>
      </w:r>
      <w:r w:rsidR="00354F30">
        <w:t xml:space="preserve">example of a triangle that we intuit, Wolff explains that we discern three angles in the triangle which in turn we distinguish from it in taking the triangle to </w:t>
      </w:r>
      <w:r w:rsidR="00354F30">
        <w:rPr>
          <w:i/>
        </w:rPr>
        <w:t>have</w:t>
      </w:r>
      <w:r w:rsidR="00354F30">
        <w:t xml:space="preserve"> three angles (</w:t>
      </w:r>
      <w:r w:rsidR="00354F30">
        <w:rPr>
          <w:i/>
        </w:rPr>
        <w:t>LL</w:t>
      </w:r>
      <w:r w:rsidR="00354F30">
        <w:t xml:space="preserve"> §39n). Given that judgment, for Wolff, involves either attributing to or removing from a thing some mark that is distinct from it (</w:t>
      </w:r>
      <w:r w:rsidR="00354F30">
        <w:rPr>
          <w:i/>
        </w:rPr>
        <w:t>LL</w:t>
      </w:r>
      <w:r w:rsidR="00354F30">
        <w:t xml:space="preserve"> §39</w:t>
      </w:r>
      <w:r w:rsidR="00D14138">
        <w:t xml:space="preserve">; cf. also </w:t>
      </w:r>
      <w:r w:rsidR="00D14138">
        <w:rPr>
          <w:i/>
        </w:rPr>
        <w:t xml:space="preserve">DM </w:t>
      </w:r>
      <w:r w:rsidR="00D14138">
        <w:t>§§286-7</w:t>
      </w:r>
      <w:r w:rsidR="00354F30">
        <w:t>), he contends that an act of judgment is required for distinguishing the mark from the thing it pertains to</w:t>
      </w:r>
      <w:r w:rsidR="00A97B05">
        <w:t>; as he puts it after the previous quote, “</w:t>
      </w:r>
      <w:r w:rsidR="005337F3">
        <w:t>To the extent</w:t>
      </w:r>
      <w:r w:rsidR="00A97B05">
        <w:t>, then, that</w:t>
      </w:r>
      <w:r w:rsidR="005337F3">
        <w:t xml:space="preserve"> you recognize which [notions] agree with things, which ones cannot always </w:t>
      </w:r>
      <w:r w:rsidR="00A97B05">
        <w:t>agree, to that extent you judge”</w:t>
      </w:r>
      <w:r w:rsidR="0073640F">
        <w:t xml:space="preserve"> (</w:t>
      </w:r>
      <w:r w:rsidR="0073640F">
        <w:rPr>
          <w:i/>
        </w:rPr>
        <w:t>LL</w:t>
      </w:r>
      <w:r w:rsidR="0073640F">
        <w:t xml:space="preserve"> §55).</w:t>
      </w:r>
      <w:r w:rsidR="005337F3">
        <w:t xml:space="preserve"> </w:t>
      </w:r>
      <w:r w:rsidR="00790DB5">
        <w:t xml:space="preserve">With respect to </w:t>
      </w:r>
      <w:r w:rsidR="00A05EC0">
        <w:t>the involvement of the third operation, Wolff writes</w:t>
      </w:r>
      <w:r w:rsidR="005027D6">
        <w:t>:</w:t>
      </w:r>
    </w:p>
    <w:p w:rsidR="005027D6" w:rsidRDefault="005337F3" w:rsidP="005027D6">
      <w:pPr>
        <w:pStyle w:val="OffsetQuote"/>
      </w:pPr>
      <w:r>
        <w:t xml:space="preserve">moreover, it must be determined through reasoning whether that which we observe to be in a thing [quod rei </w:t>
      </w:r>
      <w:proofErr w:type="spellStart"/>
      <w:r>
        <w:t>inesse</w:t>
      </w:r>
      <w:proofErr w:type="spellEnd"/>
      <w:r>
        <w:t xml:space="preserve"> </w:t>
      </w:r>
      <w:proofErr w:type="spellStart"/>
      <w:r>
        <w:t>observamus</w:t>
      </w:r>
      <w:proofErr w:type="spellEnd"/>
      <w:r>
        <w:t>] always belong to these same things, or whether it can truly exist apart from it, [and] since these [actions] cannot be referred to intuitive judgments, so they must pertain to discursive judgments which are</w:t>
      </w:r>
      <w:r w:rsidR="005027D6">
        <w:t xml:space="preserve"> elicited by means of reasoning (</w:t>
      </w:r>
      <w:r w:rsidR="005027D6">
        <w:rPr>
          <w:i/>
        </w:rPr>
        <w:t>LL</w:t>
      </w:r>
      <w:r w:rsidR="005027D6">
        <w:t xml:space="preserve"> §55)</w:t>
      </w:r>
      <w:r>
        <w:t xml:space="preserve"> </w:t>
      </w:r>
    </w:p>
    <w:p w:rsidR="005027D6" w:rsidRDefault="005027D6" w:rsidP="005027D6">
      <w:pPr>
        <w:pStyle w:val="OffsetQuote"/>
      </w:pPr>
    </w:p>
    <w:p w:rsidR="001F1638" w:rsidRDefault="00FA5DFB" w:rsidP="00B63A38">
      <w:pPr>
        <w:spacing w:after="0"/>
      </w:pPr>
      <w:r>
        <w:t xml:space="preserve">Here, Wolff appears to contend that in order to form a universal concept, the mark that has been distinguished from the individuals (‘having three angles’ in the previous example) must further be recognized as an essential feature of the individuals of which it is predicated; thus, the universal notion ‘triangle’ is formed inasmuch as </w:t>
      </w:r>
      <w:r w:rsidR="00A05EC0">
        <w:t>we recognize that having three angles is not merely a feature of the triangle</w:t>
      </w:r>
      <w:r>
        <w:t>s</w:t>
      </w:r>
      <w:r w:rsidR="00A05EC0">
        <w:t xml:space="preserve"> we intuit but is in addition a characteristic feature </w:t>
      </w:r>
      <w:r w:rsidR="009B5DD5">
        <w:t>or mark of triangles as such.</w:t>
      </w:r>
      <w:r>
        <w:rPr>
          <w:rStyle w:val="FootnoteReference"/>
        </w:rPr>
        <w:footnoteReference w:id="45"/>
      </w:r>
      <w:r w:rsidR="00A05EC0">
        <w:t xml:space="preserve"> </w:t>
      </w:r>
      <w:r w:rsidR="009B5DD5">
        <w:t xml:space="preserve">As </w:t>
      </w:r>
      <w:r w:rsidR="00A05EC0">
        <w:lastRenderedPageBreak/>
        <w:t>Wolff explains</w:t>
      </w:r>
      <w:r w:rsidR="009B5DD5">
        <w:t>, this</w:t>
      </w:r>
      <w:r>
        <w:t xml:space="preserve"> additional step</w:t>
      </w:r>
      <w:r w:rsidR="009B5DD5">
        <w:t xml:space="preserve"> goes beyond an intuitive judgment</w:t>
      </w:r>
      <w:r w:rsidR="002F24EF">
        <w:t xml:space="preserve"> (</w:t>
      </w:r>
      <w:proofErr w:type="spellStart"/>
      <w:r w:rsidR="009B5DD5">
        <w:rPr>
          <w:i/>
        </w:rPr>
        <w:t>judicium</w:t>
      </w:r>
      <w:proofErr w:type="spellEnd"/>
      <w:r w:rsidR="009B5DD5">
        <w:rPr>
          <w:i/>
        </w:rPr>
        <w:t xml:space="preserve"> </w:t>
      </w:r>
      <w:proofErr w:type="spellStart"/>
      <w:r w:rsidR="009B5DD5">
        <w:rPr>
          <w:i/>
        </w:rPr>
        <w:t>intuitivum</w:t>
      </w:r>
      <w:proofErr w:type="spellEnd"/>
      <w:r w:rsidR="002F24EF" w:rsidRPr="002F24EF">
        <w:t>)</w:t>
      </w:r>
      <w:r w:rsidR="002F24EF">
        <w:t xml:space="preserve"> or </w:t>
      </w:r>
      <w:proofErr w:type="spellStart"/>
      <w:r w:rsidR="002F24EF">
        <w:rPr>
          <w:i/>
        </w:rPr>
        <w:t>Grund-Urtheile</w:t>
      </w:r>
      <w:proofErr w:type="spellEnd"/>
      <w:r w:rsidR="009B5DD5">
        <w:rPr>
          <w:i/>
        </w:rPr>
        <w:t xml:space="preserve"> </w:t>
      </w:r>
      <w:r w:rsidR="009B5DD5">
        <w:t>(</w:t>
      </w:r>
      <w:r w:rsidR="009B5DD5">
        <w:rPr>
          <w:i/>
        </w:rPr>
        <w:t>DL</w:t>
      </w:r>
      <w:r w:rsidR="009B5DD5">
        <w:t xml:space="preserve"> c. 5, §2; </w:t>
      </w:r>
      <w:r w:rsidR="009B5DD5">
        <w:rPr>
          <w:i/>
        </w:rPr>
        <w:t>LL</w:t>
      </w:r>
      <w:r w:rsidR="009B5DD5">
        <w:t xml:space="preserve"> §51), which involves the direct intuition of some feature as belon</w:t>
      </w:r>
      <w:r w:rsidR="00AA6D24">
        <w:t>g</w:t>
      </w:r>
      <w:r w:rsidR="009B5DD5">
        <w:t xml:space="preserve">ing to </w:t>
      </w:r>
      <w:proofErr w:type="spellStart"/>
      <w:r w:rsidR="009B5DD5">
        <w:t>some thing</w:t>
      </w:r>
      <w:proofErr w:type="spellEnd"/>
      <w:r w:rsidR="009B5DD5">
        <w:t>, but also requires a discursive judgment (</w:t>
      </w:r>
      <w:proofErr w:type="spellStart"/>
      <w:r w:rsidR="009B5DD5">
        <w:rPr>
          <w:i/>
        </w:rPr>
        <w:t>judicium</w:t>
      </w:r>
      <w:proofErr w:type="spellEnd"/>
      <w:r w:rsidR="009B5DD5">
        <w:rPr>
          <w:i/>
        </w:rPr>
        <w:t xml:space="preserve"> </w:t>
      </w:r>
      <w:proofErr w:type="spellStart"/>
      <w:r w:rsidR="009B5DD5">
        <w:rPr>
          <w:i/>
        </w:rPr>
        <w:t>discursivum</w:t>
      </w:r>
      <w:proofErr w:type="spellEnd"/>
      <w:r w:rsidR="003D0D44">
        <w:t>)</w:t>
      </w:r>
      <w:r w:rsidR="009B5DD5">
        <w:t xml:space="preserve"> or </w:t>
      </w:r>
      <w:proofErr w:type="spellStart"/>
      <w:r w:rsidR="002F24EF">
        <w:rPr>
          <w:i/>
        </w:rPr>
        <w:t>Nach-Urtheile</w:t>
      </w:r>
      <w:proofErr w:type="spellEnd"/>
      <w:r w:rsidR="002F24EF">
        <w:t xml:space="preserve"> (</w:t>
      </w:r>
      <w:r w:rsidR="002F24EF">
        <w:rPr>
          <w:i/>
        </w:rPr>
        <w:t>DL</w:t>
      </w:r>
      <w:r w:rsidR="002F24EF">
        <w:t xml:space="preserve"> c. </w:t>
      </w:r>
      <w:r w:rsidR="009B5DD5">
        <w:t xml:space="preserve">5, §2; </w:t>
      </w:r>
      <w:r w:rsidR="009B5DD5">
        <w:rPr>
          <w:i/>
        </w:rPr>
        <w:t>LL</w:t>
      </w:r>
      <w:r w:rsidR="009B5DD5">
        <w:t xml:space="preserve"> c. 5, §2</w:t>
      </w:r>
      <w:r w:rsidR="002F24EF">
        <w:t>)</w:t>
      </w:r>
      <w:r w:rsidR="009B5DD5">
        <w:t xml:space="preserve">, in accordance with which the feature is judged to always belong to that thing (inasmuch as it presupposes the further general claim, for instance, that </w:t>
      </w:r>
      <w:r w:rsidR="009B5DD5">
        <w:rPr>
          <w:i/>
        </w:rPr>
        <w:t>all triangles have three angles</w:t>
      </w:r>
      <w:r w:rsidR="009B5DD5">
        <w:t>—</w:t>
      </w:r>
      <w:r w:rsidR="009B5DD5">
        <w:rPr>
          <w:i/>
        </w:rPr>
        <w:t>LL</w:t>
      </w:r>
      <w:r w:rsidR="009B5DD5">
        <w:t xml:space="preserve"> §51n</w:t>
      </w:r>
      <w:r>
        <w:t xml:space="preserve">; cf. </w:t>
      </w:r>
      <w:r>
        <w:rPr>
          <w:i/>
        </w:rPr>
        <w:t>DM</w:t>
      </w:r>
      <w:r>
        <w:t xml:space="preserve"> §§336-7</w:t>
      </w:r>
      <w:r w:rsidR="009B5DD5">
        <w:t>)</w:t>
      </w:r>
      <w:r w:rsidR="002F24EF">
        <w:t>. The latter sort of judgments are “elicited by reasoning” insofar as they involve attributing a further mark of the predicate of the subject (</w:t>
      </w:r>
      <w:r w:rsidR="002F24EF">
        <w:rPr>
          <w:i/>
        </w:rPr>
        <w:t>LL</w:t>
      </w:r>
      <w:r w:rsidR="002F24EF">
        <w:t xml:space="preserve"> §51n). </w:t>
      </w:r>
    </w:p>
    <w:p w:rsidR="003A5F90" w:rsidRDefault="0061018F" w:rsidP="00D14138">
      <w:pPr>
        <w:spacing w:after="0"/>
      </w:pPr>
      <w:r>
        <w:tab/>
        <w:t xml:space="preserve">In spite of abandoning Wolff’s account of </w:t>
      </w:r>
      <w:proofErr w:type="spellStart"/>
      <w:r>
        <w:rPr>
          <w:i/>
        </w:rPr>
        <w:t>apprehensio</w:t>
      </w:r>
      <w:proofErr w:type="spellEnd"/>
      <w:r>
        <w:rPr>
          <w:i/>
        </w:rPr>
        <w:t xml:space="preserve"> simplex</w:t>
      </w:r>
      <w:r>
        <w:t xml:space="preserve">, Kant seems to have </w:t>
      </w:r>
      <w:r w:rsidR="00D14138">
        <w:t>made good use of Wolff’s</w:t>
      </w:r>
      <w:r>
        <w:t xml:space="preserve"> </w:t>
      </w:r>
      <w:r w:rsidR="00492841">
        <w:t>(widely overlooked</w:t>
      </w:r>
      <w:r w:rsidR="00492841">
        <w:rPr>
          <w:rStyle w:val="FootnoteReference"/>
        </w:rPr>
        <w:footnoteReference w:id="46"/>
      </w:r>
      <w:r w:rsidR="00492841">
        <w:t xml:space="preserve">) </w:t>
      </w:r>
      <w:r>
        <w:t>discussion of the role of judging and reasoning in the formation of universal concepts</w:t>
      </w:r>
      <w:r w:rsidR="00D14138">
        <w:t>. Indeed, t</w:t>
      </w:r>
      <w:r w:rsidR="001B63A4">
        <w:t xml:space="preserve">hat Kant is working out of the framework of Wolff’s original discussion is evident, for instance, in the “Concluding Reflection” of </w:t>
      </w:r>
      <w:r w:rsidR="00DD3B33">
        <w:rPr>
          <w:i/>
        </w:rPr>
        <w:t>F</w:t>
      </w:r>
      <w:r w:rsidR="00D14138">
        <w:rPr>
          <w:i/>
        </w:rPr>
        <w:t xml:space="preserve">alse </w:t>
      </w:r>
      <w:r w:rsidR="00DD3B33">
        <w:rPr>
          <w:i/>
        </w:rPr>
        <w:t>S</w:t>
      </w:r>
      <w:r w:rsidR="00D14138">
        <w:rPr>
          <w:i/>
        </w:rPr>
        <w:t>ubtlety</w:t>
      </w:r>
      <w:r w:rsidR="00DD3B33">
        <w:t xml:space="preserve">. </w:t>
      </w:r>
      <w:r w:rsidR="003A5F90">
        <w:t xml:space="preserve">There, Kant begins by arguing that the paradigmatic products of the understanding, namely, distinct and adequate concepts, involve judgment and reasoning, respectively. Concerning the former, Kant’s argument for the involvement of judgment proceeds along recognizably </w:t>
      </w:r>
      <w:proofErr w:type="spellStart"/>
      <w:r w:rsidR="003A5F90">
        <w:t>Wolffian</w:t>
      </w:r>
      <w:proofErr w:type="spellEnd"/>
      <w:r w:rsidR="003A5F90">
        <w:t xml:space="preserve"> lines:</w:t>
      </w:r>
    </w:p>
    <w:p w:rsidR="00A703E3" w:rsidRDefault="003A5F90" w:rsidP="003A5F90">
      <w:pPr>
        <w:pStyle w:val="OffsetQuote"/>
      </w:pPr>
      <w:r>
        <w:rPr>
          <w:i/>
        </w:rPr>
        <w:t>Firstly</w:t>
      </w:r>
      <w:r>
        <w:t xml:space="preserve">, then I would say: a </w:t>
      </w:r>
      <w:r>
        <w:rPr>
          <w:i/>
        </w:rPr>
        <w:t>distinct</w:t>
      </w:r>
      <w:r>
        <w:t xml:space="preserve"> concept is only possible by means of a </w:t>
      </w:r>
      <w:r w:rsidRPr="003A5F90">
        <w:rPr>
          <w:i/>
        </w:rPr>
        <w:t>judgment</w:t>
      </w:r>
      <w:r>
        <w:t xml:space="preserve">, while a </w:t>
      </w:r>
      <w:r>
        <w:rPr>
          <w:i/>
        </w:rPr>
        <w:t xml:space="preserve">complete </w:t>
      </w:r>
      <w:r>
        <w:t>concept is only possible by means of a syllogism. A distinct concept demands, namely, that I should clearly recognize something as a characteristic mark of a thing; but this is a judgment. In order to have a distinct concept of body, I clearly represent to myself impenetrability as a characteristic mark of it. (</w:t>
      </w:r>
      <w:r>
        <w:rPr>
          <w:i/>
        </w:rPr>
        <w:t>FS</w:t>
      </w:r>
      <w:r>
        <w:t xml:space="preserve"> 2:58)</w:t>
      </w:r>
    </w:p>
    <w:p w:rsidR="003A5F90" w:rsidRDefault="003A5F90" w:rsidP="003A5F90">
      <w:pPr>
        <w:pStyle w:val="OffsetQuote"/>
      </w:pPr>
    </w:p>
    <w:p w:rsidR="004D72BA" w:rsidRDefault="00247C24" w:rsidP="004D72BA">
      <w:pPr>
        <w:spacing w:after="0"/>
      </w:pPr>
      <w:r>
        <w:t>Kant argues that a distinct concept involves a judgment inasmuch as such a concept involves the clear representation of its marks which requires that we recognize some feature as a mark of that concept.</w:t>
      </w:r>
      <w:r>
        <w:rPr>
          <w:rStyle w:val="FootnoteReference"/>
        </w:rPr>
        <w:footnoteReference w:id="47"/>
      </w:r>
      <w:r>
        <w:t xml:space="preserve"> This is, of course, the same basis on which Wolff argues that universal concepts involve the second and third operations of the mind, and while Kant departs from Wolff’s presentation on a number of points, even these departures are consistent with </w:t>
      </w:r>
      <w:proofErr w:type="spellStart"/>
      <w:r>
        <w:t>Wolffian</w:t>
      </w:r>
      <w:proofErr w:type="spellEnd"/>
      <w:r>
        <w:t xml:space="preserve"> doctrines. </w:t>
      </w:r>
      <w:r w:rsidR="00584D89">
        <w:t xml:space="preserve">So, while Wolff contends that the operation of judgment </w:t>
      </w:r>
      <w:r w:rsidR="00584D89">
        <w:rPr>
          <w:i/>
        </w:rPr>
        <w:t>and reason</w:t>
      </w:r>
      <w:r w:rsidR="00584D89">
        <w:t xml:space="preserve"> is required for universal concepts, we have seen that reason’s activity is itself taken by Wolff as a form of judgment. More substantively,</w:t>
      </w:r>
      <w:r w:rsidR="00334FBE">
        <w:t xml:space="preserve"> </w:t>
      </w:r>
      <w:r>
        <w:t xml:space="preserve">Kant’s </w:t>
      </w:r>
      <w:r w:rsidR="00D14138">
        <w:t xml:space="preserve">focus on </w:t>
      </w:r>
      <w:r>
        <w:rPr>
          <w:i/>
        </w:rPr>
        <w:t>distinct</w:t>
      </w:r>
      <w:r>
        <w:t xml:space="preserve"> concepts (rather than </w:t>
      </w:r>
      <w:r>
        <w:rPr>
          <w:i/>
        </w:rPr>
        <w:t>universal</w:t>
      </w:r>
      <w:r>
        <w:t xml:space="preserve"> concepts</w:t>
      </w:r>
      <w:r w:rsidR="00D14138">
        <w:t xml:space="preserve"> as such</w:t>
      </w:r>
      <w:r>
        <w:t>) is just</w:t>
      </w:r>
      <w:r w:rsidR="00D14138">
        <w:t>ified given that, for Wolff, a</w:t>
      </w:r>
      <w:r>
        <w:t xml:space="preserve"> universa</w:t>
      </w:r>
      <w:r w:rsidR="00D14138">
        <w:t xml:space="preserve">l concept the marks of which we are clearly conscious of as </w:t>
      </w:r>
      <w:r>
        <w:t>belonging t</w:t>
      </w:r>
      <w:r w:rsidR="00D14138">
        <w:t xml:space="preserve">o it will qualify as distinct (cf. </w:t>
      </w:r>
      <w:r w:rsidR="00D14138">
        <w:rPr>
          <w:i/>
        </w:rPr>
        <w:t>DM</w:t>
      </w:r>
      <w:r w:rsidR="00D14138">
        <w:t xml:space="preserve"> §206), and the universal concepts which result from the operations of judgment and reasoning are </w:t>
      </w:r>
      <w:r w:rsidR="00D14138" w:rsidRPr="00D14138">
        <w:t>distinct</w:t>
      </w:r>
      <w:r w:rsidR="00D14138">
        <w:t xml:space="preserve"> since in the process of their formation we also gain a clear conception of (at </w:t>
      </w:r>
      <w:r w:rsidR="00D14138">
        <w:lastRenderedPageBreak/>
        <w:t>least some of) their constitutive marks.</w:t>
      </w:r>
      <w:r w:rsidR="00D14138">
        <w:rPr>
          <w:rStyle w:val="FootnoteReference"/>
        </w:rPr>
        <w:footnoteReference w:id="48"/>
      </w:r>
      <w:r w:rsidR="00543D9C">
        <w:t xml:space="preserve"> Kant does offer an important revision of Wolff’s account of the operation of reason, as what Wolff had identified as the contribution of reason (the recognition of the feature as an unchanging mark of the concept) is straightforwardly identified by Kant as the contribution of judgment. Instead, Kant takes the operation of reason to figure in adequate (</w:t>
      </w:r>
      <w:proofErr w:type="spellStart"/>
      <w:r w:rsidR="00543D9C">
        <w:rPr>
          <w:i/>
        </w:rPr>
        <w:t>vollständig</w:t>
      </w:r>
      <w:proofErr w:type="spellEnd"/>
      <w:r w:rsidR="00543D9C">
        <w:t xml:space="preserve">) concepts since such concepts involve the recognition of some mark as a </w:t>
      </w:r>
      <w:r w:rsidR="00543D9C" w:rsidRPr="00873957">
        <w:rPr>
          <w:i/>
        </w:rPr>
        <w:t>mediate</w:t>
      </w:r>
      <w:r w:rsidR="00543D9C">
        <w:t xml:space="preserve"> characteristic mark of something, and so as belonging to something in virtue of being a “characteristic mark of a characteristic mark of a thing” (</w:t>
      </w:r>
      <w:r w:rsidR="00543D9C">
        <w:rPr>
          <w:i/>
        </w:rPr>
        <w:t>FS</w:t>
      </w:r>
      <w:r w:rsidR="00543D9C">
        <w:t xml:space="preserve"> 2:47).</w:t>
      </w:r>
      <w:r w:rsidR="00543D9C">
        <w:rPr>
          <w:rStyle w:val="FootnoteReference"/>
        </w:rPr>
        <w:footnoteReference w:id="49"/>
      </w:r>
      <w:r w:rsidR="00543D9C">
        <w:t xml:space="preserve"> </w:t>
      </w:r>
      <w:r w:rsidR="004D72BA">
        <w:t xml:space="preserve">In any case, as a result of these considerations, Kant diagnoses a </w:t>
      </w:r>
      <w:r w:rsidR="0049754A">
        <w:t xml:space="preserve">widespread </w:t>
      </w:r>
      <w:r w:rsidR="004D72BA">
        <w:t xml:space="preserve">mistake with the order in which topics are treated in traditional (general) logic, namely, that “it discusses distinct and adequate concepts </w:t>
      </w:r>
      <w:r w:rsidR="004D72BA" w:rsidRPr="0049754A">
        <w:rPr>
          <w:i/>
        </w:rPr>
        <w:t>before</w:t>
      </w:r>
      <w:r w:rsidR="004D72BA">
        <w:t xml:space="preserve"> it discusses judgments and syllogisms, although the former are only possible in virtue of the latter” (</w:t>
      </w:r>
      <w:r w:rsidR="004D72BA">
        <w:rPr>
          <w:i/>
        </w:rPr>
        <w:t>FS</w:t>
      </w:r>
      <w:r w:rsidR="004D72BA">
        <w:t xml:space="preserve"> 2:59</w:t>
      </w:r>
      <w:r w:rsidR="0049754A">
        <w:t>—my emphasis</w:t>
      </w:r>
      <w:r w:rsidR="004D72BA">
        <w:t>).</w:t>
      </w:r>
    </w:p>
    <w:p w:rsidR="007B03B7" w:rsidRDefault="007B03B7" w:rsidP="007B03B7">
      <w:pPr>
        <w:spacing w:after="0"/>
      </w:pPr>
      <w:r>
        <w:tab/>
        <w:t xml:space="preserve">In spite of the (to my mind) undeniable resemblances between the treatment in </w:t>
      </w:r>
      <w:r>
        <w:rPr>
          <w:i/>
        </w:rPr>
        <w:t>False Subtlety</w:t>
      </w:r>
      <w:r>
        <w:t xml:space="preserve"> and Wolff’s argument in </w:t>
      </w:r>
      <w:r>
        <w:rPr>
          <w:i/>
        </w:rPr>
        <w:t xml:space="preserve">LL </w:t>
      </w:r>
      <w:r>
        <w:t xml:space="preserve">§55, Kant does not specifically mention his esteemed predecessor’s views on the role of judging in this regard, nor indeed does he explicitly exempt Wolff from the mistake he diagnoses with traditional logics. However, in related (albeit unpublished) </w:t>
      </w:r>
      <w:r w:rsidR="0058607E">
        <w:t xml:space="preserve">later </w:t>
      </w:r>
      <w:r>
        <w:t xml:space="preserve">discussions, Kant makes </w:t>
      </w:r>
      <w:r w:rsidR="0058607E">
        <w:t xml:space="preserve">explicit </w:t>
      </w:r>
      <w:r>
        <w:t xml:space="preserve">Wolff’s </w:t>
      </w:r>
      <w:r w:rsidR="0058607E">
        <w:t>involvement on this score</w:t>
      </w:r>
      <w:r>
        <w:t xml:space="preserve">. In the </w:t>
      </w:r>
      <w:proofErr w:type="spellStart"/>
      <w:r>
        <w:t>Busolt</w:t>
      </w:r>
      <w:proofErr w:type="spellEnd"/>
      <w:r>
        <w:t xml:space="preserve"> student notes to Kant’s lectures on logic, for instance, we find Kant emphasizing the consistency of his doctrine of the priority of judgment with Wolff’s conception of the understanding, as the faculty of distinct cognition, and Kant seems also to credit Wolff with having recognized that (distinct) concepts involve an act of judging:</w:t>
      </w:r>
    </w:p>
    <w:p w:rsidR="007B03B7" w:rsidRDefault="007B03B7" w:rsidP="007B03B7">
      <w:pPr>
        <w:pStyle w:val="OffsetQuote"/>
      </w:pPr>
      <w:r w:rsidRPr="00984DC4">
        <w:t>All actions of the understanding go back to judgments, and every object that we cognize, every concept is, as it were, a predicate of a possible judgment; so one can define the understanding, which one had previously defined as the capacity of concepts, as the capacity of judgment [</w:t>
      </w:r>
      <w:proofErr w:type="spellStart"/>
      <w:r w:rsidRPr="00984DC4">
        <w:t>Vermögen</w:t>
      </w:r>
      <w:proofErr w:type="spellEnd"/>
      <w:r w:rsidRPr="00984DC4">
        <w:t xml:space="preserve"> der </w:t>
      </w:r>
      <w:proofErr w:type="spellStart"/>
      <w:r w:rsidRPr="00984DC4">
        <w:t>Urtheile</w:t>
      </w:r>
      <w:proofErr w:type="spellEnd"/>
      <w:r w:rsidRPr="00984DC4">
        <w:t>] or of rules: for, the understanding is the source of rules, [and] because every judgment is a rule [and] every rule a judgment; for example, All men are mortal, as soon as</w:t>
      </w:r>
      <w:r>
        <w:t xml:space="preserve"> I see a man, this proposition is</w:t>
      </w:r>
      <w:r w:rsidRPr="00984DC4">
        <w:t xml:space="preserve"> like a rule for me: this man must also be mortal. This definition of the understanding agrees with that given by Wolff, namely, that the understanding is a capacity of distinct representations: for the logical distinctness of representations only comes about through judgment. Accordingly, [one] should discuss distinct representations among judgments [</w:t>
      </w:r>
      <w:proofErr w:type="spellStart"/>
      <w:r w:rsidRPr="00984DC4">
        <w:t>bei</w:t>
      </w:r>
      <w:proofErr w:type="spellEnd"/>
      <w:r w:rsidRPr="00984DC4">
        <w:t xml:space="preserve"> den </w:t>
      </w:r>
      <w:proofErr w:type="spellStart"/>
      <w:r w:rsidRPr="00984DC4">
        <w:t>Urtheilen</w:t>
      </w:r>
      <w:proofErr w:type="spellEnd"/>
      <w:r w:rsidRPr="00984DC4">
        <w:t>], because a distinct concept already presupposes a judgment. (</w:t>
      </w:r>
      <w:r w:rsidR="00282E6C">
        <w:t>V-</w:t>
      </w:r>
      <w:proofErr w:type="spellStart"/>
      <w:r w:rsidR="00282E6C">
        <w:t>Lo</w:t>
      </w:r>
      <w:r w:rsidRPr="00984DC4">
        <w:t>Bu</w:t>
      </w:r>
      <w:proofErr w:type="spellEnd"/>
      <w:r w:rsidRPr="00984DC4">
        <w:t xml:space="preserve"> [1789/90] 24:662-3)</w:t>
      </w:r>
      <w:r>
        <w:rPr>
          <w:rStyle w:val="FootnoteReference"/>
        </w:rPr>
        <w:footnoteReference w:id="50"/>
      </w:r>
    </w:p>
    <w:p w:rsidR="007B03B7" w:rsidRPr="00984DC4" w:rsidRDefault="007B03B7" w:rsidP="007B03B7">
      <w:pPr>
        <w:pStyle w:val="OffsetQuote"/>
      </w:pPr>
    </w:p>
    <w:p w:rsidR="007B03B7" w:rsidRDefault="007B03B7" w:rsidP="007B03B7">
      <w:pPr>
        <w:spacing w:after="0"/>
      </w:pPr>
      <w:r>
        <w:t>Significantly, in another passage, found in the Philippi student notes, we find Kant unfavourably comparing Meier’s treatment of distinctness to that of Wolff:</w:t>
      </w:r>
    </w:p>
    <w:p w:rsidR="007B03B7" w:rsidRDefault="007B03B7" w:rsidP="007B03B7">
      <w:pPr>
        <w:pStyle w:val="OffsetQuote"/>
      </w:pPr>
      <w:r>
        <w:t xml:space="preserve">In the following sections, the author discusses distinctness. Why did he </w:t>
      </w:r>
      <w:r w:rsidR="00513B7B">
        <w:t>save</w:t>
      </w:r>
      <w:r>
        <w:t xml:space="preserve"> [</w:t>
      </w:r>
      <w:proofErr w:type="spellStart"/>
      <w:r>
        <w:t>versparet</w:t>
      </w:r>
      <w:proofErr w:type="spellEnd"/>
      <w:r>
        <w:t>] this [discussion] for this point and why did he not introduce it immediately in the 10</w:t>
      </w:r>
      <w:r w:rsidRPr="00C2335C">
        <w:rPr>
          <w:vertAlign w:val="superscript"/>
        </w:rPr>
        <w:t>th</w:t>
      </w:r>
      <w:r>
        <w:t xml:space="preserve"> section according to the example of Wolff? He [i.e., </w:t>
      </w:r>
      <w:r w:rsidRPr="004D72BA">
        <w:rPr>
          <w:i/>
        </w:rPr>
        <w:t>Wolff</w:t>
      </w:r>
      <w:r>
        <w:t>—CD] has perfectly good cause [for this]. No distinctness comes about without judgment: therefore, the treatment of judgment must precede. (</w:t>
      </w:r>
      <w:r w:rsidR="00282E6C">
        <w:t>V-</w:t>
      </w:r>
      <w:proofErr w:type="spellStart"/>
      <w:r w:rsidR="00282E6C">
        <w:t>Lo</w:t>
      </w:r>
      <w:r>
        <w:t>Ph</w:t>
      </w:r>
      <w:proofErr w:type="spellEnd"/>
      <w:r>
        <w:t xml:space="preserve"> [1772] 24:409)</w:t>
      </w:r>
    </w:p>
    <w:p w:rsidR="007B03B7" w:rsidRDefault="007B03B7" w:rsidP="007B03B7">
      <w:pPr>
        <w:pStyle w:val="OffsetQuote"/>
      </w:pPr>
    </w:p>
    <w:p w:rsidR="007B03B7" w:rsidRDefault="007B03B7" w:rsidP="007B03B7">
      <w:pPr>
        <w:spacing w:after="0"/>
      </w:pPr>
      <w:r>
        <w:t xml:space="preserve">Kant is evidently referring to Meier’s discussion of distinct cognition in the Fifth Section of the </w:t>
      </w:r>
      <w:proofErr w:type="spellStart"/>
      <w:r>
        <w:rPr>
          <w:i/>
        </w:rPr>
        <w:t>Auszug</w:t>
      </w:r>
      <w:proofErr w:type="spellEnd"/>
      <w:r>
        <w:t xml:space="preserve"> (§135ff) entitled “Of the Clarity of Learned Cognition” and which contains Meier’s initial treatment of concepts. Here, Kant faults Meier for failing to treat distinctness only after the discussion of judgment, which in Meier’s text occupied the Ninth Section (“Of Learned Judgments”), which would mean that distinctness would more appropriately be discussed at the outset of the Tenth Section (“Of Learned Inferences”). Kant’s comparison with Wolff is, at first blush, peculiar since Wolff himself likewise discusses distinctness in the context of his treatment of concepts in both </w:t>
      </w:r>
      <w:r>
        <w:rPr>
          <w:i/>
        </w:rPr>
        <w:t>DL</w:t>
      </w:r>
      <w:r>
        <w:t xml:space="preserve"> (c. 1, §13) and </w:t>
      </w:r>
      <w:r>
        <w:rPr>
          <w:i/>
        </w:rPr>
        <w:t xml:space="preserve">LL </w:t>
      </w:r>
      <w:r>
        <w:t xml:space="preserve">(§88), and so </w:t>
      </w:r>
      <w:r w:rsidRPr="003511DB">
        <w:rPr>
          <w:i/>
        </w:rPr>
        <w:t>before</w:t>
      </w:r>
      <w:r>
        <w:t xml:space="preserve"> his full-dress account of judgment. Yet, in light of the foregoing, it should be clear that what Kant is referring to here is not Wolff’s consideration of the various forms of </w:t>
      </w:r>
      <w:r w:rsidRPr="0056401F">
        <w:rPr>
          <w:i/>
        </w:rPr>
        <w:t>judgments</w:t>
      </w:r>
      <w:r>
        <w:t>, but rather his initial investigation into the operations of the mind, which investigation, as we can now see Kant was clearly aware, amounts to an argument for the priority of the capacity of judging with respect to the operation of the understanding in the formation of concepts.</w:t>
      </w:r>
    </w:p>
    <w:p w:rsidR="00D14138" w:rsidRDefault="000F2C0D" w:rsidP="00951FDF">
      <w:pPr>
        <w:spacing w:after="0"/>
        <w:ind w:firstLine="720"/>
      </w:pPr>
      <w:r>
        <w:t xml:space="preserve">This is to say, then, that Wolff is to be credited with having avoided the mistake of treating concepts, judgments, and inferences before conducting an analysis of the various operations of the mind </w:t>
      </w:r>
      <w:r w:rsidR="002A7A81">
        <w:t>since</w:t>
      </w:r>
      <w:r>
        <w:t xml:space="preserve">, crucially, Wolff (and </w:t>
      </w:r>
      <w:r w:rsidR="001109BE">
        <w:t xml:space="preserve">apparently </w:t>
      </w:r>
      <w:r>
        <w:t>Wolff alone</w:t>
      </w:r>
      <w:r>
        <w:rPr>
          <w:rStyle w:val="FootnoteReference"/>
        </w:rPr>
        <w:footnoteReference w:id="51"/>
      </w:r>
      <w:r>
        <w:t>) recogniz</w:t>
      </w:r>
      <w:r w:rsidR="002A7A81">
        <w:t>ed</w:t>
      </w:r>
      <w:r>
        <w:t xml:space="preserve"> the priority of the act of judgment, at least concerning the formation of (universal) concepts. </w:t>
      </w:r>
      <w:r w:rsidR="00414C3B">
        <w:t xml:space="preserve">Wolff’s importance for Kant on this score is not, however, limited to disclosing a role for judgment in the formation of distinct concepts since Kant’s discussion in </w:t>
      </w:r>
      <w:r w:rsidR="00414C3B">
        <w:rPr>
          <w:i/>
        </w:rPr>
        <w:t>False Subtlety</w:t>
      </w:r>
      <w:r w:rsidR="00414C3B">
        <w:t xml:space="preserve"> amounts to Kant’s first (published) defense of the thesis that “the higher faculty of cognition rests absolutely and simply on the capacity to judge” (</w:t>
      </w:r>
      <w:r w:rsidR="00414C3B">
        <w:rPr>
          <w:i/>
        </w:rPr>
        <w:t>FS</w:t>
      </w:r>
      <w:r w:rsidR="00414C3B">
        <w:t xml:space="preserve"> 2:59). So, with respect to the understanding (taken narrowly), its actions can be traced back to </w:t>
      </w:r>
      <w:r w:rsidR="00414C3B">
        <w:lastRenderedPageBreak/>
        <w:t xml:space="preserve">judging given that this activity has been shown to be indispensable for the formation of distinct concepts and where Kant takes </w:t>
      </w:r>
      <w:r w:rsidR="007C2917">
        <w:t xml:space="preserve">the understanding in the </w:t>
      </w:r>
      <w:proofErr w:type="spellStart"/>
      <w:r w:rsidR="007C2917">
        <w:t>Wolffian</w:t>
      </w:r>
      <w:proofErr w:type="spellEnd"/>
      <w:r w:rsidR="007C2917">
        <w:t xml:space="preserve"> sense, namely, as the faculty of distinct representation (cf. </w:t>
      </w:r>
      <w:r w:rsidR="007C2917">
        <w:rPr>
          <w:i/>
        </w:rPr>
        <w:t>DM</w:t>
      </w:r>
      <w:r w:rsidR="007C2917">
        <w:t xml:space="preserve"> §277, </w:t>
      </w:r>
      <w:r w:rsidR="007C2917">
        <w:rPr>
          <w:i/>
        </w:rPr>
        <w:t>PE</w:t>
      </w:r>
      <w:r w:rsidR="007C2917">
        <w:t xml:space="preserve"> §275). Moreover, Kant contends that reason, as evidenced in its production of a</w:t>
      </w:r>
      <w:r w:rsidR="00873957">
        <w:t>dequate concepts, is not</w:t>
      </w:r>
      <w:r w:rsidR="00513B7B">
        <w:t xml:space="preserve"> at bottom</w:t>
      </w:r>
      <w:r w:rsidR="00873957">
        <w:t xml:space="preserve"> a different faculty from judgment since the difference only </w:t>
      </w:r>
      <w:r w:rsidR="00513B7B">
        <w:t>concerns whether some feature is recognized a</w:t>
      </w:r>
      <w:r w:rsidR="00873957">
        <w:t>s an immediate or a mediate c</w:t>
      </w:r>
      <w:r w:rsidR="00513B7B">
        <w:t>haracteristic mark which, in either case</w:t>
      </w:r>
      <w:r w:rsidR="00873957">
        <w:t>, amounts to a judgment</w:t>
      </w:r>
      <w:r w:rsidR="007111BC">
        <w:t>.</w:t>
      </w:r>
      <w:r w:rsidR="00873957">
        <w:rPr>
          <w:rStyle w:val="FootnoteReference"/>
        </w:rPr>
        <w:footnoteReference w:id="52"/>
      </w:r>
      <w:r w:rsidR="007111BC">
        <w:t xml:space="preserve"> </w:t>
      </w:r>
      <w:r w:rsidR="007C2917">
        <w:t xml:space="preserve">While, as mentioned, this latter point amounts to a departure from Wolff’s account of reason (which he took to be involved in the formation of universal or distinct concepts), it is nonetheless arguably within the spirit of the close connection Wolff draws between judgment and reasoning, as </w:t>
      </w:r>
      <w:r w:rsidR="00951FDF">
        <w:t>was already suggested by h</w:t>
      </w:r>
      <w:r w:rsidR="007C2917">
        <w:t>is characterizati</w:t>
      </w:r>
      <w:r w:rsidR="00951FDF">
        <w:t>on of the products of the latter in terms of judgments</w:t>
      </w:r>
      <w:r w:rsidR="00953941">
        <w:t>.</w:t>
      </w:r>
      <w:r w:rsidR="00953941">
        <w:rPr>
          <w:rStyle w:val="FootnoteReference"/>
        </w:rPr>
        <w:footnoteReference w:id="53"/>
      </w:r>
      <w:r w:rsidR="007C2917">
        <w:t xml:space="preserve"> </w:t>
      </w:r>
      <w:r w:rsidR="00951FDF">
        <w:t xml:space="preserve">Of course, Kant goes further than Wolff given that </w:t>
      </w:r>
      <w:r w:rsidR="00561BCF">
        <w:t>Wolff does not contend</w:t>
      </w:r>
      <w:r w:rsidR="00951FDF">
        <w:t xml:space="preserve"> that</w:t>
      </w:r>
      <w:r w:rsidR="00561BCF">
        <w:t xml:space="preserve"> what is, for him,</w:t>
      </w:r>
      <w:r w:rsidR="00951FDF">
        <w:t xml:space="preserve"> </w:t>
      </w:r>
      <w:r w:rsidR="00561BCF">
        <w:t>the first operation of the mind (</w:t>
      </w:r>
      <w:proofErr w:type="spellStart"/>
      <w:r w:rsidR="00951FDF">
        <w:rPr>
          <w:i/>
        </w:rPr>
        <w:t>apprehensio</w:t>
      </w:r>
      <w:proofErr w:type="spellEnd"/>
      <w:r w:rsidR="00951FDF">
        <w:rPr>
          <w:i/>
        </w:rPr>
        <w:t xml:space="preserve"> simplex</w:t>
      </w:r>
      <w:r w:rsidR="00561BCF">
        <w:t>)</w:t>
      </w:r>
      <w:r w:rsidR="00951FDF">
        <w:t xml:space="preserve"> involves judging,</w:t>
      </w:r>
      <w:r w:rsidR="00951FDF">
        <w:rPr>
          <w:rStyle w:val="FootnoteReference"/>
        </w:rPr>
        <w:footnoteReference w:id="54"/>
      </w:r>
      <w:r w:rsidR="00951FDF">
        <w:t xml:space="preserve"> </w:t>
      </w:r>
      <w:r w:rsidR="00561BCF">
        <w:t>yet</w:t>
      </w:r>
      <w:r w:rsidR="00951FDF">
        <w:t xml:space="preserve"> this does not detract from the</w:t>
      </w:r>
      <w:r w:rsidR="00561BCF">
        <w:t xml:space="preserve"> relevance</w:t>
      </w:r>
      <w:r w:rsidR="00951FDF">
        <w:t xml:space="preserve"> of Wolff’s discussion of the operations of the mind for Kant’s eventual identification of the understanding</w:t>
      </w:r>
      <w:r w:rsidR="00513B7B">
        <w:t>, in all of its actions,</w:t>
      </w:r>
      <w:r w:rsidR="00951FDF">
        <w:t xml:space="preserve"> as a faculty of judging.</w:t>
      </w:r>
    </w:p>
    <w:p w:rsidR="004904DF" w:rsidRDefault="00561BCF" w:rsidP="004904DF">
      <w:pPr>
        <w:spacing w:after="0"/>
      </w:pPr>
      <w:r>
        <w:tab/>
        <w:t>Ultimately, then, it is Wolff’s incorporation of his distinctive analysis of the operations of the mind within his “general” logic that sets his treatment off from those of his predecessors and successors and which earns the high praise of Kant and his disciples.</w:t>
      </w:r>
      <w:r w:rsidRPr="00561BCF">
        <w:rPr>
          <w:rStyle w:val="FootnoteReference"/>
        </w:rPr>
        <w:t xml:space="preserve"> </w:t>
      </w:r>
      <w:r>
        <w:t>Indeed, Wolff’s importance</w:t>
      </w:r>
      <w:r w:rsidR="00F1172F">
        <w:t xml:space="preserve"> for Kant</w:t>
      </w:r>
      <w:r>
        <w:t xml:space="preserve"> in this regard is difficult to over-estimate. </w:t>
      </w:r>
      <w:r w:rsidR="001109BE">
        <w:t xml:space="preserve">More than serving a merely </w:t>
      </w:r>
      <w:r>
        <w:t>structural importance for Kant,</w:t>
      </w:r>
      <w:r w:rsidR="001109BE">
        <w:t xml:space="preserve"> </w:t>
      </w:r>
      <w:r w:rsidR="00536F07">
        <w:t>the investigation into the operations of the mind</w:t>
      </w:r>
      <w:r>
        <w:t xml:space="preserve">, </w:t>
      </w:r>
      <w:r w:rsidR="001109BE">
        <w:t xml:space="preserve">plays an essential role in general </w:t>
      </w:r>
      <w:r w:rsidRPr="00561BCF">
        <w:rPr>
          <w:i/>
        </w:rPr>
        <w:t>and</w:t>
      </w:r>
      <w:r>
        <w:t xml:space="preserve"> transcendental </w:t>
      </w:r>
      <w:r w:rsidR="001109BE">
        <w:t>logic given that</w:t>
      </w:r>
      <w:r>
        <w:t xml:space="preserve"> the tracing back of all of the understanding’s actions to the capacity to judge is just what serves as the clue for Kant’s discovery and complete exhibition of the categories at the basis of </w:t>
      </w:r>
      <w:r w:rsidR="00536F07">
        <w:t xml:space="preserve">the unprecedented enterprise of transcendental logic. </w:t>
      </w:r>
      <w:r>
        <w:t xml:space="preserve">It is, then, </w:t>
      </w:r>
      <w:r w:rsidR="00F1172F">
        <w:t xml:space="preserve">just </w:t>
      </w:r>
      <w:bookmarkStart w:id="0" w:name="_GoBack"/>
      <w:bookmarkEnd w:id="0"/>
      <w:r>
        <w:t>insofar as Wolff lays the groundwork for the discovery of the priority of judging that he is, rightly, credited with having “</w:t>
      </w:r>
      <w:r w:rsidRPr="00A102C3">
        <w:t xml:space="preserve">die </w:t>
      </w:r>
      <w:proofErr w:type="spellStart"/>
      <w:r w:rsidRPr="00A102C3">
        <w:t>Idee</w:t>
      </w:r>
      <w:proofErr w:type="spellEnd"/>
      <w:r w:rsidRPr="00A102C3">
        <w:t xml:space="preserve"> </w:t>
      </w:r>
      <w:proofErr w:type="spellStart"/>
      <w:r w:rsidRPr="00A102C3">
        <w:t>einer</w:t>
      </w:r>
      <w:proofErr w:type="spellEnd"/>
      <w:r w:rsidRPr="00A102C3">
        <w:t xml:space="preserve"> </w:t>
      </w:r>
      <w:proofErr w:type="spellStart"/>
      <w:r w:rsidRPr="00A102C3">
        <w:t>allgemeinen</w:t>
      </w:r>
      <w:proofErr w:type="spellEnd"/>
      <w:r w:rsidRPr="00A102C3">
        <w:t xml:space="preserve"> </w:t>
      </w:r>
      <w:proofErr w:type="spellStart"/>
      <w:r w:rsidRPr="00A102C3">
        <w:t>Logik</w:t>
      </w:r>
      <w:proofErr w:type="spellEnd"/>
      <w:r w:rsidRPr="00A102C3">
        <w:t xml:space="preserve"> </w:t>
      </w:r>
      <w:proofErr w:type="spellStart"/>
      <w:r w:rsidRPr="00A102C3">
        <w:t>vortrefflich</w:t>
      </w:r>
      <w:proofErr w:type="spellEnd"/>
      <w:r w:rsidRPr="00A102C3">
        <w:t xml:space="preserve"> </w:t>
      </w:r>
      <w:proofErr w:type="spellStart"/>
      <w:r w:rsidRPr="00A102C3">
        <w:t>gefaßt</w:t>
      </w:r>
      <w:proofErr w:type="spellEnd"/>
      <w:r>
        <w:t xml:space="preserve">” by </w:t>
      </w:r>
      <w:proofErr w:type="spellStart"/>
      <w:r>
        <w:t>Jakob</w:t>
      </w:r>
      <w:proofErr w:type="spellEnd"/>
      <w:r>
        <w:t xml:space="preserve"> since the initial but arguably most importance service that general logic can render to transcendental logic consists precisely in disclosing the importance of the second operation of the mind. </w:t>
      </w:r>
      <w:r w:rsidR="006E16F9">
        <w:t>Moreover, Wolff’s importance on t</w:t>
      </w:r>
      <w:r w:rsidR="003E2CEA">
        <w:t xml:space="preserve">his score also </w:t>
      </w:r>
      <w:r w:rsidR="00367CF0">
        <w:t xml:space="preserve">offers a possible </w:t>
      </w:r>
      <w:r w:rsidR="00C2647A">
        <w:t xml:space="preserve">explanation </w:t>
      </w:r>
      <w:r w:rsidR="00367CF0">
        <w:t>for his surpass</w:t>
      </w:r>
      <w:r w:rsidR="00C2647A">
        <w:t>ing</w:t>
      </w:r>
      <w:r w:rsidR="003E2CEA">
        <w:t xml:space="preserve"> </w:t>
      </w:r>
      <w:r w:rsidR="00367CF0">
        <w:t xml:space="preserve">of </w:t>
      </w:r>
      <w:r w:rsidR="003E2CEA">
        <w:t xml:space="preserve">Locke </w:t>
      </w:r>
      <w:r w:rsidR="00C2647A">
        <w:t xml:space="preserve">when it comes to </w:t>
      </w:r>
      <w:r w:rsidR="003E2CEA">
        <w:t xml:space="preserve">Kant’s </w:t>
      </w:r>
      <w:r w:rsidR="003E2CEA">
        <w:lastRenderedPageBreak/>
        <w:t xml:space="preserve">estimation of the most important contributors to general logic. </w:t>
      </w:r>
      <w:r w:rsidR="00C2647A">
        <w:t xml:space="preserve">While Locke, </w:t>
      </w:r>
      <w:r w:rsidR="00367CF0">
        <w:t xml:space="preserve">at least </w:t>
      </w:r>
      <w:r w:rsidR="00C2647A">
        <w:t>according to some, likewise recognized the importance of conducting an analysis of the operations of the mind for the aims of logic,</w:t>
      </w:r>
      <w:r w:rsidR="00C2647A">
        <w:rPr>
          <w:rStyle w:val="FootnoteReference"/>
        </w:rPr>
        <w:footnoteReference w:id="55"/>
      </w:r>
      <w:r w:rsidR="00C2647A">
        <w:t xml:space="preserve"> and thus earned Kant’s early praise (at </w:t>
      </w:r>
      <w:r w:rsidR="00282E6C">
        <w:t>V-</w:t>
      </w:r>
      <w:proofErr w:type="spellStart"/>
      <w:r w:rsidR="00282E6C">
        <w:t>Lo</w:t>
      </w:r>
      <w:r w:rsidR="00C2647A">
        <w:t>Bl</w:t>
      </w:r>
      <w:proofErr w:type="spellEnd"/>
      <w:r w:rsidR="00C2647A">
        <w:t xml:space="preserve"> 24:37 and </w:t>
      </w:r>
      <w:r w:rsidR="00282E6C">
        <w:t>V-</w:t>
      </w:r>
      <w:proofErr w:type="spellStart"/>
      <w:r w:rsidR="00282E6C">
        <w:t>Lo</w:t>
      </w:r>
      <w:r w:rsidR="00C2647A">
        <w:t>Ph</w:t>
      </w:r>
      <w:proofErr w:type="spellEnd"/>
      <w:r w:rsidR="00C2647A">
        <w:t xml:space="preserve"> 24:338), </w:t>
      </w:r>
      <w:r w:rsidR="00367CF0">
        <w:t xml:space="preserve">it is likely that Wolff’s account of the </w:t>
      </w:r>
      <w:proofErr w:type="spellStart"/>
      <w:r w:rsidR="00367CF0">
        <w:rPr>
          <w:i/>
        </w:rPr>
        <w:t>tres</w:t>
      </w:r>
      <w:proofErr w:type="spellEnd"/>
      <w:r w:rsidR="00367CF0">
        <w:rPr>
          <w:i/>
        </w:rPr>
        <w:t xml:space="preserve"> </w:t>
      </w:r>
      <w:proofErr w:type="spellStart"/>
      <w:r w:rsidR="00367CF0">
        <w:rPr>
          <w:i/>
        </w:rPr>
        <w:t>operationes</w:t>
      </w:r>
      <w:proofErr w:type="spellEnd"/>
      <w:r w:rsidR="00367CF0">
        <w:rPr>
          <w:i/>
        </w:rPr>
        <w:t xml:space="preserve"> mentis</w:t>
      </w:r>
      <w:r w:rsidR="00043E25">
        <w:t>, and his trailblazing discussion of the priority of judgment, gained relevance for Kant once he had framed the idea of a transcendental logic</w:t>
      </w:r>
      <w:r w:rsidR="004904DF">
        <w:t xml:space="preserve">, and that this is why, in Kant’s mature evaluation, the </w:t>
      </w:r>
      <w:proofErr w:type="spellStart"/>
      <w:r w:rsidR="004904DF">
        <w:rPr>
          <w:i/>
        </w:rPr>
        <w:t>allgemeine</w:t>
      </w:r>
      <w:proofErr w:type="spellEnd"/>
      <w:r w:rsidR="004904DF">
        <w:rPr>
          <w:i/>
        </w:rPr>
        <w:t xml:space="preserve"> </w:t>
      </w:r>
      <w:proofErr w:type="spellStart"/>
      <w:r w:rsidR="004904DF">
        <w:rPr>
          <w:i/>
        </w:rPr>
        <w:t>Logi</w:t>
      </w:r>
      <w:r w:rsidR="00FB6A7A">
        <w:rPr>
          <w:i/>
        </w:rPr>
        <w:t>k</w:t>
      </w:r>
      <w:proofErr w:type="spellEnd"/>
      <w:r w:rsidR="004904DF">
        <w:t xml:space="preserve"> of Wolff “</w:t>
      </w:r>
      <w:proofErr w:type="spellStart"/>
      <w:r w:rsidR="004904DF">
        <w:t>ist</w:t>
      </w:r>
      <w:proofErr w:type="spellEnd"/>
      <w:r w:rsidR="004904DF">
        <w:t xml:space="preserve"> die </w:t>
      </w:r>
      <w:proofErr w:type="spellStart"/>
      <w:r w:rsidR="004904DF">
        <w:t>beste</w:t>
      </w:r>
      <w:proofErr w:type="spellEnd"/>
      <w:r w:rsidR="004904DF">
        <w:t xml:space="preserve"> die man hat.</w:t>
      </w:r>
      <w:r w:rsidR="004904DF" w:rsidRPr="0011580F">
        <w:t>”</w:t>
      </w:r>
    </w:p>
    <w:p w:rsidR="00CB2155" w:rsidRDefault="00CB2155" w:rsidP="003A5F90">
      <w:pPr>
        <w:spacing w:after="0"/>
      </w:pPr>
    </w:p>
    <w:sectPr w:rsidR="00CB2155" w:rsidSect="00D35ED4">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59F" w:rsidRDefault="00DE259F" w:rsidP="00CC2CDB">
      <w:pPr>
        <w:spacing w:after="0" w:line="240" w:lineRule="auto"/>
      </w:pPr>
      <w:r>
        <w:separator/>
      </w:r>
    </w:p>
  </w:endnote>
  <w:endnote w:type="continuationSeparator" w:id="0">
    <w:p w:rsidR="00DE259F" w:rsidRDefault="00DE259F" w:rsidP="00CC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59F" w:rsidRDefault="00DE259F" w:rsidP="00CC2CDB">
      <w:pPr>
        <w:spacing w:after="0" w:line="240" w:lineRule="auto"/>
      </w:pPr>
      <w:r>
        <w:separator/>
      </w:r>
    </w:p>
  </w:footnote>
  <w:footnote w:type="continuationSeparator" w:id="0">
    <w:p w:rsidR="00DE259F" w:rsidRDefault="00DE259F" w:rsidP="00CC2CDB">
      <w:pPr>
        <w:spacing w:after="0" w:line="240" w:lineRule="auto"/>
      </w:pPr>
      <w:r>
        <w:continuationSeparator/>
      </w:r>
    </w:p>
  </w:footnote>
  <w:footnote w:id="1">
    <w:p w:rsidR="00F40380" w:rsidRDefault="00F40380">
      <w:pPr>
        <w:pStyle w:val="FootnoteText"/>
      </w:pPr>
      <w:r>
        <w:rPr>
          <w:rStyle w:val="FootnoteReference"/>
        </w:rPr>
        <w:footnoteRef/>
      </w:r>
      <w:r>
        <w:t xml:space="preserve"> As has been noted by for instance Brandt (</w:t>
      </w:r>
      <w:r>
        <w:rPr>
          <w:i/>
        </w:rPr>
        <w:t xml:space="preserve">Die </w:t>
      </w:r>
      <w:proofErr w:type="spellStart"/>
      <w:r>
        <w:rPr>
          <w:i/>
        </w:rPr>
        <w:t>Urteilstafel</w:t>
      </w:r>
      <w:proofErr w:type="spellEnd"/>
      <w:r>
        <w:t xml:space="preserve">, p. 110), in the Blomberg and Philippi logic notes Kant is effusive in his praise of Locke’s logic; thus, in </w:t>
      </w:r>
      <w:r w:rsidR="00282E6C">
        <w:t>V-</w:t>
      </w:r>
      <w:proofErr w:type="spellStart"/>
      <w:r w:rsidR="00282E6C">
        <w:t>Lo</w:t>
      </w:r>
      <w:r>
        <w:t>Bl</w:t>
      </w:r>
      <w:proofErr w:type="spellEnd"/>
      <w:r>
        <w:t xml:space="preserve"> Kant is recorded as claiming that “[a]</w:t>
      </w:r>
      <w:proofErr w:type="spellStart"/>
      <w:r>
        <w:t>mong</w:t>
      </w:r>
      <w:proofErr w:type="spellEnd"/>
      <w:r>
        <w:t xml:space="preserve"> critical philosophers, Locke deserves priority” and that “Locke’s </w:t>
      </w:r>
      <w:r>
        <w:rPr>
          <w:i/>
        </w:rPr>
        <w:t xml:space="preserve">de </w:t>
      </w:r>
      <w:proofErr w:type="spellStart"/>
      <w:r>
        <w:rPr>
          <w:i/>
        </w:rPr>
        <w:t>intellectu</w:t>
      </w:r>
      <w:proofErr w:type="spellEnd"/>
      <w:r>
        <w:rPr>
          <w:i/>
        </w:rPr>
        <w:t xml:space="preserve"> </w:t>
      </w:r>
      <w:proofErr w:type="spellStart"/>
      <w:r>
        <w:rPr>
          <w:i/>
        </w:rPr>
        <w:t>humano</w:t>
      </w:r>
      <w:proofErr w:type="spellEnd"/>
      <w:r>
        <w:t xml:space="preserve"> is the ground of all true </w:t>
      </w:r>
      <w:proofErr w:type="spellStart"/>
      <w:r>
        <w:rPr>
          <w:i/>
        </w:rPr>
        <w:t>logica</w:t>
      </w:r>
      <w:proofErr w:type="spellEnd"/>
      <w:r>
        <w:t xml:space="preserve">” (24:37), and in </w:t>
      </w:r>
      <w:r w:rsidR="00282E6C">
        <w:t>V-</w:t>
      </w:r>
      <w:proofErr w:type="spellStart"/>
      <w:r w:rsidR="00282E6C">
        <w:t>Lo</w:t>
      </w:r>
      <w:r>
        <w:t>Ph</w:t>
      </w:r>
      <w:proofErr w:type="spellEnd"/>
      <w:r>
        <w:t xml:space="preserve"> that “Lock had den </w:t>
      </w:r>
      <w:proofErr w:type="spellStart"/>
      <w:r>
        <w:t>allerwesentlichsten</w:t>
      </w:r>
      <w:proofErr w:type="spellEnd"/>
      <w:r>
        <w:t xml:space="preserve"> </w:t>
      </w:r>
      <w:proofErr w:type="spellStart"/>
      <w:r>
        <w:t>Schritt</w:t>
      </w:r>
      <w:proofErr w:type="spellEnd"/>
      <w:r>
        <w:t xml:space="preserve"> </w:t>
      </w:r>
      <w:proofErr w:type="spellStart"/>
      <w:r>
        <w:t>gethan</w:t>
      </w:r>
      <w:proofErr w:type="spellEnd"/>
      <w:r>
        <w:t xml:space="preserve"> </w:t>
      </w:r>
      <w:proofErr w:type="spellStart"/>
      <w:r>
        <w:t>dem</w:t>
      </w:r>
      <w:proofErr w:type="spellEnd"/>
      <w:r>
        <w:t xml:space="preserve"> </w:t>
      </w:r>
      <w:proofErr w:type="spellStart"/>
      <w:r>
        <w:t>Verstand</w:t>
      </w:r>
      <w:proofErr w:type="spellEnd"/>
      <w:r>
        <w:t xml:space="preserve"> </w:t>
      </w:r>
      <w:proofErr w:type="spellStart"/>
      <w:r>
        <w:t>Wege</w:t>
      </w:r>
      <w:proofErr w:type="spellEnd"/>
      <w:r>
        <w:t xml:space="preserve"> </w:t>
      </w:r>
      <w:proofErr w:type="spellStart"/>
      <w:r>
        <w:t>zu</w:t>
      </w:r>
      <w:proofErr w:type="spellEnd"/>
      <w:r>
        <w:t xml:space="preserve"> </w:t>
      </w:r>
      <w:proofErr w:type="spellStart"/>
      <w:r>
        <w:t>bahnen</w:t>
      </w:r>
      <w:proofErr w:type="spellEnd"/>
      <w:r>
        <w:t>” (24:338). Below, I will offer an explanation as to why Wolff is given apparently priority to Locke in Kant’s lectures on logic in the Critical period.</w:t>
      </w:r>
    </w:p>
  </w:footnote>
  <w:footnote w:id="2">
    <w:p w:rsidR="00F40380" w:rsidRDefault="00F40380">
      <w:pPr>
        <w:pStyle w:val="FootnoteText"/>
      </w:pPr>
      <w:r>
        <w:rPr>
          <w:rStyle w:val="FootnoteReference"/>
        </w:rPr>
        <w:footnoteRef/>
      </w:r>
      <w:r>
        <w:t xml:space="preserve"> For additional praise of Wolff’s logic on Kant’s part, see </w:t>
      </w:r>
      <w:r w:rsidR="00282E6C">
        <w:t>V-</w:t>
      </w:r>
      <w:proofErr w:type="spellStart"/>
      <w:r w:rsidR="00282E6C">
        <w:t>Lo</w:t>
      </w:r>
      <w:r w:rsidR="00A3313A">
        <w:t>Bl</w:t>
      </w:r>
      <w:proofErr w:type="spellEnd"/>
      <w:r>
        <w:t xml:space="preserve"> 24:37, </w:t>
      </w:r>
      <w:r w:rsidR="00282E6C">
        <w:t>V-</w:t>
      </w:r>
      <w:proofErr w:type="spellStart"/>
      <w:r w:rsidR="00282E6C">
        <w:t>Lo</w:t>
      </w:r>
      <w:r>
        <w:t>Phil</w:t>
      </w:r>
      <w:proofErr w:type="spellEnd"/>
      <w:r>
        <w:t xml:space="preserve"> 24:335.</w:t>
      </w:r>
    </w:p>
  </w:footnote>
  <w:footnote w:id="3">
    <w:p w:rsidR="00F40380" w:rsidRDefault="00F40380" w:rsidP="00D5470C">
      <w:pPr>
        <w:pStyle w:val="FootnoteText"/>
      </w:pPr>
      <w:r>
        <w:rPr>
          <w:rStyle w:val="FootnoteReference"/>
        </w:rPr>
        <w:footnoteRef/>
      </w:r>
      <w:r w:rsidR="00D5470C">
        <w:t xml:space="preserve"> </w:t>
      </w:r>
      <w:r w:rsidR="00D5470C" w:rsidRPr="00551235">
        <w:t>For ease of reference, I have made use of the following abbreviations for frequently cited texts:</w:t>
      </w:r>
      <w:r w:rsidR="00D5470C">
        <w:t xml:space="preserve"> (works by Descartes) [</w:t>
      </w:r>
      <w:r w:rsidR="00D5470C" w:rsidRPr="00551235">
        <w:rPr>
          <w:i/>
        </w:rPr>
        <w:t>AT</w:t>
      </w:r>
      <w:r w:rsidR="00D5470C">
        <w:t xml:space="preserve">] </w:t>
      </w:r>
      <w:r w:rsidR="00D5470C" w:rsidRPr="00551235">
        <w:rPr>
          <w:i/>
        </w:rPr>
        <w:t>Oeuvres de Descartes</w:t>
      </w:r>
      <w:r w:rsidR="00D5470C" w:rsidRPr="00551235">
        <w:t>, edited by Charles Adam and Paul Tannery</w:t>
      </w:r>
      <w:r w:rsidR="00D5470C">
        <w:t xml:space="preserve"> (Paris 1897–1909); [</w:t>
      </w:r>
      <w:r w:rsidR="00D5470C" w:rsidRPr="00551235">
        <w:rPr>
          <w:i/>
        </w:rPr>
        <w:t>CSM</w:t>
      </w:r>
      <w:r w:rsidR="00D5470C">
        <w:t xml:space="preserve">] </w:t>
      </w:r>
      <w:r w:rsidR="00D5470C" w:rsidRPr="00551235">
        <w:rPr>
          <w:i/>
        </w:rPr>
        <w:t>The Philosophical Writings of Descartes and Correspondence</w:t>
      </w:r>
      <w:r w:rsidR="00D5470C" w:rsidRPr="00551235">
        <w:t xml:space="preserve">, edited and translated by John Cottingham, Robert </w:t>
      </w:r>
      <w:proofErr w:type="spellStart"/>
      <w:r w:rsidR="00D5470C" w:rsidRPr="00551235">
        <w:t>Stoothoff</w:t>
      </w:r>
      <w:proofErr w:type="spellEnd"/>
      <w:r w:rsidR="00D5470C" w:rsidRPr="00551235">
        <w:t xml:space="preserve">, </w:t>
      </w:r>
      <w:proofErr w:type="spellStart"/>
      <w:r w:rsidR="00D5470C" w:rsidRPr="00551235">
        <w:t>Dugald</w:t>
      </w:r>
      <w:proofErr w:type="spellEnd"/>
      <w:r w:rsidR="00D5470C" w:rsidRPr="00551235">
        <w:t xml:space="preserve"> Murdoch, and Anthony Kenny (Cambridge 1984–1991</w:t>
      </w:r>
      <w:r w:rsidR="00D5470C">
        <w:t>); (works by Leibniz) [</w:t>
      </w:r>
      <w:r w:rsidR="00D5470C" w:rsidRPr="00551235">
        <w:rPr>
          <w:i/>
        </w:rPr>
        <w:t>AG</w:t>
      </w:r>
      <w:r w:rsidR="00D5470C">
        <w:t xml:space="preserve">] </w:t>
      </w:r>
      <w:r w:rsidR="00D5470C" w:rsidRPr="00551235">
        <w:rPr>
          <w:i/>
        </w:rPr>
        <w:t>Philosophical Essays</w:t>
      </w:r>
      <w:r w:rsidR="00D5470C" w:rsidRPr="00551235">
        <w:t xml:space="preserve">, ed. and trans. Roger </w:t>
      </w:r>
      <w:proofErr w:type="spellStart"/>
      <w:r w:rsidR="00D5470C" w:rsidRPr="00551235">
        <w:t>Ariew</w:t>
      </w:r>
      <w:proofErr w:type="spellEnd"/>
      <w:r w:rsidR="00D5470C" w:rsidRPr="00551235">
        <w:t xml:space="preserve"> and Daniel Garber</w:t>
      </w:r>
      <w:r w:rsidR="00D5470C">
        <w:t xml:space="preserve"> (Indiana 1989); [</w:t>
      </w:r>
      <w:r w:rsidR="00D5470C" w:rsidRPr="00551235">
        <w:rPr>
          <w:i/>
        </w:rPr>
        <w:t>BLW</w:t>
      </w:r>
      <w:r w:rsidR="00D5470C">
        <w:t xml:space="preserve">] </w:t>
      </w:r>
      <w:proofErr w:type="spellStart"/>
      <w:r w:rsidR="00D5470C" w:rsidRPr="00551235">
        <w:rPr>
          <w:i/>
        </w:rPr>
        <w:t>Briefwechsel</w:t>
      </w:r>
      <w:proofErr w:type="spellEnd"/>
      <w:r w:rsidR="00D5470C" w:rsidRPr="00551235">
        <w:rPr>
          <w:i/>
        </w:rPr>
        <w:t xml:space="preserve"> </w:t>
      </w:r>
      <w:proofErr w:type="spellStart"/>
      <w:r w:rsidR="00D5470C" w:rsidRPr="00551235">
        <w:rPr>
          <w:i/>
        </w:rPr>
        <w:t>zwischen</w:t>
      </w:r>
      <w:proofErr w:type="spellEnd"/>
      <w:r w:rsidR="00D5470C" w:rsidRPr="00551235">
        <w:rPr>
          <w:i/>
        </w:rPr>
        <w:t xml:space="preserve"> Leibniz und Christian Wolff: </w:t>
      </w:r>
      <w:proofErr w:type="spellStart"/>
      <w:r w:rsidR="00D5470C" w:rsidRPr="00551235">
        <w:rPr>
          <w:i/>
        </w:rPr>
        <w:t>Aus</w:t>
      </w:r>
      <w:proofErr w:type="spellEnd"/>
      <w:r w:rsidR="00D5470C" w:rsidRPr="00551235">
        <w:rPr>
          <w:i/>
        </w:rPr>
        <w:t xml:space="preserve"> den </w:t>
      </w:r>
      <w:proofErr w:type="spellStart"/>
      <w:r w:rsidR="00D5470C" w:rsidRPr="00551235">
        <w:rPr>
          <w:i/>
        </w:rPr>
        <w:t>Handschriften</w:t>
      </w:r>
      <w:proofErr w:type="spellEnd"/>
      <w:r w:rsidR="00D5470C" w:rsidRPr="00551235">
        <w:rPr>
          <w:i/>
        </w:rPr>
        <w:t xml:space="preserve"> der </w:t>
      </w:r>
      <w:proofErr w:type="spellStart"/>
      <w:r w:rsidR="00D5470C" w:rsidRPr="00551235">
        <w:rPr>
          <w:i/>
        </w:rPr>
        <w:t>koeniglichen</w:t>
      </w:r>
      <w:proofErr w:type="spellEnd"/>
      <w:r w:rsidR="00D5470C" w:rsidRPr="00551235">
        <w:rPr>
          <w:i/>
        </w:rPr>
        <w:t xml:space="preserve"> </w:t>
      </w:r>
      <w:proofErr w:type="spellStart"/>
      <w:r w:rsidR="00D5470C" w:rsidRPr="00551235">
        <w:rPr>
          <w:i/>
        </w:rPr>
        <w:t>Bibliothek</w:t>
      </w:r>
      <w:proofErr w:type="spellEnd"/>
      <w:r w:rsidR="00D5470C" w:rsidRPr="00551235">
        <w:rPr>
          <w:i/>
        </w:rPr>
        <w:t xml:space="preserve"> </w:t>
      </w:r>
      <w:proofErr w:type="spellStart"/>
      <w:r w:rsidR="00D5470C" w:rsidRPr="00551235">
        <w:rPr>
          <w:i/>
        </w:rPr>
        <w:t>zu</w:t>
      </w:r>
      <w:proofErr w:type="spellEnd"/>
      <w:r w:rsidR="00D5470C" w:rsidRPr="00551235">
        <w:rPr>
          <w:i/>
        </w:rPr>
        <w:t xml:space="preserve"> Hannover</w:t>
      </w:r>
      <w:r w:rsidR="00D5470C" w:rsidRPr="00551235">
        <w:t xml:space="preserve">, ed. </w:t>
      </w:r>
      <w:r w:rsidR="00D5470C" w:rsidRPr="00551235">
        <w:rPr>
          <w:lang w:val="de-DE"/>
        </w:rPr>
        <w:t>C. I. Gerhardt</w:t>
      </w:r>
      <w:r w:rsidR="00D5470C">
        <w:rPr>
          <w:lang w:val="de-DE"/>
        </w:rPr>
        <w:t xml:space="preserve"> (Halle 1860); </w:t>
      </w:r>
      <w:r w:rsidR="00D5470C">
        <w:t>(works by Wolff) [</w:t>
      </w:r>
      <w:r w:rsidR="00D5470C" w:rsidRPr="00551235">
        <w:rPr>
          <w:i/>
          <w:lang w:val="de-DE"/>
        </w:rPr>
        <w:t>AN</w:t>
      </w:r>
      <w:r w:rsidR="00D5470C">
        <w:rPr>
          <w:lang w:val="de-DE"/>
        </w:rPr>
        <w:t xml:space="preserve">] </w:t>
      </w:r>
      <w:r w:rsidR="00D5470C" w:rsidRPr="00551235">
        <w:rPr>
          <w:i/>
          <w:lang w:val="de-DE"/>
        </w:rPr>
        <w:t>Ausführliche Nachricht von seinen eigenen Schrifften, die er in deutscher Sprache heraus gegeben</w:t>
      </w:r>
      <w:r w:rsidR="00D5470C" w:rsidRPr="00551235">
        <w:rPr>
          <w:lang w:val="de-DE"/>
        </w:rPr>
        <w:t>, 2</w:t>
      </w:r>
      <w:r w:rsidR="00D5470C" w:rsidRPr="00551235">
        <w:rPr>
          <w:vertAlign w:val="superscript"/>
          <w:lang w:val="de-DE"/>
        </w:rPr>
        <w:t>nd</w:t>
      </w:r>
      <w:r w:rsidR="00D5470C" w:rsidRPr="00551235">
        <w:rPr>
          <w:lang w:val="de-DE"/>
        </w:rPr>
        <w:t xml:space="preserve"> edn. (Frankfurt am Main: 1733</w:t>
      </w:r>
      <w:r w:rsidR="00D5470C">
        <w:rPr>
          <w:lang w:val="de-DE"/>
        </w:rPr>
        <w:t xml:space="preserve">; reprint </w:t>
      </w:r>
      <w:r w:rsidR="00D5470C" w:rsidRPr="00551235">
        <w:rPr>
          <w:lang w:val="de-DE"/>
        </w:rPr>
        <w:t>Hildesheim 1973)</w:t>
      </w:r>
      <w:r w:rsidR="00D5470C">
        <w:rPr>
          <w:lang w:val="de-DE"/>
        </w:rPr>
        <w:t xml:space="preserve">; </w:t>
      </w:r>
      <w:r w:rsidR="00D5470C" w:rsidRPr="00551235">
        <w:rPr>
          <w:lang w:val="de-DE"/>
        </w:rPr>
        <w:t>[</w:t>
      </w:r>
      <w:r w:rsidR="00D5470C" w:rsidRPr="00551235">
        <w:rPr>
          <w:i/>
          <w:lang w:val="de-DE"/>
        </w:rPr>
        <w:t>DL</w:t>
      </w:r>
      <w:r w:rsidR="00D5470C">
        <w:rPr>
          <w:lang w:val="de-DE"/>
        </w:rPr>
        <w:t xml:space="preserve">] </w:t>
      </w:r>
      <w:r w:rsidR="00D5470C" w:rsidRPr="00551235">
        <w:rPr>
          <w:i/>
          <w:lang w:val="de-DE"/>
        </w:rPr>
        <w:t>Vernünftige Gedanken von den Kräften des menschlichen Verstandes und Ihrem richtigen Gebrauche in Erkänntnis der Wahrheit</w:t>
      </w:r>
      <w:r w:rsidR="00D5470C" w:rsidRPr="00551235">
        <w:rPr>
          <w:lang w:val="de-DE"/>
        </w:rPr>
        <w:t xml:space="preserve"> or </w:t>
      </w:r>
      <w:r w:rsidR="00D5470C" w:rsidRPr="00551235">
        <w:rPr>
          <w:i/>
          <w:lang w:val="de-DE"/>
        </w:rPr>
        <w:t>Deutsche Logik</w:t>
      </w:r>
      <w:r w:rsidR="00D5470C" w:rsidRPr="00551235">
        <w:rPr>
          <w:lang w:val="de-DE"/>
        </w:rPr>
        <w:t xml:space="preserve"> (Halle: 1713</w:t>
      </w:r>
      <w:r w:rsidR="00D5470C">
        <w:rPr>
          <w:lang w:val="de-DE"/>
        </w:rPr>
        <w:t>; reprint Hildesheim</w:t>
      </w:r>
      <w:r w:rsidR="00D5470C" w:rsidRPr="00551235">
        <w:rPr>
          <w:lang w:val="de-DE"/>
        </w:rPr>
        <w:t xml:space="preserve"> 1965)</w:t>
      </w:r>
      <w:r w:rsidR="00D5470C">
        <w:rPr>
          <w:lang w:val="de-DE"/>
        </w:rPr>
        <w:t>; [</w:t>
      </w:r>
      <w:r w:rsidR="00D5470C" w:rsidRPr="00551235">
        <w:rPr>
          <w:i/>
          <w:lang w:val="de-DE"/>
        </w:rPr>
        <w:t>DM</w:t>
      </w:r>
      <w:r w:rsidR="00D5470C">
        <w:rPr>
          <w:lang w:val="de-DE"/>
        </w:rPr>
        <w:t xml:space="preserve">] </w:t>
      </w:r>
      <w:r w:rsidR="00D5470C" w:rsidRPr="00551235">
        <w:rPr>
          <w:i/>
          <w:lang w:val="de-DE"/>
        </w:rPr>
        <w:t>Vernünfftige Gedancken von Gott, der Welt und der Seele des Menschen, auch allen Dingen überhaupt</w:t>
      </w:r>
      <w:r w:rsidR="00D5470C" w:rsidRPr="00551235">
        <w:rPr>
          <w:lang w:val="de-DE"/>
        </w:rPr>
        <w:t xml:space="preserve"> or </w:t>
      </w:r>
      <w:r w:rsidR="00D5470C" w:rsidRPr="00551235">
        <w:rPr>
          <w:i/>
          <w:lang w:val="de-DE"/>
        </w:rPr>
        <w:t>Deutsche Metaphysik</w:t>
      </w:r>
      <w:r w:rsidR="00D5470C" w:rsidRPr="00551235">
        <w:rPr>
          <w:lang w:val="de-DE"/>
        </w:rPr>
        <w:t xml:space="preserve"> (Halle: 1751</w:t>
      </w:r>
      <w:r w:rsidR="00D5470C">
        <w:rPr>
          <w:lang w:val="de-DE"/>
        </w:rPr>
        <w:t xml:space="preserve">; reprint </w:t>
      </w:r>
      <w:r w:rsidR="00D5470C" w:rsidRPr="00551235">
        <w:rPr>
          <w:lang w:val="de-DE"/>
        </w:rPr>
        <w:t>Hildesheim</w:t>
      </w:r>
      <w:r w:rsidR="00D5470C">
        <w:rPr>
          <w:lang w:val="de-DE"/>
        </w:rPr>
        <w:t xml:space="preserve"> </w:t>
      </w:r>
      <w:r w:rsidR="00D5470C" w:rsidRPr="00551235">
        <w:rPr>
          <w:lang w:val="de-DE"/>
        </w:rPr>
        <w:t>1983</w:t>
      </w:r>
      <w:r w:rsidR="00D5470C">
        <w:rPr>
          <w:lang w:val="de-DE"/>
        </w:rPr>
        <w:t>);</w:t>
      </w:r>
      <w:r w:rsidR="00D5470C">
        <w:rPr>
          <w:lang w:val="de-DE"/>
        </w:rPr>
        <w:t xml:space="preserve"> [</w:t>
      </w:r>
      <w:r w:rsidR="00D5470C">
        <w:rPr>
          <w:i/>
          <w:lang w:val="de-DE"/>
        </w:rPr>
        <w:t>KU</w:t>
      </w:r>
      <w:r w:rsidR="00D5470C">
        <w:rPr>
          <w:lang w:val="de-DE"/>
        </w:rPr>
        <w:t xml:space="preserve">] </w:t>
      </w:r>
      <w:r w:rsidR="00D5470C">
        <w:t>“</w:t>
      </w:r>
      <w:r w:rsidR="00D5470C">
        <w:rPr>
          <w:lang w:val="de-DE"/>
        </w:rPr>
        <w:t>Kurzer Unterricht von der mathematischen Methode oder Lehrart,</w:t>
      </w:r>
      <w:r w:rsidR="00D5470C">
        <w:t>”</w:t>
      </w:r>
      <w:r w:rsidR="00D5470C">
        <w:t xml:space="preserve"> in </w:t>
      </w:r>
      <w:r w:rsidR="00D5470C">
        <w:rPr>
          <w:i/>
        </w:rPr>
        <w:t xml:space="preserve">Der </w:t>
      </w:r>
      <w:proofErr w:type="spellStart"/>
      <w:r w:rsidR="00D5470C">
        <w:rPr>
          <w:i/>
        </w:rPr>
        <w:t>Anfangsgründe</w:t>
      </w:r>
      <w:proofErr w:type="spellEnd"/>
      <w:r w:rsidR="00D5470C">
        <w:rPr>
          <w:i/>
        </w:rPr>
        <w:t xml:space="preserve"> </w:t>
      </w:r>
      <w:proofErr w:type="spellStart"/>
      <w:r w:rsidR="00D5470C">
        <w:rPr>
          <w:i/>
        </w:rPr>
        <w:t>aller</w:t>
      </w:r>
      <w:proofErr w:type="spellEnd"/>
      <w:r w:rsidR="00D5470C">
        <w:rPr>
          <w:i/>
        </w:rPr>
        <w:t xml:space="preserve"> </w:t>
      </w:r>
      <w:proofErr w:type="spellStart"/>
      <w:r w:rsidR="00D5470C">
        <w:rPr>
          <w:i/>
        </w:rPr>
        <w:t>mathematischen</w:t>
      </w:r>
      <w:proofErr w:type="spellEnd"/>
      <w:r w:rsidR="00D5470C">
        <w:rPr>
          <w:i/>
        </w:rPr>
        <w:t xml:space="preserve"> </w:t>
      </w:r>
      <w:proofErr w:type="spellStart"/>
      <w:r w:rsidR="00D5470C">
        <w:rPr>
          <w:i/>
        </w:rPr>
        <w:t>Wissenschaften</w:t>
      </w:r>
      <w:proofErr w:type="spellEnd"/>
      <w:r w:rsidR="00D5470C">
        <w:t xml:space="preserve"> (</w:t>
      </w:r>
      <w:proofErr w:type="spellStart"/>
      <w:r w:rsidR="00D5470C">
        <w:t>Erster</w:t>
      </w:r>
      <w:proofErr w:type="spellEnd"/>
      <w:r w:rsidR="00D5470C">
        <w:t xml:space="preserve"> Theil) (Vienna, 1710);</w:t>
      </w:r>
      <w:r w:rsidR="00D5470C">
        <w:rPr>
          <w:lang w:val="de-DE"/>
        </w:rPr>
        <w:t xml:space="preserve"> [</w:t>
      </w:r>
      <w:r w:rsidR="00D5470C" w:rsidRPr="00551235">
        <w:rPr>
          <w:i/>
        </w:rPr>
        <w:t>LL</w:t>
      </w:r>
      <w:r w:rsidR="00D5470C">
        <w:t>] [</w:t>
      </w:r>
      <w:r w:rsidR="00D5470C" w:rsidRPr="00551235">
        <w:rPr>
          <w:i/>
        </w:rPr>
        <w:t>DP</w:t>
      </w:r>
      <w:r w:rsidR="00D5470C">
        <w:t xml:space="preserve">] </w:t>
      </w:r>
      <w:proofErr w:type="spellStart"/>
      <w:r w:rsidR="00D5470C" w:rsidRPr="00551235">
        <w:rPr>
          <w:i/>
        </w:rPr>
        <w:t>Philosophia</w:t>
      </w:r>
      <w:proofErr w:type="spellEnd"/>
      <w:r w:rsidR="00D5470C" w:rsidRPr="00551235">
        <w:rPr>
          <w:i/>
        </w:rPr>
        <w:t xml:space="preserve"> </w:t>
      </w:r>
      <w:proofErr w:type="spellStart"/>
      <w:r w:rsidR="00D5470C" w:rsidRPr="00551235">
        <w:rPr>
          <w:i/>
        </w:rPr>
        <w:t>rationalis</w:t>
      </w:r>
      <w:proofErr w:type="spellEnd"/>
      <w:r w:rsidR="00D5470C" w:rsidRPr="00551235">
        <w:rPr>
          <w:i/>
        </w:rPr>
        <w:t xml:space="preserve">, </w:t>
      </w:r>
      <w:proofErr w:type="spellStart"/>
      <w:r w:rsidR="00D5470C" w:rsidRPr="00551235">
        <w:rPr>
          <w:i/>
        </w:rPr>
        <w:t>sive</w:t>
      </w:r>
      <w:proofErr w:type="spellEnd"/>
      <w:r w:rsidR="00D5470C" w:rsidRPr="00551235">
        <w:rPr>
          <w:i/>
        </w:rPr>
        <w:t xml:space="preserve"> </w:t>
      </w:r>
      <w:proofErr w:type="spellStart"/>
      <w:r w:rsidR="00D5470C" w:rsidRPr="00551235">
        <w:rPr>
          <w:i/>
        </w:rPr>
        <w:t>Logica</w:t>
      </w:r>
      <w:proofErr w:type="spellEnd"/>
      <w:r w:rsidR="00D5470C" w:rsidRPr="00551235">
        <w:t>, 3 vols.</w:t>
      </w:r>
      <w:r w:rsidR="00D5470C">
        <w:t xml:space="preserve"> </w:t>
      </w:r>
      <w:r w:rsidR="00D5470C" w:rsidRPr="00551235">
        <w:rPr>
          <w:lang w:val="de-DE"/>
        </w:rPr>
        <w:t xml:space="preserve">(Vol. 1 contains the </w:t>
      </w:r>
      <w:r w:rsidR="00D5470C" w:rsidRPr="00551235">
        <w:rPr>
          <w:i/>
          <w:lang w:val="de-DE"/>
        </w:rPr>
        <w:t>Discursus praeliminaris de philosophia in genere</w:t>
      </w:r>
      <w:r w:rsidR="00D5470C" w:rsidRPr="00551235">
        <w:rPr>
          <w:lang w:val="de-DE"/>
        </w:rPr>
        <w:t>)</w:t>
      </w:r>
      <w:r w:rsidR="00D5470C" w:rsidRPr="00551235">
        <w:t>, 3</w:t>
      </w:r>
      <w:r w:rsidR="00D5470C" w:rsidRPr="00551235">
        <w:rPr>
          <w:vertAlign w:val="superscript"/>
        </w:rPr>
        <w:t>rd</w:t>
      </w:r>
      <w:r w:rsidR="00D5470C" w:rsidRPr="00551235">
        <w:t xml:space="preserve"> </w:t>
      </w:r>
      <w:proofErr w:type="spellStart"/>
      <w:r w:rsidR="00D5470C" w:rsidRPr="00551235">
        <w:t>edn</w:t>
      </w:r>
      <w:proofErr w:type="spellEnd"/>
      <w:r w:rsidR="00D5470C" w:rsidRPr="00551235">
        <w:t>. (Frankfurt am Main: 1740</w:t>
      </w:r>
      <w:r w:rsidR="00D5470C">
        <w:t xml:space="preserve">; reprint </w:t>
      </w:r>
      <w:r w:rsidR="00D5470C">
        <w:rPr>
          <w:lang w:val="de-DE"/>
        </w:rPr>
        <w:t>Hildesheim 1983); [</w:t>
      </w:r>
      <w:r w:rsidR="00D5470C" w:rsidRPr="00551235">
        <w:rPr>
          <w:i/>
          <w:lang w:val="de-DE"/>
        </w:rPr>
        <w:t>PE</w:t>
      </w:r>
      <w:r w:rsidR="00D5470C">
        <w:rPr>
          <w:lang w:val="de-DE"/>
        </w:rPr>
        <w:t xml:space="preserve">] </w:t>
      </w:r>
      <w:r w:rsidR="00D5470C" w:rsidRPr="00551235">
        <w:rPr>
          <w:i/>
          <w:lang w:val="de-DE"/>
        </w:rPr>
        <w:t>Psychologia empirica</w:t>
      </w:r>
      <w:r w:rsidR="00D5470C" w:rsidRPr="00551235">
        <w:rPr>
          <w:lang w:val="de-DE"/>
        </w:rPr>
        <w:t>, 2</w:t>
      </w:r>
      <w:r w:rsidR="00D5470C" w:rsidRPr="00551235">
        <w:rPr>
          <w:vertAlign w:val="superscript"/>
          <w:lang w:val="de-DE"/>
        </w:rPr>
        <w:t>nd</w:t>
      </w:r>
      <w:r w:rsidR="00D5470C" w:rsidRPr="00551235">
        <w:rPr>
          <w:lang w:val="de-DE"/>
        </w:rPr>
        <w:t xml:space="preserve"> edn. (Frankfurt and Leipzig: 1738</w:t>
      </w:r>
      <w:r w:rsidR="00D5470C">
        <w:rPr>
          <w:lang w:val="de-DE"/>
        </w:rPr>
        <w:t>; reprint Hildesheim 1968); [</w:t>
      </w:r>
      <w:r w:rsidR="00D5470C" w:rsidRPr="00551235">
        <w:rPr>
          <w:i/>
          <w:lang w:val="de-DE"/>
        </w:rPr>
        <w:t>PR</w:t>
      </w:r>
      <w:r w:rsidR="00D5470C">
        <w:rPr>
          <w:lang w:val="de-DE"/>
        </w:rPr>
        <w:t xml:space="preserve">] </w:t>
      </w:r>
      <w:r w:rsidR="00D5470C" w:rsidRPr="00551235">
        <w:rPr>
          <w:i/>
          <w:lang w:val="de-DE"/>
        </w:rPr>
        <w:t>Psychologia rationalis</w:t>
      </w:r>
      <w:r w:rsidR="00D5470C" w:rsidRPr="00551235">
        <w:rPr>
          <w:lang w:val="de-DE"/>
        </w:rPr>
        <w:t>, 2</w:t>
      </w:r>
      <w:r w:rsidR="00D5470C" w:rsidRPr="00551235">
        <w:rPr>
          <w:vertAlign w:val="superscript"/>
          <w:lang w:val="de-DE"/>
        </w:rPr>
        <w:t>nd</w:t>
      </w:r>
      <w:r w:rsidR="00D5470C" w:rsidRPr="00551235">
        <w:rPr>
          <w:lang w:val="de-DE"/>
        </w:rPr>
        <w:t xml:space="preserve"> edn. (Frankfurt am Main: 1740</w:t>
      </w:r>
      <w:r w:rsidR="00D5470C">
        <w:rPr>
          <w:lang w:val="de-DE"/>
        </w:rPr>
        <w:t>; reprint Hildesheim</w:t>
      </w:r>
      <w:r w:rsidR="00D5470C" w:rsidRPr="00551235">
        <w:rPr>
          <w:lang w:val="de-DE"/>
        </w:rPr>
        <w:t xml:space="preserve"> 1972)</w:t>
      </w:r>
      <w:r w:rsidR="00D5470C">
        <w:rPr>
          <w:lang w:val="de-DE"/>
        </w:rPr>
        <w:t>; [</w:t>
      </w:r>
      <w:r w:rsidR="00D5470C">
        <w:rPr>
          <w:i/>
          <w:lang w:val="de-DE"/>
        </w:rPr>
        <w:t>RP</w:t>
      </w:r>
      <w:r w:rsidR="00D5470C">
        <w:rPr>
          <w:lang w:val="de-DE"/>
        </w:rPr>
        <w:t xml:space="preserve">] </w:t>
      </w:r>
      <w:r w:rsidR="00D5470C">
        <w:rPr>
          <w:i/>
          <w:lang w:val="de-DE"/>
        </w:rPr>
        <w:t>Ratio praelectionum Wolfianarum in mathesin et philsophiam universam</w:t>
      </w:r>
      <w:r w:rsidR="00D5470C">
        <w:rPr>
          <w:lang w:val="de-DE"/>
        </w:rPr>
        <w:t xml:space="preserve"> (Halle, 1718)</w:t>
      </w:r>
      <w:r w:rsidR="00D5470C" w:rsidRPr="00551235">
        <w:rPr>
          <w:lang w:val="de-DE"/>
        </w:rPr>
        <w:t>.</w:t>
      </w:r>
      <w:r w:rsidR="00D5470C">
        <w:rPr>
          <w:lang w:val="de-DE"/>
        </w:rPr>
        <w:t xml:space="preserve"> </w:t>
      </w:r>
    </w:p>
  </w:footnote>
  <w:footnote w:id="4">
    <w:p w:rsidR="00F40380" w:rsidRPr="00656F89" w:rsidRDefault="00F40380">
      <w:pPr>
        <w:pStyle w:val="FootnoteText"/>
      </w:pPr>
      <w:r>
        <w:rPr>
          <w:rStyle w:val="FootnoteReference"/>
        </w:rPr>
        <w:footnoteRef/>
      </w:r>
      <w:r>
        <w:t xml:space="preserve"> So, Wolff writes: “</w:t>
      </w:r>
      <w:proofErr w:type="spellStart"/>
      <w:r>
        <w:t>Ich</w:t>
      </w:r>
      <w:proofErr w:type="spellEnd"/>
      <w:r>
        <w:t xml:space="preserve"> </w:t>
      </w:r>
      <w:proofErr w:type="spellStart"/>
      <w:r>
        <w:t>habe</w:t>
      </w:r>
      <w:proofErr w:type="spellEnd"/>
      <w:r>
        <w:t xml:space="preserve"> </w:t>
      </w:r>
      <w:proofErr w:type="spellStart"/>
      <w:r>
        <w:t>gefunden</w:t>
      </w:r>
      <w:proofErr w:type="spellEnd"/>
      <w:r>
        <w:t xml:space="preserve">, </w:t>
      </w:r>
      <w:proofErr w:type="spellStart"/>
      <w:r>
        <w:t>daß</w:t>
      </w:r>
      <w:proofErr w:type="spellEnd"/>
      <w:r>
        <w:t xml:space="preserve"> die </w:t>
      </w:r>
      <w:proofErr w:type="spellStart"/>
      <w:r>
        <w:t>allgemeine</w:t>
      </w:r>
      <w:proofErr w:type="spellEnd"/>
      <w:r>
        <w:t xml:space="preserve"> </w:t>
      </w:r>
      <w:proofErr w:type="spellStart"/>
      <w:r>
        <w:t>Logick</w:t>
      </w:r>
      <w:proofErr w:type="spellEnd"/>
      <w:r>
        <w:t xml:space="preserve"> in </w:t>
      </w:r>
      <w:proofErr w:type="spellStart"/>
      <w:r>
        <w:t>Ansehung</w:t>
      </w:r>
      <w:proofErr w:type="spellEnd"/>
      <w:r>
        <w:t xml:space="preserve"> </w:t>
      </w:r>
      <w:proofErr w:type="spellStart"/>
      <w:r>
        <w:t>dessen</w:t>
      </w:r>
      <w:proofErr w:type="spellEnd"/>
      <w:r>
        <w:t xml:space="preserve"> </w:t>
      </w:r>
      <w:proofErr w:type="spellStart"/>
      <w:r>
        <w:t>alles</w:t>
      </w:r>
      <w:proofErr w:type="spellEnd"/>
      <w:r>
        <w:t xml:space="preserve"> gar </w:t>
      </w:r>
      <w:proofErr w:type="spellStart"/>
      <w:r>
        <w:t>wohl</w:t>
      </w:r>
      <w:proofErr w:type="spellEnd"/>
      <w:r>
        <w:t xml:space="preserve"> in </w:t>
      </w:r>
      <w:proofErr w:type="spellStart"/>
      <w:r>
        <w:rPr>
          <w:i/>
        </w:rPr>
        <w:t>Individua</w:t>
      </w:r>
      <w:proofErr w:type="spellEnd"/>
      <w:r>
        <w:rPr>
          <w:i/>
        </w:rPr>
        <w:t xml:space="preserve">, species </w:t>
      </w:r>
      <w:r>
        <w:t xml:space="preserve">und </w:t>
      </w:r>
      <w:r>
        <w:rPr>
          <w:i/>
        </w:rPr>
        <w:t>genera</w:t>
      </w:r>
      <w:r>
        <w:t xml:space="preserve">, </w:t>
      </w:r>
      <w:proofErr w:type="spellStart"/>
      <w:r>
        <w:t>oder</w:t>
      </w:r>
      <w:proofErr w:type="spellEnd"/>
      <w:r>
        <w:t xml:space="preserve"> in </w:t>
      </w:r>
      <w:proofErr w:type="spellStart"/>
      <w:r>
        <w:rPr>
          <w:i/>
        </w:rPr>
        <w:t>einzele</w:t>
      </w:r>
      <w:proofErr w:type="spellEnd"/>
      <w:r>
        <w:rPr>
          <w:i/>
        </w:rPr>
        <w:t xml:space="preserve"> Dinge</w:t>
      </w:r>
      <w:r>
        <w:t xml:space="preserve">, </w:t>
      </w:r>
      <w:proofErr w:type="spellStart"/>
      <w:r>
        <w:rPr>
          <w:i/>
        </w:rPr>
        <w:t>Arten</w:t>
      </w:r>
      <w:proofErr w:type="spellEnd"/>
      <w:r>
        <w:t xml:space="preserve"> und </w:t>
      </w:r>
      <w:proofErr w:type="spellStart"/>
      <w:r>
        <w:rPr>
          <w:i/>
        </w:rPr>
        <w:t>Geschlechter</w:t>
      </w:r>
      <w:proofErr w:type="spellEnd"/>
      <w:r>
        <w:t xml:space="preserve"> der Dinge </w:t>
      </w:r>
      <w:proofErr w:type="spellStart"/>
      <w:r>
        <w:t>unterscheidet</w:t>
      </w:r>
      <w:proofErr w:type="spellEnd"/>
      <w:r>
        <w:t xml:space="preserve">, und </w:t>
      </w:r>
      <w:proofErr w:type="spellStart"/>
      <w:r>
        <w:t>dieser</w:t>
      </w:r>
      <w:proofErr w:type="spellEnd"/>
      <w:r>
        <w:t xml:space="preserve"> </w:t>
      </w:r>
      <w:proofErr w:type="spellStart"/>
      <w:r>
        <w:t>Unterscheid</w:t>
      </w:r>
      <w:proofErr w:type="spellEnd"/>
      <w:r>
        <w:t xml:space="preserve"> </w:t>
      </w:r>
      <w:proofErr w:type="spellStart"/>
      <w:r>
        <w:t>zu</w:t>
      </w:r>
      <w:proofErr w:type="spellEnd"/>
      <w:r>
        <w:t xml:space="preserve"> den </w:t>
      </w:r>
      <w:proofErr w:type="spellStart"/>
      <w:r>
        <w:t>Urtheilen</w:t>
      </w:r>
      <w:proofErr w:type="spellEnd"/>
      <w:r>
        <w:t xml:space="preserve"> </w:t>
      </w:r>
      <w:proofErr w:type="spellStart"/>
      <w:r>
        <w:t>zum</w:t>
      </w:r>
      <w:proofErr w:type="spellEnd"/>
      <w:r>
        <w:t xml:space="preserve"> </w:t>
      </w:r>
      <w:proofErr w:type="spellStart"/>
      <w:r>
        <w:t>Behuff</w:t>
      </w:r>
      <w:proofErr w:type="spellEnd"/>
      <w:r>
        <w:t xml:space="preserve"> der </w:t>
      </w:r>
      <w:proofErr w:type="spellStart"/>
      <w:r>
        <w:t>Vernunfts-Schlüsse</w:t>
      </w:r>
      <w:proofErr w:type="spellEnd"/>
      <w:r>
        <w:t xml:space="preserve"> </w:t>
      </w:r>
      <w:proofErr w:type="spellStart"/>
      <w:r>
        <w:t>nöthig</w:t>
      </w:r>
      <w:proofErr w:type="spellEnd"/>
      <w:r>
        <w:t xml:space="preserve"> und </w:t>
      </w:r>
      <w:proofErr w:type="spellStart"/>
      <w:r>
        <w:t>hinreichend</w:t>
      </w:r>
      <w:proofErr w:type="spellEnd"/>
      <w:r>
        <w:t>,” but, as he proceeds to point out, “</w:t>
      </w:r>
      <w:proofErr w:type="spellStart"/>
      <w:r>
        <w:t>Ich</w:t>
      </w:r>
      <w:proofErr w:type="spellEnd"/>
      <w:r>
        <w:t xml:space="preserve"> </w:t>
      </w:r>
      <w:proofErr w:type="spellStart"/>
      <w:r>
        <w:t>habe</w:t>
      </w:r>
      <w:proofErr w:type="spellEnd"/>
      <w:r>
        <w:t xml:space="preserve"> </w:t>
      </w:r>
      <w:proofErr w:type="spellStart"/>
      <w:r>
        <w:t>dabey</w:t>
      </w:r>
      <w:proofErr w:type="spellEnd"/>
      <w:r>
        <w:t xml:space="preserve"> </w:t>
      </w:r>
      <w:proofErr w:type="spellStart"/>
      <w:r>
        <w:t>zu</w:t>
      </w:r>
      <w:proofErr w:type="spellEnd"/>
      <w:r>
        <w:t xml:space="preserve"> </w:t>
      </w:r>
      <w:proofErr w:type="spellStart"/>
      <w:r>
        <w:t>gleich</w:t>
      </w:r>
      <w:proofErr w:type="spellEnd"/>
      <w:r>
        <w:t xml:space="preserve"> </w:t>
      </w:r>
      <w:proofErr w:type="spellStart"/>
      <w:r>
        <w:t>angemercket</w:t>
      </w:r>
      <w:proofErr w:type="spellEnd"/>
      <w:r>
        <w:t xml:space="preserve">, </w:t>
      </w:r>
      <w:proofErr w:type="spellStart"/>
      <w:r>
        <w:t>daß</w:t>
      </w:r>
      <w:proofErr w:type="spellEnd"/>
      <w:r>
        <w:t xml:space="preserve"> die </w:t>
      </w:r>
      <w:proofErr w:type="spellStart"/>
      <w:r>
        <w:t>gemeine</w:t>
      </w:r>
      <w:proofErr w:type="spellEnd"/>
      <w:r>
        <w:t xml:space="preserve"> </w:t>
      </w:r>
      <w:proofErr w:type="spellStart"/>
      <w:r>
        <w:rPr>
          <w:i/>
        </w:rPr>
        <w:t>Logick</w:t>
      </w:r>
      <w:proofErr w:type="spellEnd"/>
      <w:r>
        <w:t xml:space="preserve"> </w:t>
      </w:r>
      <w:proofErr w:type="spellStart"/>
      <w:r>
        <w:t>denselben</w:t>
      </w:r>
      <w:proofErr w:type="spellEnd"/>
      <w:r>
        <w:t xml:space="preserve"> </w:t>
      </w:r>
      <w:proofErr w:type="spellStart"/>
      <w:r>
        <w:t>Unterscheid</w:t>
      </w:r>
      <w:proofErr w:type="spellEnd"/>
      <w:r>
        <w:t xml:space="preserve"> </w:t>
      </w:r>
      <w:proofErr w:type="spellStart"/>
      <w:r>
        <w:t>nicht</w:t>
      </w:r>
      <w:proofErr w:type="spellEnd"/>
      <w:r>
        <w:t xml:space="preserve"> </w:t>
      </w:r>
      <w:proofErr w:type="spellStart"/>
      <w:r>
        <w:t>deutlich</w:t>
      </w:r>
      <w:proofErr w:type="spellEnd"/>
      <w:r>
        <w:t xml:space="preserve"> </w:t>
      </w:r>
      <w:proofErr w:type="spellStart"/>
      <w:r>
        <w:t>gnung</w:t>
      </w:r>
      <w:proofErr w:type="spellEnd"/>
      <w:r>
        <w:t xml:space="preserve"> [sic] </w:t>
      </w:r>
      <w:proofErr w:type="spellStart"/>
      <w:r>
        <w:t>erkläret</w:t>
      </w:r>
      <w:proofErr w:type="spellEnd"/>
      <w:r>
        <w:t>” (</w:t>
      </w:r>
      <w:r>
        <w:rPr>
          <w:i/>
        </w:rPr>
        <w:t>AN</w:t>
      </w:r>
      <w:r>
        <w:t xml:space="preserve"> §59), which suggests that “</w:t>
      </w:r>
      <w:proofErr w:type="spellStart"/>
      <w:r>
        <w:t>allgemeine</w:t>
      </w:r>
      <w:proofErr w:type="spellEnd"/>
      <w:r>
        <w:t>” and “</w:t>
      </w:r>
      <w:proofErr w:type="spellStart"/>
      <w:r>
        <w:t>gemeine</w:t>
      </w:r>
      <w:proofErr w:type="spellEnd"/>
      <w:r>
        <w:t xml:space="preserve">” logic would refer to the same discipline, namely, to the traditional treatment of logic as a whole, where no contrast with a “particular” or “special” logic would be intended. </w:t>
      </w:r>
    </w:p>
  </w:footnote>
  <w:footnote w:id="5">
    <w:p w:rsidR="00F40380" w:rsidRDefault="00F40380">
      <w:pPr>
        <w:pStyle w:val="FootnoteText"/>
      </w:pPr>
      <w:r>
        <w:rPr>
          <w:rStyle w:val="FootnoteReference"/>
        </w:rPr>
        <w:footnoteRef/>
      </w:r>
      <w:r>
        <w:t xml:space="preserve"> Among these are Joachim </w:t>
      </w:r>
      <w:proofErr w:type="spellStart"/>
      <w:r>
        <w:t>Jungius</w:t>
      </w:r>
      <w:proofErr w:type="spellEnd"/>
      <w:r>
        <w:t xml:space="preserve">’ </w:t>
      </w:r>
      <w:proofErr w:type="spellStart"/>
      <w:r>
        <w:rPr>
          <w:i/>
        </w:rPr>
        <w:t>Logica</w:t>
      </w:r>
      <w:proofErr w:type="spellEnd"/>
      <w:r>
        <w:rPr>
          <w:i/>
        </w:rPr>
        <w:t xml:space="preserve"> </w:t>
      </w:r>
      <w:proofErr w:type="spellStart"/>
      <w:r>
        <w:rPr>
          <w:i/>
        </w:rPr>
        <w:t>Hamburgensis</w:t>
      </w:r>
      <w:proofErr w:type="spellEnd"/>
      <w:r>
        <w:rPr>
          <w:i/>
        </w:rPr>
        <w:t xml:space="preserve"> </w:t>
      </w:r>
      <w:r>
        <w:t xml:space="preserve">and Jacopo </w:t>
      </w:r>
      <w:proofErr w:type="spellStart"/>
      <w:r>
        <w:t>Zabarella’s</w:t>
      </w:r>
      <w:proofErr w:type="spellEnd"/>
      <w:r>
        <w:t xml:space="preserve"> </w:t>
      </w:r>
      <w:r>
        <w:rPr>
          <w:i/>
        </w:rPr>
        <w:t xml:space="preserve">Opera </w:t>
      </w:r>
      <w:proofErr w:type="spellStart"/>
      <w:r>
        <w:rPr>
          <w:i/>
        </w:rPr>
        <w:t>Logica</w:t>
      </w:r>
      <w:proofErr w:type="spellEnd"/>
      <w:r>
        <w:t xml:space="preserve"> (for references to both of these sources, see </w:t>
      </w:r>
      <w:proofErr w:type="spellStart"/>
      <w:r>
        <w:t>To</w:t>
      </w:r>
      <w:r w:rsidRPr="00F40380">
        <w:t>lley</w:t>
      </w:r>
      <w:proofErr w:type="spellEnd"/>
      <w:r w:rsidRPr="00F40380">
        <w:t xml:space="preserve"> </w:t>
      </w:r>
      <w:r>
        <w:t>“Generality,” 427n24.</w:t>
      </w:r>
    </w:p>
  </w:footnote>
  <w:footnote w:id="6">
    <w:p w:rsidR="00F40380" w:rsidRPr="00F40380" w:rsidRDefault="00F40380" w:rsidP="00D20460">
      <w:pPr>
        <w:pStyle w:val="FootnoteText"/>
      </w:pPr>
      <w:r>
        <w:rPr>
          <w:rStyle w:val="FootnoteReference"/>
        </w:rPr>
        <w:footnoteRef/>
      </w:r>
      <w:r>
        <w:t xml:space="preserve"> </w:t>
      </w:r>
      <w:proofErr w:type="spellStart"/>
      <w:r>
        <w:rPr>
          <w:i/>
        </w:rPr>
        <w:t>Institutiones</w:t>
      </w:r>
      <w:proofErr w:type="spellEnd"/>
      <w:r>
        <w:rPr>
          <w:i/>
        </w:rPr>
        <w:t xml:space="preserve"> </w:t>
      </w:r>
      <w:proofErr w:type="spellStart"/>
      <w:r>
        <w:rPr>
          <w:i/>
        </w:rPr>
        <w:t>philosophiae</w:t>
      </w:r>
      <w:proofErr w:type="spellEnd"/>
      <w:r>
        <w:rPr>
          <w:i/>
        </w:rPr>
        <w:t xml:space="preserve"> </w:t>
      </w:r>
      <w:proofErr w:type="spellStart"/>
      <w:r>
        <w:rPr>
          <w:i/>
        </w:rPr>
        <w:t>Wolffianae</w:t>
      </w:r>
      <w:proofErr w:type="spellEnd"/>
      <w:r>
        <w:t xml:space="preserve">, </w:t>
      </w:r>
      <w:r w:rsidR="00B20DC3">
        <w:t>“</w:t>
      </w:r>
      <w:proofErr w:type="spellStart"/>
      <w:r>
        <w:t>Institutiones</w:t>
      </w:r>
      <w:proofErr w:type="spellEnd"/>
      <w:r>
        <w:t xml:space="preserve"> </w:t>
      </w:r>
      <w:proofErr w:type="spellStart"/>
      <w:r>
        <w:t>Logicae</w:t>
      </w:r>
      <w:proofErr w:type="spellEnd"/>
      <w:r>
        <w:t>.</w:t>
      </w:r>
      <w:r w:rsidR="00B20DC3">
        <w:t>”</w:t>
      </w:r>
      <w:r>
        <w:t xml:space="preserve"> For Wolff’s acknowledgment of </w:t>
      </w:r>
      <w:proofErr w:type="spellStart"/>
      <w:r>
        <w:t>Thümmig’s</w:t>
      </w:r>
      <w:proofErr w:type="spellEnd"/>
      <w:r>
        <w:t xml:space="preserve"> contribution in this regard, see </w:t>
      </w:r>
      <w:r>
        <w:rPr>
          <w:i/>
        </w:rPr>
        <w:t>AN</w:t>
      </w:r>
      <w:r>
        <w:t xml:space="preserve"> §55. See also </w:t>
      </w:r>
      <w:proofErr w:type="spellStart"/>
      <w:r>
        <w:t>Pozzo</w:t>
      </w:r>
      <w:proofErr w:type="spellEnd"/>
      <w:r>
        <w:t xml:space="preserve">, </w:t>
      </w:r>
      <w:proofErr w:type="spellStart"/>
      <w:r>
        <w:rPr>
          <w:i/>
        </w:rPr>
        <w:t>Einleitung</w:t>
      </w:r>
      <w:proofErr w:type="spellEnd"/>
      <w:r>
        <w:t>, 172.</w:t>
      </w:r>
    </w:p>
  </w:footnote>
  <w:footnote w:id="7">
    <w:p w:rsidR="00F40380" w:rsidRPr="00D44E39" w:rsidRDefault="00F40380">
      <w:pPr>
        <w:pStyle w:val="FootnoteText"/>
      </w:pPr>
      <w:r>
        <w:rPr>
          <w:rStyle w:val="FootnoteReference"/>
        </w:rPr>
        <w:footnoteRef/>
      </w:r>
      <w:r>
        <w:t xml:space="preserve"> On this see </w:t>
      </w:r>
      <w:r>
        <w:rPr>
          <w:i/>
        </w:rPr>
        <w:t>LL</w:t>
      </w:r>
      <w:r>
        <w:t xml:space="preserve"> §59 and §2 (note), as well as </w:t>
      </w:r>
      <w:r>
        <w:rPr>
          <w:i/>
        </w:rPr>
        <w:t>DP</w:t>
      </w:r>
      <w:r>
        <w:t xml:space="preserve"> §§89-91.</w:t>
      </w:r>
    </w:p>
  </w:footnote>
  <w:footnote w:id="8">
    <w:p w:rsidR="00F40380" w:rsidRPr="00D51133" w:rsidRDefault="00F40380">
      <w:pPr>
        <w:pStyle w:val="FootnoteText"/>
      </w:pPr>
      <w:r>
        <w:rPr>
          <w:rStyle w:val="FootnoteReference"/>
        </w:rPr>
        <w:footnoteRef/>
      </w:r>
      <w:r>
        <w:t xml:space="preserve"> This is confirmed in </w:t>
      </w:r>
      <w:r>
        <w:rPr>
          <w:i/>
        </w:rPr>
        <w:t>AN</w:t>
      </w:r>
      <w:r>
        <w:t xml:space="preserve"> §56 where Wolff defends his appropriation of the Aristotelian tradition on this score. More on this below. </w:t>
      </w:r>
    </w:p>
  </w:footnote>
  <w:footnote w:id="9">
    <w:p w:rsidR="00445662" w:rsidRDefault="00445662" w:rsidP="00445662">
      <w:pPr>
        <w:pStyle w:val="FootnoteText"/>
      </w:pPr>
      <w:r>
        <w:rPr>
          <w:rStyle w:val="FootnoteReference"/>
        </w:rPr>
        <w:footnoteRef/>
      </w:r>
      <w:r>
        <w:t xml:space="preserve"> See also </w:t>
      </w:r>
      <w:proofErr w:type="spellStart"/>
      <w:r>
        <w:t>Tolley</w:t>
      </w:r>
      <w:proofErr w:type="spellEnd"/>
      <w:r>
        <w:t>, “Generality,” 427n24.</w:t>
      </w:r>
    </w:p>
  </w:footnote>
  <w:footnote w:id="10">
    <w:p w:rsidR="00445662" w:rsidRPr="004D4A3C" w:rsidRDefault="00445662" w:rsidP="00445662">
      <w:pPr>
        <w:pStyle w:val="FootnoteText"/>
      </w:pPr>
      <w:r>
        <w:rPr>
          <w:rStyle w:val="FootnoteReference"/>
        </w:rPr>
        <w:footnoteRef/>
      </w:r>
      <w:r>
        <w:t xml:space="preserve"> See </w:t>
      </w:r>
      <w:r>
        <w:rPr>
          <w:i/>
        </w:rPr>
        <w:t>Elementa</w:t>
      </w:r>
      <w:r>
        <w:t xml:space="preserve">, </w:t>
      </w:r>
      <w:proofErr w:type="spellStart"/>
      <w:r>
        <w:t>Praefatio</w:t>
      </w:r>
      <w:proofErr w:type="spellEnd"/>
      <w:r>
        <w:t>: “</w:t>
      </w:r>
      <w:proofErr w:type="spellStart"/>
      <w:r>
        <w:rPr>
          <w:i/>
        </w:rPr>
        <w:t>Methodum</w:t>
      </w:r>
      <w:proofErr w:type="spellEnd"/>
      <w:r>
        <w:rPr>
          <w:i/>
        </w:rPr>
        <w:t xml:space="preserve"> </w:t>
      </w:r>
      <w:r>
        <w:t xml:space="preserve">quod </w:t>
      </w:r>
      <w:proofErr w:type="spellStart"/>
      <w:r>
        <w:t>attinet</w:t>
      </w:r>
      <w:proofErr w:type="spellEnd"/>
      <w:r>
        <w:t xml:space="preserve">: </w:t>
      </w:r>
      <w:proofErr w:type="spellStart"/>
      <w:r>
        <w:rPr>
          <w:i/>
        </w:rPr>
        <w:t>Logicam</w:t>
      </w:r>
      <w:proofErr w:type="spellEnd"/>
      <w:r>
        <w:rPr>
          <w:i/>
        </w:rPr>
        <w:t xml:space="preserve"> </w:t>
      </w:r>
      <w:proofErr w:type="spellStart"/>
      <w:r>
        <w:rPr>
          <w:i/>
        </w:rPr>
        <w:t>universalem</w:t>
      </w:r>
      <w:proofErr w:type="spellEnd"/>
      <w:r>
        <w:t xml:space="preserve">, quam </w:t>
      </w:r>
      <w:proofErr w:type="spellStart"/>
      <w:r>
        <w:t>alii</w:t>
      </w:r>
      <w:proofErr w:type="spellEnd"/>
      <w:r>
        <w:t xml:space="preserve"> </w:t>
      </w:r>
      <w:proofErr w:type="spellStart"/>
      <w:r>
        <w:t>theoreticam</w:t>
      </w:r>
      <w:proofErr w:type="spellEnd"/>
      <w:r>
        <w:t xml:space="preserve"> minus </w:t>
      </w:r>
      <w:proofErr w:type="spellStart"/>
      <w:r>
        <w:t>congrue</w:t>
      </w:r>
      <w:proofErr w:type="spellEnd"/>
      <w:r>
        <w:t xml:space="preserve"> appellant, </w:t>
      </w:r>
      <w:proofErr w:type="spellStart"/>
      <w:r>
        <w:t>eum</w:t>
      </w:r>
      <w:proofErr w:type="spellEnd"/>
      <w:r>
        <w:t xml:space="preserve"> in </w:t>
      </w:r>
      <w:proofErr w:type="spellStart"/>
      <w:r>
        <w:t>modum</w:t>
      </w:r>
      <w:proofErr w:type="spellEnd"/>
      <w:r>
        <w:t xml:space="preserve"> </w:t>
      </w:r>
      <w:proofErr w:type="spellStart"/>
      <w:r>
        <w:t>pertractaui</w:t>
      </w:r>
      <w:proofErr w:type="spellEnd"/>
      <w:r>
        <w:t xml:space="preserve">, </w:t>
      </w:r>
      <w:proofErr w:type="spellStart"/>
      <w:r>
        <w:t>vt</w:t>
      </w:r>
      <w:proofErr w:type="spellEnd"/>
      <w:r>
        <w:t xml:space="preserve"> </w:t>
      </w:r>
      <w:r>
        <w:rPr>
          <w:i/>
        </w:rPr>
        <w:t xml:space="preserve">a) </w:t>
      </w:r>
      <w:proofErr w:type="spellStart"/>
      <w:r>
        <w:rPr>
          <w:i/>
        </w:rPr>
        <w:t>theoriam</w:t>
      </w:r>
      <w:proofErr w:type="spellEnd"/>
      <w:r>
        <w:t xml:space="preserve"> </w:t>
      </w:r>
      <w:proofErr w:type="spellStart"/>
      <w:r>
        <w:t>intellectus</w:t>
      </w:r>
      <w:proofErr w:type="spellEnd"/>
      <w:r>
        <w:t xml:space="preserve"> &amp; </w:t>
      </w:r>
      <w:proofErr w:type="spellStart"/>
      <w:r>
        <w:rPr>
          <w:i/>
        </w:rPr>
        <w:t>trium</w:t>
      </w:r>
      <w:proofErr w:type="spellEnd"/>
      <w:r>
        <w:rPr>
          <w:i/>
        </w:rPr>
        <w:t xml:space="preserve"> mentis </w:t>
      </w:r>
      <w:proofErr w:type="spellStart"/>
      <w:r>
        <w:rPr>
          <w:i/>
        </w:rPr>
        <w:t>operationum</w:t>
      </w:r>
      <w:proofErr w:type="spellEnd"/>
      <w:r>
        <w:t xml:space="preserve"> </w:t>
      </w:r>
      <w:proofErr w:type="spellStart"/>
      <w:r>
        <w:t>indolem</w:t>
      </w:r>
      <w:proofErr w:type="spellEnd"/>
      <w:r>
        <w:t xml:space="preserve">, </w:t>
      </w:r>
      <w:proofErr w:type="spellStart"/>
      <w:r>
        <w:t>variasque</w:t>
      </w:r>
      <w:proofErr w:type="spellEnd"/>
      <w:r>
        <w:t xml:space="preserve"> </w:t>
      </w:r>
      <w:proofErr w:type="spellStart"/>
      <w:r>
        <w:t>earum</w:t>
      </w:r>
      <w:proofErr w:type="spellEnd"/>
      <w:r>
        <w:t xml:space="preserve"> species </w:t>
      </w:r>
      <w:proofErr w:type="spellStart"/>
      <w:r>
        <w:t>explicarem</w:t>
      </w:r>
      <w:proofErr w:type="spellEnd"/>
      <w:r>
        <w:t xml:space="preserve">, s. </w:t>
      </w:r>
      <w:proofErr w:type="spellStart"/>
      <w:r>
        <w:t>subiectum</w:t>
      </w:r>
      <w:proofErr w:type="spellEnd"/>
      <w:r>
        <w:t xml:space="preserve"> </w:t>
      </w:r>
      <w:proofErr w:type="spellStart"/>
      <w:r>
        <w:t>Logicae</w:t>
      </w:r>
      <w:proofErr w:type="spellEnd"/>
      <w:r>
        <w:t xml:space="preserve"> </w:t>
      </w:r>
      <w:proofErr w:type="spellStart"/>
      <w:r>
        <w:t>enuclearem</w:t>
      </w:r>
      <w:proofErr w:type="spellEnd"/>
      <w:r>
        <w:t xml:space="preserve">; </w:t>
      </w:r>
      <w:r>
        <w:rPr>
          <w:i/>
        </w:rPr>
        <w:t>b)</w:t>
      </w:r>
      <w:r>
        <w:t xml:space="preserve"> tum de </w:t>
      </w:r>
      <w:r>
        <w:rPr>
          <w:i/>
        </w:rPr>
        <w:t>fine</w:t>
      </w:r>
      <w:r>
        <w:t xml:space="preserve"> </w:t>
      </w:r>
      <w:proofErr w:type="spellStart"/>
      <w:r>
        <w:t>s.veritate</w:t>
      </w:r>
      <w:proofErr w:type="spellEnd"/>
      <w:r>
        <w:t xml:space="preserve">, &amp; tandem </w:t>
      </w:r>
      <w:r>
        <w:rPr>
          <w:i/>
        </w:rPr>
        <w:t>c)</w:t>
      </w:r>
      <w:r>
        <w:t xml:space="preserve"> de </w:t>
      </w:r>
      <w:proofErr w:type="spellStart"/>
      <w:r>
        <w:rPr>
          <w:i/>
        </w:rPr>
        <w:t>regulis</w:t>
      </w:r>
      <w:proofErr w:type="spellEnd"/>
      <w:r>
        <w:rPr>
          <w:i/>
        </w:rPr>
        <w:t xml:space="preserve"> </w:t>
      </w:r>
      <w:proofErr w:type="spellStart"/>
      <w:r>
        <w:t>hunc</w:t>
      </w:r>
      <w:proofErr w:type="spellEnd"/>
      <w:r>
        <w:t xml:space="preserve"> finem </w:t>
      </w:r>
      <w:proofErr w:type="spellStart"/>
      <w:r>
        <w:t>obtinendi</w:t>
      </w:r>
      <w:proofErr w:type="spellEnd"/>
      <w:r>
        <w:t xml:space="preserve"> s. de </w:t>
      </w:r>
      <w:proofErr w:type="spellStart"/>
      <w:r>
        <w:t>praxi</w:t>
      </w:r>
      <w:proofErr w:type="spellEnd"/>
      <w:r>
        <w:t xml:space="preserve">, ac </w:t>
      </w:r>
      <w:proofErr w:type="spellStart"/>
      <w:r>
        <w:t>directionem</w:t>
      </w:r>
      <w:proofErr w:type="spellEnd"/>
      <w:r>
        <w:t xml:space="preserve"> </w:t>
      </w:r>
      <w:proofErr w:type="spellStart"/>
      <w:r>
        <w:t>trium</w:t>
      </w:r>
      <w:proofErr w:type="spellEnd"/>
      <w:r>
        <w:t xml:space="preserve"> mentis </w:t>
      </w:r>
      <w:proofErr w:type="spellStart"/>
      <w:r>
        <w:t>operationum</w:t>
      </w:r>
      <w:proofErr w:type="spellEnd"/>
      <w:r>
        <w:t xml:space="preserve"> </w:t>
      </w:r>
      <w:proofErr w:type="spellStart"/>
      <w:r>
        <w:t>agerem</w:t>
      </w:r>
      <w:proofErr w:type="spellEnd"/>
      <w:r>
        <w:t>.”</w:t>
      </w:r>
    </w:p>
  </w:footnote>
  <w:footnote w:id="11">
    <w:p w:rsidR="00F40380" w:rsidRPr="00D77DBD" w:rsidRDefault="00F40380">
      <w:pPr>
        <w:pStyle w:val="FootnoteText"/>
      </w:pPr>
      <w:r>
        <w:rPr>
          <w:rStyle w:val="FootnoteReference"/>
        </w:rPr>
        <w:footnoteRef/>
      </w:r>
      <w:r>
        <w:t xml:space="preserve"> For Descartes’ discussion, see </w:t>
      </w:r>
      <w:r>
        <w:rPr>
          <w:i/>
        </w:rPr>
        <w:t>Principles</w:t>
      </w:r>
      <w:r>
        <w:t xml:space="preserve"> </w:t>
      </w:r>
      <w:r w:rsidR="00B73112">
        <w:t xml:space="preserve">I, §45 </w:t>
      </w:r>
      <w:r>
        <w:t>(</w:t>
      </w:r>
      <w:r w:rsidR="00B73112">
        <w:t>AT VIIIA.22/CSM I 207)</w:t>
      </w:r>
      <w:r>
        <w:t xml:space="preserve">. On the importance of Leibniz’s treatment on Wolff’s logic, see H. W. Arndt’s introduction to </w:t>
      </w:r>
      <w:r>
        <w:rPr>
          <w:i/>
        </w:rPr>
        <w:t>DL</w:t>
      </w:r>
      <w:r>
        <w:t xml:space="preserve">, p. 19-20, as well as </w:t>
      </w:r>
      <w:r>
        <w:rPr>
          <w:i/>
        </w:rPr>
        <w:t xml:space="preserve">RP </w:t>
      </w:r>
      <w:r>
        <w:t xml:space="preserve">II, c. 2, §27 and Wolff’s Preface to the first edition of </w:t>
      </w:r>
      <w:r>
        <w:rPr>
          <w:i/>
        </w:rPr>
        <w:t>DL</w:t>
      </w:r>
      <w:r>
        <w:t xml:space="preserve">: (p. 109 of </w:t>
      </w:r>
      <w:proofErr w:type="spellStart"/>
      <w:r>
        <w:rPr>
          <w:i/>
        </w:rPr>
        <w:t>Gesammelte</w:t>
      </w:r>
      <w:proofErr w:type="spellEnd"/>
      <w:r>
        <w:rPr>
          <w:i/>
        </w:rPr>
        <w:t xml:space="preserve"> </w:t>
      </w:r>
      <w:proofErr w:type="spellStart"/>
      <w:r>
        <w:rPr>
          <w:i/>
        </w:rPr>
        <w:t>Werke</w:t>
      </w:r>
      <w:proofErr w:type="spellEnd"/>
      <w:r>
        <w:rPr>
          <w:i/>
        </w:rPr>
        <w:t xml:space="preserve"> </w:t>
      </w:r>
      <w:r>
        <w:t>edition).</w:t>
      </w:r>
    </w:p>
  </w:footnote>
  <w:footnote w:id="12">
    <w:p w:rsidR="00F40380" w:rsidRPr="00B71177" w:rsidRDefault="00F40380" w:rsidP="00B71177">
      <w:pPr>
        <w:pStyle w:val="FootnoteText"/>
      </w:pPr>
      <w:r>
        <w:rPr>
          <w:rStyle w:val="FootnoteReference"/>
        </w:rPr>
        <w:footnoteRef/>
      </w:r>
      <w:r>
        <w:t xml:space="preserve"> Leibniz, </w:t>
      </w:r>
      <w:r w:rsidR="00D5470C">
        <w:rPr>
          <w:i/>
        </w:rPr>
        <w:t>AG</w:t>
      </w:r>
      <w:r>
        <w:t xml:space="preserve"> 24. </w:t>
      </w:r>
    </w:p>
  </w:footnote>
  <w:footnote w:id="13">
    <w:p w:rsidR="00F40380" w:rsidRDefault="00F40380">
      <w:pPr>
        <w:pStyle w:val="FootnoteText"/>
      </w:pPr>
      <w:r>
        <w:rPr>
          <w:rStyle w:val="FootnoteReference"/>
        </w:rPr>
        <w:footnoteRef/>
      </w:r>
      <w:r>
        <w:t xml:space="preserve"> See also </w:t>
      </w:r>
      <w:r w:rsidR="00D5470C">
        <w:t xml:space="preserve">Wolff, </w:t>
      </w:r>
      <w:r w:rsidR="00D5470C">
        <w:rPr>
          <w:i/>
        </w:rPr>
        <w:t>KU</w:t>
      </w:r>
      <w:r>
        <w:t xml:space="preserve"> §§3-4.</w:t>
      </w:r>
    </w:p>
  </w:footnote>
  <w:footnote w:id="14">
    <w:p w:rsidR="00F40380" w:rsidRPr="001415AE" w:rsidRDefault="00F40380">
      <w:pPr>
        <w:pStyle w:val="FootnoteText"/>
      </w:pPr>
      <w:r>
        <w:rPr>
          <w:rStyle w:val="FootnoteReference"/>
        </w:rPr>
        <w:footnoteRef/>
      </w:r>
      <w:r>
        <w:t xml:space="preserve"> </w:t>
      </w:r>
      <w:r w:rsidRPr="00B73112">
        <w:t xml:space="preserve">See, for instance, </w:t>
      </w:r>
      <w:proofErr w:type="spellStart"/>
      <w:r w:rsidRPr="00B73112">
        <w:t>Tschirnhaus</w:t>
      </w:r>
      <w:proofErr w:type="spellEnd"/>
      <w:r w:rsidRPr="00B73112">
        <w:t xml:space="preserve">, </w:t>
      </w:r>
      <w:proofErr w:type="spellStart"/>
      <w:r w:rsidRPr="00B73112">
        <w:rPr>
          <w:i/>
        </w:rPr>
        <w:t>Medicina</w:t>
      </w:r>
      <w:proofErr w:type="spellEnd"/>
      <w:r w:rsidRPr="00B73112">
        <w:rPr>
          <w:i/>
        </w:rPr>
        <w:t xml:space="preserve"> mentis</w:t>
      </w:r>
      <w:r w:rsidRPr="00B73112">
        <w:t xml:space="preserve"> (1695), 67-8</w:t>
      </w:r>
      <w:r>
        <w:t xml:space="preserve">. </w:t>
      </w:r>
    </w:p>
  </w:footnote>
  <w:footnote w:id="15">
    <w:p w:rsidR="00F40380" w:rsidRPr="006B5DAB" w:rsidRDefault="00F40380">
      <w:pPr>
        <w:pStyle w:val="FootnoteText"/>
      </w:pPr>
      <w:r>
        <w:rPr>
          <w:rStyle w:val="FootnoteReference"/>
        </w:rPr>
        <w:footnoteRef/>
      </w:r>
      <w:r>
        <w:t xml:space="preserve"> For Wolff’s discussion of the contrast between Scholastic and modern logicians on this score, see </w:t>
      </w:r>
      <w:r>
        <w:rPr>
          <w:i/>
        </w:rPr>
        <w:t>RP</w:t>
      </w:r>
      <w:r>
        <w:t xml:space="preserve"> c. 1 (</w:t>
      </w:r>
      <w:r>
        <w:rPr>
          <w:i/>
        </w:rPr>
        <w:t xml:space="preserve">de </w:t>
      </w:r>
      <w:proofErr w:type="spellStart"/>
      <w:r>
        <w:rPr>
          <w:i/>
        </w:rPr>
        <w:t>lectionibus</w:t>
      </w:r>
      <w:proofErr w:type="spellEnd"/>
      <w:r>
        <w:rPr>
          <w:i/>
        </w:rPr>
        <w:t xml:space="preserve"> </w:t>
      </w:r>
      <w:proofErr w:type="spellStart"/>
      <w:r>
        <w:rPr>
          <w:i/>
        </w:rPr>
        <w:t>logicae</w:t>
      </w:r>
      <w:proofErr w:type="spellEnd"/>
      <w:r>
        <w:t>), §§5-8.</w:t>
      </w:r>
    </w:p>
  </w:footnote>
  <w:footnote w:id="16">
    <w:p w:rsidR="00F40380" w:rsidRPr="006B5DAB" w:rsidRDefault="00F40380">
      <w:pPr>
        <w:pStyle w:val="FootnoteText"/>
      </w:pPr>
      <w:r>
        <w:rPr>
          <w:rStyle w:val="FootnoteReference"/>
        </w:rPr>
        <w:footnoteRef/>
      </w:r>
      <w:r>
        <w:t xml:space="preserve"> See AN §65: “Weil man </w:t>
      </w:r>
      <w:proofErr w:type="spellStart"/>
      <w:r>
        <w:t>aber</w:t>
      </w:r>
      <w:proofErr w:type="spellEnd"/>
      <w:r>
        <w:t xml:space="preserve"> </w:t>
      </w:r>
      <w:proofErr w:type="spellStart"/>
      <w:r>
        <w:t>ein</w:t>
      </w:r>
      <w:proofErr w:type="spellEnd"/>
      <w:r>
        <w:t xml:space="preserve"> grosses </w:t>
      </w:r>
      <w:proofErr w:type="spellStart"/>
      <w:r>
        <w:t>Vorurtheil</w:t>
      </w:r>
      <w:proofErr w:type="spellEnd"/>
      <w:r>
        <w:t xml:space="preserve"> </w:t>
      </w:r>
      <w:proofErr w:type="spellStart"/>
      <w:r>
        <w:t>heute</w:t>
      </w:r>
      <w:proofErr w:type="spellEnd"/>
      <w:r>
        <w:t xml:space="preserve"> </w:t>
      </w:r>
      <w:proofErr w:type="spellStart"/>
      <w:r>
        <w:t>zu</w:t>
      </w:r>
      <w:proofErr w:type="spellEnd"/>
      <w:r>
        <w:t xml:space="preserve"> </w:t>
      </w:r>
      <w:proofErr w:type="spellStart"/>
      <w:r>
        <w:t>Tage</w:t>
      </w:r>
      <w:proofErr w:type="spellEnd"/>
      <w:r>
        <w:t xml:space="preserve"> von </w:t>
      </w:r>
      <w:proofErr w:type="spellStart"/>
      <w:r>
        <w:t>dieser</w:t>
      </w:r>
      <w:proofErr w:type="spellEnd"/>
      <w:r>
        <w:t xml:space="preserve"> </w:t>
      </w:r>
      <w:proofErr w:type="spellStart"/>
      <w:r>
        <w:t>Lehre</w:t>
      </w:r>
      <w:proofErr w:type="spellEnd"/>
      <w:r>
        <w:t xml:space="preserve"> hat, </w:t>
      </w:r>
      <w:proofErr w:type="spellStart"/>
      <w:r>
        <w:t>dem</w:t>
      </w:r>
      <w:proofErr w:type="spellEnd"/>
      <w:r>
        <w:t xml:space="preserve"> </w:t>
      </w:r>
      <w:proofErr w:type="spellStart"/>
      <w:r>
        <w:t>ich</w:t>
      </w:r>
      <w:proofErr w:type="spellEnd"/>
      <w:r>
        <w:t xml:space="preserve"> </w:t>
      </w:r>
      <w:proofErr w:type="spellStart"/>
      <w:r>
        <w:t>meinen</w:t>
      </w:r>
      <w:proofErr w:type="spellEnd"/>
      <w:r>
        <w:t xml:space="preserve"> </w:t>
      </w:r>
      <w:proofErr w:type="spellStart"/>
      <w:r>
        <w:t>noch</w:t>
      </w:r>
      <w:proofErr w:type="spellEnd"/>
      <w:r>
        <w:t xml:space="preserve"> </w:t>
      </w:r>
      <w:proofErr w:type="spellStart"/>
      <w:r>
        <w:t>sehr</w:t>
      </w:r>
      <w:proofErr w:type="spellEnd"/>
      <w:r>
        <w:t xml:space="preserve"> </w:t>
      </w:r>
      <w:proofErr w:type="spellStart"/>
      <w:r>
        <w:t>jungen</w:t>
      </w:r>
      <w:proofErr w:type="spellEnd"/>
      <w:r>
        <w:t xml:space="preserve"> </w:t>
      </w:r>
      <w:proofErr w:type="spellStart"/>
      <w:r>
        <w:t>Jahren</w:t>
      </w:r>
      <w:proofErr w:type="spellEnd"/>
      <w:r>
        <w:t xml:space="preserve"> </w:t>
      </w:r>
      <w:proofErr w:type="spellStart"/>
      <w:r>
        <w:t>selbst</w:t>
      </w:r>
      <w:proofErr w:type="spellEnd"/>
      <w:r>
        <w:t xml:space="preserve"> </w:t>
      </w:r>
      <w:proofErr w:type="spellStart"/>
      <w:r>
        <w:t>Platz</w:t>
      </w:r>
      <w:proofErr w:type="spellEnd"/>
      <w:r>
        <w:t xml:space="preserve"> </w:t>
      </w:r>
      <w:proofErr w:type="spellStart"/>
      <w:r>
        <w:t>gegeben</w:t>
      </w:r>
      <w:proofErr w:type="spellEnd"/>
      <w:r>
        <w:t xml:space="preserve">.” For Wolff’s discussion of his early rejection of the syllogism, see </w:t>
      </w:r>
      <w:r>
        <w:rPr>
          <w:i/>
        </w:rPr>
        <w:t xml:space="preserve">Christian </w:t>
      </w:r>
      <w:proofErr w:type="spellStart"/>
      <w:r>
        <w:rPr>
          <w:i/>
        </w:rPr>
        <w:t>Wolffs</w:t>
      </w:r>
      <w:proofErr w:type="spellEnd"/>
      <w:r>
        <w:rPr>
          <w:i/>
        </w:rPr>
        <w:t xml:space="preserve"> </w:t>
      </w:r>
      <w:proofErr w:type="spellStart"/>
      <w:r>
        <w:rPr>
          <w:i/>
        </w:rPr>
        <w:t>eigene</w:t>
      </w:r>
      <w:proofErr w:type="spellEnd"/>
      <w:r>
        <w:rPr>
          <w:i/>
        </w:rPr>
        <w:t xml:space="preserve"> </w:t>
      </w:r>
      <w:proofErr w:type="spellStart"/>
      <w:r>
        <w:rPr>
          <w:i/>
        </w:rPr>
        <w:t>Lebensbeschriebung</w:t>
      </w:r>
      <w:proofErr w:type="spellEnd"/>
      <w:r>
        <w:t>, 134-7.</w:t>
      </w:r>
    </w:p>
  </w:footnote>
  <w:footnote w:id="17">
    <w:p w:rsidR="00F40380" w:rsidRDefault="00F40380">
      <w:pPr>
        <w:pStyle w:val="FootnoteText"/>
      </w:pPr>
      <w:r>
        <w:rPr>
          <w:rStyle w:val="FootnoteReference"/>
        </w:rPr>
        <w:footnoteRef/>
      </w:r>
      <w:r>
        <w:t xml:space="preserve"> For this see Arndt’s intro to </w:t>
      </w:r>
      <w:r>
        <w:rPr>
          <w:i/>
        </w:rPr>
        <w:t>DL</w:t>
      </w:r>
      <w:r>
        <w:t>, p.19-20. See also Leibniz’s letter to Wolff of 21 Feb. 1705: “</w:t>
      </w:r>
      <w:r w:rsidRPr="000316E1">
        <w:t xml:space="preserve">Quod ad </w:t>
      </w:r>
      <w:proofErr w:type="spellStart"/>
      <w:r w:rsidRPr="000316E1">
        <w:t>Corollaria</w:t>
      </w:r>
      <w:proofErr w:type="spellEnd"/>
      <w:r w:rsidRPr="000316E1">
        <w:t xml:space="preserve"> </w:t>
      </w:r>
      <w:proofErr w:type="spellStart"/>
      <w:r w:rsidRPr="000316E1">
        <w:t>tua</w:t>
      </w:r>
      <w:proofErr w:type="spellEnd"/>
      <w:r w:rsidRPr="000316E1">
        <w:t xml:space="preserve"> </w:t>
      </w:r>
      <w:proofErr w:type="spellStart"/>
      <w:r w:rsidRPr="000316E1">
        <w:t>attinet</w:t>
      </w:r>
      <w:proofErr w:type="spellEnd"/>
      <w:r w:rsidRPr="000316E1">
        <w:t xml:space="preserve">, non </w:t>
      </w:r>
      <w:proofErr w:type="spellStart"/>
      <w:r w:rsidRPr="000316E1">
        <w:t>ausim</w:t>
      </w:r>
      <w:proofErr w:type="spellEnd"/>
      <w:r w:rsidRPr="000316E1">
        <w:t xml:space="preserve"> absolute </w:t>
      </w:r>
      <w:proofErr w:type="spellStart"/>
      <w:r w:rsidRPr="000316E1">
        <w:t>dicere</w:t>
      </w:r>
      <w:proofErr w:type="spellEnd"/>
      <w:r w:rsidRPr="000316E1">
        <w:t xml:space="preserve">, </w:t>
      </w:r>
      <w:proofErr w:type="spellStart"/>
      <w:r w:rsidRPr="000316E1">
        <w:t>syllogismum</w:t>
      </w:r>
      <w:proofErr w:type="spellEnd"/>
      <w:r w:rsidRPr="000316E1">
        <w:t xml:space="preserve"> non </w:t>
      </w:r>
      <w:proofErr w:type="spellStart"/>
      <w:r w:rsidRPr="000316E1">
        <w:t>esse</w:t>
      </w:r>
      <w:proofErr w:type="spellEnd"/>
      <w:r w:rsidRPr="000316E1">
        <w:t xml:space="preserve"> medium </w:t>
      </w:r>
      <w:proofErr w:type="spellStart"/>
      <w:r w:rsidRPr="000316E1">
        <w:t>inveniendi</w:t>
      </w:r>
      <w:proofErr w:type="spellEnd"/>
      <w:r w:rsidRPr="000316E1">
        <w:t xml:space="preserve"> </w:t>
      </w:r>
      <w:proofErr w:type="spellStart"/>
      <w:r w:rsidRPr="000316E1">
        <w:t>veritatem</w:t>
      </w:r>
      <w:proofErr w:type="spellEnd"/>
      <w:r>
        <w:t>” (</w:t>
      </w:r>
      <w:r w:rsidRPr="000316E1">
        <w:rPr>
          <w:i/>
        </w:rPr>
        <w:t>BLW</w:t>
      </w:r>
      <w:r>
        <w:t xml:space="preserve"> 18).</w:t>
      </w:r>
    </w:p>
  </w:footnote>
  <w:footnote w:id="18">
    <w:p w:rsidR="00F40380" w:rsidRDefault="00F40380">
      <w:pPr>
        <w:pStyle w:val="FootnoteText"/>
      </w:pPr>
      <w:r>
        <w:rPr>
          <w:rStyle w:val="FootnoteReference"/>
        </w:rPr>
        <w:footnoteRef/>
      </w:r>
      <w:r w:rsidR="00D5470C">
        <w:t xml:space="preserve"> See </w:t>
      </w:r>
      <w:r w:rsidR="00D5470C">
        <w:rPr>
          <w:i/>
        </w:rPr>
        <w:t>KU</w:t>
      </w:r>
      <w:r>
        <w:t xml:space="preserve"> §§45-6. </w:t>
      </w:r>
    </w:p>
  </w:footnote>
  <w:footnote w:id="19">
    <w:p w:rsidR="00F40380" w:rsidRPr="004E747C" w:rsidRDefault="00F40380" w:rsidP="004E747C">
      <w:pPr>
        <w:pStyle w:val="FootnoteText"/>
        <w:rPr>
          <w:i/>
          <w:iCs/>
        </w:rPr>
      </w:pPr>
      <w:r>
        <w:rPr>
          <w:rStyle w:val="FootnoteReference"/>
        </w:rPr>
        <w:footnoteRef/>
      </w:r>
      <w:r>
        <w:t xml:space="preserve"> For a detailed presentation of what follows, see </w:t>
      </w:r>
      <w:proofErr w:type="spellStart"/>
      <w:r>
        <w:t>Vanzo’s</w:t>
      </w:r>
      <w:proofErr w:type="spellEnd"/>
      <w:r>
        <w:t xml:space="preserve"> “</w:t>
      </w:r>
      <w:r w:rsidRPr="004E747C">
        <w:t xml:space="preserve">Kant’s </w:t>
      </w:r>
      <w:r w:rsidRPr="004E747C">
        <w:rPr>
          <w:i/>
          <w:iCs/>
        </w:rPr>
        <w:t>False Subtlety of the Four Syllogistic Figures</w:t>
      </w:r>
    </w:p>
    <w:p w:rsidR="00F40380" w:rsidRDefault="00F40380" w:rsidP="004E747C">
      <w:pPr>
        <w:pStyle w:val="FootnoteText"/>
      </w:pPr>
      <w:r w:rsidRPr="004E747C">
        <w:t>in Its Intellectual Context</w:t>
      </w:r>
      <w:r>
        <w:t>,” forthcoming i</w:t>
      </w:r>
      <w:r w:rsidRPr="004E747C">
        <w:t xml:space="preserve">n </w:t>
      </w:r>
      <w:r w:rsidRPr="004E747C">
        <w:rPr>
          <w:i/>
          <w:iCs/>
        </w:rPr>
        <w:t>The Aftermath of Syllogism</w:t>
      </w:r>
      <w:r>
        <w:t xml:space="preserve">, </w:t>
      </w:r>
      <w:r w:rsidRPr="004E747C">
        <w:t xml:space="preserve">Luca </w:t>
      </w:r>
      <w:proofErr w:type="spellStart"/>
      <w:r w:rsidRPr="004E747C">
        <w:t>Gili</w:t>
      </w:r>
      <w:proofErr w:type="spellEnd"/>
      <w:r w:rsidRPr="004E747C">
        <w:t xml:space="preserve"> and Marco </w:t>
      </w:r>
      <w:proofErr w:type="spellStart"/>
      <w:r w:rsidRPr="004E747C">
        <w:t>Sgarbi</w:t>
      </w:r>
      <w:proofErr w:type="spellEnd"/>
      <w:r w:rsidRPr="004E747C">
        <w:t xml:space="preserve"> </w:t>
      </w:r>
      <w:r>
        <w:t xml:space="preserve">eds. </w:t>
      </w:r>
      <w:r w:rsidRPr="004E747C">
        <w:t>(London: Bloomsbury)</w:t>
      </w:r>
      <w:r>
        <w:t>.</w:t>
      </w:r>
    </w:p>
  </w:footnote>
  <w:footnote w:id="20">
    <w:p w:rsidR="00F40380" w:rsidRPr="00CE2A1E" w:rsidRDefault="00F40380">
      <w:pPr>
        <w:pStyle w:val="FootnoteText"/>
      </w:pPr>
      <w:r>
        <w:rPr>
          <w:rStyle w:val="FootnoteReference"/>
        </w:rPr>
        <w:footnoteRef/>
      </w:r>
      <w:r>
        <w:t xml:space="preserve"> On this, see </w:t>
      </w:r>
      <w:proofErr w:type="spellStart"/>
      <w:r>
        <w:t>Vanzo</w:t>
      </w:r>
      <w:proofErr w:type="spellEnd"/>
      <w:r>
        <w:t xml:space="preserve">, “Kant’s </w:t>
      </w:r>
      <w:r>
        <w:rPr>
          <w:i/>
        </w:rPr>
        <w:t>False Subtlety</w:t>
      </w:r>
      <w:r>
        <w:t xml:space="preserve">,” 8-9. </w:t>
      </w:r>
    </w:p>
  </w:footnote>
  <w:footnote w:id="21">
    <w:p w:rsidR="00F40380" w:rsidRPr="004E747C" w:rsidRDefault="00F40380">
      <w:pPr>
        <w:pStyle w:val="FootnoteText"/>
      </w:pPr>
      <w:r>
        <w:rPr>
          <w:rStyle w:val="FootnoteReference"/>
        </w:rPr>
        <w:footnoteRef/>
      </w:r>
      <w:r>
        <w:t xml:space="preserve"> For more on Wolff’s position on this see R. Lanier Anderson, </w:t>
      </w:r>
      <w:r>
        <w:rPr>
          <w:i/>
        </w:rPr>
        <w:t>The Poverty of Conceptual Truth</w:t>
      </w:r>
      <w:r>
        <w:t xml:space="preserve">, 124. </w:t>
      </w:r>
    </w:p>
  </w:footnote>
  <w:footnote w:id="22">
    <w:p w:rsidR="00F40380" w:rsidRDefault="00F40380">
      <w:pPr>
        <w:pStyle w:val="FootnoteText"/>
      </w:pPr>
      <w:r>
        <w:rPr>
          <w:rStyle w:val="FootnoteReference"/>
        </w:rPr>
        <w:footnoteRef/>
      </w:r>
      <w:r>
        <w:t xml:space="preserve"> See, for instance, </w:t>
      </w:r>
      <w:r w:rsidRPr="000D64CC">
        <w:rPr>
          <w:i/>
        </w:rPr>
        <w:t>DM</w:t>
      </w:r>
      <w:r>
        <w:t xml:space="preserve"> §203: “</w:t>
      </w:r>
      <w:proofErr w:type="spellStart"/>
      <w:r>
        <w:t>Wenn</w:t>
      </w:r>
      <w:proofErr w:type="spellEnd"/>
      <w:r>
        <w:t xml:space="preserve"> </w:t>
      </w:r>
      <w:proofErr w:type="spellStart"/>
      <w:r>
        <w:t>unsere</w:t>
      </w:r>
      <w:proofErr w:type="spellEnd"/>
      <w:r>
        <w:t xml:space="preserve"> </w:t>
      </w:r>
      <w:proofErr w:type="spellStart"/>
      <w:r>
        <w:t>Gedancken</w:t>
      </w:r>
      <w:proofErr w:type="spellEnd"/>
      <w:r>
        <w:t xml:space="preserve"> </w:t>
      </w:r>
      <w:proofErr w:type="spellStart"/>
      <w:r>
        <w:t>klar</w:t>
      </w:r>
      <w:proofErr w:type="spellEnd"/>
      <w:r>
        <w:t xml:space="preserve"> </w:t>
      </w:r>
      <w:proofErr w:type="spellStart"/>
      <w:r>
        <w:t>sind</w:t>
      </w:r>
      <w:proofErr w:type="spellEnd"/>
      <w:r>
        <w:t xml:space="preserve">; so </w:t>
      </w:r>
      <w:proofErr w:type="spellStart"/>
      <w:r>
        <w:t>sagen</w:t>
      </w:r>
      <w:proofErr w:type="spellEnd"/>
      <w:r>
        <w:t xml:space="preserve"> </w:t>
      </w:r>
      <w:proofErr w:type="spellStart"/>
      <w:r>
        <w:t>wir</w:t>
      </w:r>
      <w:proofErr w:type="spellEnd"/>
      <w:r>
        <w:t xml:space="preserve">, </w:t>
      </w:r>
      <w:proofErr w:type="spellStart"/>
      <w:r>
        <w:t>es</w:t>
      </w:r>
      <w:proofErr w:type="spellEnd"/>
      <w:r>
        <w:t xml:space="preserve"> </w:t>
      </w:r>
      <w:proofErr w:type="spellStart"/>
      <w:r>
        <w:t>sey</w:t>
      </w:r>
      <w:proofErr w:type="spellEnd"/>
      <w:r>
        <w:t xml:space="preserve"> </w:t>
      </w:r>
      <w:proofErr w:type="spellStart"/>
      <w:r>
        <w:rPr>
          <w:i/>
        </w:rPr>
        <w:t>lichte</w:t>
      </w:r>
      <w:proofErr w:type="spellEnd"/>
      <w:r>
        <w:t xml:space="preserve"> </w:t>
      </w:r>
      <w:proofErr w:type="spellStart"/>
      <w:r>
        <w:t>oder</w:t>
      </w:r>
      <w:proofErr w:type="spellEnd"/>
      <w:r>
        <w:t xml:space="preserve"> </w:t>
      </w:r>
      <w:proofErr w:type="spellStart"/>
      <w:r>
        <w:t>helle</w:t>
      </w:r>
      <w:proofErr w:type="spellEnd"/>
      <w:r>
        <w:t xml:space="preserve"> in </w:t>
      </w:r>
      <w:proofErr w:type="spellStart"/>
      <w:r>
        <w:t>unserer</w:t>
      </w:r>
      <w:proofErr w:type="spellEnd"/>
      <w:r>
        <w:t xml:space="preserve"> </w:t>
      </w:r>
      <w:proofErr w:type="spellStart"/>
      <w:r>
        <w:t>Seele</w:t>
      </w:r>
      <w:proofErr w:type="spellEnd"/>
      <w:r>
        <w:t>.”</w:t>
      </w:r>
    </w:p>
  </w:footnote>
  <w:footnote w:id="23">
    <w:p w:rsidR="00F40380" w:rsidRPr="00C801FA" w:rsidRDefault="00F40380">
      <w:pPr>
        <w:pStyle w:val="FootnoteText"/>
      </w:pPr>
      <w:r>
        <w:rPr>
          <w:rStyle w:val="FootnoteReference"/>
        </w:rPr>
        <w:footnoteRef/>
      </w:r>
      <w:r>
        <w:t xml:space="preserve"> See, for instance, Kant’s discussion in </w:t>
      </w:r>
      <w:r>
        <w:rPr>
          <w:i/>
        </w:rPr>
        <w:t>JL</w:t>
      </w:r>
      <w:r>
        <w:t xml:space="preserve"> 9:141 (§102 and note)</w:t>
      </w:r>
      <w:r>
        <w:rPr>
          <w:i/>
        </w:rPr>
        <w:t xml:space="preserve"> </w:t>
      </w:r>
      <w:r>
        <w:t xml:space="preserve">and </w:t>
      </w:r>
      <w:r w:rsidR="00282E6C">
        <w:t>V-</w:t>
      </w:r>
      <w:proofErr w:type="spellStart"/>
      <w:r w:rsidR="00282E6C">
        <w:t>Lo</w:t>
      </w:r>
      <w:r>
        <w:t>DW</w:t>
      </w:r>
      <w:proofErr w:type="spellEnd"/>
      <w:r>
        <w:t xml:space="preserve"> 24:757. For Wolff’s views on this, see </w:t>
      </w:r>
      <w:r>
        <w:rPr>
          <w:i/>
        </w:rPr>
        <w:t>DL</w:t>
      </w:r>
      <w:r>
        <w:t xml:space="preserve"> c. 2, §30.</w:t>
      </w:r>
    </w:p>
  </w:footnote>
  <w:footnote w:id="24">
    <w:p w:rsidR="00F40380" w:rsidRDefault="00F40380" w:rsidP="00126B68">
      <w:pPr>
        <w:pStyle w:val="FootnoteText"/>
      </w:pPr>
      <w:r>
        <w:rPr>
          <w:rStyle w:val="FootnoteReference"/>
        </w:rPr>
        <w:footnoteRef/>
      </w:r>
      <w:r>
        <w:t xml:space="preserve"> See </w:t>
      </w:r>
      <w:r w:rsidR="00282E6C">
        <w:t>V-</w:t>
      </w:r>
      <w:proofErr w:type="spellStart"/>
      <w:r w:rsidR="00282E6C">
        <w:t>Lo</w:t>
      </w:r>
      <w:r>
        <w:t>Pö</w:t>
      </w:r>
      <w:proofErr w:type="spellEnd"/>
      <w:r>
        <w:t xml:space="preserve"> 24:573 and </w:t>
      </w:r>
      <w:r w:rsidR="00282E6C">
        <w:t>V-</w:t>
      </w:r>
      <w:proofErr w:type="spellStart"/>
      <w:r w:rsidR="00282E6C">
        <w:t>Lo</w:t>
      </w:r>
      <w:r>
        <w:t>Wien</w:t>
      </w:r>
      <w:proofErr w:type="spellEnd"/>
      <w:r>
        <w:t xml:space="preserve"> 24:919. For more on Kant’s criticism of Wolff on this score, see J. </w:t>
      </w:r>
      <w:proofErr w:type="spellStart"/>
      <w:r>
        <w:t>Heis</w:t>
      </w:r>
      <w:proofErr w:type="spellEnd"/>
      <w:r>
        <w:t>, “</w:t>
      </w:r>
      <w:r w:rsidRPr="00126B68">
        <w:t xml:space="preserve">Kant (vs. Leibniz, Wolff and Lambert) on </w:t>
      </w:r>
      <w:r>
        <w:t>R</w:t>
      </w:r>
      <w:r w:rsidRPr="00126B68">
        <w:t>eal</w:t>
      </w:r>
      <w:r>
        <w:t xml:space="preserve"> Definitions in G</w:t>
      </w:r>
      <w:r w:rsidRPr="00126B68">
        <w:t>eometry</w:t>
      </w:r>
      <w:r>
        <w:t>” 612-13.</w:t>
      </w:r>
    </w:p>
  </w:footnote>
  <w:footnote w:id="25">
    <w:p w:rsidR="00F40380" w:rsidRDefault="00F40380" w:rsidP="00707EB9">
      <w:pPr>
        <w:pStyle w:val="FootnoteText"/>
      </w:pPr>
      <w:r>
        <w:rPr>
          <w:rStyle w:val="FootnoteReference"/>
        </w:rPr>
        <w:footnoteRef/>
      </w:r>
      <w:r>
        <w:t xml:space="preserve"> Thus </w:t>
      </w:r>
      <w:proofErr w:type="spellStart"/>
      <w:r>
        <w:t>Rescher</w:t>
      </w:r>
      <w:proofErr w:type="spellEnd"/>
      <w:r>
        <w:t xml:space="preserve"> contends that Kant only moves “a small step” away from Wolff in </w:t>
      </w:r>
      <w:r w:rsidRPr="00707EB9">
        <w:t xml:space="preserve">Nicholas </w:t>
      </w:r>
      <w:proofErr w:type="spellStart"/>
      <w:r w:rsidRPr="00707EB9">
        <w:t>Rescher</w:t>
      </w:r>
      <w:proofErr w:type="spellEnd"/>
      <w:r w:rsidRPr="00707EB9">
        <w:t xml:space="preserve">, </w:t>
      </w:r>
      <w:r w:rsidRPr="00707EB9">
        <w:rPr>
          <w:i/>
          <w:iCs/>
        </w:rPr>
        <w:t>Galen and the Syllogism: An Examination of the Thesis That Galen Originated the</w:t>
      </w:r>
      <w:r>
        <w:rPr>
          <w:i/>
          <w:iCs/>
        </w:rPr>
        <w:t xml:space="preserve"> </w:t>
      </w:r>
      <w:r w:rsidRPr="00707EB9">
        <w:rPr>
          <w:i/>
          <w:iCs/>
        </w:rPr>
        <w:t>Fourth Figure of the Syllogism in the Light of New Data from Arabic Sources</w:t>
      </w:r>
      <w:r w:rsidRPr="00707EB9">
        <w:t>, Pittsburgh (Penn.)</w:t>
      </w:r>
      <w:r>
        <w:t xml:space="preserve"> </w:t>
      </w:r>
      <w:r w:rsidRPr="00707EB9">
        <w:t>1966, 37</w:t>
      </w:r>
      <w:r>
        <w:t xml:space="preserve"> (quoted in </w:t>
      </w:r>
      <w:proofErr w:type="spellStart"/>
      <w:r>
        <w:t>Vanzo</w:t>
      </w:r>
      <w:proofErr w:type="spellEnd"/>
      <w:r>
        <w:t>, “Kant’s False Subtlety,” 2n12).</w:t>
      </w:r>
    </w:p>
  </w:footnote>
  <w:footnote w:id="26">
    <w:p w:rsidR="00F40380" w:rsidRPr="00346EC1" w:rsidRDefault="00F40380">
      <w:pPr>
        <w:pStyle w:val="FootnoteText"/>
      </w:pPr>
      <w:r>
        <w:rPr>
          <w:rStyle w:val="FootnoteReference"/>
        </w:rPr>
        <w:footnoteRef/>
      </w:r>
      <w:r>
        <w:t xml:space="preserve"> See </w:t>
      </w:r>
      <w:proofErr w:type="spellStart"/>
      <w:r>
        <w:t>Vanzo</w:t>
      </w:r>
      <w:proofErr w:type="spellEnd"/>
      <w:r>
        <w:t xml:space="preserve">, “Kant’s </w:t>
      </w:r>
      <w:r>
        <w:rPr>
          <w:i/>
        </w:rPr>
        <w:t>False Subtlety</w:t>
      </w:r>
      <w:r>
        <w:t xml:space="preserve">,” 14-15. </w:t>
      </w:r>
    </w:p>
  </w:footnote>
  <w:footnote w:id="27">
    <w:p w:rsidR="00F40380" w:rsidRDefault="00F40380">
      <w:pPr>
        <w:pStyle w:val="FootnoteText"/>
      </w:pPr>
      <w:r>
        <w:rPr>
          <w:rStyle w:val="FootnoteReference"/>
        </w:rPr>
        <w:footnoteRef/>
      </w:r>
      <w:r>
        <w:t xml:space="preserve"> On this see M. Wolff, “</w:t>
      </w:r>
      <w:proofErr w:type="spellStart"/>
      <w:r>
        <w:t>Vollkommene</w:t>
      </w:r>
      <w:proofErr w:type="spellEnd"/>
      <w:r>
        <w:t xml:space="preserve"> </w:t>
      </w:r>
      <w:proofErr w:type="spellStart"/>
      <w:r>
        <w:t>Syllogismen</w:t>
      </w:r>
      <w:proofErr w:type="spellEnd"/>
      <w:r>
        <w:t xml:space="preserve"> und </w:t>
      </w:r>
      <w:proofErr w:type="spellStart"/>
      <w:r>
        <w:t>reine</w:t>
      </w:r>
      <w:proofErr w:type="spellEnd"/>
      <w:r>
        <w:t xml:space="preserve"> </w:t>
      </w:r>
      <w:proofErr w:type="spellStart"/>
      <w:r>
        <w:t>Vernunftschlüsse</w:t>
      </w:r>
      <w:proofErr w:type="spellEnd"/>
      <w:r>
        <w:t>: Aristoteles und Kant,” 354-5.</w:t>
      </w:r>
    </w:p>
  </w:footnote>
  <w:footnote w:id="28">
    <w:p w:rsidR="00F40380" w:rsidRDefault="00F40380" w:rsidP="000F7A42">
      <w:pPr>
        <w:pStyle w:val="FootnoteText"/>
      </w:pPr>
      <w:r>
        <w:rPr>
          <w:rStyle w:val="FootnoteReference"/>
        </w:rPr>
        <w:footnoteRef/>
      </w:r>
      <w:r>
        <w:t xml:space="preserve"> Wolff considers this topic in the chapter “</w:t>
      </w:r>
      <w:r w:rsidRPr="000F7A42">
        <w:rPr>
          <w:i/>
        </w:rPr>
        <w:t xml:space="preserve">de </w:t>
      </w:r>
      <w:proofErr w:type="spellStart"/>
      <w:r w:rsidRPr="000F7A42">
        <w:rPr>
          <w:i/>
        </w:rPr>
        <w:t>veritatis</w:t>
      </w:r>
      <w:proofErr w:type="spellEnd"/>
      <w:r>
        <w:rPr>
          <w:i/>
        </w:rPr>
        <w:t xml:space="preserve"> </w:t>
      </w:r>
      <w:proofErr w:type="spellStart"/>
      <w:r w:rsidRPr="000F7A42">
        <w:rPr>
          <w:i/>
        </w:rPr>
        <w:t>criterio</w:t>
      </w:r>
      <w:proofErr w:type="spellEnd"/>
      <w:r>
        <w:t xml:space="preserve">” in the practical part of his </w:t>
      </w:r>
      <w:r>
        <w:rPr>
          <w:i/>
        </w:rPr>
        <w:t>LL</w:t>
      </w:r>
      <w:r>
        <w:t xml:space="preserve"> (cf. §§505-48 ); however, that Kant ultimately judges Wolff’s efforts to offer more than a merely nominal definition a failure (inasmuch as Wolff lacked the idea of a transcendental logic that would be required for such a criterion) has recently been argued by T. </w:t>
      </w:r>
      <w:proofErr w:type="spellStart"/>
      <w:r>
        <w:t>Rosenkoetter</w:t>
      </w:r>
      <w:proofErr w:type="spellEnd"/>
      <w:r>
        <w:t xml:space="preserve"> in his “</w:t>
      </w:r>
      <w:r w:rsidRPr="000F7A42">
        <w:t>Truth Criteria and the Very Project</w:t>
      </w:r>
      <w:r>
        <w:t xml:space="preserve"> </w:t>
      </w:r>
      <w:r w:rsidRPr="000F7A42">
        <w:t>of a Transcendental Logic</w:t>
      </w:r>
      <w:r>
        <w:t>.”</w:t>
      </w:r>
    </w:p>
  </w:footnote>
  <w:footnote w:id="29">
    <w:p w:rsidR="00F40380" w:rsidRPr="00F40380" w:rsidRDefault="00F40380">
      <w:pPr>
        <w:pStyle w:val="FootnoteText"/>
      </w:pPr>
      <w:r>
        <w:rPr>
          <w:rStyle w:val="FootnoteReference"/>
        </w:rPr>
        <w:footnoteRef/>
      </w:r>
      <w:r>
        <w:t xml:space="preserve"> For references to other Medieval discussions of this topic, see </w:t>
      </w:r>
      <w:proofErr w:type="spellStart"/>
      <w:r>
        <w:t>Pozzo</w:t>
      </w:r>
      <w:proofErr w:type="spellEnd"/>
      <w:r>
        <w:t xml:space="preserve">, </w:t>
      </w:r>
      <w:r>
        <w:rPr>
          <w:i/>
        </w:rPr>
        <w:t xml:space="preserve">Kant und das Problem </w:t>
      </w:r>
      <w:proofErr w:type="spellStart"/>
      <w:r>
        <w:rPr>
          <w:i/>
        </w:rPr>
        <w:t>einer</w:t>
      </w:r>
      <w:proofErr w:type="spellEnd"/>
      <w:r>
        <w:rPr>
          <w:i/>
        </w:rPr>
        <w:t xml:space="preserve"> </w:t>
      </w:r>
      <w:proofErr w:type="spellStart"/>
      <w:r>
        <w:rPr>
          <w:i/>
        </w:rPr>
        <w:t>Einleitung</w:t>
      </w:r>
      <w:proofErr w:type="spellEnd"/>
      <w:r>
        <w:rPr>
          <w:i/>
        </w:rPr>
        <w:t xml:space="preserve"> in die </w:t>
      </w:r>
      <w:proofErr w:type="spellStart"/>
      <w:r>
        <w:rPr>
          <w:i/>
        </w:rPr>
        <w:t>Logik</w:t>
      </w:r>
      <w:proofErr w:type="spellEnd"/>
      <w:r>
        <w:t>, 6-12.</w:t>
      </w:r>
    </w:p>
  </w:footnote>
  <w:footnote w:id="30">
    <w:p w:rsidR="00F40380" w:rsidRPr="0068630F" w:rsidRDefault="00F40380">
      <w:pPr>
        <w:pStyle w:val="FootnoteText"/>
      </w:pPr>
      <w:r>
        <w:rPr>
          <w:rStyle w:val="FootnoteReference"/>
        </w:rPr>
        <w:footnoteRef/>
      </w:r>
      <w:r>
        <w:t xml:space="preserve"> “Die </w:t>
      </w:r>
      <w:proofErr w:type="spellStart"/>
      <w:r>
        <w:t>drey</w:t>
      </w:r>
      <w:proofErr w:type="spellEnd"/>
      <w:r>
        <w:t xml:space="preserve"> </w:t>
      </w:r>
      <w:proofErr w:type="spellStart"/>
      <w:r>
        <w:t>Würckungen</w:t>
      </w:r>
      <w:proofErr w:type="spellEnd"/>
      <w:r>
        <w:t xml:space="preserve"> des </w:t>
      </w:r>
      <w:proofErr w:type="spellStart"/>
      <w:r>
        <w:t>Verstandes</w:t>
      </w:r>
      <w:proofErr w:type="spellEnd"/>
      <w:r>
        <w:t xml:space="preserve"> </w:t>
      </w:r>
      <w:proofErr w:type="spellStart"/>
      <w:r>
        <w:t>oder</w:t>
      </w:r>
      <w:proofErr w:type="spellEnd"/>
      <w:r>
        <w:t xml:space="preserve"> </w:t>
      </w:r>
      <w:proofErr w:type="spellStart"/>
      <w:r>
        <w:rPr>
          <w:i/>
        </w:rPr>
        <w:t>tres</w:t>
      </w:r>
      <w:proofErr w:type="spellEnd"/>
      <w:r>
        <w:rPr>
          <w:i/>
        </w:rPr>
        <w:t xml:space="preserve"> mentis </w:t>
      </w:r>
      <w:proofErr w:type="spellStart"/>
      <w:r>
        <w:rPr>
          <w:i/>
        </w:rPr>
        <w:t>operationes</w:t>
      </w:r>
      <w:proofErr w:type="spellEnd"/>
      <w:r>
        <w:t xml:space="preserve"> </w:t>
      </w:r>
      <w:proofErr w:type="spellStart"/>
      <w:r>
        <w:t>sind</w:t>
      </w:r>
      <w:proofErr w:type="spellEnd"/>
      <w:r>
        <w:t xml:space="preserve"> der </w:t>
      </w:r>
      <w:proofErr w:type="spellStart"/>
      <w:r>
        <w:t>Grund</w:t>
      </w:r>
      <w:proofErr w:type="spellEnd"/>
      <w:r>
        <w:t xml:space="preserve"> von den </w:t>
      </w:r>
      <w:proofErr w:type="spellStart"/>
      <w:r>
        <w:t>alten</w:t>
      </w:r>
      <w:proofErr w:type="spellEnd"/>
      <w:r>
        <w:t xml:space="preserve"> </w:t>
      </w:r>
      <w:proofErr w:type="spellStart"/>
      <w:r>
        <w:rPr>
          <w:i/>
        </w:rPr>
        <w:t>Aristotelischen</w:t>
      </w:r>
      <w:proofErr w:type="spellEnd"/>
      <w:r>
        <w:rPr>
          <w:i/>
        </w:rPr>
        <w:t xml:space="preserve"> </w:t>
      </w:r>
      <w:proofErr w:type="spellStart"/>
      <w:r>
        <w:rPr>
          <w:i/>
        </w:rPr>
        <w:t>Logick</w:t>
      </w:r>
      <w:proofErr w:type="spellEnd"/>
      <w:r>
        <w:t xml:space="preserve">, </w:t>
      </w:r>
      <w:proofErr w:type="spellStart"/>
      <w:r>
        <w:t>wie</w:t>
      </w:r>
      <w:proofErr w:type="spellEnd"/>
      <w:r>
        <w:t xml:space="preserve"> </w:t>
      </w:r>
      <w:proofErr w:type="spellStart"/>
      <w:r>
        <w:t>sie</w:t>
      </w:r>
      <w:proofErr w:type="spellEnd"/>
      <w:r>
        <w:t xml:space="preserve"> die </w:t>
      </w:r>
      <w:proofErr w:type="spellStart"/>
      <w:r>
        <w:rPr>
          <w:i/>
        </w:rPr>
        <w:t>Schul-Weisen</w:t>
      </w:r>
      <w:proofErr w:type="spellEnd"/>
      <w:r>
        <w:rPr>
          <w:i/>
        </w:rPr>
        <w:t xml:space="preserve"> </w:t>
      </w:r>
      <w:proofErr w:type="spellStart"/>
      <w:r w:rsidRPr="0068630F">
        <w:t>abgehandelt</w:t>
      </w:r>
      <w:proofErr w:type="spellEnd"/>
      <w:r>
        <w:t xml:space="preserve">. </w:t>
      </w:r>
      <w:proofErr w:type="spellStart"/>
      <w:r>
        <w:t>Viele</w:t>
      </w:r>
      <w:proofErr w:type="spellEnd"/>
      <w:r>
        <w:t xml:space="preserve"> von den </w:t>
      </w:r>
      <w:proofErr w:type="spellStart"/>
      <w:r>
        <w:t>neueren</w:t>
      </w:r>
      <w:proofErr w:type="spellEnd"/>
      <w:r>
        <w:t xml:space="preserve"> </w:t>
      </w:r>
      <w:proofErr w:type="spellStart"/>
      <w:r>
        <w:t>haben</w:t>
      </w:r>
      <w:proofErr w:type="spellEnd"/>
      <w:r>
        <w:t xml:space="preserve"> </w:t>
      </w:r>
      <w:proofErr w:type="spellStart"/>
      <w:r>
        <w:t>verworffen</w:t>
      </w:r>
      <w:proofErr w:type="spellEnd"/>
      <w:r>
        <w:t xml:space="preserve">, </w:t>
      </w:r>
      <w:proofErr w:type="spellStart"/>
      <w:r>
        <w:t>daß</w:t>
      </w:r>
      <w:proofErr w:type="spellEnd"/>
      <w:r>
        <w:t xml:space="preserve"> man die </w:t>
      </w:r>
      <w:proofErr w:type="spellStart"/>
      <w:r>
        <w:t>Logick</w:t>
      </w:r>
      <w:proofErr w:type="spellEnd"/>
      <w:r>
        <w:t xml:space="preserve"> </w:t>
      </w:r>
      <w:proofErr w:type="spellStart"/>
      <w:r>
        <w:t>darnach</w:t>
      </w:r>
      <w:proofErr w:type="spellEnd"/>
      <w:r>
        <w:t xml:space="preserve"> </w:t>
      </w:r>
      <w:proofErr w:type="spellStart"/>
      <w:r>
        <w:t>abhandelt</w:t>
      </w:r>
      <w:proofErr w:type="spellEnd"/>
      <w:r>
        <w:t>”</w:t>
      </w:r>
      <w:r w:rsidRPr="0068630F">
        <w:t xml:space="preserve"> </w:t>
      </w:r>
      <w:r>
        <w:t>(</w:t>
      </w:r>
      <w:r>
        <w:rPr>
          <w:i/>
        </w:rPr>
        <w:t>AN</w:t>
      </w:r>
      <w:r>
        <w:t xml:space="preserve"> §56).</w:t>
      </w:r>
    </w:p>
  </w:footnote>
  <w:footnote w:id="31">
    <w:p w:rsidR="00F40380" w:rsidRPr="0068630F" w:rsidRDefault="00F40380">
      <w:pPr>
        <w:pStyle w:val="FootnoteText"/>
      </w:pPr>
      <w:r>
        <w:rPr>
          <w:rStyle w:val="FootnoteReference"/>
        </w:rPr>
        <w:footnoteRef/>
      </w:r>
      <w:r>
        <w:t xml:space="preserve"> Thus, </w:t>
      </w:r>
      <w:proofErr w:type="spellStart"/>
      <w:r>
        <w:t>Arnauld</w:t>
      </w:r>
      <w:proofErr w:type="spellEnd"/>
      <w:r>
        <w:t xml:space="preserve"> and Nicole write: logic “consists in the reflections that have been made on the four principal operations of the mind: conceiving, judging, reasoning, and ordering” (</w:t>
      </w:r>
      <w:r w:rsidRPr="008B7C0D">
        <w:rPr>
          <w:i/>
        </w:rPr>
        <w:t>P</w:t>
      </w:r>
      <w:r>
        <w:rPr>
          <w:i/>
        </w:rPr>
        <w:t>ort-</w:t>
      </w:r>
      <w:r w:rsidRPr="008B7C0D">
        <w:rPr>
          <w:i/>
        </w:rPr>
        <w:t>R</w:t>
      </w:r>
      <w:r>
        <w:rPr>
          <w:i/>
        </w:rPr>
        <w:t xml:space="preserve">oyal </w:t>
      </w:r>
      <w:r w:rsidRPr="008B7C0D">
        <w:rPr>
          <w:i/>
        </w:rPr>
        <w:t>L</w:t>
      </w:r>
      <w:r>
        <w:rPr>
          <w:i/>
        </w:rPr>
        <w:t>ogic</w:t>
      </w:r>
      <w:r>
        <w:t>, 23).</w:t>
      </w:r>
    </w:p>
  </w:footnote>
  <w:footnote w:id="32">
    <w:p w:rsidR="00F40380" w:rsidRPr="00454278" w:rsidRDefault="00F40380">
      <w:pPr>
        <w:pStyle w:val="FootnoteText"/>
      </w:pPr>
      <w:r>
        <w:rPr>
          <w:rStyle w:val="FootnoteReference"/>
        </w:rPr>
        <w:footnoteRef/>
      </w:r>
      <w:r>
        <w:t xml:space="preserve"> </w:t>
      </w:r>
      <w:r>
        <w:rPr>
          <w:i/>
        </w:rPr>
        <w:t xml:space="preserve">Opera </w:t>
      </w:r>
      <w:proofErr w:type="spellStart"/>
      <w:r>
        <w:rPr>
          <w:i/>
        </w:rPr>
        <w:t>philosophia</w:t>
      </w:r>
      <w:proofErr w:type="spellEnd"/>
      <w:r>
        <w:t xml:space="preserve">, </w:t>
      </w:r>
      <w:proofErr w:type="spellStart"/>
      <w:r>
        <w:rPr>
          <w:i/>
        </w:rPr>
        <w:t>Logica</w:t>
      </w:r>
      <w:proofErr w:type="spellEnd"/>
      <w:r>
        <w:rPr>
          <w:i/>
        </w:rPr>
        <w:t xml:space="preserve"> </w:t>
      </w:r>
      <w:proofErr w:type="spellStart"/>
      <w:r>
        <w:rPr>
          <w:i/>
        </w:rPr>
        <w:t>vetus</w:t>
      </w:r>
      <w:proofErr w:type="spellEnd"/>
      <w:r>
        <w:rPr>
          <w:i/>
        </w:rPr>
        <w:t xml:space="preserve"> et nova</w:t>
      </w:r>
      <w:r>
        <w:t>, pars prima, cap. II, §16</w:t>
      </w:r>
    </w:p>
  </w:footnote>
  <w:footnote w:id="33">
    <w:p w:rsidR="00F40380" w:rsidRPr="00597749" w:rsidRDefault="00F40380" w:rsidP="00477D41">
      <w:pPr>
        <w:pStyle w:val="FootnoteText"/>
      </w:pPr>
      <w:r>
        <w:rPr>
          <w:rStyle w:val="FootnoteReference"/>
        </w:rPr>
        <w:footnoteRef/>
      </w:r>
      <w:r>
        <w:t xml:space="preserve"> See </w:t>
      </w:r>
      <w:proofErr w:type="spellStart"/>
      <w:r>
        <w:t>Tschirnhaus</w:t>
      </w:r>
      <w:proofErr w:type="spellEnd"/>
      <w:r>
        <w:t xml:space="preserve">, </w:t>
      </w:r>
      <w:proofErr w:type="spellStart"/>
      <w:r>
        <w:rPr>
          <w:i/>
        </w:rPr>
        <w:t>Medicina</w:t>
      </w:r>
      <w:proofErr w:type="spellEnd"/>
      <w:r>
        <w:rPr>
          <w:i/>
        </w:rPr>
        <w:t xml:space="preserve"> mentis</w:t>
      </w:r>
      <w:r>
        <w:t xml:space="preserve">, p. 80. One might also consult James </w:t>
      </w:r>
      <w:proofErr w:type="spellStart"/>
      <w:r>
        <w:t>Buickerood’s</w:t>
      </w:r>
      <w:proofErr w:type="spellEnd"/>
      <w:r>
        <w:t xml:space="preserve"> “The Natural History of the Understanding: Locke and the Rise of Facultative Logic” (</w:t>
      </w:r>
      <w:r>
        <w:rPr>
          <w:i/>
        </w:rPr>
        <w:t>History and Philosophy of Logic</w:t>
      </w:r>
      <w:r>
        <w:t xml:space="preserve"> 6 (1985), 157-90, for a survey of some non-facultative logics in the seventeenth century (see especia</w:t>
      </w:r>
      <w:r w:rsidR="00597749">
        <w:t xml:space="preserve">lly 172 and 172n11); and </w:t>
      </w:r>
      <w:proofErr w:type="spellStart"/>
      <w:r w:rsidR="00597749">
        <w:t>Knutzen’s</w:t>
      </w:r>
      <w:proofErr w:type="spellEnd"/>
      <w:r w:rsidR="00597749">
        <w:t xml:space="preserve"> </w:t>
      </w:r>
      <w:r w:rsidR="00597749">
        <w:rPr>
          <w:i/>
        </w:rPr>
        <w:t>Elementa</w:t>
      </w:r>
      <w:r w:rsidR="00597749">
        <w:t xml:space="preserve"> §45 p. 61-2).</w:t>
      </w:r>
    </w:p>
  </w:footnote>
  <w:footnote w:id="34">
    <w:p w:rsidR="00F40380" w:rsidRPr="00AE15B0" w:rsidRDefault="00F40380">
      <w:pPr>
        <w:pStyle w:val="FootnoteText"/>
      </w:pPr>
      <w:r>
        <w:rPr>
          <w:rStyle w:val="FootnoteReference"/>
        </w:rPr>
        <w:footnoteRef/>
      </w:r>
      <w:r>
        <w:t xml:space="preserve"> See also </w:t>
      </w:r>
      <w:r>
        <w:rPr>
          <w:i/>
        </w:rPr>
        <w:t>AN</w:t>
      </w:r>
      <w:r>
        <w:t xml:space="preserve"> §56, 183: “Weil man </w:t>
      </w:r>
      <w:proofErr w:type="spellStart"/>
      <w:r>
        <w:t>aber</w:t>
      </w:r>
      <w:proofErr w:type="spellEnd"/>
      <w:r>
        <w:t xml:space="preserve"> von </w:t>
      </w:r>
      <w:proofErr w:type="spellStart"/>
      <w:r>
        <w:t>einer</w:t>
      </w:r>
      <w:proofErr w:type="spellEnd"/>
      <w:r>
        <w:t xml:space="preserve"> </w:t>
      </w:r>
      <w:proofErr w:type="spellStart"/>
      <w:r>
        <w:t>Sache</w:t>
      </w:r>
      <w:proofErr w:type="spellEnd"/>
      <w:r>
        <w:t xml:space="preserve"> </w:t>
      </w:r>
      <w:proofErr w:type="spellStart"/>
      <w:r>
        <w:t>nicht</w:t>
      </w:r>
      <w:proofErr w:type="spellEnd"/>
      <w:r>
        <w:t xml:space="preserve"> </w:t>
      </w:r>
      <w:proofErr w:type="spellStart"/>
      <w:r>
        <w:t>urtheilen</w:t>
      </w:r>
      <w:proofErr w:type="spellEnd"/>
      <w:r>
        <w:t xml:space="preserve"> </w:t>
      </w:r>
      <w:proofErr w:type="spellStart"/>
      <w:r>
        <w:t>kan</w:t>
      </w:r>
      <w:proofErr w:type="spellEnd"/>
      <w:r>
        <w:t xml:space="preserve">, die man </w:t>
      </w:r>
      <w:proofErr w:type="spellStart"/>
      <w:r>
        <w:t>sich</w:t>
      </w:r>
      <w:proofErr w:type="spellEnd"/>
      <w:r>
        <w:t xml:space="preserve"> </w:t>
      </w:r>
      <w:proofErr w:type="spellStart"/>
      <w:r>
        <w:t>nicht</w:t>
      </w:r>
      <w:proofErr w:type="spellEnd"/>
      <w:r>
        <w:t xml:space="preserve"> </w:t>
      </w:r>
      <w:proofErr w:type="spellStart"/>
      <w:r>
        <w:t>vorstellet</w:t>
      </w:r>
      <w:proofErr w:type="spellEnd"/>
      <w:r>
        <w:t xml:space="preserve">, </w:t>
      </w:r>
      <w:proofErr w:type="spellStart"/>
      <w:r>
        <w:t>woferne</w:t>
      </w:r>
      <w:proofErr w:type="spellEnd"/>
      <w:r>
        <w:t xml:space="preserve"> man </w:t>
      </w:r>
      <w:proofErr w:type="spellStart"/>
      <w:r>
        <w:t>nicht</w:t>
      </w:r>
      <w:proofErr w:type="spellEnd"/>
      <w:r>
        <w:t xml:space="preserve"> </w:t>
      </w:r>
      <w:proofErr w:type="spellStart"/>
      <w:r>
        <w:t>andern</w:t>
      </w:r>
      <w:proofErr w:type="spellEnd"/>
      <w:r>
        <w:t xml:space="preserve"> </w:t>
      </w:r>
      <w:proofErr w:type="spellStart"/>
      <w:r>
        <w:t>Urtheile</w:t>
      </w:r>
      <w:proofErr w:type="spellEnd"/>
      <w:r>
        <w:t xml:space="preserve"> </w:t>
      </w:r>
      <w:proofErr w:type="spellStart"/>
      <w:r>
        <w:t>bloß</w:t>
      </w:r>
      <w:proofErr w:type="spellEnd"/>
      <w:r>
        <w:t xml:space="preserve"> </w:t>
      </w:r>
      <w:proofErr w:type="spellStart"/>
      <w:r>
        <w:t>nachsagen</w:t>
      </w:r>
      <w:proofErr w:type="spellEnd"/>
      <w:r>
        <w:t xml:space="preserve"> </w:t>
      </w:r>
      <w:proofErr w:type="spellStart"/>
      <w:r>
        <w:t>wil</w:t>
      </w:r>
      <w:proofErr w:type="spellEnd"/>
      <w:r>
        <w:t xml:space="preserve">, die man von </w:t>
      </w:r>
      <w:proofErr w:type="spellStart"/>
      <w:r>
        <w:t>ihnen</w:t>
      </w:r>
      <w:proofErr w:type="spellEnd"/>
      <w:r>
        <w:t xml:space="preserve"> </w:t>
      </w:r>
      <w:proofErr w:type="spellStart"/>
      <w:r>
        <w:t>gehöret</w:t>
      </w:r>
      <w:proofErr w:type="spellEnd"/>
      <w:r>
        <w:t xml:space="preserve">; so </w:t>
      </w:r>
      <w:proofErr w:type="spellStart"/>
      <w:r>
        <w:t>ist</w:t>
      </w:r>
      <w:proofErr w:type="spellEnd"/>
      <w:r>
        <w:t xml:space="preserve"> </w:t>
      </w:r>
      <w:proofErr w:type="spellStart"/>
      <w:r>
        <w:t>allerdings</w:t>
      </w:r>
      <w:proofErr w:type="spellEnd"/>
      <w:r>
        <w:t xml:space="preserve"> die </w:t>
      </w:r>
      <w:proofErr w:type="spellStart"/>
      <w:r>
        <w:t>blosse</w:t>
      </w:r>
      <w:proofErr w:type="spellEnd"/>
      <w:r>
        <w:t xml:space="preserve"> </w:t>
      </w:r>
      <w:proofErr w:type="spellStart"/>
      <w:r>
        <w:t>Vorstellung</w:t>
      </w:r>
      <w:proofErr w:type="spellEnd"/>
      <w:r>
        <w:t xml:space="preserve"> der Dinge (</w:t>
      </w:r>
      <w:r>
        <w:rPr>
          <w:i/>
        </w:rPr>
        <w:t xml:space="preserve">simplex </w:t>
      </w:r>
      <w:proofErr w:type="spellStart"/>
      <w:r>
        <w:rPr>
          <w:i/>
        </w:rPr>
        <w:t>rerum</w:t>
      </w:r>
      <w:proofErr w:type="spellEnd"/>
      <w:r>
        <w:rPr>
          <w:i/>
        </w:rPr>
        <w:t xml:space="preserve"> </w:t>
      </w:r>
      <w:proofErr w:type="spellStart"/>
      <w:r>
        <w:rPr>
          <w:i/>
        </w:rPr>
        <w:t>apprehensio</w:t>
      </w:r>
      <w:proofErr w:type="spellEnd"/>
      <w:r>
        <w:t xml:space="preserve">) </w:t>
      </w:r>
      <w:proofErr w:type="spellStart"/>
      <w:r>
        <w:t>oder</w:t>
      </w:r>
      <w:proofErr w:type="spellEnd"/>
      <w:r>
        <w:t xml:space="preserve"> die </w:t>
      </w:r>
      <w:proofErr w:type="spellStart"/>
      <w:r>
        <w:t>Lehre</w:t>
      </w:r>
      <w:proofErr w:type="spellEnd"/>
      <w:r>
        <w:t xml:space="preserve"> von den </w:t>
      </w:r>
      <w:proofErr w:type="spellStart"/>
      <w:r>
        <w:t>Begriffen</w:t>
      </w:r>
      <w:proofErr w:type="spellEnd"/>
      <w:r>
        <w:t xml:space="preserve"> (</w:t>
      </w:r>
      <w:r>
        <w:rPr>
          <w:i/>
        </w:rPr>
        <w:t xml:space="preserve">de </w:t>
      </w:r>
      <w:proofErr w:type="spellStart"/>
      <w:r>
        <w:rPr>
          <w:i/>
        </w:rPr>
        <w:t>notionibus</w:t>
      </w:r>
      <w:proofErr w:type="spellEnd"/>
      <w:r>
        <w:t xml:space="preserve">) das </w:t>
      </w:r>
      <w:proofErr w:type="spellStart"/>
      <w:r>
        <w:t>erste</w:t>
      </w:r>
      <w:proofErr w:type="spellEnd"/>
      <w:r>
        <w:t xml:space="preserve">, </w:t>
      </w:r>
      <w:proofErr w:type="spellStart"/>
      <w:r>
        <w:t>wovon</w:t>
      </w:r>
      <w:proofErr w:type="spellEnd"/>
      <w:r>
        <w:t xml:space="preserve"> </w:t>
      </w:r>
      <w:proofErr w:type="spellStart"/>
      <w:r>
        <w:t>ich</w:t>
      </w:r>
      <w:proofErr w:type="spellEnd"/>
      <w:r>
        <w:t xml:space="preserve"> </w:t>
      </w:r>
      <w:proofErr w:type="spellStart"/>
      <w:r>
        <w:t>habe</w:t>
      </w:r>
      <w:proofErr w:type="spellEnd"/>
      <w:r>
        <w:t xml:space="preserve"> </w:t>
      </w:r>
      <w:proofErr w:type="spellStart"/>
      <w:r>
        <w:t>handeln</w:t>
      </w:r>
      <w:proofErr w:type="spellEnd"/>
      <w:r>
        <w:t xml:space="preserve"> </w:t>
      </w:r>
      <w:proofErr w:type="spellStart"/>
      <w:r>
        <w:t>müssen</w:t>
      </w:r>
      <w:proofErr w:type="spellEnd"/>
      <w:r>
        <w:t>.”</w:t>
      </w:r>
    </w:p>
  </w:footnote>
  <w:footnote w:id="35">
    <w:p w:rsidR="00F40380" w:rsidRDefault="00F40380">
      <w:pPr>
        <w:pStyle w:val="FootnoteText"/>
      </w:pPr>
      <w:r>
        <w:rPr>
          <w:rStyle w:val="FootnoteReference"/>
        </w:rPr>
        <w:footnoteRef/>
      </w:r>
      <w:r>
        <w:t xml:space="preserve"> On this see also Michael Wolff, </w:t>
      </w:r>
      <w:r>
        <w:rPr>
          <w:i/>
        </w:rPr>
        <w:t xml:space="preserve">Die </w:t>
      </w:r>
      <w:proofErr w:type="spellStart"/>
      <w:r>
        <w:rPr>
          <w:i/>
        </w:rPr>
        <w:t>Vollständigkeit</w:t>
      </w:r>
      <w:proofErr w:type="spellEnd"/>
      <w:r>
        <w:rPr>
          <w:i/>
        </w:rPr>
        <w:t xml:space="preserve"> der </w:t>
      </w:r>
      <w:proofErr w:type="spellStart"/>
      <w:r>
        <w:rPr>
          <w:i/>
        </w:rPr>
        <w:t>Kantischen</w:t>
      </w:r>
      <w:proofErr w:type="spellEnd"/>
      <w:r>
        <w:rPr>
          <w:i/>
        </w:rPr>
        <w:t xml:space="preserve"> </w:t>
      </w:r>
      <w:proofErr w:type="spellStart"/>
      <w:r>
        <w:rPr>
          <w:i/>
        </w:rPr>
        <w:t>Urteilstafel</w:t>
      </w:r>
      <w:proofErr w:type="spellEnd"/>
      <w:r>
        <w:t xml:space="preserve">, 191 and 191n299. </w:t>
      </w:r>
    </w:p>
  </w:footnote>
  <w:footnote w:id="36">
    <w:p w:rsidR="00F40380" w:rsidRPr="00F40380" w:rsidRDefault="00F40380">
      <w:pPr>
        <w:pStyle w:val="FootnoteText"/>
      </w:pPr>
      <w:r>
        <w:rPr>
          <w:rStyle w:val="FootnoteReference"/>
        </w:rPr>
        <w:footnoteRef/>
      </w:r>
      <w:r>
        <w:t xml:space="preserve"> See also </w:t>
      </w:r>
      <w:proofErr w:type="spellStart"/>
      <w:r>
        <w:t>Pozzo</w:t>
      </w:r>
      <w:proofErr w:type="spellEnd"/>
      <w:r>
        <w:t xml:space="preserve">, </w:t>
      </w:r>
      <w:proofErr w:type="spellStart"/>
      <w:r>
        <w:rPr>
          <w:i/>
        </w:rPr>
        <w:t>Einleitung</w:t>
      </w:r>
      <w:proofErr w:type="spellEnd"/>
      <w:r>
        <w:t>, 25.</w:t>
      </w:r>
    </w:p>
  </w:footnote>
  <w:footnote w:id="37">
    <w:p w:rsidR="00F40380" w:rsidRDefault="00F40380">
      <w:pPr>
        <w:pStyle w:val="FootnoteText"/>
      </w:pPr>
      <w:r>
        <w:rPr>
          <w:rStyle w:val="FootnoteReference"/>
        </w:rPr>
        <w:footnoteRef/>
      </w:r>
      <w:r>
        <w:t xml:space="preserve"> </w:t>
      </w:r>
      <w:proofErr w:type="spellStart"/>
      <w:r>
        <w:rPr>
          <w:i/>
        </w:rPr>
        <w:t>Institutiones</w:t>
      </w:r>
      <w:proofErr w:type="spellEnd"/>
      <w:r>
        <w:rPr>
          <w:i/>
        </w:rPr>
        <w:t xml:space="preserve"> </w:t>
      </w:r>
      <w:proofErr w:type="spellStart"/>
      <w:r>
        <w:rPr>
          <w:i/>
        </w:rPr>
        <w:t>philosophiae</w:t>
      </w:r>
      <w:proofErr w:type="spellEnd"/>
      <w:r>
        <w:rPr>
          <w:i/>
        </w:rPr>
        <w:t xml:space="preserve"> </w:t>
      </w:r>
      <w:proofErr w:type="spellStart"/>
      <w:r>
        <w:rPr>
          <w:i/>
        </w:rPr>
        <w:t>Wolffianae</w:t>
      </w:r>
      <w:proofErr w:type="spellEnd"/>
      <w:r>
        <w:t>,</w:t>
      </w:r>
      <w:r>
        <w:rPr>
          <w:i/>
        </w:rPr>
        <w:t xml:space="preserve"> [</w:t>
      </w:r>
      <w:r>
        <w:t>1724] p. 4</w:t>
      </w:r>
    </w:p>
  </w:footnote>
  <w:footnote w:id="38">
    <w:p w:rsidR="00F40380" w:rsidRDefault="00F40380">
      <w:pPr>
        <w:pStyle w:val="FootnoteText"/>
      </w:pPr>
      <w:r>
        <w:rPr>
          <w:rStyle w:val="FootnoteReference"/>
        </w:rPr>
        <w:footnoteRef/>
      </w:r>
      <w:r>
        <w:t xml:space="preserve"> </w:t>
      </w:r>
      <w:proofErr w:type="spellStart"/>
      <w:r>
        <w:rPr>
          <w:i/>
        </w:rPr>
        <w:t>Systema</w:t>
      </w:r>
      <w:proofErr w:type="spellEnd"/>
      <w:r>
        <w:rPr>
          <w:i/>
        </w:rPr>
        <w:t xml:space="preserve"> </w:t>
      </w:r>
      <w:proofErr w:type="spellStart"/>
      <w:r>
        <w:rPr>
          <w:i/>
        </w:rPr>
        <w:t>logicum</w:t>
      </w:r>
      <w:proofErr w:type="spellEnd"/>
      <w:r>
        <w:rPr>
          <w:i/>
        </w:rPr>
        <w:t xml:space="preserve"> </w:t>
      </w:r>
      <w:r>
        <w:t xml:space="preserve">[1734], </w:t>
      </w:r>
      <w:proofErr w:type="spellStart"/>
      <w:r w:rsidRPr="009B504D">
        <w:rPr>
          <w:i/>
        </w:rPr>
        <w:t>Tractatio</w:t>
      </w:r>
      <w:proofErr w:type="spellEnd"/>
      <w:r w:rsidRPr="009B504D">
        <w:rPr>
          <w:i/>
        </w:rPr>
        <w:t xml:space="preserve"> </w:t>
      </w:r>
      <w:proofErr w:type="spellStart"/>
      <w:r w:rsidRPr="009B504D">
        <w:rPr>
          <w:i/>
        </w:rPr>
        <w:t>propaedeumatica</w:t>
      </w:r>
      <w:proofErr w:type="spellEnd"/>
      <w:r>
        <w:t>, p. 1; cf. also §29</w:t>
      </w:r>
    </w:p>
  </w:footnote>
  <w:footnote w:id="39">
    <w:p w:rsidR="00F40380" w:rsidRPr="00CF2690" w:rsidRDefault="00F40380">
      <w:pPr>
        <w:pStyle w:val="FootnoteText"/>
      </w:pPr>
      <w:r>
        <w:rPr>
          <w:rStyle w:val="FootnoteReference"/>
        </w:rPr>
        <w:footnoteRef/>
      </w:r>
      <w:r>
        <w:t xml:space="preserve"> </w:t>
      </w:r>
      <w:r>
        <w:rPr>
          <w:i/>
        </w:rPr>
        <w:t xml:space="preserve">Elementa </w:t>
      </w:r>
      <w:proofErr w:type="spellStart"/>
      <w:r>
        <w:rPr>
          <w:i/>
        </w:rPr>
        <w:t>philosophiae</w:t>
      </w:r>
      <w:proofErr w:type="spellEnd"/>
      <w:r>
        <w:rPr>
          <w:i/>
        </w:rPr>
        <w:t xml:space="preserve"> </w:t>
      </w:r>
      <w:proofErr w:type="spellStart"/>
      <w:r>
        <w:rPr>
          <w:i/>
        </w:rPr>
        <w:t>rationalis</w:t>
      </w:r>
      <w:proofErr w:type="spellEnd"/>
      <w:r>
        <w:rPr>
          <w:i/>
        </w:rPr>
        <w:t xml:space="preserve"> sue </w:t>
      </w:r>
      <w:proofErr w:type="spellStart"/>
      <w:r>
        <w:rPr>
          <w:i/>
        </w:rPr>
        <w:t>logicae</w:t>
      </w:r>
      <w:proofErr w:type="spellEnd"/>
      <w:r>
        <w:t xml:space="preserve"> [1747], p. 51. See also </w:t>
      </w:r>
      <w:proofErr w:type="spellStart"/>
      <w:r>
        <w:t>Knutzen’s</w:t>
      </w:r>
      <w:proofErr w:type="spellEnd"/>
      <w:r>
        <w:t xml:space="preserve"> Preface: “1) </w:t>
      </w:r>
      <w:proofErr w:type="spellStart"/>
      <w:r>
        <w:rPr>
          <w:i/>
        </w:rPr>
        <w:t>Logicam</w:t>
      </w:r>
      <w:proofErr w:type="spellEnd"/>
      <w:r>
        <w:rPr>
          <w:i/>
        </w:rPr>
        <w:t xml:space="preserve"> </w:t>
      </w:r>
      <w:proofErr w:type="spellStart"/>
      <w:r>
        <w:rPr>
          <w:i/>
        </w:rPr>
        <w:t>universalem</w:t>
      </w:r>
      <w:proofErr w:type="spellEnd"/>
      <w:r>
        <w:t xml:space="preserve">, quam </w:t>
      </w:r>
      <w:proofErr w:type="spellStart"/>
      <w:r>
        <w:t>alii</w:t>
      </w:r>
      <w:proofErr w:type="spellEnd"/>
      <w:r>
        <w:t xml:space="preserve"> </w:t>
      </w:r>
      <w:proofErr w:type="spellStart"/>
      <w:r>
        <w:t>theoreticam</w:t>
      </w:r>
      <w:proofErr w:type="spellEnd"/>
      <w:r>
        <w:t xml:space="preserve"> minus </w:t>
      </w:r>
      <w:proofErr w:type="spellStart"/>
      <w:r>
        <w:t>congrue</w:t>
      </w:r>
      <w:proofErr w:type="spellEnd"/>
      <w:r>
        <w:t xml:space="preserve"> appellant, </w:t>
      </w:r>
      <w:proofErr w:type="spellStart"/>
      <w:r>
        <w:t>eum</w:t>
      </w:r>
      <w:proofErr w:type="spellEnd"/>
      <w:r>
        <w:t xml:space="preserve"> in </w:t>
      </w:r>
      <w:proofErr w:type="spellStart"/>
      <w:r>
        <w:t>modum</w:t>
      </w:r>
      <w:proofErr w:type="spellEnd"/>
      <w:r>
        <w:t xml:space="preserve"> </w:t>
      </w:r>
      <w:proofErr w:type="spellStart"/>
      <w:r>
        <w:t>pertractaui</w:t>
      </w:r>
      <w:proofErr w:type="spellEnd"/>
      <w:r>
        <w:t xml:space="preserve">, </w:t>
      </w:r>
      <w:proofErr w:type="spellStart"/>
      <w:r>
        <w:t>ut</w:t>
      </w:r>
      <w:proofErr w:type="spellEnd"/>
      <w:r>
        <w:t xml:space="preserve"> </w:t>
      </w:r>
      <w:r>
        <w:rPr>
          <w:i/>
        </w:rPr>
        <w:t>a</w:t>
      </w:r>
      <w:r>
        <w:t xml:space="preserve">) </w:t>
      </w:r>
      <w:proofErr w:type="spellStart"/>
      <w:r>
        <w:rPr>
          <w:i/>
        </w:rPr>
        <w:t>theoriam</w:t>
      </w:r>
      <w:proofErr w:type="spellEnd"/>
      <w:r>
        <w:t xml:space="preserve"> </w:t>
      </w:r>
      <w:proofErr w:type="spellStart"/>
      <w:r>
        <w:t>intellectus</w:t>
      </w:r>
      <w:proofErr w:type="spellEnd"/>
      <w:r>
        <w:t xml:space="preserve"> &amp; </w:t>
      </w:r>
      <w:proofErr w:type="spellStart"/>
      <w:r>
        <w:rPr>
          <w:i/>
        </w:rPr>
        <w:t>trium</w:t>
      </w:r>
      <w:proofErr w:type="spellEnd"/>
      <w:r>
        <w:rPr>
          <w:i/>
        </w:rPr>
        <w:t xml:space="preserve"> mentis </w:t>
      </w:r>
      <w:proofErr w:type="spellStart"/>
      <w:r>
        <w:rPr>
          <w:i/>
        </w:rPr>
        <w:t>operationum</w:t>
      </w:r>
      <w:proofErr w:type="spellEnd"/>
      <w:r>
        <w:t xml:space="preserve"> </w:t>
      </w:r>
      <w:proofErr w:type="spellStart"/>
      <w:r>
        <w:t>indolem</w:t>
      </w:r>
      <w:proofErr w:type="spellEnd"/>
      <w:r>
        <w:t xml:space="preserve">, </w:t>
      </w:r>
      <w:proofErr w:type="spellStart"/>
      <w:r>
        <w:t>variasque</w:t>
      </w:r>
      <w:proofErr w:type="spellEnd"/>
      <w:r>
        <w:t xml:space="preserve"> </w:t>
      </w:r>
      <w:proofErr w:type="spellStart"/>
      <w:r>
        <w:t>earum</w:t>
      </w:r>
      <w:proofErr w:type="spellEnd"/>
      <w:r>
        <w:t xml:space="preserve"> species </w:t>
      </w:r>
      <w:proofErr w:type="spellStart"/>
      <w:r>
        <w:t>explicarem</w:t>
      </w:r>
      <w:proofErr w:type="spellEnd"/>
      <w:r>
        <w:t xml:space="preserve">, s. </w:t>
      </w:r>
      <w:proofErr w:type="spellStart"/>
      <w:r>
        <w:t>subiectum</w:t>
      </w:r>
      <w:proofErr w:type="spellEnd"/>
      <w:r>
        <w:t xml:space="preserve"> </w:t>
      </w:r>
      <w:proofErr w:type="spellStart"/>
      <w:r>
        <w:t>Logicae</w:t>
      </w:r>
      <w:proofErr w:type="spellEnd"/>
      <w:r>
        <w:t xml:space="preserve"> </w:t>
      </w:r>
      <w:proofErr w:type="spellStart"/>
      <w:r>
        <w:t>enuclearem</w:t>
      </w:r>
      <w:proofErr w:type="spellEnd"/>
      <w:r>
        <w:t xml:space="preserve">.” As M. Wolff notes, </w:t>
      </w:r>
      <w:proofErr w:type="spellStart"/>
      <w:r>
        <w:t>Knutzen</w:t>
      </w:r>
      <w:proofErr w:type="spellEnd"/>
      <w:r>
        <w:t xml:space="preserve"> also supplies an argument for the completeness of this division of the operations of the intellect; cf. </w:t>
      </w:r>
      <w:r>
        <w:rPr>
          <w:i/>
        </w:rPr>
        <w:t>Elementa</w:t>
      </w:r>
      <w:r>
        <w:t xml:space="preserve"> §44 and </w:t>
      </w:r>
      <w:proofErr w:type="spellStart"/>
      <w:r>
        <w:rPr>
          <w:i/>
        </w:rPr>
        <w:t>Vollständigkeit</w:t>
      </w:r>
      <w:proofErr w:type="spellEnd"/>
      <w:r>
        <w:rPr>
          <w:i/>
        </w:rPr>
        <w:t xml:space="preserve"> </w:t>
      </w:r>
      <w:r>
        <w:t>191n299.</w:t>
      </w:r>
    </w:p>
  </w:footnote>
  <w:footnote w:id="40">
    <w:p w:rsidR="00F40380" w:rsidRDefault="00F40380">
      <w:pPr>
        <w:pStyle w:val="FootnoteText"/>
      </w:pPr>
      <w:r>
        <w:rPr>
          <w:rStyle w:val="FootnoteReference"/>
        </w:rPr>
        <w:footnoteRef/>
      </w:r>
      <w:r>
        <w:t xml:space="preserve"> Meier is similarly faulted in </w:t>
      </w:r>
      <w:r w:rsidR="00282E6C">
        <w:t>V-</w:t>
      </w:r>
      <w:proofErr w:type="spellStart"/>
      <w:r w:rsidR="00282E6C">
        <w:t>Lo</w:t>
      </w:r>
      <w:r>
        <w:t>Pö</w:t>
      </w:r>
      <w:proofErr w:type="spellEnd"/>
      <w:r>
        <w:t>: “</w:t>
      </w:r>
      <w:proofErr w:type="spellStart"/>
      <w:r w:rsidRPr="00C56E2C">
        <w:t>Bisher</w:t>
      </w:r>
      <w:proofErr w:type="spellEnd"/>
      <w:r w:rsidRPr="00C56E2C">
        <w:t xml:space="preserve"> </w:t>
      </w:r>
      <w:proofErr w:type="spellStart"/>
      <w:r w:rsidRPr="00C56E2C">
        <w:t>haben</w:t>
      </w:r>
      <w:proofErr w:type="spellEnd"/>
      <w:r w:rsidRPr="00C56E2C">
        <w:t xml:space="preserve"> </w:t>
      </w:r>
      <w:proofErr w:type="spellStart"/>
      <w:r w:rsidRPr="00C56E2C">
        <w:t>wir</w:t>
      </w:r>
      <w:proofErr w:type="spellEnd"/>
      <w:r w:rsidRPr="00C56E2C">
        <w:t xml:space="preserve"> </w:t>
      </w:r>
      <w:proofErr w:type="spellStart"/>
      <w:r w:rsidRPr="00C56E2C">
        <w:t>vom</w:t>
      </w:r>
      <w:proofErr w:type="spellEnd"/>
      <w:r w:rsidRPr="00C56E2C">
        <w:t xml:space="preserve"> </w:t>
      </w:r>
      <w:proofErr w:type="spellStart"/>
      <w:r w:rsidRPr="00C56E2C">
        <w:t>Erkenntniß</w:t>
      </w:r>
      <w:proofErr w:type="spellEnd"/>
      <w:r w:rsidRPr="00C56E2C">
        <w:t xml:space="preserve"> </w:t>
      </w:r>
      <w:proofErr w:type="spellStart"/>
      <w:r w:rsidRPr="00C56E2C">
        <w:t>nach</w:t>
      </w:r>
      <w:proofErr w:type="spellEnd"/>
      <w:r w:rsidRPr="00C56E2C">
        <w:t xml:space="preserve"> den </w:t>
      </w:r>
      <w:proofErr w:type="spellStart"/>
      <w:r w:rsidRPr="00C56E2C">
        <w:t>mancherley</w:t>
      </w:r>
      <w:proofErr w:type="spellEnd"/>
      <w:r w:rsidRPr="00C56E2C">
        <w:t xml:space="preserve"> </w:t>
      </w:r>
      <w:proofErr w:type="spellStart"/>
      <w:r w:rsidRPr="00C56E2C">
        <w:t>Arten</w:t>
      </w:r>
      <w:proofErr w:type="spellEnd"/>
      <w:r w:rsidRPr="00C56E2C">
        <w:t xml:space="preserve"> </w:t>
      </w:r>
      <w:proofErr w:type="spellStart"/>
      <w:r w:rsidRPr="00C56E2C">
        <w:t>geredt</w:t>
      </w:r>
      <w:proofErr w:type="spellEnd"/>
      <w:r w:rsidRPr="00C56E2C">
        <w:t xml:space="preserve">, </w:t>
      </w:r>
      <w:proofErr w:type="spellStart"/>
      <w:r w:rsidRPr="00C56E2C">
        <w:t>jezt</w:t>
      </w:r>
      <w:proofErr w:type="spellEnd"/>
      <w:r w:rsidRPr="00C56E2C">
        <w:t xml:space="preserve"> </w:t>
      </w:r>
      <w:proofErr w:type="spellStart"/>
      <w:r w:rsidRPr="00C56E2C">
        <w:t>teilt</w:t>
      </w:r>
      <w:proofErr w:type="spellEnd"/>
      <w:r w:rsidRPr="00C56E2C">
        <w:t xml:space="preserve"> der </w:t>
      </w:r>
      <w:proofErr w:type="spellStart"/>
      <w:r w:rsidRPr="00C56E2C">
        <w:t>Autor</w:t>
      </w:r>
      <w:proofErr w:type="spellEnd"/>
      <w:r w:rsidRPr="00C56E2C">
        <w:t xml:space="preserve"> die </w:t>
      </w:r>
      <w:proofErr w:type="spellStart"/>
      <w:r w:rsidRPr="00C56E2C">
        <w:t>Erkenntniße</w:t>
      </w:r>
      <w:proofErr w:type="spellEnd"/>
      <w:r w:rsidRPr="00C56E2C">
        <w:t xml:space="preserve"> in </w:t>
      </w:r>
      <w:proofErr w:type="spellStart"/>
      <w:r w:rsidRPr="00C56E2C">
        <w:t>ihre</w:t>
      </w:r>
      <w:proofErr w:type="spellEnd"/>
      <w:r w:rsidRPr="00C56E2C">
        <w:t xml:space="preserve"> </w:t>
      </w:r>
      <w:proofErr w:type="spellStart"/>
      <w:r w:rsidRPr="00C56E2C">
        <w:t>Elemente</w:t>
      </w:r>
      <w:proofErr w:type="spellEnd"/>
      <w:r w:rsidRPr="00C56E2C">
        <w:t xml:space="preserve"> </w:t>
      </w:r>
      <w:proofErr w:type="spellStart"/>
      <w:r w:rsidRPr="00C56E2C">
        <w:t>ein</w:t>
      </w:r>
      <w:proofErr w:type="spellEnd"/>
      <w:r w:rsidRPr="00C56E2C">
        <w:t xml:space="preserve">, welches </w:t>
      </w:r>
      <w:proofErr w:type="spellStart"/>
      <w:r w:rsidRPr="00C56E2C">
        <w:t>billig</w:t>
      </w:r>
      <w:proofErr w:type="spellEnd"/>
      <w:r w:rsidRPr="00C56E2C">
        <w:t xml:space="preserve"> </w:t>
      </w:r>
      <w:proofErr w:type="spellStart"/>
      <w:r w:rsidRPr="00C56E2C">
        <w:t>schon</w:t>
      </w:r>
      <w:proofErr w:type="spellEnd"/>
      <w:r w:rsidRPr="00C56E2C">
        <w:t xml:space="preserve"> </w:t>
      </w:r>
      <w:proofErr w:type="spellStart"/>
      <w:r w:rsidRPr="00C56E2C">
        <w:t>hätte</w:t>
      </w:r>
      <w:proofErr w:type="spellEnd"/>
      <w:r w:rsidRPr="00C56E2C">
        <w:t xml:space="preserve"> </w:t>
      </w:r>
      <w:proofErr w:type="spellStart"/>
      <w:r w:rsidRPr="00C56E2C">
        <w:t>eher</w:t>
      </w:r>
      <w:proofErr w:type="spellEnd"/>
      <w:r w:rsidRPr="00C56E2C">
        <w:t xml:space="preserve"> </w:t>
      </w:r>
      <w:proofErr w:type="spellStart"/>
      <w:r w:rsidRPr="00C56E2C">
        <w:t>geschehen</w:t>
      </w:r>
      <w:proofErr w:type="spellEnd"/>
      <w:r w:rsidRPr="00C56E2C">
        <w:t xml:space="preserve"> </w:t>
      </w:r>
      <w:proofErr w:type="spellStart"/>
      <w:r w:rsidRPr="00C56E2C">
        <w:t>sollen</w:t>
      </w:r>
      <w:proofErr w:type="spellEnd"/>
      <w:r w:rsidRPr="00C56E2C">
        <w:t xml:space="preserve">. 1.) Die </w:t>
      </w:r>
      <w:proofErr w:type="spellStart"/>
      <w:r w:rsidRPr="00C56E2C">
        <w:t>erste</w:t>
      </w:r>
      <w:proofErr w:type="spellEnd"/>
      <w:r w:rsidRPr="00C56E2C">
        <w:t xml:space="preserve"> </w:t>
      </w:r>
      <w:proofErr w:type="spellStart"/>
      <w:r w:rsidRPr="00C56E2C">
        <w:t>Vollkommenheit</w:t>
      </w:r>
      <w:proofErr w:type="spellEnd"/>
      <w:r w:rsidRPr="00C56E2C">
        <w:t xml:space="preserve"> </w:t>
      </w:r>
      <w:proofErr w:type="spellStart"/>
      <w:r w:rsidRPr="00C56E2C">
        <w:t>sagt</w:t>
      </w:r>
      <w:proofErr w:type="spellEnd"/>
      <w:r w:rsidRPr="00C56E2C">
        <w:t xml:space="preserve"> der </w:t>
      </w:r>
      <w:proofErr w:type="spellStart"/>
      <w:r w:rsidRPr="00C56E2C">
        <w:t>Autor</w:t>
      </w:r>
      <w:proofErr w:type="spellEnd"/>
      <w:r w:rsidRPr="00C56E2C">
        <w:t xml:space="preserve"> </w:t>
      </w:r>
      <w:proofErr w:type="spellStart"/>
      <w:r w:rsidRPr="00C56E2C">
        <w:t>ist</w:t>
      </w:r>
      <w:proofErr w:type="spellEnd"/>
      <w:r w:rsidRPr="00C56E2C">
        <w:t xml:space="preserve">, </w:t>
      </w:r>
      <w:proofErr w:type="spellStart"/>
      <w:r w:rsidRPr="00C56E2C">
        <w:t>wenn</w:t>
      </w:r>
      <w:proofErr w:type="spellEnd"/>
      <w:r w:rsidRPr="00C56E2C">
        <w:t xml:space="preserve"> </w:t>
      </w:r>
      <w:proofErr w:type="spellStart"/>
      <w:r w:rsidRPr="00C56E2C">
        <w:t>eine</w:t>
      </w:r>
      <w:proofErr w:type="spellEnd"/>
      <w:r w:rsidRPr="00C56E2C">
        <w:t xml:space="preserve"> </w:t>
      </w:r>
      <w:proofErr w:type="spellStart"/>
      <w:r w:rsidRPr="00C56E2C">
        <w:t>Erkenntniß</w:t>
      </w:r>
      <w:proofErr w:type="spellEnd"/>
      <w:r w:rsidRPr="00C56E2C">
        <w:t xml:space="preserve"> </w:t>
      </w:r>
      <w:proofErr w:type="spellStart"/>
      <w:r w:rsidRPr="00C56E2C">
        <w:t>Vorstellung</w:t>
      </w:r>
      <w:proofErr w:type="spellEnd"/>
      <w:r w:rsidRPr="00C56E2C">
        <w:t xml:space="preserve"> und </w:t>
      </w:r>
      <w:proofErr w:type="spellStart"/>
      <w:r w:rsidRPr="00C56E2C">
        <w:t>Begrif</w:t>
      </w:r>
      <w:proofErr w:type="spellEnd"/>
      <w:r w:rsidRPr="00C56E2C">
        <w:t xml:space="preserve"> </w:t>
      </w:r>
      <w:proofErr w:type="spellStart"/>
      <w:r w:rsidRPr="00C56E2C">
        <w:t>wird</w:t>
      </w:r>
      <w:proofErr w:type="spellEnd"/>
      <w:r w:rsidRPr="00C56E2C">
        <w:t xml:space="preserve">. 2.) </w:t>
      </w:r>
      <w:proofErr w:type="spellStart"/>
      <w:r w:rsidRPr="00C56E2C">
        <w:t>wenn</w:t>
      </w:r>
      <w:proofErr w:type="spellEnd"/>
      <w:r w:rsidRPr="00C56E2C">
        <w:t xml:space="preserve"> </w:t>
      </w:r>
      <w:proofErr w:type="spellStart"/>
      <w:r w:rsidRPr="00C56E2C">
        <w:t>Begriffe</w:t>
      </w:r>
      <w:proofErr w:type="spellEnd"/>
      <w:r w:rsidRPr="00C56E2C">
        <w:t xml:space="preserve"> </w:t>
      </w:r>
      <w:proofErr w:type="spellStart"/>
      <w:r w:rsidRPr="00C56E2C">
        <w:t>verbunden</w:t>
      </w:r>
      <w:proofErr w:type="spellEnd"/>
      <w:r w:rsidRPr="00C56E2C">
        <w:t xml:space="preserve"> </w:t>
      </w:r>
      <w:proofErr w:type="spellStart"/>
      <w:r w:rsidRPr="00C56E2C">
        <w:t>werden</w:t>
      </w:r>
      <w:proofErr w:type="spellEnd"/>
      <w:r w:rsidRPr="00C56E2C">
        <w:t xml:space="preserve"> und also </w:t>
      </w:r>
      <w:proofErr w:type="spellStart"/>
      <w:r w:rsidRPr="00C56E2C">
        <w:t>Urteile</w:t>
      </w:r>
      <w:proofErr w:type="spellEnd"/>
      <w:r w:rsidRPr="00C56E2C">
        <w:t xml:space="preserve"> </w:t>
      </w:r>
      <w:proofErr w:type="spellStart"/>
      <w:r w:rsidRPr="00C56E2C">
        <w:t>entstehn</w:t>
      </w:r>
      <w:proofErr w:type="spellEnd"/>
      <w:r w:rsidRPr="00C56E2C">
        <w:t xml:space="preserve">, 3.) </w:t>
      </w:r>
      <w:proofErr w:type="spellStart"/>
      <w:r w:rsidRPr="00C56E2C">
        <w:t>wenn</w:t>
      </w:r>
      <w:proofErr w:type="spellEnd"/>
      <w:r w:rsidRPr="00C56E2C">
        <w:t xml:space="preserve"> </w:t>
      </w:r>
      <w:proofErr w:type="spellStart"/>
      <w:r w:rsidRPr="00C56E2C">
        <w:t>Urteile</w:t>
      </w:r>
      <w:proofErr w:type="spellEnd"/>
      <w:r w:rsidRPr="00C56E2C">
        <w:t xml:space="preserve"> </w:t>
      </w:r>
      <w:proofErr w:type="spellStart"/>
      <w:r w:rsidRPr="00C56E2C">
        <w:t>verbunden</w:t>
      </w:r>
      <w:proofErr w:type="spellEnd"/>
      <w:r w:rsidRPr="00C56E2C">
        <w:t xml:space="preserve"> </w:t>
      </w:r>
      <w:proofErr w:type="spellStart"/>
      <w:r w:rsidRPr="00C56E2C">
        <w:t>werden</w:t>
      </w:r>
      <w:proofErr w:type="spellEnd"/>
      <w:r w:rsidRPr="00C56E2C">
        <w:t xml:space="preserve"> und also </w:t>
      </w:r>
      <w:proofErr w:type="spellStart"/>
      <w:r w:rsidRPr="00C56E2C">
        <w:t>Schlüße</w:t>
      </w:r>
      <w:proofErr w:type="spellEnd"/>
      <w:r w:rsidRPr="00C56E2C">
        <w:t xml:space="preserve"> </w:t>
      </w:r>
      <w:proofErr w:type="spellStart"/>
      <w:r w:rsidRPr="00C56E2C">
        <w:t>entstehn</w:t>
      </w:r>
      <w:proofErr w:type="spellEnd"/>
      <w:r w:rsidRPr="00C56E2C">
        <w:t xml:space="preserve">. Die </w:t>
      </w:r>
      <w:proofErr w:type="spellStart"/>
      <w:r w:rsidRPr="00C56E2C">
        <w:t>Alten</w:t>
      </w:r>
      <w:proofErr w:type="spellEnd"/>
      <w:r w:rsidRPr="00C56E2C">
        <w:t xml:space="preserve"> </w:t>
      </w:r>
      <w:proofErr w:type="spellStart"/>
      <w:r w:rsidRPr="00C56E2C">
        <w:t>sagten</w:t>
      </w:r>
      <w:proofErr w:type="spellEnd"/>
      <w:r w:rsidRPr="00C56E2C">
        <w:t xml:space="preserve">: </w:t>
      </w:r>
      <w:proofErr w:type="spellStart"/>
      <w:r w:rsidRPr="00C56E2C">
        <w:t>quot</w:t>
      </w:r>
      <w:proofErr w:type="spellEnd"/>
      <w:r w:rsidRPr="00C56E2C">
        <w:t xml:space="preserve"> </w:t>
      </w:r>
      <w:proofErr w:type="spellStart"/>
      <w:r w:rsidRPr="00C56E2C">
        <w:t>sunt</w:t>
      </w:r>
      <w:proofErr w:type="spellEnd"/>
      <w:r w:rsidRPr="00C56E2C">
        <w:t xml:space="preserve"> mentis </w:t>
      </w:r>
      <w:proofErr w:type="spellStart"/>
      <w:r w:rsidRPr="00C56E2C">
        <w:t>operationes</w:t>
      </w:r>
      <w:proofErr w:type="spellEnd"/>
      <w:r w:rsidRPr="00C56E2C">
        <w:t xml:space="preserve">? </w:t>
      </w:r>
      <w:proofErr w:type="spellStart"/>
      <w:r w:rsidRPr="00C56E2C">
        <w:t>tres</w:t>
      </w:r>
      <w:proofErr w:type="spellEnd"/>
      <w:r w:rsidRPr="00C56E2C">
        <w:t xml:space="preserve">, </w:t>
      </w:r>
      <w:proofErr w:type="spellStart"/>
      <w:r w:rsidRPr="00C56E2C">
        <w:t>apprehensio</w:t>
      </w:r>
      <w:proofErr w:type="spellEnd"/>
      <w:r w:rsidRPr="00C56E2C">
        <w:t xml:space="preserve"> si</w:t>
      </w:r>
      <w:r>
        <w:t xml:space="preserve">mplex, </w:t>
      </w:r>
      <w:proofErr w:type="spellStart"/>
      <w:r>
        <w:t>judicium</w:t>
      </w:r>
      <w:proofErr w:type="spellEnd"/>
      <w:r>
        <w:t xml:space="preserve">, et </w:t>
      </w:r>
      <w:proofErr w:type="spellStart"/>
      <w:r>
        <w:t>ratiocinium</w:t>
      </w:r>
      <w:proofErr w:type="spellEnd"/>
      <w:r>
        <w:t>” (24:565).</w:t>
      </w:r>
    </w:p>
  </w:footnote>
  <w:footnote w:id="41">
    <w:p w:rsidR="00F40380" w:rsidRPr="00F40380" w:rsidRDefault="00F40380">
      <w:pPr>
        <w:pStyle w:val="FootnoteText"/>
      </w:pPr>
      <w:r>
        <w:rPr>
          <w:rStyle w:val="FootnoteReference"/>
        </w:rPr>
        <w:footnoteRef/>
      </w:r>
      <w:r>
        <w:t xml:space="preserve"> That this analysis is the basis for Kant’s praise of Wolff is suggested, for instance, by Brandt (</w:t>
      </w:r>
      <w:proofErr w:type="spellStart"/>
      <w:r>
        <w:rPr>
          <w:i/>
        </w:rPr>
        <w:t>Urteilstafel</w:t>
      </w:r>
      <w:proofErr w:type="spellEnd"/>
      <w:r>
        <w:t xml:space="preserve"> 110) and M. Wolff, </w:t>
      </w:r>
      <w:proofErr w:type="spellStart"/>
      <w:r>
        <w:rPr>
          <w:i/>
        </w:rPr>
        <w:t>Vollständigkeit</w:t>
      </w:r>
      <w:proofErr w:type="spellEnd"/>
      <w:r>
        <w:t>, 191.</w:t>
      </w:r>
    </w:p>
  </w:footnote>
  <w:footnote w:id="42">
    <w:p w:rsidR="00F40380" w:rsidRPr="00AA1BA0" w:rsidRDefault="00F40380">
      <w:pPr>
        <w:pStyle w:val="FootnoteText"/>
      </w:pPr>
      <w:r>
        <w:rPr>
          <w:rStyle w:val="FootnoteReference"/>
        </w:rPr>
        <w:footnoteRef/>
      </w:r>
      <w:r>
        <w:t xml:space="preserve"> This is consistent with Kant’s interpolation of ‘</w:t>
      </w:r>
      <w:r>
        <w:rPr>
          <w:i/>
        </w:rPr>
        <w:t>conceptus</w:t>
      </w:r>
      <w:r>
        <w:t>’ after ‘</w:t>
      </w:r>
      <w:r>
        <w:rPr>
          <w:i/>
        </w:rPr>
        <w:t xml:space="preserve">simplex </w:t>
      </w:r>
      <w:proofErr w:type="spellStart"/>
      <w:r>
        <w:rPr>
          <w:i/>
        </w:rPr>
        <w:t>apprehensio</w:t>
      </w:r>
      <w:proofErr w:type="spellEnd"/>
      <w:r>
        <w:t xml:space="preserve">’ at </w:t>
      </w:r>
      <w:r w:rsidR="00282E6C">
        <w:t>V-</w:t>
      </w:r>
      <w:proofErr w:type="spellStart"/>
      <w:r w:rsidR="00282E6C">
        <w:t>Lo</w:t>
      </w:r>
      <w:r>
        <w:t>Bu</w:t>
      </w:r>
      <w:proofErr w:type="spellEnd"/>
      <w:r>
        <w:t xml:space="preserve"> 24:653 (quoted above). See also </w:t>
      </w:r>
      <w:r>
        <w:rPr>
          <w:i/>
        </w:rPr>
        <w:t>R</w:t>
      </w:r>
      <w:r>
        <w:t xml:space="preserve"> 1713: “</w:t>
      </w:r>
      <w:proofErr w:type="spellStart"/>
      <w:r w:rsidRPr="00AA1BA0">
        <w:t>Logik</w:t>
      </w:r>
      <w:proofErr w:type="spellEnd"/>
      <w:r w:rsidRPr="00AA1BA0">
        <w:t xml:space="preserve">: </w:t>
      </w:r>
      <w:proofErr w:type="spellStart"/>
      <w:r w:rsidRPr="00AA1BA0">
        <w:t>blos</w:t>
      </w:r>
      <w:proofErr w:type="spellEnd"/>
      <w:r w:rsidRPr="00AA1BA0">
        <w:t xml:space="preserve"> </w:t>
      </w:r>
      <w:proofErr w:type="spellStart"/>
      <w:r w:rsidRPr="00AA1BA0">
        <w:t>formaler</w:t>
      </w:r>
      <w:proofErr w:type="spellEnd"/>
      <w:r w:rsidRPr="00AA1BA0">
        <w:t xml:space="preserve"> Theil der </w:t>
      </w:r>
      <w:proofErr w:type="spellStart"/>
      <w:r w:rsidRPr="00AA1BA0">
        <w:t>Philosophie</w:t>
      </w:r>
      <w:proofErr w:type="spellEnd"/>
      <w:r w:rsidRPr="00AA1BA0">
        <w:t xml:space="preserve">. </w:t>
      </w:r>
      <w:proofErr w:type="spellStart"/>
      <w:r w:rsidRPr="00AA1BA0">
        <w:t>Logik</w:t>
      </w:r>
      <w:proofErr w:type="spellEnd"/>
      <w:r w:rsidRPr="00AA1BA0">
        <w:t xml:space="preserve"> </w:t>
      </w:r>
      <w:proofErr w:type="spellStart"/>
      <w:r w:rsidRPr="00AA1BA0">
        <w:t>handelt</w:t>
      </w:r>
      <w:proofErr w:type="spellEnd"/>
      <w:r w:rsidRPr="00AA1BA0">
        <w:t xml:space="preserve"> </w:t>
      </w:r>
      <w:proofErr w:type="spellStart"/>
      <w:r w:rsidRPr="00AA1BA0">
        <w:t>vom</w:t>
      </w:r>
      <w:proofErr w:type="spellEnd"/>
      <w:r w:rsidRPr="00AA1BA0">
        <w:t xml:space="preserve"> </w:t>
      </w:r>
      <w:proofErr w:type="spellStart"/>
      <w:r w:rsidRPr="00AA1BA0">
        <w:t>Erkentnis</w:t>
      </w:r>
      <w:proofErr w:type="spellEnd"/>
      <w:r w:rsidRPr="00AA1BA0">
        <w:t xml:space="preserve">, </w:t>
      </w:r>
      <w:proofErr w:type="spellStart"/>
      <w:r w:rsidRPr="00AA1BA0">
        <w:t>aber</w:t>
      </w:r>
      <w:proofErr w:type="spellEnd"/>
      <w:r w:rsidRPr="00AA1BA0">
        <w:t xml:space="preserve"> </w:t>
      </w:r>
      <w:proofErr w:type="spellStart"/>
      <w:r w:rsidRPr="00AA1BA0">
        <w:t>nicht</w:t>
      </w:r>
      <w:proofErr w:type="spellEnd"/>
      <w:r w:rsidRPr="00AA1BA0">
        <w:t xml:space="preserve"> </w:t>
      </w:r>
      <w:proofErr w:type="spellStart"/>
      <w:r w:rsidRPr="00AA1BA0">
        <w:t>als</w:t>
      </w:r>
      <w:proofErr w:type="spellEnd"/>
      <w:r w:rsidRPr="00AA1BA0">
        <w:t xml:space="preserve"> </w:t>
      </w:r>
      <w:proofErr w:type="spellStart"/>
      <w:r w:rsidRPr="00AA1BA0">
        <w:t>Anschauung</w:t>
      </w:r>
      <w:proofErr w:type="spellEnd"/>
      <w:r w:rsidRPr="00AA1BA0">
        <w:t xml:space="preserve">, </w:t>
      </w:r>
      <w:proofErr w:type="spellStart"/>
      <w:r w:rsidRPr="00AA1BA0">
        <w:t>sondern</w:t>
      </w:r>
      <w:proofErr w:type="spellEnd"/>
      <w:r w:rsidRPr="00AA1BA0">
        <w:t xml:space="preserve"> </w:t>
      </w:r>
      <w:proofErr w:type="spellStart"/>
      <w:r w:rsidRPr="00AA1BA0">
        <w:t>vom</w:t>
      </w:r>
      <w:proofErr w:type="spellEnd"/>
      <w:r w:rsidRPr="00AA1BA0">
        <w:t xml:space="preserve"> </w:t>
      </w:r>
      <w:proofErr w:type="spellStart"/>
      <w:r w:rsidRPr="00AA1BA0">
        <w:t>Denken</w:t>
      </w:r>
      <w:proofErr w:type="spellEnd"/>
      <w:r w:rsidRPr="00AA1BA0">
        <w:t xml:space="preserve">, </w:t>
      </w:r>
      <w:proofErr w:type="spellStart"/>
      <w:r w:rsidRPr="00AA1BA0">
        <w:t>nicht</w:t>
      </w:r>
      <w:proofErr w:type="spellEnd"/>
      <w:r w:rsidRPr="00AA1BA0">
        <w:t xml:space="preserve"> der </w:t>
      </w:r>
      <w:proofErr w:type="spellStart"/>
      <w:r w:rsidRPr="00AA1BA0">
        <w:t>Materie</w:t>
      </w:r>
      <w:proofErr w:type="spellEnd"/>
      <w:r w:rsidRPr="00AA1BA0">
        <w:t xml:space="preserve">, </w:t>
      </w:r>
      <w:proofErr w:type="spellStart"/>
      <w:r w:rsidRPr="00AA1BA0">
        <w:t>sondern</w:t>
      </w:r>
      <w:proofErr w:type="spellEnd"/>
      <w:r w:rsidRPr="00AA1BA0">
        <w:t xml:space="preserve"> Form </w:t>
      </w:r>
      <w:proofErr w:type="spellStart"/>
      <w:r w:rsidRPr="00AA1BA0">
        <w:t>nach</w:t>
      </w:r>
      <w:proofErr w:type="spellEnd"/>
      <w:r w:rsidRPr="00AA1BA0">
        <w:t xml:space="preserve">. </w:t>
      </w:r>
      <w:proofErr w:type="spellStart"/>
      <w:r w:rsidRPr="00AA1BA0">
        <w:rPr>
          <w:i/>
          <w:iCs/>
        </w:rPr>
        <w:t>apprehensio</w:t>
      </w:r>
      <w:proofErr w:type="spellEnd"/>
      <w:r w:rsidRPr="00AA1BA0">
        <w:rPr>
          <w:i/>
          <w:iCs/>
        </w:rPr>
        <w:t xml:space="preserve"> simplex, </w:t>
      </w:r>
      <w:proofErr w:type="spellStart"/>
      <w:r w:rsidRPr="00AA1BA0">
        <w:rPr>
          <w:i/>
          <w:iCs/>
        </w:rPr>
        <w:t>iudicium</w:t>
      </w:r>
      <w:proofErr w:type="spellEnd"/>
      <w:r>
        <w:rPr>
          <w:i/>
          <w:iCs/>
        </w:rPr>
        <w:t xml:space="preserve"> </w:t>
      </w:r>
      <w:r w:rsidRPr="00AA1BA0">
        <w:rPr>
          <w:iCs/>
        </w:rPr>
        <w:t>(16:</w:t>
      </w:r>
      <w:r>
        <w:rPr>
          <w:iCs/>
        </w:rPr>
        <w:t>90).</w:t>
      </w:r>
    </w:p>
  </w:footnote>
  <w:footnote w:id="43">
    <w:p w:rsidR="00F40380" w:rsidRPr="00980D02" w:rsidRDefault="00F40380">
      <w:pPr>
        <w:pStyle w:val="FootnoteText"/>
      </w:pPr>
      <w:r>
        <w:rPr>
          <w:rStyle w:val="FootnoteReference"/>
        </w:rPr>
        <w:footnoteRef/>
      </w:r>
      <w:r>
        <w:t xml:space="preserve"> Here, ‘</w:t>
      </w:r>
      <w:proofErr w:type="spellStart"/>
      <w:r>
        <w:rPr>
          <w:i/>
        </w:rPr>
        <w:t>Vernunftbegriff</w:t>
      </w:r>
      <w:proofErr w:type="spellEnd"/>
      <w:r>
        <w:t xml:space="preserve">’ evidently refers to what Wolff had called an adequate concept; see, for instance </w:t>
      </w:r>
      <w:r w:rsidR="00282E6C">
        <w:t>V-</w:t>
      </w:r>
      <w:proofErr w:type="spellStart"/>
      <w:r w:rsidR="00282E6C">
        <w:t>Lo</w:t>
      </w:r>
      <w:r>
        <w:t>DW</w:t>
      </w:r>
      <w:proofErr w:type="spellEnd"/>
      <w:r>
        <w:t xml:space="preserve"> 24:762: “Die </w:t>
      </w:r>
      <w:proofErr w:type="spellStart"/>
      <w:r>
        <w:t>Vorstellung</w:t>
      </w:r>
      <w:proofErr w:type="spellEnd"/>
      <w:r>
        <w:t xml:space="preserve">, die </w:t>
      </w:r>
      <w:proofErr w:type="spellStart"/>
      <w:r>
        <w:t>durch</w:t>
      </w:r>
      <w:proofErr w:type="spellEnd"/>
      <w:r>
        <w:t xml:space="preserve"> </w:t>
      </w:r>
      <w:proofErr w:type="spellStart"/>
      <w:r>
        <w:t>ihr</w:t>
      </w:r>
      <w:proofErr w:type="spellEnd"/>
      <w:r>
        <w:t xml:space="preserve"> </w:t>
      </w:r>
      <w:proofErr w:type="spellStart"/>
      <w:r>
        <w:t>Bewußtsein</w:t>
      </w:r>
      <w:proofErr w:type="spellEnd"/>
      <w:r>
        <w:t xml:space="preserve"> </w:t>
      </w:r>
      <w:proofErr w:type="spellStart"/>
      <w:r>
        <w:t>als</w:t>
      </w:r>
      <w:proofErr w:type="spellEnd"/>
      <w:r>
        <w:t xml:space="preserve"> </w:t>
      </w:r>
      <w:proofErr w:type="spellStart"/>
      <w:r>
        <w:t>eines</w:t>
      </w:r>
      <w:proofErr w:type="spellEnd"/>
      <w:r>
        <w:t xml:space="preserve"> </w:t>
      </w:r>
      <w:proofErr w:type="spellStart"/>
      <w:r>
        <w:t>Merkmals</w:t>
      </w:r>
      <w:proofErr w:type="spellEnd"/>
      <w:r>
        <w:t xml:space="preserve"> </w:t>
      </w:r>
      <w:proofErr w:type="spellStart"/>
      <w:r>
        <w:t>allgemein</w:t>
      </w:r>
      <w:proofErr w:type="spellEnd"/>
      <w:r>
        <w:t xml:space="preserve"> </w:t>
      </w:r>
      <w:proofErr w:type="spellStart"/>
      <w:r>
        <w:t>ist</w:t>
      </w:r>
      <w:proofErr w:type="spellEnd"/>
      <w:r>
        <w:t xml:space="preserve">, </w:t>
      </w:r>
      <w:proofErr w:type="spellStart"/>
      <w:r>
        <w:t>ist</w:t>
      </w:r>
      <w:proofErr w:type="spellEnd"/>
      <w:r>
        <w:t xml:space="preserve"> </w:t>
      </w:r>
      <w:proofErr w:type="spellStart"/>
      <w:r>
        <w:t>ein</w:t>
      </w:r>
      <w:proofErr w:type="spellEnd"/>
      <w:r>
        <w:t xml:space="preserve"> </w:t>
      </w:r>
      <w:proofErr w:type="spellStart"/>
      <w:r>
        <w:t>klarer</w:t>
      </w:r>
      <w:proofErr w:type="spellEnd"/>
      <w:r>
        <w:t xml:space="preserve"> </w:t>
      </w:r>
      <w:proofErr w:type="spellStart"/>
      <w:r>
        <w:t>Begriff</w:t>
      </w:r>
      <w:proofErr w:type="spellEnd"/>
      <w:r>
        <w:t xml:space="preserve">. Das </w:t>
      </w:r>
      <w:proofErr w:type="spellStart"/>
      <w:r>
        <w:t>Bewußtsein</w:t>
      </w:r>
      <w:proofErr w:type="spellEnd"/>
      <w:r>
        <w:t xml:space="preserve"> </w:t>
      </w:r>
      <w:proofErr w:type="spellStart"/>
      <w:r>
        <w:t>einer</w:t>
      </w:r>
      <w:proofErr w:type="spellEnd"/>
      <w:r>
        <w:t xml:space="preserve"> </w:t>
      </w:r>
      <w:proofErr w:type="spellStart"/>
      <w:r>
        <w:t>allgemeinen</w:t>
      </w:r>
      <w:proofErr w:type="spellEnd"/>
      <w:r>
        <w:t xml:space="preserve"> </w:t>
      </w:r>
      <w:proofErr w:type="spellStart"/>
      <w:r>
        <w:t>Vorstellung</w:t>
      </w:r>
      <w:proofErr w:type="spellEnd"/>
      <w:r>
        <w:t xml:space="preserve"> (</w:t>
      </w:r>
      <w:proofErr w:type="spellStart"/>
      <w:r>
        <w:t>repraesentatio</w:t>
      </w:r>
      <w:proofErr w:type="spellEnd"/>
      <w:r>
        <w:t xml:space="preserve"> </w:t>
      </w:r>
      <w:proofErr w:type="spellStart"/>
      <w:r>
        <w:t>communis</w:t>
      </w:r>
      <w:proofErr w:type="spellEnd"/>
      <w:r>
        <w:t xml:space="preserve">) </w:t>
      </w:r>
      <w:proofErr w:type="spellStart"/>
      <w:r>
        <w:t>heißt</w:t>
      </w:r>
      <w:proofErr w:type="spellEnd"/>
      <w:r>
        <w:t xml:space="preserve"> also </w:t>
      </w:r>
      <w:proofErr w:type="spellStart"/>
      <w:r>
        <w:t>nicht</w:t>
      </w:r>
      <w:proofErr w:type="spellEnd"/>
      <w:r>
        <w:t xml:space="preserve"> </w:t>
      </w:r>
      <w:proofErr w:type="spellStart"/>
      <w:r>
        <w:t>bloß</w:t>
      </w:r>
      <w:proofErr w:type="spellEnd"/>
      <w:r>
        <w:t xml:space="preserve"> </w:t>
      </w:r>
      <w:proofErr w:type="spellStart"/>
      <w:r>
        <w:t>Begriff</w:t>
      </w:r>
      <w:proofErr w:type="spellEnd"/>
      <w:r>
        <w:t xml:space="preserve">, </w:t>
      </w:r>
      <w:proofErr w:type="spellStart"/>
      <w:r>
        <w:t>sondern</w:t>
      </w:r>
      <w:proofErr w:type="spellEnd"/>
      <w:r>
        <w:t xml:space="preserve"> </w:t>
      </w:r>
      <w:proofErr w:type="spellStart"/>
      <w:r>
        <w:t>klarer</w:t>
      </w:r>
      <w:proofErr w:type="spellEnd"/>
      <w:r>
        <w:t xml:space="preserve"> </w:t>
      </w:r>
      <w:proofErr w:type="spellStart"/>
      <w:r>
        <w:t>Begriff</w:t>
      </w:r>
      <w:proofErr w:type="spellEnd"/>
      <w:r>
        <w:t xml:space="preserve">. Der </w:t>
      </w:r>
      <w:proofErr w:type="spellStart"/>
      <w:r>
        <w:t>Begriff</w:t>
      </w:r>
      <w:proofErr w:type="spellEnd"/>
      <w:r>
        <w:t xml:space="preserve">, der </w:t>
      </w:r>
      <w:proofErr w:type="spellStart"/>
      <w:r>
        <w:t>durch</w:t>
      </w:r>
      <w:proofErr w:type="spellEnd"/>
      <w:r>
        <w:t xml:space="preserve"> </w:t>
      </w:r>
      <w:proofErr w:type="spellStart"/>
      <w:r>
        <w:t>ein</w:t>
      </w:r>
      <w:proofErr w:type="spellEnd"/>
      <w:r>
        <w:t xml:space="preserve"> </w:t>
      </w:r>
      <w:proofErr w:type="spellStart"/>
      <w:r>
        <w:t>Urteil</w:t>
      </w:r>
      <w:proofErr w:type="spellEnd"/>
      <w:r>
        <w:t xml:space="preserve"> </w:t>
      </w:r>
      <w:proofErr w:type="spellStart"/>
      <w:r>
        <w:t>klar</w:t>
      </w:r>
      <w:proofErr w:type="spellEnd"/>
      <w:r>
        <w:t xml:space="preserve"> </w:t>
      </w:r>
      <w:proofErr w:type="spellStart"/>
      <w:r>
        <w:t>wird</w:t>
      </w:r>
      <w:proofErr w:type="spellEnd"/>
      <w:r>
        <w:t xml:space="preserve">, </w:t>
      </w:r>
      <w:proofErr w:type="spellStart"/>
      <w:r>
        <w:t>heißt</w:t>
      </w:r>
      <w:proofErr w:type="spellEnd"/>
      <w:r>
        <w:t xml:space="preserve"> </w:t>
      </w:r>
      <w:proofErr w:type="spellStart"/>
      <w:r>
        <w:t>ein</w:t>
      </w:r>
      <w:proofErr w:type="spellEnd"/>
      <w:r>
        <w:t xml:space="preserve"> </w:t>
      </w:r>
      <w:proofErr w:type="spellStart"/>
      <w:r>
        <w:t>deutlicher</w:t>
      </w:r>
      <w:proofErr w:type="spellEnd"/>
      <w:r>
        <w:t xml:space="preserve"> </w:t>
      </w:r>
      <w:proofErr w:type="spellStart"/>
      <w:r>
        <w:t>Begriff</w:t>
      </w:r>
      <w:proofErr w:type="spellEnd"/>
      <w:r>
        <w:t xml:space="preserve">, und </w:t>
      </w:r>
      <w:proofErr w:type="spellStart"/>
      <w:r>
        <w:t>ein</w:t>
      </w:r>
      <w:proofErr w:type="spellEnd"/>
      <w:r>
        <w:t xml:space="preserve"> </w:t>
      </w:r>
      <w:proofErr w:type="spellStart"/>
      <w:r>
        <w:t>Begriff</w:t>
      </w:r>
      <w:proofErr w:type="spellEnd"/>
      <w:r>
        <w:t xml:space="preserve">, der </w:t>
      </w:r>
      <w:proofErr w:type="spellStart"/>
      <w:r>
        <w:t>durch</w:t>
      </w:r>
      <w:proofErr w:type="spellEnd"/>
      <w:r>
        <w:t xml:space="preserve"> </w:t>
      </w:r>
      <w:proofErr w:type="spellStart"/>
      <w:r>
        <w:t>einen</w:t>
      </w:r>
      <w:proofErr w:type="spellEnd"/>
      <w:r>
        <w:t xml:space="preserve"> </w:t>
      </w:r>
      <w:proofErr w:type="spellStart"/>
      <w:r>
        <w:t>Vernunftschluß</w:t>
      </w:r>
      <w:proofErr w:type="spellEnd"/>
      <w:r>
        <w:t xml:space="preserve"> </w:t>
      </w:r>
      <w:proofErr w:type="spellStart"/>
      <w:r>
        <w:t>deutlich</w:t>
      </w:r>
      <w:proofErr w:type="spellEnd"/>
      <w:r>
        <w:t xml:space="preserve"> </w:t>
      </w:r>
      <w:proofErr w:type="spellStart"/>
      <w:r>
        <w:t>wird</w:t>
      </w:r>
      <w:proofErr w:type="spellEnd"/>
      <w:r>
        <w:t xml:space="preserve">, </w:t>
      </w:r>
      <w:proofErr w:type="spellStart"/>
      <w:r>
        <w:t>heißt</w:t>
      </w:r>
      <w:proofErr w:type="spellEnd"/>
      <w:r>
        <w:t xml:space="preserve"> </w:t>
      </w:r>
      <w:proofErr w:type="spellStart"/>
      <w:r>
        <w:t>ein</w:t>
      </w:r>
      <w:proofErr w:type="spellEnd"/>
      <w:r>
        <w:t xml:space="preserve"> </w:t>
      </w:r>
      <w:proofErr w:type="spellStart"/>
      <w:r>
        <w:t>Vernunftbegriff</w:t>
      </w:r>
      <w:proofErr w:type="spellEnd"/>
      <w:r>
        <w:t xml:space="preserve"> (</w:t>
      </w:r>
      <w:proofErr w:type="spellStart"/>
      <w:r>
        <w:t>nach</w:t>
      </w:r>
      <w:proofErr w:type="spellEnd"/>
      <w:r>
        <w:t xml:space="preserve"> Wolff </w:t>
      </w:r>
      <w:proofErr w:type="spellStart"/>
      <w:r>
        <w:t>ein</w:t>
      </w:r>
      <w:proofErr w:type="spellEnd"/>
      <w:r>
        <w:t xml:space="preserve"> </w:t>
      </w:r>
      <w:proofErr w:type="spellStart"/>
      <w:r>
        <w:t>vollständiger</w:t>
      </w:r>
      <w:proofErr w:type="spellEnd"/>
      <w:r>
        <w:t xml:space="preserve">).” For more on this point, see the next section. </w:t>
      </w:r>
    </w:p>
  </w:footnote>
  <w:footnote w:id="44">
    <w:p w:rsidR="00F40380" w:rsidRPr="008119D2" w:rsidRDefault="00F40380" w:rsidP="008119D2">
      <w:pPr>
        <w:pStyle w:val="FootnoteText"/>
      </w:pPr>
      <w:r>
        <w:rPr>
          <w:rStyle w:val="FootnoteReference"/>
        </w:rPr>
        <w:footnoteRef/>
      </w:r>
      <w:r>
        <w:t xml:space="preserve"> See for instance </w:t>
      </w:r>
      <w:r w:rsidR="00282E6C">
        <w:t>V-</w:t>
      </w:r>
      <w:proofErr w:type="spellStart"/>
      <w:r w:rsidR="00282E6C">
        <w:t>Lo</w:t>
      </w:r>
      <w:r>
        <w:t>DW</w:t>
      </w:r>
      <w:proofErr w:type="spellEnd"/>
      <w:r>
        <w:t>: “</w:t>
      </w:r>
      <w:proofErr w:type="spellStart"/>
      <w:r w:rsidRPr="008119D2">
        <w:t>Klarer</w:t>
      </w:r>
      <w:proofErr w:type="spellEnd"/>
      <w:r w:rsidRPr="008119D2">
        <w:t xml:space="preserve"> </w:t>
      </w:r>
      <w:proofErr w:type="spellStart"/>
      <w:r w:rsidRPr="008119D2">
        <w:t>Begriff</w:t>
      </w:r>
      <w:proofErr w:type="spellEnd"/>
      <w:r w:rsidRPr="008119D2">
        <w:t xml:space="preserve">, </w:t>
      </w:r>
      <w:proofErr w:type="spellStart"/>
      <w:r w:rsidRPr="008119D2">
        <w:t>durch</w:t>
      </w:r>
      <w:proofErr w:type="spellEnd"/>
      <w:r w:rsidRPr="008119D2">
        <w:t xml:space="preserve"> </w:t>
      </w:r>
      <w:proofErr w:type="spellStart"/>
      <w:r w:rsidRPr="008119D2">
        <w:t>Bewußtsein</w:t>
      </w:r>
      <w:proofErr w:type="spellEnd"/>
      <w:r w:rsidRPr="008119D2">
        <w:t xml:space="preserve"> der </w:t>
      </w:r>
      <w:proofErr w:type="spellStart"/>
      <w:r w:rsidRPr="008119D2">
        <w:t>Allgemeinheit</w:t>
      </w:r>
      <w:proofErr w:type="spellEnd"/>
      <w:r w:rsidRPr="008119D2">
        <w:t xml:space="preserve">. 2. </w:t>
      </w:r>
      <w:proofErr w:type="spellStart"/>
      <w:r w:rsidRPr="008119D2">
        <w:t>deutlicher</w:t>
      </w:r>
      <w:proofErr w:type="spellEnd"/>
      <w:r w:rsidRPr="008119D2">
        <w:t xml:space="preserve"> </w:t>
      </w:r>
      <w:proofErr w:type="spellStart"/>
      <w:r w:rsidRPr="008119D2">
        <w:t>Begriff</w:t>
      </w:r>
      <w:proofErr w:type="spellEnd"/>
      <w:r w:rsidRPr="008119D2">
        <w:t xml:space="preserve">, </w:t>
      </w:r>
      <w:proofErr w:type="spellStart"/>
      <w:r w:rsidRPr="008119D2">
        <w:t>nicht</w:t>
      </w:r>
      <w:proofErr w:type="spellEnd"/>
      <w:r w:rsidRPr="008119D2">
        <w:t xml:space="preserve"> </w:t>
      </w:r>
      <w:proofErr w:type="spellStart"/>
      <w:r w:rsidRPr="008119D2">
        <w:t>bloß</w:t>
      </w:r>
      <w:proofErr w:type="spellEnd"/>
      <w:r w:rsidRPr="008119D2">
        <w:t xml:space="preserve"> </w:t>
      </w:r>
      <w:proofErr w:type="spellStart"/>
      <w:r w:rsidRPr="008119D2">
        <w:t>durch</w:t>
      </w:r>
      <w:proofErr w:type="spellEnd"/>
      <w:r w:rsidRPr="008119D2">
        <w:t xml:space="preserve"> </w:t>
      </w:r>
      <w:proofErr w:type="spellStart"/>
      <w:r w:rsidRPr="008119D2">
        <w:t>a</w:t>
      </w:r>
      <w:r>
        <w:t>pprehensio</w:t>
      </w:r>
      <w:proofErr w:type="spellEnd"/>
      <w:r>
        <w:t xml:space="preserve">, </w:t>
      </w:r>
      <w:proofErr w:type="spellStart"/>
      <w:r>
        <w:t>sondern</w:t>
      </w:r>
      <w:proofErr w:type="spellEnd"/>
      <w:r>
        <w:t xml:space="preserve"> – </w:t>
      </w:r>
      <w:proofErr w:type="spellStart"/>
      <w:r>
        <w:t>judicium</w:t>
      </w:r>
      <w:proofErr w:type="spellEnd"/>
      <w:r>
        <w:t>” (24:762-3).</w:t>
      </w:r>
    </w:p>
    <w:p w:rsidR="00F40380" w:rsidRPr="008119D2" w:rsidRDefault="00F40380" w:rsidP="008119D2">
      <w:pPr>
        <w:spacing w:after="0"/>
        <w:rPr>
          <w:sz w:val="20"/>
          <w:szCs w:val="20"/>
        </w:rPr>
      </w:pPr>
    </w:p>
    <w:p w:rsidR="00F40380" w:rsidRDefault="00F40380">
      <w:pPr>
        <w:pStyle w:val="FootnoteText"/>
      </w:pPr>
    </w:p>
  </w:footnote>
  <w:footnote w:id="45">
    <w:p w:rsidR="00F40380" w:rsidRPr="00FA5DFB" w:rsidRDefault="00F40380">
      <w:pPr>
        <w:pStyle w:val="FootnoteText"/>
      </w:pPr>
      <w:r>
        <w:rPr>
          <w:rStyle w:val="FootnoteReference"/>
        </w:rPr>
        <w:footnoteRef/>
      </w:r>
      <w:r>
        <w:t xml:space="preserve"> See Wolff’s presentation of related points in </w:t>
      </w:r>
      <w:r>
        <w:rPr>
          <w:i/>
        </w:rPr>
        <w:t>DL</w:t>
      </w:r>
      <w:r>
        <w:t xml:space="preserve"> c. 1, §13 and </w:t>
      </w:r>
      <w:r>
        <w:rPr>
          <w:i/>
        </w:rPr>
        <w:t>DM</w:t>
      </w:r>
      <w:r>
        <w:t xml:space="preserve"> §336.</w:t>
      </w:r>
    </w:p>
  </w:footnote>
  <w:footnote w:id="46">
    <w:p w:rsidR="00F40380" w:rsidRPr="00512E82" w:rsidRDefault="00F40380">
      <w:pPr>
        <w:pStyle w:val="FootnoteText"/>
      </w:pPr>
      <w:r>
        <w:rPr>
          <w:rStyle w:val="FootnoteReference"/>
        </w:rPr>
        <w:footnoteRef/>
      </w:r>
      <w:r>
        <w:t xml:space="preserve"> Within the secondary literature, Wolff’s discussion in </w:t>
      </w:r>
      <w:r>
        <w:rPr>
          <w:i/>
        </w:rPr>
        <w:t>LL</w:t>
      </w:r>
      <w:r>
        <w:t xml:space="preserve"> §55 </w:t>
      </w:r>
      <w:r w:rsidR="00B20DC3">
        <w:t xml:space="preserve">of the role of judging in concept formation only </w:t>
      </w:r>
      <w:r>
        <w:t xml:space="preserve">receives mention (as far as I am aware) in </w:t>
      </w:r>
      <w:proofErr w:type="spellStart"/>
      <w:r>
        <w:t>Risse’s</w:t>
      </w:r>
      <w:proofErr w:type="spellEnd"/>
      <w:r>
        <w:t xml:space="preserve"> </w:t>
      </w:r>
      <w:proofErr w:type="spellStart"/>
      <w:r>
        <w:rPr>
          <w:i/>
        </w:rPr>
        <w:t>Logik</w:t>
      </w:r>
      <w:proofErr w:type="spellEnd"/>
      <w:r>
        <w:rPr>
          <w:i/>
        </w:rPr>
        <w:t xml:space="preserve"> der </w:t>
      </w:r>
      <w:proofErr w:type="spellStart"/>
      <w:r>
        <w:rPr>
          <w:i/>
        </w:rPr>
        <w:t>Neuzeit</w:t>
      </w:r>
      <w:proofErr w:type="spellEnd"/>
      <w:r>
        <w:t>, 590n342.</w:t>
      </w:r>
    </w:p>
  </w:footnote>
  <w:footnote w:id="47">
    <w:p w:rsidR="00F40380" w:rsidRPr="00247C24" w:rsidRDefault="00F40380">
      <w:pPr>
        <w:pStyle w:val="FootnoteText"/>
      </w:pPr>
      <w:r>
        <w:rPr>
          <w:rStyle w:val="FootnoteReference"/>
        </w:rPr>
        <w:footnoteRef/>
      </w:r>
      <w:r>
        <w:t xml:space="preserve"> Cf. </w:t>
      </w:r>
      <w:r>
        <w:rPr>
          <w:i/>
        </w:rPr>
        <w:t>FS</w:t>
      </w:r>
      <w:r>
        <w:t xml:space="preserve"> 2:59: “The distinctness of a concept does not consist in the fact that that which is a characteristic mark of the thing is clearly represented, but rather in the fact that it is recognized as a characteristic mark of the thing.”</w:t>
      </w:r>
    </w:p>
  </w:footnote>
  <w:footnote w:id="48">
    <w:p w:rsidR="00F40380" w:rsidRDefault="00F40380" w:rsidP="00D14138">
      <w:pPr>
        <w:pStyle w:val="FootnoteText"/>
      </w:pPr>
      <w:r>
        <w:rPr>
          <w:rStyle w:val="FootnoteReference"/>
        </w:rPr>
        <w:footnoteRef/>
      </w:r>
      <w:r>
        <w:t xml:space="preserve"> Thus, in </w:t>
      </w:r>
      <w:r>
        <w:rPr>
          <w:i/>
        </w:rPr>
        <w:t xml:space="preserve">DL </w:t>
      </w:r>
      <w:r>
        <w:t xml:space="preserve">c. 1, §13 and </w:t>
      </w:r>
      <w:r>
        <w:rPr>
          <w:i/>
        </w:rPr>
        <w:t xml:space="preserve">DM </w:t>
      </w:r>
      <w:r>
        <w:t>§336, Wolff frames his accounts in terms of “</w:t>
      </w:r>
      <w:proofErr w:type="spellStart"/>
      <w:r>
        <w:rPr>
          <w:i/>
        </w:rPr>
        <w:t>deutlichen</w:t>
      </w:r>
      <w:proofErr w:type="spellEnd"/>
      <w:r>
        <w:rPr>
          <w:i/>
        </w:rPr>
        <w:t xml:space="preserve"> </w:t>
      </w:r>
      <w:proofErr w:type="spellStart"/>
      <w:r>
        <w:rPr>
          <w:i/>
        </w:rPr>
        <w:t>Begriffe</w:t>
      </w:r>
      <w:proofErr w:type="spellEnd"/>
      <w:r>
        <w:t>.”</w:t>
      </w:r>
    </w:p>
  </w:footnote>
  <w:footnote w:id="49">
    <w:p w:rsidR="00F40380" w:rsidRPr="00873957" w:rsidRDefault="00F40380" w:rsidP="00543D9C">
      <w:pPr>
        <w:pStyle w:val="FootnoteText"/>
      </w:pPr>
      <w:r>
        <w:rPr>
          <w:rStyle w:val="FootnoteReference"/>
        </w:rPr>
        <w:footnoteRef/>
      </w:r>
      <w:r>
        <w:t xml:space="preserve"> I take it that this earlier discussion is what Kant refers to in the “Concluding Section” when he writes “It is easy to show that an adequate concept is only possible by means of a syllogism; one needs only to look at the first numbered section of this treatise” (</w:t>
      </w:r>
      <w:r>
        <w:rPr>
          <w:i/>
        </w:rPr>
        <w:t>FS</w:t>
      </w:r>
      <w:r>
        <w:t xml:space="preserve"> 2:58).</w:t>
      </w:r>
    </w:p>
  </w:footnote>
  <w:footnote w:id="50">
    <w:p w:rsidR="00F40380" w:rsidRDefault="00F40380" w:rsidP="007B03B7">
      <w:pPr>
        <w:pStyle w:val="FootnoteText"/>
      </w:pPr>
      <w:r>
        <w:rPr>
          <w:rStyle w:val="FootnoteReference"/>
        </w:rPr>
        <w:footnoteRef/>
      </w:r>
      <w:r>
        <w:t xml:space="preserve"> </w:t>
      </w:r>
      <w:proofErr w:type="spellStart"/>
      <w:r w:rsidRPr="00C2474D">
        <w:t>Alle</w:t>
      </w:r>
      <w:proofErr w:type="spellEnd"/>
      <w:r w:rsidRPr="00C2474D">
        <w:t xml:space="preserve"> </w:t>
      </w:r>
      <w:proofErr w:type="spellStart"/>
      <w:r w:rsidRPr="00C2474D">
        <w:t>Verstandes</w:t>
      </w:r>
      <w:proofErr w:type="spellEnd"/>
      <w:r w:rsidRPr="00C2474D">
        <w:t xml:space="preserve"> </w:t>
      </w:r>
      <w:proofErr w:type="spellStart"/>
      <w:r w:rsidRPr="00C2474D">
        <w:t>Handlungen</w:t>
      </w:r>
      <w:proofErr w:type="spellEnd"/>
      <w:r w:rsidRPr="00C2474D">
        <w:t xml:space="preserve"> </w:t>
      </w:r>
      <w:proofErr w:type="spellStart"/>
      <w:r w:rsidRPr="00C2474D">
        <w:t>gehen</w:t>
      </w:r>
      <w:proofErr w:type="spellEnd"/>
      <w:r w:rsidRPr="00C2474D">
        <w:t xml:space="preserve"> auf </w:t>
      </w:r>
      <w:proofErr w:type="spellStart"/>
      <w:r w:rsidRPr="00C2474D">
        <w:t>Urtheile</w:t>
      </w:r>
      <w:proofErr w:type="spellEnd"/>
      <w:r w:rsidRPr="00C2474D">
        <w:t xml:space="preserve"> und </w:t>
      </w:r>
      <w:proofErr w:type="spellStart"/>
      <w:r w:rsidRPr="00C2474D">
        <w:t>jeder</w:t>
      </w:r>
      <w:proofErr w:type="spellEnd"/>
      <w:r w:rsidRPr="00C2474D">
        <w:t xml:space="preserve"> </w:t>
      </w:r>
      <w:proofErr w:type="spellStart"/>
      <w:r w:rsidRPr="00C2474D">
        <w:t>Gegenstand</w:t>
      </w:r>
      <w:proofErr w:type="spellEnd"/>
      <w:r w:rsidRPr="00C2474D">
        <w:t xml:space="preserve"> den </w:t>
      </w:r>
      <w:proofErr w:type="spellStart"/>
      <w:r w:rsidRPr="00C2474D">
        <w:t>wir</w:t>
      </w:r>
      <w:proofErr w:type="spellEnd"/>
      <w:r w:rsidRPr="00C2474D">
        <w:t xml:space="preserve"> </w:t>
      </w:r>
      <w:proofErr w:type="spellStart"/>
      <w:r w:rsidRPr="00C2474D">
        <w:t>erkennen</w:t>
      </w:r>
      <w:proofErr w:type="spellEnd"/>
      <w:r w:rsidRPr="00C2474D">
        <w:t xml:space="preserve">, </w:t>
      </w:r>
      <w:proofErr w:type="spellStart"/>
      <w:r w:rsidRPr="00C2474D">
        <w:t>jeder</w:t>
      </w:r>
      <w:proofErr w:type="spellEnd"/>
      <w:r w:rsidRPr="00C2474D">
        <w:t xml:space="preserve"> </w:t>
      </w:r>
      <w:proofErr w:type="spellStart"/>
      <w:r w:rsidRPr="00C2474D">
        <w:t>Begriff</w:t>
      </w:r>
      <w:proofErr w:type="spellEnd"/>
      <w:r w:rsidRPr="00C2474D">
        <w:t xml:space="preserve"> </w:t>
      </w:r>
      <w:proofErr w:type="spellStart"/>
      <w:r w:rsidRPr="00C2474D">
        <w:t>ist</w:t>
      </w:r>
      <w:proofErr w:type="spellEnd"/>
      <w:r w:rsidRPr="00C2474D">
        <w:t xml:space="preserve"> </w:t>
      </w:r>
      <w:proofErr w:type="spellStart"/>
      <w:r w:rsidRPr="00C2474D">
        <w:t>gleichsam</w:t>
      </w:r>
      <w:proofErr w:type="spellEnd"/>
      <w:r w:rsidRPr="00C2474D">
        <w:t xml:space="preserve"> </w:t>
      </w:r>
      <w:proofErr w:type="spellStart"/>
      <w:r w:rsidRPr="00C2474D">
        <w:t>ein</w:t>
      </w:r>
      <w:proofErr w:type="spellEnd"/>
      <w:r w:rsidRPr="00C2474D">
        <w:t xml:space="preserve"> </w:t>
      </w:r>
      <w:proofErr w:type="spellStart"/>
      <w:r w:rsidRPr="00C2474D">
        <w:t>Praedikat</w:t>
      </w:r>
      <w:proofErr w:type="spellEnd"/>
      <w:r w:rsidRPr="00C2474D">
        <w:t xml:space="preserve"> </w:t>
      </w:r>
      <w:proofErr w:type="spellStart"/>
      <w:r w:rsidRPr="00C2474D">
        <w:t>zu</w:t>
      </w:r>
      <w:proofErr w:type="spellEnd"/>
      <w:r w:rsidRPr="00C2474D">
        <w:t xml:space="preserve"> </w:t>
      </w:r>
      <w:proofErr w:type="spellStart"/>
      <w:r w:rsidRPr="00C2474D">
        <w:t>einem</w:t>
      </w:r>
      <w:proofErr w:type="spellEnd"/>
      <w:r w:rsidRPr="00C2474D">
        <w:t xml:space="preserve"> </w:t>
      </w:r>
      <w:proofErr w:type="spellStart"/>
      <w:r w:rsidRPr="00C2474D">
        <w:t>möglichen</w:t>
      </w:r>
      <w:proofErr w:type="spellEnd"/>
      <w:r w:rsidRPr="00C2474D">
        <w:t xml:space="preserve"> </w:t>
      </w:r>
      <w:proofErr w:type="spellStart"/>
      <w:r w:rsidRPr="00C2474D">
        <w:t>Urtheil</w:t>
      </w:r>
      <w:proofErr w:type="spellEnd"/>
      <w:r w:rsidRPr="00C2474D">
        <w:t xml:space="preserve">; so </w:t>
      </w:r>
      <w:proofErr w:type="spellStart"/>
      <w:r w:rsidRPr="00C2474D">
        <w:t>kann</w:t>
      </w:r>
      <w:proofErr w:type="spellEnd"/>
      <w:r w:rsidRPr="00C2474D">
        <w:t xml:space="preserve"> man den </w:t>
      </w:r>
      <w:proofErr w:type="spellStart"/>
      <w:r w:rsidRPr="00C2474D">
        <w:t>Verstand</w:t>
      </w:r>
      <w:proofErr w:type="spellEnd"/>
      <w:r w:rsidRPr="00C2474D">
        <w:t xml:space="preserve"> den man </w:t>
      </w:r>
      <w:proofErr w:type="spellStart"/>
      <w:r w:rsidRPr="00C2474D">
        <w:t>vorher</w:t>
      </w:r>
      <w:proofErr w:type="spellEnd"/>
      <w:r w:rsidRPr="00C2474D">
        <w:t xml:space="preserve"> </w:t>
      </w:r>
      <w:proofErr w:type="spellStart"/>
      <w:r w:rsidRPr="00C2474D">
        <w:t>als</w:t>
      </w:r>
      <w:proofErr w:type="spellEnd"/>
      <w:r w:rsidRPr="00C2474D">
        <w:t xml:space="preserve"> das </w:t>
      </w:r>
      <w:proofErr w:type="spellStart"/>
      <w:r w:rsidRPr="00C2474D">
        <w:t>Ver|mögen</w:t>
      </w:r>
      <w:proofErr w:type="spellEnd"/>
      <w:r w:rsidRPr="00C2474D">
        <w:t xml:space="preserve"> der </w:t>
      </w:r>
      <w:proofErr w:type="spellStart"/>
      <w:r w:rsidRPr="00C2474D">
        <w:t>Begriffe</w:t>
      </w:r>
      <w:proofErr w:type="spellEnd"/>
      <w:r w:rsidRPr="00C2474D">
        <w:t xml:space="preserve"> </w:t>
      </w:r>
      <w:proofErr w:type="spellStart"/>
      <w:r w:rsidRPr="00C2474D">
        <w:t>erklärt</w:t>
      </w:r>
      <w:proofErr w:type="spellEnd"/>
      <w:r w:rsidRPr="00C2474D">
        <w:t xml:space="preserve">, </w:t>
      </w:r>
      <w:proofErr w:type="spellStart"/>
      <w:r w:rsidRPr="00C2474D">
        <w:t>als</w:t>
      </w:r>
      <w:proofErr w:type="spellEnd"/>
      <w:r w:rsidRPr="00C2474D">
        <w:t xml:space="preserve"> das </w:t>
      </w:r>
      <w:proofErr w:type="spellStart"/>
      <w:r w:rsidRPr="00C2474D">
        <w:t>Vermögen</w:t>
      </w:r>
      <w:proofErr w:type="spellEnd"/>
      <w:r w:rsidRPr="00C2474D">
        <w:t xml:space="preserve"> der </w:t>
      </w:r>
      <w:proofErr w:type="spellStart"/>
      <w:r w:rsidRPr="00C2474D">
        <w:t>Urtheile</w:t>
      </w:r>
      <w:proofErr w:type="spellEnd"/>
      <w:r w:rsidRPr="00C2474D">
        <w:t xml:space="preserve">, </w:t>
      </w:r>
      <w:proofErr w:type="spellStart"/>
      <w:r w:rsidRPr="00C2474D">
        <w:t>oder</w:t>
      </w:r>
      <w:proofErr w:type="spellEnd"/>
      <w:r w:rsidRPr="00C2474D">
        <w:t xml:space="preserve"> </w:t>
      </w:r>
      <w:proofErr w:type="spellStart"/>
      <w:r w:rsidRPr="00C2474D">
        <w:t>Regeln</w:t>
      </w:r>
      <w:proofErr w:type="spellEnd"/>
      <w:r w:rsidRPr="00C2474D">
        <w:t xml:space="preserve"> </w:t>
      </w:r>
      <w:proofErr w:type="spellStart"/>
      <w:r w:rsidRPr="00C2474D">
        <w:t>erklären</w:t>
      </w:r>
      <w:proofErr w:type="spellEnd"/>
      <w:r w:rsidRPr="00C2474D">
        <w:t xml:space="preserve">: </w:t>
      </w:r>
      <w:proofErr w:type="spellStart"/>
      <w:r w:rsidRPr="00C2474D">
        <w:t>Denn</w:t>
      </w:r>
      <w:proofErr w:type="spellEnd"/>
      <w:r w:rsidRPr="00C2474D">
        <w:t xml:space="preserve"> der </w:t>
      </w:r>
      <w:proofErr w:type="spellStart"/>
      <w:r w:rsidRPr="00C2474D">
        <w:t>Verstand</w:t>
      </w:r>
      <w:proofErr w:type="spellEnd"/>
      <w:r w:rsidRPr="00C2474D">
        <w:t xml:space="preserve"> </w:t>
      </w:r>
      <w:proofErr w:type="spellStart"/>
      <w:r w:rsidRPr="00C2474D">
        <w:t>ist</w:t>
      </w:r>
      <w:proofErr w:type="spellEnd"/>
      <w:r w:rsidRPr="00C2474D">
        <w:t xml:space="preserve"> die </w:t>
      </w:r>
      <w:proofErr w:type="spellStart"/>
      <w:r w:rsidRPr="00C2474D">
        <w:t>Qvelle</w:t>
      </w:r>
      <w:proofErr w:type="spellEnd"/>
      <w:r w:rsidRPr="00C2474D">
        <w:t xml:space="preserve"> der </w:t>
      </w:r>
      <w:proofErr w:type="spellStart"/>
      <w:r w:rsidRPr="00C2474D">
        <w:t>Regeln</w:t>
      </w:r>
      <w:proofErr w:type="spellEnd"/>
      <w:r w:rsidRPr="00C2474D">
        <w:t xml:space="preserve">, </w:t>
      </w:r>
      <w:proofErr w:type="spellStart"/>
      <w:r w:rsidRPr="00C2474D">
        <w:t>weil</w:t>
      </w:r>
      <w:proofErr w:type="spellEnd"/>
      <w:r w:rsidRPr="00C2474D">
        <w:t xml:space="preserve"> </w:t>
      </w:r>
      <w:proofErr w:type="spellStart"/>
      <w:r w:rsidRPr="00C2474D">
        <w:t>jedes</w:t>
      </w:r>
      <w:proofErr w:type="spellEnd"/>
      <w:r w:rsidRPr="00C2474D">
        <w:t xml:space="preserve"> </w:t>
      </w:r>
      <w:proofErr w:type="spellStart"/>
      <w:r w:rsidRPr="00C2474D">
        <w:t>Urtheil</w:t>
      </w:r>
      <w:proofErr w:type="spellEnd"/>
      <w:r w:rsidRPr="00C2474D">
        <w:t xml:space="preserve"> </w:t>
      </w:r>
      <w:proofErr w:type="spellStart"/>
      <w:r w:rsidRPr="00C2474D">
        <w:t>eine</w:t>
      </w:r>
      <w:proofErr w:type="spellEnd"/>
      <w:r w:rsidRPr="00C2474D">
        <w:t xml:space="preserve"> Regel </w:t>
      </w:r>
      <w:proofErr w:type="spellStart"/>
      <w:r w:rsidRPr="00C2474D">
        <w:t>jede</w:t>
      </w:r>
      <w:proofErr w:type="spellEnd"/>
      <w:r w:rsidRPr="00C2474D">
        <w:t xml:space="preserve"> Regel </w:t>
      </w:r>
      <w:proofErr w:type="spellStart"/>
      <w:r w:rsidRPr="00C2474D">
        <w:t>ein</w:t>
      </w:r>
      <w:proofErr w:type="spellEnd"/>
      <w:r w:rsidRPr="00C2474D">
        <w:t xml:space="preserve"> </w:t>
      </w:r>
      <w:proofErr w:type="spellStart"/>
      <w:r w:rsidRPr="00C2474D">
        <w:t>Urtheil</w:t>
      </w:r>
      <w:proofErr w:type="spellEnd"/>
      <w:r w:rsidRPr="00C2474D">
        <w:t xml:space="preserve"> </w:t>
      </w:r>
      <w:proofErr w:type="spellStart"/>
      <w:r w:rsidRPr="00C2474D">
        <w:t>ist</w:t>
      </w:r>
      <w:proofErr w:type="spellEnd"/>
      <w:r w:rsidRPr="00C2474D">
        <w:t xml:space="preserve">; </w:t>
      </w:r>
      <w:proofErr w:type="spellStart"/>
      <w:r w:rsidRPr="00C2474D">
        <w:t>z.E</w:t>
      </w:r>
      <w:proofErr w:type="spellEnd"/>
      <w:r w:rsidRPr="00C2474D">
        <w:t xml:space="preserve">. </w:t>
      </w:r>
      <w:proofErr w:type="spellStart"/>
      <w:r w:rsidRPr="00C2474D">
        <w:t>Alle</w:t>
      </w:r>
      <w:proofErr w:type="spellEnd"/>
      <w:r w:rsidRPr="00C2474D">
        <w:t xml:space="preserve"> Menschen </w:t>
      </w:r>
      <w:proofErr w:type="spellStart"/>
      <w:r w:rsidRPr="00C2474D">
        <w:t>sind</w:t>
      </w:r>
      <w:proofErr w:type="spellEnd"/>
      <w:r w:rsidRPr="00C2474D">
        <w:t xml:space="preserve"> </w:t>
      </w:r>
      <w:proofErr w:type="spellStart"/>
      <w:r w:rsidRPr="00C2474D">
        <w:t>sterblich</w:t>
      </w:r>
      <w:proofErr w:type="spellEnd"/>
      <w:r w:rsidRPr="00C2474D">
        <w:t xml:space="preserve">. So bald </w:t>
      </w:r>
      <w:proofErr w:type="spellStart"/>
      <w:r w:rsidRPr="00C2474D">
        <w:t>ich</w:t>
      </w:r>
      <w:proofErr w:type="spellEnd"/>
      <w:r w:rsidRPr="00C2474D">
        <w:t xml:space="preserve"> also </w:t>
      </w:r>
      <w:proofErr w:type="spellStart"/>
      <w:r w:rsidRPr="00C2474D">
        <w:t>einen</w:t>
      </w:r>
      <w:proofErr w:type="spellEnd"/>
      <w:r w:rsidRPr="00C2474D">
        <w:t xml:space="preserve"> Menschen </w:t>
      </w:r>
      <w:proofErr w:type="spellStart"/>
      <w:r w:rsidRPr="00C2474D">
        <w:t>sehe</w:t>
      </w:r>
      <w:proofErr w:type="spellEnd"/>
      <w:r w:rsidRPr="00C2474D">
        <w:t xml:space="preserve">, so </w:t>
      </w:r>
      <w:proofErr w:type="spellStart"/>
      <w:r w:rsidRPr="00C2474D">
        <w:t>ist</w:t>
      </w:r>
      <w:proofErr w:type="spellEnd"/>
      <w:r w:rsidRPr="00C2474D">
        <w:t xml:space="preserve"> </w:t>
      </w:r>
      <w:proofErr w:type="spellStart"/>
      <w:r w:rsidRPr="00C2474D">
        <w:t>mir</w:t>
      </w:r>
      <w:proofErr w:type="spellEnd"/>
      <w:r w:rsidRPr="00C2474D">
        <w:t xml:space="preserve"> </w:t>
      </w:r>
      <w:proofErr w:type="spellStart"/>
      <w:r w:rsidRPr="00C2474D">
        <w:t>dieser</w:t>
      </w:r>
      <w:proofErr w:type="spellEnd"/>
      <w:r w:rsidRPr="00C2474D">
        <w:t xml:space="preserve"> </w:t>
      </w:r>
      <w:proofErr w:type="spellStart"/>
      <w:r w:rsidRPr="00C2474D">
        <w:t>Saz</w:t>
      </w:r>
      <w:proofErr w:type="spellEnd"/>
      <w:r w:rsidRPr="00C2474D">
        <w:t xml:space="preserve"> </w:t>
      </w:r>
      <w:proofErr w:type="spellStart"/>
      <w:r w:rsidRPr="00C2474D">
        <w:t>gleichsam</w:t>
      </w:r>
      <w:proofErr w:type="spellEnd"/>
      <w:r w:rsidRPr="00C2474D">
        <w:t xml:space="preserve"> </w:t>
      </w:r>
      <w:proofErr w:type="spellStart"/>
      <w:r w:rsidRPr="00C2474D">
        <w:t>eine</w:t>
      </w:r>
      <w:proofErr w:type="spellEnd"/>
      <w:r w:rsidRPr="00C2474D">
        <w:t xml:space="preserve"> Regel, </w:t>
      </w:r>
      <w:proofErr w:type="spellStart"/>
      <w:r w:rsidRPr="00C2474D">
        <w:t>auch</w:t>
      </w:r>
      <w:proofErr w:type="spellEnd"/>
      <w:r w:rsidRPr="00C2474D">
        <w:t xml:space="preserve"> </w:t>
      </w:r>
      <w:proofErr w:type="spellStart"/>
      <w:r w:rsidRPr="00C2474D">
        <w:t>dieser</w:t>
      </w:r>
      <w:proofErr w:type="spellEnd"/>
      <w:r w:rsidRPr="00C2474D">
        <w:t xml:space="preserve"> </w:t>
      </w:r>
      <w:proofErr w:type="spellStart"/>
      <w:r w:rsidRPr="00C2474D">
        <w:t>muß</w:t>
      </w:r>
      <w:proofErr w:type="spellEnd"/>
      <w:r w:rsidRPr="00C2474D">
        <w:t xml:space="preserve"> </w:t>
      </w:r>
      <w:proofErr w:type="spellStart"/>
      <w:r w:rsidRPr="00C2474D">
        <w:t>sterben</w:t>
      </w:r>
      <w:proofErr w:type="spellEnd"/>
      <w:r w:rsidRPr="00C2474D">
        <w:t xml:space="preserve">. </w:t>
      </w:r>
      <w:proofErr w:type="spellStart"/>
      <w:r w:rsidRPr="00C2474D">
        <w:t>Eben</w:t>
      </w:r>
      <w:proofErr w:type="spellEnd"/>
      <w:r w:rsidRPr="00C2474D">
        <w:t xml:space="preserve"> </w:t>
      </w:r>
      <w:proofErr w:type="spellStart"/>
      <w:r w:rsidRPr="00C2474D">
        <w:t>diese</w:t>
      </w:r>
      <w:proofErr w:type="spellEnd"/>
      <w:r w:rsidRPr="00C2474D">
        <w:t xml:space="preserve"> </w:t>
      </w:r>
      <w:proofErr w:type="spellStart"/>
      <w:r w:rsidRPr="00C2474D">
        <w:t>Definizion</w:t>
      </w:r>
      <w:proofErr w:type="spellEnd"/>
      <w:r w:rsidRPr="00C2474D">
        <w:t xml:space="preserve"> des </w:t>
      </w:r>
      <w:proofErr w:type="spellStart"/>
      <w:r w:rsidRPr="00C2474D">
        <w:t>Verstandes</w:t>
      </w:r>
      <w:proofErr w:type="spellEnd"/>
      <w:r w:rsidRPr="00C2474D">
        <w:t xml:space="preserve"> </w:t>
      </w:r>
      <w:proofErr w:type="spellStart"/>
      <w:r w:rsidRPr="00C2474D">
        <w:t>stimmt</w:t>
      </w:r>
      <w:proofErr w:type="spellEnd"/>
      <w:r w:rsidRPr="00C2474D">
        <w:t xml:space="preserve"> </w:t>
      </w:r>
      <w:proofErr w:type="spellStart"/>
      <w:r w:rsidRPr="00C2474D">
        <w:t>mit</w:t>
      </w:r>
      <w:proofErr w:type="spellEnd"/>
      <w:r w:rsidRPr="00C2474D">
        <w:t xml:space="preserve"> der </w:t>
      </w:r>
      <w:proofErr w:type="spellStart"/>
      <w:r w:rsidRPr="00C2474D">
        <w:t>Definizion</w:t>
      </w:r>
      <w:proofErr w:type="spellEnd"/>
      <w:r w:rsidRPr="00C2474D">
        <w:t xml:space="preserve">, die Wolff </w:t>
      </w:r>
      <w:proofErr w:type="spellStart"/>
      <w:r w:rsidRPr="00C2474D">
        <w:t>gegeben</w:t>
      </w:r>
      <w:proofErr w:type="spellEnd"/>
      <w:r w:rsidRPr="00C2474D">
        <w:t xml:space="preserve"> hat, </w:t>
      </w:r>
      <w:proofErr w:type="spellStart"/>
      <w:r w:rsidRPr="00C2474D">
        <w:t>überein</w:t>
      </w:r>
      <w:proofErr w:type="spellEnd"/>
      <w:r w:rsidRPr="00C2474D">
        <w:t xml:space="preserve">, </w:t>
      </w:r>
      <w:proofErr w:type="spellStart"/>
      <w:r w:rsidRPr="00C2474D">
        <w:t>daß</w:t>
      </w:r>
      <w:proofErr w:type="spellEnd"/>
      <w:r w:rsidRPr="00C2474D">
        <w:t xml:space="preserve"> </w:t>
      </w:r>
      <w:proofErr w:type="spellStart"/>
      <w:r w:rsidRPr="00C2474D">
        <w:t>nehmlich</w:t>
      </w:r>
      <w:proofErr w:type="spellEnd"/>
      <w:r w:rsidRPr="00C2474D">
        <w:t xml:space="preserve"> der </w:t>
      </w:r>
      <w:proofErr w:type="spellStart"/>
      <w:r w:rsidRPr="00C2474D">
        <w:t>Verstand</w:t>
      </w:r>
      <w:proofErr w:type="spellEnd"/>
      <w:r w:rsidRPr="00C2474D">
        <w:t xml:space="preserve">, das </w:t>
      </w:r>
      <w:proofErr w:type="spellStart"/>
      <w:r w:rsidRPr="00C2474D">
        <w:t>Vermögen</w:t>
      </w:r>
      <w:proofErr w:type="spellEnd"/>
      <w:r w:rsidRPr="00C2474D">
        <w:t xml:space="preserve"> der </w:t>
      </w:r>
      <w:proofErr w:type="spellStart"/>
      <w:r w:rsidRPr="00C2474D">
        <w:t>Deutlichen</w:t>
      </w:r>
      <w:proofErr w:type="spellEnd"/>
      <w:r w:rsidRPr="00C2474D">
        <w:t xml:space="preserve"> </w:t>
      </w:r>
      <w:proofErr w:type="spellStart"/>
      <w:r w:rsidRPr="00C2474D">
        <w:t>Vorstellungen</w:t>
      </w:r>
      <w:proofErr w:type="spellEnd"/>
      <w:r w:rsidRPr="00C2474D">
        <w:t xml:space="preserve">, </w:t>
      </w:r>
      <w:proofErr w:type="spellStart"/>
      <w:r w:rsidRPr="00C2474D">
        <w:t>sey</w:t>
      </w:r>
      <w:proofErr w:type="spellEnd"/>
      <w:r w:rsidRPr="00C2474D">
        <w:t xml:space="preserve">: </w:t>
      </w:r>
      <w:proofErr w:type="spellStart"/>
      <w:r w:rsidRPr="00C2474D">
        <w:t>Denn</w:t>
      </w:r>
      <w:proofErr w:type="spellEnd"/>
      <w:r w:rsidRPr="00C2474D">
        <w:t xml:space="preserve"> </w:t>
      </w:r>
      <w:proofErr w:type="spellStart"/>
      <w:r w:rsidRPr="00C2474D">
        <w:t>nur</w:t>
      </w:r>
      <w:proofErr w:type="spellEnd"/>
      <w:r w:rsidRPr="00C2474D">
        <w:t xml:space="preserve"> </w:t>
      </w:r>
      <w:proofErr w:type="spellStart"/>
      <w:r w:rsidRPr="00C2474D">
        <w:t>durch</w:t>
      </w:r>
      <w:proofErr w:type="spellEnd"/>
      <w:r w:rsidRPr="00C2474D">
        <w:t xml:space="preserve"> </w:t>
      </w:r>
      <w:proofErr w:type="spellStart"/>
      <w:r w:rsidRPr="00C2474D">
        <w:t>Urtheile</w:t>
      </w:r>
      <w:proofErr w:type="spellEnd"/>
      <w:r w:rsidRPr="00C2474D">
        <w:t xml:space="preserve"> </w:t>
      </w:r>
      <w:proofErr w:type="spellStart"/>
      <w:r w:rsidRPr="00C2474D">
        <w:t>entspringt</w:t>
      </w:r>
      <w:proofErr w:type="spellEnd"/>
      <w:r w:rsidRPr="00C2474D">
        <w:t xml:space="preserve"> die </w:t>
      </w:r>
      <w:proofErr w:type="spellStart"/>
      <w:r w:rsidRPr="00C2474D">
        <w:t>Logische</w:t>
      </w:r>
      <w:proofErr w:type="spellEnd"/>
      <w:r w:rsidRPr="00C2474D">
        <w:t xml:space="preserve"> </w:t>
      </w:r>
      <w:proofErr w:type="spellStart"/>
      <w:r w:rsidRPr="00C2474D">
        <w:t>Deutlichkeit</w:t>
      </w:r>
      <w:proofErr w:type="spellEnd"/>
      <w:r w:rsidRPr="00C2474D">
        <w:t xml:space="preserve"> der </w:t>
      </w:r>
      <w:proofErr w:type="spellStart"/>
      <w:r w:rsidRPr="00C2474D">
        <w:t>Vorstellungen</w:t>
      </w:r>
      <w:proofErr w:type="spellEnd"/>
      <w:r w:rsidRPr="00C2474D">
        <w:t xml:space="preserve">. </w:t>
      </w:r>
      <w:proofErr w:type="spellStart"/>
      <w:r w:rsidRPr="00C2474D">
        <w:t>Demnach</w:t>
      </w:r>
      <w:proofErr w:type="spellEnd"/>
      <w:r w:rsidRPr="00C2474D">
        <w:t xml:space="preserve"> </w:t>
      </w:r>
      <w:proofErr w:type="spellStart"/>
      <w:r w:rsidRPr="00C2474D">
        <w:t>sollte</w:t>
      </w:r>
      <w:proofErr w:type="spellEnd"/>
      <w:r w:rsidRPr="00C2474D">
        <w:t xml:space="preserve"> von den </w:t>
      </w:r>
      <w:proofErr w:type="spellStart"/>
      <w:r w:rsidRPr="00C2474D">
        <w:t>Deutlichen</w:t>
      </w:r>
      <w:proofErr w:type="spellEnd"/>
      <w:r w:rsidRPr="00C2474D">
        <w:t xml:space="preserve"> </w:t>
      </w:r>
      <w:proofErr w:type="spellStart"/>
      <w:r w:rsidRPr="00C2474D">
        <w:t>Vorstellungen</w:t>
      </w:r>
      <w:proofErr w:type="spellEnd"/>
      <w:r w:rsidRPr="00C2474D">
        <w:t xml:space="preserve"> </w:t>
      </w:r>
      <w:proofErr w:type="spellStart"/>
      <w:r w:rsidRPr="00C2474D">
        <w:t>bei</w:t>
      </w:r>
      <w:proofErr w:type="spellEnd"/>
      <w:r w:rsidRPr="00C2474D">
        <w:t xml:space="preserve"> den </w:t>
      </w:r>
      <w:proofErr w:type="spellStart"/>
      <w:r w:rsidRPr="00C2474D">
        <w:t>Urtheilen</w:t>
      </w:r>
      <w:proofErr w:type="spellEnd"/>
      <w:r w:rsidRPr="00C2474D">
        <w:t xml:space="preserve"> </w:t>
      </w:r>
      <w:proofErr w:type="spellStart"/>
      <w:r w:rsidRPr="00C2474D">
        <w:t>geredet</w:t>
      </w:r>
      <w:proofErr w:type="spellEnd"/>
      <w:r w:rsidRPr="00C2474D">
        <w:t xml:space="preserve"> </w:t>
      </w:r>
      <w:proofErr w:type="spellStart"/>
      <w:r w:rsidRPr="00C2474D">
        <w:t>werden</w:t>
      </w:r>
      <w:proofErr w:type="spellEnd"/>
      <w:r w:rsidRPr="00C2474D">
        <w:t xml:space="preserve"> </w:t>
      </w:r>
      <w:proofErr w:type="spellStart"/>
      <w:r w:rsidRPr="00C2474D">
        <w:t>weil</w:t>
      </w:r>
      <w:proofErr w:type="spellEnd"/>
      <w:r w:rsidRPr="00C2474D">
        <w:t xml:space="preserve"> </w:t>
      </w:r>
      <w:proofErr w:type="spellStart"/>
      <w:r w:rsidRPr="00C2474D">
        <w:t>ein</w:t>
      </w:r>
      <w:proofErr w:type="spellEnd"/>
      <w:r w:rsidRPr="00C2474D">
        <w:t xml:space="preserve"> </w:t>
      </w:r>
      <w:proofErr w:type="spellStart"/>
      <w:r w:rsidRPr="00C2474D">
        <w:t>Deutlicher</w:t>
      </w:r>
      <w:proofErr w:type="spellEnd"/>
      <w:r w:rsidRPr="00C2474D">
        <w:t xml:space="preserve"> </w:t>
      </w:r>
      <w:proofErr w:type="spellStart"/>
      <w:r w:rsidRPr="00C2474D">
        <w:t>Begriff</w:t>
      </w:r>
      <w:proofErr w:type="spellEnd"/>
      <w:r w:rsidRPr="00C2474D">
        <w:t xml:space="preserve"> </w:t>
      </w:r>
      <w:proofErr w:type="spellStart"/>
      <w:r w:rsidRPr="00C2474D">
        <w:t>ein</w:t>
      </w:r>
      <w:proofErr w:type="spellEnd"/>
      <w:r w:rsidRPr="00C2474D">
        <w:t xml:space="preserve"> </w:t>
      </w:r>
      <w:proofErr w:type="spellStart"/>
      <w:r w:rsidRPr="00C2474D">
        <w:t>Urtheil</w:t>
      </w:r>
      <w:proofErr w:type="spellEnd"/>
      <w:r w:rsidRPr="00C2474D">
        <w:t xml:space="preserve"> </w:t>
      </w:r>
      <w:proofErr w:type="spellStart"/>
      <w:r w:rsidRPr="00C2474D">
        <w:t>schon</w:t>
      </w:r>
      <w:proofErr w:type="spellEnd"/>
      <w:r w:rsidRPr="00C2474D">
        <w:t xml:space="preserve"> </w:t>
      </w:r>
      <w:proofErr w:type="spellStart"/>
      <w:r w:rsidRPr="00C2474D">
        <w:t>voraussezt</w:t>
      </w:r>
      <w:proofErr w:type="spellEnd"/>
      <w:r w:rsidRPr="00C2474D">
        <w:t xml:space="preserve">. </w:t>
      </w:r>
      <w:proofErr w:type="spellStart"/>
      <w:r w:rsidRPr="00C2474D">
        <w:t>Ein</w:t>
      </w:r>
      <w:proofErr w:type="spellEnd"/>
      <w:r w:rsidRPr="00C2474D">
        <w:t xml:space="preserve"> </w:t>
      </w:r>
      <w:proofErr w:type="spellStart"/>
      <w:r w:rsidRPr="00C2474D">
        <w:t>Deutlicher</w:t>
      </w:r>
      <w:proofErr w:type="spellEnd"/>
      <w:r w:rsidRPr="00C2474D">
        <w:t xml:space="preserve"> </w:t>
      </w:r>
      <w:proofErr w:type="spellStart"/>
      <w:r w:rsidRPr="00C2474D">
        <w:t>Begriff</w:t>
      </w:r>
      <w:proofErr w:type="spellEnd"/>
      <w:r w:rsidRPr="00C2474D">
        <w:t xml:space="preserve"> </w:t>
      </w:r>
      <w:proofErr w:type="spellStart"/>
      <w:r w:rsidRPr="00C2474D">
        <w:t>ist</w:t>
      </w:r>
      <w:proofErr w:type="spellEnd"/>
      <w:r w:rsidRPr="00C2474D">
        <w:t xml:space="preserve"> </w:t>
      </w:r>
      <w:proofErr w:type="spellStart"/>
      <w:r w:rsidRPr="00C2474D">
        <w:t>nehmlich</w:t>
      </w:r>
      <w:proofErr w:type="spellEnd"/>
      <w:r w:rsidRPr="00C2474D">
        <w:t xml:space="preserve"> </w:t>
      </w:r>
      <w:proofErr w:type="spellStart"/>
      <w:r w:rsidRPr="00C2474D">
        <w:t>möglich</w:t>
      </w:r>
      <w:proofErr w:type="spellEnd"/>
      <w:r w:rsidRPr="00C2474D">
        <w:t xml:space="preserve"> </w:t>
      </w:r>
      <w:proofErr w:type="spellStart"/>
      <w:r w:rsidRPr="00C2474D">
        <w:t>durch</w:t>
      </w:r>
      <w:proofErr w:type="spellEnd"/>
      <w:r w:rsidRPr="00C2474D">
        <w:t xml:space="preserve"> </w:t>
      </w:r>
      <w:proofErr w:type="spellStart"/>
      <w:r w:rsidRPr="00C2474D">
        <w:t>ein</w:t>
      </w:r>
      <w:proofErr w:type="spellEnd"/>
      <w:r w:rsidRPr="00C2474D">
        <w:t xml:space="preserve"> </w:t>
      </w:r>
      <w:proofErr w:type="spellStart"/>
      <w:r w:rsidRPr="00C2474D">
        <w:t>klares</w:t>
      </w:r>
      <w:proofErr w:type="spellEnd"/>
      <w:r w:rsidRPr="00C2474D">
        <w:t xml:space="preserve"> </w:t>
      </w:r>
      <w:proofErr w:type="spellStart"/>
      <w:r w:rsidRPr="00C2474D">
        <w:t>Merkmahl</w:t>
      </w:r>
      <w:proofErr w:type="spellEnd"/>
      <w:r w:rsidRPr="00C2474D">
        <w:t xml:space="preserve"> die </w:t>
      </w:r>
      <w:proofErr w:type="spellStart"/>
      <w:r w:rsidRPr="00C2474D">
        <w:t>Vorstellung</w:t>
      </w:r>
      <w:proofErr w:type="spellEnd"/>
      <w:r w:rsidRPr="00C2474D">
        <w:t xml:space="preserve"> </w:t>
      </w:r>
      <w:proofErr w:type="spellStart"/>
      <w:r w:rsidRPr="00C2474D">
        <w:t>aber</w:t>
      </w:r>
      <w:proofErr w:type="spellEnd"/>
      <w:r w:rsidRPr="00C2474D">
        <w:t xml:space="preserve"> </w:t>
      </w:r>
      <w:proofErr w:type="spellStart"/>
      <w:r w:rsidRPr="00C2474D">
        <w:t>ist</w:t>
      </w:r>
      <w:proofErr w:type="spellEnd"/>
      <w:r w:rsidRPr="00C2474D">
        <w:t xml:space="preserve"> </w:t>
      </w:r>
      <w:proofErr w:type="spellStart"/>
      <w:r w:rsidRPr="00C2474D">
        <w:t>eben</w:t>
      </w:r>
      <w:proofErr w:type="spellEnd"/>
      <w:r w:rsidRPr="00C2474D">
        <w:t xml:space="preserve"> so </w:t>
      </w:r>
      <w:proofErr w:type="spellStart"/>
      <w:r w:rsidRPr="00C2474D">
        <w:t>viel</w:t>
      </w:r>
      <w:proofErr w:type="spellEnd"/>
      <w:r w:rsidRPr="00C2474D">
        <w:t xml:space="preserve">, </w:t>
      </w:r>
      <w:proofErr w:type="spellStart"/>
      <w:r w:rsidRPr="00C2474D">
        <w:t>als</w:t>
      </w:r>
      <w:proofErr w:type="spellEnd"/>
      <w:r w:rsidRPr="00C2474D">
        <w:t xml:space="preserve"> </w:t>
      </w:r>
      <w:proofErr w:type="spellStart"/>
      <w:r w:rsidRPr="00C2474D">
        <w:t>ein</w:t>
      </w:r>
      <w:proofErr w:type="spellEnd"/>
      <w:r w:rsidRPr="00C2474D">
        <w:t xml:space="preserve"> </w:t>
      </w:r>
      <w:proofErr w:type="spellStart"/>
      <w:r w:rsidRPr="00C2474D">
        <w:t>Praedikat</w:t>
      </w:r>
      <w:proofErr w:type="spellEnd"/>
      <w:r w:rsidRPr="00C2474D">
        <w:t xml:space="preserve"> </w:t>
      </w:r>
      <w:proofErr w:type="spellStart"/>
      <w:r w:rsidRPr="00C2474D">
        <w:t>eines</w:t>
      </w:r>
      <w:proofErr w:type="spellEnd"/>
      <w:r w:rsidRPr="00C2474D">
        <w:t xml:space="preserve"> </w:t>
      </w:r>
      <w:proofErr w:type="spellStart"/>
      <w:r w:rsidRPr="00C2474D">
        <w:t>Urtheils</w:t>
      </w:r>
      <w:proofErr w:type="spellEnd"/>
      <w:r w:rsidRPr="00C2474D">
        <w:t xml:space="preserve">. Die </w:t>
      </w:r>
      <w:proofErr w:type="spellStart"/>
      <w:r w:rsidRPr="00C2474D">
        <w:t>Vorstellung</w:t>
      </w:r>
      <w:proofErr w:type="spellEnd"/>
      <w:r w:rsidRPr="00C2474D">
        <w:t xml:space="preserve"> des </w:t>
      </w:r>
      <w:proofErr w:type="spellStart"/>
      <w:r w:rsidRPr="00C2474D">
        <w:t>Gegenstandes</w:t>
      </w:r>
      <w:proofErr w:type="spellEnd"/>
      <w:r w:rsidRPr="00C2474D">
        <w:t xml:space="preserve"> </w:t>
      </w:r>
      <w:proofErr w:type="spellStart"/>
      <w:r w:rsidRPr="00C2474D">
        <w:t>selbst</w:t>
      </w:r>
      <w:proofErr w:type="spellEnd"/>
      <w:r w:rsidRPr="00C2474D">
        <w:t xml:space="preserve"> </w:t>
      </w:r>
      <w:proofErr w:type="spellStart"/>
      <w:r w:rsidRPr="00C2474D">
        <w:t>ist</w:t>
      </w:r>
      <w:proofErr w:type="spellEnd"/>
      <w:r w:rsidRPr="00C2474D">
        <w:t xml:space="preserve"> das </w:t>
      </w:r>
      <w:proofErr w:type="spellStart"/>
      <w:r w:rsidRPr="00C2474D">
        <w:t>Subiect</w:t>
      </w:r>
      <w:proofErr w:type="spellEnd"/>
      <w:r w:rsidRPr="00C2474D">
        <w:t xml:space="preserve">, </w:t>
      </w:r>
      <w:proofErr w:type="spellStart"/>
      <w:r w:rsidRPr="00C2474D">
        <w:t>mithin</w:t>
      </w:r>
      <w:proofErr w:type="spellEnd"/>
      <w:r w:rsidRPr="00C2474D">
        <w:t xml:space="preserve"> </w:t>
      </w:r>
      <w:proofErr w:type="spellStart"/>
      <w:r w:rsidRPr="00C2474D">
        <w:t>habe</w:t>
      </w:r>
      <w:proofErr w:type="spellEnd"/>
      <w:r w:rsidRPr="00C2474D">
        <w:t xml:space="preserve"> </w:t>
      </w:r>
      <w:proofErr w:type="spellStart"/>
      <w:r w:rsidRPr="00C2474D">
        <w:t>ich</w:t>
      </w:r>
      <w:proofErr w:type="spellEnd"/>
      <w:r w:rsidRPr="00C2474D">
        <w:t xml:space="preserve"> </w:t>
      </w:r>
      <w:proofErr w:type="spellStart"/>
      <w:r w:rsidRPr="00C2474D">
        <w:t>Materiam</w:t>
      </w:r>
      <w:proofErr w:type="spellEnd"/>
      <w:r w:rsidRPr="00C2474D">
        <w:t xml:space="preserve"> sc. </w:t>
      </w:r>
      <w:proofErr w:type="spellStart"/>
      <w:r w:rsidRPr="00C2474D">
        <w:t>dati</w:t>
      </w:r>
      <w:proofErr w:type="spellEnd"/>
      <w:r w:rsidRPr="00C2474D">
        <w:t xml:space="preserve"> </w:t>
      </w:r>
      <w:proofErr w:type="spellStart"/>
      <w:r w:rsidRPr="00C2474D">
        <w:t>iudicii</w:t>
      </w:r>
      <w:proofErr w:type="spellEnd"/>
      <w:r w:rsidRPr="00C2474D">
        <w:t xml:space="preserve">. Der </w:t>
      </w:r>
      <w:proofErr w:type="spellStart"/>
      <w:r w:rsidRPr="00C2474D">
        <w:t>Begriff</w:t>
      </w:r>
      <w:proofErr w:type="spellEnd"/>
      <w:r w:rsidRPr="00C2474D">
        <w:t xml:space="preserve"> </w:t>
      </w:r>
      <w:proofErr w:type="spellStart"/>
      <w:r w:rsidRPr="00C2474D">
        <w:t>ein</w:t>
      </w:r>
      <w:proofErr w:type="spellEnd"/>
      <w:r w:rsidRPr="00C2474D">
        <w:t xml:space="preserve"> Mensch </w:t>
      </w:r>
      <w:proofErr w:type="spellStart"/>
      <w:r w:rsidRPr="00C2474D">
        <w:t>ist</w:t>
      </w:r>
      <w:proofErr w:type="spellEnd"/>
      <w:r w:rsidRPr="00C2474D">
        <w:t xml:space="preserve"> </w:t>
      </w:r>
      <w:proofErr w:type="spellStart"/>
      <w:r w:rsidRPr="00C2474D">
        <w:t>klar</w:t>
      </w:r>
      <w:proofErr w:type="spellEnd"/>
      <w:r w:rsidRPr="00C2474D">
        <w:t xml:space="preserve">, </w:t>
      </w:r>
      <w:proofErr w:type="spellStart"/>
      <w:r w:rsidRPr="00C2474D">
        <w:t>ein</w:t>
      </w:r>
      <w:proofErr w:type="spellEnd"/>
      <w:r w:rsidRPr="00C2474D">
        <w:t xml:space="preserve"> </w:t>
      </w:r>
      <w:proofErr w:type="spellStart"/>
      <w:r w:rsidRPr="00C2474D">
        <w:t>vernünftiger</w:t>
      </w:r>
      <w:proofErr w:type="spellEnd"/>
      <w:r w:rsidRPr="00C2474D">
        <w:t xml:space="preserve"> Mensch, </w:t>
      </w:r>
      <w:proofErr w:type="spellStart"/>
      <w:r w:rsidRPr="00C2474D">
        <w:t>deutlich</w:t>
      </w:r>
      <w:proofErr w:type="spellEnd"/>
      <w:r w:rsidRPr="00C2474D">
        <w:t xml:space="preserve">: [115] </w:t>
      </w:r>
      <w:proofErr w:type="spellStart"/>
      <w:r w:rsidRPr="00C2474D">
        <w:t>Denn</w:t>
      </w:r>
      <w:proofErr w:type="spellEnd"/>
      <w:r w:rsidRPr="00C2474D">
        <w:t xml:space="preserve"> </w:t>
      </w:r>
      <w:proofErr w:type="spellStart"/>
      <w:r w:rsidRPr="00C2474D">
        <w:t>hier</w:t>
      </w:r>
      <w:proofErr w:type="spellEnd"/>
      <w:r w:rsidRPr="00C2474D">
        <w:t xml:space="preserve"> </w:t>
      </w:r>
      <w:proofErr w:type="spellStart"/>
      <w:r w:rsidRPr="00C2474D">
        <w:t>stelle</w:t>
      </w:r>
      <w:proofErr w:type="spellEnd"/>
      <w:r w:rsidRPr="00C2474D">
        <w:t xml:space="preserve"> </w:t>
      </w:r>
      <w:proofErr w:type="spellStart"/>
      <w:r w:rsidRPr="00C2474D">
        <w:t>ich</w:t>
      </w:r>
      <w:proofErr w:type="spellEnd"/>
      <w:r w:rsidRPr="00C2474D">
        <w:t xml:space="preserve"> </w:t>
      </w:r>
      <w:proofErr w:type="spellStart"/>
      <w:r w:rsidRPr="00C2474D">
        <w:t>mir</w:t>
      </w:r>
      <w:proofErr w:type="spellEnd"/>
      <w:r w:rsidRPr="00C2474D">
        <w:t xml:space="preserve"> den Menschen </w:t>
      </w:r>
      <w:proofErr w:type="spellStart"/>
      <w:r w:rsidRPr="00C2474D">
        <w:t>vermittelst</w:t>
      </w:r>
      <w:proofErr w:type="spellEnd"/>
      <w:r w:rsidRPr="00C2474D">
        <w:t xml:space="preserve"> des </w:t>
      </w:r>
      <w:proofErr w:type="spellStart"/>
      <w:r w:rsidRPr="00C2474D">
        <w:t>Praedikats</w:t>
      </w:r>
      <w:proofErr w:type="spellEnd"/>
      <w:r w:rsidRPr="00C2474D">
        <w:t xml:space="preserve"> </w:t>
      </w:r>
      <w:proofErr w:type="spellStart"/>
      <w:r w:rsidRPr="00C2474D">
        <w:t>Vernünftig</w:t>
      </w:r>
      <w:proofErr w:type="spellEnd"/>
      <w:r w:rsidRPr="00C2474D">
        <w:t xml:space="preserve"> </w:t>
      </w:r>
      <w:proofErr w:type="spellStart"/>
      <w:r w:rsidRPr="00C2474D">
        <w:t>vor</w:t>
      </w:r>
      <w:proofErr w:type="spellEnd"/>
      <w:r w:rsidRPr="00C2474D">
        <w:t xml:space="preserve">, und </w:t>
      </w:r>
      <w:proofErr w:type="spellStart"/>
      <w:r w:rsidRPr="00C2474D">
        <w:t>habe</w:t>
      </w:r>
      <w:proofErr w:type="spellEnd"/>
      <w:r w:rsidRPr="00C2474D">
        <w:t xml:space="preserve"> also </w:t>
      </w:r>
      <w:proofErr w:type="spellStart"/>
      <w:r w:rsidRPr="00C2474D">
        <w:t>ein</w:t>
      </w:r>
      <w:proofErr w:type="spellEnd"/>
      <w:r w:rsidRPr="00C2474D">
        <w:t xml:space="preserve"> </w:t>
      </w:r>
      <w:proofErr w:type="spellStart"/>
      <w:r w:rsidRPr="00C2474D">
        <w:t>Urtheil</w:t>
      </w:r>
      <w:proofErr w:type="spellEnd"/>
      <w:r w:rsidRPr="00C2474D">
        <w:t xml:space="preserve">. Die </w:t>
      </w:r>
      <w:proofErr w:type="spellStart"/>
      <w:r w:rsidRPr="00C2474D">
        <w:t>Deutlichkeit</w:t>
      </w:r>
      <w:proofErr w:type="spellEnd"/>
      <w:r w:rsidRPr="00C2474D">
        <w:t xml:space="preserve"> </w:t>
      </w:r>
      <w:proofErr w:type="spellStart"/>
      <w:r w:rsidRPr="00C2474D">
        <w:t>ist</w:t>
      </w:r>
      <w:proofErr w:type="spellEnd"/>
      <w:r w:rsidRPr="00C2474D">
        <w:t xml:space="preserve"> </w:t>
      </w:r>
      <w:proofErr w:type="spellStart"/>
      <w:r w:rsidRPr="00C2474D">
        <w:t>zwiefach</w:t>
      </w:r>
      <w:proofErr w:type="spellEnd"/>
      <w:r w:rsidRPr="00C2474D">
        <w:t>.</w:t>
      </w:r>
    </w:p>
  </w:footnote>
  <w:footnote w:id="51">
    <w:p w:rsidR="00F40380" w:rsidRDefault="00F40380" w:rsidP="000F2C0D">
      <w:pPr>
        <w:pStyle w:val="FootnoteText"/>
      </w:pPr>
      <w:r>
        <w:rPr>
          <w:rStyle w:val="FootnoteReference"/>
        </w:rPr>
        <w:footnoteRef/>
      </w:r>
      <w:r>
        <w:t xml:space="preserve"> </w:t>
      </w:r>
      <w:r w:rsidR="00B20DC3">
        <w:t xml:space="preserve">To my knowledge, none of Wolff’s disciples take up his account of the role of judging in the formation of universal concepts. So, it is not found in </w:t>
      </w:r>
      <w:proofErr w:type="spellStart"/>
      <w:r w:rsidR="00B20DC3">
        <w:t>Thümmig’s</w:t>
      </w:r>
      <w:proofErr w:type="spellEnd"/>
      <w:r w:rsidR="00B20DC3">
        <w:t xml:space="preserve"> presentation in the </w:t>
      </w:r>
      <w:proofErr w:type="spellStart"/>
      <w:r w:rsidR="00B20DC3">
        <w:rPr>
          <w:i/>
        </w:rPr>
        <w:t>Institutiones</w:t>
      </w:r>
      <w:proofErr w:type="spellEnd"/>
      <w:r w:rsidR="00B20DC3">
        <w:t xml:space="preserve"> (though this is not surprising since it predates the clearer formulation of this argument in </w:t>
      </w:r>
      <w:r w:rsidR="00B20DC3">
        <w:rPr>
          <w:i/>
        </w:rPr>
        <w:t>LL</w:t>
      </w:r>
      <w:r w:rsidR="00597749">
        <w:t xml:space="preserve">), nor is it to be found in the comparable discussions in </w:t>
      </w:r>
      <w:proofErr w:type="spellStart"/>
      <w:r w:rsidR="00597749">
        <w:t>Reusch</w:t>
      </w:r>
      <w:proofErr w:type="spellEnd"/>
      <w:r w:rsidR="00597749">
        <w:t xml:space="preserve"> (cf. </w:t>
      </w:r>
      <w:proofErr w:type="spellStart"/>
      <w:r w:rsidR="00597749">
        <w:rPr>
          <w:i/>
        </w:rPr>
        <w:t>Systema</w:t>
      </w:r>
      <w:proofErr w:type="spellEnd"/>
      <w:r w:rsidR="00597749">
        <w:rPr>
          <w:i/>
        </w:rPr>
        <w:t xml:space="preserve"> </w:t>
      </w:r>
      <w:proofErr w:type="spellStart"/>
      <w:r w:rsidR="00597749">
        <w:rPr>
          <w:i/>
        </w:rPr>
        <w:t>Logicum</w:t>
      </w:r>
      <w:proofErr w:type="spellEnd"/>
      <w:r w:rsidR="00597749">
        <w:t>, “</w:t>
      </w:r>
      <w:proofErr w:type="spellStart"/>
      <w:r w:rsidR="00597749">
        <w:t>Tractatio</w:t>
      </w:r>
      <w:proofErr w:type="spellEnd"/>
      <w:r w:rsidR="00597749">
        <w:t xml:space="preserve"> </w:t>
      </w:r>
      <w:proofErr w:type="spellStart"/>
      <w:r w:rsidR="00597749">
        <w:t>Propaedeumatica</w:t>
      </w:r>
      <w:proofErr w:type="spellEnd"/>
      <w:r w:rsidR="00597749">
        <w:t xml:space="preserve">,” §28ff; p. 17ff) or in </w:t>
      </w:r>
      <w:proofErr w:type="spellStart"/>
      <w:r w:rsidR="00597749">
        <w:t>Knutzen</w:t>
      </w:r>
      <w:proofErr w:type="spellEnd"/>
      <w:r w:rsidR="00597749">
        <w:t xml:space="preserve"> (cf. </w:t>
      </w:r>
      <w:r w:rsidR="00597749">
        <w:rPr>
          <w:i/>
        </w:rPr>
        <w:t>Elementa</w:t>
      </w:r>
      <w:r w:rsidR="00597749">
        <w:t xml:space="preserve"> §33ff).</w:t>
      </w:r>
    </w:p>
  </w:footnote>
  <w:footnote w:id="52">
    <w:p w:rsidR="00F40380" w:rsidRPr="00873957" w:rsidRDefault="00F40380">
      <w:pPr>
        <w:pStyle w:val="FootnoteText"/>
      </w:pPr>
      <w:r>
        <w:rPr>
          <w:rStyle w:val="FootnoteReference"/>
        </w:rPr>
        <w:footnoteRef/>
      </w:r>
      <w:r>
        <w:t xml:space="preserve"> Thus, Kant writes, “for the capacity which immediately recognizes something as a characteristic mark of a thing, and which represents another characteristic mark as contained in the first characteristic mark, and which thus thinks the thing by means of a remote characteristic mark, is in all these cases exactly the same” (</w:t>
      </w:r>
      <w:r>
        <w:rPr>
          <w:i/>
        </w:rPr>
        <w:t xml:space="preserve">FS </w:t>
      </w:r>
      <w:r>
        <w:t>2:59).</w:t>
      </w:r>
    </w:p>
  </w:footnote>
  <w:footnote w:id="53">
    <w:p w:rsidR="00F40380" w:rsidRPr="00953941" w:rsidRDefault="00F40380">
      <w:pPr>
        <w:pStyle w:val="FootnoteText"/>
      </w:pPr>
      <w:r>
        <w:rPr>
          <w:rStyle w:val="FootnoteReference"/>
        </w:rPr>
        <w:footnoteRef/>
      </w:r>
      <w:r>
        <w:t xml:space="preserve"> See </w:t>
      </w:r>
      <w:r w:rsidRPr="00386DE7">
        <w:rPr>
          <w:i/>
        </w:rPr>
        <w:t>DL</w:t>
      </w:r>
      <w:r>
        <w:t xml:space="preserve">, c. 5, §2 (where Wolff distinguishes the products of these activities in terms of </w:t>
      </w:r>
      <w:proofErr w:type="spellStart"/>
      <w:r>
        <w:rPr>
          <w:i/>
        </w:rPr>
        <w:t>Grund</w:t>
      </w:r>
      <w:proofErr w:type="spellEnd"/>
      <w:r>
        <w:rPr>
          <w:i/>
        </w:rPr>
        <w:t>-</w:t>
      </w:r>
      <w:r>
        <w:t xml:space="preserve"> and </w:t>
      </w:r>
      <w:proofErr w:type="spellStart"/>
      <w:r>
        <w:rPr>
          <w:i/>
        </w:rPr>
        <w:t>Nach-Urtheile</w:t>
      </w:r>
      <w:proofErr w:type="spellEnd"/>
      <w:r>
        <w:t xml:space="preserve">) and </w:t>
      </w:r>
      <w:r>
        <w:rPr>
          <w:i/>
        </w:rPr>
        <w:t>LL</w:t>
      </w:r>
      <w:r>
        <w:t xml:space="preserve"> §51 (where Wolff makes use of the distinction between </w:t>
      </w:r>
      <w:proofErr w:type="spellStart"/>
      <w:r>
        <w:rPr>
          <w:i/>
        </w:rPr>
        <w:t>judicia</w:t>
      </w:r>
      <w:proofErr w:type="spellEnd"/>
      <w:r>
        <w:rPr>
          <w:i/>
        </w:rPr>
        <w:t xml:space="preserve"> </w:t>
      </w:r>
      <w:proofErr w:type="spellStart"/>
      <w:r>
        <w:rPr>
          <w:i/>
        </w:rPr>
        <w:t>intuitiva</w:t>
      </w:r>
      <w:proofErr w:type="spellEnd"/>
      <w:r>
        <w:t xml:space="preserve"> and </w:t>
      </w:r>
      <w:proofErr w:type="spellStart"/>
      <w:r>
        <w:rPr>
          <w:i/>
        </w:rPr>
        <w:t>discursiva</w:t>
      </w:r>
      <w:proofErr w:type="spellEnd"/>
      <w:r>
        <w:t>, referenced above).</w:t>
      </w:r>
    </w:p>
  </w:footnote>
  <w:footnote w:id="54">
    <w:p w:rsidR="00F40380" w:rsidRPr="00597749" w:rsidRDefault="00F40380" w:rsidP="00951FDF">
      <w:pPr>
        <w:pStyle w:val="FootnoteText"/>
      </w:pPr>
      <w:r>
        <w:rPr>
          <w:rStyle w:val="FootnoteReference"/>
        </w:rPr>
        <w:footnoteRef/>
      </w:r>
      <w:r>
        <w:t xml:space="preserve"> </w:t>
      </w:r>
      <w:r w:rsidR="00597749">
        <w:t xml:space="preserve">Interestingly, Martin Lenz points out that </w:t>
      </w:r>
      <w:proofErr w:type="spellStart"/>
      <w:r w:rsidR="00597749">
        <w:t>Martinus</w:t>
      </w:r>
      <w:proofErr w:type="spellEnd"/>
      <w:r w:rsidR="00597749">
        <w:t xml:space="preserve"> </w:t>
      </w:r>
      <w:proofErr w:type="spellStart"/>
      <w:r w:rsidR="00597749">
        <w:t>Smiglecius</w:t>
      </w:r>
      <w:proofErr w:type="spellEnd"/>
      <w:r w:rsidR="00597749">
        <w:t xml:space="preserve"> suggests at one point that </w:t>
      </w:r>
      <w:r w:rsidR="00597749">
        <w:rPr>
          <w:i/>
        </w:rPr>
        <w:t xml:space="preserve">simplex </w:t>
      </w:r>
      <w:proofErr w:type="spellStart"/>
      <w:r w:rsidR="00597749">
        <w:rPr>
          <w:i/>
        </w:rPr>
        <w:t>apprehensio</w:t>
      </w:r>
      <w:proofErr w:type="spellEnd"/>
      <w:r w:rsidR="00597749">
        <w:rPr>
          <w:i/>
        </w:rPr>
        <w:t xml:space="preserve"> </w:t>
      </w:r>
      <w:r w:rsidR="00597749">
        <w:t xml:space="preserve">might involve judgment, see </w:t>
      </w:r>
      <w:proofErr w:type="spellStart"/>
      <w:r w:rsidR="00597749" w:rsidRPr="00597749">
        <w:t>Martinus</w:t>
      </w:r>
      <w:proofErr w:type="spellEnd"/>
      <w:r w:rsidR="00597749" w:rsidRPr="00597749">
        <w:t xml:space="preserve"> </w:t>
      </w:r>
      <w:proofErr w:type="spellStart"/>
      <w:r w:rsidR="00597749" w:rsidRPr="00597749">
        <w:t>Smiglecius</w:t>
      </w:r>
      <w:proofErr w:type="spellEnd"/>
      <w:r w:rsidR="00597749" w:rsidRPr="00597749">
        <w:t xml:space="preserve"> (</w:t>
      </w:r>
      <w:proofErr w:type="spellStart"/>
      <w:r w:rsidR="00597749" w:rsidRPr="00597749">
        <w:rPr>
          <w:i/>
          <w:iCs/>
        </w:rPr>
        <w:t>Logica</w:t>
      </w:r>
      <w:proofErr w:type="spellEnd"/>
      <w:r w:rsidR="00597749" w:rsidRPr="00597749">
        <w:t> disp. 3, q. 1, Oxford [1617], 100)</w:t>
      </w:r>
      <w:r w:rsidR="00597749">
        <w:t xml:space="preserve">. </w:t>
      </w:r>
    </w:p>
  </w:footnote>
  <w:footnote w:id="55">
    <w:p w:rsidR="00F40380" w:rsidRDefault="00F40380">
      <w:pPr>
        <w:pStyle w:val="FootnoteText"/>
      </w:pPr>
      <w:r>
        <w:rPr>
          <w:rStyle w:val="FootnoteReference"/>
        </w:rPr>
        <w:footnoteRef/>
      </w:r>
      <w:r>
        <w:t xml:space="preserve"> </w:t>
      </w:r>
      <w:r w:rsidR="00AA33CF">
        <w:t xml:space="preserve">For Locke’s awareness and (implicit) use of the classical tripartite distinction between the operations, see </w:t>
      </w:r>
      <w:proofErr w:type="spellStart"/>
      <w:r>
        <w:t>Buickerood</w:t>
      </w:r>
      <w:proofErr w:type="spellEnd"/>
      <w:r w:rsidR="00AA33CF">
        <w:t xml:space="preserve">, “Facultative Logics,” esp. 165-7; and Hill’s and </w:t>
      </w:r>
      <w:proofErr w:type="spellStart"/>
      <w:r w:rsidR="00AA33CF">
        <w:t>Lagerlund’s</w:t>
      </w:r>
      <w:proofErr w:type="spellEnd"/>
      <w:r w:rsidR="00AA33CF">
        <w:t xml:space="preserve"> Introduction to </w:t>
      </w:r>
      <w:r w:rsidR="00AA33CF">
        <w:rPr>
          <w:i/>
        </w:rPr>
        <w:t>The Philosophy of Francisco Suarez</w:t>
      </w:r>
      <w:r w:rsidR="00AA33CF">
        <w:t>, p.18-19.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634098"/>
      <w:docPartObj>
        <w:docPartGallery w:val="Page Numbers (Top of Page)"/>
        <w:docPartUnique/>
      </w:docPartObj>
    </w:sdtPr>
    <w:sdtEndPr>
      <w:rPr>
        <w:noProof/>
      </w:rPr>
    </w:sdtEndPr>
    <w:sdtContent>
      <w:p w:rsidR="00F40380" w:rsidRDefault="00F40380">
        <w:pPr>
          <w:pStyle w:val="Header"/>
          <w:jc w:val="right"/>
        </w:pPr>
        <w:r>
          <w:fldChar w:fldCharType="begin"/>
        </w:r>
        <w:r>
          <w:instrText xml:space="preserve"> PAGE   \* MERGEFORMAT </w:instrText>
        </w:r>
        <w:r>
          <w:fldChar w:fldCharType="separate"/>
        </w:r>
        <w:r w:rsidR="00F1172F">
          <w:rPr>
            <w:noProof/>
          </w:rPr>
          <w:t>21</w:t>
        </w:r>
        <w:r>
          <w:rPr>
            <w:noProof/>
          </w:rPr>
          <w:fldChar w:fldCharType="end"/>
        </w:r>
      </w:p>
    </w:sdtContent>
  </w:sdt>
  <w:p w:rsidR="00F40380" w:rsidRDefault="00F40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A2A45"/>
    <w:multiLevelType w:val="hybridMultilevel"/>
    <w:tmpl w:val="C36CB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D8"/>
    <w:rsid w:val="00016C47"/>
    <w:rsid w:val="00023752"/>
    <w:rsid w:val="00024055"/>
    <w:rsid w:val="0002754C"/>
    <w:rsid w:val="000316C9"/>
    <w:rsid w:val="000316E1"/>
    <w:rsid w:val="000359B2"/>
    <w:rsid w:val="00043E25"/>
    <w:rsid w:val="00044CD1"/>
    <w:rsid w:val="00047341"/>
    <w:rsid w:val="00061CAF"/>
    <w:rsid w:val="00063272"/>
    <w:rsid w:val="00065CF9"/>
    <w:rsid w:val="000678E8"/>
    <w:rsid w:val="000717F3"/>
    <w:rsid w:val="00073B28"/>
    <w:rsid w:val="00074F18"/>
    <w:rsid w:val="00074FE9"/>
    <w:rsid w:val="00076C4F"/>
    <w:rsid w:val="00082D9E"/>
    <w:rsid w:val="00086A6B"/>
    <w:rsid w:val="000A10BF"/>
    <w:rsid w:val="000B4B38"/>
    <w:rsid w:val="000C1349"/>
    <w:rsid w:val="000C1D8F"/>
    <w:rsid w:val="000C75F1"/>
    <w:rsid w:val="000D0558"/>
    <w:rsid w:val="000D633D"/>
    <w:rsid w:val="000D64CC"/>
    <w:rsid w:val="000E04C1"/>
    <w:rsid w:val="000F1BC8"/>
    <w:rsid w:val="000F2C0D"/>
    <w:rsid w:val="000F7584"/>
    <w:rsid w:val="000F7A42"/>
    <w:rsid w:val="0010231B"/>
    <w:rsid w:val="001061FA"/>
    <w:rsid w:val="001109BE"/>
    <w:rsid w:val="00110B42"/>
    <w:rsid w:val="001126EC"/>
    <w:rsid w:val="0012399F"/>
    <w:rsid w:val="00123F91"/>
    <w:rsid w:val="00126B68"/>
    <w:rsid w:val="001315FA"/>
    <w:rsid w:val="00131C56"/>
    <w:rsid w:val="00133FB7"/>
    <w:rsid w:val="00134E30"/>
    <w:rsid w:val="001356EC"/>
    <w:rsid w:val="001361BD"/>
    <w:rsid w:val="0013625D"/>
    <w:rsid w:val="001400FD"/>
    <w:rsid w:val="001415AE"/>
    <w:rsid w:val="00151638"/>
    <w:rsid w:val="00183073"/>
    <w:rsid w:val="00183217"/>
    <w:rsid w:val="00183275"/>
    <w:rsid w:val="001902B8"/>
    <w:rsid w:val="00190C39"/>
    <w:rsid w:val="00195518"/>
    <w:rsid w:val="001A21A4"/>
    <w:rsid w:val="001A33B6"/>
    <w:rsid w:val="001A5430"/>
    <w:rsid w:val="001A76F0"/>
    <w:rsid w:val="001B313E"/>
    <w:rsid w:val="001B3BC4"/>
    <w:rsid w:val="001B63A4"/>
    <w:rsid w:val="001C01D5"/>
    <w:rsid w:val="001D390D"/>
    <w:rsid w:val="001D5141"/>
    <w:rsid w:val="001D7647"/>
    <w:rsid w:val="001E4A3A"/>
    <w:rsid w:val="001E4DCD"/>
    <w:rsid w:val="001F1638"/>
    <w:rsid w:val="001F2527"/>
    <w:rsid w:val="001F6A64"/>
    <w:rsid w:val="00200AF5"/>
    <w:rsid w:val="002014AD"/>
    <w:rsid w:val="00203F7C"/>
    <w:rsid w:val="002044BA"/>
    <w:rsid w:val="00214C55"/>
    <w:rsid w:val="00224D16"/>
    <w:rsid w:val="00236E62"/>
    <w:rsid w:val="00240D77"/>
    <w:rsid w:val="00241D6C"/>
    <w:rsid w:val="00245978"/>
    <w:rsid w:val="00247C24"/>
    <w:rsid w:val="00250379"/>
    <w:rsid w:val="00255871"/>
    <w:rsid w:val="00255E00"/>
    <w:rsid w:val="0027178B"/>
    <w:rsid w:val="002732A6"/>
    <w:rsid w:val="00275979"/>
    <w:rsid w:val="00276DFF"/>
    <w:rsid w:val="0027796A"/>
    <w:rsid w:val="00282E6C"/>
    <w:rsid w:val="002915D9"/>
    <w:rsid w:val="00293AB7"/>
    <w:rsid w:val="00293D3A"/>
    <w:rsid w:val="00297097"/>
    <w:rsid w:val="00297192"/>
    <w:rsid w:val="002A7A81"/>
    <w:rsid w:val="002D072B"/>
    <w:rsid w:val="002D1517"/>
    <w:rsid w:val="002D57FB"/>
    <w:rsid w:val="002E215C"/>
    <w:rsid w:val="002F220D"/>
    <w:rsid w:val="002F24EF"/>
    <w:rsid w:val="003204D5"/>
    <w:rsid w:val="00320FDD"/>
    <w:rsid w:val="003262C4"/>
    <w:rsid w:val="003315E2"/>
    <w:rsid w:val="003342C6"/>
    <w:rsid w:val="00334FBE"/>
    <w:rsid w:val="003364F6"/>
    <w:rsid w:val="003455AD"/>
    <w:rsid w:val="00346EC1"/>
    <w:rsid w:val="003511DB"/>
    <w:rsid w:val="00351798"/>
    <w:rsid w:val="00354F30"/>
    <w:rsid w:val="0035562C"/>
    <w:rsid w:val="00356442"/>
    <w:rsid w:val="00367CF0"/>
    <w:rsid w:val="003721C6"/>
    <w:rsid w:val="003904AA"/>
    <w:rsid w:val="003911E1"/>
    <w:rsid w:val="003918B5"/>
    <w:rsid w:val="00391FDA"/>
    <w:rsid w:val="00392398"/>
    <w:rsid w:val="003A17EF"/>
    <w:rsid w:val="003A2016"/>
    <w:rsid w:val="003A2E7C"/>
    <w:rsid w:val="003A5390"/>
    <w:rsid w:val="003A58DC"/>
    <w:rsid w:val="003A5F90"/>
    <w:rsid w:val="003B03FC"/>
    <w:rsid w:val="003B48D1"/>
    <w:rsid w:val="003B4C2B"/>
    <w:rsid w:val="003C006B"/>
    <w:rsid w:val="003C0EF9"/>
    <w:rsid w:val="003C3390"/>
    <w:rsid w:val="003C5055"/>
    <w:rsid w:val="003D0D44"/>
    <w:rsid w:val="003D340A"/>
    <w:rsid w:val="003D5356"/>
    <w:rsid w:val="003E0C6A"/>
    <w:rsid w:val="003E1F22"/>
    <w:rsid w:val="003E2C85"/>
    <w:rsid w:val="003E2CEA"/>
    <w:rsid w:val="003E4E94"/>
    <w:rsid w:val="003E6979"/>
    <w:rsid w:val="003F6D4C"/>
    <w:rsid w:val="00402EAA"/>
    <w:rsid w:val="00414C3B"/>
    <w:rsid w:val="004171AF"/>
    <w:rsid w:val="00420C26"/>
    <w:rsid w:val="00424EBC"/>
    <w:rsid w:val="00426F5F"/>
    <w:rsid w:val="00431C04"/>
    <w:rsid w:val="00436CA0"/>
    <w:rsid w:val="00437410"/>
    <w:rsid w:val="00445662"/>
    <w:rsid w:val="00452044"/>
    <w:rsid w:val="00454278"/>
    <w:rsid w:val="00466F2C"/>
    <w:rsid w:val="00476348"/>
    <w:rsid w:val="00477D41"/>
    <w:rsid w:val="00490491"/>
    <w:rsid w:val="004904DF"/>
    <w:rsid w:val="00492841"/>
    <w:rsid w:val="00495C62"/>
    <w:rsid w:val="0049754A"/>
    <w:rsid w:val="004A0101"/>
    <w:rsid w:val="004A0BAB"/>
    <w:rsid w:val="004A0F82"/>
    <w:rsid w:val="004A3F33"/>
    <w:rsid w:val="004B156C"/>
    <w:rsid w:val="004B34DA"/>
    <w:rsid w:val="004D3C9E"/>
    <w:rsid w:val="004D488A"/>
    <w:rsid w:val="004D4A3C"/>
    <w:rsid w:val="004D72BA"/>
    <w:rsid w:val="004E747C"/>
    <w:rsid w:val="004F04A5"/>
    <w:rsid w:val="004F6DAC"/>
    <w:rsid w:val="005027D6"/>
    <w:rsid w:val="00505654"/>
    <w:rsid w:val="005076FF"/>
    <w:rsid w:val="00507EDC"/>
    <w:rsid w:val="00511C38"/>
    <w:rsid w:val="00512E82"/>
    <w:rsid w:val="00513B7B"/>
    <w:rsid w:val="00515DB4"/>
    <w:rsid w:val="00517D3C"/>
    <w:rsid w:val="0052236C"/>
    <w:rsid w:val="00522861"/>
    <w:rsid w:val="005337F3"/>
    <w:rsid w:val="00536F07"/>
    <w:rsid w:val="00543D9C"/>
    <w:rsid w:val="005469B2"/>
    <w:rsid w:val="00561077"/>
    <w:rsid w:val="00561BCF"/>
    <w:rsid w:val="0056401F"/>
    <w:rsid w:val="00572FB6"/>
    <w:rsid w:val="005776CB"/>
    <w:rsid w:val="005825D2"/>
    <w:rsid w:val="00584D89"/>
    <w:rsid w:val="0058607E"/>
    <w:rsid w:val="00591CE8"/>
    <w:rsid w:val="0059506F"/>
    <w:rsid w:val="00595F50"/>
    <w:rsid w:val="00597749"/>
    <w:rsid w:val="005A5B79"/>
    <w:rsid w:val="005A5C49"/>
    <w:rsid w:val="005B00A5"/>
    <w:rsid w:val="005B1B64"/>
    <w:rsid w:val="005B29EA"/>
    <w:rsid w:val="005B479B"/>
    <w:rsid w:val="005B703C"/>
    <w:rsid w:val="005C6EC9"/>
    <w:rsid w:val="005D5BDC"/>
    <w:rsid w:val="005E2352"/>
    <w:rsid w:val="005F72BD"/>
    <w:rsid w:val="00600850"/>
    <w:rsid w:val="00605D92"/>
    <w:rsid w:val="0061018F"/>
    <w:rsid w:val="006148F0"/>
    <w:rsid w:val="006171F0"/>
    <w:rsid w:val="0063239C"/>
    <w:rsid w:val="00635980"/>
    <w:rsid w:val="00644B50"/>
    <w:rsid w:val="00656F89"/>
    <w:rsid w:val="00657A68"/>
    <w:rsid w:val="006669F7"/>
    <w:rsid w:val="0066779C"/>
    <w:rsid w:val="00671300"/>
    <w:rsid w:val="00674EC6"/>
    <w:rsid w:val="006824FC"/>
    <w:rsid w:val="00684E61"/>
    <w:rsid w:val="0068630F"/>
    <w:rsid w:val="00687848"/>
    <w:rsid w:val="00691139"/>
    <w:rsid w:val="00692160"/>
    <w:rsid w:val="006950E1"/>
    <w:rsid w:val="006A0FB5"/>
    <w:rsid w:val="006A17F4"/>
    <w:rsid w:val="006B5DAB"/>
    <w:rsid w:val="006E16F9"/>
    <w:rsid w:val="006E50C8"/>
    <w:rsid w:val="007061B3"/>
    <w:rsid w:val="00706767"/>
    <w:rsid w:val="00706F0C"/>
    <w:rsid w:val="00707EB9"/>
    <w:rsid w:val="007111BC"/>
    <w:rsid w:val="007137F7"/>
    <w:rsid w:val="00717085"/>
    <w:rsid w:val="00724DB9"/>
    <w:rsid w:val="00727DA5"/>
    <w:rsid w:val="00732A3F"/>
    <w:rsid w:val="00735AF0"/>
    <w:rsid w:val="0073640F"/>
    <w:rsid w:val="00742A31"/>
    <w:rsid w:val="00742C45"/>
    <w:rsid w:val="00746D96"/>
    <w:rsid w:val="00750D03"/>
    <w:rsid w:val="00760F9F"/>
    <w:rsid w:val="007615A8"/>
    <w:rsid w:val="007645AB"/>
    <w:rsid w:val="00772219"/>
    <w:rsid w:val="00774F6C"/>
    <w:rsid w:val="00775493"/>
    <w:rsid w:val="00780054"/>
    <w:rsid w:val="0078198B"/>
    <w:rsid w:val="00782BD6"/>
    <w:rsid w:val="00783A5E"/>
    <w:rsid w:val="00790DB5"/>
    <w:rsid w:val="0079208C"/>
    <w:rsid w:val="007A1FEA"/>
    <w:rsid w:val="007A48AE"/>
    <w:rsid w:val="007B03B7"/>
    <w:rsid w:val="007B07EF"/>
    <w:rsid w:val="007B4D44"/>
    <w:rsid w:val="007B60BA"/>
    <w:rsid w:val="007C1560"/>
    <w:rsid w:val="007C2917"/>
    <w:rsid w:val="007C3DB5"/>
    <w:rsid w:val="007C5B0B"/>
    <w:rsid w:val="007D4EAC"/>
    <w:rsid w:val="007E2332"/>
    <w:rsid w:val="007E3660"/>
    <w:rsid w:val="007E5073"/>
    <w:rsid w:val="007E5E59"/>
    <w:rsid w:val="007F0544"/>
    <w:rsid w:val="007F12D9"/>
    <w:rsid w:val="00801614"/>
    <w:rsid w:val="0080353F"/>
    <w:rsid w:val="008056C4"/>
    <w:rsid w:val="0080703C"/>
    <w:rsid w:val="00810292"/>
    <w:rsid w:val="008119D2"/>
    <w:rsid w:val="00816C85"/>
    <w:rsid w:val="00824690"/>
    <w:rsid w:val="00832809"/>
    <w:rsid w:val="0083576D"/>
    <w:rsid w:val="00842B96"/>
    <w:rsid w:val="00844661"/>
    <w:rsid w:val="008457B9"/>
    <w:rsid w:val="0084728A"/>
    <w:rsid w:val="008626C1"/>
    <w:rsid w:val="00873957"/>
    <w:rsid w:val="0089439F"/>
    <w:rsid w:val="00895424"/>
    <w:rsid w:val="00896A19"/>
    <w:rsid w:val="008A4572"/>
    <w:rsid w:val="008A4C59"/>
    <w:rsid w:val="008B7A50"/>
    <w:rsid w:val="008B7C0D"/>
    <w:rsid w:val="008C1455"/>
    <w:rsid w:val="008C2989"/>
    <w:rsid w:val="008D4F3D"/>
    <w:rsid w:val="008E0BB9"/>
    <w:rsid w:val="008E2717"/>
    <w:rsid w:val="008E371E"/>
    <w:rsid w:val="008F1B72"/>
    <w:rsid w:val="008F2DA9"/>
    <w:rsid w:val="008F3956"/>
    <w:rsid w:val="00904323"/>
    <w:rsid w:val="00904EDD"/>
    <w:rsid w:val="00906897"/>
    <w:rsid w:val="00907BE9"/>
    <w:rsid w:val="009108B7"/>
    <w:rsid w:val="00914BC7"/>
    <w:rsid w:val="00916701"/>
    <w:rsid w:val="00921DCA"/>
    <w:rsid w:val="00921F24"/>
    <w:rsid w:val="0092769F"/>
    <w:rsid w:val="00927A30"/>
    <w:rsid w:val="00934D3F"/>
    <w:rsid w:val="0095023F"/>
    <w:rsid w:val="00951FDF"/>
    <w:rsid w:val="00953941"/>
    <w:rsid w:val="009545AC"/>
    <w:rsid w:val="009610E1"/>
    <w:rsid w:val="00962541"/>
    <w:rsid w:val="0096638C"/>
    <w:rsid w:val="00972D9F"/>
    <w:rsid w:val="0097726B"/>
    <w:rsid w:val="00977A97"/>
    <w:rsid w:val="00980D02"/>
    <w:rsid w:val="00984DC4"/>
    <w:rsid w:val="00985744"/>
    <w:rsid w:val="00985878"/>
    <w:rsid w:val="009A253A"/>
    <w:rsid w:val="009A497C"/>
    <w:rsid w:val="009B504D"/>
    <w:rsid w:val="009B5DD5"/>
    <w:rsid w:val="009C0A4A"/>
    <w:rsid w:val="009C18FE"/>
    <w:rsid w:val="009C450A"/>
    <w:rsid w:val="009D1C59"/>
    <w:rsid w:val="009D2741"/>
    <w:rsid w:val="009D5501"/>
    <w:rsid w:val="009D5529"/>
    <w:rsid w:val="009F2D9D"/>
    <w:rsid w:val="009F4995"/>
    <w:rsid w:val="009F6D8D"/>
    <w:rsid w:val="009F6F3F"/>
    <w:rsid w:val="00A04E40"/>
    <w:rsid w:val="00A05EC0"/>
    <w:rsid w:val="00A108CE"/>
    <w:rsid w:val="00A10EFC"/>
    <w:rsid w:val="00A11DFF"/>
    <w:rsid w:val="00A22732"/>
    <w:rsid w:val="00A3313A"/>
    <w:rsid w:val="00A37868"/>
    <w:rsid w:val="00A4085E"/>
    <w:rsid w:val="00A4586B"/>
    <w:rsid w:val="00A53CF0"/>
    <w:rsid w:val="00A56EEB"/>
    <w:rsid w:val="00A64156"/>
    <w:rsid w:val="00A703E3"/>
    <w:rsid w:val="00A71758"/>
    <w:rsid w:val="00A778A2"/>
    <w:rsid w:val="00A856AF"/>
    <w:rsid w:val="00A85B90"/>
    <w:rsid w:val="00A94D4C"/>
    <w:rsid w:val="00A95453"/>
    <w:rsid w:val="00A97B05"/>
    <w:rsid w:val="00AA1BA0"/>
    <w:rsid w:val="00AA33CF"/>
    <w:rsid w:val="00AA6D24"/>
    <w:rsid w:val="00AC428C"/>
    <w:rsid w:val="00AD06C7"/>
    <w:rsid w:val="00AD3A52"/>
    <w:rsid w:val="00AD627F"/>
    <w:rsid w:val="00AE15B0"/>
    <w:rsid w:val="00AE2424"/>
    <w:rsid w:val="00AF719E"/>
    <w:rsid w:val="00B01F98"/>
    <w:rsid w:val="00B14416"/>
    <w:rsid w:val="00B20DC3"/>
    <w:rsid w:val="00B444E0"/>
    <w:rsid w:val="00B4461A"/>
    <w:rsid w:val="00B55134"/>
    <w:rsid w:val="00B63A38"/>
    <w:rsid w:val="00B65DFC"/>
    <w:rsid w:val="00B66042"/>
    <w:rsid w:val="00B70E6B"/>
    <w:rsid w:val="00B71177"/>
    <w:rsid w:val="00B73112"/>
    <w:rsid w:val="00B77B50"/>
    <w:rsid w:val="00B824E3"/>
    <w:rsid w:val="00B9060D"/>
    <w:rsid w:val="00B90EC9"/>
    <w:rsid w:val="00B936C0"/>
    <w:rsid w:val="00B956A0"/>
    <w:rsid w:val="00B962E3"/>
    <w:rsid w:val="00BA3254"/>
    <w:rsid w:val="00BA5F67"/>
    <w:rsid w:val="00BA65EC"/>
    <w:rsid w:val="00BA707F"/>
    <w:rsid w:val="00BB1F19"/>
    <w:rsid w:val="00BB47E0"/>
    <w:rsid w:val="00BB57A0"/>
    <w:rsid w:val="00BB62F0"/>
    <w:rsid w:val="00BC2EB1"/>
    <w:rsid w:val="00BC5ECD"/>
    <w:rsid w:val="00BC6193"/>
    <w:rsid w:val="00BE3F2A"/>
    <w:rsid w:val="00BE67D8"/>
    <w:rsid w:val="00BE789B"/>
    <w:rsid w:val="00C039CA"/>
    <w:rsid w:val="00C1057C"/>
    <w:rsid w:val="00C1094A"/>
    <w:rsid w:val="00C10B1F"/>
    <w:rsid w:val="00C11522"/>
    <w:rsid w:val="00C2335C"/>
    <w:rsid w:val="00C2474D"/>
    <w:rsid w:val="00C2647A"/>
    <w:rsid w:val="00C26D8E"/>
    <w:rsid w:val="00C3082C"/>
    <w:rsid w:val="00C33093"/>
    <w:rsid w:val="00C36D99"/>
    <w:rsid w:val="00C41F30"/>
    <w:rsid w:val="00C4304B"/>
    <w:rsid w:val="00C56E2C"/>
    <w:rsid w:val="00C626FE"/>
    <w:rsid w:val="00C7424A"/>
    <w:rsid w:val="00C75B84"/>
    <w:rsid w:val="00C801FA"/>
    <w:rsid w:val="00C953B1"/>
    <w:rsid w:val="00CA4FA0"/>
    <w:rsid w:val="00CB2155"/>
    <w:rsid w:val="00CC09D5"/>
    <w:rsid w:val="00CC237F"/>
    <w:rsid w:val="00CC2CDB"/>
    <w:rsid w:val="00CC372E"/>
    <w:rsid w:val="00CC678F"/>
    <w:rsid w:val="00CC6CE6"/>
    <w:rsid w:val="00CD4C3A"/>
    <w:rsid w:val="00CD71A1"/>
    <w:rsid w:val="00CE2A1E"/>
    <w:rsid w:val="00CE603C"/>
    <w:rsid w:val="00CF06C9"/>
    <w:rsid w:val="00CF2690"/>
    <w:rsid w:val="00CF6DEA"/>
    <w:rsid w:val="00D042FE"/>
    <w:rsid w:val="00D05725"/>
    <w:rsid w:val="00D11DD4"/>
    <w:rsid w:val="00D14138"/>
    <w:rsid w:val="00D20460"/>
    <w:rsid w:val="00D20D58"/>
    <w:rsid w:val="00D23061"/>
    <w:rsid w:val="00D24124"/>
    <w:rsid w:val="00D27D1C"/>
    <w:rsid w:val="00D32B4A"/>
    <w:rsid w:val="00D35ED4"/>
    <w:rsid w:val="00D44E39"/>
    <w:rsid w:val="00D51133"/>
    <w:rsid w:val="00D52C1F"/>
    <w:rsid w:val="00D5470C"/>
    <w:rsid w:val="00D55C2C"/>
    <w:rsid w:val="00D61CFC"/>
    <w:rsid w:val="00D638CC"/>
    <w:rsid w:val="00D640BC"/>
    <w:rsid w:val="00D67EEE"/>
    <w:rsid w:val="00D71460"/>
    <w:rsid w:val="00D728BC"/>
    <w:rsid w:val="00D73F64"/>
    <w:rsid w:val="00D77DBD"/>
    <w:rsid w:val="00D850EF"/>
    <w:rsid w:val="00D8779D"/>
    <w:rsid w:val="00DA2974"/>
    <w:rsid w:val="00DA60AB"/>
    <w:rsid w:val="00DB31D5"/>
    <w:rsid w:val="00DD174A"/>
    <w:rsid w:val="00DD3B33"/>
    <w:rsid w:val="00DD3F15"/>
    <w:rsid w:val="00DD7CB7"/>
    <w:rsid w:val="00DE259F"/>
    <w:rsid w:val="00DE48F8"/>
    <w:rsid w:val="00DE5497"/>
    <w:rsid w:val="00E06C32"/>
    <w:rsid w:val="00E14B90"/>
    <w:rsid w:val="00E27CAC"/>
    <w:rsid w:val="00E31F42"/>
    <w:rsid w:val="00E32C9E"/>
    <w:rsid w:val="00E33AD3"/>
    <w:rsid w:val="00E440F3"/>
    <w:rsid w:val="00E44601"/>
    <w:rsid w:val="00E5063B"/>
    <w:rsid w:val="00E62608"/>
    <w:rsid w:val="00E65B2C"/>
    <w:rsid w:val="00E82AD6"/>
    <w:rsid w:val="00E83090"/>
    <w:rsid w:val="00E93BED"/>
    <w:rsid w:val="00EA31E6"/>
    <w:rsid w:val="00EB0D15"/>
    <w:rsid w:val="00EB38DD"/>
    <w:rsid w:val="00EB4239"/>
    <w:rsid w:val="00EB49C9"/>
    <w:rsid w:val="00EB4F9E"/>
    <w:rsid w:val="00EB719E"/>
    <w:rsid w:val="00EB7B98"/>
    <w:rsid w:val="00ED767B"/>
    <w:rsid w:val="00EE07C3"/>
    <w:rsid w:val="00EE1035"/>
    <w:rsid w:val="00EE675F"/>
    <w:rsid w:val="00EE7A4F"/>
    <w:rsid w:val="00F02113"/>
    <w:rsid w:val="00F102CC"/>
    <w:rsid w:val="00F11124"/>
    <w:rsid w:val="00F1172F"/>
    <w:rsid w:val="00F130D4"/>
    <w:rsid w:val="00F245BF"/>
    <w:rsid w:val="00F27248"/>
    <w:rsid w:val="00F319E2"/>
    <w:rsid w:val="00F40380"/>
    <w:rsid w:val="00F43B7E"/>
    <w:rsid w:val="00F43E03"/>
    <w:rsid w:val="00F540DD"/>
    <w:rsid w:val="00F54BBC"/>
    <w:rsid w:val="00F6011F"/>
    <w:rsid w:val="00F645DD"/>
    <w:rsid w:val="00F65CD3"/>
    <w:rsid w:val="00F76F86"/>
    <w:rsid w:val="00F834AF"/>
    <w:rsid w:val="00F90872"/>
    <w:rsid w:val="00F92B65"/>
    <w:rsid w:val="00FA50C2"/>
    <w:rsid w:val="00FA5DFB"/>
    <w:rsid w:val="00FB6A7A"/>
    <w:rsid w:val="00FD200F"/>
    <w:rsid w:val="00FD2238"/>
    <w:rsid w:val="00FD65C5"/>
    <w:rsid w:val="00FD677C"/>
    <w:rsid w:val="00FD720E"/>
    <w:rsid w:val="00FE3F3B"/>
    <w:rsid w:val="00FE7D2B"/>
    <w:rsid w:val="00FF7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EC59B-DF6D-4531-B8CC-5D47C3B1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8F"/>
    <w:pPr>
      <w:spacing w:line="36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spacing w:after="0" w:line="240" w:lineRule="auto"/>
      <w:ind w:left="720"/>
      <w:contextualSpacing/>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FootnoteText">
    <w:name w:val="footnote text"/>
    <w:basedOn w:val="Normal"/>
    <w:link w:val="FootnoteTextChar"/>
    <w:uiPriority w:val="99"/>
    <w:unhideWhenUsed/>
    <w:rsid w:val="00CC2CDB"/>
    <w:pPr>
      <w:spacing w:after="0" w:line="240" w:lineRule="auto"/>
    </w:pPr>
    <w:rPr>
      <w:sz w:val="20"/>
      <w:szCs w:val="20"/>
    </w:rPr>
  </w:style>
  <w:style w:type="character" w:customStyle="1" w:styleId="FootnoteTextChar">
    <w:name w:val="Footnote Text Char"/>
    <w:basedOn w:val="DefaultParagraphFont"/>
    <w:link w:val="FootnoteText"/>
    <w:uiPriority w:val="99"/>
    <w:rsid w:val="00CC2CDB"/>
    <w:rPr>
      <w:rFonts w:ascii="Garamond" w:hAnsi="Garamond"/>
      <w:sz w:val="20"/>
      <w:szCs w:val="20"/>
    </w:rPr>
  </w:style>
  <w:style w:type="character" w:styleId="FootnoteReference">
    <w:name w:val="footnote reference"/>
    <w:basedOn w:val="DefaultParagraphFont"/>
    <w:uiPriority w:val="99"/>
    <w:semiHidden/>
    <w:unhideWhenUsed/>
    <w:rsid w:val="00CC2CDB"/>
    <w:rPr>
      <w:vertAlign w:val="superscript"/>
    </w:rPr>
  </w:style>
  <w:style w:type="character" w:customStyle="1" w:styleId="apple-converted-space">
    <w:name w:val="apple-converted-space"/>
    <w:basedOn w:val="DefaultParagraphFont"/>
    <w:rsid w:val="000E04C1"/>
  </w:style>
  <w:style w:type="character" w:customStyle="1" w:styleId="top">
    <w:name w:val="top"/>
    <w:basedOn w:val="DefaultParagraphFont"/>
    <w:rsid w:val="000E04C1"/>
  </w:style>
  <w:style w:type="character" w:styleId="Hyperlink">
    <w:name w:val="Hyperlink"/>
    <w:basedOn w:val="DefaultParagraphFont"/>
    <w:uiPriority w:val="99"/>
    <w:semiHidden/>
    <w:unhideWhenUsed/>
    <w:rsid w:val="000E04C1"/>
    <w:rPr>
      <w:color w:val="0000FF"/>
      <w:u w:val="single"/>
    </w:rPr>
  </w:style>
  <w:style w:type="paragraph" w:styleId="Header">
    <w:name w:val="header"/>
    <w:basedOn w:val="Normal"/>
    <w:link w:val="HeaderChar"/>
    <w:uiPriority w:val="99"/>
    <w:unhideWhenUsed/>
    <w:rsid w:val="00C308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82C"/>
    <w:rPr>
      <w:rFonts w:ascii="Garamond" w:hAnsi="Garamond"/>
      <w:sz w:val="24"/>
    </w:rPr>
  </w:style>
  <w:style w:type="paragraph" w:styleId="Footer">
    <w:name w:val="footer"/>
    <w:basedOn w:val="Normal"/>
    <w:link w:val="FooterChar"/>
    <w:uiPriority w:val="99"/>
    <w:unhideWhenUsed/>
    <w:rsid w:val="00C308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82C"/>
    <w:rPr>
      <w:rFonts w:ascii="Garamond" w:hAnsi="Garamond"/>
      <w:sz w:val="24"/>
    </w:rPr>
  </w:style>
  <w:style w:type="paragraph" w:styleId="NoSpacing">
    <w:name w:val="No Spacing"/>
    <w:uiPriority w:val="1"/>
    <w:qFormat/>
    <w:rsid w:val="005337F3"/>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BCEBD-43FD-4394-940B-E89516E9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24864</TotalTime>
  <Pages>21</Pages>
  <Words>8290</Words>
  <Characters>43692</Characters>
  <Application>Microsoft Office Word</Application>
  <DocSecurity>0</DocSecurity>
  <Lines>567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444</cp:revision>
  <dcterms:created xsi:type="dcterms:W3CDTF">2016-04-11T14:52:00Z</dcterms:created>
  <dcterms:modified xsi:type="dcterms:W3CDTF">2016-05-14T20:27:00Z</dcterms:modified>
</cp:coreProperties>
</file>