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9E75" w14:textId="770366A4" w:rsidR="00192A92" w:rsidRPr="00192A92" w:rsidRDefault="00192A92" w:rsidP="00192A92">
      <w:pPr>
        <w:pStyle w:val="Subtitle"/>
        <w:numPr>
          <w:ilvl w:val="0"/>
          <w:numId w:val="4"/>
        </w:numPr>
        <w:rPr>
          <w:rStyle w:val="Emphasis"/>
          <w:rFonts w:ascii="EB Garamond" w:hAnsi="EB Garamond"/>
          <w:color w:val="000000" w:themeColor="text1"/>
          <w:sz w:val="24"/>
          <w:szCs w:val="24"/>
        </w:rPr>
      </w:pPr>
      <w:r w:rsidRPr="00192A92">
        <w:rPr>
          <w:rStyle w:val="Emphasis"/>
          <w:rFonts w:ascii="EB Garamond" w:hAnsi="EB Garamond"/>
          <w:color w:val="000000" w:themeColor="text1"/>
          <w:sz w:val="24"/>
          <w:szCs w:val="24"/>
        </w:rPr>
        <w:t>Introduction</w:t>
      </w:r>
    </w:p>
    <w:p w14:paraId="217D3382" w14:textId="77777777" w:rsidR="005B0408" w:rsidRPr="005B0408" w:rsidRDefault="005B0408" w:rsidP="005432D0">
      <w:pPr>
        <w:jc w:val="both"/>
        <w:rPr>
          <w:rFonts w:ascii="EB Garamond" w:hAnsi="EB Garamond"/>
        </w:rPr>
      </w:pPr>
    </w:p>
    <w:p w14:paraId="6DD3D2BB" w14:textId="77777777" w:rsidR="00CE7146" w:rsidRPr="00581356" w:rsidRDefault="00CE7146" w:rsidP="005432D0">
      <w:pPr>
        <w:jc w:val="both"/>
        <w:rPr>
          <w:rFonts w:ascii="EB Garamond" w:hAnsi="EB Garamond"/>
        </w:rPr>
      </w:pPr>
      <w:r w:rsidRPr="00581356">
        <w:rPr>
          <w:rFonts w:ascii="EB Garamond" w:hAnsi="EB Garamond"/>
        </w:rPr>
        <w:t>Consider:</w:t>
      </w:r>
    </w:p>
    <w:p w14:paraId="72484BB6" w14:textId="77777777" w:rsidR="00CE7146" w:rsidRPr="00581356" w:rsidRDefault="00CE7146" w:rsidP="005432D0">
      <w:pPr>
        <w:jc w:val="both"/>
        <w:rPr>
          <w:rFonts w:ascii="EB Garamond" w:hAnsi="EB Garamond"/>
        </w:rPr>
      </w:pPr>
    </w:p>
    <w:p w14:paraId="5A8D8804" w14:textId="77777777" w:rsidR="00CE7146" w:rsidRPr="00581356" w:rsidRDefault="00CE7146" w:rsidP="005432D0">
      <w:pPr>
        <w:ind w:left="720"/>
        <w:jc w:val="both"/>
        <w:rPr>
          <w:rFonts w:ascii="EB Garamond" w:hAnsi="EB Garamond"/>
        </w:rPr>
      </w:pPr>
      <w:r w:rsidRPr="00581356">
        <w:rPr>
          <w:rFonts w:ascii="EB Garamond" w:hAnsi="EB Garamond"/>
        </w:rPr>
        <w:t>(</w:t>
      </w:r>
      <w:r w:rsidRPr="00581356">
        <w:rPr>
          <w:rFonts w:ascii="EB Garamond" w:hAnsi="EB Garamond"/>
          <w:b/>
          <w:bCs/>
        </w:rPr>
        <w:t>JFB</w:t>
      </w:r>
      <w:r w:rsidRPr="00581356">
        <w:rPr>
          <w:rFonts w:ascii="EB Garamond" w:hAnsi="EB Garamond"/>
        </w:rPr>
        <w:t>) False beliefs can be justified</w:t>
      </w:r>
      <w:r w:rsidRPr="00581356">
        <w:rPr>
          <w:rStyle w:val="FootnoteReference"/>
          <w:rFonts w:ascii="EB Garamond" w:hAnsi="EB Garamond"/>
        </w:rPr>
        <w:footnoteReference w:id="1"/>
      </w:r>
    </w:p>
    <w:p w14:paraId="02A7E7E2" w14:textId="77777777" w:rsidR="00CE7146" w:rsidRPr="00581356" w:rsidRDefault="00CE7146" w:rsidP="005432D0">
      <w:pPr>
        <w:jc w:val="both"/>
        <w:rPr>
          <w:rFonts w:ascii="EB Garamond" w:hAnsi="EB Garamond"/>
        </w:rPr>
      </w:pPr>
    </w:p>
    <w:p w14:paraId="7E778830" w14:textId="77777777" w:rsidR="00CE7146" w:rsidRPr="00581356" w:rsidRDefault="00CE7146" w:rsidP="005432D0">
      <w:pPr>
        <w:pStyle w:val="NormalWeb"/>
        <w:jc w:val="both"/>
        <w:rPr>
          <w:rFonts w:ascii="EB Garamond" w:hAnsi="EB Garamond"/>
        </w:rPr>
      </w:pPr>
      <w:r w:rsidRPr="00581356">
        <w:rPr>
          <w:rFonts w:ascii="EB Garamond" w:hAnsi="EB Garamond"/>
        </w:rPr>
        <w:t xml:space="preserve">JFB appears to draw support from two kinds of case. In what I’ll call ‘type-1’ cases, one’s experiences are </w:t>
      </w:r>
      <w:r w:rsidRPr="00581356">
        <w:rPr>
          <w:rFonts w:ascii="EB Garamond" w:hAnsi="EB Garamond"/>
          <w:i/>
          <w:iCs/>
        </w:rPr>
        <w:t>globally</w:t>
      </w:r>
      <w:r w:rsidRPr="00581356">
        <w:rPr>
          <w:rFonts w:ascii="EB Garamond" w:hAnsi="EB Garamond"/>
        </w:rPr>
        <w:t xml:space="preserve"> misleading: given an experience with content </w:t>
      </w:r>
      <w:r w:rsidRPr="00581356">
        <w:rPr>
          <w:rFonts w:ascii="EB Garamond" w:hAnsi="EB Garamond"/>
          <w:i/>
          <w:iCs/>
        </w:rPr>
        <w:t>p</w:t>
      </w:r>
      <w:r w:rsidRPr="00581356">
        <w:rPr>
          <w:rFonts w:ascii="EB Garamond" w:hAnsi="EB Garamond"/>
        </w:rPr>
        <w:t>, it’s the case that not-</w:t>
      </w:r>
      <w:r w:rsidRPr="00581356">
        <w:rPr>
          <w:rFonts w:ascii="EB Garamond" w:hAnsi="EB Garamond"/>
          <w:i/>
          <w:iCs/>
        </w:rPr>
        <w:t>p</w:t>
      </w:r>
      <w:r w:rsidRPr="00581356">
        <w:rPr>
          <w:rFonts w:ascii="EB Garamond" w:hAnsi="EB Garamond"/>
        </w:rPr>
        <w:t xml:space="preserve">, because nothing is as it seems. In what I’ll call ‘type-2’ cases, one’s experiences are locally misleading: given an experience with content </w:t>
      </w:r>
      <w:r w:rsidRPr="00581356">
        <w:rPr>
          <w:rFonts w:ascii="EB Garamond" w:hAnsi="EB Garamond"/>
          <w:i/>
          <w:iCs/>
        </w:rPr>
        <w:t>p</w:t>
      </w:r>
      <w:r w:rsidRPr="00581356">
        <w:rPr>
          <w:rFonts w:ascii="EB Garamond" w:hAnsi="EB Garamond"/>
        </w:rPr>
        <w:t>, it’s the case that not-</w:t>
      </w:r>
      <w:r w:rsidRPr="00581356">
        <w:rPr>
          <w:rFonts w:ascii="EB Garamond" w:hAnsi="EB Garamond"/>
          <w:i/>
          <w:iCs/>
        </w:rPr>
        <w:t>p</w:t>
      </w:r>
      <w:r w:rsidRPr="00581356">
        <w:rPr>
          <w:rFonts w:ascii="EB Garamond" w:hAnsi="EB Garamond"/>
        </w:rPr>
        <w:t xml:space="preserve">, because things aren’t as they seem in the situation, though they are sometimes as they seem. Here’s a token of each: </w:t>
      </w:r>
    </w:p>
    <w:p w14:paraId="4AB09765" w14:textId="77777777" w:rsidR="00CE7146" w:rsidRPr="00581356" w:rsidRDefault="00CE7146" w:rsidP="005432D0">
      <w:pPr>
        <w:pStyle w:val="NormalWeb"/>
        <w:ind w:left="720"/>
        <w:jc w:val="both"/>
        <w:rPr>
          <w:rFonts w:ascii="EB Garamond" w:hAnsi="EB Garamond"/>
        </w:rPr>
      </w:pPr>
      <w:r w:rsidRPr="00581356">
        <w:rPr>
          <w:rFonts w:ascii="EB Garamond" w:hAnsi="EB Garamond"/>
        </w:rPr>
        <w:t xml:space="preserve">Type-1: A experiences having hands. So A believes that she has hands. Unfortunately, A’s experiences are simulations fed to her by a supercomputer: A is a </w:t>
      </w:r>
      <w:r w:rsidRPr="00581356">
        <w:rPr>
          <w:rFonts w:ascii="EB Garamond" w:hAnsi="EB Garamond"/>
          <w:i/>
          <w:iCs/>
        </w:rPr>
        <w:t>brain-in-a-vat</w:t>
      </w:r>
      <w:r w:rsidRPr="00581356">
        <w:rPr>
          <w:rFonts w:ascii="EB Garamond" w:hAnsi="EB Garamond"/>
        </w:rPr>
        <w:t xml:space="preserve"> (</w:t>
      </w:r>
      <w:r w:rsidRPr="00581356">
        <w:rPr>
          <w:rFonts w:ascii="EB Garamond" w:hAnsi="EB Garamond"/>
          <w:i/>
          <w:iCs/>
        </w:rPr>
        <w:t>BIV</w:t>
      </w:r>
      <w:r w:rsidRPr="00581356">
        <w:rPr>
          <w:rFonts w:ascii="EB Garamond" w:hAnsi="EB Garamond"/>
        </w:rPr>
        <w:t>) (see, e.g., Lehrer &amp; Cohen 1983: 192; Cohen 1984: 281; Sosa 1988: 164).</w:t>
      </w:r>
    </w:p>
    <w:p w14:paraId="73ACD521" w14:textId="77777777" w:rsidR="00CE7146" w:rsidRPr="00581356" w:rsidRDefault="00CE7146" w:rsidP="005432D0">
      <w:pPr>
        <w:pStyle w:val="NormalWeb"/>
        <w:ind w:left="720"/>
        <w:rPr>
          <w:rFonts w:ascii="EB Garamond" w:hAnsi="EB Garamond"/>
        </w:rPr>
      </w:pPr>
      <w:r w:rsidRPr="00581356">
        <w:rPr>
          <w:rFonts w:ascii="EB Garamond" w:hAnsi="EB Garamond"/>
        </w:rPr>
        <w:t xml:space="preserve">Type-2: B is at the garden center. She has the visual experience of a potted plant, </w:t>
      </w:r>
      <w:r w:rsidRPr="00581356">
        <w:rPr>
          <w:rFonts w:ascii="EB Garamond" w:hAnsi="EB Garamond"/>
          <w:i/>
          <w:iCs/>
        </w:rPr>
        <w:t>p</w:t>
      </w:r>
      <w:r w:rsidRPr="00581356">
        <w:rPr>
          <w:rFonts w:ascii="EB Garamond" w:hAnsi="EB Garamond"/>
        </w:rPr>
        <w:t xml:space="preserve">, in the ‘real plants’ aisle. So B believes that </w:t>
      </w:r>
      <w:r w:rsidRPr="00581356">
        <w:rPr>
          <w:rFonts w:ascii="EB Garamond" w:hAnsi="EB Garamond"/>
          <w:i/>
          <w:iCs/>
        </w:rPr>
        <w:t>p</w:t>
      </w:r>
      <w:r w:rsidRPr="00581356">
        <w:rPr>
          <w:rFonts w:ascii="EB Garamond" w:hAnsi="EB Garamond"/>
        </w:rPr>
        <w:t xml:space="preserve"> is a real plant. Unfortunately, </w:t>
      </w:r>
      <w:r w:rsidRPr="00581356">
        <w:rPr>
          <w:rFonts w:ascii="EB Garamond" w:hAnsi="EB Garamond"/>
          <w:i/>
          <w:iCs/>
        </w:rPr>
        <w:t>p</w:t>
      </w:r>
      <w:r w:rsidRPr="00581356">
        <w:rPr>
          <w:rFonts w:ascii="EB Garamond" w:hAnsi="EB Garamond"/>
        </w:rPr>
        <w:t xml:space="preserve"> is not a real plant: it’s a plastic counterfeit (see, e.g., Lasonen-Aarnio 2021a: 107; Comesaña 2020: 1;  Greco 2021: 519; Hughes 2017: 159).</w:t>
      </w:r>
    </w:p>
    <w:p w14:paraId="48795237" w14:textId="77777777" w:rsidR="00CE7146" w:rsidRPr="00581356" w:rsidRDefault="00CE7146" w:rsidP="005432D0">
      <w:pPr>
        <w:pStyle w:val="NormalWeb"/>
        <w:rPr>
          <w:rFonts w:ascii="EB Garamond" w:hAnsi="EB Garamond"/>
          <w:b/>
          <w:bCs/>
        </w:rPr>
      </w:pPr>
      <w:r w:rsidRPr="00581356">
        <w:rPr>
          <w:rFonts w:ascii="EB Garamond" w:hAnsi="EB Garamond"/>
        </w:rPr>
        <w:t xml:space="preserve">A and B have false beliefs. So they are bad, in a way. But they are good in a way too. B’s belief is hardly negligent: she’s in the ‘real plants’ aisle, and every plant but </w:t>
      </w:r>
      <w:r w:rsidRPr="00581356">
        <w:rPr>
          <w:rFonts w:ascii="EB Garamond" w:hAnsi="EB Garamond"/>
          <w:i/>
          <w:iCs/>
        </w:rPr>
        <w:t xml:space="preserve">p </w:t>
      </w:r>
      <w:r w:rsidRPr="00581356">
        <w:rPr>
          <w:rFonts w:ascii="EB Garamond" w:hAnsi="EB Garamond"/>
        </w:rPr>
        <w:t xml:space="preserve">is real. A’s belief isn’t just passable, but </w:t>
      </w:r>
      <w:r w:rsidRPr="002D7366">
        <w:rPr>
          <w:rFonts w:ascii="EB Garamond" w:hAnsi="EB Garamond"/>
          <w:i/>
          <w:iCs/>
        </w:rPr>
        <w:t>exemplary</w:t>
      </w:r>
      <w:r w:rsidRPr="002D7366">
        <w:rPr>
          <w:rFonts w:ascii="EB Garamond" w:hAnsi="EB Garamond"/>
        </w:rPr>
        <w:t>: by taking it for granted that her senses put her in touch with the facts when she has, and could have, no indication to the contrary, A’s case serves as an example of good perceptual believing. Type</w:t>
      </w:r>
      <w:r w:rsidRPr="00581356">
        <w:rPr>
          <w:rFonts w:ascii="EB Garamond" w:hAnsi="EB Garamond"/>
        </w:rPr>
        <w:t xml:space="preserve">-1 and type-2 cases are collectively referred to as </w:t>
      </w:r>
      <w:r w:rsidRPr="00581356">
        <w:rPr>
          <w:rFonts w:ascii="EB Garamond" w:hAnsi="EB Garamond"/>
          <w:i/>
          <w:iCs/>
        </w:rPr>
        <w:t>bad cases</w:t>
      </w:r>
      <w:r w:rsidRPr="00581356">
        <w:rPr>
          <w:rFonts w:ascii="EB Garamond" w:hAnsi="EB Garamond"/>
        </w:rPr>
        <w:t xml:space="preserve">. Bad cases are to be contrasted with </w:t>
      </w:r>
      <w:r w:rsidRPr="00581356">
        <w:rPr>
          <w:rFonts w:ascii="EB Garamond" w:hAnsi="EB Garamond"/>
          <w:i/>
          <w:iCs/>
        </w:rPr>
        <w:t>good cases</w:t>
      </w:r>
      <w:r w:rsidRPr="00581356">
        <w:rPr>
          <w:rFonts w:ascii="EB Garamond" w:hAnsi="EB Garamond"/>
        </w:rPr>
        <w:t>, where one’s experiences aren’t misleading: in good cases, the belief turns out to be true. There’s something to be said for beliefs in bad cases. But what should we say about them? Are they justified?</w:t>
      </w:r>
    </w:p>
    <w:p w14:paraId="7153F227" w14:textId="77777777" w:rsidR="00CE7146" w:rsidRPr="00581356" w:rsidRDefault="00CE7146" w:rsidP="005432D0">
      <w:pPr>
        <w:pStyle w:val="NormalWeb"/>
        <w:rPr>
          <w:rFonts w:ascii="EB Garamond" w:hAnsi="EB Garamond"/>
        </w:rPr>
      </w:pPr>
      <w:r w:rsidRPr="00581356">
        <w:rPr>
          <w:rFonts w:ascii="EB Garamond" w:hAnsi="EB Garamond"/>
        </w:rPr>
        <w:t>Here's the plan for the paper. §2 states the standard argument for JFB. §3 rehearses Timothy Williamson’s (forthcoming A) objection to the standard argument.</w:t>
      </w:r>
      <w:r w:rsidRPr="00581356">
        <w:rPr>
          <w:rStyle w:val="FootnoteReference"/>
          <w:rFonts w:ascii="EB Garamond" w:hAnsi="EB Garamond"/>
        </w:rPr>
        <w:footnoteReference w:id="2"/>
      </w:r>
      <w:r w:rsidRPr="00581356">
        <w:rPr>
          <w:rFonts w:ascii="EB Garamond" w:hAnsi="EB Garamond"/>
        </w:rPr>
        <w:t xml:space="preserve"> §4 argues that this isn’t, in fact, an objection to the standard argument: Williamson assumes that the argument cites compliance with one norm, but it cites compliance with a different norm. It isn’t my goal to argue that JFB is true. Instead, I want to get clear on the most charitable way of representing the standard argument in Williamson’s framework. The reward for doing so is a new perspective on the intuition that false beliefs can be justified: if the circumstances are right, a </w:t>
      </w:r>
      <w:r w:rsidRPr="00581356">
        <w:rPr>
          <w:rFonts w:ascii="EB Garamond" w:hAnsi="EB Garamond"/>
          <w:i/>
          <w:iCs/>
        </w:rPr>
        <w:t>false</w:t>
      </w:r>
      <w:r w:rsidRPr="00581356">
        <w:rPr>
          <w:rFonts w:ascii="EB Garamond" w:hAnsi="EB Garamond"/>
        </w:rPr>
        <w:t xml:space="preserve"> belief can manifest a disposition to know, or to have only true beliefs.</w:t>
      </w:r>
    </w:p>
    <w:p w14:paraId="16B3C8D4" w14:textId="7A0EC557" w:rsidR="00192A92" w:rsidRPr="00192A92" w:rsidRDefault="00192A92" w:rsidP="00192A92">
      <w:pPr>
        <w:pStyle w:val="Subtitle"/>
        <w:numPr>
          <w:ilvl w:val="0"/>
          <w:numId w:val="4"/>
        </w:numPr>
        <w:rPr>
          <w:rStyle w:val="Emphasis"/>
          <w:rFonts w:ascii="EB Garamond" w:hAnsi="EB Garamond"/>
          <w:color w:val="000000" w:themeColor="text1"/>
          <w:sz w:val="24"/>
          <w:szCs w:val="24"/>
        </w:rPr>
      </w:pPr>
      <w:r w:rsidRPr="00192A92">
        <w:rPr>
          <w:rStyle w:val="Emphasis"/>
          <w:rFonts w:ascii="EB Garamond" w:hAnsi="EB Garamond"/>
          <w:color w:val="000000" w:themeColor="text1"/>
          <w:sz w:val="24"/>
          <w:szCs w:val="24"/>
        </w:rPr>
        <w:lastRenderedPageBreak/>
        <w:t>The Standard Argument</w:t>
      </w:r>
    </w:p>
    <w:p w14:paraId="3C0D10EC" w14:textId="77777777" w:rsidR="00CE7146" w:rsidRPr="00581356" w:rsidRDefault="00CE7146" w:rsidP="005432D0">
      <w:pPr>
        <w:pStyle w:val="NormalWeb"/>
        <w:rPr>
          <w:rFonts w:ascii="EB Garamond" w:hAnsi="EB Garamond"/>
        </w:rPr>
      </w:pPr>
      <w:r w:rsidRPr="00581356">
        <w:rPr>
          <w:rFonts w:ascii="EB Garamond" w:hAnsi="EB Garamond"/>
        </w:rPr>
        <w:t xml:space="preserve">We have seen that beliefs in bad cases are somehow good. But if we’re going to hang our case for JFB on bad cases, then we need some reason to think that they are not just </w:t>
      </w:r>
      <w:r w:rsidRPr="00581356">
        <w:rPr>
          <w:rFonts w:ascii="EB Garamond" w:hAnsi="EB Garamond"/>
          <w:i/>
          <w:iCs/>
        </w:rPr>
        <w:t>good</w:t>
      </w:r>
      <w:r w:rsidRPr="00581356">
        <w:rPr>
          <w:rFonts w:ascii="EB Garamond" w:hAnsi="EB Garamond"/>
        </w:rPr>
        <w:t xml:space="preserve">, but </w:t>
      </w:r>
      <w:r w:rsidRPr="00581356">
        <w:rPr>
          <w:rFonts w:ascii="EB Garamond" w:hAnsi="EB Garamond"/>
          <w:i/>
          <w:iCs/>
        </w:rPr>
        <w:t>justified</w:t>
      </w:r>
      <w:r w:rsidRPr="00581356">
        <w:rPr>
          <w:rFonts w:ascii="EB Garamond" w:hAnsi="EB Garamond"/>
        </w:rPr>
        <w:t xml:space="preserve">. As a rough starting point, there’s the sense that, in forming or retaining her false belief, ‘[a BIV] is following the very cognitive instincts [they] ought to have’ (Williamson: 19-20; see, also, Williamson 2017: 271). The idea applies to type-2 cases as well: in believing that </w:t>
      </w:r>
      <w:r w:rsidRPr="00581356">
        <w:rPr>
          <w:rFonts w:ascii="EB Garamond" w:hAnsi="EB Garamond"/>
          <w:i/>
          <w:iCs/>
        </w:rPr>
        <w:t>p</w:t>
      </w:r>
      <w:r w:rsidRPr="00581356">
        <w:rPr>
          <w:rFonts w:ascii="EB Garamond" w:hAnsi="EB Garamond"/>
        </w:rPr>
        <w:t xml:space="preserve"> is a real plant, B is following the cognitive instincts she ought to have (compare: B believes that </w:t>
      </w:r>
      <w:r w:rsidRPr="00581356">
        <w:rPr>
          <w:rFonts w:ascii="EB Garamond" w:hAnsi="EB Garamond"/>
          <w:i/>
          <w:iCs/>
        </w:rPr>
        <w:t>p</w:t>
      </w:r>
      <w:r w:rsidRPr="00581356">
        <w:rPr>
          <w:rFonts w:ascii="EB Garamond" w:hAnsi="EB Garamond"/>
        </w:rPr>
        <w:t xml:space="preserve"> is a fake plant, despite the fact that she sees that she’s in the ‘real plants’ aisle and has no evidence that this is misleading).</w:t>
      </w:r>
    </w:p>
    <w:p w14:paraId="5C4F00E7" w14:textId="77777777" w:rsidR="00CE7146" w:rsidRPr="00581356" w:rsidRDefault="00CE7146" w:rsidP="005432D0">
      <w:pPr>
        <w:pStyle w:val="NormalWeb"/>
        <w:rPr>
          <w:rFonts w:ascii="EB Garamond" w:hAnsi="EB Garamond"/>
        </w:rPr>
      </w:pPr>
      <w:r w:rsidRPr="00581356">
        <w:rPr>
          <w:rFonts w:ascii="EB Garamond" w:hAnsi="EB Garamond"/>
        </w:rPr>
        <w:t xml:space="preserve">According to the standard argument for JFB (henceforth ‘SA’), if a belief is formed in (near enough) the </w:t>
      </w:r>
      <w:r w:rsidRPr="00581356">
        <w:rPr>
          <w:rFonts w:ascii="EB Garamond" w:hAnsi="EB Garamond"/>
          <w:i/>
          <w:iCs/>
        </w:rPr>
        <w:t>best</w:t>
      </w:r>
      <w:r w:rsidRPr="00581356">
        <w:rPr>
          <w:rFonts w:ascii="EB Garamond" w:hAnsi="EB Garamond"/>
        </w:rPr>
        <w:t xml:space="preserve"> possible way, then it’s justified:</w:t>
      </w:r>
      <w:r w:rsidRPr="00581356">
        <w:rPr>
          <w:rStyle w:val="FootnoteReference"/>
          <w:rFonts w:ascii="EB Garamond" w:hAnsi="EB Garamond"/>
        </w:rPr>
        <w:footnoteReference w:id="3"/>
      </w:r>
    </w:p>
    <w:p w14:paraId="5DE28F95" w14:textId="77777777" w:rsidR="00CE7146" w:rsidRPr="00581356" w:rsidRDefault="00CE7146" w:rsidP="005432D0">
      <w:pPr>
        <w:pStyle w:val="NormalWeb"/>
        <w:ind w:left="1440"/>
        <w:rPr>
          <w:rFonts w:ascii="EB Garamond" w:hAnsi="EB Garamond"/>
        </w:rPr>
      </w:pPr>
      <w:r w:rsidRPr="00581356">
        <w:rPr>
          <w:rFonts w:ascii="EB Garamond" w:hAnsi="EB Garamond"/>
        </w:rPr>
        <w:t>(SA)</w:t>
      </w:r>
    </w:p>
    <w:p w14:paraId="57AB3606" w14:textId="77777777" w:rsidR="00CE7146" w:rsidRPr="00581356" w:rsidRDefault="00CE7146" w:rsidP="005432D0">
      <w:pPr>
        <w:pStyle w:val="NormalWeb"/>
        <w:ind w:left="720"/>
        <w:rPr>
          <w:rFonts w:ascii="EB Garamond" w:hAnsi="EB Garamond"/>
        </w:rPr>
      </w:pPr>
      <w:r w:rsidRPr="00581356">
        <w:rPr>
          <w:rFonts w:ascii="EB Garamond" w:hAnsi="EB Garamond"/>
        </w:rPr>
        <w:t>(1) If a belief is formed</w:t>
      </w:r>
      <w:r w:rsidRPr="00581356">
        <w:rPr>
          <w:rStyle w:val="FootnoteReference"/>
          <w:rFonts w:ascii="EB Garamond" w:hAnsi="EB Garamond"/>
        </w:rPr>
        <w:footnoteReference w:id="4"/>
      </w:r>
      <w:r w:rsidRPr="00581356">
        <w:rPr>
          <w:rFonts w:ascii="EB Garamond" w:hAnsi="EB Garamond"/>
        </w:rPr>
        <w:t xml:space="preserve"> in (near enough) the best feasible</w:t>
      </w:r>
      <w:r w:rsidRPr="00581356">
        <w:rPr>
          <w:rStyle w:val="FootnoteReference"/>
          <w:rFonts w:ascii="EB Garamond" w:hAnsi="EB Garamond"/>
        </w:rPr>
        <w:footnoteReference w:id="5"/>
      </w:r>
      <w:r w:rsidRPr="00581356">
        <w:rPr>
          <w:rFonts w:ascii="EB Garamond" w:hAnsi="EB Garamond"/>
        </w:rPr>
        <w:t xml:space="preserve"> way,</w:t>
      </w:r>
      <w:r w:rsidRPr="00581356">
        <w:rPr>
          <w:rStyle w:val="FootnoteReference"/>
          <w:rFonts w:ascii="EB Garamond" w:hAnsi="EB Garamond"/>
        </w:rPr>
        <w:footnoteReference w:id="6"/>
      </w:r>
      <w:r w:rsidRPr="00581356">
        <w:rPr>
          <w:rFonts w:ascii="EB Garamond" w:hAnsi="EB Garamond"/>
        </w:rPr>
        <w:t xml:space="preserve"> then it is justified.</w:t>
      </w:r>
    </w:p>
    <w:p w14:paraId="5E44576C" w14:textId="77777777" w:rsidR="00CE7146" w:rsidRPr="00581356" w:rsidRDefault="00CE7146" w:rsidP="005432D0">
      <w:pPr>
        <w:pStyle w:val="NormalWeb"/>
        <w:ind w:left="720"/>
        <w:rPr>
          <w:rFonts w:ascii="EB Garamond" w:hAnsi="EB Garamond"/>
        </w:rPr>
      </w:pPr>
      <w:r w:rsidRPr="00581356">
        <w:rPr>
          <w:rFonts w:ascii="EB Garamond" w:hAnsi="EB Garamond"/>
        </w:rPr>
        <w:t xml:space="preserve">(2) Beliefs in bad cases are formed in (near enough) the best feasible ways. </w:t>
      </w:r>
    </w:p>
    <w:p w14:paraId="7EDAC2DE" w14:textId="77777777" w:rsidR="00CE7146" w:rsidRPr="00581356" w:rsidRDefault="00CE7146" w:rsidP="005432D0">
      <w:pPr>
        <w:pStyle w:val="NormalWeb"/>
        <w:ind w:left="720"/>
        <w:rPr>
          <w:rFonts w:ascii="EB Garamond" w:hAnsi="EB Garamond"/>
        </w:rPr>
      </w:pPr>
      <w:r w:rsidRPr="00581356">
        <w:rPr>
          <w:rFonts w:ascii="EB Garamond" w:hAnsi="EB Garamond"/>
        </w:rPr>
        <w:t>(3) Beliefs in bad cases are justified [by (1) &amp; (2)].</w:t>
      </w:r>
    </w:p>
    <w:p w14:paraId="2972A96C" w14:textId="77777777" w:rsidR="00CE7146" w:rsidRPr="00581356" w:rsidRDefault="00CE7146" w:rsidP="005432D0">
      <w:pPr>
        <w:pStyle w:val="NormalWeb"/>
        <w:ind w:left="720"/>
        <w:rPr>
          <w:rFonts w:ascii="EB Garamond" w:hAnsi="EB Garamond"/>
        </w:rPr>
      </w:pPr>
      <w:r w:rsidRPr="00581356">
        <w:rPr>
          <w:rFonts w:ascii="EB Garamond" w:hAnsi="EB Garamond"/>
        </w:rPr>
        <w:t>(JFB) There can be justified false beliefs [by (3)].</w:t>
      </w:r>
    </w:p>
    <w:p w14:paraId="2EDA67EE" w14:textId="77777777" w:rsidR="00CE7146" w:rsidRPr="00581356" w:rsidRDefault="00CE7146" w:rsidP="005432D0">
      <w:pPr>
        <w:pStyle w:val="NormalWeb"/>
        <w:rPr>
          <w:rFonts w:ascii="EB Garamond" w:hAnsi="EB Garamond"/>
        </w:rPr>
      </w:pPr>
      <w:r w:rsidRPr="00581356">
        <w:rPr>
          <w:rFonts w:ascii="EB Garamond" w:hAnsi="EB Garamond"/>
        </w:rPr>
        <w:t xml:space="preserve">The argument is schematic, and deliberately so: SA is meant to subsume more specific cases for JFB. Proponents of SA have to say what they mean by ‘feasible’ and ‘(near enough) best.’ First: ‘feasible.’ With Lasonen-Aarnio (2021a: 101-103; 2021b: 461-462; forthcoming B: 12), we could understand feasibility as a constraint flowing from our cognitive limitations. For example: a lifeguard on duty should pay attention, but summer reading is more pleasant. It would be nice for lifeguards, therefore, if they could be disposed to pay attention </w:t>
      </w:r>
      <w:r w:rsidRPr="00581356">
        <w:rPr>
          <w:rFonts w:ascii="EB Garamond" w:hAnsi="EB Garamond"/>
          <w:i/>
          <w:iCs/>
        </w:rPr>
        <w:t>only when</w:t>
      </w:r>
      <w:r w:rsidRPr="00581356">
        <w:rPr>
          <w:rFonts w:ascii="EB Garamond" w:hAnsi="EB Garamond"/>
        </w:rPr>
        <w:t xml:space="preserve"> someone is about to drown. Unfortunately, insofar as lifeguards are human beings, they have no way to tell whether someone is going to drown until it’s too late to stop it from happening. Paying attention only when someone is in imminent danger is a way of preventing people from drowning that is not </w:t>
      </w:r>
      <w:r w:rsidRPr="00581356">
        <w:rPr>
          <w:rFonts w:ascii="EB Garamond" w:hAnsi="EB Garamond"/>
          <w:i/>
          <w:iCs/>
        </w:rPr>
        <w:t xml:space="preserve">feasible </w:t>
      </w:r>
      <w:r w:rsidRPr="00581356">
        <w:rPr>
          <w:rFonts w:ascii="EB Garamond" w:hAnsi="EB Garamond"/>
        </w:rPr>
        <w:t>in Lasonen-Aarnio’s sense.</w:t>
      </w:r>
    </w:p>
    <w:p w14:paraId="0BD1EB2F" w14:textId="77777777" w:rsidR="00CE7146" w:rsidRPr="00581356" w:rsidRDefault="00CE7146" w:rsidP="005432D0">
      <w:pPr>
        <w:pStyle w:val="NormalWeb"/>
        <w:rPr>
          <w:rFonts w:ascii="EB Garamond" w:hAnsi="EB Garamond"/>
        </w:rPr>
      </w:pPr>
      <w:r w:rsidRPr="00581356">
        <w:rPr>
          <w:rFonts w:ascii="EB Garamond" w:hAnsi="EB Garamond"/>
        </w:rPr>
        <w:t xml:space="preserve">This is one way to go; but it is not the only way. Beliefs in type-2 cases are not formed in the best feasible ways on this account. After all, it wasn’t human cognitive limitations that prevented B from forming the belief that </w:t>
      </w:r>
      <w:r w:rsidRPr="00581356">
        <w:rPr>
          <w:rFonts w:ascii="EB Garamond" w:hAnsi="EB Garamond"/>
          <w:i/>
          <w:iCs/>
        </w:rPr>
        <w:t xml:space="preserve">p </w:t>
      </w:r>
      <w:r w:rsidRPr="00581356">
        <w:rPr>
          <w:rFonts w:ascii="EB Garamond" w:hAnsi="EB Garamond"/>
        </w:rPr>
        <w:t xml:space="preserve">is a fake plant. It would have been better if she had looked harder; and it would have been feasible for her to do so on Lasonen-Aarnio’s picture. In order to get the </w:t>
      </w:r>
      <w:r w:rsidRPr="00581356">
        <w:rPr>
          <w:rFonts w:ascii="EB Garamond" w:hAnsi="EB Garamond"/>
        </w:rPr>
        <w:lastRenderedPageBreak/>
        <w:t xml:space="preserve">verdict that B’s belief is justified, then, we’ll have to show why, though not strictly speaking </w:t>
      </w:r>
      <w:r w:rsidRPr="00581356">
        <w:rPr>
          <w:rFonts w:ascii="EB Garamond" w:hAnsi="EB Garamond"/>
          <w:i/>
          <w:iCs/>
        </w:rPr>
        <w:t>best</w:t>
      </w:r>
      <w:r w:rsidRPr="00581356">
        <w:rPr>
          <w:rFonts w:ascii="EB Garamond" w:hAnsi="EB Garamond"/>
        </w:rPr>
        <w:t xml:space="preserve">, B’s way is </w:t>
      </w:r>
      <w:r w:rsidRPr="00581356">
        <w:rPr>
          <w:rFonts w:ascii="EB Garamond" w:hAnsi="EB Garamond"/>
          <w:i/>
          <w:iCs/>
        </w:rPr>
        <w:t>good enough</w:t>
      </w:r>
      <w:r w:rsidRPr="00581356">
        <w:rPr>
          <w:rFonts w:ascii="EB Garamond" w:hAnsi="EB Garamond"/>
        </w:rPr>
        <w:t xml:space="preserve">. Another way to go would be to beef up the feasibility requirement. This would allow us to say that it is </w:t>
      </w:r>
      <w:r w:rsidRPr="00581356">
        <w:rPr>
          <w:rFonts w:ascii="EB Garamond" w:hAnsi="EB Garamond"/>
          <w:i/>
          <w:iCs/>
        </w:rPr>
        <w:t xml:space="preserve">not </w:t>
      </w:r>
      <w:r w:rsidRPr="00581356">
        <w:rPr>
          <w:rFonts w:ascii="EB Garamond" w:hAnsi="EB Garamond"/>
        </w:rPr>
        <w:t>feasible for B to take a long, hard look at the plastic plant. A suitably beefed-up notion of feasibility will incorporate considerations of expediency, or other ‘non-epistemic’ considerations, e.g., stakes. I won’t argue for either alternative here.</w:t>
      </w:r>
    </w:p>
    <w:p w14:paraId="0F3815C3" w14:textId="77777777" w:rsidR="00CE7146" w:rsidRPr="00581356" w:rsidRDefault="00CE7146" w:rsidP="005432D0">
      <w:pPr>
        <w:pStyle w:val="NormalWeb"/>
        <w:rPr>
          <w:rFonts w:ascii="EB Garamond" w:hAnsi="EB Garamond"/>
        </w:rPr>
      </w:pPr>
      <w:r w:rsidRPr="00581356">
        <w:rPr>
          <w:rFonts w:ascii="EB Garamond" w:hAnsi="EB Garamond"/>
        </w:rPr>
        <w:t>That brings us to the issue of what makes a way good enough, or ‘(near enough) best.’</w:t>
      </w:r>
      <w:r w:rsidRPr="00581356">
        <w:t xml:space="preserve"> </w:t>
      </w:r>
      <w:r w:rsidRPr="00581356">
        <w:rPr>
          <w:rFonts w:ascii="EB Garamond" w:hAnsi="EB Garamond"/>
        </w:rPr>
        <w:t xml:space="preserve">Proponents of JFB are divided: some hold that ‘external’ goods like truth or knowledge are entirely irrelevant to the question whether a way is good enough; others hold that such considerations </w:t>
      </w:r>
      <w:r w:rsidRPr="00581356">
        <w:rPr>
          <w:rFonts w:ascii="EB Garamond" w:hAnsi="EB Garamond"/>
          <w:i/>
          <w:iCs/>
        </w:rPr>
        <w:t>are</w:t>
      </w:r>
      <w:r w:rsidRPr="00581356">
        <w:rPr>
          <w:rFonts w:ascii="EB Garamond" w:hAnsi="EB Garamond"/>
        </w:rPr>
        <w:t xml:space="preserve"> relevant, but that a way needn’t issue true beliefs or knowledge </w:t>
      </w:r>
      <w:r w:rsidRPr="00581356">
        <w:rPr>
          <w:rFonts w:ascii="EB Garamond" w:hAnsi="EB Garamond"/>
          <w:i/>
          <w:iCs/>
        </w:rPr>
        <w:t>all of the time</w:t>
      </w:r>
      <w:r w:rsidRPr="00581356">
        <w:rPr>
          <w:rFonts w:ascii="EB Garamond" w:hAnsi="EB Garamond"/>
        </w:rPr>
        <w:t xml:space="preserve"> to be good enough. For example: some think that beliefs formed in (near enough) the best feasible ways fit the evidence (Conee &amp; Feldman 2004); others, that they are formed in a way that is </w:t>
      </w:r>
      <w:r w:rsidRPr="00581356">
        <w:rPr>
          <w:rFonts w:ascii="EB Garamond" w:hAnsi="EB Garamond"/>
          <w:i/>
          <w:iCs/>
        </w:rPr>
        <w:t>reliable</w:t>
      </w:r>
      <w:r w:rsidRPr="00581356">
        <w:rPr>
          <w:rFonts w:ascii="EB Garamond" w:hAnsi="EB Garamond"/>
        </w:rPr>
        <w:t xml:space="preserve"> at normal worlds; i.e., worlds where things are generally as they seem (Goldman 1986: 107-109); others, that they result from the </w:t>
      </w:r>
      <w:r w:rsidRPr="00581356">
        <w:rPr>
          <w:rFonts w:ascii="EB Garamond" w:hAnsi="EB Garamond"/>
          <w:i/>
          <w:iCs/>
        </w:rPr>
        <w:t>normal functioning</w:t>
      </w:r>
      <w:r w:rsidRPr="00581356">
        <w:rPr>
          <w:rFonts w:ascii="EB Garamond" w:hAnsi="EB Garamond"/>
        </w:rPr>
        <w:t xml:space="preserve"> of the belief-forming process (Graham 2012). Each of these views offers a specification of ‘(near enough) best’ which supports the verdict that beliefs in bad cases are justified: according to each, whether a belief is justified is independent of its truth in the subject’s situation, and dependent on conditions satisfied in her situation.</w:t>
      </w:r>
    </w:p>
    <w:p w14:paraId="75A78957" w14:textId="77777777" w:rsidR="00CE7146" w:rsidRPr="00581356" w:rsidRDefault="00CE7146" w:rsidP="005432D0">
      <w:pPr>
        <w:pStyle w:val="NormalWeb"/>
        <w:rPr>
          <w:rFonts w:ascii="EB Garamond" w:hAnsi="EB Garamond"/>
        </w:rPr>
      </w:pPr>
      <w:r w:rsidRPr="00581356">
        <w:rPr>
          <w:rFonts w:ascii="EB Garamond" w:hAnsi="EB Garamond"/>
        </w:rPr>
        <w:t>What, if anything, is wrong with SA? According to Williamson, (1) is false. The next section begins with a primer on norms of belief, then turns to the objection.</w:t>
      </w:r>
    </w:p>
    <w:p w14:paraId="06BC2313" w14:textId="1CA4F0EA" w:rsidR="00192A92" w:rsidRPr="00192A92" w:rsidRDefault="00192A92" w:rsidP="00192A92">
      <w:pPr>
        <w:pStyle w:val="Subtitle"/>
        <w:numPr>
          <w:ilvl w:val="0"/>
          <w:numId w:val="4"/>
        </w:numPr>
        <w:rPr>
          <w:rStyle w:val="Emphasis"/>
          <w:rFonts w:ascii="EB Garamond" w:hAnsi="EB Garamond"/>
          <w:color w:val="000000" w:themeColor="text1"/>
          <w:sz w:val="24"/>
          <w:szCs w:val="24"/>
        </w:rPr>
      </w:pPr>
      <w:r w:rsidRPr="00192A92">
        <w:rPr>
          <w:rStyle w:val="Emphasis"/>
          <w:rFonts w:ascii="EB Garamond" w:hAnsi="EB Garamond"/>
          <w:color w:val="000000" w:themeColor="text1"/>
          <w:sz w:val="24"/>
          <w:szCs w:val="24"/>
        </w:rPr>
        <w:t>Williamson’s objection</w:t>
      </w:r>
    </w:p>
    <w:p w14:paraId="19926258" w14:textId="0C04CA19" w:rsidR="00CE7146" w:rsidRPr="00192A92" w:rsidRDefault="00076CDE" w:rsidP="005432D0">
      <w:pPr>
        <w:pStyle w:val="NormalWeb"/>
        <w:ind w:left="720"/>
        <w:rPr>
          <w:rStyle w:val="Emphasis"/>
          <w:rFonts w:ascii="EB Garamond" w:hAnsi="EB Garamond"/>
        </w:rPr>
      </w:pPr>
      <w:r w:rsidRPr="00192A92">
        <w:rPr>
          <w:rStyle w:val="Emphasis"/>
          <w:rFonts w:ascii="EB Garamond" w:hAnsi="EB Garamond"/>
        </w:rPr>
        <w:t>3.1 Norms of belief</w:t>
      </w:r>
    </w:p>
    <w:p w14:paraId="1FD38B4F" w14:textId="77777777" w:rsidR="00CE7146" w:rsidRPr="00581356" w:rsidRDefault="00CE7146" w:rsidP="005432D0">
      <w:pPr>
        <w:pStyle w:val="NormalWeb"/>
        <w:rPr>
          <w:rFonts w:ascii="EB Garamond" w:hAnsi="EB Garamond"/>
          <w:b/>
          <w:bCs/>
        </w:rPr>
      </w:pPr>
      <w:r w:rsidRPr="00581356">
        <w:rPr>
          <w:rFonts w:ascii="EB Garamond" w:hAnsi="EB Garamond"/>
        </w:rPr>
        <w:t xml:space="preserve">Williamson assumes that justification is </w:t>
      </w:r>
      <w:r w:rsidRPr="002D7366">
        <w:rPr>
          <w:rFonts w:ascii="EB Garamond" w:hAnsi="EB Garamond"/>
        </w:rPr>
        <w:t>about</w:t>
      </w:r>
      <w:r w:rsidRPr="00581356">
        <w:rPr>
          <w:rFonts w:ascii="EB Garamond" w:hAnsi="EB Garamond"/>
        </w:rPr>
        <w:t xml:space="preserve"> demonstrating compliance with </w:t>
      </w:r>
      <w:r w:rsidRPr="00581356">
        <w:rPr>
          <w:rFonts w:ascii="EB Garamond" w:hAnsi="EB Garamond"/>
          <w:i/>
          <w:iCs/>
        </w:rPr>
        <w:t>norms</w:t>
      </w:r>
      <w:r w:rsidRPr="00581356">
        <w:rPr>
          <w:rFonts w:ascii="EB Garamond" w:hAnsi="EB Garamond"/>
        </w:rPr>
        <w:t>, where a norm is any rule issuing a prima facie ‘ought’ (Williamson: 4).</w:t>
      </w:r>
      <w:r w:rsidRPr="00581356">
        <w:rPr>
          <w:rFonts w:ascii="EB Garamond" w:hAnsi="EB Garamond"/>
          <w:b/>
          <w:bCs/>
        </w:rPr>
        <w:t xml:space="preserve"> </w:t>
      </w:r>
      <w:r w:rsidRPr="00581356">
        <w:rPr>
          <w:rFonts w:ascii="EB Garamond" w:hAnsi="EB Garamond"/>
        </w:rPr>
        <w:t xml:space="preserve">Williamson (7–9) distinguishes three kinds of norm. The </w:t>
      </w:r>
      <w:r w:rsidRPr="00581356">
        <w:rPr>
          <w:rFonts w:ascii="EB Garamond" w:hAnsi="EB Garamond"/>
          <w:i/>
          <w:iCs/>
        </w:rPr>
        <w:t xml:space="preserve">primary </w:t>
      </w:r>
      <w:r w:rsidRPr="00581356">
        <w:rPr>
          <w:rFonts w:ascii="EB Garamond" w:hAnsi="EB Garamond"/>
        </w:rPr>
        <w:t>norm of belief is of the form:</w:t>
      </w:r>
    </w:p>
    <w:p w14:paraId="1194182A" w14:textId="77777777" w:rsidR="00CE7146" w:rsidRPr="00581356" w:rsidRDefault="00CE7146" w:rsidP="005432D0">
      <w:pPr>
        <w:pStyle w:val="NormalWeb"/>
        <w:ind w:left="1440"/>
        <w:rPr>
          <w:rFonts w:ascii="EB Garamond" w:hAnsi="EB Garamond"/>
        </w:rPr>
      </w:pPr>
      <w:r w:rsidRPr="00581356">
        <w:rPr>
          <w:rFonts w:ascii="EB Garamond" w:hAnsi="EB Garamond"/>
        </w:rPr>
        <w:t>(S)</w:t>
      </w:r>
      <w:r w:rsidRPr="00581356">
        <w:rPr>
          <w:rStyle w:val="FootnoteReference"/>
          <w:rFonts w:ascii="EB Garamond" w:hAnsi="EB Garamond"/>
        </w:rPr>
        <w:footnoteReference w:id="7"/>
      </w:r>
      <w:r w:rsidRPr="00581356">
        <w:rPr>
          <w:rFonts w:ascii="EB Garamond" w:hAnsi="EB Garamond"/>
        </w:rPr>
        <w:t xml:space="preserve"> one ought to (form a belief only if that belief satisfies C)</w:t>
      </w:r>
    </w:p>
    <w:p w14:paraId="796FBB27" w14:textId="77777777" w:rsidR="00CE7146" w:rsidRPr="00581356" w:rsidRDefault="00CE7146" w:rsidP="005432D0">
      <w:pPr>
        <w:pStyle w:val="NormalWeb"/>
        <w:rPr>
          <w:rFonts w:ascii="EB Garamond" w:hAnsi="EB Garamond"/>
          <w:b/>
          <w:bCs/>
        </w:rPr>
      </w:pPr>
      <w:r w:rsidRPr="00581356">
        <w:rPr>
          <w:rFonts w:ascii="EB Garamond" w:hAnsi="EB Garamond"/>
        </w:rPr>
        <w:t xml:space="preserve">C is an objective, or ‘truth related,’ condition; for example, truth or knowledge (Williamson: 12): an instance of S is ‘one ought to (form a belief that </w:t>
      </w:r>
      <w:r w:rsidRPr="00581356">
        <w:rPr>
          <w:rFonts w:ascii="EB Garamond" w:hAnsi="EB Garamond"/>
          <w:i/>
          <w:iCs/>
        </w:rPr>
        <w:t xml:space="preserve">p </w:t>
      </w:r>
      <w:r w:rsidRPr="00581356">
        <w:rPr>
          <w:rFonts w:ascii="EB Garamond" w:hAnsi="EB Garamond"/>
        </w:rPr>
        <w:t xml:space="preserve">only if </w:t>
      </w:r>
      <w:r w:rsidRPr="00581356">
        <w:rPr>
          <w:rFonts w:ascii="EB Garamond" w:hAnsi="EB Garamond"/>
          <w:i/>
          <w:iCs/>
        </w:rPr>
        <w:t>p</w:t>
      </w:r>
      <w:r w:rsidRPr="00581356">
        <w:rPr>
          <w:rFonts w:ascii="EB Garamond" w:hAnsi="EB Garamond"/>
        </w:rPr>
        <w:t xml:space="preserve"> is true)’ (the </w:t>
      </w:r>
      <w:r w:rsidRPr="00581356">
        <w:rPr>
          <w:rFonts w:ascii="EB Garamond" w:hAnsi="EB Garamond"/>
          <w:i/>
          <w:iCs/>
        </w:rPr>
        <w:t>truth</w:t>
      </w:r>
      <w:r w:rsidRPr="00581356">
        <w:rPr>
          <w:rFonts w:ascii="EB Garamond" w:hAnsi="EB Garamond"/>
        </w:rPr>
        <w:t xml:space="preserve"> norm). Once you’re in a situation, S tells you what (prima facie) you ought (not) to believe, or continue to believe, in that situation. When your belief satisfies C, you satisfy S’s compliance condition (or, as I’ll sometimes say, satisfy S). Suppose, for illustration, that C requires truth. If it’s raining on Walden Pond, and you in fact form a belief about whether it is, then S says that you ought to believe that it’s raining on Walden Pond. </w:t>
      </w:r>
    </w:p>
    <w:p w14:paraId="4E6BB457" w14:textId="77777777" w:rsidR="00CE7146" w:rsidRPr="002D7366" w:rsidRDefault="00CE7146" w:rsidP="005432D0">
      <w:pPr>
        <w:pStyle w:val="NormalWeb"/>
        <w:rPr>
          <w:rFonts w:ascii="EB Garamond" w:hAnsi="EB Garamond"/>
        </w:rPr>
      </w:pPr>
      <w:r w:rsidRPr="002D7366">
        <w:rPr>
          <w:rFonts w:ascii="EB Garamond" w:hAnsi="EB Garamond"/>
        </w:rPr>
        <w:t xml:space="preserve">From the standpoint of S, you should also be disposed to believe whatever S sanctions. So says the </w:t>
      </w:r>
      <w:r w:rsidRPr="002D7366">
        <w:rPr>
          <w:rFonts w:ascii="EB Garamond" w:hAnsi="EB Garamond"/>
          <w:i/>
          <w:iCs/>
        </w:rPr>
        <w:t>secondary</w:t>
      </w:r>
      <w:r w:rsidRPr="002D7366">
        <w:rPr>
          <w:rFonts w:ascii="EB Garamond" w:hAnsi="EB Garamond"/>
        </w:rPr>
        <w:t xml:space="preserve"> norm of belief:</w:t>
      </w:r>
    </w:p>
    <w:p w14:paraId="14F23A1C" w14:textId="77777777" w:rsidR="00CE7146" w:rsidRPr="00581356" w:rsidRDefault="00CE7146" w:rsidP="005432D0">
      <w:pPr>
        <w:pStyle w:val="NormalWeb"/>
        <w:ind w:left="1440"/>
        <w:rPr>
          <w:rFonts w:ascii="EB Garamond" w:hAnsi="EB Garamond"/>
        </w:rPr>
      </w:pPr>
      <w:r w:rsidRPr="00581356">
        <w:rPr>
          <w:rFonts w:ascii="EB Garamond" w:hAnsi="EB Garamond"/>
        </w:rPr>
        <w:lastRenderedPageBreak/>
        <w:t>(DS) one ought to (be disposed to satisfy S)</w:t>
      </w:r>
    </w:p>
    <w:p w14:paraId="2BAC091C" w14:textId="77777777" w:rsidR="00CE7146" w:rsidRPr="002D7366" w:rsidRDefault="00CE7146" w:rsidP="005432D0">
      <w:pPr>
        <w:pStyle w:val="NormalWeb"/>
        <w:rPr>
          <w:rFonts w:ascii="EB Garamond" w:hAnsi="EB Garamond"/>
        </w:rPr>
      </w:pPr>
      <w:r w:rsidRPr="002D7366">
        <w:rPr>
          <w:rFonts w:ascii="EB Garamond" w:hAnsi="EB Garamond"/>
        </w:rPr>
        <w:t xml:space="preserve">DS says: ‘be an S-er’ (i.e. someone with that disposition). It is </w:t>
      </w:r>
      <w:r w:rsidRPr="002D7366">
        <w:rPr>
          <w:rFonts w:ascii="EB Garamond" w:hAnsi="EB Garamond"/>
          <w:i/>
          <w:iCs/>
        </w:rPr>
        <w:t xml:space="preserve">derivative </w:t>
      </w:r>
      <w:r w:rsidRPr="002D7366">
        <w:rPr>
          <w:rFonts w:ascii="EB Garamond" w:hAnsi="EB Garamond"/>
        </w:rPr>
        <w:t xml:space="preserve">of S in the following sense: you ought to be disposed to only form true beliefs (i.e., be so disposed that </w:t>
      </w:r>
      <w:r w:rsidRPr="002D7366">
        <w:rPr>
          <w:rFonts w:ascii="EB Garamond" w:hAnsi="EB Garamond"/>
          <w:i/>
          <w:iCs/>
        </w:rPr>
        <w:t>if</w:t>
      </w:r>
      <w:r w:rsidRPr="002D7366">
        <w:rPr>
          <w:rFonts w:ascii="EB Garamond" w:hAnsi="EB Garamond"/>
        </w:rPr>
        <w:t xml:space="preserve"> you form a belief, then it’s true) </w:t>
      </w:r>
      <w:r w:rsidRPr="002D7366">
        <w:rPr>
          <w:rFonts w:ascii="EB Garamond" w:hAnsi="EB Garamond"/>
          <w:i/>
          <w:iCs/>
        </w:rPr>
        <w:t>because</w:t>
      </w:r>
      <w:r w:rsidRPr="002D7366">
        <w:rPr>
          <w:rFonts w:ascii="EB Garamond" w:hAnsi="EB Garamond"/>
        </w:rPr>
        <w:t xml:space="preserve"> you</w:t>
      </w:r>
      <w:r w:rsidRPr="00581356">
        <w:rPr>
          <w:rFonts w:ascii="EB Garamond" w:hAnsi="EB Garamond"/>
        </w:rPr>
        <w:t xml:space="preserve"> ought to only form a belief if true. As Williamson (8) stresses, we can be S-ers without </w:t>
      </w:r>
      <w:r w:rsidRPr="00581356">
        <w:rPr>
          <w:rFonts w:ascii="EB Garamond" w:hAnsi="EB Garamond"/>
          <w:i/>
          <w:iCs/>
        </w:rPr>
        <w:t>always</w:t>
      </w:r>
      <w:r w:rsidRPr="00581356">
        <w:rPr>
          <w:rFonts w:ascii="EB Garamond" w:hAnsi="EB Garamond"/>
        </w:rPr>
        <w:t xml:space="preserve"> complying with the primary norm: we’re fallible; we don’t always believe what our ideal counterparts would believe. But it </w:t>
      </w:r>
      <w:r w:rsidRPr="00581356">
        <w:rPr>
          <w:rFonts w:ascii="EB Garamond" w:hAnsi="EB Garamond"/>
          <w:i/>
          <w:iCs/>
        </w:rPr>
        <w:t>is</w:t>
      </w:r>
      <w:r w:rsidRPr="00581356">
        <w:rPr>
          <w:rFonts w:ascii="EB Garamond" w:hAnsi="EB Garamond"/>
        </w:rPr>
        <w:t xml:space="preserve"> necessary that our beliefs </w:t>
      </w:r>
      <w:r w:rsidRPr="00581356">
        <w:rPr>
          <w:rFonts w:ascii="EB Garamond" w:hAnsi="EB Garamond"/>
          <w:i/>
          <w:iCs/>
        </w:rPr>
        <w:t>normally</w:t>
      </w:r>
      <w:r w:rsidRPr="00581356">
        <w:rPr>
          <w:rFonts w:ascii="EB Garamond" w:hAnsi="EB Garamond"/>
        </w:rPr>
        <w:t xml:space="preserve"> </w:t>
      </w:r>
      <w:r w:rsidRPr="002D7366">
        <w:rPr>
          <w:rFonts w:ascii="EB Garamond" w:hAnsi="EB Garamond"/>
        </w:rPr>
        <w:t>satisfy S. More could be said about this notion of ‘normality’, but Williamson draws the line here.</w:t>
      </w:r>
    </w:p>
    <w:p w14:paraId="01E62ED9" w14:textId="77777777" w:rsidR="00CE7146" w:rsidRPr="002D7366" w:rsidRDefault="00CE7146" w:rsidP="005432D0">
      <w:pPr>
        <w:pStyle w:val="NormalWeb"/>
        <w:rPr>
          <w:rFonts w:ascii="EB Garamond" w:hAnsi="EB Garamond"/>
        </w:rPr>
      </w:pPr>
      <w:r w:rsidRPr="002D7366">
        <w:rPr>
          <w:rFonts w:ascii="EB Garamond" w:hAnsi="EB Garamond"/>
        </w:rPr>
        <w:t xml:space="preserve">Finally, you should believe what an S-er would believe in your situation. So says the </w:t>
      </w:r>
      <w:r w:rsidRPr="002D7366">
        <w:rPr>
          <w:rFonts w:ascii="EB Garamond" w:hAnsi="EB Garamond"/>
          <w:i/>
          <w:iCs/>
        </w:rPr>
        <w:t xml:space="preserve">tertiary </w:t>
      </w:r>
      <w:r w:rsidRPr="002D7366">
        <w:rPr>
          <w:rFonts w:ascii="EB Garamond" w:hAnsi="EB Garamond"/>
        </w:rPr>
        <w:t>norm of belief:</w:t>
      </w:r>
    </w:p>
    <w:p w14:paraId="769FECBB" w14:textId="77777777" w:rsidR="00CE7146" w:rsidRPr="00581356" w:rsidRDefault="00CE7146" w:rsidP="005432D0">
      <w:pPr>
        <w:pStyle w:val="NormalWeb"/>
        <w:ind w:left="1440"/>
        <w:rPr>
          <w:rFonts w:ascii="EB Garamond" w:hAnsi="EB Garamond"/>
        </w:rPr>
      </w:pPr>
      <w:r w:rsidRPr="00581356">
        <w:rPr>
          <w:rFonts w:ascii="EB Garamond" w:hAnsi="EB Garamond"/>
        </w:rPr>
        <w:t>(ODS) one ought to (believe what an S-er would believe in one’s situation)</w:t>
      </w:r>
    </w:p>
    <w:p w14:paraId="7049C116" w14:textId="77777777" w:rsidR="00CE7146" w:rsidRPr="002D7366" w:rsidRDefault="00CE7146" w:rsidP="005432D0">
      <w:pPr>
        <w:pStyle w:val="NormalWeb"/>
        <w:rPr>
          <w:rFonts w:ascii="EB Garamond" w:hAnsi="EB Garamond"/>
        </w:rPr>
      </w:pPr>
      <w:r w:rsidRPr="002D7366">
        <w:rPr>
          <w:rFonts w:ascii="EB Garamond" w:hAnsi="EB Garamond"/>
        </w:rPr>
        <w:t xml:space="preserve">ODS is </w:t>
      </w:r>
      <w:r w:rsidRPr="002D7366">
        <w:rPr>
          <w:rFonts w:ascii="EB Garamond" w:hAnsi="EB Garamond"/>
          <w:i/>
          <w:iCs/>
        </w:rPr>
        <w:t xml:space="preserve">occurrent </w:t>
      </w:r>
      <w:r w:rsidRPr="002D7366">
        <w:rPr>
          <w:rFonts w:ascii="EB Garamond" w:hAnsi="EB Garamond"/>
        </w:rPr>
        <w:t xml:space="preserve">because its satisfaction is determined by what the subject </w:t>
      </w:r>
      <w:r w:rsidRPr="002D7366">
        <w:rPr>
          <w:rFonts w:ascii="EB Garamond" w:hAnsi="EB Garamond"/>
          <w:i/>
          <w:iCs/>
        </w:rPr>
        <w:t xml:space="preserve">does </w:t>
      </w:r>
      <w:r w:rsidRPr="002D7366">
        <w:rPr>
          <w:rFonts w:ascii="EB Garamond" w:hAnsi="EB Garamond"/>
        </w:rPr>
        <w:t>in her situation (see Williamson: 28). It is derivative</w:t>
      </w:r>
      <w:r w:rsidRPr="002D7366">
        <w:rPr>
          <w:rFonts w:ascii="EB Garamond" w:hAnsi="EB Garamond"/>
          <w:i/>
          <w:iCs/>
        </w:rPr>
        <w:t xml:space="preserve"> </w:t>
      </w:r>
      <w:r w:rsidRPr="002D7366">
        <w:rPr>
          <w:rFonts w:ascii="EB Garamond" w:hAnsi="EB Garamond"/>
        </w:rPr>
        <w:t xml:space="preserve">of S in the following sense: you ought to do what someone disposed to only form true beliefs would do </w:t>
      </w:r>
      <w:r w:rsidRPr="002D7366">
        <w:rPr>
          <w:rFonts w:ascii="EB Garamond" w:hAnsi="EB Garamond"/>
          <w:i/>
          <w:iCs/>
        </w:rPr>
        <w:t>because</w:t>
      </w:r>
      <w:r w:rsidRPr="002D7366">
        <w:rPr>
          <w:rFonts w:ascii="EB Garamond" w:hAnsi="EB Garamond"/>
        </w:rPr>
        <w:t xml:space="preserve"> you ought to only form a belief if true. If it’s raining on Walden Pond, then you ought to believe, or continue to believe, what someone who tends to have only true beliefs would believe in your situation, if they were to consider the matter (that it’s raining on Walden Pond). </w:t>
      </w:r>
    </w:p>
    <w:p w14:paraId="58816333" w14:textId="77777777" w:rsidR="00CE7146" w:rsidRPr="00581356" w:rsidRDefault="00CE7146" w:rsidP="005432D0">
      <w:pPr>
        <w:pStyle w:val="NormalWeb"/>
        <w:rPr>
          <w:rFonts w:ascii="EB Garamond" w:hAnsi="EB Garamond"/>
        </w:rPr>
      </w:pPr>
      <w:r w:rsidRPr="00581356">
        <w:rPr>
          <w:rFonts w:ascii="EB Garamond" w:hAnsi="EB Garamond"/>
        </w:rPr>
        <w:t>(1), recall, says that one’s belief is justified if formed in (near enough) the best feasible way. Which norm is at issue here? For Williamson (20), it’s ODS: (1) says, in effect, that one’s belief is justified if it’s what an S-er would believe in one’s situation. But this is false. Why?</w:t>
      </w:r>
    </w:p>
    <w:p w14:paraId="112E3524" w14:textId="2475ABDA" w:rsidR="00076CDE" w:rsidRPr="00192A92" w:rsidRDefault="00076CDE" w:rsidP="005432D0">
      <w:pPr>
        <w:pStyle w:val="NormalWeb"/>
        <w:ind w:left="720"/>
        <w:rPr>
          <w:rStyle w:val="Emphasis"/>
          <w:rFonts w:ascii="EB Garamond" w:hAnsi="EB Garamond"/>
        </w:rPr>
      </w:pPr>
      <w:r w:rsidRPr="00192A92">
        <w:rPr>
          <w:rStyle w:val="Emphasis"/>
          <w:rFonts w:ascii="EB Garamond" w:hAnsi="EB Garamond"/>
        </w:rPr>
        <w:t>3.2 Scrambler</w:t>
      </w:r>
    </w:p>
    <w:p w14:paraId="5E69D7BF" w14:textId="77777777" w:rsidR="00CE7146" w:rsidRPr="002D7366" w:rsidRDefault="00CE7146" w:rsidP="005432D0">
      <w:pPr>
        <w:pStyle w:val="NormalWeb"/>
        <w:rPr>
          <w:rFonts w:ascii="EB Garamond" w:hAnsi="EB Garamond"/>
        </w:rPr>
      </w:pPr>
      <w:r w:rsidRPr="002D7366">
        <w:rPr>
          <w:rFonts w:ascii="EB Garamond" w:hAnsi="EB Garamond"/>
        </w:rPr>
        <w:t>First, Williamson (15) asks us to assume a minimal interpretation of S on which it rules out belief in contradictions (call it S</w:t>
      </w:r>
      <w:r w:rsidRPr="002D7366">
        <w:rPr>
          <w:rFonts w:ascii="EB Garamond" w:hAnsi="EB Garamond"/>
          <w:vertAlign w:val="subscript"/>
        </w:rPr>
        <w:t>min.</w:t>
      </w:r>
      <w:r w:rsidRPr="002D7366">
        <w:rPr>
          <w:rFonts w:ascii="EB Garamond" w:hAnsi="EB Garamond"/>
        </w:rPr>
        <w:t>). This is a condition that he and his opponents will take to be the core of any plausible primary norm of belief (setting dialetheia aside). Consider:</w:t>
      </w:r>
    </w:p>
    <w:p w14:paraId="1D86B340" w14:textId="77777777" w:rsidR="00CE7146" w:rsidRPr="002D7366" w:rsidRDefault="00CE7146" w:rsidP="005432D0">
      <w:pPr>
        <w:pStyle w:val="NormalWeb"/>
        <w:ind w:left="720"/>
        <w:rPr>
          <w:rFonts w:ascii="EB Garamond" w:hAnsi="EB Garamond"/>
        </w:rPr>
      </w:pPr>
      <w:r w:rsidRPr="002D7366">
        <w:rPr>
          <w:rFonts w:ascii="EB Garamond" w:hAnsi="EB Garamond"/>
          <w:b/>
          <w:bCs/>
        </w:rPr>
        <w:t>Scrambler</w:t>
      </w:r>
      <w:r w:rsidRPr="002D7366">
        <w:rPr>
          <w:rFonts w:ascii="EB Garamond" w:hAnsi="EB Garamond"/>
        </w:rPr>
        <w:t>: Connie is disposed to comply with S</w:t>
      </w:r>
      <w:r w:rsidRPr="002D7366">
        <w:rPr>
          <w:rFonts w:ascii="EB Garamond" w:hAnsi="EB Garamond"/>
          <w:vertAlign w:val="subscript"/>
        </w:rPr>
        <w:t>min.</w:t>
      </w:r>
      <w:r w:rsidRPr="002D7366">
        <w:rPr>
          <w:rFonts w:ascii="EB Garamond" w:hAnsi="EB Garamond"/>
        </w:rPr>
        <w:t xml:space="preserve">. Exposed to a scrambler – a device which sporadically alters the contents of her working memory, temporarily taking her capacity to detect contradictions offline – she comes to believe that 179 </w:t>
      </w:r>
      <w:r w:rsidRPr="002D7366">
        <w:rPr>
          <w:rFonts w:ascii="EB Garamond" w:hAnsi="EB Garamond"/>
          <w:i/>
          <w:iCs/>
        </w:rPr>
        <w:t>is</w:t>
      </w:r>
      <w:r w:rsidRPr="002D7366">
        <w:rPr>
          <w:rFonts w:ascii="EB Garamond" w:hAnsi="EB Garamond"/>
        </w:rPr>
        <w:t xml:space="preserve"> and </w:t>
      </w:r>
      <w:r w:rsidRPr="002D7366">
        <w:rPr>
          <w:rFonts w:ascii="EB Garamond" w:hAnsi="EB Garamond"/>
          <w:i/>
          <w:iCs/>
        </w:rPr>
        <w:t>is not</w:t>
      </w:r>
      <w:r w:rsidRPr="002D7366">
        <w:rPr>
          <w:rFonts w:ascii="EB Garamond" w:hAnsi="EB Garamond"/>
        </w:rPr>
        <w:t xml:space="preserve"> prime (Williamson: 15-17; Williamson 2017: 268- 269).</w:t>
      </w:r>
    </w:p>
    <w:p w14:paraId="53975133" w14:textId="77777777" w:rsidR="00CE7146" w:rsidRPr="00581356" w:rsidRDefault="00CE7146" w:rsidP="005432D0">
      <w:pPr>
        <w:pStyle w:val="NormalWeb"/>
        <w:rPr>
          <w:rFonts w:ascii="EB Garamond" w:hAnsi="EB Garamond"/>
        </w:rPr>
      </w:pPr>
      <w:r w:rsidRPr="00581356">
        <w:rPr>
          <w:rFonts w:ascii="EB Garamond" w:hAnsi="EB Garamond"/>
        </w:rPr>
        <w:t>Williamson reasons as follows: Connie violates S</w:t>
      </w:r>
      <w:r w:rsidRPr="00581356">
        <w:rPr>
          <w:rFonts w:ascii="EB Garamond" w:hAnsi="EB Garamond"/>
          <w:vertAlign w:val="subscript"/>
        </w:rPr>
        <w:t xml:space="preserve">min. </w:t>
      </w:r>
      <w:r w:rsidRPr="00581356">
        <w:rPr>
          <w:rFonts w:ascii="EB Garamond" w:hAnsi="EB Garamond"/>
        </w:rPr>
        <w:t>(she believes a contradiction). She satisfies DS</w:t>
      </w:r>
      <w:r w:rsidRPr="00581356">
        <w:rPr>
          <w:rFonts w:ascii="EB Garamond" w:hAnsi="EB Garamond"/>
          <w:vertAlign w:val="subscript"/>
        </w:rPr>
        <w:t xml:space="preserve">min. </w:t>
      </w:r>
      <w:r w:rsidRPr="00581356">
        <w:rPr>
          <w:rFonts w:ascii="EB Garamond" w:hAnsi="EB Garamond"/>
        </w:rPr>
        <w:t>by stipulation. Since Connie satisfies DS</w:t>
      </w:r>
      <w:r w:rsidRPr="00581356">
        <w:rPr>
          <w:rFonts w:ascii="EB Garamond" w:hAnsi="EB Garamond"/>
          <w:vertAlign w:val="subscript"/>
        </w:rPr>
        <w:t>min.</w:t>
      </w:r>
      <w:r w:rsidRPr="00581356">
        <w:rPr>
          <w:rFonts w:ascii="EB Garamond" w:hAnsi="EB Garamond"/>
        </w:rPr>
        <w:t>, whatever she believes will be what someone with the disposition to comply with S</w:t>
      </w:r>
      <w:r w:rsidRPr="00581356">
        <w:rPr>
          <w:rFonts w:ascii="EB Garamond" w:hAnsi="EB Garamond"/>
          <w:vertAlign w:val="subscript"/>
        </w:rPr>
        <w:t>min.</w:t>
      </w:r>
      <w:r w:rsidRPr="00581356">
        <w:rPr>
          <w:rFonts w:ascii="EB Garamond" w:hAnsi="EB Garamond"/>
        </w:rPr>
        <w:t xml:space="preserve"> would believe. So she complies with ODS</w:t>
      </w:r>
      <w:r w:rsidRPr="00581356">
        <w:rPr>
          <w:rFonts w:ascii="EB Garamond" w:hAnsi="EB Garamond"/>
          <w:vertAlign w:val="subscript"/>
        </w:rPr>
        <w:t xml:space="preserve">min. </w:t>
      </w:r>
      <w:r w:rsidRPr="00581356">
        <w:rPr>
          <w:rFonts w:ascii="EB Garamond" w:hAnsi="EB Garamond"/>
        </w:rPr>
        <w:t>in forming her belief. We have it that Connie’s belief violates S</w:t>
      </w:r>
      <w:r w:rsidRPr="00581356">
        <w:rPr>
          <w:rFonts w:ascii="EB Garamond" w:hAnsi="EB Garamond"/>
          <w:vertAlign w:val="subscript"/>
        </w:rPr>
        <w:t xml:space="preserve">min. </w:t>
      </w:r>
      <w:r w:rsidRPr="00581356">
        <w:rPr>
          <w:rFonts w:ascii="EB Garamond" w:hAnsi="EB Garamond"/>
        </w:rPr>
        <w:t>and satisfies ODS</w:t>
      </w:r>
      <w:r w:rsidRPr="00581356">
        <w:rPr>
          <w:rFonts w:ascii="EB Garamond" w:hAnsi="EB Garamond"/>
          <w:vertAlign w:val="subscript"/>
        </w:rPr>
        <w:t>min.</w:t>
      </w:r>
      <w:r w:rsidRPr="00581356">
        <w:rPr>
          <w:rFonts w:ascii="EB Garamond" w:hAnsi="EB Garamond"/>
        </w:rPr>
        <w:t xml:space="preserve">. That means the compliance conditions for S and ODS will diverge if S incorporates a consistency requirement. And we think that it will. But our verdict about Scrambler is that Connie’s belief isn’t justified. So compliance with ODS doesn’t </w:t>
      </w:r>
      <w:r w:rsidRPr="00581356">
        <w:rPr>
          <w:rFonts w:ascii="EB Garamond" w:hAnsi="EB Garamond"/>
          <w:i/>
          <w:iCs/>
        </w:rPr>
        <w:t>justify</w:t>
      </w:r>
      <w:r w:rsidRPr="00581356">
        <w:rPr>
          <w:rFonts w:ascii="EB Garamond" w:hAnsi="EB Garamond"/>
        </w:rPr>
        <w:t>: if it did, then Connie’s belief would be justified.</w:t>
      </w:r>
    </w:p>
    <w:p w14:paraId="6F12FF25" w14:textId="77777777" w:rsidR="00CE7146" w:rsidRPr="00581356" w:rsidRDefault="00CE7146" w:rsidP="005432D0">
      <w:pPr>
        <w:pStyle w:val="NormalWeb"/>
        <w:rPr>
          <w:rFonts w:ascii="EB Garamond" w:hAnsi="EB Garamond"/>
        </w:rPr>
      </w:pPr>
      <w:r w:rsidRPr="00581356">
        <w:rPr>
          <w:rFonts w:ascii="EB Garamond" w:hAnsi="EB Garamond"/>
        </w:rPr>
        <w:lastRenderedPageBreak/>
        <w:t>Why does this result threaten SA? Recall that, for Williamson, (1) says that if you believe what an S-er would believe in your situation, then you’re justified. But we just saw that compliance with ODS doesn’t justify. So SA doesn’t establish JFB. That’s Williamson’s argument.</w:t>
      </w:r>
    </w:p>
    <w:p w14:paraId="2D14225A" w14:textId="1BDC7674" w:rsidR="00076CDE" w:rsidRPr="00192A92" w:rsidRDefault="00076CDE" w:rsidP="00192A92">
      <w:pPr>
        <w:pStyle w:val="NormalWeb"/>
        <w:numPr>
          <w:ilvl w:val="0"/>
          <w:numId w:val="4"/>
        </w:numPr>
        <w:rPr>
          <w:rStyle w:val="Emphasis"/>
          <w:rFonts w:ascii="EB Garamond" w:hAnsi="EB Garamond"/>
          <w:color w:val="000000" w:themeColor="text1"/>
        </w:rPr>
      </w:pPr>
      <w:r w:rsidRPr="00192A92">
        <w:rPr>
          <w:rStyle w:val="Emphasis"/>
          <w:rFonts w:ascii="EB Garamond" w:hAnsi="EB Garamond"/>
          <w:color w:val="000000" w:themeColor="text1"/>
        </w:rPr>
        <w:t>What the tertiary norm of belief is</w:t>
      </w:r>
    </w:p>
    <w:p w14:paraId="2D32F2D1" w14:textId="77777777" w:rsidR="00CE7146" w:rsidRPr="00192A92" w:rsidRDefault="00CE7146" w:rsidP="005432D0">
      <w:pPr>
        <w:pStyle w:val="NormalWeb"/>
        <w:ind w:left="720"/>
        <w:rPr>
          <w:rStyle w:val="Emphasis"/>
          <w:rFonts w:ascii="EB Garamond" w:hAnsi="EB Garamond"/>
          <w:color w:val="000000" w:themeColor="text1"/>
        </w:rPr>
      </w:pPr>
      <w:r w:rsidRPr="00192A92">
        <w:rPr>
          <w:rStyle w:val="Emphasis"/>
          <w:rFonts w:ascii="EB Garamond" w:hAnsi="EB Garamond"/>
          <w:color w:val="000000" w:themeColor="text1"/>
        </w:rPr>
        <w:t>4.1 SA does not appeal to ODS</w:t>
      </w:r>
    </w:p>
    <w:p w14:paraId="1699F9F8" w14:textId="324D8428" w:rsidR="00CE7146" w:rsidRPr="00581356" w:rsidRDefault="00CE7146" w:rsidP="005432D0">
      <w:pPr>
        <w:pStyle w:val="NormalWeb"/>
        <w:rPr>
          <w:rFonts w:ascii="EB Garamond" w:hAnsi="EB Garamond"/>
        </w:rPr>
      </w:pPr>
      <w:r w:rsidRPr="00581356">
        <w:rPr>
          <w:rFonts w:ascii="EB Garamond" w:hAnsi="EB Garamond"/>
        </w:rPr>
        <w:t xml:space="preserve">Here’s the problem with Williamson’s argument: the norm to which SA appeals is </w:t>
      </w:r>
      <w:r w:rsidRPr="00581356">
        <w:rPr>
          <w:rFonts w:ascii="EB Garamond" w:hAnsi="EB Garamond"/>
          <w:i/>
          <w:iCs/>
        </w:rPr>
        <w:t>not</w:t>
      </w:r>
      <w:r w:rsidRPr="00581356">
        <w:rPr>
          <w:rFonts w:ascii="EB Garamond" w:hAnsi="EB Garamond"/>
        </w:rPr>
        <w:t xml:space="preserve"> ODS. Recall the major premis</w:t>
      </w:r>
      <w:r w:rsidR="00E065D6">
        <w:rPr>
          <w:rFonts w:ascii="EB Garamond" w:hAnsi="EB Garamond"/>
        </w:rPr>
        <w:t>s</w:t>
      </w:r>
      <w:r w:rsidRPr="00581356">
        <w:rPr>
          <w:rFonts w:ascii="EB Garamond" w:hAnsi="EB Garamond"/>
        </w:rPr>
        <w:t>:</w:t>
      </w:r>
    </w:p>
    <w:p w14:paraId="2C1761DB" w14:textId="77777777" w:rsidR="00CE7146" w:rsidRPr="00581356" w:rsidRDefault="00CE7146" w:rsidP="005432D0">
      <w:pPr>
        <w:pStyle w:val="NormalWeb"/>
        <w:numPr>
          <w:ilvl w:val="0"/>
          <w:numId w:val="1"/>
        </w:numPr>
        <w:rPr>
          <w:rFonts w:ascii="EB Garamond" w:hAnsi="EB Garamond"/>
        </w:rPr>
      </w:pPr>
      <w:r w:rsidRPr="00581356">
        <w:rPr>
          <w:rFonts w:ascii="EB Garamond" w:hAnsi="EB Garamond"/>
        </w:rPr>
        <w:t>If a belief is formed in (near enough) the best feasible way, then it is justified.</w:t>
      </w:r>
    </w:p>
    <w:p w14:paraId="1811E255" w14:textId="6F2F4E64" w:rsidR="00CE7146" w:rsidRPr="00581356" w:rsidRDefault="00CE7146" w:rsidP="005432D0">
      <w:pPr>
        <w:pStyle w:val="NormalWeb"/>
        <w:rPr>
          <w:rFonts w:ascii="EB Garamond" w:hAnsi="EB Garamond"/>
        </w:rPr>
      </w:pPr>
      <w:r w:rsidRPr="00581356">
        <w:rPr>
          <w:rFonts w:ascii="EB Garamond" w:hAnsi="EB Garamond"/>
        </w:rPr>
        <w:t>(1) does not say that ODS-compliance is justifying. If ODS were at issue, then the premis</w:t>
      </w:r>
      <w:r w:rsidR="00E065D6">
        <w:rPr>
          <w:rFonts w:ascii="EB Garamond" w:hAnsi="EB Garamond"/>
        </w:rPr>
        <w:t>s</w:t>
      </w:r>
      <w:r w:rsidRPr="00581356">
        <w:rPr>
          <w:rFonts w:ascii="EB Garamond" w:hAnsi="EB Garamond"/>
        </w:rPr>
        <w:t xml:space="preserve"> would read: </w:t>
      </w:r>
    </w:p>
    <w:p w14:paraId="01248D35" w14:textId="77777777" w:rsidR="00CE7146" w:rsidRPr="00581356" w:rsidRDefault="00CE7146" w:rsidP="005432D0">
      <w:pPr>
        <w:pStyle w:val="NormalWeb"/>
        <w:ind w:left="720"/>
        <w:rPr>
          <w:rFonts w:ascii="EB Garamond" w:hAnsi="EB Garamond"/>
        </w:rPr>
      </w:pPr>
      <w:r w:rsidRPr="00581356">
        <w:rPr>
          <w:rFonts w:ascii="EB Garamond" w:hAnsi="EB Garamond"/>
        </w:rPr>
        <w:t>(</w:t>
      </w:r>
      <w:r w:rsidRPr="00C652D9">
        <w:rPr>
          <w:rFonts w:ascii="EB Garamond" w:hAnsi="EB Garamond"/>
        </w:rPr>
        <w:t>1*)</w:t>
      </w:r>
      <w:r w:rsidRPr="00581356">
        <w:rPr>
          <w:rFonts w:ascii="EB Garamond" w:hAnsi="EB Garamond"/>
        </w:rPr>
        <w:t xml:space="preserve"> If a belief is formed in the way that an S-er would form her belief, then it is justified.</w:t>
      </w:r>
    </w:p>
    <w:p w14:paraId="7249D1D0" w14:textId="77777777" w:rsidR="00CE7146" w:rsidRPr="00581356" w:rsidRDefault="00CE7146" w:rsidP="005432D0">
      <w:pPr>
        <w:pStyle w:val="NormalWeb"/>
        <w:rPr>
          <w:rFonts w:ascii="EB Garamond" w:hAnsi="EB Garamond"/>
        </w:rPr>
      </w:pPr>
      <w:r w:rsidRPr="002D7366">
        <w:rPr>
          <w:rFonts w:ascii="EB Garamond" w:hAnsi="EB Garamond"/>
        </w:rPr>
        <w:t>But (1*) is implausible:</w:t>
      </w:r>
      <w:r w:rsidRPr="00581356">
        <w:rPr>
          <w:rFonts w:ascii="EB Garamond" w:hAnsi="EB Garamond"/>
        </w:rPr>
        <w:t xml:space="preserve"> why should the fact that one’s way matches an S-er’s way justify the resulting belief if one’s situation is such that </w:t>
      </w:r>
      <w:r w:rsidRPr="00581356">
        <w:rPr>
          <w:rFonts w:ascii="EB Garamond" w:hAnsi="EB Garamond"/>
          <w:i/>
          <w:iCs/>
        </w:rPr>
        <w:t>even an</w:t>
      </w:r>
      <w:r w:rsidRPr="00581356">
        <w:rPr>
          <w:rFonts w:ascii="EB Garamond" w:hAnsi="EB Garamond"/>
        </w:rPr>
        <w:t xml:space="preserve"> </w:t>
      </w:r>
      <w:r w:rsidRPr="00581356">
        <w:rPr>
          <w:rFonts w:ascii="EB Garamond" w:hAnsi="EB Garamond"/>
          <w:i/>
          <w:iCs/>
        </w:rPr>
        <w:t>S-er</w:t>
      </w:r>
      <w:r w:rsidRPr="00581356">
        <w:rPr>
          <w:rFonts w:ascii="EB Garamond" w:hAnsi="EB Garamond"/>
        </w:rPr>
        <w:t>’s way would be defective by S’s lights?</w:t>
      </w:r>
      <w:r w:rsidRPr="00581356">
        <w:rPr>
          <w:rStyle w:val="FootnoteReference"/>
          <w:rFonts w:ascii="EB Garamond" w:hAnsi="EB Garamond"/>
        </w:rPr>
        <w:footnoteReference w:id="8"/>
      </w:r>
      <w:r w:rsidRPr="00581356">
        <w:rPr>
          <w:rFonts w:ascii="EB Garamond" w:hAnsi="EB Garamond"/>
        </w:rPr>
        <w:t xml:space="preserve"> The answer is that it shouldn’t: </w:t>
      </w:r>
      <w:r w:rsidRPr="00581356">
        <w:rPr>
          <w:rFonts w:ascii="EB Garamond" w:hAnsi="EB Garamond"/>
          <w:i/>
          <w:iCs/>
        </w:rPr>
        <w:t xml:space="preserve">no one </w:t>
      </w:r>
      <w:r w:rsidRPr="00581356">
        <w:rPr>
          <w:rFonts w:ascii="EB Garamond" w:hAnsi="EB Garamond"/>
        </w:rPr>
        <w:t>(I suppose not even Connie) thinks that Connie’s belief in Scrambler is justified. That strongly suggests that ODS isn’t the norm at issue. Instead, SA appeals to a norm of the following kind:</w:t>
      </w:r>
    </w:p>
    <w:p w14:paraId="1503152C" w14:textId="77777777" w:rsidR="00CE7146" w:rsidRPr="002D7366" w:rsidRDefault="00CE7146" w:rsidP="005432D0">
      <w:pPr>
        <w:pStyle w:val="NormalWeb"/>
        <w:ind w:left="720"/>
        <w:rPr>
          <w:rFonts w:ascii="EB Garamond" w:hAnsi="EB Garamond"/>
        </w:rPr>
      </w:pPr>
      <w:r w:rsidRPr="002D7366">
        <w:rPr>
          <w:rFonts w:ascii="EB Garamond" w:hAnsi="EB Garamond"/>
        </w:rPr>
        <w:t>(ODS</w:t>
      </w:r>
      <w:r w:rsidRPr="002D7366">
        <w:rPr>
          <w:rFonts w:ascii="EB Garamond" w:hAnsi="EB Garamond"/>
          <w:position w:val="8"/>
          <w:sz w:val="16"/>
          <w:szCs w:val="16"/>
        </w:rPr>
        <w:t>+</w:t>
      </w:r>
      <w:r w:rsidRPr="002D7366">
        <w:rPr>
          <w:rFonts w:ascii="EB Garamond" w:hAnsi="EB Garamond"/>
        </w:rPr>
        <w:t>) one ought to (</w:t>
      </w:r>
      <w:r w:rsidRPr="002D7366">
        <w:rPr>
          <w:rFonts w:ascii="EB Garamond" w:hAnsi="EB Garamond"/>
          <w:i/>
          <w:iCs/>
        </w:rPr>
        <w:t>manifest a disposition</w:t>
      </w:r>
      <w:r w:rsidRPr="002D7366">
        <w:rPr>
          <w:rFonts w:ascii="EB Garamond" w:hAnsi="EB Garamond"/>
        </w:rPr>
        <w:t xml:space="preserve"> to comply with S)</w:t>
      </w:r>
      <w:r w:rsidRPr="002D7366">
        <w:rPr>
          <w:rStyle w:val="FootnoteReference"/>
          <w:rFonts w:ascii="EB Garamond" w:hAnsi="EB Garamond"/>
        </w:rPr>
        <w:footnoteReference w:id="9"/>
      </w:r>
    </w:p>
    <w:p w14:paraId="324FFA8C" w14:textId="7E7C0A76" w:rsidR="00CE7146" w:rsidRPr="002D7366" w:rsidRDefault="00CE7146" w:rsidP="005432D0">
      <w:pPr>
        <w:pStyle w:val="NormalWeb"/>
        <w:rPr>
          <w:rFonts w:ascii="EB Garamond" w:hAnsi="EB Garamond"/>
        </w:rPr>
      </w:pPr>
      <w:r w:rsidRPr="002D7366">
        <w:rPr>
          <w:rFonts w:ascii="EB Garamond" w:hAnsi="EB Garamond"/>
        </w:rPr>
        <w:t xml:space="preserve">Manifestation is a familiar notion. A glass manifests fragility when shattered by a soprano; a match manifests inflammability when it lights; and a castle manifests vulnerability when reduced to rubble by canon fire (Williamson: 22; 2017: 272). An object can have a disposition without manifesting it. A fragile glass may never be heated, and so never crack; never be sung to, and so never shatter and so on. Moreover, the glass may be wrapped in protective packaging, or guarded by a sorcerer capable of producing shockwaves which prevent it from shattering upon being struck (Bird 1998: 223). In such cases, even being struck, e.g., does not cause fragility to manifest: the disposition is </w:t>
      </w:r>
      <w:r w:rsidRPr="002D7366">
        <w:rPr>
          <w:rFonts w:ascii="EB Garamond" w:hAnsi="EB Garamond"/>
          <w:i/>
          <w:iCs/>
        </w:rPr>
        <w:t>masked</w:t>
      </w:r>
      <w:r w:rsidRPr="002D7366">
        <w:rPr>
          <w:rFonts w:ascii="EB Garamond" w:hAnsi="EB Garamond"/>
        </w:rPr>
        <w:t>.</w:t>
      </w:r>
      <w:r w:rsidRPr="002D7366">
        <w:rPr>
          <w:rStyle w:val="FootnoteReference"/>
          <w:rFonts w:ascii="EB Garamond" w:hAnsi="EB Garamond"/>
        </w:rPr>
        <w:footnoteReference w:id="10"/>
      </w:r>
      <w:r w:rsidRPr="002D7366">
        <w:rPr>
          <w:rFonts w:ascii="EB Garamond" w:hAnsi="EB Garamond"/>
        </w:rPr>
        <w:t xml:space="preserve"> From this point, my argument will be simple: (1) says that dispositional manifestation justifies; Connie’s S-compliant disposition is masked in Scrambler; so Scrambler isn’t a counterexample to (1).</w:t>
      </w:r>
    </w:p>
    <w:p w14:paraId="414BA43A" w14:textId="77777777" w:rsidR="00CE7146" w:rsidRPr="00581356" w:rsidRDefault="00CE7146" w:rsidP="005432D0">
      <w:pPr>
        <w:pStyle w:val="NormalWeb"/>
        <w:rPr>
          <w:rFonts w:ascii="EB Garamond" w:hAnsi="EB Garamond"/>
        </w:rPr>
      </w:pPr>
      <w:r w:rsidRPr="002D7366">
        <w:rPr>
          <w:rFonts w:ascii="EB Garamond" w:hAnsi="EB Garamond"/>
        </w:rPr>
        <w:t>First, why may (1) be glossed as ‘ODS</w:t>
      </w:r>
      <w:r w:rsidRPr="002D7366">
        <w:rPr>
          <w:rFonts w:ascii="EB Garamond" w:hAnsi="EB Garamond"/>
          <w:vertAlign w:val="superscript"/>
        </w:rPr>
        <w:t>+</w:t>
      </w:r>
      <w:r w:rsidRPr="002D7366">
        <w:rPr>
          <w:rFonts w:ascii="EB Garamond" w:hAnsi="EB Garamond"/>
        </w:rPr>
        <w:t xml:space="preserve"> justifies’ but not as ‘ODS justifies’?</w:t>
      </w:r>
      <w:r w:rsidRPr="002D7366">
        <w:rPr>
          <w:rStyle w:val="FootnoteReference"/>
          <w:rFonts w:ascii="EB Garamond" w:hAnsi="EB Garamond"/>
        </w:rPr>
        <w:footnoteReference w:id="11"/>
      </w:r>
      <w:r w:rsidRPr="002D7366">
        <w:rPr>
          <w:rFonts w:ascii="EB Garamond" w:hAnsi="EB Garamond"/>
        </w:rPr>
        <w:t xml:space="preserve"> (1) says that being formed in (near enough) the best feasible way is justifying for belief. But even S-ers can fail to </w:t>
      </w:r>
      <w:r w:rsidRPr="00581356">
        <w:rPr>
          <w:rFonts w:ascii="EB Garamond" w:hAnsi="EB Garamond"/>
        </w:rPr>
        <w:t xml:space="preserve">form </w:t>
      </w:r>
      <w:r w:rsidRPr="00581356">
        <w:rPr>
          <w:rFonts w:ascii="EB Garamond" w:hAnsi="EB Garamond"/>
        </w:rPr>
        <w:lastRenderedPageBreak/>
        <w:t>beliefs in ways that are good by the lights of S (e.g. when they’re tired, hungry, or having their brains scrambled). So it is, strictly speaking, irrelevant what an S-er would believe. What is relevant is what manifesting the best dispositions would come to; which way of forming a belief would be best by the lights of S given what’s feasible in the situation.</w:t>
      </w:r>
      <w:r w:rsidRPr="00581356">
        <w:rPr>
          <w:rStyle w:val="FootnoteReference"/>
          <w:rFonts w:ascii="EB Garamond" w:hAnsi="EB Garamond"/>
        </w:rPr>
        <w:footnoteReference w:id="12"/>
      </w:r>
    </w:p>
    <w:p w14:paraId="0DE816F8" w14:textId="77777777" w:rsidR="00CE7146" w:rsidRPr="002D7366" w:rsidRDefault="00CE7146" w:rsidP="005432D0">
      <w:pPr>
        <w:pStyle w:val="NormalWeb"/>
        <w:rPr>
          <w:rFonts w:ascii="EB Garamond" w:hAnsi="EB Garamond"/>
        </w:rPr>
      </w:pPr>
      <w:r w:rsidRPr="002D7366">
        <w:rPr>
          <w:rFonts w:ascii="EB Garamond" w:hAnsi="EB Garamond"/>
        </w:rPr>
        <w:t xml:space="preserve">Recall that the best feasible ways are not going to deliver truth or knowledge all of the time at every world: even our best ways of acquiring knowledge – believe your eyes, or the experts – sometimes lead to error. So a disposition that manifests as forming beliefs in (near enough) the best feasible ways will sometimes deliver a belief that violates S. In what sense, then, is the disposition in question ‘a disposition to </w:t>
      </w:r>
      <w:r w:rsidRPr="002D7366">
        <w:rPr>
          <w:rFonts w:ascii="EB Garamond" w:hAnsi="EB Garamond"/>
          <w:i/>
          <w:iCs/>
        </w:rPr>
        <w:t>comply</w:t>
      </w:r>
      <w:r w:rsidRPr="002D7366">
        <w:rPr>
          <w:rFonts w:ascii="EB Garamond" w:hAnsi="EB Garamond"/>
        </w:rPr>
        <w:t xml:space="preserve"> with S’? In type-2 cases, where one’s evidence is only </w:t>
      </w:r>
      <w:r w:rsidRPr="002D7366">
        <w:rPr>
          <w:rFonts w:ascii="EB Garamond" w:hAnsi="EB Garamond"/>
          <w:i/>
          <w:iCs/>
        </w:rPr>
        <w:t xml:space="preserve">locally </w:t>
      </w:r>
      <w:r w:rsidRPr="002D7366">
        <w:rPr>
          <w:rFonts w:ascii="EB Garamond" w:hAnsi="EB Garamond"/>
        </w:rPr>
        <w:t xml:space="preserve">misleading, it’s plain that manifesting this disposition implies S-compliance in </w:t>
      </w:r>
      <w:r w:rsidRPr="002D7366">
        <w:rPr>
          <w:rFonts w:ascii="EB Garamond" w:hAnsi="EB Garamond"/>
          <w:i/>
          <w:iCs/>
        </w:rPr>
        <w:t xml:space="preserve">normal </w:t>
      </w:r>
      <w:r w:rsidRPr="002D7366">
        <w:rPr>
          <w:rFonts w:ascii="EB Garamond" w:hAnsi="EB Garamond"/>
        </w:rPr>
        <w:t xml:space="preserve">cases, understood as cases where things </w:t>
      </w:r>
      <w:r w:rsidRPr="002D7366">
        <w:rPr>
          <w:rFonts w:ascii="EB Garamond" w:hAnsi="EB Garamond"/>
          <w:i/>
          <w:iCs/>
        </w:rPr>
        <w:t>are as they seem</w:t>
      </w:r>
      <w:r w:rsidRPr="002D7366">
        <w:rPr>
          <w:rFonts w:ascii="EB Garamond" w:hAnsi="EB Garamond"/>
        </w:rPr>
        <w:t xml:space="preserve"> given non-deficient evidence: plastic plants in the ‘real plants’ aisle are an abnormal occurrence in this sense; so B’s belief-forming process will deliver true or knowledgeable beliefs more often than not. Things are different in type-1 cases, where the beliefs manifest a disposition that, in the </w:t>
      </w:r>
      <w:r w:rsidRPr="002D7366">
        <w:rPr>
          <w:rFonts w:ascii="EB Garamond" w:hAnsi="EB Garamond"/>
          <w:i/>
          <w:iCs/>
        </w:rPr>
        <w:t xml:space="preserve">subject’s </w:t>
      </w:r>
      <w:r w:rsidRPr="002D7366">
        <w:rPr>
          <w:rFonts w:ascii="EB Garamond" w:hAnsi="EB Garamond"/>
        </w:rPr>
        <w:t xml:space="preserve">world, </w:t>
      </w:r>
      <w:r w:rsidRPr="002D7366">
        <w:rPr>
          <w:rFonts w:ascii="EB Garamond" w:hAnsi="EB Garamond"/>
          <w:i/>
          <w:iCs/>
        </w:rPr>
        <w:t xml:space="preserve">always </w:t>
      </w:r>
      <w:r w:rsidRPr="002D7366">
        <w:rPr>
          <w:rFonts w:ascii="EB Garamond" w:hAnsi="EB Garamond"/>
        </w:rPr>
        <w:t xml:space="preserve">delivers false and ignorant beliefs. But, on any reasonable understanding of feasibility, it isn’t feasible for subjects in type-1 cases to have true or knowledgeable beliefs. So it doesn’t count against a disposition’s being an </w:t>
      </w:r>
      <w:r w:rsidRPr="002D7366">
        <w:rPr>
          <w:rFonts w:ascii="EB Garamond" w:hAnsi="EB Garamond"/>
          <w:i/>
          <w:iCs/>
        </w:rPr>
        <w:t xml:space="preserve">S-compliant </w:t>
      </w:r>
      <w:r w:rsidRPr="002D7366">
        <w:rPr>
          <w:rFonts w:ascii="EB Garamond" w:hAnsi="EB Garamond"/>
        </w:rPr>
        <w:t xml:space="preserve">disposition that it fails to manifest as S-compliance at such worlds. What matters is that the disposition usually manifests as S-compliance at </w:t>
      </w:r>
      <w:r w:rsidRPr="002D7366">
        <w:rPr>
          <w:rFonts w:ascii="EB Garamond" w:hAnsi="EB Garamond"/>
          <w:i/>
          <w:iCs/>
        </w:rPr>
        <w:t>normal worlds</w:t>
      </w:r>
      <w:r w:rsidRPr="002D7366">
        <w:rPr>
          <w:rFonts w:ascii="EB Garamond" w:hAnsi="EB Garamond"/>
        </w:rPr>
        <w:t>; i.e., worlds relevantly like the world as we take it to be.</w:t>
      </w:r>
      <w:r w:rsidRPr="002D7366">
        <w:rPr>
          <w:rStyle w:val="FootnoteReference"/>
          <w:rFonts w:ascii="EB Garamond" w:hAnsi="EB Garamond"/>
        </w:rPr>
        <w:footnoteReference w:id="13"/>
      </w:r>
      <w:r w:rsidRPr="002D7366">
        <w:rPr>
          <w:rFonts w:ascii="EB Garamond" w:hAnsi="EB Garamond"/>
        </w:rPr>
        <w:t xml:space="preserve"> Williamson (14) seems to agree: even BIVs comply with DS and ODS (for all that he says, they comply with ODS</w:t>
      </w:r>
      <w:r w:rsidRPr="002D7366">
        <w:rPr>
          <w:rFonts w:ascii="EB Garamond" w:hAnsi="EB Garamond"/>
          <w:vertAlign w:val="superscript"/>
        </w:rPr>
        <w:t xml:space="preserve">+ </w:t>
      </w:r>
      <w:r w:rsidRPr="002D7366">
        <w:rPr>
          <w:rFonts w:ascii="EB Garamond" w:hAnsi="EB Garamond"/>
        </w:rPr>
        <w:t>too</w:t>
      </w:r>
      <w:r w:rsidRPr="002D7366">
        <w:rPr>
          <w:rStyle w:val="FootnoteReference"/>
          <w:rFonts w:ascii="EB Garamond" w:hAnsi="EB Garamond"/>
        </w:rPr>
        <w:footnoteReference w:id="14"/>
      </w:r>
      <w:r w:rsidRPr="002D7366">
        <w:rPr>
          <w:rFonts w:ascii="EB Garamond" w:hAnsi="EB Garamond"/>
        </w:rPr>
        <w:t>). Just as being a promise-keeper doesn’t imply that you normally keep your promises at every world, so being an S-er doesn’t imply that you normally form true or knowledgeable beliefs at every world (some, such as A’s, are too disabling).</w:t>
      </w:r>
    </w:p>
    <w:p w14:paraId="1BC5F007" w14:textId="77777777" w:rsidR="00CE7146" w:rsidRPr="00581356" w:rsidRDefault="00CE7146" w:rsidP="005432D0">
      <w:pPr>
        <w:pStyle w:val="NormalWeb"/>
        <w:rPr>
          <w:rFonts w:ascii="EB Garamond" w:hAnsi="EB Garamond"/>
        </w:rPr>
      </w:pPr>
      <w:r w:rsidRPr="002D7366">
        <w:rPr>
          <w:rFonts w:ascii="EB Garamond" w:hAnsi="EB Garamond"/>
        </w:rPr>
        <w:t>This is the sense in which the disposition to form beliefs in the best feasible ways is a disposition to comply with S: at a</w:t>
      </w:r>
      <w:r w:rsidRPr="00581356">
        <w:rPr>
          <w:rFonts w:ascii="EB Garamond" w:hAnsi="EB Garamond"/>
        </w:rPr>
        <w:t xml:space="preserve"> normal world, if you manifest that disposition, you’ll mostly form S-compliant beliefs. And the existence of abnormal worlds doesn’t affect the goodness of the disposition from the standpoint of S. In exactly the same way, the existence of possible worlds where a demon prevents anyone from keeping their promises doesn’t threaten the goodness of a promise-keeping disposition from the standpoint of promise-keeping.</w:t>
      </w:r>
    </w:p>
    <w:p w14:paraId="1395FE68" w14:textId="77777777" w:rsidR="00CE7146" w:rsidRPr="00192A92" w:rsidRDefault="00CE7146" w:rsidP="005432D0">
      <w:pPr>
        <w:pStyle w:val="NormalWeb"/>
        <w:ind w:left="720"/>
        <w:rPr>
          <w:rStyle w:val="Emphasis"/>
          <w:rFonts w:ascii="EB Garamond" w:hAnsi="EB Garamond"/>
        </w:rPr>
      </w:pPr>
      <w:r w:rsidRPr="00192A92">
        <w:rPr>
          <w:rStyle w:val="Emphasis"/>
          <w:rFonts w:ascii="EB Garamond" w:hAnsi="EB Garamond"/>
        </w:rPr>
        <w:lastRenderedPageBreak/>
        <w:t>4.2 ODS</w:t>
      </w:r>
      <w:r w:rsidRPr="00192A92">
        <w:rPr>
          <w:rStyle w:val="Emphasis"/>
          <w:rFonts w:ascii="EB Garamond" w:hAnsi="EB Garamond"/>
          <w:vertAlign w:val="superscript"/>
        </w:rPr>
        <w:t>+</w:t>
      </w:r>
      <w:r w:rsidRPr="00192A92">
        <w:rPr>
          <w:rStyle w:val="Emphasis"/>
          <w:rFonts w:ascii="EB Garamond" w:hAnsi="EB Garamond"/>
        </w:rPr>
        <w:t xml:space="preserve"> is the tertiary norm of belief</w:t>
      </w:r>
    </w:p>
    <w:p w14:paraId="7C4DA8A8" w14:textId="77777777" w:rsidR="00CE7146" w:rsidRPr="002D7366" w:rsidRDefault="00CE7146" w:rsidP="005432D0">
      <w:pPr>
        <w:pStyle w:val="NormalWeb"/>
        <w:rPr>
          <w:rFonts w:ascii="EB Garamond" w:hAnsi="EB Garamond"/>
        </w:rPr>
      </w:pPr>
      <w:r w:rsidRPr="002D7366">
        <w:rPr>
          <w:rFonts w:ascii="EB Garamond" w:hAnsi="EB Garamond"/>
        </w:rPr>
        <w:t>So far, I have argued for a more charitable reading of SA on which it cites compliance with ODS</w:t>
      </w:r>
      <w:r w:rsidRPr="002D7366">
        <w:rPr>
          <w:rFonts w:ascii="EB Garamond" w:hAnsi="EB Garamond"/>
          <w:vertAlign w:val="superscript"/>
        </w:rPr>
        <w:t>+</w:t>
      </w:r>
      <w:r w:rsidRPr="002D7366">
        <w:rPr>
          <w:rFonts w:ascii="EB Garamond" w:hAnsi="EB Garamond"/>
        </w:rPr>
        <w:t>. ODS and ODS</w:t>
      </w:r>
      <w:r w:rsidRPr="002D7366">
        <w:rPr>
          <w:rFonts w:ascii="EB Garamond" w:hAnsi="EB Garamond"/>
          <w:vertAlign w:val="superscript"/>
        </w:rPr>
        <w:t>+</w:t>
      </w:r>
      <w:r w:rsidRPr="002D7366">
        <w:rPr>
          <w:rFonts w:ascii="EB Garamond" w:hAnsi="EB Garamond"/>
        </w:rPr>
        <w:t xml:space="preserve"> recommend the same beliefs in cases where an S-er would manifest her S-compliant disposition. For example, if B is an S-er, then her belief satisfies ODS</w:t>
      </w:r>
      <w:r w:rsidRPr="002D7366">
        <w:rPr>
          <w:rFonts w:ascii="EB Garamond" w:hAnsi="EB Garamond"/>
          <w:vertAlign w:val="superscript"/>
        </w:rPr>
        <w:t>+</w:t>
      </w:r>
      <w:r w:rsidRPr="002D7366">
        <w:rPr>
          <w:rFonts w:ascii="EB Garamond" w:hAnsi="EB Garamond"/>
        </w:rPr>
        <w:t xml:space="preserve"> and ODS: it is formed in a good way in circumstances in which that’s what we’d expect from her. So, in this kind of case, there’s no reason to prefer ODS</w:t>
      </w:r>
      <w:r w:rsidRPr="002D7366">
        <w:rPr>
          <w:rFonts w:ascii="EB Garamond" w:hAnsi="EB Garamond"/>
          <w:vertAlign w:val="superscript"/>
        </w:rPr>
        <w:t>+</w:t>
      </w:r>
      <w:r w:rsidRPr="002D7366">
        <w:rPr>
          <w:rFonts w:ascii="EB Garamond" w:hAnsi="EB Garamond"/>
        </w:rPr>
        <w:t xml:space="preserve"> to ODS. If we only consider such cases, then we’ll end up running the norms together because we’ll never consider the possibility of masking. When an S-compliant disposition is masked, however, the resulting belief is not plausibly justified. </w:t>
      </w:r>
    </w:p>
    <w:p w14:paraId="4A4C1CCE" w14:textId="77777777" w:rsidR="00CE7146" w:rsidRPr="002D7366" w:rsidRDefault="00CE7146" w:rsidP="005432D0">
      <w:pPr>
        <w:pStyle w:val="NormalWeb"/>
        <w:rPr>
          <w:rFonts w:ascii="EB Garamond" w:hAnsi="EB Garamond"/>
        </w:rPr>
      </w:pPr>
      <w:r w:rsidRPr="002D7366">
        <w:rPr>
          <w:rFonts w:ascii="EB Garamond" w:hAnsi="EB Garamond"/>
        </w:rPr>
        <w:t xml:space="preserve">An interpreter of Chopin may ask herself: ‘what would Horowitz do?’ And this may be a productive exercise; her interpretation may be the better for it. But what if Horowitz were fingerless or crippled by stage fright? What then? What our pianist must be doing, for the question to be productive, is </w:t>
      </w:r>
      <w:r w:rsidRPr="002D7366">
        <w:rPr>
          <w:rFonts w:ascii="EB Garamond" w:hAnsi="EB Garamond"/>
          <w:i/>
          <w:iCs/>
        </w:rPr>
        <w:t>bracketing</w:t>
      </w:r>
      <w:r w:rsidRPr="002D7366">
        <w:rPr>
          <w:rFonts w:ascii="EB Garamond" w:hAnsi="EB Garamond"/>
        </w:rPr>
        <w:t xml:space="preserve"> these possibilities, so that Horowitz’s virtuosity is </w:t>
      </w:r>
      <w:r w:rsidRPr="002D7366">
        <w:rPr>
          <w:rFonts w:ascii="EB Garamond" w:hAnsi="EB Garamond"/>
          <w:i/>
          <w:iCs/>
        </w:rPr>
        <w:t xml:space="preserve">manifest </w:t>
      </w:r>
      <w:r w:rsidRPr="002D7366">
        <w:rPr>
          <w:rFonts w:ascii="EB Garamond" w:hAnsi="EB Garamond"/>
        </w:rPr>
        <w:t xml:space="preserve">to her. Returning to belief, my suggestion is that when we ask ourselves ‘which attitude would an S-er take?’ we care about what an S-er would do only insofar as their S-compliant disposition is manifest to us. In other words, the only reason to care about what an S-er would do is that an S-er is someone who normally manifests an S-compliant disposition. So we have the following order of priority: you should do what an S-er would do </w:t>
      </w:r>
      <w:r w:rsidRPr="002D7366">
        <w:rPr>
          <w:rFonts w:ascii="EB Garamond" w:hAnsi="EB Garamond"/>
          <w:i/>
          <w:iCs/>
        </w:rPr>
        <w:t xml:space="preserve">because </w:t>
      </w:r>
      <w:r w:rsidRPr="002D7366">
        <w:rPr>
          <w:rFonts w:ascii="EB Garamond" w:hAnsi="EB Garamond"/>
        </w:rPr>
        <w:t>you should manifest</w:t>
      </w:r>
      <w:r w:rsidRPr="002D7366">
        <w:rPr>
          <w:rFonts w:ascii="EB Garamond" w:hAnsi="EB Garamond"/>
          <w:i/>
          <w:iCs/>
        </w:rPr>
        <w:t xml:space="preserve"> </w:t>
      </w:r>
      <w:r w:rsidRPr="002D7366">
        <w:rPr>
          <w:rFonts w:ascii="EB Garamond" w:hAnsi="EB Garamond"/>
        </w:rPr>
        <w:t xml:space="preserve">an S-compliant disposition. Now, this is just to say that ODS is </w:t>
      </w:r>
      <w:r w:rsidRPr="002D7366">
        <w:rPr>
          <w:rFonts w:ascii="EB Garamond" w:hAnsi="EB Garamond"/>
          <w:i/>
          <w:iCs/>
        </w:rPr>
        <w:t>derivative</w:t>
      </w:r>
      <w:r w:rsidRPr="002D7366">
        <w:rPr>
          <w:rFonts w:ascii="EB Garamond" w:hAnsi="EB Garamond"/>
        </w:rPr>
        <w:t xml:space="preserve"> of ODS</w:t>
      </w:r>
      <w:r w:rsidRPr="002D7366">
        <w:rPr>
          <w:rFonts w:ascii="EB Garamond" w:hAnsi="EB Garamond"/>
          <w:vertAlign w:val="superscript"/>
        </w:rPr>
        <w:t>+</w:t>
      </w:r>
      <w:r w:rsidRPr="002D7366">
        <w:rPr>
          <w:rFonts w:ascii="EB Garamond" w:hAnsi="EB Garamond"/>
        </w:rPr>
        <w:t xml:space="preserve">. Recall that the tertiary norm of belief is the occurrent norm derivative of S. Unless there is some </w:t>
      </w:r>
      <w:r w:rsidRPr="002D7366">
        <w:rPr>
          <w:rFonts w:ascii="EB Garamond" w:hAnsi="EB Garamond"/>
          <w:i/>
          <w:iCs/>
        </w:rPr>
        <w:t>even more</w:t>
      </w:r>
      <w:r w:rsidRPr="002D7366">
        <w:rPr>
          <w:rFonts w:ascii="EB Garamond" w:hAnsi="EB Garamond"/>
        </w:rPr>
        <w:t xml:space="preserve"> fundamental occurrent norm derivative of S,</w:t>
      </w:r>
      <w:r w:rsidRPr="002D7366">
        <w:rPr>
          <w:rStyle w:val="FootnoteReference"/>
          <w:rFonts w:ascii="EB Garamond" w:hAnsi="EB Garamond"/>
        </w:rPr>
        <w:footnoteReference w:id="15"/>
      </w:r>
      <w:r w:rsidRPr="002D7366">
        <w:rPr>
          <w:rFonts w:ascii="EB Garamond" w:hAnsi="EB Garamond"/>
        </w:rPr>
        <w:t xml:space="preserve"> then, ODS</w:t>
      </w:r>
      <w:r w:rsidRPr="002D7366">
        <w:rPr>
          <w:rFonts w:ascii="EB Garamond" w:hAnsi="EB Garamond"/>
          <w:vertAlign w:val="superscript"/>
        </w:rPr>
        <w:t>+</w:t>
      </w:r>
      <w:r w:rsidRPr="002D7366">
        <w:rPr>
          <w:rFonts w:ascii="EB Garamond" w:hAnsi="EB Garamond"/>
        </w:rPr>
        <w:t xml:space="preserve"> is the tertiary norm of belief.</w:t>
      </w:r>
      <w:r w:rsidRPr="002D7366">
        <w:rPr>
          <w:rStyle w:val="FootnoteReference"/>
          <w:rFonts w:ascii="EB Garamond" w:hAnsi="EB Garamond"/>
        </w:rPr>
        <w:footnoteReference w:id="16"/>
      </w:r>
    </w:p>
    <w:p w14:paraId="64F9FAB4" w14:textId="77777777" w:rsidR="00CE7146" w:rsidRPr="00E678ED" w:rsidRDefault="00CE7146" w:rsidP="005432D0">
      <w:pPr>
        <w:pStyle w:val="NormalWeb"/>
        <w:ind w:left="720"/>
        <w:rPr>
          <w:rStyle w:val="Emphasis"/>
          <w:rFonts w:ascii="EB Garamond" w:hAnsi="EB Garamond"/>
          <w:color w:val="000000" w:themeColor="text1"/>
        </w:rPr>
      </w:pPr>
      <w:r w:rsidRPr="00E678ED">
        <w:rPr>
          <w:rStyle w:val="Emphasis"/>
          <w:rFonts w:ascii="EB Garamond" w:hAnsi="EB Garamond"/>
          <w:color w:val="000000" w:themeColor="text1"/>
        </w:rPr>
        <w:t>4.3 Williamson’s objection is ineffective</w:t>
      </w:r>
    </w:p>
    <w:p w14:paraId="6513AC7F" w14:textId="77777777" w:rsidR="00CE7146" w:rsidRPr="002D7366" w:rsidRDefault="00CE7146" w:rsidP="005432D0">
      <w:pPr>
        <w:pStyle w:val="NormalWeb"/>
        <w:rPr>
          <w:rFonts w:ascii="EB Garamond" w:hAnsi="EB Garamond"/>
        </w:rPr>
      </w:pPr>
      <w:r w:rsidRPr="002D7366">
        <w:rPr>
          <w:rFonts w:ascii="EB Garamond" w:hAnsi="EB Garamond"/>
        </w:rPr>
        <w:t>I have argued that (1) requires dispositional manifestation. Is Connie’s S-compliant disposition manifest in Scrambler? It is not: the scrambler blocks its manifestation, the way carbon dioxide prevents a match from lighting. Perhaps Connie’s calculations show great mathematical sophistication; perhaps she exhibits plenty of understanding of what it takes to be prime and what it is to be the number 179. Even so, by believing what she does, she exhibits insensitivity to the conspicuous fact that there are no true contradictions. She thereby manifests a disposition to have lots of false mathematical beliefs. In short: if Connie complies with ODS</w:t>
      </w:r>
      <w:r w:rsidRPr="002D7366">
        <w:rPr>
          <w:rFonts w:ascii="EB Garamond" w:hAnsi="EB Garamond"/>
          <w:vertAlign w:val="superscript"/>
        </w:rPr>
        <w:t>+</w:t>
      </w:r>
      <w:r w:rsidRPr="002D7366">
        <w:rPr>
          <w:rFonts w:ascii="EB Garamond" w:hAnsi="EB Garamond"/>
        </w:rPr>
        <w:t>, then that shows that ODS</w:t>
      </w:r>
      <w:r w:rsidRPr="002D7366">
        <w:rPr>
          <w:rFonts w:ascii="EB Garamond" w:hAnsi="EB Garamond"/>
          <w:vertAlign w:val="superscript"/>
        </w:rPr>
        <w:t>+</w:t>
      </w:r>
      <w:r w:rsidRPr="002D7366">
        <w:rPr>
          <w:rFonts w:ascii="EB Garamond" w:hAnsi="EB Garamond"/>
        </w:rPr>
        <w:t xml:space="preserve"> isn’t justifying. But Connie doesn’t comply with ODS</w:t>
      </w:r>
      <w:r w:rsidRPr="002D7366">
        <w:rPr>
          <w:rFonts w:ascii="EB Garamond" w:hAnsi="EB Garamond"/>
          <w:vertAlign w:val="superscript"/>
        </w:rPr>
        <w:t>+</w:t>
      </w:r>
      <w:r w:rsidRPr="002D7366">
        <w:rPr>
          <w:rFonts w:ascii="EB Garamond" w:hAnsi="EB Garamond"/>
        </w:rPr>
        <w:t>. So we’ll need some other reason to think that ODS</w:t>
      </w:r>
      <w:r w:rsidRPr="002D7366">
        <w:rPr>
          <w:rFonts w:ascii="EB Garamond" w:hAnsi="EB Garamond"/>
          <w:vertAlign w:val="superscript"/>
        </w:rPr>
        <w:t>+</w:t>
      </w:r>
      <w:r w:rsidRPr="002D7366">
        <w:rPr>
          <w:rFonts w:ascii="EB Garamond" w:hAnsi="EB Garamond"/>
        </w:rPr>
        <w:t xml:space="preserve"> isn’t justifying.</w:t>
      </w:r>
    </w:p>
    <w:p w14:paraId="69F0F697" w14:textId="7C002DBF" w:rsidR="00CE7146" w:rsidRDefault="00CE7146" w:rsidP="005432D0">
      <w:pPr>
        <w:pStyle w:val="NormalWeb"/>
        <w:rPr>
          <w:rFonts w:ascii="EB Garamond" w:hAnsi="EB Garamond"/>
        </w:rPr>
      </w:pPr>
      <w:r w:rsidRPr="002D7366">
        <w:rPr>
          <w:rFonts w:ascii="EB Garamond" w:hAnsi="EB Garamond"/>
        </w:rPr>
        <w:t>I have argued that (1) cites compliance with the norm ODS</w:t>
      </w:r>
      <w:r w:rsidRPr="002D7366">
        <w:rPr>
          <w:rFonts w:ascii="EB Garamond" w:hAnsi="EB Garamond"/>
          <w:vertAlign w:val="superscript"/>
        </w:rPr>
        <w:t>+</w:t>
      </w:r>
      <w:r w:rsidRPr="002D7366">
        <w:rPr>
          <w:rFonts w:ascii="EB Garamond" w:hAnsi="EB Garamond"/>
        </w:rPr>
        <w:t>. Since ODS</w:t>
      </w:r>
      <w:r w:rsidRPr="002D7366">
        <w:rPr>
          <w:rFonts w:ascii="EB Garamond" w:hAnsi="EB Garamond"/>
          <w:vertAlign w:val="superscript"/>
        </w:rPr>
        <w:t>+</w:t>
      </w:r>
      <w:r w:rsidRPr="002D7366">
        <w:rPr>
          <w:rFonts w:ascii="EB Garamond" w:hAnsi="EB Garamond"/>
        </w:rPr>
        <w:t xml:space="preserve"> is violated in Scrambler, Scrambler is not a counterexample to (1). For all I have said, beliefs satisfying</w:t>
      </w:r>
      <w:r w:rsidRPr="00581356">
        <w:rPr>
          <w:rFonts w:ascii="EB Garamond" w:hAnsi="EB Garamond"/>
        </w:rPr>
        <w:t xml:space="preserve"> ODS</w:t>
      </w:r>
      <w:r w:rsidRPr="00581356">
        <w:rPr>
          <w:rFonts w:ascii="EB Garamond" w:hAnsi="EB Garamond"/>
          <w:vertAlign w:val="superscript"/>
        </w:rPr>
        <w:t>+</w:t>
      </w:r>
      <w:r w:rsidRPr="00581356">
        <w:rPr>
          <w:rFonts w:ascii="EB Garamond" w:hAnsi="EB Garamond"/>
        </w:rPr>
        <w:t xml:space="preserve"> might be </w:t>
      </w:r>
      <w:r w:rsidRPr="00581356">
        <w:rPr>
          <w:rFonts w:ascii="EB Garamond" w:hAnsi="EB Garamond"/>
        </w:rPr>
        <w:lastRenderedPageBreak/>
        <w:t>merely reasonable.</w:t>
      </w:r>
      <w:r w:rsidRPr="00581356">
        <w:rPr>
          <w:rStyle w:val="FootnoteReference"/>
          <w:rFonts w:ascii="EB Garamond" w:hAnsi="EB Garamond"/>
        </w:rPr>
        <w:footnoteReference w:id="17"/>
      </w:r>
      <w:r w:rsidRPr="00581356">
        <w:rPr>
          <w:rFonts w:ascii="EB Garamond" w:hAnsi="EB Garamond"/>
        </w:rPr>
        <w:t xml:space="preserve"> Against this, it could be argued that beliefs satisfying ODS</w:t>
      </w:r>
      <w:r w:rsidRPr="00581356">
        <w:rPr>
          <w:rFonts w:ascii="EB Garamond" w:hAnsi="EB Garamond"/>
          <w:vertAlign w:val="superscript"/>
        </w:rPr>
        <w:t>+</w:t>
      </w:r>
      <w:r w:rsidRPr="00581356">
        <w:rPr>
          <w:rFonts w:ascii="EB Garamond" w:hAnsi="EB Garamond"/>
        </w:rPr>
        <w:t xml:space="preserve"> are justified.</w:t>
      </w:r>
      <w:r w:rsidRPr="00581356">
        <w:rPr>
          <w:rStyle w:val="FootnoteReference"/>
          <w:rFonts w:ascii="EB Garamond" w:hAnsi="EB Garamond"/>
        </w:rPr>
        <w:footnoteReference w:id="18"/>
      </w:r>
      <w:r w:rsidRPr="00581356">
        <w:rPr>
          <w:rFonts w:ascii="EB Garamond" w:hAnsi="EB Garamond"/>
        </w:rPr>
        <w:t xml:space="preserve"> A natural next step in the defense of JFB would be to make this argument.</w:t>
      </w:r>
      <w:r w:rsidR="007C37A5">
        <w:rPr>
          <w:rStyle w:val="FootnoteReference"/>
          <w:rFonts w:ascii="EB Garamond" w:hAnsi="EB Garamond"/>
        </w:rPr>
        <w:footnoteReference w:id="19"/>
      </w:r>
    </w:p>
    <w:p w14:paraId="4C85B5B8" w14:textId="6995A6FA" w:rsidR="00E128E4" w:rsidRPr="00E128E4" w:rsidRDefault="00E128E4" w:rsidP="005432D0">
      <w:pPr>
        <w:jc w:val="right"/>
        <w:rPr>
          <w:rFonts w:ascii="EB Garamond" w:hAnsi="EB Garamond"/>
          <w:i/>
          <w:iCs/>
        </w:rPr>
      </w:pPr>
      <w:r w:rsidRPr="00E128E4">
        <w:rPr>
          <w:rFonts w:ascii="EB Garamond" w:hAnsi="EB Garamond"/>
          <w:i/>
          <w:iCs/>
        </w:rPr>
        <w:t xml:space="preserve">School of Philosophical, Anthropological and Film Studies, </w:t>
      </w:r>
    </w:p>
    <w:p w14:paraId="4099401E" w14:textId="77777777" w:rsidR="00E128E4" w:rsidRPr="00E128E4" w:rsidRDefault="00E128E4" w:rsidP="005432D0">
      <w:pPr>
        <w:jc w:val="right"/>
        <w:rPr>
          <w:rFonts w:ascii="EB Garamond" w:hAnsi="EB Garamond"/>
          <w:i/>
          <w:iCs/>
        </w:rPr>
      </w:pPr>
      <w:r w:rsidRPr="00E128E4">
        <w:rPr>
          <w:rFonts w:ascii="EB Garamond" w:hAnsi="EB Garamond"/>
          <w:i/>
          <w:iCs/>
        </w:rPr>
        <w:t>The University of St. Andrews</w:t>
      </w:r>
    </w:p>
    <w:p w14:paraId="17C42728" w14:textId="77777777" w:rsidR="00506A07" w:rsidRDefault="00E128E4" w:rsidP="005432D0">
      <w:pPr>
        <w:jc w:val="right"/>
        <w:rPr>
          <w:rFonts w:ascii="EB Garamond" w:hAnsi="EB Garamond"/>
          <w:i/>
          <w:iCs/>
        </w:rPr>
      </w:pPr>
      <w:r w:rsidRPr="00E128E4">
        <w:rPr>
          <w:rFonts w:ascii="EB Garamond" w:hAnsi="EB Garamond"/>
          <w:i/>
          <w:iCs/>
        </w:rPr>
        <w:t>United Kingdom</w:t>
      </w:r>
    </w:p>
    <w:p w14:paraId="42C7A7EA" w14:textId="4DB10E70" w:rsidR="00A2237A" w:rsidRDefault="00A2237A" w:rsidP="005432D0">
      <w:pPr>
        <w:jc w:val="right"/>
        <w:rPr>
          <w:rFonts w:ascii="EB Garamond" w:hAnsi="EB Garamond"/>
          <w:i/>
          <w:iCs/>
        </w:rPr>
      </w:pPr>
      <w:hyperlink r:id="rId8" w:history="1">
        <w:r w:rsidRPr="00674E0D">
          <w:rPr>
            <w:rStyle w:val="Hyperlink"/>
            <w:rFonts w:ascii="EB Garamond" w:hAnsi="EB Garamond"/>
            <w:i/>
            <w:iCs/>
          </w:rPr>
          <w:t>jd259@st-andrews.ac.uk</w:t>
        </w:r>
      </w:hyperlink>
      <w:r>
        <w:rPr>
          <w:rFonts w:ascii="EB Garamond" w:hAnsi="EB Garamond"/>
          <w:i/>
          <w:iCs/>
        </w:rPr>
        <w:t xml:space="preserve"> </w:t>
      </w:r>
    </w:p>
    <w:p w14:paraId="6F53E552" w14:textId="647F92E7" w:rsidR="00162BD9" w:rsidRDefault="00162BD9" w:rsidP="00162BD9">
      <w:pPr>
        <w:pStyle w:val="NormalWeb"/>
        <w:jc w:val="right"/>
        <w:rPr>
          <w:rFonts w:ascii="EB Garamond" w:hAnsi="EB Garamond"/>
          <w:i/>
          <w:iCs/>
        </w:rPr>
      </w:pPr>
    </w:p>
    <w:p w14:paraId="454848AE" w14:textId="6D937A87" w:rsidR="00192A92" w:rsidRPr="008643E6" w:rsidRDefault="00CE7146" w:rsidP="00192A92">
      <w:pPr>
        <w:pStyle w:val="Subtitle"/>
        <w:rPr>
          <w:rStyle w:val="Emphasis"/>
          <w:rFonts w:ascii="EB Garamond" w:hAnsi="EB Garamond"/>
          <w:color w:val="000000" w:themeColor="text1"/>
          <w:sz w:val="24"/>
          <w:szCs w:val="24"/>
        </w:rPr>
      </w:pPr>
      <w:r w:rsidRPr="008643E6">
        <w:rPr>
          <w:rStyle w:val="Emphasis"/>
          <w:rFonts w:ascii="EB Garamond" w:hAnsi="EB Garamond"/>
          <w:color w:val="000000" w:themeColor="text1"/>
          <w:sz w:val="24"/>
          <w:szCs w:val="24"/>
        </w:rPr>
        <w:t>Reference</w:t>
      </w:r>
      <w:r w:rsidR="00192A92" w:rsidRPr="008643E6">
        <w:rPr>
          <w:rStyle w:val="Emphasis"/>
          <w:rFonts w:ascii="EB Garamond" w:hAnsi="EB Garamond"/>
          <w:color w:val="000000" w:themeColor="text1"/>
          <w:sz w:val="24"/>
          <w:szCs w:val="24"/>
        </w:rPr>
        <w:t>s</w:t>
      </w:r>
    </w:p>
    <w:p w14:paraId="757AB594" w14:textId="31317A91"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Bird, A</w:t>
      </w:r>
      <w:r w:rsidR="00073F8C">
        <w:rPr>
          <w:rFonts w:ascii="EB Garamond" w:hAnsi="EB Garamond"/>
        </w:rPr>
        <w:t xml:space="preserve">. </w:t>
      </w:r>
      <w:r w:rsidRPr="00581356">
        <w:rPr>
          <w:rFonts w:ascii="EB Garamond" w:hAnsi="EB Garamond"/>
        </w:rPr>
        <w:t>2007</w:t>
      </w:r>
      <w:r w:rsidR="00D1757E">
        <w:rPr>
          <w:rFonts w:ascii="EB Garamond" w:hAnsi="EB Garamond"/>
        </w:rPr>
        <w:t>.</w:t>
      </w:r>
      <w:r w:rsidRPr="00581356">
        <w:rPr>
          <w:rFonts w:ascii="EB Garamond" w:hAnsi="EB Garamond"/>
        </w:rPr>
        <w:t xml:space="preserve"> Justified Judging. </w:t>
      </w:r>
      <w:r w:rsidRPr="00581356">
        <w:rPr>
          <w:rFonts w:ascii="EB Garamond" w:hAnsi="EB Garamond"/>
          <w:i/>
          <w:iCs/>
        </w:rPr>
        <w:t>Philosophy and Phenomenological Research</w:t>
      </w:r>
      <w:r w:rsidRPr="00581356">
        <w:rPr>
          <w:rFonts w:ascii="EB Garamond" w:hAnsi="EB Garamond"/>
        </w:rPr>
        <w:t xml:space="preserve"> 74: 81–110.</w:t>
      </w:r>
    </w:p>
    <w:p w14:paraId="7F94D9FC" w14:textId="3DB62B8D" w:rsidR="00CE7146" w:rsidRPr="00581356" w:rsidRDefault="00073F8C" w:rsidP="00192A92">
      <w:pPr>
        <w:pStyle w:val="NormalWeb"/>
        <w:spacing w:before="0" w:beforeAutospacing="0" w:after="0" w:afterAutospacing="0"/>
        <w:rPr>
          <w:rFonts w:ascii="EB Garamond" w:hAnsi="EB Garamond"/>
        </w:rPr>
      </w:pPr>
      <w:r w:rsidRPr="00581356">
        <w:rPr>
          <w:rFonts w:ascii="EB Garamond" w:hAnsi="EB Garamond"/>
        </w:rPr>
        <w:t>Bird, A</w:t>
      </w:r>
      <w:r>
        <w:rPr>
          <w:rFonts w:ascii="EB Garamond" w:hAnsi="EB Garamond"/>
        </w:rPr>
        <w:t xml:space="preserve">. </w:t>
      </w:r>
      <w:r w:rsidR="00CE7146" w:rsidRPr="00581356">
        <w:rPr>
          <w:rFonts w:ascii="EB Garamond" w:hAnsi="EB Garamond"/>
        </w:rPr>
        <w:t>1998</w:t>
      </w:r>
      <w:r w:rsidR="00D1757E">
        <w:rPr>
          <w:rFonts w:ascii="EB Garamond" w:hAnsi="EB Garamond"/>
        </w:rPr>
        <w:t>.</w:t>
      </w:r>
      <w:r w:rsidR="00CE7146" w:rsidRPr="00581356">
        <w:rPr>
          <w:rFonts w:ascii="EB Garamond" w:hAnsi="EB Garamond"/>
        </w:rPr>
        <w:t xml:space="preserve"> Dispositions and Antidotes. </w:t>
      </w:r>
      <w:r w:rsidR="00CE7146" w:rsidRPr="00581356">
        <w:rPr>
          <w:rFonts w:ascii="EB Garamond" w:hAnsi="EB Garamond"/>
          <w:i/>
          <w:iCs/>
        </w:rPr>
        <w:t>The Philosophical Quarterly</w:t>
      </w:r>
      <w:r w:rsidR="00CE7146" w:rsidRPr="00581356">
        <w:rPr>
          <w:rFonts w:ascii="EB Garamond" w:hAnsi="EB Garamond"/>
        </w:rPr>
        <w:t xml:space="preserve"> 48: 227–34</w:t>
      </w:r>
    </w:p>
    <w:p w14:paraId="0C7B960E" w14:textId="5199FABB"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 xml:space="preserve">Boult, </w:t>
      </w:r>
      <w:r w:rsidR="00073F8C">
        <w:rPr>
          <w:rFonts w:ascii="EB Garamond" w:hAnsi="EB Garamond"/>
        </w:rPr>
        <w:t>C.</w:t>
      </w:r>
      <w:r w:rsidRPr="00581356">
        <w:rPr>
          <w:rFonts w:ascii="EB Garamond" w:hAnsi="EB Garamond"/>
        </w:rPr>
        <w:t xml:space="preserve"> 2017</w:t>
      </w:r>
      <w:r w:rsidR="00F9488C">
        <w:rPr>
          <w:rFonts w:ascii="EB Garamond" w:hAnsi="EB Garamond"/>
        </w:rPr>
        <w:t>.</w:t>
      </w:r>
      <w:r w:rsidRPr="00581356">
        <w:rPr>
          <w:rFonts w:ascii="EB Garamond" w:hAnsi="EB Garamond"/>
        </w:rPr>
        <w:t xml:space="preserve"> Epistemic normativity and the justification-excuse distinction. </w:t>
      </w:r>
      <w:r w:rsidRPr="00581356">
        <w:rPr>
          <w:rFonts w:ascii="EB Garamond" w:hAnsi="EB Garamond"/>
          <w:i/>
          <w:iCs/>
        </w:rPr>
        <w:t>Synthese</w:t>
      </w:r>
      <w:r w:rsidRPr="00581356">
        <w:rPr>
          <w:rFonts w:ascii="EB Garamond" w:hAnsi="EB Garamond"/>
        </w:rPr>
        <w:t xml:space="preserve"> 194: 4065–81.</w:t>
      </w:r>
    </w:p>
    <w:p w14:paraId="7C385426" w14:textId="5C174B80"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Brown, J</w:t>
      </w:r>
      <w:r w:rsidR="00363ADC">
        <w:rPr>
          <w:rFonts w:ascii="EB Garamond" w:hAnsi="EB Garamond"/>
        </w:rPr>
        <w:t>.</w:t>
      </w:r>
      <w:r w:rsidRPr="00581356">
        <w:rPr>
          <w:rFonts w:ascii="EB Garamond" w:hAnsi="EB Garamond"/>
        </w:rPr>
        <w:t xml:space="preserve"> 2018</w:t>
      </w:r>
      <w:r w:rsidR="00363ADC">
        <w:rPr>
          <w:rFonts w:ascii="EB Garamond" w:hAnsi="EB Garamond"/>
        </w:rPr>
        <w:t>.</w:t>
      </w:r>
      <w:r w:rsidRPr="00581356">
        <w:rPr>
          <w:rFonts w:ascii="EB Garamond" w:hAnsi="EB Garamond"/>
        </w:rPr>
        <w:t xml:space="preserve"> </w:t>
      </w:r>
      <w:r w:rsidRPr="00581356">
        <w:rPr>
          <w:rFonts w:ascii="EB Garamond" w:hAnsi="EB Garamond"/>
          <w:i/>
          <w:iCs/>
        </w:rPr>
        <w:t>Fallibilism: Evidence and Knowledge</w:t>
      </w:r>
      <w:r w:rsidRPr="00581356">
        <w:rPr>
          <w:rFonts w:ascii="EB Garamond" w:hAnsi="EB Garamond"/>
        </w:rPr>
        <w:t>. Oxford: Oxford University Press.</w:t>
      </w:r>
    </w:p>
    <w:p w14:paraId="1801376F" w14:textId="4809AEEB"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Cohen, S</w:t>
      </w:r>
      <w:r w:rsidR="00363ADC">
        <w:rPr>
          <w:rFonts w:ascii="EB Garamond" w:hAnsi="EB Garamond"/>
        </w:rPr>
        <w:t>.</w:t>
      </w:r>
      <w:r w:rsidRPr="00581356">
        <w:rPr>
          <w:rFonts w:ascii="EB Garamond" w:hAnsi="EB Garamond"/>
        </w:rPr>
        <w:t xml:space="preserve"> 1984</w:t>
      </w:r>
      <w:r w:rsidR="009B22EA">
        <w:rPr>
          <w:rFonts w:ascii="EB Garamond" w:hAnsi="EB Garamond"/>
        </w:rPr>
        <w:t>.</w:t>
      </w:r>
      <w:r w:rsidRPr="00581356">
        <w:rPr>
          <w:rFonts w:ascii="EB Garamond" w:hAnsi="EB Garamond"/>
        </w:rPr>
        <w:t xml:space="preserve"> Justification and Truth. </w:t>
      </w:r>
      <w:r w:rsidRPr="00581356">
        <w:rPr>
          <w:rFonts w:ascii="EB Garamond" w:hAnsi="EB Garamond"/>
          <w:i/>
          <w:iCs/>
        </w:rPr>
        <w:t>Philosophical Studies</w:t>
      </w:r>
      <w:r w:rsidRPr="00581356">
        <w:rPr>
          <w:rFonts w:ascii="EB Garamond" w:hAnsi="EB Garamond"/>
        </w:rPr>
        <w:t xml:space="preserve"> 46: 279–95.</w:t>
      </w:r>
    </w:p>
    <w:p w14:paraId="01B859F2" w14:textId="143D9C6E"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Comesaña, J</w:t>
      </w:r>
      <w:r w:rsidR="00363ADC">
        <w:rPr>
          <w:rFonts w:ascii="EB Garamond" w:hAnsi="EB Garamond"/>
        </w:rPr>
        <w:t>.</w:t>
      </w:r>
      <w:r w:rsidRPr="00581356">
        <w:rPr>
          <w:rFonts w:ascii="EB Garamond" w:hAnsi="EB Garamond"/>
        </w:rPr>
        <w:t xml:space="preserve"> 2020</w:t>
      </w:r>
      <w:r w:rsidR="009B22EA">
        <w:rPr>
          <w:rFonts w:ascii="EB Garamond" w:hAnsi="EB Garamond"/>
        </w:rPr>
        <w:t>.</w:t>
      </w:r>
      <w:r w:rsidRPr="00581356">
        <w:rPr>
          <w:rFonts w:ascii="EB Garamond" w:hAnsi="EB Garamond"/>
        </w:rPr>
        <w:t xml:space="preserve"> </w:t>
      </w:r>
      <w:r w:rsidRPr="00581356">
        <w:rPr>
          <w:rFonts w:ascii="EB Garamond" w:hAnsi="EB Garamond"/>
          <w:i/>
          <w:iCs/>
        </w:rPr>
        <w:t>Being Rational and Being Ri</w:t>
      </w:r>
      <w:r w:rsidRPr="00363ADC">
        <w:rPr>
          <w:rFonts w:ascii="EB Garamond" w:hAnsi="EB Garamond"/>
          <w:i/>
          <w:iCs/>
        </w:rPr>
        <w:t>ght</w:t>
      </w:r>
      <w:r w:rsidRPr="00581356">
        <w:rPr>
          <w:rFonts w:ascii="EB Garamond" w:hAnsi="EB Garamond"/>
        </w:rPr>
        <w:t>. Oxford: Oxford University Press.</w:t>
      </w:r>
    </w:p>
    <w:p w14:paraId="185F4A5F" w14:textId="251BA543"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 xml:space="preserve">Conee, </w:t>
      </w:r>
      <w:r w:rsidR="00587AE0">
        <w:rPr>
          <w:rFonts w:ascii="EB Garamond" w:hAnsi="EB Garamond"/>
        </w:rPr>
        <w:t>E.</w:t>
      </w:r>
      <w:r w:rsidRPr="00581356">
        <w:rPr>
          <w:rFonts w:ascii="EB Garamond" w:hAnsi="EB Garamond"/>
        </w:rPr>
        <w:t xml:space="preserve"> </w:t>
      </w:r>
      <w:r w:rsidR="0077547A">
        <w:rPr>
          <w:rFonts w:ascii="EB Garamond" w:hAnsi="EB Garamond"/>
        </w:rPr>
        <w:t>and</w:t>
      </w:r>
      <w:r w:rsidRPr="00581356">
        <w:rPr>
          <w:rFonts w:ascii="EB Garamond" w:hAnsi="EB Garamond"/>
        </w:rPr>
        <w:t xml:space="preserve"> Feldman, </w:t>
      </w:r>
      <w:r w:rsidR="00587AE0">
        <w:rPr>
          <w:rFonts w:ascii="EB Garamond" w:hAnsi="EB Garamond"/>
        </w:rPr>
        <w:t>R.</w:t>
      </w:r>
      <w:r w:rsidRPr="00581356">
        <w:rPr>
          <w:rFonts w:ascii="EB Garamond" w:hAnsi="EB Garamond"/>
        </w:rPr>
        <w:t xml:space="preserve"> 2004</w:t>
      </w:r>
      <w:r w:rsidR="009B22EA">
        <w:rPr>
          <w:rFonts w:ascii="EB Garamond" w:hAnsi="EB Garamond"/>
        </w:rPr>
        <w:t>.</w:t>
      </w:r>
      <w:r w:rsidRPr="00581356">
        <w:rPr>
          <w:rFonts w:ascii="EB Garamond" w:hAnsi="EB Garamond"/>
        </w:rPr>
        <w:t xml:space="preserve"> </w:t>
      </w:r>
      <w:r w:rsidRPr="00581356">
        <w:rPr>
          <w:rFonts w:ascii="EB Garamond" w:hAnsi="EB Garamond"/>
          <w:i/>
          <w:iCs/>
        </w:rPr>
        <w:t>Evidentialism: Essays in Epistemology</w:t>
      </w:r>
      <w:r w:rsidRPr="00581356">
        <w:rPr>
          <w:rFonts w:ascii="EB Garamond" w:hAnsi="EB Garamond"/>
        </w:rPr>
        <w:t>. Oxford: Clarendon Press.</w:t>
      </w:r>
    </w:p>
    <w:p w14:paraId="1AB4CD7F" w14:textId="26946BA0"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Fara, M</w:t>
      </w:r>
      <w:r w:rsidR="009B22EA">
        <w:rPr>
          <w:rFonts w:ascii="EB Garamond" w:hAnsi="EB Garamond"/>
        </w:rPr>
        <w:t>.</w:t>
      </w:r>
      <w:r w:rsidRPr="00581356">
        <w:rPr>
          <w:rFonts w:ascii="EB Garamond" w:hAnsi="EB Garamond"/>
        </w:rPr>
        <w:t xml:space="preserve"> 2005</w:t>
      </w:r>
      <w:r w:rsidR="009B22EA">
        <w:rPr>
          <w:rFonts w:ascii="EB Garamond" w:hAnsi="EB Garamond"/>
        </w:rPr>
        <w:t>.</w:t>
      </w:r>
      <w:r w:rsidRPr="00581356">
        <w:rPr>
          <w:rFonts w:ascii="EB Garamond" w:hAnsi="EB Garamond"/>
        </w:rPr>
        <w:t xml:space="preserve"> Dispositions and Habituals. </w:t>
      </w:r>
      <w:r w:rsidRPr="00581356">
        <w:rPr>
          <w:rFonts w:ascii="EB Garamond" w:hAnsi="EB Garamond"/>
          <w:i/>
          <w:iCs/>
        </w:rPr>
        <w:t>Noûs</w:t>
      </w:r>
      <w:r w:rsidRPr="00581356">
        <w:rPr>
          <w:rFonts w:ascii="EB Garamond" w:hAnsi="EB Garamond"/>
        </w:rPr>
        <w:t xml:space="preserve"> 39: 43–82.</w:t>
      </w:r>
    </w:p>
    <w:p w14:paraId="253C4759" w14:textId="3E4D1334"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Goldman, A</w:t>
      </w:r>
      <w:r w:rsidR="009B22EA">
        <w:rPr>
          <w:rFonts w:ascii="EB Garamond" w:hAnsi="EB Garamond"/>
        </w:rPr>
        <w:t xml:space="preserve">. </w:t>
      </w:r>
      <w:r w:rsidRPr="00581356">
        <w:rPr>
          <w:rFonts w:ascii="EB Garamond" w:hAnsi="EB Garamond"/>
        </w:rPr>
        <w:t>1986</w:t>
      </w:r>
      <w:r w:rsidR="009B22EA">
        <w:rPr>
          <w:rFonts w:ascii="EB Garamond" w:hAnsi="EB Garamond"/>
        </w:rPr>
        <w:t>.</w:t>
      </w:r>
      <w:r w:rsidRPr="00581356">
        <w:rPr>
          <w:rFonts w:ascii="EB Garamond" w:hAnsi="EB Garamond"/>
        </w:rPr>
        <w:t xml:space="preserve"> </w:t>
      </w:r>
      <w:r w:rsidRPr="00581356">
        <w:rPr>
          <w:rFonts w:ascii="EB Garamond" w:hAnsi="EB Garamond"/>
          <w:i/>
          <w:iCs/>
        </w:rPr>
        <w:t>Epistemology and Cognition</w:t>
      </w:r>
      <w:r w:rsidRPr="00581356">
        <w:rPr>
          <w:rFonts w:ascii="EB Garamond" w:hAnsi="EB Garamond"/>
        </w:rPr>
        <w:t>. Cambridge: Harvard University Press.</w:t>
      </w:r>
    </w:p>
    <w:p w14:paraId="1489DC61" w14:textId="465D1F86"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Goodman, J</w:t>
      </w:r>
      <w:r w:rsidR="009B22EA">
        <w:rPr>
          <w:rFonts w:ascii="EB Garamond" w:hAnsi="EB Garamond"/>
        </w:rPr>
        <w:t>.</w:t>
      </w:r>
      <w:r w:rsidRPr="00581356">
        <w:rPr>
          <w:rFonts w:ascii="EB Garamond" w:hAnsi="EB Garamond"/>
        </w:rPr>
        <w:t xml:space="preserve"> 2013</w:t>
      </w:r>
      <w:r w:rsidR="009B22EA">
        <w:rPr>
          <w:rFonts w:ascii="EB Garamond" w:hAnsi="EB Garamond"/>
        </w:rPr>
        <w:t xml:space="preserve">. </w:t>
      </w:r>
      <w:r w:rsidRPr="00581356">
        <w:rPr>
          <w:rFonts w:ascii="EB Garamond" w:hAnsi="EB Garamond"/>
        </w:rPr>
        <w:t xml:space="preserve">Inexact Knowledge without Improbable Knowing. </w:t>
      </w:r>
      <w:r w:rsidRPr="00581356">
        <w:rPr>
          <w:rFonts w:ascii="EB Garamond" w:hAnsi="EB Garamond"/>
          <w:i/>
          <w:iCs/>
        </w:rPr>
        <w:t>Inquiry</w:t>
      </w:r>
      <w:r w:rsidRPr="00581356">
        <w:rPr>
          <w:rFonts w:ascii="EB Garamond" w:hAnsi="EB Garamond"/>
        </w:rPr>
        <w:t xml:space="preserve"> 56: 30–53.</w:t>
      </w:r>
    </w:p>
    <w:p w14:paraId="07D82DD0" w14:textId="5D90DF11"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 xml:space="preserve">Graham, </w:t>
      </w:r>
      <w:r w:rsidR="009B22EA">
        <w:rPr>
          <w:rFonts w:ascii="EB Garamond" w:hAnsi="EB Garamond"/>
        </w:rPr>
        <w:t>P</w:t>
      </w:r>
      <w:r w:rsidRPr="00581356">
        <w:rPr>
          <w:rFonts w:ascii="EB Garamond" w:hAnsi="EB Garamond"/>
        </w:rPr>
        <w:t>. 2012</w:t>
      </w:r>
      <w:r w:rsidR="009B22EA">
        <w:rPr>
          <w:rFonts w:ascii="EB Garamond" w:hAnsi="EB Garamond"/>
        </w:rPr>
        <w:t>.</w:t>
      </w:r>
      <w:r w:rsidRPr="00581356">
        <w:rPr>
          <w:rFonts w:ascii="EB Garamond" w:hAnsi="EB Garamond"/>
        </w:rPr>
        <w:t xml:space="preserve"> Epistemic Entitlement. </w:t>
      </w:r>
      <w:r w:rsidRPr="00581356">
        <w:rPr>
          <w:rFonts w:ascii="EB Garamond" w:hAnsi="EB Garamond"/>
          <w:i/>
          <w:iCs/>
        </w:rPr>
        <w:t>Noûs</w:t>
      </w:r>
      <w:r w:rsidRPr="00581356">
        <w:rPr>
          <w:rFonts w:ascii="EB Garamond" w:hAnsi="EB Garamond"/>
        </w:rPr>
        <w:t xml:space="preserve"> 46: 449–82.</w:t>
      </w:r>
    </w:p>
    <w:p w14:paraId="0B623D5D" w14:textId="1E0B4770"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Greco, D</w:t>
      </w:r>
      <w:r w:rsidR="00704618">
        <w:rPr>
          <w:rFonts w:ascii="EB Garamond" w:hAnsi="EB Garamond"/>
        </w:rPr>
        <w:t>.</w:t>
      </w:r>
      <w:r w:rsidRPr="00581356">
        <w:rPr>
          <w:rFonts w:ascii="EB Garamond" w:hAnsi="EB Garamond"/>
        </w:rPr>
        <w:t xml:space="preserve"> 2021</w:t>
      </w:r>
      <w:r w:rsidR="00704618">
        <w:rPr>
          <w:rFonts w:ascii="EB Garamond" w:hAnsi="EB Garamond"/>
        </w:rPr>
        <w:t>.</w:t>
      </w:r>
      <w:r w:rsidRPr="00581356">
        <w:rPr>
          <w:rFonts w:ascii="EB Garamond" w:hAnsi="EB Garamond"/>
        </w:rPr>
        <w:t xml:space="preserve"> Justifications and Excuses in Epistemology. </w:t>
      </w:r>
      <w:r w:rsidRPr="00581356">
        <w:rPr>
          <w:rFonts w:ascii="EB Garamond" w:hAnsi="EB Garamond"/>
          <w:i/>
          <w:iCs/>
        </w:rPr>
        <w:t>Noûs</w:t>
      </w:r>
      <w:r w:rsidRPr="00581356">
        <w:rPr>
          <w:rFonts w:ascii="EB Garamond" w:hAnsi="EB Garamond"/>
        </w:rPr>
        <w:t xml:space="preserve"> 55: 517–37.</w:t>
      </w:r>
    </w:p>
    <w:p w14:paraId="52D8C01F" w14:textId="41F65AF3"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Hughes, N</w:t>
      </w:r>
      <w:r w:rsidR="00704618">
        <w:rPr>
          <w:rFonts w:ascii="EB Garamond" w:hAnsi="EB Garamond"/>
        </w:rPr>
        <w:t>.</w:t>
      </w:r>
      <w:r w:rsidRPr="00581356">
        <w:rPr>
          <w:rFonts w:ascii="EB Garamond" w:hAnsi="EB Garamond"/>
        </w:rPr>
        <w:t xml:space="preserve"> 2019</w:t>
      </w:r>
      <w:r w:rsidR="00704618">
        <w:rPr>
          <w:rFonts w:ascii="EB Garamond" w:hAnsi="EB Garamond"/>
        </w:rPr>
        <w:t>.</w:t>
      </w:r>
      <w:r w:rsidRPr="00581356">
        <w:rPr>
          <w:rFonts w:ascii="EB Garamond" w:hAnsi="EB Garamond"/>
        </w:rPr>
        <w:t xml:space="preserve"> Uniqueness, Rationality, and the Norm of Belief. </w:t>
      </w:r>
      <w:r w:rsidRPr="00581356">
        <w:rPr>
          <w:rFonts w:ascii="EB Garamond" w:hAnsi="EB Garamond"/>
          <w:i/>
          <w:iCs/>
        </w:rPr>
        <w:t>Erkenntnis</w:t>
      </w:r>
      <w:r w:rsidRPr="00581356">
        <w:rPr>
          <w:rFonts w:ascii="EB Garamond" w:hAnsi="EB Garamond"/>
        </w:rPr>
        <w:t xml:space="preserve"> 84: 57–75.</w:t>
      </w:r>
    </w:p>
    <w:p w14:paraId="604F4CF6" w14:textId="54517AEB"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 xml:space="preserve"> </w:t>
      </w:r>
      <w:r w:rsidR="00704618" w:rsidRPr="00581356">
        <w:rPr>
          <w:rFonts w:ascii="EB Garamond" w:hAnsi="EB Garamond"/>
        </w:rPr>
        <w:t>Hughes, N</w:t>
      </w:r>
      <w:r w:rsidR="00704618">
        <w:rPr>
          <w:rFonts w:ascii="EB Garamond" w:hAnsi="EB Garamond"/>
        </w:rPr>
        <w:t>.</w:t>
      </w:r>
      <w:r w:rsidR="00704618" w:rsidRPr="00581356">
        <w:rPr>
          <w:rFonts w:ascii="EB Garamond" w:hAnsi="EB Garamond"/>
        </w:rPr>
        <w:t xml:space="preserve"> </w:t>
      </w:r>
      <w:r w:rsidRPr="00581356">
        <w:rPr>
          <w:rFonts w:ascii="EB Garamond" w:hAnsi="EB Garamond"/>
        </w:rPr>
        <w:t>2017</w:t>
      </w:r>
      <w:r w:rsidR="00704618">
        <w:rPr>
          <w:rFonts w:ascii="EB Garamond" w:hAnsi="EB Garamond"/>
        </w:rPr>
        <w:t>.</w:t>
      </w:r>
      <w:r w:rsidRPr="00581356">
        <w:rPr>
          <w:rFonts w:ascii="EB Garamond" w:hAnsi="EB Garamond"/>
        </w:rPr>
        <w:t xml:space="preserve"> No Excuses: Against the Knowledge Norm of Belief. </w:t>
      </w:r>
      <w:r w:rsidRPr="00581356">
        <w:rPr>
          <w:rFonts w:ascii="EB Garamond" w:hAnsi="EB Garamond"/>
          <w:i/>
          <w:iCs/>
        </w:rPr>
        <w:t>Thought</w:t>
      </w:r>
      <w:r w:rsidRPr="00581356">
        <w:rPr>
          <w:rFonts w:ascii="EB Garamond" w:hAnsi="EB Garamond"/>
        </w:rPr>
        <w:t xml:space="preserve"> 6: 157–66.</w:t>
      </w:r>
    </w:p>
    <w:p w14:paraId="5D486231" w14:textId="461F242C"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 xml:space="preserve">Ichikawa, </w:t>
      </w:r>
      <w:r w:rsidR="00A55618">
        <w:rPr>
          <w:rFonts w:ascii="EB Garamond" w:hAnsi="EB Garamond"/>
        </w:rPr>
        <w:t>J.</w:t>
      </w:r>
      <w:r w:rsidRPr="00581356">
        <w:rPr>
          <w:rFonts w:ascii="EB Garamond" w:hAnsi="EB Garamond"/>
        </w:rPr>
        <w:t xml:space="preserve"> 2017</w:t>
      </w:r>
      <w:r w:rsidR="00A55618">
        <w:rPr>
          <w:rFonts w:ascii="EB Garamond" w:hAnsi="EB Garamond"/>
        </w:rPr>
        <w:t>.</w:t>
      </w:r>
      <w:r w:rsidRPr="00581356">
        <w:rPr>
          <w:rFonts w:ascii="EB Garamond" w:hAnsi="EB Garamond"/>
        </w:rPr>
        <w:t xml:space="preserve"> </w:t>
      </w:r>
      <w:r w:rsidRPr="00581356">
        <w:rPr>
          <w:rFonts w:ascii="EB Garamond" w:hAnsi="EB Garamond"/>
          <w:i/>
          <w:iCs/>
        </w:rPr>
        <w:t>Contextualising Knowledge: Epistemology and Semantics</w:t>
      </w:r>
      <w:r w:rsidRPr="00581356">
        <w:rPr>
          <w:rFonts w:ascii="EB Garamond" w:hAnsi="EB Garamond"/>
        </w:rPr>
        <w:t>. Oxford: Oxford</w:t>
      </w:r>
      <w:r w:rsidR="00A55618">
        <w:rPr>
          <w:rFonts w:ascii="EB Garamond" w:hAnsi="EB Garamond"/>
        </w:rPr>
        <w:t xml:space="preserve"> </w:t>
      </w:r>
      <w:r w:rsidRPr="00581356">
        <w:rPr>
          <w:rFonts w:ascii="EB Garamond" w:hAnsi="EB Garamond"/>
        </w:rPr>
        <w:t>University Press.</w:t>
      </w:r>
    </w:p>
    <w:p w14:paraId="3CEBD010" w14:textId="48C06579"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 xml:space="preserve">Johnston, </w:t>
      </w:r>
      <w:r w:rsidR="00A55618">
        <w:rPr>
          <w:rFonts w:ascii="EB Garamond" w:hAnsi="EB Garamond"/>
        </w:rPr>
        <w:t>M.</w:t>
      </w:r>
      <w:r w:rsidRPr="00581356">
        <w:rPr>
          <w:rFonts w:ascii="EB Garamond" w:hAnsi="EB Garamond"/>
        </w:rPr>
        <w:t xml:space="preserve"> 1992</w:t>
      </w:r>
      <w:r w:rsidR="00A55618">
        <w:rPr>
          <w:rFonts w:ascii="EB Garamond" w:hAnsi="EB Garamond"/>
        </w:rPr>
        <w:t>.</w:t>
      </w:r>
      <w:r w:rsidRPr="00581356">
        <w:rPr>
          <w:rFonts w:ascii="EB Garamond" w:hAnsi="EB Garamond"/>
        </w:rPr>
        <w:t xml:space="preserve"> How to Speak of the Colors. </w:t>
      </w:r>
      <w:r w:rsidRPr="00581356">
        <w:rPr>
          <w:rFonts w:ascii="EB Garamond" w:hAnsi="EB Garamond"/>
          <w:i/>
          <w:iCs/>
        </w:rPr>
        <w:t>Philosophical Studies</w:t>
      </w:r>
      <w:r w:rsidRPr="00581356">
        <w:rPr>
          <w:rFonts w:ascii="EB Garamond" w:hAnsi="EB Garamond"/>
        </w:rPr>
        <w:t xml:space="preserve"> 68: 221– 63.</w:t>
      </w:r>
    </w:p>
    <w:p w14:paraId="3D99BC9F" w14:textId="1BD770EA"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 xml:space="preserve">Lasonen-Aarnio, </w:t>
      </w:r>
      <w:r w:rsidR="00A55618">
        <w:rPr>
          <w:rFonts w:ascii="EB Garamond" w:hAnsi="EB Garamond"/>
        </w:rPr>
        <w:t>M.</w:t>
      </w:r>
      <w:r w:rsidRPr="00581356">
        <w:rPr>
          <w:rFonts w:ascii="EB Garamond" w:hAnsi="EB Garamond"/>
        </w:rPr>
        <w:t xml:space="preserve"> ms</w:t>
      </w:r>
      <w:r w:rsidR="00A55618">
        <w:rPr>
          <w:rFonts w:ascii="EB Garamond" w:hAnsi="EB Garamond"/>
        </w:rPr>
        <w:t xml:space="preserve">. </w:t>
      </w:r>
      <w:r w:rsidRPr="00581356">
        <w:rPr>
          <w:rFonts w:ascii="EB Garamond" w:hAnsi="EB Garamond"/>
          <w:i/>
          <w:iCs/>
        </w:rPr>
        <w:t>The Good, The Bad, and the Feasible: Knowledge and Reasonable Belief</w:t>
      </w:r>
      <w:r w:rsidRPr="00581356">
        <w:rPr>
          <w:rFonts w:ascii="EB Garamond" w:hAnsi="EB Garamond"/>
        </w:rPr>
        <w:t>.</w:t>
      </w:r>
    </w:p>
    <w:p w14:paraId="4DE5EC30" w14:textId="256F2552" w:rsidR="00CE7146" w:rsidRPr="00581356" w:rsidRDefault="00A55618" w:rsidP="00192A92">
      <w:pPr>
        <w:pStyle w:val="NormalWeb"/>
        <w:spacing w:before="0" w:beforeAutospacing="0" w:after="0" w:afterAutospacing="0"/>
        <w:rPr>
          <w:rFonts w:ascii="EB Garamond" w:hAnsi="EB Garamond"/>
        </w:rPr>
      </w:pPr>
      <w:r w:rsidRPr="00581356">
        <w:rPr>
          <w:rFonts w:ascii="EB Garamond" w:hAnsi="EB Garamond"/>
        </w:rPr>
        <w:t xml:space="preserve">Lasonen-Aarnio, </w:t>
      </w:r>
      <w:r>
        <w:rPr>
          <w:rFonts w:ascii="EB Garamond" w:hAnsi="EB Garamond"/>
        </w:rPr>
        <w:t>M.</w:t>
      </w:r>
      <w:r w:rsidRPr="00581356">
        <w:rPr>
          <w:rFonts w:ascii="EB Garamond" w:hAnsi="EB Garamond"/>
        </w:rPr>
        <w:t xml:space="preserve"> </w:t>
      </w:r>
      <w:r w:rsidR="00CE7146" w:rsidRPr="00581356">
        <w:rPr>
          <w:rFonts w:ascii="EB Garamond" w:hAnsi="EB Garamond"/>
        </w:rPr>
        <w:t>forthcoming A</w:t>
      </w:r>
      <w:r w:rsidR="008404B5">
        <w:rPr>
          <w:rFonts w:ascii="EB Garamond" w:hAnsi="EB Garamond"/>
        </w:rPr>
        <w:t>.</w:t>
      </w:r>
      <w:r w:rsidR="00CE7146" w:rsidRPr="00581356">
        <w:rPr>
          <w:rFonts w:ascii="EB Garamond" w:hAnsi="EB Garamond"/>
        </w:rPr>
        <w:t xml:space="preserve"> Competent Failure and Victims of Deceit. In </w:t>
      </w:r>
      <w:r w:rsidR="00CE7146" w:rsidRPr="00581356">
        <w:rPr>
          <w:rFonts w:ascii="EB Garamond" w:hAnsi="EB Garamond"/>
          <w:i/>
          <w:iCs/>
        </w:rPr>
        <w:t>The New Evil Demon</w:t>
      </w:r>
      <w:r w:rsidR="008404B5">
        <w:rPr>
          <w:rFonts w:ascii="EB Garamond" w:hAnsi="EB Garamond"/>
        </w:rPr>
        <w:t>, eds.</w:t>
      </w:r>
      <w:r w:rsidR="008404B5" w:rsidRPr="008404B5">
        <w:rPr>
          <w:rFonts w:ascii="EB Garamond" w:hAnsi="EB Garamond"/>
        </w:rPr>
        <w:t xml:space="preserve"> J. Dutant</w:t>
      </w:r>
      <w:r w:rsidR="008404B5">
        <w:rPr>
          <w:rFonts w:ascii="EB Garamond" w:hAnsi="EB Garamond"/>
        </w:rPr>
        <w:t xml:space="preserve"> and F.</w:t>
      </w:r>
      <w:r w:rsidR="008404B5" w:rsidRPr="008404B5">
        <w:rPr>
          <w:rFonts w:ascii="EB Garamond" w:hAnsi="EB Garamond"/>
        </w:rPr>
        <w:t xml:space="preserve"> Dorsch</w:t>
      </w:r>
      <w:r w:rsidR="008404B5">
        <w:rPr>
          <w:rFonts w:ascii="EB Garamond" w:hAnsi="EB Garamond"/>
        </w:rPr>
        <w:t>.</w:t>
      </w:r>
      <w:r w:rsidR="008404B5" w:rsidRPr="008404B5">
        <w:rPr>
          <w:rFonts w:ascii="EB Garamond" w:hAnsi="EB Garamond"/>
        </w:rPr>
        <w:t xml:space="preserve"> </w:t>
      </w:r>
      <w:r w:rsidR="00CE7146" w:rsidRPr="00581356">
        <w:rPr>
          <w:rFonts w:ascii="EB Garamond" w:hAnsi="EB Garamond"/>
        </w:rPr>
        <w:t>Oxford: Oxford University Press.</w:t>
      </w:r>
    </w:p>
    <w:p w14:paraId="08A2D1C5" w14:textId="34D9F5D0" w:rsidR="00CE7146" w:rsidRPr="00581356" w:rsidRDefault="00E14A8A" w:rsidP="00192A92">
      <w:pPr>
        <w:pStyle w:val="NormalWeb"/>
        <w:spacing w:before="0" w:beforeAutospacing="0" w:after="0" w:afterAutospacing="0"/>
        <w:rPr>
          <w:rFonts w:ascii="EB Garamond" w:hAnsi="EB Garamond"/>
        </w:rPr>
      </w:pPr>
      <w:r w:rsidRPr="00581356">
        <w:rPr>
          <w:rFonts w:ascii="EB Garamond" w:hAnsi="EB Garamond"/>
        </w:rPr>
        <w:t xml:space="preserve">Lasonen-Aarnio, </w:t>
      </w:r>
      <w:r>
        <w:rPr>
          <w:rFonts w:ascii="EB Garamond" w:hAnsi="EB Garamond"/>
        </w:rPr>
        <w:t>M.</w:t>
      </w:r>
      <w:r w:rsidRPr="00581356">
        <w:rPr>
          <w:rFonts w:ascii="EB Garamond" w:hAnsi="EB Garamond"/>
        </w:rPr>
        <w:t xml:space="preserve"> </w:t>
      </w:r>
      <w:r w:rsidR="00CE7146" w:rsidRPr="00581356">
        <w:rPr>
          <w:rFonts w:ascii="EB Garamond" w:hAnsi="EB Garamond"/>
        </w:rPr>
        <w:t>forthcoming B</w:t>
      </w:r>
      <w:r>
        <w:rPr>
          <w:rFonts w:ascii="EB Garamond" w:hAnsi="EB Garamond"/>
        </w:rPr>
        <w:t>.</w:t>
      </w:r>
      <w:r w:rsidR="00CE7146" w:rsidRPr="00581356">
        <w:rPr>
          <w:rFonts w:ascii="EB Garamond" w:hAnsi="EB Garamond"/>
        </w:rPr>
        <w:t xml:space="preserve"> Perspectives and Good Dispositions. </w:t>
      </w:r>
      <w:r w:rsidR="00CE7146" w:rsidRPr="00581356">
        <w:rPr>
          <w:rFonts w:ascii="EB Garamond" w:hAnsi="EB Garamond"/>
          <w:i/>
          <w:iCs/>
        </w:rPr>
        <w:t>Philosophy and Phenomenological Research</w:t>
      </w:r>
      <w:r w:rsidR="00CE7146" w:rsidRPr="00581356">
        <w:rPr>
          <w:rFonts w:ascii="EB Garamond" w:hAnsi="EB Garamond"/>
        </w:rPr>
        <w:t>.</w:t>
      </w:r>
    </w:p>
    <w:p w14:paraId="69562E5B" w14:textId="25E7C79D" w:rsidR="00CE7146" w:rsidRPr="00581356" w:rsidRDefault="00180E6B" w:rsidP="00192A92">
      <w:pPr>
        <w:pStyle w:val="NormalWeb"/>
        <w:spacing w:before="0" w:beforeAutospacing="0" w:after="0" w:afterAutospacing="0"/>
        <w:rPr>
          <w:rFonts w:ascii="EB Garamond" w:hAnsi="EB Garamond"/>
        </w:rPr>
      </w:pPr>
      <w:r w:rsidRPr="00581356">
        <w:rPr>
          <w:rFonts w:ascii="EB Garamond" w:hAnsi="EB Garamond"/>
        </w:rPr>
        <w:t xml:space="preserve">Lasonen-Aarnio, </w:t>
      </w:r>
      <w:r>
        <w:rPr>
          <w:rFonts w:ascii="EB Garamond" w:hAnsi="EB Garamond"/>
        </w:rPr>
        <w:t>M.</w:t>
      </w:r>
      <w:r w:rsidRPr="00581356">
        <w:rPr>
          <w:rFonts w:ascii="EB Garamond" w:hAnsi="EB Garamond"/>
        </w:rPr>
        <w:t xml:space="preserve"> </w:t>
      </w:r>
      <w:r w:rsidR="00CE7146" w:rsidRPr="00581356">
        <w:rPr>
          <w:rFonts w:ascii="EB Garamond" w:hAnsi="EB Garamond"/>
        </w:rPr>
        <w:t>2021a</w:t>
      </w:r>
      <w:r w:rsidR="00F673A9">
        <w:rPr>
          <w:rFonts w:ascii="EB Garamond" w:hAnsi="EB Garamond"/>
        </w:rPr>
        <w:t>.</w:t>
      </w:r>
      <w:r w:rsidR="00CE7146" w:rsidRPr="00581356">
        <w:rPr>
          <w:rFonts w:ascii="EB Garamond" w:hAnsi="EB Garamond"/>
        </w:rPr>
        <w:t xml:space="preserve"> Dispositional Evaluations and Defeat. In </w:t>
      </w:r>
      <w:r w:rsidR="00CE7146" w:rsidRPr="00581356">
        <w:rPr>
          <w:rFonts w:ascii="EB Garamond" w:hAnsi="EB Garamond"/>
          <w:i/>
          <w:iCs/>
        </w:rPr>
        <w:t>Reasons, Justification, and Defeat</w:t>
      </w:r>
      <w:r w:rsidR="00F673A9">
        <w:rPr>
          <w:rFonts w:ascii="EB Garamond" w:hAnsi="EB Garamond"/>
        </w:rPr>
        <w:t>, eds.</w:t>
      </w:r>
      <w:r w:rsidR="00F673A9" w:rsidRPr="00F673A9">
        <w:rPr>
          <w:rFonts w:ascii="EB Garamond" w:hAnsi="EB Garamond"/>
        </w:rPr>
        <w:t xml:space="preserve"> J. Brown</w:t>
      </w:r>
      <w:r w:rsidR="00F673A9">
        <w:rPr>
          <w:rFonts w:ascii="EB Garamond" w:hAnsi="EB Garamond"/>
        </w:rPr>
        <w:t xml:space="preserve"> </w:t>
      </w:r>
      <w:r w:rsidR="00F673A9" w:rsidRPr="00F673A9">
        <w:rPr>
          <w:rFonts w:ascii="EB Garamond" w:hAnsi="EB Garamond"/>
        </w:rPr>
        <w:t xml:space="preserve">and </w:t>
      </w:r>
      <w:r w:rsidR="00F673A9">
        <w:rPr>
          <w:rFonts w:ascii="EB Garamond" w:hAnsi="EB Garamond"/>
        </w:rPr>
        <w:t xml:space="preserve">M. </w:t>
      </w:r>
      <w:r w:rsidR="00F673A9" w:rsidRPr="00F673A9">
        <w:rPr>
          <w:rFonts w:ascii="EB Garamond" w:hAnsi="EB Garamond"/>
        </w:rPr>
        <w:t>Simion</w:t>
      </w:r>
      <w:r w:rsidR="0077547A">
        <w:rPr>
          <w:rFonts w:ascii="EB Garamond" w:hAnsi="EB Garamond"/>
        </w:rPr>
        <w:t>, 93–115</w:t>
      </w:r>
      <w:r w:rsidR="00CE7146" w:rsidRPr="00581356">
        <w:rPr>
          <w:rFonts w:ascii="EB Garamond" w:hAnsi="EB Garamond"/>
        </w:rPr>
        <w:t>. Oxford: Oxford University Press.</w:t>
      </w:r>
    </w:p>
    <w:p w14:paraId="2A3D5750" w14:textId="0314053C" w:rsidR="00CE7146" w:rsidRPr="00581356" w:rsidRDefault="008F72B8" w:rsidP="00192A92">
      <w:pPr>
        <w:pStyle w:val="NormalWeb"/>
        <w:spacing w:before="0" w:beforeAutospacing="0" w:after="0" w:afterAutospacing="0"/>
        <w:rPr>
          <w:rFonts w:ascii="EB Garamond" w:hAnsi="EB Garamond"/>
        </w:rPr>
      </w:pPr>
      <w:r w:rsidRPr="00581356">
        <w:rPr>
          <w:rFonts w:ascii="EB Garamond" w:hAnsi="EB Garamond"/>
        </w:rPr>
        <w:t xml:space="preserve">Lasonen-Aarnio, </w:t>
      </w:r>
      <w:r>
        <w:rPr>
          <w:rFonts w:ascii="EB Garamond" w:hAnsi="EB Garamond"/>
        </w:rPr>
        <w:t>M.</w:t>
      </w:r>
      <w:r w:rsidRPr="00581356">
        <w:rPr>
          <w:rFonts w:ascii="EB Garamond" w:hAnsi="EB Garamond"/>
        </w:rPr>
        <w:t xml:space="preserve"> 2021</w:t>
      </w:r>
      <w:r>
        <w:rPr>
          <w:rFonts w:ascii="EB Garamond" w:hAnsi="EB Garamond"/>
        </w:rPr>
        <w:t>b.</w:t>
      </w:r>
      <w:r w:rsidRPr="00581356">
        <w:rPr>
          <w:rFonts w:ascii="EB Garamond" w:hAnsi="EB Garamond"/>
        </w:rPr>
        <w:t xml:space="preserve"> </w:t>
      </w:r>
      <w:r w:rsidR="00CE7146" w:rsidRPr="00581356">
        <w:rPr>
          <w:rFonts w:ascii="EB Garamond" w:hAnsi="EB Garamond"/>
        </w:rPr>
        <w:t xml:space="preserve">Coherence as Competence. </w:t>
      </w:r>
      <w:r w:rsidR="00CE7146" w:rsidRPr="00581356">
        <w:rPr>
          <w:rFonts w:ascii="EB Garamond" w:hAnsi="EB Garamond"/>
          <w:i/>
          <w:iCs/>
        </w:rPr>
        <w:t>Episteme</w:t>
      </w:r>
      <w:r w:rsidR="00CE7146" w:rsidRPr="00581356">
        <w:rPr>
          <w:rFonts w:ascii="EB Garamond" w:hAnsi="EB Garamond"/>
        </w:rPr>
        <w:t xml:space="preserve"> 18: 453–76.</w:t>
      </w:r>
    </w:p>
    <w:p w14:paraId="0E4B7461" w14:textId="5C675425" w:rsidR="00CE7146" w:rsidRPr="00581356" w:rsidRDefault="008F72B8" w:rsidP="00192A92">
      <w:pPr>
        <w:pStyle w:val="NormalWeb"/>
        <w:spacing w:before="0" w:beforeAutospacing="0" w:after="0" w:afterAutospacing="0"/>
        <w:rPr>
          <w:rFonts w:ascii="EB Garamond" w:hAnsi="EB Garamond"/>
        </w:rPr>
      </w:pPr>
      <w:r w:rsidRPr="00581356">
        <w:rPr>
          <w:rFonts w:ascii="EB Garamond" w:hAnsi="EB Garamond"/>
        </w:rPr>
        <w:t xml:space="preserve">Lasonen-Aarnio, </w:t>
      </w:r>
      <w:r>
        <w:rPr>
          <w:rFonts w:ascii="EB Garamond" w:hAnsi="EB Garamond"/>
        </w:rPr>
        <w:t>M.</w:t>
      </w:r>
      <w:r w:rsidRPr="00581356">
        <w:rPr>
          <w:rFonts w:ascii="EB Garamond" w:hAnsi="EB Garamond"/>
        </w:rPr>
        <w:t xml:space="preserve"> </w:t>
      </w:r>
      <w:r w:rsidR="00CE7146" w:rsidRPr="00581356">
        <w:rPr>
          <w:rFonts w:ascii="EB Garamond" w:hAnsi="EB Garamond"/>
        </w:rPr>
        <w:t>2014</w:t>
      </w:r>
      <w:r>
        <w:rPr>
          <w:rFonts w:ascii="EB Garamond" w:hAnsi="EB Garamond"/>
        </w:rPr>
        <w:t>.</w:t>
      </w:r>
      <w:r w:rsidR="00CE7146" w:rsidRPr="00581356">
        <w:rPr>
          <w:rFonts w:ascii="EB Garamond" w:hAnsi="EB Garamond"/>
        </w:rPr>
        <w:t xml:space="preserve"> Higher-Order Evidence and the Limits of Defeat. </w:t>
      </w:r>
      <w:r w:rsidR="00CE7146" w:rsidRPr="00581356">
        <w:rPr>
          <w:rFonts w:ascii="EB Garamond" w:hAnsi="EB Garamond"/>
          <w:i/>
          <w:iCs/>
        </w:rPr>
        <w:t>Philosophy and Phenomenological Research</w:t>
      </w:r>
      <w:r w:rsidR="00CE7146" w:rsidRPr="00581356">
        <w:rPr>
          <w:rFonts w:ascii="EB Garamond" w:hAnsi="EB Garamond"/>
        </w:rPr>
        <w:t xml:space="preserve"> 88: 314–45.</w:t>
      </w:r>
    </w:p>
    <w:p w14:paraId="7FBC5852" w14:textId="0109FCEF" w:rsidR="00CE7146" w:rsidRPr="00581356" w:rsidRDefault="0077547A" w:rsidP="00192A92">
      <w:pPr>
        <w:pStyle w:val="NormalWeb"/>
        <w:spacing w:before="0" w:beforeAutospacing="0" w:after="0" w:afterAutospacing="0"/>
        <w:rPr>
          <w:rFonts w:ascii="EB Garamond" w:hAnsi="EB Garamond"/>
        </w:rPr>
      </w:pPr>
      <w:r w:rsidRPr="00581356">
        <w:rPr>
          <w:rFonts w:ascii="EB Garamond" w:hAnsi="EB Garamond"/>
        </w:rPr>
        <w:t xml:space="preserve">Lasonen-Aarnio, </w:t>
      </w:r>
      <w:r>
        <w:rPr>
          <w:rFonts w:ascii="EB Garamond" w:hAnsi="EB Garamond"/>
        </w:rPr>
        <w:t>M.</w:t>
      </w:r>
      <w:r w:rsidRPr="00581356">
        <w:rPr>
          <w:rFonts w:ascii="EB Garamond" w:hAnsi="EB Garamond"/>
        </w:rPr>
        <w:t xml:space="preserve"> </w:t>
      </w:r>
      <w:r w:rsidR="00CE7146" w:rsidRPr="00581356">
        <w:rPr>
          <w:rFonts w:ascii="EB Garamond" w:hAnsi="EB Garamond"/>
        </w:rPr>
        <w:t>2010</w:t>
      </w:r>
      <w:r>
        <w:rPr>
          <w:rFonts w:ascii="EB Garamond" w:hAnsi="EB Garamond"/>
        </w:rPr>
        <w:t>.</w:t>
      </w:r>
      <w:r w:rsidR="00CE7146" w:rsidRPr="00581356">
        <w:rPr>
          <w:rFonts w:ascii="EB Garamond" w:hAnsi="EB Garamond"/>
        </w:rPr>
        <w:t xml:space="preserve"> Unreasonable Knowledge. </w:t>
      </w:r>
      <w:r w:rsidR="00CE7146" w:rsidRPr="00581356">
        <w:rPr>
          <w:rFonts w:ascii="EB Garamond" w:hAnsi="EB Garamond"/>
          <w:i/>
          <w:iCs/>
        </w:rPr>
        <w:t>Philosophical Perspectives</w:t>
      </w:r>
      <w:r w:rsidR="00CE7146" w:rsidRPr="00581356">
        <w:rPr>
          <w:rFonts w:ascii="EB Garamond" w:hAnsi="EB Garamond"/>
        </w:rPr>
        <w:t xml:space="preserve"> 24: 1–21. </w:t>
      </w:r>
    </w:p>
    <w:p w14:paraId="77952CA2" w14:textId="1BBE1B30"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lastRenderedPageBreak/>
        <w:t xml:space="preserve">Lehrer, </w:t>
      </w:r>
      <w:r w:rsidR="0077547A">
        <w:rPr>
          <w:rFonts w:ascii="EB Garamond" w:hAnsi="EB Garamond"/>
        </w:rPr>
        <w:t>K.</w:t>
      </w:r>
      <w:r w:rsidRPr="00581356">
        <w:rPr>
          <w:rFonts w:ascii="EB Garamond" w:hAnsi="EB Garamond"/>
        </w:rPr>
        <w:t xml:space="preserve"> </w:t>
      </w:r>
      <w:r w:rsidR="0077547A">
        <w:rPr>
          <w:rFonts w:ascii="EB Garamond" w:hAnsi="EB Garamond"/>
        </w:rPr>
        <w:t>and</w:t>
      </w:r>
      <w:r w:rsidRPr="00581356">
        <w:rPr>
          <w:rFonts w:ascii="EB Garamond" w:hAnsi="EB Garamond"/>
        </w:rPr>
        <w:t xml:space="preserve"> Cohen, </w:t>
      </w:r>
      <w:r w:rsidR="0077547A">
        <w:rPr>
          <w:rFonts w:ascii="EB Garamond" w:hAnsi="EB Garamond"/>
        </w:rPr>
        <w:t>S.</w:t>
      </w:r>
      <w:r w:rsidRPr="00581356">
        <w:rPr>
          <w:rFonts w:ascii="EB Garamond" w:hAnsi="EB Garamond"/>
        </w:rPr>
        <w:t xml:space="preserve"> 1983</w:t>
      </w:r>
      <w:r w:rsidR="0077547A">
        <w:rPr>
          <w:rFonts w:ascii="EB Garamond" w:hAnsi="EB Garamond"/>
        </w:rPr>
        <w:t>.</w:t>
      </w:r>
      <w:r w:rsidRPr="00581356">
        <w:rPr>
          <w:rFonts w:ascii="EB Garamond" w:hAnsi="EB Garamond"/>
        </w:rPr>
        <w:t xml:space="preserve"> Justification, Truth, and Coherence. </w:t>
      </w:r>
      <w:r w:rsidRPr="00581356">
        <w:rPr>
          <w:rFonts w:ascii="EB Garamond" w:hAnsi="EB Garamond"/>
          <w:i/>
          <w:iCs/>
        </w:rPr>
        <w:t>Synthese</w:t>
      </w:r>
      <w:r w:rsidRPr="00581356">
        <w:rPr>
          <w:rFonts w:ascii="EB Garamond" w:hAnsi="EB Garamond"/>
        </w:rPr>
        <w:t xml:space="preserve"> 55: 191–207.</w:t>
      </w:r>
    </w:p>
    <w:p w14:paraId="30DE43CE" w14:textId="73A5C9E2"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McKitrick, J</w:t>
      </w:r>
      <w:r w:rsidR="0077547A">
        <w:rPr>
          <w:rFonts w:ascii="EB Garamond" w:hAnsi="EB Garamond"/>
        </w:rPr>
        <w:t>.</w:t>
      </w:r>
      <w:r w:rsidRPr="00581356">
        <w:rPr>
          <w:rFonts w:ascii="EB Garamond" w:hAnsi="EB Garamond"/>
        </w:rPr>
        <w:t xml:space="preserve"> 2018</w:t>
      </w:r>
      <w:r w:rsidR="0077547A">
        <w:rPr>
          <w:rFonts w:ascii="EB Garamond" w:hAnsi="EB Garamond"/>
        </w:rPr>
        <w:t>.</w:t>
      </w:r>
      <w:r w:rsidRPr="00581356">
        <w:rPr>
          <w:rFonts w:ascii="EB Garamond" w:hAnsi="EB Garamond"/>
        </w:rPr>
        <w:t xml:space="preserve"> </w:t>
      </w:r>
      <w:r w:rsidRPr="00581356">
        <w:rPr>
          <w:rFonts w:ascii="EB Garamond" w:hAnsi="EB Garamond"/>
          <w:i/>
          <w:iCs/>
        </w:rPr>
        <w:t>Dispositional Pluralism</w:t>
      </w:r>
      <w:r w:rsidRPr="00581356">
        <w:rPr>
          <w:rFonts w:ascii="EB Garamond" w:hAnsi="EB Garamond"/>
        </w:rPr>
        <w:t xml:space="preserve">. Oxford: Oxford University Press. </w:t>
      </w:r>
    </w:p>
    <w:p w14:paraId="59DC008A" w14:textId="1072CE80"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 xml:space="preserve">Simion, </w:t>
      </w:r>
      <w:r w:rsidR="0077547A">
        <w:rPr>
          <w:rFonts w:ascii="EB Garamond" w:hAnsi="EB Garamond"/>
        </w:rPr>
        <w:t>M.</w:t>
      </w:r>
      <w:r w:rsidRPr="00581356">
        <w:rPr>
          <w:rFonts w:ascii="EB Garamond" w:hAnsi="EB Garamond"/>
        </w:rPr>
        <w:t xml:space="preserve">, Kelp, </w:t>
      </w:r>
      <w:r w:rsidR="0077547A">
        <w:rPr>
          <w:rFonts w:ascii="EB Garamond" w:hAnsi="EB Garamond"/>
        </w:rPr>
        <w:t>C.</w:t>
      </w:r>
      <w:r w:rsidRPr="00581356">
        <w:rPr>
          <w:rFonts w:ascii="EB Garamond" w:hAnsi="EB Garamond"/>
        </w:rPr>
        <w:t xml:space="preserve"> and Ghijsen, </w:t>
      </w:r>
      <w:r w:rsidR="0077547A">
        <w:rPr>
          <w:rFonts w:ascii="EB Garamond" w:hAnsi="EB Garamond"/>
        </w:rPr>
        <w:t>H.</w:t>
      </w:r>
      <w:r w:rsidRPr="00581356">
        <w:rPr>
          <w:rFonts w:ascii="EB Garamond" w:hAnsi="EB Garamond"/>
        </w:rPr>
        <w:t xml:space="preserve"> 2016</w:t>
      </w:r>
      <w:r w:rsidR="0077547A">
        <w:rPr>
          <w:rFonts w:ascii="EB Garamond" w:hAnsi="EB Garamond"/>
        </w:rPr>
        <w:t>.</w:t>
      </w:r>
      <w:r w:rsidRPr="00581356">
        <w:rPr>
          <w:rFonts w:ascii="EB Garamond" w:hAnsi="EB Garamond"/>
        </w:rPr>
        <w:t xml:space="preserve"> Norms of Belief. </w:t>
      </w:r>
      <w:r w:rsidRPr="00581356">
        <w:rPr>
          <w:rFonts w:ascii="EB Garamond" w:hAnsi="EB Garamond"/>
          <w:i/>
          <w:iCs/>
        </w:rPr>
        <w:t>Philosophical Issues</w:t>
      </w:r>
      <w:r w:rsidRPr="00581356">
        <w:rPr>
          <w:rFonts w:ascii="EB Garamond" w:hAnsi="EB Garamond"/>
        </w:rPr>
        <w:t xml:space="preserve"> 26: 374–92. </w:t>
      </w:r>
    </w:p>
    <w:p w14:paraId="680D8BA4" w14:textId="07602279"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Sosa, E</w:t>
      </w:r>
      <w:r w:rsidR="00F07BCF">
        <w:rPr>
          <w:rFonts w:ascii="EB Garamond" w:hAnsi="EB Garamond"/>
        </w:rPr>
        <w:t xml:space="preserve">. </w:t>
      </w:r>
      <w:r w:rsidRPr="00581356">
        <w:rPr>
          <w:rFonts w:ascii="EB Garamond" w:hAnsi="EB Garamond"/>
        </w:rPr>
        <w:t>1988</w:t>
      </w:r>
      <w:r w:rsidR="00F07BCF">
        <w:rPr>
          <w:rFonts w:ascii="EB Garamond" w:hAnsi="EB Garamond"/>
        </w:rPr>
        <w:t xml:space="preserve">. </w:t>
      </w:r>
      <w:r w:rsidRPr="00581356">
        <w:rPr>
          <w:rFonts w:ascii="EB Garamond" w:hAnsi="EB Garamond"/>
        </w:rPr>
        <w:t xml:space="preserve">Beyond Scepticism, to the Best of our Knowledge. </w:t>
      </w:r>
      <w:r w:rsidRPr="00581356">
        <w:rPr>
          <w:rFonts w:ascii="EB Garamond" w:hAnsi="EB Garamond"/>
          <w:i/>
          <w:iCs/>
        </w:rPr>
        <w:t>Mind</w:t>
      </w:r>
      <w:r w:rsidRPr="00581356">
        <w:rPr>
          <w:rFonts w:ascii="EB Garamond" w:hAnsi="EB Garamond"/>
        </w:rPr>
        <w:t xml:space="preserve"> 97: 153–88.</w:t>
      </w:r>
    </w:p>
    <w:p w14:paraId="6AB306CA" w14:textId="3AE57761"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Wedgwood, R</w:t>
      </w:r>
      <w:r w:rsidR="002B726F">
        <w:rPr>
          <w:rFonts w:ascii="EB Garamond" w:hAnsi="EB Garamond"/>
        </w:rPr>
        <w:t>.</w:t>
      </w:r>
      <w:r w:rsidRPr="00581356">
        <w:rPr>
          <w:rFonts w:ascii="EB Garamond" w:hAnsi="EB Garamond"/>
        </w:rPr>
        <w:t xml:space="preserve"> 2002</w:t>
      </w:r>
      <w:r w:rsidR="002B726F">
        <w:rPr>
          <w:rFonts w:ascii="EB Garamond" w:hAnsi="EB Garamond"/>
        </w:rPr>
        <w:t>.</w:t>
      </w:r>
      <w:r w:rsidRPr="00581356">
        <w:rPr>
          <w:rFonts w:ascii="EB Garamond" w:hAnsi="EB Garamond"/>
        </w:rPr>
        <w:t xml:space="preserve"> Internalism Explained. </w:t>
      </w:r>
      <w:r w:rsidRPr="00581356">
        <w:rPr>
          <w:rFonts w:ascii="EB Garamond" w:hAnsi="EB Garamond"/>
          <w:i/>
          <w:iCs/>
        </w:rPr>
        <w:t>Philosophy and Phenomenological Research</w:t>
      </w:r>
      <w:r w:rsidRPr="00581356">
        <w:rPr>
          <w:rFonts w:ascii="EB Garamond" w:hAnsi="EB Garamond"/>
        </w:rPr>
        <w:t xml:space="preserve"> 65: 349–69.</w:t>
      </w:r>
    </w:p>
    <w:p w14:paraId="71186904" w14:textId="1FBEA221" w:rsidR="00CE7146" w:rsidRPr="00581356" w:rsidRDefault="00CE7146" w:rsidP="00192A92">
      <w:pPr>
        <w:pStyle w:val="NormalWeb"/>
        <w:spacing w:before="0" w:beforeAutospacing="0" w:after="0" w:afterAutospacing="0"/>
        <w:rPr>
          <w:rFonts w:ascii="EB Garamond" w:hAnsi="EB Garamond"/>
        </w:rPr>
      </w:pPr>
      <w:r w:rsidRPr="00581356">
        <w:rPr>
          <w:rFonts w:ascii="EB Garamond" w:hAnsi="EB Garamond"/>
        </w:rPr>
        <w:t>Williamson, T</w:t>
      </w:r>
      <w:r w:rsidR="002B726F">
        <w:rPr>
          <w:rFonts w:ascii="EB Garamond" w:hAnsi="EB Garamond"/>
        </w:rPr>
        <w:t>.</w:t>
      </w:r>
      <w:r w:rsidRPr="00581356">
        <w:rPr>
          <w:rFonts w:ascii="EB Garamond" w:hAnsi="EB Garamond"/>
        </w:rPr>
        <w:t xml:space="preserve"> forthcoming A</w:t>
      </w:r>
      <w:r w:rsidR="002B726F">
        <w:rPr>
          <w:rFonts w:ascii="EB Garamond" w:hAnsi="EB Garamond"/>
        </w:rPr>
        <w:t>.</w:t>
      </w:r>
      <w:r w:rsidRPr="00581356">
        <w:rPr>
          <w:rFonts w:ascii="EB Garamond" w:hAnsi="EB Garamond"/>
        </w:rPr>
        <w:t xml:space="preserve"> Justifications, Excuses, and Sceptical Scenarios. </w:t>
      </w:r>
      <w:r w:rsidR="002B726F" w:rsidRPr="00581356">
        <w:rPr>
          <w:rFonts w:ascii="EB Garamond" w:hAnsi="EB Garamond"/>
        </w:rPr>
        <w:t xml:space="preserve">In </w:t>
      </w:r>
      <w:r w:rsidR="002B726F" w:rsidRPr="00581356">
        <w:rPr>
          <w:rFonts w:ascii="EB Garamond" w:hAnsi="EB Garamond"/>
          <w:i/>
          <w:iCs/>
        </w:rPr>
        <w:t>The New Evil Demon</w:t>
      </w:r>
      <w:r w:rsidR="002B726F">
        <w:rPr>
          <w:rFonts w:ascii="EB Garamond" w:hAnsi="EB Garamond"/>
        </w:rPr>
        <w:t>, eds.</w:t>
      </w:r>
      <w:r w:rsidR="002B726F" w:rsidRPr="008404B5">
        <w:rPr>
          <w:rFonts w:ascii="EB Garamond" w:hAnsi="EB Garamond"/>
        </w:rPr>
        <w:t xml:space="preserve"> J. Dutant</w:t>
      </w:r>
      <w:r w:rsidR="002B726F">
        <w:rPr>
          <w:rFonts w:ascii="EB Garamond" w:hAnsi="EB Garamond"/>
        </w:rPr>
        <w:t xml:space="preserve"> and F.</w:t>
      </w:r>
      <w:r w:rsidR="002B726F" w:rsidRPr="008404B5">
        <w:rPr>
          <w:rFonts w:ascii="EB Garamond" w:hAnsi="EB Garamond"/>
        </w:rPr>
        <w:t xml:space="preserve"> Dorsch</w:t>
      </w:r>
      <w:r w:rsidR="002B726F">
        <w:rPr>
          <w:rFonts w:ascii="EB Garamond" w:hAnsi="EB Garamond"/>
        </w:rPr>
        <w:t>.</w:t>
      </w:r>
      <w:r w:rsidR="002B726F" w:rsidRPr="008404B5">
        <w:rPr>
          <w:rFonts w:ascii="EB Garamond" w:hAnsi="EB Garamond"/>
        </w:rPr>
        <w:t xml:space="preserve"> </w:t>
      </w:r>
      <w:r w:rsidR="002B726F" w:rsidRPr="00581356">
        <w:rPr>
          <w:rFonts w:ascii="EB Garamond" w:hAnsi="EB Garamond"/>
        </w:rPr>
        <w:t>Oxford: Oxford University Press.</w:t>
      </w:r>
    </w:p>
    <w:p w14:paraId="5081C566" w14:textId="1D877952" w:rsidR="00CE7146" w:rsidRPr="00581356" w:rsidRDefault="002B726F" w:rsidP="00192A92">
      <w:pPr>
        <w:pStyle w:val="NormalWeb"/>
        <w:spacing w:before="0" w:beforeAutospacing="0" w:after="0" w:afterAutospacing="0"/>
        <w:rPr>
          <w:rFonts w:ascii="EB Garamond" w:hAnsi="EB Garamond"/>
        </w:rPr>
      </w:pPr>
      <w:r w:rsidRPr="00581356">
        <w:rPr>
          <w:rFonts w:ascii="EB Garamond" w:hAnsi="EB Garamond"/>
        </w:rPr>
        <w:t>Williamson, T</w:t>
      </w:r>
      <w:r>
        <w:rPr>
          <w:rFonts w:ascii="EB Garamond" w:hAnsi="EB Garamond"/>
        </w:rPr>
        <w:t>.</w:t>
      </w:r>
      <w:r w:rsidRPr="00581356">
        <w:rPr>
          <w:rFonts w:ascii="EB Garamond" w:hAnsi="EB Garamond"/>
        </w:rPr>
        <w:t xml:space="preserve"> </w:t>
      </w:r>
      <w:r w:rsidR="00CE7146" w:rsidRPr="00581356">
        <w:rPr>
          <w:rFonts w:ascii="EB Garamond" w:hAnsi="EB Garamond"/>
        </w:rPr>
        <w:t>forthcoming B</w:t>
      </w:r>
      <w:r>
        <w:rPr>
          <w:rFonts w:ascii="EB Garamond" w:hAnsi="EB Garamond"/>
        </w:rPr>
        <w:t>.</w:t>
      </w:r>
      <w:r w:rsidR="00CE7146" w:rsidRPr="00581356">
        <w:rPr>
          <w:rFonts w:ascii="EB Garamond" w:hAnsi="EB Garamond"/>
        </w:rPr>
        <w:t xml:space="preserve"> Epistemological Ambivalence. In</w:t>
      </w:r>
      <w:r>
        <w:rPr>
          <w:rFonts w:ascii="EB Garamond" w:hAnsi="EB Garamond"/>
        </w:rPr>
        <w:t xml:space="preserve"> </w:t>
      </w:r>
      <w:r w:rsidR="00CE7146" w:rsidRPr="00581356">
        <w:rPr>
          <w:rFonts w:ascii="EB Garamond" w:hAnsi="EB Garamond"/>
          <w:i/>
          <w:iCs/>
        </w:rPr>
        <w:t>Epistemic Dilemmas</w:t>
      </w:r>
      <w:r w:rsidR="00F550F4">
        <w:rPr>
          <w:rFonts w:ascii="EB Garamond" w:hAnsi="EB Garamond"/>
        </w:rPr>
        <w:t>,</w:t>
      </w:r>
      <w:r>
        <w:rPr>
          <w:rFonts w:ascii="EB Garamond" w:hAnsi="EB Garamond"/>
        </w:rPr>
        <w:t xml:space="preserve"> ed. N. Hughes. </w:t>
      </w:r>
      <w:r w:rsidR="00CE7146" w:rsidRPr="00581356">
        <w:rPr>
          <w:rFonts w:ascii="EB Garamond" w:hAnsi="EB Garamond"/>
        </w:rPr>
        <w:t>Oxford: Oxford University Press.</w:t>
      </w:r>
    </w:p>
    <w:p w14:paraId="71F25E3A" w14:textId="400E2469" w:rsidR="002546BC" w:rsidRPr="00DE16A8" w:rsidRDefault="002B726F" w:rsidP="00192A92">
      <w:pPr>
        <w:pStyle w:val="NormalWeb"/>
        <w:spacing w:before="0" w:beforeAutospacing="0" w:after="0" w:afterAutospacing="0"/>
        <w:rPr>
          <w:rFonts w:ascii="EB Garamond" w:hAnsi="EB Garamond"/>
        </w:rPr>
      </w:pPr>
      <w:r w:rsidRPr="00581356">
        <w:rPr>
          <w:rFonts w:ascii="EB Garamond" w:hAnsi="EB Garamond"/>
        </w:rPr>
        <w:t>Williamson, T</w:t>
      </w:r>
      <w:r>
        <w:rPr>
          <w:rFonts w:ascii="EB Garamond" w:hAnsi="EB Garamond"/>
        </w:rPr>
        <w:t>.</w:t>
      </w:r>
      <w:r w:rsidRPr="00581356">
        <w:rPr>
          <w:rFonts w:ascii="EB Garamond" w:hAnsi="EB Garamond"/>
        </w:rPr>
        <w:t xml:space="preserve"> </w:t>
      </w:r>
      <w:r w:rsidR="00CE7146" w:rsidRPr="00581356">
        <w:rPr>
          <w:rFonts w:ascii="EB Garamond" w:hAnsi="EB Garamond"/>
        </w:rPr>
        <w:t>2017</w:t>
      </w:r>
      <w:r>
        <w:rPr>
          <w:rFonts w:ascii="EB Garamond" w:hAnsi="EB Garamond"/>
        </w:rPr>
        <w:t>.</w:t>
      </w:r>
      <w:r w:rsidR="00CE7146" w:rsidRPr="00581356">
        <w:rPr>
          <w:rFonts w:ascii="EB Garamond" w:hAnsi="EB Garamond"/>
        </w:rPr>
        <w:t xml:space="preserve"> Ambiguous Rationality. </w:t>
      </w:r>
      <w:r w:rsidR="00CE7146" w:rsidRPr="00581356">
        <w:rPr>
          <w:rFonts w:ascii="EB Garamond" w:hAnsi="EB Garamond"/>
          <w:i/>
          <w:iCs/>
        </w:rPr>
        <w:t>Episteme</w:t>
      </w:r>
      <w:r w:rsidR="00CE7146" w:rsidRPr="00581356">
        <w:rPr>
          <w:rFonts w:ascii="EB Garamond" w:hAnsi="EB Garamond"/>
        </w:rPr>
        <w:t xml:space="preserve"> 14: 263–74.</w:t>
      </w:r>
    </w:p>
    <w:sectPr w:rsidR="002546BC" w:rsidRPr="00DE16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B6AC" w14:textId="77777777" w:rsidR="00D94258" w:rsidRDefault="00D94258" w:rsidP="00CE7146">
      <w:r>
        <w:separator/>
      </w:r>
    </w:p>
  </w:endnote>
  <w:endnote w:type="continuationSeparator" w:id="0">
    <w:p w14:paraId="18F75996" w14:textId="77777777" w:rsidR="00D94258" w:rsidRDefault="00D94258" w:rsidP="00CE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CDEF" w14:textId="77777777" w:rsidR="00D94258" w:rsidRDefault="00D94258" w:rsidP="00CE7146">
      <w:r>
        <w:separator/>
      </w:r>
    </w:p>
  </w:footnote>
  <w:footnote w:type="continuationSeparator" w:id="0">
    <w:p w14:paraId="2CA9C870" w14:textId="77777777" w:rsidR="00D94258" w:rsidRDefault="00D94258" w:rsidP="00CE7146">
      <w:r>
        <w:continuationSeparator/>
      </w:r>
    </w:p>
  </w:footnote>
  <w:footnote w:id="1">
    <w:p w14:paraId="6E60F775" w14:textId="77777777" w:rsidR="00CE7146" w:rsidRPr="00AA6201" w:rsidRDefault="00CE7146" w:rsidP="00CE7146">
      <w:pPr>
        <w:pStyle w:val="FootnoteText"/>
        <w:rPr>
          <w:rFonts w:ascii="EB Garamond" w:hAnsi="EB Garamond"/>
        </w:rPr>
      </w:pPr>
      <w:r w:rsidRPr="00AA6201">
        <w:rPr>
          <w:rStyle w:val="FootnoteReference"/>
          <w:rFonts w:ascii="EB Garamond" w:hAnsi="EB Garamond"/>
        </w:rPr>
        <w:footnoteRef/>
      </w:r>
      <w:r w:rsidRPr="00AA6201">
        <w:rPr>
          <w:rFonts w:ascii="EB Garamond" w:hAnsi="EB Garamond"/>
        </w:rPr>
        <w:t xml:space="preserve"> In this paper, I’ll be concerned with </w:t>
      </w:r>
      <w:r w:rsidRPr="00AA6201">
        <w:rPr>
          <w:rFonts w:ascii="EB Garamond" w:hAnsi="EB Garamond"/>
          <w:i/>
          <w:iCs/>
        </w:rPr>
        <w:t>doxastic</w:t>
      </w:r>
      <w:r w:rsidRPr="00AA6201">
        <w:rPr>
          <w:rFonts w:ascii="EB Garamond" w:hAnsi="EB Garamond"/>
        </w:rPr>
        <w:t xml:space="preserve"> justification; justification which applies, or fails to apply, to the beliefs of a subject in a situation. </w:t>
      </w:r>
    </w:p>
  </w:footnote>
  <w:footnote w:id="2">
    <w:p w14:paraId="1902346C" w14:textId="77777777" w:rsidR="00CE7146" w:rsidRPr="00BB42B2" w:rsidRDefault="00CE7146" w:rsidP="00CE7146">
      <w:pPr>
        <w:pStyle w:val="FootnoteText"/>
        <w:rPr>
          <w:rFonts w:ascii="EB Garamond" w:hAnsi="EB Garamond"/>
        </w:rPr>
      </w:pPr>
      <w:r w:rsidRPr="00BB42B2">
        <w:rPr>
          <w:rStyle w:val="FootnoteReference"/>
          <w:rFonts w:ascii="EB Garamond" w:hAnsi="EB Garamond"/>
        </w:rPr>
        <w:footnoteRef/>
      </w:r>
      <w:r w:rsidRPr="00BB42B2">
        <w:rPr>
          <w:rFonts w:ascii="EB Garamond" w:hAnsi="EB Garamond"/>
        </w:rPr>
        <w:t xml:space="preserve"> References to ‘Williamson’ are to Williamson (forthcoming</w:t>
      </w:r>
      <w:r>
        <w:rPr>
          <w:rFonts w:ascii="EB Garamond" w:hAnsi="EB Garamond"/>
        </w:rPr>
        <w:t xml:space="preserve"> </w:t>
      </w:r>
      <w:r w:rsidRPr="0005797C">
        <w:rPr>
          <w:rFonts w:ascii="EB Garamond" w:hAnsi="EB Garamond"/>
        </w:rPr>
        <w:t>A</w:t>
      </w:r>
      <w:r w:rsidRPr="00BB42B2">
        <w:rPr>
          <w:rFonts w:ascii="EB Garamond" w:hAnsi="EB Garamond"/>
        </w:rPr>
        <w:t>).</w:t>
      </w:r>
    </w:p>
  </w:footnote>
  <w:footnote w:id="3">
    <w:p w14:paraId="04A1E2E3" w14:textId="26F3EA47" w:rsidR="00CE7146" w:rsidRPr="00BD0D99" w:rsidRDefault="00CE7146" w:rsidP="00CE7146">
      <w:pPr>
        <w:pStyle w:val="FootnoteText"/>
        <w:rPr>
          <w:rFonts w:ascii="EB Garamond" w:hAnsi="EB Garamond"/>
        </w:rPr>
      </w:pPr>
      <w:r w:rsidRPr="00BD0D99">
        <w:rPr>
          <w:rStyle w:val="FootnoteReference"/>
          <w:rFonts w:ascii="EB Garamond" w:hAnsi="EB Garamond"/>
        </w:rPr>
        <w:footnoteRef/>
      </w:r>
      <w:r w:rsidRPr="00BD0D99">
        <w:rPr>
          <w:rFonts w:ascii="EB Garamond" w:hAnsi="EB Garamond"/>
        </w:rPr>
        <w:t xml:space="preserve"> See, </w:t>
      </w:r>
      <w:r w:rsidRPr="00BD0D99">
        <w:rPr>
          <w:rFonts w:ascii="EB Garamond" w:hAnsi="EB Garamond"/>
          <w:i/>
          <w:iCs/>
        </w:rPr>
        <w:t>inter alia</w:t>
      </w:r>
      <w:r w:rsidRPr="00BD0D99">
        <w:rPr>
          <w:rFonts w:ascii="EB Garamond" w:hAnsi="EB Garamond"/>
        </w:rPr>
        <w:t>, Cohen (1984: 283), Wedgwood (2002: 349); Bird (2007: 84), Simion et al. (2016: 282-283) and Ichikawa (2017: 115).</w:t>
      </w:r>
    </w:p>
  </w:footnote>
  <w:footnote w:id="4">
    <w:p w14:paraId="5189D529" w14:textId="77777777" w:rsidR="00CE7146" w:rsidRPr="0005797C" w:rsidRDefault="00CE7146" w:rsidP="00CE7146">
      <w:pPr>
        <w:pStyle w:val="FootnoteText"/>
        <w:rPr>
          <w:rFonts w:ascii="EB Garamond" w:hAnsi="EB Garamond"/>
        </w:rPr>
      </w:pPr>
      <w:r w:rsidRPr="0005797C">
        <w:rPr>
          <w:rStyle w:val="FootnoteReference"/>
          <w:rFonts w:ascii="EB Garamond" w:hAnsi="EB Garamond"/>
        </w:rPr>
        <w:footnoteRef/>
      </w:r>
      <w:r w:rsidRPr="0005797C">
        <w:rPr>
          <w:rFonts w:ascii="EB Garamond" w:hAnsi="EB Garamond"/>
        </w:rPr>
        <w:t xml:space="preserve"> To streamline discussion, I’ll focus on belief-formation. But we could run a similar argument for belief-retention.</w:t>
      </w:r>
    </w:p>
  </w:footnote>
  <w:footnote w:id="5">
    <w:p w14:paraId="2FC376AA" w14:textId="77777777" w:rsidR="00CE7146" w:rsidRPr="00114692" w:rsidRDefault="00CE7146" w:rsidP="00CE7146">
      <w:pPr>
        <w:pStyle w:val="FootnoteText"/>
        <w:rPr>
          <w:rFonts w:ascii="EB Garamond" w:hAnsi="EB Garamond"/>
        </w:rPr>
      </w:pPr>
      <w:r w:rsidRPr="0005797C">
        <w:rPr>
          <w:rStyle w:val="FootnoteReference"/>
          <w:rFonts w:ascii="EB Garamond" w:hAnsi="EB Garamond"/>
        </w:rPr>
        <w:footnoteRef/>
      </w:r>
      <w:r w:rsidRPr="0005797C">
        <w:rPr>
          <w:rFonts w:ascii="EB Garamond" w:hAnsi="EB Garamond"/>
        </w:rPr>
        <w:t xml:space="preserve"> I owe the terminology of ‘feasible ways’ to Maria Lasonen-Aarnio. See her (ms).</w:t>
      </w:r>
    </w:p>
  </w:footnote>
  <w:footnote w:id="6">
    <w:p w14:paraId="78AC1964" w14:textId="77777777" w:rsidR="00CE7146" w:rsidRPr="00FE43F4" w:rsidRDefault="00CE7146" w:rsidP="00CE7146">
      <w:pPr>
        <w:pStyle w:val="FootnoteText"/>
        <w:rPr>
          <w:rFonts w:ascii="EB Garamond" w:hAnsi="EB Garamond"/>
        </w:rPr>
      </w:pPr>
      <w:r w:rsidRPr="00FE43F4">
        <w:rPr>
          <w:rStyle w:val="FootnoteReference"/>
          <w:rFonts w:ascii="EB Garamond" w:hAnsi="EB Garamond"/>
        </w:rPr>
        <w:footnoteRef/>
      </w:r>
      <w:r w:rsidRPr="00FE43F4">
        <w:rPr>
          <w:rFonts w:ascii="EB Garamond" w:hAnsi="EB Garamond"/>
        </w:rPr>
        <w:t xml:space="preserve"> For my purposes I’m happy to use ‘way’ pretty loosely. Because I take ways to be </w:t>
      </w:r>
      <w:r w:rsidRPr="005D2389">
        <w:rPr>
          <w:rFonts w:ascii="EB Garamond" w:hAnsi="EB Garamond"/>
          <w:i/>
          <w:iCs/>
        </w:rPr>
        <w:t>dispositions</w:t>
      </w:r>
      <w:r w:rsidRPr="00FE43F4">
        <w:rPr>
          <w:rFonts w:ascii="EB Garamond" w:hAnsi="EB Garamond"/>
        </w:rPr>
        <w:t xml:space="preserve"> (see 4.1), I can avoid worries about how to individuate methods and processes (cf. Bird 2007: 88).</w:t>
      </w:r>
    </w:p>
  </w:footnote>
  <w:footnote w:id="7">
    <w:p w14:paraId="7D571606" w14:textId="77777777" w:rsidR="00CE7146" w:rsidRPr="00225616" w:rsidRDefault="00CE7146" w:rsidP="00CE7146">
      <w:pPr>
        <w:pStyle w:val="FootnoteText"/>
        <w:rPr>
          <w:rFonts w:ascii="EB Garamond" w:hAnsi="EB Garamond"/>
        </w:rPr>
      </w:pPr>
      <w:r w:rsidRPr="00225616">
        <w:rPr>
          <w:rStyle w:val="FootnoteReference"/>
          <w:rFonts w:ascii="EB Garamond" w:hAnsi="EB Garamond"/>
        </w:rPr>
        <w:footnoteRef/>
      </w:r>
      <w:r w:rsidRPr="00225616">
        <w:rPr>
          <w:rFonts w:ascii="EB Garamond" w:hAnsi="EB Garamond"/>
        </w:rPr>
        <w:t xml:space="preserve"> Williamson labels the norm ‘J,’ for ‘justifying.’ But this prejudges the question whether the primary norm is justifying. So, I’ve replaced ‘J’ with ‘S,’ for ‘successful.’</w:t>
      </w:r>
    </w:p>
  </w:footnote>
  <w:footnote w:id="8">
    <w:p w14:paraId="10F4D866" w14:textId="77777777" w:rsidR="00CE7146" w:rsidRPr="00E947F0" w:rsidRDefault="00CE7146" w:rsidP="00CE7146">
      <w:pPr>
        <w:pStyle w:val="FootnoteText"/>
        <w:rPr>
          <w:rFonts w:ascii="EB Garamond" w:hAnsi="EB Garamond"/>
        </w:rPr>
      </w:pPr>
      <w:r w:rsidRPr="00E947F0">
        <w:rPr>
          <w:rStyle w:val="FootnoteReference"/>
          <w:rFonts w:ascii="EB Garamond" w:hAnsi="EB Garamond"/>
        </w:rPr>
        <w:footnoteRef/>
      </w:r>
      <w:r w:rsidRPr="00E947F0">
        <w:rPr>
          <w:rFonts w:ascii="EB Garamond" w:hAnsi="EB Garamond"/>
        </w:rPr>
        <w:t xml:space="preserve"> See Lasonen-Aarnio (forthcoming A: 7; 2021b: 462) for essentially the same complaint.</w:t>
      </w:r>
    </w:p>
  </w:footnote>
  <w:footnote w:id="9">
    <w:p w14:paraId="1C1E6A0B" w14:textId="77777777" w:rsidR="00CE7146" w:rsidRDefault="00CE7146" w:rsidP="00CE7146">
      <w:pPr>
        <w:pStyle w:val="FootnoteText"/>
      </w:pPr>
      <w:r w:rsidRPr="00E947F0">
        <w:rPr>
          <w:rStyle w:val="FootnoteReference"/>
          <w:rFonts w:ascii="EB Garamond" w:hAnsi="EB Garamond"/>
        </w:rPr>
        <w:footnoteRef/>
      </w:r>
      <w:r w:rsidRPr="00E947F0">
        <w:rPr>
          <w:rFonts w:ascii="EB Garamond" w:hAnsi="EB Garamond"/>
        </w:rPr>
        <w:t xml:space="preserve"> This reading is assumed by Hughes (2019: 64-65) and discussed, briefly, by Boult (2017: 4076) and Brown (2018: 90).</w:t>
      </w:r>
    </w:p>
  </w:footnote>
  <w:footnote w:id="10">
    <w:p w14:paraId="55D6E92F" w14:textId="77777777" w:rsidR="00CE7146" w:rsidRPr="00D42EC6" w:rsidRDefault="00CE7146" w:rsidP="00CE7146">
      <w:pPr>
        <w:pStyle w:val="FootnoteText"/>
        <w:rPr>
          <w:rFonts w:ascii="EB Garamond" w:hAnsi="EB Garamond"/>
        </w:rPr>
      </w:pPr>
      <w:r w:rsidRPr="00D42EC6">
        <w:rPr>
          <w:rStyle w:val="FootnoteReference"/>
          <w:rFonts w:ascii="EB Garamond" w:hAnsi="EB Garamond"/>
        </w:rPr>
        <w:footnoteRef/>
      </w:r>
      <w:r w:rsidRPr="00D42EC6">
        <w:rPr>
          <w:rFonts w:ascii="EB Garamond" w:hAnsi="EB Garamond"/>
        </w:rPr>
        <w:t xml:space="preserve"> On masking, see McKitrick (2018: 26), Fara (2005: 50), Bird (1998: 228) and Johnston (1992: 233).</w:t>
      </w:r>
    </w:p>
  </w:footnote>
  <w:footnote w:id="11">
    <w:p w14:paraId="30BC8AF7" w14:textId="77777777" w:rsidR="00CE7146" w:rsidRPr="00D42EC6" w:rsidRDefault="00CE7146" w:rsidP="00CE7146">
      <w:pPr>
        <w:pStyle w:val="FootnoteText"/>
        <w:rPr>
          <w:rFonts w:ascii="EB Garamond" w:hAnsi="EB Garamond"/>
        </w:rPr>
      </w:pPr>
      <w:r w:rsidRPr="00D42EC6">
        <w:rPr>
          <w:rStyle w:val="FootnoteReference"/>
          <w:rFonts w:ascii="EB Garamond" w:hAnsi="EB Garamond"/>
        </w:rPr>
        <w:footnoteRef/>
      </w:r>
      <w:r w:rsidRPr="00D42EC6">
        <w:rPr>
          <w:rFonts w:ascii="EB Garamond" w:hAnsi="EB Garamond"/>
        </w:rPr>
        <w:t xml:space="preserve"> Williamson (p.c.) would add a fourth, hybrid norm, according to which one </w:t>
      </w:r>
      <w:r w:rsidRPr="0005797C">
        <w:rPr>
          <w:rFonts w:ascii="EB Garamond" w:hAnsi="EB Garamond"/>
        </w:rPr>
        <w:t>should</w:t>
      </w:r>
      <w:r w:rsidRPr="00D42EC6">
        <w:rPr>
          <w:rFonts w:ascii="EB Garamond" w:hAnsi="EB Garamond"/>
        </w:rPr>
        <w:t xml:space="preserve"> satisfy the</w:t>
      </w:r>
    </w:p>
    <w:p w14:paraId="4C2BE5DE" w14:textId="77777777" w:rsidR="00CE7146" w:rsidRPr="00D42EC6" w:rsidRDefault="00CE7146" w:rsidP="00CE7146">
      <w:pPr>
        <w:pStyle w:val="FootnoteText"/>
        <w:rPr>
          <w:rFonts w:ascii="EB Garamond" w:hAnsi="EB Garamond"/>
        </w:rPr>
      </w:pPr>
      <w:r w:rsidRPr="00D42EC6">
        <w:rPr>
          <w:rFonts w:ascii="EB Garamond" w:hAnsi="EB Garamond"/>
        </w:rPr>
        <w:t xml:space="preserve">secondary and tertiary norms: </w:t>
      </w:r>
    </w:p>
    <w:p w14:paraId="4B1E6212" w14:textId="77777777" w:rsidR="00CE7146" w:rsidRPr="00D42EC6" w:rsidRDefault="00CE7146" w:rsidP="00CE7146">
      <w:pPr>
        <w:pStyle w:val="FootnoteText"/>
        <w:rPr>
          <w:rFonts w:ascii="EB Garamond" w:hAnsi="EB Garamond"/>
        </w:rPr>
      </w:pPr>
    </w:p>
    <w:p w14:paraId="67A52002" w14:textId="77777777" w:rsidR="00CE7146" w:rsidRPr="00D42EC6" w:rsidRDefault="00CE7146" w:rsidP="00CE7146">
      <w:pPr>
        <w:pStyle w:val="FootnoteText"/>
        <w:ind w:left="720"/>
        <w:rPr>
          <w:rFonts w:ascii="EB Garamond" w:hAnsi="EB Garamond"/>
        </w:rPr>
      </w:pPr>
      <w:r w:rsidRPr="00D42EC6">
        <w:rPr>
          <w:rFonts w:ascii="EB Garamond" w:hAnsi="EB Garamond"/>
        </w:rPr>
        <w:t xml:space="preserve">(MDS) one ought to (believe (what an S-er would believe) </w:t>
      </w:r>
      <w:r w:rsidRPr="00D42EC6">
        <w:rPr>
          <w:rFonts w:ascii="EB Garamond" w:hAnsi="EB Garamond"/>
          <w:i/>
          <w:iCs/>
        </w:rPr>
        <w:t>because</w:t>
      </w:r>
      <w:r w:rsidRPr="00D42EC6">
        <w:rPr>
          <w:rFonts w:ascii="EB Garamond" w:hAnsi="EB Garamond"/>
        </w:rPr>
        <w:t xml:space="preserve"> one is an S-er)</w:t>
      </w:r>
    </w:p>
    <w:p w14:paraId="44C9D3E7" w14:textId="77777777" w:rsidR="00CE7146" w:rsidRPr="00D42EC6" w:rsidRDefault="00CE7146" w:rsidP="00CE7146">
      <w:pPr>
        <w:pStyle w:val="FootnoteText"/>
        <w:rPr>
          <w:rFonts w:ascii="EB Garamond" w:hAnsi="EB Garamond"/>
        </w:rPr>
      </w:pPr>
    </w:p>
    <w:p w14:paraId="0DD32355" w14:textId="77777777" w:rsidR="00CE7146" w:rsidRPr="002D7366" w:rsidRDefault="00CE7146" w:rsidP="00CE7146">
      <w:pPr>
        <w:pStyle w:val="FootnoteText"/>
      </w:pPr>
      <w:r w:rsidRPr="002D7366">
        <w:rPr>
          <w:rFonts w:ascii="EB Garamond" w:hAnsi="EB Garamond"/>
        </w:rPr>
        <w:t xml:space="preserve">MDS says that one should manifest </w:t>
      </w:r>
      <w:r w:rsidRPr="002D7366">
        <w:rPr>
          <w:rFonts w:ascii="EB Garamond" w:hAnsi="EB Garamond"/>
          <w:i/>
          <w:iCs/>
        </w:rPr>
        <w:t xml:space="preserve">one’s </w:t>
      </w:r>
      <w:r w:rsidRPr="002D7366">
        <w:rPr>
          <w:rFonts w:ascii="EB Garamond" w:hAnsi="EB Garamond"/>
        </w:rPr>
        <w:t>disposition to comply with S. Since, unlike ODS and ODS</w:t>
      </w:r>
      <w:r w:rsidRPr="002D7366">
        <w:rPr>
          <w:rFonts w:ascii="EB Garamond" w:hAnsi="EB Garamond"/>
          <w:vertAlign w:val="superscript"/>
        </w:rPr>
        <w:t>+</w:t>
      </w:r>
      <w:r w:rsidRPr="002D7366">
        <w:rPr>
          <w:rFonts w:ascii="EB Garamond" w:hAnsi="EB Garamond"/>
        </w:rPr>
        <w:t xml:space="preserve">, MDS requires one to </w:t>
      </w:r>
      <w:r w:rsidRPr="002D7366">
        <w:rPr>
          <w:rFonts w:ascii="EB Garamond" w:hAnsi="EB Garamond"/>
          <w:i/>
          <w:iCs/>
        </w:rPr>
        <w:t>be</w:t>
      </w:r>
      <w:r w:rsidRPr="002D7366">
        <w:rPr>
          <w:rFonts w:ascii="EB Garamond" w:hAnsi="EB Garamond"/>
        </w:rPr>
        <w:t xml:space="preserve"> an S-er, MDS is not occurrent. Why do I pursue J = ODS</w:t>
      </w:r>
      <w:r w:rsidRPr="002D7366">
        <w:rPr>
          <w:rFonts w:ascii="EB Garamond" w:hAnsi="EB Garamond"/>
          <w:vertAlign w:val="superscript"/>
        </w:rPr>
        <w:t>+</w:t>
      </w:r>
      <w:r w:rsidRPr="002D7366">
        <w:rPr>
          <w:rFonts w:ascii="EB Garamond" w:hAnsi="EB Garamond"/>
        </w:rPr>
        <w:t xml:space="preserve"> rather than J = MDS? J = MDS turns out to be </w:t>
      </w:r>
      <w:r w:rsidRPr="002D7366">
        <w:rPr>
          <w:rFonts w:ascii="EB Garamond" w:hAnsi="EB Garamond"/>
          <w:i/>
          <w:iCs/>
        </w:rPr>
        <w:t>too stingy</w:t>
      </w:r>
      <w:r w:rsidRPr="002D7366">
        <w:rPr>
          <w:rFonts w:ascii="EB Garamond" w:hAnsi="EB Garamond"/>
        </w:rPr>
        <w:t xml:space="preserve">: even a belief formed in an immaculate way may fail to be justified if the subject happens not to be an S-er; i.e., if their immaculately-formed belief is aberrant for them. This is implausible. The justifying norm will require dispositional </w:t>
      </w:r>
      <w:r w:rsidRPr="002D7366">
        <w:rPr>
          <w:rFonts w:ascii="EB Garamond" w:hAnsi="EB Garamond"/>
          <w:i/>
          <w:iCs/>
        </w:rPr>
        <w:t>manifestation</w:t>
      </w:r>
      <w:r w:rsidRPr="002D7366">
        <w:rPr>
          <w:rFonts w:ascii="EB Garamond" w:hAnsi="EB Garamond"/>
        </w:rPr>
        <w:t xml:space="preserve">, but it will also have to be </w:t>
      </w:r>
      <w:r w:rsidRPr="002D7366">
        <w:rPr>
          <w:rFonts w:ascii="EB Garamond" w:hAnsi="EB Garamond"/>
          <w:i/>
          <w:iCs/>
        </w:rPr>
        <w:t>occurrent</w:t>
      </w:r>
      <w:r w:rsidRPr="002D7366">
        <w:rPr>
          <w:rFonts w:ascii="EB Garamond" w:hAnsi="EB Garamond"/>
        </w:rPr>
        <w:t>. Only ODS</w:t>
      </w:r>
      <w:r w:rsidRPr="002D7366">
        <w:rPr>
          <w:rFonts w:ascii="EB Garamond" w:hAnsi="EB Garamond"/>
          <w:vertAlign w:val="superscript"/>
        </w:rPr>
        <w:t>+</w:t>
      </w:r>
      <w:r w:rsidRPr="002D7366">
        <w:rPr>
          <w:rFonts w:ascii="EB Garamond" w:hAnsi="EB Garamond"/>
        </w:rPr>
        <w:t xml:space="preserve"> satisfies both desiderata.</w:t>
      </w:r>
    </w:p>
  </w:footnote>
  <w:footnote w:id="12">
    <w:p w14:paraId="77FF2242" w14:textId="77777777" w:rsidR="00CE7146" w:rsidRPr="002D7366" w:rsidRDefault="00CE7146" w:rsidP="00CE7146">
      <w:pPr>
        <w:pStyle w:val="FootnoteText"/>
        <w:rPr>
          <w:rFonts w:ascii="EB Garamond" w:hAnsi="EB Garamond"/>
        </w:rPr>
      </w:pPr>
      <w:r w:rsidRPr="002D7366">
        <w:rPr>
          <w:rStyle w:val="FootnoteReference"/>
          <w:rFonts w:ascii="EB Garamond" w:hAnsi="EB Garamond"/>
        </w:rPr>
        <w:footnoteRef/>
      </w:r>
      <w:r w:rsidRPr="002D7366">
        <w:rPr>
          <w:rFonts w:ascii="EB Garamond" w:hAnsi="EB Garamond"/>
        </w:rPr>
        <w:t xml:space="preserve"> I’m not claiming that all proponents of the standard argument would agree that (1) cites compliance with ODS</w:t>
      </w:r>
      <w:r w:rsidRPr="002D7366">
        <w:rPr>
          <w:rFonts w:ascii="EB Garamond" w:hAnsi="EB Garamond"/>
          <w:vertAlign w:val="superscript"/>
        </w:rPr>
        <w:t>+</w:t>
      </w:r>
      <w:r w:rsidRPr="002D7366">
        <w:rPr>
          <w:rFonts w:ascii="EB Garamond" w:hAnsi="EB Garamond"/>
        </w:rPr>
        <w:t xml:space="preserve">: indeed, many do not appeal to dispositions in the first place. Rather, the claim is that </w:t>
      </w:r>
      <w:r w:rsidRPr="002D7366">
        <w:rPr>
          <w:rFonts w:ascii="EB Garamond" w:hAnsi="EB Garamond"/>
          <w:i/>
          <w:iCs/>
        </w:rPr>
        <w:t>within</w:t>
      </w:r>
      <w:r w:rsidRPr="002D7366">
        <w:rPr>
          <w:rFonts w:ascii="EB Garamond" w:hAnsi="EB Garamond"/>
        </w:rPr>
        <w:t xml:space="preserve"> Williamson’s framework, this is the kind of norm that best respects (1).</w:t>
      </w:r>
    </w:p>
  </w:footnote>
  <w:footnote w:id="13">
    <w:p w14:paraId="11D22887" w14:textId="77777777" w:rsidR="00CE7146" w:rsidRPr="002D7366" w:rsidRDefault="00CE7146" w:rsidP="00CE7146">
      <w:pPr>
        <w:pStyle w:val="FootnoteText"/>
        <w:rPr>
          <w:rFonts w:ascii="EB Garamond" w:hAnsi="EB Garamond"/>
        </w:rPr>
      </w:pPr>
      <w:r w:rsidRPr="002D7366">
        <w:rPr>
          <w:rStyle w:val="FootnoteReference"/>
          <w:rFonts w:ascii="EB Garamond" w:hAnsi="EB Garamond"/>
        </w:rPr>
        <w:footnoteRef/>
      </w:r>
      <w:r w:rsidRPr="002D7366">
        <w:rPr>
          <w:rFonts w:ascii="EB Garamond" w:hAnsi="EB Garamond"/>
        </w:rPr>
        <w:t xml:space="preserve"> See Lasonen-Aarnio (2010: 13; forthcoming A: 16; forthcoming B: 11-12).</w:t>
      </w:r>
    </w:p>
  </w:footnote>
  <w:footnote w:id="14">
    <w:p w14:paraId="466981C2" w14:textId="77777777" w:rsidR="00CE7146" w:rsidRPr="00095A65" w:rsidRDefault="00CE7146" w:rsidP="00CE7146">
      <w:pPr>
        <w:pStyle w:val="FootnoteText"/>
        <w:rPr>
          <w:rFonts w:ascii="EB Garamond" w:hAnsi="EB Garamond"/>
          <w:b/>
          <w:bCs/>
        </w:rPr>
      </w:pPr>
      <w:r w:rsidRPr="002D7366">
        <w:rPr>
          <w:rStyle w:val="FootnoteReference"/>
          <w:rFonts w:ascii="EB Garamond" w:hAnsi="EB Garamond"/>
        </w:rPr>
        <w:footnoteRef/>
      </w:r>
      <w:r w:rsidRPr="002D7366">
        <w:rPr>
          <w:rFonts w:ascii="EB Garamond" w:hAnsi="EB Garamond"/>
        </w:rPr>
        <w:t xml:space="preserve"> Indeed, Williamson (forthcoming B: 7) grants that the victim of a type-1 case ‘exercises knowledge-conducive cognitive dispositions.’</w:t>
      </w:r>
    </w:p>
  </w:footnote>
  <w:footnote w:id="15">
    <w:p w14:paraId="58A3CA97" w14:textId="77777777" w:rsidR="00CE7146" w:rsidRPr="002D7366" w:rsidRDefault="00CE7146" w:rsidP="00CE7146">
      <w:pPr>
        <w:pStyle w:val="FootnoteText"/>
        <w:rPr>
          <w:rFonts w:ascii="EB Garamond" w:hAnsi="EB Garamond"/>
        </w:rPr>
      </w:pPr>
      <w:r w:rsidRPr="002D7366">
        <w:rPr>
          <w:rStyle w:val="FootnoteReference"/>
          <w:rFonts w:ascii="EB Garamond" w:hAnsi="EB Garamond"/>
        </w:rPr>
        <w:footnoteRef/>
      </w:r>
      <w:r w:rsidRPr="002D7366">
        <w:rPr>
          <w:rFonts w:ascii="EB Garamond" w:hAnsi="EB Garamond"/>
        </w:rPr>
        <w:t xml:space="preserve"> While I don’t see how there could be such a norm, I can’t go into the matter here.</w:t>
      </w:r>
    </w:p>
  </w:footnote>
  <w:footnote w:id="16">
    <w:p w14:paraId="1E9FD7E7" w14:textId="77777777" w:rsidR="00CE7146" w:rsidRPr="00E8308C" w:rsidRDefault="00CE7146" w:rsidP="00CE7146">
      <w:pPr>
        <w:pStyle w:val="FootnoteText"/>
        <w:rPr>
          <w:rFonts w:ascii="EB Garamond" w:hAnsi="EB Garamond"/>
          <w:b/>
          <w:bCs/>
        </w:rPr>
      </w:pPr>
      <w:r w:rsidRPr="002D7366">
        <w:rPr>
          <w:rStyle w:val="FootnoteReference"/>
          <w:rFonts w:ascii="EB Garamond" w:hAnsi="EB Garamond"/>
        </w:rPr>
        <w:footnoteRef/>
      </w:r>
      <w:r w:rsidRPr="002D7366">
        <w:rPr>
          <w:rFonts w:ascii="EB Garamond" w:hAnsi="EB Garamond"/>
        </w:rPr>
        <w:t xml:space="preserve"> As an anonymous referee points out, I haven’t argued that ODS</w:t>
      </w:r>
      <w:r w:rsidRPr="002D7366">
        <w:rPr>
          <w:rFonts w:ascii="EB Garamond" w:hAnsi="EB Garamond"/>
          <w:vertAlign w:val="superscript"/>
        </w:rPr>
        <w:t xml:space="preserve">+ </w:t>
      </w:r>
      <w:r w:rsidRPr="002D7366">
        <w:rPr>
          <w:rFonts w:ascii="EB Garamond" w:hAnsi="EB Garamond"/>
        </w:rPr>
        <w:t xml:space="preserve">is a </w:t>
      </w:r>
      <w:r w:rsidRPr="002D7366">
        <w:rPr>
          <w:rFonts w:ascii="EB Garamond" w:hAnsi="EB Garamond"/>
          <w:i/>
          <w:iCs/>
        </w:rPr>
        <w:t>genuine</w:t>
      </w:r>
      <w:r w:rsidRPr="002D7366">
        <w:rPr>
          <w:rFonts w:ascii="EB Garamond" w:hAnsi="EB Garamond"/>
        </w:rPr>
        <w:t xml:space="preserve"> norm. Of course, anyone who likes SA </w:t>
      </w:r>
      <w:r w:rsidRPr="002D7366">
        <w:rPr>
          <w:rFonts w:ascii="EB Garamond" w:hAnsi="EB Garamond"/>
          <w:i/>
          <w:iCs/>
        </w:rPr>
        <w:t>and</w:t>
      </w:r>
      <w:r w:rsidRPr="002D7366">
        <w:rPr>
          <w:rFonts w:ascii="EB Garamond" w:hAnsi="EB Garamond"/>
        </w:rPr>
        <w:t xml:space="preserve"> thinks that justifications demonstrate compliance with all of the norms will want to say that it is. But I’m not arguing that here. Instead, I’m arguing for the conditional claim that </w:t>
      </w:r>
      <w:r w:rsidRPr="002D7366">
        <w:rPr>
          <w:rFonts w:ascii="EB Garamond" w:hAnsi="EB Garamond"/>
          <w:i/>
          <w:iCs/>
        </w:rPr>
        <w:t xml:space="preserve">if </w:t>
      </w:r>
      <w:r w:rsidRPr="002D7366">
        <w:rPr>
          <w:rFonts w:ascii="EB Garamond" w:hAnsi="EB Garamond"/>
        </w:rPr>
        <w:t xml:space="preserve">you should comply with ODS, that’s </w:t>
      </w:r>
      <w:r w:rsidRPr="002D7366">
        <w:rPr>
          <w:rFonts w:ascii="EB Garamond" w:hAnsi="EB Garamond"/>
          <w:i/>
          <w:iCs/>
        </w:rPr>
        <w:t>because</w:t>
      </w:r>
      <w:r w:rsidRPr="002D7366">
        <w:rPr>
          <w:rFonts w:ascii="EB Garamond" w:hAnsi="EB Garamond"/>
        </w:rPr>
        <w:t xml:space="preserve"> you should comply with ODS</w:t>
      </w:r>
      <w:r w:rsidRPr="002D7366">
        <w:rPr>
          <w:rFonts w:ascii="EB Garamond" w:hAnsi="EB Garamond"/>
          <w:vertAlign w:val="superscript"/>
        </w:rPr>
        <w:t>+</w:t>
      </w:r>
      <w:r w:rsidRPr="002D7366">
        <w:rPr>
          <w:rFonts w:ascii="EB Garamond" w:hAnsi="EB Garamond"/>
        </w:rPr>
        <w:t>. I’m taking a stand on their relative, rather than their absolute, status.</w:t>
      </w:r>
    </w:p>
  </w:footnote>
  <w:footnote w:id="17">
    <w:p w14:paraId="752A729C" w14:textId="77777777" w:rsidR="00CE7146" w:rsidRPr="00905495" w:rsidRDefault="00CE7146" w:rsidP="00CE7146">
      <w:pPr>
        <w:pStyle w:val="FootnoteText"/>
        <w:rPr>
          <w:rFonts w:ascii="EB Garamond" w:hAnsi="EB Garamond"/>
        </w:rPr>
      </w:pPr>
      <w:r w:rsidRPr="00905495">
        <w:rPr>
          <w:rStyle w:val="FootnoteReference"/>
          <w:rFonts w:ascii="EB Garamond" w:hAnsi="EB Garamond"/>
        </w:rPr>
        <w:footnoteRef/>
      </w:r>
      <w:r w:rsidRPr="00905495">
        <w:rPr>
          <w:rFonts w:ascii="EB Garamond" w:hAnsi="EB Garamond"/>
        </w:rPr>
        <w:t xml:space="preserve">  For this view, see Lasonen-Aarnio (2010: 13; 2014: 343; 2021a: 99).</w:t>
      </w:r>
    </w:p>
  </w:footnote>
  <w:footnote w:id="18">
    <w:p w14:paraId="787BC5A0" w14:textId="77777777" w:rsidR="00CE7146" w:rsidRDefault="00CE7146" w:rsidP="00CE7146">
      <w:pPr>
        <w:pStyle w:val="FootnoteText"/>
      </w:pPr>
      <w:r w:rsidRPr="00905495">
        <w:rPr>
          <w:rStyle w:val="FootnoteReference"/>
          <w:rFonts w:ascii="EB Garamond" w:hAnsi="EB Garamond"/>
        </w:rPr>
        <w:footnoteRef/>
      </w:r>
      <w:r w:rsidRPr="00905495">
        <w:rPr>
          <w:rFonts w:ascii="EB Garamond" w:hAnsi="EB Garamond"/>
        </w:rPr>
        <w:t xml:space="preserve"> Goodman (2013: 50-52) expresses sympathy for this claim.</w:t>
      </w:r>
    </w:p>
  </w:footnote>
  <w:footnote w:id="19">
    <w:p w14:paraId="0A10DC83" w14:textId="10E64E6E" w:rsidR="007C37A5" w:rsidRPr="007C37A5" w:rsidRDefault="007C37A5">
      <w:pPr>
        <w:pStyle w:val="FootnoteText"/>
        <w:rPr>
          <w:rFonts w:ascii="EB Garamond" w:hAnsi="EB Garamond"/>
        </w:rPr>
      </w:pPr>
      <w:r w:rsidRPr="007C37A5">
        <w:rPr>
          <w:rStyle w:val="FootnoteReference"/>
          <w:rFonts w:ascii="EB Garamond" w:hAnsi="EB Garamond"/>
        </w:rPr>
        <w:footnoteRef/>
      </w:r>
      <w:r w:rsidRPr="007C37A5">
        <w:rPr>
          <w:rFonts w:ascii="EB Garamond" w:hAnsi="EB Garamond"/>
        </w:rPr>
        <w:t xml:space="preserve"> </w:t>
      </w:r>
      <w:r w:rsidR="00C81E32">
        <w:rPr>
          <w:rFonts w:ascii="EB Garamond" w:hAnsi="EB Garamond"/>
        </w:rPr>
        <w:t>I’m grateful</w:t>
      </w:r>
      <w:r w:rsidRPr="007C37A5">
        <w:rPr>
          <w:rFonts w:ascii="EB Garamond" w:hAnsi="EB Garamond"/>
        </w:rPr>
        <w:t xml:space="preserve"> to Jessica Brown, Patrick Greenough, </w:t>
      </w:r>
      <w:r w:rsidR="000E38E1" w:rsidRPr="007C37A5">
        <w:rPr>
          <w:rFonts w:ascii="EB Garamond" w:hAnsi="EB Garamond"/>
        </w:rPr>
        <w:t xml:space="preserve">Evie Moss, </w:t>
      </w:r>
      <w:r w:rsidRPr="007C37A5">
        <w:rPr>
          <w:rFonts w:ascii="EB Garamond" w:hAnsi="EB Garamond"/>
        </w:rPr>
        <w:t>Brian Rabern, and three anonymous referees for written feedback on earlier drafts.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B36EA"/>
    <w:multiLevelType w:val="hybridMultilevel"/>
    <w:tmpl w:val="784C6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F36E66"/>
    <w:multiLevelType w:val="hybridMultilevel"/>
    <w:tmpl w:val="7E4CB288"/>
    <w:lvl w:ilvl="0" w:tplc="FFFFFFFF">
      <w:start w:val="1"/>
      <w:numFmt w:val="decimal"/>
      <w:lvlText w:val="%1."/>
      <w:lvlJc w:val="left"/>
      <w:pPr>
        <w:ind w:left="520" w:hanging="360"/>
      </w:pPr>
      <w:rPr>
        <w:rFonts w:hint="default"/>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2" w15:restartNumberingAfterBreak="0">
    <w:nsid w:val="389326BE"/>
    <w:multiLevelType w:val="hybridMultilevel"/>
    <w:tmpl w:val="D324AC98"/>
    <w:lvl w:ilvl="0" w:tplc="CFD831C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E0E2D"/>
    <w:multiLevelType w:val="hybridMultilevel"/>
    <w:tmpl w:val="7E4CB288"/>
    <w:lvl w:ilvl="0" w:tplc="150E0C8A">
      <w:start w:val="1"/>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4" w15:restartNumberingAfterBreak="0">
    <w:nsid w:val="6DEE17E4"/>
    <w:multiLevelType w:val="hybridMultilevel"/>
    <w:tmpl w:val="784C6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F95A13"/>
    <w:multiLevelType w:val="hybridMultilevel"/>
    <w:tmpl w:val="6B12EFBA"/>
    <w:lvl w:ilvl="0" w:tplc="867266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03978372">
    <w:abstractNumId w:val="5"/>
  </w:num>
  <w:num w:numId="2" w16cid:durableId="356006832">
    <w:abstractNumId w:val="3"/>
  </w:num>
  <w:num w:numId="3" w16cid:durableId="84501545">
    <w:abstractNumId w:val="1"/>
  </w:num>
  <w:num w:numId="4" w16cid:durableId="60301054">
    <w:abstractNumId w:val="2"/>
  </w:num>
  <w:num w:numId="5" w16cid:durableId="1154446568">
    <w:abstractNumId w:val="4"/>
  </w:num>
  <w:num w:numId="6" w16cid:durableId="207146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46"/>
    <w:rsid w:val="0005797C"/>
    <w:rsid w:val="00073F8C"/>
    <w:rsid w:val="00076CDE"/>
    <w:rsid w:val="000E38E1"/>
    <w:rsid w:val="001240D4"/>
    <w:rsid w:val="00162BD9"/>
    <w:rsid w:val="00180E6B"/>
    <w:rsid w:val="00192A92"/>
    <w:rsid w:val="002213D2"/>
    <w:rsid w:val="00224676"/>
    <w:rsid w:val="002546BC"/>
    <w:rsid w:val="002B726F"/>
    <w:rsid w:val="002D7366"/>
    <w:rsid w:val="00346A51"/>
    <w:rsid w:val="00363ADC"/>
    <w:rsid w:val="00417044"/>
    <w:rsid w:val="00466296"/>
    <w:rsid w:val="00483F69"/>
    <w:rsid w:val="004D079A"/>
    <w:rsid w:val="00506A07"/>
    <w:rsid w:val="005432D0"/>
    <w:rsid w:val="00587AE0"/>
    <w:rsid w:val="005B0408"/>
    <w:rsid w:val="005C47F6"/>
    <w:rsid w:val="0067024F"/>
    <w:rsid w:val="006924B1"/>
    <w:rsid w:val="00696668"/>
    <w:rsid w:val="006F7548"/>
    <w:rsid w:val="00704618"/>
    <w:rsid w:val="0077547A"/>
    <w:rsid w:val="007816C5"/>
    <w:rsid w:val="007C37A5"/>
    <w:rsid w:val="008404B5"/>
    <w:rsid w:val="008643E6"/>
    <w:rsid w:val="008F72B8"/>
    <w:rsid w:val="00900BEA"/>
    <w:rsid w:val="009561DE"/>
    <w:rsid w:val="009B22EA"/>
    <w:rsid w:val="009F4E49"/>
    <w:rsid w:val="00A2237A"/>
    <w:rsid w:val="00A45DB8"/>
    <w:rsid w:val="00A55618"/>
    <w:rsid w:val="00A56A97"/>
    <w:rsid w:val="00AE4BD1"/>
    <w:rsid w:val="00B80002"/>
    <w:rsid w:val="00B94CB8"/>
    <w:rsid w:val="00C652D9"/>
    <w:rsid w:val="00C81E32"/>
    <w:rsid w:val="00C97203"/>
    <w:rsid w:val="00CE7146"/>
    <w:rsid w:val="00D1757E"/>
    <w:rsid w:val="00D94258"/>
    <w:rsid w:val="00DE16A8"/>
    <w:rsid w:val="00E065D6"/>
    <w:rsid w:val="00E07DE3"/>
    <w:rsid w:val="00E128E4"/>
    <w:rsid w:val="00E14A8A"/>
    <w:rsid w:val="00E4099E"/>
    <w:rsid w:val="00E678ED"/>
    <w:rsid w:val="00EE6325"/>
    <w:rsid w:val="00F07BCF"/>
    <w:rsid w:val="00F550F4"/>
    <w:rsid w:val="00F673A9"/>
    <w:rsid w:val="00F84DFB"/>
    <w:rsid w:val="00F9488C"/>
    <w:rsid w:val="00FF4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02006C"/>
  <w15:chartTrackingRefBased/>
  <w15:docId w15:val="{9650080C-E370-EF42-801C-996BFCC7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146"/>
  </w:style>
  <w:style w:type="paragraph" w:styleId="Heading1">
    <w:name w:val="heading 1"/>
    <w:basedOn w:val="Normal"/>
    <w:next w:val="Normal"/>
    <w:link w:val="Heading1Char"/>
    <w:uiPriority w:val="9"/>
    <w:qFormat/>
    <w:rsid w:val="00192A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2A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7146"/>
    <w:rPr>
      <w:sz w:val="20"/>
      <w:szCs w:val="20"/>
    </w:rPr>
  </w:style>
  <w:style w:type="character" w:customStyle="1" w:styleId="FootnoteTextChar">
    <w:name w:val="Footnote Text Char"/>
    <w:basedOn w:val="DefaultParagraphFont"/>
    <w:link w:val="FootnoteText"/>
    <w:uiPriority w:val="99"/>
    <w:semiHidden/>
    <w:rsid w:val="00CE7146"/>
    <w:rPr>
      <w:sz w:val="20"/>
      <w:szCs w:val="20"/>
    </w:rPr>
  </w:style>
  <w:style w:type="character" w:styleId="FootnoteReference">
    <w:name w:val="footnote reference"/>
    <w:basedOn w:val="DefaultParagraphFont"/>
    <w:uiPriority w:val="99"/>
    <w:semiHidden/>
    <w:unhideWhenUsed/>
    <w:rsid w:val="00CE7146"/>
    <w:rPr>
      <w:vertAlign w:val="superscript"/>
    </w:rPr>
  </w:style>
  <w:style w:type="paragraph" w:styleId="NormalWeb">
    <w:name w:val="Normal (Web)"/>
    <w:basedOn w:val="Normal"/>
    <w:uiPriority w:val="99"/>
    <w:unhideWhenUsed/>
    <w:rsid w:val="00CE714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B0408"/>
    <w:rPr>
      <w:i/>
      <w:iCs/>
    </w:rPr>
  </w:style>
  <w:style w:type="character" w:customStyle="1" w:styleId="apple-converted-space">
    <w:name w:val="apple-converted-space"/>
    <w:basedOn w:val="DefaultParagraphFont"/>
    <w:rsid w:val="005B0408"/>
  </w:style>
  <w:style w:type="paragraph" w:styleId="ListParagraph">
    <w:name w:val="List Paragraph"/>
    <w:basedOn w:val="Normal"/>
    <w:uiPriority w:val="34"/>
    <w:qFormat/>
    <w:rsid w:val="005B0408"/>
    <w:pPr>
      <w:ind w:left="720"/>
      <w:contextualSpacing/>
    </w:pPr>
  </w:style>
  <w:style w:type="character" w:styleId="Hyperlink">
    <w:name w:val="Hyperlink"/>
    <w:basedOn w:val="DefaultParagraphFont"/>
    <w:uiPriority w:val="99"/>
    <w:unhideWhenUsed/>
    <w:rsid w:val="00B94CB8"/>
    <w:rPr>
      <w:color w:val="0563C1" w:themeColor="hyperlink"/>
      <w:u w:val="single"/>
    </w:rPr>
  </w:style>
  <w:style w:type="character" w:styleId="UnresolvedMention">
    <w:name w:val="Unresolved Mention"/>
    <w:basedOn w:val="DefaultParagraphFont"/>
    <w:uiPriority w:val="99"/>
    <w:semiHidden/>
    <w:unhideWhenUsed/>
    <w:rsid w:val="00B94CB8"/>
    <w:rPr>
      <w:color w:val="605E5C"/>
      <w:shd w:val="clear" w:color="auto" w:fill="E1DFDD"/>
    </w:rPr>
  </w:style>
  <w:style w:type="character" w:styleId="FollowedHyperlink">
    <w:name w:val="FollowedHyperlink"/>
    <w:basedOn w:val="DefaultParagraphFont"/>
    <w:uiPriority w:val="99"/>
    <w:semiHidden/>
    <w:unhideWhenUsed/>
    <w:rsid w:val="001240D4"/>
    <w:rPr>
      <w:color w:val="954F72" w:themeColor="followedHyperlink"/>
      <w:u w:val="single"/>
    </w:rPr>
  </w:style>
  <w:style w:type="paragraph" w:styleId="Title">
    <w:name w:val="Title"/>
    <w:basedOn w:val="Normal"/>
    <w:next w:val="Normal"/>
    <w:link w:val="TitleChar"/>
    <w:uiPriority w:val="10"/>
    <w:qFormat/>
    <w:rsid w:val="00192A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A9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92A9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92A92"/>
  </w:style>
  <w:style w:type="character" w:customStyle="1" w:styleId="Heading2Char">
    <w:name w:val="Heading 2 Char"/>
    <w:basedOn w:val="DefaultParagraphFont"/>
    <w:link w:val="Heading2"/>
    <w:uiPriority w:val="9"/>
    <w:rsid w:val="00192A92"/>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192A9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92A92"/>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192A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04229">
      <w:bodyDiv w:val="1"/>
      <w:marLeft w:val="0"/>
      <w:marRight w:val="0"/>
      <w:marTop w:val="0"/>
      <w:marBottom w:val="0"/>
      <w:divBdr>
        <w:top w:val="none" w:sz="0" w:space="0" w:color="auto"/>
        <w:left w:val="none" w:sz="0" w:space="0" w:color="auto"/>
        <w:bottom w:val="none" w:sz="0" w:space="0" w:color="auto"/>
        <w:right w:val="none" w:sz="0" w:space="0" w:color="auto"/>
      </w:divBdr>
      <w:divsChild>
        <w:div w:id="947546784">
          <w:marLeft w:val="0"/>
          <w:marRight w:val="0"/>
          <w:marTop w:val="0"/>
          <w:marBottom w:val="0"/>
          <w:divBdr>
            <w:top w:val="none" w:sz="0" w:space="0" w:color="auto"/>
            <w:left w:val="none" w:sz="0" w:space="0" w:color="auto"/>
            <w:bottom w:val="none" w:sz="0" w:space="0" w:color="auto"/>
            <w:right w:val="none" w:sz="0" w:space="0" w:color="auto"/>
          </w:divBdr>
          <w:divsChild>
            <w:div w:id="235602242">
              <w:marLeft w:val="0"/>
              <w:marRight w:val="0"/>
              <w:marTop w:val="0"/>
              <w:marBottom w:val="0"/>
              <w:divBdr>
                <w:top w:val="none" w:sz="0" w:space="0" w:color="auto"/>
                <w:left w:val="none" w:sz="0" w:space="0" w:color="auto"/>
                <w:bottom w:val="none" w:sz="0" w:space="0" w:color="auto"/>
                <w:right w:val="none" w:sz="0" w:space="0" w:color="auto"/>
              </w:divBdr>
              <w:divsChild>
                <w:div w:id="1234312217">
                  <w:marLeft w:val="0"/>
                  <w:marRight w:val="0"/>
                  <w:marTop w:val="0"/>
                  <w:marBottom w:val="0"/>
                  <w:divBdr>
                    <w:top w:val="none" w:sz="0" w:space="0" w:color="auto"/>
                    <w:left w:val="none" w:sz="0" w:space="0" w:color="auto"/>
                    <w:bottom w:val="none" w:sz="0" w:space="0" w:color="auto"/>
                    <w:right w:val="none" w:sz="0" w:space="0" w:color="auto"/>
                  </w:divBdr>
                  <w:divsChild>
                    <w:div w:id="20505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4082">
      <w:bodyDiv w:val="1"/>
      <w:marLeft w:val="0"/>
      <w:marRight w:val="0"/>
      <w:marTop w:val="0"/>
      <w:marBottom w:val="0"/>
      <w:divBdr>
        <w:top w:val="none" w:sz="0" w:space="0" w:color="auto"/>
        <w:left w:val="none" w:sz="0" w:space="0" w:color="auto"/>
        <w:bottom w:val="none" w:sz="0" w:space="0" w:color="auto"/>
        <w:right w:val="none" w:sz="0" w:space="0" w:color="auto"/>
      </w:divBdr>
      <w:divsChild>
        <w:div w:id="632559428">
          <w:marLeft w:val="0"/>
          <w:marRight w:val="0"/>
          <w:marTop w:val="0"/>
          <w:marBottom w:val="0"/>
          <w:divBdr>
            <w:top w:val="none" w:sz="0" w:space="0" w:color="auto"/>
            <w:left w:val="none" w:sz="0" w:space="0" w:color="auto"/>
            <w:bottom w:val="none" w:sz="0" w:space="0" w:color="auto"/>
            <w:right w:val="none" w:sz="0" w:space="0" w:color="auto"/>
          </w:divBdr>
          <w:divsChild>
            <w:div w:id="1933976249">
              <w:marLeft w:val="0"/>
              <w:marRight w:val="0"/>
              <w:marTop w:val="0"/>
              <w:marBottom w:val="0"/>
              <w:divBdr>
                <w:top w:val="none" w:sz="0" w:space="0" w:color="auto"/>
                <w:left w:val="none" w:sz="0" w:space="0" w:color="auto"/>
                <w:bottom w:val="none" w:sz="0" w:space="0" w:color="auto"/>
                <w:right w:val="none" w:sz="0" w:space="0" w:color="auto"/>
              </w:divBdr>
              <w:divsChild>
                <w:div w:id="385447333">
                  <w:marLeft w:val="0"/>
                  <w:marRight w:val="0"/>
                  <w:marTop w:val="0"/>
                  <w:marBottom w:val="0"/>
                  <w:divBdr>
                    <w:top w:val="none" w:sz="0" w:space="0" w:color="auto"/>
                    <w:left w:val="none" w:sz="0" w:space="0" w:color="auto"/>
                    <w:bottom w:val="none" w:sz="0" w:space="0" w:color="auto"/>
                    <w:right w:val="none" w:sz="0" w:space="0" w:color="auto"/>
                  </w:divBdr>
                  <w:divsChild>
                    <w:div w:id="7618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7501">
      <w:bodyDiv w:val="1"/>
      <w:marLeft w:val="0"/>
      <w:marRight w:val="0"/>
      <w:marTop w:val="0"/>
      <w:marBottom w:val="0"/>
      <w:divBdr>
        <w:top w:val="none" w:sz="0" w:space="0" w:color="auto"/>
        <w:left w:val="none" w:sz="0" w:space="0" w:color="auto"/>
        <w:bottom w:val="none" w:sz="0" w:space="0" w:color="auto"/>
        <w:right w:val="none" w:sz="0" w:space="0" w:color="auto"/>
      </w:divBdr>
      <w:divsChild>
        <w:div w:id="1035229172">
          <w:marLeft w:val="0"/>
          <w:marRight w:val="0"/>
          <w:marTop w:val="0"/>
          <w:marBottom w:val="0"/>
          <w:divBdr>
            <w:top w:val="none" w:sz="0" w:space="0" w:color="auto"/>
            <w:left w:val="none" w:sz="0" w:space="0" w:color="auto"/>
            <w:bottom w:val="none" w:sz="0" w:space="0" w:color="auto"/>
            <w:right w:val="none" w:sz="0" w:space="0" w:color="auto"/>
          </w:divBdr>
          <w:divsChild>
            <w:div w:id="145515905">
              <w:marLeft w:val="0"/>
              <w:marRight w:val="0"/>
              <w:marTop w:val="0"/>
              <w:marBottom w:val="0"/>
              <w:divBdr>
                <w:top w:val="none" w:sz="0" w:space="0" w:color="auto"/>
                <w:left w:val="none" w:sz="0" w:space="0" w:color="auto"/>
                <w:bottom w:val="none" w:sz="0" w:space="0" w:color="auto"/>
                <w:right w:val="none" w:sz="0" w:space="0" w:color="auto"/>
              </w:divBdr>
              <w:divsChild>
                <w:div w:id="549272700">
                  <w:marLeft w:val="0"/>
                  <w:marRight w:val="0"/>
                  <w:marTop w:val="0"/>
                  <w:marBottom w:val="0"/>
                  <w:divBdr>
                    <w:top w:val="none" w:sz="0" w:space="0" w:color="auto"/>
                    <w:left w:val="none" w:sz="0" w:space="0" w:color="auto"/>
                    <w:bottom w:val="none" w:sz="0" w:space="0" w:color="auto"/>
                    <w:right w:val="none" w:sz="0" w:space="0" w:color="auto"/>
                  </w:divBdr>
                  <w:divsChild>
                    <w:div w:id="18840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259@st-andrew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04D8E-7FDB-1642-A3B1-E8EFC94D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Jorren Dykstra</dc:creator>
  <cp:keywords/>
  <dc:description/>
  <cp:lastModifiedBy>Jorren Dykstra</cp:lastModifiedBy>
  <cp:revision>101</cp:revision>
  <dcterms:created xsi:type="dcterms:W3CDTF">2023-12-12T12:45:00Z</dcterms:created>
  <dcterms:modified xsi:type="dcterms:W3CDTF">2023-12-12T14:12:00Z</dcterms:modified>
</cp:coreProperties>
</file>