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5C29" w14:textId="239E7662" w:rsidR="00CA4D91" w:rsidRDefault="00CA4D91" w:rsidP="00CA4D91">
      <w:pPr>
        <w:spacing w:line="480" w:lineRule="auto"/>
        <w:rPr>
          <w:rStyle w:val="Emphasis"/>
          <w:rFonts w:ascii="Baskerville Old Face" w:hAnsi="Baskerville Old Face"/>
          <w:i w:val="0"/>
          <w:iCs w:val="0"/>
        </w:rPr>
      </w:pPr>
      <w:r w:rsidRPr="00CA4D91">
        <w:rPr>
          <w:rStyle w:val="Emphasis"/>
          <w:rFonts w:ascii="Baskerville Old Face" w:hAnsi="Baskerville Old Face"/>
          <w:i w:val="0"/>
          <w:iCs w:val="0"/>
        </w:rPr>
        <w:t>This is the submitted version of the following article:</w:t>
      </w:r>
      <w:r w:rsidRPr="00C4358D">
        <w:rPr>
          <w:rStyle w:val="Emphasis"/>
          <w:rFonts w:ascii="Baskerville Old Face" w:hAnsi="Baskerville Old Face"/>
        </w:rPr>
        <w:t xml:space="preserve"> </w:t>
      </w:r>
      <w:r w:rsidRPr="00C4358D">
        <w:rPr>
          <w:rFonts w:ascii="Baskerville Old Face" w:hAnsi="Baskerville Old Face"/>
        </w:rPr>
        <w:t>Earl</w:t>
      </w:r>
      <w:r>
        <w:rPr>
          <w:rFonts w:ascii="Baskerville Old Face" w:hAnsi="Baskerville Old Face"/>
        </w:rPr>
        <w:t xml:space="preserve"> J and Wendler D</w:t>
      </w:r>
      <w:r w:rsidRPr="00C4358D">
        <w:rPr>
          <w:rFonts w:ascii="Baskerville Old Face" w:hAnsi="Baskerville Old Face"/>
        </w:rPr>
        <w:t xml:space="preserve">. </w:t>
      </w:r>
      <w:r>
        <w:rPr>
          <w:rFonts w:ascii="Baskerville Old Face" w:hAnsi="Baskerville Old Face"/>
        </w:rPr>
        <w:t>The ethics of information-gathering interventions in innovative practice.</w:t>
      </w:r>
      <w:r>
        <w:rPr>
          <w:rFonts w:ascii="Baskerville Old Face" w:hAnsi="Baskerville Old Face"/>
        </w:rPr>
        <w:t xml:space="preserve"> </w:t>
      </w:r>
      <w:r>
        <w:rPr>
          <w:rFonts w:ascii="Baskerville Old Face" w:hAnsi="Baskerville Old Face"/>
          <w:szCs w:val="24"/>
        </w:rPr>
        <w:t>Intern Med J</w:t>
      </w:r>
      <w:r w:rsidRPr="00CA4D91">
        <w:rPr>
          <w:rFonts w:ascii="Baskerville Old Face" w:hAnsi="Baskerville Old Face"/>
          <w:szCs w:val="24"/>
        </w:rPr>
        <w:t xml:space="preserve"> </w:t>
      </w:r>
      <w:proofErr w:type="gramStart"/>
      <w:r w:rsidRPr="00CA4D91">
        <w:rPr>
          <w:rFonts w:ascii="Baskerville Old Face" w:hAnsi="Baskerville Old Face"/>
          <w:szCs w:val="24"/>
        </w:rPr>
        <w:t>20</w:t>
      </w:r>
      <w:r>
        <w:rPr>
          <w:rFonts w:ascii="Baskerville Old Face" w:hAnsi="Baskerville Old Face"/>
          <w:szCs w:val="24"/>
        </w:rPr>
        <w:t>20</w:t>
      </w:r>
      <w:r w:rsidRPr="00CA4D91">
        <w:rPr>
          <w:rFonts w:ascii="Baskerville Old Face" w:hAnsi="Baskerville Old Face"/>
          <w:szCs w:val="24"/>
        </w:rPr>
        <w:t>;</w:t>
      </w:r>
      <w:r>
        <w:rPr>
          <w:rFonts w:ascii="Baskerville Old Face" w:hAnsi="Baskerville Old Face"/>
          <w:szCs w:val="24"/>
        </w:rPr>
        <w:t>50</w:t>
      </w:r>
      <w:r w:rsidRPr="00CA4D91">
        <w:rPr>
          <w:rFonts w:ascii="Baskerville Old Face" w:hAnsi="Baskerville Old Face"/>
          <w:szCs w:val="24"/>
        </w:rPr>
        <w:t>:</w:t>
      </w:r>
      <w:r>
        <w:rPr>
          <w:rFonts w:ascii="Baskerville Old Face" w:hAnsi="Baskerville Old Face"/>
          <w:szCs w:val="24"/>
        </w:rPr>
        <w:t>1583</w:t>
      </w:r>
      <w:proofErr w:type="gramEnd"/>
      <w:r>
        <w:rPr>
          <w:rFonts w:ascii="Baskerville Old Face" w:hAnsi="Baskerville Old Face"/>
          <w:szCs w:val="24"/>
        </w:rPr>
        <w:t>-1587</w:t>
      </w:r>
      <w:r w:rsidRPr="00C4358D">
        <w:rPr>
          <w:rFonts w:ascii="Baskerville Old Face" w:hAnsi="Baskerville Old Face"/>
        </w:rPr>
        <w:t xml:space="preserve">, which </w:t>
      </w:r>
      <w:r>
        <w:rPr>
          <w:rFonts w:ascii="Baskerville Old Face" w:hAnsi="Baskerville Old Face"/>
        </w:rPr>
        <w:t>was</w:t>
      </w:r>
      <w:r w:rsidRPr="00C4358D">
        <w:rPr>
          <w:rFonts w:ascii="Baskerville Old Face" w:hAnsi="Baskerville Old Face"/>
        </w:rPr>
        <w:t xml:space="preserve"> published in final form at </w:t>
      </w:r>
      <w:hyperlink r:id="rId7" w:tgtFrame="_blank" w:history="1">
        <w:r>
          <w:rPr>
            <w:rStyle w:val="Hyperlink"/>
          </w:rPr>
          <w:t>https://doi.org/10.1111/imj.15117</w:t>
        </w:r>
      </w:hyperlink>
      <w:r>
        <w:t xml:space="preserve">. </w:t>
      </w:r>
      <w:r w:rsidRPr="00CA4D91">
        <w:rPr>
          <w:rStyle w:val="Emphasis"/>
          <w:rFonts w:ascii="Baskerville Old Face" w:hAnsi="Baskerville Old Face"/>
          <w:i w:val="0"/>
          <w:iCs w:val="0"/>
        </w:rPr>
        <w:t>This article may be used for noncommercial purposes in accordance with the Wiley Self-Archiving Policy [</w:t>
      </w:r>
      <w:hyperlink r:id="rId8" w:history="1">
        <w:r w:rsidRPr="00C4358D">
          <w:rPr>
            <w:rStyle w:val="Hyperlink"/>
            <w:rFonts w:ascii="Baskerville Old Face" w:hAnsi="Baskerville Old Face"/>
          </w:rPr>
          <w:t>http://www.wileyauthors.com/self-archiving</w:t>
        </w:r>
      </w:hyperlink>
      <w:r w:rsidRPr="00CA4D91">
        <w:rPr>
          <w:rStyle w:val="Emphasis"/>
          <w:rFonts w:ascii="Baskerville Old Face" w:hAnsi="Baskerville Old Face"/>
          <w:i w:val="0"/>
          <w:iCs w:val="0"/>
        </w:rPr>
        <w:t>].</w:t>
      </w:r>
    </w:p>
    <w:p w14:paraId="113057C9" w14:textId="77777777" w:rsidR="00E75247" w:rsidRPr="00C4358D" w:rsidRDefault="00E75247" w:rsidP="00CA4D91">
      <w:pPr>
        <w:spacing w:line="480" w:lineRule="auto"/>
        <w:rPr>
          <w:rFonts w:ascii="Baskerville Old Face" w:hAnsi="Baskerville Old Face"/>
        </w:rPr>
      </w:pPr>
    </w:p>
    <w:p w14:paraId="2BA369A5" w14:textId="51BB7634" w:rsidR="008E4E5D" w:rsidRPr="00CA4D91" w:rsidRDefault="00CA4D91" w:rsidP="00B411C8">
      <w:pPr>
        <w:spacing w:line="480" w:lineRule="auto"/>
        <w:contextualSpacing/>
        <w:jc w:val="center"/>
        <w:rPr>
          <w:rFonts w:ascii="Baskerville Old Face" w:hAnsi="Baskerville Old Face" w:cs="Times New Roman"/>
          <w:bCs/>
          <w:sz w:val="28"/>
          <w:szCs w:val="28"/>
        </w:rPr>
      </w:pPr>
      <w:r>
        <w:rPr>
          <w:rFonts w:ascii="Baskerville Old Face" w:hAnsi="Baskerville Old Face" w:cs="Times New Roman"/>
          <w:bCs/>
          <w:sz w:val="28"/>
          <w:szCs w:val="28"/>
        </w:rPr>
        <w:t>The Ethics of</w:t>
      </w:r>
      <w:r w:rsidR="008E4E5D" w:rsidRPr="00CA4D91">
        <w:rPr>
          <w:rFonts w:ascii="Baskerville Old Face" w:hAnsi="Baskerville Old Face" w:cs="Times New Roman"/>
          <w:bCs/>
          <w:sz w:val="28"/>
          <w:szCs w:val="28"/>
        </w:rPr>
        <w:t xml:space="preserve"> </w:t>
      </w:r>
      <w:r w:rsidR="008C7C96" w:rsidRPr="00CA4D91">
        <w:rPr>
          <w:rFonts w:ascii="Baskerville Old Face" w:hAnsi="Baskerville Old Face" w:cs="Times New Roman"/>
          <w:bCs/>
          <w:sz w:val="28"/>
          <w:szCs w:val="28"/>
        </w:rPr>
        <w:t>I</w:t>
      </w:r>
      <w:r w:rsidR="008E4E5D" w:rsidRPr="00CA4D91">
        <w:rPr>
          <w:rFonts w:ascii="Baskerville Old Face" w:hAnsi="Baskerville Old Face" w:cs="Times New Roman"/>
          <w:bCs/>
          <w:sz w:val="28"/>
          <w:szCs w:val="28"/>
        </w:rPr>
        <w:t>nformation-</w:t>
      </w:r>
      <w:r w:rsidR="008C7C96" w:rsidRPr="00CA4D91">
        <w:rPr>
          <w:rFonts w:ascii="Baskerville Old Face" w:hAnsi="Baskerville Old Face" w:cs="Times New Roman"/>
          <w:bCs/>
          <w:sz w:val="28"/>
          <w:szCs w:val="28"/>
        </w:rPr>
        <w:t>G</w:t>
      </w:r>
      <w:r w:rsidR="008E4E5D" w:rsidRPr="00CA4D91">
        <w:rPr>
          <w:rFonts w:ascii="Baskerville Old Face" w:hAnsi="Baskerville Old Face" w:cs="Times New Roman"/>
          <w:bCs/>
          <w:sz w:val="28"/>
          <w:szCs w:val="28"/>
        </w:rPr>
        <w:t xml:space="preserve">athering </w:t>
      </w:r>
      <w:r w:rsidR="008C7C96" w:rsidRPr="00CA4D91">
        <w:rPr>
          <w:rFonts w:ascii="Baskerville Old Face" w:hAnsi="Baskerville Old Face" w:cs="Times New Roman"/>
          <w:bCs/>
          <w:sz w:val="28"/>
          <w:szCs w:val="28"/>
        </w:rPr>
        <w:t>I</w:t>
      </w:r>
      <w:r w:rsidR="008E4E5D" w:rsidRPr="00CA4D91">
        <w:rPr>
          <w:rFonts w:ascii="Baskerville Old Face" w:hAnsi="Baskerville Old Face" w:cs="Times New Roman"/>
          <w:bCs/>
          <w:sz w:val="28"/>
          <w:szCs w:val="28"/>
        </w:rPr>
        <w:t xml:space="preserve">nterventions in </w:t>
      </w:r>
      <w:r w:rsidR="008C7C96" w:rsidRPr="00CA4D91">
        <w:rPr>
          <w:rFonts w:ascii="Baskerville Old Face" w:hAnsi="Baskerville Old Face" w:cs="Times New Roman"/>
          <w:bCs/>
          <w:sz w:val="28"/>
          <w:szCs w:val="28"/>
        </w:rPr>
        <w:t>I</w:t>
      </w:r>
      <w:r w:rsidR="008E4E5D" w:rsidRPr="00CA4D91">
        <w:rPr>
          <w:rFonts w:ascii="Baskerville Old Face" w:hAnsi="Baskerville Old Face" w:cs="Times New Roman"/>
          <w:bCs/>
          <w:sz w:val="28"/>
          <w:szCs w:val="28"/>
        </w:rPr>
        <w:t xml:space="preserve">nnovative </w:t>
      </w:r>
      <w:r w:rsidR="008C7C96" w:rsidRPr="00CA4D91">
        <w:rPr>
          <w:rFonts w:ascii="Baskerville Old Face" w:hAnsi="Baskerville Old Face" w:cs="Times New Roman"/>
          <w:bCs/>
          <w:sz w:val="28"/>
          <w:szCs w:val="28"/>
        </w:rPr>
        <w:t>P</w:t>
      </w:r>
      <w:r w:rsidR="008E4E5D" w:rsidRPr="00CA4D91">
        <w:rPr>
          <w:rFonts w:ascii="Baskerville Old Face" w:hAnsi="Baskerville Old Face" w:cs="Times New Roman"/>
          <w:bCs/>
          <w:sz w:val="28"/>
          <w:szCs w:val="28"/>
        </w:rPr>
        <w:t>ractice</w:t>
      </w:r>
    </w:p>
    <w:p w14:paraId="5D4BCEC7" w14:textId="5FB6BA00" w:rsidR="00B411C8" w:rsidRPr="00CA4D91" w:rsidRDefault="00B411C8" w:rsidP="00B411C8">
      <w:pPr>
        <w:spacing w:line="480" w:lineRule="auto"/>
        <w:contextualSpacing/>
        <w:jc w:val="center"/>
        <w:rPr>
          <w:rFonts w:ascii="Baskerville Old Face" w:hAnsi="Baskerville Old Face"/>
        </w:rPr>
      </w:pPr>
      <w:r w:rsidRPr="00CA4D91">
        <w:rPr>
          <w:rFonts w:ascii="Baskerville Old Face" w:hAnsi="Baskerville Old Face"/>
        </w:rPr>
        <w:t>Jake Earl and David Wendler</w:t>
      </w:r>
    </w:p>
    <w:p w14:paraId="5E885F09" w14:textId="77777777" w:rsidR="00CA4D91" w:rsidRDefault="00CA4D91" w:rsidP="00CA4D91">
      <w:pPr>
        <w:spacing w:line="480" w:lineRule="auto"/>
        <w:jc w:val="center"/>
        <w:rPr>
          <w:rFonts w:ascii="Baskerville Old Face" w:hAnsi="Baskerville Old Face"/>
        </w:rPr>
      </w:pPr>
      <w:proofErr w:type="spellStart"/>
      <w:r>
        <w:rPr>
          <w:rFonts w:ascii="Baskerville Old Face" w:hAnsi="Baskerville Old Face"/>
        </w:rPr>
        <w:t>jacobcearl</w:t>
      </w:r>
      <w:proofErr w:type="spellEnd"/>
      <w:r>
        <w:rPr>
          <w:rFonts w:ascii="Baskerville Old Face" w:hAnsi="Baskerville Old Face"/>
        </w:rPr>
        <w:t xml:space="preserve"> [at] gmail.com</w:t>
      </w:r>
    </w:p>
    <w:p w14:paraId="5850DB5E" w14:textId="6B882E16" w:rsidR="0088238C" w:rsidRPr="00CA4D91" w:rsidRDefault="00CA4D91" w:rsidP="00CA4D91">
      <w:pPr>
        <w:spacing w:line="480" w:lineRule="auto"/>
        <w:jc w:val="center"/>
        <w:rPr>
          <w:rFonts w:ascii="Baskerville Old Face" w:hAnsi="Baskerville Old Face"/>
        </w:rPr>
      </w:pPr>
      <w:hyperlink r:id="rId9" w:history="1">
        <w:r w:rsidRPr="00BC4778">
          <w:rPr>
            <w:rStyle w:val="Hyperlink"/>
            <w:rFonts w:ascii="Baskerville Old Face" w:hAnsi="Baskerville Old Face"/>
          </w:rPr>
          <w:t>https://www.jakeearl.net/</w:t>
        </w:r>
      </w:hyperlink>
      <w:r>
        <w:rPr>
          <w:rFonts w:ascii="Baskerville Old Face" w:hAnsi="Baskerville Old Face"/>
        </w:rPr>
        <w:t xml:space="preserve"> </w:t>
      </w:r>
    </w:p>
    <w:p w14:paraId="396239E5" w14:textId="0AD1F38C" w:rsidR="00E75247" w:rsidRDefault="00E75247" w:rsidP="0088238C">
      <w:pPr>
        <w:spacing w:line="480" w:lineRule="auto"/>
        <w:contextualSpacing/>
        <w:rPr>
          <w:rFonts w:ascii="Baskerville Old Face" w:hAnsi="Baskerville Old Face"/>
        </w:rPr>
      </w:pPr>
      <w:r w:rsidRPr="00E75247">
        <w:rPr>
          <w:rFonts w:ascii="Baskerville Old Face" w:hAnsi="Baskerville Old Face"/>
        </w:rPr>
        <w:t xml:space="preserve">ABSTRACT: </w:t>
      </w:r>
      <w:r w:rsidRPr="00E75247">
        <w:rPr>
          <w:rFonts w:ascii="Baskerville Old Face" w:hAnsi="Baskerville Old Face"/>
        </w:rPr>
        <w:t xml:space="preserve">Innovative practice involves medical interventions that deviate from standard practice in significant ways. For many patients, innovative practice offers the best chance of successful treatment. Because little is known about most innovative treatments, clinicians who engage in innovative practice might consider including extra procedures, such as scans or blood draws, to gather information about the innovation. Such information-gathering interventions can yield valuable information for modifying the innovation to benefit future patients and for designing scientific studies of the innovation. However, existing guidelines do not say when or whether it is appropriate to add potentially risky information-gathering interventions for these purposes. As a result, clinicians may assume that information-gathering interventions are ethically inappropriate and should not be used in innovative practice. This assumption can lead to seriously negative consequences, such as increasing the likelihood that harmful or ineffective innovations will be adopted and creating new barriers to the development of genuinely beneficial treatments. We argue that health care institutions need to promote the responsible use of information-gathering </w:t>
      </w:r>
      <w:r w:rsidRPr="00E75247">
        <w:rPr>
          <w:rFonts w:ascii="Baskerville Old Face" w:hAnsi="Baskerville Old Face"/>
        </w:rPr>
        <w:lastRenderedPageBreak/>
        <w:t>interventions as an adjunct to innovative practice, and that these</w:t>
      </w:r>
      <w:r>
        <w:t xml:space="preserve"> interventions are not clinical research and should not be subject to research oversight.</w:t>
      </w:r>
    </w:p>
    <w:p w14:paraId="202EAC16" w14:textId="77777777" w:rsidR="00E75247" w:rsidRDefault="00E75247" w:rsidP="0088238C">
      <w:pPr>
        <w:spacing w:line="480" w:lineRule="auto"/>
        <w:contextualSpacing/>
        <w:rPr>
          <w:rFonts w:ascii="Baskerville Old Face" w:hAnsi="Baskerville Old Face"/>
        </w:rPr>
      </w:pPr>
    </w:p>
    <w:p w14:paraId="436E6232" w14:textId="45DBE6B6" w:rsidR="0088238C" w:rsidRPr="00CA4D91" w:rsidRDefault="0088238C" w:rsidP="0088238C">
      <w:pPr>
        <w:spacing w:line="480" w:lineRule="auto"/>
        <w:contextualSpacing/>
        <w:rPr>
          <w:rFonts w:ascii="Baskerville Old Face" w:hAnsi="Baskerville Old Face"/>
        </w:rPr>
      </w:pPr>
      <w:r w:rsidRPr="00CA4D91">
        <w:rPr>
          <w:rFonts w:ascii="Baskerville Old Face" w:hAnsi="Baskerville Old Face"/>
        </w:rPr>
        <w:tab/>
      </w:r>
      <w:r w:rsidR="00CE3874" w:rsidRPr="00CA4D91">
        <w:rPr>
          <w:rFonts w:ascii="Baskerville Old Face" w:hAnsi="Baskerville Old Face"/>
        </w:rPr>
        <w:t xml:space="preserve">Clinicians </w:t>
      </w:r>
      <w:r w:rsidR="007C3478" w:rsidRPr="00CA4D91">
        <w:rPr>
          <w:rFonts w:ascii="Baskerville Old Face" w:hAnsi="Baskerville Old Face"/>
        </w:rPr>
        <w:t xml:space="preserve">typically offer their patients </w:t>
      </w:r>
      <w:r w:rsidR="0043492B" w:rsidRPr="00CA4D91">
        <w:rPr>
          <w:rFonts w:ascii="Baskerville Old Face" w:hAnsi="Baskerville Old Face"/>
        </w:rPr>
        <w:t xml:space="preserve">standard </w:t>
      </w:r>
      <w:r w:rsidR="00EE2AF5" w:rsidRPr="00CA4D91">
        <w:rPr>
          <w:rFonts w:ascii="Baskerville Old Face" w:hAnsi="Baskerville Old Face"/>
        </w:rPr>
        <w:t>interventions</w:t>
      </w:r>
      <w:r w:rsidR="00425F62" w:rsidRPr="00CA4D91">
        <w:rPr>
          <w:rFonts w:ascii="Baskerville Old Face" w:hAnsi="Baskerville Old Face"/>
        </w:rPr>
        <w:t xml:space="preserve">. </w:t>
      </w:r>
      <w:r w:rsidR="00243DD7" w:rsidRPr="00CA4D91">
        <w:rPr>
          <w:rFonts w:ascii="Baskerville Old Face" w:hAnsi="Baskerville Old Face"/>
        </w:rPr>
        <w:t>H</w:t>
      </w:r>
      <w:r w:rsidR="00425F62" w:rsidRPr="00CA4D91">
        <w:rPr>
          <w:rFonts w:ascii="Baskerville Old Face" w:hAnsi="Baskerville Old Face"/>
        </w:rPr>
        <w:t xml:space="preserve">owever, </w:t>
      </w:r>
      <w:r w:rsidR="00B9524A" w:rsidRPr="00CA4D91">
        <w:rPr>
          <w:rFonts w:ascii="Baskerville Old Face" w:hAnsi="Baskerville Old Face"/>
        </w:rPr>
        <w:t xml:space="preserve">there are no standard interventions </w:t>
      </w:r>
      <w:r w:rsidR="00243DD7" w:rsidRPr="00CA4D91">
        <w:rPr>
          <w:rFonts w:ascii="Baskerville Old Face" w:hAnsi="Baskerville Old Face"/>
        </w:rPr>
        <w:t>for some conditions</w:t>
      </w:r>
      <w:r w:rsidR="003D3D23" w:rsidRPr="00CA4D91">
        <w:rPr>
          <w:rFonts w:ascii="Baskerville Old Face" w:hAnsi="Baskerville Old Face"/>
        </w:rPr>
        <w:t>,</w:t>
      </w:r>
      <w:r w:rsidR="007C3478" w:rsidRPr="00CA4D91">
        <w:rPr>
          <w:rFonts w:ascii="Baskerville Old Face" w:hAnsi="Baskerville Old Face"/>
        </w:rPr>
        <w:t xml:space="preserve"> </w:t>
      </w:r>
      <w:r w:rsidR="000B7E5A" w:rsidRPr="00CA4D91">
        <w:rPr>
          <w:rFonts w:ascii="Baskerville Old Face" w:hAnsi="Baskerville Old Face"/>
        </w:rPr>
        <w:t>a</w:t>
      </w:r>
      <w:r w:rsidR="00243DD7" w:rsidRPr="00CA4D91">
        <w:rPr>
          <w:rFonts w:ascii="Baskerville Old Face" w:hAnsi="Baskerville Old Face"/>
        </w:rPr>
        <w:t xml:space="preserve">nd </w:t>
      </w:r>
      <w:r w:rsidR="00B9524A" w:rsidRPr="00CA4D91">
        <w:rPr>
          <w:rFonts w:ascii="Baskerville Old Face" w:hAnsi="Baskerville Old Face"/>
        </w:rPr>
        <w:t xml:space="preserve">standard interventions are ineffective </w:t>
      </w:r>
      <w:r w:rsidR="00C05BD4" w:rsidRPr="00CA4D91">
        <w:rPr>
          <w:rFonts w:ascii="Baskerville Old Face" w:hAnsi="Baskerville Old Face"/>
        </w:rPr>
        <w:t xml:space="preserve">for </w:t>
      </w:r>
      <w:r w:rsidR="00243DD7" w:rsidRPr="00CA4D91">
        <w:rPr>
          <w:rFonts w:ascii="Baskerville Old Face" w:hAnsi="Baskerville Old Face"/>
        </w:rPr>
        <w:t>some</w:t>
      </w:r>
      <w:r w:rsidR="00C05BD4" w:rsidRPr="00CA4D91">
        <w:rPr>
          <w:rFonts w:ascii="Baskerville Old Face" w:hAnsi="Baskerville Old Face"/>
        </w:rPr>
        <w:t xml:space="preserve"> patient</w:t>
      </w:r>
      <w:r w:rsidR="00243DD7" w:rsidRPr="00CA4D91">
        <w:rPr>
          <w:rFonts w:ascii="Baskerville Old Face" w:hAnsi="Baskerville Old Face"/>
        </w:rPr>
        <w:t>s</w:t>
      </w:r>
      <w:r w:rsidR="00126A9A" w:rsidRPr="00CA4D91">
        <w:rPr>
          <w:rFonts w:ascii="Baskerville Old Face" w:hAnsi="Baskerville Old Face"/>
        </w:rPr>
        <w:t>. C</w:t>
      </w:r>
      <w:r w:rsidR="00BE3575" w:rsidRPr="00CA4D91">
        <w:rPr>
          <w:rFonts w:ascii="Baskerville Old Face" w:hAnsi="Baskerville Old Face"/>
        </w:rPr>
        <w:t xml:space="preserve">linicians </w:t>
      </w:r>
      <w:r w:rsidR="00126A9A" w:rsidRPr="00CA4D91">
        <w:rPr>
          <w:rFonts w:ascii="Baskerville Old Face" w:hAnsi="Baskerville Old Face"/>
        </w:rPr>
        <w:t xml:space="preserve">thus </w:t>
      </w:r>
      <w:r w:rsidR="00BE3575" w:rsidRPr="00CA4D91">
        <w:rPr>
          <w:rFonts w:ascii="Baskerville Old Face" w:hAnsi="Baskerville Old Face"/>
        </w:rPr>
        <w:t xml:space="preserve">sometimes </w:t>
      </w:r>
      <w:r w:rsidR="004E6FE1" w:rsidRPr="00CA4D91">
        <w:rPr>
          <w:rFonts w:ascii="Baskerville Old Face" w:hAnsi="Baskerville Old Face"/>
        </w:rPr>
        <w:t xml:space="preserve">engage in </w:t>
      </w:r>
      <w:r w:rsidR="004E6FE1" w:rsidRPr="00CA4D91">
        <w:rPr>
          <w:rFonts w:ascii="Baskerville Old Face" w:hAnsi="Baskerville Old Face"/>
          <w:i/>
        </w:rPr>
        <w:t>innovative practice</w:t>
      </w:r>
      <w:r w:rsidR="004E6FE1" w:rsidRPr="00CA4D91">
        <w:rPr>
          <w:rFonts w:ascii="Baskerville Old Face" w:hAnsi="Baskerville Old Face"/>
        </w:rPr>
        <w:t xml:space="preserve">, </w:t>
      </w:r>
      <w:r w:rsidR="007C3478" w:rsidRPr="00CA4D91">
        <w:rPr>
          <w:rFonts w:ascii="Baskerville Old Face" w:hAnsi="Baskerville Old Face"/>
        </w:rPr>
        <w:t xml:space="preserve">offering </w:t>
      </w:r>
      <w:r w:rsidR="00D53C00" w:rsidRPr="00CA4D91">
        <w:rPr>
          <w:rFonts w:ascii="Baskerville Old Face" w:hAnsi="Baskerville Old Face"/>
        </w:rPr>
        <w:t xml:space="preserve">their patients </w:t>
      </w:r>
      <w:r w:rsidR="00BD066E" w:rsidRPr="00CA4D91">
        <w:rPr>
          <w:rFonts w:ascii="Baskerville Old Face" w:hAnsi="Baskerville Old Face"/>
        </w:rPr>
        <w:t>interventions that “depart in a significant way from standard or accepted practice.”</w:t>
      </w:r>
      <w:r w:rsidR="000017E6" w:rsidRPr="00CA4D91">
        <w:rPr>
          <w:rStyle w:val="EndnoteReference"/>
          <w:rFonts w:ascii="Baskerville Old Face" w:hAnsi="Baskerville Old Face"/>
        </w:rPr>
        <w:endnoteReference w:id="2"/>
      </w:r>
      <w:r w:rsidR="000017E6" w:rsidRPr="00CA4D91">
        <w:rPr>
          <w:rFonts w:ascii="Baskerville Old Face" w:hAnsi="Baskerville Old Face"/>
        </w:rPr>
        <w:t xml:space="preserve"> </w:t>
      </w:r>
      <w:r w:rsidR="00647E4E" w:rsidRPr="00CA4D91">
        <w:rPr>
          <w:rFonts w:ascii="Baskerville Old Face" w:hAnsi="Baskerville Old Face"/>
        </w:rPr>
        <w:t xml:space="preserve">Many therapeutic, diagnostic, and preventive interventions </w:t>
      </w:r>
      <w:r w:rsidR="00BA3103" w:rsidRPr="00CA4D91">
        <w:rPr>
          <w:rFonts w:ascii="Baskerville Old Face" w:hAnsi="Baskerville Old Face"/>
        </w:rPr>
        <w:t>were developed at least in part</w:t>
      </w:r>
      <w:r w:rsidR="00647E4E" w:rsidRPr="00CA4D91">
        <w:rPr>
          <w:rFonts w:ascii="Baskerville Old Face" w:hAnsi="Baskerville Old Face"/>
        </w:rPr>
        <w:t xml:space="preserve"> through innovative practice, ranging from modest alterations in practice (e.g., antiseptic wound cleaning) to major technological leaps (e.g., robot</w:t>
      </w:r>
      <w:r w:rsidR="006E7EEA" w:rsidRPr="00CA4D91">
        <w:rPr>
          <w:rFonts w:ascii="Baskerville Old Face" w:hAnsi="Baskerville Old Face"/>
        </w:rPr>
        <w:t>ics</w:t>
      </w:r>
      <w:r w:rsidR="00BA3103" w:rsidRPr="00CA4D91">
        <w:rPr>
          <w:rFonts w:ascii="Baskerville Old Face" w:hAnsi="Baskerville Old Face"/>
        </w:rPr>
        <w:t>-assisted</w:t>
      </w:r>
      <w:r w:rsidR="00647E4E" w:rsidRPr="00CA4D91">
        <w:rPr>
          <w:rFonts w:ascii="Baskerville Old Face" w:hAnsi="Baskerville Old Face"/>
        </w:rPr>
        <w:t xml:space="preserve"> </w:t>
      </w:r>
      <w:r w:rsidR="000B7078" w:rsidRPr="00CA4D91">
        <w:rPr>
          <w:rFonts w:ascii="Baskerville Old Face" w:hAnsi="Baskerville Old Face"/>
        </w:rPr>
        <w:t>telesurgery)</w:t>
      </w:r>
      <w:r w:rsidR="00647E4E" w:rsidRPr="00CA4D91">
        <w:rPr>
          <w:rFonts w:ascii="Baskerville Old Face" w:hAnsi="Baskerville Old Face"/>
        </w:rPr>
        <w:t>.</w:t>
      </w:r>
      <w:r w:rsidR="000B7078" w:rsidRPr="00CA4D91">
        <w:rPr>
          <w:rStyle w:val="EndnoteReference"/>
          <w:rFonts w:ascii="Baskerville Old Face" w:hAnsi="Baskerville Old Face"/>
        </w:rPr>
        <w:endnoteReference w:id="3"/>
      </w:r>
      <w:r w:rsidR="000B7078" w:rsidRPr="00CA4D91">
        <w:rPr>
          <w:rFonts w:ascii="Baskerville Old Face" w:hAnsi="Baskerville Old Face"/>
          <w:vertAlign w:val="superscript"/>
        </w:rPr>
        <w:t>,</w:t>
      </w:r>
      <w:r w:rsidR="000B7078" w:rsidRPr="00CA4D91">
        <w:rPr>
          <w:rStyle w:val="EndnoteReference"/>
          <w:rFonts w:ascii="Baskerville Old Face" w:hAnsi="Baskerville Old Face"/>
        </w:rPr>
        <w:endnoteReference w:id="4"/>
      </w:r>
      <w:r w:rsidR="00647E4E" w:rsidRPr="00CA4D91">
        <w:rPr>
          <w:rFonts w:ascii="Baskerville Old Face" w:hAnsi="Baskerville Old Face"/>
        </w:rPr>
        <w:t xml:space="preserve"> </w:t>
      </w:r>
      <w:r w:rsidR="00F860FE" w:rsidRPr="00CA4D91">
        <w:rPr>
          <w:rFonts w:ascii="Baskerville Old Face" w:hAnsi="Baskerville Old Face"/>
        </w:rPr>
        <w:t>I</w:t>
      </w:r>
      <w:r w:rsidR="00BD066E" w:rsidRPr="00CA4D91">
        <w:rPr>
          <w:rFonts w:ascii="Baskerville Old Face" w:hAnsi="Baskerville Old Face"/>
        </w:rPr>
        <w:t xml:space="preserve">nnovative practice </w:t>
      </w:r>
      <w:r w:rsidR="00BA3103" w:rsidRPr="00CA4D91">
        <w:rPr>
          <w:rFonts w:ascii="Baskerville Old Face" w:hAnsi="Baskerville Old Face"/>
        </w:rPr>
        <w:t xml:space="preserve">remains </w:t>
      </w:r>
      <w:r w:rsidR="00027C2D" w:rsidRPr="00CA4D91">
        <w:rPr>
          <w:rFonts w:ascii="Baskerville Old Face" w:hAnsi="Baskerville Old Face"/>
        </w:rPr>
        <w:t>common</w:t>
      </w:r>
      <w:r w:rsidR="009E4902" w:rsidRPr="00CA4D91">
        <w:rPr>
          <w:rFonts w:ascii="Baskerville Old Face" w:hAnsi="Baskerville Old Face"/>
        </w:rPr>
        <w:t xml:space="preserve"> </w:t>
      </w:r>
      <w:r w:rsidR="00CE32C5" w:rsidRPr="00CA4D91">
        <w:rPr>
          <w:rFonts w:ascii="Baskerville Old Face" w:hAnsi="Baskerville Old Face"/>
        </w:rPr>
        <w:t>in</w:t>
      </w:r>
      <w:r w:rsidR="00BA3103" w:rsidRPr="00CA4D91">
        <w:rPr>
          <w:rFonts w:ascii="Baskerville Old Face" w:hAnsi="Baskerville Old Face"/>
        </w:rPr>
        <w:t xml:space="preserve"> </w:t>
      </w:r>
      <w:r w:rsidR="008E3F71" w:rsidRPr="00CA4D91">
        <w:rPr>
          <w:rFonts w:ascii="Baskerville Old Face" w:hAnsi="Baskerville Old Face"/>
        </w:rPr>
        <w:t>many</w:t>
      </w:r>
      <w:r w:rsidR="00BA3103" w:rsidRPr="00CA4D91">
        <w:rPr>
          <w:rFonts w:ascii="Baskerville Old Face" w:hAnsi="Baskerville Old Face"/>
        </w:rPr>
        <w:t xml:space="preserve"> fields, including </w:t>
      </w:r>
      <w:r w:rsidR="00CE32C5" w:rsidRPr="00CA4D91">
        <w:rPr>
          <w:rFonts w:ascii="Baskerville Old Face" w:hAnsi="Baskerville Old Face"/>
        </w:rPr>
        <w:t>surgery and reproductive medicine.</w:t>
      </w:r>
      <w:r w:rsidR="00CE32C5" w:rsidRPr="00CA4D91">
        <w:rPr>
          <w:rStyle w:val="EndnoteReference"/>
          <w:rFonts w:ascii="Baskerville Old Face" w:hAnsi="Baskerville Old Face"/>
        </w:rPr>
        <w:endnoteReference w:id="5"/>
      </w:r>
      <w:r w:rsidR="009E4902" w:rsidRPr="00CA4D91">
        <w:rPr>
          <w:rFonts w:ascii="Baskerville Old Face" w:hAnsi="Baskerville Old Face"/>
          <w:vertAlign w:val="superscript"/>
        </w:rPr>
        <w:t>,</w:t>
      </w:r>
      <w:r w:rsidR="00CE32C5" w:rsidRPr="00CA4D91">
        <w:rPr>
          <w:rStyle w:val="EndnoteReference"/>
          <w:rFonts w:ascii="Baskerville Old Face" w:hAnsi="Baskerville Old Face"/>
        </w:rPr>
        <w:endnoteReference w:id="6"/>
      </w:r>
    </w:p>
    <w:p w14:paraId="4FF9CDD1" w14:textId="2755517E" w:rsidR="00B92D8D" w:rsidRPr="00CA4D91" w:rsidRDefault="0088238C" w:rsidP="0088238C">
      <w:pPr>
        <w:spacing w:line="480" w:lineRule="auto"/>
        <w:contextualSpacing/>
        <w:rPr>
          <w:rFonts w:ascii="Baskerville Old Face" w:hAnsi="Baskerville Old Face"/>
          <w:vertAlign w:val="subscript"/>
        </w:rPr>
      </w:pPr>
      <w:r w:rsidRPr="00CA4D91">
        <w:rPr>
          <w:rFonts w:ascii="Baskerville Old Face" w:hAnsi="Baskerville Old Face"/>
        </w:rPr>
        <w:tab/>
      </w:r>
      <w:r w:rsidR="00493260" w:rsidRPr="00CA4D91">
        <w:rPr>
          <w:rFonts w:ascii="Baskerville Old Face" w:hAnsi="Baskerville Old Face"/>
        </w:rPr>
        <w:t>Despite its continued prevalence, innovative practice is poorly understood and ethically controversial</w:t>
      </w:r>
      <w:r w:rsidR="008E3F71" w:rsidRPr="00CA4D91">
        <w:rPr>
          <w:rFonts w:ascii="Baskerville Old Face" w:hAnsi="Baskerville Old Face"/>
        </w:rPr>
        <w:t xml:space="preserve">. Critics worry that innovative practice has the potential to exploit patients and expose them to unwarranted risks. This is particularly troubling given that innovative practice </w:t>
      </w:r>
      <w:r w:rsidR="006F1089" w:rsidRPr="00CA4D91">
        <w:rPr>
          <w:rFonts w:ascii="Baskerville Old Face" w:hAnsi="Baskerville Old Face"/>
        </w:rPr>
        <w:t xml:space="preserve">is </w:t>
      </w:r>
      <w:r w:rsidR="008E3F71" w:rsidRPr="00CA4D91">
        <w:rPr>
          <w:rFonts w:ascii="Baskerville Old Face" w:hAnsi="Baskerville Old Face"/>
        </w:rPr>
        <w:t>frequently not</w:t>
      </w:r>
      <w:r w:rsidR="006F1089" w:rsidRPr="00CA4D91">
        <w:rPr>
          <w:rFonts w:ascii="Baskerville Old Face" w:hAnsi="Baskerville Old Face"/>
        </w:rPr>
        <w:t xml:space="preserve"> subjected to rigorous </w:t>
      </w:r>
      <w:r w:rsidR="00493260" w:rsidRPr="00CA4D91">
        <w:rPr>
          <w:rFonts w:ascii="Baskerville Old Face" w:hAnsi="Baskerville Old Face"/>
        </w:rPr>
        <w:t>oversight.</w:t>
      </w:r>
      <w:r w:rsidR="00141D02" w:rsidRPr="00CA4D91">
        <w:rPr>
          <w:rStyle w:val="EndnoteReference"/>
          <w:rFonts w:ascii="Baskerville Old Face" w:hAnsi="Baskerville Old Face"/>
        </w:rPr>
        <w:endnoteReference w:id="7"/>
      </w:r>
      <w:r w:rsidR="00493260" w:rsidRPr="00CA4D91">
        <w:rPr>
          <w:rFonts w:ascii="Baskerville Old Face" w:hAnsi="Baskerville Old Face"/>
        </w:rPr>
        <w:t xml:space="preserve"> </w:t>
      </w:r>
      <w:r w:rsidR="00141D02" w:rsidRPr="00CA4D91">
        <w:rPr>
          <w:rFonts w:ascii="Baskerville Old Face" w:hAnsi="Baskerville Old Face"/>
        </w:rPr>
        <w:t xml:space="preserve">Proposed ethics </w:t>
      </w:r>
      <w:r w:rsidR="00D53C00" w:rsidRPr="00CA4D91">
        <w:rPr>
          <w:rFonts w:ascii="Baskerville Old Face" w:hAnsi="Baskerville Old Face"/>
        </w:rPr>
        <w:t>g</w:t>
      </w:r>
      <w:r w:rsidR="002D445E" w:rsidRPr="00CA4D91">
        <w:rPr>
          <w:rFonts w:ascii="Baskerville Old Face" w:hAnsi="Baskerville Old Face"/>
        </w:rPr>
        <w:t xml:space="preserve">uidelines </w:t>
      </w:r>
      <w:r w:rsidR="00710C7B" w:rsidRPr="00CA4D91">
        <w:rPr>
          <w:rFonts w:ascii="Baskerville Old Face" w:hAnsi="Baskerville Old Face"/>
        </w:rPr>
        <w:t>would mitigate the risks of</w:t>
      </w:r>
      <w:r w:rsidR="00141D02" w:rsidRPr="00CA4D91">
        <w:rPr>
          <w:rFonts w:ascii="Baskerville Old Face" w:hAnsi="Baskerville Old Face"/>
        </w:rPr>
        <w:t xml:space="preserve"> </w:t>
      </w:r>
      <w:r w:rsidR="00B92D8D" w:rsidRPr="00CA4D91">
        <w:rPr>
          <w:rFonts w:ascii="Baskerville Old Face" w:hAnsi="Baskerville Old Face"/>
        </w:rPr>
        <w:t xml:space="preserve">innovative </w:t>
      </w:r>
      <w:r w:rsidR="00F860FE" w:rsidRPr="00CA4D91">
        <w:rPr>
          <w:rFonts w:ascii="Baskerville Old Face" w:hAnsi="Baskerville Old Face"/>
        </w:rPr>
        <w:t>practice</w:t>
      </w:r>
      <w:r w:rsidR="006F1089" w:rsidRPr="00CA4D91">
        <w:rPr>
          <w:rFonts w:ascii="Baskerville Old Face" w:hAnsi="Baskerville Old Face"/>
        </w:rPr>
        <w:t xml:space="preserve"> </w:t>
      </w:r>
      <w:r w:rsidR="00710C7B" w:rsidRPr="00CA4D91">
        <w:rPr>
          <w:rFonts w:ascii="Baskerville Old Face" w:hAnsi="Baskerville Old Face"/>
        </w:rPr>
        <w:t>by requiring</w:t>
      </w:r>
      <w:r w:rsidR="00B92D8D" w:rsidRPr="00CA4D91">
        <w:rPr>
          <w:rFonts w:ascii="Baskerville Old Face" w:hAnsi="Baskerville Old Face"/>
        </w:rPr>
        <w:t xml:space="preserve"> </w:t>
      </w:r>
      <w:r w:rsidR="00710C7B" w:rsidRPr="00CA4D91">
        <w:rPr>
          <w:rFonts w:ascii="Baskerville Old Face" w:hAnsi="Baskerville Old Face"/>
        </w:rPr>
        <w:t xml:space="preserve">prospective review by </w:t>
      </w:r>
      <w:r w:rsidR="002D445E" w:rsidRPr="00CA4D91">
        <w:rPr>
          <w:rFonts w:ascii="Baskerville Old Face" w:hAnsi="Baskerville Old Face"/>
        </w:rPr>
        <w:t xml:space="preserve">other professionals, </w:t>
      </w:r>
      <w:r w:rsidR="00710C7B" w:rsidRPr="00CA4D91">
        <w:rPr>
          <w:rFonts w:ascii="Baskerville Old Face" w:hAnsi="Baskerville Old Face"/>
        </w:rPr>
        <w:t>enhanced informed consent procedures</w:t>
      </w:r>
      <w:r w:rsidR="002D445E" w:rsidRPr="00CA4D91">
        <w:rPr>
          <w:rFonts w:ascii="Baskerville Old Face" w:hAnsi="Baskerville Old Face"/>
        </w:rPr>
        <w:t xml:space="preserve">, and </w:t>
      </w:r>
      <w:r w:rsidR="006F1089" w:rsidRPr="00CA4D91">
        <w:rPr>
          <w:rFonts w:ascii="Baskerville Old Face" w:hAnsi="Baskerville Old Face"/>
        </w:rPr>
        <w:t xml:space="preserve">careful </w:t>
      </w:r>
      <w:r w:rsidR="002D445E" w:rsidRPr="00CA4D91">
        <w:rPr>
          <w:rFonts w:ascii="Baskerville Old Face" w:hAnsi="Baskerville Old Face"/>
        </w:rPr>
        <w:t>patient</w:t>
      </w:r>
      <w:r w:rsidR="006F1089" w:rsidRPr="00CA4D91">
        <w:rPr>
          <w:rFonts w:ascii="Baskerville Old Face" w:hAnsi="Baskerville Old Face"/>
        </w:rPr>
        <w:t xml:space="preserve"> safety</w:t>
      </w:r>
      <w:r w:rsidR="00710C7B" w:rsidRPr="00CA4D91">
        <w:rPr>
          <w:rFonts w:ascii="Baskerville Old Face" w:hAnsi="Baskerville Old Face"/>
        </w:rPr>
        <w:t xml:space="preserve"> monitoring</w:t>
      </w:r>
      <w:r w:rsidR="002D445E" w:rsidRPr="00CA4D91">
        <w:rPr>
          <w:rFonts w:ascii="Baskerville Old Face" w:hAnsi="Baskerville Old Face"/>
        </w:rPr>
        <w:t>.</w:t>
      </w:r>
      <w:r w:rsidR="000017E6" w:rsidRPr="00CA4D91">
        <w:rPr>
          <w:rStyle w:val="EndnoteReference"/>
          <w:rFonts w:ascii="Baskerville Old Face" w:hAnsi="Baskerville Old Face"/>
        </w:rPr>
        <w:endnoteReference w:id="8"/>
      </w:r>
      <w:r w:rsidR="000017E6" w:rsidRPr="00CA4D91">
        <w:rPr>
          <w:rFonts w:ascii="Baskerville Old Face" w:hAnsi="Baskerville Old Face"/>
          <w:vertAlign w:val="superscript"/>
        </w:rPr>
        <w:t>,</w:t>
      </w:r>
      <w:r w:rsidR="000017E6" w:rsidRPr="00CA4D91">
        <w:rPr>
          <w:rStyle w:val="EndnoteReference"/>
          <w:rFonts w:ascii="Baskerville Old Face" w:hAnsi="Baskerville Old Face"/>
        </w:rPr>
        <w:endnoteReference w:id="9"/>
      </w:r>
      <w:r w:rsidR="000017E6" w:rsidRPr="00CA4D91">
        <w:rPr>
          <w:rFonts w:ascii="Baskerville Old Face" w:hAnsi="Baskerville Old Face"/>
          <w:vertAlign w:val="superscript"/>
        </w:rPr>
        <w:t>,</w:t>
      </w:r>
      <w:r w:rsidR="000017E6" w:rsidRPr="00CA4D91">
        <w:rPr>
          <w:rStyle w:val="EndnoteReference"/>
          <w:rFonts w:ascii="Baskerville Old Face" w:hAnsi="Baskerville Old Face"/>
        </w:rPr>
        <w:endnoteReference w:id="10"/>
      </w:r>
      <w:r w:rsidR="002D445E" w:rsidRPr="00CA4D91">
        <w:rPr>
          <w:rFonts w:ascii="Baskerville Old Face" w:hAnsi="Baskerville Old Face"/>
          <w:vertAlign w:val="superscript"/>
        </w:rPr>
        <w:t>,</w:t>
      </w:r>
      <w:r w:rsidR="000017E6" w:rsidRPr="00CA4D91">
        <w:rPr>
          <w:rStyle w:val="EndnoteReference"/>
          <w:rFonts w:ascii="Baskerville Old Face" w:hAnsi="Baskerville Old Face"/>
        </w:rPr>
        <w:endnoteReference w:id="11"/>
      </w:r>
      <w:r w:rsidR="000017E6" w:rsidRPr="00CA4D91">
        <w:rPr>
          <w:rFonts w:ascii="Baskerville Old Face" w:hAnsi="Baskerville Old Face"/>
        </w:rPr>
        <w:t xml:space="preserve"> </w:t>
      </w:r>
      <w:r w:rsidR="006F1089" w:rsidRPr="00CA4D91">
        <w:rPr>
          <w:rFonts w:ascii="Baskerville Old Face" w:hAnsi="Baskerville Old Face"/>
        </w:rPr>
        <w:t xml:space="preserve">Another way to mitigate the  </w:t>
      </w:r>
      <w:r w:rsidR="00B9524A" w:rsidRPr="00CA4D91">
        <w:rPr>
          <w:rFonts w:ascii="Baskerville Old Face" w:hAnsi="Baskerville Old Face"/>
        </w:rPr>
        <w:t xml:space="preserve">risks </w:t>
      </w:r>
      <w:r w:rsidR="006F1089" w:rsidRPr="00CA4D91">
        <w:rPr>
          <w:rFonts w:ascii="Baskerville Old Face" w:hAnsi="Baskerville Old Face"/>
        </w:rPr>
        <w:t xml:space="preserve">of innovative practice would be to </w:t>
      </w:r>
      <w:r w:rsidR="008E3F71" w:rsidRPr="00CA4D91">
        <w:rPr>
          <w:rFonts w:ascii="Baskerville Old Face" w:hAnsi="Baskerville Old Face"/>
        </w:rPr>
        <w:t>include</w:t>
      </w:r>
      <w:r w:rsidR="00D53C00" w:rsidRPr="00CA4D91">
        <w:rPr>
          <w:rFonts w:ascii="Baskerville Old Face" w:hAnsi="Baskerville Old Face"/>
        </w:rPr>
        <w:t xml:space="preserve"> interventions that are not </w:t>
      </w:r>
      <w:r w:rsidR="00AD0A3E" w:rsidRPr="00CA4D91">
        <w:rPr>
          <w:rFonts w:ascii="Baskerville Old Face" w:hAnsi="Baskerville Old Face"/>
        </w:rPr>
        <w:t>medi</w:t>
      </w:r>
      <w:r w:rsidR="00D53C00" w:rsidRPr="00CA4D91">
        <w:rPr>
          <w:rFonts w:ascii="Baskerville Old Face" w:hAnsi="Baskerville Old Face"/>
        </w:rPr>
        <w:t>cally in</w:t>
      </w:r>
      <w:r w:rsidR="00126A9A" w:rsidRPr="00CA4D91">
        <w:rPr>
          <w:rFonts w:ascii="Baskerville Old Face" w:hAnsi="Baskerville Old Face"/>
        </w:rPr>
        <w:t>dicated</w:t>
      </w:r>
      <w:r w:rsidR="00710C7B" w:rsidRPr="00CA4D91">
        <w:rPr>
          <w:rFonts w:ascii="Baskerville Old Face" w:hAnsi="Baskerville Old Face"/>
        </w:rPr>
        <w:t>—</w:t>
      </w:r>
      <w:r w:rsidR="00B91124" w:rsidRPr="00CA4D91">
        <w:rPr>
          <w:rFonts w:ascii="Baskerville Old Face" w:hAnsi="Baskerville Old Face"/>
        </w:rPr>
        <w:t>such as an extra blood draw</w:t>
      </w:r>
      <w:r w:rsidR="00710C7B" w:rsidRPr="00CA4D91">
        <w:rPr>
          <w:rFonts w:ascii="Baskerville Old Face" w:hAnsi="Baskerville Old Face"/>
        </w:rPr>
        <w:t xml:space="preserve">, </w:t>
      </w:r>
      <w:r w:rsidR="00B91124" w:rsidRPr="00CA4D91">
        <w:rPr>
          <w:rFonts w:ascii="Baskerville Old Face" w:hAnsi="Baskerville Old Face"/>
        </w:rPr>
        <w:t>scan,</w:t>
      </w:r>
      <w:r w:rsidR="00710C7B" w:rsidRPr="00CA4D91">
        <w:rPr>
          <w:rFonts w:ascii="Baskerville Old Face" w:hAnsi="Baskerville Old Face"/>
        </w:rPr>
        <w:t xml:space="preserve"> or behavioral evaluation—but can</w:t>
      </w:r>
      <w:r w:rsidR="00126A9A" w:rsidRPr="00CA4D91">
        <w:rPr>
          <w:rFonts w:ascii="Baskerville Old Face" w:hAnsi="Baskerville Old Face"/>
        </w:rPr>
        <w:t xml:space="preserve"> </w:t>
      </w:r>
      <w:r w:rsidR="00B91124" w:rsidRPr="00CA4D91">
        <w:rPr>
          <w:rFonts w:ascii="Baskerville Old Face" w:hAnsi="Baskerville Old Face"/>
        </w:rPr>
        <w:t>yield</w:t>
      </w:r>
      <w:r w:rsidR="002D445E" w:rsidRPr="00CA4D91">
        <w:rPr>
          <w:rFonts w:ascii="Baskerville Old Face" w:hAnsi="Baskerville Old Face"/>
        </w:rPr>
        <w:t xml:space="preserve"> </w:t>
      </w:r>
      <w:r w:rsidR="00B91124" w:rsidRPr="00CA4D91">
        <w:rPr>
          <w:rFonts w:ascii="Baskerville Old Face" w:hAnsi="Baskerville Old Face"/>
        </w:rPr>
        <w:t xml:space="preserve">valuable </w:t>
      </w:r>
      <w:r w:rsidR="002D445E" w:rsidRPr="00CA4D91">
        <w:rPr>
          <w:rFonts w:ascii="Baskerville Old Face" w:hAnsi="Baskerville Old Face"/>
        </w:rPr>
        <w:t>i</w:t>
      </w:r>
      <w:r w:rsidR="00026E65" w:rsidRPr="00CA4D91">
        <w:rPr>
          <w:rFonts w:ascii="Baskerville Old Face" w:hAnsi="Baskerville Old Face"/>
        </w:rPr>
        <w:t>nformation</w:t>
      </w:r>
      <w:r w:rsidR="00FD5CE7" w:rsidRPr="00CA4D91">
        <w:rPr>
          <w:rFonts w:ascii="Baskerville Old Face" w:hAnsi="Baskerville Old Face"/>
        </w:rPr>
        <w:t xml:space="preserve"> about </w:t>
      </w:r>
      <w:r w:rsidR="00710C7B" w:rsidRPr="00CA4D91">
        <w:rPr>
          <w:rFonts w:ascii="Baskerville Old Face" w:hAnsi="Baskerville Old Face"/>
        </w:rPr>
        <w:t>the innovation</w:t>
      </w:r>
      <w:r w:rsidR="00B91124" w:rsidRPr="00CA4D91">
        <w:rPr>
          <w:rFonts w:ascii="Baskerville Old Face" w:hAnsi="Baskerville Old Face"/>
        </w:rPr>
        <w:t xml:space="preserve">. Gathering this information </w:t>
      </w:r>
      <w:r w:rsidR="008E3F71" w:rsidRPr="00CA4D91">
        <w:rPr>
          <w:rFonts w:ascii="Baskerville Old Face" w:hAnsi="Baskerville Old Face"/>
        </w:rPr>
        <w:t>has the potential</w:t>
      </w:r>
      <w:r w:rsidR="00B91124" w:rsidRPr="00CA4D91">
        <w:rPr>
          <w:rFonts w:ascii="Baskerville Old Face" w:hAnsi="Baskerville Old Face"/>
        </w:rPr>
        <w:t xml:space="preserve"> to </w:t>
      </w:r>
      <w:r w:rsidR="00126A9A" w:rsidRPr="00CA4D91">
        <w:rPr>
          <w:rFonts w:ascii="Baskerville Old Face" w:hAnsi="Baskerville Old Face"/>
        </w:rPr>
        <w:t xml:space="preserve">significantly </w:t>
      </w:r>
      <w:r w:rsidR="00B91124" w:rsidRPr="00CA4D91">
        <w:rPr>
          <w:rFonts w:ascii="Baskerville Old Face" w:hAnsi="Baskerville Old Face"/>
        </w:rPr>
        <w:t>improve clinical research and clinical care</w:t>
      </w:r>
      <w:r w:rsidR="00026E65" w:rsidRPr="00CA4D91">
        <w:rPr>
          <w:rFonts w:ascii="Baskerville Old Face" w:hAnsi="Baskerville Old Face"/>
        </w:rPr>
        <w:t>.</w:t>
      </w:r>
      <w:r w:rsidR="00B92D8D" w:rsidRPr="00CA4D91">
        <w:rPr>
          <w:rFonts w:ascii="Baskerville Old Face" w:hAnsi="Baskerville Old Face"/>
        </w:rPr>
        <w:t xml:space="preserve"> However, </w:t>
      </w:r>
      <w:r w:rsidR="00FD5CE7" w:rsidRPr="00CA4D91">
        <w:rPr>
          <w:rFonts w:ascii="Baskerville Old Face" w:hAnsi="Baskerville Old Face"/>
        </w:rPr>
        <w:t>there are few documented cases of</w:t>
      </w:r>
      <w:r w:rsidR="00B92D8D" w:rsidRPr="00CA4D91">
        <w:rPr>
          <w:rFonts w:ascii="Baskerville Old Face" w:hAnsi="Baskerville Old Face"/>
        </w:rPr>
        <w:t xml:space="preserve"> </w:t>
      </w:r>
      <w:r w:rsidR="00447693" w:rsidRPr="00CA4D91">
        <w:rPr>
          <w:rFonts w:ascii="Baskerville Old Face" w:hAnsi="Baskerville Old Face"/>
        </w:rPr>
        <w:t xml:space="preserve">such </w:t>
      </w:r>
      <w:r w:rsidR="00447693" w:rsidRPr="00CA4D91">
        <w:rPr>
          <w:rFonts w:ascii="Baskerville Old Face" w:hAnsi="Baskerville Old Face"/>
          <w:i/>
        </w:rPr>
        <w:t>information-gathering interventions</w:t>
      </w:r>
      <w:r w:rsidR="00126A9A" w:rsidRPr="00CA4D91">
        <w:rPr>
          <w:rFonts w:ascii="Baskerville Old Face" w:hAnsi="Baskerville Old Face"/>
        </w:rPr>
        <w:t xml:space="preserve"> being </w:t>
      </w:r>
      <w:r w:rsidR="00C4729D" w:rsidRPr="00CA4D91">
        <w:rPr>
          <w:rFonts w:ascii="Baskerville Old Face" w:hAnsi="Baskerville Old Face"/>
        </w:rPr>
        <w:t xml:space="preserve">performed </w:t>
      </w:r>
      <w:r w:rsidR="00027C2D" w:rsidRPr="00CA4D91">
        <w:rPr>
          <w:rFonts w:ascii="Baskerville Old Face" w:hAnsi="Baskerville Old Face"/>
        </w:rPr>
        <w:t xml:space="preserve">as </w:t>
      </w:r>
      <w:r w:rsidR="00C4729D" w:rsidRPr="00CA4D91">
        <w:rPr>
          <w:rFonts w:ascii="Baskerville Old Face" w:hAnsi="Baskerville Old Face"/>
        </w:rPr>
        <w:t>an adjunct to</w:t>
      </w:r>
      <w:r w:rsidR="00027C2D" w:rsidRPr="00CA4D91">
        <w:rPr>
          <w:rFonts w:ascii="Baskerville Old Face" w:hAnsi="Baskerville Old Face"/>
        </w:rPr>
        <w:t xml:space="preserve"> </w:t>
      </w:r>
      <w:r w:rsidR="00126A9A" w:rsidRPr="00CA4D91">
        <w:rPr>
          <w:rFonts w:ascii="Baskerville Old Face" w:hAnsi="Baskerville Old Face"/>
        </w:rPr>
        <w:t>innovative practice</w:t>
      </w:r>
      <w:r w:rsidR="00CE1F9C" w:rsidRPr="00CA4D91">
        <w:rPr>
          <w:rFonts w:ascii="Baskerville Old Face" w:hAnsi="Baskerville Old Face"/>
        </w:rPr>
        <w:t>,</w:t>
      </w:r>
      <w:r w:rsidR="00D53C00" w:rsidRPr="00CA4D91">
        <w:rPr>
          <w:rFonts w:ascii="Baskerville Old Face" w:hAnsi="Baskerville Old Face"/>
        </w:rPr>
        <w:t xml:space="preserve"> and their use appears to be rare</w:t>
      </w:r>
      <w:r w:rsidR="00B92D8D" w:rsidRPr="00CA4D91">
        <w:rPr>
          <w:rFonts w:ascii="Baskerville Old Face" w:hAnsi="Baskerville Old Face"/>
        </w:rPr>
        <w:t xml:space="preserve">. This is likely for several reasons. </w:t>
      </w:r>
    </w:p>
    <w:p w14:paraId="4E2C4E8D" w14:textId="0F2425D9" w:rsidR="0091420A" w:rsidRPr="00CA4D91" w:rsidRDefault="00B92D8D" w:rsidP="0088238C">
      <w:pPr>
        <w:spacing w:line="480" w:lineRule="auto"/>
        <w:ind w:firstLine="720"/>
        <w:contextualSpacing/>
        <w:rPr>
          <w:rFonts w:ascii="Baskerville Old Face" w:hAnsi="Baskerville Old Face"/>
        </w:rPr>
      </w:pPr>
      <w:r w:rsidRPr="00CA4D91">
        <w:rPr>
          <w:rFonts w:ascii="Baskerville Old Face" w:hAnsi="Baskerville Old Face"/>
        </w:rPr>
        <w:lastRenderedPageBreak/>
        <w:t xml:space="preserve">First, there has been almost no discussion in the literature </w:t>
      </w:r>
      <w:r w:rsidR="00447693" w:rsidRPr="00CA4D91">
        <w:rPr>
          <w:rFonts w:ascii="Baskerville Old Face" w:hAnsi="Baskerville Old Face"/>
        </w:rPr>
        <w:t>about</w:t>
      </w:r>
      <w:r w:rsidRPr="00CA4D91">
        <w:rPr>
          <w:rFonts w:ascii="Baskerville Old Face" w:hAnsi="Baskerville Old Face"/>
        </w:rPr>
        <w:t xml:space="preserve"> information-gathering</w:t>
      </w:r>
      <w:r w:rsidRPr="00CA4D91">
        <w:rPr>
          <w:rFonts w:ascii="Baskerville Old Face" w:hAnsi="Baskerville Old Face"/>
          <w:i/>
        </w:rPr>
        <w:t xml:space="preserve"> </w:t>
      </w:r>
      <w:r w:rsidRPr="00CA4D91">
        <w:rPr>
          <w:rFonts w:ascii="Baskerville Old Face" w:hAnsi="Baskerville Old Face"/>
        </w:rPr>
        <w:t xml:space="preserve">interventions. Hence, clinicians who offer innovative </w:t>
      </w:r>
      <w:r w:rsidR="00447693" w:rsidRPr="00CA4D91">
        <w:rPr>
          <w:rFonts w:ascii="Baskerville Old Face" w:hAnsi="Baskerville Old Face"/>
        </w:rPr>
        <w:t>treatments</w:t>
      </w:r>
      <w:r w:rsidRPr="00CA4D91">
        <w:rPr>
          <w:rFonts w:ascii="Baskerville Old Face" w:hAnsi="Baskerville Old Face"/>
        </w:rPr>
        <w:t xml:space="preserve"> </w:t>
      </w:r>
      <w:r w:rsidR="00FD5CE7" w:rsidRPr="00CA4D91">
        <w:rPr>
          <w:rFonts w:ascii="Baskerville Old Face" w:hAnsi="Baskerville Old Face"/>
        </w:rPr>
        <w:t xml:space="preserve">to their patients </w:t>
      </w:r>
      <w:r w:rsidRPr="00CA4D91">
        <w:rPr>
          <w:rFonts w:ascii="Baskerville Old Face" w:hAnsi="Baskerville Old Face"/>
        </w:rPr>
        <w:t xml:space="preserve">may not be aware of the possibility of </w:t>
      </w:r>
      <w:r w:rsidR="00370CA1" w:rsidRPr="00CA4D91">
        <w:rPr>
          <w:rFonts w:ascii="Baskerville Old Face" w:hAnsi="Baskerville Old Face"/>
        </w:rPr>
        <w:t xml:space="preserve">adding </w:t>
      </w:r>
      <w:r w:rsidRPr="00CA4D91">
        <w:rPr>
          <w:rFonts w:ascii="Baskerville Old Face" w:hAnsi="Baskerville Old Face"/>
        </w:rPr>
        <w:t>information-gathering</w:t>
      </w:r>
      <w:r w:rsidRPr="00CA4D91">
        <w:rPr>
          <w:rFonts w:ascii="Baskerville Old Face" w:hAnsi="Baskerville Old Face"/>
          <w:i/>
        </w:rPr>
        <w:t xml:space="preserve"> </w:t>
      </w:r>
      <w:r w:rsidRPr="00CA4D91">
        <w:rPr>
          <w:rFonts w:ascii="Baskerville Old Face" w:hAnsi="Baskerville Old Face"/>
        </w:rPr>
        <w:t>interventions</w:t>
      </w:r>
      <w:r w:rsidR="00F860FE" w:rsidRPr="00CA4D91">
        <w:rPr>
          <w:rFonts w:ascii="Baskerville Old Face" w:hAnsi="Baskerville Old Face"/>
        </w:rPr>
        <w:t xml:space="preserve">. Second, </w:t>
      </w:r>
      <w:r w:rsidR="00370CA1" w:rsidRPr="00CA4D91">
        <w:rPr>
          <w:rFonts w:ascii="Baskerville Old Face" w:hAnsi="Baskerville Old Face"/>
        </w:rPr>
        <w:t xml:space="preserve">the few existing ethics </w:t>
      </w:r>
      <w:r w:rsidR="00F860FE" w:rsidRPr="00CA4D91">
        <w:rPr>
          <w:rFonts w:ascii="Baskerville Old Face" w:hAnsi="Baskerville Old Face"/>
        </w:rPr>
        <w:t xml:space="preserve">guidelines </w:t>
      </w:r>
      <w:r w:rsidR="00CE1F9C" w:rsidRPr="00CA4D91">
        <w:rPr>
          <w:rFonts w:ascii="Baskerville Old Face" w:hAnsi="Baskerville Old Face"/>
        </w:rPr>
        <w:t xml:space="preserve">on innovative practice </w:t>
      </w:r>
      <w:r w:rsidR="00F860FE" w:rsidRPr="00CA4D91">
        <w:rPr>
          <w:rFonts w:ascii="Baskerville Old Face" w:hAnsi="Baskerville Old Face"/>
        </w:rPr>
        <w:t xml:space="preserve">do not </w:t>
      </w:r>
      <w:r w:rsidR="00CE1F9C" w:rsidRPr="00CA4D91">
        <w:rPr>
          <w:rFonts w:ascii="Baskerville Old Face" w:hAnsi="Baskerville Old Face"/>
        </w:rPr>
        <w:t>address</w:t>
      </w:r>
      <w:r w:rsidR="00F860FE" w:rsidRPr="00CA4D91">
        <w:rPr>
          <w:rFonts w:ascii="Baskerville Old Face" w:hAnsi="Baskerville Old Face"/>
        </w:rPr>
        <w:t xml:space="preserve"> when information-gathering</w:t>
      </w:r>
      <w:r w:rsidR="00F860FE" w:rsidRPr="00CA4D91">
        <w:rPr>
          <w:rFonts w:ascii="Baskerville Old Face" w:hAnsi="Baskerville Old Face"/>
          <w:i/>
        </w:rPr>
        <w:t xml:space="preserve"> </w:t>
      </w:r>
      <w:r w:rsidR="00F860FE" w:rsidRPr="00CA4D91">
        <w:rPr>
          <w:rFonts w:ascii="Baskerville Old Face" w:hAnsi="Baskerville Old Face"/>
        </w:rPr>
        <w:t xml:space="preserve">interventions </w:t>
      </w:r>
      <w:r w:rsidR="00CE1F9C" w:rsidRPr="00CA4D91">
        <w:rPr>
          <w:rFonts w:ascii="Baskerville Old Face" w:hAnsi="Baskerville Old Face"/>
        </w:rPr>
        <w:t>might be</w:t>
      </w:r>
      <w:r w:rsidR="00F860FE" w:rsidRPr="00CA4D91">
        <w:rPr>
          <w:rFonts w:ascii="Baskerville Old Face" w:hAnsi="Baskerville Old Face"/>
        </w:rPr>
        <w:t xml:space="preserve"> appropriate</w:t>
      </w:r>
      <w:r w:rsidR="00CE1F9C" w:rsidRPr="00CA4D91">
        <w:rPr>
          <w:rFonts w:ascii="Baskerville Old Face" w:hAnsi="Baskerville Old Face"/>
        </w:rPr>
        <w:t>. As a result, c</w:t>
      </w:r>
      <w:r w:rsidRPr="00CA4D91">
        <w:rPr>
          <w:rFonts w:ascii="Baskerville Old Face" w:hAnsi="Baskerville Old Face"/>
        </w:rPr>
        <w:t xml:space="preserve">linicians who </w:t>
      </w:r>
      <w:r w:rsidR="00447693" w:rsidRPr="00CA4D91">
        <w:rPr>
          <w:rFonts w:ascii="Baskerville Old Face" w:hAnsi="Baskerville Old Face"/>
        </w:rPr>
        <w:t xml:space="preserve">would otherwise </w:t>
      </w:r>
      <w:r w:rsidRPr="00CA4D91">
        <w:rPr>
          <w:rFonts w:ascii="Baskerville Old Face" w:hAnsi="Baskerville Old Face"/>
        </w:rPr>
        <w:t xml:space="preserve">consider </w:t>
      </w:r>
      <w:r w:rsidR="00F860FE" w:rsidRPr="00CA4D91">
        <w:rPr>
          <w:rFonts w:ascii="Baskerville Old Face" w:hAnsi="Baskerville Old Face"/>
        </w:rPr>
        <w:t>their inclusion might</w:t>
      </w:r>
      <w:r w:rsidRPr="00CA4D91">
        <w:rPr>
          <w:rFonts w:ascii="Baskerville Old Face" w:hAnsi="Baskerville Old Face"/>
        </w:rPr>
        <w:t xml:space="preserve"> </w:t>
      </w:r>
      <w:r w:rsidR="00CE1F9C" w:rsidRPr="00CA4D91">
        <w:rPr>
          <w:rFonts w:ascii="Baskerville Old Face" w:hAnsi="Baskerville Old Face"/>
        </w:rPr>
        <w:t>assume</w:t>
      </w:r>
      <w:r w:rsidRPr="00CA4D91">
        <w:rPr>
          <w:rFonts w:ascii="Baskerville Old Face" w:hAnsi="Baskerville Old Face"/>
        </w:rPr>
        <w:t xml:space="preserve"> that they are ethically </w:t>
      </w:r>
      <w:r w:rsidR="00FD5CE7" w:rsidRPr="00CA4D91">
        <w:rPr>
          <w:rFonts w:ascii="Baskerville Old Face" w:hAnsi="Baskerville Old Face"/>
        </w:rPr>
        <w:t>problematic</w:t>
      </w:r>
      <w:r w:rsidRPr="00CA4D91">
        <w:rPr>
          <w:rFonts w:ascii="Baskerville Old Face" w:hAnsi="Baskerville Old Face"/>
        </w:rPr>
        <w:t xml:space="preserve">. Third, </w:t>
      </w:r>
      <w:r w:rsidR="00F860FE" w:rsidRPr="00CA4D91">
        <w:rPr>
          <w:rFonts w:ascii="Baskerville Old Face" w:hAnsi="Baskerville Old Face"/>
        </w:rPr>
        <w:t>given the lack of</w:t>
      </w:r>
      <w:r w:rsidR="00370CA1" w:rsidRPr="00CA4D91">
        <w:rPr>
          <w:rFonts w:ascii="Baskerville Old Face" w:hAnsi="Baskerville Old Face"/>
        </w:rPr>
        <w:t xml:space="preserve"> explicit</w:t>
      </w:r>
      <w:r w:rsidR="00F860FE" w:rsidRPr="00CA4D91">
        <w:rPr>
          <w:rFonts w:ascii="Baskerville Old Face" w:hAnsi="Baskerville Old Face"/>
        </w:rPr>
        <w:t xml:space="preserve"> </w:t>
      </w:r>
      <w:r w:rsidR="00FD5CE7" w:rsidRPr="00CA4D91">
        <w:rPr>
          <w:rFonts w:ascii="Baskerville Old Face" w:hAnsi="Baskerville Old Face"/>
        </w:rPr>
        <w:t>guidance</w:t>
      </w:r>
      <w:r w:rsidRPr="00CA4D91">
        <w:rPr>
          <w:rFonts w:ascii="Baskerville Old Face" w:hAnsi="Baskerville Old Face"/>
        </w:rPr>
        <w:t>, clinicians who</w:t>
      </w:r>
      <w:r w:rsidR="00370CA1" w:rsidRPr="00CA4D91">
        <w:rPr>
          <w:rFonts w:ascii="Baskerville Old Face" w:hAnsi="Baskerville Old Face"/>
        </w:rPr>
        <w:t xml:space="preserve"> do</w:t>
      </w:r>
      <w:r w:rsidRPr="00CA4D91">
        <w:rPr>
          <w:rFonts w:ascii="Baskerville Old Face" w:hAnsi="Baskerville Old Face"/>
        </w:rPr>
        <w:t xml:space="preserve"> </w:t>
      </w:r>
      <w:r w:rsidR="00370CA1" w:rsidRPr="00CA4D91">
        <w:rPr>
          <w:rFonts w:ascii="Baskerville Old Face" w:hAnsi="Baskerville Old Face"/>
        </w:rPr>
        <w:t xml:space="preserve">perform </w:t>
      </w:r>
      <w:r w:rsidR="00E40FBF" w:rsidRPr="00CA4D91">
        <w:rPr>
          <w:rFonts w:ascii="Baskerville Old Face" w:hAnsi="Baskerville Old Face"/>
        </w:rPr>
        <w:t>information-gathering</w:t>
      </w:r>
      <w:r w:rsidR="00E40FBF" w:rsidRPr="00CA4D91">
        <w:rPr>
          <w:rFonts w:ascii="Baskerville Old Face" w:hAnsi="Baskerville Old Face"/>
          <w:i/>
        </w:rPr>
        <w:t xml:space="preserve"> </w:t>
      </w:r>
      <w:r w:rsidR="00E40FBF" w:rsidRPr="00CA4D91">
        <w:rPr>
          <w:rFonts w:ascii="Baskerville Old Face" w:hAnsi="Baskerville Old Face"/>
        </w:rPr>
        <w:t>interventions</w:t>
      </w:r>
      <w:r w:rsidR="00E40FBF" w:rsidRPr="00CA4D91" w:rsidDel="00E40FBF">
        <w:rPr>
          <w:rFonts w:ascii="Baskerville Old Face" w:hAnsi="Baskerville Old Face"/>
        </w:rPr>
        <w:t xml:space="preserve"> </w:t>
      </w:r>
      <w:r w:rsidRPr="00CA4D91">
        <w:rPr>
          <w:rFonts w:ascii="Baskerville Old Face" w:hAnsi="Baskerville Old Face"/>
        </w:rPr>
        <w:t xml:space="preserve">as </w:t>
      </w:r>
      <w:r w:rsidR="00370CA1" w:rsidRPr="00CA4D91">
        <w:rPr>
          <w:rFonts w:ascii="Baskerville Old Face" w:hAnsi="Baskerville Old Face"/>
        </w:rPr>
        <w:t>an adjunct to</w:t>
      </w:r>
      <w:r w:rsidRPr="00CA4D91">
        <w:rPr>
          <w:rFonts w:ascii="Baskerville Old Face" w:hAnsi="Baskerville Old Face"/>
        </w:rPr>
        <w:t xml:space="preserve"> </w:t>
      </w:r>
      <w:r w:rsidR="00F860FE" w:rsidRPr="00CA4D91">
        <w:rPr>
          <w:rFonts w:ascii="Baskerville Old Face" w:hAnsi="Baskerville Old Face"/>
        </w:rPr>
        <w:t xml:space="preserve">innovative </w:t>
      </w:r>
      <w:r w:rsidR="00447693" w:rsidRPr="00CA4D91">
        <w:rPr>
          <w:rFonts w:ascii="Baskerville Old Face" w:hAnsi="Baskerville Old Face"/>
        </w:rPr>
        <w:t>practice</w:t>
      </w:r>
      <w:r w:rsidRPr="00CA4D91">
        <w:rPr>
          <w:rFonts w:ascii="Baskerville Old Face" w:hAnsi="Baskerville Old Face"/>
        </w:rPr>
        <w:t xml:space="preserve"> might be reluctant to </w:t>
      </w:r>
      <w:r w:rsidR="00CE1F9C" w:rsidRPr="00CA4D91">
        <w:rPr>
          <w:rFonts w:ascii="Baskerville Old Face" w:hAnsi="Baskerville Old Face"/>
        </w:rPr>
        <w:t>disclose</w:t>
      </w:r>
      <w:r w:rsidRPr="00CA4D91">
        <w:rPr>
          <w:rFonts w:ascii="Baskerville Old Face" w:hAnsi="Baskerville Old Face"/>
        </w:rPr>
        <w:t xml:space="preserve"> their </w:t>
      </w:r>
      <w:r w:rsidR="00B9524A" w:rsidRPr="00CA4D91">
        <w:rPr>
          <w:rFonts w:ascii="Baskerville Old Face" w:hAnsi="Baskerville Old Face"/>
        </w:rPr>
        <w:t>actions</w:t>
      </w:r>
      <w:r w:rsidRPr="00CA4D91">
        <w:rPr>
          <w:rFonts w:ascii="Baskerville Old Face" w:hAnsi="Baskerville Old Face"/>
        </w:rPr>
        <w:t xml:space="preserve">. </w:t>
      </w:r>
    </w:p>
    <w:p w14:paraId="0DF1E350" w14:textId="472BD86E" w:rsidR="00F40260" w:rsidRPr="00CA4D91" w:rsidRDefault="00B91124" w:rsidP="0088238C">
      <w:pPr>
        <w:spacing w:line="480" w:lineRule="auto"/>
        <w:ind w:firstLine="720"/>
        <w:contextualSpacing/>
        <w:rPr>
          <w:rFonts w:ascii="Baskerville Old Face" w:hAnsi="Baskerville Old Face"/>
        </w:rPr>
      </w:pPr>
      <w:r w:rsidRPr="00CA4D91">
        <w:rPr>
          <w:rFonts w:ascii="Baskerville Old Face" w:hAnsi="Baskerville Old Face"/>
        </w:rPr>
        <w:t>The current</w:t>
      </w:r>
      <w:r w:rsidR="00CE1F9C" w:rsidRPr="00CA4D91">
        <w:rPr>
          <w:rFonts w:ascii="Baskerville Old Face" w:hAnsi="Baskerville Old Face"/>
        </w:rPr>
        <w:t xml:space="preserve"> failure to </w:t>
      </w:r>
      <w:r w:rsidR="00370CA1" w:rsidRPr="00CA4D91">
        <w:rPr>
          <w:rFonts w:ascii="Baskerville Old Face" w:hAnsi="Baskerville Old Face"/>
        </w:rPr>
        <w:t xml:space="preserve">add appropriate </w:t>
      </w:r>
      <w:r w:rsidR="00CE1F9C" w:rsidRPr="00CA4D91">
        <w:rPr>
          <w:rFonts w:ascii="Baskerville Old Face" w:hAnsi="Baskerville Old Face"/>
        </w:rPr>
        <w:t>information-gathering</w:t>
      </w:r>
      <w:r w:rsidR="00CE1F9C" w:rsidRPr="00CA4D91">
        <w:rPr>
          <w:rFonts w:ascii="Baskerville Old Face" w:hAnsi="Baskerville Old Face"/>
          <w:i/>
        </w:rPr>
        <w:t xml:space="preserve"> </w:t>
      </w:r>
      <w:r w:rsidR="00CE1F9C" w:rsidRPr="00CA4D91">
        <w:rPr>
          <w:rFonts w:ascii="Baskerville Old Face" w:hAnsi="Baskerville Old Face"/>
        </w:rPr>
        <w:t>interventions</w:t>
      </w:r>
      <w:r w:rsidR="00F860FE" w:rsidRPr="00CA4D91">
        <w:rPr>
          <w:rFonts w:ascii="Baskerville Old Face" w:hAnsi="Baskerville Old Face"/>
        </w:rPr>
        <w:t xml:space="preserve"> </w:t>
      </w:r>
      <w:r w:rsidR="00370CA1" w:rsidRPr="00CA4D91">
        <w:rPr>
          <w:rFonts w:ascii="Baskerville Old Face" w:hAnsi="Baskerville Old Face"/>
        </w:rPr>
        <w:t>to</w:t>
      </w:r>
      <w:r w:rsidR="00F860FE" w:rsidRPr="00CA4D91">
        <w:rPr>
          <w:rFonts w:ascii="Baskerville Old Face" w:hAnsi="Baskerville Old Face"/>
        </w:rPr>
        <w:t xml:space="preserve"> </w:t>
      </w:r>
      <w:r w:rsidR="00FD5CE7" w:rsidRPr="00CA4D91">
        <w:rPr>
          <w:rFonts w:ascii="Baskerville Old Face" w:hAnsi="Baskerville Old Face"/>
        </w:rPr>
        <w:t xml:space="preserve">innovative practice </w:t>
      </w:r>
      <w:r w:rsidR="00CE1F9C" w:rsidRPr="00CA4D91">
        <w:rPr>
          <w:rFonts w:ascii="Baskerville Old Face" w:hAnsi="Baskerville Old Face"/>
        </w:rPr>
        <w:t>represents a</w:t>
      </w:r>
      <w:r w:rsidRPr="00CA4D91">
        <w:rPr>
          <w:rFonts w:ascii="Baskerville Old Face" w:hAnsi="Baskerville Old Face"/>
        </w:rPr>
        <w:t xml:space="preserve"> </w:t>
      </w:r>
      <w:r w:rsidR="00CE1F9C" w:rsidRPr="00CA4D91">
        <w:rPr>
          <w:rFonts w:ascii="Baskerville Old Face" w:hAnsi="Baskerville Old Face"/>
        </w:rPr>
        <w:t>missed opportunity to</w:t>
      </w:r>
      <w:r w:rsidR="00FD5CE7" w:rsidRPr="00CA4D91">
        <w:rPr>
          <w:rFonts w:ascii="Baskerville Old Face" w:hAnsi="Baskerville Old Face"/>
        </w:rPr>
        <w:t xml:space="preserve"> gather </w:t>
      </w:r>
      <w:r w:rsidR="00B92D8D" w:rsidRPr="00CA4D91">
        <w:rPr>
          <w:rFonts w:ascii="Baskerville Old Face" w:hAnsi="Baskerville Old Face"/>
        </w:rPr>
        <w:t xml:space="preserve">information </w:t>
      </w:r>
      <w:r w:rsidR="00F860FE" w:rsidRPr="00CA4D91">
        <w:rPr>
          <w:rFonts w:ascii="Baskerville Old Face" w:hAnsi="Baskerville Old Face"/>
        </w:rPr>
        <w:t xml:space="preserve">that </w:t>
      </w:r>
      <w:r w:rsidR="00027C2D" w:rsidRPr="00CA4D91">
        <w:rPr>
          <w:rFonts w:ascii="Baskerville Old Face" w:hAnsi="Baskerville Old Face"/>
        </w:rPr>
        <w:t>c</w:t>
      </w:r>
      <w:r w:rsidR="00F860FE" w:rsidRPr="00CA4D91">
        <w:rPr>
          <w:rFonts w:ascii="Baskerville Old Face" w:hAnsi="Baskerville Old Face"/>
        </w:rPr>
        <w:t xml:space="preserve">ould be </w:t>
      </w:r>
      <w:r w:rsidR="00DA625D" w:rsidRPr="00CA4D91">
        <w:rPr>
          <w:rFonts w:ascii="Baskerville Old Face" w:hAnsi="Baskerville Old Face"/>
        </w:rPr>
        <w:t xml:space="preserve">valuable for </w:t>
      </w:r>
      <w:r w:rsidR="00447693" w:rsidRPr="00CA4D91">
        <w:rPr>
          <w:rFonts w:ascii="Baskerville Old Face" w:hAnsi="Baskerville Old Face"/>
        </w:rPr>
        <w:t>improving</w:t>
      </w:r>
      <w:r w:rsidR="00DA625D" w:rsidRPr="00CA4D91">
        <w:rPr>
          <w:rFonts w:ascii="Baskerville Old Face" w:hAnsi="Baskerville Old Face"/>
        </w:rPr>
        <w:t xml:space="preserve"> </w:t>
      </w:r>
      <w:r w:rsidR="00EE0FD6" w:rsidRPr="00CA4D91">
        <w:rPr>
          <w:rFonts w:ascii="Baskerville Old Face" w:hAnsi="Baskerville Old Face"/>
        </w:rPr>
        <w:t>clinical care and clinical research</w:t>
      </w:r>
      <w:r w:rsidR="00FD5CE7" w:rsidRPr="00CA4D91">
        <w:rPr>
          <w:rFonts w:ascii="Baskerville Old Face" w:hAnsi="Baskerville Old Face"/>
        </w:rPr>
        <w:t>.</w:t>
      </w:r>
      <w:r w:rsidR="00DA625D" w:rsidRPr="00CA4D91">
        <w:rPr>
          <w:rFonts w:ascii="Baskerville Old Face" w:hAnsi="Baskerville Old Face"/>
        </w:rPr>
        <w:t xml:space="preserve"> </w:t>
      </w:r>
      <w:r w:rsidR="00F860FE" w:rsidRPr="00CA4D91">
        <w:rPr>
          <w:rFonts w:ascii="Baskerville Old Face" w:hAnsi="Baskerville Old Face"/>
        </w:rPr>
        <w:t xml:space="preserve">To address this </w:t>
      </w:r>
      <w:r w:rsidR="00447693" w:rsidRPr="00CA4D91">
        <w:rPr>
          <w:rFonts w:ascii="Baskerville Old Face" w:hAnsi="Baskerville Old Face"/>
        </w:rPr>
        <w:t>problem</w:t>
      </w:r>
      <w:r w:rsidR="00F860FE" w:rsidRPr="00CA4D91">
        <w:rPr>
          <w:rFonts w:ascii="Baskerville Old Face" w:hAnsi="Baskerville Old Face"/>
        </w:rPr>
        <w:t>, we argue that guidelines for innovative practice should be revised to encourage</w:t>
      </w:r>
      <w:r w:rsidR="00447693" w:rsidRPr="00CA4D91">
        <w:rPr>
          <w:rFonts w:ascii="Baskerville Old Face" w:hAnsi="Baskerville Old Face"/>
        </w:rPr>
        <w:t xml:space="preserve"> the responsible</w:t>
      </w:r>
      <w:r w:rsidR="00F860FE" w:rsidRPr="00CA4D91">
        <w:rPr>
          <w:rFonts w:ascii="Baskerville Old Face" w:hAnsi="Baskerville Old Face"/>
        </w:rPr>
        <w:t xml:space="preserve"> </w:t>
      </w:r>
      <w:r w:rsidR="00370CA1" w:rsidRPr="00CA4D91">
        <w:rPr>
          <w:rFonts w:ascii="Baskerville Old Face" w:hAnsi="Baskerville Old Face"/>
        </w:rPr>
        <w:t xml:space="preserve">use </w:t>
      </w:r>
      <w:r w:rsidR="00F860FE" w:rsidRPr="00CA4D91">
        <w:rPr>
          <w:rFonts w:ascii="Baskerville Old Face" w:hAnsi="Baskerville Old Face"/>
        </w:rPr>
        <w:t xml:space="preserve">of </w:t>
      </w:r>
      <w:r w:rsidR="001561E4" w:rsidRPr="00CA4D91">
        <w:rPr>
          <w:rFonts w:ascii="Baskerville Old Face" w:hAnsi="Baskerville Old Face"/>
        </w:rPr>
        <w:t>information-gathering interventions.</w:t>
      </w:r>
    </w:p>
    <w:p w14:paraId="781AC33B" w14:textId="77777777" w:rsidR="008C7C96" w:rsidRPr="00CA4D91" w:rsidRDefault="008C7C96" w:rsidP="0088238C">
      <w:pPr>
        <w:spacing w:line="480" w:lineRule="auto"/>
        <w:ind w:firstLine="720"/>
        <w:contextualSpacing/>
        <w:rPr>
          <w:rFonts w:ascii="Baskerville Old Face" w:hAnsi="Baskerville Old Face"/>
        </w:rPr>
      </w:pPr>
    </w:p>
    <w:p w14:paraId="49C5D3CA" w14:textId="5C9C837C" w:rsidR="0091420A" w:rsidRPr="00CA4D91" w:rsidRDefault="00D15F7B" w:rsidP="0091420A">
      <w:pPr>
        <w:spacing w:line="480" w:lineRule="auto"/>
        <w:contextualSpacing/>
        <w:rPr>
          <w:rFonts w:ascii="Baskerville Old Face" w:hAnsi="Baskerville Old Face"/>
          <w:b/>
          <w:i/>
        </w:rPr>
      </w:pPr>
      <w:r w:rsidRPr="00CA4D91">
        <w:rPr>
          <w:rFonts w:ascii="Baskerville Old Face" w:hAnsi="Baskerville Old Face"/>
          <w:b/>
          <w:i/>
        </w:rPr>
        <w:t xml:space="preserve">Information-Gathering </w:t>
      </w:r>
      <w:r w:rsidR="00BC4B62" w:rsidRPr="00CA4D91">
        <w:rPr>
          <w:rFonts w:ascii="Baskerville Old Face" w:hAnsi="Baskerville Old Face"/>
          <w:b/>
          <w:i/>
        </w:rPr>
        <w:t>Intervention</w:t>
      </w:r>
      <w:r w:rsidRPr="00CA4D91">
        <w:rPr>
          <w:rFonts w:ascii="Baskerville Old Face" w:hAnsi="Baskerville Old Face"/>
          <w:b/>
          <w:i/>
        </w:rPr>
        <w:t>s: N</w:t>
      </w:r>
      <w:r w:rsidR="00BC4B62" w:rsidRPr="00CA4D91">
        <w:rPr>
          <w:rFonts w:ascii="Baskerville Old Face" w:hAnsi="Baskerville Old Face"/>
          <w:b/>
          <w:i/>
        </w:rPr>
        <w:t>either Care nor Research</w:t>
      </w:r>
    </w:p>
    <w:p w14:paraId="0BB392C0" w14:textId="7B6D13AB" w:rsidR="0091420A" w:rsidRPr="00CA4D91" w:rsidRDefault="0088238C" w:rsidP="0091420A">
      <w:pPr>
        <w:spacing w:line="480" w:lineRule="auto"/>
        <w:contextualSpacing/>
        <w:rPr>
          <w:rFonts w:ascii="Baskerville Old Face" w:hAnsi="Baskerville Old Face"/>
        </w:rPr>
      </w:pPr>
      <w:r w:rsidRPr="00CA4D91">
        <w:rPr>
          <w:rFonts w:ascii="Baskerville Old Face" w:hAnsi="Baskerville Old Face"/>
        </w:rPr>
        <w:tab/>
      </w:r>
      <w:r w:rsidR="00BC4B62" w:rsidRPr="00CA4D91">
        <w:rPr>
          <w:rFonts w:ascii="Baskerville Old Face" w:hAnsi="Baskerville Old Face"/>
        </w:rPr>
        <w:t xml:space="preserve">In 2010, a team of clinicians in Germany reported treating a patient </w:t>
      </w:r>
      <w:r w:rsidR="00721DC8" w:rsidRPr="00CA4D91">
        <w:rPr>
          <w:rFonts w:ascii="Baskerville Old Face" w:hAnsi="Baskerville Old Face"/>
        </w:rPr>
        <w:t xml:space="preserve">using </w:t>
      </w:r>
      <w:r w:rsidR="00BC4B62" w:rsidRPr="00CA4D91">
        <w:rPr>
          <w:rFonts w:ascii="Baskerville Old Face" w:hAnsi="Baskerville Old Face"/>
        </w:rPr>
        <w:t xml:space="preserve">a novel deep brain stimulation (DBS) </w:t>
      </w:r>
      <w:r w:rsidR="00737D0E" w:rsidRPr="00CA4D91">
        <w:rPr>
          <w:rFonts w:ascii="Baskerville Old Face" w:hAnsi="Baskerville Old Face"/>
        </w:rPr>
        <w:t>intervention</w:t>
      </w:r>
      <w:r w:rsidR="00BC4B62" w:rsidRPr="00CA4D91">
        <w:rPr>
          <w:rFonts w:ascii="Baskerville Old Face" w:hAnsi="Baskerville Old Face"/>
        </w:rPr>
        <w:t>.</w:t>
      </w:r>
      <w:r w:rsidR="00BC4B62" w:rsidRPr="00CA4D91">
        <w:rPr>
          <w:rStyle w:val="EndnoteReference"/>
          <w:rFonts w:ascii="Baskerville Old Face" w:hAnsi="Baskerville Old Face"/>
        </w:rPr>
        <w:endnoteReference w:id="12"/>
      </w:r>
      <w:r w:rsidR="00BC4B62" w:rsidRPr="00CA4D91">
        <w:rPr>
          <w:rFonts w:ascii="Baskerville Old Face" w:hAnsi="Baskerville Old Face"/>
        </w:rPr>
        <w:t xml:space="preserve"> The patient had suffered from major depressive episodes for decade</w:t>
      </w:r>
      <w:r w:rsidR="00F91F11" w:rsidRPr="00CA4D91">
        <w:rPr>
          <w:rFonts w:ascii="Baskerville Old Face" w:hAnsi="Baskerville Old Face"/>
        </w:rPr>
        <w:t>s,</w:t>
      </w:r>
      <w:r w:rsidR="00BC4B62" w:rsidRPr="00CA4D91">
        <w:rPr>
          <w:rFonts w:ascii="Baskerville Old Face" w:hAnsi="Baskerville Old Face"/>
        </w:rPr>
        <w:t xml:space="preserve"> and in recent years her symptoms could not be controlled by standard therapies. Based on their understanding of the neurology of depression, as well as ongoing investigations of DBS, the team concluded that the best option for the patient was </w:t>
      </w:r>
      <w:r w:rsidR="00AF14C9" w:rsidRPr="00CA4D91">
        <w:rPr>
          <w:rFonts w:ascii="Baskerville Old Face" w:hAnsi="Baskerville Old Face"/>
        </w:rPr>
        <w:t xml:space="preserve">stimulation </w:t>
      </w:r>
      <w:r w:rsidR="00BC4B62" w:rsidRPr="00CA4D91">
        <w:rPr>
          <w:rFonts w:ascii="Baskerville Old Face" w:hAnsi="Baskerville Old Face"/>
        </w:rPr>
        <w:t>of a new target area</w:t>
      </w:r>
      <w:r w:rsidR="00AF14C9" w:rsidRPr="00CA4D91">
        <w:rPr>
          <w:rFonts w:ascii="Baskerville Old Face" w:hAnsi="Baskerville Old Face"/>
        </w:rPr>
        <w:t xml:space="preserve"> of the brain</w:t>
      </w:r>
      <w:r w:rsidR="00BC4B62" w:rsidRPr="00CA4D91">
        <w:rPr>
          <w:rFonts w:ascii="Baskerville Old Face" w:hAnsi="Baskerville Old Face"/>
        </w:rPr>
        <w:t xml:space="preserve">. Roughly four months after the first-in-human use of this </w:t>
      </w:r>
      <w:r w:rsidR="00737D0E" w:rsidRPr="00CA4D91">
        <w:rPr>
          <w:rFonts w:ascii="Baskerville Old Face" w:hAnsi="Baskerville Old Face"/>
        </w:rPr>
        <w:t xml:space="preserve">innovative </w:t>
      </w:r>
      <w:r w:rsidR="00BC4B62" w:rsidRPr="00CA4D91">
        <w:rPr>
          <w:rFonts w:ascii="Baskerville Old Face" w:hAnsi="Baskerville Old Face"/>
        </w:rPr>
        <w:t>treatment for refractory depression, the patient achieved a full remission.</w:t>
      </w:r>
    </w:p>
    <w:p w14:paraId="51A1FCB7" w14:textId="22988F58" w:rsidR="0091420A" w:rsidRPr="00CA4D91" w:rsidRDefault="00BC4B62" w:rsidP="0088238C">
      <w:pPr>
        <w:spacing w:line="480" w:lineRule="auto"/>
        <w:ind w:firstLine="720"/>
        <w:contextualSpacing/>
        <w:rPr>
          <w:rFonts w:ascii="Baskerville Old Face" w:hAnsi="Baskerville Old Face"/>
        </w:rPr>
      </w:pPr>
      <w:r w:rsidRPr="00CA4D91">
        <w:rPr>
          <w:rFonts w:ascii="Baskerville Old Face" w:hAnsi="Baskerville Old Face"/>
        </w:rPr>
        <w:t xml:space="preserve">Prior to the innovative DBS </w:t>
      </w:r>
      <w:r w:rsidR="00AF14C9" w:rsidRPr="00CA4D91">
        <w:rPr>
          <w:rFonts w:ascii="Baskerville Old Face" w:hAnsi="Baskerville Old Face"/>
        </w:rPr>
        <w:t>treatment</w:t>
      </w:r>
      <w:r w:rsidRPr="00CA4D91">
        <w:rPr>
          <w:rFonts w:ascii="Baskerville Old Face" w:hAnsi="Baskerville Old Face"/>
        </w:rPr>
        <w:t xml:space="preserve">, the team </w:t>
      </w:r>
      <w:r w:rsidR="00153060" w:rsidRPr="00CA4D91">
        <w:rPr>
          <w:rFonts w:ascii="Baskerville Old Face" w:hAnsi="Baskerville Old Face"/>
        </w:rPr>
        <w:t xml:space="preserve">performed </w:t>
      </w:r>
      <w:r w:rsidRPr="00CA4D91">
        <w:rPr>
          <w:rFonts w:ascii="Baskerville Old Face" w:hAnsi="Baskerville Old Face"/>
        </w:rPr>
        <w:t xml:space="preserve">a positron emission tomography (PET) scan to exclude other treatable causes of the patient’s depression. Several </w:t>
      </w:r>
      <w:r w:rsidRPr="00CA4D91">
        <w:rPr>
          <w:rFonts w:ascii="Baskerville Old Face" w:hAnsi="Baskerville Old Face"/>
        </w:rPr>
        <w:lastRenderedPageBreak/>
        <w:t xml:space="preserve">months after </w:t>
      </w:r>
      <w:r w:rsidR="00AF14C9" w:rsidRPr="00CA4D91">
        <w:rPr>
          <w:rFonts w:ascii="Baskerville Old Face" w:hAnsi="Baskerville Old Face"/>
        </w:rPr>
        <w:t xml:space="preserve">placing </w:t>
      </w:r>
      <w:r w:rsidRPr="00CA4D91">
        <w:rPr>
          <w:rFonts w:ascii="Baskerville Old Face" w:hAnsi="Baskerville Old Face"/>
        </w:rPr>
        <w:t xml:space="preserve">the DBS </w:t>
      </w:r>
      <w:r w:rsidR="00AF14C9" w:rsidRPr="00CA4D91">
        <w:rPr>
          <w:rFonts w:ascii="Baskerville Old Face" w:hAnsi="Baskerville Old Face"/>
        </w:rPr>
        <w:t>device</w:t>
      </w:r>
      <w:r w:rsidRPr="00CA4D91">
        <w:rPr>
          <w:rFonts w:ascii="Baskerville Old Face" w:hAnsi="Baskerville Old Face"/>
        </w:rPr>
        <w:t xml:space="preserve">, the team performed a second PET scan. The second scan was not medically indicated and was not used to guide the patient’s care. The Hamilton Depression Rating Scale was sufficient for </w:t>
      </w:r>
      <w:r w:rsidR="00153060" w:rsidRPr="00CA4D91">
        <w:rPr>
          <w:rFonts w:ascii="Baskerville Old Face" w:hAnsi="Baskerville Old Face"/>
        </w:rPr>
        <w:t>monitoring the patient</w:t>
      </w:r>
      <w:r w:rsidR="00737D0E" w:rsidRPr="00CA4D91">
        <w:rPr>
          <w:rFonts w:ascii="Baskerville Old Face" w:hAnsi="Baskerville Old Face"/>
        </w:rPr>
        <w:t>’s illness</w:t>
      </w:r>
      <w:r w:rsidRPr="00CA4D91">
        <w:rPr>
          <w:rFonts w:ascii="Baskerville Old Face" w:hAnsi="Baskerville Old Face"/>
        </w:rPr>
        <w:t>. Nonetheless, the second PET scan provided valuable information: it helped the team to verify successful modulation of the target area</w:t>
      </w:r>
      <w:r w:rsidR="00AF14C9" w:rsidRPr="00CA4D91">
        <w:rPr>
          <w:rFonts w:ascii="Baskerville Old Face" w:hAnsi="Baskerville Old Face"/>
        </w:rPr>
        <w:t xml:space="preserve"> of the brain</w:t>
      </w:r>
      <w:r w:rsidRPr="00CA4D91">
        <w:rPr>
          <w:rFonts w:ascii="Baskerville Old Face" w:hAnsi="Baskerville Old Face"/>
        </w:rPr>
        <w:t xml:space="preserve"> and to exclude alternative mechanisms of action for the patient’s observed improvement. </w:t>
      </w:r>
    </w:p>
    <w:p w14:paraId="46790A1F" w14:textId="51BFDF23" w:rsidR="0091420A" w:rsidRPr="00CA4D91" w:rsidRDefault="00BC4B62" w:rsidP="0088238C">
      <w:pPr>
        <w:spacing w:line="480" w:lineRule="auto"/>
        <w:ind w:firstLine="720"/>
        <w:contextualSpacing/>
        <w:rPr>
          <w:rFonts w:ascii="Baskerville Old Face" w:hAnsi="Baskerville Old Face"/>
        </w:rPr>
      </w:pPr>
      <w:r w:rsidRPr="00CA4D91">
        <w:rPr>
          <w:rFonts w:ascii="Baskerville Old Face" w:hAnsi="Baskerville Old Face"/>
        </w:rPr>
        <w:t xml:space="preserve">It is commonly assumed that clinical interventions are ethical </w:t>
      </w:r>
      <w:r w:rsidR="00721DC8" w:rsidRPr="00CA4D91">
        <w:rPr>
          <w:rFonts w:ascii="Baskerville Old Face" w:hAnsi="Baskerville Old Face"/>
        </w:rPr>
        <w:t>in two contexts only. They are ethical when</w:t>
      </w:r>
      <w:r w:rsidRPr="00CA4D91">
        <w:rPr>
          <w:rFonts w:ascii="Baskerville Old Face" w:hAnsi="Baskerville Old Face"/>
        </w:rPr>
        <w:t xml:space="preserve"> they are medically indicated </w:t>
      </w:r>
      <w:r w:rsidR="00721DC8" w:rsidRPr="00CA4D91">
        <w:rPr>
          <w:rFonts w:ascii="Baskerville Old Face" w:hAnsi="Baskerville Old Face"/>
        </w:rPr>
        <w:t xml:space="preserve">and they can be ethical as part of valuable </w:t>
      </w:r>
      <w:r w:rsidRPr="00CA4D91">
        <w:rPr>
          <w:rFonts w:ascii="Baskerville Old Face" w:hAnsi="Baskerville Old Face"/>
        </w:rPr>
        <w:t xml:space="preserve">research </w:t>
      </w:r>
      <w:r w:rsidR="00721DC8" w:rsidRPr="00CA4D91">
        <w:rPr>
          <w:rFonts w:ascii="Baskerville Old Face" w:hAnsi="Baskerville Old Face"/>
        </w:rPr>
        <w:t>studies</w:t>
      </w:r>
      <w:r w:rsidRPr="00CA4D91">
        <w:rPr>
          <w:rFonts w:ascii="Baskerville Old Face" w:hAnsi="Baskerville Old Face"/>
        </w:rPr>
        <w:t xml:space="preserve">. </w:t>
      </w:r>
      <w:r w:rsidR="00721DC8" w:rsidRPr="00CA4D91">
        <w:rPr>
          <w:rFonts w:ascii="Baskerville Old Face" w:hAnsi="Baskerville Old Face"/>
        </w:rPr>
        <w:t>On this basis, one might argue that</w:t>
      </w:r>
      <w:r w:rsidR="00D162F9" w:rsidRPr="00CA4D91">
        <w:rPr>
          <w:rFonts w:ascii="Baskerville Old Face" w:hAnsi="Baskerville Old Face"/>
        </w:rPr>
        <w:t xml:space="preserve"> </w:t>
      </w:r>
      <w:r w:rsidRPr="00CA4D91">
        <w:rPr>
          <w:rFonts w:ascii="Baskerville Old Face" w:hAnsi="Baskerville Old Face"/>
        </w:rPr>
        <w:t xml:space="preserve">the second, information-gathering PET scan </w:t>
      </w:r>
      <w:r w:rsidR="00721DC8" w:rsidRPr="00CA4D91">
        <w:rPr>
          <w:rFonts w:ascii="Baskerville Old Face" w:hAnsi="Baskerville Old Face"/>
        </w:rPr>
        <w:t xml:space="preserve">was </w:t>
      </w:r>
      <w:r w:rsidRPr="00CA4D91">
        <w:rPr>
          <w:rFonts w:ascii="Baskerville Old Face" w:hAnsi="Baskerville Old Face"/>
        </w:rPr>
        <w:t xml:space="preserve">unethical. It was clearly not medically indicated, as it exposed the patient to risks and burdens in order to gather information about the </w:t>
      </w:r>
      <w:r w:rsidR="00721DC8" w:rsidRPr="00CA4D91">
        <w:rPr>
          <w:rFonts w:ascii="Baskerville Old Face" w:hAnsi="Baskerville Old Face"/>
        </w:rPr>
        <w:t xml:space="preserve">novel </w:t>
      </w:r>
      <w:r w:rsidRPr="00CA4D91">
        <w:rPr>
          <w:rFonts w:ascii="Baskerville Old Face" w:hAnsi="Baskerville Old Face"/>
        </w:rPr>
        <w:t xml:space="preserve">DBS </w:t>
      </w:r>
      <w:r w:rsidR="00AF14C9" w:rsidRPr="00CA4D91">
        <w:rPr>
          <w:rFonts w:ascii="Baskerville Old Face" w:hAnsi="Baskerville Old Face"/>
        </w:rPr>
        <w:t>treatment</w:t>
      </w:r>
      <w:r w:rsidRPr="00CA4D91">
        <w:rPr>
          <w:rFonts w:ascii="Baskerville Old Face" w:hAnsi="Baskerville Old Face"/>
        </w:rPr>
        <w:t xml:space="preserve">, not to promote her health. But the second PET scan was not </w:t>
      </w:r>
      <w:r w:rsidR="00721DC8" w:rsidRPr="00CA4D91">
        <w:rPr>
          <w:rFonts w:ascii="Baskerville Old Face" w:hAnsi="Baskerville Old Face"/>
        </w:rPr>
        <w:t xml:space="preserve">part of </w:t>
      </w:r>
      <w:r w:rsidRPr="00CA4D91">
        <w:rPr>
          <w:rFonts w:ascii="Baskerville Old Face" w:hAnsi="Baskerville Old Face"/>
        </w:rPr>
        <w:t>clinical research either. The Council for International Organizations of Medical Sciences (CIOMS) defines health-related research as “activities designed to develop or contribute to generalizable health knowledge.”</w:t>
      </w:r>
      <w:r w:rsidRPr="00CA4D91">
        <w:rPr>
          <w:rStyle w:val="EndnoteReference"/>
          <w:rFonts w:ascii="Baskerville Old Face" w:hAnsi="Baskerville Old Face"/>
        </w:rPr>
        <w:endnoteReference w:id="13"/>
      </w:r>
      <w:r w:rsidRPr="00CA4D91">
        <w:rPr>
          <w:rFonts w:ascii="Baskerville Old Face" w:hAnsi="Baskerville Old Face"/>
        </w:rPr>
        <w:t xml:space="preserve"> Although the second scan was intended to gather health-related information, it was not designed to yield </w:t>
      </w:r>
      <w:r w:rsidRPr="00CA4D91">
        <w:rPr>
          <w:rFonts w:ascii="Baskerville Old Face" w:hAnsi="Baskerville Old Face"/>
          <w:i/>
        </w:rPr>
        <w:t>generalizable</w:t>
      </w:r>
      <w:r w:rsidRPr="00CA4D91">
        <w:rPr>
          <w:rFonts w:ascii="Baskerville Old Face" w:hAnsi="Baskerville Old Face"/>
        </w:rPr>
        <w:t xml:space="preserve"> health knowledge. The clinicians selected the patient for the DBS </w:t>
      </w:r>
      <w:r w:rsidR="00AF14C9" w:rsidRPr="00CA4D91">
        <w:rPr>
          <w:rFonts w:ascii="Baskerville Old Face" w:hAnsi="Baskerville Old Face"/>
        </w:rPr>
        <w:t xml:space="preserve">treatment </w:t>
      </w:r>
      <w:r w:rsidRPr="00CA4D91">
        <w:rPr>
          <w:rFonts w:ascii="Baskerville Old Face" w:hAnsi="Baskerville Old Face"/>
        </w:rPr>
        <w:t>because they believed it might benefit her, not because she was representative of the population of patients with refractory depression.</w:t>
      </w:r>
      <w:r w:rsidRPr="00CA4D91">
        <w:rPr>
          <w:rStyle w:val="EndnoteReference"/>
          <w:rFonts w:ascii="Baskerville Old Face" w:hAnsi="Baskerville Old Face"/>
        </w:rPr>
        <w:endnoteReference w:id="14"/>
      </w:r>
      <w:r w:rsidRPr="00CA4D91">
        <w:rPr>
          <w:rFonts w:ascii="Baskerville Old Face" w:hAnsi="Baskerville Old Face"/>
        </w:rPr>
        <w:t xml:space="preserve"> </w:t>
      </w:r>
    </w:p>
    <w:p w14:paraId="3CFB2953" w14:textId="6C06BE72" w:rsidR="008C7C96" w:rsidRDefault="00BC4B62" w:rsidP="00E75247">
      <w:pPr>
        <w:spacing w:line="480" w:lineRule="auto"/>
        <w:ind w:firstLine="720"/>
        <w:contextualSpacing/>
        <w:rPr>
          <w:rFonts w:ascii="Baskerville Old Face" w:hAnsi="Baskerville Old Face"/>
        </w:rPr>
      </w:pPr>
      <w:r w:rsidRPr="00CA4D91">
        <w:rPr>
          <w:rFonts w:ascii="Baskerville Old Face" w:hAnsi="Baskerville Old Face"/>
        </w:rPr>
        <w:t>In our view, the fact that the second PET scan was neither medically indicated</w:t>
      </w:r>
      <w:r w:rsidR="00AF14C9" w:rsidRPr="00CA4D91">
        <w:rPr>
          <w:rFonts w:ascii="Baskerville Old Face" w:hAnsi="Baskerville Old Face"/>
        </w:rPr>
        <w:t xml:space="preserve"> care</w:t>
      </w:r>
      <w:r w:rsidRPr="00CA4D91">
        <w:rPr>
          <w:rFonts w:ascii="Baskerville Old Face" w:hAnsi="Baskerville Old Face"/>
        </w:rPr>
        <w:t xml:space="preserve"> nor clinical research does not </w:t>
      </w:r>
      <w:r w:rsidR="00D162F9" w:rsidRPr="00CA4D91">
        <w:rPr>
          <w:rFonts w:ascii="Baskerville Old Face" w:hAnsi="Baskerville Old Face"/>
        </w:rPr>
        <w:t xml:space="preserve">necessarily mean that </w:t>
      </w:r>
      <w:r w:rsidRPr="00CA4D91">
        <w:rPr>
          <w:rFonts w:ascii="Baskerville Old Face" w:hAnsi="Baskerville Old Face"/>
        </w:rPr>
        <w:t xml:space="preserve">it </w:t>
      </w:r>
      <w:r w:rsidR="00D162F9" w:rsidRPr="00CA4D91">
        <w:rPr>
          <w:rFonts w:ascii="Baskerville Old Face" w:hAnsi="Baskerville Old Face"/>
        </w:rPr>
        <w:t xml:space="preserve">was </w:t>
      </w:r>
      <w:r w:rsidRPr="00CA4D91">
        <w:rPr>
          <w:rFonts w:ascii="Baskerville Old Face" w:hAnsi="Baskerville Old Face"/>
        </w:rPr>
        <w:t xml:space="preserve">unethical. Instead, </w:t>
      </w:r>
      <w:r w:rsidR="00721DC8" w:rsidRPr="00CA4D91">
        <w:rPr>
          <w:rFonts w:ascii="Baskerville Old Face" w:hAnsi="Baskerville Old Face"/>
        </w:rPr>
        <w:t xml:space="preserve">we believe </w:t>
      </w:r>
      <w:r w:rsidR="00D162F9" w:rsidRPr="00CA4D91">
        <w:rPr>
          <w:rFonts w:ascii="Baskerville Old Face" w:hAnsi="Baskerville Old Face"/>
        </w:rPr>
        <w:t xml:space="preserve">the </w:t>
      </w:r>
      <w:r w:rsidRPr="00CA4D91">
        <w:rPr>
          <w:rFonts w:ascii="Baskerville Old Face" w:hAnsi="Baskerville Old Face"/>
        </w:rPr>
        <w:t xml:space="preserve">common assumption that </w:t>
      </w:r>
      <w:r w:rsidR="00F91F11" w:rsidRPr="00CA4D91">
        <w:rPr>
          <w:rFonts w:ascii="Baskerville Old Face" w:hAnsi="Baskerville Old Face"/>
        </w:rPr>
        <w:t xml:space="preserve">all </w:t>
      </w:r>
      <w:r w:rsidRPr="00CA4D91">
        <w:rPr>
          <w:rFonts w:ascii="Baskerville Old Face" w:hAnsi="Baskerville Old Face"/>
        </w:rPr>
        <w:t xml:space="preserve">clinical interventions </w:t>
      </w:r>
      <w:r w:rsidR="00E40FBF" w:rsidRPr="00CA4D91">
        <w:rPr>
          <w:rFonts w:ascii="Baskerville Old Face" w:hAnsi="Baskerville Old Face"/>
        </w:rPr>
        <w:t>should be</w:t>
      </w:r>
      <w:r w:rsidRPr="00CA4D91">
        <w:rPr>
          <w:rFonts w:ascii="Baskerville Old Face" w:hAnsi="Baskerville Old Face"/>
        </w:rPr>
        <w:t xml:space="preserve"> medically indicated or part of </w:t>
      </w:r>
      <w:r w:rsidR="00D162F9" w:rsidRPr="00CA4D91">
        <w:rPr>
          <w:rFonts w:ascii="Baskerville Old Face" w:hAnsi="Baskerville Old Face"/>
        </w:rPr>
        <w:t xml:space="preserve">a </w:t>
      </w:r>
      <w:r w:rsidRPr="00CA4D91">
        <w:rPr>
          <w:rFonts w:ascii="Baskerville Old Face" w:hAnsi="Baskerville Old Face"/>
        </w:rPr>
        <w:t xml:space="preserve">formal research </w:t>
      </w:r>
      <w:r w:rsidR="00D162F9" w:rsidRPr="00CA4D91">
        <w:rPr>
          <w:rFonts w:ascii="Baskerville Old Face" w:hAnsi="Baskerville Old Face"/>
        </w:rPr>
        <w:t xml:space="preserve">study </w:t>
      </w:r>
      <w:r w:rsidRPr="00CA4D91">
        <w:rPr>
          <w:rFonts w:ascii="Baskerville Old Face" w:hAnsi="Baskerville Old Face"/>
        </w:rPr>
        <w:t xml:space="preserve">is </w:t>
      </w:r>
      <w:r w:rsidR="00D162F9" w:rsidRPr="00CA4D91">
        <w:rPr>
          <w:rFonts w:ascii="Baskerville Old Face" w:hAnsi="Baskerville Old Face"/>
        </w:rPr>
        <w:t>mistaken</w:t>
      </w:r>
      <w:r w:rsidRPr="00CA4D91">
        <w:rPr>
          <w:rFonts w:ascii="Baskerville Old Face" w:hAnsi="Baskerville Old Face"/>
        </w:rPr>
        <w:t xml:space="preserve">. The scan </w:t>
      </w:r>
      <w:r w:rsidR="00721DC8" w:rsidRPr="00CA4D91">
        <w:rPr>
          <w:rFonts w:ascii="Baskerville Old Face" w:hAnsi="Baskerville Old Face"/>
        </w:rPr>
        <w:t>represents</w:t>
      </w:r>
      <w:r w:rsidRPr="00CA4D91">
        <w:rPr>
          <w:rFonts w:ascii="Baskerville Old Face" w:hAnsi="Baskerville Old Face"/>
        </w:rPr>
        <w:t xml:space="preserve"> a third type of activity—an information-gathering intervention—which can be hugely valuable </w:t>
      </w:r>
      <w:r w:rsidR="00D162F9" w:rsidRPr="00CA4D91">
        <w:rPr>
          <w:rFonts w:ascii="Baskerville Old Face" w:hAnsi="Baskerville Old Face"/>
        </w:rPr>
        <w:t xml:space="preserve">as </w:t>
      </w:r>
      <w:r w:rsidR="00AF14C9" w:rsidRPr="00CA4D91">
        <w:rPr>
          <w:rFonts w:ascii="Baskerville Old Face" w:hAnsi="Baskerville Old Face"/>
        </w:rPr>
        <w:t>an adjunct to</w:t>
      </w:r>
      <w:r w:rsidR="00D162F9" w:rsidRPr="00CA4D91">
        <w:rPr>
          <w:rFonts w:ascii="Baskerville Old Face" w:hAnsi="Baskerville Old Face"/>
        </w:rPr>
        <w:t xml:space="preserve"> </w:t>
      </w:r>
      <w:r w:rsidRPr="00CA4D91">
        <w:rPr>
          <w:rFonts w:ascii="Baskerville Old Face" w:hAnsi="Baskerville Old Face"/>
        </w:rPr>
        <w:t xml:space="preserve">responsible innovative practice. </w:t>
      </w:r>
      <w:r w:rsidR="00721DC8" w:rsidRPr="00CA4D91">
        <w:rPr>
          <w:rFonts w:ascii="Baskerville Old Face" w:hAnsi="Baskerville Old Face"/>
        </w:rPr>
        <w:t xml:space="preserve">When they also pose </w:t>
      </w:r>
      <w:r w:rsidR="0057557A" w:rsidRPr="00CA4D91">
        <w:rPr>
          <w:rFonts w:ascii="Baskerville Old Face" w:hAnsi="Baskerville Old Face"/>
        </w:rPr>
        <w:t>sufficiently</w:t>
      </w:r>
      <w:r w:rsidR="00721DC8" w:rsidRPr="00CA4D91">
        <w:rPr>
          <w:rFonts w:ascii="Baskerville Old Face" w:hAnsi="Baskerville Old Face"/>
        </w:rPr>
        <w:t xml:space="preserve"> low risks to patients, information-gathering interventions can be ethically </w:t>
      </w:r>
      <w:r w:rsidR="00721DC8" w:rsidRPr="00CA4D91">
        <w:rPr>
          <w:rFonts w:ascii="Baskerville Old Face" w:hAnsi="Baskerville Old Face"/>
        </w:rPr>
        <w:lastRenderedPageBreak/>
        <w:t xml:space="preserve">appropriate. </w:t>
      </w:r>
      <w:r w:rsidRPr="00CA4D91">
        <w:rPr>
          <w:rFonts w:ascii="Baskerville Old Face" w:hAnsi="Baskerville Old Face"/>
        </w:rPr>
        <w:t>We call</w:t>
      </w:r>
      <w:r w:rsidR="00D162F9" w:rsidRPr="00CA4D91">
        <w:rPr>
          <w:rFonts w:ascii="Baskerville Old Face" w:hAnsi="Baskerville Old Face"/>
        </w:rPr>
        <w:t>, then,</w:t>
      </w:r>
      <w:r w:rsidRPr="00CA4D91">
        <w:rPr>
          <w:rFonts w:ascii="Baskerville Old Face" w:hAnsi="Baskerville Old Face"/>
        </w:rPr>
        <w:t xml:space="preserve"> for the recognition of information-gathering interventions and the</w:t>
      </w:r>
      <w:r w:rsidR="00444202" w:rsidRPr="00CA4D91">
        <w:rPr>
          <w:rFonts w:ascii="Baskerville Old Face" w:hAnsi="Baskerville Old Face"/>
        </w:rPr>
        <w:t>ir</w:t>
      </w:r>
      <w:r w:rsidRPr="00CA4D91">
        <w:rPr>
          <w:rFonts w:ascii="Baskerville Old Face" w:hAnsi="Baskerville Old Face"/>
        </w:rPr>
        <w:t xml:space="preserve"> </w:t>
      </w:r>
      <w:r w:rsidR="00444202" w:rsidRPr="00CA4D91">
        <w:rPr>
          <w:rFonts w:ascii="Baskerville Old Face" w:hAnsi="Baskerville Old Face"/>
        </w:rPr>
        <w:t>inclusion in innovative practice</w:t>
      </w:r>
      <w:r w:rsidRPr="00CA4D91">
        <w:rPr>
          <w:rFonts w:ascii="Baskerville Old Face" w:hAnsi="Baskerville Old Face"/>
        </w:rPr>
        <w:t xml:space="preserve"> guidelines to encourage their use and ensure their ethical appropriateness. </w:t>
      </w:r>
    </w:p>
    <w:p w14:paraId="59C50E6E" w14:textId="77777777" w:rsidR="00E75247" w:rsidRPr="00CA4D91" w:rsidRDefault="00E75247" w:rsidP="00E75247">
      <w:pPr>
        <w:spacing w:line="480" w:lineRule="auto"/>
        <w:ind w:firstLine="720"/>
        <w:contextualSpacing/>
        <w:rPr>
          <w:rFonts w:ascii="Baskerville Old Face" w:hAnsi="Baskerville Old Face"/>
        </w:rPr>
      </w:pPr>
    </w:p>
    <w:p w14:paraId="0E12C0F9" w14:textId="48E01615" w:rsidR="0091420A" w:rsidRPr="00CA4D91" w:rsidRDefault="008A0FA8" w:rsidP="0091420A">
      <w:pPr>
        <w:spacing w:line="480" w:lineRule="auto"/>
        <w:contextualSpacing/>
        <w:rPr>
          <w:rFonts w:ascii="Baskerville Old Face" w:hAnsi="Baskerville Old Face"/>
          <w:b/>
          <w:i/>
        </w:rPr>
      </w:pPr>
      <w:bookmarkStart w:id="0" w:name="_Hlk37871850"/>
      <w:r w:rsidRPr="00CA4D91">
        <w:rPr>
          <w:rFonts w:ascii="Baskerville Old Face" w:hAnsi="Baskerville Old Face"/>
          <w:b/>
          <w:i/>
        </w:rPr>
        <w:t xml:space="preserve">The Need for Guidance on </w:t>
      </w:r>
      <w:r w:rsidR="000017E6" w:rsidRPr="00CA4D91">
        <w:rPr>
          <w:rFonts w:ascii="Baskerville Old Face" w:hAnsi="Baskerville Old Face"/>
          <w:b/>
          <w:i/>
        </w:rPr>
        <w:t>Information-Gathering</w:t>
      </w:r>
      <w:r w:rsidR="00D228E3" w:rsidRPr="00CA4D91">
        <w:rPr>
          <w:rFonts w:ascii="Baskerville Old Face" w:hAnsi="Baskerville Old Face"/>
          <w:b/>
          <w:i/>
        </w:rPr>
        <w:t xml:space="preserve"> Interventions</w:t>
      </w:r>
      <w:bookmarkEnd w:id="0"/>
    </w:p>
    <w:p w14:paraId="399E0349" w14:textId="0C6CAB4D" w:rsidR="0091420A" w:rsidRPr="00CA4D91" w:rsidRDefault="00AD0A3E" w:rsidP="0088238C">
      <w:pPr>
        <w:spacing w:line="480" w:lineRule="auto"/>
        <w:ind w:firstLine="720"/>
        <w:contextualSpacing/>
        <w:rPr>
          <w:rFonts w:ascii="Baskerville Old Face" w:hAnsi="Baskerville Old Face"/>
        </w:rPr>
      </w:pPr>
      <w:r w:rsidRPr="00CA4D91">
        <w:rPr>
          <w:rFonts w:ascii="Baskerville Old Face" w:hAnsi="Baskerville Old Face"/>
        </w:rPr>
        <w:t>Administering the second PET scan to gather</w:t>
      </w:r>
      <w:r w:rsidR="00D228E3" w:rsidRPr="00CA4D91">
        <w:rPr>
          <w:rFonts w:ascii="Baskerville Old Face" w:hAnsi="Baskerville Old Face"/>
        </w:rPr>
        <w:t xml:space="preserve"> information about the DBS </w:t>
      </w:r>
      <w:r w:rsidR="00444202" w:rsidRPr="00CA4D91">
        <w:rPr>
          <w:rFonts w:ascii="Baskerville Old Face" w:hAnsi="Baskerville Old Face"/>
        </w:rPr>
        <w:t xml:space="preserve">treatment’s </w:t>
      </w:r>
      <w:r w:rsidR="00D228E3" w:rsidRPr="00CA4D91">
        <w:rPr>
          <w:rFonts w:ascii="Baskerville Old Face" w:hAnsi="Baskerville Old Face"/>
        </w:rPr>
        <w:t xml:space="preserve">mechanism of action </w:t>
      </w:r>
      <w:r w:rsidR="008B6366" w:rsidRPr="00CA4D91">
        <w:rPr>
          <w:rFonts w:ascii="Baskerville Old Face" w:hAnsi="Baskerville Old Face"/>
        </w:rPr>
        <w:t>was valuable</w:t>
      </w:r>
      <w:r w:rsidR="00E437F4" w:rsidRPr="00CA4D91">
        <w:rPr>
          <w:rFonts w:ascii="Baskerville Old Face" w:hAnsi="Baskerville Old Face"/>
        </w:rPr>
        <w:t xml:space="preserve"> in two ways</w:t>
      </w:r>
      <w:r w:rsidR="00D228E3" w:rsidRPr="00CA4D91">
        <w:rPr>
          <w:rFonts w:ascii="Baskerville Old Face" w:hAnsi="Baskerville Old Face"/>
        </w:rPr>
        <w:t xml:space="preserve">. </w:t>
      </w:r>
      <w:r w:rsidR="00F71E7D" w:rsidRPr="00CA4D91">
        <w:rPr>
          <w:rFonts w:ascii="Baskerville Old Face" w:hAnsi="Baskerville Old Face"/>
        </w:rPr>
        <w:t xml:space="preserve">First, it </w:t>
      </w:r>
      <w:r w:rsidR="008B6366" w:rsidRPr="00CA4D91">
        <w:rPr>
          <w:rFonts w:ascii="Baskerville Old Face" w:hAnsi="Baskerville Old Face"/>
        </w:rPr>
        <w:t>provided information about</w:t>
      </w:r>
      <w:r w:rsidR="00F71E7D" w:rsidRPr="00CA4D91">
        <w:rPr>
          <w:rFonts w:ascii="Baskerville Old Face" w:hAnsi="Baskerville Old Face"/>
        </w:rPr>
        <w:t xml:space="preserve"> </w:t>
      </w:r>
      <w:r w:rsidR="00D162F9" w:rsidRPr="00CA4D91">
        <w:rPr>
          <w:rFonts w:ascii="Baskerville Old Face" w:hAnsi="Baskerville Old Face"/>
        </w:rPr>
        <w:t>the extent to which th</w:t>
      </w:r>
      <w:r w:rsidR="00F71E7D" w:rsidRPr="00CA4D91">
        <w:rPr>
          <w:rFonts w:ascii="Baskerville Old Face" w:hAnsi="Baskerville Old Face"/>
        </w:rPr>
        <w:t xml:space="preserve">e </w:t>
      </w:r>
      <w:r w:rsidR="00171ED3" w:rsidRPr="00CA4D91">
        <w:rPr>
          <w:rFonts w:ascii="Baskerville Old Face" w:hAnsi="Baskerville Old Face"/>
        </w:rPr>
        <w:t xml:space="preserve">DBS </w:t>
      </w:r>
      <w:r w:rsidR="00640EF9" w:rsidRPr="00CA4D91">
        <w:rPr>
          <w:rFonts w:ascii="Baskerville Old Face" w:hAnsi="Baskerville Old Face"/>
        </w:rPr>
        <w:t xml:space="preserve">device </w:t>
      </w:r>
      <w:r w:rsidR="00E40FBF" w:rsidRPr="00CA4D91">
        <w:rPr>
          <w:rFonts w:ascii="Baskerville Old Face" w:hAnsi="Baskerville Old Face"/>
        </w:rPr>
        <w:t xml:space="preserve">successfully </w:t>
      </w:r>
      <w:r w:rsidR="00F91F11" w:rsidRPr="00CA4D91">
        <w:rPr>
          <w:rFonts w:ascii="Baskerville Old Face" w:hAnsi="Baskerville Old Face"/>
        </w:rPr>
        <w:t xml:space="preserve">activated </w:t>
      </w:r>
      <w:r w:rsidR="00D162F9" w:rsidRPr="00CA4D91">
        <w:rPr>
          <w:rFonts w:ascii="Baskerville Old Face" w:hAnsi="Baskerville Old Face"/>
        </w:rPr>
        <w:t>the</w:t>
      </w:r>
      <w:r w:rsidR="00CF5747" w:rsidRPr="00CA4D91">
        <w:rPr>
          <w:rFonts w:ascii="Baskerville Old Face" w:hAnsi="Baskerville Old Face"/>
        </w:rPr>
        <w:t xml:space="preserve"> target area</w:t>
      </w:r>
      <w:r w:rsidR="003010B8" w:rsidRPr="00CA4D91">
        <w:rPr>
          <w:rFonts w:ascii="Baskerville Old Face" w:hAnsi="Baskerville Old Face"/>
        </w:rPr>
        <w:t xml:space="preserve"> of the brain</w:t>
      </w:r>
      <w:r w:rsidR="00D162F9" w:rsidRPr="00CA4D91">
        <w:rPr>
          <w:rFonts w:ascii="Baskerville Old Face" w:hAnsi="Baskerville Old Face"/>
        </w:rPr>
        <w:t xml:space="preserve">. This information </w:t>
      </w:r>
      <w:r w:rsidR="00CF5747" w:rsidRPr="00CA4D91">
        <w:rPr>
          <w:rFonts w:ascii="Baskerville Old Face" w:hAnsi="Baskerville Old Face"/>
        </w:rPr>
        <w:t xml:space="preserve">was useful for determining </w:t>
      </w:r>
      <w:r w:rsidR="00D162F9" w:rsidRPr="00CA4D91">
        <w:rPr>
          <w:rFonts w:ascii="Baskerville Old Face" w:hAnsi="Baskerville Old Face"/>
        </w:rPr>
        <w:t xml:space="preserve">whether any adjustments might </w:t>
      </w:r>
      <w:r w:rsidR="00E40FBF" w:rsidRPr="00CA4D91">
        <w:rPr>
          <w:rFonts w:ascii="Baskerville Old Face" w:hAnsi="Baskerville Old Face"/>
        </w:rPr>
        <w:t xml:space="preserve">be needed to </w:t>
      </w:r>
      <w:r w:rsidR="00444202" w:rsidRPr="00CA4D91">
        <w:rPr>
          <w:rFonts w:ascii="Baskerville Old Face" w:hAnsi="Baskerville Old Face"/>
        </w:rPr>
        <w:t xml:space="preserve">make </w:t>
      </w:r>
      <w:r w:rsidR="00F91F11" w:rsidRPr="00CA4D91">
        <w:rPr>
          <w:rFonts w:ascii="Baskerville Old Face" w:hAnsi="Baskerville Old Face"/>
        </w:rPr>
        <w:t xml:space="preserve">the </w:t>
      </w:r>
      <w:r w:rsidR="00444202" w:rsidRPr="00CA4D91">
        <w:rPr>
          <w:rFonts w:ascii="Baskerville Old Face" w:hAnsi="Baskerville Old Face"/>
        </w:rPr>
        <w:t xml:space="preserve">treatment more effective </w:t>
      </w:r>
      <w:r w:rsidR="00D162F9" w:rsidRPr="00CA4D91">
        <w:rPr>
          <w:rFonts w:ascii="Baskerville Old Face" w:hAnsi="Baskerville Old Face"/>
        </w:rPr>
        <w:t xml:space="preserve">for </w:t>
      </w:r>
      <w:r w:rsidR="008B6366" w:rsidRPr="00CA4D91">
        <w:rPr>
          <w:rFonts w:ascii="Baskerville Old Face" w:hAnsi="Baskerville Old Face"/>
        </w:rPr>
        <w:t>future</w:t>
      </w:r>
      <w:r w:rsidR="00F71E7D" w:rsidRPr="00CA4D91">
        <w:rPr>
          <w:rFonts w:ascii="Baskerville Old Face" w:hAnsi="Baskerville Old Face"/>
        </w:rPr>
        <w:t xml:space="preserve"> patients. Second, gathering information about the DBS </w:t>
      </w:r>
      <w:r w:rsidR="00444202" w:rsidRPr="00CA4D91">
        <w:rPr>
          <w:rFonts w:ascii="Baskerville Old Face" w:hAnsi="Baskerville Old Face"/>
        </w:rPr>
        <w:t xml:space="preserve">treatment’s </w:t>
      </w:r>
      <w:r w:rsidR="00F71E7D" w:rsidRPr="00CA4D91">
        <w:rPr>
          <w:rFonts w:ascii="Baskerville Old Face" w:hAnsi="Baskerville Old Face"/>
        </w:rPr>
        <w:t>mechanism of action help</w:t>
      </w:r>
      <w:r w:rsidR="0095359F" w:rsidRPr="00CA4D91">
        <w:rPr>
          <w:rFonts w:ascii="Baskerville Old Face" w:hAnsi="Baskerville Old Face"/>
        </w:rPr>
        <w:t>ed</w:t>
      </w:r>
      <w:r w:rsidR="00F71E7D" w:rsidRPr="00CA4D91">
        <w:rPr>
          <w:rFonts w:ascii="Baskerville Old Face" w:hAnsi="Baskerville Old Face"/>
        </w:rPr>
        <w:t xml:space="preserve"> to screen out alternative mechanisms of action and identify potential confounders. This </w:t>
      </w:r>
      <w:r w:rsidR="00444202" w:rsidRPr="00CA4D91">
        <w:rPr>
          <w:rFonts w:ascii="Baskerville Old Face" w:hAnsi="Baskerville Old Face"/>
        </w:rPr>
        <w:t xml:space="preserve">kind of </w:t>
      </w:r>
      <w:r w:rsidR="00F71E7D" w:rsidRPr="00CA4D91">
        <w:rPr>
          <w:rFonts w:ascii="Baskerville Old Face" w:hAnsi="Baskerville Old Face"/>
        </w:rPr>
        <w:t xml:space="preserve">information can be crucial for </w:t>
      </w:r>
      <w:r w:rsidR="00721DC8" w:rsidRPr="00CA4D91">
        <w:rPr>
          <w:rFonts w:ascii="Baskerville Old Face" w:hAnsi="Baskerville Old Face"/>
        </w:rPr>
        <w:t xml:space="preserve">identifying appropriate </w:t>
      </w:r>
      <w:r w:rsidR="00F71E7D" w:rsidRPr="00CA4D91">
        <w:rPr>
          <w:rFonts w:ascii="Baskerville Old Face" w:hAnsi="Baskerville Old Face"/>
        </w:rPr>
        <w:t xml:space="preserve">hypotheses and methods </w:t>
      </w:r>
      <w:r w:rsidR="0095359F" w:rsidRPr="00CA4D91">
        <w:rPr>
          <w:rFonts w:ascii="Baskerville Old Face" w:hAnsi="Baskerville Old Face"/>
        </w:rPr>
        <w:t>for</w:t>
      </w:r>
      <w:r w:rsidR="00F71E7D" w:rsidRPr="00CA4D91">
        <w:rPr>
          <w:rFonts w:ascii="Baskerville Old Face" w:hAnsi="Baskerville Old Face"/>
        </w:rPr>
        <w:t xml:space="preserve"> a rigorous research study of </w:t>
      </w:r>
      <w:r w:rsidR="00444202" w:rsidRPr="00CA4D91">
        <w:rPr>
          <w:rFonts w:ascii="Baskerville Old Face" w:hAnsi="Baskerville Old Face"/>
        </w:rPr>
        <w:t>an innovation</w:t>
      </w:r>
      <w:r w:rsidR="00F71E7D" w:rsidRPr="00CA4D91">
        <w:rPr>
          <w:rFonts w:ascii="Baskerville Old Face" w:hAnsi="Baskerville Old Face"/>
        </w:rPr>
        <w:t xml:space="preserve">, as well as the appropriate timing for such a study. For example, </w:t>
      </w:r>
      <w:r w:rsidR="009A588C" w:rsidRPr="00CA4D91">
        <w:rPr>
          <w:rFonts w:ascii="Baskerville Old Face" w:hAnsi="Baskerville Old Face"/>
        </w:rPr>
        <w:t>if</w:t>
      </w:r>
      <w:r w:rsidR="00F71E7D" w:rsidRPr="00CA4D91">
        <w:rPr>
          <w:rFonts w:ascii="Baskerville Old Face" w:hAnsi="Baskerville Old Face"/>
        </w:rPr>
        <w:t xml:space="preserve"> the second scan </w:t>
      </w:r>
      <w:r w:rsidR="009A588C" w:rsidRPr="00CA4D91">
        <w:rPr>
          <w:rFonts w:ascii="Baskerville Old Face" w:hAnsi="Baskerville Old Face"/>
        </w:rPr>
        <w:t>had been un</w:t>
      </w:r>
      <w:r w:rsidR="00F71E7D" w:rsidRPr="00CA4D91">
        <w:rPr>
          <w:rFonts w:ascii="Baskerville Old Face" w:hAnsi="Baskerville Old Face"/>
        </w:rPr>
        <w:t xml:space="preserve">able to detect whether the </w:t>
      </w:r>
      <w:r w:rsidR="008B6366" w:rsidRPr="00CA4D91">
        <w:rPr>
          <w:rFonts w:ascii="Baskerville Old Face" w:hAnsi="Baskerville Old Face"/>
        </w:rPr>
        <w:t>target area had been activated</w:t>
      </w:r>
      <w:r w:rsidR="009A588C" w:rsidRPr="00CA4D91">
        <w:rPr>
          <w:rFonts w:ascii="Baskerville Old Face" w:hAnsi="Baskerville Old Face"/>
        </w:rPr>
        <w:t>, this</w:t>
      </w:r>
      <w:r w:rsidR="008B6366" w:rsidRPr="00CA4D91">
        <w:rPr>
          <w:rFonts w:ascii="Baskerville Old Face" w:hAnsi="Baskerville Old Face"/>
        </w:rPr>
        <w:t xml:space="preserve"> </w:t>
      </w:r>
      <w:r w:rsidR="00F71E7D" w:rsidRPr="00CA4D91">
        <w:rPr>
          <w:rFonts w:ascii="Baskerville Old Face" w:hAnsi="Baskerville Old Face"/>
        </w:rPr>
        <w:t xml:space="preserve">would have </w:t>
      </w:r>
      <w:r w:rsidR="008B6366" w:rsidRPr="00CA4D91">
        <w:rPr>
          <w:rFonts w:ascii="Baskerville Old Face" w:hAnsi="Baskerville Old Face"/>
        </w:rPr>
        <w:t>revealed</w:t>
      </w:r>
      <w:r w:rsidR="00F71E7D" w:rsidRPr="00CA4D91">
        <w:rPr>
          <w:rFonts w:ascii="Baskerville Old Face" w:hAnsi="Baskerville Old Face"/>
        </w:rPr>
        <w:t xml:space="preserve"> the need </w:t>
      </w:r>
      <w:r w:rsidR="005F4A23" w:rsidRPr="00CA4D91">
        <w:rPr>
          <w:rFonts w:ascii="Baskerville Old Face" w:hAnsi="Baskerville Old Face"/>
        </w:rPr>
        <w:t xml:space="preserve">to develop </w:t>
      </w:r>
      <w:r w:rsidR="00F71E7D" w:rsidRPr="00CA4D91">
        <w:rPr>
          <w:rFonts w:ascii="Baskerville Old Face" w:hAnsi="Baskerville Old Face"/>
        </w:rPr>
        <w:t>different data</w:t>
      </w:r>
      <w:r w:rsidR="00D228E3" w:rsidRPr="00CA4D91">
        <w:rPr>
          <w:rFonts w:ascii="Baskerville Old Face" w:hAnsi="Baskerville Old Face"/>
        </w:rPr>
        <w:t xml:space="preserve"> collection strategies</w:t>
      </w:r>
      <w:r w:rsidR="00F71E7D" w:rsidRPr="00CA4D91">
        <w:rPr>
          <w:rFonts w:ascii="Baskerville Old Face" w:hAnsi="Baskerville Old Face"/>
        </w:rPr>
        <w:t xml:space="preserve"> </w:t>
      </w:r>
      <w:r w:rsidR="003010B8" w:rsidRPr="00CA4D91">
        <w:rPr>
          <w:rFonts w:ascii="Baskerville Old Face" w:hAnsi="Baskerville Old Face"/>
        </w:rPr>
        <w:t>before</w:t>
      </w:r>
      <w:r w:rsidR="005F4A23" w:rsidRPr="00CA4D91">
        <w:rPr>
          <w:rFonts w:ascii="Baskerville Old Face" w:hAnsi="Baskerville Old Face"/>
        </w:rPr>
        <w:t xml:space="preserve"> initiating </w:t>
      </w:r>
      <w:r w:rsidR="0095359F" w:rsidRPr="00CA4D91">
        <w:rPr>
          <w:rFonts w:ascii="Baskerville Old Face" w:hAnsi="Baskerville Old Face"/>
        </w:rPr>
        <w:t xml:space="preserve">a </w:t>
      </w:r>
      <w:r w:rsidR="003010B8" w:rsidRPr="00CA4D91">
        <w:rPr>
          <w:rFonts w:ascii="Baskerville Old Face" w:hAnsi="Baskerville Old Face"/>
        </w:rPr>
        <w:t xml:space="preserve">formal </w:t>
      </w:r>
      <w:r w:rsidR="00444202" w:rsidRPr="00CA4D91">
        <w:rPr>
          <w:rFonts w:ascii="Baskerville Old Face" w:hAnsi="Baskerville Old Face"/>
        </w:rPr>
        <w:t xml:space="preserve">trial of the </w:t>
      </w:r>
      <w:r w:rsidR="00721DC8" w:rsidRPr="00CA4D91">
        <w:rPr>
          <w:rFonts w:ascii="Baskerville Old Face" w:hAnsi="Baskerville Old Face"/>
        </w:rPr>
        <w:t xml:space="preserve">novel </w:t>
      </w:r>
      <w:r w:rsidR="00444202" w:rsidRPr="00CA4D91">
        <w:rPr>
          <w:rFonts w:ascii="Baskerville Old Face" w:hAnsi="Baskerville Old Face"/>
        </w:rPr>
        <w:t>DBS treatment</w:t>
      </w:r>
      <w:r w:rsidR="00F71E7D" w:rsidRPr="00CA4D91">
        <w:rPr>
          <w:rFonts w:ascii="Baskerville Old Face" w:hAnsi="Baskerville Old Face"/>
        </w:rPr>
        <w:t xml:space="preserve">. </w:t>
      </w:r>
    </w:p>
    <w:p w14:paraId="6DB6E87A" w14:textId="3FF44DEA" w:rsidR="0091420A" w:rsidRPr="00CA4D91" w:rsidRDefault="00F71E7D" w:rsidP="0088238C">
      <w:pPr>
        <w:spacing w:line="480" w:lineRule="auto"/>
        <w:ind w:firstLine="720"/>
        <w:contextualSpacing/>
        <w:rPr>
          <w:rFonts w:ascii="Baskerville Old Face" w:hAnsi="Baskerville Old Face"/>
        </w:rPr>
      </w:pPr>
      <w:r w:rsidRPr="00CA4D91">
        <w:rPr>
          <w:rFonts w:ascii="Baskerville Old Face" w:hAnsi="Baskerville Old Face"/>
        </w:rPr>
        <w:t>These conside</w:t>
      </w:r>
      <w:r w:rsidR="00D228E3" w:rsidRPr="00CA4D91">
        <w:rPr>
          <w:rFonts w:ascii="Baskerville Old Face" w:hAnsi="Baskerville Old Face"/>
        </w:rPr>
        <w:t xml:space="preserve">rations reveal that </w:t>
      </w:r>
      <w:r w:rsidR="00640EF9" w:rsidRPr="00CA4D91">
        <w:rPr>
          <w:rFonts w:ascii="Baskerville Old Face" w:hAnsi="Baskerville Old Face"/>
        </w:rPr>
        <w:t xml:space="preserve">using </w:t>
      </w:r>
      <w:r w:rsidR="00D228E3" w:rsidRPr="00CA4D91">
        <w:rPr>
          <w:rFonts w:ascii="Baskerville Old Face" w:hAnsi="Baskerville Old Face"/>
        </w:rPr>
        <w:t>information-</w:t>
      </w:r>
      <w:r w:rsidRPr="00CA4D91">
        <w:rPr>
          <w:rFonts w:ascii="Baskerville Old Face" w:hAnsi="Baskerville Old Face"/>
        </w:rPr>
        <w:t>gathering intervention</w:t>
      </w:r>
      <w:r w:rsidR="00CE2DCE" w:rsidRPr="00CA4D91">
        <w:rPr>
          <w:rFonts w:ascii="Baskerville Old Face" w:hAnsi="Baskerville Old Face"/>
        </w:rPr>
        <w:t>s</w:t>
      </w:r>
      <w:r w:rsidRPr="00CA4D91">
        <w:rPr>
          <w:rFonts w:ascii="Baskerville Old Face" w:hAnsi="Baskerville Old Face"/>
        </w:rPr>
        <w:t xml:space="preserve"> </w:t>
      </w:r>
      <w:r w:rsidR="00640EF9" w:rsidRPr="00CA4D91">
        <w:rPr>
          <w:rFonts w:ascii="Baskerville Old Face" w:hAnsi="Baskerville Old Face"/>
        </w:rPr>
        <w:t>as an adjunct to</w:t>
      </w:r>
      <w:r w:rsidRPr="00CA4D91">
        <w:rPr>
          <w:rFonts w:ascii="Baskerville Old Face" w:hAnsi="Baskerville Old Face"/>
        </w:rPr>
        <w:t xml:space="preserve"> innovative </w:t>
      </w:r>
      <w:r w:rsidR="00E437F4" w:rsidRPr="00CA4D91">
        <w:rPr>
          <w:rFonts w:ascii="Baskerville Old Face" w:hAnsi="Baskerville Old Face"/>
        </w:rPr>
        <w:t>practice</w:t>
      </w:r>
      <w:r w:rsidRPr="00CA4D91">
        <w:rPr>
          <w:rFonts w:ascii="Baskerville Old Face" w:hAnsi="Baskerville Old Face"/>
        </w:rPr>
        <w:t xml:space="preserve"> can have significant social value. At the same time, </w:t>
      </w:r>
      <w:r w:rsidR="008B6366" w:rsidRPr="00CA4D91">
        <w:rPr>
          <w:rFonts w:ascii="Baskerville Old Face" w:hAnsi="Baskerville Old Face"/>
        </w:rPr>
        <w:t>they</w:t>
      </w:r>
      <w:r w:rsidRPr="00CA4D91">
        <w:rPr>
          <w:rFonts w:ascii="Baskerville Old Face" w:hAnsi="Baskerville Old Face"/>
        </w:rPr>
        <w:t xml:space="preserve"> </w:t>
      </w:r>
      <w:r w:rsidR="00AD0A3E" w:rsidRPr="00CA4D91">
        <w:rPr>
          <w:rFonts w:ascii="Baskerville Old Face" w:hAnsi="Baskerville Old Face"/>
        </w:rPr>
        <w:t>im</w:t>
      </w:r>
      <w:r w:rsidR="001F2722" w:rsidRPr="00CA4D91">
        <w:rPr>
          <w:rFonts w:ascii="Baskerville Old Face" w:hAnsi="Baskerville Old Face"/>
        </w:rPr>
        <w:t>pose</w:t>
      </w:r>
      <w:r w:rsidR="00CE2DCE" w:rsidRPr="00CA4D91">
        <w:rPr>
          <w:rFonts w:ascii="Baskerville Old Face" w:hAnsi="Baskerville Old Face"/>
        </w:rPr>
        <w:t xml:space="preserve"> risks and burdens</w:t>
      </w:r>
      <w:r w:rsidR="001F2722" w:rsidRPr="00CA4D91">
        <w:rPr>
          <w:rFonts w:ascii="Baskerville Old Face" w:hAnsi="Baskerville Old Face"/>
        </w:rPr>
        <w:t xml:space="preserve"> </w:t>
      </w:r>
      <w:r w:rsidR="00AD0A3E" w:rsidRPr="00CA4D91">
        <w:rPr>
          <w:rFonts w:ascii="Baskerville Old Face" w:hAnsi="Baskerville Old Face"/>
        </w:rPr>
        <w:t>on patients for the benefit of others</w:t>
      </w:r>
      <w:r w:rsidR="00CF5747" w:rsidRPr="00CA4D91">
        <w:rPr>
          <w:rFonts w:ascii="Baskerville Old Face" w:hAnsi="Baskerville Old Face"/>
        </w:rPr>
        <w:t xml:space="preserve">. </w:t>
      </w:r>
      <w:r w:rsidR="003010B8" w:rsidRPr="00CA4D91">
        <w:rPr>
          <w:rFonts w:ascii="Baskerville Old Face" w:hAnsi="Baskerville Old Face"/>
        </w:rPr>
        <w:t xml:space="preserve">While this </w:t>
      </w:r>
      <w:r w:rsidR="00AD0A3E" w:rsidRPr="00CA4D91">
        <w:rPr>
          <w:rFonts w:ascii="Baskerville Old Face" w:hAnsi="Baskerville Old Face"/>
        </w:rPr>
        <w:t>rais</w:t>
      </w:r>
      <w:r w:rsidR="00CF5747" w:rsidRPr="00CA4D91">
        <w:rPr>
          <w:rFonts w:ascii="Baskerville Old Face" w:hAnsi="Baskerville Old Face"/>
        </w:rPr>
        <w:t>es</w:t>
      </w:r>
      <w:r w:rsidR="00AD0A3E" w:rsidRPr="00CA4D91">
        <w:rPr>
          <w:rFonts w:ascii="Baskerville Old Face" w:hAnsi="Baskerville Old Face"/>
        </w:rPr>
        <w:t xml:space="preserve"> important ethical concerns</w:t>
      </w:r>
      <w:r w:rsidR="008C412D" w:rsidRPr="00CA4D91">
        <w:rPr>
          <w:rFonts w:ascii="Baskerville Old Face" w:hAnsi="Baskerville Old Face"/>
        </w:rPr>
        <w:t xml:space="preserve">, </w:t>
      </w:r>
      <w:r w:rsidR="00CF5747" w:rsidRPr="00CA4D91">
        <w:rPr>
          <w:rFonts w:ascii="Baskerville Old Face" w:hAnsi="Baskerville Old Face"/>
        </w:rPr>
        <w:t xml:space="preserve">imposing risks on patients for the benefit of others </w:t>
      </w:r>
      <w:r w:rsidR="00AD0A3E" w:rsidRPr="00CA4D91">
        <w:rPr>
          <w:rFonts w:ascii="Baskerville Old Face" w:hAnsi="Baskerville Old Face"/>
        </w:rPr>
        <w:t>can be ethically appropriate</w:t>
      </w:r>
      <w:r w:rsidR="00CF5747" w:rsidRPr="00CA4D91">
        <w:rPr>
          <w:rFonts w:ascii="Baskerville Old Face" w:hAnsi="Baskerville Old Face"/>
        </w:rPr>
        <w:t xml:space="preserve"> in some circumstances</w:t>
      </w:r>
      <w:r w:rsidR="008C412D" w:rsidRPr="00CA4D91">
        <w:rPr>
          <w:rFonts w:ascii="Baskerville Old Face" w:hAnsi="Baskerville Old Face"/>
        </w:rPr>
        <w:t>.</w:t>
      </w:r>
      <w:r w:rsidR="0057557A" w:rsidRPr="00CA4D91">
        <w:rPr>
          <w:rFonts w:ascii="Baskerville Old Face" w:hAnsi="Baskerville Old Face"/>
        </w:rPr>
        <w:t xml:space="preserve"> </w:t>
      </w:r>
      <w:r w:rsidR="008C412D" w:rsidRPr="00CA4D91">
        <w:rPr>
          <w:rFonts w:ascii="Baskerville Old Face" w:hAnsi="Baskerville Old Face"/>
        </w:rPr>
        <w:t>Q</w:t>
      </w:r>
      <w:r w:rsidRPr="00CA4D91">
        <w:rPr>
          <w:rFonts w:ascii="Baskerville Old Face" w:hAnsi="Baskerville Old Face"/>
        </w:rPr>
        <w:t xml:space="preserve">uality assessment and quality improvement (QA/QI) activities </w:t>
      </w:r>
      <w:r w:rsidR="001F2722" w:rsidRPr="00CA4D91">
        <w:rPr>
          <w:rFonts w:ascii="Baskerville Old Face" w:hAnsi="Baskerville Old Face"/>
        </w:rPr>
        <w:t>im</w:t>
      </w:r>
      <w:r w:rsidR="00D23579" w:rsidRPr="00CA4D91">
        <w:rPr>
          <w:rFonts w:ascii="Baskerville Old Face" w:hAnsi="Baskerville Old Face"/>
        </w:rPr>
        <w:t xml:space="preserve">pose </w:t>
      </w:r>
      <w:r w:rsidR="001F2722" w:rsidRPr="00CA4D91">
        <w:rPr>
          <w:rFonts w:ascii="Baskerville Old Face" w:hAnsi="Baskerville Old Face"/>
        </w:rPr>
        <w:t>additional</w:t>
      </w:r>
      <w:r w:rsidR="00D23579" w:rsidRPr="00CA4D91">
        <w:rPr>
          <w:rFonts w:ascii="Baskerville Old Face" w:hAnsi="Baskerville Old Face"/>
        </w:rPr>
        <w:t xml:space="preserve"> </w:t>
      </w:r>
      <w:r w:rsidR="001F2722" w:rsidRPr="00CA4D91">
        <w:rPr>
          <w:rFonts w:ascii="Baskerville Old Face" w:hAnsi="Baskerville Old Face"/>
        </w:rPr>
        <w:t>risks and burdens on</w:t>
      </w:r>
      <w:r w:rsidRPr="00CA4D91">
        <w:rPr>
          <w:rFonts w:ascii="Baskerville Old Face" w:hAnsi="Baskerville Old Face"/>
        </w:rPr>
        <w:t xml:space="preserve"> </w:t>
      </w:r>
      <w:r w:rsidR="00E437F4" w:rsidRPr="00CA4D91">
        <w:rPr>
          <w:rFonts w:ascii="Baskerville Old Face" w:hAnsi="Baskerville Old Face"/>
        </w:rPr>
        <w:t xml:space="preserve">current patients </w:t>
      </w:r>
      <w:r w:rsidR="008B6366" w:rsidRPr="00CA4D91">
        <w:rPr>
          <w:rFonts w:ascii="Baskerville Old Face" w:hAnsi="Baskerville Old Face"/>
        </w:rPr>
        <w:t xml:space="preserve">to </w:t>
      </w:r>
      <w:r w:rsidRPr="00CA4D91">
        <w:rPr>
          <w:rFonts w:ascii="Baskerville Old Face" w:hAnsi="Baskerville Old Face"/>
        </w:rPr>
        <w:t>improve medical practice</w:t>
      </w:r>
      <w:r w:rsidR="00D23579" w:rsidRPr="00CA4D91">
        <w:rPr>
          <w:rFonts w:ascii="Baskerville Old Face" w:hAnsi="Baskerville Old Face"/>
        </w:rPr>
        <w:t xml:space="preserve"> for </w:t>
      </w:r>
      <w:r w:rsidR="001F2722" w:rsidRPr="00CA4D91">
        <w:rPr>
          <w:rFonts w:ascii="Baskerville Old Face" w:hAnsi="Baskerville Old Face"/>
        </w:rPr>
        <w:t>subsequent</w:t>
      </w:r>
      <w:r w:rsidR="00D23579" w:rsidRPr="00CA4D91">
        <w:rPr>
          <w:rFonts w:ascii="Baskerville Old Face" w:hAnsi="Baskerville Old Face"/>
        </w:rPr>
        <w:t xml:space="preserve"> patients</w:t>
      </w:r>
      <w:r w:rsidR="001F2722" w:rsidRPr="00CA4D91">
        <w:rPr>
          <w:rFonts w:ascii="Baskerville Old Face" w:hAnsi="Baskerville Old Face"/>
        </w:rPr>
        <w:t xml:space="preserve"> at </w:t>
      </w:r>
      <w:r w:rsidR="00640EF9" w:rsidRPr="00CA4D91">
        <w:rPr>
          <w:rFonts w:ascii="Baskerville Old Face" w:hAnsi="Baskerville Old Face"/>
        </w:rPr>
        <w:t xml:space="preserve">a given health care </w:t>
      </w:r>
      <w:r w:rsidR="001F2722" w:rsidRPr="00CA4D91">
        <w:rPr>
          <w:rFonts w:ascii="Baskerville Old Face" w:hAnsi="Baskerville Old Face"/>
        </w:rPr>
        <w:t>institution</w:t>
      </w:r>
      <w:r w:rsidRPr="00CA4D91">
        <w:rPr>
          <w:rFonts w:ascii="Baskerville Old Face" w:hAnsi="Baskerville Old Face"/>
        </w:rPr>
        <w:t>.</w:t>
      </w:r>
      <w:r w:rsidRPr="00CA4D91">
        <w:rPr>
          <w:rStyle w:val="EndnoteReference"/>
          <w:rFonts w:ascii="Baskerville Old Face" w:hAnsi="Baskerville Old Face"/>
        </w:rPr>
        <w:endnoteReference w:id="15"/>
      </w:r>
      <w:r w:rsidR="00D23579" w:rsidRPr="00CA4D91">
        <w:rPr>
          <w:rFonts w:ascii="Baskerville Old Face" w:hAnsi="Baskerville Old Face"/>
        </w:rPr>
        <w:t xml:space="preserve"> Similarly, it is widely accepted that </w:t>
      </w:r>
      <w:r w:rsidR="008B6366" w:rsidRPr="00CA4D91">
        <w:rPr>
          <w:rFonts w:ascii="Baskerville Old Face" w:hAnsi="Baskerville Old Face"/>
        </w:rPr>
        <w:t>investigators</w:t>
      </w:r>
      <w:r w:rsidR="00D23579" w:rsidRPr="00CA4D91">
        <w:rPr>
          <w:rFonts w:ascii="Baskerville Old Face" w:hAnsi="Baskerville Old Face"/>
        </w:rPr>
        <w:t xml:space="preserve"> can expose </w:t>
      </w:r>
      <w:r w:rsidR="00AD0A3E" w:rsidRPr="00CA4D91">
        <w:rPr>
          <w:rFonts w:ascii="Baskerville Old Face" w:hAnsi="Baskerville Old Face"/>
        </w:rPr>
        <w:t xml:space="preserve">research </w:t>
      </w:r>
      <w:r w:rsidR="00D23579" w:rsidRPr="00CA4D91">
        <w:rPr>
          <w:rFonts w:ascii="Baskerville Old Face" w:hAnsi="Baskerville Old Face"/>
        </w:rPr>
        <w:t xml:space="preserve">participants to some risks in order to collect data that has the potential to improve care for future </w:t>
      </w:r>
      <w:r w:rsidR="00D23579" w:rsidRPr="00CA4D91">
        <w:rPr>
          <w:rFonts w:ascii="Baskerville Old Face" w:hAnsi="Baskerville Old Face"/>
        </w:rPr>
        <w:lastRenderedPageBreak/>
        <w:t xml:space="preserve">patients. </w:t>
      </w:r>
      <w:r w:rsidR="00CF5747" w:rsidRPr="00CA4D91">
        <w:rPr>
          <w:rFonts w:ascii="Baskerville Old Face" w:hAnsi="Baskerville Old Face"/>
        </w:rPr>
        <w:t xml:space="preserve">These examples </w:t>
      </w:r>
      <w:r w:rsidR="00640EF9" w:rsidRPr="00CA4D91">
        <w:rPr>
          <w:rFonts w:ascii="Baskerville Old Face" w:hAnsi="Baskerville Old Face"/>
        </w:rPr>
        <w:t xml:space="preserve">show </w:t>
      </w:r>
      <w:r w:rsidR="00793B48" w:rsidRPr="00CA4D91">
        <w:rPr>
          <w:rFonts w:ascii="Baskerville Old Face" w:hAnsi="Baskerville Old Face"/>
        </w:rPr>
        <w:t>that</w:t>
      </w:r>
      <w:r w:rsidR="00463B0A" w:rsidRPr="00CA4D91">
        <w:rPr>
          <w:rFonts w:ascii="Baskerville Old Face" w:hAnsi="Baskerville Old Face"/>
        </w:rPr>
        <w:t xml:space="preserve"> </w:t>
      </w:r>
      <w:r w:rsidR="00CF5747" w:rsidRPr="00CA4D91">
        <w:rPr>
          <w:rFonts w:ascii="Baskerville Old Face" w:hAnsi="Baskerville Old Face"/>
        </w:rPr>
        <w:t xml:space="preserve">exposing patients to </w:t>
      </w:r>
      <w:r w:rsidR="003010B8" w:rsidRPr="00CA4D91">
        <w:rPr>
          <w:rFonts w:ascii="Baskerville Old Face" w:hAnsi="Baskerville Old Face"/>
        </w:rPr>
        <w:t>certain</w:t>
      </w:r>
      <w:r w:rsidR="00CF5747" w:rsidRPr="00CA4D91">
        <w:rPr>
          <w:rFonts w:ascii="Baskerville Old Face" w:hAnsi="Baskerville Old Face"/>
        </w:rPr>
        <w:t xml:space="preserve"> risks for the benefit of future patients can be acceptable when it is consistent </w:t>
      </w:r>
      <w:r w:rsidR="00793B48" w:rsidRPr="00CA4D91">
        <w:rPr>
          <w:rFonts w:ascii="Baskerville Old Face" w:hAnsi="Baskerville Old Face"/>
        </w:rPr>
        <w:t xml:space="preserve">with </w:t>
      </w:r>
      <w:r w:rsidR="008C412D" w:rsidRPr="00CA4D91">
        <w:rPr>
          <w:rFonts w:ascii="Baskerville Old Face" w:hAnsi="Baskerville Old Face"/>
        </w:rPr>
        <w:t>appropriate guidelines</w:t>
      </w:r>
      <w:r w:rsidR="00793B48" w:rsidRPr="00CA4D91">
        <w:rPr>
          <w:rFonts w:ascii="Baskerville Old Face" w:hAnsi="Baskerville Old Face"/>
        </w:rPr>
        <w:t xml:space="preserve"> which ensure that the risks are low and the information </w:t>
      </w:r>
      <w:r w:rsidR="00E40FBF" w:rsidRPr="00CA4D91">
        <w:rPr>
          <w:rFonts w:ascii="Baskerville Old Face" w:hAnsi="Baskerville Old Face"/>
        </w:rPr>
        <w:t xml:space="preserve">to be collected </w:t>
      </w:r>
      <w:r w:rsidR="00793B48" w:rsidRPr="00CA4D91">
        <w:rPr>
          <w:rFonts w:ascii="Baskerville Old Face" w:hAnsi="Baskerville Old Face"/>
        </w:rPr>
        <w:t>is valuable</w:t>
      </w:r>
      <w:r w:rsidR="00463B0A" w:rsidRPr="00CA4D91">
        <w:rPr>
          <w:rFonts w:ascii="Baskerville Old Face" w:hAnsi="Baskerville Old Face"/>
        </w:rPr>
        <w:t>.</w:t>
      </w:r>
    </w:p>
    <w:p w14:paraId="4CB7B1C7" w14:textId="0A6D1BE3" w:rsidR="00F803D4" w:rsidRPr="00CA4D91" w:rsidRDefault="008C412D" w:rsidP="0088238C">
      <w:pPr>
        <w:spacing w:line="480" w:lineRule="auto"/>
        <w:ind w:firstLine="720"/>
        <w:contextualSpacing/>
        <w:rPr>
          <w:rFonts w:ascii="Baskerville Old Face" w:hAnsi="Baskerville Old Face"/>
        </w:rPr>
      </w:pPr>
      <w:r w:rsidRPr="00CA4D91">
        <w:rPr>
          <w:rFonts w:ascii="Baskerville Old Face" w:hAnsi="Baskerville Old Face"/>
        </w:rPr>
        <w:t xml:space="preserve">This </w:t>
      </w:r>
      <w:r w:rsidR="00793B48" w:rsidRPr="00CA4D91">
        <w:rPr>
          <w:rFonts w:ascii="Baskerville Old Face" w:hAnsi="Baskerville Old Face"/>
        </w:rPr>
        <w:t xml:space="preserve">conclusion </w:t>
      </w:r>
      <w:r w:rsidRPr="00CA4D91">
        <w:rPr>
          <w:rFonts w:ascii="Baskerville Old Face" w:hAnsi="Baskerville Old Face"/>
        </w:rPr>
        <w:t>suggests that the problem</w:t>
      </w:r>
      <w:r w:rsidR="00793B48" w:rsidRPr="00CA4D91">
        <w:rPr>
          <w:rFonts w:ascii="Baskerville Old Face" w:hAnsi="Baskerville Old Face"/>
        </w:rPr>
        <w:t xml:space="preserve"> with</w:t>
      </w:r>
      <w:r w:rsidR="001A4E5C" w:rsidRPr="00CA4D91">
        <w:rPr>
          <w:rFonts w:ascii="Baskerville Old Face" w:hAnsi="Baskerville Old Face"/>
        </w:rPr>
        <w:t xml:space="preserve"> information-</w:t>
      </w:r>
      <w:r w:rsidR="00D23579" w:rsidRPr="00CA4D91">
        <w:rPr>
          <w:rFonts w:ascii="Baskerville Old Face" w:hAnsi="Baskerville Old Face"/>
        </w:rPr>
        <w:t xml:space="preserve">gathering interventions </w:t>
      </w:r>
      <w:r w:rsidR="00793B48" w:rsidRPr="00CA4D91">
        <w:rPr>
          <w:rFonts w:ascii="Baskerville Old Face" w:hAnsi="Baskerville Old Face"/>
        </w:rPr>
        <w:t xml:space="preserve">is not that they </w:t>
      </w:r>
      <w:r w:rsidR="00D23579" w:rsidRPr="00CA4D91">
        <w:rPr>
          <w:rFonts w:ascii="Baskerville Old Face" w:hAnsi="Baskerville Old Face"/>
        </w:rPr>
        <w:t xml:space="preserve">expose patients to added risks and burdens for the benefit of future patients. </w:t>
      </w:r>
      <w:r w:rsidR="000428ED" w:rsidRPr="00CA4D91">
        <w:rPr>
          <w:rFonts w:ascii="Baskerville Old Face" w:hAnsi="Baskerville Old Face"/>
        </w:rPr>
        <w:t>The problem is that clinicians who engage in innovative practice lack adequate guidance</w:t>
      </w:r>
      <w:r w:rsidR="0095359F" w:rsidRPr="00CA4D91">
        <w:rPr>
          <w:rFonts w:ascii="Baskerville Old Face" w:hAnsi="Baskerville Old Face"/>
        </w:rPr>
        <w:t xml:space="preserve"> </w:t>
      </w:r>
      <w:r w:rsidR="00793B48" w:rsidRPr="00CA4D91">
        <w:rPr>
          <w:rFonts w:ascii="Baskerville Old Face" w:hAnsi="Baskerville Old Face"/>
        </w:rPr>
        <w:t xml:space="preserve">to determine when it is appropriate to </w:t>
      </w:r>
      <w:r w:rsidR="00640EF9" w:rsidRPr="00CA4D91">
        <w:rPr>
          <w:rFonts w:ascii="Baskerville Old Face" w:hAnsi="Baskerville Old Face"/>
        </w:rPr>
        <w:t xml:space="preserve">add </w:t>
      </w:r>
      <w:r w:rsidR="0095359F" w:rsidRPr="00CA4D91">
        <w:rPr>
          <w:rFonts w:ascii="Baskerville Old Face" w:hAnsi="Baskerville Old Face"/>
        </w:rPr>
        <w:t>information-gathering interventions</w:t>
      </w:r>
      <w:r w:rsidR="00351CC4" w:rsidRPr="00CA4D91">
        <w:rPr>
          <w:rFonts w:ascii="Baskerville Old Face" w:hAnsi="Baskerville Old Face"/>
        </w:rPr>
        <w:t xml:space="preserve">. </w:t>
      </w:r>
      <w:r w:rsidR="00D23579" w:rsidRPr="00CA4D91">
        <w:rPr>
          <w:rFonts w:ascii="Baskerville Old Face" w:hAnsi="Baskerville Old Face"/>
        </w:rPr>
        <w:t>Develo</w:t>
      </w:r>
      <w:r w:rsidR="006C01FB" w:rsidRPr="00CA4D91">
        <w:rPr>
          <w:rFonts w:ascii="Baskerville Old Face" w:hAnsi="Baskerville Old Face"/>
        </w:rPr>
        <w:t xml:space="preserve">ping </w:t>
      </w:r>
      <w:r w:rsidR="00640EF9" w:rsidRPr="00CA4D91">
        <w:rPr>
          <w:rFonts w:ascii="Baskerville Old Face" w:hAnsi="Baskerville Old Face"/>
        </w:rPr>
        <w:t>specific guidance</w:t>
      </w:r>
      <w:r w:rsidR="006C01FB" w:rsidRPr="00CA4D91">
        <w:rPr>
          <w:rFonts w:ascii="Baskerville Old Face" w:hAnsi="Baskerville Old Face"/>
        </w:rPr>
        <w:t xml:space="preserve"> </w:t>
      </w:r>
      <w:r w:rsidR="00F803D4" w:rsidRPr="00CA4D91">
        <w:rPr>
          <w:rFonts w:ascii="Baskerville Old Face" w:hAnsi="Baskerville Old Face"/>
        </w:rPr>
        <w:t>encourag</w:t>
      </w:r>
      <w:r w:rsidR="00640EF9" w:rsidRPr="00CA4D91">
        <w:rPr>
          <w:rFonts w:ascii="Baskerville Old Face" w:hAnsi="Baskerville Old Face"/>
        </w:rPr>
        <w:t>ing</w:t>
      </w:r>
      <w:r w:rsidR="00F803D4" w:rsidRPr="00CA4D91">
        <w:rPr>
          <w:rFonts w:ascii="Baskerville Old Face" w:hAnsi="Baskerville Old Face"/>
        </w:rPr>
        <w:t xml:space="preserve"> the use of </w:t>
      </w:r>
      <w:r w:rsidR="00640EF9" w:rsidRPr="00CA4D91">
        <w:rPr>
          <w:rFonts w:ascii="Baskerville Old Face" w:hAnsi="Baskerville Old Face"/>
        </w:rPr>
        <w:t xml:space="preserve">appropriate </w:t>
      </w:r>
      <w:r w:rsidR="00F803D4" w:rsidRPr="00CA4D91">
        <w:rPr>
          <w:rFonts w:ascii="Baskerville Old Face" w:hAnsi="Baskerville Old Face"/>
        </w:rPr>
        <w:t>information-gathering interventions</w:t>
      </w:r>
      <w:r w:rsidR="00D23579" w:rsidRPr="00CA4D91">
        <w:rPr>
          <w:rFonts w:ascii="Baskerville Old Face" w:hAnsi="Baskerville Old Face"/>
        </w:rPr>
        <w:t xml:space="preserve"> </w:t>
      </w:r>
      <w:r w:rsidR="00640EF9" w:rsidRPr="00CA4D91">
        <w:rPr>
          <w:rFonts w:ascii="Baskerville Old Face" w:hAnsi="Baskerville Old Face"/>
        </w:rPr>
        <w:t>as part of comprehensive guidelines for</w:t>
      </w:r>
      <w:r w:rsidR="00F91F11" w:rsidRPr="00CA4D91">
        <w:rPr>
          <w:rFonts w:ascii="Baskerville Old Face" w:hAnsi="Baskerville Old Face"/>
        </w:rPr>
        <w:t xml:space="preserve"> innovative practice </w:t>
      </w:r>
      <w:r w:rsidR="00AD0A3E" w:rsidRPr="00CA4D91">
        <w:rPr>
          <w:rFonts w:ascii="Baskerville Old Face" w:hAnsi="Baskerville Old Face"/>
        </w:rPr>
        <w:t xml:space="preserve">therefore should </w:t>
      </w:r>
      <w:r w:rsidR="00D23579" w:rsidRPr="00CA4D91">
        <w:rPr>
          <w:rFonts w:ascii="Baskerville Old Face" w:hAnsi="Baskerville Old Face"/>
        </w:rPr>
        <w:t>be a priority.</w:t>
      </w:r>
    </w:p>
    <w:p w14:paraId="16D398ED" w14:textId="77777777" w:rsidR="008C7C96" w:rsidRPr="00CA4D91" w:rsidRDefault="008C7C96" w:rsidP="0088238C">
      <w:pPr>
        <w:spacing w:line="480" w:lineRule="auto"/>
        <w:ind w:firstLine="720"/>
        <w:contextualSpacing/>
        <w:rPr>
          <w:rFonts w:ascii="Baskerville Old Face" w:hAnsi="Baskerville Old Face"/>
        </w:rPr>
      </w:pPr>
    </w:p>
    <w:p w14:paraId="10853420" w14:textId="1A5DD28B" w:rsidR="0091420A" w:rsidRPr="00CA4D91" w:rsidRDefault="000017E6" w:rsidP="0091420A">
      <w:pPr>
        <w:spacing w:line="480" w:lineRule="auto"/>
        <w:contextualSpacing/>
        <w:rPr>
          <w:rFonts w:ascii="Baskerville Old Face" w:hAnsi="Baskerville Old Face"/>
          <w:b/>
          <w:i/>
        </w:rPr>
      </w:pPr>
      <w:bookmarkStart w:id="1" w:name="_Hlk37871712"/>
      <w:bookmarkStart w:id="2" w:name="_Hlk37871967"/>
      <w:r w:rsidRPr="00CA4D91">
        <w:rPr>
          <w:rFonts w:ascii="Baskerville Old Face" w:hAnsi="Baskerville Old Face"/>
          <w:b/>
          <w:i/>
        </w:rPr>
        <w:t xml:space="preserve">Should </w:t>
      </w:r>
      <w:r w:rsidR="0095619B" w:rsidRPr="00CA4D91">
        <w:rPr>
          <w:rFonts w:ascii="Baskerville Old Face" w:hAnsi="Baskerville Old Face"/>
          <w:b/>
          <w:i/>
        </w:rPr>
        <w:t>Information-Gathering Interventions</w:t>
      </w:r>
      <w:r w:rsidRPr="00CA4D91">
        <w:rPr>
          <w:rFonts w:ascii="Baskerville Old Face" w:hAnsi="Baskerville Old Face"/>
          <w:b/>
          <w:i/>
        </w:rPr>
        <w:t xml:space="preserve"> </w:t>
      </w:r>
      <w:r w:rsidR="005164C3" w:rsidRPr="00CA4D91">
        <w:rPr>
          <w:rFonts w:ascii="Baskerville Old Face" w:hAnsi="Baskerville Old Face"/>
          <w:b/>
          <w:i/>
        </w:rPr>
        <w:t xml:space="preserve">Be Subject </w:t>
      </w:r>
      <w:r w:rsidRPr="00CA4D91">
        <w:rPr>
          <w:rFonts w:ascii="Baskerville Old Face" w:hAnsi="Baskerville Old Face"/>
          <w:b/>
          <w:i/>
        </w:rPr>
        <w:t>to Research Oversight?</w:t>
      </w:r>
      <w:bookmarkEnd w:id="1"/>
      <w:bookmarkEnd w:id="2"/>
    </w:p>
    <w:p w14:paraId="5F5FFE71" w14:textId="32254B9F" w:rsidR="0091420A" w:rsidRPr="00CA4D91" w:rsidRDefault="006C01FB" w:rsidP="0088238C">
      <w:pPr>
        <w:spacing w:line="480" w:lineRule="auto"/>
        <w:ind w:firstLine="720"/>
        <w:contextualSpacing/>
        <w:rPr>
          <w:rFonts w:ascii="Baskerville Old Face" w:hAnsi="Baskerville Old Face"/>
        </w:rPr>
      </w:pPr>
      <w:r w:rsidRPr="00CA4D91">
        <w:rPr>
          <w:rFonts w:ascii="Baskerville Old Face" w:hAnsi="Baskerville Old Face"/>
        </w:rPr>
        <w:t xml:space="preserve">Like </w:t>
      </w:r>
      <w:r w:rsidR="00F40260" w:rsidRPr="00CA4D91">
        <w:rPr>
          <w:rFonts w:ascii="Baskerville Old Face" w:hAnsi="Baskerville Old Face"/>
        </w:rPr>
        <w:t>research interventions</w:t>
      </w:r>
      <w:r w:rsidRPr="00CA4D91">
        <w:rPr>
          <w:rFonts w:ascii="Baskerville Old Face" w:hAnsi="Baskerville Old Face"/>
        </w:rPr>
        <w:t xml:space="preserve">, </w:t>
      </w:r>
      <w:r w:rsidR="00F40260" w:rsidRPr="00CA4D91">
        <w:rPr>
          <w:rFonts w:ascii="Baskerville Old Face" w:hAnsi="Baskerville Old Face"/>
        </w:rPr>
        <w:t>information-gathering interventions</w:t>
      </w:r>
      <w:r w:rsidR="000017E6" w:rsidRPr="00CA4D91">
        <w:rPr>
          <w:rFonts w:ascii="Baskerville Old Face" w:hAnsi="Baskerville Old Face"/>
        </w:rPr>
        <w:t xml:space="preserve"> are not </w:t>
      </w:r>
      <w:r w:rsidR="00AD0A3E" w:rsidRPr="00CA4D91">
        <w:rPr>
          <w:rFonts w:ascii="Baskerville Old Face" w:hAnsi="Baskerville Old Face"/>
        </w:rPr>
        <w:t>med</w:t>
      </w:r>
      <w:r w:rsidR="001A4E5C" w:rsidRPr="00CA4D91">
        <w:rPr>
          <w:rFonts w:ascii="Baskerville Old Face" w:hAnsi="Baskerville Old Face"/>
        </w:rPr>
        <w:t>ically</w:t>
      </w:r>
      <w:r w:rsidR="000017E6" w:rsidRPr="00CA4D91">
        <w:rPr>
          <w:rFonts w:ascii="Baskerville Old Face" w:hAnsi="Baskerville Old Face"/>
        </w:rPr>
        <w:t xml:space="preserve"> indicated</w:t>
      </w:r>
      <w:r w:rsidR="00640EF9" w:rsidRPr="00CA4D91">
        <w:rPr>
          <w:rFonts w:ascii="Baskerville Old Face" w:hAnsi="Baskerville Old Face"/>
        </w:rPr>
        <w:t xml:space="preserve"> care</w:t>
      </w:r>
      <w:r w:rsidR="000017E6" w:rsidRPr="00CA4D91">
        <w:rPr>
          <w:rFonts w:ascii="Baskerville Old Face" w:hAnsi="Baskerville Old Face"/>
        </w:rPr>
        <w:t xml:space="preserve"> </w:t>
      </w:r>
      <w:r w:rsidR="00F40260" w:rsidRPr="00CA4D91">
        <w:rPr>
          <w:rFonts w:ascii="Baskerville Old Face" w:hAnsi="Baskerville Old Face"/>
        </w:rPr>
        <w:t>and impose</w:t>
      </w:r>
      <w:r w:rsidR="000017E6" w:rsidRPr="00CA4D91">
        <w:rPr>
          <w:rFonts w:ascii="Baskerville Old Face" w:hAnsi="Baskerville Old Face"/>
        </w:rPr>
        <w:t xml:space="preserve"> risks </w:t>
      </w:r>
      <w:r w:rsidR="001F2722" w:rsidRPr="00CA4D91">
        <w:rPr>
          <w:rFonts w:ascii="Baskerville Old Face" w:hAnsi="Baskerville Old Face"/>
        </w:rPr>
        <w:t xml:space="preserve">and burdens </w:t>
      </w:r>
      <w:r w:rsidR="000017E6" w:rsidRPr="00CA4D91">
        <w:rPr>
          <w:rFonts w:ascii="Baskerville Old Face" w:hAnsi="Baskerville Old Face"/>
        </w:rPr>
        <w:t xml:space="preserve">on patients for the </w:t>
      </w:r>
      <w:r w:rsidR="00D23579" w:rsidRPr="00CA4D91">
        <w:rPr>
          <w:rFonts w:ascii="Baskerville Old Face" w:hAnsi="Baskerville Old Face"/>
        </w:rPr>
        <w:t>benefit</w:t>
      </w:r>
      <w:r w:rsidR="000017E6" w:rsidRPr="00CA4D91">
        <w:rPr>
          <w:rFonts w:ascii="Baskerville Old Face" w:hAnsi="Baskerville Old Face"/>
        </w:rPr>
        <w:t xml:space="preserve"> of others.</w:t>
      </w:r>
      <w:r w:rsidR="00CB18FE" w:rsidRPr="00CA4D91">
        <w:rPr>
          <w:rFonts w:ascii="Baskerville Old Face" w:hAnsi="Baskerville Old Face"/>
        </w:rPr>
        <w:t xml:space="preserve"> </w:t>
      </w:r>
      <w:r w:rsidR="00F40260" w:rsidRPr="00CA4D91">
        <w:rPr>
          <w:rFonts w:ascii="Baskerville Old Face" w:hAnsi="Baskerville Old Face"/>
        </w:rPr>
        <w:t>W</w:t>
      </w:r>
      <w:r w:rsidR="00CB18FE" w:rsidRPr="00CA4D91">
        <w:rPr>
          <w:rFonts w:ascii="Baskerville Old Face" w:hAnsi="Baskerville Old Face"/>
        </w:rPr>
        <w:t xml:space="preserve">ithout </w:t>
      </w:r>
      <w:r w:rsidR="00F40260" w:rsidRPr="00CA4D91">
        <w:rPr>
          <w:rFonts w:ascii="Baskerville Old Face" w:hAnsi="Baskerville Old Face"/>
        </w:rPr>
        <w:t>adequate</w:t>
      </w:r>
      <w:r w:rsidR="00CB18FE" w:rsidRPr="00CA4D91">
        <w:rPr>
          <w:rFonts w:ascii="Baskerville Old Face" w:hAnsi="Baskerville Old Face"/>
        </w:rPr>
        <w:t xml:space="preserve"> oversight, information-gathering</w:t>
      </w:r>
      <w:r w:rsidRPr="00CA4D91">
        <w:rPr>
          <w:rFonts w:ascii="Baskerville Old Face" w:hAnsi="Baskerville Old Face"/>
        </w:rPr>
        <w:t xml:space="preserve"> interventions</w:t>
      </w:r>
      <w:r w:rsidR="00CB18FE" w:rsidRPr="00CA4D91">
        <w:rPr>
          <w:rFonts w:ascii="Baskerville Old Face" w:hAnsi="Baskerville Old Face"/>
        </w:rPr>
        <w:t xml:space="preserve"> might be </w:t>
      </w:r>
      <w:r w:rsidR="0057557A" w:rsidRPr="00CA4D91">
        <w:rPr>
          <w:rFonts w:ascii="Baskerville Old Face" w:hAnsi="Baskerville Old Face"/>
        </w:rPr>
        <w:t>performed</w:t>
      </w:r>
      <w:r w:rsidR="00E43774" w:rsidRPr="00CA4D91">
        <w:rPr>
          <w:rFonts w:ascii="Baskerville Old Face" w:hAnsi="Baskerville Old Face"/>
        </w:rPr>
        <w:t xml:space="preserve"> when they are </w:t>
      </w:r>
      <w:r w:rsidR="00793B48" w:rsidRPr="00CA4D91">
        <w:rPr>
          <w:rFonts w:ascii="Baskerville Old Face" w:hAnsi="Baskerville Old Face"/>
        </w:rPr>
        <w:t xml:space="preserve">unnecessary, excessively </w:t>
      </w:r>
      <w:r w:rsidR="00CB18FE" w:rsidRPr="00CA4D91">
        <w:rPr>
          <w:rFonts w:ascii="Baskerville Old Face" w:hAnsi="Baskerville Old Face"/>
        </w:rPr>
        <w:t xml:space="preserve">risky, collect only low-value information, or </w:t>
      </w:r>
      <w:r w:rsidR="00D15F7B" w:rsidRPr="00CA4D91">
        <w:rPr>
          <w:rFonts w:ascii="Baskerville Old Face" w:hAnsi="Baskerville Old Face"/>
        </w:rPr>
        <w:t>proceed</w:t>
      </w:r>
      <w:r w:rsidR="00D23579" w:rsidRPr="00CA4D91">
        <w:rPr>
          <w:rFonts w:ascii="Baskerville Old Face" w:hAnsi="Baskerville Old Face"/>
        </w:rPr>
        <w:t xml:space="preserve"> without patients’ </w:t>
      </w:r>
      <w:r w:rsidR="0039727A" w:rsidRPr="00CA4D91">
        <w:rPr>
          <w:rFonts w:ascii="Baskerville Old Face" w:hAnsi="Baskerville Old Face"/>
        </w:rPr>
        <w:t xml:space="preserve">informed </w:t>
      </w:r>
      <w:r w:rsidR="00D23579" w:rsidRPr="00CA4D91">
        <w:rPr>
          <w:rFonts w:ascii="Baskerville Old Face" w:hAnsi="Baskerville Old Face"/>
        </w:rPr>
        <w:t>consent</w:t>
      </w:r>
      <w:r w:rsidR="00CB18FE" w:rsidRPr="00CA4D91">
        <w:rPr>
          <w:rFonts w:ascii="Baskerville Old Face" w:hAnsi="Baskerville Old Face"/>
        </w:rPr>
        <w:t>.</w:t>
      </w:r>
      <w:r w:rsidR="000017E6" w:rsidRPr="00CA4D91">
        <w:rPr>
          <w:rStyle w:val="EndnoteReference"/>
          <w:rFonts w:ascii="Baskerville Old Face" w:hAnsi="Baskerville Old Face"/>
        </w:rPr>
        <w:endnoteReference w:id="16"/>
      </w:r>
      <w:r w:rsidR="000017E6" w:rsidRPr="00CA4D91">
        <w:rPr>
          <w:rFonts w:ascii="Baskerville Old Face" w:hAnsi="Baskerville Old Face"/>
          <w:vertAlign w:val="superscript"/>
        </w:rPr>
        <w:t>,</w:t>
      </w:r>
      <w:r w:rsidR="000017E6" w:rsidRPr="00CA4D91">
        <w:rPr>
          <w:rStyle w:val="EndnoteReference"/>
          <w:rFonts w:ascii="Baskerville Old Face" w:hAnsi="Baskerville Old Face"/>
        </w:rPr>
        <w:endnoteReference w:id="17"/>
      </w:r>
      <w:r w:rsidR="000017E6" w:rsidRPr="00CA4D91">
        <w:rPr>
          <w:rFonts w:ascii="Baskerville Old Face" w:hAnsi="Baskerville Old Face"/>
        </w:rPr>
        <w:t xml:space="preserve"> </w:t>
      </w:r>
      <w:r w:rsidR="0095359F" w:rsidRPr="00CA4D91">
        <w:rPr>
          <w:rFonts w:ascii="Baskerville Old Face" w:hAnsi="Baskerville Old Face"/>
        </w:rPr>
        <w:t xml:space="preserve">This suggests that, although information-gathering interventions </w:t>
      </w:r>
      <w:r w:rsidR="00F40260" w:rsidRPr="00CA4D91">
        <w:rPr>
          <w:rFonts w:ascii="Baskerville Old Face" w:hAnsi="Baskerville Old Face"/>
        </w:rPr>
        <w:t>technically are not research interventions</w:t>
      </w:r>
      <w:r w:rsidR="0095359F" w:rsidRPr="00CA4D91">
        <w:rPr>
          <w:rFonts w:ascii="Baskerville Old Face" w:hAnsi="Baskerville Old Face"/>
        </w:rPr>
        <w:t xml:space="preserve">, it might make sense to </w:t>
      </w:r>
      <w:r w:rsidR="001F2722" w:rsidRPr="00CA4D91">
        <w:rPr>
          <w:rFonts w:ascii="Baskerville Old Face" w:hAnsi="Baskerville Old Face"/>
        </w:rPr>
        <w:t>subject</w:t>
      </w:r>
      <w:r w:rsidR="0095359F" w:rsidRPr="00CA4D91">
        <w:rPr>
          <w:rFonts w:ascii="Baskerville Old Face" w:hAnsi="Baskerville Old Face"/>
        </w:rPr>
        <w:t xml:space="preserve"> them to </w:t>
      </w:r>
      <w:r w:rsidR="00F40260" w:rsidRPr="00CA4D91">
        <w:rPr>
          <w:rFonts w:ascii="Baskerville Old Face" w:hAnsi="Baskerville Old Face"/>
        </w:rPr>
        <w:t xml:space="preserve">national and international </w:t>
      </w:r>
      <w:r w:rsidR="00504F78" w:rsidRPr="00CA4D91">
        <w:rPr>
          <w:rFonts w:ascii="Baskerville Old Face" w:hAnsi="Baskerville Old Face"/>
        </w:rPr>
        <w:t xml:space="preserve">requirements for </w:t>
      </w:r>
      <w:r w:rsidR="00E43774" w:rsidRPr="00CA4D91">
        <w:rPr>
          <w:rFonts w:ascii="Baskerville Old Face" w:hAnsi="Baskerville Old Face"/>
        </w:rPr>
        <w:t>clinical</w:t>
      </w:r>
      <w:r w:rsidR="00504F78" w:rsidRPr="00CA4D91">
        <w:rPr>
          <w:rFonts w:ascii="Baskerville Old Face" w:hAnsi="Baskerville Old Face"/>
        </w:rPr>
        <w:t xml:space="preserve"> research</w:t>
      </w:r>
      <w:r w:rsidR="0057557A" w:rsidRPr="00CA4D91">
        <w:rPr>
          <w:rFonts w:ascii="Baskerville Old Face" w:hAnsi="Baskerville Old Face"/>
        </w:rPr>
        <w:t xml:space="preserve"> oversight</w:t>
      </w:r>
      <w:r w:rsidR="00504F78" w:rsidRPr="00CA4D91">
        <w:rPr>
          <w:rFonts w:ascii="Baskerville Old Face" w:hAnsi="Baskerville Old Face"/>
        </w:rPr>
        <w:t xml:space="preserve">, </w:t>
      </w:r>
      <w:r w:rsidR="00E43774" w:rsidRPr="00CA4D91">
        <w:rPr>
          <w:rFonts w:ascii="Baskerville Old Face" w:hAnsi="Baskerville Old Face"/>
        </w:rPr>
        <w:t>including</w:t>
      </w:r>
      <w:r w:rsidR="00F40260" w:rsidRPr="00CA4D91">
        <w:rPr>
          <w:rFonts w:ascii="Baskerville Old Face" w:hAnsi="Baskerville Old Face"/>
        </w:rPr>
        <w:t xml:space="preserve"> review and approval</w:t>
      </w:r>
      <w:r w:rsidR="0095359F" w:rsidRPr="00CA4D91">
        <w:rPr>
          <w:rFonts w:ascii="Baskerville Old Face" w:hAnsi="Baskerville Old Face"/>
        </w:rPr>
        <w:t xml:space="preserve"> by </w:t>
      </w:r>
      <w:r w:rsidR="00F40260" w:rsidRPr="00CA4D91">
        <w:rPr>
          <w:rFonts w:ascii="Baskerville Old Face" w:hAnsi="Baskerville Old Face"/>
        </w:rPr>
        <w:t>institutional research ethics committees</w:t>
      </w:r>
      <w:r w:rsidR="0095359F" w:rsidRPr="00CA4D91">
        <w:rPr>
          <w:rFonts w:ascii="Baskerville Old Face" w:hAnsi="Baskerville Old Face"/>
        </w:rPr>
        <w:t>.</w:t>
      </w:r>
      <w:r w:rsidR="0095359F" w:rsidRPr="00CA4D91">
        <w:rPr>
          <w:rStyle w:val="EndnoteReference"/>
          <w:rFonts w:ascii="Baskerville Old Face" w:hAnsi="Baskerville Old Face"/>
        </w:rPr>
        <w:endnoteReference w:id="18"/>
      </w:r>
      <w:r w:rsidR="0095359F" w:rsidRPr="00CA4D91">
        <w:rPr>
          <w:rFonts w:ascii="Baskerville Old Face" w:hAnsi="Baskerville Old Face"/>
          <w:vertAlign w:val="superscript"/>
        </w:rPr>
        <w:t>,</w:t>
      </w:r>
      <w:r w:rsidR="0095359F" w:rsidRPr="00CA4D91">
        <w:rPr>
          <w:rStyle w:val="EndnoteReference"/>
          <w:rFonts w:ascii="Baskerville Old Face" w:hAnsi="Baskerville Old Face"/>
        </w:rPr>
        <w:endnoteReference w:id="19"/>
      </w:r>
    </w:p>
    <w:p w14:paraId="3FE9F07E" w14:textId="5BD2E183" w:rsidR="009E095A" w:rsidRPr="00CA4D91" w:rsidRDefault="000017E6" w:rsidP="0088238C">
      <w:pPr>
        <w:spacing w:line="480" w:lineRule="auto"/>
        <w:ind w:firstLine="720"/>
        <w:contextualSpacing/>
        <w:rPr>
          <w:rFonts w:ascii="Baskerville Old Face" w:hAnsi="Baskerville Old Face"/>
        </w:rPr>
      </w:pPr>
      <w:r w:rsidRPr="00CA4D91">
        <w:rPr>
          <w:rFonts w:ascii="Baskerville Old Face" w:hAnsi="Baskerville Old Face"/>
        </w:rPr>
        <w:t xml:space="preserve">Developing a </w:t>
      </w:r>
      <w:r w:rsidR="00E43774" w:rsidRPr="00CA4D91">
        <w:rPr>
          <w:rFonts w:ascii="Baskerville Old Face" w:hAnsi="Baskerville Old Face"/>
        </w:rPr>
        <w:t xml:space="preserve">proposal for </w:t>
      </w:r>
      <w:r w:rsidRPr="00CA4D91">
        <w:rPr>
          <w:rFonts w:ascii="Baskerville Old Face" w:hAnsi="Baskerville Old Face"/>
        </w:rPr>
        <w:t xml:space="preserve">and </w:t>
      </w:r>
      <w:r w:rsidR="00E43774" w:rsidRPr="00CA4D91">
        <w:rPr>
          <w:rFonts w:ascii="Baskerville Old Face" w:hAnsi="Baskerville Old Face"/>
        </w:rPr>
        <w:t xml:space="preserve">approval by institutional research ethics committees </w:t>
      </w:r>
      <w:r w:rsidRPr="00CA4D91">
        <w:rPr>
          <w:rFonts w:ascii="Baskerville Old Face" w:hAnsi="Baskerville Old Face"/>
        </w:rPr>
        <w:t xml:space="preserve">can take months, which </w:t>
      </w:r>
      <w:r w:rsidR="00504F78" w:rsidRPr="00CA4D91">
        <w:rPr>
          <w:rFonts w:ascii="Baskerville Old Face" w:hAnsi="Baskerville Old Face"/>
        </w:rPr>
        <w:t xml:space="preserve">might </w:t>
      </w:r>
      <w:r w:rsidRPr="00CA4D91">
        <w:rPr>
          <w:rFonts w:ascii="Baskerville Old Face" w:hAnsi="Baskerville Old Face"/>
        </w:rPr>
        <w:t xml:space="preserve">prevent </w:t>
      </w:r>
      <w:r w:rsidR="001F2722" w:rsidRPr="00CA4D91">
        <w:rPr>
          <w:rFonts w:ascii="Baskerville Old Face" w:hAnsi="Baskerville Old Face"/>
        </w:rPr>
        <w:t xml:space="preserve">clinicians from </w:t>
      </w:r>
      <w:r w:rsidR="00E43774" w:rsidRPr="00CA4D91">
        <w:rPr>
          <w:rFonts w:ascii="Baskerville Old Face" w:hAnsi="Baskerville Old Face"/>
        </w:rPr>
        <w:t xml:space="preserve">using information-gathering interventions in the context of urgent </w:t>
      </w:r>
      <w:r w:rsidR="001F2722" w:rsidRPr="00CA4D91">
        <w:rPr>
          <w:rFonts w:ascii="Baskerville Old Face" w:hAnsi="Baskerville Old Face"/>
        </w:rPr>
        <w:t>innovative treatments.</w:t>
      </w:r>
      <w:r w:rsidR="0039727A" w:rsidRPr="00CA4D91">
        <w:rPr>
          <w:rFonts w:ascii="Baskerville Old Face" w:hAnsi="Baskerville Old Face"/>
        </w:rPr>
        <w:t xml:space="preserve"> And because they are not engaged in research, clinicians engaged in innovative practice would often be unable to meet research ethics committees’ demands for a formal protocol, refined scientific hypotheses, and plans for systematic data </w:t>
      </w:r>
      <w:r w:rsidR="0039727A" w:rsidRPr="00CA4D91">
        <w:rPr>
          <w:rFonts w:ascii="Baskerville Old Face" w:hAnsi="Baskerville Old Face"/>
        </w:rPr>
        <w:lastRenderedPageBreak/>
        <w:t>collection and statistical analysis.</w:t>
      </w:r>
      <w:r w:rsidR="00885BF5" w:rsidRPr="00CA4D91">
        <w:rPr>
          <w:rFonts w:ascii="Baskerville Old Face" w:hAnsi="Baskerville Old Face"/>
          <w:vertAlign w:val="superscript"/>
        </w:rPr>
        <w:t>6,</w:t>
      </w:r>
      <w:r w:rsidRPr="00CA4D91">
        <w:rPr>
          <w:rStyle w:val="EndnoteReference"/>
          <w:rFonts w:ascii="Baskerville Old Face" w:hAnsi="Baskerville Old Face"/>
        </w:rPr>
        <w:endnoteReference w:id="20"/>
      </w:r>
      <w:r w:rsidRPr="00CA4D91">
        <w:rPr>
          <w:rFonts w:ascii="Baskerville Old Face" w:hAnsi="Baskerville Old Face"/>
        </w:rPr>
        <w:t xml:space="preserve"> </w:t>
      </w:r>
      <w:r w:rsidR="00C13A77" w:rsidRPr="00CA4D91">
        <w:rPr>
          <w:rFonts w:ascii="Baskerville Old Face" w:hAnsi="Baskerville Old Face"/>
        </w:rPr>
        <w:t>These</w:t>
      </w:r>
      <w:r w:rsidR="000B1935" w:rsidRPr="00CA4D91">
        <w:rPr>
          <w:rFonts w:ascii="Baskerville Old Face" w:hAnsi="Baskerville Old Face"/>
        </w:rPr>
        <w:t xml:space="preserve"> </w:t>
      </w:r>
      <w:r w:rsidR="00C13A77" w:rsidRPr="00CA4D91">
        <w:rPr>
          <w:rFonts w:ascii="Baskerville Old Face" w:hAnsi="Baskerville Old Face"/>
        </w:rPr>
        <w:t xml:space="preserve">concerns suggest that </w:t>
      </w:r>
      <w:r w:rsidR="005C214D" w:rsidRPr="00CA4D91">
        <w:rPr>
          <w:rFonts w:ascii="Baskerville Old Face" w:hAnsi="Baskerville Old Face"/>
        </w:rPr>
        <w:t>informati</w:t>
      </w:r>
      <w:r w:rsidR="00C13A77" w:rsidRPr="00CA4D91">
        <w:rPr>
          <w:rFonts w:ascii="Baskerville Old Face" w:hAnsi="Baskerville Old Face"/>
        </w:rPr>
        <w:t>on-gathering</w:t>
      </w:r>
      <w:r w:rsidR="008F46D4" w:rsidRPr="00CA4D91">
        <w:rPr>
          <w:rFonts w:ascii="Baskerville Old Face" w:hAnsi="Baskerville Old Face"/>
        </w:rPr>
        <w:t xml:space="preserve"> interventions</w:t>
      </w:r>
      <w:r w:rsidR="00C13A77" w:rsidRPr="00CA4D91">
        <w:rPr>
          <w:rFonts w:ascii="Baskerville Old Face" w:hAnsi="Baskerville Old Face"/>
        </w:rPr>
        <w:t xml:space="preserve"> </w:t>
      </w:r>
      <w:r w:rsidR="00207DF4" w:rsidRPr="00CA4D91">
        <w:rPr>
          <w:rFonts w:ascii="Baskerville Old Face" w:hAnsi="Baskerville Old Face"/>
        </w:rPr>
        <w:t>in innovative practice</w:t>
      </w:r>
      <w:r w:rsidR="004F0576" w:rsidRPr="00CA4D91">
        <w:rPr>
          <w:rFonts w:ascii="Baskerville Old Face" w:hAnsi="Baskerville Old Face"/>
        </w:rPr>
        <w:t xml:space="preserve"> </w:t>
      </w:r>
      <w:r w:rsidR="00C13A77" w:rsidRPr="00CA4D91">
        <w:rPr>
          <w:rFonts w:ascii="Baskerville Old Face" w:hAnsi="Baskerville Old Face"/>
        </w:rPr>
        <w:t xml:space="preserve">should be subjected </w:t>
      </w:r>
      <w:r w:rsidR="000B1935" w:rsidRPr="00CA4D91">
        <w:rPr>
          <w:rFonts w:ascii="Baskerville Old Face" w:hAnsi="Baskerville Old Face"/>
        </w:rPr>
        <w:t xml:space="preserve">to </w:t>
      </w:r>
      <w:r w:rsidR="00885BF5" w:rsidRPr="00CA4D91">
        <w:rPr>
          <w:rFonts w:ascii="Baskerville Old Face" w:hAnsi="Baskerville Old Face"/>
        </w:rPr>
        <w:t>research oversight</w:t>
      </w:r>
      <w:r w:rsidR="00793B48" w:rsidRPr="00CA4D91">
        <w:rPr>
          <w:rFonts w:ascii="Baskerville Old Face" w:hAnsi="Baskerville Old Face"/>
        </w:rPr>
        <w:t xml:space="preserve"> </w:t>
      </w:r>
      <w:r w:rsidR="00C13A77" w:rsidRPr="00CA4D91">
        <w:rPr>
          <w:rFonts w:ascii="Baskerville Old Face" w:hAnsi="Baskerville Old Face"/>
        </w:rPr>
        <w:t>only if there are no better alternatives for protecting patients.</w:t>
      </w:r>
    </w:p>
    <w:p w14:paraId="30F913E9" w14:textId="25E956F9" w:rsidR="0088238C" w:rsidRPr="00CA4D91" w:rsidRDefault="000B74A2" w:rsidP="0088238C">
      <w:pPr>
        <w:spacing w:line="480" w:lineRule="auto"/>
        <w:ind w:firstLine="720"/>
        <w:contextualSpacing/>
        <w:rPr>
          <w:rFonts w:ascii="Baskerville Old Face" w:hAnsi="Baskerville Old Face"/>
        </w:rPr>
      </w:pPr>
      <w:r w:rsidRPr="00CA4D91">
        <w:rPr>
          <w:rFonts w:ascii="Baskerville Old Face" w:hAnsi="Baskerville Old Face"/>
        </w:rPr>
        <w:t>S</w:t>
      </w:r>
      <w:r w:rsidR="000C3575" w:rsidRPr="00CA4D91">
        <w:rPr>
          <w:rFonts w:ascii="Baskerville Old Face" w:hAnsi="Baskerville Old Face"/>
        </w:rPr>
        <w:t>ome commentators have argued</w:t>
      </w:r>
      <w:r w:rsidRPr="00CA4D91">
        <w:rPr>
          <w:rFonts w:ascii="Baskerville Old Face" w:hAnsi="Baskerville Old Face"/>
        </w:rPr>
        <w:t xml:space="preserve"> to the contrary</w:t>
      </w:r>
      <w:r w:rsidR="000C3575" w:rsidRPr="00CA4D91">
        <w:rPr>
          <w:rFonts w:ascii="Baskerville Old Face" w:hAnsi="Baskerville Old Face"/>
        </w:rPr>
        <w:t xml:space="preserve"> that publishing or otherwise sharing information gleaned from innovative practice constitutes that activity as research, and therefore it must meet ethical and regulatory requirements for research.</w:t>
      </w:r>
      <w:r w:rsidR="000C3575" w:rsidRPr="00CA4D91">
        <w:rPr>
          <w:rFonts w:ascii="Baskerville Old Face" w:hAnsi="Baskerville Old Face"/>
          <w:vertAlign w:val="superscript"/>
        </w:rPr>
        <w:t>17,</w:t>
      </w:r>
      <w:r w:rsidR="000C3575" w:rsidRPr="00CA4D91">
        <w:rPr>
          <w:rStyle w:val="EndnoteReference"/>
          <w:rFonts w:ascii="Baskerville Old Face" w:hAnsi="Baskerville Old Face"/>
        </w:rPr>
        <w:endnoteReference w:id="21"/>
      </w:r>
      <w:r w:rsidR="000C3575" w:rsidRPr="00CA4D91">
        <w:rPr>
          <w:rFonts w:ascii="Baskerville Old Face" w:hAnsi="Baskerville Old Face"/>
          <w:vertAlign w:val="superscript"/>
        </w:rPr>
        <w:t xml:space="preserve"> </w:t>
      </w:r>
      <w:r w:rsidR="000C3575" w:rsidRPr="00CA4D91">
        <w:rPr>
          <w:rFonts w:ascii="Baskerville Old Face" w:hAnsi="Baskerville Old Face"/>
        </w:rPr>
        <w:t xml:space="preserve">However, intending to publish or share information about a clinical activity does not magically transform it into </w:t>
      </w:r>
      <w:r w:rsidR="00171ED3" w:rsidRPr="00CA4D91">
        <w:rPr>
          <w:rFonts w:ascii="Baskerville Old Face" w:hAnsi="Baskerville Old Face"/>
        </w:rPr>
        <w:t xml:space="preserve">clinical </w:t>
      </w:r>
      <w:r w:rsidR="000C3575" w:rsidRPr="00CA4D91">
        <w:rPr>
          <w:rFonts w:ascii="Baskerville Old Face" w:hAnsi="Baskerville Old Face"/>
        </w:rPr>
        <w:t>research</w:t>
      </w:r>
      <w:r w:rsidR="00E43774" w:rsidRPr="00CA4D91">
        <w:rPr>
          <w:rFonts w:ascii="Baskerville Old Face" w:hAnsi="Baskerville Old Face"/>
        </w:rPr>
        <w:t xml:space="preserve">. Absent the possibility of generating </w:t>
      </w:r>
      <w:r w:rsidR="000C3575" w:rsidRPr="00CA4D91">
        <w:rPr>
          <w:rFonts w:ascii="Baskerville Old Face" w:hAnsi="Baskerville Old Face"/>
        </w:rPr>
        <w:t xml:space="preserve">generalizable </w:t>
      </w:r>
      <w:r w:rsidR="00171ED3" w:rsidRPr="00CA4D91">
        <w:rPr>
          <w:rFonts w:ascii="Baskerville Old Face" w:hAnsi="Baskerville Old Face"/>
        </w:rPr>
        <w:t xml:space="preserve">health </w:t>
      </w:r>
      <w:r w:rsidR="000C3575" w:rsidRPr="00CA4D91">
        <w:rPr>
          <w:rFonts w:ascii="Baskerville Old Face" w:hAnsi="Baskerville Old Face"/>
        </w:rPr>
        <w:t>knowledge</w:t>
      </w:r>
      <w:r w:rsidR="00E43774" w:rsidRPr="00CA4D91">
        <w:rPr>
          <w:rFonts w:ascii="Baskerville Old Face" w:hAnsi="Baskerville Old Face"/>
        </w:rPr>
        <w:t>, innovative practice does not constitute research</w:t>
      </w:r>
      <w:r w:rsidR="000C3575" w:rsidRPr="00CA4D91">
        <w:rPr>
          <w:rFonts w:ascii="Baskerville Old Face" w:hAnsi="Baskerville Old Face"/>
        </w:rPr>
        <w:t xml:space="preserve">. </w:t>
      </w:r>
      <w:r w:rsidR="00E43774" w:rsidRPr="00CA4D91">
        <w:rPr>
          <w:rFonts w:ascii="Baskerville Old Face" w:hAnsi="Baskerville Old Face"/>
        </w:rPr>
        <w:t>Of course, c</w:t>
      </w:r>
      <w:r w:rsidR="000C3575" w:rsidRPr="00CA4D91">
        <w:rPr>
          <w:rFonts w:ascii="Baskerville Old Face" w:hAnsi="Baskerville Old Face"/>
        </w:rPr>
        <w:t xml:space="preserve">linicians should proceed with caution </w:t>
      </w:r>
      <w:r w:rsidR="00171ED3" w:rsidRPr="00CA4D91">
        <w:rPr>
          <w:rFonts w:ascii="Baskerville Old Face" w:hAnsi="Baskerville Old Face"/>
        </w:rPr>
        <w:t>when</w:t>
      </w:r>
      <w:r w:rsidR="000C3575" w:rsidRPr="00CA4D91">
        <w:rPr>
          <w:rFonts w:ascii="Baskerville Old Face" w:hAnsi="Baskerville Old Face"/>
        </w:rPr>
        <w:t xml:space="preserve"> communicating about innovative practice, with or without information-gathering interventions, and avoid making claims about safety or efficacy that are not supported by the available evidence. </w:t>
      </w:r>
    </w:p>
    <w:p w14:paraId="28BAB808" w14:textId="77777777" w:rsidR="008C7C96" w:rsidRPr="00CA4D91" w:rsidRDefault="008C7C96" w:rsidP="0088238C">
      <w:pPr>
        <w:spacing w:line="480" w:lineRule="auto"/>
        <w:ind w:firstLine="720"/>
        <w:contextualSpacing/>
        <w:rPr>
          <w:rFonts w:ascii="Baskerville Old Face" w:hAnsi="Baskerville Old Face"/>
        </w:rPr>
      </w:pPr>
    </w:p>
    <w:p w14:paraId="24EC5D5F" w14:textId="442234C2" w:rsidR="0091420A" w:rsidRPr="00CA4D91" w:rsidRDefault="00C13A77" w:rsidP="0091420A">
      <w:pPr>
        <w:spacing w:line="480" w:lineRule="auto"/>
        <w:contextualSpacing/>
        <w:rPr>
          <w:rFonts w:ascii="Baskerville Old Face" w:hAnsi="Baskerville Old Face"/>
        </w:rPr>
      </w:pPr>
      <w:r w:rsidRPr="00CA4D91">
        <w:rPr>
          <w:rFonts w:ascii="Baskerville Old Face" w:hAnsi="Baskerville Old Face"/>
          <w:b/>
          <w:i/>
        </w:rPr>
        <w:t>Ethical Considerations for</w:t>
      </w:r>
      <w:r w:rsidR="0095619B" w:rsidRPr="00CA4D91">
        <w:rPr>
          <w:rFonts w:ascii="Baskerville Old Face" w:hAnsi="Baskerville Old Face"/>
          <w:b/>
          <w:i/>
        </w:rPr>
        <w:t xml:space="preserve"> the Use of</w:t>
      </w:r>
      <w:r w:rsidRPr="00CA4D91">
        <w:rPr>
          <w:rFonts w:ascii="Baskerville Old Face" w:hAnsi="Baskerville Old Face"/>
          <w:b/>
          <w:i/>
        </w:rPr>
        <w:t xml:space="preserve"> </w:t>
      </w:r>
      <w:r w:rsidR="0095619B" w:rsidRPr="00CA4D91">
        <w:rPr>
          <w:rFonts w:ascii="Baskerville Old Face" w:hAnsi="Baskerville Old Face"/>
          <w:b/>
          <w:i/>
        </w:rPr>
        <w:t>Information-Gathering Interventions</w:t>
      </w:r>
    </w:p>
    <w:p w14:paraId="285ABB8A" w14:textId="6F4ECBF8" w:rsidR="0091420A" w:rsidRPr="00CA4D91" w:rsidRDefault="004F46BD" w:rsidP="0088238C">
      <w:pPr>
        <w:spacing w:line="480" w:lineRule="auto"/>
        <w:ind w:firstLine="720"/>
        <w:contextualSpacing/>
        <w:rPr>
          <w:rFonts w:ascii="Baskerville Old Face" w:hAnsi="Baskerville Old Face"/>
        </w:rPr>
      </w:pPr>
      <w:r w:rsidRPr="00CA4D91">
        <w:rPr>
          <w:rFonts w:ascii="Baskerville Old Face" w:hAnsi="Baskerville Old Face"/>
        </w:rPr>
        <w:t xml:space="preserve">Information-gathering interventions in innovative practice </w:t>
      </w:r>
      <w:r w:rsidR="00CA6859" w:rsidRPr="00CA4D91">
        <w:rPr>
          <w:rFonts w:ascii="Baskerville Old Face" w:hAnsi="Baskerville Old Face"/>
        </w:rPr>
        <w:t xml:space="preserve">are </w:t>
      </w:r>
      <w:r w:rsidR="00D15F7B" w:rsidRPr="00CA4D91">
        <w:rPr>
          <w:rFonts w:ascii="Baskerville Old Face" w:hAnsi="Baskerville Old Face"/>
        </w:rPr>
        <w:t>not inherently unethical care or research</w:t>
      </w:r>
      <w:r w:rsidRPr="00CA4D91">
        <w:rPr>
          <w:rFonts w:ascii="Baskerville Old Face" w:hAnsi="Baskerville Old Face"/>
        </w:rPr>
        <w:t xml:space="preserve">, but they nonetheless can raise </w:t>
      </w:r>
      <w:r w:rsidR="00CA6859" w:rsidRPr="00CA4D91">
        <w:rPr>
          <w:rFonts w:ascii="Baskerville Old Face" w:hAnsi="Baskerville Old Face"/>
        </w:rPr>
        <w:t xml:space="preserve">important </w:t>
      </w:r>
      <w:r w:rsidRPr="00CA4D91">
        <w:rPr>
          <w:rFonts w:ascii="Baskerville Old Face" w:hAnsi="Baskerville Old Face"/>
        </w:rPr>
        <w:t xml:space="preserve">ethical </w:t>
      </w:r>
      <w:r w:rsidR="00DB5F28" w:rsidRPr="00CA4D91">
        <w:rPr>
          <w:rFonts w:ascii="Baskerville Old Face" w:hAnsi="Baskerville Old Face"/>
        </w:rPr>
        <w:t>concerns</w:t>
      </w:r>
      <w:r w:rsidRPr="00CA4D91">
        <w:rPr>
          <w:rFonts w:ascii="Baskerville Old Face" w:hAnsi="Baskerville Old Face"/>
        </w:rPr>
        <w:t xml:space="preserve">. </w:t>
      </w:r>
      <w:r w:rsidR="006F0352" w:rsidRPr="00CA4D91">
        <w:rPr>
          <w:rFonts w:ascii="Baskerville Old Face" w:hAnsi="Baskerville Old Face"/>
        </w:rPr>
        <w:t>For example, i</w:t>
      </w:r>
      <w:r w:rsidR="004E3DA2" w:rsidRPr="00CA4D91">
        <w:rPr>
          <w:rFonts w:ascii="Baskerville Old Face" w:hAnsi="Baskerville Old Face"/>
        </w:rPr>
        <w:t xml:space="preserve">t would be unethical for a clinician to conduct multiple lumbar punctures </w:t>
      </w:r>
      <w:r w:rsidR="0000331B" w:rsidRPr="00CA4D91">
        <w:rPr>
          <w:rFonts w:ascii="Baskerville Old Face" w:hAnsi="Baskerville Old Face"/>
        </w:rPr>
        <w:t xml:space="preserve">on a patient to satisfy her </w:t>
      </w:r>
      <w:r w:rsidR="00207DF4" w:rsidRPr="00CA4D91">
        <w:rPr>
          <w:rFonts w:ascii="Baskerville Old Face" w:hAnsi="Baskerville Old Face"/>
        </w:rPr>
        <w:t xml:space="preserve">academic </w:t>
      </w:r>
      <w:r w:rsidR="0000331B" w:rsidRPr="00CA4D91">
        <w:rPr>
          <w:rFonts w:ascii="Baskerville Old Face" w:hAnsi="Baskerville Old Face"/>
        </w:rPr>
        <w:t xml:space="preserve">curiosity about </w:t>
      </w:r>
      <w:r w:rsidR="00D129C0" w:rsidRPr="00CA4D91">
        <w:rPr>
          <w:rFonts w:ascii="Baskerville Old Face" w:hAnsi="Baskerville Old Face"/>
        </w:rPr>
        <w:t>an innovat</w:t>
      </w:r>
      <w:r w:rsidRPr="00CA4D91">
        <w:rPr>
          <w:rFonts w:ascii="Baskerville Old Face" w:hAnsi="Baskerville Old Face"/>
        </w:rPr>
        <w:t>ive treatment</w:t>
      </w:r>
      <w:r w:rsidR="0007097D" w:rsidRPr="00CA4D91">
        <w:rPr>
          <w:rFonts w:ascii="Baskerville Old Face" w:hAnsi="Baskerville Old Face"/>
        </w:rPr>
        <w:t>’s</w:t>
      </w:r>
      <w:r w:rsidR="00604A08" w:rsidRPr="00CA4D91">
        <w:rPr>
          <w:rFonts w:ascii="Baskerville Old Face" w:hAnsi="Baskerville Old Face"/>
        </w:rPr>
        <w:t xml:space="preserve"> </w:t>
      </w:r>
      <w:r w:rsidR="0000331B" w:rsidRPr="00CA4D91">
        <w:rPr>
          <w:rFonts w:ascii="Baskerville Old Face" w:hAnsi="Baskerville Old Face"/>
        </w:rPr>
        <w:t xml:space="preserve">effects on the central nervous system. </w:t>
      </w:r>
      <w:r w:rsidR="00604A08" w:rsidRPr="00CA4D91">
        <w:rPr>
          <w:rFonts w:ascii="Baskerville Old Face" w:hAnsi="Baskerville Old Face"/>
        </w:rPr>
        <w:t xml:space="preserve">It </w:t>
      </w:r>
      <w:r w:rsidR="0000331B" w:rsidRPr="00CA4D91">
        <w:rPr>
          <w:rFonts w:ascii="Baskerville Old Face" w:hAnsi="Baskerville Old Face"/>
        </w:rPr>
        <w:t xml:space="preserve">would </w:t>
      </w:r>
      <w:r w:rsidR="00604A08" w:rsidRPr="00CA4D91">
        <w:rPr>
          <w:rFonts w:ascii="Baskerville Old Face" w:hAnsi="Baskerville Old Face"/>
        </w:rPr>
        <w:t xml:space="preserve">also </w:t>
      </w:r>
      <w:r w:rsidR="0000331B" w:rsidRPr="00CA4D91">
        <w:rPr>
          <w:rFonts w:ascii="Baskerville Old Face" w:hAnsi="Baskerville Old Face"/>
        </w:rPr>
        <w:t xml:space="preserve">be unethical for a clinician to </w:t>
      </w:r>
      <w:r w:rsidR="00660925" w:rsidRPr="00CA4D91">
        <w:rPr>
          <w:rFonts w:ascii="Baskerville Old Face" w:hAnsi="Baskerville Old Face"/>
        </w:rPr>
        <w:t xml:space="preserve">conduct an </w:t>
      </w:r>
      <w:r w:rsidRPr="00CA4D91">
        <w:rPr>
          <w:rFonts w:ascii="Baskerville Old Face" w:hAnsi="Baskerville Old Face"/>
        </w:rPr>
        <w:t>information-gathering</w:t>
      </w:r>
      <w:r w:rsidR="00660925" w:rsidRPr="00CA4D91">
        <w:rPr>
          <w:rFonts w:ascii="Baskerville Old Face" w:hAnsi="Baskerville Old Face"/>
        </w:rPr>
        <w:t xml:space="preserve"> </w:t>
      </w:r>
      <w:r w:rsidR="0000331B" w:rsidRPr="00CA4D91">
        <w:rPr>
          <w:rFonts w:ascii="Baskerville Old Face" w:hAnsi="Baskerville Old Face"/>
        </w:rPr>
        <w:t xml:space="preserve">psychological evaluation that </w:t>
      </w:r>
      <w:r w:rsidR="00F41F56" w:rsidRPr="00CA4D91">
        <w:rPr>
          <w:rFonts w:ascii="Baskerville Old Face" w:hAnsi="Baskerville Old Face"/>
        </w:rPr>
        <w:t>she has misled her patient into believing</w:t>
      </w:r>
      <w:r w:rsidR="0000331B" w:rsidRPr="00CA4D91">
        <w:rPr>
          <w:rFonts w:ascii="Baskerville Old Face" w:hAnsi="Baskerville Old Face"/>
        </w:rPr>
        <w:t xml:space="preserve"> </w:t>
      </w:r>
      <w:r w:rsidR="00D129C0" w:rsidRPr="00CA4D91">
        <w:rPr>
          <w:rFonts w:ascii="Baskerville Old Face" w:hAnsi="Baskerville Old Face"/>
        </w:rPr>
        <w:t>is</w:t>
      </w:r>
      <w:r w:rsidR="0000331B" w:rsidRPr="00CA4D91">
        <w:rPr>
          <w:rFonts w:ascii="Baskerville Old Face" w:hAnsi="Baskerville Old Face"/>
        </w:rPr>
        <w:t xml:space="preserve"> </w:t>
      </w:r>
      <w:r w:rsidR="00AD0A3E" w:rsidRPr="00CA4D91">
        <w:rPr>
          <w:rFonts w:ascii="Baskerville Old Face" w:hAnsi="Baskerville Old Face"/>
        </w:rPr>
        <w:t>med</w:t>
      </w:r>
      <w:r w:rsidR="001A4E5C" w:rsidRPr="00CA4D91">
        <w:rPr>
          <w:rFonts w:ascii="Baskerville Old Face" w:hAnsi="Baskerville Old Face"/>
        </w:rPr>
        <w:t xml:space="preserve">ically </w:t>
      </w:r>
      <w:r w:rsidR="004E3DA2" w:rsidRPr="00CA4D91">
        <w:rPr>
          <w:rFonts w:ascii="Baskerville Old Face" w:hAnsi="Baskerville Old Face"/>
        </w:rPr>
        <w:t>indicated</w:t>
      </w:r>
      <w:r w:rsidR="00D15F7B" w:rsidRPr="00CA4D91">
        <w:rPr>
          <w:rFonts w:ascii="Baskerville Old Face" w:hAnsi="Baskerville Old Face"/>
        </w:rPr>
        <w:t xml:space="preserve"> care</w:t>
      </w:r>
      <w:r w:rsidR="00BF6D3A" w:rsidRPr="00CA4D91">
        <w:rPr>
          <w:rFonts w:ascii="Baskerville Old Face" w:hAnsi="Baskerville Old Face"/>
        </w:rPr>
        <w:t>.</w:t>
      </w:r>
      <w:r w:rsidR="003B3C26" w:rsidRPr="00CA4D91">
        <w:rPr>
          <w:rFonts w:ascii="Baskerville Old Face" w:hAnsi="Baskerville Old Face"/>
        </w:rPr>
        <w:t xml:space="preserve"> </w:t>
      </w:r>
      <w:r w:rsidR="00F41F56" w:rsidRPr="00CA4D91">
        <w:rPr>
          <w:rFonts w:ascii="Baskerville Old Face" w:hAnsi="Baskerville Old Face"/>
        </w:rPr>
        <w:t>To protect patients</w:t>
      </w:r>
      <w:r w:rsidR="00CA6859" w:rsidRPr="00CA4D91">
        <w:rPr>
          <w:rFonts w:ascii="Baskerville Old Face" w:hAnsi="Baskerville Old Face"/>
        </w:rPr>
        <w:t xml:space="preserve"> </w:t>
      </w:r>
      <w:r w:rsidR="000B74A2" w:rsidRPr="00CA4D91">
        <w:rPr>
          <w:rFonts w:ascii="Baskerville Old Face" w:hAnsi="Baskerville Old Face"/>
        </w:rPr>
        <w:t xml:space="preserve">and avoid </w:t>
      </w:r>
      <w:r w:rsidR="00CA6859" w:rsidRPr="00CA4D91">
        <w:rPr>
          <w:rFonts w:ascii="Baskerville Old Face" w:hAnsi="Baskerville Old Face"/>
        </w:rPr>
        <w:t>subjecting</w:t>
      </w:r>
      <w:r w:rsidR="00F41F56" w:rsidRPr="00CA4D91">
        <w:rPr>
          <w:rFonts w:ascii="Baskerville Old Face" w:hAnsi="Baskerville Old Face"/>
        </w:rPr>
        <w:t xml:space="preserve"> </w:t>
      </w:r>
      <w:r w:rsidR="003B3C26" w:rsidRPr="00CA4D91">
        <w:rPr>
          <w:rFonts w:ascii="Baskerville Old Face" w:hAnsi="Baskerville Old Face"/>
        </w:rPr>
        <w:t xml:space="preserve">information-gathering interventions to </w:t>
      </w:r>
      <w:r w:rsidR="006F0352" w:rsidRPr="00CA4D91">
        <w:rPr>
          <w:rFonts w:ascii="Baskerville Old Face" w:hAnsi="Baskerville Old Face"/>
        </w:rPr>
        <w:t>inappropriate research oversight</w:t>
      </w:r>
      <w:r w:rsidR="003B3C26" w:rsidRPr="00CA4D91">
        <w:rPr>
          <w:rFonts w:ascii="Baskerville Old Face" w:hAnsi="Baskerville Old Face"/>
        </w:rPr>
        <w:t xml:space="preserve">, guidelines </w:t>
      </w:r>
      <w:r w:rsidR="00DC0B1B" w:rsidRPr="00CA4D91">
        <w:rPr>
          <w:rFonts w:ascii="Baskerville Old Face" w:hAnsi="Baskerville Old Face"/>
        </w:rPr>
        <w:t>for</w:t>
      </w:r>
      <w:r w:rsidR="003B3C26" w:rsidRPr="00CA4D91">
        <w:rPr>
          <w:rFonts w:ascii="Baskerville Old Face" w:hAnsi="Baskerville Old Face"/>
        </w:rPr>
        <w:t xml:space="preserve"> innovative practice </w:t>
      </w:r>
      <w:r w:rsidR="006F0352" w:rsidRPr="00CA4D91">
        <w:rPr>
          <w:rFonts w:ascii="Baskerville Old Face" w:hAnsi="Baskerville Old Face"/>
        </w:rPr>
        <w:t xml:space="preserve">need to </w:t>
      </w:r>
      <w:r w:rsidR="003B3C26" w:rsidRPr="00CA4D91">
        <w:rPr>
          <w:rFonts w:ascii="Baskerville Old Face" w:hAnsi="Baskerville Old Face"/>
        </w:rPr>
        <w:t xml:space="preserve">include </w:t>
      </w:r>
      <w:r w:rsidR="006F0352" w:rsidRPr="00CA4D91">
        <w:rPr>
          <w:rFonts w:ascii="Baskerville Old Face" w:hAnsi="Baskerville Old Face"/>
        </w:rPr>
        <w:t xml:space="preserve">specific </w:t>
      </w:r>
      <w:r w:rsidR="00DC0B1B" w:rsidRPr="00CA4D91">
        <w:rPr>
          <w:rFonts w:ascii="Baskerville Old Face" w:hAnsi="Baskerville Old Face"/>
        </w:rPr>
        <w:t>guidance on</w:t>
      </w:r>
      <w:r w:rsidR="003B3C26" w:rsidRPr="00CA4D91">
        <w:rPr>
          <w:rFonts w:ascii="Baskerville Old Face" w:hAnsi="Baskerville Old Face"/>
        </w:rPr>
        <w:t xml:space="preserve"> </w:t>
      </w:r>
      <w:r w:rsidR="00B1507D" w:rsidRPr="00CA4D91">
        <w:rPr>
          <w:rFonts w:ascii="Baskerville Old Face" w:hAnsi="Baskerville Old Face"/>
        </w:rPr>
        <w:t xml:space="preserve">the use of </w:t>
      </w:r>
      <w:r w:rsidR="003B3C26" w:rsidRPr="00CA4D91">
        <w:rPr>
          <w:rFonts w:ascii="Baskerville Old Face" w:hAnsi="Baskerville Old Face"/>
        </w:rPr>
        <w:t>information-gathering interventions (see Table</w:t>
      </w:r>
      <w:r w:rsidR="00C705DE" w:rsidRPr="00CA4D91">
        <w:rPr>
          <w:rFonts w:ascii="Baskerville Old Face" w:hAnsi="Baskerville Old Face"/>
        </w:rPr>
        <w:t xml:space="preserve"> 1</w:t>
      </w:r>
      <w:r w:rsidR="003B3C26" w:rsidRPr="00CA4D91">
        <w:rPr>
          <w:rFonts w:ascii="Baskerville Old Face" w:hAnsi="Baskerville Old Face"/>
        </w:rPr>
        <w:t xml:space="preserve">). </w:t>
      </w:r>
    </w:p>
    <w:p w14:paraId="41811E93" w14:textId="3CF3CC99" w:rsidR="00E43774" w:rsidRPr="00CA4D91" w:rsidRDefault="00E43774" w:rsidP="0088238C">
      <w:pPr>
        <w:spacing w:line="480" w:lineRule="auto"/>
        <w:ind w:firstLine="720"/>
        <w:contextualSpacing/>
        <w:rPr>
          <w:rFonts w:ascii="Baskerville Old Face" w:hAnsi="Baskerville Old Face"/>
        </w:rPr>
      </w:pPr>
      <w:r w:rsidRPr="00CA4D91">
        <w:rPr>
          <w:rFonts w:ascii="Baskerville Old Face" w:hAnsi="Baskerville Old Face"/>
        </w:rPr>
        <w:t>Existing proposals</w:t>
      </w:r>
      <w:r w:rsidR="00285703" w:rsidRPr="00CA4D91">
        <w:rPr>
          <w:rFonts w:ascii="Baskerville Old Face" w:hAnsi="Baskerville Old Face"/>
        </w:rPr>
        <w:t xml:space="preserve"> </w:t>
      </w:r>
      <w:r w:rsidR="00976BF8" w:rsidRPr="00CA4D91">
        <w:rPr>
          <w:rFonts w:ascii="Baskerville Old Face" w:hAnsi="Baskerville Old Face"/>
        </w:rPr>
        <w:t xml:space="preserve">state </w:t>
      </w:r>
      <w:r w:rsidR="00285703" w:rsidRPr="00CA4D91">
        <w:rPr>
          <w:rFonts w:ascii="Baskerville Old Face" w:hAnsi="Baskerville Old Face"/>
        </w:rPr>
        <w:t xml:space="preserve">that ad hoc or standing committees in health care institutions </w:t>
      </w:r>
      <w:r w:rsidR="0037295B" w:rsidRPr="00CA4D91">
        <w:rPr>
          <w:rFonts w:ascii="Baskerville Old Face" w:hAnsi="Baskerville Old Face"/>
        </w:rPr>
        <w:t xml:space="preserve">should </w:t>
      </w:r>
      <w:r w:rsidR="00285703" w:rsidRPr="00CA4D91">
        <w:rPr>
          <w:rFonts w:ascii="Baskerville Old Face" w:hAnsi="Baskerville Old Face"/>
        </w:rPr>
        <w:t xml:space="preserve">prospectively review </w:t>
      </w:r>
      <w:r w:rsidR="00193A52" w:rsidRPr="00CA4D91">
        <w:rPr>
          <w:rFonts w:ascii="Baskerville Old Face" w:hAnsi="Baskerville Old Face"/>
        </w:rPr>
        <w:t xml:space="preserve">plans </w:t>
      </w:r>
      <w:r w:rsidR="00285703" w:rsidRPr="00CA4D91">
        <w:rPr>
          <w:rFonts w:ascii="Baskerville Old Face" w:hAnsi="Baskerville Old Face"/>
        </w:rPr>
        <w:t>for innovative practice.</w:t>
      </w:r>
      <w:r w:rsidR="00B1507D" w:rsidRPr="00CA4D91">
        <w:rPr>
          <w:rFonts w:ascii="Baskerville Old Face" w:hAnsi="Baskerville Old Face"/>
          <w:vertAlign w:val="superscript"/>
        </w:rPr>
        <w:t>7</w:t>
      </w:r>
      <w:r w:rsidR="00F91F11" w:rsidRPr="00CA4D91">
        <w:rPr>
          <w:rFonts w:ascii="Baskerville Old Face" w:hAnsi="Baskerville Old Face"/>
          <w:vertAlign w:val="superscript"/>
        </w:rPr>
        <w:softHyphen/>
      </w:r>
      <w:r w:rsidR="00F91F11" w:rsidRPr="00CA4D91">
        <w:rPr>
          <w:rFonts w:ascii="Baskerville Old Face" w:hAnsi="Baskerville Old Face"/>
          <w:vertAlign w:val="superscript"/>
        </w:rPr>
        <w:softHyphen/>
      </w:r>
      <w:r w:rsidR="00F91F11" w:rsidRPr="00CA4D91">
        <w:rPr>
          <w:rFonts w:ascii="Baskerville Old Face" w:hAnsi="Baskerville Old Face" w:cs="Times New Roman"/>
          <w:vertAlign w:val="superscript"/>
        </w:rPr>
        <w:t>–</w:t>
      </w:r>
      <w:r w:rsidR="00B1507D" w:rsidRPr="00CA4D91">
        <w:rPr>
          <w:rFonts w:ascii="Baskerville Old Face" w:hAnsi="Baskerville Old Face"/>
          <w:vertAlign w:val="superscript"/>
        </w:rPr>
        <w:t>10</w:t>
      </w:r>
      <w:r w:rsidR="00285703" w:rsidRPr="00CA4D91">
        <w:rPr>
          <w:rFonts w:ascii="Baskerville Old Face" w:hAnsi="Baskerville Old Face"/>
        </w:rPr>
        <w:t xml:space="preserve"> </w:t>
      </w:r>
      <w:r w:rsidR="00976BF8" w:rsidRPr="00CA4D91">
        <w:rPr>
          <w:rFonts w:ascii="Baskerville Old Face" w:hAnsi="Baskerville Old Face"/>
        </w:rPr>
        <w:t>These</w:t>
      </w:r>
      <w:r w:rsidR="00207DF4" w:rsidRPr="00CA4D91">
        <w:rPr>
          <w:rFonts w:ascii="Baskerville Old Face" w:hAnsi="Baskerville Old Face"/>
        </w:rPr>
        <w:t xml:space="preserve"> review</w:t>
      </w:r>
      <w:r w:rsidR="00976BF8" w:rsidRPr="00CA4D91">
        <w:rPr>
          <w:rFonts w:ascii="Baskerville Old Face" w:hAnsi="Baskerville Old Face"/>
        </w:rPr>
        <w:t>s</w:t>
      </w:r>
      <w:r w:rsidR="00207DF4" w:rsidRPr="00CA4D91">
        <w:rPr>
          <w:rFonts w:ascii="Baskerville Old Face" w:hAnsi="Baskerville Old Face"/>
        </w:rPr>
        <w:t xml:space="preserve"> should </w:t>
      </w:r>
      <w:r w:rsidR="00B1507D" w:rsidRPr="00CA4D91">
        <w:rPr>
          <w:rFonts w:ascii="Baskerville Old Face" w:hAnsi="Baskerville Old Face"/>
        </w:rPr>
        <w:t xml:space="preserve">evaluate whether </w:t>
      </w:r>
      <w:r w:rsidR="004F46BD" w:rsidRPr="00CA4D91">
        <w:rPr>
          <w:rFonts w:ascii="Baskerville Old Face" w:hAnsi="Baskerville Old Face"/>
        </w:rPr>
        <w:lastRenderedPageBreak/>
        <w:t xml:space="preserve">the proposed innovative </w:t>
      </w:r>
      <w:r w:rsidR="00B1507D" w:rsidRPr="00CA4D91">
        <w:rPr>
          <w:rFonts w:ascii="Baskerville Old Face" w:hAnsi="Baskerville Old Face"/>
        </w:rPr>
        <w:t xml:space="preserve">practice </w:t>
      </w:r>
      <w:r w:rsidR="00285703" w:rsidRPr="00CA4D91">
        <w:rPr>
          <w:rFonts w:ascii="Baskerville Old Face" w:hAnsi="Baskerville Old Face"/>
        </w:rPr>
        <w:t>offers patient</w:t>
      </w:r>
      <w:r w:rsidR="00B1507D" w:rsidRPr="00CA4D91">
        <w:rPr>
          <w:rFonts w:ascii="Baskerville Old Face" w:hAnsi="Baskerville Old Face"/>
        </w:rPr>
        <w:t>s</w:t>
      </w:r>
      <w:r w:rsidR="00285703" w:rsidRPr="00CA4D91">
        <w:rPr>
          <w:rFonts w:ascii="Baskerville Old Face" w:hAnsi="Baskerville Old Face"/>
        </w:rPr>
        <w:t xml:space="preserve"> a reasonable chance of benefit and </w:t>
      </w:r>
      <w:r w:rsidR="008A0FA8" w:rsidRPr="00CA4D91">
        <w:rPr>
          <w:rFonts w:ascii="Baskerville Old Face" w:hAnsi="Baskerville Old Face"/>
        </w:rPr>
        <w:t xml:space="preserve">should </w:t>
      </w:r>
      <w:r w:rsidR="00285703" w:rsidRPr="00CA4D91">
        <w:rPr>
          <w:rFonts w:ascii="Baskerville Old Face" w:hAnsi="Baskerville Old Face"/>
        </w:rPr>
        <w:t xml:space="preserve">require enhanced informed consent procedures to ensure </w:t>
      </w:r>
      <w:r w:rsidR="00DB5F28" w:rsidRPr="00CA4D91">
        <w:rPr>
          <w:rFonts w:ascii="Baskerville Old Face" w:hAnsi="Baskerville Old Face"/>
        </w:rPr>
        <w:t>patients understand the</w:t>
      </w:r>
      <w:r w:rsidR="00976BF8" w:rsidRPr="00CA4D91">
        <w:rPr>
          <w:rFonts w:ascii="Baskerville Old Face" w:hAnsi="Baskerville Old Face"/>
        </w:rPr>
        <w:t xml:space="preserve"> </w:t>
      </w:r>
      <w:r w:rsidR="004D11A9" w:rsidRPr="00CA4D91">
        <w:rPr>
          <w:rFonts w:ascii="Baskerville Old Face" w:hAnsi="Baskerville Old Face"/>
        </w:rPr>
        <w:t xml:space="preserve">treatment’s </w:t>
      </w:r>
      <w:r w:rsidR="008A0FA8" w:rsidRPr="00CA4D91">
        <w:rPr>
          <w:rFonts w:ascii="Baskerville Old Face" w:hAnsi="Baskerville Old Face"/>
        </w:rPr>
        <w:t>innovative nature</w:t>
      </w:r>
      <w:r w:rsidR="00285703" w:rsidRPr="00CA4D91">
        <w:rPr>
          <w:rFonts w:ascii="Baskerville Old Face" w:hAnsi="Baskerville Old Face"/>
        </w:rPr>
        <w:t xml:space="preserve">. </w:t>
      </w:r>
      <w:r w:rsidR="00193A52" w:rsidRPr="00CA4D91">
        <w:rPr>
          <w:rFonts w:ascii="Baskerville Old Face" w:hAnsi="Baskerville Old Face"/>
        </w:rPr>
        <w:t>We argue that</w:t>
      </w:r>
      <w:r w:rsidR="00285703" w:rsidRPr="00CA4D91">
        <w:rPr>
          <w:rFonts w:ascii="Baskerville Old Face" w:hAnsi="Baskerville Old Face"/>
        </w:rPr>
        <w:t xml:space="preserve"> clinicians </w:t>
      </w:r>
      <w:r w:rsidR="00193A52" w:rsidRPr="00CA4D91">
        <w:rPr>
          <w:rFonts w:ascii="Baskerville Old Face" w:hAnsi="Baskerville Old Face"/>
        </w:rPr>
        <w:t xml:space="preserve">also </w:t>
      </w:r>
      <w:r w:rsidR="00285703" w:rsidRPr="00CA4D91">
        <w:rPr>
          <w:rFonts w:ascii="Baskerville Old Face" w:hAnsi="Baskerville Old Face"/>
        </w:rPr>
        <w:t xml:space="preserve">should be required to gather and share </w:t>
      </w:r>
      <w:r w:rsidR="00506937" w:rsidRPr="00CA4D91">
        <w:rPr>
          <w:rFonts w:ascii="Baskerville Old Face" w:hAnsi="Baskerville Old Face"/>
        </w:rPr>
        <w:t xml:space="preserve">valuable </w:t>
      </w:r>
      <w:r w:rsidR="00285703" w:rsidRPr="00CA4D91">
        <w:rPr>
          <w:rFonts w:ascii="Baskerville Old Face" w:hAnsi="Baskerville Old Face"/>
        </w:rPr>
        <w:t xml:space="preserve">information </w:t>
      </w:r>
      <w:r w:rsidR="00506937" w:rsidRPr="00CA4D91">
        <w:rPr>
          <w:rFonts w:ascii="Baskerville Old Face" w:hAnsi="Baskerville Old Face"/>
        </w:rPr>
        <w:t>about</w:t>
      </w:r>
      <w:r w:rsidR="00285703" w:rsidRPr="00CA4D91">
        <w:rPr>
          <w:rFonts w:ascii="Baskerville Old Face" w:hAnsi="Baskerville Old Face"/>
        </w:rPr>
        <w:t xml:space="preserve"> innovative practice whenever </w:t>
      </w:r>
      <w:r w:rsidR="00506937" w:rsidRPr="00CA4D91">
        <w:rPr>
          <w:rFonts w:ascii="Baskerville Old Face" w:hAnsi="Baskerville Old Face"/>
        </w:rPr>
        <w:t>feasible</w:t>
      </w:r>
      <w:r w:rsidR="004F46BD" w:rsidRPr="00CA4D91">
        <w:rPr>
          <w:rFonts w:ascii="Baskerville Old Face" w:hAnsi="Baskerville Old Face"/>
        </w:rPr>
        <w:t xml:space="preserve">, </w:t>
      </w:r>
      <w:r w:rsidR="00193A52" w:rsidRPr="00CA4D91">
        <w:rPr>
          <w:rFonts w:ascii="Baskerville Old Face" w:hAnsi="Baskerville Old Face"/>
        </w:rPr>
        <w:t>potentially by adding</w:t>
      </w:r>
      <w:r w:rsidR="004F46BD" w:rsidRPr="00CA4D91">
        <w:rPr>
          <w:rFonts w:ascii="Baskerville Old Face" w:hAnsi="Baskerville Old Face"/>
        </w:rPr>
        <w:t xml:space="preserve"> information-gathering interventions</w:t>
      </w:r>
      <w:r w:rsidR="003B3C26" w:rsidRPr="00CA4D91">
        <w:rPr>
          <w:rFonts w:ascii="Baskerville Old Face" w:hAnsi="Baskerville Old Face"/>
        </w:rPr>
        <w:t>.</w:t>
      </w:r>
      <w:r w:rsidR="00885BF5" w:rsidRPr="00CA4D91">
        <w:rPr>
          <w:rFonts w:ascii="Baskerville Old Face" w:hAnsi="Baskerville Old Face"/>
        </w:rPr>
        <w:t xml:space="preserve"> </w:t>
      </w:r>
    </w:p>
    <w:p w14:paraId="1D7425BD" w14:textId="6FFCEBCF" w:rsidR="0091420A" w:rsidRPr="00CA4D91" w:rsidRDefault="004F46BD" w:rsidP="0088238C">
      <w:pPr>
        <w:spacing w:line="480" w:lineRule="auto"/>
        <w:ind w:firstLine="720"/>
        <w:contextualSpacing/>
        <w:rPr>
          <w:rFonts w:ascii="Baskerville Old Face" w:hAnsi="Baskerville Old Face"/>
        </w:rPr>
      </w:pPr>
      <w:r w:rsidRPr="00CA4D91">
        <w:rPr>
          <w:rFonts w:ascii="Baskerville Old Face" w:hAnsi="Baskerville Old Face"/>
        </w:rPr>
        <w:t>Engaging in i</w:t>
      </w:r>
      <w:r w:rsidR="004F0576" w:rsidRPr="00CA4D91">
        <w:rPr>
          <w:rFonts w:ascii="Baskerville Old Face" w:hAnsi="Baskerville Old Face"/>
        </w:rPr>
        <w:t xml:space="preserve">nnovative practice without </w:t>
      </w:r>
      <w:r w:rsidRPr="00CA4D91">
        <w:rPr>
          <w:rFonts w:ascii="Baskerville Old Face" w:hAnsi="Baskerville Old Face"/>
        </w:rPr>
        <w:t>using</w:t>
      </w:r>
      <w:r w:rsidR="00506937" w:rsidRPr="00CA4D91">
        <w:rPr>
          <w:rFonts w:ascii="Baskerville Old Face" w:hAnsi="Baskerville Old Face"/>
        </w:rPr>
        <w:t xml:space="preserve"> appropriate</w:t>
      </w:r>
      <w:r w:rsidR="004F0576" w:rsidRPr="00CA4D91">
        <w:rPr>
          <w:rFonts w:ascii="Baskerville Old Face" w:hAnsi="Baskerville Old Face"/>
        </w:rPr>
        <w:t xml:space="preserve"> information-gathering </w:t>
      </w:r>
      <w:r w:rsidR="00506937" w:rsidRPr="00CA4D91">
        <w:rPr>
          <w:rFonts w:ascii="Baskerville Old Face" w:hAnsi="Baskerville Old Face"/>
        </w:rPr>
        <w:t>interventions can contribute</w:t>
      </w:r>
      <w:r w:rsidR="004F0576" w:rsidRPr="00CA4D91">
        <w:rPr>
          <w:rFonts w:ascii="Baskerville Old Face" w:hAnsi="Baskerville Old Face"/>
        </w:rPr>
        <w:t xml:space="preserve"> to </w:t>
      </w:r>
      <w:r w:rsidR="00506937" w:rsidRPr="00CA4D91">
        <w:rPr>
          <w:rFonts w:ascii="Baskerville Old Face" w:hAnsi="Baskerville Old Face"/>
        </w:rPr>
        <w:t xml:space="preserve">the </w:t>
      </w:r>
      <w:r w:rsidR="004F0576" w:rsidRPr="00CA4D91">
        <w:rPr>
          <w:rFonts w:ascii="Baskerville Old Face" w:hAnsi="Baskerville Old Face"/>
        </w:rPr>
        <w:t xml:space="preserve">widespread adoption of ineffective </w:t>
      </w:r>
      <w:r w:rsidRPr="00CA4D91">
        <w:rPr>
          <w:rFonts w:ascii="Baskerville Old Face" w:hAnsi="Baskerville Old Face"/>
        </w:rPr>
        <w:t xml:space="preserve">medical </w:t>
      </w:r>
      <w:r w:rsidR="00506937" w:rsidRPr="00CA4D91">
        <w:rPr>
          <w:rFonts w:ascii="Baskerville Old Face" w:hAnsi="Baskerville Old Face"/>
        </w:rPr>
        <w:t>innovations</w:t>
      </w:r>
      <w:r w:rsidR="004F0576" w:rsidRPr="00CA4D91">
        <w:rPr>
          <w:rFonts w:ascii="Baskerville Old Face" w:hAnsi="Baskerville Old Face"/>
        </w:rPr>
        <w:t>.</w:t>
      </w:r>
      <w:r w:rsidR="009A472A" w:rsidRPr="00CA4D91">
        <w:rPr>
          <w:rFonts w:ascii="Baskerville Old Face" w:hAnsi="Baskerville Old Face"/>
          <w:vertAlign w:val="superscript"/>
        </w:rPr>
        <w:t>6,</w:t>
      </w:r>
      <w:r w:rsidR="004F0576" w:rsidRPr="00CA4D91">
        <w:rPr>
          <w:rStyle w:val="EndnoteReference"/>
          <w:rFonts w:ascii="Baskerville Old Face" w:hAnsi="Baskerville Old Face"/>
        </w:rPr>
        <w:endnoteReference w:id="22"/>
      </w:r>
      <w:r w:rsidR="004F0576" w:rsidRPr="00CA4D91">
        <w:rPr>
          <w:rFonts w:ascii="Baskerville Old Face" w:hAnsi="Baskerville Old Face"/>
          <w:vertAlign w:val="superscript"/>
        </w:rPr>
        <w:t>,</w:t>
      </w:r>
      <w:r w:rsidR="004F0576" w:rsidRPr="00CA4D91">
        <w:rPr>
          <w:rStyle w:val="EndnoteReference"/>
          <w:rFonts w:ascii="Baskerville Old Face" w:hAnsi="Baskerville Old Face"/>
        </w:rPr>
        <w:endnoteReference w:id="23"/>
      </w:r>
      <w:r w:rsidR="004F0576" w:rsidRPr="00CA4D91">
        <w:rPr>
          <w:rFonts w:ascii="Baskerville Old Face" w:hAnsi="Baskerville Old Face"/>
        </w:rPr>
        <w:t xml:space="preserve"> Prominent examples </w:t>
      </w:r>
      <w:r w:rsidR="00506937" w:rsidRPr="00CA4D91">
        <w:rPr>
          <w:rFonts w:ascii="Baskerville Old Face" w:hAnsi="Baskerville Old Face"/>
        </w:rPr>
        <w:t xml:space="preserve">of </w:t>
      </w:r>
      <w:r w:rsidR="00096F06" w:rsidRPr="00CA4D91">
        <w:rPr>
          <w:rFonts w:ascii="Baskerville Old Face" w:hAnsi="Baskerville Old Face"/>
        </w:rPr>
        <w:t xml:space="preserve">heralded innovative treatments that later proved </w:t>
      </w:r>
      <w:r w:rsidRPr="00CA4D91">
        <w:rPr>
          <w:rFonts w:ascii="Baskerville Old Face" w:hAnsi="Baskerville Old Face"/>
        </w:rPr>
        <w:t xml:space="preserve">ineffective </w:t>
      </w:r>
      <w:r w:rsidR="004F0576" w:rsidRPr="00CA4D91">
        <w:rPr>
          <w:rFonts w:ascii="Baskerville Old Face" w:hAnsi="Baskerville Old Face"/>
        </w:rPr>
        <w:t>include high-dose chemotherapy plus autologous bone marrow transplant for breast cancer</w:t>
      </w:r>
      <w:r w:rsidR="004E571D" w:rsidRPr="00CA4D91">
        <w:rPr>
          <w:rFonts w:ascii="Baskerville Old Face" w:hAnsi="Baskerville Old Face"/>
        </w:rPr>
        <w:t xml:space="preserve"> and percutaneous coronary intervention for stable coronary artery disease</w:t>
      </w:r>
      <w:r w:rsidR="004F0576" w:rsidRPr="00CA4D91">
        <w:rPr>
          <w:rStyle w:val="EndnoteReference"/>
          <w:rFonts w:ascii="Baskerville Old Face" w:hAnsi="Baskerville Old Face"/>
        </w:rPr>
        <w:endnoteReference w:id="24"/>
      </w:r>
      <w:r w:rsidR="004E571D" w:rsidRPr="00CA4D91">
        <w:rPr>
          <w:rFonts w:ascii="Baskerville Old Face" w:hAnsi="Baskerville Old Face"/>
          <w:vertAlign w:val="superscript"/>
        </w:rPr>
        <w:t>,</w:t>
      </w:r>
      <w:r w:rsidR="004F0576" w:rsidRPr="00CA4D91">
        <w:rPr>
          <w:rStyle w:val="EndnoteReference"/>
          <w:rFonts w:ascii="Baskerville Old Face" w:hAnsi="Baskerville Old Face"/>
        </w:rPr>
        <w:endnoteReference w:id="25"/>
      </w:r>
      <w:r w:rsidRPr="00CA4D91">
        <w:rPr>
          <w:rFonts w:ascii="Baskerville Old Face" w:hAnsi="Baskerville Old Face"/>
        </w:rPr>
        <w:t xml:space="preserve"> </w:t>
      </w:r>
      <w:r w:rsidR="0097734B" w:rsidRPr="00CA4D91">
        <w:rPr>
          <w:rFonts w:ascii="Baskerville Old Face" w:hAnsi="Baskerville Old Face"/>
        </w:rPr>
        <w:t xml:space="preserve">Information-gathering interventions are a powerful tool for gaining the kind of early insights that can be </w:t>
      </w:r>
      <w:r w:rsidR="004F0576" w:rsidRPr="00CA4D91">
        <w:rPr>
          <w:rFonts w:ascii="Baskerville Old Face" w:hAnsi="Baskerville Old Face"/>
        </w:rPr>
        <w:t xml:space="preserve">crucial for preventing </w:t>
      </w:r>
      <w:r w:rsidR="00F41F56" w:rsidRPr="00CA4D91">
        <w:rPr>
          <w:rFonts w:ascii="Baskerville Old Face" w:hAnsi="Baskerville Old Face"/>
        </w:rPr>
        <w:t>the spread of harmful and ineffective clinical interventions</w:t>
      </w:r>
      <w:r w:rsidR="0097734B" w:rsidRPr="00CA4D91">
        <w:rPr>
          <w:rFonts w:ascii="Baskerville Old Face" w:hAnsi="Baskerville Old Face"/>
        </w:rPr>
        <w:t>.</w:t>
      </w:r>
      <w:r w:rsidR="00096F06" w:rsidRPr="00CA4D91">
        <w:rPr>
          <w:rFonts w:ascii="Baskerville Old Face" w:hAnsi="Baskerville Old Face"/>
          <w:vertAlign w:val="superscript"/>
        </w:rPr>
        <w:t>9,10</w:t>
      </w:r>
    </w:p>
    <w:p w14:paraId="0CAF70C0" w14:textId="54EF696C" w:rsidR="0091420A" w:rsidRPr="00CA4D91" w:rsidRDefault="00850AF4" w:rsidP="0088238C">
      <w:pPr>
        <w:spacing w:line="480" w:lineRule="auto"/>
        <w:ind w:firstLine="720"/>
        <w:contextualSpacing/>
        <w:rPr>
          <w:rFonts w:ascii="Baskerville Old Face" w:hAnsi="Baskerville Old Face"/>
        </w:rPr>
      </w:pPr>
      <w:r w:rsidRPr="00CA4D91">
        <w:rPr>
          <w:rFonts w:ascii="Baskerville Old Face" w:hAnsi="Baskerville Old Face"/>
        </w:rPr>
        <w:t>Innovative practice should be subjected to prospective review, and r</w:t>
      </w:r>
      <w:r w:rsidR="00C732EF" w:rsidRPr="00CA4D91">
        <w:rPr>
          <w:rFonts w:ascii="Baskerville Old Face" w:hAnsi="Baskerville Old Face"/>
        </w:rPr>
        <w:t>eviewers</w:t>
      </w:r>
      <w:r w:rsidR="003A5CAB" w:rsidRPr="00CA4D91">
        <w:rPr>
          <w:rFonts w:ascii="Baskerville Old Face" w:hAnsi="Baskerville Old Face"/>
        </w:rPr>
        <w:t xml:space="preserve"> should ensure that </w:t>
      </w:r>
      <w:r w:rsidRPr="00CA4D91">
        <w:rPr>
          <w:rFonts w:ascii="Baskerville Old Face" w:hAnsi="Baskerville Old Face"/>
        </w:rPr>
        <w:t xml:space="preserve">clinicians use </w:t>
      </w:r>
      <w:r w:rsidR="00506937" w:rsidRPr="00CA4D91">
        <w:rPr>
          <w:rFonts w:ascii="Baskerville Old Face" w:hAnsi="Baskerville Old Face"/>
        </w:rPr>
        <w:t xml:space="preserve">information-gathering interventions </w:t>
      </w:r>
      <w:r w:rsidR="00976BF8" w:rsidRPr="00CA4D91">
        <w:rPr>
          <w:rFonts w:ascii="Baskerville Old Face" w:hAnsi="Baskerville Old Face"/>
        </w:rPr>
        <w:t xml:space="preserve">when </w:t>
      </w:r>
      <w:r w:rsidR="000428ED" w:rsidRPr="00CA4D91">
        <w:rPr>
          <w:rFonts w:ascii="Baskerville Old Face" w:hAnsi="Baskerville Old Face"/>
        </w:rPr>
        <w:t xml:space="preserve">they </w:t>
      </w:r>
      <w:r w:rsidR="00CA6859" w:rsidRPr="00CA4D91">
        <w:rPr>
          <w:rFonts w:ascii="Baskerville Old Face" w:hAnsi="Baskerville Old Face"/>
        </w:rPr>
        <w:t>can collect information that is valuable for determining how best to</w:t>
      </w:r>
      <w:r w:rsidR="00C732EF" w:rsidRPr="00CA4D91">
        <w:rPr>
          <w:rFonts w:ascii="Baskerville Old Face" w:hAnsi="Baskerville Old Face"/>
        </w:rPr>
        <w:t xml:space="preserve"> treat </w:t>
      </w:r>
      <w:r w:rsidR="00CB5681" w:rsidRPr="00CA4D91">
        <w:rPr>
          <w:rFonts w:ascii="Baskerville Old Face" w:hAnsi="Baskerville Old Face"/>
        </w:rPr>
        <w:t xml:space="preserve">subsequent </w:t>
      </w:r>
      <w:r w:rsidR="00C732EF" w:rsidRPr="00CA4D91">
        <w:rPr>
          <w:rFonts w:ascii="Baskerville Old Face" w:hAnsi="Baskerville Old Face"/>
        </w:rPr>
        <w:t xml:space="preserve">patients or </w:t>
      </w:r>
      <w:r w:rsidR="00CA6859" w:rsidRPr="00CA4D91">
        <w:rPr>
          <w:rFonts w:ascii="Baskerville Old Face" w:hAnsi="Baskerville Old Face"/>
        </w:rPr>
        <w:t xml:space="preserve">how best to design </w:t>
      </w:r>
      <w:r w:rsidR="00976BF8" w:rsidRPr="00CA4D91">
        <w:rPr>
          <w:rFonts w:ascii="Baskerville Old Face" w:hAnsi="Baskerville Old Face"/>
        </w:rPr>
        <w:t>future research</w:t>
      </w:r>
      <w:r w:rsidR="00CA6859" w:rsidRPr="00CA4D91">
        <w:rPr>
          <w:rFonts w:ascii="Baskerville Old Face" w:hAnsi="Baskerville Old Face"/>
        </w:rPr>
        <w:t xml:space="preserve"> studies</w:t>
      </w:r>
      <w:r w:rsidR="00976BF8" w:rsidRPr="00CA4D91">
        <w:rPr>
          <w:rFonts w:ascii="Baskerville Old Face" w:hAnsi="Baskerville Old Face"/>
        </w:rPr>
        <w:t xml:space="preserve">. </w:t>
      </w:r>
      <w:r w:rsidRPr="00CA4D91">
        <w:rPr>
          <w:rFonts w:ascii="Baskerville Old Face" w:hAnsi="Baskerville Old Face"/>
        </w:rPr>
        <w:t xml:space="preserve">As with innovative practice more broadly, oversight of information-gathering interventions can help address potential ethical concerns. Clinicians should minimize the risks and burdens of information-gathering interventions, and generally they should involve only minimal risk. </w:t>
      </w:r>
      <w:r w:rsidR="00976BF8" w:rsidRPr="00CA4D91">
        <w:rPr>
          <w:rFonts w:ascii="Baskerville Old Face" w:hAnsi="Baskerville Old Face"/>
        </w:rPr>
        <w:t xml:space="preserve">Information-gathering interventions that pose greater than minimal risk should be considered only in exceptional circumstances, should </w:t>
      </w:r>
      <w:r w:rsidRPr="00CA4D91">
        <w:rPr>
          <w:rFonts w:ascii="Baskerville Old Face" w:hAnsi="Baskerville Old Face"/>
        </w:rPr>
        <w:t>face more stringent</w:t>
      </w:r>
      <w:r w:rsidR="00976BF8" w:rsidRPr="00CA4D91">
        <w:rPr>
          <w:rFonts w:ascii="Baskerville Old Face" w:hAnsi="Baskerville Old Face"/>
        </w:rPr>
        <w:t xml:space="preserve"> review</w:t>
      </w:r>
      <w:r w:rsidR="00F41F56" w:rsidRPr="00CA4D91">
        <w:rPr>
          <w:rFonts w:ascii="Baskerville Old Face" w:hAnsi="Baskerville Old Face"/>
        </w:rPr>
        <w:t>,</w:t>
      </w:r>
      <w:r w:rsidR="00976BF8" w:rsidRPr="00CA4D91">
        <w:rPr>
          <w:rFonts w:ascii="Baskerville Old Face" w:hAnsi="Baskerville Old Face"/>
        </w:rPr>
        <w:t xml:space="preserve"> and should be permitted only when they </w:t>
      </w:r>
      <w:r w:rsidR="008A0FA8" w:rsidRPr="00CA4D91">
        <w:rPr>
          <w:rFonts w:ascii="Baskerville Old Face" w:hAnsi="Baskerville Old Face"/>
        </w:rPr>
        <w:t>promise significant social</w:t>
      </w:r>
      <w:r w:rsidR="00976BF8" w:rsidRPr="00CA4D91">
        <w:rPr>
          <w:rFonts w:ascii="Baskerville Old Face" w:hAnsi="Baskerville Old Face"/>
        </w:rPr>
        <w:t xml:space="preserve"> value. </w:t>
      </w:r>
      <w:r w:rsidR="00C732EF" w:rsidRPr="00CA4D91">
        <w:rPr>
          <w:rFonts w:ascii="Baskerville Old Face" w:hAnsi="Baskerville Old Face"/>
        </w:rPr>
        <w:t xml:space="preserve">Clinicians should also prospectively inform </w:t>
      </w:r>
      <w:r w:rsidR="00604A08" w:rsidRPr="00CA4D91">
        <w:rPr>
          <w:rFonts w:ascii="Baskerville Old Face" w:hAnsi="Baskerville Old Face"/>
        </w:rPr>
        <w:t xml:space="preserve">patients </w:t>
      </w:r>
      <w:r w:rsidR="001A4E5C" w:rsidRPr="00CA4D91">
        <w:rPr>
          <w:rFonts w:ascii="Baskerville Old Face" w:hAnsi="Baskerville Old Face"/>
        </w:rPr>
        <w:t>that the</w:t>
      </w:r>
      <w:r w:rsidR="00C732EF" w:rsidRPr="00CA4D91">
        <w:rPr>
          <w:rFonts w:ascii="Baskerville Old Face" w:hAnsi="Baskerville Old Face"/>
        </w:rPr>
        <w:t xml:space="preserve"> information-gathering interventions are not intended for their benefit, but rather to help future patients</w:t>
      </w:r>
      <w:r w:rsidR="00604A08" w:rsidRPr="00CA4D91">
        <w:rPr>
          <w:rFonts w:ascii="Baskerville Old Face" w:hAnsi="Baskerville Old Face"/>
        </w:rPr>
        <w:t xml:space="preserve"> who might receive the innovative treatment.</w:t>
      </w:r>
    </w:p>
    <w:p w14:paraId="2BBC710E" w14:textId="7FAC2C92" w:rsidR="0091420A" w:rsidRPr="00CA4D91" w:rsidRDefault="00506937" w:rsidP="0088238C">
      <w:pPr>
        <w:spacing w:line="480" w:lineRule="auto"/>
        <w:ind w:firstLine="720"/>
        <w:contextualSpacing/>
        <w:rPr>
          <w:rFonts w:ascii="Baskerville Old Face" w:hAnsi="Baskerville Old Face"/>
        </w:rPr>
      </w:pPr>
      <w:r w:rsidRPr="00CA4D91">
        <w:rPr>
          <w:rFonts w:ascii="Baskerville Old Face" w:hAnsi="Baskerville Old Face"/>
        </w:rPr>
        <w:lastRenderedPageBreak/>
        <w:t xml:space="preserve">Should patients ever be required to accept </w:t>
      </w:r>
      <w:r w:rsidR="004F0576" w:rsidRPr="00CA4D91">
        <w:rPr>
          <w:rFonts w:ascii="Baskerville Old Face" w:hAnsi="Baskerville Old Face"/>
        </w:rPr>
        <w:t xml:space="preserve">information-gathering interventions </w:t>
      </w:r>
      <w:r w:rsidRPr="00CA4D91">
        <w:rPr>
          <w:rFonts w:ascii="Baskerville Old Face" w:hAnsi="Baskerville Old Face"/>
        </w:rPr>
        <w:t>as a condition of receiving innovative treatment</w:t>
      </w:r>
      <w:r w:rsidR="004F0576" w:rsidRPr="00CA4D91">
        <w:rPr>
          <w:rFonts w:ascii="Baskerville Old Face" w:hAnsi="Baskerville Old Face"/>
        </w:rPr>
        <w:t>?</w:t>
      </w:r>
      <w:r w:rsidR="004F0576" w:rsidRPr="00CA4D91">
        <w:rPr>
          <w:rStyle w:val="EndnoteReference"/>
          <w:rFonts w:ascii="Baskerville Old Face" w:hAnsi="Baskerville Old Face"/>
        </w:rPr>
        <w:endnoteReference w:id="26"/>
      </w:r>
      <w:r w:rsidR="004F0576" w:rsidRPr="00CA4D91">
        <w:rPr>
          <w:rFonts w:ascii="Baskerville Old Face" w:hAnsi="Baskerville Old Face"/>
        </w:rPr>
        <w:t xml:space="preserve"> </w:t>
      </w:r>
      <w:r w:rsidR="0097734B" w:rsidRPr="00CA4D91">
        <w:rPr>
          <w:rFonts w:ascii="Baskerville Old Face" w:hAnsi="Baskerville Old Face"/>
        </w:rPr>
        <w:t xml:space="preserve">It seems appropriate to require patients </w:t>
      </w:r>
      <w:r w:rsidR="004F0576" w:rsidRPr="00CA4D91">
        <w:rPr>
          <w:rFonts w:ascii="Baskerville Old Face" w:hAnsi="Baskerville Old Face"/>
        </w:rPr>
        <w:t xml:space="preserve">to agree to information-gathering interventions that </w:t>
      </w:r>
      <w:r w:rsidR="00CA6859" w:rsidRPr="00CA4D91">
        <w:rPr>
          <w:rFonts w:ascii="Baskerville Old Face" w:hAnsi="Baskerville Old Face"/>
        </w:rPr>
        <w:t xml:space="preserve">collect valuable information and </w:t>
      </w:r>
      <w:r w:rsidR="004F0576" w:rsidRPr="00CA4D91">
        <w:rPr>
          <w:rFonts w:ascii="Baskerville Old Face" w:hAnsi="Baskerville Old Face"/>
        </w:rPr>
        <w:t xml:space="preserve">pose minimal risk, such as an extra blood-draw or survey. </w:t>
      </w:r>
      <w:r w:rsidR="00836007" w:rsidRPr="00CA4D91">
        <w:rPr>
          <w:rFonts w:ascii="Baskerville Old Face" w:hAnsi="Baskerville Old Face"/>
        </w:rPr>
        <w:t xml:space="preserve">Information-gathering interventions that pose greater than minimal risk, however, should be optional for patients. In either case, patients should give their informed consent to all information-gathering interventions, and this requires clinicians to clearly </w:t>
      </w:r>
      <w:r w:rsidR="00DB5F28" w:rsidRPr="00CA4D91">
        <w:rPr>
          <w:rFonts w:ascii="Baskerville Old Face" w:hAnsi="Baskerville Old Face"/>
        </w:rPr>
        <w:t xml:space="preserve">explain that they are not </w:t>
      </w:r>
      <w:r w:rsidR="00D15F7B" w:rsidRPr="00CA4D91">
        <w:rPr>
          <w:rFonts w:ascii="Baskerville Old Face" w:hAnsi="Baskerville Old Face"/>
        </w:rPr>
        <w:t>med</w:t>
      </w:r>
      <w:r w:rsidR="00DB5F28" w:rsidRPr="00CA4D91">
        <w:rPr>
          <w:rFonts w:ascii="Baskerville Old Face" w:hAnsi="Baskerville Old Face"/>
        </w:rPr>
        <w:t>ically indicated for the patient’s health</w:t>
      </w:r>
      <w:r w:rsidR="00836007" w:rsidRPr="00CA4D91">
        <w:rPr>
          <w:rFonts w:ascii="Baskerville Old Face" w:hAnsi="Baskerville Old Face"/>
        </w:rPr>
        <w:t>.</w:t>
      </w:r>
    </w:p>
    <w:p w14:paraId="28DA0C47" w14:textId="418523D5" w:rsidR="004F0576" w:rsidRPr="00CA4D91" w:rsidRDefault="004F0576" w:rsidP="0088238C">
      <w:pPr>
        <w:spacing w:line="480" w:lineRule="auto"/>
        <w:ind w:firstLine="720"/>
        <w:contextualSpacing/>
        <w:rPr>
          <w:rFonts w:ascii="Baskerville Old Face" w:hAnsi="Baskerville Old Face"/>
        </w:rPr>
      </w:pPr>
      <w:r w:rsidRPr="00CA4D91">
        <w:rPr>
          <w:rFonts w:ascii="Baskerville Old Face" w:hAnsi="Baskerville Old Face"/>
        </w:rPr>
        <w:t xml:space="preserve">Innovative practice has yielded both important medical advances as well as harmful failures. The appropriate </w:t>
      </w:r>
      <w:r w:rsidR="00DB5F28" w:rsidRPr="00CA4D91">
        <w:rPr>
          <w:rFonts w:ascii="Baskerville Old Face" w:hAnsi="Baskerville Old Face"/>
        </w:rPr>
        <w:t>oversight</w:t>
      </w:r>
      <w:r w:rsidRPr="00CA4D91">
        <w:rPr>
          <w:rFonts w:ascii="Baskerville Old Face" w:hAnsi="Baskerville Old Face"/>
        </w:rPr>
        <w:t xml:space="preserve"> and use of information-gathering interventions can help clinicians improve future clinical care and prepare for </w:t>
      </w:r>
      <w:r w:rsidR="00836007" w:rsidRPr="00CA4D91">
        <w:rPr>
          <w:rFonts w:ascii="Baskerville Old Face" w:hAnsi="Baskerville Old Face"/>
        </w:rPr>
        <w:t>clinical</w:t>
      </w:r>
      <w:r w:rsidRPr="00CA4D91">
        <w:rPr>
          <w:rFonts w:ascii="Baskerville Old Face" w:hAnsi="Baskerville Old Face"/>
        </w:rPr>
        <w:t xml:space="preserve"> research</w:t>
      </w:r>
      <w:r w:rsidR="008A0FA8" w:rsidRPr="00CA4D91">
        <w:rPr>
          <w:rFonts w:ascii="Baskerville Old Face" w:hAnsi="Baskerville Old Face"/>
        </w:rPr>
        <w:t xml:space="preserve"> </w:t>
      </w:r>
      <w:r w:rsidRPr="00CA4D91">
        <w:rPr>
          <w:rFonts w:ascii="Baskerville Old Face" w:hAnsi="Baskerville Old Face"/>
        </w:rPr>
        <w:t>while minimizing the potential harms of innovative practice.</w:t>
      </w:r>
    </w:p>
    <w:p w14:paraId="6F600656" w14:textId="2ACEB8A5" w:rsidR="0088238C" w:rsidRDefault="0088238C" w:rsidP="0091420A">
      <w:pPr>
        <w:spacing w:line="480" w:lineRule="auto"/>
        <w:contextualSpacing/>
        <w:rPr>
          <w:rFonts w:ascii="Baskerville Old Face" w:hAnsi="Baskerville Old Face"/>
          <w:i/>
        </w:rPr>
      </w:pPr>
    </w:p>
    <w:p w14:paraId="578E609D" w14:textId="0C1D5C9A" w:rsidR="00CA4D91" w:rsidRDefault="00CA4D91" w:rsidP="0091420A">
      <w:pPr>
        <w:spacing w:line="480" w:lineRule="auto"/>
        <w:contextualSpacing/>
        <w:rPr>
          <w:rFonts w:ascii="Baskerville Old Face" w:hAnsi="Baskerville Old Face"/>
          <w:i/>
        </w:rPr>
      </w:pPr>
    </w:p>
    <w:p w14:paraId="5D763332" w14:textId="1A96E84C" w:rsidR="00CA4D91" w:rsidRDefault="00CA4D91" w:rsidP="0091420A">
      <w:pPr>
        <w:spacing w:line="480" w:lineRule="auto"/>
        <w:contextualSpacing/>
        <w:rPr>
          <w:rFonts w:ascii="Baskerville Old Face" w:hAnsi="Baskerville Old Face"/>
          <w:i/>
        </w:rPr>
      </w:pPr>
    </w:p>
    <w:p w14:paraId="2A5A6B00" w14:textId="69C7AC19" w:rsidR="00CA4D91" w:rsidRDefault="00CA4D91" w:rsidP="0091420A">
      <w:pPr>
        <w:spacing w:line="480" w:lineRule="auto"/>
        <w:contextualSpacing/>
        <w:rPr>
          <w:rFonts w:ascii="Baskerville Old Face" w:hAnsi="Baskerville Old Face"/>
          <w:i/>
        </w:rPr>
      </w:pPr>
    </w:p>
    <w:p w14:paraId="2C2237C4" w14:textId="37C21745" w:rsidR="00CA4D91" w:rsidRDefault="00CA4D91" w:rsidP="0091420A">
      <w:pPr>
        <w:spacing w:line="480" w:lineRule="auto"/>
        <w:contextualSpacing/>
        <w:rPr>
          <w:rFonts w:ascii="Baskerville Old Face" w:hAnsi="Baskerville Old Face"/>
          <w:i/>
        </w:rPr>
      </w:pPr>
    </w:p>
    <w:p w14:paraId="2C038D55" w14:textId="1F51B280" w:rsidR="00CA4D91" w:rsidRDefault="00CA4D91" w:rsidP="0091420A">
      <w:pPr>
        <w:spacing w:line="480" w:lineRule="auto"/>
        <w:contextualSpacing/>
        <w:rPr>
          <w:rFonts w:ascii="Baskerville Old Face" w:hAnsi="Baskerville Old Face"/>
          <w:i/>
        </w:rPr>
      </w:pPr>
    </w:p>
    <w:p w14:paraId="1C3989F5" w14:textId="666E2AFB" w:rsidR="00CA4D91" w:rsidRDefault="00CA4D91" w:rsidP="0091420A">
      <w:pPr>
        <w:spacing w:line="480" w:lineRule="auto"/>
        <w:contextualSpacing/>
        <w:rPr>
          <w:rFonts w:ascii="Baskerville Old Face" w:hAnsi="Baskerville Old Face"/>
          <w:i/>
        </w:rPr>
      </w:pPr>
    </w:p>
    <w:p w14:paraId="2B73DB1E" w14:textId="16A9D203" w:rsidR="00CA4D91" w:rsidRDefault="00CA4D91" w:rsidP="0091420A">
      <w:pPr>
        <w:spacing w:line="480" w:lineRule="auto"/>
        <w:contextualSpacing/>
        <w:rPr>
          <w:rFonts w:ascii="Baskerville Old Face" w:hAnsi="Baskerville Old Face"/>
          <w:i/>
        </w:rPr>
      </w:pPr>
    </w:p>
    <w:p w14:paraId="0BEA74D7" w14:textId="3C9114FA" w:rsidR="00CA4D91" w:rsidRDefault="00CA4D91" w:rsidP="0091420A">
      <w:pPr>
        <w:spacing w:line="480" w:lineRule="auto"/>
        <w:contextualSpacing/>
        <w:rPr>
          <w:rFonts w:ascii="Baskerville Old Face" w:hAnsi="Baskerville Old Face"/>
          <w:i/>
        </w:rPr>
      </w:pPr>
    </w:p>
    <w:p w14:paraId="24DE8F7E" w14:textId="093391FE" w:rsidR="00CA4D91" w:rsidRDefault="00CA4D91" w:rsidP="0091420A">
      <w:pPr>
        <w:spacing w:line="480" w:lineRule="auto"/>
        <w:contextualSpacing/>
        <w:rPr>
          <w:rFonts w:ascii="Baskerville Old Face" w:hAnsi="Baskerville Old Face"/>
          <w:i/>
        </w:rPr>
      </w:pPr>
    </w:p>
    <w:p w14:paraId="1A74801D" w14:textId="398C84E9" w:rsidR="00CA4D91" w:rsidRDefault="00CA4D91" w:rsidP="0091420A">
      <w:pPr>
        <w:spacing w:line="480" w:lineRule="auto"/>
        <w:contextualSpacing/>
        <w:rPr>
          <w:rFonts w:ascii="Baskerville Old Face" w:hAnsi="Baskerville Old Face"/>
          <w:i/>
        </w:rPr>
      </w:pPr>
    </w:p>
    <w:p w14:paraId="5ED3ABF8" w14:textId="79793450" w:rsidR="00E75247" w:rsidRDefault="00E75247" w:rsidP="0091420A">
      <w:pPr>
        <w:spacing w:line="480" w:lineRule="auto"/>
        <w:contextualSpacing/>
        <w:rPr>
          <w:rFonts w:ascii="Baskerville Old Face" w:hAnsi="Baskerville Old Face"/>
          <w:i/>
        </w:rPr>
      </w:pPr>
    </w:p>
    <w:p w14:paraId="39D8DE7E" w14:textId="77777777" w:rsidR="00E75247" w:rsidRPr="00CA4D91" w:rsidRDefault="00E75247" w:rsidP="0091420A">
      <w:pPr>
        <w:spacing w:line="480" w:lineRule="auto"/>
        <w:contextualSpacing/>
        <w:rPr>
          <w:rFonts w:ascii="Baskerville Old Face" w:hAnsi="Baskerville Old Face"/>
          <w:i/>
        </w:rPr>
      </w:pPr>
    </w:p>
    <w:p w14:paraId="1F75BF2B" w14:textId="3FDC832C" w:rsidR="00CB18FE" w:rsidRPr="00CA4D91" w:rsidRDefault="00CB18FE" w:rsidP="0091420A">
      <w:pPr>
        <w:spacing w:line="480" w:lineRule="auto"/>
        <w:contextualSpacing/>
        <w:rPr>
          <w:rFonts w:ascii="Baskerville Old Face" w:hAnsi="Baskerville Old Face"/>
          <w:i/>
        </w:rPr>
      </w:pPr>
      <w:r w:rsidRPr="00CA4D91">
        <w:rPr>
          <w:rFonts w:ascii="Baskerville Old Face" w:hAnsi="Baskerville Old Face"/>
          <w:i/>
        </w:rPr>
        <w:lastRenderedPageBreak/>
        <w:t>Table</w:t>
      </w:r>
      <w:r w:rsidR="00C705DE" w:rsidRPr="00CA4D91">
        <w:rPr>
          <w:rFonts w:ascii="Baskerville Old Face" w:hAnsi="Baskerville Old Face"/>
          <w:i/>
        </w:rPr>
        <w:t xml:space="preserve"> 1</w:t>
      </w:r>
      <w:r w:rsidRPr="00CA4D91">
        <w:rPr>
          <w:rFonts w:ascii="Baskerville Old Face" w:hAnsi="Baskerville Old Face"/>
          <w:i/>
        </w:rPr>
        <w:t>: Ethical Guid</w:t>
      </w:r>
      <w:r w:rsidR="00B1507D" w:rsidRPr="00CA4D91">
        <w:rPr>
          <w:rFonts w:ascii="Baskerville Old Face" w:hAnsi="Baskerville Old Face"/>
          <w:i/>
        </w:rPr>
        <w:t>ance</w:t>
      </w:r>
      <w:r w:rsidRPr="00CA4D91">
        <w:rPr>
          <w:rFonts w:ascii="Baskerville Old Face" w:hAnsi="Baskerville Old Face"/>
          <w:i/>
        </w:rPr>
        <w:t xml:space="preserve"> for Information-Gathering in Innovative Practice</w:t>
      </w:r>
    </w:p>
    <w:p w14:paraId="5EC02F05" w14:textId="77777777" w:rsidR="000428ED" w:rsidRPr="00CA4D91" w:rsidRDefault="000428ED" w:rsidP="00CB18FE">
      <w:pPr>
        <w:spacing w:line="480" w:lineRule="auto"/>
        <w:rPr>
          <w:rFonts w:ascii="Baskerville Old Face" w:hAnsi="Baskerville Old Face"/>
          <w:i/>
        </w:rPr>
      </w:pPr>
    </w:p>
    <w:tbl>
      <w:tblPr>
        <w:tblStyle w:val="TableGrid"/>
        <w:tblW w:w="9360" w:type="dxa"/>
        <w:tblBorders>
          <w:left w:val="none" w:sz="0" w:space="0" w:color="auto"/>
          <w:right w:val="none" w:sz="0" w:space="0" w:color="auto"/>
          <w:insideV w:val="none" w:sz="0" w:space="0" w:color="auto"/>
        </w:tblBorders>
        <w:tblLook w:val="04A0" w:firstRow="1" w:lastRow="0" w:firstColumn="1" w:lastColumn="0" w:noHBand="0" w:noVBand="1"/>
      </w:tblPr>
      <w:tblGrid>
        <w:gridCol w:w="3120"/>
        <w:gridCol w:w="3120"/>
        <w:gridCol w:w="3120"/>
      </w:tblGrid>
      <w:tr w:rsidR="00CB18FE" w:rsidRPr="00CA4D91" w14:paraId="4C2D472F" w14:textId="77777777" w:rsidTr="00113954">
        <w:trPr>
          <w:trHeight w:val="283"/>
        </w:trPr>
        <w:tc>
          <w:tcPr>
            <w:tcW w:w="3120" w:type="dxa"/>
            <w:tcBorders>
              <w:top w:val="nil"/>
            </w:tcBorders>
          </w:tcPr>
          <w:p w14:paraId="03339570" w14:textId="09A1120B" w:rsidR="00CB18FE" w:rsidRPr="00CA4D91" w:rsidRDefault="006E7EEA" w:rsidP="000428ED">
            <w:pPr>
              <w:spacing w:line="480" w:lineRule="auto"/>
              <w:jc w:val="center"/>
              <w:rPr>
                <w:rFonts w:ascii="Baskerville Old Face" w:hAnsi="Baskerville Old Face"/>
                <w:b/>
                <w:i/>
              </w:rPr>
            </w:pPr>
            <w:r w:rsidRPr="00CA4D91">
              <w:rPr>
                <w:rFonts w:ascii="Baskerville Old Face" w:hAnsi="Baskerville Old Face"/>
                <w:b/>
                <w:i/>
              </w:rPr>
              <w:t>Guidance</w:t>
            </w:r>
          </w:p>
        </w:tc>
        <w:tc>
          <w:tcPr>
            <w:tcW w:w="3120" w:type="dxa"/>
            <w:tcBorders>
              <w:top w:val="nil"/>
            </w:tcBorders>
          </w:tcPr>
          <w:p w14:paraId="6CF8A1BB" w14:textId="77777777" w:rsidR="00CB18FE" w:rsidRPr="00CA4D91" w:rsidRDefault="00CB18FE" w:rsidP="00113954">
            <w:pPr>
              <w:spacing w:line="480" w:lineRule="auto"/>
              <w:jc w:val="center"/>
              <w:rPr>
                <w:rFonts w:ascii="Baskerville Old Face" w:hAnsi="Baskerville Old Face"/>
                <w:b/>
                <w:i/>
              </w:rPr>
            </w:pPr>
            <w:r w:rsidRPr="00CA4D91">
              <w:rPr>
                <w:rFonts w:ascii="Baskerville Old Face" w:hAnsi="Baskerville Old Face"/>
                <w:b/>
                <w:i/>
              </w:rPr>
              <w:t>Justification</w:t>
            </w:r>
          </w:p>
        </w:tc>
        <w:tc>
          <w:tcPr>
            <w:tcW w:w="3120" w:type="dxa"/>
            <w:tcBorders>
              <w:top w:val="nil"/>
            </w:tcBorders>
          </w:tcPr>
          <w:p w14:paraId="19617E0C" w14:textId="77777777" w:rsidR="00CB18FE" w:rsidRPr="00CA4D91" w:rsidRDefault="00CB18FE" w:rsidP="00113954">
            <w:pPr>
              <w:spacing w:line="480" w:lineRule="auto"/>
              <w:jc w:val="center"/>
              <w:rPr>
                <w:rFonts w:ascii="Baskerville Old Face" w:hAnsi="Baskerville Old Face"/>
                <w:b/>
                <w:i/>
              </w:rPr>
            </w:pPr>
            <w:r w:rsidRPr="00CA4D91">
              <w:rPr>
                <w:rFonts w:ascii="Baskerville Old Face" w:hAnsi="Baskerville Old Face"/>
                <w:b/>
                <w:i/>
              </w:rPr>
              <w:t>Implementation</w:t>
            </w:r>
          </w:p>
        </w:tc>
      </w:tr>
      <w:tr w:rsidR="00CB18FE" w:rsidRPr="00CA4D91" w14:paraId="35729EB0" w14:textId="77777777" w:rsidTr="00113954">
        <w:trPr>
          <w:trHeight w:val="868"/>
        </w:trPr>
        <w:tc>
          <w:tcPr>
            <w:tcW w:w="3120" w:type="dxa"/>
            <w:vAlign w:val="center"/>
          </w:tcPr>
          <w:p w14:paraId="0010B217"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Gather important information</w:t>
            </w:r>
          </w:p>
        </w:tc>
        <w:tc>
          <w:tcPr>
            <w:tcW w:w="3120" w:type="dxa"/>
            <w:vAlign w:val="center"/>
          </w:tcPr>
          <w:p w14:paraId="1B8CD1EF"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Reduce risks for future patients and/or prepare for future research</w:t>
            </w:r>
          </w:p>
        </w:tc>
        <w:tc>
          <w:tcPr>
            <w:tcW w:w="3120" w:type="dxa"/>
            <w:vAlign w:val="center"/>
          </w:tcPr>
          <w:p w14:paraId="045E6C6F"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Identify, plan, and execute interventions to gather valuable information</w:t>
            </w:r>
          </w:p>
        </w:tc>
      </w:tr>
      <w:tr w:rsidR="00CB18FE" w:rsidRPr="00CA4D91" w14:paraId="27B78588" w14:textId="77777777" w:rsidTr="00113954">
        <w:trPr>
          <w:trHeight w:val="1169"/>
        </w:trPr>
        <w:tc>
          <w:tcPr>
            <w:tcW w:w="3120" w:type="dxa"/>
            <w:vAlign w:val="center"/>
          </w:tcPr>
          <w:p w14:paraId="093EA0E7" w14:textId="77777777" w:rsidR="00CB18FE" w:rsidRPr="00CA4D91" w:rsidRDefault="00CB18FE" w:rsidP="00113954">
            <w:pPr>
              <w:spacing w:line="480" w:lineRule="auto"/>
              <w:ind w:left="720" w:hanging="720"/>
              <w:rPr>
                <w:rFonts w:ascii="Baskerville Old Face" w:hAnsi="Baskerville Old Face"/>
              </w:rPr>
            </w:pPr>
            <w:r w:rsidRPr="00CA4D91">
              <w:rPr>
                <w:rFonts w:ascii="Baskerville Old Face" w:hAnsi="Baskerville Old Face"/>
              </w:rPr>
              <w:t>Prospective, independent review</w:t>
            </w:r>
          </w:p>
        </w:tc>
        <w:tc>
          <w:tcPr>
            <w:tcW w:w="3120" w:type="dxa"/>
            <w:vAlign w:val="center"/>
          </w:tcPr>
          <w:p w14:paraId="42AF8506"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Protect against clinician bias; identify ways to improve information-gathering</w:t>
            </w:r>
          </w:p>
        </w:tc>
        <w:tc>
          <w:tcPr>
            <w:tcW w:w="3120" w:type="dxa"/>
            <w:vAlign w:val="center"/>
          </w:tcPr>
          <w:p w14:paraId="628F1F7A" w14:textId="4C8BD506" w:rsidR="00CB18FE" w:rsidRPr="00CA4D91" w:rsidRDefault="00CB18FE" w:rsidP="00113954">
            <w:pPr>
              <w:spacing w:line="480" w:lineRule="auto"/>
              <w:rPr>
                <w:rFonts w:ascii="Baskerville Old Face" w:hAnsi="Baskerville Old Face"/>
              </w:rPr>
            </w:pPr>
            <w:r w:rsidRPr="00CA4D91">
              <w:rPr>
                <w:rFonts w:ascii="Baskerville Old Face" w:hAnsi="Baskerville Old Face"/>
              </w:rPr>
              <w:t>Seek critical evaluation of plans from peers and institutional officials and</w:t>
            </w:r>
            <w:r w:rsidR="00870DC0" w:rsidRPr="00CA4D91">
              <w:rPr>
                <w:rFonts w:ascii="Baskerville Old Face" w:hAnsi="Baskerville Old Face"/>
              </w:rPr>
              <w:t xml:space="preserve"> </w:t>
            </w:r>
            <w:r w:rsidRPr="00CA4D91">
              <w:rPr>
                <w:rFonts w:ascii="Baskerville Old Face" w:hAnsi="Baskerville Old Face"/>
              </w:rPr>
              <w:t xml:space="preserve">address </w:t>
            </w:r>
            <w:r w:rsidR="000B74A2" w:rsidRPr="00CA4D91">
              <w:rPr>
                <w:rFonts w:ascii="Baskerville Old Face" w:hAnsi="Baskerville Old Face"/>
              </w:rPr>
              <w:t xml:space="preserve">any </w:t>
            </w:r>
            <w:r w:rsidRPr="00CA4D91">
              <w:rPr>
                <w:rFonts w:ascii="Baskerville Old Face" w:hAnsi="Baskerville Old Face"/>
              </w:rPr>
              <w:t>concerns</w:t>
            </w:r>
          </w:p>
        </w:tc>
      </w:tr>
      <w:tr w:rsidR="00CB18FE" w:rsidRPr="00CA4D91" w14:paraId="17CCD394" w14:textId="77777777" w:rsidTr="00113954">
        <w:trPr>
          <w:trHeight w:val="568"/>
        </w:trPr>
        <w:tc>
          <w:tcPr>
            <w:tcW w:w="3120" w:type="dxa"/>
            <w:vAlign w:val="center"/>
          </w:tcPr>
          <w:p w14:paraId="468A6FB3"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Minimize risks and burdens for patients</w:t>
            </w:r>
          </w:p>
        </w:tc>
        <w:tc>
          <w:tcPr>
            <w:tcW w:w="3120" w:type="dxa"/>
            <w:vAlign w:val="center"/>
          </w:tcPr>
          <w:p w14:paraId="47EBEFD5"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Nonmaleficence</w:t>
            </w:r>
          </w:p>
        </w:tc>
        <w:tc>
          <w:tcPr>
            <w:tcW w:w="3120" w:type="dxa"/>
            <w:vAlign w:val="center"/>
          </w:tcPr>
          <w:p w14:paraId="415C94FF"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 xml:space="preserve">Use the least risky intervention necessary to gather desired information </w:t>
            </w:r>
          </w:p>
        </w:tc>
      </w:tr>
      <w:tr w:rsidR="00CB18FE" w:rsidRPr="00CA4D91" w14:paraId="64C0C3DF" w14:textId="77777777" w:rsidTr="00113954">
        <w:trPr>
          <w:trHeight w:val="1738"/>
        </w:trPr>
        <w:tc>
          <w:tcPr>
            <w:tcW w:w="3120" w:type="dxa"/>
            <w:vAlign w:val="center"/>
          </w:tcPr>
          <w:p w14:paraId="27DD9F8C"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Fully inform patients</w:t>
            </w:r>
          </w:p>
        </w:tc>
        <w:tc>
          <w:tcPr>
            <w:tcW w:w="3120" w:type="dxa"/>
            <w:vAlign w:val="center"/>
          </w:tcPr>
          <w:p w14:paraId="7C3E7BF9" w14:textId="77777777" w:rsidR="00CB18FE" w:rsidRPr="00CA4D91" w:rsidRDefault="00CB18FE" w:rsidP="00113954">
            <w:pPr>
              <w:spacing w:line="480" w:lineRule="auto"/>
              <w:rPr>
                <w:rFonts w:ascii="Baskerville Old Face" w:hAnsi="Baskerville Old Face"/>
              </w:rPr>
            </w:pPr>
            <w:r w:rsidRPr="00CA4D91">
              <w:rPr>
                <w:rFonts w:ascii="Baskerville Old Face" w:hAnsi="Baskerville Old Face"/>
              </w:rPr>
              <w:t>Respect for autonomy; reinforce patients’ understanding of risks of innovative practice</w:t>
            </w:r>
          </w:p>
        </w:tc>
        <w:tc>
          <w:tcPr>
            <w:tcW w:w="3120" w:type="dxa"/>
            <w:vAlign w:val="center"/>
          </w:tcPr>
          <w:p w14:paraId="0426EF8E" w14:textId="000D9D95" w:rsidR="00CB18FE" w:rsidRPr="00CA4D91" w:rsidRDefault="00CB18FE" w:rsidP="00836007">
            <w:pPr>
              <w:spacing w:line="480" w:lineRule="auto"/>
              <w:rPr>
                <w:rFonts w:ascii="Baskerville Old Face" w:hAnsi="Baskerville Old Face"/>
              </w:rPr>
            </w:pPr>
            <w:r w:rsidRPr="00CA4D91">
              <w:rPr>
                <w:rFonts w:ascii="Baskerville Old Face" w:hAnsi="Baskerville Old Face"/>
              </w:rPr>
              <w:t xml:space="preserve">Explain innovative nature of activity, </w:t>
            </w:r>
            <w:r w:rsidR="00836007" w:rsidRPr="00CA4D91">
              <w:rPr>
                <w:rFonts w:ascii="Baskerville Old Face" w:hAnsi="Baskerville Old Face"/>
              </w:rPr>
              <w:t>risks of information-gathering and lack of clinical indication</w:t>
            </w:r>
          </w:p>
        </w:tc>
      </w:tr>
    </w:tbl>
    <w:p w14:paraId="032D5AFD" w14:textId="77777777" w:rsidR="00CB18FE" w:rsidRPr="00CA4D91" w:rsidRDefault="00CB18FE" w:rsidP="00CB18FE">
      <w:pPr>
        <w:spacing w:line="480" w:lineRule="auto"/>
        <w:rPr>
          <w:rFonts w:ascii="Baskerville Old Face" w:hAnsi="Baskerville Old Face"/>
        </w:rPr>
      </w:pPr>
    </w:p>
    <w:p w14:paraId="18348ED4" w14:textId="77777777" w:rsidR="004F0576" w:rsidRPr="00CA4D91" w:rsidRDefault="004F0576" w:rsidP="00E0440E">
      <w:pPr>
        <w:spacing w:line="480" w:lineRule="auto"/>
        <w:ind w:firstLine="720"/>
        <w:rPr>
          <w:rFonts w:ascii="Baskerville Old Face" w:hAnsi="Baskerville Old Face"/>
        </w:rPr>
      </w:pPr>
    </w:p>
    <w:p w14:paraId="33581AEE" w14:textId="77777777" w:rsidR="004F0576" w:rsidRPr="00CA4D91" w:rsidRDefault="004F0576" w:rsidP="00E0440E">
      <w:pPr>
        <w:spacing w:line="480" w:lineRule="auto"/>
        <w:ind w:firstLine="720"/>
        <w:rPr>
          <w:rFonts w:ascii="Baskerville Old Face" w:hAnsi="Baskerville Old Face"/>
        </w:rPr>
      </w:pPr>
    </w:p>
    <w:p w14:paraId="560DF3FA" w14:textId="1E32CD38" w:rsidR="004F0576" w:rsidRPr="00CA4D91" w:rsidRDefault="004F0576" w:rsidP="008C7C96">
      <w:pPr>
        <w:rPr>
          <w:rFonts w:ascii="Baskerville Old Face" w:hAnsi="Baskerville Old Face"/>
          <w:b/>
        </w:rPr>
      </w:pPr>
      <w:r w:rsidRPr="00CA4D91">
        <w:rPr>
          <w:rFonts w:ascii="Baskerville Old Face" w:hAnsi="Baskerville Old Face"/>
          <w:b/>
        </w:rPr>
        <w:br w:type="page"/>
      </w:r>
      <w:r w:rsidRPr="00CA4D91">
        <w:rPr>
          <w:rFonts w:ascii="Baskerville Old Face" w:hAnsi="Baskerville Old Face"/>
          <w:b/>
        </w:rPr>
        <w:lastRenderedPageBreak/>
        <w:t>References</w:t>
      </w:r>
    </w:p>
    <w:sectPr w:rsidR="004F0576" w:rsidRPr="00CA4D91">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7F3E" w14:textId="77777777" w:rsidR="00440828" w:rsidRDefault="00440828" w:rsidP="00E2083D"/>
  </w:endnote>
  <w:endnote w:type="continuationSeparator" w:id="0">
    <w:p w14:paraId="52294BAA" w14:textId="77777777" w:rsidR="00440828" w:rsidRDefault="00440828" w:rsidP="00E2083D"/>
  </w:endnote>
  <w:endnote w:type="continuationNotice" w:id="1">
    <w:p w14:paraId="1C69268A" w14:textId="77777777" w:rsidR="00440828" w:rsidRDefault="00440828"/>
  </w:endnote>
  <w:endnote w:id="2">
    <w:p w14:paraId="53C255E8" w14:textId="68B5BEED"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cs="Times New Roman"/>
          <w:sz w:val="24"/>
          <w:szCs w:val="24"/>
        </w:rPr>
        <w:t>(</w:t>
      </w:r>
      <w:r w:rsidRPr="00CA4D91">
        <w:rPr>
          <w:rStyle w:val="EndnoteReference"/>
          <w:rFonts w:ascii="Baskerville Old Face" w:hAnsi="Baskerville Old Face" w:cs="Times New Roman"/>
          <w:sz w:val="24"/>
          <w:szCs w:val="24"/>
          <w:vertAlign w:val="baseline"/>
        </w:rPr>
        <w:endnoteRef/>
      </w:r>
      <w:r w:rsidRPr="00CA4D91">
        <w:rPr>
          <w:rFonts w:ascii="Baskerville Old Face" w:hAnsi="Baskerville Old Face" w:cs="Times New Roman"/>
          <w:sz w:val="24"/>
          <w:szCs w:val="24"/>
        </w:rPr>
        <w:t>) National Commission for the Protection of Human Subjects of Biomedical and Behavioral Research. The Belmont Report: Ethical principles and guidelines for the protection of human subjects of research, DHEW publication no. (OS) 78-0012. Washington, D.C.: GPO, 1978:3</w:t>
      </w:r>
      <w:r w:rsidRPr="00CA4D91">
        <w:rPr>
          <w:rFonts w:ascii="Baskerville Old Face" w:hAnsi="Baskerville Old Face"/>
          <w:sz w:val="24"/>
          <w:szCs w:val="24"/>
        </w:rPr>
        <w:t>.</w:t>
      </w:r>
    </w:p>
  </w:endnote>
  <w:endnote w:id="3">
    <w:p w14:paraId="5E23F2E6" w14:textId="6DD3C28C" w:rsidR="000B7078" w:rsidRPr="00CA4D91" w:rsidRDefault="00BA3103" w:rsidP="003A59E0">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000B7078"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w:t>
      </w:r>
      <w:r w:rsidR="000B7078" w:rsidRPr="00CA4D91">
        <w:rPr>
          <w:rFonts w:ascii="Baskerville Old Face" w:hAnsi="Baskerville Old Face"/>
          <w:sz w:val="24"/>
          <w:szCs w:val="24"/>
        </w:rPr>
        <w:t xml:space="preserve"> Lister J. On the antiseptic principle in the practice of surgery. Br Med J 1867;2:246-48.</w:t>
      </w:r>
    </w:p>
  </w:endnote>
  <w:endnote w:id="4">
    <w:p w14:paraId="4FA57767" w14:textId="3C86607B" w:rsidR="000B7078" w:rsidRPr="00CA4D91" w:rsidRDefault="00BA3103" w:rsidP="003A59E0">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000B7078"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w:t>
      </w:r>
      <w:r w:rsidR="000B7078" w:rsidRPr="00CA4D91">
        <w:rPr>
          <w:rFonts w:ascii="Baskerville Old Face" w:hAnsi="Baskerville Old Face"/>
          <w:sz w:val="24"/>
          <w:szCs w:val="24"/>
        </w:rPr>
        <w:t xml:space="preserve"> Himpens J, Leman G, and Cadiere GB. Telesurgical laparoscopic</w:t>
      </w:r>
      <w:r w:rsidRPr="00CA4D91">
        <w:rPr>
          <w:rFonts w:ascii="Baskerville Old Face" w:hAnsi="Baskerville Old Face"/>
          <w:sz w:val="24"/>
          <w:szCs w:val="24"/>
        </w:rPr>
        <w:t xml:space="preserve"> cholecystectomy. Surg Endosc 1998;12:1091.</w:t>
      </w:r>
    </w:p>
  </w:endnote>
  <w:endnote w:id="5">
    <w:p w14:paraId="24977D11" w14:textId="033DE86C"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00BA3103" w:rsidRPr="00CA4D91">
        <w:rPr>
          <w:rFonts w:ascii="Baskerville Old Face" w:hAnsi="Baskerville Old Face"/>
          <w:sz w:val="24"/>
          <w:szCs w:val="24"/>
        </w:rPr>
        <w:t>4</w:t>
      </w:r>
      <w:r w:rsidRPr="00CA4D91">
        <w:rPr>
          <w:rFonts w:ascii="Baskerville Old Face" w:hAnsi="Baskerville Old Face"/>
          <w:sz w:val="24"/>
          <w:szCs w:val="24"/>
        </w:rPr>
        <w:t xml:space="preserve">) </w:t>
      </w:r>
      <w:proofErr w:type="spellStart"/>
      <w:r w:rsidRPr="00CA4D91">
        <w:rPr>
          <w:rFonts w:ascii="Baskerville Old Face" w:hAnsi="Baskerville Old Face"/>
          <w:sz w:val="24"/>
          <w:szCs w:val="24"/>
        </w:rPr>
        <w:t>Barkun</w:t>
      </w:r>
      <w:proofErr w:type="spellEnd"/>
      <w:r w:rsidRPr="00CA4D91">
        <w:rPr>
          <w:rFonts w:ascii="Baskerville Old Face" w:hAnsi="Baskerville Old Face"/>
          <w:sz w:val="24"/>
          <w:szCs w:val="24"/>
        </w:rPr>
        <w:t xml:space="preserve"> JS, Aronson JK, Feldman LS, Maddern GJ, and Strasberg SM. Surgical innovation and evaluation 1: Evaluation and stages of surgical innovations. Lancet 2009;374:1089-96.</w:t>
      </w:r>
    </w:p>
  </w:endnote>
  <w:endnote w:id="6">
    <w:p w14:paraId="05E5B72A" w14:textId="790A2217"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00BA3103" w:rsidRPr="00CA4D91">
        <w:rPr>
          <w:rFonts w:ascii="Baskerville Old Face" w:hAnsi="Baskerville Old Face"/>
          <w:sz w:val="24"/>
          <w:szCs w:val="24"/>
        </w:rPr>
        <w:t>5</w:t>
      </w:r>
      <w:r w:rsidRPr="00CA4D91">
        <w:rPr>
          <w:rFonts w:ascii="Baskerville Old Face" w:hAnsi="Baskerville Old Face"/>
          <w:sz w:val="24"/>
          <w:szCs w:val="24"/>
        </w:rPr>
        <w:t xml:space="preserve">) </w:t>
      </w:r>
      <w:proofErr w:type="spellStart"/>
      <w:r w:rsidRPr="00CA4D91">
        <w:rPr>
          <w:rFonts w:ascii="Baskerville Old Face" w:hAnsi="Baskerville Old Face"/>
          <w:sz w:val="24"/>
          <w:szCs w:val="24"/>
        </w:rPr>
        <w:t>Dondorp</w:t>
      </w:r>
      <w:proofErr w:type="spellEnd"/>
      <w:r w:rsidRPr="00CA4D91">
        <w:rPr>
          <w:rFonts w:ascii="Baskerville Old Face" w:hAnsi="Baskerville Old Face"/>
          <w:sz w:val="24"/>
          <w:szCs w:val="24"/>
        </w:rPr>
        <w:t xml:space="preserve"> W and de Wert G. Innovative reproductive technologies: Risks and</w:t>
      </w:r>
      <w:r w:rsidR="00BA3103" w:rsidRPr="00CA4D91">
        <w:rPr>
          <w:rFonts w:ascii="Baskerville Old Face" w:hAnsi="Baskerville Old Face"/>
          <w:sz w:val="24"/>
          <w:szCs w:val="24"/>
        </w:rPr>
        <w:t xml:space="preserve"> </w:t>
      </w:r>
      <w:r w:rsidRPr="00CA4D91">
        <w:rPr>
          <w:rFonts w:ascii="Baskerville Old Face" w:hAnsi="Baskerville Old Face"/>
          <w:sz w:val="24"/>
          <w:szCs w:val="24"/>
        </w:rPr>
        <w:t>responsibilities. Hum Reprod 2011;26:1604-8.</w:t>
      </w:r>
    </w:p>
  </w:endnote>
  <w:endnote w:id="7">
    <w:p w14:paraId="0F4DDBAD" w14:textId="69D76799" w:rsidR="00141D02" w:rsidRPr="00CA4D91" w:rsidRDefault="00141D02" w:rsidP="003A59E0">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Earl J. Innovative practice, clinical research, and the ethical advancement of medicine. Am J Bioeth 2019;19:7-18.</w:t>
      </w:r>
    </w:p>
  </w:endnote>
  <w:endnote w:id="8">
    <w:p w14:paraId="12C1FE8D" w14:textId="0D5A9DBF"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Biffl WL, Spain DA, Reitsma AM, et al. Responsible development and application of surgical innovations: A position statement of the society of university surgeons</w:t>
      </w:r>
      <w:r w:rsidR="000B7078" w:rsidRPr="00CA4D91">
        <w:rPr>
          <w:rFonts w:ascii="Baskerville Old Face" w:hAnsi="Baskerville Old Face"/>
          <w:sz w:val="24"/>
          <w:szCs w:val="24"/>
        </w:rPr>
        <w:t>.</w:t>
      </w:r>
      <w:r w:rsidRPr="00CA4D91">
        <w:rPr>
          <w:rFonts w:ascii="Baskerville Old Face" w:hAnsi="Baskerville Old Face"/>
          <w:sz w:val="24"/>
          <w:szCs w:val="24"/>
        </w:rPr>
        <w:t xml:space="preserve"> J Am Coll Surg 2008;206:1204-9.</w:t>
      </w:r>
    </w:p>
  </w:endnote>
  <w:endnote w:id="9">
    <w:p w14:paraId="77DE6A36" w14:textId="38D0D95B"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American College of Obstetricians and Gynecologists. Innovative practice: Ethical guidelines. Obstet Gynecol 2006;108:1589-95.</w:t>
      </w:r>
    </w:p>
  </w:endnote>
  <w:endnote w:id="10">
    <w:p w14:paraId="3AD51C47" w14:textId="0E93CC6F"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International Society for Stem Cell Research. Guidelines for stem cell research and clinical translation, May 12, 2016:26. (</w:t>
      </w:r>
      <w:hyperlink r:id="rId1" w:history="1">
        <w:r w:rsidRPr="00CA4D91">
          <w:rPr>
            <w:rStyle w:val="Hyperlink"/>
            <w:rFonts w:ascii="Baskerville Old Face" w:hAnsi="Baskerville Old Face"/>
            <w:sz w:val="24"/>
            <w:szCs w:val="24"/>
          </w:rPr>
          <w:t>www.isscr.org/docs/default-source/all-isscr-guidelines/guidelines-2016/isscr-guidelines-for-stem-cell-research-and-clinical-translation.pdf</w:t>
        </w:r>
      </w:hyperlink>
      <w:r w:rsidRPr="00CA4D91">
        <w:rPr>
          <w:rFonts w:ascii="Baskerville Old Face" w:hAnsi="Baskerville Old Face"/>
          <w:sz w:val="24"/>
          <w:szCs w:val="24"/>
        </w:rPr>
        <w:t>)</w:t>
      </w:r>
    </w:p>
  </w:endnote>
  <w:endnote w:id="11">
    <w:p w14:paraId="38A16E7C" w14:textId="35FD66F1"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Eaton ML and Kennedy D. Innovation in medical technology: Ethical issues and challenges. Baltimore, MD: Johns Hopkins University Press, 2009:112.</w:t>
      </w:r>
    </w:p>
  </w:endnote>
  <w:endnote w:id="12">
    <w:p w14:paraId="16B34997" w14:textId="77777777" w:rsidR="006A1B9D" w:rsidRPr="00CA4D91" w:rsidRDefault="006A1B9D" w:rsidP="0091420A">
      <w:pPr>
        <w:spacing w:line="480" w:lineRule="auto"/>
        <w:ind w:left="720" w:hanging="720"/>
        <w:rPr>
          <w:rFonts w:ascii="Baskerville Old Face" w:hAnsi="Baskerville Old Face"/>
          <w:szCs w:val="24"/>
        </w:rPr>
      </w:pPr>
      <w:r w:rsidRPr="00CA4D91">
        <w:rPr>
          <w:rFonts w:ascii="Baskerville Old Face" w:hAnsi="Baskerville Old Face"/>
          <w:szCs w:val="24"/>
        </w:rPr>
        <w:t>(</w:t>
      </w:r>
      <w:r w:rsidRPr="00CA4D91">
        <w:rPr>
          <w:rStyle w:val="EndnoteReference"/>
          <w:rFonts w:ascii="Baskerville Old Face" w:hAnsi="Baskerville Old Face"/>
          <w:szCs w:val="24"/>
          <w:vertAlign w:val="baseline"/>
        </w:rPr>
        <w:endnoteRef/>
      </w:r>
      <w:r w:rsidRPr="00CA4D91">
        <w:rPr>
          <w:rFonts w:ascii="Baskerville Old Face" w:hAnsi="Baskerville Old Face"/>
          <w:szCs w:val="24"/>
        </w:rPr>
        <w:t xml:space="preserve">) Sartorius A, </w:t>
      </w:r>
      <w:proofErr w:type="spellStart"/>
      <w:r w:rsidRPr="00CA4D91">
        <w:rPr>
          <w:rFonts w:ascii="Baskerville Old Face" w:hAnsi="Baskerville Old Face"/>
          <w:szCs w:val="24"/>
        </w:rPr>
        <w:t>Kiening</w:t>
      </w:r>
      <w:proofErr w:type="spellEnd"/>
      <w:r w:rsidRPr="00CA4D91">
        <w:rPr>
          <w:rFonts w:ascii="Baskerville Old Face" w:hAnsi="Baskerville Old Face"/>
          <w:szCs w:val="24"/>
        </w:rPr>
        <w:t xml:space="preserve"> KL, Kirsch P, et al. Remission of major depression under deep brain stimulation of the lateral Habenula in a therapy-refractory patient. Biol Psychiatry 2010;67:e9-11.</w:t>
      </w:r>
    </w:p>
  </w:endnote>
  <w:endnote w:id="13">
    <w:p w14:paraId="771AE0AC" w14:textId="14CAC8AB"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00AF14C9" w:rsidRPr="00CA4D91">
        <w:rPr>
          <w:rFonts w:ascii="Baskerville Old Face" w:hAnsi="Baskerville Old Face"/>
          <w:sz w:val="24"/>
          <w:szCs w:val="24"/>
        </w:rPr>
        <w:t>12</w:t>
      </w:r>
      <w:r w:rsidRPr="00CA4D91">
        <w:rPr>
          <w:rFonts w:ascii="Baskerville Old Face" w:hAnsi="Baskerville Old Face"/>
          <w:sz w:val="24"/>
          <w:szCs w:val="24"/>
        </w:rPr>
        <w:t>) Council for International Organizations of Medical Sciences. International ethical guidelines for health-related research involving humans, 2016: xii. (</w:t>
      </w:r>
      <w:hyperlink r:id="rId2" w:history="1">
        <w:r w:rsidRPr="00CA4D91">
          <w:rPr>
            <w:rStyle w:val="Hyperlink"/>
            <w:rFonts w:ascii="Baskerville Old Face" w:hAnsi="Baskerville Old Face"/>
            <w:sz w:val="24"/>
            <w:szCs w:val="24"/>
          </w:rPr>
          <w:t>https://cioms.ch/wp-content/uploads/2017/01/WEB-CIOMS-EthicalGuidelines.pdf</w:t>
        </w:r>
      </w:hyperlink>
      <w:r w:rsidRPr="00CA4D91">
        <w:rPr>
          <w:rFonts w:ascii="Baskerville Old Face" w:hAnsi="Baskerville Old Face"/>
          <w:sz w:val="24"/>
          <w:szCs w:val="24"/>
        </w:rPr>
        <w:t>)</w:t>
      </w:r>
    </w:p>
  </w:endnote>
  <w:endnote w:id="14">
    <w:p w14:paraId="5D2A16E0" w14:textId="77777777"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Kiening K and Sartorius A. A new translational target for deep brain stimulation to treat depression. EMBO Mol Med 2013;5:1151-3.</w:t>
      </w:r>
    </w:p>
  </w:endnote>
  <w:endnote w:id="15">
    <w:p w14:paraId="69B209E8" w14:textId="1DAEAE93"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Faden RR, Kass NE, Goodman SN, Pronovost P, Tunis S, and Beauchamp TL. An ethics framework for a learning health care system: A departure from traditional research ethics and clinical ethics. Hastings Cent Rep 2013;43:S16-27.</w:t>
      </w:r>
    </w:p>
  </w:endnote>
  <w:endnote w:id="16">
    <w:p w14:paraId="0B70BA2A" w14:textId="2D5906C4"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Grimmett MR and Sulmasy DP. The call of the sirens: Ethically navigating the sea of nonvalidated therapies. J Refract Surg 1998;14:559-66.</w:t>
      </w:r>
    </w:p>
  </w:endnote>
  <w:endnote w:id="17">
    <w:p w14:paraId="6BA04004" w14:textId="1E48FEFA"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Caplan A. Is it sound public policy to let the terminally ill access experimental medical interventions? Am J Bioeth 2007;7:1-3.</w:t>
      </w:r>
    </w:p>
  </w:endnote>
  <w:endnote w:id="18">
    <w:p w14:paraId="12C16A32" w14:textId="62125302"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Margo CE. When is surgery research? Towards an operational definition of human research. J Med Ethics 2001;27:40-3.</w:t>
      </w:r>
    </w:p>
  </w:endnote>
  <w:endnote w:id="19">
    <w:p w14:paraId="2113B49E" w14:textId="51DCFDEC"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Bender S, Flicker L, and Rhodes R. Access for the terminally ill to experimental medical innovations: A three-pronged threat. Am J Bioeth 2007;7:3-6.</w:t>
      </w:r>
    </w:p>
  </w:endnote>
  <w:endnote w:id="20">
    <w:p w14:paraId="11665F50" w14:textId="132D62A0"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xml:space="preserve">) </w:t>
      </w:r>
      <w:proofErr w:type="spellStart"/>
      <w:r w:rsidRPr="00CA4D91">
        <w:rPr>
          <w:rFonts w:ascii="Baskerville Old Face" w:hAnsi="Baskerville Old Face"/>
          <w:sz w:val="24"/>
          <w:szCs w:val="24"/>
        </w:rPr>
        <w:t>Agich</w:t>
      </w:r>
      <w:proofErr w:type="spellEnd"/>
      <w:r w:rsidRPr="00CA4D91">
        <w:rPr>
          <w:rFonts w:ascii="Baskerville Old Face" w:hAnsi="Baskerville Old Face"/>
          <w:sz w:val="24"/>
          <w:szCs w:val="24"/>
        </w:rPr>
        <w:t xml:space="preserve"> GJ. Ethics and innovation in medicine. J Med Ethics 2001;27-295-6.</w:t>
      </w:r>
    </w:p>
  </w:endnote>
  <w:endnote w:id="21">
    <w:p w14:paraId="1CFE7AB1" w14:textId="77777777" w:rsidR="000C3575" w:rsidRPr="00CA4D91" w:rsidRDefault="000C3575" w:rsidP="000C3575">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Reitsma AM and Moreno JD. Ethical regulations for innovative surgery: The last frontier? J Am Coll Surg 2002;194:792-801.</w:t>
      </w:r>
    </w:p>
  </w:endnote>
  <w:endnote w:id="22">
    <w:p w14:paraId="2688E1A5" w14:textId="529473ED"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McKinlay JB. From ‘promising report’ to ‘standard procedure’: Seven stages in the career of a medical innovation. Milbank Mem Fund Q Health Soc 1981;59:374-411.</w:t>
      </w:r>
    </w:p>
  </w:endnote>
  <w:endnote w:id="23">
    <w:p w14:paraId="6C453ECC" w14:textId="00BB33A1"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Prasad V and Cifu A. A medical burden of proof: Towards a new ethic. Biosocieties 2012;7:72-87.</w:t>
      </w:r>
    </w:p>
  </w:endnote>
  <w:endnote w:id="24">
    <w:p w14:paraId="3786F95E" w14:textId="1C9B6188"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Mello MM and Brennan TA. The controversy over high-dose chemotherapy with autologous bone marrow transplant for breast cancer. Health Aff (Millwood) 2001;20:101-17.</w:t>
      </w:r>
    </w:p>
  </w:endnote>
  <w:endnote w:id="25">
    <w:p w14:paraId="50195C4C" w14:textId="4180FEA8"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Mitchell JD and Brown DL. Harmonizing the paradigm with the data in stable coronary artery disease: A review and viewpoint. J Am Heart Assoc 2017;6:e007006.</w:t>
      </w:r>
    </w:p>
  </w:endnote>
  <w:endnote w:id="26">
    <w:p w14:paraId="6F0EE742" w14:textId="05ACB2A4" w:rsidR="006A1B9D" w:rsidRPr="00CA4D91" w:rsidRDefault="006A1B9D" w:rsidP="0091420A">
      <w:pPr>
        <w:pStyle w:val="EndnoteText"/>
        <w:spacing w:line="480" w:lineRule="auto"/>
        <w:ind w:left="720" w:hanging="720"/>
        <w:rPr>
          <w:rFonts w:ascii="Baskerville Old Face" w:hAnsi="Baskerville Old Face"/>
          <w:sz w:val="24"/>
          <w:szCs w:val="24"/>
        </w:rPr>
      </w:pPr>
      <w:r w:rsidRPr="00CA4D91">
        <w:rPr>
          <w:rFonts w:ascii="Baskerville Old Face" w:hAnsi="Baskerville Old Face"/>
          <w:sz w:val="24"/>
          <w:szCs w:val="24"/>
        </w:rPr>
        <w:t>(</w:t>
      </w:r>
      <w:r w:rsidRPr="00CA4D91">
        <w:rPr>
          <w:rStyle w:val="EndnoteReference"/>
          <w:rFonts w:ascii="Baskerville Old Face" w:hAnsi="Baskerville Old Face"/>
          <w:sz w:val="24"/>
          <w:szCs w:val="24"/>
          <w:vertAlign w:val="baseline"/>
        </w:rPr>
        <w:endnoteRef/>
      </w:r>
      <w:r w:rsidRPr="00CA4D91">
        <w:rPr>
          <w:rFonts w:ascii="Baskerville Old Face" w:hAnsi="Baskerville Old Face"/>
          <w:sz w:val="24"/>
          <w:szCs w:val="24"/>
        </w:rPr>
        <w:t>) Walker MJ, Rogers WA, and Entwistle V. Ethical justifications for access to unapproved medical interventions: An argument for (limited) patient obligations. Am J Bioeth 2014;14:3-15.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32380"/>
      <w:docPartObj>
        <w:docPartGallery w:val="Page Numbers (Bottom of Page)"/>
        <w:docPartUnique/>
      </w:docPartObj>
    </w:sdtPr>
    <w:sdtEndPr>
      <w:rPr>
        <w:noProof/>
      </w:rPr>
    </w:sdtEndPr>
    <w:sdtContent>
      <w:p w14:paraId="395918FE" w14:textId="2F86F67E" w:rsidR="006A1B9D" w:rsidRDefault="006A1B9D">
        <w:pPr>
          <w:pStyle w:val="Footer"/>
          <w:jc w:val="right"/>
        </w:pPr>
        <w:r>
          <w:fldChar w:fldCharType="begin"/>
        </w:r>
        <w:r>
          <w:instrText xml:space="preserve"> PAGE   \* MERGEFORMAT </w:instrText>
        </w:r>
        <w:r>
          <w:fldChar w:fldCharType="separate"/>
        </w:r>
        <w:r w:rsidR="00870DC0">
          <w:rPr>
            <w:noProof/>
          </w:rPr>
          <w:t>1</w:t>
        </w:r>
        <w:r>
          <w:rPr>
            <w:noProof/>
          </w:rPr>
          <w:fldChar w:fldCharType="end"/>
        </w:r>
      </w:p>
    </w:sdtContent>
  </w:sdt>
  <w:p w14:paraId="3E7DED8D" w14:textId="77777777" w:rsidR="006A1B9D" w:rsidRDefault="006A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2624" w14:textId="77777777" w:rsidR="00440828" w:rsidRDefault="00440828" w:rsidP="00E2083D">
      <w:r>
        <w:separator/>
      </w:r>
    </w:p>
  </w:footnote>
  <w:footnote w:type="continuationSeparator" w:id="0">
    <w:p w14:paraId="79A5F0E2" w14:textId="77777777" w:rsidR="00440828" w:rsidRDefault="00440828" w:rsidP="00E2083D">
      <w:r>
        <w:continuationSeparator/>
      </w:r>
    </w:p>
  </w:footnote>
  <w:footnote w:type="continuationNotice" w:id="1">
    <w:p w14:paraId="0222BF67" w14:textId="77777777" w:rsidR="00440828" w:rsidRDefault="004408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82"/>
    <w:rsid w:val="000017E6"/>
    <w:rsid w:val="0000331B"/>
    <w:rsid w:val="000177D2"/>
    <w:rsid w:val="00025F84"/>
    <w:rsid w:val="00026B9C"/>
    <w:rsid w:val="00026E65"/>
    <w:rsid w:val="00027C2D"/>
    <w:rsid w:val="000428ED"/>
    <w:rsid w:val="00046BA0"/>
    <w:rsid w:val="00047884"/>
    <w:rsid w:val="00047D1F"/>
    <w:rsid w:val="00055A60"/>
    <w:rsid w:val="000577A7"/>
    <w:rsid w:val="000624F5"/>
    <w:rsid w:val="00065A22"/>
    <w:rsid w:val="0007097D"/>
    <w:rsid w:val="000830A6"/>
    <w:rsid w:val="000939A2"/>
    <w:rsid w:val="00094B76"/>
    <w:rsid w:val="00096F06"/>
    <w:rsid w:val="000A50D3"/>
    <w:rsid w:val="000B1935"/>
    <w:rsid w:val="000B6189"/>
    <w:rsid w:val="000B7078"/>
    <w:rsid w:val="000B74A2"/>
    <w:rsid w:val="000B7E5A"/>
    <w:rsid w:val="000C19BE"/>
    <w:rsid w:val="000C3575"/>
    <w:rsid w:val="000C512B"/>
    <w:rsid w:val="000D32AB"/>
    <w:rsid w:val="000E4E05"/>
    <w:rsid w:val="000E7A70"/>
    <w:rsid w:val="000F0613"/>
    <w:rsid w:val="000F0B55"/>
    <w:rsid w:val="000F48BD"/>
    <w:rsid w:val="000F4F70"/>
    <w:rsid w:val="00100A78"/>
    <w:rsid w:val="00113954"/>
    <w:rsid w:val="00126A9A"/>
    <w:rsid w:val="00130E0E"/>
    <w:rsid w:val="00141D02"/>
    <w:rsid w:val="0014784F"/>
    <w:rsid w:val="0015002A"/>
    <w:rsid w:val="00153060"/>
    <w:rsid w:val="001533EF"/>
    <w:rsid w:val="0015490B"/>
    <w:rsid w:val="001561E4"/>
    <w:rsid w:val="001571F5"/>
    <w:rsid w:val="0016382E"/>
    <w:rsid w:val="00164076"/>
    <w:rsid w:val="00164FAF"/>
    <w:rsid w:val="0016628A"/>
    <w:rsid w:val="001676E8"/>
    <w:rsid w:val="00170123"/>
    <w:rsid w:val="00171ED3"/>
    <w:rsid w:val="001811A0"/>
    <w:rsid w:val="00186436"/>
    <w:rsid w:val="0019057B"/>
    <w:rsid w:val="00191B1E"/>
    <w:rsid w:val="00193A52"/>
    <w:rsid w:val="001A3243"/>
    <w:rsid w:val="001A492B"/>
    <w:rsid w:val="001A4E5C"/>
    <w:rsid w:val="001A6E74"/>
    <w:rsid w:val="001B0FFC"/>
    <w:rsid w:val="001B1C4A"/>
    <w:rsid w:val="001B3EF7"/>
    <w:rsid w:val="001B64C4"/>
    <w:rsid w:val="001B679D"/>
    <w:rsid w:val="001F21F4"/>
    <w:rsid w:val="001F2722"/>
    <w:rsid w:val="001F5D84"/>
    <w:rsid w:val="00207DF4"/>
    <w:rsid w:val="00211999"/>
    <w:rsid w:val="00211B0B"/>
    <w:rsid w:val="002130D3"/>
    <w:rsid w:val="00215C28"/>
    <w:rsid w:val="00224042"/>
    <w:rsid w:val="0022508C"/>
    <w:rsid w:val="002307EF"/>
    <w:rsid w:val="0023382F"/>
    <w:rsid w:val="00243D4C"/>
    <w:rsid w:val="00243DD7"/>
    <w:rsid w:val="002451C4"/>
    <w:rsid w:val="002474BD"/>
    <w:rsid w:val="00250272"/>
    <w:rsid w:val="00251C82"/>
    <w:rsid w:val="00264395"/>
    <w:rsid w:val="0027596F"/>
    <w:rsid w:val="00283361"/>
    <w:rsid w:val="002850F8"/>
    <w:rsid w:val="00285703"/>
    <w:rsid w:val="0029519F"/>
    <w:rsid w:val="0029756A"/>
    <w:rsid w:val="002A0A70"/>
    <w:rsid w:val="002A5041"/>
    <w:rsid w:val="002B1A8A"/>
    <w:rsid w:val="002B78C9"/>
    <w:rsid w:val="002C2366"/>
    <w:rsid w:val="002C28AB"/>
    <w:rsid w:val="002C30C1"/>
    <w:rsid w:val="002D3754"/>
    <w:rsid w:val="002D445E"/>
    <w:rsid w:val="002E19F6"/>
    <w:rsid w:val="002E638A"/>
    <w:rsid w:val="003010B8"/>
    <w:rsid w:val="00306D1F"/>
    <w:rsid w:val="00312EC8"/>
    <w:rsid w:val="00316826"/>
    <w:rsid w:val="00323DB8"/>
    <w:rsid w:val="003259A9"/>
    <w:rsid w:val="00350A80"/>
    <w:rsid w:val="00351CC4"/>
    <w:rsid w:val="00352CF0"/>
    <w:rsid w:val="0036285C"/>
    <w:rsid w:val="00370CA1"/>
    <w:rsid w:val="0037295B"/>
    <w:rsid w:val="00376584"/>
    <w:rsid w:val="00377483"/>
    <w:rsid w:val="003904E6"/>
    <w:rsid w:val="00391B0E"/>
    <w:rsid w:val="0039727A"/>
    <w:rsid w:val="003A1DD3"/>
    <w:rsid w:val="003A59E0"/>
    <w:rsid w:val="003A5CAB"/>
    <w:rsid w:val="003B3C26"/>
    <w:rsid w:val="003B67DB"/>
    <w:rsid w:val="003B7766"/>
    <w:rsid w:val="003C066A"/>
    <w:rsid w:val="003C6C06"/>
    <w:rsid w:val="003C7178"/>
    <w:rsid w:val="003D3D23"/>
    <w:rsid w:val="003D4A85"/>
    <w:rsid w:val="003E2252"/>
    <w:rsid w:val="003E608C"/>
    <w:rsid w:val="003E7C5B"/>
    <w:rsid w:val="003F2251"/>
    <w:rsid w:val="003F4647"/>
    <w:rsid w:val="0041573F"/>
    <w:rsid w:val="00425069"/>
    <w:rsid w:val="00425F62"/>
    <w:rsid w:val="004327A9"/>
    <w:rsid w:val="0043492B"/>
    <w:rsid w:val="00440828"/>
    <w:rsid w:val="004413EA"/>
    <w:rsid w:val="00444202"/>
    <w:rsid w:val="00447693"/>
    <w:rsid w:val="00450C31"/>
    <w:rsid w:val="0045594E"/>
    <w:rsid w:val="00463B0A"/>
    <w:rsid w:val="0046606B"/>
    <w:rsid w:val="00476FCE"/>
    <w:rsid w:val="00483FC1"/>
    <w:rsid w:val="00487FBB"/>
    <w:rsid w:val="00491F46"/>
    <w:rsid w:val="00493260"/>
    <w:rsid w:val="004C0224"/>
    <w:rsid w:val="004C1680"/>
    <w:rsid w:val="004C189A"/>
    <w:rsid w:val="004C695D"/>
    <w:rsid w:val="004C795E"/>
    <w:rsid w:val="004D11A9"/>
    <w:rsid w:val="004D3507"/>
    <w:rsid w:val="004D5D96"/>
    <w:rsid w:val="004E2AE1"/>
    <w:rsid w:val="004E31BA"/>
    <w:rsid w:val="004E3DA2"/>
    <w:rsid w:val="004E571D"/>
    <w:rsid w:val="004E6FE1"/>
    <w:rsid w:val="004F0576"/>
    <w:rsid w:val="004F46BD"/>
    <w:rsid w:val="0050133B"/>
    <w:rsid w:val="00501B6D"/>
    <w:rsid w:val="005022FB"/>
    <w:rsid w:val="00504F78"/>
    <w:rsid w:val="00506937"/>
    <w:rsid w:val="00514606"/>
    <w:rsid w:val="00514C15"/>
    <w:rsid w:val="005164C3"/>
    <w:rsid w:val="00527C7E"/>
    <w:rsid w:val="00527F7D"/>
    <w:rsid w:val="00537E8C"/>
    <w:rsid w:val="00547816"/>
    <w:rsid w:val="00550A19"/>
    <w:rsid w:val="00552A72"/>
    <w:rsid w:val="0055771A"/>
    <w:rsid w:val="00557F07"/>
    <w:rsid w:val="00563098"/>
    <w:rsid w:val="005645AA"/>
    <w:rsid w:val="00564808"/>
    <w:rsid w:val="005700EA"/>
    <w:rsid w:val="00573598"/>
    <w:rsid w:val="00573DAE"/>
    <w:rsid w:val="005745C7"/>
    <w:rsid w:val="0057557A"/>
    <w:rsid w:val="005869A9"/>
    <w:rsid w:val="00594E20"/>
    <w:rsid w:val="005A111F"/>
    <w:rsid w:val="005A24A4"/>
    <w:rsid w:val="005A43F7"/>
    <w:rsid w:val="005C214D"/>
    <w:rsid w:val="005C2E58"/>
    <w:rsid w:val="005E46FB"/>
    <w:rsid w:val="005F4A23"/>
    <w:rsid w:val="00604A08"/>
    <w:rsid w:val="00614FAF"/>
    <w:rsid w:val="00624A59"/>
    <w:rsid w:val="00631FE8"/>
    <w:rsid w:val="00633A30"/>
    <w:rsid w:val="00640EF9"/>
    <w:rsid w:val="00641B70"/>
    <w:rsid w:val="00647E4E"/>
    <w:rsid w:val="00656C25"/>
    <w:rsid w:val="00660925"/>
    <w:rsid w:val="00661430"/>
    <w:rsid w:val="006637B1"/>
    <w:rsid w:val="006660F2"/>
    <w:rsid w:val="006666F3"/>
    <w:rsid w:val="00690283"/>
    <w:rsid w:val="00692D28"/>
    <w:rsid w:val="00694EB5"/>
    <w:rsid w:val="00696888"/>
    <w:rsid w:val="006A1B9D"/>
    <w:rsid w:val="006B7260"/>
    <w:rsid w:val="006B7921"/>
    <w:rsid w:val="006C01FB"/>
    <w:rsid w:val="006C07B5"/>
    <w:rsid w:val="006C4167"/>
    <w:rsid w:val="006D7D43"/>
    <w:rsid w:val="006E32A9"/>
    <w:rsid w:val="006E7EEA"/>
    <w:rsid w:val="006F0352"/>
    <w:rsid w:val="006F1089"/>
    <w:rsid w:val="006F1360"/>
    <w:rsid w:val="006F32DF"/>
    <w:rsid w:val="00710C7B"/>
    <w:rsid w:val="00721385"/>
    <w:rsid w:val="00721DC8"/>
    <w:rsid w:val="0073730A"/>
    <w:rsid w:val="00737B17"/>
    <w:rsid w:val="00737D0E"/>
    <w:rsid w:val="00747FB8"/>
    <w:rsid w:val="00751200"/>
    <w:rsid w:val="0075655C"/>
    <w:rsid w:val="0076077B"/>
    <w:rsid w:val="007771C5"/>
    <w:rsid w:val="007842DA"/>
    <w:rsid w:val="00793B48"/>
    <w:rsid w:val="00795F12"/>
    <w:rsid w:val="007A1E4E"/>
    <w:rsid w:val="007A33D7"/>
    <w:rsid w:val="007A4278"/>
    <w:rsid w:val="007B0AA3"/>
    <w:rsid w:val="007B45D4"/>
    <w:rsid w:val="007C3478"/>
    <w:rsid w:val="007C5C7C"/>
    <w:rsid w:val="007D6FB0"/>
    <w:rsid w:val="007E1517"/>
    <w:rsid w:val="007E3D96"/>
    <w:rsid w:val="007F463B"/>
    <w:rsid w:val="007F4E39"/>
    <w:rsid w:val="007F7B40"/>
    <w:rsid w:val="008013BF"/>
    <w:rsid w:val="00801B86"/>
    <w:rsid w:val="0081239F"/>
    <w:rsid w:val="008141CC"/>
    <w:rsid w:val="0081445E"/>
    <w:rsid w:val="008145A0"/>
    <w:rsid w:val="00823344"/>
    <w:rsid w:val="00832C1B"/>
    <w:rsid w:val="00836007"/>
    <w:rsid w:val="008455FE"/>
    <w:rsid w:val="0084606D"/>
    <w:rsid w:val="00850AF4"/>
    <w:rsid w:val="008574B0"/>
    <w:rsid w:val="00861100"/>
    <w:rsid w:val="008707BD"/>
    <w:rsid w:val="00870DC0"/>
    <w:rsid w:val="00870DE2"/>
    <w:rsid w:val="008719D5"/>
    <w:rsid w:val="0088238C"/>
    <w:rsid w:val="00885BF5"/>
    <w:rsid w:val="00886E6E"/>
    <w:rsid w:val="008879AF"/>
    <w:rsid w:val="008918B0"/>
    <w:rsid w:val="00891B56"/>
    <w:rsid w:val="008A0FA8"/>
    <w:rsid w:val="008A3C9B"/>
    <w:rsid w:val="008B04D3"/>
    <w:rsid w:val="008B14E4"/>
    <w:rsid w:val="008B6366"/>
    <w:rsid w:val="008C412D"/>
    <w:rsid w:val="008C7C96"/>
    <w:rsid w:val="008D00A0"/>
    <w:rsid w:val="008D34F7"/>
    <w:rsid w:val="008D5C8D"/>
    <w:rsid w:val="008E3F71"/>
    <w:rsid w:val="008E4E5D"/>
    <w:rsid w:val="008F46D4"/>
    <w:rsid w:val="00905EF1"/>
    <w:rsid w:val="0091420A"/>
    <w:rsid w:val="009443ED"/>
    <w:rsid w:val="009524A7"/>
    <w:rsid w:val="0095359F"/>
    <w:rsid w:val="0095619B"/>
    <w:rsid w:val="00967D58"/>
    <w:rsid w:val="00970C5C"/>
    <w:rsid w:val="00971735"/>
    <w:rsid w:val="00972C1E"/>
    <w:rsid w:val="0097492B"/>
    <w:rsid w:val="00976BF8"/>
    <w:rsid w:val="0097734B"/>
    <w:rsid w:val="00984AAC"/>
    <w:rsid w:val="00990B3D"/>
    <w:rsid w:val="00997D19"/>
    <w:rsid w:val="009A472A"/>
    <w:rsid w:val="009A4987"/>
    <w:rsid w:val="009A588C"/>
    <w:rsid w:val="009B767F"/>
    <w:rsid w:val="009C52B9"/>
    <w:rsid w:val="009D4D4D"/>
    <w:rsid w:val="009D5136"/>
    <w:rsid w:val="009D6C64"/>
    <w:rsid w:val="009D6ED9"/>
    <w:rsid w:val="009D78AC"/>
    <w:rsid w:val="009E095A"/>
    <w:rsid w:val="009E1A89"/>
    <w:rsid w:val="009E369E"/>
    <w:rsid w:val="009E4902"/>
    <w:rsid w:val="009F1330"/>
    <w:rsid w:val="009F1D70"/>
    <w:rsid w:val="009F2E33"/>
    <w:rsid w:val="00A04D45"/>
    <w:rsid w:val="00A058CA"/>
    <w:rsid w:val="00A1325C"/>
    <w:rsid w:val="00A2192A"/>
    <w:rsid w:val="00A256CD"/>
    <w:rsid w:val="00A35154"/>
    <w:rsid w:val="00A37357"/>
    <w:rsid w:val="00A53189"/>
    <w:rsid w:val="00A54378"/>
    <w:rsid w:val="00A871EC"/>
    <w:rsid w:val="00A95CE3"/>
    <w:rsid w:val="00AD0A3E"/>
    <w:rsid w:val="00AD211A"/>
    <w:rsid w:val="00AD568F"/>
    <w:rsid w:val="00AE3004"/>
    <w:rsid w:val="00AE414E"/>
    <w:rsid w:val="00AF14C9"/>
    <w:rsid w:val="00AF6244"/>
    <w:rsid w:val="00AF69FC"/>
    <w:rsid w:val="00B03FEA"/>
    <w:rsid w:val="00B07D6A"/>
    <w:rsid w:val="00B101BA"/>
    <w:rsid w:val="00B102A0"/>
    <w:rsid w:val="00B11CD9"/>
    <w:rsid w:val="00B145D8"/>
    <w:rsid w:val="00B1507D"/>
    <w:rsid w:val="00B411C8"/>
    <w:rsid w:val="00B46A52"/>
    <w:rsid w:val="00B65E61"/>
    <w:rsid w:val="00B71579"/>
    <w:rsid w:val="00B7238A"/>
    <w:rsid w:val="00B76799"/>
    <w:rsid w:val="00B81DA8"/>
    <w:rsid w:val="00B86092"/>
    <w:rsid w:val="00B90EEA"/>
    <w:rsid w:val="00B91124"/>
    <w:rsid w:val="00B92D8D"/>
    <w:rsid w:val="00B9524A"/>
    <w:rsid w:val="00BA3103"/>
    <w:rsid w:val="00BB3CC1"/>
    <w:rsid w:val="00BB777E"/>
    <w:rsid w:val="00BC3745"/>
    <w:rsid w:val="00BC4B62"/>
    <w:rsid w:val="00BC62A8"/>
    <w:rsid w:val="00BD066E"/>
    <w:rsid w:val="00BE03D3"/>
    <w:rsid w:val="00BE3575"/>
    <w:rsid w:val="00BF6D3A"/>
    <w:rsid w:val="00C001C3"/>
    <w:rsid w:val="00C00FEB"/>
    <w:rsid w:val="00C0476D"/>
    <w:rsid w:val="00C05BD4"/>
    <w:rsid w:val="00C13A77"/>
    <w:rsid w:val="00C16ADE"/>
    <w:rsid w:val="00C37605"/>
    <w:rsid w:val="00C47251"/>
    <w:rsid w:val="00C4729D"/>
    <w:rsid w:val="00C47CCB"/>
    <w:rsid w:val="00C50300"/>
    <w:rsid w:val="00C54FD9"/>
    <w:rsid w:val="00C65F34"/>
    <w:rsid w:val="00C705DE"/>
    <w:rsid w:val="00C732EF"/>
    <w:rsid w:val="00C91F4D"/>
    <w:rsid w:val="00C931CC"/>
    <w:rsid w:val="00CA4D91"/>
    <w:rsid w:val="00CA6859"/>
    <w:rsid w:val="00CA77AC"/>
    <w:rsid w:val="00CB18FE"/>
    <w:rsid w:val="00CB3628"/>
    <w:rsid w:val="00CB5681"/>
    <w:rsid w:val="00CB6D7C"/>
    <w:rsid w:val="00CD6C66"/>
    <w:rsid w:val="00CE1F9C"/>
    <w:rsid w:val="00CE2DCE"/>
    <w:rsid w:val="00CE32C5"/>
    <w:rsid w:val="00CE3874"/>
    <w:rsid w:val="00CF21A3"/>
    <w:rsid w:val="00CF5747"/>
    <w:rsid w:val="00CF7DEC"/>
    <w:rsid w:val="00D007EC"/>
    <w:rsid w:val="00D031A0"/>
    <w:rsid w:val="00D07D71"/>
    <w:rsid w:val="00D10A8A"/>
    <w:rsid w:val="00D11882"/>
    <w:rsid w:val="00D129C0"/>
    <w:rsid w:val="00D15F7B"/>
    <w:rsid w:val="00D162F9"/>
    <w:rsid w:val="00D17229"/>
    <w:rsid w:val="00D228E3"/>
    <w:rsid w:val="00D23579"/>
    <w:rsid w:val="00D31A01"/>
    <w:rsid w:val="00D32A62"/>
    <w:rsid w:val="00D53C00"/>
    <w:rsid w:val="00D60492"/>
    <w:rsid w:val="00D665B3"/>
    <w:rsid w:val="00D67BB4"/>
    <w:rsid w:val="00D701D6"/>
    <w:rsid w:val="00D81FC3"/>
    <w:rsid w:val="00D85C75"/>
    <w:rsid w:val="00DA625D"/>
    <w:rsid w:val="00DB5BFB"/>
    <w:rsid w:val="00DB5F28"/>
    <w:rsid w:val="00DB6FF6"/>
    <w:rsid w:val="00DC0B1B"/>
    <w:rsid w:val="00DC3B41"/>
    <w:rsid w:val="00DE08E4"/>
    <w:rsid w:val="00DF3116"/>
    <w:rsid w:val="00DF53DB"/>
    <w:rsid w:val="00E0440E"/>
    <w:rsid w:val="00E2083D"/>
    <w:rsid w:val="00E376E2"/>
    <w:rsid w:val="00E40994"/>
    <w:rsid w:val="00E40FBF"/>
    <w:rsid w:val="00E419AC"/>
    <w:rsid w:val="00E43774"/>
    <w:rsid w:val="00E437F4"/>
    <w:rsid w:val="00E4522C"/>
    <w:rsid w:val="00E75247"/>
    <w:rsid w:val="00E86835"/>
    <w:rsid w:val="00E86BA5"/>
    <w:rsid w:val="00E9085A"/>
    <w:rsid w:val="00E947E1"/>
    <w:rsid w:val="00E959DF"/>
    <w:rsid w:val="00EA01E6"/>
    <w:rsid w:val="00EA0F45"/>
    <w:rsid w:val="00EE0FD6"/>
    <w:rsid w:val="00EE2AF5"/>
    <w:rsid w:val="00EF7A91"/>
    <w:rsid w:val="00F01315"/>
    <w:rsid w:val="00F030AB"/>
    <w:rsid w:val="00F075A0"/>
    <w:rsid w:val="00F2015A"/>
    <w:rsid w:val="00F361AD"/>
    <w:rsid w:val="00F40260"/>
    <w:rsid w:val="00F41F56"/>
    <w:rsid w:val="00F65D7E"/>
    <w:rsid w:val="00F71E7D"/>
    <w:rsid w:val="00F803D4"/>
    <w:rsid w:val="00F860FE"/>
    <w:rsid w:val="00F91F11"/>
    <w:rsid w:val="00FA0384"/>
    <w:rsid w:val="00FA34DD"/>
    <w:rsid w:val="00FB2FEC"/>
    <w:rsid w:val="00FC340E"/>
    <w:rsid w:val="00FC373F"/>
    <w:rsid w:val="00FC4644"/>
    <w:rsid w:val="00FD5660"/>
    <w:rsid w:val="00FD5CE7"/>
    <w:rsid w:val="00FD6078"/>
    <w:rsid w:val="00FE03F5"/>
    <w:rsid w:val="00FE3AB7"/>
    <w:rsid w:val="00FE4817"/>
    <w:rsid w:val="00FF321E"/>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26D9B"/>
  <w15:chartTrackingRefBased/>
  <w15:docId w15:val="{C7CDB4AF-CDDF-4513-8C18-95D776C5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83D"/>
    <w:rPr>
      <w:color w:val="0563C1" w:themeColor="hyperlink"/>
      <w:u w:val="single"/>
    </w:rPr>
  </w:style>
  <w:style w:type="character" w:styleId="FootnoteReference">
    <w:name w:val="footnote reference"/>
    <w:basedOn w:val="DefaultParagraphFont"/>
    <w:uiPriority w:val="99"/>
    <w:semiHidden/>
    <w:unhideWhenUsed/>
    <w:rsid w:val="00E2083D"/>
    <w:rPr>
      <w:vertAlign w:val="superscript"/>
    </w:rPr>
  </w:style>
  <w:style w:type="paragraph" w:styleId="FootnoteText">
    <w:name w:val="footnote text"/>
    <w:basedOn w:val="Normal"/>
    <w:link w:val="FootnoteTextChar"/>
    <w:uiPriority w:val="99"/>
    <w:semiHidden/>
    <w:unhideWhenUsed/>
    <w:rsid w:val="009D6C64"/>
    <w:rPr>
      <w:rFonts w:cs="Times New Roman"/>
      <w:sz w:val="20"/>
      <w:szCs w:val="20"/>
    </w:rPr>
  </w:style>
  <w:style w:type="character" w:customStyle="1" w:styleId="FootnoteTextChar">
    <w:name w:val="Footnote Text Char"/>
    <w:basedOn w:val="DefaultParagraphFont"/>
    <w:link w:val="FootnoteText"/>
    <w:uiPriority w:val="99"/>
    <w:semiHidden/>
    <w:rsid w:val="009D6C64"/>
    <w:rPr>
      <w:rFonts w:cs="Times New Roman"/>
      <w:sz w:val="20"/>
      <w:szCs w:val="20"/>
    </w:rPr>
  </w:style>
  <w:style w:type="character" w:customStyle="1" w:styleId="UnresolvedMention1">
    <w:name w:val="Unresolved Mention1"/>
    <w:basedOn w:val="DefaultParagraphFont"/>
    <w:uiPriority w:val="99"/>
    <w:semiHidden/>
    <w:unhideWhenUsed/>
    <w:rsid w:val="00514C15"/>
    <w:rPr>
      <w:color w:val="605E5C"/>
      <w:shd w:val="clear" w:color="auto" w:fill="E1DFDD"/>
    </w:rPr>
  </w:style>
  <w:style w:type="paragraph" w:styleId="Header">
    <w:name w:val="header"/>
    <w:basedOn w:val="Normal"/>
    <w:link w:val="HeaderChar"/>
    <w:uiPriority w:val="99"/>
    <w:unhideWhenUsed/>
    <w:rsid w:val="0029519F"/>
    <w:pPr>
      <w:tabs>
        <w:tab w:val="center" w:pos="4680"/>
        <w:tab w:val="right" w:pos="9360"/>
      </w:tabs>
    </w:pPr>
  </w:style>
  <w:style w:type="character" w:customStyle="1" w:styleId="HeaderChar">
    <w:name w:val="Header Char"/>
    <w:basedOn w:val="DefaultParagraphFont"/>
    <w:link w:val="Header"/>
    <w:uiPriority w:val="99"/>
    <w:rsid w:val="0029519F"/>
  </w:style>
  <w:style w:type="paragraph" w:styleId="Footer">
    <w:name w:val="footer"/>
    <w:basedOn w:val="Normal"/>
    <w:link w:val="FooterChar"/>
    <w:uiPriority w:val="99"/>
    <w:unhideWhenUsed/>
    <w:rsid w:val="0029519F"/>
    <w:pPr>
      <w:tabs>
        <w:tab w:val="center" w:pos="4680"/>
        <w:tab w:val="right" w:pos="9360"/>
      </w:tabs>
    </w:pPr>
  </w:style>
  <w:style w:type="character" w:customStyle="1" w:styleId="FooterChar">
    <w:name w:val="Footer Char"/>
    <w:basedOn w:val="DefaultParagraphFont"/>
    <w:link w:val="Footer"/>
    <w:uiPriority w:val="99"/>
    <w:rsid w:val="0029519F"/>
  </w:style>
  <w:style w:type="character" w:styleId="CommentReference">
    <w:name w:val="annotation reference"/>
    <w:basedOn w:val="DefaultParagraphFont"/>
    <w:uiPriority w:val="99"/>
    <w:semiHidden/>
    <w:unhideWhenUsed/>
    <w:rsid w:val="00425F62"/>
    <w:rPr>
      <w:sz w:val="16"/>
      <w:szCs w:val="16"/>
    </w:rPr>
  </w:style>
  <w:style w:type="paragraph" w:styleId="CommentText">
    <w:name w:val="annotation text"/>
    <w:basedOn w:val="Normal"/>
    <w:link w:val="CommentTextChar"/>
    <w:uiPriority w:val="99"/>
    <w:semiHidden/>
    <w:unhideWhenUsed/>
    <w:rsid w:val="00425F62"/>
    <w:rPr>
      <w:sz w:val="20"/>
      <w:szCs w:val="20"/>
    </w:rPr>
  </w:style>
  <w:style w:type="character" w:customStyle="1" w:styleId="CommentTextChar">
    <w:name w:val="Comment Text Char"/>
    <w:basedOn w:val="DefaultParagraphFont"/>
    <w:link w:val="CommentText"/>
    <w:uiPriority w:val="99"/>
    <w:semiHidden/>
    <w:rsid w:val="00425F62"/>
    <w:rPr>
      <w:sz w:val="20"/>
      <w:szCs w:val="20"/>
    </w:rPr>
  </w:style>
  <w:style w:type="paragraph" w:styleId="CommentSubject">
    <w:name w:val="annotation subject"/>
    <w:basedOn w:val="CommentText"/>
    <w:next w:val="CommentText"/>
    <w:link w:val="CommentSubjectChar"/>
    <w:uiPriority w:val="99"/>
    <w:semiHidden/>
    <w:unhideWhenUsed/>
    <w:rsid w:val="00425F62"/>
    <w:rPr>
      <w:b/>
      <w:bCs/>
    </w:rPr>
  </w:style>
  <w:style w:type="character" w:customStyle="1" w:styleId="CommentSubjectChar">
    <w:name w:val="Comment Subject Char"/>
    <w:basedOn w:val="CommentTextChar"/>
    <w:link w:val="CommentSubject"/>
    <w:uiPriority w:val="99"/>
    <w:semiHidden/>
    <w:rsid w:val="00425F62"/>
    <w:rPr>
      <w:b/>
      <w:bCs/>
      <w:sz w:val="20"/>
      <w:szCs w:val="20"/>
    </w:rPr>
  </w:style>
  <w:style w:type="paragraph" w:styleId="BalloonText">
    <w:name w:val="Balloon Text"/>
    <w:basedOn w:val="Normal"/>
    <w:link w:val="BalloonTextChar"/>
    <w:uiPriority w:val="99"/>
    <w:semiHidden/>
    <w:unhideWhenUsed/>
    <w:rsid w:val="004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62"/>
    <w:rPr>
      <w:rFonts w:ascii="Segoe UI" w:hAnsi="Segoe UI" w:cs="Segoe UI"/>
      <w:sz w:val="18"/>
      <w:szCs w:val="18"/>
    </w:rPr>
  </w:style>
  <w:style w:type="paragraph" w:styleId="Revision">
    <w:name w:val="Revision"/>
    <w:hidden/>
    <w:uiPriority w:val="99"/>
    <w:semiHidden/>
    <w:rsid w:val="00055A60"/>
  </w:style>
  <w:style w:type="character" w:styleId="FollowedHyperlink">
    <w:name w:val="FollowedHyperlink"/>
    <w:basedOn w:val="DefaultParagraphFont"/>
    <w:uiPriority w:val="99"/>
    <w:semiHidden/>
    <w:unhideWhenUsed/>
    <w:rsid w:val="004C1680"/>
    <w:rPr>
      <w:color w:val="954F72" w:themeColor="followedHyperlink"/>
      <w:u w:val="single"/>
    </w:rPr>
  </w:style>
  <w:style w:type="character" w:styleId="PlaceholderText">
    <w:name w:val="Placeholder Text"/>
    <w:basedOn w:val="DefaultParagraphFont"/>
    <w:uiPriority w:val="99"/>
    <w:semiHidden/>
    <w:rsid w:val="00690283"/>
    <w:rPr>
      <w:color w:val="808080"/>
    </w:rPr>
  </w:style>
  <w:style w:type="table" w:styleId="TableGrid">
    <w:name w:val="Table Grid"/>
    <w:basedOn w:val="TableNormal"/>
    <w:uiPriority w:val="39"/>
    <w:rsid w:val="00191B1E"/>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13A77"/>
    <w:rPr>
      <w:sz w:val="20"/>
      <w:szCs w:val="20"/>
    </w:rPr>
  </w:style>
  <w:style w:type="character" w:customStyle="1" w:styleId="EndnoteTextChar">
    <w:name w:val="Endnote Text Char"/>
    <w:basedOn w:val="DefaultParagraphFont"/>
    <w:link w:val="EndnoteText"/>
    <w:uiPriority w:val="99"/>
    <w:semiHidden/>
    <w:rsid w:val="00C13A77"/>
    <w:rPr>
      <w:sz w:val="20"/>
      <w:szCs w:val="20"/>
    </w:rPr>
  </w:style>
  <w:style w:type="character" w:styleId="EndnoteReference">
    <w:name w:val="endnote reference"/>
    <w:basedOn w:val="DefaultParagraphFont"/>
    <w:uiPriority w:val="99"/>
    <w:semiHidden/>
    <w:unhideWhenUsed/>
    <w:rsid w:val="00C13A77"/>
    <w:rPr>
      <w:vertAlign w:val="superscript"/>
    </w:rPr>
  </w:style>
  <w:style w:type="paragraph" w:customStyle="1" w:styleId="p1">
    <w:name w:val="p1"/>
    <w:basedOn w:val="Normal"/>
    <w:rsid w:val="00E86BA5"/>
    <w:rPr>
      <w:rFonts w:ascii="Verdana" w:hAnsi="Verdana" w:cs="Times New Roman"/>
      <w:sz w:val="17"/>
      <w:szCs w:val="17"/>
    </w:rPr>
  </w:style>
  <w:style w:type="character" w:customStyle="1" w:styleId="UnresolvedMention2">
    <w:name w:val="Unresolved Mention2"/>
    <w:basedOn w:val="DefaultParagraphFont"/>
    <w:uiPriority w:val="99"/>
    <w:semiHidden/>
    <w:unhideWhenUsed/>
    <w:rsid w:val="00D701D6"/>
    <w:rPr>
      <w:color w:val="605E5C"/>
      <w:shd w:val="clear" w:color="auto" w:fill="E1DFDD"/>
    </w:rPr>
  </w:style>
  <w:style w:type="character" w:styleId="UnresolvedMention">
    <w:name w:val="Unresolved Mention"/>
    <w:basedOn w:val="DefaultParagraphFont"/>
    <w:uiPriority w:val="99"/>
    <w:semiHidden/>
    <w:unhideWhenUsed/>
    <w:rsid w:val="003A59E0"/>
    <w:rPr>
      <w:color w:val="605E5C"/>
      <w:shd w:val="clear" w:color="auto" w:fill="E1DFDD"/>
    </w:rPr>
  </w:style>
  <w:style w:type="character" w:styleId="Emphasis">
    <w:name w:val="Emphasis"/>
    <w:basedOn w:val="DefaultParagraphFont"/>
    <w:uiPriority w:val="20"/>
    <w:qFormat/>
    <w:rsid w:val="00CA4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eyauthors.com/self-archiving" TargetMode="External"/><Relationship Id="rId3" Type="http://schemas.openxmlformats.org/officeDocument/2006/relationships/settings" Target="settings.xml"/><Relationship Id="rId7" Type="http://schemas.openxmlformats.org/officeDocument/2006/relationships/hyperlink" Target="https://doi.org/10.1111/imj.15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akeearl.ne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cioms.ch/wp-content/uploads/2017/01/WEB-CIOMS-EthicalGuidelines.pdf" TargetMode="External"/><Relationship Id="rId1" Type="http://schemas.openxmlformats.org/officeDocument/2006/relationships/hyperlink" Target="http://www.isscr.org/docs/default-source/all-isscr-guidelines/guidelines-2016/isscr-guidelines-for-stem-cell-research-and-clinical-trans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A8D6-4B6F-45A9-8954-AA23F1B2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Earl</dc:creator>
  <cp:keywords/>
  <dc:description/>
  <cp:lastModifiedBy>Jake Earl</cp:lastModifiedBy>
  <cp:revision>2</cp:revision>
  <cp:lastPrinted>2020-06-24T12:11:00Z</cp:lastPrinted>
  <dcterms:created xsi:type="dcterms:W3CDTF">2022-03-12T06:16:00Z</dcterms:created>
  <dcterms:modified xsi:type="dcterms:W3CDTF">2022-03-12T06:16:00Z</dcterms:modified>
</cp:coreProperties>
</file>