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0464" w:rsidRDefault="00920464" w:rsidP="00B77E08">
      <w:pPr>
        <w:ind w:left="600" w:hangingChars="250" w:hanging="600"/>
        <w:rPr>
          <w:rFonts w:eastAsia="Times New Roman"/>
          <w:b/>
        </w:rPr>
      </w:pPr>
      <w:r w:rsidRPr="00FA5FB5">
        <w:rPr>
          <w:rFonts w:eastAsia="Times New Roman"/>
        </w:rPr>
        <w:t xml:space="preserve">Holistic </w:t>
      </w:r>
      <w:r w:rsidR="008A5199" w:rsidRPr="00FA5FB5">
        <w:rPr>
          <w:rFonts w:eastAsia="Times New Roman"/>
        </w:rPr>
        <w:t>Modeling</w:t>
      </w:r>
      <w:r w:rsidRPr="00FA5FB5">
        <w:rPr>
          <w:rFonts w:eastAsia="Times New Roman"/>
        </w:rPr>
        <w:t>—An Objection to Weisberg’s Weighted Feature-Matching Account</w:t>
      </w:r>
      <w:r>
        <w:rPr>
          <w:rFonts w:eastAsia="Times New Roman"/>
          <w:b/>
        </w:rPr>
        <w:fldChar w:fldCharType="begin"/>
      </w:r>
      <w:r>
        <w:rPr>
          <w:rFonts w:eastAsia="Times New Roman"/>
          <w:b/>
        </w:rPr>
        <w:fldChar w:fldCharType="separate"/>
      </w:r>
      <w:r>
        <w:rPr>
          <w:rFonts w:eastAsia="Times New Roman"/>
          <w:b/>
        </w:rPr>
        <w:t>– an objection to Weisberg's feature-matching account</w:t>
      </w:r>
      <w:r>
        <w:rPr>
          <w:rFonts w:eastAsia="Times New Roman"/>
          <w:b/>
        </w:rPr>
        <w:fldChar w:fldCharType="end"/>
      </w:r>
    </w:p>
    <w:p w:rsidR="00FA5FB5" w:rsidRDefault="00FA5FB5" w:rsidP="00AB5568">
      <w:pPr>
        <w:ind w:firstLineChars="100" w:firstLine="241"/>
        <w:rPr>
          <w:rFonts w:eastAsia="Times New Roman"/>
          <w:b/>
        </w:rPr>
      </w:pPr>
    </w:p>
    <w:p w:rsidR="002A1A7E" w:rsidRPr="004F4506" w:rsidRDefault="00920464" w:rsidP="002A1A7E">
      <w:pPr>
        <w:rPr>
          <w:rFonts w:eastAsia="Times New Roman"/>
        </w:rPr>
      </w:pPr>
      <w:r>
        <w:rPr>
          <w:rFonts w:eastAsia="Times New Roman"/>
          <w:b/>
        </w:rPr>
        <w:t xml:space="preserve">Abstract: </w:t>
      </w:r>
      <w:r w:rsidR="002A1A7E" w:rsidRPr="00F86D16">
        <w:rPr>
          <w:rFonts w:eastAsia="Times New Roman"/>
        </w:rPr>
        <w:t xml:space="preserve">Michael </w:t>
      </w:r>
      <w:r w:rsidR="002A1A7E">
        <w:rPr>
          <w:rFonts w:eastAsia="Times New Roman"/>
        </w:rPr>
        <w:t xml:space="preserve">Weisberg’s account of scientific models concentrates on the ways in which models are similar to their targets. He intends not merely to explain what similarity consists in, but also to capture similarity judgments made by scientists. In order to scrutinize whether his account fulfills this goal, I outline one common way in which scientists judge whether a model is similar enough to its target, namely maximum likelihood estimation method (MLE). Then I consider whether Weisberg’s account could capture the judgments involved in this practice. I argue that his account fails for three reasons. First, his account is simply </w:t>
      </w:r>
      <w:r w:rsidR="002A1A7E">
        <w:rPr>
          <w:rFonts w:eastAsia="Times New Roman"/>
          <w:lang w:val="en-AU"/>
        </w:rPr>
        <w:t>too abstract to capture what is going on in MLE</w:t>
      </w:r>
      <w:r w:rsidR="002A1A7E">
        <w:rPr>
          <w:rFonts w:eastAsia="Times New Roman"/>
        </w:rPr>
        <w:t xml:space="preserve">. Second, it implies an atomistic conception of similarity, while MLE operates in a holistic manner. Third, Weisberg’s atomistic conception of similarity can be traced back to a problematic </w:t>
      </w:r>
      <w:r w:rsidR="002A1A7E" w:rsidRPr="00CA2852">
        <w:rPr>
          <w:rFonts w:eastAsia="Times New Roman"/>
          <w:i/>
        </w:rPr>
        <w:t>set-theoretic</w:t>
      </w:r>
      <w:r w:rsidR="002A1A7E">
        <w:rPr>
          <w:rFonts w:eastAsia="Times New Roman"/>
        </w:rPr>
        <w:t xml:space="preserve"> approach to the structure of models</w:t>
      </w:r>
      <w:r w:rsidR="002A1A7E">
        <w:rPr>
          <w:rFonts w:eastAsia="Times New Roman"/>
          <w:szCs w:val="24"/>
          <w:lang w:val="en-AU"/>
        </w:rPr>
        <w:t>.</w:t>
      </w:r>
      <w:r w:rsidR="002A1A7E" w:rsidRPr="002A1A7E">
        <w:rPr>
          <w:rFonts w:hint="eastAsia"/>
          <w:lang w:val="en-AU"/>
        </w:rPr>
        <w:t xml:space="preserve"> </w:t>
      </w:r>
      <w:r w:rsidR="002A1A7E">
        <w:rPr>
          <w:rFonts w:eastAsia="Times New Roman"/>
          <w:lang w:val="en-AU"/>
        </w:rPr>
        <w:t xml:space="preserve">Finally, I tentatively suggest how these problems might be solved by a </w:t>
      </w:r>
      <w:r w:rsidR="002A1A7E">
        <w:rPr>
          <w:rFonts w:eastAsia="Times New Roman"/>
          <w:i/>
          <w:lang w:val="en-AU"/>
        </w:rPr>
        <w:t>holistic</w:t>
      </w:r>
      <w:r w:rsidR="002A1A7E">
        <w:rPr>
          <w:rFonts w:eastAsia="Times New Roman"/>
          <w:lang w:val="en-AU"/>
        </w:rPr>
        <w:t xml:space="preserve"> approach in which models and targets are compared in a </w:t>
      </w:r>
      <w:r w:rsidR="002A1A7E">
        <w:rPr>
          <w:rFonts w:eastAsia="Times New Roman"/>
          <w:i/>
          <w:lang w:val="en-AU"/>
        </w:rPr>
        <w:t>non-set-theoretic</w:t>
      </w:r>
      <w:r w:rsidR="002A1A7E">
        <w:rPr>
          <w:rFonts w:eastAsia="Times New Roman"/>
          <w:lang w:val="en-AU"/>
        </w:rPr>
        <w:t xml:space="preserve"> fashion.</w:t>
      </w:r>
    </w:p>
    <w:p w:rsidR="00920464" w:rsidRPr="002A1A7E" w:rsidRDefault="00920464" w:rsidP="00FA5FB5">
      <w:pPr>
        <w:rPr>
          <w:rFonts w:eastAsia="Times New Roman"/>
          <w:lang w:val="en-AU"/>
        </w:rPr>
      </w:pPr>
    </w:p>
    <w:p w:rsidR="00920464" w:rsidRPr="00C1727E" w:rsidRDefault="00920464"/>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Default="00FA5FB5"/>
    <w:p w:rsidR="00B77E08" w:rsidRPr="00C1727E" w:rsidRDefault="00B77E08"/>
    <w:p w:rsidR="00FA5FB5" w:rsidRPr="00C1727E" w:rsidRDefault="00FA5FB5"/>
    <w:p w:rsidR="00FA5FB5" w:rsidRPr="00C1727E" w:rsidRDefault="00FA5FB5"/>
    <w:p w:rsidR="00FA5FB5" w:rsidRPr="00C1727E" w:rsidRDefault="00FA5FB5"/>
    <w:p w:rsidR="00FA5FB5" w:rsidRPr="00C1727E" w:rsidRDefault="00FA5FB5"/>
    <w:p w:rsidR="00FA5FB5" w:rsidRPr="00C1727E" w:rsidRDefault="00FA5FB5"/>
    <w:p w:rsidR="00FA5FB5" w:rsidRDefault="00FA5FB5"/>
    <w:p w:rsidR="00630EF2" w:rsidRPr="00C1727E" w:rsidRDefault="00630EF2"/>
    <w:p w:rsidR="00FA5FB5" w:rsidRPr="00C1727E" w:rsidRDefault="00FA5FB5"/>
    <w:p w:rsidR="00920464" w:rsidRDefault="00920464">
      <w:pPr>
        <w:rPr>
          <w:rFonts w:eastAsia="Times New Roman"/>
        </w:rPr>
      </w:pPr>
      <w:r>
        <w:rPr>
          <w:rFonts w:eastAsia="Times New Roman"/>
          <w:b/>
        </w:rPr>
        <w:lastRenderedPageBreak/>
        <w:t>1. Introduction</w:t>
      </w:r>
    </w:p>
    <w:p w:rsidR="00920464" w:rsidRDefault="00920464">
      <w:pPr>
        <w:rPr>
          <w:rFonts w:eastAsia="Times New Roman"/>
        </w:rPr>
      </w:pPr>
    </w:p>
    <w:p w:rsidR="00920464" w:rsidRDefault="00920464">
      <w:pPr>
        <w:rPr>
          <w:rFonts w:eastAsia="Times New Roman"/>
        </w:rPr>
      </w:pPr>
      <w:r>
        <w:rPr>
          <w:rFonts w:eastAsia="Times New Roman"/>
        </w:rPr>
        <w:t xml:space="preserve">There is increasing interest in the philosophy of modeling literature in the problem of the relationship between scientific models and the world (this problem sometimes is also expressed as the problem of how to use models to represent the world). In particular, the similarity account has attracted much </w:t>
      </w:r>
      <w:r w:rsidR="002A1A7E" w:rsidRPr="00270F4F">
        <w:rPr>
          <w:rFonts w:hint="eastAsia"/>
        </w:rPr>
        <w:t xml:space="preserve">recent </w:t>
      </w:r>
      <w:r>
        <w:rPr>
          <w:rFonts w:eastAsia="Times New Roman"/>
        </w:rPr>
        <w:t xml:space="preserve">attention. Among defenders of this view, Ronald Giere (1988, </w:t>
      </w:r>
      <w:smartTag w:uri="urn:schemas-microsoft-com:office:smarttags" w:element="chmetcnv">
        <w:smartTagPr>
          <w:attr w:name="TCSC" w:val="0"/>
          <w:attr w:name="NumberType" w:val="1"/>
          <w:attr w:name="Negative" w:val="False"/>
          <w:attr w:name="HasSpace" w:val="False"/>
          <w:attr w:name="SourceValue" w:val="1999"/>
          <w:attr w:name="UnitName" w:val="a"/>
        </w:smartTagPr>
        <w:r>
          <w:rPr>
            <w:rFonts w:eastAsia="Times New Roman"/>
          </w:rPr>
          <w:t>1999a</w:t>
        </w:r>
      </w:smartTag>
      <w:r>
        <w:rPr>
          <w:rFonts w:eastAsia="Times New Roman"/>
        </w:rPr>
        <w:t>, 1999b, 2004, 2010), Peter Godfrey-Smith (2006) and Michael Weisberg (2012, 2013) have made the most substantial contributions.</w:t>
      </w:r>
    </w:p>
    <w:p w:rsidR="00920464" w:rsidRPr="006454A8" w:rsidRDefault="00920464">
      <w:pPr>
        <w:rPr>
          <w:sz w:val="21"/>
          <w:szCs w:val="21"/>
        </w:rPr>
      </w:pPr>
      <w:r>
        <w:rPr>
          <w:rFonts w:eastAsia="Times New Roman"/>
        </w:rPr>
        <w:t xml:space="preserve">  Despite famous criticisms of the notion of similarity in general by Quine (1969) and Goodman (1972), Giere develop</w:t>
      </w:r>
      <w:r>
        <w:t>ed</w:t>
      </w:r>
      <w:r>
        <w:rPr>
          <w:rFonts w:eastAsia="Times New Roman"/>
        </w:rPr>
        <w:t xml:space="preserve"> an early version of the similarity account </w:t>
      </w:r>
      <w:r w:rsidR="002A1A7E" w:rsidRPr="00270F4F">
        <w:rPr>
          <w:rFonts w:hint="eastAsia"/>
        </w:rPr>
        <w:t>of</w:t>
      </w:r>
      <w:r>
        <w:rPr>
          <w:rFonts w:eastAsia="Times New Roman"/>
        </w:rPr>
        <w:t xml:space="preserve"> the relationship between models and the world, </w:t>
      </w:r>
      <w:r w:rsidR="00903292">
        <w:rPr>
          <w:rFonts w:eastAsia="Times New Roman"/>
        </w:rPr>
        <w:t>wh</w:t>
      </w:r>
      <w:r w:rsidR="002A1A7E" w:rsidRPr="00270F4F">
        <w:rPr>
          <w:rFonts w:hint="eastAsia"/>
        </w:rPr>
        <w:t>ich</w:t>
      </w:r>
      <w:r w:rsidR="00903292">
        <w:rPr>
          <w:rFonts w:eastAsia="Times New Roman"/>
        </w:rPr>
        <w:t xml:space="preserve"> </w:t>
      </w:r>
      <w:r>
        <w:rPr>
          <w:rFonts w:eastAsia="Times New Roman"/>
        </w:rPr>
        <w:t>claim</w:t>
      </w:r>
      <w:r w:rsidR="00903292">
        <w:rPr>
          <w:rFonts w:eastAsia="Times New Roman"/>
        </w:rPr>
        <w:t>ed</w:t>
      </w:r>
      <w:r>
        <w:rPr>
          <w:rFonts w:eastAsia="Times New Roman"/>
        </w:rPr>
        <w:t xml:space="preserve"> that</w:t>
      </w:r>
      <w:r w:rsidR="003C325F" w:rsidRPr="006454A8">
        <w:rPr>
          <w:rFonts w:hint="eastAsia"/>
        </w:rPr>
        <w:t>:</w:t>
      </w:r>
    </w:p>
    <w:p w:rsidR="00920464" w:rsidRDefault="00920464">
      <w:pPr>
        <w:spacing w:before="156" w:after="156"/>
        <w:ind w:left="422"/>
        <w:rPr>
          <w:rFonts w:eastAsia="Times New Roman"/>
        </w:rPr>
      </w:pPr>
      <w:r>
        <w:rPr>
          <w:rFonts w:eastAsia="Times New Roman"/>
          <w:sz w:val="21"/>
          <w:szCs w:val="21"/>
        </w:rPr>
        <w:t xml:space="preserve">The appropriate relationship, I suggest, is </w:t>
      </w:r>
      <w:r>
        <w:rPr>
          <w:rFonts w:eastAsia="Times New Roman"/>
          <w:i/>
          <w:sz w:val="21"/>
          <w:szCs w:val="21"/>
        </w:rPr>
        <w:t>similarity</w:t>
      </w:r>
      <w:r>
        <w:rPr>
          <w:rFonts w:eastAsia="Times New Roman"/>
          <w:sz w:val="21"/>
          <w:szCs w:val="21"/>
        </w:rPr>
        <w:t xml:space="preserve">. Hypotheses, then, claim a </w:t>
      </w:r>
      <w:r>
        <w:rPr>
          <w:rFonts w:eastAsia="Times New Roman"/>
          <w:i/>
          <w:sz w:val="21"/>
          <w:szCs w:val="21"/>
        </w:rPr>
        <w:t>similarity</w:t>
      </w:r>
      <w:r>
        <w:rPr>
          <w:rFonts w:eastAsia="Times New Roman"/>
          <w:sz w:val="21"/>
          <w:szCs w:val="21"/>
        </w:rPr>
        <w:t xml:space="preserve"> between models and real systems. But since anything is similar to anything else in some respects and to some degree, claims of similarity are vacuous without at least an implicit specification of relevant </w:t>
      </w:r>
      <w:r>
        <w:rPr>
          <w:rFonts w:eastAsia="Times New Roman"/>
          <w:i/>
          <w:sz w:val="21"/>
          <w:szCs w:val="21"/>
        </w:rPr>
        <w:t>respects and degrees</w:t>
      </w:r>
      <w:r>
        <w:rPr>
          <w:rFonts w:eastAsia="Times New Roman"/>
          <w:sz w:val="21"/>
          <w:szCs w:val="21"/>
        </w:rPr>
        <w:t>. The general form of a theoretical hypothesis is thus: Such-and-such identifiable real system is similar to a designated model in indicated respects and degrees. (</w:t>
      </w:r>
      <w:r>
        <w:rPr>
          <w:sz w:val="21"/>
          <w:szCs w:val="21"/>
        </w:rPr>
        <w:t xml:space="preserve">Giere 1998, </w:t>
      </w:r>
      <w:r>
        <w:rPr>
          <w:rFonts w:eastAsia="Times New Roman"/>
          <w:sz w:val="21"/>
          <w:szCs w:val="21"/>
        </w:rPr>
        <w:t>81</w:t>
      </w:r>
      <w:r>
        <w:rPr>
          <w:sz w:val="21"/>
          <w:szCs w:val="21"/>
        </w:rPr>
        <w:t>; author’s emphasis</w:t>
      </w:r>
      <w:r>
        <w:rPr>
          <w:rFonts w:eastAsia="Times New Roman"/>
          <w:sz w:val="21"/>
          <w:szCs w:val="21"/>
        </w:rPr>
        <w:t>)</w:t>
      </w:r>
    </w:p>
    <w:p w:rsidR="00920464" w:rsidRDefault="00920464">
      <w:pPr>
        <w:rPr>
          <w:rFonts w:eastAsia="Times New Roman"/>
          <w:sz w:val="21"/>
          <w:szCs w:val="21"/>
        </w:rPr>
      </w:pPr>
      <w:r>
        <w:rPr>
          <w:rFonts w:eastAsia="Times New Roman"/>
        </w:rPr>
        <w:t>Godfrey-Smith (2006) expresses more or less the same idea:</w:t>
      </w:r>
    </w:p>
    <w:p w:rsidR="00920464" w:rsidRDefault="00920464">
      <w:pPr>
        <w:spacing w:before="156" w:after="156"/>
        <w:ind w:left="422"/>
        <w:rPr>
          <w:rFonts w:eastAsia="Times New Roman"/>
        </w:rPr>
      </w:pPr>
      <w:r>
        <w:rPr>
          <w:rFonts w:eastAsia="Times New Roman"/>
          <w:sz w:val="21"/>
          <w:szCs w:val="21"/>
        </w:rPr>
        <w:t>Many of the special features of model-based science come from the role played by resemblance relations between model system and target. Philosophers tend to distrust resemblance relations because they are seen as vague, context-sensitive, and slippery. Here, those features of resemblance are indeed important, but they are not necessarily problematic. They are the source of both distinctive strengths and weaknesses of model-based science. (733)</w:t>
      </w:r>
    </w:p>
    <w:p w:rsidR="00920464" w:rsidRDefault="00920464">
      <w:pPr>
        <w:rPr>
          <w:rFonts w:eastAsia="Times New Roman"/>
        </w:rPr>
      </w:pPr>
      <w:r>
        <w:rPr>
          <w:rFonts w:eastAsia="Times New Roman"/>
        </w:rPr>
        <w:t xml:space="preserve">However, because </w:t>
      </w:r>
      <w:r w:rsidR="002A1A7E" w:rsidRPr="00270F4F">
        <w:rPr>
          <w:rFonts w:hint="eastAsia"/>
        </w:rPr>
        <w:t>neither</w:t>
      </w:r>
      <w:r>
        <w:rPr>
          <w:rFonts w:eastAsia="Times New Roman"/>
        </w:rPr>
        <w:t xml:space="preserve"> Giere </w:t>
      </w:r>
      <w:r w:rsidR="002A1A7E" w:rsidRPr="00270F4F">
        <w:rPr>
          <w:rFonts w:hint="eastAsia"/>
        </w:rPr>
        <w:t>nor</w:t>
      </w:r>
      <w:r>
        <w:rPr>
          <w:rFonts w:eastAsia="Times New Roman"/>
        </w:rPr>
        <w:t xml:space="preserve"> Godfrey-Smith specify clearly what aspects should be counted and what degrees should be tolerated when building</w:t>
      </w:r>
      <w:r w:rsidR="00F11E63">
        <w:rPr>
          <w:rFonts w:eastAsia="Times New Roman"/>
        </w:rPr>
        <w:t xml:space="preserve"> and testing models, some (</w:t>
      </w:r>
      <w:r>
        <w:rPr>
          <w:rFonts w:eastAsia="Times New Roman"/>
        </w:rPr>
        <w:t>Su</w:t>
      </w:r>
      <w:r w:rsidRPr="006D6BA6">
        <w:rPr>
          <w:rFonts w:eastAsia="Times New Roman"/>
        </w:rPr>
        <w:t>á</w:t>
      </w:r>
      <w:r>
        <w:rPr>
          <w:rFonts w:eastAsia="Times New Roman"/>
        </w:rPr>
        <w:t>rez 2003) find the early version untenable.</w:t>
      </w:r>
    </w:p>
    <w:p w:rsidR="00920464" w:rsidRDefault="00920464">
      <w:pPr>
        <w:rPr>
          <w:rFonts w:eastAsia="Times New Roman"/>
          <w:sz w:val="21"/>
          <w:szCs w:val="21"/>
        </w:rPr>
      </w:pPr>
      <w:r>
        <w:rPr>
          <w:rFonts w:eastAsia="Times New Roman"/>
        </w:rPr>
        <w:t xml:space="preserve">  Giere (2004, 2010) develop</w:t>
      </w:r>
      <w:r>
        <w:t>ed</w:t>
      </w:r>
      <w:r>
        <w:rPr>
          <w:rFonts w:eastAsia="Times New Roman"/>
        </w:rPr>
        <w:t xml:space="preserve"> a more sophisticated </w:t>
      </w:r>
      <w:r w:rsidR="002A1A7E" w:rsidRPr="00270F4F">
        <w:rPr>
          <w:rFonts w:hint="eastAsia"/>
        </w:rPr>
        <w:t>account,</w:t>
      </w:r>
      <w:r w:rsidR="002A1A7E">
        <w:rPr>
          <w:rFonts w:eastAsia="Times New Roman"/>
        </w:rPr>
        <w:t xml:space="preserve"> </w:t>
      </w:r>
      <w:r w:rsidR="002A1A7E" w:rsidRPr="00270F4F">
        <w:rPr>
          <w:rFonts w:hint="eastAsia"/>
        </w:rPr>
        <w:t>a</w:t>
      </w:r>
      <w:r>
        <w:rPr>
          <w:rFonts w:eastAsia="Times New Roman"/>
        </w:rPr>
        <w:t xml:space="preserve">ccording to </w:t>
      </w:r>
      <w:r w:rsidR="002A1A7E" w:rsidRPr="00270F4F">
        <w:rPr>
          <w:rFonts w:hint="eastAsia"/>
        </w:rPr>
        <w:t>which</w:t>
      </w:r>
      <w:r>
        <w:rPr>
          <w:rFonts w:eastAsia="Times New Roman"/>
        </w:rPr>
        <w:t xml:space="preserve"> scientific representation is a four-place activity:</w:t>
      </w:r>
    </w:p>
    <w:p w:rsidR="00920464" w:rsidRDefault="00920464">
      <w:pPr>
        <w:spacing w:before="156" w:after="156"/>
        <w:ind w:left="422"/>
        <w:rPr>
          <w:rFonts w:eastAsia="Times New Roman"/>
        </w:rPr>
      </w:pPr>
      <w:r>
        <w:rPr>
          <w:rFonts w:eastAsia="Times New Roman"/>
          <w:sz w:val="21"/>
          <w:szCs w:val="21"/>
        </w:rPr>
        <w:t xml:space="preserve">Shifting the focus to scientific practice suggests that we should begin with the activity of </w:t>
      </w:r>
      <w:r>
        <w:rPr>
          <w:rFonts w:eastAsia="Times New Roman"/>
          <w:i/>
          <w:sz w:val="21"/>
          <w:szCs w:val="21"/>
        </w:rPr>
        <w:t>representing</w:t>
      </w:r>
      <w:r>
        <w:rPr>
          <w:rFonts w:eastAsia="Times New Roman"/>
          <w:sz w:val="21"/>
          <w:szCs w:val="21"/>
        </w:rPr>
        <w:t xml:space="preserve">, which, if thought of as a relationship at all, should have several more places. One place, of course, goes to the agents, the scientists who do the representing. Since scientists are </w:t>
      </w:r>
      <w:r>
        <w:rPr>
          <w:rFonts w:eastAsia="Times New Roman"/>
          <w:i/>
          <w:sz w:val="21"/>
          <w:szCs w:val="21"/>
        </w:rPr>
        <w:t>intentional</w:t>
      </w:r>
      <w:r>
        <w:rPr>
          <w:rFonts w:eastAsia="Times New Roman"/>
          <w:sz w:val="21"/>
          <w:szCs w:val="21"/>
        </w:rPr>
        <w:t xml:space="preserve"> agents with goals and purposes, I propose explicitly to provide a space for purposes in my understanding of representational practices in science. So we are looking at a relationship with roughly the following form: </w:t>
      </w:r>
      <w:r>
        <w:rPr>
          <w:rFonts w:eastAsia="Times New Roman"/>
          <w:i/>
          <w:sz w:val="21"/>
          <w:szCs w:val="21"/>
        </w:rPr>
        <w:t>S</w:t>
      </w:r>
      <w:r>
        <w:rPr>
          <w:rFonts w:eastAsia="Times New Roman"/>
          <w:sz w:val="21"/>
          <w:szCs w:val="21"/>
        </w:rPr>
        <w:t xml:space="preserve"> uses </w:t>
      </w:r>
      <w:r>
        <w:rPr>
          <w:rFonts w:eastAsia="Times New Roman"/>
          <w:i/>
          <w:sz w:val="21"/>
          <w:szCs w:val="21"/>
        </w:rPr>
        <w:t>X</w:t>
      </w:r>
      <w:r>
        <w:rPr>
          <w:rFonts w:eastAsia="Times New Roman"/>
          <w:sz w:val="21"/>
          <w:szCs w:val="21"/>
        </w:rPr>
        <w:t xml:space="preserve"> to represent </w:t>
      </w:r>
      <w:r>
        <w:rPr>
          <w:rFonts w:eastAsia="Times New Roman"/>
          <w:i/>
          <w:sz w:val="21"/>
          <w:szCs w:val="21"/>
        </w:rPr>
        <w:t>W</w:t>
      </w:r>
      <w:r>
        <w:rPr>
          <w:rFonts w:eastAsia="Times New Roman"/>
          <w:sz w:val="21"/>
          <w:szCs w:val="21"/>
        </w:rPr>
        <w:t xml:space="preserve"> for purposes </w:t>
      </w:r>
      <w:r>
        <w:rPr>
          <w:rFonts w:eastAsia="Times New Roman"/>
          <w:i/>
          <w:sz w:val="21"/>
          <w:szCs w:val="21"/>
        </w:rPr>
        <w:t>P.</w:t>
      </w:r>
      <w:r>
        <w:rPr>
          <w:rFonts w:eastAsia="Times New Roman"/>
          <w:sz w:val="21"/>
          <w:szCs w:val="21"/>
        </w:rPr>
        <w:t>” (2004, 743</w:t>
      </w:r>
      <w:r>
        <w:rPr>
          <w:sz w:val="21"/>
          <w:szCs w:val="21"/>
        </w:rPr>
        <w:t>; author’s emphasis</w:t>
      </w:r>
      <w:r>
        <w:rPr>
          <w:rFonts w:eastAsia="Times New Roman"/>
          <w:sz w:val="21"/>
          <w:szCs w:val="21"/>
        </w:rPr>
        <w:t>)</w:t>
      </w:r>
    </w:p>
    <w:p w:rsidR="00920464" w:rsidRDefault="00920464" w:rsidP="00B13AF0">
      <w:pPr>
        <w:rPr>
          <w:rFonts w:eastAsia="Times New Roman"/>
        </w:rPr>
      </w:pPr>
      <w:r>
        <w:rPr>
          <w:rFonts w:eastAsia="Times New Roman"/>
        </w:rPr>
        <w:t xml:space="preserve">Hence, apart from models and the target systems, the activity of scientific representation should also incorporate factors such as the role played by scientists, and the intentions those scientists have with regard to modelling. Incorporating these factors is partly because similarity is a symmetric relationship in which if A is similar to B then B is also similar to A, whereas scientific representation is an asymmetric process </w:t>
      </w:r>
      <w:r>
        <w:rPr>
          <w:rFonts w:eastAsia="Times New Roman"/>
        </w:rPr>
        <w:lastRenderedPageBreak/>
        <w:t>where we only claim that the model represents the world and thus is similar to the world in certain aspects, but not vice versa. When including intentions, the modeling process is naturally asymmetric as the scientists only aim to use the model to represent the target.</w:t>
      </w:r>
    </w:p>
    <w:p w:rsidR="00920464" w:rsidRDefault="00920464" w:rsidP="00A07C93">
      <w:pPr>
        <w:ind w:firstLineChars="100" w:firstLine="240"/>
        <w:rPr>
          <w:rFonts w:eastAsia="Times New Roman"/>
        </w:rPr>
      </w:pPr>
      <w:r>
        <w:rPr>
          <w:rFonts w:eastAsia="Times New Roman"/>
        </w:rPr>
        <w:t xml:space="preserve">In next section, I will consider how Weisberg, following Giere and Godfrey-Smith, develops an even more sophisticated similarity account </w:t>
      </w:r>
      <w:r w:rsidR="002A1A7E" w:rsidRPr="00270F4F">
        <w:rPr>
          <w:rFonts w:hint="eastAsia"/>
        </w:rPr>
        <w:t>of</w:t>
      </w:r>
      <w:r>
        <w:rPr>
          <w:rFonts w:eastAsia="Times New Roman"/>
        </w:rPr>
        <w:t xml:space="preserve"> models. A case study drawn from biological </w:t>
      </w:r>
      <w:r w:rsidR="00783AC0">
        <w:rPr>
          <w:rFonts w:eastAsia="Times New Roman"/>
        </w:rPr>
        <w:t>modelling will be described in S</w:t>
      </w:r>
      <w:r>
        <w:rPr>
          <w:rFonts w:eastAsia="Times New Roman"/>
        </w:rPr>
        <w:t xml:space="preserve">ection 3. Section 4 will discuss whether Weisberg’s account could </w:t>
      </w:r>
      <w:r w:rsidR="00783AC0">
        <w:rPr>
          <w:rFonts w:eastAsia="Times New Roman"/>
        </w:rPr>
        <w:t xml:space="preserve">capture the </w:t>
      </w:r>
      <w:r w:rsidR="00042F0C">
        <w:rPr>
          <w:rFonts w:eastAsia="Times New Roman"/>
        </w:rPr>
        <w:t>judgment</w:t>
      </w:r>
      <w:r w:rsidR="002A1A7E" w:rsidRPr="00270F4F">
        <w:rPr>
          <w:rFonts w:hint="eastAsia"/>
        </w:rPr>
        <w:t>s</w:t>
      </w:r>
      <w:r w:rsidR="00042F0C">
        <w:rPr>
          <w:rFonts w:eastAsia="Times New Roman"/>
        </w:rPr>
        <w:t xml:space="preserve"> involved in the </w:t>
      </w:r>
      <w:r w:rsidR="00783AC0">
        <w:rPr>
          <w:rFonts w:eastAsia="Times New Roman"/>
        </w:rPr>
        <w:t>case</w:t>
      </w:r>
      <w:r w:rsidR="00042F0C">
        <w:rPr>
          <w:rFonts w:eastAsia="Times New Roman"/>
        </w:rPr>
        <w:t xml:space="preserve"> study</w:t>
      </w:r>
      <w:r>
        <w:rPr>
          <w:rFonts w:eastAsia="Times New Roman"/>
        </w:rPr>
        <w:t>, and the last section will tentatively</w:t>
      </w:r>
      <w:r w:rsidR="00AC4C47">
        <w:rPr>
          <w:rFonts w:eastAsia="Times New Roman"/>
        </w:rPr>
        <w:t xml:space="preserve"> suggest</w:t>
      </w:r>
      <w:r>
        <w:rPr>
          <w:rFonts w:eastAsia="Times New Roman"/>
        </w:rPr>
        <w:t xml:space="preserve"> an alternative to Weisberg’s account.</w:t>
      </w:r>
    </w:p>
    <w:p w:rsidR="00920464" w:rsidRPr="0068439B" w:rsidRDefault="00920464">
      <w:pPr>
        <w:rPr>
          <w:rFonts w:eastAsia="Times New Roman"/>
        </w:rPr>
      </w:pPr>
    </w:p>
    <w:p w:rsidR="00920464" w:rsidRDefault="00920464">
      <w:pPr>
        <w:rPr>
          <w:rFonts w:eastAsia="Times New Roman"/>
        </w:rPr>
      </w:pPr>
      <w:r>
        <w:rPr>
          <w:rFonts w:eastAsia="Times New Roman"/>
          <w:b/>
        </w:rPr>
        <w:t>2. The Weighted Feature-Matching Account</w:t>
      </w:r>
    </w:p>
    <w:p w:rsidR="00920464" w:rsidRDefault="00920464">
      <w:pPr>
        <w:rPr>
          <w:rFonts w:eastAsia="Times New Roman"/>
        </w:rPr>
      </w:pPr>
    </w:p>
    <w:p w:rsidR="00920464" w:rsidRPr="00270F4F" w:rsidRDefault="00920464" w:rsidP="00855C5C">
      <w:pPr>
        <w:pStyle w:val="cjk"/>
        <w:spacing w:before="0" w:beforeAutospacing="0" w:after="0" w:line="240" w:lineRule="auto"/>
        <w:rPr>
          <w:rFonts w:ascii="Times New Roman" w:eastAsia="SimSun" w:hAnsi="Times New Roman" w:cs="Times New Roman"/>
        </w:rPr>
      </w:pPr>
      <w:r w:rsidRPr="00CE2054">
        <w:rPr>
          <w:rFonts w:ascii="Times New Roman" w:hAnsi="Times New Roman" w:cs="Times New Roman"/>
        </w:rPr>
        <w:t xml:space="preserve">It is important to note in advance that </w:t>
      </w:r>
      <w:r w:rsidRPr="00CE2054">
        <w:rPr>
          <w:rFonts w:ascii="Times New Roman" w:hAnsi="Times New Roman" w:cs="Times New Roman"/>
          <w:lang w:val="en-AU"/>
        </w:rPr>
        <w:t>Weisberg</w:t>
      </w:r>
      <w:r w:rsidRPr="00CE2054">
        <w:rPr>
          <w:rFonts w:ascii="Times New Roman" w:hAnsi="Times New Roman" w:cs="Times New Roman"/>
        </w:rPr>
        <w:t xml:space="preserve"> says that his account is “intended to be sensitive to </w:t>
      </w:r>
      <w:r w:rsidRPr="00CE2054">
        <w:rPr>
          <w:rFonts w:ascii="Times New Roman" w:hAnsi="Times New Roman" w:cs="Times New Roman"/>
          <w:i/>
          <w:iCs/>
        </w:rPr>
        <w:t>how scientists represent the world with models</w:t>
      </w:r>
      <w:r w:rsidRPr="00CE2054">
        <w:rPr>
          <w:rFonts w:ascii="Times New Roman" w:hAnsi="Times New Roman" w:cs="Times New Roman"/>
        </w:rPr>
        <w:t xml:space="preserve"> and to how their representational goals and ideals shape the standards of fide</w:t>
      </w:r>
      <w:r w:rsidR="005D67D6">
        <w:rPr>
          <w:rFonts w:ascii="Times New Roman" w:hAnsi="Times New Roman" w:cs="Times New Roman"/>
        </w:rPr>
        <w:t>lity that they apply to models”</w:t>
      </w:r>
      <w:r w:rsidRPr="00CE2054">
        <w:rPr>
          <w:rFonts w:ascii="Times New Roman" w:hAnsi="Times New Roman" w:cs="Times New Roman"/>
        </w:rPr>
        <w:t xml:space="preserve"> (2013, 135</w:t>
      </w:r>
      <w:r>
        <w:rPr>
          <w:rFonts w:ascii="Times New Roman" w:hAnsi="Times New Roman" w:cs="Times New Roman"/>
        </w:rPr>
        <w:t>; my emphasis</w:t>
      </w:r>
      <w:r w:rsidRPr="00CE2054">
        <w:rPr>
          <w:rFonts w:ascii="Times New Roman" w:hAnsi="Times New Roman" w:cs="Times New Roman"/>
        </w:rPr>
        <w:t>)</w:t>
      </w:r>
      <w:r w:rsidR="005D67D6">
        <w:rPr>
          <w:rFonts w:ascii="Times New Roman" w:hAnsi="Times New Roman" w:cs="Times New Roman"/>
        </w:rPr>
        <w:t>.</w:t>
      </w:r>
      <w:r w:rsidRPr="00CE2054">
        <w:rPr>
          <w:rFonts w:ascii="Times New Roman" w:hAnsi="Times New Roman" w:cs="Times New Roman"/>
        </w:rPr>
        <w:t xml:space="preserve"> In particular, it aims to answer questions about “what similarity supervenes on, how it depends on context, </w:t>
      </w:r>
      <w:r w:rsidRPr="00CE2054">
        <w:rPr>
          <w:rFonts w:ascii="Times New Roman" w:hAnsi="Times New Roman" w:cs="Times New Roman"/>
          <w:i/>
          <w:iCs/>
        </w:rPr>
        <w:t>how similarity judgments are to be evaluated</w:t>
      </w:r>
      <w:r w:rsidRPr="00CE2054">
        <w:rPr>
          <w:rFonts w:ascii="Times New Roman" w:hAnsi="Times New Roman" w:cs="Times New Roman"/>
        </w:rPr>
        <w:t>”. (</w:t>
      </w:r>
      <w:r w:rsidRPr="00CE2054">
        <w:rPr>
          <w:rFonts w:ascii="Times New Roman" w:hAnsi="Times New Roman" w:cs="Times New Roman"/>
          <w:i/>
          <w:iCs/>
        </w:rPr>
        <w:t>Ibid.</w:t>
      </w:r>
      <w:r w:rsidRPr="00CE2054">
        <w:rPr>
          <w:rFonts w:ascii="Times New Roman" w:hAnsi="Times New Roman" w:cs="Times New Roman"/>
        </w:rPr>
        <w:t>, 143</w:t>
      </w:r>
      <w:r>
        <w:rPr>
          <w:rFonts w:ascii="Times New Roman" w:hAnsi="Times New Roman" w:cs="Times New Roman"/>
        </w:rPr>
        <w:t>; my emphasis</w:t>
      </w:r>
      <w:r w:rsidRPr="00CE2054">
        <w:rPr>
          <w:rFonts w:ascii="Times New Roman" w:hAnsi="Times New Roman" w:cs="Times New Roman"/>
        </w:rPr>
        <w:t xml:space="preserve">) Elsewhere, he claims his account could let us </w:t>
      </w:r>
      <w:r>
        <w:rPr>
          <w:rFonts w:ascii="Times New Roman" w:hAnsi="Times New Roman" w:cs="Times New Roman"/>
        </w:rPr>
        <w:t>“</w:t>
      </w:r>
      <w:r w:rsidRPr="00CE2054">
        <w:rPr>
          <w:rFonts w:ascii="Times New Roman" w:hAnsi="Times New Roman" w:cs="Times New Roman"/>
          <w:i/>
          <w:iCs/>
        </w:rPr>
        <w:t>capture the similarity judgments made by scientists</w:t>
      </w:r>
      <w:r>
        <w:rPr>
          <w:rFonts w:ascii="Times New Roman" w:hAnsi="Times New Roman" w:cs="Times New Roman"/>
        </w:rPr>
        <w:t>”</w:t>
      </w:r>
      <w:r w:rsidRPr="00CE2054">
        <w:rPr>
          <w:rFonts w:ascii="Times New Roman" w:hAnsi="Times New Roman" w:cs="Times New Roman"/>
        </w:rPr>
        <w:t xml:space="preserve"> (</w:t>
      </w:r>
      <w:r w:rsidRPr="00CE2054">
        <w:rPr>
          <w:rFonts w:ascii="Times New Roman" w:hAnsi="Times New Roman" w:cs="Times New Roman"/>
          <w:i/>
          <w:iCs/>
        </w:rPr>
        <w:t>Ibid.</w:t>
      </w:r>
      <w:r w:rsidRPr="00CE2054">
        <w:rPr>
          <w:rFonts w:ascii="Times New Roman" w:hAnsi="Times New Roman" w:cs="Times New Roman"/>
        </w:rPr>
        <w:t>, 155</w:t>
      </w:r>
      <w:r>
        <w:rPr>
          <w:rFonts w:ascii="Times New Roman" w:hAnsi="Times New Roman" w:cs="Times New Roman"/>
        </w:rPr>
        <w:t>; my emphasis</w:t>
      </w:r>
      <w:r w:rsidRPr="00CE2054">
        <w:rPr>
          <w:rFonts w:ascii="Times New Roman" w:hAnsi="Times New Roman" w:cs="Times New Roman"/>
        </w:rPr>
        <w:t>)</w:t>
      </w:r>
      <w:r>
        <w:rPr>
          <w:rFonts w:ascii="Times New Roman" w:hAnsi="Times New Roman" w:cs="Times New Roman"/>
        </w:rPr>
        <w:t>.</w:t>
      </w:r>
      <w:r w:rsidRPr="00CE2054">
        <w:rPr>
          <w:rFonts w:ascii="Times New Roman" w:hAnsi="Times New Roman" w:cs="Times New Roman"/>
        </w:rPr>
        <w:t xml:space="preserve"> In a word, it </w:t>
      </w:r>
      <w:r>
        <w:rPr>
          <w:rFonts w:ascii="Times New Roman" w:hAnsi="Times New Roman" w:cs="Times New Roman"/>
        </w:rPr>
        <w:t>attempts to not just generally spell out</w:t>
      </w:r>
      <w:r w:rsidRPr="00CE2054">
        <w:rPr>
          <w:rFonts w:ascii="Times New Roman" w:hAnsi="Times New Roman" w:cs="Times New Roman"/>
        </w:rPr>
        <w:t xml:space="preserve"> </w:t>
      </w:r>
      <w:r w:rsidRPr="00CE2054">
        <w:rPr>
          <w:rFonts w:ascii="Times New Roman" w:hAnsi="Times New Roman" w:cs="Times New Roman"/>
          <w:i/>
          <w:iCs/>
        </w:rPr>
        <w:t>what</w:t>
      </w:r>
      <w:r w:rsidRPr="00CE2054">
        <w:rPr>
          <w:rFonts w:ascii="Times New Roman" w:hAnsi="Times New Roman" w:cs="Times New Roman"/>
        </w:rPr>
        <w:t xml:space="preserve"> the </w:t>
      </w:r>
      <w:r>
        <w:rPr>
          <w:rFonts w:ascii="Times New Roman" w:hAnsi="Times New Roman" w:cs="Times New Roman"/>
        </w:rPr>
        <w:t>notion of similarity means</w:t>
      </w:r>
      <w:r w:rsidRPr="00CE2054">
        <w:rPr>
          <w:rFonts w:ascii="Times New Roman" w:hAnsi="Times New Roman" w:cs="Times New Roman"/>
        </w:rPr>
        <w:t xml:space="preserve">, but more importantly </w:t>
      </w:r>
      <w:r w:rsidR="00903292">
        <w:rPr>
          <w:rFonts w:ascii="Times New Roman" w:hAnsi="Times New Roman" w:cs="Times New Roman"/>
        </w:rPr>
        <w:t xml:space="preserve">aims to </w:t>
      </w:r>
      <w:r w:rsidRPr="00F05C08">
        <w:rPr>
          <w:rFonts w:ascii="Times New Roman" w:hAnsi="Times New Roman" w:cs="Times New Roman"/>
          <w:i/>
        </w:rPr>
        <w:t>capture</w:t>
      </w:r>
      <w:r w:rsidRPr="00CE2054">
        <w:rPr>
          <w:rFonts w:ascii="Times New Roman" w:hAnsi="Times New Roman" w:cs="Times New Roman"/>
        </w:rPr>
        <w:t xml:space="preserve"> similarity judgments</w:t>
      </w:r>
      <w:r w:rsidR="00903292">
        <w:rPr>
          <w:rFonts w:ascii="Times New Roman" w:hAnsi="Times New Roman" w:cs="Times New Roman"/>
        </w:rPr>
        <w:t xml:space="preserve"> </w:t>
      </w:r>
      <w:r w:rsidRPr="00CE2054">
        <w:rPr>
          <w:rFonts w:ascii="Times New Roman" w:hAnsi="Times New Roman" w:cs="Times New Roman"/>
        </w:rPr>
        <w:t>made by scientists</w:t>
      </w:r>
      <w:r>
        <w:rPr>
          <w:rStyle w:val="a6"/>
          <w:rFonts w:ascii="Times New Roman" w:hAnsi="Times New Roman"/>
        </w:rPr>
        <w:footnoteReference w:id="1"/>
      </w:r>
      <w:r>
        <w:rPr>
          <w:rFonts w:ascii="Times New Roman" w:hAnsi="Times New Roman" w:cs="Times New Roman"/>
        </w:rPr>
        <w:t xml:space="preserve"> </w:t>
      </w:r>
      <w:r w:rsidRPr="00CE2054">
        <w:rPr>
          <w:rFonts w:ascii="Times New Roman" w:hAnsi="Times New Roman" w:cs="Times New Roman"/>
        </w:rPr>
        <w:t xml:space="preserve">given </w:t>
      </w:r>
      <w:r w:rsidR="002A1A7E" w:rsidRPr="00270F4F">
        <w:rPr>
          <w:rFonts w:ascii="Times New Roman" w:eastAsia="SimSun" w:hAnsi="Times New Roman" w:cs="Times New Roman" w:hint="eastAsia"/>
        </w:rPr>
        <w:t>how they</w:t>
      </w:r>
      <w:r w:rsidRPr="00CE2054">
        <w:rPr>
          <w:rFonts w:ascii="Times New Roman" w:hAnsi="Times New Roman" w:cs="Times New Roman"/>
        </w:rPr>
        <w:t xml:space="preserve"> choos</w:t>
      </w:r>
      <w:r w:rsidR="002A1A7E" w:rsidRPr="00270F4F">
        <w:rPr>
          <w:rFonts w:ascii="Times New Roman" w:eastAsia="SimSun" w:hAnsi="Times New Roman" w:cs="Times New Roman" w:hint="eastAsia"/>
        </w:rPr>
        <w:t>e a</w:t>
      </w:r>
      <w:r w:rsidR="002A1A7E">
        <w:rPr>
          <w:rFonts w:ascii="Times New Roman" w:hAnsi="Times New Roman" w:cs="Times New Roman"/>
        </w:rPr>
        <w:t xml:space="preserve"> feature set, </w:t>
      </w:r>
      <w:r w:rsidR="002A1A7E" w:rsidRPr="00270F4F">
        <w:rPr>
          <w:rFonts w:ascii="Times New Roman" w:eastAsia="SimSun" w:hAnsi="Times New Roman" w:cs="Times New Roman" w:hint="eastAsia"/>
        </w:rPr>
        <w:t xml:space="preserve">a </w:t>
      </w:r>
      <w:r w:rsidRPr="00CE2054">
        <w:rPr>
          <w:rFonts w:ascii="Times New Roman" w:hAnsi="Times New Roman" w:cs="Times New Roman"/>
        </w:rPr>
        <w:t>weighting function, and assign</w:t>
      </w:r>
      <w:r>
        <w:rPr>
          <w:rFonts w:ascii="Times New Roman" w:hAnsi="Times New Roman" w:cs="Times New Roman"/>
        </w:rPr>
        <w:t xml:space="preserve"> values to weighting parameters</w:t>
      </w:r>
      <w:r w:rsidRPr="00CE2054">
        <w:rPr>
          <w:rFonts w:ascii="Times New Roman" w:hAnsi="Times New Roman" w:cs="Times New Roman"/>
        </w:rPr>
        <w:t>.</w:t>
      </w:r>
      <w:r w:rsidR="00903292">
        <w:rPr>
          <w:rStyle w:val="a6"/>
          <w:rFonts w:ascii="Times New Roman" w:hAnsi="Times New Roman"/>
        </w:rPr>
        <w:footnoteReference w:id="2"/>
      </w:r>
    </w:p>
    <w:p w:rsidR="003D088F" w:rsidRDefault="00920464" w:rsidP="00F05C08">
      <w:pPr>
        <w:ind w:right="119" w:firstLineChars="100" w:firstLine="240"/>
      </w:pPr>
      <w:r>
        <w:t xml:space="preserve">Weisberg (2012, 2013) </w:t>
      </w:r>
      <w:r w:rsidR="002A1A7E">
        <w:rPr>
          <w:rFonts w:hint="eastAsia"/>
        </w:rPr>
        <w:t>calls his approach to</w:t>
      </w:r>
      <w:r>
        <w:t xml:space="preserve"> similarity the </w:t>
      </w:r>
      <w:r>
        <w:rPr>
          <w:i/>
        </w:rPr>
        <w:t xml:space="preserve">weighted feature-matching </w:t>
      </w:r>
      <w:r>
        <w:t xml:space="preserve">account. He borrows the basic ideas from psychologist Amos Tversky’s </w:t>
      </w:r>
      <w:r>
        <w:rPr>
          <w:i/>
        </w:rPr>
        <w:t>contrast</w:t>
      </w:r>
      <w:r>
        <w:t xml:space="preserve"> account of similarity, </w:t>
      </w:r>
      <w:r w:rsidR="002A1A7E">
        <w:t>wh</w:t>
      </w:r>
      <w:r w:rsidR="002A1A7E">
        <w:rPr>
          <w:rFonts w:hint="eastAsia"/>
        </w:rPr>
        <w:t>ich</w:t>
      </w:r>
      <w:r w:rsidR="002A1A7E">
        <w:t xml:space="preserve"> claim</w:t>
      </w:r>
      <w:r w:rsidR="002A1A7E">
        <w:rPr>
          <w:rFonts w:hint="eastAsia"/>
        </w:rPr>
        <w:t>s</w:t>
      </w:r>
      <w:r w:rsidR="00A175D6">
        <w:t xml:space="preserve"> </w:t>
      </w:r>
      <w:r>
        <w:t xml:space="preserve">that the similarity of objects </w:t>
      </w:r>
      <w:r>
        <w:rPr>
          <w:i/>
        </w:rPr>
        <w:t>a</w:t>
      </w:r>
      <w:r>
        <w:t xml:space="preserve"> and </w:t>
      </w:r>
      <w:r>
        <w:rPr>
          <w:i/>
        </w:rPr>
        <w:t>b</w:t>
      </w:r>
      <w:r>
        <w:t xml:space="preserve"> depends on the features they share and the features that they do not. </w:t>
      </w:r>
      <w:r w:rsidR="003D088F">
        <w:t>In light of this</w:t>
      </w:r>
      <w:r w:rsidR="004D475E">
        <w:t>, Weisberg proposes his own account of similarity:</w:t>
      </w:r>
    </w:p>
    <w:p w:rsidR="004D475E" w:rsidRDefault="004D475E" w:rsidP="004D475E">
      <w:pPr>
        <w:spacing w:before="156"/>
        <w:rPr>
          <w:rFonts w:ascii="FangSong_GB2312" w:eastAsia="Times New Roman"/>
          <w:sz w:val="21"/>
          <w:szCs w:val="21"/>
        </w:rPr>
      </w:pPr>
      <w:r>
        <w:rPr>
          <w:sz w:val="21"/>
          <w:szCs w:val="21"/>
        </w:rPr>
        <w:t>S (m, t) =</w:t>
      </w:r>
    </w:p>
    <w:p w:rsidR="004D475E" w:rsidRPr="00D934B6" w:rsidRDefault="004D475E" w:rsidP="004D475E">
      <w:pPr>
        <w:pBdr>
          <w:bottom w:val="single" w:sz="6" w:space="1" w:color="000000"/>
        </w:pBdr>
        <w:ind w:firstLine="2940"/>
        <w:rPr>
          <w:sz w:val="21"/>
          <w:szCs w:val="21"/>
        </w:rPr>
      </w:pPr>
      <w:proofErr w:type="spellStart"/>
      <w:r w:rsidRPr="00D934B6">
        <w:rPr>
          <w:sz w:val="21"/>
          <w:szCs w:val="21"/>
        </w:rPr>
        <w:t>θf</w:t>
      </w:r>
      <w:proofErr w:type="spellEnd"/>
      <w:r w:rsidRPr="00D934B6">
        <w:rPr>
          <w:sz w:val="21"/>
          <w:szCs w:val="21"/>
        </w:rPr>
        <w:t>(M</w:t>
      </w:r>
      <w:r w:rsidRPr="00D934B6">
        <w:rPr>
          <w:sz w:val="21"/>
          <w:szCs w:val="21"/>
          <w:vertAlign w:val="subscript"/>
        </w:rPr>
        <w:t>a</w:t>
      </w:r>
      <w:r w:rsidRPr="00D934B6">
        <w:rPr>
          <w:sz w:val="21"/>
          <w:szCs w:val="21"/>
        </w:rPr>
        <w:t>∩T</w:t>
      </w:r>
      <w:r w:rsidRPr="00D934B6">
        <w:rPr>
          <w:sz w:val="21"/>
          <w:szCs w:val="21"/>
          <w:vertAlign w:val="subscript"/>
        </w:rPr>
        <w:t>a</w:t>
      </w:r>
      <w:r w:rsidRPr="00D934B6">
        <w:rPr>
          <w:sz w:val="21"/>
          <w:szCs w:val="21"/>
        </w:rPr>
        <w:t>)+ρf(M</w:t>
      </w:r>
      <w:r w:rsidRPr="00D934B6">
        <w:rPr>
          <w:sz w:val="21"/>
          <w:szCs w:val="21"/>
          <w:vertAlign w:val="subscript"/>
        </w:rPr>
        <w:t>m</w:t>
      </w:r>
      <w:r w:rsidRPr="00D934B6">
        <w:rPr>
          <w:sz w:val="21"/>
          <w:szCs w:val="21"/>
        </w:rPr>
        <w:t>∩T</w:t>
      </w:r>
      <w:r w:rsidRPr="00D934B6">
        <w:rPr>
          <w:sz w:val="21"/>
          <w:szCs w:val="21"/>
          <w:vertAlign w:val="subscript"/>
        </w:rPr>
        <w:t>m</w:t>
      </w:r>
      <w:r w:rsidRPr="00D934B6">
        <w:rPr>
          <w:sz w:val="21"/>
          <w:szCs w:val="21"/>
        </w:rPr>
        <w:t>)</w:t>
      </w:r>
    </w:p>
    <w:p w:rsidR="004D475E" w:rsidRPr="00D934B6" w:rsidRDefault="004D475E" w:rsidP="004D475E">
      <w:pPr>
        <w:ind w:firstLine="630"/>
      </w:pPr>
      <w:proofErr w:type="spellStart"/>
      <w:r w:rsidRPr="00D934B6">
        <w:rPr>
          <w:sz w:val="21"/>
          <w:szCs w:val="21"/>
        </w:rPr>
        <w:t>θf</w:t>
      </w:r>
      <w:proofErr w:type="spellEnd"/>
      <w:r w:rsidRPr="00D934B6">
        <w:rPr>
          <w:sz w:val="21"/>
          <w:szCs w:val="21"/>
        </w:rPr>
        <w:t>(M</w:t>
      </w:r>
      <w:r w:rsidRPr="00D934B6">
        <w:rPr>
          <w:sz w:val="21"/>
          <w:szCs w:val="21"/>
          <w:vertAlign w:val="subscript"/>
        </w:rPr>
        <w:t>a</w:t>
      </w:r>
      <w:r w:rsidRPr="00D934B6">
        <w:rPr>
          <w:sz w:val="21"/>
          <w:szCs w:val="21"/>
        </w:rPr>
        <w:t>∩T</w:t>
      </w:r>
      <w:r w:rsidRPr="00D934B6">
        <w:rPr>
          <w:sz w:val="21"/>
          <w:szCs w:val="21"/>
          <w:vertAlign w:val="subscript"/>
        </w:rPr>
        <w:t>a</w:t>
      </w:r>
      <w:r w:rsidRPr="00D934B6">
        <w:rPr>
          <w:sz w:val="21"/>
          <w:szCs w:val="21"/>
        </w:rPr>
        <w:t>)+ρf(M</w:t>
      </w:r>
      <w:r w:rsidRPr="00D934B6">
        <w:rPr>
          <w:sz w:val="21"/>
          <w:szCs w:val="21"/>
          <w:vertAlign w:val="subscript"/>
        </w:rPr>
        <w:t>m</w:t>
      </w:r>
      <w:r w:rsidRPr="00D934B6">
        <w:rPr>
          <w:sz w:val="21"/>
          <w:szCs w:val="21"/>
        </w:rPr>
        <w:t>∩T</w:t>
      </w:r>
      <w:r w:rsidRPr="00D934B6">
        <w:rPr>
          <w:sz w:val="21"/>
          <w:szCs w:val="21"/>
          <w:vertAlign w:val="subscript"/>
        </w:rPr>
        <w:t>m</w:t>
      </w:r>
      <w:r w:rsidRPr="00D934B6">
        <w:rPr>
          <w:sz w:val="21"/>
          <w:szCs w:val="21"/>
        </w:rPr>
        <w:t>)+ αf(M</w:t>
      </w:r>
      <w:r w:rsidRPr="00D934B6">
        <w:rPr>
          <w:sz w:val="21"/>
          <w:szCs w:val="21"/>
          <w:vertAlign w:val="subscript"/>
        </w:rPr>
        <w:t>a</w:t>
      </w:r>
      <w:r w:rsidRPr="00D934B6">
        <w:rPr>
          <w:sz w:val="21"/>
          <w:szCs w:val="21"/>
        </w:rPr>
        <w:t>-T</w:t>
      </w:r>
      <w:r w:rsidRPr="00D934B6">
        <w:rPr>
          <w:sz w:val="21"/>
          <w:szCs w:val="21"/>
          <w:vertAlign w:val="subscript"/>
        </w:rPr>
        <w:t>a</w:t>
      </w:r>
      <w:r w:rsidRPr="00D934B6">
        <w:rPr>
          <w:sz w:val="21"/>
          <w:szCs w:val="21"/>
        </w:rPr>
        <w:t>)+ βf(M</w:t>
      </w:r>
      <w:r w:rsidRPr="00D934B6">
        <w:rPr>
          <w:sz w:val="21"/>
          <w:szCs w:val="21"/>
          <w:vertAlign w:val="subscript"/>
        </w:rPr>
        <w:t>m</w:t>
      </w:r>
      <w:r w:rsidRPr="00D934B6">
        <w:rPr>
          <w:sz w:val="21"/>
          <w:szCs w:val="21"/>
        </w:rPr>
        <w:t>-T</w:t>
      </w:r>
      <w:r w:rsidRPr="00D934B6">
        <w:rPr>
          <w:sz w:val="21"/>
          <w:szCs w:val="21"/>
          <w:vertAlign w:val="subscript"/>
        </w:rPr>
        <w:t>m</w:t>
      </w:r>
      <w:r w:rsidRPr="00D934B6">
        <w:rPr>
          <w:sz w:val="21"/>
          <w:szCs w:val="21"/>
        </w:rPr>
        <w:t xml:space="preserve">)+ </w:t>
      </w:r>
      <w:proofErr w:type="spellStart"/>
      <w:r w:rsidRPr="00D934B6">
        <w:rPr>
          <w:sz w:val="21"/>
          <w:szCs w:val="21"/>
        </w:rPr>
        <w:t>γf</w:t>
      </w:r>
      <w:proofErr w:type="spellEnd"/>
      <w:r w:rsidRPr="00D934B6">
        <w:rPr>
          <w:sz w:val="21"/>
          <w:szCs w:val="21"/>
        </w:rPr>
        <w:t>(T</w:t>
      </w:r>
      <w:r w:rsidRPr="00D934B6">
        <w:rPr>
          <w:sz w:val="21"/>
          <w:szCs w:val="21"/>
          <w:vertAlign w:val="subscript"/>
        </w:rPr>
        <w:t>a</w:t>
      </w:r>
      <w:r w:rsidRPr="00D934B6">
        <w:rPr>
          <w:sz w:val="21"/>
          <w:szCs w:val="21"/>
        </w:rPr>
        <w:t>-M</w:t>
      </w:r>
      <w:r w:rsidRPr="00D934B6">
        <w:rPr>
          <w:sz w:val="21"/>
          <w:szCs w:val="21"/>
          <w:vertAlign w:val="subscript"/>
        </w:rPr>
        <w:t>a</w:t>
      </w:r>
      <w:r w:rsidRPr="00D934B6">
        <w:rPr>
          <w:sz w:val="21"/>
          <w:szCs w:val="21"/>
        </w:rPr>
        <w:t xml:space="preserve">)+ </w:t>
      </w:r>
      <w:proofErr w:type="spellStart"/>
      <w:r w:rsidRPr="00D934B6">
        <w:rPr>
          <w:sz w:val="21"/>
          <w:szCs w:val="21"/>
        </w:rPr>
        <w:t>δf</w:t>
      </w:r>
      <w:proofErr w:type="spellEnd"/>
      <w:r w:rsidRPr="00D934B6">
        <w:rPr>
          <w:sz w:val="21"/>
          <w:szCs w:val="21"/>
        </w:rPr>
        <w:t>(T</w:t>
      </w:r>
      <w:r w:rsidRPr="00D934B6">
        <w:rPr>
          <w:sz w:val="21"/>
          <w:szCs w:val="21"/>
          <w:vertAlign w:val="subscript"/>
        </w:rPr>
        <w:t>m</w:t>
      </w:r>
      <w:r w:rsidRPr="00D934B6">
        <w:rPr>
          <w:sz w:val="21"/>
          <w:szCs w:val="21"/>
        </w:rPr>
        <w:t>-M</w:t>
      </w:r>
      <w:r w:rsidRPr="00D934B6">
        <w:rPr>
          <w:sz w:val="21"/>
          <w:szCs w:val="21"/>
          <w:vertAlign w:val="subscript"/>
        </w:rPr>
        <w:t>m</w:t>
      </w:r>
      <w:r w:rsidRPr="00D934B6">
        <w:rPr>
          <w:sz w:val="21"/>
          <w:szCs w:val="21"/>
        </w:rPr>
        <w:t>)</w:t>
      </w:r>
    </w:p>
    <w:p w:rsidR="003D088F" w:rsidRPr="003D088F" w:rsidRDefault="004D475E" w:rsidP="00F05C08">
      <w:pPr>
        <w:spacing w:after="156"/>
      </w:pPr>
      <w:r>
        <w:rPr>
          <w:rFonts w:ascii="FangSong_GB2312" w:eastAsia="Times New Roman" w:cs="FangSong_GB2312"/>
        </w:rPr>
        <w:t xml:space="preserve">                                                                  </w:t>
      </w:r>
      <w:r w:rsidR="00D24BDB">
        <w:rPr>
          <w:sz w:val="21"/>
          <w:szCs w:val="21"/>
          <w:lang w:val="en-AU"/>
        </w:rPr>
        <w:t>(1</w:t>
      </w:r>
      <w:r>
        <w:rPr>
          <w:sz w:val="21"/>
          <w:szCs w:val="21"/>
          <w:lang w:val="en-AU"/>
        </w:rPr>
        <w:t>)</w:t>
      </w:r>
    </w:p>
    <w:p w:rsidR="00966D87" w:rsidRDefault="00F540DC" w:rsidP="00F05C08">
      <w:pPr>
        <w:ind w:right="119"/>
        <w:rPr>
          <w:szCs w:val="24"/>
        </w:rPr>
      </w:pPr>
      <w:r>
        <w:t xml:space="preserve">where </w:t>
      </w:r>
      <w:r w:rsidR="00651B55" w:rsidRPr="00F05C08">
        <w:rPr>
          <w:i/>
        </w:rPr>
        <w:t>f(x)</w:t>
      </w:r>
      <w:r w:rsidR="00651B55">
        <w:t xml:space="preserve"> refers to the weighting function, </w:t>
      </w:r>
      <w:r w:rsidR="00651B55" w:rsidRPr="00F05C08">
        <w:rPr>
          <w:i/>
        </w:rPr>
        <w:t>α</w:t>
      </w:r>
      <w:r w:rsidR="00651B55">
        <w:t xml:space="preserve">, </w:t>
      </w:r>
      <w:r w:rsidR="00651B55" w:rsidRPr="00F05C08">
        <w:rPr>
          <w:i/>
        </w:rPr>
        <w:t>β</w:t>
      </w:r>
      <w:r w:rsidR="00651B55">
        <w:t>,</w:t>
      </w:r>
      <w:r w:rsidR="00651B55" w:rsidRPr="00DE0E78">
        <w:rPr>
          <w:szCs w:val="24"/>
        </w:rPr>
        <w:t xml:space="preserve"> </w:t>
      </w:r>
      <w:r w:rsidR="00651B55" w:rsidRPr="00F05C08">
        <w:rPr>
          <w:rFonts w:hint="eastAsia"/>
          <w:i/>
          <w:szCs w:val="24"/>
        </w:rPr>
        <w:t>γ</w:t>
      </w:r>
      <w:r w:rsidR="00651B55" w:rsidRPr="00DE0E78">
        <w:rPr>
          <w:szCs w:val="24"/>
        </w:rPr>
        <w:t xml:space="preserve">, </w:t>
      </w:r>
      <w:r w:rsidR="009F59D0" w:rsidRPr="002D681C">
        <w:rPr>
          <w:i/>
          <w:szCs w:val="24"/>
        </w:rPr>
        <w:t>δ</w:t>
      </w:r>
      <w:r w:rsidR="009F59D0">
        <w:rPr>
          <w:rFonts w:hint="eastAsia"/>
          <w:i/>
          <w:szCs w:val="24"/>
        </w:rPr>
        <w:t xml:space="preserve">, </w:t>
      </w:r>
      <w:r w:rsidR="00651B55" w:rsidRPr="00F05C08">
        <w:rPr>
          <w:i/>
          <w:szCs w:val="24"/>
        </w:rPr>
        <w:t>θ</w:t>
      </w:r>
      <w:r w:rsidR="001501F8" w:rsidRPr="00F05C08">
        <w:rPr>
          <w:szCs w:val="24"/>
        </w:rPr>
        <w:t xml:space="preserve">, and </w:t>
      </w:r>
      <w:r w:rsidR="009F59D0" w:rsidRPr="00F05C08">
        <w:rPr>
          <w:i/>
          <w:szCs w:val="24"/>
        </w:rPr>
        <w:t>ρ</w:t>
      </w:r>
      <w:r w:rsidR="009F59D0">
        <w:rPr>
          <w:rFonts w:hint="eastAsia"/>
          <w:szCs w:val="24"/>
        </w:rPr>
        <w:t xml:space="preserve"> </w:t>
      </w:r>
      <w:r w:rsidR="00557136">
        <w:rPr>
          <w:szCs w:val="24"/>
        </w:rPr>
        <w:t>denote</w:t>
      </w:r>
      <w:r w:rsidR="001501F8" w:rsidRPr="00F05C08">
        <w:rPr>
          <w:szCs w:val="24"/>
        </w:rPr>
        <w:t xml:space="preserve"> </w:t>
      </w:r>
      <w:r w:rsidR="001501F8">
        <w:rPr>
          <w:szCs w:val="24"/>
        </w:rPr>
        <w:t xml:space="preserve">weighting terms (parameters), </w:t>
      </w:r>
      <w:r w:rsidR="00B94909">
        <w:rPr>
          <w:szCs w:val="24"/>
        </w:rPr>
        <w:t xml:space="preserve">subscripts </w:t>
      </w:r>
      <w:r w:rsidR="00B94909" w:rsidRPr="00F05C08">
        <w:rPr>
          <w:i/>
          <w:szCs w:val="24"/>
        </w:rPr>
        <w:t>a</w:t>
      </w:r>
      <w:r w:rsidR="00B94909">
        <w:rPr>
          <w:szCs w:val="24"/>
        </w:rPr>
        <w:t xml:space="preserve"> and </w:t>
      </w:r>
      <w:r w:rsidR="00B94909" w:rsidRPr="00F05C08">
        <w:rPr>
          <w:i/>
          <w:szCs w:val="24"/>
        </w:rPr>
        <w:t>m</w:t>
      </w:r>
      <w:r w:rsidR="00B94909">
        <w:rPr>
          <w:szCs w:val="24"/>
        </w:rPr>
        <w:t xml:space="preserve"> stand for attributes and mechanisms</w:t>
      </w:r>
      <w:r w:rsidR="007D3999">
        <w:rPr>
          <w:szCs w:val="24"/>
        </w:rPr>
        <w:t xml:space="preserve">, and </w:t>
      </w:r>
      <w:r w:rsidR="007D3999" w:rsidRPr="002D681C">
        <w:rPr>
          <w:i/>
          <w:szCs w:val="24"/>
        </w:rPr>
        <w:t>M</w:t>
      </w:r>
      <w:r w:rsidR="007D3999">
        <w:rPr>
          <w:szCs w:val="24"/>
        </w:rPr>
        <w:t xml:space="preserve"> denotes the model and </w:t>
      </w:r>
      <w:r w:rsidR="007D3999" w:rsidRPr="002D681C">
        <w:rPr>
          <w:i/>
          <w:szCs w:val="24"/>
        </w:rPr>
        <w:t>T</w:t>
      </w:r>
      <w:r w:rsidR="007D3999">
        <w:rPr>
          <w:szCs w:val="24"/>
        </w:rPr>
        <w:t xml:space="preserve"> the target.</w:t>
      </w:r>
      <w:r w:rsidR="00B94909" w:rsidRPr="009F59D0">
        <w:rPr>
          <w:szCs w:val="24"/>
        </w:rPr>
        <w:t xml:space="preserve"> </w:t>
      </w:r>
      <w:r w:rsidR="009F59D0" w:rsidRPr="00F05C08">
        <w:rPr>
          <w:szCs w:val="24"/>
        </w:rPr>
        <w:t>(</w:t>
      </w:r>
      <w:r w:rsidR="009F59D0" w:rsidRPr="00F05C08">
        <w:rPr>
          <w:i/>
          <w:szCs w:val="24"/>
        </w:rPr>
        <w:t>M</w:t>
      </w:r>
      <w:r w:rsidR="007D3999" w:rsidRPr="00F05C08">
        <w:rPr>
          <w:i/>
          <w:szCs w:val="24"/>
          <w:vertAlign w:val="subscript"/>
        </w:rPr>
        <w:t>a</w:t>
      </w:r>
      <w:r w:rsidR="009F59D0" w:rsidRPr="00F05C08">
        <w:rPr>
          <w:rFonts w:hint="eastAsia"/>
          <w:i/>
          <w:szCs w:val="24"/>
        </w:rPr>
        <w:t>∩</w:t>
      </w:r>
      <w:r w:rsidR="009F59D0" w:rsidRPr="00F05C08">
        <w:rPr>
          <w:i/>
          <w:szCs w:val="24"/>
        </w:rPr>
        <w:t>T</w:t>
      </w:r>
      <w:r w:rsidR="007D3999" w:rsidRPr="00F05C08">
        <w:rPr>
          <w:i/>
          <w:szCs w:val="24"/>
          <w:vertAlign w:val="subscript"/>
        </w:rPr>
        <w:t>a</w:t>
      </w:r>
      <w:r w:rsidR="009F59D0" w:rsidRPr="00F05C08">
        <w:rPr>
          <w:szCs w:val="24"/>
        </w:rPr>
        <w:t xml:space="preserve">) </w:t>
      </w:r>
      <w:r w:rsidR="009F59D0">
        <w:rPr>
          <w:szCs w:val="24"/>
        </w:rPr>
        <w:t>stands for attributes</w:t>
      </w:r>
      <w:r w:rsidR="007D3999">
        <w:rPr>
          <w:szCs w:val="24"/>
        </w:rPr>
        <w:t xml:space="preserve"> </w:t>
      </w:r>
      <w:r w:rsidR="009F59D0">
        <w:rPr>
          <w:szCs w:val="24"/>
        </w:rPr>
        <w:t xml:space="preserve">shared by the model and the target, </w:t>
      </w:r>
      <w:r w:rsidR="00215090" w:rsidRPr="00F05C08">
        <w:rPr>
          <w:szCs w:val="24"/>
        </w:rPr>
        <w:t>(</w:t>
      </w:r>
      <w:r w:rsidR="00215090" w:rsidRPr="00F05C08">
        <w:rPr>
          <w:i/>
          <w:szCs w:val="24"/>
        </w:rPr>
        <w:t>M</w:t>
      </w:r>
      <w:r w:rsidR="007D3999" w:rsidRPr="00F05C08">
        <w:rPr>
          <w:i/>
          <w:szCs w:val="24"/>
          <w:vertAlign w:val="subscript"/>
        </w:rPr>
        <w:t>a</w:t>
      </w:r>
      <w:r w:rsidR="00215090" w:rsidRPr="00F05C08">
        <w:rPr>
          <w:rFonts w:ascii="Symbol" w:hAnsi="Symbol"/>
          <w:i/>
          <w:sz w:val="21"/>
          <w:szCs w:val="21"/>
        </w:rPr>
        <w:t></w:t>
      </w:r>
      <w:r w:rsidR="00215090" w:rsidRPr="00F05C08">
        <w:rPr>
          <w:i/>
          <w:szCs w:val="24"/>
        </w:rPr>
        <w:t>T</w:t>
      </w:r>
      <w:r w:rsidR="007D3999" w:rsidRPr="00F05C08">
        <w:rPr>
          <w:i/>
          <w:szCs w:val="24"/>
          <w:vertAlign w:val="subscript"/>
        </w:rPr>
        <w:t>a</w:t>
      </w:r>
      <w:r w:rsidR="00215090" w:rsidRPr="00F05C08">
        <w:rPr>
          <w:szCs w:val="24"/>
        </w:rPr>
        <w:t>)</w:t>
      </w:r>
      <w:r w:rsidR="00215090">
        <w:rPr>
          <w:szCs w:val="24"/>
        </w:rPr>
        <w:t xml:space="preserve"> represents </w:t>
      </w:r>
      <w:r w:rsidR="00B403C6">
        <w:rPr>
          <w:szCs w:val="24"/>
        </w:rPr>
        <w:t>attributes</w:t>
      </w:r>
      <w:r w:rsidR="00215090">
        <w:rPr>
          <w:szCs w:val="24"/>
        </w:rPr>
        <w:t xml:space="preserve"> that the model has while the </w:t>
      </w:r>
      <w:r w:rsidR="00215090">
        <w:rPr>
          <w:szCs w:val="24"/>
        </w:rPr>
        <w:lastRenderedPageBreak/>
        <w:t xml:space="preserve">target does not, and </w:t>
      </w:r>
      <w:r w:rsidR="00215090" w:rsidRPr="002D681C">
        <w:rPr>
          <w:szCs w:val="24"/>
        </w:rPr>
        <w:t>(</w:t>
      </w:r>
      <w:r w:rsidR="00215090" w:rsidRPr="002D681C">
        <w:rPr>
          <w:i/>
          <w:szCs w:val="24"/>
        </w:rPr>
        <w:t>T</w:t>
      </w:r>
      <w:r w:rsidR="00B403C6" w:rsidRPr="00F05C08">
        <w:rPr>
          <w:i/>
          <w:szCs w:val="24"/>
          <w:vertAlign w:val="subscript"/>
        </w:rPr>
        <w:t>a</w:t>
      </w:r>
      <w:r w:rsidR="00215090" w:rsidRPr="002D681C">
        <w:rPr>
          <w:rFonts w:ascii="Symbol" w:hAnsi="Symbol"/>
          <w:i/>
          <w:sz w:val="21"/>
          <w:szCs w:val="21"/>
        </w:rPr>
        <w:t></w:t>
      </w:r>
      <w:r w:rsidR="00215090" w:rsidRPr="002D681C">
        <w:rPr>
          <w:i/>
          <w:szCs w:val="24"/>
        </w:rPr>
        <w:t>M</w:t>
      </w:r>
      <w:r w:rsidR="00B403C6" w:rsidRPr="00F05C08">
        <w:rPr>
          <w:i/>
          <w:szCs w:val="24"/>
          <w:vertAlign w:val="subscript"/>
        </w:rPr>
        <w:t>a</w:t>
      </w:r>
      <w:r w:rsidR="00215090" w:rsidRPr="002D681C">
        <w:rPr>
          <w:szCs w:val="24"/>
        </w:rPr>
        <w:t>)</w:t>
      </w:r>
      <w:r w:rsidR="00215090">
        <w:rPr>
          <w:szCs w:val="24"/>
        </w:rPr>
        <w:t xml:space="preserve"> </w:t>
      </w:r>
      <w:r w:rsidR="00B403C6">
        <w:rPr>
          <w:szCs w:val="24"/>
        </w:rPr>
        <w:t>attributes</w:t>
      </w:r>
      <w:r w:rsidR="00747A44">
        <w:rPr>
          <w:szCs w:val="24"/>
        </w:rPr>
        <w:t xml:space="preserve"> that the target has while the model does not.</w:t>
      </w:r>
      <w:r w:rsidR="00453879">
        <w:rPr>
          <w:szCs w:val="24"/>
        </w:rPr>
        <w:t xml:space="preserve"> </w:t>
      </w:r>
      <w:r w:rsidR="00B403C6">
        <w:rPr>
          <w:szCs w:val="24"/>
        </w:rPr>
        <w:t xml:space="preserve">The same story goes for mechanisms </w:t>
      </w:r>
      <w:r w:rsidR="00B403C6" w:rsidRPr="00F05C08">
        <w:rPr>
          <w:i/>
          <w:szCs w:val="24"/>
        </w:rPr>
        <w:t>m</w:t>
      </w:r>
      <w:r w:rsidR="00B403C6">
        <w:rPr>
          <w:szCs w:val="24"/>
        </w:rPr>
        <w:t xml:space="preserve">. </w:t>
      </w:r>
      <w:r w:rsidR="00B6777C">
        <w:rPr>
          <w:szCs w:val="24"/>
        </w:rPr>
        <w:t>A</w:t>
      </w:r>
      <w:r w:rsidR="00646CF9">
        <w:rPr>
          <w:szCs w:val="24"/>
        </w:rPr>
        <w:t xml:space="preserve">ttributes and mechanisms </w:t>
      </w:r>
      <w:r w:rsidR="00B6777C">
        <w:rPr>
          <w:szCs w:val="24"/>
        </w:rPr>
        <w:t>as a whole are called features of the model and the target</w:t>
      </w:r>
      <w:r w:rsidR="00D7763C">
        <w:rPr>
          <w:szCs w:val="24"/>
        </w:rPr>
        <w:t xml:space="preserve">. </w:t>
      </w:r>
    </w:p>
    <w:p w:rsidR="00920464" w:rsidRDefault="00453879" w:rsidP="00F05C08">
      <w:pPr>
        <w:ind w:right="119" w:firstLineChars="100" w:firstLine="240"/>
      </w:pPr>
      <w:r>
        <w:t>Then a</w:t>
      </w:r>
      <w:r w:rsidRPr="00A62F0A">
        <w:t xml:space="preserve">n interpretation </w:t>
      </w:r>
      <w:r>
        <w:t xml:space="preserve">for this equation </w:t>
      </w:r>
      <w:r w:rsidR="00577940">
        <w:rPr>
          <w:rFonts w:hint="eastAsia"/>
        </w:rPr>
        <w:t xml:space="preserve">is </w:t>
      </w:r>
      <w:r w:rsidR="00C157E8">
        <w:rPr>
          <w:rFonts w:hint="eastAsia"/>
        </w:rPr>
        <w:t>given</w:t>
      </w:r>
      <w:r>
        <w:t>. F</w:t>
      </w:r>
      <w:r w:rsidR="00920464">
        <w:t>irst</w:t>
      </w:r>
      <w:r w:rsidR="00D7763C">
        <w:t>,</w:t>
      </w:r>
      <w:r>
        <w:t xml:space="preserve"> there</w:t>
      </w:r>
      <w:r w:rsidR="00920464">
        <w:t xml:space="preserve"> must be a feature set </w:t>
      </w:r>
      <w:r w:rsidR="00920464" w:rsidRPr="00F05C08">
        <w:rPr>
          <w:rFonts w:ascii="FangSong_GB2312" w:eastAsia="Times New Roman"/>
          <w:i/>
        </w:rPr>
        <w:t>Δ</w:t>
      </w:r>
      <w:r w:rsidR="006509E9">
        <w:t xml:space="preserve">, and </w:t>
      </w:r>
      <w:r w:rsidR="00B6777C">
        <w:t xml:space="preserve">the set of features of the model and the set of features </w:t>
      </w:r>
      <w:r w:rsidR="008F5F8B">
        <w:t xml:space="preserve">of the target are defined as sets of features in </w:t>
      </w:r>
      <w:r w:rsidR="008F5F8B" w:rsidRPr="00F05C08">
        <w:rPr>
          <w:rFonts w:ascii="FangSong_GB2312" w:eastAsia="Times New Roman"/>
          <w:i/>
        </w:rPr>
        <w:t>Δ</w:t>
      </w:r>
      <w:r w:rsidR="008F5F8B">
        <w:rPr>
          <w:rFonts w:ascii="FangSong_GB2312" w:eastAsia="Times New Roman"/>
        </w:rPr>
        <w:t>.</w:t>
      </w:r>
      <w:r w:rsidR="00920464">
        <w:t xml:space="preserve"> </w:t>
      </w:r>
      <w:r w:rsidR="00966D87">
        <w:t>Primarily i</w:t>
      </w:r>
      <w:r w:rsidR="00920464">
        <w:t xml:space="preserve">lluminated by Giere’s “four-place activity” account, Weisberg claims that the elements of </w:t>
      </w:r>
      <w:r w:rsidR="00920464" w:rsidRPr="00F05C08">
        <w:rPr>
          <w:rFonts w:ascii="FangSong_GB2312" w:eastAsia="Times New Roman"/>
          <w:i/>
        </w:rPr>
        <w:t>Δ</w:t>
      </w:r>
      <w:r w:rsidR="00920464">
        <w:t xml:space="preserve"> are determined by a combination of context, conceptualization of the target, and the theoretical goals of the scientist; that is, “There is no context-free answer to this question, but part of the answer lies in the modeler’s intended scope. The modeler’s intended scope takes into account the research question of interest, the context of research, and the community’s prior practice.” (</w:t>
      </w:r>
      <w:r w:rsidR="00920464">
        <w:rPr>
          <w:i/>
        </w:rPr>
        <w:t>Ibid</w:t>
      </w:r>
      <w:r w:rsidR="00920464">
        <w:t>., 149) W</w:t>
      </w:r>
      <w:r w:rsidR="0043374E">
        <w:t>hat</w:t>
      </w:r>
      <w:r w:rsidR="0043374E">
        <w:rPr>
          <w:rFonts w:hint="eastAsia"/>
        </w:rPr>
        <w:t xml:space="preserve"> i</w:t>
      </w:r>
      <w:r w:rsidR="00920464">
        <w:t xml:space="preserve">s more, the contents of </w:t>
      </w:r>
      <w:r w:rsidR="00920464" w:rsidRPr="00F05C08">
        <w:rPr>
          <w:rFonts w:ascii="FangSong_GB2312" w:eastAsia="Times New Roman"/>
          <w:i/>
        </w:rPr>
        <w:t>Δ</w:t>
      </w:r>
      <w:r w:rsidR="00920464">
        <w:t xml:space="preserve"> might change through time as science develops, which in turn might result in a reevaluation of the established model-world relationship. (</w:t>
      </w:r>
      <w:r w:rsidR="00920464">
        <w:rPr>
          <w:i/>
        </w:rPr>
        <w:t>Ibid</w:t>
      </w:r>
      <w:r w:rsidR="00920464">
        <w:t>., 149)</w:t>
      </w:r>
    </w:p>
    <w:p w:rsidR="00920464" w:rsidRDefault="00920464">
      <w:pPr>
        <w:rPr>
          <w:rFonts w:ascii="Symbol" w:hAnsi="Symbol"/>
          <w:sz w:val="21"/>
          <w:szCs w:val="21"/>
        </w:rPr>
      </w:pPr>
      <w:r>
        <w:t xml:space="preserve">  Second, consider the values of weighting parameters</w:t>
      </w:r>
      <w:r w:rsidR="00CE5D35">
        <w:t xml:space="preserve"> </w:t>
      </w:r>
      <w:r w:rsidR="00CE5D35" w:rsidRPr="002D681C">
        <w:rPr>
          <w:i/>
        </w:rPr>
        <w:t>α</w:t>
      </w:r>
      <w:r w:rsidR="00CE5D35">
        <w:t xml:space="preserve">, </w:t>
      </w:r>
      <w:r w:rsidR="00CE5D35" w:rsidRPr="002D681C">
        <w:rPr>
          <w:i/>
        </w:rPr>
        <w:t>β</w:t>
      </w:r>
      <w:r w:rsidR="00CE5D35">
        <w:t>,</w:t>
      </w:r>
      <w:r w:rsidR="00CE5D35" w:rsidRPr="002D681C">
        <w:rPr>
          <w:szCs w:val="24"/>
        </w:rPr>
        <w:t xml:space="preserve"> </w:t>
      </w:r>
      <w:r w:rsidR="00CE5D35" w:rsidRPr="002D681C">
        <w:rPr>
          <w:i/>
          <w:szCs w:val="24"/>
        </w:rPr>
        <w:t>γ</w:t>
      </w:r>
      <w:r w:rsidR="00CE5D35" w:rsidRPr="002D681C">
        <w:rPr>
          <w:szCs w:val="24"/>
        </w:rPr>
        <w:t xml:space="preserve">, </w:t>
      </w:r>
      <w:r w:rsidR="00CE5D35" w:rsidRPr="002D681C">
        <w:rPr>
          <w:i/>
          <w:szCs w:val="24"/>
        </w:rPr>
        <w:t>δ</w:t>
      </w:r>
      <w:r w:rsidR="00CE5D35">
        <w:rPr>
          <w:rFonts w:hint="eastAsia"/>
          <w:i/>
          <w:szCs w:val="24"/>
        </w:rPr>
        <w:t xml:space="preserve">, </w:t>
      </w:r>
      <w:r w:rsidR="00CE5D35" w:rsidRPr="002D681C">
        <w:rPr>
          <w:i/>
          <w:szCs w:val="24"/>
        </w:rPr>
        <w:t>θ</w:t>
      </w:r>
      <w:r w:rsidR="00CE5D35" w:rsidRPr="002D681C">
        <w:rPr>
          <w:szCs w:val="24"/>
        </w:rPr>
        <w:t xml:space="preserve">, and </w:t>
      </w:r>
      <w:r w:rsidR="00CE5D35" w:rsidRPr="002D681C">
        <w:rPr>
          <w:i/>
          <w:szCs w:val="24"/>
        </w:rPr>
        <w:t>ρ</w:t>
      </w:r>
      <w:r>
        <w:t xml:space="preserve">. On Weisberg’s account, different kinds of modeling require different weighting parameters. For example, if what interests us is </w:t>
      </w:r>
      <w:r w:rsidR="005F2C61">
        <w:t xml:space="preserve">the </w:t>
      </w:r>
      <w:r>
        <w:rPr>
          <w:i/>
        </w:rPr>
        <w:t>minimal modeling</w:t>
      </w:r>
      <w:r>
        <w:t xml:space="preserve"> </w:t>
      </w:r>
      <w:r w:rsidR="005F2C61">
        <w:t xml:space="preserve">which </w:t>
      </w:r>
      <w:r>
        <w:t>concern</w:t>
      </w:r>
      <w:r w:rsidR="005F2C61">
        <w:t>s</w:t>
      </w:r>
      <w:r>
        <w:t xml:space="preserve"> merely the mechanism responsible for bringing about the phenomenon of interest</w:t>
      </w:r>
      <w:r w:rsidR="00092DEA">
        <w:t>,</w:t>
      </w:r>
      <w:r>
        <w:t xml:space="preserve"> </w:t>
      </w:r>
      <w:r w:rsidR="00092DEA">
        <w:rPr>
          <w:lang w:val="en-AU"/>
        </w:rPr>
        <w:t>t</w:t>
      </w:r>
      <w:r>
        <w:t>he goal</w:t>
      </w:r>
      <w:r w:rsidR="005D67D6">
        <w:t xml:space="preserve"> of this modeling is written as:</w:t>
      </w:r>
      <w:r w:rsidR="008C5F2B">
        <w:rPr>
          <w:rStyle w:val="a6"/>
        </w:rPr>
        <w:footnoteReference w:id="3"/>
      </w:r>
    </w:p>
    <w:p w:rsidR="00920464" w:rsidRDefault="00920464">
      <w:pPr>
        <w:spacing w:before="156"/>
        <w:ind w:firstLine="3570"/>
        <w:rPr>
          <w:rFonts w:ascii="FangSong_GB2312" w:eastAsia="Times New Roman" w:cs="FangSong_GB2312"/>
          <w:sz w:val="21"/>
          <w:szCs w:val="21"/>
        </w:rPr>
      </w:pPr>
      <w:r>
        <w:rPr>
          <w:rFonts w:ascii="Symbol" w:hAnsi="Symbol"/>
          <w:sz w:val="21"/>
          <w:szCs w:val="21"/>
        </w:rPr>
        <w:t></w:t>
      </w:r>
      <w:r w:rsidRPr="000F1830">
        <w:rPr>
          <w:sz w:val="21"/>
          <w:szCs w:val="21"/>
        </w:rPr>
        <w:t>M</w:t>
      </w:r>
      <w:r w:rsidRPr="000F1830">
        <w:rPr>
          <w:sz w:val="21"/>
          <w:szCs w:val="21"/>
          <w:vertAlign w:val="subscript"/>
        </w:rPr>
        <w:t>m</w:t>
      </w:r>
      <w:r w:rsidRPr="000F1830">
        <w:rPr>
          <w:sz w:val="21"/>
          <w:szCs w:val="21"/>
        </w:rPr>
        <w:t>∩T</w:t>
      </w:r>
      <w:r w:rsidRPr="000F1830">
        <w:rPr>
          <w:sz w:val="21"/>
          <w:szCs w:val="21"/>
          <w:vertAlign w:val="subscript"/>
        </w:rPr>
        <w:t>m</w:t>
      </w:r>
      <w:r>
        <w:rPr>
          <w:rFonts w:ascii="Symbol" w:hAnsi="Symbol"/>
          <w:sz w:val="21"/>
          <w:szCs w:val="21"/>
        </w:rPr>
        <w:t></w:t>
      </w:r>
    </w:p>
    <w:p w:rsidR="00920464" w:rsidRPr="006744A9" w:rsidRDefault="00920464">
      <w:pPr>
        <w:spacing w:line="240" w:lineRule="atLeast"/>
        <w:jc w:val="center"/>
        <w:rPr>
          <w:rFonts w:ascii="FangSong_GB2312" w:eastAsia="Times New Roman" w:cs="FangSong_GB2312"/>
          <w:sz w:val="21"/>
          <w:szCs w:val="21"/>
          <w:lang w:val="en-AU"/>
        </w:rPr>
      </w:pPr>
      <w:r>
        <w:rPr>
          <w:rFonts w:ascii="FangSong_GB2312" w:eastAsia="Times New Roman" w:cs="FangSong_GB2312"/>
          <w:sz w:val="21"/>
          <w:szCs w:val="21"/>
        </w:rPr>
        <w:t xml:space="preserve"> </w:t>
      </w:r>
      <w:r w:rsidRPr="006744A9">
        <w:rPr>
          <w:sz w:val="21"/>
          <w:szCs w:val="21"/>
          <w:lang w:val="en-AU"/>
        </w:rPr>
        <w:t xml:space="preserve"> </w:t>
      </w:r>
      <w:r w:rsidRPr="00B419BE">
        <w:rPr>
          <w:sz w:val="21"/>
          <w:szCs w:val="21"/>
          <w:lang w:val="en-AU"/>
        </w:rPr>
        <w:t>————————————</w:t>
      </w:r>
      <w:r w:rsidRPr="006744A9">
        <w:rPr>
          <w:rFonts w:ascii="FangSong_GB2312" w:eastAsia="Times New Roman" w:cs="FangSong_GB2312"/>
          <w:sz w:val="21"/>
          <w:szCs w:val="21"/>
          <w:lang w:val="en-AU"/>
        </w:rPr>
        <w:t xml:space="preserve"> </w:t>
      </w:r>
      <w:r>
        <w:rPr>
          <w:rFonts w:ascii="Symbol" w:hAnsi="Symbol"/>
          <w:sz w:val="21"/>
          <w:szCs w:val="21"/>
        </w:rPr>
        <w:t></w:t>
      </w:r>
      <w:r w:rsidRPr="006744A9">
        <w:rPr>
          <w:rFonts w:ascii="FangSong_GB2312" w:eastAsia="Times New Roman" w:cs="FangSong_GB2312"/>
          <w:sz w:val="21"/>
          <w:szCs w:val="21"/>
          <w:lang w:val="en-AU"/>
        </w:rPr>
        <w:t xml:space="preserve"> </w:t>
      </w:r>
      <w:r w:rsidRPr="006744A9">
        <w:rPr>
          <w:sz w:val="21"/>
          <w:szCs w:val="21"/>
          <w:lang w:val="en-AU"/>
        </w:rPr>
        <w:t>1</w:t>
      </w:r>
    </w:p>
    <w:p w:rsidR="00920464" w:rsidRPr="006744A9" w:rsidRDefault="00920464">
      <w:pPr>
        <w:spacing w:after="156"/>
        <w:jc w:val="center"/>
        <w:rPr>
          <w:lang w:val="en-AU"/>
        </w:rPr>
      </w:pPr>
      <w:r w:rsidRPr="006744A9">
        <w:rPr>
          <w:rFonts w:ascii="FangSong_GB2312" w:eastAsia="Times New Roman" w:cs="FangSong_GB2312"/>
          <w:sz w:val="21"/>
          <w:szCs w:val="21"/>
          <w:lang w:val="en-AU"/>
        </w:rPr>
        <w:t xml:space="preserve">                        </w:t>
      </w:r>
      <w:r>
        <w:rPr>
          <w:rFonts w:ascii="Symbol" w:hAnsi="Symbol"/>
          <w:sz w:val="21"/>
          <w:szCs w:val="21"/>
        </w:rPr>
        <w:t></w:t>
      </w:r>
      <w:r w:rsidRPr="006744A9">
        <w:rPr>
          <w:sz w:val="21"/>
          <w:szCs w:val="21"/>
          <w:lang w:val="en-AU"/>
        </w:rPr>
        <w:t>M</w:t>
      </w:r>
      <w:r w:rsidRPr="006744A9">
        <w:rPr>
          <w:sz w:val="21"/>
          <w:szCs w:val="21"/>
          <w:vertAlign w:val="subscript"/>
          <w:lang w:val="en-AU"/>
        </w:rPr>
        <w:t>m</w:t>
      </w:r>
      <w:r w:rsidRPr="00B419BE">
        <w:rPr>
          <w:sz w:val="21"/>
          <w:szCs w:val="21"/>
          <w:lang w:val="en-AU"/>
        </w:rPr>
        <w:t>∩</w:t>
      </w:r>
      <w:r w:rsidRPr="006744A9">
        <w:rPr>
          <w:sz w:val="21"/>
          <w:szCs w:val="21"/>
          <w:lang w:val="en-AU"/>
        </w:rPr>
        <w:t>T</w:t>
      </w:r>
      <w:r w:rsidRPr="006744A9">
        <w:rPr>
          <w:sz w:val="21"/>
          <w:szCs w:val="21"/>
          <w:vertAlign w:val="subscript"/>
          <w:lang w:val="en-AU"/>
        </w:rPr>
        <w:t>m</w:t>
      </w:r>
      <w:r>
        <w:rPr>
          <w:rFonts w:ascii="Symbol" w:hAnsi="Symbol"/>
          <w:sz w:val="21"/>
          <w:szCs w:val="21"/>
        </w:rPr>
        <w:t></w:t>
      </w:r>
      <w:r w:rsidRPr="006744A9">
        <w:rPr>
          <w:rFonts w:ascii="FangSong_GB2312" w:eastAsia="Times New Roman"/>
          <w:sz w:val="21"/>
          <w:szCs w:val="21"/>
          <w:lang w:val="en-AU"/>
        </w:rPr>
        <w:t>+</w:t>
      </w:r>
      <w:r>
        <w:rPr>
          <w:rFonts w:ascii="Symbol" w:hAnsi="Symbol"/>
          <w:sz w:val="21"/>
          <w:szCs w:val="21"/>
        </w:rPr>
        <w:t></w:t>
      </w:r>
      <w:r w:rsidRPr="006744A9">
        <w:rPr>
          <w:sz w:val="21"/>
          <w:szCs w:val="21"/>
          <w:lang w:val="en-AU"/>
        </w:rPr>
        <w:t>M</w:t>
      </w:r>
      <w:r w:rsidRPr="006744A9">
        <w:rPr>
          <w:sz w:val="21"/>
          <w:szCs w:val="21"/>
          <w:vertAlign w:val="subscript"/>
          <w:lang w:val="en-AU"/>
        </w:rPr>
        <w:t>a</w:t>
      </w:r>
      <w:r>
        <w:rPr>
          <w:rFonts w:ascii="Symbol" w:hAnsi="Symbol"/>
        </w:rPr>
        <w:t></w:t>
      </w:r>
      <w:r w:rsidRPr="006744A9">
        <w:rPr>
          <w:sz w:val="21"/>
          <w:szCs w:val="21"/>
          <w:lang w:val="en-AU"/>
        </w:rPr>
        <w:t>T</w:t>
      </w:r>
      <w:r w:rsidRPr="006744A9">
        <w:rPr>
          <w:sz w:val="21"/>
          <w:szCs w:val="21"/>
          <w:vertAlign w:val="subscript"/>
          <w:lang w:val="en-AU"/>
        </w:rPr>
        <w:t>a</w:t>
      </w:r>
      <w:r>
        <w:rPr>
          <w:rFonts w:ascii="Symbol" w:hAnsi="Symbol"/>
          <w:sz w:val="21"/>
          <w:szCs w:val="21"/>
        </w:rPr>
        <w:t></w:t>
      </w:r>
      <w:r w:rsidRPr="006744A9">
        <w:rPr>
          <w:rFonts w:ascii="FangSong_GB2312" w:eastAsia="Times New Roman"/>
          <w:sz w:val="21"/>
          <w:szCs w:val="21"/>
          <w:lang w:val="en-AU"/>
        </w:rPr>
        <w:t>+</w:t>
      </w:r>
      <w:r>
        <w:rPr>
          <w:rFonts w:ascii="Symbol" w:hAnsi="Symbol"/>
          <w:sz w:val="21"/>
          <w:szCs w:val="21"/>
        </w:rPr>
        <w:t></w:t>
      </w:r>
      <w:r w:rsidRPr="006744A9">
        <w:rPr>
          <w:sz w:val="21"/>
          <w:szCs w:val="21"/>
          <w:lang w:val="en-AU"/>
        </w:rPr>
        <w:t>M</w:t>
      </w:r>
      <w:r w:rsidRPr="006744A9">
        <w:rPr>
          <w:sz w:val="21"/>
          <w:szCs w:val="21"/>
          <w:vertAlign w:val="subscript"/>
          <w:lang w:val="en-AU"/>
        </w:rPr>
        <w:t>m</w:t>
      </w:r>
      <w:r>
        <w:rPr>
          <w:rFonts w:ascii="Symbol" w:hAnsi="Symbol"/>
        </w:rPr>
        <w:t></w:t>
      </w:r>
      <w:r w:rsidRPr="006744A9">
        <w:rPr>
          <w:sz w:val="21"/>
          <w:szCs w:val="21"/>
          <w:lang w:val="en-AU"/>
        </w:rPr>
        <w:t>T</w:t>
      </w:r>
      <w:r w:rsidRPr="006744A9">
        <w:rPr>
          <w:sz w:val="21"/>
          <w:szCs w:val="21"/>
          <w:vertAlign w:val="subscript"/>
          <w:lang w:val="en-AU"/>
        </w:rPr>
        <w:t>m</w:t>
      </w:r>
      <w:r>
        <w:rPr>
          <w:rFonts w:ascii="Symbol" w:hAnsi="Symbol"/>
          <w:sz w:val="21"/>
          <w:szCs w:val="21"/>
        </w:rPr>
        <w:t></w:t>
      </w:r>
      <w:r w:rsidRPr="006744A9">
        <w:rPr>
          <w:rFonts w:ascii="FangSong_GB2312" w:eastAsia="Times New Roman"/>
          <w:sz w:val="21"/>
          <w:szCs w:val="21"/>
          <w:lang w:val="en-AU"/>
        </w:rPr>
        <w:t xml:space="preserve">                        </w:t>
      </w:r>
      <w:r w:rsidRPr="006744A9">
        <w:rPr>
          <w:lang w:val="en-AU"/>
        </w:rPr>
        <w:t>(</w:t>
      </w:r>
      <w:r w:rsidR="005F2C61">
        <w:rPr>
          <w:lang w:val="en-AU"/>
        </w:rPr>
        <w:t>2</w:t>
      </w:r>
      <w:r w:rsidRPr="006744A9">
        <w:rPr>
          <w:lang w:val="en-AU"/>
        </w:rPr>
        <w:t>)</w:t>
      </w:r>
    </w:p>
    <w:p w:rsidR="00920464" w:rsidRDefault="00920464">
      <w:r>
        <w:t xml:space="preserve">where </w:t>
      </w:r>
      <w:r>
        <w:rPr>
          <w:rFonts w:ascii="Symbol" w:hAnsi="Symbol"/>
        </w:rPr>
        <w:t></w:t>
      </w:r>
      <w:r w:rsidRPr="00F05C08">
        <w:rPr>
          <w:i/>
        </w:rPr>
        <w:t>M</w:t>
      </w:r>
      <w:r w:rsidRPr="00F05C08">
        <w:rPr>
          <w:i/>
          <w:vertAlign w:val="subscript"/>
        </w:rPr>
        <w:t>m</w:t>
      </w:r>
      <w:r w:rsidRPr="00F05C08">
        <w:rPr>
          <w:rFonts w:hint="eastAsia"/>
          <w:i/>
        </w:rPr>
        <w:t>∩</w:t>
      </w:r>
      <w:r w:rsidRPr="00F05C08">
        <w:rPr>
          <w:i/>
        </w:rPr>
        <w:t>T</w:t>
      </w:r>
      <w:r w:rsidRPr="00F05C08">
        <w:rPr>
          <w:i/>
          <w:vertAlign w:val="subscript"/>
        </w:rPr>
        <w:t>m</w:t>
      </w:r>
      <w:r>
        <w:rPr>
          <w:rFonts w:ascii="Symbol" w:hAnsi="Symbol"/>
        </w:rPr>
        <w:t></w:t>
      </w:r>
      <w:r>
        <w:t xml:space="preserve"> has a high value </w:t>
      </w:r>
      <w:r w:rsidR="005F2C61">
        <w:t xml:space="preserve">while </w:t>
      </w:r>
      <w:r>
        <w:rPr>
          <w:rFonts w:ascii="Symbol" w:hAnsi="Symbol"/>
        </w:rPr>
        <w:t></w:t>
      </w:r>
      <w:r w:rsidRPr="00F05C08">
        <w:rPr>
          <w:i/>
        </w:rPr>
        <w:t>M</w:t>
      </w:r>
      <w:r w:rsidRPr="00F05C08">
        <w:rPr>
          <w:i/>
          <w:vertAlign w:val="subscript"/>
        </w:rPr>
        <w:t>a</w:t>
      </w:r>
      <w:r w:rsidRPr="00F05C08">
        <w:rPr>
          <w:rFonts w:ascii="Symbol" w:hAnsi="Symbol"/>
          <w:i/>
        </w:rPr>
        <w:t></w:t>
      </w:r>
      <w:r w:rsidRPr="00F05C08">
        <w:rPr>
          <w:i/>
        </w:rPr>
        <w:t>T</w:t>
      </w:r>
      <w:r w:rsidRPr="00F05C08">
        <w:rPr>
          <w:i/>
          <w:vertAlign w:val="subscript"/>
        </w:rPr>
        <w:t>a</w:t>
      </w:r>
      <w:r>
        <w:rPr>
          <w:rFonts w:ascii="Symbol" w:hAnsi="Symbol"/>
        </w:rPr>
        <w:t></w:t>
      </w:r>
      <w:r>
        <w:t xml:space="preserve"> and </w:t>
      </w:r>
      <w:r>
        <w:rPr>
          <w:rFonts w:ascii="Symbol" w:hAnsi="Symbol"/>
        </w:rPr>
        <w:t></w:t>
      </w:r>
      <w:r w:rsidRPr="00F05C08">
        <w:rPr>
          <w:i/>
        </w:rPr>
        <w:t>M</w:t>
      </w:r>
      <w:r w:rsidRPr="00F05C08">
        <w:rPr>
          <w:i/>
          <w:vertAlign w:val="subscript"/>
        </w:rPr>
        <w:t>m</w:t>
      </w:r>
      <w:r w:rsidRPr="00F05C08">
        <w:rPr>
          <w:rFonts w:ascii="Symbol" w:hAnsi="Symbol"/>
          <w:i/>
        </w:rPr>
        <w:t></w:t>
      </w:r>
      <w:r w:rsidRPr="00F05C08">
        <w:rPr>
          <w:i/>
        </w:rPr>
        <w:t>T</w:t>
      </w:r>
      <w:r w:rsidRPr="00F05C08">
        <w:rPr>
          <w:i/>
          <w:vertAlign w:val="subscript"/>
        </w:rPr>
        <w:t>m</w:t>
      </w:r>
      <w:r>
        <w:rPr>
          <w:rFonts w:ascii="Symbol" w:hAnsi="Symbol"/>
        </w:rPr>
        <w:t></w:t>
      </w:r>
      <w:r w:rsidR="005D67D6">
        <w:t xml:space="preserve"> have low values</w:t>
      </w:r>
      <w:r w:rsidR="003E2209">
        <w:t xml:space="preserve"> </w:t>
      </w:r>
      <w:r w:rsidR="003E2209" w:rsidRPr="00F05C08">
        <w:rPr>
          <w:color w:val="000000"/>
        </w:rPr>
        <w:t>(</w:t>
      </w:r>
      <w:r w:rsidR="003E2209" w:rsidRPr="00F05C08">
        <w:rPr>
          <w:i/>
          <w:color w:val="000000"/>
        </w:rPr>
        <w:t>Ibid</w:t>
      </w:r>
      <w:r w:rsidR="003E2209" w:rsidRPr="00F05C08">
        <w:rPr>
          <w:color w:val="000000"/>
        </w:rPr>
        <w:t xml:space="preserve">., </w:t>
      </w:r>
      <w:r w:rsidR="00174F7B" w:rsidRPr="00F05C08">
        <w:rPr>
          <w:color w:val="000000"/>
        </w:rPr>
        <w:t>151</w:t>
      </w:r>
      <w:r w:rsidR="003E2209" w:rsidRPr="00F05C08">
        <w:rPr>
          <w:color w:val="000000"/>
        </w:rPr>
        <w:t>)</w:t>
      </w:r>
      <w:r w:rsidR="005D67D6">
        <w:rPr>
          <w:color w:val="000000"/>
        </w:rPr>
        <w:t>.</w:t>
      </w:r>
    </w:p>
    <w:p w:rsidR="00920464" w:rsidRDefault="00920464">
      <w:r>
        <w:t xml:space="preserve">  Finally consider the weighting function</w:t>
      </w:r>
      <w:r w:rsidR="00650A39">
        <w:t xml:space="preserve"> </w:t>
      </w:r>
      <w:r w:rsidR="00650A39" w:rsidRPr="00F05C08">
        <w:rPr>
          <w:i/>
        </w:rPr>
        <w:t>f(x)</w:t>
      </w:r>
      <w:r>
        <w:t xml:space="preserve">, telling us the relative importance of each feature in the set </w:t>
      </w:r>
      <w:r w:rsidRPr="00F05C08">
        <w:rPr>
          <w:rFonts w:ascii="FangSong_GB2312" w:eastAsia="Times New Roman"/>
          <w:i/>
        </w:rPr>
        <w:t>Δ</w:t>
      </w:r>
      <w:r>
        <w:rPr>
          <w:rFonts w:ascii="FangSong_GB2312" w:eastAsia="Times New Roman"/>
        </w:rPr>
        <w:t xml:space="preserve">. </w:t>
      </w:r>
      <w:r>
        <w:t xml:space="preserve">In Weisberg’s view, scientists in most cases have in their mind some subset of the features in </w:t>
      </w:r>
      <w:r w:rsidRPr="00F05C08">
        <w:rPr>
          <w:i/>
        </w:rPr>
        <w:t>Δ</w:t>
      </w:r>
      <w:r>
        <w:t xml:space="preserve">, which they regard as especially important. Hence some features are weighted more heavily, and others would simply be equally weighted. According to Weisberg, the background theory determines which features in </w:t>
      </w:r>
      <w:r w:rsidRPr="00F05C08">
        <w:rPr>
          <w:i/>
        </w:rPr>
        <w:t>Δ</w:t>
      </w:r>
      <w:r>
        <w:t xml:space="preserve"> should be weighted more heavily. In cases where the background theory is not rich enough to make these determinations, deciding which features should be weighted more heavily is in part an empirical problem.</w:t>
      </w:r>
    </w:p>
    <w:p w:rsidR="00920464" w:rsidRDefault="00920464" w:rsidP="00692339">
      <w:pPr>
        <w:rPr>
          <w:color w:val="000000"/>
        </w:rPr>
      </w:pPr>
      <w:r>
        <w:t xml:space="preserve">  This is Weisberg’s account</w:t>
      </w:r>
      <w:r w:rsidR="0043374E">
        <w:rPr>
          <w:rFonts w:hint="eastAsia"/>
        </w:rPr>
        <w:t xml:space="preserve"> in abstract form</w:t>
      </w:r>
      <w:r>
        <w:t>.</w:t>
      </w:r>
      <w:r w:rsidRPr="00D72AA1">
        <w:rPr>
          <w:color w:val="000000"/>
        </w:rPr>
        <w:t xml:space="preserve"> Before plunging into the next section’s discussion</w:t>
      </w:r>
      <w:r>
        <w:rPr>
          <w:color w:val="000000"/>
        </w:rPr>
        <w:t>, let us briefly consider</w:t>
      </w:r>
      <w:r w:rsidRPr="00D72AA1">
        <w:rPr>
          <w:color w:val="000000"/>
        </w:rPr>
        <w:t xml:space="preserve"> how We</w:t>
      </w:r>
      <w:r>
        <w:rPr>
          <w:color w:val="000000"/>
        </w:rPr>
        <w:t xml:space="preserve">isberg’s account </w:t>
      </w:r>
      <w:r w:rsidR="00C61C04" w:rsidRPr="00F05C08">
        <w:rPr>
          <w:i/>
          <w:color w:val="000000"/>
        </w:rPr>
        <w:t>would</w:t>
      </w:r>
      <w:r w:rsidR="00C61C04">
        <w:rPr>
          <w:color w:val="000000"/>
        </w:rPr>
        <w:t xml:space="preserve"> </w:t>
      </w:r>
      <w:r>
        <w:rPr>
          <w:color w:val="000000"/>
        </w:rPr>
        <w:t>work</w:t>
      </w:r>
      <w:r w:rsidR="0043374E">
        <w:rPr>
          <w:rFonts w:hint="eastAsia"/>
          <w:color w:val="000000"/>
        </w:rPr>
        <w:t xml:space="preserve"> in practice</w:t>
      </w:r>
      <w:r w:rsidRPr="00D72AA1">
        <w:rPr>
          <w:color w:val="000000"/>
        </w:rPr>
        <w:t xml:space="preserve">. Imagine </w:t>
      </w:r>
      <w:r w:rsidRPr="00807E95">
        <w:rPr>
          <w:color w:val="000000"/>
        </w:rPr>
        <w:t xml:space="preserve">in the </w:t>
      </w:r>
      <w:r>
        <w:rPr>
          <w:color w:val="000000"/>
        </w:rPr>
        <w:t xml:space="preserve">real </w:t>
      </w:r>
      <w:r w:rsidRPr="00807E95">
        <w:rPr>
          <w:color w:val="000000"/>
        </w:rPr>
        <w:t>world</w:t>
      </w:r>
      <w:r w:rsidRPr="00D72AA1">
        <w:rPr>
          <w:color w:val="000000"/>
        </w:rPr>
        <w:t xml:space="preserve"> there is a causal process between the number of functional copies of a gene (</w:t>
      </w:r>
      <w:r w:rsidRPr="00FA7BAB">
        <w:rPr>
          <w:i/>
          <w:color w:val="000000"/>
        </w:rPr>
        <w:t>G</w:t>
      </w:r>
      <w:r w:rsidRPr="00D72AA1">
        <w:rPr>
          <w:color w:val="000000"/>
        </w:rPr>
        <w:t>) and the rate (</w:t>
      </w:r>
      <w:r w:rsidRPr="00FA7BAB">
        <w:rPr>
          <w:i/>
          <w:color w:val="000000"/>
        </w:rPr>
        <w:t>E</w:t>
      </w:r>
      <w:r w:rsidRPr="00D72AA1">
        <w:rPr>
          <w:color w:val="000000"/>
        </w:rPr>
        <w:t>) at which some enzyme is produced</w:t>
      </w:r>
      <w:r w:rsidR="005D67D6">
        <w:rPr>
          <w:color w:val="000000"/>
        </w:rPr>
        <w:t>.</w:t>
      </w:r>
      <w:r w:rsidRPr="00D72AA1">
        <w:rPr>
          <w:rStyle w:val="a6"/>
          <w:color w:val="000000"/>
        </w:rPr>
        <w:footnoteReference w:id="4"/>
      </w:r>
      <w:r w:rsidRPr="00D72AA1">
        <w:rPr>
          <w:color w:val="000000"/>
        </w:rPr>
        <w:t xml:space="preserve"> Based on empirical data, scientists build a model</w:t>
      </w:r>
      <w:r w:rsidR="005D67D6">
        <w:rPr>
          <w:color w:val="000000"/>
        </w:rPr>
        <w:t>:</w:t>
      </w:r>
      <w:r w:rsidRPr="00D72AA1">
        <w:rPr>
          <w:rStyle w:val="a3"/>
          <w:color w:val="000000"/>
        </w:rPr>
        <w:footnoteReference w:id="5"/>
      </w:r>
    </w:p>
    <w:p w:rsidR="0043374E" w:rsidRDefault="0043374E" w:rsidP="00692339">
      <w:pPr>
        <w:rPr>
          <w:color w:val="000000"/>
        </w:rPr>
      </w:pPr>
    </w:p>
    <w:p w:rsidR="00562BDD" w:rsidRDefault="00562BDD" w:rsidP="00692339">
      <w:pPr>
        <w:rPr>
          <w:color w:val="000000"/>
        </w:rPr>
      </w:pPr>
    </w:p>
    <w:p w:rsidR="006A1DB1" w:rsidRDefault="004F41A4" w:rsidP="00692339">
      <w:pPr>
        <w:rPr>
          <w:color w:val="000000"/>
        </w:rPr>
      </w:pPr>
      <w:r>
        <w:rPr>
          <w:noProof/>
          <w:color w:val="000000"/>
        </w:rPr>
        <w:lastRenderedPageBreak/>
        <w:pict>
          <v:roundrect id="_x0000_s1036" style="position:absolute;left:0;text-align:left;margin-left:201.05pt;margin-top:10.65pt;width:97.05pt;height:32.6pt;z-index:3" arcsize="10923f">
            <v:textbox>
              <w:txbxContent>
                <w:p w:rsidR="00CA0177" w:rsidRDefault="00CA0177" w:rsidP="00F05C08">
                  <w:pPr>
                    <w:spacing w:line="200" w:lineRule="exact"/>
                    <w:rPr>
                      <w:sz w:val="18"/>
                      <w:szCs w:val="18"/>
                    </w:rPr>
                  </w:pPr>
                  <w:r w:rsidRPr="00F05C08">
                    <w:rPr>
                      <w:sz w:val="18"/>
                      <w:szCs w:val="18"/>
                    </w:rPr>
                    <w:t xml:space="preserve">The </w:t>
                  </w:r>
                  <w:r>
                    <w:rPr>
                      <w:rFonts w:hint="eastAsia"/>
                      <w:sz w:val="18"/>
                      <w:szCs w:val="18"/>
                    </w:rPr>
                    <w:t>rate of producing</w:t>
                  </w:r>
                </w:p>
                <w:p w:rsidR="00CA0177" w:rsidRPr="00F05C08" w:rsidRDefault="00CA0177" w:rsidP="00F05C08">
                  <w:pPr>
                    <w:spacing w:line="200" w:lineRule="exact"/>
                    <w:rPr>
                      <w:sz w:val="18"/>
                      <w:szCs w:val="18"/>
                    </w:rPr>
                  </w:pPr>
                  <w:proofErr w:type="gramStart"/>
                  <w:r>
                    <w:rPr>
                      <w:sz w:val="18"/>
                      <w:szCs w:val="18"/>
                    </w:rPr>
                    <w:t>some</w:t>
                  </w:r>
                  <w:proofErr w:type="gramEnd"/>
                  <w:r>
                    <w:rPr>
                      <w:sz w:val="18"/>
                      <w:szCs w:val="18"/>
                    </w:rPr>
                    <w:t xml:space="preserve"> enzyme (</w:t>
                  </w:r>
                  <w:r w:rsidRPr="00F05C08">
                    <w:rPr>
                      <w:i/>
                      <w:sz w:val="18"/>
                      <w:szCs w:val="18"/>
                    </w:rPr>
                    <w:t>E</w:t>
                  </w:r>
                  <w:r>
                    <w:rPr>
                      <w:sz w:val="18"/>
                      <w:szCs w:val="18"/>
                    </w:rPr>
                    <w:t>)</w:t>
                  </w:r>
                </w:p>
              </w:txbxContent>
            </v:textbox>
          </v:roundrect>
        </w:pict>
      </w:r>
      <w:r>
        <w:rPr>
          <w:noProof/>
          <w:color w:val="000000"/>
        </w:rPr>
        <w:pict>
          <v:roundrect id="_x0000_s1034" style="position:absolute;left:0;text-align:left;margin-left:40.85pt;margin-top:10.65pt;width:97.05pt;height:32.6pt;z-index:1" arcsize="10923f">
            <v:textbox>
              <w:txbxContent>
                <w:p w:rsidR="00CA0177" w:rsidRDefault="00CA0177" w:rsidP="00F05C08">
                  <w:pPr>
                    <w:spacing w:line="200" w:lineRule="exact"/>
                    <w:rPr>
                      <w:sz w:val="18"/>
                      <w:szCs w:val="18"/>
                    </w:rPr>
                  </w:pPr>
                  <w:r w:rsidRPr="00F05C08">
                    <w:rPr>
                      <w:sz w:val="18"/>
                      <w:szCs w:val="18"/>
                    </w:rPr>
                    <w:t>Number of cop</w:t>
                  </w:r>
                  <w:r>
                    <w:rPr>
                      <w:rFonts w:hint="eastAsia"/>
                      <w:sz w:val="18"/>
                      <w:szCs w:val="18"/>
                    </w:rPr>
                    <w:t xml:space="preserve">ies of </w:t>
                  </w:r>
                </w:p>
                <w:p w:rsidR="00CA0177" w:rsidRPr="00F05C08" w:rsidRDefault="00CA0177" w:rsidP="00F05C08">
                  <w:pPr>
                    <w:spacing w:line="200" w:lineRule="exact"/>
                    <w:rPr>
                      <w:sz w:val="18"/>
                      <w:szCs w:val="18"/>
                    </w:rPr>
                  </w:pPr>
                  <w:proofErr w:type="gramStart"/>
                  <w:r>
                    <w:rPr>
                      <w:sz w:val="18"/>
                      <w:szCs w:val="18"/>
                    </w:rPr>
                    <w:t>a</w:t>
                  </w:r>
                  <w:proofErr w:type="gramEnd"/>
                  <w:r>
                    <w:rPr>
                      <w:sz w:val="18"/>
                      <w:szCs w:val="18"/>
                    </w:rPr>
                    <w:t xml:space="preserve"> gene (</w:t>
                  </w:r>
                  <w:r w:rsidRPr="00F05C08">
                    <w:rPr>
                      <w:i/>
                      <w:sz w:val="18"/>
                      <w:szCs w:val="18"/>
                    </w:rPr>
                    <w:t>G</w:t>
                  </w:r>
                  <w:r>
                    <w:rPr>
                      <w:sz w:val="18"/>
                      <w:szCs w:val="18"/>
                    </w:rPr>
                    <w:t>)</w:t>
                  </w:r>
                </w:p>
              </w:txbxContent>
            </v:textbox>
          </v:roundrect>
        </w:pict>
      </w:r>
    </w:p>
    <w:p w:rsidR="006A1DB1" w:rsidRDefault="004F41A4" w:rsidP="00692339">
      <w:pPr>
        <w:rPr>
          <w:color w:val="000000"/>
        </w:rPr>
      </w:pPr>
      <w:r>
        <w:rPr>
          <w:noProof/>
          <w:color w:val="000000"/>
        </w:rPr>
        <w:pict>
          <v:shapetype id="_x0000_t32" coordsize="21600,21600" o:spt="32" o:oned="t" path="m,l21600,21600e" filled="f">
            <v:path arrowok="t" fillok="f" o:connecttype="none"/>
            <o:lock v:ext="edit" shapetype="t"/>
          </v:shapetype>
          <v:shape id="_x0000_s1035" type="#_x0000_t32" style="position:absolute;left:0;text-align:left;margin-left:146.65pt;margin-top:11.35pt;width:45.1pt;height:0;z-index:2" o:connectortype="straight">
            <v:stroke endarrow="block"/>
          </v:shape>
        </w:pict>
      </w:r>
    </w:p>
    <w:p w:rsidR="006A1DB1" w:rsidRDefault="006A1DB1" w:rsidP="00692339">
      <w:pPr>
        <w:rPr>
          <w:color w:val="FF0000"/>
        </w:rPr>
      </w:pPr>
    </w:p>
    <w:p w:rsidR="00920464" w:rsidRDefault="006A1DB1" w:rsidP="00F05C08">
      <w:pPr>
        <w:spacing w:afterLines="50" w:after="156"/>
        <w:ind w:firstLineChars="350" w:firstLine="630"/>
      </w:pPr>
      <w:r w:rsidRPr="00F05C08">
        <w:rPr>
          <w:color w:val="000000"/>
          <w:sz w:val="18"/>
          <w:szCs w:val="18"/>
        </w:rPr>
        <w:t>Figure 1. A biological model of a causal process</w:t>
      </w:r>
    </w:p>
    <w:p w:rsidR="00920464" w:rsidRDefault="00920464" w:rsidP="00F05C08">
      <w:pPr>
        <w:spacing w:afterLines="50" w:after="156"/>
        <w:rPr>
          <w:color w:val="000000"/>
          <w:lang w:val="en-AU"/>
        </w:rPr>
      </w:pPr>
      <w:r w:rsidRPr="00D72AA1">
        <w:rPr>
          <w:color w:val="000000"/>
        </w:rPr>
        <w:t>After building this model, scientists attempt t</w:t>
      </w:r>
      <w:r>
        <w:rPr>
          <w:color w:val="000000"/>
        </w:rPr>
        <w:t>o test whether the model</w:t>
      </w:r>
      <w:r w:rsidRPr="00D72AA1">
        <w:rPr>
          <w:color w:val="000000"/>
        </w:rPr>
        <w:t xml:space="preserve"> captures </w:t>
      </w:r>
      <w:r w:rsidR="008A10B0">
        <w:rPr>
          <w:rFonts w:hint="eastAsia"/>
          <w:color w:val="000000"/>
        </w:rPr>
        <w:t>the target</w:t>
      </w:r>
      <w:r w:rsidRPr="00D72AA1">
        <w:rPr>
          <w:color w:val="000000"/>
        </w:rPr>
        <w:t xml:space="preserve">—or, to use Weisberg’s terminology, whether the model is maximally similar to the target. Suppose </w:t>
      </w:r>
      <w:r>
        <w:rPr>
          <w:color w:val="000000"/>
        </w:rPr>
        <w:t>for the moment that</w:t>
      </w:r>
      <w:r w:rsidRPr="00D72AA1">
        <w:rPr>
          <w:color w:val="000000"/>
        </w:rPr>
        <w:t xml:space="preserve"> Weisberg’s account can be applied to this simple case</w:t>
      </w:r>
      <w:r w:rsidR="005D67D6">
        <w:rPr>
          <w:color w:val="000000"/>
        </w:rPr>
        <w:t>.</w:t>
      </w:r>
      <w:r w:rsidRPr="00D72AA1">
        <w:rPr>
          <w:rStyle w:val="a6"/>
          <w:color w:val="000000"/>
        </w:rPr>
        <w:footnoteReference w:id="6"/>
      </w:r>
      <w:r>
        <w:rPr>
          <w:color w:val="000000"/>
          <w:lang w:val="en-AU"/>
        </w:rPr>
        <w:t xml:space="preserve"> T</w:t>
      </w:r>
      <w:r w:rsidRPr="00D72AA1">
        <w:rPr>
          <w:color w:val="000000"/>
        </w:rPr>
        <w:t>his modeling falls into the category of minimal modeling</w:t>
      </w:r>
      <w:r w:rsidR="005D67D6">
        <w:rPr>
          <w:color w:val="000000"/>
        </w:rPr>
        <w:t>,</w:t>
      </w:r>
      <w:r>
        <w:rPr>
          <w:rStyle w:val="a6"/>
          <w:color w:val="000000"/>
        </w:rPr>
        <w:footnoteReference w:id="7"/>
      </w:r>
      <w:r w:rsidRPr="00D72AA1">
        <w:rPr>
          <w:color w:val="000000"/>
        </w:rPr>
        <w:t xml:space="preserve"> where scientists are interested in the mechanism responsible for bringing about the phenomenon of interest. Therefore we can apply equation (</w:t>
      </w:r>
      <w:r w:rsidR="007821ED">
        <w:rPr>
          <w:rFonts w:hint="eastAsia"/>
          <w:color w:val="000000"/>
        </w:rPr>
        <w:t>2</w:t>
      </w:r>
      <w:r w:rsidRPr="00D72AA1">
        <w:rPr>
          <w:color w:val="000000"/>
        </w:rPr>
        <w:t xml:space="preserve">) to this case, where the only </w:t>
      </w:r>
      <w:r w:rsidRPr="00E36E6B">
        <w:rPr>
          <w:color w:val="000000"/>
        </w:rPr>
        <w:t>mechanism</w:t>
      </w:r>
      <w:r w:rsidRPr="00D72AA1">
        <w:rPr>
          <w:color w:val="000000"/>
        </w:rPr>
        <w:t xml:space="preserve"> involved is a causal process between </w:t>
      </w:r>
      <w:r w:rsidRPr="00FA7BAB">
        <w:rPr>
          <w:i/>
          <w:color w:val="000000"/>
        </w:rPr>
        <w:t>G</w:t>
      </w:r>
      <w:r w:rsidRPr="00D72AA1">
        <w:rPr>
          <w:color w:val="000000"/>
        </w:rPr>
        <w:t xml:space="preserve"> and </w:t>
      </w:r>
      <w:r w:rsidRPr="00FA7BAB">
        <w:rPr>
          <w:i/>
          <w:color w:val="000000"/>
        </w:rPr>
        <w:t>E</w:t>
      </w:r>
      <w:r w:rsidRPr="00D72AA1">
        <w:rPr>
          <w:color w:val="000000"/>
        </w:rPr>
        <w:t xml:space="preserve">. </w:t>
      </w:r>
      <w:r>
        <w:rPr>
          <w:color w:val="000000"/>
          <w:lang w:val="en-AU"/>
        </w:rPr>
        <w:t>Adding back those simplifications about weighting functions and weighting terms to (</w:t>
      </w:r>
      <w:r w:rsidR="007821ED">
        <w:rPr>
          <w:rFonts w:hint="eastAsia"/>
          <w:color w:val="000000"/>
          <w:lang w:val="en-AU"/>
        </w:rPr>
        <w:t>2</w:t>
      </w:r>
      <w:r>
        <w:rPr>
          <w:color w:val="000000"/>
          <w:lang w:val="en-AU"/>
        </w:rPr>
        <w:t>), we obtain equation (</w:t>
      </w:r>
      <w:r w:rsidR="007821ED">
        <w:rPr>
          <w:rFonts w:hint="eastAsia"/>
          <w:color w:val="000000"/>
          <w:lang w:val="en-AU"/>
        </w:rPr>
        <w:t>3</w:t>
      </w:r>
      <w:r>
        <w:rPr>
          <w:color w:val="000000"/>
          <w:lang w:val="en-AU"/>
        </w:rPr>
        <w:t>):</w:t>
      </w:r>
    </w:p>
    <w:p w:rsidR="00920464" w:rsidRPr="000F1830" w:rsidRDefault="00920464" w:rsidP="008B4242">
      <w:pPr>
        <w:spacing w:before="156"/>
        <w:rPr>
          <w:sz w:val="21"/>
          <w:szCs w:val="21"/>
        </w:rPr>
      </w:pPr>
      <w:r>
        <w:rPr>
          <w:sz w:val="21"/>
          <w:szCs w:val="21"/>
        </w:rPr>
        <w:t>S (m, t) =</w:t>
      </w:r>
    </w:p>
    <w:p w:rsidR="00920464" w:rsidRPr="000F1830" w:rsidRDefault="00920464" w:rsidP="00D934B6">
      <w:pPr>
        <w:pBdr>
          <w:bottom w:val="single" w:sz="6" w:space="1" w:color="000000"/>
        </w:pBdr>
        <w:ind w:firstLineChars="1500" w:firstLine="3150"/>
        <w:rPr>
          <w:sz w:val="21"/>
          <w:szCs w:val="21"/>
        </w:rPr>
      </w:pPr>
      <w:r w:rsidRPr="000F1830">
        <w:rPr>
          <w:sz w:val="21"/>
          <w:szCs w:val="21"/>
        </w:rPr>
        <w:t>ρf(M</w:t>
      </w:r>
      <w:r w:rsidRPr="000F1830">
        <w:rPr>
          <w:sz w:val="21"/>
          <w:szCs w:val="21"/>
          <w:vertAlign w:val="subscript"/>
        </w:rPr>
        <w:t>m</w:t>
      </w:r>
      <w:r w:rsidRPr="000F1830">
        <w:rPr>
          <w:sz w:val="21"/>
          <w:szCs w:val="21"/>
        </w:rPr>
        <w:t>∩T</w:t>
      </w:r>
      <w:r w:rsidRPr="000F1830">
        <w:rPr>
          <w:sz w:val="21"/>
          <w:szCs w:val="21"/>
          <w:vertAlign w:val="subscript"/>
        </w:rPr>
        <w:t>m</w:t>
      </w:r>
      <w:r w:rsidRPr="000F1830">
        <w:rPr>
          <w:sz w:val="21"/>
          <w:szCs w:val="21"/>
        </w:rPr>
        <w:t>)</w:t>
      </w:r>
    </w:p>
    <w:p w:rsidR="00920464" w:rsidRPr="000F1830" w:rsidRDefault="00920464" w:rsidP="000F1830">
      <w:pPr>
        <w:ind w:firstLine="630"/>
        <w:rPr>
          <w:sz w:val="21"/>
          <w:szCs w:val="21"/>
        </w:rPr>
      </w:pPr>
      <w:r w:rsidRPr="000F1830">
        <w:rPr>
          <w:sz w:val="21"/>
          <w:szCs w:val="21"/>
          <w:lang w:val="en-AU"/>
        </w:rPr>
        <w:t xml:space="preserve">              </w:t>
      </w:r>
      <w:r w:rsidRPr="000F1830">
        <w:rPr>
          <w:sz w:val="21"/>
          <w:szCs w:val="21"/>
        </w:rPr>
        <w:t>ρf(M</w:t>
      </w:r>
      <w:r w:rsidRPr="000F1830">
        <w:rPr>
          <w:sz w:val="21"/>
          <w:szCs w:val="21"/>
          <w:vertAlign w:val="subscript"/>
        </w:rPr>
        <w:t>m</w:t>
      </w:r>
      <w:r w:rsidRPr="000F1830">
        <w:rPr>
          <w:sz w:val="21"/>
          <w:szCs w:val="21"/>
        </w:rPr>
        <w:t>∩T</w:t>
      </w:r>
      <w:r w:rsidRPr="000F1830">
        <w:rPr>
          <w:sz w:val="21"/>
          <w:szCs w:val="21"/>
          <w:vertAlign w:val="subscript"/>
        </w:rPr>
        <w:t>m</w:t>
      </w:r>
      <w:r w:rsidRPr="000F1830">
        <w:rPr>
          <w:sz w:val="21"/>
          <w:szCs w:val="21"/>
        </w:rPr>
        <w:t>)+ αf(M</w:t>
      </w:r>
      <w:r w:rsidRPr="000F1830">
        <w:rPr>
          <w:sz w:val="21"/>
          <w:szCs w:val="21"/>
          <w:vertAlign w:val="subscript"/>
        </w:rPr>
        <w:t>a</w:t>
      </w:r>
      <w:r>
        <w:rPr>
          <w:rFonts w:ascii="Symbol" w:hAnsi="Symbol"/>
        </w:rPr>
        <w:t></w:t>
      </w:r>
      <w:r w:rsidRPr="000F1830">
        <w:rPr>
          <w:sz w:val="21"/>
          <w:szCs w:val="21"/>
        </w:rPr>
        <w:t>T</w:t>
      </w:r>
      <w:r w:rsidRPr="000F1830">
        <w:rPr>
          <w:sz w:val="21"/>
          <w:szCs w:val="21"/>
          <w:vertAlign w:val="subscript"/>
        </w:rPr>
        <w:t>a</w:t>
      </w:r>
      <w:r w:rsidRPr="000F1830">
        <w:rPr>
          <w:sz w:val="21"/>
          <w:szCs w:val="21"/>
        </w:rPr>
        <w:t>)+ βf(M</w:t>
      </w:r>
      <w:r w:rsidRPr="000F1830">
        <w:rPr>
          <w:sz w:val="21"/>
          <w:szCs w:val="21"/>
          <w:vertAlign w:val="subscript"/>
        </w:rPr>
        <w:t>m</w:t>
      </w:r>
      <w:r>
        <w:rPr>
          <w:rFonts w:ascii="Symbol" w:hAnsi="Symbol"/>
        </w:rPr>
        <w:t></w:t>
      </w:r>
      <w:r w:rsidRPr="000F1830">
        <w:rPr>
          <w:sz w:val="21"/>
          <w:szCs w:val="21"/>
        </w:rPr>
        <w:t>T</w:t>
      </w:r>
      <w:r w:rsidRPr="000F1830">
        <w:rPr>
          <w:sz w:val="21"/>
          <w:szCs w:val="21"/>
          <w:vertAlign w:val="subscript"/>
        </w:rPr>
        <w:t>m</w:t>
      </w:r>
      <w:r w:rsidRPr="000F1830">
        <w:rPr>
          <w:sz w:val="21"/>
          <w:szCs w:val="21"/>
        </w:rPr>
        <w:t>)</w:t>
      </w:r>
    </w:p>
    <w:p w:rsidR="00920464" w:rsidRPr="000F1830" w:rsidRDefault="00920464" w:rsidP="00903292">
      <w:pPr>
        <w:spacing w:afterLines="50" w:after="156"/>
        <w:ind w:firstLineChars="3700" w:firstLine="7770"/>
        <w:rPr>
          <w:sz w:val="21"/>
          <w:szCs w:val="21"/>
        </w:rPr>
      </w:pPr>
      <w:r w:rsidRPr="000F1830">
        <w:rPr>
          <w:sz w:val="21"/>
          <w:szCs w:val="21"/>
        </w:rPr>
        <w:t>(</w:t>
      </w:r>
      <w:r w:rsidR="007821ED">
        <w:rPr>
          <w:rFonts w:hint="eastAsia"/>
          <w:sz w:val="21"/>
          <w:szCs w:val="21"/>
        </w:rPr>
        <w:t>3</w:t>
      </w:r>
      <w:r w:rsidRPr="000F1830">
        <w:rPr>
          <w:sz w:val="21"/>
          <w:szCs w:val="21"/>
        </w:rPr>
        <w:t>)</w:t>
      </w:r>
    </w:p>
    <w:p w:rsidR="00920464" w:rsidRPr="00860BFD" w:rsidRDefault="00920464" w:rsidP="007A5AF1">
      <w:pPr>
        <w:rPr>
          <w:color w:val="000000"/>
          <w:lang w:val="en-AU"/>
        </w:rPr>
      </w:pPr>
      <w:r>
        <w:rPr>
          <w:color w:val="000000"/>
          <w:lang w:val="en-AU"/>
        </w:rPr>
        <w:t xml:space="preserve">For simplicity, we stipulate </w:t>
      </w:r>
      <w:r w:rsidRPr="00F05C08">
        <w:rPr>
          <w:i/>
          <w:color w:val="000000"/>
          <w:lang w:val="en-AU"/>
        </w:rPr>
        <w:t>ρ</w:t>
      </w:r>
      <w:r>
        <w:rPr>
          <w:color w:val="000000"/>
          <w:lang w:val="en-AU"/>
        </w:rPr>
        <w:t>=</w:t>
      </w:r>
      <w:r w:rsidRPr="00F05C08">
        <w:rPr>
          <w:i/>
          <w:color w:val="000000"/>
          <w:lang w:val="en-AU"/>
        </w:rPr>
        <w:t>α</w:t>
      </w:r>
      <w:r>
        <w:rPr>
          <w:color w:val="000000"/>
          <w:lang w:val="en-AU"/>
        </w:rPr>
        <w:t>=</w:t>
      </w:r>
      <w:r w:rsidRPr="00F05C08">
        <w:rPr>
          <w:i/>
          <w:color w:val="000000"/>
          <w:lang w:val="en-AU"/>
        </w:rPr>
        <w:t>β</w:t>
      </w:r>
      <w:r>
        <w:rPr>
          <w:color w:val="000000"/>
          <w:lang w:val="en-AU"/>
        </w:rPr>
        <w:t>=1. Since minimal modelling concerns only the mechanism responsible for bringing about the phenomenon, we weight (</w:t>
      </w:r>
      <w:r w:rsidRPr="00F05C08">
        <w:rPr>
          <w:i/>
          <w:color w:val="000000"/>
          <w:lang w:val="en-AU"/>
        </w:rPr>
        <w:t>M</w:t>
      </w:r>
      <w:r w:rsidRPr="00F05C08">
        <w:rPr>
          <w:i/>
          <w:color w:val="000000"/>
          <w:vertAlign w:val="subscript"/>
          <w:lang w:val="en-AU"/>
        </w:rPr>
        <w:t>m</w:t>
      </w:r>
      <w:r w:rsidRPr="00F05C08">
        <w:rPr>
          <w:rFonts w:hint="eastAsia"/>
          <w:i/>
          <w:color w:val="000000"/>
          <w:lang w:val="en-AU"/>
        </w:rPr>
        <w:t>∩</w:t>
      </w:r>
      <w:r w:rsidRPr="00F05C08">
        <w:rPr>
          <w:i/>
          <w:color w:val="000000"/>
          <w:lang w:val="en-AU"/>
        </w:rPr>
        <w:t>T</w:t>
      </w:r>
      <w:r w:rsidRPr="00F05C08">
        <w:rPr>
          <w:i/>
          <w:color w:val="000000"/>
          <w:vertAlign w:val="subscript"/>
          <w:lang w:val="en-AU"/>
        </w:rPr>
        <w:t>m</w:t>
      </w:r>
      <w:r w:rsidRPr="005B0656">
        <w:rPr>
          <w:color w:val="000000"/>
          <w:lang w:val="en-AU"/>
        </w:rPr>
        <w:t>)</w:t>
      </w:r>
      <w:r>
        <w:rPr>
          <w:color w:val="000000"/>
          <w:lang w:val="en-AU"/>
        </w:rPr>
        <w:t xml:space="preserve"> very heavily and </w:t>
      </w:r>
      <w:r w:rsidRPr="00F05C08">
        <w:rPr>
          <w:i/>
          <w:color w:val="000000"/>
          <w:lang w:val="en-AU"/>
        </w:rPr>
        <w:t>(M</w:t>
      </w:r>
      <w:r w:rsidRPr="00F05C08">
        <w:rPr>
          <w:i/>
          <w:color w:val="000000"/>
          <w:vertAlign w:val="subscript"/>
          <w:lang w:val="en-AU"/>
        </w:rPr>
        <w:t>a</w:t>
      </w:r>
      <w:r w:rsidR="00F50767" w:rsidRPr="00F50767">
        <w:rPr>
          <w:rFonts w:ascii="Symbol" w:hAnsi="Symbol"/>
          <w:i/>
        </w:rPr>
        <w:t></w:t>
      </w:r>
      <w:r w:rsidRPr="00F05C08">
        <w:rPr>
          <w:i/>
          <w:color w:val="000000"/>
          <w:lang w:val="en-AU"/>
        </w:rPr>
        <w:t>T</w:t>
      </w:r>
      <w:r w:rsidRPr="00F05C08">
        <w:rPr>
          <w:i/>
          <w:color w:val="000000"/>
          <w:vertAlign w:val="subscript"/>
          <w:lang w:val="en-AU"/>
        </w:rPr>
        <w:t>a</w:t>
      </w:r>
      <w:r>
        <w:rPr>
          <w:color w:val="000000"/>
          <w:lang w:val="en-AU"/>
        </w:rPr>
        <w:t>) and (</w:t>
      </w:r>
      <w:r w:rsidRPr="00F05C08">
        <w:rPr>
          <w:i/>
          <w:color w:val="000000"/>
          <w:lang w:val="en-AU"/>
        </w:rPr>
        <w:t>M</w:t>
      </w:r>
      <w:r w:rsidRPr="00F05C08">
        <w:rPr>
          <w:i/>
          <w:color w:val="000000"/>
          <w:vertAlign w:val="subscript"/>
          <w:lang w:val="en-AU"/>
        </w:rPr>
        <w:t>m</w:t>
      </w:r>
      <w:r w:rsidR="00F50767" w:rsidRPr="00F50767">
        <w:rPr>
          <w:rFonts w:ascii="Symbol" w:hAnsi="Symbol"/>
          <w:i/>
        </w:rPr>
        <w:t></w:t>
      </w:r>
      <w:r w:rsidRPr="00F05C08">
        <w:rPr>
          <w:i/>
          <w:color w:val="000000"/>
          <w:lang w:val="en-AU"/>
        </w:rPr>
        <w:t>T</w:t>
      </w:r>
      <w:r w:rsidRPr="00F05C08">
        <w:rPr>
          <w:i/>
          <w:color w:val="000000"/>
          <w:vertAlign w:val="subscript"/>
          <w:lang w:val="en-AU"/>
        </w:rPr>
        <w:t>m</w:t>
      </w:r>
      <w:r>
        <w:rPr>
          <w:color w:val="000000"/>
          <w:lang w:val="en-AU"/>
        </w:rPr>
        <w:t>) lightly, e.g.</w:t>
      </w:r>
      <w:r w:rsidR="00F50767">
        <w:rPr>
          <w:rFonts w:hint="eastAsia"/>
          <w:color w:val="000000"/>
          <w:lang w:val="en-AU"/>
        </w:rPr>
        <w:t>,</w:t>
      </w:r>
      <w:r>
        <w:rPr>
          <w:color w:val="000000"/>
          <w:lang w:val="en-AU"/>
        </w:rPr>
        <w:t xml:space="preserve"> the values of weighting functions for them are 0.81, 0.05 and 0.09</w:t>
      </w:r>
      <w:r w:rsidR="00562BDD">
        <w:rPr>
          <w:color w:val="000000"/>
          <w:lang w:val="en-AU"/>
        </w:rPr>
        <w:t xml:space="preserve"> respectively</w:t>
      </w:r>
      <w:r>
        <w:rPr>
          <w:color w:val="000000"/>
          <w:lang w:val="en-AU"/>
        </w:rPr>
        <w:t xml:space="preserve">. Thus </w:t>
      </w:r>
      <w:r>
        <w:rPr>
          <w:color w:val="000000"/>
        </w:rPr>
        <w:t xml:space="preserve">we </w:t>
      </w:r>
      <w:r>
        <w:rPr>
          <w:color w:val="000000"/>
          <w:lang w:val="en-AU"/>
        </w:rPr>
        <w:t xml:space="preserve">finally </w:t>
      </w:r>
      <w:r>
        <w:rPr>
          <w:color w:val="000000"/>
        </w:rPr>
        <w:t xml:space="preserve">achieve a similarity value of </w:t>
      </w:r>
      <w:r>
        <w:rPr>
          <w:color w:val="000000"/>
          <w:lang w:val="en-AU"/>
        </w:rPr>
        <w:t>0.85, which is very near the maximal similarity value 1.00</w:t>
      </w:r>
      <w:r>
        <w:rPr>
          <w:color w:val="000000"/>
        </w:rPr>
        <w:t xml:space="preserve">. </w:t>
      </w:r>
      <w:r>
        <w:rPr>
          <w:color w:val="000000"/>
          <w:lang w:val="en-AU"/>
        </w:rPr>
        <w:t>Therefore</w:t>
      </w:r>
      <w:r w:rsidRPr="00D72AA1">
        <w:rPr>
          <w:color w:val="000000"/>
        </w:rPr>
        <w:t xml:space="preserve">, if the testing </w:t>
      </w:r>
      <w:r>
        <w:rPr>
          <w:color w:val="000000"/>
        </w:rPr>
        <w:t>process</w:t>
      </w:r>
      <w:r w:rsidRPr="00D72AA1">
        <w:rPr>
          <w:color w:val="000000"/>
        </w:rPr>
        <w:t xml:space="preserve"> is correct, </w:t>
      </w:r>
      <w:r>
        <w:rPr>
          <w:color w:val="000000"/>
        </w:rPr>
        <w:t>scientists then can</w:t>
      </w:r>
      <w:r w:rsidRPr="00D72AA1">
        <w:rPr>
          <w:color w:val="000000"/>
        </w:rPr>
        <w:t xml:space="preserve"> conclude, at least from Weisberg’s perspective, that their model is good enough.</w:t>
      </w:r>
    </w:p>
    <w:p w:rsidR="00920464" w:rsidRPr="00C03D65" w:rsidRDefault="00920464"/>
    <w:p w:rsidR="00920464" w:rsidRDefault="00920464">
      <w:r>
        <w:rPr>
          <w:b/>
        </w:rPr>
        <w:t>3. The Maximum Likelihood Estimation Method</w:t>
      </w:r>
      <w:r>
        <w:rPr>
          <w:rStyle w:val="a3"/>
          <w:b/>
        </w:rPr>
        <w:footnoteReference w:id="8"/>
      </w:r>
    </w:p>
    <w:p w:rsidR="00920464" w:rsidRDefault="00920464"/>
    <w:p w:rsidR="00920464" w:rsidRDefault="00920464" w:rsidP="006C7230">
      <w:r>
        <w:t xml:space="preserve">In fact, even with a </w:t>
      </w:r>
      <w:r w:rsidR="005E022F">
        <w:t>toy model</w:t>
      </w:r>
      <w:r>
        <w:t xml:space="preserve"> like the one described above, it seems not perfectly straightforward how Weisberg’s account could really apply. This is partly because Weisberg does not give us any specific example about his account’s application, and partly because its applicability is still in</w:t>
      </w:r>
      <w:r w:rsidR="00343313">
        <w:t xml:space="preserve"> dispute (I will argue this in S</w:t>
      </w:r>
      <w:r>
        <w:t>ection 4).</w:t>
      </w:r>
    </w:p>
    <w:p w:rsidR="00920464" w:rsidRDefault="00920464" w:rsidP="00C8015B">
      <w:r>
        <w:t xml:space="preserve">  In contrast, t</w:t>
      </w:r>
      <w:r w:rsidR="005E022F">
        <w:t>he toy model</w:t>
      </w:r>
      <w:r>
        <w:t xml:space="preserve"> can be readily treated by many scientific testing methods, and </w:t>
      </w:r>
      <w:r w:rsidRPr="001A7F9E">
        <w:rPr>
          <w:i/>
        </w:rPr>
        <w:t>maximum likelihood estimation</w:t>
      </w:r>
      <w:r>
        <w:t xml:space="preserve"> (MLE) is the often-used one I </w:t>
      </w:r>
      <w:r w:rsidR="005E022F">
        <w:t>will</w:t>
      </w:r>
      <w:r>
        <w:t xml:space="preserve"> elaborate in this section.</w:t>
      </w:r>
      <w:r w:rsidR="005E022F">
        <w:rPr>
          <w:rStyle w:val="a6"/>
        </w:rPr>
        <w:footnoteReference w:id="9"/>
      </w:r>
      <w:r>
        <w:t xml:space="preserve"> In preparation, let me first briefly outline the basics of this method</w:t>
      </w:r>
      <w:r w:rsidR="00C00B8E">
        <w:t>, and then</w:t>
      </w:r>
      <w:r>
        <w:t xml:space="preserve"> use this method to test a more complicated model drawn from scientific practice, namely the </w:t>
      </w:r>
      <w:r w:rsidRPr="009E06FF">
        <w:rPr>
          <w:i/>
        </w:rPr>
        <w:t>leaf gas-exchange model</w:t>
      </w:r>
      <w:r w:rsidR="000D6682">
        <w:t>.</w:t>
      </w:r>
    </w:p>
    <w:p w:rsidR="00920464" w:rsidRDefault="00920464" w:rsidP="00F05C08">
      <w:pPr>
        <w:ind w:firstLineChars="100" w:firstLine="240"/>
      </w:pPr>
      <w:r>
        <w:lastRenderedPageBreak/>
        <w:t xml:space="preserve">The essence of the MLE lies in the comparison between the </w:t>
      </w:r>
      <w:r>
        <w:rPr>
          <w:i/>
        </w:rPr>
        <w:t>predicted</w:t>
      </w:r>
      <w:r>
        <w:t xml:space="preserve"> and the </w:t>
      </w:r>
      <w:r>
        <w:rPr>
          <w:i/>
        </w:rPr>
        <w:t>observed</w:t>
      </w:r>
      <w:r>
        <w:t xml:space="preserve"> variance and covariance matrices. Specifically, we first specify the causal structure of </w:t>
      </w:r>
      <w:r w:rsidR="00C00B8E">
        <w:t xml:space="preserve">the </w:t>
      </w:r>
      <w:r>
        <w:t>model</w:t>
      </w:r>
      <w:r w:rsidR="00C00B8E">
        <w:t xml:space="preserve"> under investigation,</w:t>
      </w:r>
      <w:r>
        <w:t xml:space="preserve"> </w:t>
      </w:r>
      <w:r w:rsidR="00C00B8E">
        <w:t xml:space="preserve">and </w:t>
      </w:r>
      <w:r>
        <w:t>then translate it into a statistical model in the form of structural equation(s)</w:t>
      </w:r>
      <w:r w:rsidR="00343313">
        <w:t>.</w:t>
      </w:r>
      <w:r>
        <w:rPr>
          <w:rStyle w:val="a3"/>
        </w:rPr>
        <w:footnoteReference w:id="10"/>
      </w:r>
      <w:r w:rsidR="00C00B8E">
        <w:t xml:space="preserve"> </w:t>
      </w:r>
      <w:r>
        <w:t>After th</w:t>
      </w:r>
      <w:r w:rsidR="00017443">
        <w:t>is</w:t>
      </w:r>
      <w:r>
        <w:t xml:space="preserve">, we use certain covariance algebra to derive the </w:t>
      </w:r>
      <w:r>
        <w:rPr>
          <w:i/>
        </w:rPr>
        <w:t>predicted</w:t>
      </w:r>
      <w:r>
        <w:t xml:space="preserve"> variance and/or covariance</w:t>
      </w:r>
      <w:r>
        <w:rPr>
          <w:rStyle w:val="a3"/>
        </w:rPr>
        <w:footnoteReference w:id="11"/>
      </w:r>
      <w:r>
        <w:t xml:space="preserve"> between </w:t>
      </w:r>
      <w:r w:rsidR="00C00B8E" w:rsidRPr="00F05C08">
        <w:t>variables</w:t>
      </w:r>
      <w:r>
        <w:t xml:space="preserve"> in the model. The covariance of </w:t>
      </w:r>
      <w:r w:rsidR="00017443" w:rsidRPr="00F05C08">
        <w:t>variables</w:t>
      </w:r>
      <w:r w:rsidR="00017443">
        <w:rPr>
          <w:i/>
        </w:rPr>
        <w:t xml:space="preserve"> A</w:t>
      </w:r>
      <w:r w:rsidR="00017443">
        <w:t xml:space="preserve"> </w:t>
      </w:r>
      <w:r>
        <w:t xml:space="preserve">and </w:t>
      </w:r>
      <w:r w:rsidR="00017443">
        <w:rPr>
          <w:i/>
        </w:rPr>
        <w:t>B</w:t>
      </w:r>
      <w:r w:rsidR="00017443">
        <w:t xml:space="preserve"> </w:t>
      </w:r>
      <w:r>
        <w:t xml:space="preserve">is expressed as: </w:t>
      </w:r>
      <w:r w:rsidRPr="00F05C08">
        <w:rPr>
          <w:i/>
        </w:rPr>
        <w:t>Cov(</w:t>
      </w:r>
      <w:r w:rsidR="00017443">
        <w:rPr>
          <w:i/>
        </w:rPr>
        <w:t>A</w:t>
      </w:r>
      <w:r w:rsidRPr="00F05C08">
        <w:rPr>
          <w:i/>
        </w:rPr>
        <w:t xml:space="preserve">, </w:t>
      </w:r>
      <w:r w:rsidR="00017443">
        <w:rPr>
          <w:i/>
        </w:rPr>
        <w:t>B</w:t>
      </w:r>
      <w:r w:rsidRPr="00F05C08">
        <w:rPr>
          <w:i/>
        </w:rPr>
        <w:t>)</w:t>
      </w:r>
      <w:r>
        <w:t xml:space="preserve">. Note that the </w:t>
      </w:r>
      <w:r>
        <w:rPr>
          <w:i/>
        </w:rPr>
        <w:t>predicted</w:t>
      </w:r>
      <w:r>
        <w:t xml:space="preserve"> variance and/or covariance is derived purely from the structural equation</w:t>
      </w:r>
      <w:r w:rsidR="002F178F">
        <w:rPr>
          <w:rFonts w:hint="eastAsia"/>
        </w:rPr>
        <w:t>s</w:t>
      </w:r>
      <w:r w:rsidR="004F19D2">
        <w:t xml:space="preserve"> without appealing to empirical data</w:t>
      </w:r>
      <w:r>
        <w:t xml:space="preserve">. </w:t>
      </w:r>
      <w:r w:rsidR="004F19D2">
        <w:t xml:space="preserve">If </w:t>
      </w:r>
      <w:r>
        <w:t xml:space="preserve">we have also </w:t>
      </w:r>
      <w:r w:rsidR="008A3EEA">
        <w:t>collected empirical data about the target</w:t>
      </w:r>
      <w:r w:rsidR="00E15E9C">
        <w:t xml:space="preserve"> system on which the model is built</w:t>
      </w:r>
      <w:r w:rsidR="008A3EEA">
        <w:t xml:space="preserve">, we can </w:t>
      </w:r>
      <w:r>
        <w:t xml:space="preserve">derive the </w:t>
      </w:r>
      <w:r>
        <w:rPr>
          <w:i/>
        </w:rPr>
        <w:t>observed</w:t>
      </w:r>
      <w:r>
        <w:t xml:space="preserve"> </w:t>
      </w:r>
      <w:r w:rsidR="00D85044">
        <w:t>variance and/or covariance between</w:t>
      </w:r>
      <w:r>
        <w:t xml:space="preserve"> </w:t>
      </w:r>
      <w:r w:rsidR="008A3EEA">
        <w:t>variables</w:t>
      </w:r>
      <w:r>
        <w:t>.</w:t>
      </w:r>
    </w:p>
    <w:p w:rsidR="00920464" w:rsidRPr="007E2841" w:rsidRDefault="00920464" w:rsidP="007E2841">
      <w:pPr>
        <w:ind w:firstLine="240"/>
      </w:pPr>
      <w:r>
        <w:t>The next step is to obtain the maximum likelihood estimates of the free parameter(s)</w:t>
      </w:r>
      <w:r w:rsidRPr="00D23C98">
        <w:rPr>
          <w:rStyle w:val="a3"/>
        </w:rPr>
        <w:t xml:space="preserve"> </w:t>
      </w:r>
      <w:r>
        <w:rPr>
          <w:rStyle w:val="a3"/>
        </w:rPr>
        <w:footnoteReference w:id="12"/>
      </w:r>
      <w:r w:rsidR="00F91A68">
        <w:t xml:space="preserve"> </w:t>
      </w:r>
      <w:r>
        <w:t xml:space="preserve">of the model by </w:t>
      </w:r>
      <w:r>
        <w:rPr>
          <w:szCs w:val="24"/>
          <w:lang w:val="en-AU"/>
        </w:rPr>
        <w:t>minimising the difference between the observed and predicted variances and/or covariances</w:t>
      </w:r>
      <w:r w:rsidR="00483E58">
        <w:rPr>
          <w:szCs w:val="24"/>
          <w:lang w:val="en-AU"/>
        </w:rPr>
        <w:t>.</w:t>
      </w:r>
      <w:r>
        <w:rPr>
          <w:rStyle w:val="a6"/>
          <w:szCs w:val="24"/>
          <w:lang w:val="en-AU"/>
        </w:rPr>
        <w:footnoteReference w:id="13"/>
      </w:r>
      <w:r>
        <w:rPr>
          <w:szCs w:val="24"/>
          <w:lang w:val="en-AU"/>
        </w:rPr>
        <w:t xml:space="preserve"> The typical way to do this is to choose values for parameter</w:t>
      </w:r>
      <w:r w:rsidR="00D85044">
        <w:rPr>
          <w:szCs w:val="24"/>
          <w:lang w:val="en-AU"/>
        </w:rPr>
        <w:t xml:space="preserve">s </w:t>
      </w:r>
      <w:r>
        <w:rPr>
          <w:szCs w:val="24"/>
          <w:lang w:val="en-AU"/>
        </w:rPr>
        <w:t>in the predicted covariance, so as to make it as numerically close as possible to the observed covariance. The process of choosing values for parameter</w:t>
      </w:r>
      <w:r w:rsidR="00E342CC" w:rsidRPr="00F05C08">
        <w:rPr>
          <w:szCs w:val="24"/>
          <w:lang w:val="en-AU"/>
        </w:rPr>
        <w:t>s</w:t>
      </w:r>
      <w:r>
        <w:rPr>
          <w:szCs w:val="24"/>
          <w:lang w:val="en-AU"/>
        </w:rPr>
        <w:t xml:space="preserve"> is roughly like playing the game of 20 questions: </w:t>
      </w:r>
      <w:r w:rsidR="004F4506">
        <w:rPr>
          <w:szCs w:val="24"/>
          <w:lang w:val="en-AU"/>
        </w:rPr>
        <w:t>Is it organic or inorganic</w:t>
      </w:r>
      <w:r>
        <w:rPr>
          <w:szCs w:val="24"/>
          <w:lang w:val="en-AU"/>
        </w:rPr>
        <w:t xml:space="preserve">? </w:t>
      </w:r>
      <w:r w:rsidR="004F4506">
        <w:rPr>
          <w:szCs w:val="24"/>
          <w:lang w:val="en-AU"/>
        </w:rPr>
        <w:t>Is it a fruit or vegetable</w:t>
      </w:r>
      <w:r>
        <w:rPr>
          <w:szCs w:val="24"/>
          <w:lang w:val="en-AU"/>
        </w:rPr>
        <w:t>?</w:t>
      </w:r>
      <w:r w:rsidR="004F4506">
        <w:rPr>
          <w:szCs w:val="24"/>
          <w:lang w:val="en-AU"/>
        </w:rPr>
        <w:t xml:space="preserve"> Is it </w:t>
      </w:r>
      <w:r w:rsidR="006B29C9">
        <w:rPr>
          <w:szCs w:val="24"/>
          <w:lang w:val="en-AU"/>
        </w:rPr>
        <w:t>an apple</w:t>
      </w:r>
      <w:r w:rsidR="007D4CB5">
        <w:rPr>
          <w:szCs w:val="24"/>
          <w:lang w:val="en-AU"/>
        </w:rPr>
        <w:t xml:space="preserve"> or </w:t>
      </w:r>
      <w:r w:rsidR="006B29C9">
        <w:rPr>
          <w:szCs w:val="24"/>
          <w:lang w:val="en-AU"/>
        </w:rPr>
        <w:t>banana</w:t>
      </w:r>
      <w:r>
        <w:rPr>
          <w:szCs w:val="24"/>
          <w:lang w:val="en-AU"/>
        </w:rPr>
        <w:t>?</w:t>
      </w:r>
      <w:r w:rsidR="007D4CB5">
        <w:rPr>
          <w:szCs w:val="24"/>
          <w:lang w:val="en-AU"/>
        </w:rPr>
        <w:t xml:space="preserve"> Is it green or red?</w:t>
      </w:r>
      <w:r w:rsidR="00856595">
        <w:rPr>
          <w:szCs w:val="24"/>
          <w:lang w:val="en-AU"/>
        </w:rPr>
        <w:t xml:space="preserve"> ...</w:t>
      </w:r>
    </w:p>
    <w:p w:rsidR="00920464" w:rsidRDefault="00920464">
      <w:pPr>
        <w:ind w:firstLine="240"/>
        <w:rPr>
          <w:szCs w:val="24"/>
          <w:lang w:val="en-AU"/>
        </w:rPr>
      </w:pPr>
      <w:r>
        <w:rPr>
          <w:szCs w:val="24"/>
          <w:lang w:val="en-AU"/>
        </w:rPr>
        <w:t xml:space="preserve">After fixing the </w:t>
      </w:r>
      <w:r w:rsidR="00E342CC">
        <w:rPr>
          <w:szCs w:val="24"/>
          <w:lang w:val="en-AU"/>
        </w:rPr>
        <w:t xml:space="preserve">values of </w:t>
      </w:r>
      <w:r>
        <w:rPr>
          <w:szCs w:val="24"/>
          <w:lang w:val="en-AU"/>
        </w:rPr>
        <w:t>parameter</w:t>
      </w:r>
      <w:r w:rsidR="00E342CC">
        <w:rPr>
          <w:szCs w:val="24"/>
          <w:lang w:val="en-AU"/>
        </w:rPr>
        <w:t>s</w:t>
      </w:r>
      <w:r>
        <w:rPr>
          <w:szCs w:val="24"/>
          <w:lang w:val="en-AU"/>
        </w:rPr>
        <w:t>, we then calculate the number of degrees of freedom in the model, which</w:t>
      </w:r>
      <w:r>
        <w:t xml:space="preserve"> </w:t>
      </w:r>
      <w:r>
        <w:rPr>
          <w:szCs w:val="24"/>
          <w:lang w:val="en-AU"/>
        </w:rPr>
        <w:t xml:space="preserve">is given by function: </w:t>
      </w:r>
      <w:r>
        <w:rPr>
          <w:i/>
          <w:szCs w:val="24"/>
          <w:lang w:val="en-AU"/>
        </w:rPr>
        <w:sym w:font="Symbol" w:char="F06E"/>
      </w:r>
      <w:r>
        <w:rPr>
          <w:szCs w:val="24"/>
          <w:lang w:val="en-AU"/>
        </w:rPr>
        <w:t>(</w:t>
      </w:r>
      <w:r>
        <w:rPr>
          <w:i/>
          <w:szCs w:val="24"/>
          <w:lang w:val="en-AU"/>
        </w:rPr>
        <w:sym w:font="Symbol" w:char="F06E"/>
      </w:r>
      <w:r>
        <w:rPr>
          <w:szCs w:val="24"/>
          <w:lang w:val="en-AU"/>
        </w:rPr>
        <w:t>+1)/2</w:t>
      </w:r>
      <w:r>
        <w:rPr>
          <w:szCs w:val="24"/>
          <w:lang w:val="en-AU"/>
        </w:rPr>
        <w:sym w:font="Symbol" w:char="F02D"/>
      </w:r>
      <w:r>
        <w:rPr>
          <w:szCs w:val="24"/>
          <w:lang w:val="en-AU"/>
        </w:rPr>
        <w:t>(</w:t>
      </w:r>
      <w:r>
        <w:rPr>
          <w:i/>
          <w:szCs w:val="24"/>
          <w:lang w:val="en-AU"/>
        </w:rPr>
        <w:t>p</w:t>
      </w:r>
      <w:r>
        <w:rPr>
          <w:szCs w:val="24"/>
          <w:lang w:val="en-AU"/>
        </w:rPr>
        <w:t>+</w:t>
      </w:r>
      <w:r>
        <w:rPr>
          <w:i/>
          <w:szCs w:val="24"/>
          <w:lang w:val="en-AU"/>
        </w:rPr>
        <w:t>q</w:t>
      </w:r>
      <w:r>
        <w:rPr>
          <w:szCs w:val="24"/>
          <w:lang w:val="en-AU"/>
        </w:rPr>
        <w:t>),</w:t>
      </w:r>
      <w:r>
        <w:t xml:space="preserve"> </w:t>
      </w:r>
      <w:r w:rsidR="00AD0578">
        <w:fldChar w:fldCharType="begin"/>
      </w:r>
      <w:r w:rsidR="00AD0578">
        <w:fldChar w:fldCharType="separate"/>
      </w:r>
      <w:r>
        <w:rPr>
          <w:rFonts w:ascii="Symbol" w:hAnsi="Symbol"/>
          <w:i/>
          <w:szCs w:val="24"/>
          <w:lang w:val="en-AU"/>
        </w:rPr>
        <w:t></w:t>
      </w:r>
      <w:r>
        <w:rPr>
          <w:szCs w:val="24"/>
          <w:lang w:val="en-AU"/>
        </w:rPr>
        <w:t>(</w:t>
      </w:r>
      <w:r>
        <w:rPr>
          <w:rFonts w:ascii="Symbol" w:hAnsi="Symbol"/>
          <w:i/>
          <w:szCs w:val="24"/>
          <w:lang w:val="en-AU"/>
        </w:rPr>
        <w:t></w:t>
      </w:r>
      <w:r>
        <w:rPr>
          <w:szCs w:val="24"/>
          <w:lang w:val="en-AU"/>
        </w:rPr>
        <w:t>+1)/2</w:t>
      </w:r>
      <w:r>
        <w:rPr>
          <w:rFonts w:ascii="Symbol" w:hAnsi="Symbol"/>
          <w:szCs w:val="24"/>
          <w:lang w:val="en-AU"/>
        </w:rPr>
        <w:t></w:t>
      </w:r>
      <w:r>
        <w:rPr>
          <w:szCs w:val="24"/>
          <w:lang w:val="en-AU"/>
        </w:rPr>
        <w:t>(</w:t>
      </w:r>
      <w:r>
        <w:rPr>
          <w:i/>
          <w:szCs w:val="24"/>
          <w:lang w:val="en-AU"/>
        </w:rPr>
        <w:t>p</w:t>
      </w:r>
      <w:r>
        <w:rPr>
          <w:szCs w:val="24"/>
          <w:lang w:val="en-AU"/>
        </w:rPr>
        <w:t>+</w:t>
      </w:r>
      <w:r>
        <w:rPr>
          <w:i/>
          <w:szCs w:val="24"/>
          <w:lang w:val="en-AU"/>
        </w:rPr>
        <w:t>q</w:t>
      </w:r>
      <w:r>
        <w:rPr>
          <w:szCs w:val="24"/>
          <w:lang w:val="en-AU"/>
        </w:rPr>
        <w:t>),</w:t>
      </w:r>
      <w:r w:rsidR="00AD0578">
        <w:rPr>
          <w:szCs w:val="24"/>
          <w:lang w:val="en-AU"/>
        </w:rPr>
        <w:fldChar w:fldCharType="end"/>
      </w:r>
      <w:bookmarkStart w:id="0" w:name="__DdeLink__66883_1688036336"/>
      <w:r>
        <w:rPr>
          <w:szCs w:val="24"/>
          <w:lang w:val="en-AU"/>
        </w:rPr>
        <w:t xml:space="preserve">where </w:t>
      </w:r>
      <w:r>
        <w:rPr>
          <w:rFonts w:ascii="Symbol" w:hAnsi="Symbol"/>
          <w:i/>
          <w:szCs w:val="24"/>
          <w:lang w:val="en-AU"/>
        </w:rPr>
        <w:t></w:t>
      </w:r>
      <w:r>
        <w:rPr>
          <w:szCs w:val="24"/>
          <w:lang w:val="en-AU"/>
        </w:rPr>
        <w:t xml:space="preserve"> is the number of variables, </w:t>
      </w:r>
      <w:r>
        <w:rPr>
          <w:i/>
          <w:szCs w:val="24"/>
          <w:lang w:val="en-AU"/>
        </w:rPr>
        <w:t>p</w:t>
      </w:r>
      <w:r>
        <w:rPr>
          <w:szCs w:val="24"/>
          <w:lang w:val="en-AU"/>
        </w:rPr>
        <w:t xml:space="preserve"> is the number of free parameters, and </w:t>
      </w:r>
      <w:r>
        <w:rPr>
          <w:i/>
          <w:szCs w:val="24"/>
          <w:lang w:val="en-AU"/>
        </w:rPr>
        <w:t>q</w:t>
      </w:r>
      <w:r>
        <w:rPr>
          <w:szCs w:val="24"/>
          <w:lang w:val="en-AU"/>
        </w:rPr>
        <w:t xml:space="preserve"> is the number of free variances of exogenous variables (including the error variables)</w:t>
      </w:r>
      <w:bookmarkEnd w:id="0"/>
      <w:r>
        <w:rPr>
          <w:szCs w:val="24"/>
          <w:lang w:val="en-AU"/>
        </w:rPr>
        <w:t xml:space="preserve"> (Shipley 2002, 114). Finally, based on the value</w:t>
      </w:r>
      <w:r w:rsidR="00E342CC">
        <w:rPr>
          <w:szCs w:val="24"/>
          <w:lang w:val="en-AU"/>
        </w:rPr>
        <w:t>s</w:t>
      </w:r>
      <w:r>
        <w:rPr>
          <w:szCs w:val="24"/>
          <w:lang w:val="en-AU"/>
        </w:rPr>
        <w:t xml:space="preserve"> of parameter</w:t>
      </w:r>
      <w:r w:rsidR="00E342CC">
        <w:rPr>
          <w:szCs w:val="24"/>
          <w:lang w:val="en-AU"/>
        </w:rPr>
        <w:t>s</w:t>
      </w:r>
      <w:r>
        <w:rPr>
          <w:szCs w:val="24"/>
          <w:lang w:val="en-AU"/>
        </w:rPr>
        <w:t xml:space="preserve"> and the number of degrees of freedom, we are able to calculate the probability of having observed the measured minimum difference between the predicted and the observed covariance</w:t>
      </w:r>
      <w:r w:rsidR="005D67D6">
        <w:rPr>
          <w:szCs w:val="24"/>
          <w:lang w:val="en-AU"/>
        </w:rPr>
        <w:t>,</w:t>
      </w:r>
      <w:r>
        <w:rPr>
          <w:rStyle w:val="a6"/>
          <w:szCs w:val="24"/>
          <w:lang w:val="en-AU"/>
        </w:rPr>
        <w:footnoteReference w:id="14"/>
      </w:r>
      <w:r>
        <w:rPr>
          <w:szCs w:val="24"/>
          <w:lang w:val="en-AU"/>
        </w:rPr>
        <w:t xml:space="preserve"> and conclude whether our model is good enough in terms of </w:t>
      </w:r>
      <w:r w:rsidR="00080FBD">
        <w:rPr>
          <w:szCs w:val="24"/>
          <w:lang w:val="en-AU"/>
        </w:rPr>
        <w:t xml:space="preserve">a </w:t>
      </w:r>
      <w:r>
        <w:rPr>
          <w:szCs w:val="24"/>
          <w:lang w:val="en-AU"/>
        </w:rPr>
        <w:t>certain acceptability criterion (say above 0.05 is good enough)</w:t>
      </w:r>
      <w:r w:rsidR="005D67D6">
        <w:rPr>
          <w:szCs w:val="24"/>
          <w:lang w:val="en-AU"/>
        </w:rPr>
        <w:t>.</w:t>
      </w:r>
      <w:r>
        <w:rPr>
          <w:rStyle w:val="a6"/>
          <w:szCs w:val="24"/>
          <w:lang w:val="en-AU"/>
        </w:rPr>
        <w:footnoteReference w:id="15"/>
      </w:r>
    </w:p>
    <w:p w:rsidR="00920464" w:rsidRDefault="00D906C4">
      <w:pPr>
        <w:ind w:firstLine="240"/>
      </w:pPr>
      <w:r>
        <w:rPr>
          <w:szCs w:val="24"/>
          <w:lang w:val="en-AU"/>
        </w:rPr>
        <w:lastRenderedPageBreak/>
        <w:t>Now</w:t>
      </w:r>
      <w:r w:rsidR="00920464">
        <w:rPr>
          <w:szCs w:val="24"/>
          <w:lang w:val="en-AU"/>
        </w:rPr>
        <w:t xml:space="preserve">, let us consider a more complicated model and its testing using the method sketched above (i.e. MLE). </w:t>
      </w:r>
      <w:r w:rsidR="00920464">
        <w:t>Bill Shipley</w:t>
      </w:r>
      <w:r w:rsidR="00DE5CA3">
        <w:t xml:space="preserve"> and Martin Lechowicz</w:t>
      </w:r>
      <w:r w:rsidR="00920464">
        <w:t xml:space="preserve"> (2000) proposed a path model about the leaf gas-exchange based on five variables</w:t>
      </w:r>
      <w:r w:rsidR="005D67D6">
        <w:t>:</w:t>
      </w:r>
      <w:r w:rsidR="00920464">
        <w:rPr>
          <w:rStyle w:val="a3"/>
        </w:rPr>
        <w:footnoteReference w:id="16"/>
      </w:r>
      <w:r w:rsidR="00920464">
        <w:t xml:space="preserve"> specific leaf mass (SLM: leaf dry mass divided by leaf area, g/m</w:t>
      </w:r>
      <w:r w:rsidR="00920464">
        <w:rPr>
          <w:vertAlign w:val="superscript"/>
        </w:rPr>
        <w:t>2</w:t>
      </w:r>
      <w:r w:rsidR="00920464">
        <w:t>), leaf organic nitrogen concentration (mmol/m</w:t>
      </w:r>
      <w:r w:rsidR="00920464">
        <w:rPr>
          <w:vertAlign w:val="superscript"/>
        </w:rPr>
        <w:t>2</w:t>
      </w:r>
      <w:r w:rsidR="00920464">
        <w:t>), stomatal conductance to water (mmol/m</w:t>
      </w:r>
      <w:r w:rsidR="00920464">
        <w:rPr>
          <w:vertAlign w:val="superscript"/>
        </w:rPr>
        <w:t>2</w:t>
      </w:r>
      <w:r w:rsidR="00920464">
        <w:t xml:space="preserve"> per s), net photosynthetic rate (µmol/m</w:t>
      </w:r>
      <w:r w:rsidR="00920464">
        <w:rPr>
          <w:vertAlign w:val="superscript"/>
        </w:rPr>
        <w:t>2</w:t>
      </w:r>
      <w:r w:rsidR="00920464">
        <w:t xml:space="preserve"> per s) and internal CO</w:t>
      </w:r>
      <w:r w:rsidR="00920464">
        <w:rPr>
          <w:vertAlign w:val="subscript"/>
        </w:rPr>
        <w:t>2</w:t>
      </w:r>
      <w:r w:rsidR="00920464">
        <w:t xml:space="preserve"> concentration (µl/l). This model is expressed in figure 2</w:t>
      </w:r>
      <w:r w:rsidR="005D67D6">
        <w:t>.</w:t>
      </w:r>
      <w:r w:rsidR="00920464">
        <w:rPr>
          <w:rStyle w:val="a3"/>
        </w:rPr>
        <w:footnoteReference w:id="17"/>
      </w:r>
    </w:p>
    <w:p w:rsidR="008131AE" w:rsidRDefault="008131AE" w:rsidP="00F05C08"/>
    <w:p w:rsidR="008131AE" w:rsidRDefault="008131AE" w:rsidP="008E6846">
      <w:pPr>
        <w:ind w:firstLine="240"/>
      </w:pPr>
    </w:p>
    <w:p w:rsidR="008131AE" w:rsidRDefault="004F41A4" w:rsidP="008E6846">
      <w:pPr>
        <w:ind w:firstLine="240"/>
      </w:pPr>
      <w:r>
        <w:rPr>
          <w:noProof/>
        </w:rPr>
        <w:pict>
          <v:shapetype id="_x0000_t202" coordsize="21600,21600" o:spt="202" path="m,l,21600r21600,l21600,xe">
            <v:stroke joinstyle="miter"/>
            <v:path gradientshapeok="t" o:connecttype="rect"/>
          </v:shapetype>
          <v:shape id="_x0000_s1056" type="#_x0000_t202" style="position:absolute;left:0;text-align:left;margin-left:160.2pt;margin-top:5.45pt;width:26.9pt;height:18.25pt;z-index:20" strokecolor="white">
            <v:textbox style="mso-next-textbox:#_x0000_s1056">
              <w:txbxContent>
                <w:p w:rsidR="00CA0177" w:rsidRPr="00F05C08" w:rsidRDefault="00CA0177" w:rsidP="00F05C08">
                  <w:pPr>
                    <w:spacing w:line="200" w:lineRule="exact"/>
                    <w:rPr>
                      <w:i/>
                      <w:sz w:val="18"/>
                      <w:szCs w:val="18"/>
                    </w:rPr>
                  </w:pPr>
                  <w:r w:rsidRPr="00F05C08">
                    <w:rPr>
                      <w:i/>
                      <w:sz w:val="18"/>
                      <w:szCs w:val="18"/>
                      <w:lang w:val="pt-PT"/>
                    </w:rPr>
                    <w:t>a</w:t>
                  </w:r>
                  <w:r>
                    <w:rPr>
                      <w:rFonts w:hint="eastAsia"/>
                      <w:i/>
                      <w:sz w:val="18"/>
                      <w:szCs w:val="18"/>
                      <w:vertAlign w:val="subscript"/>
                      <w:lang w:val="pt-PT"/>
                    </w:rPr>
                    <w:t>2</w:t>
                  </w:r>
                </w:p>
              </w:txbxContent>
            </v:textbox>
          </v:shape>
        </w:pict>
      </w:r>
      <w:r>
        <w:rPr>
          <w:noProof/>
        </w:rPr>
        <w:pict>
          <v:shape id="_x0000_s1059" type="#_x0000_t202" style="position:absolute;left:0;text-align:left;margin-left:53.55pt;margin-top:4.8pt;width:26.9pt;height:16.65pt;z-index:23" strokecolor="white">
            <v:textbox style="mso-next-textbox:#_x0000_s1059">
              <w:txbxContent>
                <w:p w:rsidR="00CA0177" w:rsidRPr="00F05C08" w:rsidRDefault="00CA0177" w:rsidP="00F05C08">
                  <w:pPr>
                    <w:spacing w:line="200" w:lineRule="exact"/>
                    <w:rPr>
                      <w:i/>
                      <w:sz w:val="18"/>
                      <w:szCs w:val="18"/>
                    </w:rPr>
                  </w:pPr>
                  <w:r w:rsidRPr="00F05C08">
                    <w:rPr>
                      <w:i/>
                      <w:sz w:val="18"/>
                      <w:szCs w:val="18"/>
                      <w:lang w:val="pt-PT"/>
                    </w:rPr>
                    <w:t>a</w:t>
                  </w:r>
                  <w:r w:rsidRPr="00F05C08">
                    <w:rPr>
                      <w:i/>
                      <w:sz w:val="18"/>
                      <w:szCs w:val="18"/>
                      <w:vertAlign w:val="subscript"/>
                      <w:lang w:val="pt-PT"/>
                    </w:rPr>
                    <w:t>1</w:t>
                  </w:r>
                </w:p>
              </w:txbxContent>
            </v:textbox>
          </v:shape>
        </w:pict>
      </w:r>
      <w:r>
        <w:rPr>
          <w:noProof/>
        </w:rPr>
        <w:pict>
          <v:roundrect id="_x0000_s1037" style="position:absolute;left:0;text-align:left;margin-left:8.35pt;margin-top:11.25pt;width:42.6pt;height:29.45pt;z-index:4" arcsize="10923f">
            <v:textbox>
              <w:txbxContent>
                <w:p w:rsidR="00CA0177" w:rsidRPr="00F05C08" w:rsidRDefault="00CA0177" w:rsidP="00F05C08">
                  <w:pPr>
                    <w:jc w:val="center"/>
                    <w:rPr>
                      <w:sz w:val="18"/>
                      <w:szCs w:val="18"/>
                    </w:rPr>
                  </w:pPr>
                  <w:r w:rsidRPr="00F05C08">
                    <w:rPr>
                      <w:sz w:val="18"/>
                      <w:szCs w:val="18"/>
                    </w:rPr>
                    <w:t>SLM</w:t>
                  </w:r>
                </w:p>
              </w:txbxContent>
            </v:textbox>
          </v:roundrect>
        </w:pict>
      </w:r>
      <w:r>
        <w:rPr>
          <w:noProof/>
        </w:rPr>
        <w:pict>
          <v:shape id="_x0000_s1067" type="#_x0000_t202" style="position:absolute;left:0;text-align:left;margin-left:351pt;margin-top:12.25pt;width:28.8pt;height:16.65pt;z-index:30" strokecolor="white">
            <v:textbox style="mso-next-textbox:#_x0000_s1067">
              <w:txbxContent>
                <w:p w:rsidR="00CA0177" w:rsidRPr="00F05C08" w:rsidRDefault="00CA0177" w:rsidP="00F05C08">
                  <w:pPr>
                    <w:spacing w:line="200" w:lineRule="exact"/>
                    <w:rPr>
                      <w:i/>
                      <w:sz w:val="18"/>
                      <w:szCs w:val="18"/>
                    </w:rPr>
                  </w:pPr>
                  <w:r>
                    <w:rPr>
                      <w:rFonts w:hint="eastAsia"/>
                      <w:i/>
                      <w:sz w:val="18"/>
                      <w:szCs w:val="18"/>
                      <w:lang w:val="pt-PT"/>
                    </w:rPr>
                    <w:t>b</w:t>
                  </w:r>
                  <w:r>
                    <w:rPr>
                      <w:rFonts w:hint="eastAsia"/>
                      <w:i/>
                      <w:sz w:val="18"/>
                      <w:szCs w:val="18"/>
                      <w:vertAlign w:val="subscript"/>
                      <w:lang w:val="pt-PT"/>
                    </w:rPr>
                    <w:t>5</w:t>
                  </w:r>
                </w:p>
              </w:txbxContent>
            </v:textbox>
          </v:shape>
        </w:pict>
      </w:r>
      <w:r>
        <w:rPr>
          <w:noProof/>
        </w:rPr>
        <w:pict>
          <v:shape id="_x0000_s1065" type="#_x0000_t202" style="position:absolute;left:0;text-align:left;margin-left:226.65pt;margin-top:-11.1pt;width:28.8pt;height:16.65pt;z-index:28" strokecolor="white">
            <v:textbox style="mso-next-textbox:#_x0000_s1065">
              <w:txbxContent>
                <w:p w:rsidR="00CA0177" w:rsidRPr="00F05C08" w:rsidRDefault="00CA0177" w:rsidP="00F05C08">
                  <w:pPr>
                    <w:spacing w:line="200" w:lineRule="exact"/>
                    <w:rPr>
                      <w:i/>
                      <w:sz w:val="18"/>
                      <w:szCs w:val="18"/>
                    </w:rPr>
                  </w:pPr>
                  <w:r>
                    <w:rPr>
                      <w:rFonts w:hint="eastAsia"/>
                      <w:i/>
                      <w:sz w:val="18"/>
                      <w:szCs w:val="18"/>
                      <w:lang w:val="pt-PT"/>
                    </w:rPr>
                    <w:t>b</w:t>
                  </w:r>
                  <w:r>
                    <w:rPr>
                      <w:rFonts w:hint="eastAsia"/>
                      <w:i/>
                      <w:sz w:val="18"/>
                      <w:szCs w:val="18"/>
                      <w:vertAlign w:val="subscript"/>
                      <w:lang w:val="pt-PT"/>
                    </w:rPr>
                    <w:t>3</w:t>
                  </w:r>
                </w:p>
              </w:txbxContent>
            </v:textbox>
          </v:shape>
        </w:pict>
      </w:r>
      <w:r>
        <w:rPr>
          <w:noProof/>
        </w:rPr>
        <w:pict>
          <v:shape id="_x0000_s1064" type="#_x0000_t202" style="position:absolute;left:0;text-align:left;margin-left:117.8pt;margin-top:-11.75pt;width:26.2pt;height:16.65pt;z-index:27" strokecolor="white">
            <v:textbox style="mso-next-textbox:#_x0000_s1064">
              <w:txbxContent>
                <w:p w:rsidR="00CA0177" w:rsidRPr="00F05C08" w:rsidRDefault="00CA0177" w:rsidP="00F05C08">
                  <w:pPr>
                    <w:spacing w:line="200" w:lineRule="exact"/>
                    <w:rPr>
                      <w:i/>
                      <w:sz w:val="18"/>
                      <w:szCs w:val="18"/>
                    </w:rPr>
                  </w:pPr>
                  <w:r>
                    <w:rPr>
                      <w:rFonts w:hint="eastAsia"/>
                      <w:i/>
                      <w:sz w:val="18"/>
                      <w:szCs w:val="18"/>
                      <w:lang w:val="pt-PT"/>
                    </w:rPr>
                    <w:t>b</w:t>
                  </w:r>
                  <w:r>
                    <w:rPr>
                      <w:rFonts w:hint="eastAsia"/>
                      <w:i/>
                      <w:sz w:val="18"/>
                      <w:szCs w:val="18"/>
                      <w:vertAlign w:val="subscript"/>
                      <w:lang w:val="pt-PT"/>
                    </w:rPr>
                    <w:t>2</w:t>
                  </w:r>
                </w:p>
              </w:txbxContent>
            </v:textbox>
          </v:shape>
        </w:pict>
      </w:r>
      <w:r>
        <w:rPr>
          <w:noProof/>
        </w:rPr>
        <w:pict>
          <v:shape id="_x0000_s1053" type="#_x0000_t202" style="position:absolute;left:0;text-align:left;margin-left:211.6pt;margin-top:-26.45pt;width:27.55pt;height:17.5pt;z-index:17" strokecolor="white">
            <v:textbox style="mso-next-textbox:#_x0000_s1053">
              <w:txbxContent>
                <w:p w:rsidR="00CA0177" w:rsidRPr="00F05C08" w:rsidRDefault="00CA0177" w:rsidP="00F05C08">
                  <w:pPr>
                    <w:spacing w:line="200" w:lineRule="exact"/>
                    <w:rPr>
                      <w:i/>
                      <w:sz w:val="18"/>
                      <w:szCs w:val="18"/>
                    </w:rPr>
                  </w:pPr>
                  <w:r w:rsidRPr="00F05C08">
                    <w:rPr>
                      <w:i/>
                      <w:sz w:val="18"/>
                      <w:szCs w:val="18"/>
                    </w:rPr>
                    <w:t>ε</w:t>
                  </w:r>
                  <w:r w:rsidRPr="00F05C08">
                    <w:rPr>
                      <w:i/>
                      <w:sz w:val="18"/>
                      <w:szCs w:val="18"/>
                      <w:vertAlign w:val="subscript"/>
                      <w:lang w:val="pt-PT"/>
                    </w:rPr>
                    <w:t>3</w:t>
                  </w:r>
                </w:p>
              </w:txbxContent>
            </v:textbox>
          </v:shape>
        </w:pict>
      </w:r>
      <w:r>
        <w:rPr>
          <w:noProof/>
        </w:rPr>
        <w:pict>
          <v:shape id="_x0000_s1047" type="#_x0000_t32" style="position:absolute;left:0;text-align:left;margin-left:223.55pt;margin-top:-8.15pt;width:0;height:15.65pt;z-index:12" o:connectortype="straight">
            <v:stroke endarrow="block"/>
          </v:shape>
        </w:pict>
      </w:r>
      <w:r>
        <w:rPr>
          <w:noProof/>
        </w:rPr>
        <w:pict>
          <v:roundrect id="_x0000_s1039" style="position:absolute;left:0;text-align:left;margin-left:191pt;margin-top:11.25pt;width:65.75pt;height:29.45pt;z-index:6" arcsize="10923f">
            <v:textbox style="mso-next-textbox:#_x0000_s1039">
              <w:txbxContent>
                <w:p w:rsidR="00CA0177" w:rsidRDefault="00CA0177" w:rsidP="00F05C08">
                  <w:pPr>
                    <w:spacing w:line="200" w:lineRule="exact"/>
                    <w:jc w:val="center"/>
                    <w:rPr>
                      <w:sz w:val="18"/>
                      <w:szCs w:val="18"/>
                    </w:rPr>
                  </w:pPr>
                  <w:r>
                    <w:rPr>
                      <w:rFonts w:hint="eastAsia"/>
                      <w:sz w:val="18"/>
                      <w:szCs w:val="18"/>
                    </w:rPr>
                    <w:t>Stomatal</w:t>
                  </w:r>
                </w:p>
                <w:p w:rsidR="00CA0177" w:rsidRPr="00F05C08" w:rsidRDefault="00CA0177" w:rsidP="00F05C08">
                  <w:pPr>
                    <w:spacing w:line="200" w:lineRule="exact"/>
                    <w:jc w:val="center"/>
                    <w:rPr>
                      <w:sz w:val="18"/>
                      <w:szCs w:val="18"/>
                    </w:rPr>
                  </w:pPr>
                  <w:proofErr w:type="gramStart"/>
                  <w:r>
                    <w:rPr>
                      <w:rFonts w:hint="eastAsia"/>
                      <w:sz w:val="18"/>
                      <w:szCs w:val="18"/>
                    </w:rPr>
                    <w:t>conductance</w:t>
                  </w:r>
                  <w:proofErr w:type="gramEnd"/>
                </w:p>
              </w:txbxContent>
            </v:textbox>
          </v:roundrect>
        </w:pict>
      </w:r>
      <w:r>
        <w:rPr>
          <w:noProof/>
        </w:rPr>
        <w:pict>
          <v:shape id="_x0000_s1054" type="#_x0000_t202" style="position:absolute;left:0;text-align:left;margin-left:334.85pt;margin-top:-.4pt;width:27.55pt;height:17.5pt;z-index:18" strokecolor="white">
            <v:textbox style="mso-next-textbox:#_x0000_s1054">
              <w:txbxContent>
                <w:p w:rsidR="00CA0177" w:rsidRPr="00F05C08" w:rsidRDefault="00CA0177" w:rsidP="00F05C08">
                  <w:pPr>
                    <w:spacing w:line="200" w:lineRule="exact"/>
                    <w:rPr>
                      <w:i/>
                      <w:sz w:val="18"/>
                      <w:szCs w:val="18"/>
                    </w:rPr>
                  </w:pPr>
                  <w:r w:rsidRPr="00F05C08">
                    <w:rPr>
                      <w:i/>
                      <w:sz w:val="18"/>
                      <w:szCs w:val="18"/>
                    </w:rPr>
                    <w:t>ε</w:t>
                  </w:r>
                  <w:r w:rsidRPr="008C6A2E">
                    <w:rPr>
                      <w:i/>
                      <w:sz w:val="18"/>
                      <w:szCs w:val="18"/>
                      <w:vertAlign w:val="subscript"/>
                      <w:lang w:val="pt-PT"/>
                    </w:rPr>
                    <w:t>5</w:t>
                  </w:r>
                </w:p>
              </w:txbxContent>
            </v:textbox>
          </v:shape>
        </w:pict>
      </w:r>
      <w:r>
        <w:rPr>
          <w:noProof/>
        </w:rPr>
        <w:pict>
          <v:roundrect id="_x0000_s1038" style="position:absolute;left:0;text-align:left;margin-left:84.35pt;margin-top:11.25pt;width:73.25pt;height:29.45pt;z-index:5" arcsize="10923f">
            <v:textbox style="mso-next-textbox:#_x0000_s1038">
              <w:txbxContent>
                <w:p w:rsidR="00CA0177" w:rsidRDefault="00CA0177" w:rsidP="00F05C08">
                  <w:pPr>
                    <w:spacing w:line="200" w:lineRule="exact"/>
                    <w:jc w:val="center"/>
                    <w:rPr>
                      <w:sz w:val="18"/>
                      <w:szCs w:val="18"/>
                    </w:rPr>
                  </w:pPr>
                  <w:r w:rsidRPr="00F05C08">
                    <w:rPr>
                      <w:sz w:val="18"/>
                      <w:szCs w:val="18"/>
                    </w:rPr>
                    <w:t>Leaf</w:t>
                  </w:r>
                  <w:r>
                    <w:rPr>
                      <w:rFonts w:hint="eastAsia"/>
                      <w:sz w:val="18"/>
                      <w:szCs w:val="18"/>
                    </w:rPr>
                    <w:t xml:space="preserve"> nitrogen</w:t>
                  </w:r>
                </w:p>
                <w:p w:rsidR="00CA0177" w:rsidRPr="00F05C08" w:rsidRDefault="00CA0177" w:rsidP="00F05C08">
                  <w:pPr>
                    <w:spacing w:line="200" w:lineRule="exact"/>
                    <w:jc w:val="center"/>
                    <w:rPr>
                      <w:sz w:val="18"/>
                      <w:szCs w:val="18"/>
                    </w:rPr>
                  </w:pPr>
                  <w:proofErr w:type="gramStart"/>
                  <w:r>
                    <w:rPr>
                      <w:rFonts w:hint="eastAsia"/>
                      <w:sz w:val="18"/>
                      <w:szCs w:val="18"/>
                    </w:rPr>
                    <w:t>concentration</w:t>
                  </w:r>
                  <w:proofErr w:type="gramEnd"/>
                </w:p>
              </w:txbxContent>
            </v:textbox>
          </v:roundrect>
        </w:pict>
      </w:r>
      <w:r>
        <w:rPr>
          <w:noProof/>
        </w:rPr>
        <w:pict>
          <v:shape id="_x0000_s1052" type="#_x0000_t202" style="position:absolute;left:0;text-align:left;margin-left:101.75pt;margin-top:-28.4pt;width:25.7pt;height:20.25pt;z-index:16" strokecolor="white">
            <v:textbox>
              <w:txbxContent>
                <w:p w:rsidR="00CA0177" w:rsidRPr="00F05C08" w:rsidRDefault="00CA0177" w:rsidP="00F05C08">
                  <w:pPr>
                    <w:spacing w:line="200" w:lineRule="exact"/>
                    <w:rPr>
                      <w:i/>
                      <w:sz w:val="18"/>
                      <w:szCs w:val="18"/>
                    </w:rPr>
                  </w:pPr>
                  <w:r w:rsidRPr="00F05C08">
                    <w:rPr>
                      <w:i/>
                      <w:sz w:val="18"/>
                      <w:szCs w:val="18"/>
                    </w:rPr>
                    <w:t>ε</w:t>
                  </w:r>
                  <w:r w:rsidRPr="00F05C08">
                    <w:rPr>
                      <w:i/>
                      <w:sz w:val="18"/>
                      <w:szCs w:val="18"/>
                      <w:vertAlign w:val="subscript"/>
                      <w:lang w:val="pt-PT"/>
                    </w:rPr>
                    <w:t>2</w:t>
                  </w:r>
                </w:p>
              </w:txbxContent>
            </v:textbox>
          </v:shape>
        </w:pict>
      </w:r>
      <w:r>
        <w:rPr>
          <w:noProof/>
        </w:rPr>
        <w:pict>
          <v:shape id="_x0000_s1046" type="#_x0000_t32" style="position:absolute;left:0;text-align:left;margin-left:114.1pt;margin-top:-8.15pt;width:0;height:15.65pt;z-index:11" o:connectortype="straight">
            <v:stroke endarrow="block"/>
          </v:shape>
        </w:pict>
      </w:r>
    </w:p>
    <w:p w:rsidR="008131AE" w:rsidRDefault="004F41A4" w:rsidP="008E6846">
      <w:pPr>
        <w:ind w:firstLine="240"/>
      </w:pPr>
      <w:r>
        <w:rPr>
          <w:noProof/>
        </w:rPr>
        <w:pict>
          <v:shape id="_x0000_s1057" type="#_x0000_t32" style="position:absolute;left:0;text-align:left;margin-left:54.2pt;margin-top:10.7pt;width:26.9pt;height:0;z-index:21" o:connectortype="straight">
            <v:stroke endarrow="block"/>
          </v:shape>
        </w:pict>
      </w:r>
      <w:r>
        <w:rPr>
          <w:noProof/>
        </w:rPr>
        <w:pict>
          <v:shape id="_x0000_s1061" type="#_x0000_t202" style="position:absolute;left:0;text-align:left;margin-left:281.45pt;margin-top:2.15pt;width:26.9pt;height:16.75pt;z-index:25" strokecolor="white">
            <v:textbox style="mso-next-textbox:#_x0000_s1061">
              <w:txbxContent>
                <w:p w:rsidR="00CA0177" w:rsidRPr="00F05C08" w:rsidRDefault="00CA0177" w:rsidP="00F05C08">
                  <w:pPr>
                    <w:spacing w:line="200" w:lineRule="exact"/>
                    <w:rPr>
                      <w:i/>
                      <w:sz w:val="18"/>
                      <w:szCs w:val="18"/>
                    </w:rPr>
                  </w:pPr>
                  <w:r w:rsidRPr="00F05C08">
                    <w:rPr>
                      <w:i/>
                      <w:sz w:val="18"/>
                      <w:szCs w:val="18"/>
                      <w:lang w:val="pt-PT"/>
                    </w:rPr>
                    <w:t>a</w:t>
                  </w:r>
                  <w:r>
                    <w:rPr>
                      <w:rFonts w:hint="eastAsia"/>
                      <w:i/>
                      <w:sz w:val="18"/>
                      <w:szCs w:val="18"/>
                      <w:vertAlign w:val="subscript"/>
                      <w:lang w:val="pt-PT"/>
                    </w:rPr>
                    <w:t>4</w:t>
                  </w:r>
                </w:p>
              </w:txbxContent>
            </v:textbox>
          </v:shape>
        </w:pict>
      </w:r>
      <w:r>
        <w:rPr>
          <w:noProof/>
        </w:rPr>
        <w:pict>
          <v:shape id="_x0000_s1058" type="#_x0000_t32" style="position:absolute;left:0;text-align:left;margin-left:160.85pt;margin-top:10.9pt;width:26.9pt;height:0;z-index:22" o:connectortype="straight">
            <v:stroke endarrow="block"/>
          </v:shape>
        </w:pict>
      </w:r>
      <w:r>
        <w:rPr>
          <w:noProof/>
        </w:rPr>
        <w:pict>
          <v:shape id="_x0000_s1044" type="#_x0000_t32" style="position:absolute;left:0;text-align:left;margin-left:260.45pt;margin-top:12.65pt;width:51.95pt;height:23.8pt;z-index:9" o:connectortype="straight">
            <v:stroke endarrow="block"/>
          </v:shape>
        </w:pict>
      </w:r>
      <w:r>
        <w:rPr>
          <w:noProof/>
        </w:rPr>
        <w:pict>
          <v:shape id="_x0000_s1048" type="#_x0000_t32" style="position:absolute;left:0;text-align:left;margin-left:347.75pt;margin-top:2.6pt;width:0;height:15.65pt;z-index:13" o:connectortype="straight">
            <v:stroke endarrow="block"/>
          </v:shape>
        </w:pict>
      </w:r>
    </w:p>
    <w:p w:rsidR="008131AE" w:rsidRDefault="004F41A4" w:rsidP="008E6846">
      <w:pPr>
        <w:ind w:firstLine="240"/>
      </w:pPr>
      <w:r>
        <w:rPr>
          <w:noProof/>
        </w:rPr>
        <w:pict>
          <v:roundrect id="_x0000_s1041" style="position:absolute;left:0;text-align:left;margin-left:316.8pt;margin-top:6.9pt;width:78.25pt;height:31.85pt;z-index:8" arcsize="10923f">
            <v:textbox>
              <w:txbxContent>
                <w:p w:rsidR="00CA0177" w:rsidRDefault="00CA0177" w:rsidP="00F05C08">
                  <w:pPr>
                    <w:spacing w:line="200" w:lineRule="exact"/>
                    <w:jc w:val="center"/>
                    <w:rPr>
                      <w:sz w:val="18"/>
                      <w:szCs w:val="18"/>
                    </w:rPr>
                  </w:pPr>
                  <w:r>
                    <w:rPr>
                      <w:rFonts w:hint="eastAsia"/>
                      <w:sz w:val="18"/>
                      <w:szCs w:val="18"/>
                    </w:rPr>
                    <w:t>Internal CO</w:t>
                  </w:r>
                  <w:r w:rsidRPr="00F05C08">
                    <w:rPr>
                      <w:sz w:val="18"/>
                      <w:szCs w:val="18"/>
                      <w:vertAlign w:val="subscript"/>
                    </w:rPr>
                    <w:t>2</w:t>
                  </w:r>
                </w:p>
                <w:p w:rsidR="00CA0177" w:rsidRPr="00F05C08" w:rsidRDefault="00CA0177" w:rsidP="00F05C08">
                  <w:pPr>
                    <w:spacing w:line="200" w:lineRule="exact"/>
                    <w:jc w:val="center"/>
                    <w:rPr>
                      <w:sz w:val="18"/>
                      <w:szCs w:val="18"/>
                    </w:rPr>
                  </w:pPr>
                  <w:proofErr w:type="gramStart"/>
                  <w:r>
                    <w:rPr>
                      <w:rFonts w:hint="eastAsia"/>
                      <w:sz w:val="18"/>
                      <w:szCs w:val="18"/>
                    </w:rPr>
                    <w:t>concentration</w:t>
                  </w:r>
                  <w:proofErr w:type="gramEnd"/>
                </w:p>
              </w:txbxContent>
            </v:textbox>
          </v:roundrect>
        </w:pict>
      </w:r>
      <w:r>
        <w:rPr>
          <w:noProof/>
        </w:rPr>
        <w:pict>
          <v:shape id="_x0000_s1049" type="#_x0000_t32" style="position:absolute;left:0;text-align:left;margin-left:224.2pt;margin-top:13.9pt;width:0;height:24.85pt;z-index:14" o:connectortype="straight">
            <v:stroke endarrow="block"/>
          </v:shape>
        </w:pict>
      </w:r>
    </w:p>
    <w:p w:rsidR="008131AE" w:rsidRDefault="004F41A4" w:rsidP="008E6846">
      <w:pPr>
        <w:ind w:firstLine="240"/>
      </w:pPr>
      <w:r>
        <w:rPr>
          <w:noProof/>
        </w:rPr>
        <w:pict>
          <v:shape id="_x0000_s1045" type="#_x0000_t32" style="position:absolute;left:0;text-align:left;margin-left:271.7pt;margin-top:13.3pt;width:40.05pt;height:25pt;flip:y;z-index:10" o:connectortype="straight">
            <v:stroke endarrow="block"/>
          </v:shape>
        </w:pict>
      </w:r>
      <w:r>
        <w:rPr>
          <w:noProof/>
        </w:rPr>
        <w:pict>
          <v:shape id="_x0000_s1060" type="#_x0000_t202" style="position:absolute;left:0;text-align:left;margin-left:227.25pt;margin-top:.25pt;width:26.9pt;height:18.7pt;z-index:24" strokecolor="white">
            <v:textbox>
              <w:txbxContent>
                <w:p w:rsidR="00CA0177" w:rsidRPr="00F05C08" w:rsidRDefault="00CA0177" w:rsidP="00F05C08">
                  <w:pPr>
                    <w:spacing w:line="200" w:lineRule="exact"/>
                    <w:rPr>
                      <w:i/>
                      <w:sz w:val="18"/>
                      <w:szCs w:val="18"/>
                    </w:rPr>
                  </w:pPr>
                  <w:r w:rsidRPr="00F05C08">
                    <w:rPr>
                      <w:i/>
                      <w:sz w:val="18"/>
                      <w:szCs w:val="18"/>
                      <w:lang w:val="pt-PT"/>
                    </w:rPr>
                    <w:t>a</w:t>
                  </w:r>
                  <w:r>
                    <w:rPr>
                      <w:rFonts w:hint="eastAsia"/>
                      <w:i/>
                      <w:sz w:val="18"/>
                      <w:szCs w:val="18"/>
                      <w:vertAlign w:val="subscript"/>
                      <w:lang w:val="pt-PT"/>
                    </w:rPr>
                    <w:t>3</w:t>
                  </w:r>
                </w:p>
              </w:txbxContent>
            </v:textbox>
          </v:shape>
        </w:pict>
      </w:r>
    </w:p>
    <w:p w:rsidR="008131AE" w:rsidRDefault="004F41A4" w:rsidP="008E6846">
      <w:pPr>
        <w:ind w:firstLine="240"/>
      </w:pPr>
      <w:r>
        <w:rPr>
          <w:noProof/>
        </w:rPr>
        <w:pict>
          <v:roundrect id="_x0000_s1040" style="position:absolute;left:0;text-align:left;margin-left:181.9pt;margin-top:10.15pt;width:87pt;height:28.25pt;z-index:7" arcsize="10923f">
            <v:textbox>
              <w:txbxContent>
                <w:p w:rsidR="00CA0177" w:rsidRDefault="00CA0177" w:rsidP="00F05C08">
                  <w:pPr>
                    <w:spacing w:line="200" w:lineRule="exact"/>
                    <w:jc w:val="center"/>
                    <w:rPr>
                      <w:sz w:val="18"/>
                      <w:szCs w:val="18"/>
                    </w:rPr>
                  </w:pPr>
                  <w:r w:rsidRPr="00F05C08">
                    <w:rPr>
                      <w:sz w:val="18"/>
                      <w:szCs w:val="18"/>
                    </w:rPr>
                    <w:t>Net</w:t>
                  </w:r>
                  <w:r>
                    <w:rPr>
                      <w:rFonts w:hint="eastAsia"/>
                      <w:sz w:val="18"/>
                      <w:szCs w:val="18"/>
                    </w:rPr>
                    <w:t xml:space="preserve"> photosynthetic</w:t>
                  </w:r>
                </w:p>
                <w:p w:rsidR="00CA0177" w:rsidRPr="00F05C08" w:rsidRDefault="00CA0177" w:rsidP="00F05C08">
                  <w:pPr>
                    <w:spacing w:line="200" w:lineRule="exact"/>
                    <w:jc w:val="center"/>
                    <w:rPr>
                      <w:sz w:val="18"/>
                      <w:szCs w:val="18"/>
                    </w:rPr>
                  </w:pPr>
                  <w:proofErr w:type="gramStart"/>
                  <w:r>
                    <w:rPr>
                      <w:rFonts w:hint="eastAsia"/>
                      <w:sz w:val="18"/>
                      <w:szCs w:val="18"/>
                    </w:rPr>
                    <w:t>rate</w:t>
                  </w:r>
                  <w:proofErr w:type="gramEnd"/>
                </w:p>
              </w:txbxContent>
            </v:textbox>
          </v:roundrect>
        </w:pict>
      </w:r>
      <w:r>
        <w:rPr>
          <w:noProof/>
        </w:rPr>
        <w:pict>
          <v:shape id="_x0000_s1055" type="#_x0000_t202" style="position:absolute;left:0;text-align:left;margin-left:119.3pt;margin-top:15pt;width:25.7pt;height:17.5pt;z-index:19" strokecolor="white">
            <v:textbox>
              <w:txbxContent>
                <w:p w:rsidR="00CA0177" w:rsidRPr="00F05C08" w:rsidRDefault="00CA0177" w:rsidP="00F05C08">
                  <w:pPr>
                    <w:spacing w:line="200" w:lineRule="exact"/>
                    <w:rPr>
                      <w:i/>
                      <w:sz w:val="18"/>
                      <w:szCs w:val="18"/>
                    </w:rPr>
                  </w:pPr>
                  <w:r w:rsidRPr="00F05C08">
                    <w:rPr>
                      <w:i/>
                      <w:sz w:val="18"/>
                      <w:szCs w:val="18"/>
                    </w:rPr>
                    <w:t>ε</w:t>
                  </w:r>
                  <w:r>
                    <w:rPr>
                      <w:rFonts w:hint="eastAsia"/>
                      <w:i/>
                      <w:sz w:val="18"/>
                      <w:szCs w:val="18"/>
                      <w:vertAlign w:val="subscript"/>
                      <w:lang w:val="pt-PT"/>
                    </w:rPr>
                    <w:t>4</w:t>
                  </w:r>
                </w:p>
              </w:txbxContent>
            </v:textbox>
          </v:shape>
        </w:pict>
      </w:r>
      <w:r>
        <w:rPr>
          <w:noProof/>
        </w:rPr>
        <w:pict>
          <v:shape id="_x0000_s1066" type="#_x0000_t202" style="position:absolute;left:0;text-align:left;margin-left:147.1pt;margin-top:4.65pt;width:28.8pt;height:16.65pt;z-index:29" strokecolor="white">
            <v:textbox style="mso-next-textbox:#_x0000_s1066">
              <w:txbxContent>
                <w:p w:rsidR="00CA0177" w:rsidRPr="00F05C08" w:rsidRDefault="00CA0177" w:rsidP="00F05C08">
                  <w:pPr>
                    <w:spacing w:line="200" w:lineRule="exact"/>
                    <w:rPr>
                      <w:i/>
                      <w:sz w:val="18"/>
                      <w:szCs w:val="18"/>
                    </w:rPr>
                  </w:pPr>
                  <w:r>
                    <w:rPr>
                      <w:rFonts w:hint="eastAsia"/>
                      <w:i/>
                      <w:sz w:val="18"/>
                      <w:szCs w:val="18"/>
                      <w:lang w:val="pt-PT"/>
                    </w:rPr>
                    <w:t>b</w:t>
                  </w:r>
                  <w:r>
                    <w:rPr>
                      <w:rFonts w:hint="eastAsia"/>
                      <w:i/>
                      <w:sz w:val="18"/>
                      <w:szCs w:val="18"/>
                      <w:vertAlign w:val="subscript"/>
                      <w:lang w:val="pt-PT"/>
                    </w:rPr>
                    <w:t>4</w:t>
                  </w:r>
                </w:p>
              </w:txbxContent>
            </v:textbox>
          </v:shape>
        </w:pict>
      </w:r>
    </w:p>
    <w:p w:rsidR="008131AE" w:rsidRDefault="004F41A4" w:rsidP="008E6846">
      <w:pPr>
        <w:ind w:firstLine="240"/>
      </w:pPr>
      <w:r>
        <w:rPr>
          <w:noProof/>
        </w:rPr>
        <w:pict>
          <v:shape id="_x0000_s1050" type="#_x0000_t32" style="position:absolute;left:0;text-align:left;margin-left:145.15pt;margin-top:8.4pt;width:30.7pt;height:0;z-index:15" o:connectortype="straight">
            <v:stroke endarrow="block"/>
          </v:shape>
        </w:pict>
      </w:r>
      <w:r>
        <w:rPr>
          <w:noProof/>
        </w:rPr>
        <w:pict>
          <v:shape id="_x0000_s1063" type="#_x0000_t202" style="position:absolute;left:0;text-align:left;margin-left:284.7pt;margin-top:.8pt;width:26.9pt;height:16.1pt;z-index:26" strokecolor="white">
            <v:textbox>
              <w:txbxContent>
                <w:p w:rsidR="00CA0177" w:rsidRPr="00F05C08" w:rsidRDefault="00CA0177" w:rsidP="00F05C08">
                  <w:pPr>
                    <w:spacing w:line="200" w:lineRule="exact"/>
                    <w:rPr>
                      <w:i/>
                      <w:sz w:val="18"/>
                      <w:szCs w:val="18"/>
                    </w:rPr>
                  </w:pPr>
                  <w:r w:rsidRPr="00F05C08">
                    <w:rPr>
                      <w:i/>
                      <w:sz w:val="18"/>
                      <w:szCs w:val="18"/>
                      <w:lang w:val="pt-PT"/>
                    </w:rPr>
                    <w:t>a</w:t>
                  </w:r>
                  <w:r>
                    <w:rPr>
                      <w:rFonts w:hint="eastAsia"/>
                      <w:i/>
                      <w:sz w:val="18"/>
                      <w:szCs w:val="18"/>
                      <w:vertAlign w:val="subscript"/>
                      <w:lang w:val="pt-PT"/>
                    </w:rPr>
                    <w:t>5</w:t>
                  </w:r>
                </w:p>
              </w:txbxContent>
            </v:textbox>
          </v:shape>
        </w:pict>
      </w:r>
    </w:p>
    <w:p w:rsidR="008131AE" w:rsidRPr="00F05C08" w:rsidRDefault="00392FA7" w:rsidP="00F05C08">
      <w:pPr>
        <w:spacing w:beforeLines="100" w:before="312" w:afterLines="50" w:after="156" w:line="200" w:lineRule="exact"/>
        <w:ind w:leftChars="100" w:left="870" w:hangingChars="350" w:hanging="630"/>
        <w:rPr>
          <w:sz w:val="18"/>
          <w:szCs w:val="18"/>
        </w:rPr>
      </w:pPr>
      <w:r w:rsidRPr="00F05C08">
        <w:rPr>
          <w:sz w:val="18"/>
          <w:szCs w:val="18"/>
        </w:rPr>
        <w:t xml:space="preserve">Figure 2. </w:t>
      </w:r>
      <w:r>
        <w:rPr>
          <w:rFonts w:hint="eastAsia"/>
          <w:sz w:val="18"/>
          <w:szCs w:val="18"/>
        </w:rPr>
        <w:t xml:space="preserve">The proposed path model relating leaf morphology and leaf gas exchange. </w:t>
      </w:r>
      <w:r>
        <w:rPr>
          <w:sz w:val="18"/>
          <w:szCs w:val="18"/>
        </w:rPr>
        <w:t>T</w:t>
      </w:r>
      <w:r>
        <w:rPr>
          <w:rFonts w:hint="eastAsia"/>
          <w:sz w:val="18"/>
          <w:szCs w:val="18"/>
        </w:rPr>
        <w:t>he letters with subscripts show the free parameters whose maximum likelihood estimates must be obtained.</w:t>
      </w:r>
    </w:p>
    <w:p w:rsidR="001A4F89" w:rsidRDefault="001A4F89" w:rsidP="001A4F89">
      <w:pPr>
        <w:ind w:firstLine="240"/>
      </w:pPr>
      <w:r>
        <w:t xml:space="preserve">In figure 2, directed lines represent causal relations, and square boxes are causal relata. </w:t>
      </w:r>
      <w:r w:rsidRPr="004F4A9A">
        <w:rPr>
          <w:i/>
        </w:rPr>
        <w:t>a</w:t>
      </w:r>
      <w:r w:rsidRPr="004F4A9A">
        <w:rPr>
          <w:i/>
          <w:vertAlign w:val="subscript"/>
        </w:rPr>
        <w:t>x</w:t>
      </w:r>
      <w:r>
        <w:t xml:space="preserve"> and </w:t>
      </w:r>
      <w:r w:rsidRPr="004F4A9A">
        <w:rPr>
          <w:i/>
        </w:rPr>
        <w:t>b</w:t>
      </w:r>
      <w:r w:rsidRPr="004F4A9A">
        <w:rPr>
          <w:i/>
          <w:vertAlign w:val="subscript"/>
        </w:rPr>
        <w:t>y</w:t>
      </w:r>
      <w:r>
        <w:t xml:space="preserve"> are free parameters, and </w:t>
      </w:r>
      <w:r w:rsidRPr="004F4A9A">
        <w:rPr>
          <w:i/>
        </w:rPr>
        <w:t>ε</w:t>
      </w:r>
      <w:r w:rsidRPr="004F4A9A">
        <w:rPr>
          <w:i/>
          <w:vertAlign w:val="subscript"/>
        </w:rPr>
        <w:t>n</w:t>
      </w:r>
      <w:r>
        <w:t xml:space="preserve"> denotes an error variable representing other unmodelled causes of the variable into which it points.</w:t>
      </w:r>
    </w:p>
    <w:p w:rsidR="00920464" w:rsidRDefault="001A4F89">
      <w:r>
        <w:t xml:space="preserve">  Now suppose we intend to evaluate whether this model is scientifically acceptable. </w:t>
      </w:r>
      <w:r w:rsidR="00920464">
        <w:t>Having specified the causal structure, the next step is to translate it into an observational (i.e. statistical) model in the form of a set of structural equations</w:t>
      </w:r>
      <w:r w:rsidR="00920464">
        <w:rPr>
          <w:rStyle w:val="a3"/>
        </w:rPr>
        <w:footnoteReference w:id="18"/>
      </w:r>
      <w:r w:rsidR="00920464">
        <w:t xml:space="preserve"> (</w:t>
      </w:r>
      <w:r w:rsidR="00BA08FE">
        <w:t xml:space="preserve">for technical details, </w:t>
      </w:r>
      <w:r w:rsidR="00920464">
        <w:t xml:space="preserve">see </w:t>
      </w:r>
      <w:r w:rsidR="00D74F0B" w:rsidRPr="00F05C08">
        <w:rPr>
          <w:i/>
        </w:rPr>
        <w:t>Appendix 1</w:t>
      </w:r>
      <w:r w:rsidR="00D74F0B">
        <w:t xml:space="preserve">, </w:t>
      </w:r>
      <w:r w:rsidR="00C14D09">
        <w:rPr>
          <w:rFonts w:hint="eastAsia"/>
          <w:i/>
        </w:rPr>
        <w:t>B</w:t>
      </w:r>
      <w:r w:rsidR="00920464" w:rsidRPr="00601EA8">
        <w:rPr>
          <w:i/>
        </w:rPr>
        <w:t>ox 1</w:t>
      </w:r>
      <w:r w:rsidR="00920464">
        <w:t>).</w:t>
      </w:r>
      <w:r w:rsidR="00A5684C" w:rsidRPr="00D74F0B" w:rsidDel="00A5684C">
        <w:t xml:space="preserve"> </w:t>
      </w:r>
      <w:r w:rsidR="00920464" w:rsidRPr="00D74F0B">
        <w:t xml:space="preserve">The </w:t>
      </w:r>
      <w:r w:rsidR="00A5684C">
        <w:t>third</w:t>
      </w:r>
      <w:r w:rsidR="00A5684C" w:rsidRPr="00D74F0B">
        <w:t xml:space="preserve"> </w:t>
      </w:r>
      <w:r w:rsidR="00920464" w:rsidRPr="00D74F0B">
        <w:t xml:space="preserve">step is to derive the predicted variance and covariance between each pair </w:t>
      </w:r>
      <w:r w:rsidR="00920464">
        <w:t xml:space="preserve">of variables in the model using covariance algebra. Following the algebra, we finally obtain a table showing the variances and covariances between each pair of variables </w:t>
      </w:r>
      <w:r w:rsidR="00920464" w:rsidRPr="00C1134C">
        <w:t>(see</w:t>
      </w:r>
      <w:r w:rsidR="00920464" w:rsidRPr="00576A95">
        <w:rPr>
          <w:i/>
        </w:rPr>
        <w:t xml:space="preserve"> </w:t>
      </w:r>
      <w:r w:rsidR="00BA08FE">
        <w:rPr>
          <w:i/>
        </w:rPr>
        <w:t xml:space="preserve">Appendix 1, </w:t>
      </w:r>
      <w:r w:rsidR="00C14D09">
        <w:rPr>
          <w:rFonts w:hint="eastAsia"/>
          <w:i/>
        </w:rPr>
        <w:t>B</w:t>
      </w:r>
      <w:r w:rsidR="00920464" w:rsidRPr="00576A95">
        <w:rPr>
          <w:i/>
        </w:rPr>
        <w:t>ox 2</w:t>
      </w:r>
      <w:r w:rsidR="00920464" w:rsidRPr="00C1134C">
        <w:t>).</w:t>
      </w:r>
    </w:p>
    <w:p w:rsidR="00920464" w:rsidRPr="008860E2" w:rsidRDefault="00920464" w:rsidP="00F05C08">
      <w:pPr>
        <w:ind w:firstLineChars="100" w:firstLine="240"/>
        <w:rPr>
          <w:szCs w:val="24"/>
          <w:lang w:val="pt-PT"/>
        </w:rPr>
      </w:pPr>
      <w:r>
        <w:rPr>
          <w:szCs w:val="24"/>
          <w:lang w:val="en-AU"/>
        </w:rPr>
        <w:t>The fourth step is to estimate the free parameters by minimising the difference between the observed and predicted variances and covariances</w:t>
      </w:r>
      <w:r w:rsidR="005D67D6">
        <w:rPr>
          <w:szCs w:val="24"/>
          <w:lang w:val="en-AU"/>
        </w:rPr>
        <w:t>.</w:t>
      </w:r>
      <w:r>
        <w:rPr>
          <w:rStyle w:val="a6"/>
          <w:szCs w:val="24"/>
          <w:lang w:val="en-AU"/>
        </w:rPr>
        <w:footnoteReference w:id="19"/>
      </w:r>
      <w:r>
        <w:rPr>
          <w:szCs w:val="24"/>
          <w:lang w:val="en-AU"/>
        </w:rPr>
        <w:t xml:space="preserve"> As described above, the typical way to do this is roughly like playing the game of 20 questions. More specifically, “We start with an initial guess of the values of the free parameters and calculate the likelihood of the data given the current parameter values. We then see whether we can modify our guess of the values of the free parameters in such a way as to improve the likelihood. We continue with this process until we find values such that any change to them will d</w:t>
      </w:r>
      <w:r w:rsidR="005D67D6">
        <w:rPr>
          <w:szCs w:val="24"/>
          <w:lang w:val="en-AU"/>
        </w:rPr>
        <w:t>o worse than the present values</w:t>
      </w:r>
      <w:r>
        <w:rPr>
          <w:szCs w:val="24"/>
          <w:lang w:val="en-AU"/>
        </w:rPr>
        <w:t>” (</w:t>
      </w:r>
      <w:r w:rsidR="000D04AC">
        <w:rPr>
          <w:rFonts w:hint="eastAsia"/>
          <w:szCs w:val="24"/>
          <w:lang w:val="en-AU"/>
        </w:rPr>
        <w:t>Shipley</w:t>
      </w:r>
      <w:r w:rsidR="000D04AC">
        <w:rPr>
          <w:szCs w:val="24"/>
          <w:lang w:val="en-AU"/>
        </w:rPr>
        <w:t xml:space="preserve"> </w:t>
      </w:r>
      <w:r>
        <w:rPr>
          <w:szCs w:val="24"/>
          <w:lang w:val="en-AU"/>
        </w:rPr>
        <w:t>20</w:t>
      </w:r>
      <w:r w:rsidR="000D04AC">
        <w:rPr>
          <w:rFonts w:hint="eastAsia"/>
          <w:szCs w:val="24"/>
          <w:lang w:val="en-AU"/>
        </w:rPr>
        <w:t>02</w:t>
      </w:r>
      <w:r>
        <w:rPr>
          <w:szCs w:val="24"/>
          <w:lang w:val="en-AU"/>
        </w:rPr>
        <w:t>, 110-</w:t>
      </w:r>
      <w:r w:rsidR="00283B77">
        <w:rPr>
          <w:szCs w:val="24"/>
          <w:lang w:val="en-AU"/>
        </w:rPr>
        <w:t>1</w:t>
      </w:r>
      <w:r w:rsidR="00240B2C">
        <w:rPr>
          <w:rFonts w:hint="eastAsia"/>
          <w:szCs w:val="24"/>
          <w:lang w:val="en-AU"/>
        </w:rPr>
        <w:t>1</w:t>
      </w:r>
      <w:r>
        <w:rPr>
          <w:szCs w:val="24"/>
          <w:lang w:val="en-AU"/>
        </w:rPr>
        <w:t>1)</w:t>
      </w:r>
      <w:r w:rsidR="005D67D6">
        <w:rPr>
          <w:szCs w:val="24"/>
          <w:lang w:val="en-AU"/>
        </w:rPr>
        <w:t>.</w:t>
      </w:r>
    </w:p>
    <w:p w:rsidR="00920464" w:rsidRDefault="00920464" w:rsidP="002B7F0A">
      <w:pPr>
        <w:ind w:firstLineChars="100" w:firstLine="240"/>
        <w:rPr>
          <w:szCs w:val="24"/>
          <w:lang w:val="en-AU"/>
        </w:rPr>
      </w:pPr>
      <w:r>
        <w:rPr>
          <w:szCs w:val="24"/>
          <w:lang w:val="en-AU"/>
        </w:rPr>
        <w:t xml:space="preserve">Fortunately, many computer programs can perform this somewhat time-consuming </w:t>
      </w:r>
      <w:r>
        <w:rPr>
          <w:szCs w:val="24"/>
          <w:lang w:val="en-AU"/>
        </w:rPr>
        <w:lastRenderedPageBreak/>
        <w:t>process</w:t>
      </w:r>
      <w:r w:rsidR="005D67D6">
        <w:rPr>
          <w:szCs w:val="24"/>
          <w:lang w:val="en-AU"/>
        </w:rPr>
        <w:t>,</w:t>
      </w:r>
      <w:r>
        <w:rPr>
          <w:rStyle w:val="a3"/>
          <w:szCs w:val="24"/>
          <w:lang w:val="en-AU"/>
        </w:rPr>
        <w:footnoteReference w:id="20"/>
      </w:r>
      <w:r>
        <w:rPr>
          <w:szCs w:val="24"/>
          <w:lang w:val="en-AU"/>
        </w:rPr>
        <w:t xml:space="preserve"> so for simplicity we here just follow the final outcome of this process. The final maximum likelihood value reached is 4.72, the magnitude of which indicates the difference between the predicted an</w:t>
      </w:r>
      <w:r w:rsidR="00636032">
        <w:rPr>
          <w:szCs w:val="24"/>
          <w:lang w:val="en-AU"/>
        </w:rPr>
        <w:t>d the observed covariance matri</w:t>
      </w:r>
      <w:r w:rsidR="00636032">
        <w:rPr>
          <w:rFonts w:hint="eastAsia"/>
          <w:szCs w:val="24"/>
          <w:lang w:val="en-AU"/>
        </w:rPr>
        <w:t>ces</w:t>
      </w:r>
      <w:r w:rsidR="005D67D6">
        <w:rPr>
          <w:szCs w:val="24"/>
          <w:lang w:val="en-AU"/>
        </w:rPr>
        <w:t>.</w:t>
      </w:r>
      <w:r>
        <w:rPr>
          <w:rStyle w:val="a3"/>
          <w:szCs w:val="24"/>
          <w:lang w:val="en-AU"/>
        </w:rPr>
        <w:footnoteReference w:id="21"/>
      </w:r>
      <w:r>
        <w:rPr>
          <w:szCs w:val="24"/>
          <w:lang w:val="en-AU"/>
        </w:rPr>
        <w:t xml:space="preserve"> In general, the larger the maximum likelihood value, the further the predicted covariance matrix deviates from th</w:t>
      </w:r>
      <w:r w:rsidR="005D67D6">
        <w:rPr>
          <w:szCs w:val="24"/>
          <w:lang w:val="en-AU"/>
        </w:rPr>
        <w:t>e observed covariance matrix</w:t>
      </w:r>
      <w:r>
        <w:rPr>
          <w:szCs w:val="24"/>
          <w:lang w:val="en-AU"/>
        </w:rPr>
        <w:t xml:space="preserve"> (Shipley 2002, 119)</w:t>
      </w:r>
      <w:r w:rsidR="005D67D6">
        <w:rPr>
          <w:szCs w:val="24"/>
          <w:lang w:val="en-AU"/>
        </w:rPr>
        <w:t>.</w:t>
      </w:r>
    </w:p>
    <w:p w:rsidR="00920464" w:rsidRDefault="00920464">
      <w:pPr>
        <w:rPr>
          <w:szCs w:val="24"/>
          <w:lang w:val="en-AU"/>
        </w:rPr>
      </w:pPr>
      <w:r>
        <w:rPr>
          <w:szCs w:val="24"/>
          <w:lang w:val="en-AU"/>
        </w:rPr>
        <w:t xml:space="preserve">  Finally, to determine whether the model fits the empirical data well, we have to calculate the probability of having observed the measured minimum difference, assuming that the observed and predicted covariances are identical except for random sampling variation</w:t>
      </w:r>
      <w:r w:rsidR="005D67D6">
        <w:rPr>
          <w:szCs w:val="24"/>
          <w:lang w:val="en-AU"/>
        </w:rPr>
        <w:t>.</w:t>
      </w:r>
      <w:r>
        <w:rPr>
          <w:rStyle w:val="a6"/>
          <w:szCs w:val="24"/>
          <w:lang w:val="en-AU"/>
        </w:rPr>
        <w:footnoteReference w:id="22"/>
      </w:r>
      <w:r>
        <w:rPr>
          <w:szCs w:val="24"/>
          <w:lang w:val="en-AU"/>
        </w:rPr>
        <w:t xml:space="preserve"> To achieve this, we first calculate the degree of freedom in the model. In our model, we have 5 variables, 5 error variables and 5 free parameters, so the degree of freedom is 5. Given the final maximum likelihood value (i.e. 4.72) and the degrees of freedom (i.e. 5), we arrive at the conclusion that the probability of having observed the measured minimum difference between the predicted and observed covariance matrices is 0.45</w:t>
      </w:r>
      <w:r w:rsidR="005D67D6">
        <w:rPr>
          <w:szCs w:val="24"/>
          <w:lang w:val="en-AU"/>
        </w:rPr>
        <w:t>.</w:t>
      </w:r>
      <w:r>
        <w:rPr>
          <w:rStyle w:val="a6"/>
          <w:szCs w:val="24"/>
          <w:lang w:val="en-AU"/>
        </w:rPr>
        <w:footnoteReference w:id="23"/>
      </w:r>
      <w:r>
        <w:rPr>
          <w:szCs w:val="24"/>
          <w:lang w:val="en-AU"/>
        </w:rPr>
        <w:t xml:space="preserve"> According to one commonly used interpretation in the biological modelling</w:t>
      </w:r>
      <w:r w:rsidR="005D67D6">
        <w:rPr>
          <w:szCs w:val="24"/>
          <w:lang w:val="en-AU"/>
        </w:rPr>
        <w:t>,</w:t>
      </w:r>
      <w:r>
        <w:rPr>
          <w:rStyle w:val="a6"/>
          <w:szCs w:val="24"/>
          <w:lang w:val="en-AU"/>
        </w:rPr>
        <w:footnoteReference w:id="24"/>
      </w:r>
      <w:r>
        <w:rPr>
          <w:szCs w:val="24"/>
          <w:lang w:val="en-AU"/>
        </w:rPr>
        <w:t xml:space="preserve"> if the calculated probability is small enough (e.g. below 0.05) then one can conclude that the model is wrong, whereas if the probability is big enough (e.g. above 0.05) then one can conclude that the model is sufficiently consistent with the data (or not inconsistent enough to reject), thus is acceptable (Shipley 2002, 115). Therefore, since our probability is sufficiently larger than 0.05, we conclude that the leaf gas-exchange model is good enough.</w:t>
      </w:r>
    </w:p>
    <w:p w:rsidR="00920464" w:rsidRPr="00CC7EA5" w:rsidRDefault="00920464">
      <w:pPr>
        <w:rPr>
          <w:szCs w:val="24"/>
          <w:lang w:val="en-AU"/>
        </w:rPr>
      </w:pPr>
    </w:p>
    <w:p w:rsidR="00920464" w:rsidRDefault="00920464" w:rsidP="00C975A5">
      <w:pPr>
        <w:rPr>
          <w:b/>
          <w:szCs w:val="24"/>
          <w:lang w:val="en-AU"/>
        </w:rPr>
      </w:pPr>
      <w:r>
        <w:rPr>
          <w:b/>
          <w:szCs w:val="24"/>
          <w:lang w:val="en-AU"/>
        </w:rPr>
        <w:t xml:space="preserve">4. </w:t>
      </w:r>
      <w:r w:rsidR="004F76B9">
        <w:rPr>
          <w:rFonts w:hint="eastAsia"/>
          <w:b/>
          <w:szCs w:val="24"/>
          <w:lang w:val="en-AU"/>
        </w:rPr>
        <w:t>Can Weisberg</w:t>
      </w:r>
      <w:r w:rsidR="004F76B9">
        <w:rPr>
          <w:b/>
          <w:szCs w:val="24"/>
          <w:lang w:val="en-AU"/>
        </w:rPr>
        <w:t>’</w:t>
      </w:r>
      <w:r w:rsidR="004F76B9">
        <w:rPr>
          <w:rFonts w:hint="eastAsia"/>
          <w:b/>
          <w:szCs w:val="24"/>
          <w:lang w:val="en-AU"/>
        </w:rPr>
        <w:t>s Account Capture How the Gas-Exchange Model is Assessed?</w:t>
      </w:r>
    </w:p>
    <w:p w:rsidR="004F3734" w:rsidRDefault="004F3734" w:rsidP="00C975A5">
      <w:pPr>
        <w:rPr>
          <w:szCs w:val="24"/>
          <w:lang w:val="en-AU"/>
        </w:rPr>
      </w:pPr>
    </w:p>
    <w:p w:rsidR="00920464" w:rsidRDefault="00920464">
      <w:pPr>
        <w:rPr>
          <w:color w:val="000000"/>
          <w:lang w:val="en-AU"/>
        </w:rPr>
      </w:pPr>
      <w:r>
        <w:rPr>
          <w:lang w:val="en-AU"/>
        </w:rPr>
        <w:t>We mentioned above that Weisberg’s account</w:t>
      </w:r>
      <w:r>
        <w:rPr>
          <w:color w:val="000000"/>
        </w:rPr>
        <w:t xml:space="preserve"> attempts to not just generally explain </w:t>
      </w:r>
      <w:r>
        <w:rPr>
          <w:i/>
          <w:color w:val="000000"/>
        </w:rPr>
        <w:t>what</w:t>
      </w:r>
      <w:r>
        <w:rPr>
          <w:color w:val="000000"/>
        </w:rPr>
        <w:t xml:space="preserve"> the representational relation between models and the world is, but more importantly </w:t>
      </w:r>
      <w:r w:rsidR="00B14F61">
        <w:rPr>
          <w:rFonts w:hint="eastAsia"/>
          <w:color w:val="000000"/>
        </w:rPr>
        <w:t xml:space="preserve">to </w:t>
      </w:r>
      <w:r>
        <w:rPr>
          <w:color w:val="000000"/>
        </w:rPr>
        <w:t>capture similarity judgments made by scientists. Our question</w:t>
      </w:r>
      <w:r>
        <w:rPr>
          <w:color w:val="000000"/>
          <w:lang w:val="en-AU"/>
        </w:rPr>
        <w:t xml:space="preserve"> </w:t>
      </w:r>
      <w:r>
        <w:rPr>
          <w:color w:val="000000"/>
        </w:rPr>
        <w:t xml:space="preserve">hence is </w:t>
      </w:r>
      <w:r>
        <w:rPr>
          <w:color w:val="000000"/>
          <w:szCs w:val="24"/>
          <w:lang w:val="en-AU"/>
        </w:rPr>
        <w:t xml:space="preserve">to what extent Weisberg’s account, intended to capture similarity judgments made by scientists, could </w:t>
      </w:r>
      <w:r w:rsidR="00063F73" w:rsidRPr="00F05C08">
        <w:rPr>
          <w:i/>
          <w:color w:val="000000"/>
          <w:szCs w:val="24"/>
          <w:lang w:val="en-AU"/>
        </w:rPr>
        <w:t>capture</w:t>
      </w:r>
      <w:r w:rsidR="00063F73">
        <w:rPr>
          <w:color w:val="000000"/>
          <w:szCs w:val="24"/>
          <w:lang w:val="en-AU"/>
        </w:rPr>
        <w:t xml:space="preserve"> </w:t>
      </w:r>
      <w:r>
        <w:rPr>
          <w:color w:val="000000"/>
          <w:szCs w:val="24"/>
          <w:lang w:val="en-AU"/>
        </w:rPr>
        <w:t>the</w:t>
      </w:r>
      <w:r w:rsidR="00070F4C">
        <w:rPr>
          <w:color w:val="000000"/>
          <w:szCs w:val="24"/>
          <w:lang w:val="en-AU"/>
        </w:rPr>
        <w:t xml:space="preserve"> relevant</w:t>
      </w:r>
      <w:r>
        <w:rPr>
          <w:color w:val="000000"/>
          <w:szCs w:val="24"/>
          <w:lang w:val="en-AU"/>
        </w:rPr>
        <w:t xml:space="preserve"> </w:t>
      </w:r>
      <w:r w:rsidR="00070F4C">
        <w:rPr>
          <w:color w:val="000000"/>
          <w:szCs w:val="24"/>
          <w:lang w:val="en-AU"/>
        </w:rPr>
        <w:t xml:space="preserve">judgment involved in the </w:t>
      </w:r>
      <w:r>
        <w:rPr>
          <w:color w:val="000000"/>
          <w:szCs w:val="24"/>
          <w:lang w:val="en-AU"/>
        </w:rPr>
        <w:t>leaf gas-exchange modelling discussed above.</w:t>
      </w:r>
    </w:p>
    <w:p w:rsidR="00920464" w:rsidRDefault="00920464">
      <w:pPr>
        <w:ind w:right="120"/>
        <w:rPr>
          <w:color w:val="000000"/>
          <w:lang w:val="en-AU"/>
        </w:rPr>
      </w:pPr>
      <w:r>
        <w:rPr>
          <w:color w:val="000000"/>
          <w:lang w:val="en-AU"/>
        </w:rPr>
        <w:t xml:space="preserve">  </w:t>
      </w:r>
      <w:r w:rsidR="004F3734">
        <w:rPr>
          <w:rFonts w:hint="eastAsia"/>
          <w:color w:val="000000"/>
          <w:lang w:val="en-AU"/>
        </w:rPr>
        <w:t xml:space="preserve">To </w:t>
      </w:r>
      <w:r w:rsidR="004F3734">
        <w:rPr>
          <w:color w:val="000000"/>
          <w:lang w:val="en-AU"/>
        </w:rPr>
        <w:t>answer</w:t>
      </w:r>
      <w:r w:rsidR="004F3734">
        <w:rPr>
          <w:rFonts w:hint="eastAsia"/>
          <w:color w:val="000000"/>
          <w:lang w:val="en-AU"/>
        </w:rPr>
        <w:t xml:space="preserve"> this question, </w:t>
      </w:r>
      <w:r w:rsidR="00B14F61">
        <w:rPr>
          <w:rFonts w:hint="eastAsia"/>
          <w:color w:val="000000"/>
          <w:lang w:val="en-AU"/>
        </w:rPr>
        <w:t>we first need</w:t>
      </w:r>
      <w:r w:rsidR="00B14F61">
        <w:rPr>
          <w:color w:val="000000"/>
          <w:lang w:val="en-AU"/>
        </w:rPr>
        <w:t xml:space="preserve"> to</w:t>
      </w:r>
      <w:r w:rsidR="00B14F61">
        <w:rPr>
          <w:rFonts w:hint="eastAsia"/>
          <w:color w:val="000000"/>
          <w:lang w:val="en-AU"/>
        </w:rPr>
        <w:t xml:space="preserve"> </w:t>
      </w:r>
      <w:r w:rsidR="00B14F61">
        <w:rPr>
          <w:color w:val="000000"/>
          <w:lang w:val="en-AU"/>
        </w:rPr>
        <w:t xml:space="preserve">identify which aspect of how the </w:t>
      </w:r>
      <w:r w:rsidR="00B14F61">
        <w:rPr>
          <w:color w:val="000000"/>
          <w:szCs w:val="24"/>
          <w:lang w:val="en-AU"/>
        </w:rPr>
        <w:t>leaf gas-exchange model was assessed</w:t>
      </w:r>
      <w:r w:rsidR="00B14F61">
        <w:rPr>
          <w:color w:val="000000"/>
          <w:lang w:val="en-AU"/>
        </w:rPr>
        <w:t xml:space="preserve"> </w:t>
      </w:r>
      <w:r w:rsidR="00B14F61">
        <w:rPr>
          <w:rFonts w:hint="eastAsia"/>
          <w:color w:val="000000"/>
          <w:lang w:val="en-AU"/>
        </w:rPr>
        <w:t xml:space="preserve">involves </w:t>
      </w:r>
      <w:r w:rsidR="00B14F61">
        <w:rPr>
          <w:color w:val="000000"/>
          <w:lang w:val="en-AU"/>
        </w:rPr>
        <w:t xml:space="preserve">a </w:t>
      </w:r>
      <w:r w:rsidR="00B14F61">
        <w:rPr>
          <w:rFonts w:hint="eastAsia"/>
          <w:color w:val="000000"/>
          <w:lang w:val="en-AU"/>
        </w:rPr>
        <w:t xml:space="preserve">similarity judgment. </w:t>
      </w:r>
      <w:r w:rsidR="00B14F61">
        <w:rPr>
          <w:color w:val="000000"/>
          <w:lang w:val="en-AU"/>
        </w:rPr>
        <w:t xml:space="preserve">Given that MLE seems to involve the </w:t>
      </w:r>
      <w:r w:rsidR="00B14F61">
        <w:rPr>
          <w:i/>
          <w:color w:val="000000"/>
          <w:lang w:val="en-AU"/>
        </w:rPr>
        <w:t>comparison</w:t>
      </w:r>
      <w:r w:rsidR="00B14F61">
        <w:rPr>
          <w:color w:val="000000"/>
          <w:lang w:val="en-AU"/>
        </w:rPr>
        <w:t xml:space="preserve"> of predicted with observed data</w:t>
      </w:r>
      <w:r w:rsidR="00B14F61">
        <w:rPr>
          <w:rFonts w:hint="eastAsia"/>
          <w:color w:val="000000"/>
          <w:lang w:val="en-AU"/>
        </w:rPr>
        <w:t xml:space="preserve">, </w:t>
      </w:r>
      <w:r w:rsidR="00B14F61">
        <w:rPr>
          <w:color w:val="000000"/>
          <w:lang w:val="en-AU"/>
        </w:rPr>
        <w:t>let us suppose, for Weisberg’s argument, that the MLE can be thought of as a sort of similarity judgment</w:t>
      </w:r>
      <w:r>
        <w:rPr>
          <w:color w:val="000000"/>
          <w:lang w:val="en-AU"/>
        </w:rPr>
        <w:t xml:space="preserve">. </w:t>
      </w:r>
      <w:r w:rsidR="00B14F61">
        <w:rPr>
          <w:rFonts w:hint="eastAsia"/>
          <w:color w:val="000000"/>
          <w:lang w:val="en-AU"/>
        </w:rPr>
        <w:t>However, w</w:t>
      </w:r>
      <w:r w:rsidR="00B14F61">
        <w:rPr>
          <w:color w:val="000000"/>
          <w:lang w:val="en-AU"/>
        </w:rPr>
        <w:t xml:space="preserve">e shall see in the following that even if MLE is understood as a sort of similarity judgment, Weisberg’s account still fails to capture that judgment. In what follows I will first raise a less important concern, and then move on to develop two </w:t>
      </w:r>
      <w:r w:rsidR="00B14F61">
        <w:rPr>
          <w:color w:val="000000"/>
        </w:rPr>
        <w:t xml:space="preserve">crucial, </w:t>
      </w:r>
      <w:r w:rsidR="00B14F61">
        <w:rPr>
          <w:color w:val="000000"/>
          <w:lang w:val="en-AU"/>
        </w:rPr>
        <w:t xml:space="preserve">interconnected </w:t>
      </w:r>
      <w:r w:rsidR="00B14F61">
        <w:rPr>
          <w:color w:val="000000"/>
        </w:rPr>
        <w:t>arguments</w:t>
      </w:r>
      <w:r w:rsidR="00B14F61">
        <w:rPr>
          <w:color w:val="000000"/>
          <w:lang w:val="en-AU"/>
        </w:rPr>
        <w:t>.</w:t>
      </w:r>
    </w:p>
    <w:p w:rsidR="00580737" w:rsidRPr="00E17806" w:rsidRDefault="00580737">
      <w:pPr>
        <w:ind w:right="120"/>
        <w:rPr>
          <w:color w:val="000000"/>
          <w:lang w:val="en-AU"/>
        </w:rPr>
      </w:pPr>
    </w:p>
    <w:p w:rsidR="00920464" w:rsidRPr="007F052B" w:rsidRDefault="00920464" w:rsidP="00903292">
      <w:pPr>
        <w:spacing w:afterLines="50" w:after="156"/>
        <w:ind w:right="119"/>
        <w:rPr>
          <w:szCs w:val="24"/>
          <w:lang w:val="en-AU"/>
        </w:rPr>
      </w:pPr>
      <w:r>
        <w:rPr>
          <w:szCs w:val="24"/>
        </w:rPr>
        <w:t xml:space="preserve">4.1 Weisberg’s account is </w:t>
      </w:r>
      <w:r>
        <w:rPr>
          <w:szCs w:val="24"/>
          <w:lang w:val="en-AU"/>
        </w:rPr>
        <w:t>too abstract</w:t>
      </w:r>
    </w:p>
    <w:p w:rsidR="00920464" w:rsidRDefault="00920464" w:rsidP="00F52F12">
      <w:pPr>
        <w:rPr>
          <w:szCs w:val="24"/>
          <w:lang w:val="en-AU"/>
        </w:rPr>
      </w:pPr>
      <w:r>
        <w:rPr>
          <w:szCs w:val="24"/>
        </w:rPr>
        <w:lastRenderedPageBreak/>
        <w:t>My first</w:t>
      </w:r>
      <w:r>
        <w:rPr>
          <w:szCs w:val="24"/>
          <w:lang w:val="en-AU"/>
        </w:rPr>
        <w:t xml:space="preserve"> concern is that his account is too abstract to shed light on how the practice of selecting and weighting features (i.e. the “move-back-and-forth practice”) can be actually made by scientists.</w:t>
      </w:r>
    </w:p>
    <w:p w:rsidR="00920464" w:rsidRPr="001952B6" w:rsidRDefault="00920464" w:rsidP="00697E59">
      <w:pPr>
        <w:ind w:firstLineChars="100" w:firstLine="240"/>
        <w:rPr>
          <w:lang w:val="en-AU"/>
        </w:rPr>
      </w:pPr>
      <w:r>
        <w:rPr>
          <w:lang w:val="en-AU"/>
        </w:rPr>
        <w:t xml:space="preserve">Needless to say, it is basic practice in modelling that scientists move back and forth to adjust the weights of features based on their intuitions about the similarity, and/or change the model based on similarity values achieved. But </w:t>
      </w:r>
      <w:r>
        <w:t xml:space="preserve">the trouble is that this practice is not instantiated in Weisberg’s account, for his account only claims that scientists can decide which features should be included in the similarity calculation and how importantly they should be weighted respectively, given certain background theory or theories. He does mention that when the background theory is not rich enough, deciding which features should be weighted more heavily is in part an empirical problem. But the problem remains: how could his account cash out this “move-back-and-forth” issue when the background theory is not rich enough? No clear image emerges. Nevertheless, the empirical issue of selecting and weighting features stands at the core of modelling practice. Hence, </w:t>
      </w:r>
      <w:r w:rsidR="00BB32F9">
        <w:rPr>
          <w:rFonts w:hint="eastAsia"/>
        </w:rPr>
        <w:t xml:space="preserve">as an account of capturing similarity judgments made by scientists, </w:t>
      </w:r>
      <w:r>
        <w:t>merely mentioning that “this is an empirical problem”</w:t>
      </w:r>
      <w:r>
        <w:rPr>
          <w:lang w:val="en-AU"/>
        </w:rPr>
        <w:t xml:space="preserve"> falls short of casting light on what is really going on in science.</w:t>
      </w:r>
    </w:p>
    <w:p w:rsidR="00920464" w:rsidRPr="00E6311F" w:rsidRDefault="00920464" w:rsidP="00EB5038">
      <w:pPr>
        <w:ind w:firstLineChars="100" w:firstLine="240"/>
        <w:rPr>
          <w:lang w:val="en-AU"/>
        </w:rPr>
      </w:pPr>
      <w:r>
        <w:t xml:space="preserve">By contrast, </w:t>
      </w:r>
      <w:r>
        <w:rPr>
          <w:lang w:val="en-AU"/>
        </w:rPr>
        <w:t xml:space="preserve">the “move-back-and-forth” practice is perfectly exemplified by the MLE. We concluded in last section that the probability </w:t>
      </w:r>
      <w:r>
        <w:rPr>
          <w:szCs w:val="24"/>
          <w:lang w:val="en-AU"/>
        </w:rPr>
        <w:t>of having observed the measured minimum difference is 0.45, which is sufficiently larger than the threshold value 0.05. Hence we claimed that our model is good enough. If, on the other hand, the probability is not 0.45 but 0.045, smaller than the threshold value, we should conclude instead that our model is not good enough and there must be features the model misses or misrepresents. If this is the case, we should modify the model slightly by adding or subtracting more features to/from the model. We practice this again and again until we reach an acceptable probability value.</w:t>
      </w:r>
    </w:p>
    <w:p w:rsidR="00920464" w:rsidRDefault="00920464" w:rsidP="00EB5038">
      <w:pPr>
        <w:ind w:firstLineChars="100" w:firstLine="240"/>
      </w:pPr>
      <w:r>
        <w:t xml:space="preserve">In words, because </w:t>
      </w:r>
      <w:r>
        <w:rPr>
          <w:lang w:val="en-AU"/>
        </w:rPr>
        <w:t>of its abstractness, Weisberg’s account simply</w:t>
      </w:r>
      <w:r>
        <w:t xml:space="preserve"> fails to </w:t>
      </w:r>
      <w:r w:rsidR="00977201">
        <w:t>shed light on</w:t>
      </w:r>
      <w:r>
        <w:t xml:space="preserve"> how the process of selecting and weighting features can be actually exercised by scientists. This might not constitute a serious problem because, he might argue, the practice could be integrated into his account someday. I agree, but two serious problems make this integration superfluous.</w:t>
      </w:r>
    </w:p>
    <w:p w:rsidR="00920464" w:rsidRPr="005E1109" w:rsidRDefault="00920464" w:rsidP="0089389B"/>
    <w:p w:rsidR="00920464" w:rsidRPr="00246E84" w:rsidRDefault="00920464" w:rsidP="00903292">
      <w:pPr>
        <w:spacing w:afterLines="50" w:after="156"/>
      </w:pPr>
      <w:r>
        <w:t xml:space="preserve">4.2 Weisberg’s account is </w:t>
      </w:r>
      <w:r w:rsidRPr="00412E1A">
        <w:rPr>
          <w:i/>
        </w:rPr>
        <w:t>atomistic</w:t>
      </w:r>
      <w:r>
        <w:t xml:space="preserve"> in nature</w:t>
      </w:r>
    </w:p>
    <w:p w:rsidR="00920464" w:rsidRDefault="00920464" w:rsidP="009D333E">
      <w:pPr>
        <w:rPr>
          <w:lang w:val="en-AU"/>
        </w:rPr>
      </w:pPr>
      <w:r>
        <w:rPr>
          <w:lang w:val="en-AU"/>
        </w:rPr>
        <w:t xml:space="preserve">The first serious problem is that his account is </w:t>
      </w:r>
      <w:r>
        <w:rPr>
          <w:i/>
          <w:lang w:val="en-AU"/>
        </w:rPr>
        <w:t>atomistic</w:t>
      </w:r>
      <w:r w:rsidRPr="003F1D7A">
        <w:rPr>
          <w:lang w:val="en-AU"/>
        </w:rPr>
        <w:t xml:space="preserve"> in spirit</w:t>
      </w:r>
      <w:r w:rsidR="00031B8C">
        <w:rPr>
          <w:lang w:val="en-AU"/>
        </w:rPr>
        <w:t>,</w:t>
      </w:r>
      <w:r>
        <w:rPr>
          <w:rStyle w:val="a6"/>
          <w:lang w:val="en-AU"/>
        </w:rPr>
        <w:footnoteReference w:id="25"/>
      </w:r>
      <w:r>
        <w:rPr>
          <w:lang w:val="en-AU"/>
        </w:rPr>
        <w:t xml:space="preserve"> while the MLE is </w:t>
      </w:r>
      <w:r>
        <w:rPr>
          <w:i/>
          <w:lang w:val="en-AU"/>
        </w:rPr>
        <w:t>holistic</w:t>
      </w:r>
      <w:r>
        <w:rPr>
          <w:lang w:val="en-AU"/>
        </w:rPr>
        <w:t xml:space="preserve">. To show this, let us take </w:t>
      </w:r>
      <w:r w:rsidR="007E7EF3">
        <w:rPr>
          <w:rFonts w:hint="eastAsia"/>
          <w:lang w:val="en-AU"/>
        </w:rPr>
        <w:t xml:space="preserve">a </w:t>
      </w:r>
      <w:r>
        <w:rPr>
          <w:lang w:val="en-AU"/>
        </w:rPr>
        <w:t xml:space="preserve">closer </w:t>
      </w:r>
      <w:r w:rsidR="007E7EF3">
        <w:rPr>
          <w:rFonts w:hint="eastAsia"/>
          <w:lang w:val="en-AU"/>
        </w:rPr>
        <w:t>look at</w:t>
      </w:r>
      <w:r>
        <w:rPr>
          <w:lang w:val="en-AU"/>
        </w:rPr>
        <w:t xml:space="preserve"> his similarity equation (</w:t>
      </w:r>
      <w:r w:rsidR="00565146">
        <w:rPr>
          <w:rFonts w:hint="eastAsia"/>
          <w:lang w:val="en-AU"/>
        </w:rPr>
        <w:t>1</w:t>
      </w:r>
      <w:r>
        <w:rPr>
          <w:lang w:val="en-AU"/>
        </w:rPr>
        <w:t xml:space="preserve">). The numerator invites us to weight features shared, and the denominator asks us to weight all features involved (including three feature subsets: features shared, features possessed by the model but not the target, and features possessed by the target but not the model). </w:t>
      </w:r>
      <w:r w:rsidR="000E65C0" w:rsidRPr="000429FC">
        <w:rPr>
          <w:szCs w:val="24"/>
        </w:rPr>
        <w:t>Each feature is weighted independently and only once, with it falling into o</w:t>
      </w:r>
      <w:r w:rsidR="000E65C0">
        <w:rPr>
          <w:szCs w:val="24"/>
        </w:rPr>
        <w:t>ne of the three feature subsets</w:t>
      </w:r>
      <w:r w:rsidR="000E65C0" w:rsidRPr="000E65C0">
        <w:rPr>
          <w:color w:val="000000"/>
          <w:szCs w:val="24"/>
        </w:rPr>
        <w:t xml:space="preserve">. The numerator is the weighted sum of features shared, </w:t>
      </w:r>
      <w:r w:rsidR="000E65C0" w:rsidRPr="000E65C0">
        <w:rPr>
          <w:color w:val="000000"/>
          <w:szCs w:val="24"/>
        </w:rPr>
        <w:lastRenderedPageBreak/>
        <w:t>the denominator is the weighted sum of features shared and unshared, and the similarity measure is the ratio of the numerator to the denominator.</w:t>
      </w:r>
    </w:p>
    <w:p w:rsidR="00920464" w:rsidRPr="00FB46DA" w:rsidRDefault="00920464" w:rsidP="00FA1507">
      <w:pPr>
        <w:ind w:firstLineChars="100" w:firstLine="240"/>
        <w:rPr>
          <w:lang w:val="en-AU"/>
        </w:rPr>
      </w:pPr>
      <w:r>
        <w:rPr>
          <w:lang w:val="en-AU"/>
        </w:rPr>
        <w:t xml:space="preserve">But it is evident that this is not what we find in MLE. Consider the leaf gas-exchange model: when testing this model, we are interested in exploring whether the predicted covariance matrix of the model </w:t>
      </w:r>
      <w:r>
        <w:rPr>
          <w:i/>
          <w:lang w:val="en-AU"/>
        </w:rPr>
        <w:t>as a whole</w:t>
      </w:r>
      <w:r>
        <w:rPr>
          <w:lang w:val="en-AU"/>
        </w:rPr>
        <w:t xml:space="preserve"> fits the observed covariance matrix using the MLE, rather than weighting whether each individual feature, or each individual covariance predicted by the model, </w:t>
      </w:r>
      <w:r w:rsidRPr="00B24DFC">
        <w:rPr>
          <w:i/>
          <w:lang w:val="en-AU"/>
        </w:rPr>
        <w:t>matches</w:t>
      </w:r>
      <w:r>
        <w:rPr>
          <w:lang w:val="en-AU"/>
        </w:rPr>
        <w:t xml:space="preserve"> each individual feature or covariance of the observed data (remember that in the testing we choose values for free parameters for the whole predicted covariance matrix and see how the matrix as a whole fits the observed matrix). In other words, the final measure of fit concerns not simply the sum of each feature’s measure of weight, nor the ratio between the sums of weights of the numerator and the denominator. Put slightly differently, the essence of testing, at least in our model, is not based on weighting each feature independently and then adding them together, but on the </w:t>
      </w:r>
      <w:r>
        <w:rPr>
          <w:i/>
          <w:lang w:val="en-AU"/>
        </w:rPr>
        <w:t>holistic</w:t>
      </w:r>
      <w:r>
        <w:rPr>
          <w:lang w:val="en-AU"/>
        </w:rPr>
        <w:t xml:space="preserve"> relationship between the predicted data and the observed data </w:t>
      </w:r>
      <w:r>
        <w:rPr>
          <w:i/>
          <w:lang w:val="en-AU"/>
        </w:rPr>
        <w:t>as a whole</w:t>
      </w:r>
      <w:r>
        <w:rPr>
          <w:lang w:val="en-AU"/>
        </w:rPr>
        <w:t>.</w:t>
      </w:r>
    </w:p>
    <w:p w:rsidR="00920464" w:rsidRDefault="00920464" w:rsidP="00FA1507">
      <w:pPr>
        <w:ind w:firstLine="240"/>
        <w:rPr>
          <w:color w:val="000000"/>
        </w:rPr>
      </w:pPr>
      <w:r>
        <w:rPr>
          <w:color w:val="000000"/>
        </w:rPr>
        <w:t xml:space="preserve">Three possible responses are on offer. First, Weisberg might launch a rescue by his notion of </w:t>
      </w:r>
      <w:r w:rsidRPr="002E3F6B">
        <w:rPr>
          <w:i/>
          <w:color w:val="000000"/>
        </w:rPr>
        <w:t>fidelity criteria</w:t>
      </w:r>
      <w:r>
        <w:rPr>
          <w:color w:val="000000"/>
        </w:rPr>
        <w:t xml:space="preserve">. </w:t>
      </w:r>
      <w:r>
        <w:rPr>
          <w:color w:val="000000"/>
          <w:lang w:val="en-AU"/>
        </w:rPr>
        <w:t xml:space="preserve">In fact, </w:t>
      </w:r>
      <w:r>
        <w:rPr>
          <w:color w:val="000000"/>
        </w:rPr>
        <w:t>Weisberg does discuss the fit between the output (i.e. predictions) or internal causal structure of the model, on the one hand, and their counterparts in the real world phenomenon, on the other. For example, he says “dynamical fidelity criteria</w:t>
      </w:r>
      <w:r>
        <w:rPr>
          <w:rStyle w:val="a3"/>
          <w:color w:val="000000"/>
        </w:rPr>
        <w:footnoteReference w:id="26"/>
      </w:r>
      <w:r>
        <w:rPr>
          <w:color w:val="000000"/>
        </w:rPr>
        <w:t xml:space="preserve"> tell us how close the output of the model must be to the output of the real world phenomenon. […] These criteria deal only with the output of the model, that is, its predictions about how a re</w:t>
      </w:r>
      <w:r w:rsidR="00031B8C">
        <w:rPr>
          <w:color w:val="000000"/>
        </w:rPr>
        <w:t>al-world phenomenon will behave</w:t>
      </w:r>
      <w:r>
        <w:rPr>
          <w:color w:val="000000"/>
        </w:rPr>
        <w:t>” (2013, 41)</w:t>
      </w:r>
      <w:r w:rsidR="00031B8C">
        <w:rPr>
          <w:color w:val="000000"/>
        </w:rPr>
        <w:t>.</w:t>
      </w:r>
      <w:r>
        <w:rPr>
          <w:color w:val="000000"/>
        </w:rPr>
        <w:t xml:space="preserve"> And the representational fidelity criteria “specify how closely the model’s internal structure must match the causal structure of the real-world phenomenon to be conside</w:t>
      </w:r>
      <w:r w:rsidR="00031B8C">
        <w:rPr>
          <w:color w:val="000000"/>
        </w:rPr>
        <w:t>red an adequate representation”</w:t>
      </w:r>
      <w:r>
        <w:rPr>
          <w:color w:val="000000"/>
        </w:rPr>
        <w:t xml:space="preserve"> (</w:t>
      </w:r>
      <w:r w:rsidRPr="00071964">
        <w:rPr>
          <w:i/>
          <w:color w:val="000000"/>
        </w:rPr>
        <w:t>Ibid</w:t>
      </w:r>
      <w:r>
        <w:rPr>
          <w:color w:val="000000"/>
        </w:rPr>
        <w:t>., 41)</w:t>
      </w:r>
      <w:r w:rsidR="00031B8C">
        <w:rPr>
          <w:color w:val="000000"/>
        </w:rPr>
        <w:t>.</w:t>
      </w:r>
      <w:r>
        <w:rPr>
          <w:color w:val="000000"/>
        </w:rPr>
        <w:t xml:space="preserve"> When discussing the representational ideal of MAXOUT</w:t>
      </w:r>
      <w:r>
        <w:rPr>
          <w:rStyle w:val="a6"/>
          <w:color w:val="000000"/>
        </w:rPr>
        <w:footnoteReference w:id="27"/>
      </w:r>
      <w:r>
        <w:rPr>
          <w:color w:val="000000"/>
        </w:rPr>
        <w:t xml:space="preserve"> he also says that “This ideal says that the theorist should maximize the precision and accuracy of the model’s output.” (</w:t>
      </w:r>
      <w:r w:rsidRPr="00F50D69">
        <w:rPr>
          <w:i/>
          <w:color w:val="000000"/>
        </w:rPr>
        <w:t>Ibid.</w:t>
      </w:r>
      <w:r>
        <w:rPr>
          <w:color w:val="000000"/>
        </w:rPr>
        <w:t xml:space="preserve">, 109) These points suggest that sometimes to judge whether a model is adequate, modellers primarily pay attention to the overall fit of outputs or causal structures of the model to the target. That is, they focus on how </w:t>
      </w:r>
      <w:r>
        <w:rPr>
          <w:i/>
          <w:color w:val="000000"/>
        </w:rPr>
        <w:t>similar</w:t>
      </w:r>
      <w:r>
        <w:rPr>
          <w:color w:val="000000"/>
        </w:rPr>
        <w:t xml:space="preserve"> the output or causal structure of the model is to their real world phenomenon. Interestingly, this is just what the MLE implies, for it concerns the overall fit between the predicted and observed covariance matrices.</w:t>
      </w:r>
    </w:p>
    <w:p w:rsidR="000917A1" w:rsidRDefault="000917A1" w:rsidP="00D87897">
      <w:pPr>
        <w:ind w:firstLine="240"/>
        <w:rPr>
          <w:color w:val="000000"/>
        </w:rPr>
      </w:pPr>
      <w:r>
        <w:rPr>
          <w:color w:val="000000"/>
        </w:rPr>
        <w:t xml:space="preserve">But, unfortunately, there seems no way to integrate these ideas into Weisberg’s account of similarity between model and target. His formula simply does not (and perhaps cannot) incorporate a </w:t>
      </w:r>
      <w:r w:rsidRPr="009304BF">
        <w:rPr>
          <w:i/>
          <w:color w:val="000000"/>
        </w:rPr>
        <w:t>holistic</w:t>
      </w:r>
      <w:r>
        <w:rPr>
          <w:color w:val="000000"/>
        </w:rPr>
        <w:t xml:space="preserve"> comparison of either outputs or causal structures between the model and the target. The formula essentially depends on assessing the (weighted) contribution of each feature independently. This is largely due to his understanding of the structures of models, a crucial point we shall consider in our last argument.</w:t>
      </w:r>
    </w:p>
    <w:p w:rsidR="009C5450" w:rsidRDefault="009C5450" w:rsidP="00D87897">
      <w:pPr>
        <w:ind w:firstLine="240"/>
        <w:rPr>
          <w:color w:val="000000"/>
        </w:rPr>
      </w:pPr>
      <w:r>
        <w:rPr>
          <w:color w:val="000000"/>
        </w:rPr>
        <w:lastRenderedPageBreak/>
        <w:t xml:space="preserve">The second possible response may be that </w:t>
      </w:r>
      <w:r w:rsidR="0096338F">
        <w:rPr>
          <w:color w:val="000000"/>
        </w:rPr>
        <w:t xml:space="preserve">Weisberg’s similarity account </w:t>
      </w:r>
      <w:r w:rsidR="00900D81">
        <w:rPr>
          <w:color w:val="000000"/>
        </w:rPr>
        <w:t xml:space="preserve">may </w:t>
      </w:r>
      <w:r w:rsidR="00CA5AA6">
        <w:rPr>
          <w:color w:val="000000"/>
        </w:rPr>
        <w:t>be</w:t>
      </w:r>
      <w:r w:rsidR="00900D81">
        <w:rPr>
          <w:color w:val="000000"/>
        </w:rPr>
        <w:t xml:space="preserve"> compatible with </w:t>
      </w:r>
      <w:r w:rsidR="00CA5AA6">
        <w:rPr>
          <w:color w:val="000000"/>
        </w:rPr>
        <w:t>our holistic diagnostic</w:t>
      </w:r>
      <w:r w:rsidR="00900D81">
        <w:rPr>
          <w:color w:val="000000"/>
        </w:rPr>
        <w:t xml:space="preserve">. Suppose, for example, </w:t>
      </w:r>
      <w:r w:rsidR="00CA5AA6">
        <w:rPr>
          <w:color w:val="000000"/>
        </w:rPr>
        <w:t xml:space="preserve">that MLE reveals that the model for leaf gas-exchange is wrong. </w:t>
      </w:r>
      <w:r w:rsidR="004F63A2">
        <w:rPr>
          <w:color w:val="000000"/>
        </w:rPr>
        <w:t xml:space="preserve">Presumably it is wrong because modellers in constructing it incorrectly identified or weighted certain features of the model. </w:t>
      </w:r>
      <w:r w:rsidR="00CE2429" w:rsidRPr="00CE2429">
        <w:rPr>
          <w:color w:val="000000"/>
        </w:rPr>
        <w:t>Fixing the model to make it sufficiently similar to its target might require adding or subtracting features</w:t>
      </w:r>
      <w:r w:rsidR="00AA37A5">
        <w:rPr>
          <w:color w:val="000000"/>
        </w:rPr>
        <w:t xml:space="preserve"> </w:t>
      </w:r>
      <w:r w:rsidR="00AA37A5" w:rsidRPr="00A35404">
        <w:rPr>
          <w:i/>
          <w:color w:val="000000"/>
        </w:rPr>
        <w:t>separately</w:t>
      </w:r>
      <w:r w:rsidR="00CE2429" w:rsidRPr="00CE2429">
        <w:rPr>
          <w:color w:val="000000"/>
        </w:rPr>
        <w:t>, or weighting them differently</w:t>
      </w:r>
      <w:r w:rsidR="00CE2429">
        <w:rPr>
          <w:color w:val="000000"/>
        </w:rPr>
        <w:t xml:space="preserve">. </w:t>
      </w:r>
      <w:r w:rsidR="00A11A37">
        <w:rPr>
          <w:color w:val="000000"/>
        </w:rPr>
        <w:t xml:space="preserve">In doing so, the argument goes, an atomistic approach to similarity is employed. </w:t>
      </w:r>
      <w:r w:rsidR="00DC3BCC">
        <w:rPr>
          <w:color w:val="000000"/>
        </w:rPr>
        <w:t xml:space="preserve">But, as we shall see in the last argument, since each individual feature of the model or target cannot be weighted independently without affecting the weighing of other features, adding or subtracting features (or weighting them differently) </w:t>
      </w:r>
      <w:r w:rsidR="00FA456E">
        <w:rPr>
          <w:color w:val="000000"/>
        </w:rPr>
        <w:t xml:space="preserve">cannot </w:t>
      </w:r>
      <w:r w:rsidR="00D64624">
        <w:rPr>
          <w:color w:val="000000"/>
        </w:rPr>
        <w:t>keep other features (and perhaps relations between them) intact</w:t>
      </w:r>
      <w:r w:rsidR="00FA456E">
        <w:rPr>
          <w:color w:val="000000"/>
        </w:rPr>
        <w:t xml:space="preserve">; </w:t>
      </w:r>
      <w:r w:rsidR="00D64624">
        <w:rPr>
          <w:color w:val="000000"/>
        </w:rPr>
        <w:t>that is</w:t>
      </w:r>
      <w:r w:rsidR="00FA456E">
        <w:rPr>
          <w:color w:val="000000"/>
        </w:rPr>
        <w:t xml:space="preserve">, </w:t>
      </w:r>
      <w:r w:rsidR="002616F6">
        <w:rPr>
          <w:color w:val="000000"/>
        </w:rPr>
        <w:t xml:space="preserve">it must result in the </w:t>
      </w:r>
      <w:r w:rsidR="00C559A8">
        <w:rPr>
          <w:color w:val="000000"/>
        </w:rPr>
        <w:t xml:space="preserve">re-weighting of many other features, and perhaps (if it is a causal model) the re-weighting of many relations between </w:t>
      </w:r>
      <w:r w:rsidR="00E547B9">
        <w:rPr>
          <w:color w:val="000000"/>
        </w:rPr>
        <w:t xml:space="preserve">these </w:t>
      </w:r>
      <w:r w:rsidR="00C559A8">
        <w:rPr>
          <w:color w:val="000000"/>
        </w:rPr>
        <w:t>features</w:t>
      </w:r>
      <w:r w:rsidR="00E547B9">
        <w:rPr>
          <w:color w:val="000000"/>
        </w:rPr>
        <w:t>.</w:t>
      </w:r>
      <w:r w:rsidR="00AA37A5">
        <w:rPr>
          <w:color w:val="000000"/>
        </w:rPr>
        <w:t xml:space="preserve"> Again, this is clearly a holistic issue.</w:t>
      </w:r>
    </w:p>
    <w:p w:rsidR="00920464" w:rsidRDefault="00920464" w:rsidP="00832E9B">
      <w:pPr>
        <w:ind w:firstLine="240"/>
      </w:pPr>
      <w:r>
        <w:rPr>
          <w:color w:val="000000"/>
        </w:rPr>
        <w:t>The last possible response might involve the distinction between different representational strategies</w:t>
      </w:r>
      <w:r w:rsidR="00031B8C">
        <w:rPr>
          <w:color w:val="000000"/>
        </w:rPr>
        <w:t>,</w:t>
      </w:r>
      <w:r>
        <w:rPr>
          <w:rStyle w:val="a6"/>
          <w:color w:val="000000"/>
        </w:rPr>
        <w:footnoteReference w:id="28"/>
      </w:r>
      <w:r>
        <w:rPr>
          <w:color w:val="000000"/>
        </w:rPr>
        <w:t xml:space="preserve"> or representational ideals in Weisberg’s terminology</w:t>
      </w:r>
      <w:r w:rsidR="00031B8C">
        <w:rPr>
          <w:color w:val="000000"/>
        </w:rPr>
        <w:t>.</w:t>
      </w:r>
      <w:r>
        <w:rPr>
          <w:rStyle w:val="a6"/>
          <w:color w:val="000000"/>
        </w:rPr>
        <w:footnoteReference w:id="29"/>
      </w:r>
      <w:r>
        <w:rPr>
          <w:color w:val="000000"/>
        </w:rPr>
        <w:t xml:space="preserve"> Weisberg might rightly point out that the holistic character of MLE presupposes the upholding of the representational strategy of </w:t>
      </w:r>
      <w:r w:rsidRPr="005A0CD3">
        <w:rPr>
          <w:i/>
          <w:color w:val="000000"/>
        </w:rPr>
        <w:t>precision</w:t>
      </w:r>
      <w:r>
        <w:rPr>
          <w:color w:val="000000"/>
        </w:rPr>
        <w:t xml:space="preserve"> (Weisberg’s own terminology is MAXOUT; see footnote 27) whereby modellers are only interested in the precision of predicted outcomes, though unrealistic assumptions are always made. This is true in the MLE, where scientists make a number of unrealistic assumptions, for instance, that </w:t>
      </w:r>
      <w:r w:rsidRPr="004258D0">
        <w:rPr>
          <w:color w:val="000000"/>
        </w:rPr>
        <w:t xml:space="preserve">the causal relations </w:t>
      </w:r>
      <w:r>
        <w:rPr>
          <w:color w:val="000000"/>
        </w:rPr>
        <w:t>involved are</w:t>
      </w:r>
      <w:r w:rsidRPr="004258D0">
        <w:rPr>
          <w:color w:val="000000"/>
        </w:rPr>
        <w:t xml:space="preserve"> additively linear</w:t>
      </w:r>
      <w:r>
        <w:rPr>
          <w:color w:val="000000"/>
        </w:rPr>
        <w:t xml:space="preserve">, that </w:t>
      </w:r>
      <w:r>
        <w:t>all error variables are unit normal variables, and so on. Despite these unrealistic assumptions, the predictions based on the MLE can be made very precise.</w:t>
      </w:r>
    </w:p>
    <w:p w:rsidR="00920464" w:rsidRDefault="00920464" w:rsidP="00C9449E">
      <w:pPr>
        <w:ind w:firstLine="240"/>
      </w:pPr>
      <w:r>
        <w:t>This is also true in the modelling practice of many other domains, economics for example. Alan Musgrave says that “Economic theorists often make assumptions which seem to be quite obviously false. For example, an economist may assume that goods are infinitely divisible, that consumers have a perfect knowledge of them, that transport costs are nil, that the government’s budget is balanced, ev</w:t>
      </w:r>
      <w:r w:rsidR="00031B8C">
        <w:t>en that there is no government”</w:t>
      </w:r>
      <w:r>
        <w:t xml:space="preserve"> (1981, 377)</w:t>
      </w:r>
      <w:r w:rsidR="00031B8C">
        <w:t>.</w:t>
      </w:r>
      <w:r>
        <w:t xml:space="preserve"> This basic fact aroused the famous </w:t>
      </w:r>
      <w:r w:rsidRPr="00644C8D">
        <w:rPr>
          <w:i/>
        </w:rPr>
        <w:t>Friedman twist</w:t>
      </w:r>
      <w:r>
        <w:t xml:space="preserve"> in economics, where Friedman claimed that “an economic theory should not be criticized for containing ‘unreal assumptions’: the only legitimate way to criticize an economic theory is to point out that its predictions</w:t>
      </w:r>
      <w:r w:rsidR="00031B8C">
        <w:t xml:space="preserve"> are at variance with the facts</w:t>
      </w:r>
      <w:r>
        <w:t>” (</w:t>
      </w:r>
      <w:r w:rsidRPr="00C9449E">
        <w:rPr>
          <w:i/>
        </w:rPr>
        <w:t>Ibid</w:t>
      </w:r>
      <w:r>
        <w:t>., 377)</w:t>
      </w:r>
      <w:r w:rsidR="00031B8C">
        <w:t>.</w:t>
      </w:r>
    </w:p>
    <w:p w:rsidR="00920464" w:rsidRDefault="00920464" w:rsidP="00C9449E">
      <w:pPr>
        <w:ind w:firstLine="240"/>
      </w:pPr>
      <w:r>
        <w:t xml:space="preserve">Thus the representational strategy of precision is in itself unproblematic. But the worry is that, Weisberg might argue, this strategy is just one among many, and focusing solely on it might stretch it too far. Admittedly, our considerations discussed so far might just amount to tilting at windmills, for perhaps his account holds an entirely different representational strategy, </w:t>
      </w:r>
      <w:r w:rsidRPr="007C5B5D">
        <w:rPr>
          <w:i/>
        </w:rPr>
        <w:t>realism</w:t>
      </w:r>
      <w:r>
        <w:t xml:space="preserve"> for example. Indeed, it should be accepted that his account bears a closer relationship </w:t>
      </w:r>
      <w:r w:rsidR="00FE019B">
        <w:rPr>
          <w:rFonts w:hint="eastAsia"/>
        </w:rPr>
        <w:t>to</w:t>
      </w:r>
      <w:r>
        <w:t xml:space="preserve"> the strategy of realism than </w:t>
      </w:r>
      <w:r w:rsidR="00FE019B">
        <w:rPr>
          <w:rFonts w:hint="eastAsia"/>
        </w:rPr>
        <w:t>to</w:t>
      </w:r>
      <w:r>
        <w:t xml:space="preserve"> </w:t>
      </w:r>
      <w:r>
        <w:lastRenderedPageBreak/>
        <w:t>generality and precision (or other strategies), for it turns heavily on the one-by-one manner of feature-matching. Note that his account requires that a model be</w:t>
      </w:r>
      <w:r w:rsidRPr="00C7258E">
        <w:rPr>
          <w:i/>
        </w:rPr>
        <w:t xml:space="preserve"> maximally similar</w:t>
      </w:r>
      <w:r>
        <w:t xml:space="preserve"> to its target in important respects and to substantive degrees. But if Weisberg’s objection proceeds in this way, its functioning as a general account of model-world relationship might be greatly undermined, for it might turn out that it only covers a small portion of the modelling practice where the representational strategy of realism is employed, and in particular it fails to cover the MLE in which precision is deployed. It is not too bad</w:t>
      </w:r>
      <w:r>
        <w:rPr>
          <w:lang w:val="en-AU"/>
        </w:rPr>
        <w:t xml:space="preserve"> </w:t>
      </w:r>
      <w:r>
        <w:t xml:space="preserve">since covering a bit is better than containing nothing. But we shall see in the next argument, even the hope of </w:t>
      </w:r>
      <w:r w:rsidR="004E49BA">
        <w:t>maintaining</w:t>
      </w:r>
      <w:r>
        <w:t xml:space="preserve"> this small portion </w:t>
      </w:r>
      <w:r w:rsidR="00C518B1">
        <w:t>is at risk</w:t>
      </w:r>
      <w:r>
        <w:t>.</w:t>
      </w:r>
    </w:p>
    <w:p w:rsidR="00920464" w:rsidRDefault="00920464" w:rsidP="00B069C2">
      <w:pPr>
        <w:ind w:firstLine="240"/>
        <w:rPr>
          <w:lang w:val="en-AU"/>
        </w:rPr>
      </w:pPr>
      <w:r>
        <w:rPr>
          <w:color w:val="000000"/>
        </w:rPr>
        <w:t xml:space="preserve">In summary, it turns out that </w:t>
      </w:r>
      <w:r>
        <w:rPr>
          <w:lang w:val="en-AU"/>
        </w:rPr>
        <w:t xml:space="preserve">the similarity account is </w:t>
      </w:r>
      <w:r w:rsidRPr="0085087D">
        <w:rPr>
          <w:i/>
          <w:lang w:val="en-AU"/>
        </w:rPr>
        <w:t>atomistic</w:t>
      </w:r>
      <w:r>
        <w:rPr>
          <w:lang w:val="en-AU"/>
        </w:rPr>
        <w:t xml:space="preserve"> in nature while the </w:t>
      </w:r>
      <w:r w:rsidR="00B269C5">
        <w:rPr>
          <w:lang w:val="en-AU"/>
        </w:rPr>
        <w:t>“</w:t>
      </w:r>
      <w:r w:rsidR="00B269C5">
        <w:rPr>
          <w:rFonts w:hint="eastAsia"/>
          <w:lang w:val="en-AU"/>
        </w:rPr>
        <w:t>similarity judgment</w:t>
      </w:r>
      <w:r w:rsidR="00B269C5">
        <w:rPr>
          <w:lang w:val="en-AU"/>
        </w:rPr>
        <w:t>”</w:t>
      </w:r>
      <w:r w:rsidR="00B269C5">
        <w:rPr>
          <w:rFonts w:hint="eastAsia"/>
          <w:lang w:val="en-AU"/>
        </w:rPr>
        <w:t xml:space="preserve"> in </w:t>
      </w:r>
      <w:r>
        <w:rPr>
          <w:lang w:val="en-AU"/>
        </w:rPr>
        <w:t xml:space="preserve">MLE is </w:t>
      </w:r>
      <w:r w:rsidR="00B269C5">
        <w:rPr>
          <w:rFonts w:hint="eastAsia"/>
          <w:lang w:val="en-AU"/>
        </w:rPr>
        <w:t xml:space="preserve">made in a </w:t>
      </w:r>
      <w:r>
        <w:rPr>
          <w:i/>
          <w:lang w:val="en-AU"/>
        </w:rPr>
        <w:t>holistic</w:t>
      </w:r>
      <w:r w:rsidR="00B269C5">
        <w:rPr>
          <w:rFonts w:hint="eastAsia"/>
          <w:i/>
          <w:lang w:val="en-AU"/>
        </w:rPr>
        <w:t xml:space="preserve"> </w:t>
      </w:r>
      <w:r w:rsidR="00B269C5">
        <w:rPr>
          <w:rFonts w:hint="eastAsia"/>
          <w:lang w:val="en-AU"/>
        </w:rPr>
        <w:t>manner</w:t>
      </w:r>
      <w:r>
        <w:rPr>
          <w:lang w:val="en-AU"/>
        </w:rPr>
        <w:t xml:space="preserve">. Further, his considerations about “fidelity criteria” offer no help. Weisberg might rescue his account by </w:t>
      </w:r>
      <w:r w:rsidR="00F05C08">
        <w:t xml:space="preserve">claiming </w:t>
      </w:r>
      <w:r w:rsidR="00FE019B">
        <w:rPr>
          <w:rFonts w:hint="eastAsia"/>
          <w:lang w:val="en-AU"/>
        </w:rPr>
        <w:t xml:space="preserve">either </w:t>
      </w:r>
      <w:r w:rsidR="00C37B05">
        <w:rPr>
          <w:lang w:val="en-AU"/>
        </w:rPr>
        <w:t>that his account is compatible with MLE</w:t>
      </w:r>
      <w:r>
        <w:rPr>
          <w:lang w:val="en-AU"/>
        </w:rPr>
        <w:t>, or that his account exemplifies the representational strategy of realism while the MLE the precision. But neither is convincing, for the former is simply un</w:t>
      </w:r>
      <w:r w:rsidR="00C37B05">
        <w:rPr>
          <w:lang w:val="en-AU"/>
        </w:rPr>
        <w:t>true</w:t>
      </w:r>
      <w:r>
        <w:rPr>
          <w:lang w:val="en-AU"/>
        </w:rPr>
        <w:t xml:space="preserve"> and the latter defeats itself. Perhaps it is not an accident that his account shows an atomistic flavor, the reason of which I shall explore in the next argument.</w:t>
      </w:r>
    </w:p>
    <w:p w:rsidR="00920464" w:rsidRPr="00B069C2" w:rsidRDefault="00920464" w:rsidP="00B069C2">
      <w:pPr>
        <w:ind w:firstLine="240"/>
        <w:rPr>
          <w:lang w:val="en-AU"/>
        </w:rPr>
      </w:pPr>
    </w:p>
    <w:p w:rsidR="00920464" w:rsidRDefault="00920464" w:rsidP="00903292">
      <w:pPr>
        <w:spacing w:afterLines="50" w:after="156"/>
        <w:rPr>
          <w:lang w:val="en-AU"/>
        </w:rPr>
      </w:pPr>
      <w:r>
        <w:rPr>
          <w:lang w:val="en-AU"/>
        </w:rPr>
        <w:t xml:space="preserve">4.3 Weisberg’s account assumes a </w:t>
      </w:r>
      <w:r w:rsidRPr="00DA158E">
        <w:rPr>
          <w:i/>
          <w:lang w:val="en-AU"/>
        </w:rPr>
        <w:t>set-theoretic</w:t>
      </w:r>
      <w:r>
        <w:rPr>
          <w:lang w:val="en-AU"/>
        </w:rPr>
        <w:t xml:space="preserve"> approach</w:t>
      </w:r>
    </w:p>
    <w:p w:rsidR="00155F8D" w:rsidRDefault="00920464" w:rsidP="00832E9B">
      <w:pPr>
        <w:pStyle w:val="Default"/>
        <w:jc w:val="both"/>
      </w:pPr>
      <w:r>
        <w:rPr>
          <w:lang w:val="en-AU"/>
        </w:rPr>
        <w:t xml:space="preserve">The second concern discussed above can be traced back to a </w:t>
      </w:r>
      <w:r w:rsidR="000917A1">
        <w:rPr>
          <w:rFonts w:hint="eastAsia"/>
          <w:lang w:val="en-AU"/>
        </w:rPr>
        <w:t>deeper</w:t>
      </w:r>
      <w:r>
        <w:rPr>
          <w:lang w:val="en-AU"/>
        </w:rPr>
        <w:t xml:space="preserve"> one, i.e. Weisberg’s understanding of the structure of models. </w:t>
      </w:r>
      <w:r>
        <w:t xml:space="preserve">Weisberg’s </w:t>
      </w:r>
      <w:r w:rsidR="00CA1055">
        <w:rPr>
          <w:rFonts w:hint="eastAsia"/>
        </w:rPr>
        <w:t>basic</w:t>
      </w:r>
      <w:r w:rsidR="00CA1055">
        <w:t xml:space="preserve"> </w:t>
      </w:r>
      <w:r>
        <w:t xml:space="preserve">claim is that models are </w:t>
      </w:r>
      <w:r>
        <w:rPr>
          <w:i/>
        </w:rPr>
        <w:t>interpreted structures</w:t>
      </w:r>
      <w:r>
        <w:t xml:space="preserve"> (2013, 15)</w:t>
      </w:r>
      <w:r w:rsidR="00031B8C">
        <w:t>.</w:t>
      </w:r>
      <w:r>
        <w:t xml:space="preserve"> </w:t>
      </w:r>
      <w:r w:rsidR="00DF69F6" w:rsidRPr="00DF69F6">
        <w:t xml:space="preserve">Corresponding to his three different kinds of models, Weisberg distinguishes three distinct structures: concrete, mathematical and computational structures. Of direct relevance to the discussion here is the mathematical structure, for the gas-exchange model clearly falls into the category of mathematical models. </w:t>
      </w:r>
      <w:r w:rsidR="00D52D0A">
        <w:rPr>
          <w:rFonts w:hint="eastAsia"/>
        </w:rPr>
        <w:t>He</w:t>
      </w:r>
      <w:r w:rsidR="00DF69F6" w:rsidRPr="00DF69F6">
        <w:t xml:space="preserve"> states that in many cases of modeling these mathematical structures are </w:t>
      </w:r>
      <w:r w:rsidR="00DF69F6" w:rsidRPr="00F05C08">
        <w:rPr>
          <w:i/>
        </w:rPr>
        <w:t>trajectories</w:t>
      </w:r>
      <w:r w:rsidR="00DF69F6" w:rsidRPr="00DF69F6">
        <w:t xml:space="preserve"> </w:t>
      </w:r>
      <w:r w:rsidR="00DF69F6" w:rsidRPr="00F05C08">
        <w:rPr>
          <w:i/>
        </w:rPr>
        <w:t>in state spaces</w:t>
      </w:r>
      <w:r w:rsidR="00DF69F6" w:rsidRPr="00DF69F6">
        <w:t>, but in other cases other kinds of mathematical structures</w:t>
      </w:r>
      <w:r w:rsidR="00DC3126">
        <w:rPr>
          <w:rFonts w:hint="eastAsia"/>
        </w:rPr>
        <w:t xml:space="preserve"> </w:t>
      </w:r>
      <w:r w:rsidR="00DF69F6" w:rsidRPr="00DF69F6">
        <w:t xml:space="preserve">can also be </w:t>
      </w:r>
      <w:r w:rsidR="00031B8C">
        <w:t>deployed</w:t>
      </w:r>
      <w:r w:rsidR="00DF69F6" w:rsidRPr="00DF69F6">
        <w:t xml:space="preserve"> (2013, 29)</w:t>
      </w:r>
      <w:r w:rsidR="00031B8C">
        <w:t>.</w:t>
      </w:r>
      <w:r w:rsidR="00DF69F6">
        <w:rPr>
          <w:rFonts w:hint="eastAsia"/>
        </w:rPr>
        <w:t xml:space="preserve"> </w:t>
      </w:r>
      <w:r w:rsidR="00DC3126">
        <w:rPr>
          <w:rFonts w:hint="eastAsia"/>
        </w:rPr>
        <w:t xml:space="preserve">It is worth noting here that the trajectory </w:t>
      </w:r>
      <w:r w:rsidR="000C6902">
        <w:t>(</w:t>
      </w:r>
      <w:r w:rsidR="000C6902">
        <w:rPr>
          <w:rFonts w:hint="eastAsia"/>
        </w:rPr>
        <w:t>or</w:t>
      </w:r>
      <w:r w:rsidR="000C6902">
        <w:t xml:space="preserve"> state space) </w:t>
      </w:r>
      <w:r w:rsidR="00DC3126">
        <w:rPr>
          <w:rFonts w:hint="eastAsia"/>
        </w:rPr>
        <w:t xml:space="preserve">view of </w:t>
      </w:r>
      <w:r w:rsidR="0066490B">
        <w:rPr>
          <w:rFonts w:hint="eastAsia"/>
        </w:rPr>
        <w:t xml:space="preserve">structures of models stems from the semantic view </w:t>
      </w:r>
      <w:r w:rsidR="00A1260B">
        <w:t>of</w:t>
      </w:r>
      <w:r w:rsidR="0066490B">
        <w:rPr>
          <w:rFonts w:hint="eastAsia"/>
        </w:rPr>
        <w:t xml:space="preserve"> models</w:t>
      </w:r>
      <w:r w:rsidR="0066490B" w:rsidRPr="00995E48">
        <w:t>.</w:t>
      </w:r>
      <w:r w:rsidR="000C6902" w:rsidRPr="00995E48">
        <w:rPr>
          <w:rStyle w:val="a6"/>
        </w:rPr>
        <w:footnoteReference w:id="30"/>
      </w:r>
    </w:p>
    <w:p w:rsidR="0066490B" w:rsidRPr="00995E48" w:rsidRDefault="0066490B" w:rsidP="00155F8D">
      <w:pPr>
        <w:pStyle w:val="Default"/>
        <w:ind w:firstLineChars="100" w:firstLine="240"/>
        <w:jc w:val="both"/>
      </w:pPr>
      <w:r w:rsidRPr="00F05C08">
        <w:t>I</w:t>
      </w:r>
      <w:r w:rsidR="00D73152">
        <w:t>nterestingly</w:t>
      </w:r>
      <w:r w:rsidRPr="00F05C08">
        <w:t xml:space="preserve">, though Weisberg rejects the semantic view about </w:t>
      </w:r>
      <w:r w:rsidR="00FD543B" w:rsidRPr="00F05C08">
        <w:t xml:space="preserve">the </w:t>
      </w:r>
      <w:r w:rsidR="00073001">
        <w:t>model-world relation (</w:t>
      </w:r>
      <w:r w:rsidRPr="00F05C08">
        <w:t>Weisberg (2013, 137-</w:t>
      </w:r>
      <w:r w:rsidR="00073001">
        <w:t>1</w:t>
      </w:r>
      <w:r w:rsidRPr="00F05C08">
        <w:t xml:space="preserve">42)), not </w:t>
      </w:r>
      <w:r w:rsidR="000917A1">
        <w:rPr>
          <w:rFonts w:hint="eastAsia"/>
        </w:rPr>
        <w:t>only</w:t>
      </w:r>
      <w:r w:rsidRPr="00F05C08">
        <w:t xml:space="preserve"> </w:t>
      </w:r>
      <w:r w:rsidR="001144A7">
        <w:t xml:space="preserve">does he </w:t>
      </w:r>
      <w:r w:rsidRPr="00F05C08">
        <w:t xml:space="preserve">expressly uphold the semantic view on </w:t>
      </w:r>
      <w:r w:rsidR="000917A1">
        <w:rPr>
          <w:rFonts w:hint="eastAsia"/>
        </w:rPr>
        <w:t xml:space="preserve">the </w:t>
      </w:r>
      <w:r w:rsidRPr="00F05C08">
        <w:rPr>
          <w:i/>
        </w:rPr>
        <w:t>structure</w:t>
      </w:r>
      <w:r w:rsidRPr="00F05C08">
        <w:t xml:space="preserve"> of models, </w:t>
      </w:r>
      <w:r w:rsidR="000917A1" w:rsidRPr="00F86D16">
        <w:t>his similarity account o</w:t>
      </w:r>
      <w:r w:rsidR="000917A1">
        <w:t>f</w:t>
      </w:r>
      <w:r w:rsidR="000917A1" w:rsidRPr="00F86D16">
        <w:t xml:space="preserve"> the </w:t>
      </w:r>
      <w:r w:rsidR="000917A1" w:rsidRPr="00F86D16">
        <w:rPr>
          <w:i/>
        </w:rPr>
        <w:t>model-world relation</w:t>
      </w:r>
      <w:r w:rsidR="000917A1" w:rsidRPr="00F86D16">
        <w:t xml:space="preserve"> also assumes </w:t>
      </w:r>
      <w:r w:rsidR="000917A1">
        <w:t>a</w:t>
      </w:r>
      <w:r w:rsidR="000917A1" w:rsidRPr="00F86D16">
        <w:t xml:space="preserve"> set-theoretic approach </w:t>
      </w:r>
      <w:r w:rsidR="000917A1">
        <w:t>that resembles the one found</w:t>
      </w:r>
      <w:r w:rsidR="000917A1" w:rsidRPr="00F86D16">
        <w:t xml:space="preserve"> in the</w:t>
      </w:r>
      <w:r w:rsidRPr="00F05C08">
        <w:t xml:space="preserve"> semantic view.</w:t>
      </w:r>
      <w:r w:rsidR="00155F8D">
        <w:rPr>
          <w:rStyle w:val="a6"/>
        </w:rPr>
        <w:footnoteReference w:id="31"/>
      </w:r>
      <w:r w:rsidRPr="00F05C08">
        <w:t xml:space="preserve"> </w:t>
      </w:r>
      <w:r w:rsidR="0066331A" w:rsidRPr="00995E48">
        <w:t xml:space="preserve">Given that the adequacy of semantic view on </w:t>
      </w:r>
      <w:r w:rsidR="00864CBD" w:rsidRPr="00995E48">
        <w:t xml:space="preserve">the nature (i.e. </w:t>
      </w:r>
      <w:r w:rsidR="0066331A" w:rsidRPr="00995E48">
        <w:t>st</w:t>
      </w:r>
      <w:r w:rsidR="00864CBD" w:rsidRPr="00995E48">
        <w:t>ructures) of models has</w:t>
      </w:r>
      <w:r w:rsidR="0056015F">
        <w:t xml:space="preserve"> </w:t>
      </w:r>
      <w:r w:rsidR="00864CBD" w:rsidRPr="00995E48">
        <w:t xml:space="preserve">been </w:t>
      </w:r>
      <w:r w:rsidR="003460C1" w:rsidRPr="00995E48">
        <w:t>challenged</w:t>
      </w:r>
      <w:r w:rsidR="009836AA">
        <w:t xml:space="preserve"> by many authors (Downs 1992</w:t>
      </w:r>
      <w:r w:rsidR="00FF5415">
        <w:t>;</w:t>
      </w:r>
      <w:r w:rsidR="00D76720" w:rsidRPr="00C1727E">
        <w:t xml:space="preserve"> </w:t>
      </w:r>
      <w:r w:rsidR="009836AA">
        <w:t xml:space="preserve">Frigg </w:t>
      </w:r>
      <w:r w:rsidR="00C04E8B" w:rsidRPr="00C1727E">
        <w:t>20</w:t>
      </w:r>
      <w:r w:rsidR="00C04E8B" w:rsidRPr="00C1727E">
        <w:rPr>
          <w:rFonts w:hint="eastAsia"/>
        </w:rPr>
        <w:t>06</w:t>
      </w:r>
      <w:r w:rsidR="009836AA">
        <w:t>; Godfrey-Smith 2006</w:t>
      </w:r>
      <w:r w:rsidR="00FF5415">
        <w:t>;</w:t>
      </w:r>
      <w:r w:rsidR="003B1686" w:rsidRPr="00C1727E">
        <w:t xml:space="preserve"> </w:t>
      </w:r>
      <w:r w:rsidR="009836AA">
        <w:t xml:space="preserve">Odenbaugh </w:t>
      </w:r>
      <w:r w:rsidR="00712058" w:rsidRPr="00C1727E">
        <w:rPr>
          <w:rFonts w:hint="eastAsia"/>
        </w:rPr>
        <w:t>2008</w:t>
      </w:r>
      <w:r w:rsidR="00864CBD" w:rsidRPr="00C1727E">
        <w:t>), and</w:t>
      </w:r>
      <w:r w:rsidR="00864CBD" w:rsidRPr="00995E48">
        <w:t xml:space="preserve"> </w:t>
      </w:r>
      <w:r w:rsidR="003505AC" w:rsidRPr="00995E48">
        <w:t>my argument</w:t>
      </w:r>
      <w:r w:rsidR="00864CBD" w:rsidRPr="00995E48">
        <w:t xml:space="preserve"> </w:t>
      </w:r>
      <w:r w:rsidR="003505AC" w:rsidRPr="00995E48">
        <w:t xml:space="preserve">in this paper </w:t>
      </w:r>
      <w:r w:rsidR="00864CBD" w:rsidRPr="00995E48">
        <w:t xml:space="preserve">concentrates </w:t>
      </w:r>
      <w:r w:rsidR="00360EF3" w:rsidRPr="00995E48">
        <w:t xml:space="preserve">solely </w:t>
      </w:r>
      <w:r w:rsidR="00864CBD" w:rsidRPr="00995E48">
        <w:t>on the model-world relation</w:t>
      </w:r>
      <w:r w:rsidR="005D4E42">
        <w:t xml:space="preserve"> rather than the nature of models</w:t>
      </w:r>
      <w:r w:rsidR="00864CBD" w:rsidRPr="00995E48">
        <w:t xml:space="preserve">, </w:t>
      </w:r>
      <w:r w:rsidR="003505AC" w:rsidRPr="00995E48">
        <w:t xml:space="preserve">in what follows I </w:t>
      </w:r>
      <w:r w:rsidR="003505AC" w:rsidRPr="00995E48">
        <w:lastRenderedPageBreak/>
        <w:t xml:space="preserve">will only consider the point that </w:t>
      </w:r>
      <w:r w:rsidR="008F563E">
        <w:rPr>
          <w:rFonts w:hint="eastAsia"/>
        </w:rPr>
        <w:t>Weisberg</w:t>
      </w:r>
      <w:r w:rsidR="008F563E">
        <w:t>’</w:t>
      </w:r>
      <w:r w:rsidR="008F563E">
        <w:rPr>
          <w:rFonts w:hint="eastAsia"/>
        </w:rPr>
        <w:t>s</w:t>
      </w:r>
      <w:r w:rsidR="003505AC" w:rsidRPr="003505AC">
        <w:rPr>
          <w:rFonts w:hint="eastAsia"/>
        </w:rPr>
        <w:t xml:space="preserve"> similarity account on the </w:t>
      </w:r>
      <w:r w:rsidR="003505AC" w:rsidRPr="00F05C08">
        <w:t>model-world relation</w:t>
      </w:r>
      <w:r w:rsidR="003505AC" w:rsidRPr="003505AC">
        <w:rPr>
          <w:rFonts w:hint="eastAsia"/>
        </w:rPr>
        <w:t xml:space="preserve"> assumes </w:t>
      </w:r>
      <w:r w:rsidR="002B0E3D">
        <w:t>a</w:t>
      </w:r>
      <w:r w:rsidR="00333D98">
        <w:t>n inappropriate</w:t>
      </w:r>
      <w:r w:rsidR="003505AC" w:rsidRPr="003505AC">
        <w:rPr>
          <w:rFonts w:hint="eastAsia"/>
        </w:rPr>
        <w:t xml:space="preserve"> set-theoretic approach</w:t>
      </w:r>
      <w:r w:rsidR="003505AC">
        <w:t>.</w:t>
      </w:r>
      <w:r w:rsidR="003505AC" w:rsidRPr="00995E48">
        <w:t xml:space="preserve"> </w:t>
      </w:r>
      <w:r w:rsidR="00FD543B" w:rsidRPr="00F05C08">
        <w:t xml:space="preserve">Let us demonstrate </w:t>
      </w:r>
      <w:r w:rsidR="000917A1">
        <w:rPr>
          <w:rFonts w:hint="eastAsia"/>
        </w:rPr>
        <w:t>this</w:t>
      </w:r>
      <w:r w:rsidR="000D1A8F">
        <w:t>.</w:t>
      </w:r>
    </w:p>
    <w:p w:rsidR="009C7B3E" w:rsidRPr="00F05C08" w:rsidRDefault="0079270E" w:rsidP="00F05C08">
      <w:pPr>
        <w:pStyle w:val="Default"/>
        <w:ind w:firstLineChars="100" w:firstLine="240"/>
        <w:jc w:val="both"/>
      </w:pPr>
      <w:r w:rsidRPr="0079270E">
        <w:rPr>
          <w:rFonts w:hint="eastAsia"/>
        </w:rPr>
        <w:t xml:space="preserve"> </w:t>
      </w:r>
      <w:r>
        <w:rPr>
          <w:rFonts w:hint="eastAsia"/>
        </w:rPr>
        <w:t>I</w:t>
      </w:r>
      <w:r>
        <w:t xml:space="preserve">t can be proved that Weisberg’s similarity measure is equivalent to the </w:t>
      </w:r>
      <w:r>
        <w:rPr>
          <w:i/>
        </w:rPr>
        <w:t>Jaccard similarity coefficient</w:t>
      </w:r>
      <w:r>
        <w:t xml:space="preserve"> between two sets (see </w:t>
      </w:r>
      <w:r w:rsidR="003C325F">
        <w:rPr>
          <w:i/>
        </w:rPr>
        <w:t xml:space="preserve">Box </w:t>
      </w:r>
      <w:r w:rsidR="003C325F">
        <w:rPr>
          <w:rFonts w:hint="eastAsia"/>
          <w:i/>
        </w:rPr>
        <w:t xml:space="preserve">1 </w:t>
      </w:r>
      <w:r w:rsidR="003C325F">
        <w:rPr>
          <w:rFonts w:hint="eastAsia"/>
        </w:rPr>
        <w:t>below</w:t>
      </w:r>
      <w:r w:rsidR="003C325F">
        <w:t>).</w:t>
      </w:r>
      <w:r w:rsidR="008B5B49">
        <w:rPr>
          <w:rStyle w:val="a6"/>
        </w:rPr>
        <w:footnoteReference w:id="32"/>
      </w:r>
      <w:r w:rsidR="003C325F">
        <w:t xml:space="preserve"> Box </w:t>
      </w:r>
      <w:r w:rsidR="003C325F">
        <w:rPr>
          <w:rFonts w:hint="eastAsia"/>
        </w:rPr>
        <w:t>1</w:t>
      </w:r>
      <w:r>
        <w:t xml:space="preserve"> should make it intuitively clear that Weisberg’s account says just what the Jaccard similarity coefficient says—that the degree of similarity between two things depends on the ratio of elements shared to the total elements of these two things</w:t>
      </w:r>
      <w:r w:rsidR="00006B48">
        <w:t>.</w:t>
      </w:r>
      <w:r w:rsidR="00006B48">
        <w:rPr>
          <w:i/>
        </w:rPr>
        <w:t xml:space="preserve"> </w:t>
      </w:r>
      <w:r w:rsidR="00006B48">
        <w:t>T</w:t>
      </w:r>
      <w:r w:rsidR="00920464">
        <w:t xml:space="preserve">he full demonstration can be found in </w:t>
      </w:r>
      <w:r w:rsidR="00920464">
        <w:rPr>
          <w:i/>
        </w:rPr>
        <w:t>Appendix</w:t>
      </w:r>
      <w:r w:rsidR="009C7B3E">
        <w:rPr>
          <w:i/>
        </w:rPr>
        <w:t xml:space="preserve"> 2</w:t>
      </w:r>
      <w:r w:rsidR="00920464">
        <w:t>.</w:t>
      </w:r>
    </w:p>
    <w:p w:rsidR="00920464" w:rsidRDefault="00920464" w:rsidP="00A434BA">
      <w:pPr>
        <w:pStyle w:val="Default"/>
        <w:spacing w:before="120"/>
        <w:jc w:val="both"/>
        <w:rPr>
          <w:b/>
          <w:sz w:val="21"/>
          <w:szCs w:val="21"/>
          <w:lang w:val="en-AU"/>
        </w:rPr>
      </w:pPr>
      <w:r>
        <w:rPr>
          <w:rFonts w:eastAsia="Times New Roman"/>
        </w:rPr>
        <w:t>——————————————————————————————————</w:t>
      </w:r>
    </w:p>
    <w:p w:rsidR="00920464" w:rsidRPr="00576A95" w:rsidRDefault="003C325F">
      <w:pPr>
        <w:rPr>
          <w:color w:val="000000"/>
          <w:sz w:val="21"/>
          <w:szCs w:val="21"/>
        </w:rPr>
      </w:pPr>
      <w:r>
        <w:rPr>
          <w:b/>
          <w:sz w:val="21"/>
          <w:szCs w:val="21"/>
          <w:lang w:val="en-AU"/>
        </w:rPr>
        <w:t xml:space="preserve">Box </w:t>
      </w:r>
      <w:r>
        <w:rPr>
          <w:rFonts w:hint="eastAsia"/>
          <w:b/>
          <w:sz w:val="21"/>
          <w:szCs w:val="21"/>
          <w:lang w:val="en-AU"/>
        </w:rPr>
        <w:t>1</w:t>
      </w:r>
      <w:r w:rsidR="00920464" w:rsidRPr="00576A95">
        <w:rPr>
          <w:b/>
          <w:sz w:val="21"/>
          <w:szCs w:val="21"/>
          <w:lang w:val="en-AU"/>
        </w:rPr>
        <w:t>. The Jaccard Similarity Coefficient (JSC)</w:t>
      </w:r>
    </w:p>
    <w:p w:rsidR="00920464" w:rsidRDefault="00920464" w:rsidP="00EB7D14">
      <w:pPr>
        <w:rPr>
          <w:i/>
          <w:sz w:val="21"/>
          <w:szCs w:val="21"/>
        </w:rPr>
      </w:pPr>
      <w:r>
        <w:rPr>
          <w:color w:val="000000"/>
          <w:sz w:val="21"/>
          <w:szCs w:val="21"/>
        </w:rPr>
        <w:t>The Jaccard index, also known as the Jaccard similarity coefficient, is a statistic used for comparing the similarity and diversity of sample sets. For two non-empty finite sets X and Y, the Jaccard coefficient is the number of elements in the intersection X</w:t>
      </w:r>
      <w:r>
        <w:rPr>
          <w:rFonts w:ascii="Symbol" w:hAnsi="Symbol"/>
          <w:sz w:val="21"/>
          <w:szCs w:val="21"/>
          <w:lang w:val="en-AU"/>
        </w:rPr>
        <w:t></w:t>
      </w:r>
      <w:r w:rsidRPr="001E7F1E">
        <w:rPr>
          <w:color w:val="000000"/>
          <w:sz w:val="21"/>
          <w:szCs w:val="21"/>
        </w:rPr>
        <w:t>Y</w:t>
      </w:r>
      <w:r>
        <w:rPr>
          <w:color w:val="000000"/>
          <w:sz w:val="21"/>
          <w:szCs w:val="21"/>
        </w:rPr>
        <w:t xml:space="preserve"> of X and Y:</w:t>
      </w:r>
    </w:p>
    <w:p w:rsidR="00920464" w:rsidRDefault="00920464" w:rsidP="00FA7A36">
      <w:pPr>
        <w:spacing w:before="60" w:after="60"/>
        <w:ind w:firstLine="210"/>
        <w:rPr>
          <w:sz w:val="21"/>
          <w:szCs w:val="21"/>
          <w:lang w:val="en-AU"/>
        </w:rPr>
      </w:pPr>
      <w:r>
        <w:rPr>
          <w:i/>
          <w:sz w:val="21"/>
          <w:szCs w:val="21"/>
        </w:rPr>
        <w:t>J</w:t>
      </w:r>
      <w:r>
        <w:rPr>
          <w:sz w:val="21"/>
          <w:szCs w:val="21"/>
        </w:rPr>
        <w:t xml:space="preserve"> (</w:t>
      </w:r>
      <w:r>
        <w:rPr>
          <w:i/>
          <w:sz w:val="21"/>
          <w:szCs w:val="21"/>
        </w:rPr>
        <w:t>X</w:t>
      </w:r>
      <w:r>
        <w:rPr>
          <w:sz w:val="21"/>
          <w:szCs w:val="21"/>
        </w:rPr>
        <w:t xml:space="preserve">, </w:t>
      </w:r>
      <w:r>
        <w:rPr>
          <w:i/>
          <w:sz w:val="21"/>
          <w:szCs w:val="21"/>
        </w:rPr>
        <w:t>Y</w:t>
      </w:r>
      <w:r>
        <w:rPr>
          <w:sz w:val="21"/>
          <w:szCs w:val="21"/>
        </w:rPr>
        <w:t>) =</w:t>
      </w:r>
      <w:r>
        <w:rPr>
          <w:sz w:val="21"/>
          <w:szCs w:val="21"/>
          <w:lang w:val="en-AU"/>
        </w:rPr>
        <w:t xml:space="preserve"> </w:t>
      </w:r>
      <w:r>
        <w:rPr>
          <w:rFonts w:ascii="Symbol" w:hAnsi="Symbol"/>
          <w:sz w:val="21"/>
          <w:szCs w:val="21"/>
          <w:lang w:val="en-AU"/>
        </w:rPr>
        <w:t></w:t>
      </w:r>
      <w:r>
        <w:rPr>
          <w:i/>
          <w:sz w:val="21"/>
          <w:szCs w:val="21"/>
          <w:lang w:val="en-AU"/>
        </w:rPr>
        <w:t>X</w:t>
      </w:r>
      <w:r>
        <w:rPr>
          <w:rFonts w:ascii="Symbol" w:hAnsi="Symbol"/>
          <w:sz w:val="21"/>
          <w:szCs w:val="21"/>
          <w:lang w:val="en-AU"/>
        </w:rPr>
        <w:t></w:t>
      </w:r>
      <w:r>
        <w:rPr>
          <w:i/>
          <w:sz w:val="21"/>
          <w:szCs w:val="21"/>
        </w:rPr>
        <w:t>Y</w:t>
      </w:r>
      <w:r>
        <w:rPr>
          <w:rFonts w:ascii="Symbol" w:hAnsi="Symbol"/>
          <w:sz w:val="21"/>
          <w:szCs w:val="21"/>
          <w:lang w:val="en-AU"/>
        </w:rPr>
        <w:t></w:t>
      </w:r>
      <w:r>
        <w:rPr>
          <w:sz w:val="21"/>
          <w:szCs w:val="21"/>
          <w:lang w:val="en-AU"/>
        </w:rPr>
        <w:t>/</w:t>
      </w:r>
      <w:r>
        <w:rPr>
          <w:rFonts w:ascii="Symbol" w:hAnsi="Symbol"/>
          <w:sz w:val="21"/>
          <w:szCs w:val="21"/>
          <w:lang w:val="en-AU"/>
        </w:rPr>
        <w:t></w:t>
      </w:r>
      <w:r>
        <w:rPr>
          <w:i/>
          <w:sz w:val="21"/>
          <w:szCs w:val="21"/>
          <w:lang w:val="en-AU"/>
        </w:rPr>
        <w:t>X</w:t>
      </w:r>
      <w:r>
        <w:rPr>
          <w:rFonts w:ascii="Symbol" w:hAnsi="Symbol"/>
          <w:sz w:val="21"/>
          <w:szCs w:val="21"/>
          <w:lang w:val="en-AU"/>
        </w:rPr>
        <w:t></w:t>
      </w:r>
      <w:r>
        <w:rPr>
          <w:i/>
          <w:sz w:val="21"/>
          <w:szCs w:val="21"/>
          <w:lang w:val="en-AU"/>
        </w:rPr>
        <w:t>Y</w:t>
      </w:r>
      <w:r>
        <w:rPr>
          <w:rFonts w:ascii="Symbol" w:hAnsi="Symbol"/>
          <w:sz w:val="21"/>
          <w:szCs w:val="21"/>
          <w:lang w:val="en-AU"/>
        </w:rPr>
        <w:t></w:t>
      </w:r>
      <w:r>
        <w:rPr>
          <w:sz w:val="21"/>
          <w:szCs w:val="21"/>
          <w:lang w:val="en-AU"/>
        </w:rPr>
        <w:t xml:space="preserve"> (If X and Y are both empty, we define </w:t>
      </w:r>
      <w:r>
        <w:rPr>
          <w:i/>
          <w:sz w:val="21"/>
          <w:szCs w:val="21"/>
          <w:lang w:val="en-AU"/>
        </w:rPr>
        <w:t>J</w:t>
      </w:r>
      <w:r>
        <w:rPr>
          <w:sz w:val="21"/>
          <w:szCs w:val="21"/>
          <w:lang w:val="en-AU"/>
        </w:rPr>
        <w:t>(</w:t>
      </w:r>
      <w:r>
        <w:rPr>
          <w:i/>
          <w:sz w:val="21"/>
          <w:szCs w:val="21"/>
          <w:lang w:val="en-AU"/>
        </w:rPr>
        <w:t>X</w:t>
      </w:r>
      <w:r>
        <w:rPr>
          <w:sz w:val="21"/>
          <w:szCs w:val="21"/>
          <w:lang w:val="en-AU"/>
        </w:rPr>
        <w:t xml:space="preserve">, </w:t>
      </w:r>
      <w:r>
        <w:rPr>
          <w:i/>
          <w:sz w:val="21"/>
          <w:szCs w:val="21"/>
          <w:lang w:val="en-AU"/>
        </w:rPr>
        <w:t>Y</w:t>
      </w:r>
      <w:r>
        <w:rPr>
          <w:sz w:val="21"/>
          <w:szCs w:val="21"/>
          <w:lang w:val="en-AU"/>
        </w:rPr>
        <w:t>) = 1.)</w:t>
      </w:r>
    </w:p>
    <w:p w:rsidR="00920464" w:rsidRDefault="00920464" w:rsidP="00EB7D14">
      <w:pPr>
        <w:rPr>
          <w:sz w:val="21"/>
          <w:szCs w:val="21"/>
          <w:lang w:val="en-AU"/>
        </w:rPr>
      </w:pPr>
      <w:r>
        <w:rPr>
          <w:sz w:val="21"/>
          <w:szCs w:val="21"/>
          <w:lang w:val="en-AU"/>
        </w:rPr>
        <w:t xml:space="preserve">It measures the probability that an element of at least one of two sets is an element of both, and </w:t>
      </w:r>
      <w:r w:rsidR="00726BBB">
        <w:rPr>
          <w:sz w:val="21"/>
          <w:szCs w:val="21"/>
          <w:lang w:val="en-AU"/>
        </w:rPr>
        <w:t xml:space="preserve">is </w:t>
      </w:r>
      <w:r>
        <w:rPr>
          <w:sz w:val="21"/>
          <w:szCs w:val="21"/>
          <w:lang w:val="en-AU"/>
        </w:rPr>
        <w:t>thus a reasonable measure of similari</w:t>
      </w:r>
      <w:r w:rsidR="00031B8C">
        <w:rPr>
          <w:sz w:val="21"/>
          <w:szCs w:val="21"/>
          <w:lang w:val="en-AU"/>
        </w:rPr>
        <w:t>ty or ‘overlap’ between the two</w:t>
      </w:r>
      <w:r>
        <w:rPr>
          <w:sz w:val="21"/>
          <w:szCs w:val="21"/>
          <w:lang w:val="en-AU"/>
        </w:rPr>
        <w:t xml:space="preserve"> (</w:t>
      </w:r>
      <w:r w:rsidRPr="00DE6587">
        <w:rPr>
          <w:sz w:val="21"/>
          <w:szCs w:val="21"/>
          <w:lang w:val="en-AU"/>
        </w:rPr>
        <w:t>Levandowsky</w:t>
      </w:r>
      <w:r>
        <w:rPr>
          <w:sz w:val="21"/>
          <w:szCs w:val="21"/>
          <w:lang w:val="en-AU"/>
        </w:rPr>
        <w:t xml:space="preserve"> &amp; Winter </w:t>
      </w:r>
      <w:r w:rsidRPr="00DE6587">
        <w:rPr>
          <w:sz w:val="21"/>
          <w:szCs w:val="21"/>
          <w:lang w:val="en-AU"/>
        </w:rPr>
        <w:t>1971</w:t>
      </w:r>
      <w:r>
        <w:rPr>
          <w:sz w:val="21"/>
          <w:szCs w:val="21"/>
          <w:lang w:val="en-AU"/>
        </w:rPr>
        <w:t>, 34)</w:t>
      </w:r>
      <w:r w:rsidR="00031B8C">
        <w:rPr>
          <w:sz w:val="21"/>
          <w:szCs w:val="21"/>
          <w:lang w:val="en-AU"/>
        </w:rPr>
        <w:t>.</w:t>
      </w:r>
    </w:p>
    <w:p w:rsidR="00920464" w:rsidRDefault="00920464" w:rsidP="00EB7D14">
      <w:r>
        <w:rPr>
          <w:sz w:val="21"/>
          <w:szCs w:val="21"/>
          <w:lang w:val="en-AU"/>
        </w:rPr>
        <w:t>———————————————————————————————————————</w:t>
      </w:r>
    </w:p>
    <w:p w:rsidR="004017FA" w:rsidRPr="004017FA" w:rsidRDefault="00920464" w:rsidP="007A6902">
      <w:pPr>
        <w:pStyle w:val="Default"/>
        <w:jc w:val="both"/>
        <w:rPr>
          <w:lang w:val="en-AU"/>
        </w:rPr>
      </w:pPr>
      <w:r>
        <w:t xml:space="preserve">This approach to similarity assumes a </w:t>
      </w:r>
      <w:r>
        <w:rPr>
          <w:i/>
        </w:rPr>
        <w:t>set-theoretic</w:t>
      </w:r>
      <w:r>
        <w:t xml:space="preserve"> way of describing objects</w:t>
      </w:r>
      <w:r>
        <w:rPr>
          <w:sz w:val="16"/>
          <w:szCs w:val="16"/>
        </w:rPr>
        <w:t xml:space="preserve"> </w:t>
      </w:r>
      <w:r>
        <w:t xml:space="preserve">(models and targets) in which features are independent of each other, just as elements of a set are independent of each other. </w:t>
      </w:r>
      <w:r w:rsidR="007A6902">
        <w:t xml:space="preserve">That is, it views both the model and the target as </w:t>
      </w:r>
      <w:r w:rsidR="007E1737">
        <w:t>a set</w:t>
      </w:r>
      <w:r w:rsidR="007A6902">
        <w:t xml:space="preserve"> of independent elements, the similarity between which consists in the ratio of </w:t>
      </w:r>
      <w:r w:rsidR="002805CF">
        <w:t xml:space="preserve">the number of </w:t>
      </w:r>
      <w:r w:rsidR="007A6902">
        <w:t xml:space="preserve">elements shared to the </w:t>
      </w:r>
      <w:r w:rsidR="002805CF">
        <w:t xml:space="preserve">number of the </w:t>
      </w:r>
      <w:bookmarkStart w:id="1" w:name="_GoBack"/>
      <w:bookmarkEnd w:id="1"/>
      <w:r w:rsidR="007A6902">
        <w:t xml:space="preserve">total elements. </w:t>
      </w:r>
      <w:r>
        <w:t xml:space="preserve">However, </w:t>
      </w:r>
      <w:r w:rsidR="002E0DE8">
        <w:rPr>
          <w:iCs/>
        </w:rPr>
        <w:t xml:space="preserve">as </w:t>
      </w:r>
      <w:r w:rsidR="002E0DE8">
        <w:rPr>
          <w:rFonts w:hint="eastAsia"/>
          <w:iCs/>
        </w:rPr>
        <w:t>my second argument</w:t>
      </w:r>
      <w:r w:rsidR="002E0DE8">
        <w:rPr>
          <w:iCs/>
        </w:rPr>
        <w:t xml:space="preserve"> (and MLE practice) </w:t>
      </w:r>
      <w:r w:rsidR="002E0DE8">
        <w:rPr>
          <w:rFonts w:hint="eastAsia"/>
          <w:iCs/>
        </w:rPr>
        <w:t>show</w:t>
      </w:r>
      <w:r w:rsidR="002E0DE8">
        <w:rPr>
          <w:iCs/>
        </w:rPr>
        <w:t>s</w:t>
      </w:r>
      <w:r w:rsidR="002E0DE8">
        <w:t xml:space="preserve">, </w:t>
      </w:r>
      <w:r>
        <w:t>modellers</w:t>
      </w:r>
      <w:r w:rsidR="00D92E3F">
        <w:t xml:space="preserve">, at least in many </w:t>
      </w:r>
      <w:r w:rsidR="0079270E">
        <w:rPr>
          <w:rFonts w:hint="eastAsia"/>
        </w:rPr>
        <w:t xml:space="preserve">forms of </w:t>
      </w:r>
      <w:r w:rsidR="00D92E3F">
        <w:t xml:space="preserve">mathematical modelling, </w:t>
      </w:r>
      <w:r>
        <w:t xml:space="preserve">do not engage in set-theoretic descriptions and comparisons of their models with their targets. </w:t>
      </w:r>
      <w:r>
        <w:rPr>
          <w:i/>
          <w:iCs/>
        </w:rPr>
        <w:t>Rather, they judge their models as wholes</w:t>
      </w:r>
      <w:r w:rsidR="00D17CB6">
        <w:t>;</w:t>
      </w:r>
      <w:r w:rsidR="003D7FAA">
        <w:t xml:space="preserve"> </w:t>
      </w:r>
      <w:r w:rsidR="00D17CB6">
        <w:rPr>
          <w:i/>
          <w:lang w:val="en-AU"/>
        </w:rPr>
        <w:t>m</w:t>
      </w:r>
      <w:r w:rsidR="003D7FAA">
        <w:rPr>
          <w:i/>
          <w:lang w:val="en-AU"/>
        </w:rPr>
        <w:t>odels are not bags of features</w:t>
      </w:r>
      <w:r w:rsidR="003D7FAA">
        <w:rPr>
          <w:lang w:val="en-AU"/>
        </w:rPr>
        <w:t>.</w:t>
      </w:r>
      <w:r w:rsidR="003D7FAA">
        <w:t xml:space="preserve"> </w:t>
      </w:r>
      <w:r>
        <w:t xml:space="preserve">This is because models are </w:t>
      </w:r>
      <w:r w:rsidR="00416530" w:rsidRPr="00416530">
        <w:rPr>
          <w:i/>
        </w:rPr>
        <w:t>organized</w:t>
      </w:r>
      <w:r w:rsidR="00416530">
        <w:t xml:space="preserve"> </w:t>
      </w:r>
      <w:r>
        <w:rPr>
          <w:i/>
        </w:rPr>
        <w:t>structures</w:t>
      </w:r>
      <w:r w:rsidR="00470AB3">
        <w:rPr>
          <w:rStyle w:val="a6"/>
          <w:i/>
        </w:rPr>
        <w:footnoteReference w:id="33"/>
      </w:r>
      <w:r>
        <w:t xml:space="preserve"> where features bear strong relationships (in contrast with elements of a set) to one another, rather than </w:t>
      </w:r>
      <w:r w:rsidR="00416530" w:rsidRPr="00392542">
        <w:rPr>
          <w:i/>
        </w:rPr>
        <w:t>aggre</w:t>
      </w:r>
      <w:r w:rsidR="00392542" w:rsidRPr="00392542">
        <w:rPr>
          <w:i/>
        </w:rPr>
        <w:t xml:space="preserve">gative </w:t>
      </w:r>
      <w:r w:rsidRPr="00392542">
        <w:rPr>
          <w:i/>
        </w:rPr>
        <w:t>structures</w:t>
      </w:r>
      <w:r>
        <w:rPr>
          <w:i/>
        </w:rPr>
        <w:t>,</w:t>
      </w:r>
      <w:r>
        <w:t xml:space="preserve"> as Weisberg</w:t>
      </w:r>
      <w:r w:rsidR="00610224">
        <w:t>’s account</w:t>
      </w:r>
      <w:r>
        <w:t xml:space="preserve"> assumes, where features are independent. The difference between set-theoretic and non-set-theoretic ways of describing objects can be brought out by a simple figure</w:t>
      </w:r>
      <w:r>
        <w:rPr>
          <w:lang w:val="en-AU"/>
        </w:rPr>
        <w:t>:</w:t>
      </w:r>
    </w:p>
    <w:p w:rsidR="00671E8B" w:rsidRDefault="004F41A4" w:rsidP="007A6902">
      <w:pPr>
        <w:pStyle w:val="Default"/>
        <w:jc w:val="both"/>
        <w:rPr>
          <w:lang w:val="en-AU"/>
        </w:rPr>
      </w:pPr>
      <w:r>
        <w:rPr>
          <w:noProof/>
        </w:rPr>
        <w:pict>
          <v:oval id="_x0000_s1070" style="position:absolute;left:0;text-align:left;margin-left:190.1pt;margin-top:15.05pt;width:127.1pt;height:70.1pt;z-index:32"/>
        </w:pict>
      </w:r>
      <w:r>
        <w:rPr>
          <w:noProof/>
        </w:rPr>
        <w:pict>
          <v:oval id="_x0000_s1068" style="position:absolute;left:0;text-align:left;margin-left:47.25pt;margin-top:14.4pt;width:127.1pt;height:70.1pt;z-index:31"/>
        </w:pict>
      </w:r>
    </w:p>
    <w:p w:rsidR="00671E8B" w:rsidRDefault="004F41A4" w:rsidP="001A733C">
      <w:pPr>
        <w:pStyle w:val="Default"/>
        <w:ind w:firstLine="240"/>
        <w:jc w:val="both"/>
        <w:rPr>
          <w:lang w:val="en-AU"/>
        </w:rPr>
      </w:pPr>
      <w:r>
        <w:rPr>
          <w:noProof/>
        </w:rPr>
        <w:pict>
          <v:oval id="_x0000_s1093" style="position:absolute;left:0;text-align:left;margin-left:247.75pt;margin-top:14.45pt;width:7.15pt;height:7.15pt;z-index:46"/>
        </w:pict>
      </w:r>
      <w:r>
        <w:rPr>
          <w:noProof/>
        </w:rPr>
        <w:pict>
          <v:oval id="_x0000_s1074" style="position:absolute;left:0;text-align:left;margin-left:112.9pt;margin-top:7.3pt;width:7.15pt;height:7.15pt;z-index:36"/>
        </w:pict>
      </w:r>
      <w:r>
        <w:rPr>
          <w:noProof/>
        </w:rPr>
        <w:pict>
          <v:oval id="_x0000_s1071" style="position:absolute;left:0;text-align:left;margin-left:84.05pt;margin-top:14.45pt;width:7.15pt;height:7.15pt;z-index:33"/>
        </w:pict>
      </w:r>
    </w:p>
    <w:p w:rsidR="00671E8B" w:rsidRDefault="004F41A4" w:rsidP="001A733C">
      <w:pPr>
        <w:pStyle w:val="Default"/>
        <w:ind w:firstLine="240"/>
        <w:jc w:val="both"/>
        <w:rPr>
          <w:lang w:val="en-AU"/>
        </w:rPr>
      </w:pPr>
      <w:r>
        <w:rPr>
          <w:noProof/>
        </w:rPr>
        <w:pict>
          <v:shape id="_x0000_s1114" type="#_x0000_t32" style="position:absolute;left:0;text-align:left;margin-left:245.2pt;margin-top:15.1pt;width:17.5pt;height:7.15pt;z-index:62" o:connectortype="straight"/>
        </w:pict>
      </w:r>
      <w:r>
        <w:rPr>
          <w:noProof/>
        </w:rPr>
        <w:pict>
          <v:shape id="_x0000_s1107" type="#_x0000_t32" style="position:absolute;left:0;text-align:left;margin-left:224.1pt;margin-top:10.85pt;width:3.25pt;height:16.85pt;z-index:57" o:connectortype="straight"/>
        </w:pict>
      </w:r>
      <w:r>
        <w:rPr>
          <w:noProof/>
        </w:rPr>
        <w:pict>
          <v:shape id="_x0000_s1105" type="#_x0000_t32" style="position:absolute;left:0;text-align:left;margin-left:269.85pt;margin-top:11.85pt;width:13.55pt;height:15.2pt;z-index:55" o:connectortype="straight"/>
        </w:pict>
      </w:r>
      <w:r>
        <w:rPr>
          <w:noProof/>
        </w:rPr>
        <w:pict>
          <v:shape id="_x0000_s1102" type="#_x0000_t32" style="position:absolute;left:0;text-align:left;margin-left:253.6pt;margin-top:6pt;width:11.1pt;height:33.3pt;z-index:54" o:connectortype="straight"/>
        </w:pict>
      </w:r>
      <w:r>
        <w:rPr>
          <w:noProof/>
        </w:rPr>
        <w:pict>
          <v:shape id="_x0000_s1101" type="#_x0000_t32" style="position:absolute;left:0;text-align:left;margin-left:226.05pt;margin-top:10.2pt;width:19.15pt;height:17.5pt;z-index:53" o:connectortype="straight"/>
        </w:pict>
      </w:r>
      <w:r>
        <w:rPr>
          <w:noProof/>
        </w:rPr>
        <w:pict>
          <v:shape id="_x0000_s1099" type="#_x0000_t32" style="position:absolute;left:0;text-align:left;margin-left:245.2pt;margin-top:5.35pt;width:4.85pt;height:7.15pt;flip:x;z-index:52" o:connectortype="straight"/>
        </w:pict>
      </w:r>
      <w:r>
        <w:rPr>
          <w:noProof/>
        </w:rPr>
        <w:pict>
          <v:shape id="_x0000_s1098" type="#_x0000_t32" style="position:absolute;left:0;text-align:left;margin-left:226.05pt;margin-top:5.35pt;width:39.95pt;height:4.85pt;z-index:51" o:connectortype="straight"/>
        </w:pict>
      </w:r>
      <w:r>
        <w:rPr>
          <w:noProof/>
        </w:rPr>
        <w:pict>
          <v:oval id="_x0000_s1090" style="position:absolute;left:0;text-align:left;margin-left:238.05pt;margin-top:10.85pt;width:7.15pt;height:7.15pt;z-index:43"/>
        </w:pict>
      </w:r>
      <w:r>
        <w:rPr>
          <w:noProof/>
        </w:rPr>
        <w:pict>
          <v:oval id="_x0000_s1092" style="position:absolute;left:0;text-align:left;margin-left:266pt;margin-top:6pt;width:7.15pt;height:7.15pt;z-index:45"/>
        </w:pict>
      </w:r>
      <w:r>
        <w:rPr>
          <w:noProof/>
        </w:rPr>
        <w:pict>
          <v:oval id="_x0000_s1091" style="position:absolute;left:0;text-align:left;margin-left:242.9pt;margin-top:27.7pt;width:7.15pt;height:7.15pt;z-index:44"/>
        </w:pict>
      </w:r>
      <w:r>
        <w:rPr>
          <w:noProof/>
        </w:rPr>
        <w:pict>
          <v:oval id="_x0000_s1087" style="position:absolute;left:0;text-align:left;margin-left:218.9pt;margin-top:3.7pt;width:7.15pt;height:7.15pt;z-index:42"/>
        </w:pict>
      </w:r>
      <w:r>
        <w:rPr>
          <w:noProof/>
        </w:rPr>
        <w:pict>
          <v:oval id="_x0000_s1086" style="position:absolute;left:0;text-align:left;margin-left:131.45pt;margin-top:13.15pt;width:7.15pt;height:7.15pt;z-index:41"/>
        </w:pict>
      </w:r>
      <w:r>
        <w:rPr>
          <w:noProof/>
        </w:rPr>
        <w:pict>
          <v:oval id="_x0000_s1073" style="position:absolute;left:0;text-align:left;margin-left:120.05pt;margin-top:6pt;width:7.15pt;height:7.15pt;z-index:35"/>
        </w:pict>
      </w:r>
      <w:r>
        <w:rPr>
          <w:noProof/>
        </w:rPr>
        <w:pict>
          <v:oval id="_x0000_s1072" style="position:absolute;left:0;text-align:left;margin-left:103.2pt;margin-top:3.7pt;width:7.15pt;height:7.15pt;z-index:34"/>
        </w:pict>
      </w:r>
      <w:r>
        <w:rPr>
          <w:noProof/>
        </w:rPr>
        <w:pict>
          <v:oval id="_x0000_s1084" style="position:absolute;left:0;text-align:left;margin-left:80.3pt;margin-top:10.85pt;width:7.15pt;height:7.15pt;z-index:39"/>
        </w:pict>
      </w:r>
    </w:p>
    <w:p w:rsidR="00671E8B" w:rsidRDefault="004F41A4" w:rsidP="001A733C">
      <w:pPr>
        <w:pStyle w:val="Default"/>
        <w:ind w:firstLine="240"/>
        <w:jc w:val="both"/>
        <w:rPr>
          <w:lang w:val="en-AU"/>
        </w:rPr>
      </w:pPr>
      <w:r>
        <w:rPr>
          <w:noProof/>
        </w:rPr>
        <w:pict>
          <v:shape id="_x0000_s1112" type="#_x0000_t32" style="position:absolute;left:0;text-align:left;margin-left:249.4pt;margin-top:13.4pt;width:33.35pt;height:3.9pt;flip:y;z-index:61" o:connectortype="straight"/>
        </w:pict>
      </w:r>
      <w:r>
        <w:rPr>
          <w:noProof/>
        </w:rPr>
        <w:pict>
          <v:shape id="_x0000_s1110" type="#_x0000_t32" style="position:absolute;left:0;text-align:left;margin-left:269.2pt;margin-top:7.95pt;width:14.2pt;height:4.15pt;z-index:59" o:connectortype="straight"/>
        </w:pict>
      </w:r>
      <w:r>
        <w:rPr>
          <w:noProof/>
        </w:rPr>
        <w:pict>
          <v:shape id="_x0000_s1109" type="#_x0000_t32" style="position:absolute;left:0;text-align:left;margin-left:242.9pt;margin-top:2.4pt;width:19.8pt;height:21.3pt;z-index:58" o:connectortype="straight"/>
        </w:pict>
      </w:r>
      <w:r>
        <w:rPr>
          <w:noProof/>
        </w:rPr>
        <w:pict>
          <v:shape id="_x0000_s1106" type="#_x0000_t32" style="position:absolute;left:0;text-align:left;margin-left:233.85pt;margin-top:7.95pt;width:28.85pt;height:8.05pt;flip:y;z-index:56" o:connectortype="straight"/>
        </w:pict>
      </w:r>
      <w:r>
        <w:rPr>
          <w:noProof/>
        </w:rPr>
        <w:pict>
          <v:oval id="_x0000_s1095" style="position:absolute;left:0;text-align:left;margin-left:262.05pt;margin-top:2.4pt;width:7.15pt;height:7.15pt;z-index:48"/>
        </w:pict>
      </w:r>
      <w:r>
        <w:rPr>
          <w:noProof/>
        </w:rPr>
        <w:pict>
          <v:oval id="_x0000_s1096" style="position:absolute;left:0;text-align:left;margin-left:282.75pt;margin-top:9.55pt;width:7.15pt;height:7.15pt;z-index:49"/>
        </w:pict>
      </w:r>
      <w:r>
        <w:rPr>
          <w:noProof/>
        </w:rPr>
        <w:pict>
          <v:oval id="_x0000_s1094" style="position:absolute;left:0;text-align:left;margin-left:226.05pt;margin-top:12.1pt;width:7.15pt;height:7.15pt;z-index:47"/>
        </w:pict>
      </w:r>
      <w:r>
        <w:rPr>
          <w:noProof/>
        </w:rPr>
        <w:pict>
          <v:oval id="_x0000_s1085" style="position:absolute;left:0;text-align:left;margin-left:120.05pt;margin-top:9.55pt;width:7.15pt;height:7.15pt;z-index:40"/>
        </w:pict>
      </w:r>
      <w:r>
        <w:rPr>
          <w:noProof/>
        </w:rPr>
        <w:pict>
          <v:oval id="_x0000_s1082" style="position:absolute;left:0;text-align:left;margin-left:103.2pt;margin-top:2.4pt;width:7.15pt;height:7.15pt;z-index:37"/>
        </w:pict>
      </w:r>
      <w:r>
        <w:rPr>
          <w:noProof/>
        </w:rPr>
        <w:pict>
          <v:oval id="_x0000_s1083" style="position:absolute;left:0;text-align:left;margin-left:91.2pt;margin-top:12.1pt;width:7.15pt;height:7.15pt;z-index:38"/>
        </w:pict>
      </w:r>
    </w:p>
    <w:p w:rsidR="00671E8B" w:rsidRDefault="004F41A4" w:rsidP="001A733C">
      <w:pPr>
        <w:pStyle w:val="Default"/>
        <w:ind w:firstLine="240"/>
        <w:jc w:val="both"/>
        <w:rPr>
          <w:lang w:val="en-AU"/>
        </w:rPr>
      </w:pPr>
      <w:r>
        <w:rPr>
          <w:noProof/>
        </w:rPr>
        <w:pict>
          <v:shape id="_x0000_s1111" type="#_x0000_t32" style="position:absolute;left:0;text-align:left;margin-left:269.2pt;margin-top:.4pt;width:14.2pt;height:7.7pt;flip:y;z-index:60" o:connectortype="straight"/>
        </w:pict>
      </w:r>
      <w:r>
        <w:rPr>
          <w:noProof/>
        </w:rPr>
        <w:pict>
          <v:oval id="_x0000_s1097" style="position:absolute;left:0;text-align:left;margin-left:262.05pt;margin-top:8.1pt;width:7.15pt;height:7.15pt;z-index:50"/>
        </w:pict>
      </w:r>
    </w:p>
    <w:p w:rsidR="00671E8B" w:rsidRDefault="00671E8B" w:rsidP="001A733C">
      <w:pPr>
        <w:pStyle w:val="Default"/>
        <w:ind w:firstLine="240"/>
        <w:jc w:val="both"/>
        <w:rPr>
          <w:lang w:val="en-AU"/>
        </w:rPr>
      </w:pPr>
    </w:p>
    <w:p w:rsidR="00671E8B" w:rsidRPr="00F05C08" w:rsidRDefault="0036792A" w:rsidP="00F05C08">
      <w:pPr>
        <w:pStyle w:val="Default"/>
        <w:spacing w:afterLines="50" w:after="156" w:line="200" w:lineRule="exact"/>
        <w:ind w:leftChars="50" w:left="1276" w:hangingChars="642" w:hanging="1156"/>
        <w:jc w:val="both"/>
        <w:rPr>
          <w:sz w:val="18"/>
          <w:szCs w:val="18"/>
          <w:lang w:val="en-AU"/>
        </w:rPr>
      </w:pPr>
      <w:r w:rsidRPr="00F05C08">
        <w:rPr>
          <w:sz w:val="18"/>
          <w:szCs w:val="18"/>
          <w:lang w:val="en-AU"/>
        </w:rPr>
        <w:t xml:space="preserve">   </w:t>
      </w:r>
      <w:r>
        <w:rPr>
          <w:rFonts w:hint="eastAsia"/>
          <w:sz w:val="18"/>
          <w:szCs w:val="18"/>
          <w:lang w:val="en-AU"/>
        </w:rPr>
        <w:t xml:space="preserve"> </w:t>
      </w:r>
      <w:r w:rsidRPr="00F05C08">
        <w:rPr>
          <w:sz w:val="18"/>
          <w:szCs w:val="18"/>
          <w:lang w:val="en-AU"/>
        </w:rPr>
        <w:t xml:space="preserve">Figure 3. Set-theoretic and non-set-theoretic ways of describing objects. The </w:t>
      </w:r>
      <w:r>
        <w:rPr>
          <w:sz w:val="18"/>
          <w:szCs w:val="18"/>
          <w:lang w:val="en-AU"/>
        </w:rPr>
        <w:t>former assumes that features</w:t>
      </w:r>
      <w:r>
        <w:rPr>
          <w:rFonts w:hint="eastAsia"/>
          <w:sz w:val="18"/>
          <w:szCs w:val="18"/>
          <w:lang w:val="en-AU"/>
        </w:rPr>
        <w:t xml:space="preserve"> </w:t>
      </w:r>
      <w:r w:rsidRPr="00F05C08">
        <w:rPr>
          <w:sz w:val="18"/>
          <w:szCs w:val="18"/>
          <w:lang w:val="en-AU"/>
        </w:rPr>
        <w:t>of the object are independent while the latter assumes that they are interconnected.</w:t>
      </w:r>
    </w:p>
    <w:p w:rsidR="00CD2D2D" w:rsidRDefault="00920464" w:rsidP="00CD2D2D">
      <w:pPr>
        <w:pStyle w:val="Default"/>
        <w:ind w:firstLine="240"/>
        <w:jc w:val="both"/>
        <w:rPr>
          <w:lang w:val="pt-PT"/>
        </w:rPr>
      </w:pPr>
      <w:r w:rsidRPr="004A04F1">
        <w:t>F</w:t>
      </w:r>
      <w:r>
        <w:t>igure 3 reveal</w:t>
      </w:r>
      <w:r>
        <w:rPr>
          <w:lang w:val="en-AU"/>
        </w:rPr>
        <w:t>s</w:t>
      </w:r>
      <w:r>
        <w:t xml:space="preserve"> that if features are interconnected with one another, then it is simply misleading to assess the fit between the model and the target in a </w:t>
      </w:r>
      <w:r>
        <w:rPr>
          <w:lang w:val="en-AU"/>
        </w:rPr>
        <w:t>set-theoretic</w:t>
      </w:r>
      <w:r>
        <w:t xml:space="preserve"> </w:t>
      </w:r>
      <w:r>
        <w:lastRenderedPageBreak/>
        <w:t>way, for this inevitably severs the interconnections among features</w:t>
      </w:r>
      <w:r w:rsidR="00031B8C">
        <w:t>.</w:t>
      </w:r>
      <w:r>
        <w:rPr>
          <w:rStyle w:val="a6"/>
        </w:rPr>
        <w:footnoteReference w:id="34"/>
      </w:r>
      <w:r w:rsidR="00D92E3F">
        <w:t xml:space="preserve"> This can also be shown by taking a closer look at the structural equations </w:t>
      </w:r>
      <w:r w:rsidR="00E34768">
        <w:t xml:space="preserve">(described in </w:t>
      </w:r>
      <w:r w:rsidR="00E34768" w:rsidRPr="00F05C08">
        <w:rPr>
          <w:i/>
        </w:rPr>
        <w:t>Appendix 1</w:t>
      </w:r>
      <w:r w:rsidR="00E34768">
        <w:t xml:space="preserve">, </w:t>
      </w:r>
      <w:r w:rsidR="00C14D09">
        <w:rPr>
          <w:rFonts w:hint="eastAsia"/>
          <w:i/>
        </w:rPr>
        <w:t>B</w:t>
      </w:r>
      <w:r w:rsidR="00E34768" w:rsidRPr="00F05C08">
        <w:rPr>
          <w:i/>
        </w:rPr>
        <w:t>ox 1</w:t>
      </w:r>
      <w:r w:rsidR="00E34768">
        <w:t xml:space="preserve">) </w:t>
      </w:r>
      <w:r w:rsidR="00D92E3F">
        <w:t xml:space="preserve">derived from the leaf gas-exchange model </w:t>
      </w:r>
      <w:r w:rsidR="00E34768">
        <w:t xml:space="preserve">(or more precisely, derived from the causal structure of the model). </w:t>
      </w:r>
      <w:r w:rsidR="00CD2D2D">
        <w:t>Consider, for example, the variable “</w:t>
      </w:r>
      <w:r w:rsidR="00CD2D2D">
        <w:rPr>
          <w:lang w:val="pt-PT"/>
        </w:rPr>
        <w:t>n</w:t>
      </w:r>
      <w:r w:rsidR="00CD2D2D" w:rsidRPr="00F05C08">
        <w:rPr>
          <w:lang w:val="pt-PT"/>
        </w:rPr>
        <w:t>et photosynthetic rate</w:t>
      </w:r>
      <w:r w:rsidR="00CD2D2D">
        <w:rPr>
          <w:lang w:val="pt-PT"/>
        </w:rPr>
        <w:t>”</w:t>
      </w:r>
      <w:r w:rsidR="004327C5">
        <w:rPr>
          <w:lang w:val="pt-PT"/>
        </w:rPr>
        <w:t xml:space="preserve"> (</w:t>
      </w:r>
      <w:r w:rsidR="004327C5" w:rsidRPr="00F05C08">
        <w:rPr>
          <w:i/>
          <w:lang w:val="pt-PT"/>
        </w:rPr>
        <w:t>X</w:t>
      </w:r>
      <w:r w:rsidR="004327C5" w:rsidRPr="00F05C08">
        <w:rPr>
          <w:i/>
          <w:vertAlign w:val="subscript"/>
          <w:lang w:val="pt-PT"/>
        </w:rPr>
        <w:t>4</w:t>
      </w:r>
      <w:r w:rsidR="004327C5">
        <w:rPr>
          <w:lang w:val="pt-PT"/>
        </w:rPr>
        <w:t>)</w:t>
      </w:r>
      <w:r w:rsidR="00CD2D2D">
        <w:rPr>
          <w:lang w:val="pt-PT"/>
        </w:rPr>
        <w:t xml:space="preserve">, </w:t>
      </w:r>
      <w:r w:rsidR="00536E22">
        <w:rPr>
          <w:lang w:val="pt-PT"/>
        </w:rPr>
        <w:t xml:space="preserve">whose relationship with other variables </w:t>
      </w:r>
      <w:r w:rsidR="004327C5">
        <w:rPr>
          <w:lang w:val="pt-PT"/>
        </w:rPr>
        <w:t xml:space="preserve">in the model </w:t>
      </w:r>
      <w:r w:rsidR="00536E22">
        <w:rPr>
          <w:lang w:val="pt-PT"/>
        </w:rPr>
        <w:t>is described as follows:</w:t>
      </w:r>
    </w:p>
    <w:p w:rsidR="00CD2D2D" w:rsidRPr="00F05C08" w:rsidRDefault="00CD2D2D" w:rsidP="00F05C08">
      <w:pPr>
        <w:pStyle w:val="Default"/>
        <w:spacing w:beforeLines="50" w:before="156" w:afterLines="50" w:after="156"/>
        <w:ind w:firstLine="238"/>
        <w:jc w:val="both"/>
        <w:rPr>
          <w:rFonts w:eastAsia="Times New Roman"/>
          <w:color w:val="FF0000"/>
          <w:lang w:val="en-AU"/>
        </w:rPr>
      </w:pPr>
      <w:r>
        <w:rPr>
          <w:lang w:val="pt-PT"/>
        </w:rPr>
        <w:t xml:space="preserve"> </w:t>
      </w:r>
      <w:r w:rsidRPr="00F05C08">
        <w:rPr>
          <w:lang w:val="pt-PT"/>
        </w:rPr>
        <w:t>X</w:t>
      </w:r>
      <w:r w:rsidRPr="00F05C08">
        <w:rPr>
          <w:vertAlign w:val="subscript"/>
          <w:lang w:val="pt-PT"/>
        </w:rPr>
        <w:t>4</w:t>
      </w:r>
      <w:r w:rsidRPr="00F05C08">
        <w:rPr>
          <w:lang w:val="pt-PT"/>
        </w:rPr>
        <w:t xml:space="preserve"> = a</w:t>
      </w:r>
      <w:r w:rsidRPr="00F05C08">
        <w:rPr>
          <w:vertAlign w:val="subscript"/>
          <w:lang w:val="pt-PT"/>
        </w:rPr>
        <w:t>3</w:t>
      </w:r>
      <w:r w:rsidRPr="00F05C08">
        <w:rPr>
          <w:lang w:val="pt-PT"/>
        </w:rPr>
        <w:t>X</w:t>
      </w:r>
      <w:r w:rsidRPr="00F05C08">
        <w:rPr>
          <w:vertAlign w:val="subscript"/>
          <w:lang w:val="pt-PT"/>
        </w:rPr>
        <w:t>3</w:t>
      </w:r>
      <w:r w:rsidRPr="00F05C08">
        <w:rPr>
          <w:lang w:val="pt-PT"/>
        </w:rPr>
        <w:t xml:space="preserve"> + b</w:t>
      </w:r>
      <w:r w:rsidRPr="00F05C08">
        <w:rPr>
          <w:vertAlign w:val="subscript"/>
          <w:lang w:val="pt-PT"/>
        </w:rPr>
        <w:t>4</w:t>
      </w:r>
      <w:r w:rsidRPr="00F05C08">
        <w:t>ε</w:t>
      </w:r>
      <w:r w:rsidRPr="00F05C08">
        <w:rPr>
          <w:vertAlign w:val="subscript"/>
          <w:lang w:val="pt-PT"/>
        </w:rPr>
        <w:t>4</w:t>
      </w:r>
      <w:r w:rsidR="00536E22">
        <w:rPr>
          <w:vertAlign w:val="subscript"/>
          <w:lang w:val="pt-PT"/>
        </w:rPr>
        <w:t xml:space="preserve">         </w:t>
      </w:r>
      <w:r w:rsidR="00536E22">
        <w:rPr>
          <w:lang w:val="pt-PT"/>
        </w:rPr>
        <w:t xml:space="preserve">                                           (4)</w:t>
      </w:r>
    </w:p>
    <w:p w:rsidR="003D7FAA" w:rsidRDefault="004327C5" w:rsidP="00F05C08">
      <w:pPr>
        <w:pStyle w:val="Default"/>
        <w:jc w:val="both"/>
        <w:rPr>
          <w:lang w:val="pt-PT"/>
        </w:rPr>
      </w:pPr>
      <w:r>
        <w:rPr>
          <w:lang w:val="en-AU"/>
        </w:rPr>
        <w:t xml:space="preserve">where </w:t>
      </w:r>
      <w:r w:rsidRPr="00F05C08">
        <w:rPr>
          <w:i/>
          <w:lang w:val="en-AU"/>
        </w:rPr>
        <w:t>X</w:t>
      </w:r>
      <w:r w:rsidRPr="00F05C08">
        <w:rPr>
          <w:i/>
          <w:vertAlign w:val="subscript"/>
          <w:lang w:val="en-AU"/>
        </w:rPr>
        <w:t>3</w:t>
      </w:r>
      <w:r>
        <w:rPr>
          <w:lang w:val="en-AU"/>
        </w:rPr>
        <w:t xml:space="preserve"> is the variable “</w:t>
      </w:r>
      <w:r w:rsidR="006772A3">
        <w:rPr>
          <w:lang w:val="en-AU"/>
        </w:rPr>
        <w:t>s</w:t>
      </w:r>
      <w:r w:rsidRPr="004327C5">
        <w:rPr>
          <w:lang w:val="en-AU"/>
        </w:rPr>
        <w:t>tomatal conductance</w:t>
      </w:r>
      <w:r>
        <w:rPr>
          <w:lang w:val="en-AU"/>
        </w:rPr>
        <w:t xml:space="preserve">”, </w:t>
      </w:r>
      <w:r w:rsidRPr="00F05C08">
        <w:rPr>
          <w:i/>
        </w:rPr>
        <w:t>ε</w:t>
      </w:r>
      <w:r w:rsidRPr="00F05C08">
        <w:rPr>
          <w:i/>
          <w:vertAlign w:val="subscript"/>
          <w:lang w:val="pt-PT"/>
        </w:rPr>
        <w:t>4</w:t>
      </w:r>
      <w:r>
        <w:rPr>
          <w:vertAlign w:val="subscript"/>
          <w:lang w:val="pt-PT"/>
        </w:rPr>
        <w:t xml:space="preserve"> </w:t>
      </w:r>
      <w:r w:rsidR="006772A3">
        <w:t xml:space="preserve">an error variable, and </w:t>
      </w:r>
      <w:r w:rsidR="006772A3" w:rsidRPr="00F05C08">
        <w:rPr>
          <w:i/>
        </w:rPr>
        <w:t>a</w:t>
      </w:r>
      <w:r w:rsidR="006772A3" w:rsidRPr="00F05C08">
        <w:rPr>
          <w:i/>
          <w:vertAlign w:val="subscript"/>
        </w:rPr>
        <w:t>3</w:t>
      </w:r>
      <w:r w:rsidR="006772A3">
        <w:t xml:space="preserve"> and </w:t>
      </w:r>
      <w:r w:rsidR="006772A3" w:rsidRPr="00F05C08">
        <w:rPr>
          <w:i/>
        </w:rPr>
        <w:t>b</w:t>
      </w:r>
      <w:r w:rsidR="006772A3" w:rsidRPr="00F05C08">
        <w:rPr>
          <w:i/>
          <w:vertAlign w:val="subscript"/>
        </w:rPr>
        <w:t>4</w:t>
      </w:r>
      <w:r w:rsidR="006772A3">
        <w:t xml:space="preserve"> two free parameters. </w:t>
      </w:r>
      <w:r w:rsidR="00FE0E05">
        <w:t xml:space="preserve">Equation </w:t>
      </w:r>
      <w:r w:rsidR="00190EB3">
        <w:rPr>
          <w:lang w:val="pt-PT"/>
        </w:rPr>
        <w:t xml:space="preserve">(4) shows that the value of </w:t>
      </w:r>
      <w:r w:rsidR="00190EB3" w:rsidRPr="00F05C08">
        <w:rPr>
          <w:i/>
          <w:lang w:val="pt-PT"/>
        </w:rPr>
        <w:t>X</w:t>
      </w:r>
      <w:r w:rsidR="00190EB3" w:rsidRPr="00F05C08">
        <w:rPr>
          <w:i/>
          <w:vertAlign w:val="subscript"/>
          <w:lang w:val="pt-PT"/>
        </w:rPr>
        <w:t>4</w:t>
      </w:r>
      <w:r w:rsidR="00190EB3">
        <w:rPr>
          <w:lang w:val="pt-PT"/>
        </w:rPr>
        <w:t xml:space="preserve"> depends on both the values </w:t>
      </w:r>
      <w:r w:rsidR="004B237E">
        <w:rPr>
          <w:lang w:val="pt-PT"/>
        </w:rPr>
        <w:t xml:space="preserve">of </w:t>
      </w:r>
      <w:r w:rsidR="00190EB3" w:rsidRPr="00F05C08">
        <w:rPr>
          <w:i/>
          <w:lang w:val="pt-PT"/>
        </w:rPr>
        <w:t>X</w:t>
      </w:r>
      <w:r w:rsidR="00190EB3" w:rsidRPr="00F05C08">
        <w:rPr>
          <w:i/>
          <w:vertAlign w:val="subscript"/>
          <w:lang w:val="pt-PT"/>
        </w:rPr>
        <w:t>3</w:t>
      </w:r>
      <w:r w:rsidR="00190EB3">
        <w:rPr>
          <w:lang w:val="pt-PT"/>
        </w:rPr>
        <w:t xml:space="preserve"> and </w:t>
      </w:r>
      <w:r w:rsidR="00190EB3" w:rsidRPr="004F4A9A">
        <w:rPr>
          <w:i/>
        </w:rPr>
        <w:t>ε</w:t>
      </w:r>
      <w:r w:rsidR="00190EB3" w:rsidRPr="004F4A9A">
        <w:rPr>
          <w:i/>
          <w:vertAlign w:val="subscript"/>
          <w:lang w:val="pt-PT"/>
        </w:rPr>
        <w:t>4</w:t>
      </w:r>
      <w:r w:rsidR="00190EB3">
        <w:rPr>
          <w:lang w:val="pt-PT"/>
        </w:rPr>
        <w:t xml:space="preserve">, and their parameters </w:t>
      </w:r>
      <w:r w:rsidR="00190EB3" w:rsidRPr="004F4A9A">
        <w:rPr>
          <w:i/>
        </w:rPr>
        <w:t>a</w:t>
      </w:r>
      <w:r w:rsidR="00190EB3" w:rsidRPr="004F4A9A">
        <w:rPr>
          <w:i/>
          <w:vertAlign w:val="subscript"/>
        </w:rPr>
        <w:t>3</w:t>
      </w:r>
      <w:r w:rsidR="00190EB3">
        <w:t xml:space="preserve"> and </w:t>
      </w:r>
      <w:r w:rsidR="00190EB3" w:rsidRPr="004F4A9A">
        <w:rPr>
          <w:i/>
        </w:rPr>
        <w:t>b</w:t>
      </w:r>
      <w:r w:rsidR="00190EB3" w:rsidRPr="004F4A9A">
        <w:rPr>
          <w:i/>
          <w:vertAlign w:val="subscript"/>
        </w:rPr>
        <w:t>4</w:t>
      </w:r>
      <w:r w:rsidR="00190EB3">
        <w:t xml:space="preserve">. </w:t>
      </w:r>
      <w:r w:rsidR="00FE0E05">
        <w:t>(</w:t>
      </w:r>
      <w:r w:rsidR="00B42575">
        <w:t xml:space="preserve">Similarly, the value of </w:t>
      </w:r>
      <w:r w:rsidR="00B42575" w:rsidRPr="004F4A9A">
        <w:rPr>
          <w:i/>
          <w:lang w:val="pt-PT"/>
        </w:rPr>
        <w:t>X</w:t>
      </w:r>
      <w:r w:rsidR="00B42575" w:rsidRPr="004F4A9A">
        <w:rPr>
          <w:i/>
          <w:vertAlign w:val="subscript"/>
          <w:lang w:val="pt-PT"/>
        </w:rPr>
        <w:t>3</w:t>
      </w:r>
      <w:r w:rsidR="00B42575">
        <w:rPr>
          <w:lang w:val="pt-PT"/>
        </w:rPr>
        <w:t xml:space="preserve"> in turn </w:t>
      </w:r>
      <w:r w:rsidR="00B42575">
        <w:t xml:space="preserve">depends on the values of </w:t>
      </w:r>
      <w:r w:rsidR="00B42575" w:rsidRPr="00F05C08">
        <w:rPr>
          <w:i/>
        </w:rPr>
        <w:t>X</w:t>
      </w:r>
      <w:r w:rsidR="00B42575" w:rsidRPr="00F05C08">
        <w:rPr>
          <w:i/>
          <w:vertAlign w:val="subscript"/>
        </w:rPr>
        <w:t>2</w:t>
      </w:r>
      <w:r w:rsidR="00B42575">
        <w:t xml:space="preserve"> and </w:t>
      </w:r>
      <w:r w:rsidR="00B42575" w:rsidRPr="004F4A9A">
        <w:rPr>
          <w:i/>
        </w:rPr>
        <w:t>ε</w:t>
      </w:r>
      <w:r w:rsidR="00B42575">
        <w:rPr>
          <w:i/>
          <w:vertAlign w:val="subscript"/>
          <w:lang w:val="pt-PT"/>
        </w:rPr>
        <w:t>3</w:t>
      </w:r>
      <w:r w:rsidR="00B42575">
        <w:t xml:space="preserve">, and their parameters </w:t>
      </w:r>
      <w:r w:rsidR="00FE0E05" w:rsidRPr="00F05C08">
        <w:rPr>
          <w:i/>
        </w:rPr>
        <w:t>a</w:t>
      </w:r>
      <w:r w:rsidR="00FE0E05" w:rsidRPr="00F05C08">
        <w:rPr>
          <w:i/>
          <w:vertAlign w:val="subscript"/>
        </w:rPr>
        <w:t>2</w:t>
      </w:r>
      <w:r w:rsidR="00FE0E05">
        <w:t xml:space="preserve"> and </w:t>
      </w:r>
      <w:r w:rsidR="00FE0E05" w:rsidRPr="00F05C08">
        <w:rPr>
          <w:i/>
        </w:rPr>
        <w:t>b</w:t>
      </w:r>
      <w:r w:rsidR="00FE0E05" w:rsidRPr="00F05C08">
        <w:rPr>
          <w:i/>
          <w:vertAlign w:val="subscript"/>
        </w:rPr>
        <w:t>3</w:t>
      </w:r>
      <w:r w:rsidR="00FE0E05">
        <w:t>.</w:t>
      </w:r>
      <w:r w:rsidR="00B42575">
        <w:t xml:space="preserve"> </w:t>
      </w:r>
      <w:r w:rsidR="00FE0E05">
        <w:t xml:space="preserve">And so on and on.) </w:t>
      </w:r>
      <w:r w:rsidR="00B42575">
        <w:t xml:space="preserve">According to Weisberg’s account, “net </w:t>
      </w:r>
      <w:r w:rsidR="00B42575" w:rsidRPr="004F4A9A">
        <w:rPr>
          <w:lang w:val="pt-PT"/>
        </w:rPr>
        <w:t>photosynthetic rate</w:t>
      </w:r>
      <w:r w:rsidR="00B42575">
        <w:rPr>
          <w:lang w:val="pt-PT"/>
        </w:rPr>
        <w:t xml:space="preserve">” and </w:t>
      </w:r>
      <w:r w:rsidR="00B42575">
        <w:rPr>
          <w:lang w:val="en-AU"/>
        </w:rPr>
        <w:t>“s</w:t>
      </w:r>
      <w:r w:rsidR="00B42575" w:rsidRPr="004327C5">
        <w:rPr>
          <w:lang w:val="en-AU"/>
        </w:rPr>
        <w:t>tomatal conductance</w:t>
      </w:r>
      <w:r w:rsidR="00B42575">
        <w:rPr>
          <w:lang w:val="en-AU"/>
        </w:rPr>
        <w:t xml:space="preserve">” </w:t>
      </w:r>
      <w:r w:rsidR="00B42575">
        <w:rPr>
          <w:lang w:val="pt-PT"/>
        </w:rPr>
        <w:t xml:space="preserve">are </w:t>
      </w:r>
      <w:r w:rsidR="00201005">
        <w:rPr>
          <w:lang w:val="pt-PT"/>
        </w:rPr>
        <w:t xml:space="preserve">two </w:t>
      </w:r>
      <w:r w:rsidR="004B237E">
        <w:rPr>
          <w:lang w:val="pt-PT"/>
        </w:rPr>
        <w:t>attributes</w:t>
      </w:r>
      <w:r w:rsidR="00B42575">
        <w:rPr>
          <w:lang w:val="pt-PT"/>
        </w:rPr>
        <w:t xml:space="preserve"> shared by the model and the target.</w:t>
      </w:r>
      <w:r w:rsidR="00FE0E05">
        <w:rPr>
          <w:lang w:val="pt-PT"/>
        </w:rPr>
        <w:t xml:space="preserve"> Now suppose, because of certain reason</w:t>
      </w:r>
      <w:r w:rsidR="003C5046">
        <w:rPr>
          <w:lang w:val="pt-PT"/>
        </w:rPr>
        <w:t>s</w:t>
      </w:r>
      <w:r w:rsidR="00FE0E05">
        <w:rPr>
          <w:lang w:val="pt-PT"/>
        </w:rPr>
        <w:t xml:space="preserve">, we weight </w:t>
      </w:r>
      <w:r w:rsidR="008D4B35">
        <w:rPr>
          <w:lang w:val="pt-PT"/>
        </w:rPr>
        <w:t xml:space="preserve">the </w:t>
      </w:r>
      <w:r w:rsidR="004B237E">
        <w:rPr>
          <w:lang w:val="pt-PT"/>
        </w:rPr>
        <w:t>attribute</w:t>
      </w:r>
      <w:r w:rsidR="008D4B35">
        <w:rPr>
          <w:lang w:val="pt-PT"/>
        </w:rPr>
        <w:t xml:space="preserve"> </w:t>
      </w:r>
      <w:r w:rsidR="008D4B35">
        <w:rPr>
          <w:lang w:val="en-AU"/>
        </w:rPr>
        <w:t>“s</w:t>
      </w:r>
      <w:r w:rsidR="008D4B35" w:rsidRPr="004327C5">
        <w:rPr>
          <w:lang w:val="en-AU"/>
        </w:rPr>
        <w:t>tomatal conductance</w:t>
      </w:r>
      <w:r w:rsidR="008D4B35">
        <w:rPr>
          <w:lang w:val="en-AU"/>
        </w:rPr>
        <w:t>”</w:t>
      </w:r>
      <w:r w:rsidR="00FE0E05">
        <w:rPr>
          <w:lang w:val="pt-PT"/>
        </w:rPr>
        <w:t xml:space="preserve"> very highly. </w:t>
      </w:r>
      <w:r w:rsidR="008D4B35">
        <w:rPr>
          <w:lang w:val="pt-PT"/>
        </w:rPr>
        <w:t xml:space="preserve">If so, and other things being equal, we must also weight the </w:t>
      </w:r>
      <w:r w:rsidR="004B237E">
        <w:rPr>
          <w:lang w:val="pt-PT"/>
        </w:rPr>
        <w:t>attribute</w:t>
      </w:r>
      <w:r w:rsidR="008D4B35">
        <w:rPr>
          <w:lang w:val="pt-PT"/>
        </w:rPr>
        <w:t xml:space="preserve"> “</w:t>
      </w:r>
      <w:r w:rsidR="008D4B35">
        <w:t xml:space="preserve">net </w:t>
      </w:r>
      <w:r w:rsidR="008D4B35" w:rsidRPr="004F4A9A">
        <w:rPr>
          <w:lang w:val="pt-PT"/>
        </w:rPr>
        <w:t>photosynthetic rate</w:t>
      </w:r>
      <w:r w:rsidR="008D4B35">
        <w:rPr>
          <w:lang w:val="pt-PT"/>
        </w:rPr>
        <w:t xml:space="preserve">” very highly, for the latter </w:t>
      </w:r>
      <w:r w:rsidR="003C5046">
        <w:rPr>
          <w:lang w:val="pt-PT"/>
        </w:rPr>
        <w:t>additively</w:t>
      </w:r>
      <w:r w:rsidR="008D4B35">
        <w:rPr>
          <w:lang w:val="pt-PT"/>
        </w:rPr>
        <w:t xml:space="preserve"> relies on the former. </w:t>
      </w:r>
      <w:r w:rsidR="00201005">
        <w:rPr>
          <w:lang w:val="pt-PT"/>
        </w:rPr>
        <w:t xml:space="preserve">And if we weight </w:t>
      </w:r>
      <w:r w:rsidR="00201005">
        <w:t xml:space="preserve">“net </w:t>
      </w:r>
      <w:r w:rsidR="00201005" w:rsidRPr="004F4A9A">
        <w:rPr>
          <w:lang w:val="pt-PT"/>
        </w:rPr>
        <w:t>photosynthetic rate</w:t>
      </w:r>
      <w:r w:rsidR="00201005">
        <w:rPr>
          <w:lang w:val="pt-PT"/>
        </w:rPr>
        <w:t>” very highly, we must also, for the same reason</w:t>
      </w:r>
      <w:r w:rsidR="00591E94">
        <w:rPr>
          <w:lang w:val="pt-PT"/>
        </w:rPr>
        <w:t>,</w:t>
      </w:r>
      <w:r w:rsidR="00201005">
        <w:rPr>
          <w:lang w:val="pt-PT"/>
        </w:rPr>
        <w:t xml:space="preserve">  weight </w:t>
      </w:r>
      <w:r w:rsidR="00201005" w:rsidRPr="00201005">
        <w:rPr>
          <w:lang w:val="pt-PT"/>
        </w:rPr>
        <w:t>“</w:t>
      </w:r>
      <w:r w:rsidR="00201005" w:rsidRPr="00F05C08">
        <w:rPr>
          <w:lang w:val="pt-PT"/>
        </w:rPr>
        <w:t>internal CO</w:t>
      </w:r>
      <w:r w:rsidR="00201005" w:rsidRPr="00F05C08">
        <w:rPr>
          <w:vertAlign w:val="subscript"/>
          <w:lang w:val="pt-PT"/>
        </w:rPr>
        <w:t>2</w:t>
      </w:r>
      <w:r w:rsidR="00201005" w:rsidRPr="00F05C08">
        <w:rPr>
          <w:lang w:val="pt-PT"/>
        </w:rPr>
        <w:t xml:space="preserve"> concentration” (</w:t>
      </w:r>
      <w:r w:rsidR="00201005" w:rsidRPr="00F05C08">
        <w:rPr>
          <w:i/>
          <w:lang w:val="pt-PT"/>
        </w:rPr>
        <w:t>X</w:t>
      </w:r>
      <w:r w:rsidR="00201005" w:rsidRPr="00F05C08">
        <w:rPr>
          <w:i/>
          <w:vertAlign w:val="subscript"/>
          <w:lang w:val="pt-PT"/>
        </w:rPr>
        <w:t>5</w:t>
      </w:r>
      <w:r w:rsidR="00201005" w:rsidRPr="00F05C08">
        <w:rPr>
          <w:lang w:val="pt-PT"/>
        </w:rPr>
        <w:t>)</w:t>
      </w:r>
      <w:r w:rsidR="00201005">
        <w:rPr>
          <w:lang w:val="pt-PT"/>
        </w:rPr>
        <w:t xml:space="preserve"> very highly. And so on and on</w:t>
      </w:r>
      <w:r w:rsidR="00591E94">
        <w:rPr>
          <w:lang w:val="pt-PT"/>
        </w:rPr>
        <w:t xml:space="preserve"> until we weight all </w:t>
      </w:r>
      <w:r w:rsidR="004B237E">
        <w:rPr>
          <w:lang w:val="pt-PT"/>
        </w:rPr>
        <w:t>attributes</w:t>
      </w:r>
      <w:r w:rsidR="00591E94">
        <w:rPr>
          <w:lang w:val="pt-PT"/>
        </w:rPr>
        <w:t xml:space="preserve"> very highly. </w:t>
      </w:r>
      <w:r w:rsidR="004B237E">
        <w:rPr>
          <w:lang w:val="pt-PT"/>
        </w:rPr>
        <w:t xml:space="preserve">The same story also holds for mechanisms. </w:t>
      </w:r>
      <w:r w:rsidR="003C5046">
        <w:rPr>
          <w:lang w:val="pt-PT"/>
        </w:rPr>
        <w:t xml:space="preserve">Mechanisms here mean causal relations between variables. </w:t>
      </w:r>
      <w:r w:rsidR="00990BA5">
        <w:rPr>
          <w:lang w:val="pt-PT"/>
        </w:rPr>
        <w:t xml:space="preserve">For example, if we weight the causal relation from </w:t>
      </w:r>
      <w:r w:rsidR="00990BA5" w:rsidRPr="00F05C08">
        <w:rPr>
          <w:i/>
          <w:lang w:val="pt-PT"/>
        </w:rPr>
        <w:t>X</w:t>
      </w:r>
      <w:r w:rsidR="00990BA5" w:rsidRPr="00F05C08">
        <w:rPr>
          <w:i/>
          <w:vertAlign w:val="subscript"/>
          <w:lang w:val="pt-PT"/>
        </w:rPr>
        <w:t>1</w:t>
      </w:r>
      <w:r w:rsidR="00990BA5">
        <w:rPr>
          <w:lang w:val="pt-PT"/>
        </w:rPr>
        <w:t xml:space="preserve"> to </w:t>
      </w:r>
      <w:r w:rsidR="00990BA5" w:rsidRPr="00F05C08">
        <w:rPr>
          <w:i/>
          <w:lang w:val="pt-PT"/>
        </w:rPr>
        <w:t>X</w:t>
      </w:r>
      <w:r w:rsidR="00990BA5" w:rsidRPr="00F05C08">
        <w:rPr>
          <w:i/>
          <w:vertAlign w:val="subscript"/>
          <w:lang w:val="pt-PT"/>
        </w:rPr>
        <w:t>2</w:t>
      </w:r>
      <w:r w:rsidR="00990BA5">
        <w:rPr>
          <w:lang w:val="pt-PT"/>
        </w:rPr>
        <w:t xml:space="preserve"> very highly, we must also weight the causal relation from </w:t>
      </w:r>
      <w:r w:rsidR="00990BA5" w:rsidRPr="00F05C08">
        <w:rPr>
          <w:i/>
          <w:lang w:val="pt-PT"/>
        </w:rPr>
        <w:t>X</w:t>
      </w:r>
      <w:r w:rsidR="00990BA5" w:rsidRPr="00F05C08">
        <w:rPr>
          <w:i/>
          <w:vertAlign w:val="subscript"/>
          <w:lang w:val="pt-PT"/>
        </w:rPr>
        <w:t>2</w:t>
      </w:r>
      <w:r w:rsidR="00990BA5">
        <w:rPr>
          <w:lang w:val="pt-PT"/>
        </w:rPr>
        <w:t xml:space="preserve"> to </w:t>
      </w:r>
      <w:r w:rsidR="00990BA5" w:rsidRPr="00F05C08">
        <w:rPr>
          <w:i/>
          <w:lang w:val="pt-PT"/>
        </w:rPr>
        <w:t>X</w:t>
      </w:r>
      <w:r w:rsidR="00990BA5" w:rsidRPr="00F05C08">
        <w:rPr>
          <w:i/>
          <w:vertAlign w:val="subscript"/>
          <w:lang w:val="pt-PT"/>
        </w:rPr>
        <w:t>3</w:t>
      </w:r>
      <w:r w:rsidR="00990BA5">
        <w:rPr>
          <w:lang w:val="pt-PT"/>
        </w:rPr>
        <w:t xml:space="preserve"> very highly, for the latter is simply the causal result of the former. </w:t>
      </w:r>
      <w:r w:rsidR="00DC0C67">
        <w:rPr>
          <w:lang w:val="pt-PT"/>
        </w:rPr>
        <w:t xml:space="preserve">The reverse is also true: if we weight the causal relation from </w:t>
      </w:r>
      <w:r w:rsidR="00DC0C67" w:rsidRPr="004F4A9A">
        <w:rPr>
          <w:i/>
          <w:lang w:val="pt-PT"/>
        </w:rPr>
        <w:t>X</w:t>
      </w:r>
      <w:r w:rsidR="00DC0C67" w:rsidRPr="004F4A9A">
        <w:rPr>
          <w:i/>
          <w:vertAlign w:val="subscript"/>
          <w:lang w:val="pt-PT"/>
        </w:rPr>
        <w:t>2</w:t>
      </w:r>
      <w:r w:rsidR="00DC0C67">
        <w:rPr>
          <w:lang w:val="pt-PT"/>
        </w:rPr>
        <w:t xml:space="preserve"> to </w:t>
      </w:r>
      <w:r w:rsidR="00DC0C67" w:rsidRPr="004F4A9A">
        <w:rPr>
          <w:i/>
          <w:lang w:val="pt-PT"/>
        </w:rPr>
        <w:t>X</w:t>
      </w:r>
      <w:r w:rsidR="00DC0C67" w:rsidRPr="004F4A9A">
        <w:rPr>
          <w:i/>
          <w:vertAlign w:val="subscript"/>
          <w:lang w:val="pt-PT"/>
        </w:rPr>
        <w:t>3</w:t>
      </w:r>
      <w:r w:rsidR="00DC0C67">
        <w:rPr>
          <w:lang w:val="pt-PT"/>
        </w:rPr>
        <w:t xml:space="preserve"> very highly, we must also weight the causal relation from </w:t>
      </w:r>
      <w:r w:rsidR="00DC0C67" w:rsidRPr="004F4A9A">
        <w:rPr>
          <w:i/>
          <w:lang w:val="pt-PT"/>
        </w:rPr>
        <w:t>X</w:t>
      </w:r>
      <w:r w:rsidR="00DC0C67" w:rsidRPr="004F4A9A">
        <w:rPr>
          <w:i/>
          <w:vertAlign w:val="subscript"/>
          <w:lang w:val="pt-PT"/>
        </w:rPr>
        <w:t>1</w:t>
      </w:r>
      <w:r w:rsidR="00DC0C67">
        <w:rPr>
          <w:lang w:val="pt-PT"/>
        </w:rPr>
        <w:t xml:space="preserve"> to </w:t>
      </w:r>
      <w:r w:rsidR="00DC0C67" w:rsidRPr="004F4A9A">
        <w:rPr>
          <w:i/>
          <w:lang w:val="pt-PT"/>
        </w:rPr>
        <w:t>X</w:t>
      </w:r>
      <w:r w:rsidR="00DC0C67" w:rsidRPr="004F4A9A">
        <w:rPr>
          <w:i/>
          <w:vertAlign w:val="subscript"/>
          <w:lang w:val="pt-PT"/>
        </w:rPr>
        <w:t>2</w:t>
      </w:r>
      <w:r w:rsidR="00DC0C67">
        <w:rPr>
          <w:lang w:val="pt-PT"/>
        </w:rPr>
        <w:t xml:space="preserve"> very highly, for the latter is simply the cause of the former. </w:t>
      </w:r>
      <w:r w:rsidR="00990BA5">
        <w:rPr>
          <w:lang w:val="pt-PT"/>
        </w:rPr>
        <w:t>The story goes until we weight all causal relations very highly.</w:t>
      </w:r>
      <w:r w:rsidR="0034047A">
        <w:rPr>
          <w:lang w:val="pt-PT"/>
        </w:rPr>
        <w:t xml:space="preserve"> The tricky thing here is that the structural equation describes a causal network, in which each variable bears direct or indirect causal relations on others.</w:t>
      </w:r>
      <w:r w:rsidR="00B963DA">
        <w:rPr>
          <w:rStyle w:val="a6"/>
          <w:lang w:val="pt-PT"/>
        </w:rPr>
        <w:footnoteReference w:id="35"/>
      </w:r>
      <w:r w:rsidR="00013E1B">
        <w:rPr>
          <w:lang w:val="pt-PT"/>
        </w:rPr>
        <w:t xml:space="preserve"> In short, contrary to </w:t>
      </w:r>
      <w:r w:rsidR="00CE18AC">
        <w:rPr>
          <w:lang w:val="pt-PT"/>
        </w:rPr>
        <w:t xml:space="preserve">the </w:t>
      </w:r>
      <w:r w:rsidR="00013E1B">
        <w:rPr>
          <w:lang w:val="pt-PT"/>
        </w:rPr>
        <w:t xml:space="preserve">set-theoretic approach, </w:t>
      </w:r>
      <w:r w:rsidR="001B1694">
        <w:rPr>
          <w:lang w:val="pt-PT"/>
        </w:rPr>
        <w:t>a feature</w:t>
      </w:r>
      <w:r w:rsidR="00013E1B">
        <w:rPr>
          <w:lang w:val="pt-PT"/>
        </w:rPr>
        <w:t xml:space="preserve"> cannot </w:t>
      </w:r>
      <w:r w:rsidR="001B1694">
        <w:rPr>
          <w:lang w:val="pt-PT"/>
        </w:rPr>
        <w:t xml:space="preserve">be </w:t>
      </w:r>
      <w:r w:rsidR="00013E1B">
        <w:rPr>
          <w:lang w:val="pt-PT"/>
        </w:rPr>
        <w:t>weight</w:t>
      </w:r>
      <w:r w:rsidR="001B1694">
        <w:rPr>
          <w:lang w:val="pt-PT"/>
        </w:rPr>
        <w:t xml:space="preserve">ed independently </w:t>
      </w:r>
      <w:r w:rsidR="009A4700">
        <w:rPr>
          <w:lang w:val="pt-PT"/>
        </w:rPr>
        <w:t>without affecting the weighing of others</w:t>
      </w:r>
      <w:r w:rsidR="001A5827">
        <w:rPr>
          <w:lang w:val="pt-PT"/>
        </w:rPr>
        <w:t>; we are weighting an overall causal network</w:t>
      </w:r>
      <w:r w:rsidR="009F160A">
        <w:rPr>
          <w:lang w:val="pt-PT"/>
        </w:rPr>
        <w:t xml:space="preserve"> (i.e. structure)</w:t>
      </w:r>
      <w:r w:rsidR="001A5827">
        <w:rPr>
          <w:lang w:val="pt-PT"/>
        </w:rPr>
        <w:t>, rathe</w:t>
      </w:r>
      <w:r w:rsidR="00CE18AC">
        <w:rPr>
          <w:lang w:val="pt-PT"/>
        </w:rPr>
        <w:t>r than any individual feature in</w:t>
      </w:r>
      <w:r w:rsidR="001A5827">
        <w:rPr>
          <w:lang w:val="pt-PT"/>
        </w:rPr>
        <w:t xml:space="preserve"> the network.</w:t>
      </w:r>
      <w:r w:rsidR="0099497F">
        <w:rPr>
          <w:lang w:val="pt-PT"/>
        </w:rPr>
        <w:t xml:space="preserve"> </w:t>
      </w:r>
      <w:r w:rsidR="00217BB2">
        <w:rPr>
          <w:lang w:val="pt-PT"/>
        </w:rPr>
        <w:t xml:space="preserve">This in turn explains the point discussed in Section 4.2 that </w:t>
      </w:r>
      <w:r w:rsidR="007A7147">
        <w:rPr>
          <w:lang w:val="pt-PT"/>
        </w:rPr>
        <w:t xml:space="preserve">the act of </w:t>
      </w:r>
      <w:r w:rsidR="00217BB2">
        <w:rPr>
          <w:lang w:val="pt-PT"/>
        </w:rPr>
        <w:t xml:space="preserve">adding or subtracting features </w:t>
      </w:r>
      <w:r w:rsidR="007A7147">
        <w:rPr>
          <w:lang w:val="pt-PT"/>
        </w:rPr>
        <w:t>can only be properly understood in a holistic manner.</w:t>
      </w:r>
    </w:p>
    <w:p w:rsidR="00920464" w:rsidRPr="00DA407C" w:rsidRDefault="00920464" w:rsidP="003D7FAA">
      <w:pPr>
        <w:pStyle w:val="Default"/>
        <w:ind w:firstLineChars="100" w:firstLine="240"/>
        <w:jc w:val="both"/>
      </w:pPr>
      <w:r>
        <w:t xml:space="preserve">The </w:t>
      </w:r>
      <w:r>
        <w:rPr>
          <w:lang w:val="en-AU"/>
        </w:rPr>
        <w:t>difference</w:t>
      </w:r>
      <w:r>
        <w:t xml:space="preserve"> </w:t>
      </w:r>
      <w:r>
        <w:rPr>
          <w:lang w:val="en-AU"/>
        </w:rPr>
        <w:t xml:space="preserve">(between the set-theoretic and non-set-theoretic) </w:t>
      </w:r>
      <w:r>
        <w:t xml:space="preserve">both echoes and further explains my second concern regarding Weisberg’s account, in which I claimed that </w:t>
      </w:r>
      <w:r>
        <w:rPr>
          <w:lang w:val="en-AU"/>
        </w:rPr>
        <w:t xml:space="preserve">his account is </w:t>
      </w:r>
      <w:r w:rsidRPr="003A58BD">
        <w:rPr>
          <w:i/>
          <w:lang w:val="en-AU"/>
        </w:rPr>
        <w:t>atomistic</w:t>
      </w:r>
      <w:r>
        <w:rPr>
          <w:lang w:val="en-AU"/>
        </w:rPr>
        <w:t xml:space="preserve">, while the MLE is </w:t>
      </w:r>
      <w:r>
        <w:rPr>
          <w:i/>
          <w:lang w:val="en-AU"/>
        </w:rPr>
        <w:t>holistic</w:t>
      </w:r>
      <w:r>
        <w:rPr>
          <w:lang w:val="en-AU"/>
        </w:rPr>
        <w:t xml:space="preserve">. I hope it now becomes clear that this difference has a deep root in distinct understandings of the structure of </w:t>
      </w:r>
      <w:r>
        <w:rPr>
          <w:lang w:val="en-AU"/>
        </w:rPr>
        <w:lastRenderedPageBreak/>
        <w:t xml:space="preserve">models. For if we embrace the set-theoretic approach which can be derived from the Jaccard similarity index (as we did in </w:t>
      </w:r>
      <w:r w:rsidRPr="00FD47EB">
        <w:rPr>
          <w:lang w:val="en-AU"/>
        </w:rPr>
        <w:t>the</w:t>
      </w:r>
      <w:r>
        <w:rPr>
          <w:i/>
          <w:lang w:val="en-AU"/>
        </w:rPr>
        <w:t xml:space="preserve"> Appendix</w:t>
      </w:r>
      <w:r w:rsidR="009B38DB">
        <w:rPr>
          <w:i/>
          <w:lang w:val="en-AU"/>
        </w:rPr>
        <w:t xml:space="preserve"> 2</w:t>
      </w:r>
      <w:r>
        <w:rPr>
          <w:lang w:val="en-AU"/>
        </w:rPr>
        <w:t>), and thereby assume that features in models are independent of each other, then an atomistic account ensues. Obviously, an atomistic understanding about features precisely corresponds to, and can be explained by, a set-theoretic conception about structures</w:t>
      </w:r>
      <w:r w:rsidR="00470AB3">
        <w:rPr>
          <w:rFonts w:hint="eastAsia"/>
          <w:lang w:val="en-AU"/>
        </w:rPr>
        <w:t xml:space="preserve"> (remember that Weisberg expressly embraces the semantic </w:t>
      </w:r>
      <w:r w:rsidR="0079270E">
        <w:rPr>
          <w:rFonts w:hint="eastAsia"/>
          <w:lang w:val="en-AU"/>
        </w:rPr>
        <w:t>theory</w:t>
      </w:r>
      <w:r w:rsidR="0079270E">
        <w:rPr>
          <w:lang w:val="en-AU"/>
        </w:rPr>
        <w:t>’</w:t>
      </w:r>
      <w:r w:rsidR="0079270E">
        <w:rPr>
          <w:rFonts w:hint="eastAsia"/>
          <w:lang w:val="en-AU"/>
        </w:rPr>
        <w:t xml:space="preserve">s </w:t>
      </w:r>
      <w:r w:rsidR="00470AB3">
        <w:rPr>
          <w:rFonts w:hint="eastAsia"/>
          <w:lang w:val="en-AU"/>
        </w:rPr>
        <w:t>view o</w:t>
      </w:r>
      <w:r w:rsidR="0079270E">
        <w:rPr>
          <w:rFonts w:hint="eastAsia"/>
          <w:lang w:val="en-AU"/>
        </w:rPr>
        <w:t>f</w:t>
      </w:r>
      <w:r w:rsidR="00470AB3">
        <w:rPr>
          <w:rFonts w:hint="eastAsia"/>
          <w:lang w:val="en-AU"/>
        </w:rPr>
        <w:t xml:space="preserve"> model structures)</w:t>
      </w:r>
      <w:r w:rsidR="007A57FF">
        <w:rPr>
          <w:lang w:val="en-AU"/>
        </w:rPr>
        <w:t>.</w:t>
      </w:r>
    </w:p>
    <w:p w:rsidR="007A57FF" w:rsidRDefault="00920464" w:rsidP="001A733C">
      <w:pPr>
        <w:ind w:firstLine="240"/>
      </w:pPr>
      <w:r>
        <w:t xml:space="preserve">This </w:t>
      </w:r>
      <w:r>
        <w:rPr>
          <w:lang w:val="en-AU"/>
        </w:rPr>
        <w:t>difference</w:t>
      </w:r>
      <w:r>
        <w:t xml:space="preserve"> also partly explains why Weisberg rejects the holistic approach</w:t>
      </w:r>
      <w:r w:rsidR="0079270E">
        <w:rPr>
          <w:rFonts w:hint="eastAsia"/>
        </w:rPr>
        <w:t xml:space="preserve"> to similarity</w:t>
      </w:r>
      <w:r>
        <w:t xml:space="preserve">, </w:t>
      </w:r>
      <w:r w:rsidR="0079270E">
        <w:rPr>
          <w:rFonts w:hint="eastAsia"/>
        </w:rPr>
        <w:t>stating</w:t>
      </w:r>
      <w:r>
        <w:t xml:space="preserve"> that </w:t>
      </w:r>
      <w:r w:rsidR="0079270E">
        <w:rPr>
          <w:rFonts w:hint="eastAsia"/>
        </w:rPr>
        <w:t xml:space="preserve">his </w:t>
      </w:r>
      <w:r w:rsidR="0079270E">
        <w:t>“</w:t>
      </w:r>
      <w:r>
        <w:t>notion of similarity begins from an everyday notion, but rejects the idea that similarity is a strictly ho</w:t>
      </w:r>
      <w:r w:rsidR="00031B8C">
        <w:t>listic relation of resemblance”</w:t>
      </w:r>
      <w:r>
        <w:t xml:space="preserve"> (2013, 155)</w:t>
      </w:r>
      <w:r w:rsidR="00031B8C">
        <w:t>.</w:t>
      </w:r>
      <w:r>
        <w:t xml:space="preserve"> For if similarity is a holistic relation of resemblance in whic</w:t>
      </w:r>
      <w:r w:rsidR="0079270E">
        <w:t xml:space="preserve">h features bear relationships </w:t>
      </w:r>
      <w:r w:rsidR="0079270E">
        <w:rPr>
          <w:rFonts w:hint="eastAsia"/>
        </w:rPr>
        <w:t>to</w:t>
      </w:r>
      <w:r>
        <w:t xml:space="preserve"> one another, similarity judgments cannot be simply made in a set-theoretic way as Weisberg does. In other words, in order to maintain his set-theoretic account, a holistic approach must be rejected. This does not mean that no similarity account can be made consistent with the holistic approach in the end, but </w:t>
      </w:r>
      <w:r w:rsidR="00CE18AC">
        <w:t xml:space="preserve">only </w:t>
      </w:r>
      <w:r>
        <w:t>that Weisberg’s version of similarity account is as a matter of fact inconsist</w:t>
      </w:r>
      <w:r w:rsidR="007A57FF">
        <w:t>ent with the holistic approach.</w:t>
      </w:r>
    </w:p>
    <w:p w:rsidR="00920464" w:rsidRDefault="002D116C" w:rsidP="002D116C">
      <w:pPr>
        <w:ind w:firstLine="240"/>
        <w:rPr>
          <w:lang w:val="en-AU"/>
        </w:rPr>
      </w:pPr>
      <w:r>
        <w:t xml:space="preserve">So, as I suggested in the previous section, </w:t>
      </w:r>
      <w:r>
        <w:rPr>
          <w:color w:val="000000"/>
        </w:rPr>
        <w:t xml:space="preserve">the possibility of tailoring Weisberg’s account to cover holistic model assessment can be blocked, and even </w:t>
      </w:r>
      <w:r>
        <w:t>the hope of maintaining the similarity account for the small portion of modelling practice involving the representational strategy of realism is at risk (for its assuming of the set-theoretic approach makes it inconsistent with most—if not all—mathematical modelling)</w:t>
      </w:r>
      <w:r w:rsidR="00920464">
        <w:t>.</w:t>
      </w:r>
    </w:p>
    <w:p w:rsidR="002D116C" w:rsidRDefault="00920464" w:rsidP="002D116C">
      <w:pPr>
        <w:rPr>
          <w:color w:val="000000"/>
          <w:lang w:val="en-AU"/>
        </w:rPr>
      </w:pPr>
      <w:r>
        <w:rPr>
          <w:lang w:val="en-AU"/>
        </w:rPr>
        <w:t xml:space="preserve">  In sum, given these considerations I am inclined to conclude that Weisberg’s account fails to capture </w:t>
      </w:r>
      <w:r w:rsidR="00070F4C">
        <w:rPr>
          <w:lang w:val="en-AU"/>
        </w:rPr>
        <w:t>those similarity judgments</w:t>
      </w:r>
      <w:r>
        <w:rPr>
          <w:lang w:val="en-AU"/>
        </w:rPr>
        <w:t xml:space="preserve"> made by scientists, </w:t>
      </w:r>
      <w:r w:rsidR="00070F4C">
        <w:rPr>
          <w:lang w:val="en-AU"/>
        </w:rPr>
        <w:t>for these judgments are simply not what his account suggests</w:t>
      </w:r>
      <w:r>
        <w:rPr>
          <w:lang w:val="en-AU"/>
        </w:rPr>
        <w:t xml:space="preserve">. Its failure might at first blush be due to its atomistic conception of features, but the bedrock underlying it is its set-theoretic conception about the structures of models. </w:t>
      </w:r>
      <w:r w:rsidR="002D116C">
        <w:rPr>
          <w:lang w:val="en-AU"/>
        </w:rPr>
        <w:t xml:space="preserve">Its failure, however, </w:t>
      </w:r>
      <w:r w:rsidR="002D116C">
        <w:rPr>
          <w:color w:val="000000"/>
          <w:lang w:val="en-AU"/>
        </w:rPr>
        <w:t>might hint at the direction where a new perspective is called for. This is what I will outline in the next section.</w:t>
      </w:r>
    </w:p>
    <w:p w:rsidR="00920464" w:rsidRPr="002D116C" w:rsidRDefault="00920464">
      <w:pPr>
        <w:rPr>
          <w:color w:val="000000"/>
          <w:lang w:val="en-AU"/>
        </w:rPr>
      </w:pPr>
    </w:p>
    <w:p w:rsidR="00920464" w:rsidRDefault="00920464">
      <w:pPr>
        <w:rPr>
          <w:color w:val="000000"/>
          <w:lang w:val="en-AU"/>
        </w:rPr>
      </w:pPr>
      <w:r>
        <w:rPr>
          <w:b/>
          <w:color w:val="000000"/>
          <w:lang w:val="en-AU"/>
        </w:rPr>
        <w:t>5. A Tentative Approach: Holistic Fit between Models and Targets</w:t>
      </w:r>
    </w:p>
    <w:p w:rsidR="00920464" w:rsidRDefault="00920464">
      <w:pPr>
        <w:rPr>
          <w:color w:val="000000"/>
          <w:lang w:val="en-AU"/>
        </w:rPr>
      </w:pPr>
    </w:p>
    <w:p w:rsidR="00920464" w:rsidRDefault="00920464" w:rsidP="004A63D3">
      <w:pPr>
        <w:rPr>
          <w:color w:val="000000"/>
          <w:sz w:val="21"/>
          <w:szCs w:val="21"/>
        </w:rPr>
      </w:pPr>
      <w:r>
        <w:rPr>
          <w:color w:val="000000"/>
          <w:lang w:val="en-AU"/>
        </w:rPr>
        <w:t xml:space="preserve">Given the failure of Weisberg’s similarity account, I claim that a </w:t>
      </w:r>
      <w:r>
        <w:rPr>
          <w:i/>
          <w:color w:val="000000"/>
          <w:lang w:val="en-AU"/>
        </w:rPr>
        <w:t>non-set-theoretic</w:t>
      </w:r>
      <w:r>
        <w:rPr>
          <w:color w:val="000000"/>
          <w:lang w:val="en-AU"/>
        </w:rPr>
        <w:t xml:space="preserve"> approach is called for.</w:t>
      </w:r>
      <w:r w:rsidR="005A58C1">
        <w:rPr>
          <w:rStyle w:val="a6"/>
          <w:color w:val="000000"/>
          <w:lang w:val="en-AU"/>
        </w:rPr>
        <w:footnoteReference w:id="36"/>
      </w:r>
      <w:r>
        <w:rPr>
          <w:color w:val="000000"/>
          <w:lang w:val="en-AU"/>
        </w:rPr>
        <w:t xml:space="preserve"> More specifically, this approach will replace Weisberg’s set-theoretic based similarity account with a </w:t>
      </w:r>
      <w:r>
        <w:rPr>
          <w:i/>
          <w:color w:val="000000"/>
          <w:lang w:val="en-AU"/>
        </w:rPr>
        <w:t>holistic account of fit</w:t>
      </w:r>
      <w:r>
        <w:rPr>
          <w:color w:val="000000"/>
          <w:lang w:val="en-AU"/>
        </w:rPr>
        <w:t xml:space="preserve">, </w:t>
      </w:r>
      <w:r w:rsidR="00CE18AC">
        <w:rPr>
          <w:color w:val="000000"/>
          <w:lang w:val="en-AU"/>
        </w:rPr>
        <w:t>suggesting</w:t>
      </w:r>
      <w:r>
        <w:rPr>
          <w:color w:val="000000"/>
          <w:lang w:val="en-AU"/>
        </w:rPr>
        <w:t xml:space="preserve"> that (1) </w:t>
      </w:r>
      <w:r w:rsidR="002D116C">
        <w:rPr>
          <w:rFonts w:hint="eastAsia"/>
          <w:color w:val="000000"/>
          <w:lang w:val="en-AU"/>
        </w:rPr>
        <w:t xml:space="preserve">a </w:t>
      </w:r>
      <w:r>
        <w:rPr>
          <w:i/>
          <w:color w:val="000000"/>
          <w:lang w:val="en-AU"/>
        </w:rPr>
        <w:t xml:space="preserve">holistic </w:t>
      </w:r>
      <w:r w:rsidR="00CE18AC">
        <w:rPr>
          <w:i/>
          <w:color w:val="000000"/>
          <w:lang w:val="en-AU"/>
        </w:rPr>
        <w:t>approach</w:t>
      </w:r>
      <w:r>
        <w:rPr>
          <w:color w:val="000000"/>
          <w:lang w:val="en-AU"/>
        </w:rPr>
        <w:t xml:space="preserve"> in science is more central and pervasive than Weisberg envisions, and (2) </w:t>
      </w:r>
      <w:r>
        <w:rPr>
          <w:i/>
          <w:color w:val="000000"/>
          <w:lang w:val="en-AU"/>
        </w:rPr>
        <w:t>holistic testing</w:t>
      </w:r>
      <w:r>
        <w:rPr>
          <w:color w:val="000000"/>
          <w:lang w:val="en-AU"/>
        </w:rPr>
        <w:t xml:space="preserve"> is a comparison of models and targets in a </w:t>
      </w:r>
      <w:r>
        <w:rPr>
          <w:i/>
          <w:color w:val="000000"/>
          <w:lang w:val="en-AU"/>
        </w:rPr>
        <w:t>non-set-theoretic</w:t>
      </w:r>
      <w:r>
        <w:rPr>
          <w:color w:val="000000"/>
          <w:lang w:val="en-AU"/>
        </w:rPr>
        <w:t xml:space="preserve"> way using various testing</w:t>
      </w:r>
      <w:r w:rsidR="00AE76FA">
        <w:rPr>
          <w:color w:val="000000"/>
          <w:lang w:val="en-AU"/>
        </w:rPr>
        <w:t xml:space="preserve"> methods (for various purposes)</w:t>
      </w:r>
      <w:r w:rsidR="00AE76FA">
        <w:rPr>
          <w:rFonts w:hint="eastAsia"/>
          <w:color w:val="000000"/>
          <w:lang w:val="en-AU"/>
        </w:rPr>
        <w:t xml:space="preserve">, and (3) this is typically done by the comparison </w:t>
      </w:r>
      <w:r w:rsidR="00AE76FA">
        <w:rPr>
          <w:rFonts w:hint="eastAsia"/>
          <w:lang w:val="en-AU"/>
        </w:rPr>
        <w:t>of</w:t>
      </w:r>
      <w:r w:rsidR="00AE76FA">
        <w:rPr>
          <w:lang w:val="en-AU"/>
        </w:rPr>
        <w:t xml:space="preserve"> the predicted data </w:t>
      </w:r>
      <w:r w:rsidR="00AE76FA">
        <w:rPr>
          <w:rFonts w:hint="eastAsia"/>
          <w:lang w:val="en-AU"/>
        </w:rPr>
        <w:t xml:space="preserve">drawn from the model </w:t>
      </w:r>
      <w:r w:rsidR="00AE76FA">
        <w:rPr>
          <w:lang w:val="en-AU"/>
        </w:rPr>
        <w:t xml:space="preserve">and the observed </w:t>
      </w:r>
      <w:r w:rsidR="00AE76FA">
        <w:rPr>
          <w:lang w:val="en-AU"/>
        </w:rPr>
        <w:lastRenderedPageBreak/>
        <w:t xml:space="preserve">data </w:t>
      </w:r>
      <w:r w:rsidR="00AE76FA">
        <w:rPr>
          <w:rFonts w:hint="eastAsia"/>
          <w:lang w:val="en-AU"/>
        </w:rPr>
        <w:t xml:space="preserve">drawn from the target </w:t>
      </w:r>
      <w:r w:rsidR="00AE76FA">
        <w:rPr>
          <w:i/>
          <w:lang w:val="en-AU"/>
        </w:rPr>
        <w:t>as a whole</w:t>
      </w:r>
      <w:r w:rsidR="00AE76FA">
        <w:rPr>
          <w:rFonts w:hint="eastAsia"/>
          <w:lang w:val="en-AU"/>
        </w:rPr>
        <w:t>.</w:t>
      </w:r>
      <w:r>
        <w:rPr>
          <w:color w:val="000000"/>
          <w:lang w:val="en-AU"/>
        </w:rPr>
        <w:t xml:space="preserve"> These </w:t>
      </w:r>
      <w:r w:rsidR="002D116C">
        <w:rPr>
          <w:rFonts w:hint="eastAsia"/>
          <w:color w:val="000000"/>
          <w:lang w:val="en-AU"/>
        </w:rPr>
        <w:t xml:space="preserve">points </w:t>
      </w:r>
      <w:r>
        <w:rPr>
          <w:color w:val="000000"/>
          <w:lang w:val="en-AU"/>
        </w:rPr>
        <w:t>should become clear if we consider the modelling literature in science. For example, Johnson and Omland</w:t>
      </w:r>
      <w:r w:rsidRPr="00E57368">
        <w:rPr>
          <w:color w:val="000000"/>
          <w:szCs w:val="24"/>
          <w:lang w:val="en-AU"/>
        </w:rPr>
        <w:t xml:space="preserve"> </w:t>
      </w:r>
      <w:r w:rsidRPr="00E57368">
        <w:rPr>
          <w:color w:val="000000"/>
          <w:szCs w:val="24"/>
        </w:rPr>
        <w:t xml:space="preserve">(2004, 102) </w:t>
      </w:r>
      <w:r>
        <w:rPr>
          <w:color w:val="000000"/>
          <w:lang w:val="en-AU"/>
        </w:rPr>
        <w:t>in a paper summarizing recent developments in ecology and evolution modelling say that</w:t>
      </w:r>
    </w:p>
    <w:p w:rsidR="00920464" w:rsidRDefault="00920464">
      <w:pPr>
        <w:spacing w:before="156" w:after="156"/>
        <w:ind w:left="422"/>
        <w:rPr>
          <w:color w:val="000000"/>
          <w:lang w:val="en-AU"/>
        </w:rPr>
      </w:pPr>
      <w:r>
        <w:rPr>
          <w:color w:val="000000"/>
          <w:sz w:val="21"/>
          <w:szCs w:val="21"/>
        </w:rPr>
        <w:t xml:space="preserve">Once a set of candidate models is specified, each model must be fit to the observed data. At an early stage of the analysis, one can examine the goodness-of-fit of the most heavily parameterized (i.e. global) model in the candidate set. Such goodness-of-fit can be assessed using conventional statistical tests (e.g. </w:t>
      </w:r>
      <w:r>
        <w:rPr>
          <w:rFonts w:ascii="Symbol" w:hAnsi="Symbol"/>
          <w:i/>
          <w:color w:val="000000"/>
          <w:sz w:val="21"/>
          <w:szCs w:val="21"/>
        </w:rPr>
        <w:t></w:t>
      </w:r>
      <w:r>
        <w:rPr>
          <w:color w:val="000000"/>
          <w:sz w:val="21"/>
          <w:szCs w:val="21"/>
          <w:vertAlign w:val="superscript"/>
        </w:rPr>
        <w:t>2</w:t>
      </w:r>
      <w:r>
        <w:rPr>
          <w:color w:val="000000"/>
          <w:sz w:val="21"/>
          <w:szCs w:val="21"/>
        </w:rPr>
        <w:t xml:space="preserve"> tests or </w:t>
      </w:r>
      <w:r>
        <w:rPr>
          <w:i/>
          <w:color w:val="000000"/>
          <w:sz w:val="21"/>
          <w:szCs w:val="21"/>
        </w:rPr>
        <w:t>G</w:t>
      </w:r>
      <w:r>
        <w:rPr>
          <w:color w:val="000000"/>
          <w:sz w:val="21"/>
          <w:szCs w:val="21"/>
        </w:rPr>
        <w:t>-tests) or a PARAMETRIC BOOTSTRAP procedure […]. If the global model provides a reasonable fit to the data, then the analysis proceeds by fitting each of the models in the candidate set to the observed data using the method of MAXIMUM LIKELIHOOD or the method of LEAST SQUARES (authors’ emphasis).</w:t>
      </w:r>
    </w:p>
    <w:p w:rsidR="00920464" w:rsidRDefault="00920464" w:rsidP="004A63D3">
      <w:pPr>
        <w:rPr>
          <w:color w:val="000000"/>
          <w:lang w:val="en-AU"/>
        </w:rPr>
      </w:pPr>
      <w:r>
        <w:rPr>
          <w:color w:val="000000"/>
          <w:lang w:val="en-AU"/>
        </w:rPr>
        <w:t>If I understand the modelling practice cited above correctly, it seems that it proceeds in a holistic manner without implying set-theoretic elements. More specifically, it is fairly clear that both the maximum likelihood and the least squares method commonly used in modelling practice are holistic testing methods</w:t>
      </w:r>
      <w:r w:rsidR="00031B8C">
        <w:rPr>
          <w:color w:val="000000"/>
          <w:lang w:val="en-AU"/>
        </w:rPr>
        <w:t>,</w:t>
      </w:r>
      <w:r>
        <w:rPr>
          <w:rStyle w:val="a3"/>
          <w:color w:val="000000"/>
          <w:lang w:val="en-AU"/>
        </w:rPr>
        <w:footnoteReference w:id="37"/>
      </w:r>
      <w:r>
        <w:rPr>
          <w:color w:val="000000"/>
          <w:lang w:val="en-AU"/>
        </w:rPr>
        <w:t xml:space="preserve"> whereby predicted and observed data are compared </w:t>
      </w:r>
      <w:r>
        <w:rPr>
          <w:i/>
          <w:color w:val="000000"/>
          <w:lang w:val="en-AU"/>
        </w:rPr>
        <w:t>as a whole</w:t>
      </w:r>
      <w:r>
        <w:rPr>
          <w:color w:val="000000"/>
          <w:lang w:val="en-AU"/>
        </w:rPr>
        <w:t xml:space="preserve"> so as to make judgments about models. These are not the only ways of testing the goodness-of-fit of models, but they are nonetheless very important and pervasive in science. This alternative approach succeeds in avoiding those problems plaguing Weisberg’ account, for it is holistic, non-set-theoretic. </w:t>
      </w:r>
      <w:r w:rsidR="00F55985">
        <w:rPr>
          <w:rFonts w:hint="eastAsia"/>
          <w:color w:val="000000"/>
          <w:lang w:val="en-AU"/>
        </w:rPr>
        <w:t>Admittedly, t</w:t>
      </w:r>
      <w:r w:rsidR="00CC4299">
        <w:rPr>
          <w:rFonts w:hint="eastAsia"/>
          <w:color w:val="000000"/>
          <w:lang w:val="en-AU"/>
        </w:rPr>
        <w:t>he complete account of it remains to be done</w:t>
      </w:r>
      <w:r>
        <w:rPr>
          <w:color w:val="000000"/>
          <w:lang w:val="en-AU"/>
        </w:rPr>
        <w:t xml:space="preserve">, but </w:t>
      </w:r>
      <w:r w:rsidR="00CC4299">
        <w:rPr>
          <w:rFonts w:hint="eastAsia"/>
          <w:color w:val="000000"/>
          <w:lang w:val="en-AU"/>
        </w:rPr>
        <w:t xml:space="preserve">it </w:t>
      </w:r>
      <w:r>
        <w:rPr>
          <w:color w:val="000000"/>
          <w:lang w:val="en-AU"/>
        </w:rPr>
        <w:t>is a move in the right direction.</w:t>
      </w:r>
    </w:p>
    <w:p w:rsidR="00877579" w:rsidRDefault="00877579" w:rsidP="004A63D3">
      <w:pPr>
        <w:rPr>
          <w:color w:val="000000"/>
          <w:lang w:val="en-AU"/>
        </w:rPr>
      </w:pPr>
      <w:r>
        <w:rPr>
          <w:color w:val="000000"/>
          <w:lang w:val="en-AU"/>
        </w:rPr>
        <w:t xml:space="preserve">  A word </w:t>
      </w:r>
      <w:r w:rsidR="002D116C">
        <w:rPr>
          <w:rFonts w:hint="eastAsia"/>
          <w:color w:val="000000"/>
          <w:lang w:val="en-AU"/>
        </w:rPr>
        <w:t xml:space="preserve">is needed </w:t>
      </w:r>
      <w:r>
        <w:rPr>
          <w:color w:val="000000"/>
          <w:lang w:val="en-AU"/>
        </w:rPr>
        <w:t xml:space="preserve">on my conception of the structure of models. Some may raise the issue that since the notion of structure is also employed in </w:t>
      </w:r>
      <w:r w:rsidR="003E42C4">
        <w:rPr>
          <w:color w:val="000000"/>
          <w:lang w:val="en-AU"/>
        </w:rPr>
        <w:t>my</w:t>
      </w:r>
      <w:r>
        <w:rPr>
          <w:color w:val="000000"/>
          <w:lang w:val="en-AU"/>
        </w:rPr>
        <w:t xml:space="preserve"> holistic </w:t>
      </w:r>
      <w:r w:rsidR="006C1F95">
        <w:rPr>
          <w:color w:val="000000"/>
          <w:lang w:val="en-AU"/>
        </w:rPr>
        <w:t>view</w:t>
      </w:r>
      <w:r>
        <w:rPr>
          <w:color w:val="000000"/>
          <w:lang w:val="en-AU"/>
        </w:rPr>
        <w:t xml:space="preserve"> of</w:t>
      </w:r>
      <w:r w:rsidR="00886753">
        <w:rPr>
          <w:color w:val="000000"/>
          <w:lang w:val="en-AU"/>
        </w:rPr>
        <w:t xml:space="preserve"> the model-world relation, I owe</w:t>
      </w:r>
      <w:r>
        <w:rPr>
          <w:color w:val="000000"/>
          <w:lang w:val="en-AU"/>
        </w:rPr>
        <w:t xml:space="preserve"> them an account of what the nature of structures</w:t>
      </w:r>
      <w:r w:rsidR="007501E5">
        <w:rPr>
          <w:color w:val="000000"/>
          <w:lang w:val="en-AU"/>
        </w:rPr>
        <w:t xml:space="preserve"> is</w:t>
      </w:r>
      <w:r>
        <w:rPr>
          <w:color w:val="000000"/>
          <w:lang w:val="en-AU"/>
        </w:rPr>
        <w:t>. My answer is twofold. First, the ontological problem of the nature of structur</w:t>
      </w:r>
      <w:r w:rsidR="002D116C">
        <w:rPr>
          <w:color w:val="000000"/>
          <w:lang w:val="en-AU"/>
        </w:rPr>
        <w:t>es does not arise in</w:t>
      </w:r>
      <w:r>
        <w:rPr>
          <w:color w:val="000000"/>
          <w:lang w:val="en-AU"/>
        </w:rPr>
        <w:t xml:space="preserve"> modelling practice, the absence of which does not affect the operation of the latter. Second, </w:t>
      </w:r>
      <w:r w:rsidR="00462FE9">
        <w:rPr>
          <w:color w:val="000000"/>
          <w:lang w:val="en-AU"/>
        </w:rPr>
        <w:t>even if such a</w:t>
      </w:r>
      <w:r w:rsidR="00E57368">
        <w:rPr>
          <w:color w:val="000000"/>
          <w:lang w:val="en-AU"/>
        </w:rPr>
        <w:t>n account</w:t>
      </w:r>
      <w:r w:rsidR="00462FE9">
        <w:rPr>
          <w:color w:val="000000"/>
          <w:lang w:val="en-AU"/>
        </w:rPr>
        <w:t xml:space="preserve"> is required, a </w:t>
      </w:r>
      <w:r w:rsidR="00462FE9" w:rsidRPr="005D6612">
        <w:rPr>
          <w:i/>
          <w:color w:val="000000"/>
          <w:lang w:val="en-AU"/>
        </w:rPr>
        <w:t>deflationist view</w:t>
      </w:r>
      <w:r w:rsidR="00491555">
        <w:rPr>
          <w:color w:val="000000"/>
          <w:lang w:val="en-AU"/>
        </w:rPr>
        <w:t xml:space="preserve"> (Downs 1992</w:t>
      </w:r>
      <w:r w:rsidR="00FF5415">
        <w:rPr>
          <w:color w:val="000000"/>
          <w:lang w:val="en-AU"/>
        </w:rPr>
        <w:t>;</w:t>
      </w:r>
      <w:r w:rsidR="00491555">
        <w:rPr>
          <w:color w:val="000000"/>
          <w:lang w:val="en-AU"/>
        </w:rPr>
        <w:t xml:space="preserve"> </w:t>
      </w:r>
      <w:r w:rsidR="004A2A6B">
        <w:rPr>
          <w:rFonts w:eastAsia="Times New Roman"/>
        </w:rPr>
        <w:t>Su</w:t>
      </w:r>
      <w:r w:rsidR="004A2A6B" w:rsidRPr="006D6BA6">
        <w:rPr>
          <w:rFonts w:eastAsia="Times New Roman"/>
        </w:rPr>
        <w:t>á</w:t>
      </w:r>
      <w:r w:rsidR="004A2A6B">
        <w:rPr>
          <w:rFonts w:eastAsia="Times New Roman"/>
        </w:rPr>
        <w:t>rez</w:t>
      </w:r>
      <w:r w:rsidR="004A2A6B">
        <w:rPr>
          <w:color w:val="000000"/>
          <w:lang w:val="en-AU"/>
        </w:rPr>
        <w:t xml:space="preserve"> 2004, 2015a, 2015b; </w:t>
      </w:r>
      <w:r w:rsidR="00491555">
        <w:rPr>
          <w:color w:val="000000"/>
          <w:lang w:val="en-AU"/>
        </w:rPr>
        <w:t xml:space="preserve">Godfrey-Smith </w:t>
      </w:r>
      <w:r w:rsidR="00462FE9">
        <w:rPr>
          <w:color w:val="000000"/>
          <w:lang w:val="en-AU"/>
        </w:rPr>
        <w:t>2</w:t>
      </w:r>
      <w:r w:rsidR="00491555">
        <w:rPr>
          <w:color w:val="000000"/>
          <w:lang w:val="en-AU"/>
        </w:rPr>
        <w:t>006</w:t>
      </w:r>
      <w:r w:rsidR="00FF5415">
        <w:rPr>
          <w:color w:val="000000"/>
          <w:lang w:val="en-AU"/>
        </w:rPr>
        <w:t>;</w:t>
      </w:r>
      <w:r w:rsidR="00491555">
        <w:rPr>
          <w:color w:val="000000"/>
          <w:lang w:val="en-AU"/>
        </w:rPr>
        <w:t xml:space="preserve"> Odenbaugh 2014</w:t>
      </w:r>
      <w:r w:rsidR="005D6612" w:rsidRPr="00C1727E">
        <w:rPr>
          <w:color w:val="000000"/>
          <w:lang w:val="en-AU"/>
        </w:rPr>
        <w:t>)</w:t>
      </w:r>
      <w:r w:rsidR="00462FE9">
        <w:rPr>
          <w:color w:val="000000"/>
          <w:lang w:val="en-AU"/>
        </w:rPr>
        <w:t xml:space="preserve"> is sufficient for us to understand the modelling practice, which states only that structures</w:t>
      </w:r>
      <w:r w:rsidR="00752D0A">
        <w:rPr>
          <w:color w:val="000000"/>
          <w:lang w:val="en-AU"/>
        </w:rPr>
        <w:t xml:space="preserve"> (or means of representation)</w:t>
      </w:r>
      <w:r w:rsidR="00462FE9">
        <w:rPr>
          <w:color w:val="000000"/>
          <w:lang w:val="en-AU"/>
        </w:rPr>
        <w:t>, of various kinds (e.g. concrete objects, equations, graphs, pictures, etc.), are im</w:t>
      </w:r>
      <w:r w:rsidR="002D116C">
        <w:rPr>
          <w:color w:val="000000"/>
          <w:lang w:val="en-AU"/>
        </w:rPr>
        <w:t>portant inferential tools in</w:t>
      </w:r>
      <w:r w:rsidR="00462FE9">
        <w:rPr>
          <w:color w:val="000000"/>
          <w:lang w:val="en-AU"/>
        </w:rPr>
        <w:t xml:space="preserve"> modelling practice.</w:t>
      </w:r>
      <w:r w:rsidR="00B70CE4">
        <w:rPr>
          <w:rStyle w:val="a6"/>
          <w:color w:val="000000"/>
          <w:lang w:val="en-AU"/>
        </w:rPr>
        <w:footnoteReference w:id="38"/>
      </w:r>
      <w:r w:rsidR="00462FE9">
        <w:rPr>
          <w:color w:val="000000"/>
          <w:lang w:val="en-AU"/>
        </w:rPr>
        <w:t xml:space="preserve"> </w:t>
      </w:r>
      <w:r w:rsidR="00D93A6F">
        <w:rPr>
          <w:color w:val="000000"/>
          <w:lang w:val="en-AU"/>
        </w:rPr>
        <w:t xml:space="preserve">Scientists use them, </w:t>
      </w:r>
      <w:r w:rsidR="00D93A6F">
        <w:rPr>
          <w:color w:val="000000"/>
          <w:lang w:val="en-AU"/>
        </w:rPr>
        <w:lastRenderedPageBreak/>
        <w:t xml:space="preserve">combined with interpretations of them, to achieve various goals such </w:t>
      </w:r>
      <w:r w:rsidR="002D116C">
        <w:rPr>
          <w:rFonts w:hint="eastAsia"/>
          <w:color w:val="000000"/>
          <w:lang w:val="en-AU"/>
        </w:rPr>
        <w:t xml:space="preserve">as </w:t>
      </w:r>
      <w:r w:rsidR="00D93A6F">
        <w:rPr>
          <w:color w:val="000000"/>
          <w:lang w:val="en-AU"/>
        </w:rPr>
        <w:t>understanding, predicting, intervening, etc.</w:t>
      </w:r>
    </w:p>
    <w:p w:rsidR="00920464" w:rsidRDefault="00920464">
      <w:pPr>
        <w:rPr>
          <w:color w:val="000000"/>
          <w:lang w:val="en-AU"/>
        </w:rPr>
      </w:pPr>
      <w:r>
        <w:rPr>
          <w:color w:val="000000"/>
          <w:lang w:val="en-AU"/>
        </w:rPr>
        <w:t xml:space="preserve">  This is the basic idea, and there are several qualifications. First, unlike Weisberg, I do not aim to develop an </w:t>
      </w:r>
      <w:r>
        <w:rPr>
          <w:i/>
          <w:color w:val="000000"/>
          <w:lang w:val="en-AU"/>
        </w:rPr>
        <w:t>all-encompassing</w:t>
      </w:r>
      <w:r>
        <w:rPr>
          <w:color w:val="000000"/>
          <w:lang w:val="en-AU"/>
        </w:rPr>
        <w:t xml:space="preserve"> account covering all kinds of modelling practice</w:t>
      </w:r>
      <w:r w:rsidR="008651F7">
        <w:rPr>
          <w:color w:val="000000"/>
          <w:lang w:val="en-AU"/>
        </w:rPr>
        <w:t>s</w:t>
      </w:r>
      <w:r>
        <w:rPr>
          <w:color w:val="000000"/>
          <w:lang w:val="en-AU"/>
        </w:rPr>
        <w:t>.</w:t>
      </w:r>
      <w:r w:rsidR="00F01CBB">
        <w:rPr>
          <w:rStyle w:val="a6"/>
          <w:color w:val="000000"/>
          <w:lang w:val="en-AU"/>
        </w:rPr>
        <w:footnoteReference w:id="39"/>
      </w:r>
      <w:r>
        <w:rPr>
          <w:color w:val="000000"/>
          <w:lang w:val="en-AU"/>
        </w:rPr>
        <w:t xml:space="preserve"> Rather, I only claim that </w:t>
      </w:r>
      <w:r w:rsidR="008651F7">
        <w:rPr>
          <w:color w:val="000000"/>
          <w:lang w:val="en-AU"/>
        </w:rPr>
        <w:t xml:space="preserve">the </w:t>
      </w:r>
      <w:r>
        <w:rPr>
          <w:color w:val="000000"/>
          <w:lang w:val="en-AU"/>
        </w:rPr>
        <w:t xml:space="preserve">holistic </w:t>
      </w:r>
      <w:r w:rsidR="005D6612">
        <w:rPr>
          <w:color w:val="000000"/>
          <w:lang w:val="en-AU"/>
        </w:rPr>
        <w:t>approach</w:t>
      </w:r>
      <w:r>
        <w:rPr>
          <w:color w:val="000000"/>
          <w:lang w:val="en-AU"/>
        </w:rPr>
        <w:t xml:space="preserve"> is central and pervasive in science, though without committing that it is the only approach. Hence it opens the gate for further investigation on this topic. Second, due to its importance and pervasiveness in scientific modelling,</w:t>
      </w:r>
      <w:r w:rsidRPr="00543E5E">
        <w:t xml:space="preserve"> </w:t>
      </w:r>
      <w:r>
        <w:t>it would be worth developing a full-fledged version of the holistic approach</w:t>
      </w:r>
      <w:r>
        <w:rPr>
          <w:color w:val="000000"/>
          <w:lang w:val="en-AU"/>
        </w:rPr>
        <w:t xml:space="preserve">, though this is surely beyond this paper’s scope. Key issues like how a holistic approach </w:t>
      </w:r>
      <w:r w:rsidR="00DE7CB0">
        <w:rPr>
          <w:color w:val="000000"/>
          <w:lang w:val="en-AU"/>
        </w:rPr>
        <w:t>could</w:t>
      </w:r>
      <w:r>
        <w:rPr>
          <w:color w:val="000000"/>
          <w:lang w:val="en-AU"/>
        </w:rPr>
        <w:t xml:space="preserve"> be specified in detail still remain unclear at this stage. Also, how Weisberg’s considerations about different kinds of </w:t>
      </w:r>
      <w:r>
        <w:rPr>
          <w:i/>
          <w:color w:val="000000"/>
          <w:lang w:val="en-AU"/>
        </w:rPr>
        <w:t>fidelity criteria</w:t>
      </w:r>
      <w:r>
        <w:rPr>
          <w:color w:val="000000"/>
          <w:lang w:val="en-AU"/>
        </w:rPr>
        <w:t xml:space="preserve"> and </w:t>
      </w:r>
      <w:r>
        <w:rPr>
          <w:i/>
          <w:color w:val="000000"/>
          <w:lang w:val="en-AU"/>
        </w:rPr>
        <w:t>representational</w:t>
      </w:r>
      <w:r>
        <w:rPr>
          <w:color w:val="000000"/>
          <w:lang w:val="en-AU"/>
        </w:rPr>
        <w:t xml:space="preserve"> </w:t>
      </w:r>
      <w:r>
        <w:rPr>
          <w:i/>
          <w:color w:val="000000"/>
          <w:lang w:val="en-AU"/>
        </w:rPr>
        <w:t>ideals</w:t>
      </w:r>
      <w:r>
        <w:rPr>
          <w:color w:val="000000"/>
          <w:lang w:val="en-AU"/>
        </w:rPr>
        <w:t xml:space="preserve"> could be integrated into this approach also remains to be seen. Third, it should be noted that this approach is not necessarily inconsistent with the basic intuition </w:t>
      </w:r>
      <w:r w:rsidR="002D116C">
        <w:rPr>
          <w:rFonts w:hint="eastAsia"/>
          <w:color w:val="000000"/>
          <w:lang w:val="en-AU"/>
        </w:rPr>
        <w:t>shared</w:t>
      </w:r>
      <w:r>
        <w:rPr>
          <w:color w:val="000000"/>
          <w:lang w:val="en-AU"/>
        </w:rPr>
        <w:t xml:space="preserve"> by many authors: models are similar to their targets in certain respects and to certain degrees. For a holistic approach also concerns the respects and degrees to which a model is similar (or fit) to its target, though clearly in a holistic manner. Perhaps it is fair to say that the notion of similarity functions mainly </w:t>
      </w:r>
      <w:r w:rsidRPr="00A80A8D">
        <w:rPr>
          <w:i/>
          <w:color w:val="000000"/>
          <w:lang w:val="en-AU"/>
        </w:rPr>
        <w:t>heuristically</w:t>
      </w:r>
      <w:r>
        <w:rPr>
          <w:color w:val="000000"/>
          <w:lang w:val="en-AU"/>
        </w:rPr>
        <w:t xml:space="preserve"> in the process of constructing models—the context of discovery—where scientists only single out certain aspects of the world to which certain degrees of importance are assigned. In the process of testing models—that is, the context of justification, however, similarity might not find a position.</w:t>
      </w:r>
    </w:p>
    <w:p w:rsidR="00920464" w:rsidRPr="00D709A4" w:rsidRDefault="00920464">
      <w:pPr>
        <w:rPr>
          <w:color w:val="000000"/>
          <w:lang w:val="en-AU"/>
        </w:rPr>
      </w:pPr>
    </w:p>
    <w:p w:rsidR="00920464" w:rsidRDefault="00920464">
      <w:pPr>
        <w:spacing w:after="156"/>
        <w:rPr>
          <w:lang w:val="en-AU"/>
        </w:rPr>
      </w:pPr>
      <w:r>
        <w:rPr>
          <w:b/>
          <w:lang w:val="en-AU"/>
        </w:rPr>
        <w:t>Conclusion</w:t>
      </w:r>
    </w:p>
    <w:p w:rsidR="00920464" w:rsidRDefault="00920464" w:rsidP="00847C5A">
      <w:pPr>
        <w:rPr>
          <w:lang w:val="en-AU"/>
        </w:rPr>
      </w:pPr>
      <w:r>
        <w:rPr>
          <w:lang w:val="en-AU"/>
        </w:rPr>
        <w:t xml:space="preserve">In this paper I have argued that Weisberg’s </w:t>
      </w:r>
      <w:r>
        <w:rPr>
          <w:i/>
          <w:lang w:val="en-AU"/>
        </w:rPr>
        <w:t>weighted feature-matching</w:t>
      </w:r>
      <w:r>
        <w:rPr>
          <w:lang w:val="en-AU"/>
        </w:rPr>
        <w:t xml:space="preserve"> account of similarity is not as plausible as it seems. To achieve this, I first discuss</w:t>
      </w:r>
      <w:r w:rsidR="00336B44">
        <w:rPr>
          <w:lang w:val="en-AU"/>
        </w:rPr>
        <w:t>ed</w:t>
      </w:r>
      <w:r>
        <w:rPr>
          <w:lang w:val="en-AU"/>
        </w:rPr>
        <w:t xml:space="preserve"> a biological model (i.e. the leaf gas-exchange model) and then examine</w:t>
      </w:r>
      <w:r w:rsidR="00336B44">
        <w:rPr>
          <w:lang w:val="en-AU"/>
        </w:rPr>
        <w:t>d</w:t>
      </w:r>
      <w:r>
        <w:rPr>
          <w:lang w:val="en-AU"/>
        </w:rPr>
        <w:t xml:space="preserve"> how to use the maximum likelihood estimation to evaluate the goodness of the model. After that, I consider</w:t>
      </w:r>
      <w:r w:rsidR="00336B44">
        <w:rPr>
          <w:lang w:val="en-AU"/>
        </w:rPr>
        <w:t>ed</w:t>
      </w:r>
      <w:r>
        <w:rPr>
          <w:lang w:val="en-AU"/>
        </w:rPr>
        <w:t xml:space="preserve"> the problem of whether Weisberg’s account could accommodate this case study. We </w:t>
      </w:r>
      <w:r w:rsidR="00336B44">
        <w:rPr>
          <w:lang w:val="en-AU"/>
        </w:rPr>
        <w:t>saw</w:t>
      </w:r>
      <w:r>
        <w:rPr>
          <w:lang w:val="en-AU"/>
        </w:rPr>
        <w:t xml:space="preserve"> that </w:t>
      </w:r>
      <w:r w:rsidR="00336B44">
        <w:rPr>
          <w:lang w:val="en-AU"/>
        </w:rPr>
        <w:t xml:space="preserve">it failed </w:t>
      </w:r>
      <w:r>
        <w:rPr>
          <w:lang w:val="en-AU"/>
        </w:rPr>
        <w:t xml:space="preserve">as an account of </w:t>
      </w:r>
      <w:r w:rsidR="000F17BB">
        <w:rPr>
          <w:lang w:val="en-AU"/>
        </w:rPr>
        <w:t xml:space="preserve">capturing </w:t>
      </w:r>
      <w:r>
        <w:rPr>
          <w:lang w:val="en-AU"/>
        </w:rPr>
        <w:t xml:space="preserve">similarity judgments made by scientists. </w:t>
      </w:r>
      <w:r>
        <w:t>First, his account is simply too abstract. Second and more seriously, it implies a</w:t>
      </w:r>
      <w:r w:rsidR="008A10B0">
        <w:rPr>
          <w:rFonts w:hint="eastAsia"/>
        </w:rPr>
        <w:t xml:space="preserve">n </w:t>
      </w:r>
      <w:r>
        <w:t xml:space="preserve">atomistic conception of features while our case operates in a holistic manner. Third and most importantly, the atomistic conception of features can be traced back to a set-theoretic </w:t>
      </w:r>
      <w:r w:rsidR="002D116C">
        <w:rPr>
          <w:rFonts w:hint="eastAsia"/>
        </w:rPr>
        <w:t>view of</w:t>
      </w:r>
      <w:r>
        <w:t xml:space="preserve"> the structures of models</w:t>
      </w:r>
      <w:r w:rsidR="00200866">
        <w:t>, where elements of a set are independent of each other</w:t>
      </w:r>
      <w:r>
        <w:rPr>
          <w:szCs w:val="24"/>
          <w:lang w:val="en-AU"/>
        </w:rPr>
        <w:t>.</w:t>
      </w:r>
      <w:r>
        <w:rPr>
          <w:lang w:val="en-AU"/>
        </w:rPr>
        <w:t xml:space="preserve"> </w:t>
      </w:r>
      <w:r w:rsidR="00BE3128">
        <w:rPr>
          <w:rFonts w:hint="eastAsia"/>
          <w:lang w:val="en-AU"/>
        </w:rPr>
        <w:t>Finally</w:t>
      </w:r>
      <w:r>
        <w:rPr>
          <w:lang w:val="en-AU"/>
        </w:rPr>
        <w:t>, I tentatively suggest</w:t>
      </w:r>
      <w:r w:rsidR="00F36FFC">
        <w:rPr>
          <w:lang w:val="en-AU"/>
        </w:rPr>
        <w:t>ed</w:t>
      </w:r>
      <w:r>
        <w:rPr>
          <w:lang w:val="en-AU"/>
        </w:rPr>
        <w:t xml:space="preserve"> a </w:t>
      </w:r>
      <w:r>
        <w:rPr>
          <w:i/>
          <w:lang w:val="en-AU"/>
        </w:rPr>
        <w:t>holistic</w:t>
      </w:r>
      <w:r w:rsidR="00200866">
        <w:rPr>
          <w:lang w:val="en-AU"/>
        </w:rPr>
        <w:t xml:space="preserve"> alternative, where elements of the structures bear strong relationships to each other.</w:t>
      </w:r>
    </w:p>
    <w:p w:rsidR="00E5215D" w:rsidRDefault="00E5215D" w:rsidP="00847C5A">
      <w:pPr>
        <w:rPr>
          <w:lang w:val="en-AU"/>
        </w:rPr>
      </w:pPr>
    </w:p>
    <w:p w:rsidR="000B08DF" w:rsidRPr="00DE7CB0" w:rsidRDefault="000B08DF" w:rsidP="00847C5A">
      <w:pPr>
        <w:rPr>
          <w:lang w:val="en-AU"/>
        </w:rPr>
      </w:pPr>
    </w:p>
    <w:p w:rsidR="00D74F0B" w:rsidRPr="00D74F0B" w:rsidRDefault="00D74F0B" w:rsidP="00D612ED">
      <w:pPr>
        <w:pStyle w:val="Default"/>
        <w:jc w:val="both"/>
        <w:rPr>
          <w:b/>
          <w:sz w:val="21"/>
          <w:szCs w:val="21"/>
        </w:rPr>
      </w:pPr>
      <w:r w:rsidRPr="00D74F0B">
        <w:rPr>
          <w:b/>
          <w:sz w:val="21"/>
          <w:szCs w:val="21"/>
        </w:rPr>
        <w:t>Appendix 1:</w:t>
      </w:r>
      <w:r w:rsidR="00E4507D">
        <w:rPr>
          <w:b/>
          <w:sz w:val="21"/>
          <w:szCs w:val="21"/>
        </w:rPr>
        <w:t xml:space="preserve"> The Leaf Gas-Exchange Model</w:t>
      </w:r>
    </w:p>
    <w:p w:rsidR="00D74F0B" w:rsidRPr="00D74F0B" w:rsidRDefault="00D74F0B" w:rsidP="00D74F0B">
      <w:pPr>
        <w:pBdr>
          <w:bottom w:val="single" w:sz="6" w:space="1" w:color="auto"/>
        </w:pBdr>
      </w:pPr>
    </w:p>
    <w:p w:rsidR="00D74F0B" w:rsidRPr="0032299A" w:rsidRDefault="00D74F0B" w:rsidP="00D74F0B">
      <w:pPr>
        <w:rPr>
          <w:b/>
          <w:sz w:val="21"/>
          <w:szCs w:val="21"/>
        </w:rPr>
      </w:pPr>
      <w:r w:rsidRPr="0032299A">
        <w:rPr>
          <w:b/>
          <w:sz w:val="21"/>
          <w:szCs w:val="21"/>
        </w:rPr>
        <w:t xml:space="preserve">Box 1. The structural equations </w:t>
      </w:r>
      <w:r w:rsidR="009C7B3E">
        <w:rPr>
          <w:b/>
          <w:sz w:val="21"/>
          <w:szCs w:val="21"/>
        </w:rPr>
        <w:t>for the leaf gas-exchange model</w:t>
      </w:r>
    </w:p>
    <w:p w:rsidR="00D74F0B" w:rsidRPr="00AB5568" w:rsidRDefault="00D74F0B" w:rsidP="00D74F0B">
      <w:pPr>
        <w:ind w:firstLineChars="100" w:firstLine="210"/>
        <w:rPr>
          <w:lang w:val="pt-PT"/>
        </w:rPr>
      </w:pPr>
      <w:r w:rsidRPr="00AB5568">
        <w:rPr>
          <w:sz w:val="21"/>
          <w:szCs w:val="21"/>
          <w:lang w:val="pt-PT"/>
        </w:rPr>
        <w:t>SLM (X</w:t>
      </w:r>
      <w:r w:rsidRPr="00AB5568">
        <w:rPr>
          <w:sz w:val="21"/>
          <w:szCs w:val="21"/>
          <w:vertAlign w:val="subscript"/>
          <w:lang w:val="pt-PT"/>
        </w:rPr>
        <w:t>1</w:t>
      </w:r>
      <w:r w:rsidRPr="00AB5568">
        <w:rPr>
          <w:sz w:val="21"/>
          <w:szCs w:val="21"/>
          <w:lang w:val="pt-PT"/>
        </w:rPr>
        <w:t xml:space="preserve">) = N (0, </w:t>
      </w:r>
      <w:r>
        <w:rPr>
          <w:sz w:val="21"/>
          <w:szCs w:val="21"/>
        </w:rPr>
        <w:t>σ</w:t>
      </w:r>
      <w:r w:rsidRPr="00AB5568">
        <w:rPr>
          <w:sz w:val="21"/>
          <w:szCs w:val="21"/>
          <w:vertAlign w:val="subscript"/>
          <w:lang w:val="pt-PT"/>
        </w:rPr>
        <w:t>1</w:t>
      </w:r>
      <w:r w:rsidRPr="00AB5568">
        <w:rPr>
          <w:sz w:val="21"/>
          <w:szCs w:val="21"/>
          <w:lang w:val="pt-PT"/>
        </w:rPr>
        <w:t>)</w:t>
      </w:r>
      <w:r>
        <w:rPr>
          <w:rStyle w:val="a3"/>
          <w:sz w:val="21"/>
          <w:szCs w:val="21"/>
        </w:rPr>
        <w:footnoteReference w:id="40"/>
      </w:r>
      <w:r w:rsidRPr="00AB5568">
        <w:rPr>
          <w:sz w:val="21"/>
          <w:szCs w:val="21"/>
          <w:lang w:val="pt-PT"/>
        </w:rPr>
        <w:t xml:space="preserve">                                </w:t>
      </w:r>
      <w:r>
        <w:rPr>
          <w:sz w:val="21"/>
          <w:szCs w:val="21"/>
          <w:lang w:val="pt-PT"/>
        </w:rPr>
        <w:t xml:space="preserve">   </w:t>
      </w:r>
      <w:r w:rsidRPr="00AB5568">
        <w:rPr>
          <w:sz w:val="21"/>
          <w:szCs w:val="21"/>
          <w:lang w:val="pt-PT"/>
        </w:rPr>
        <w:t xml:space="preserve"> </w:t>
      </w:r>
      <w:r>
        <w:rPr>
          <w:sz w:val="21"/>
          <w:szCs w:val="21"/>
        </w:rPr>
        <w:t>ε</w:t>
      </w:r>
      <w:r w:rsidRPr="00AB5568">
        <w:rPr>
          <w:sz w:val="21"/>
          <w:szCs w:val="21"/>
          <w:vertAlign w:val="subscript"/>
          <w:lang w:val="pt-PT"/>
        </w:rPr>
        <w:t xml:space="preserve">2 </w:t>
      </w:r>
      <w:r w:rsidRPr="00AB5568">
        <w:rPr>
          <w:sz w:val="21"/>
          <w:szCs w:val="21"/>
          <w:lang w:val="pt-PT"/>
        </w:rPr>
        <w:t xml:space="preserve">= N (0, </w:t>
      </w:r>
      <w:r>
        <w:rPr>
          <w:sz w:val="21"/>
          <w:szCs w:val="21"/>
        </w:rPr>
        <w:t>σ</w:t>
      </w:r>
      <w:r w:rsidRPr="00AB5568">
        <w:rPr>
          <w:sz w:val="21"/>
          <w:szCs w:val="21"/>
          <w:vertAlign w:val="subscript"/>
          <w:lang w:val="pt-PT"/>
        </w:rPr>
        <w:t>2</w:t>
      </w:r>
      <w:r w:rsidRPr="00AB5568">
        <w:rPr>
          <w:sz w:val="21"/>
          <w:szCs w:val="21"/>
          <w:lang w:val="pt-PT"/>
        </w:rPr>
        <w:t>)</w:t>
      </w:r>
    </w:p>
    <w:p w:rsidR="00D74F0B" w:rsidRPr="00AB5568" w:rsidRDefault="00D74F0B" w:rsidP="00D74F0B">
      <w:pPr>
        <w:rPr>
          <w:sz w:val="21"/>
          <w:szCs w:val="21"/>
          <w:lang w:val="pt-PT"/>
        </w:rPr>
      </w:pPr>
      <w:r w:rsidRPr="00AB5568">
        <w:rPr>
          <w:sz w:val="21"/>
          <w:szCs w:val="21"/>
          <w:lang w:val="pt-PT"/>
        </w:rPr>
        <w:t xml:space="preserve">  Leaf nitrogen concentration (X</w:t>
      </w:r>
      <w:r w:rsidRPr="00AB5568">
        <w:rPr>
          <w:sz w:val="21"/>
          <w:szCs w:val="21"/>
          <w:vertAlign w:val="subscript"/>
          <w:lang w:val="pt-PT"/>
        </w:rPr>
        <w:t>2</w:t>
      </w:r>
      <w:r w:rsidRPr="00AB5568">
        <w:rPr>
          <w:sz w:val="21"/>
          <w:szCs w:val="21"/>
          <w:lang w:val="pt-PT"/>
        </w:rPr>
        <w:t>) = a</w:t>
      </w:r>
      <w:r w:rsidRPr="00AB5568">
        <w:rPr>
          <w:sz w:val="21"/>
          <w:szCs w:val="21"/>
          <w:vertAlign w:val="subscript"/>
          <w:lang w:val="pt-PT"/>
        </w:rPr>
        <w:t>1</w:t>
      </w:r>
      <w:r w:rsidRPr="00AB5568">
        <w:rPr>
          <w:sz w:val="21"/>
          <w:szCs w:val="21"/>
          <w:lang w:val="pt-PT"/>
        </w:rPr>
        <w:t>X</w:t>
      </w:r>
      <w:r w:rsidRPr="00AB5568">
        <w:rPr>
          <w:sz w:val="21"/>
          <w:szCs w:val="21"/>
          <w:vertAlign w:val="subscript"/>
          <w:lang w:val="pt-PT"/>
        </w:rPr>
        <w:t>1</w:t>
      </w:r>
      <w:r w:rsidRPr="00AB5568">
        <w:rPr>
          <w:sz w:val="21"/>
          <w:szCs w:val="21"/>
          <w:lang w:val="pt-PT"/>
        </w:rPr>
        <w:t>+ b</w:t>
      </w:r>
      <w:r w:rsidRPr="00AB5568">
        <w:rPr>
          <w:sz w:val="21"/>
          <w:szCs w:val="21"/>
          <w:vertAlign w:val="subscript"/>
          <w:lang w:val="pt-PT"/>
        </w:rPr>
        <w:t>2</w:t>
      </w:r>
      <w:r>
        <w:rPr>
          <w:sz w:val="21"/>
          <w:szCs w:val="21"/>
        </w:rPr>
        <w:t>ε</w:t>
      </w:r>
      <w:r w:rsidRPr="00AB5568">
        <w:rPr>
          <w:sz w:val="21"/>
          <w:szCs w:val="21"/>
          <w:vertAlign w:val="subscript"/>
          <w:lang w:val="pt-PT"/>
        </w:rPr>
        <w:t xml:space="preserve">2       </w:t>
      </w:r>
      <w:r w:rsidRPr="00AB5568">
        <w:rPr>
          <w:sz w:val="21"/>
          <w:szCs w:val="21"/>
          <w:lang w:val="pt-PT"/>
        </w:rPr>
        <w:t xml:space="preserve">       </w:t>
      </w:r>
      <w:r w:rsidR="00C71E93">
        <w:rPr>
          <w:sz w:val="21"/>
          <w:szCs w:val="21"/>
          <w:lang w:val="pt-PT"/>
        </w:rPr>
        <w:t xml:space="preserve">   </w:t>
      </w:r>
      <w:r w:rsidRPr="00AB5568">
        <w:rPr>
          <w:sz w:val="21"/>
          <w:szCs w:val="21"/>
          <w:lang w:val="pt-PT"/>
        </w:rPr>
        <w:t xml:space="preserve">   </w:t>
      </w:r>
      <w:r>
        <w:rPr>
          <w:sz w:val="21"/>
          <w:szCs w:val="21"/>
        </w:rPr>
        <w:t>ε</w:t>
      </w:r>
      <w:r w:rsidRPr="00AB5568">
        <w:rPr>
          <w:sz w:val="21"/>
          <w:szCs w:val="21"/>
          <w:vertAlign w:val="subscript"/>
          <w:lang w:val="pt-PT"/>
        </w:rPr>
        <w:t xml:space="preserve">3 </w:t>
      </w:r>
      <w:r w:rsidRPr="00AB5568">
        <w:rPr>
          <w:sz w:val="21"/>
          <w:szCs w:val="21"/>
          <w:lang w:val="pt-PT"/>
        </w:rPr>
        <w:t xml:space="preserve">= N (0, </w:t>
      </w:r>
      <w:r>
        <w:rPr>
          <w:sz w:val="21"/>
          <w:szCs w:val="21"/>
        </w:rPr>
        <w:t>σ</w:t>
      </w:r>
      <w:r w:rsidRPr="00AB5568">
        <w:rPr>
          <w:sz w:val="21"/>
          <w:szCs w:val="21"/>
          <w:vertAlign w:val="subscript"/>
          <w:lang w:val="pt-PT"/>
        </w:rPr>
        <w:t>3</w:t>
      </w:r>
      <w:r w:rsidRPr="00AB5568">
        <w:rPr>
          <w:sz w:val="21"/>
          <w:szCs w:val="21"/>
          <w:lang w:val="pt-PT"/>
        </w:rPr>
        <w:t>)</w:t>
      </w:r>
    </w:p>
    <w:p w:rsidR="00D74F0B" w:rsidRPr="00AB5568" w:rsidRDefault="00D74F0B" w:rsidP="00D74F0B">
      <w:pPr>
        <w:rPr>
          <w:sz w:val="21"/>
          <w:szCs w:val="21"/>
          <w:lang w:val="pt-PT"/>
        </w:rPr>
      </w:pPr>
      <w:r w:rsidRPr="00AB5568">
        <w:rPr>
          <w:sz w:val="21"/>
          <w:szCs w:val="21"/>
          <w:lang w:val="pt-PT"/>
        </w:rPr>
        <w:t xml:space="preserve">  Stomatal conductance (X</w:t>
      </w:r>
      <w:r w:rsidRPr="00AB5568">
        <w:rPr>
          <w:sz w:val="21"/>
          <w:szCs w:val="21"/>
          <w:vertAlign w:val="subscript"/>
          <w:lang w:val="pt-PT"/>
        </w:rPr>
        <w:t>3</w:t>
      </w:r>
      <w:r w:rsidRPr="00AB5568">
        <w:rPr>
          <w:sz w:val="21"/>
          <w:szCs w:val="21"/>
          <w:lang w:val="pt-PT"/>
        </w:rPr>
        <w:t>) = a</w:t>
      </w:r>
      <w:r w:rsidRPr="00AB5568">
        <w:rPr>
          <w:sz w:val="21"/>
          <w:szCs w:val="21"/>
          <w:vertAlign w:val="subscript"/>
          <w:lang w:val="pt-PT"/>
        </w:rPr>
        <w:t>2</w:t>
      </w:r>
      <w:r w:rsidRPr="00AB5568">
        <w:rPr>
          <w:sz w:val="21"/>
          <w:szCs w:val="21"/>
          <w:lang w:val="pt-PT"/>
        </w:rPr>
        <w:t>X</w:t>
      </w:r>
      <w:r w:rsidRPr="00AB5568">
        <w:rPr>
          <w:sz w:val="21"/>
          <w:szCs w:val="21"/>
          <w:vertAlign w:val="subscript"/>
          <w:lang w:val="pt-PT"/>
        </w:rPr>
        <w:t>2</w:t>
      </w:r>
      <w:r w:rsidRPr="00AB5568">
        <w:rPr>
          <w:sz w:val="21"/>
          <w:szCs w:val="21"/>
          <w:lang w:val="pt-PT"/>
        </w:rPr>
        <w:t>+ b</w:t>
      </w:r>
      <w:r w:rsidRPr="00AB5568">
        <w:rPr>
          <w:sz w:val="21"/>
          <w:szCs w:val="21"/>
          <w:vertAlign w:val="subscript"/>
          <w:lang w:val="pt-PT"/>
        </w:rPr>
        <w:t>3</w:t>
      </w:r>
      <w:r>
        <w:rPr>
          <w:sz w:val="21"/>
          <w:szCs w:val="21"/>
        </w:rPr>
        <w:t>ε</w:t>
      </w:r>
      <w:r w:rsidRPr="00AB5568">
        <w:rPr>
          <w:sz w:val="21"/>
          <w:szCs w:val="21"/>
          <w:vertAlign w:val="subscript"/>
          <w:lang w:val="pt-PT"/>
        </w:rPr>
        <w:t xml:space="preserve">3                         </w:t>
      </w:r>
      <w:r w:rsidR="00C71E93">
        <w:rPr>
          <w:sz w:val="21"/>
          <w:szCs w:val="21"/>
          <w:vertAlign w:val="subscript"/>
          <w:lang w:val="pt-PT"/>
        </w:rPr>
        <w:t xml:space="preserve">    </w:t>
      </w:r>
      <w:r>
        <w:rPr>
          <w:sz w:val="21"/>
          <w:szCs w:val="21"/>
          <w:vertAlign w:val="subscript"/>
          <w:lang w:val="pt-PT"/>
        </w:rPr>
        <w:t xml:space="preserve"> </w:t>
      </w:r>
      <w:r w:rsidRPr="00AB5568">
        <w:rPr>
          <w:sz w:val="21"/>
          <w:szCs w:val="21"/>
          <w:vertAlign w:val="subscript"/>
          <w:lang w:val="pt-PT"/>
        </w:rPr>
        <w:t xml:space="preserve">    </w:t>
      </w:r>
      <w:r>
        <w:rPr>
          <w:sz w:val="21"/>
          <w:szCs w:val="21"/>
        </w:rPr>
        <w:t>ε</w:t>
      </w:r>
      <w:r w:rsidRPr="00AB5568">
        <w:rPr>
          <w:sz w:val="21"/>
          <w:szCs w:val="21"/>
          <w:vertAlign w:val="subscript"/>
          <w:lang w:val="pt-PT"/>
        </w:rPr>
        <w:t>4</w:t>
      </w:r>
      <w:r w:rsidRPr="00AB5568">
        <w:rPr>
          <w:sz w:val="21"/>
          <w:szCs w:val="21"/>
          <w:lang w:val="pt-PT"/>
        </w:rPr>
        <w:t xml:space="preserve"> = N (0, </w:t>
      </w:r>
      <w:r>
        <w:rPr>
          <w:sz w:val="21"/>
          <w:szCs w:val="21"/>
        </w:rPr>
        <w:t>σ</w:t>
      </w:r>
      <w:r w:rsidRPr="00AB5568">
        <w:rPr>
          <w:sz w:val="21"/>
          <w:szCs w:val="21"/>
          <w:vertAlign w:val="subscript"/>
          <w:lang w:val="pt-PT"/>
        </w:rPr>
        <w:t>4</w:t>
      </w:r>
      <w:r w:rsidRPr="00AB5568">
        <w:rPr>
          <w:sz w:val="21"/>
          <w:szCs w:val="21"/>
          <w:lang w:val="pt-PT"/>
        </w:rPr>
        <w:t>)</w:t>
      </w:r>
    </w:p>
    <w:p w:rsidR="00D74F0B" w:rsidRPr="00AB5568" w:rsidRDefault="00D74F0B" w:rsidP="00D74F0B">
      <w:pPr>
        <w:rPr>
          <w:sz w:val="21"/>
          <w:szCs w:val="21"/>
          <w:lang w:val="pt-PT"/>
        </w:rPr>
      </w:pPr>
      <w:r w:rsidRPr="00AB5568">
        <w:rPr>
          <w:sz w:val="21"/>
          <w:szCs w:val="21"/>
          <w:lang w:val="pt-PT"/>
        </w:rPr>
        <w:t xml:space="preserve">  Net photosynthetic rate (X</w:t>
      </w:r>
      <w:r w:rsidRPr="00AB5568">
        <w:rPr>
          <w:sz w:val="21"/>
          <w:szCs w:val="21"/>
          <w:vertAlign w:val="subscript"/>
          <w:lang w:val="pt-PT"/>
        </w:rPr>
        <w:t>4</w:t>
      </w:r>
      <w:r w:rsidRPr="00AB5568">
        <w:rPr>
          <w:sz w:val="21"/>
          <w:szCs w:val="21"/>
          <w:lang w:val="pt-PT"/>
        </w:rPr>
        <w:t>) = a</w:t>
      </w:r>
      <w:r w:rsidRPr="00AB5568">
        <w:rPr>
          <w:sz w:val="21"/>
          <w:szCs w:val="21"/>
          <w:vertAlign w:val="subscript"/>
          <w:lang w:val="pt-PT"/>
        </w:rPr>
        <w:t>3</w:t>
      </w:r>
      <w:r w:rsidRPr="00AB5568">
        <w:rPr>
          <w:sz w:val="21"/>
          <w:szCs w:val="21"/>
          <w:lang w:val="pt-PT"/>
        </w:rPr>
        <w:t>X</w:t>
      </w:r>
      <w:r w:rsidRPr="00AB5568">
        <w:rPr>
          <w:sz w:val="21"/>
          <w:szCs w:val="21"/>
          <w:vertAlign w:val="subscript"/>
          <w:lang w:val="pt-PT"/>
        </w:rPr>
        <w:t>3</w:t>
      </w:r>
      <w:r w:rsidRPr="00AB5568">
        <w:rPr>
          <w:sz w:val="21"/>
          <w:szCs w:val="21"/>
          <w:lang w:val="pt-PT"/>
        </w:rPr>
        <w:t xml:space="preserve"> + b</w:t>
      </w:r>
      <w:r w:rsidRPr="00AB5568">
        <w:rPr>
          <w:sz w:val="21"/>
          <w:szCs w:val="21"/>
          <w:vertAlign w:val="subscript"/>
          <w:lang w:val="pt-PT"/>
        </w:rPr>
        <w:t>4</w:t>
      </w:r>
      <w:r>
        <w:rPr>
          <w:sz w:val="21"/>
          <w:szCs w:val="21"/>
        </w:rPr>
        <w:t>ε</w:t>
      </w:r>
      <w:r w:rsidRPr="00AB5568">
        <w:rPr>
          <w:sz w:val="21"/>
          <w:szCs w:val="21"/>
          <w:vertAlign w:val="subscript"/>
          <w:lang w:val="pt-PT"/>
        </w:rPr>
        <w:t xml:space="preserve">4                       </w:t>
      </w:r>
      <w:r w:rsidR="00C71E93">
        <w:rPr>
          <w:sz w:val="21"/>
          <w:szCs w:val="21"/>
          <w:vertAlign w:val="subscript"/>
          <w:lang w:val="pt-PT"/>
        </w:rPr>
        <w:t xml:space="preserve">    </w:t>
      </w:r>
      <w:r w:rsidRPr="00AB5568">
        <w:rPr>
          <w:sz w:val="21"/>
          <w:szCs w:val="21"/>
          <w:vertAlign w:val="subscript"/>
          <w:lang w:val="pt-PT"/>
        </w:rPr>
        <w:t xml:space="preserve">    </w:t>
      </w:r>
      <w:r>
        <w:rPr>
          <w:sz w:val="21"/>
          <w:szCs w:val="21"/>
        </w:rPr>
        <w:t>ε</w:t>
      </w:r>
      <w:r w:rsidRPr="00AB5568">
        <w:rPr>
          <w:sz w:val="21"/>
          <w:szCs w:val="21"/>
          <w:vertAlign w:val="subscript"/>
          <w:lang w:val="pt-PT"/>
        </w:rPr>
        <w:t xml:space="preserve">5 </w:t>
      </w:r>
      <w:r w:rsidRPr="00AB5568">
        <w:rPr>
          <w:sz w:val="21"/>
          <w:szCs w:val="21"/>
          <w:lang w:val="pt-PT"/>
        </w:rPr>
        <w:t xml:space="preserve">= N (0, </w:t>
      </w:r>
      <w:r>
        <w:rPr>
          <w:sz w:val="21"/>
          <w:szCs w:val="21"/>
        </w:rPr>
        <w:t>σ</w:t>
      </w:r>
      <w:r w:rsidRPr="00AB5568">
        <w:rPr>
          <w:sz w:val="21"/>
          <w:szCs w:val="21"/>
          <w:vertAlign w:val="subscript"/>
          <w:lang w:val="pt-PT"/>
        </w:rPr>
        <w:t>5</w:t>
      </w:r>
      <w:r w:rsidRPr="00AB5568">
        <w:rPr>
          <w:sz w:val="21"/>
          <w:szCs w:val="21"/>
          <w:lang w:val="pt-PT"/>
        </w:rPr>
        <w:t>)</w:t>
      </w:r>
    </w:p>
    <w:p w:rsidR="00D74F0B" w:rsidRPr="00AB5568" w:rsidRDefault="00D74F0B" w:rsidP="00D74F0B">
      <w:pPr>
        <w:rPr>
          <w:sz w:val="21"/>
          <w:szCs w:val="21"/>
          <w:lang w:val="pt-PT"/>
        </w:rPr>
      </w:pPr>
      <w:r w:rsidRPr="00AB5568">
        <w:rPr>
          <w:sz w:val="21"/>
          <w:szCs w:val="21"/>
          <w:lang w:val="pt-PT"/>
        </w:rPr>
        <w:t xml:space="preserve">  Internal CO</w:t>
      </w:r>
      <w:r w:rsidRPr="00AB5568">
        <w:rPr>
          <w:sz w:val="21"/>
          <w:szCs w:val="21"/>
          <w:vertAlign w:val="subscript"/>
          <w:lang w:val="pt-PT"/>
        </w:rPr>
        <w:t>2</w:t>
      </w:r>
      <w:r w:rsidRPr="00AB5568">
        <w:rPr>
          <w:sz w:val="21"/>
          <w:szCs w:val="21"/>
          <w:lang w:val="pt-PT"/>
        </w:rPr>
        <w:t xml:space="preserve"> concentration (X</w:t>
      </w:r>
      <w:r w:rsidRPr="00AB5568">
        <w:rPr>
          <w:sz w:val="21"/>
          <w:szCs w:val="21"/>
          <w:vertAlign w:val="subscript"/>
          <w:lang w:val="pt-PT"/>
        </w:rPr>
        <w:t>5</w:t>
      </w:r>
      <w:r w:rsidRPr="00AB5568">
        <w:rPr>
          <w:sz w:val="21"/>
          <w:szCs w:val="21"/>
          <w:lang w:val="pt-PT"/>
        </w:rPr>
        <w:t>) = a</w:t>
      </w:r>
      <w:r w:rsidRPr="00AB5568">
        <w:rPr>
          <w:sz w:val="21"/>
          <w:szCs w:val="21"/>
          <w:vertAlign w:val="subscript"/>
          <w:lang w:val="pt-PT"/>
        </w:rPr>
        <w:t>4</w:t>
      </w:r>
      <w:r w:rsidRPr="00AB5568">
        <w:rPr>
          <w:sz w:val="21"/>
          <w:szCs w:val="21"/>
          <w:lang w:val="pt-PT"/>
        </w:rPr>
        <w:t>X</w:t>
      </w:r>
      <w:r w:rsidRPr="00AB5568">
        <w:rPr>
          <w:sz w:val="21"/>
          <w:szCs w:val="21"/>
          <w:vertAlign w:val="subscript"/>
          <w:lang w:val="pt-PT"/>
        </w:rPr>
        <w:t>3</w:t>
      </w:r>
      <w:r w:rsidRPr="00AB5568">
        <w:rPr>
          <w:sz w:val="21"/>
          <w:szCs w:val="21"/>
          <w:lang w:val="pt-PT"/>
        </w:rPr>
        <w:t xml:space="preserve"> + a</w:t>
      </w:r>
      <w:r w:rsidRPr="00AB5568">
        <w:rPr>
          <w:sz w:val="21"/>
          <w:szCs w:val="21"/>
          <w:vertAlign w:val="subscript"/>
          <w:lang w:val="pt-PT"/>
        </w:rPr>
        <w:t>5</w:t>
      </w:r>
      <w:r w:rsidRPr="00AB5568">
        <w:rPr>
          <w:sz w:val="21"/>
          <w:szCs w:val="21"/>
          <w:lang w:val="pt-PT"/>
        </w:rPr>
        <w:t>X</w:t>
      </w:r>
      <w:r w:rsidRPr="00AB5568">
        <w:rPr>
          <w:sz w:val="21"/>
          <w:szCs w:val="21"/>
          <w:vertAlign w:val="subscript"/>
          <w:lang w:val="pt-PT"/>
        </w:rPr>
        <w:t>4</w:t>
      </w:r>
      <w:r w:rsidRPr="00AB5568">
        <w:rPr>
          <w:sz w:val="21"/>
          <w:szCs w:val="21"/>
          <w:lang w:val="pt-PT"/>
        </w:rPr>
        <w:t xml:space="preserve"> + b</w:t>
      </w:r>
      <w:r w:rsidRPr="00AB5568">
        <w:rPr>
          <w:sz w:val="21"/>
          <w:szCs w:val="21"/>
          <w:vertAlign w:val="subscript"/>
          <w:lang w:val="pt-PT"/>
        </w:rPr>
        <w:t>5</w:t>
      </w:r>
      <w:r>
        <w:rPr>
          <w:sz w:val="21"/>
          <w:szCs w:val="21"/>
        </w:rPr>
        <w:t>ε</w:t>
      </w:r>
      <w:r w:rsidRPr="00AB5568">
        <w:rPr>
          <w:sz w:val="21"/>
          <w:szCs w:val="21"/>
          <w:vertAlign w:val="subscript"/>
          <w:lang w:val="pt-PT"/>
        </w:rPr>
        <w:t>5</w:t>
      </w:r>
    </w:p>
    <w:p w:rsidR="00D74F0B" w:rsidRPr="00AB5568" w:rsidRDefault="00D74F0B" w:rsidP="00D74F0B">
      <w:pPr>
        <w:pBdr>
          <w:bottom w:val="single" w:sz="6" w:space="1" w:color="auto"/>
        </w:pBdr>
        <w:spacing w:after="156"/>
        <w:ind w:left="210" w:hanging="210"/>
        <w:rPr>
          <w:sz w:val="21"/>
          <w:szCs w:val="21"/>
          <w:lang w:val="pt-PT"/>
        </w:rPr>
      </w:pPr>
      <w:r w:rsidRPr="00AB5568">
        <w:rPr>
          <w:sz w:val="21"/>
          <w:szCs w:val="21"/>
          <w:lang w:val="pt-PT"/>
        </w:rPr>
        <w:t xml:space="preserve">  Cov(X</w:t>
      </w:r>
      <w:r w:rsidRPr="00AB5568">
        <w:rPr>
          <w:sz w:val="21"/>
          <w:szCs w:val="21"/>
          <w:vertAlign w:val="subscript"/>
          <w:lang w:val="pt-PT"/>
        </w:rPr>
        <w:t>1</w:t>
      </w:r>
      <w:r w:rsidRPr="00AB5568">
        <w:rPr>
          <w:sz w:val="21"/>
          <w:szCs w:val="21"/>
          <w:lang w:val="pt-PT"/>
        </w:rPr>
        <w:t xml:space="preserve">, </w:t>
      </w:r>
      <w:r>
        <w:rPr>
          <w:sz w:val="21"/>
          <w:szCs w:val="21"/>
        </w:rPr>
        <w:t>ε</w:t>
      </w:r>
      <w:r w:rsidRPr="00AB5568">
        <w:rPr>
          <w:sz w:val="21"/>
          <w:szCs w:val="21"/>
          <w:vertAlign w:val="subscript"/>
          <w:lang w:val="pt-PT"/>
        </w:rPr>
        <w:t>2</w:t>
      </w:r>
      <w:r w:rsidRPr="00AB5568">
        <w:rPr>
          <w:sz w:val="21"/>
          <w:szCs w:val="21"/>
          <w:lang w:val="pt-PT"/>
        </w:rPr>
        <w:t>)=Cov(X</w:t>
      </w:r>
      <w:r w:rsidRPr="00AB5568">
        <w:rPr>
          <w:sz w:val="21"/>
          <w:szCs w:val="21"/>
          <w:vertAlign w:val="subscript"/>
          <w:lang w:val="pt-PT"/>
        </w:rPr>
        <w:t>1</w:t>
      </w:r>
      <w:r w:rsidRPr="00AB5568">
        <w:rPr>
          <w:sz w:val="21"/>
          <w:szCs w:val="21"/>
          <w:lang w:val="pt-PT"/>
        </w:rPr>
        <w:t xml:space="preserve">, </w:t>
      </w:r>
      <w:r>
        <w:rPr>
          <w:sz w:val="21"/>
          <w:szCs w:val="21"/>
        </w:rPr>
        <w:t>ε</w:t>
      </w:r>
      <w:r w:rsidRPr="00AB5568">
        <w:rPr>
          <w:sz w:val="21"/>
          <w:szCs w:val="21"/>
          <w:vertAlign w:val="subscript"/>
          <w:lang w:val="pt-PT"/>
        </w:rPr>
        <w:t>3</w:t>
      </w:r>
      <w:r w:rsidRPr="00AB5568">
        <w:rPr>
          <w:sz w:val="21"/>
          <w:szCs w:val="21"/>
          <w:lang w:val="pt-PT"/>
        </w:rPr>
        <w:t>)=Cov(X</w:t>
      </w:r>
      <w:r w:rsidRPr="00AB5568">
        <w:rPr>
          <w:sz w:val="21"/>
          <w:szCs w:val="21"/>
          <w:vertAlign w:val="subscript"/>
          <w:lang w:val="pt-PT"/>
        </w:rPr>
        <w:t>1</w:t>
      </w:r>
      <w:r w:rsidRPr="00AB5568">
        <w:rPr>
          <w:sz w:val="21"/>
          <w:szCs w:val="21"/>
          <w:lang w:val="pt-PT"/>
        </w:rPr>
        <w:t xml:space="preserve">, </w:t>
      </w:r>
      <w:r>
        <w:rPr>
          <w:sz w:val="21"/>
          <w:szCs w:val="21"/>
        </w:rPr>
        <w:t>ε</w:t>
      </w:r>
      <w:r w:rsidRPr="00AB5568">
        <w:rPr>
          <w:sz w:val="21"/>
          <w:szCs w:val="21"/>
          <w:vertAlign w:val="subscript"/>
          <w:lang w:val="pt-PT"/>
        </w:rPr>
        <w:t>4</w:t>
      </w:r>
      <w:r w:rsidRPr="00AB5568">
        <w:rPr>
          <w:sz w:val="21"/>
          <w:szCs w:val="21"/>
          <w:lang w:val="pt-PT"/>
        </w:rPr>
        <w:t>)=Cov(X</w:t>
      </w:r>
      <w:r w:rsidRPr="00AB5568">
        <w:rPr>
          <w:sz w:val="21"/>
          <w:szCs w:val="21"/>
          <w:vertAlign w:val="subscript"/>
          <w:lang w:val="pt-PT"/>
        </w:rPr>
        <w:t>1</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)=Cov(X</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3</w:t>
      </w:r>
      <w:r w:rsidRPr="00AB5568">
        <w:rPr>
          <w:sz w:val="21"/>
          <w:szCs w:val="21"/>
          <w:lang w:val="pt-PT"/>
        </w:rPr>
        <w:t>)=Cov (X</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4</w:t>
      </w:r>
      <w:r w:rsidRPr="00AB5568">
        <w:rPr>
          <w:sz w:val="21"/>
          <w:szCs w:val="21"/>
          <w:lang w:val="pt-PT"/>
        </w:rPr>
        <w:t>)= Cov(X</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)=Cov(X</w:t>
      </w:r>
      <w:r w:rsidRPr="00AB5568">
        <w:rPr>
          <w:sz w:val="21"/>
          <w:szCs w:val="21"/>
          <w:vertAlign w:val="subscript"/>
          <w:lang w:val="pt-PT"/>
        </w:rPr>
        <w:t>3</w:t>
      </w:r>
      <w:r w:rsidRPr="00AB5568">
        <w:rPr>
          <w:sz w:val="21"/>
          <w:szCs w:val="21"/>
          <w:lang w:val="pt-PT"/>
        </w:rPr>
        <w:t xml:space="preserve">, </w:t>
      </w:r>
      <w:r>
        <w:rPr>
          <w:sz w:val="21"/>
          <w:szCs w:val="21"/>
        </w:rPr>
        <w:t>ε</w:t>
      </w:r>
      <w:r w:rsidRPr="00AB5568">
        <w:rPr>
          <w:sz w:val="21"/>
          <w:szCs w:val="21"/>
          <w:vertAlign w:val="subscript"/>
          <w:lang w:val="pt-PT"/>
        </w:rPr>
        <w:t>4</w:t>
      </w:r>
      <w:r w:rsidRPr="00AB5568">
        <w:rPr>
          <w:sz w:val="21"/>
          <w:szCs w:val="21"/>
          <w:lang w:val="pt-PT"/>
        </w:rPr>
        <w:t>)=Cov(X</w:t>
      </w:r>
      <w:r w:rsidRPr="00AB5568">
        <w:rPr>
          <w:sz w:val="21"/>
          <w:szCs w:val="21"/>
          <w:vertAlign w:val="subscript"/>
          <w:lang w:val="pt-PT"/>
        </w:rPr>
        <w:t>3</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)=Cov(X</w:t>
      </w:r>
      <w:r w:rsidRPr="00AB5568">
        <w:rPr>
          <w:sz w:val="21"/>
          <w:szCs w:val="21"/>
          <w:vertAlign w:val="subscript"/>
          <w:lang w:val="pt-PT"/>
        </w:rPr>
        <w:t>4</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w:t>
      </w:r>
      <w:r>
        <w:rPr>
          <w:sz w:val="21"/>
          <w:szCs w:val="21"/>
        </w:rPr>
        <w:t>ε</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3</w:t>
      </w:r>
      <w:r w:rsidRPr="00AB5568">
        <w:rPr>
          <w:sz w:val="21"/>
          <w:szCs w:val="21"/>
          <w:lang w:val="pt-PT"/>
        </w:rPr>
        <w:t>)=Cov(</w:t>
      </w:r>
      <w:r>
        <w:rPr>
          <w:sz w:val="21"/>
          <w:szCs w:val="21"/>
        </w:rPr>
        <w:t>ε</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4</w:t>
      </w:r>
      <w:r w:rsidRPr="00AB5568">
        <w:rPr>
          <w:sz w:val="21"/>
          <w:szCs w:val="21"/>
          <w:lang w:val="pt-PT"/>
        </w:rPr>
        <w:t>)= Cov(</w:t>
      </w:r>
      <w:r>
        <w:rPr>
          <w:sz w:val="21"/>
          <w:szCs w:val="21"/>
        </w:rPr>
        <w:t>ε</w:t>
      </w:r>
      <w:r w:rsidRPr="00AB5568">
        <w:rPr>
          <w:sz w:val="21"/>
          <w:szCs w:val="21"/>
          <w:vertAlign w:val="subscript"/>
          <w:lang w:val="pt-PT"/>
        </w:rPr>
        <w:t>2</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w:t>
      </w:r>
      <w:r>
        <w:rPr>
          <w:sz w:val="21"/>
          <w:szCs w:val="21"/>
        </w:rPr>
        <w:t>ε</w:t>
      </w:r>
      <w:r w:rsidRPr="00AB5568">
        <w:rPr>
          <w:sz w:val="21"/>
          <w:szCs w:val="21"/>
          <w:vertAlign w:val="subscript"/>
          <w:lang w:val="pt-PT"/>
        </w:rPr>
        <w:t>3</w:t>
      </w:r>
      <w:r w:rsidRPr="00AB5568">
        <w:rPr>
          <w:sz w:val="21"/>
          <w:szCs w:val="21"/>
          <w:lang w:val="pt-PT"/>
        </w:rPr>
        <w:t xml:space="preserve">, </w:t>
      </w:r>
      <w:r>
        <w:rPr>
          <w:sz w:val="21"/>
          <w:szCs w:val="21"/>
        </w:rPr>
        <w:t>ε</w:t>
      </w:r>
      <w:r w:rsidRPr="00AB5568">
        <w:rPr>
          <w:sz w:val="21"/>
          <w:szCs w:val="21"/>
          <w:vertAlign w:val="subscript"/>
          <w:lang w:val="pt-PT"/>
        </w:rPr>
        <w:t>4</w:t>
      </w:r>
      <w:r w:rsidRPr="00AB5568">
        <w:rPr>
          <w:sz w:val="21"/>
          <w:szCs w:val="21"/>
          <w:lang w:val="pt-PT"/>
        </w:rPr>
        <w:t>)=Cov(</w:t>
      </w:r>
      <w:r>
        <w:rPr>
          <w:sz w:val="21"/>
          <w:szCs w:val="21"/>
        </w:rPr>
        <w:t>ε</w:t>
      </w:r>
      <w:r w:rsidRPr="00AB5568">
        <w:rPr>
          <w:sz w:val="21"/>
          <w:szCs w:val="21"/>
          <w:vertAlign w:val="subscript"/>
          <w:lang w:val="pt-PT"/>
        </w:rPr>
        <w:t>3</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)=Cov(</w:t>
      </w:r>
      <w:r>
        <w:rPr>
          <w:sz w:val="21"/>
          <w:szCs w:val="21"/>
        </w:rPr>
        <w:t>ε</w:t>
      </w:r>
      <w:r w:rsidRPr="00AB5568">
        <w:rPr>
          <w:sz w:val="21"/>
          <w:szCs w:val="21"/>
          <w:vertAlign w:val="subscript"/>
          <w:lang w:val="pt-PT"/>
        </w:rPr>
        <w:t>4</w:t>
      </w:r>
      <w:r w:rsidRPr="00AB5568">
        <w:rPr>
          <w:sz w:val="21"/>
          <w:szCs w:val="21"/>
          <w:lang w:val="pt-PT"/>
        </w:rPr>
        <w:t xml:space="preserve">, </w:t>
      </w:r>
      <w:r>
        <w:rPr>
          <w:sz w:val="21"/>
          <w:szCs w:val="21"/>
        </w:rPr>
        <w:t>ε</w:t>
      </w:r>
      <w:r w:rsidRPr="00AB5568">
        <w:rPr>
          <w:sz w:val="21"/>
          <w:szCs w:val="21"/>
          <w:vertAlign w:val="subscript"/>
          <w:lang w:val="pt-PT"/>
        </w:rPr>
        <w:t>5</w:t>
      </w:r>
      <w:r w:rsidRPr="00AB5568">
        <w:rPr>
          <w:sz w:val="21"/>
          <w:szCs w:val="21"/>
          <w:lang w:val="pt-PT"/>
        </w:rPr>
        <w:t>)=0</w:t>
      </w:r>
    </w:p>
    <w:p w:rsidR="006400CD" w:rsidRDefault="00D74F0B" w:rsidP="00D74F0B">
      <w:pPr>
        <w:rPr>
          <w:sz w:val="21"/>
          <w:szCs w:val="21"/>
        </w:rPr>
      </w:pPr>
      <w:r w:rsidRPr="00F05C08">
        <w:rPr>
          <w:sz w:val="21"/>
          <w:szCs w:val="21"/>
        </w:rPr>
        <w:t xml:space="preserve">Since some variables are causally independent of one another (e.g. </w:t>
      </w:r>
      <w:r w:rsidRPr="00F05C08">
        <w:rPr>
          <w:i/>
          <w:sz w:val="21"/>
          <w:szCs w:val="21"/>
        </w:rPr>
        <w:t>X</w:t>
      </w:r>
      <w:r w:rsidRPr="00F05C08">
        <w:rPr>
          <w:i/>
          <w:sz w:val="21"/>
          <w:szCs w:val="21"/>
          <w:vertAlign w:val="subscript"/>
        </w:rPr>
        <w:t>1</w:t>
      </w:r>
      <w:r w:rsidRPr="00F05C08">
        <w:rPr>
          <w:sz w:val="21"/>
          <w:szCs w:val="21"/>
        </w:rPr>
        <w:t xml:space="preserve"> and </w:t>
      </w:r>
      <w:r w:rsidRPr="00F05C08">
        <w:rPr>
          <w:i/>
          <w:sz w:val="21"/>
          <w:szCs w:val="21"/>
        </w:rPr>
        <w:t>ε</w:t>
      </w:r>
      <w:r w:rsidRPr="00F05C08">
        <w:rPr>
          <w:i/>
          <w:sz w:val="21"/>
          <w:szCs w:val="21"/>
          <w:vertAlign w:val="subscript"/>
        </w:rPr>
        <w:t>4</w:t>
      </w:r>
      <w:r w:rsidRPr="00F05C08">
        <w:rPr>
          <w:sz w:val="21"/>
          <w:szCs w:val="21"/>
        </w:rPr>
        <w:t xml:space="preserve">, </w:t>
      </w:r>
      <w:r w:rsidRPr="00F05C08">
        <w:rPr>
          <w:i/>
          <w:sz w:val="21"/>
          <w:szCs w:val="21"/>
        </w:rPr>
        <w:t>X</w:t>
      </w:r>
      <w:r w:rsidRPr="00F05C08">
        <w:rPr>
          <w:i/>
          <w:sz w:val="21"/>
          <w:szCs w:val="21"/>
          <w:vertAlign w:val="subscript"/>
        </w:rPr>
        <w:t>2</w:t>
      </w:r>
      <w:r w:rsidRPr="00F05C08">
        <w:rPr>
          <w:sz w:val="21"/>
          <w:szCs w:val="21"/>
        </w:rPr>
        <w:t xml:space="preserve"> and </w:t>
      </w:r>
      <w:r w:rsidRPr="00F05C08">
        <w:rPr>
          <w:i/>
          <w:sz w:val="21"/>
          <w:szCs w:val="21"/>
        </w:rPr>
        <w:t>ε</w:t>
      </w:r>
      <w:r w:rsidRPr="00F05C08">
        <w:rPr>
          <w:i/>
          <w:sz w:val="21"/>
          <w:szCs w:val="21"/>
          <w:vertAlign w:val="subscript"/>
        </w:rPr>
        <w:t>5</w:t>
      </w:r>
      <w:r w:rsidRPr="00F05C08">
        <w:rPr>
          <w:sz w:val="21"/>
          <w:szCs w:val="21"/>
        </w:rPr>
        <w:t>, and so on), the covariance between them is simply zero.</w:t>
      </w:r>
    </w:p>
    <w:p w:rsidR="006400CD" w:rsidRPr="006400CD" w:rsidRDefault="006400CD" w:rsidP="00D74F0B">
      <w:pPr>
        <w:pBdr>
          <w:bottom w:val="single" w:sz="6" w:space="1" w:color="auto"/>
        </w:pBdr>
        <w:rPr>
          <w:sz w:val="21"/>
          <w:szCs w:val="21"/>
        </w:rPr>
      </w:pPr>
    </w:p>
    <w:p w:rsidR="00BA08FE" w:rsidRPr="00F05C08" w:rsidRDefault="00BA08FE" w:rsidP="00F05C08">
      <w:pPr>
        <w:rPr>
          <w:b/>
          <w:sz w:val="21"/>
          <w:szCs w:val="21"/>
        </w:rPr>
      </w:pPr>
      <w:r w:rsidRPr="00F05C08">
        <w:rPr>
          <w:b/>
          <w:sz w:val="21"/>
          <w:szCs w:val="21"/>
        </w:rPr>
        <w:t xml:space="preserve">Box 2. Predicted population variances and covariances for variables described in </w:t>
      </w:r>
      <w:r w:rsidRPr="00F05C08">
        <w:rPr>
          <w:b/>
          <w:i/>
          <w:sz w:val="21"/>
          <w:szCs w:val="21"/>
        </w:rPr>
        <w:t>Box 1</w:t>
      </w:r>
    </w:p>
    <w:p w:rsidR="00BA08FE" w:rsidRPr="00F05C08" w:rsidRDefault="00BA08FE" w:rsidP="00F05C08">
      <w:pPr>
        <w:rPr>
          <w:sz w:val="21"/>
          <w:szCs w:val="21"/>
        </w:rPr>
      </w:pPr>
      <w:r w:rsidRPr="00BA08FE">
        <w:t xml:space="preserve">         </w:t>
      </w:r>
      <w:r w:rsidRPr="00F05C08">
        <w:rPr>
          <w:sz w:val="21"/>
          <w:szCs w:val="21"/>
        </w:rPr>
        <w:t>X</w:t>
      </w:r>
      <w:r w:rsidRPr="00440CB2">
        <w:rPr>
          <w:sz w:val="21"/>
          <w:szCs w:val="21"/>
          <w:vertAlign w:val="subscript"/>
        </w:rPr>
        <w:t>1</w:t>
      </w:r>
      <w:r w:rsidRPr="00F05C08">
        <w:rPr>
          <w:sz w:val="21"/>
          <w:szCs w:val="21"/>
        </w:rPr>
        <w:t xml:space="preserve">         X</w:t>
      </w:r>
      <w:r w:rsidRPr="00440CB2">
        <w:rPr>
          <w:sz w:val="21"/>
          <w:szCs w:val="21"/>
          <w:vertAlign w:val="subscript"/>
        </w:rPr>
        <w:t>2</w:t>
      </w:r>
      <w:r w:rsidRPr="00F05C08">
        <w:rPr>
          <w:sz w:val="21"/>
          <w:szCs w:val="21"/>
        </w:rPr>
        <w:t xml:space="preserve">         X</w:t>
      </w:r>
      <w:r w:rsidRPr="00440CB2">
        <w:rPr>
          <w:sz w:val="21"/>
          <w:szCs w:val="21"/>
          <w:vertAlign w:val="subscript"/>
        </w:rPr>
        <w:t>3</w:t>
      </w:r>
      <w:r w:rsidRPr="00F05C08">
        <w:rPr>
          <w:sz w:val="21"/>
          <w:szCs w:val="21"/>
        </w:rPr>
        <w:t xml:space="preserve">         </w:t>
      </w:r>
      <w:r>
        <w:rPr>
          <w:sz w:val="21"/>
          <w:szCs w:val="21"/>
        </w:rPr>
        <w:t xml:space="preserve"> </w:t>
      </w:r>
      <w:r w:rsidRPr="00F05C08">
        <w:rPr>
          <w:sz w:val="21"/>
          <w:szCs w:val="21"/>
        </w:rPr>
        <w:t xml:space="preserve">  X</w:t>
      </w:r>
      <w:r w:rsidRPr="00440CB2">
        <w:rPr>
          <w:sz w:val="21"/>
          <w:szCs w:val="21"/>
          <w:vertAlign w:val="subscript"/>
        </w:rPr>
        <w:t>4</w:t>
      </w:r>
      <w:r w:rsidRPr="00F05C08">
        <w:rPr>
          <w:sz w:val="21"/>
          <w:szCs w:val="21"/>
        </w:rPr>
        <w:t xml:space="preserve">            </w:t>
      </w:r>
      <w:r>
        <w:rPr>
          <w:sz w:val="21"/>
          <w:szCs w:val="21"/>
        </w:rPr>
        <w:t xml:space="preserve">  </w:t>
      </w:r>
      <w:r w:rsidRPr="00F05C08">
        <w:rPr>
          <w:sz w:val="21"/>
          <w:szCs w:val="21"/>
        </w:rPr>
        <w:t xml:space="preserve"> X</w:t>
      </w:r>
      <w:r w:rsidRPr="00440CB2">
        <w:rPr>
          <w:sz w:val="21"/>
          <w:szCs w:val="21"/>
          <w:vertAlign w:val="subscript"/>
        </w:rPr>
        <w:t>5</w:t>
      </w:r>
    </w:p>
    <w:p w:rsidR="00BA08FE" w:rsidRPr="00AB5568" w:rsidRDefault="00BA08FE" w:rsidP="00BA08FE">
      <w:pPr>
        <w:rPr>
          <w:sz w:val="21"/>
          <w:szCs w:val="21"/>
          <w:lang w:val="pt-PT"/>
        </w:rPr>
      </w:pPr>
      <w:r w:rsidRPr="00AB5568">
        <w:rPr>
          <w:sz w:val="21"/>
          <w:szCs w:val="21"/>
          <w:lang w:val="pt-PT"/>
        </w:rPr>
        <w:t xml:space="preserve">  X</w:t>
      </w:r>
      <w:r w:rsidRPr="00AB5568">
        <w:rPr>
          <w:sz w:val="21"/>
          <w:szCs w:val="21"/>
          <w:vertAlign w:val="subscript"/>
          <w:lang w:val="pt-PT"/>
        </w:rPr>
        <w:t>1</w:t>
      </w:r>
      <w:r w:rsidRPr="00AB5568">
        <w:rPr>
          <w:sz w:val="21"/>
          <w:szCs w:val="21"/>
          <w:lang w:val="pt-PT"/>
        </w:rPr>
        <w:t xml:space="preserve">   Var(X</w:t>
      </w:r>
      <w:r w:rsidRPr="00AB5568">
        <w:rPr>
          <w:sz w:val="21"/>
          <w:szCs w:val="21"/>
          <w:vertAlign w:val="subscript"/>
          <w:lang w:val="pt-PT"/>
        </w:rPr>
        <w:t>1</w:t>
      </w:r>
      <w:r w:rsidRPr="00AB5568">
        <w:rPr>
          <w:sz w:val="21"/>
          <w:szCs w:val="21"/>
          <w:lang w:val="pt-PT"/>
        </w:rPr>
        <w:t>)   a</w:t>
      </w:r>
      <w:r w:rsidRPr="00AB5568">
        <w:rPr>
          <w:sz w:val="21"/>
          <w:szCs w:val="21"/>
          <w:vertAlign w:val="subscript"/>
          <w:lang w:val="pt-PT"/>
        </w:rPr>
        <w:t>1</w:t>
      </w:r>
      <w:r w:rsidRPr="00AB5568">
        <w:rPr>
          <w:sz w:val="21"/>
          <w:szCs w:val="21"/>
          <w:lang w:val="pt-PT"/>
        </w:rPr>
        <w:t>Var(X</w:t>
      </w:r>
      <w:r w:rsidRPr="00AB5568">
        <w:rPr>
          <w:sz w:val="21"/>
          <w:szCs w:val="21"/>
          <w:vertAlign w:val="subscript"/>
          <w:lang w:val="pt-PT"/>
        </w:rPr>
        <w:t>1</w:t>
      </w:r>
      <w:r w:rsidRPr="00AB5568">
        <w:rPr>
          <w:sz w:val="21"/>
          <w:szCs w:val="21"/>
          <w:lang w:val="pt-PT"/>
        </w:rPr>
        <w:t>)   a</w:t>
      </w:r>
      <w:r w:rsidRPr="00AB5568">
        <w:rPr>
          <w:sz w:val="21"/>
          <w:szCs w:val="21"/>
          <w:vertAlign w:val="subscript"/>
          <w:lang w:val="pt-PT"/>
        </w:rPr>
        <w:t>1</w:t>
      </w:r>
      <w:r w:rsidRPr="00AB5568">
        <w:rPr>
          <w:sz w:val="21"/>
          <w:szCs w:val="21"/>
          <w:lang w:val="pt-PT"/>
        </w:rPr>
        <w:t>a</w:t>
      </w:r>
      <w:r w:rsidRPr="00AB5568">
        <w:rPr>
          <w:sz w:val="21"/>
          <w:szCs w:val="21"/>
          <w:vertAlign w:val="subscript"/>
          <w:lang w:val="pt-PT"/>
        </w:rPr>
        <w:t>2</w:t>
      </w:r>
      <w:r w:rsidRPr="00AB5568">
        <w:rPr>
          <w:sz w:val="21"/>
          <w:szCs w:val="21"/>
          <w:lang w:val="pt-PT"/>
        </w:rPr>
        <w:t>Var(X</w:t>
      </w:r>
      <w:r w:rsidRPr="00AB5568">
        <w:rPr>
          <w:sz w:val="21"/>
          <w:szCs w:val="21"/>
          <w:vertAlign w:val="subscript"/>
          <w:lang w:val="pt-PT"/>
        </w:rPr>
        <w:t>1</w:t>
      </w:r>
      <w:r w:rsidRPr="00AB5568">
        <w:rPr>
          <w:sz w:val="21"/>
          <w:szCs w:val="21"/>
          <w:lang w:val="pt-PT"/>
        </w:rPr>
        <w:t>)    a</w:t>
      </w:r>
      <w:r w:rsidRPr="00AB5568">
        <w:rPr>
          <w:sz w:val="21"/>
          <w:szCs w:val="21"/>
          <w:vertAlign w:val="subscript"/>
          <w:lang w:val="pt-PT"/>
        </w:rPr>
        <w:t>1</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Var(X</w:t>
      </w:r>
      <w:r w:rsidRPr="00AB5568">
        <w:rPr>
          <w:sz w:val="21"/>
          <w:szCs w:val="21"/>
          <w:vertAlign w:val="subscript"/>
          <w:lang w:val="pt-PT"/>
        </w:rPr>
        <w:t>1</w:t>
      </w:r>
      <w:r w:rsidRPr="00AB5568">
        <w:rPr>
          <w:sz w:val="21"/>
          <w:szCs w:val="21"/>
          <w:lang w:val="pt-PT"/>
        </w:rPr>
        <w:t>)      (a</w:t>
      </w:r>
      <w:r w:rsidRPr="00AB5568">
        <w:rPr>
          <w:sz w:val="21"/>
          <w:szCs w:val="21"/>
          <w:vertAlign w:val="subscript"/>
          <w:lang w:val="pt-PT"/>
        </w:rPr>
        <w:t>1</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4</w:t>
      </w:r>
      <w:r w:rsidRPr="00AB5568">
        <w:rPr>
          <w:sz w:val="21"/>
          <w:szCs w:val="21"/>
          <w:lang w:val="pt-PT"/>
        </w:rPr>
        <w:t>+a</w:t>
      </w:r>
      <w:r w:rsidRPr="00AB5568">
        <w:rPr>
          <w:sz w:val="21"/>
          <w:szCs w:val="21"/>
          <w:vertAlign w:val="subscript"/>
          <w:lang w:val="pt-PT"/>
        </w:rPr>
        <w:t>1</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a</w:t>
      </w:r>
      <w:r w:rsidRPr="00AB5568">
        <w:rPr>
          <w:sz w:val="21"/>
          <w:szCs w:val="21"/>
          <w:vertAlign w:val="subscript"/>
          <w:lang w:val="pt-PT"/>
        </w:rPr>
        <w:t>5</w:t>
      </w:r>
      <w:r w:rsidRPr="00AB5568">
        <w:rPr>
          <w:sz w:val="21"/>
          <w:szCs w:val="21"/>
          <w:lang w:val="pt-PT"/>
        </w:rPr>
        <w:t>)Var (X</w:t>
      </w:r>
      <w:r w:rsidRPr="00AB5568">
        <w:rPr>
          <w:sz w:val="21"/>
          <w:szCs w:val="21"/>
          <w:vertAlign w:val="subscript"/>
          <w:lang w:val="pt-PT"/>
        </w:rPr>
        <w:t>1</w:t>
      </w:r>
      <w:r w:rsidRPr="00AB5568">
        <w:rPr>
          <w:sz w:val="21"/>
          <w:szCs w:val="21"/>
          <w:lang w:val="pt-PT"/>
        </w:rPr>
        <w:t>)</w:t>
      </w:r>
    </w:p>
    <w:p w:rsidR="00BA08FE" w:rsidRPr="00AB5568" w:rsidRDefault="00BA08FE" w:rsidP="00BA08FE">
      <w:pPr>
        <w:ind w:firstLine="105"/>
        <w:rPr>
          <w:sz w:val="21"/>
          <w:szCs w:val="21"/>
          <w:lang w:val="pt-PT"/>
        </w:rPr>
      </w:pPr>
      <w:r w:rsidRPr="00AB5568">
        <w:rPr>
          <w:sz w:val="21"/>
          <w:szCs w:val="21"/>
          <w:lang w:val="pt-PT"/>
        </w:rPr>
        <w:t xml:space="preserve"> X</w:t>
      </w:r>
      <w:r w:rsidRPr="00AB5568">
        <w:rPr>
          <w:sz w:val="21"/>
          <w:szCs w:val="21"/>
          <w:vertAlign w:val="subscript"/>
          <w:lang w:val="pt-PT"/>
        </w:rPr>
        <w:t xml:space="preserve">2             </w:t>
      </w:r>
      <w:r>
        <w:rPr>
          <w:sz w:val="21"/>
          <w:szCs w:val="21"/>
          <w:vertAlign w:val="subscript"/>
          <w:lang w:val="pt-PT"/>
        </w:rPr>
        <w:t xml:space="preserve">    </w:t>
      </w:r>
      <w:r w:rsidRPr="00AB5568">
        <w:rPr>
          <w:sz w:val="21"/>
          <w:szCs w:val="21"/>
          <w:lang w:val="pt-PT"/>
        </w:rPr>
        <w:t>Var(X</w:t>
      </w:r>
      <w:r w:rsidRPr="00AB5568">
        <w:rPr>
          <w:sz w:val="21"/>
          <w:szCs w:val="21"/>
          <w:vertAlign w:val="subscript"/>
          <w:lang w:val="pt-PT"/>
        </w:rPr>
        <w:t>2</w:t>
      </w:r>
      <w:r w:rsidRPr="00AB5568">
        <w:rPr>
          <w:sz w:val="21"/>
          <w:szCs w:val="21"/>
          <w:lang w:val="pt-PT"/>
        </w:rPr>
        <w:t>)    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lang w:val="pt-PT"/>
        </w:rPr>
        <w:t>Var(X</w:t>
      </w:r>
      <w:r w:rsidRPr="00AB5568">
        <w:rPr>
          <w:sz w:val="21"/>
          <w:szCs w:val="21"/>
          <w:vertAlign w:val="subscript"/>
          <w:lang w:val="pt-PT"/>
        </w:rPr>
        <w:t>1</w:t>
      </w:r>
      <w:r w:rsidRPr="00AB5568">
        <w:rPr>
          <w:sz w:val="21"/>
          <w:szCs w:val="21"/>
          <w:lang w:val="pt-PT"/>
        </w:rPr>
        <w:t xml:space="preserve">)   </w:t>
      </w:r>
      <w:r>
        <w:rPr>
          <w:sz w:val="21"/>
          <w:szCs w:val="21"/>
          <w:lang w:val="pt-PT"/>
        </w:rPr>
        <w:t xml:space="preserve"> </w:t>
      </w:r>
      <w:r w:rsidRPr="00AB5568">
        <w:rPr>
          <w:sz w:val="21"/>
          <w:szCs w:val="21"/>
          <w:lang w:val="pt-PT"/>
        </w:rPr>
        <w:t>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Var(X</w:t>
      </w:r>
      <w:r w:rsidRPr="00AB5568">
        <w:rPr>
          <w:sz w:val="21"/>
          <w:szCs w:val="21"/>
          <w:vertAlign w:val="subscript"/>
          <w:lang w:val="pt-PT"/>
        </w:rPr>
        <w:t>1</w:t>
      </w:r>
      <w:r w:rsidRPr="00AB5568">
        <w:rPr>
          <w:sz w:val="21"/>
          <w:szCs w:val="21"/>
          <w:lang w:val="pt-PT"/>
        </w:rPr>
        <w:t>)     (a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4</w:t>
      </w:r>
      <w:r w:rsidRPr="00AB5568">
        <w:rPr>
          <w:sz w:val="21"/>
          <w:szCs w:val="21"/>
          <w:lang w:val="pt-PT"/>
        </w:rPr>
        <w:t>+ 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a</w:t>
      </w:r>
      <w:r w:rsidRPr="00AB5568">
        <w:rPr>
          <w:sz w:val="21"/>
          <w:szCs w:val="21"/>
          <w:vertAlign w:val="subscript"/>
          <w:lang w:val="pt-PT"/>
        </w:rPr>
        <w:t>5</w:t>
      </w:r>
      <w:r w:rsidRPr="00AB5568">
        <w:rPr>
          <w:sz w:val="21"/>
          <w:szCs w:val="21"/>
          <w:lang w:val="pt-PT"/>
        </w:rPr>
        <w:t>)Var(X</w:t>
      </w:r>
      <w:r w:rsidRPr="00AB5568">
        <w:rPr>
          <w:sz w:val="21"/>
          <w:szCs w:val="21"/>
          <w:vertAlign w:val="subscript"/>
          <w:lang w:val="pt-PT"/>
        </w:rPr>
        <w:t>1</w:t>
      </w:r>
      <w:r w:rsidRPr="00AB5568">
        <w:rPr>
          <w:sz w:val="21"/>
          <w:szCs w:val="21"/>
          <w:lang w:val="pt-PT"/>
        </w:rPr>
        <w:t>)</w:t>
      </w:r>
    </w:p>
    <w:p w:rsidR="00BA08FE" w:rsidRPr="00AB5568" w:rsidRDefault="00BA08FE" w:rsidP="00BA08FE">
      <w:pPr>
        <w:ind w:firstLineChars="1200" w:firstLine="2520"/>
        <w:rPr>
          <w:sz w:val="21"/>
          <w:szCs w:val="21"/>
          <w:lang w:val="pt-PT"/>
        </w:rPr>
      </w:pPr>
      <w:r w:rsidRPr="00AB5568">
        <w:rPr>
          <w:sz w:val="21"/>
          <w:szCs w:val="21"/>
          <w:lang w:val="pt-PT"/>
        </w:rPr>
        <w:t>+a</w:t>
      </w:r>
      <w:r w:rsidRPr="00AB5568">
        <w:rPr>
          <w:sz w:val="21"/>
          <w:szCs w:val="21"/>
          <w:vertAlign w:val="subscript"/>
          <w:lang w:val="pt-PT"/>
        </w:rPr>
        <w:t>2</w:t>
      </w:r>
      <w:r w:rsidRPr="00AB5568">
        <w:rPr>
          <w:sz w:val="21"/>
          <w:szCs w:val="21"/>
          <w:lang w:val="pt-PT"/>
        </w:rPr>
        <w:t>b</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Var(</w:t>
      </w:r>
      <w:r>
        <w:rPr>
          <w:sz w:val="21"/>
          <w:szCs w:val="21"/>
        </w:rPr>
        <w:t>ε</w:t>
      </w:r>
      <w:r w:rsidRPr="00AB5568">
        <w:rPr>
          <w:sz w:val="21"/>
          <w:szCs w:val="21"/>
          <w:vertAlign w:val="subscript"/>
          <w:lang w:val="pt-PT"/>
        </w:rPr>
        <w:t>2</w:t>
      </w:r>
      <w:r w:rsidRPr="00AB5568">
        <w:rPr>
          <w:sz w:val="21"/>
          <w:szCs w:val="21"/>
          <w:lang w:val="pt-PT"/>
        </w:rPr>
        <w:t>)   +a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b</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Var(</w:t>
      </w:r>
      <w:r>
        <w:rPr>
          <w:sz w:val="21"/>
          <w:szCs w:val="21"/>
        </w:rPr>
        <w:t>ε</w:t>
      </w:r>
      <w:r w:rsidRPr="00AB5568">
        <w:rPr>
          <w:sz w:val="21"/>
          <w:szCs w:val="21"/>
          <w:vertAlign w:val="subscript"/>
          <w:lang w:val="pt-PT"/>
        </w:rPr>
        <w:t>2</w:t>
      </w:r>
      <w:r w:rsidRPr="00AB5568">
        <w:rPr>
          <w:sz w:val="21"/>
          <w:szCs w:val="21"/>
          <w:lang w:val="pt-PT"/>
        </w:rPr>
        <w:t xml:space="preserve">)    </w:t>
      </w:r>
      <w:r>
        <w:rPr>
          <w:sz w:val="21"/>
          <w:szCs w:val="21"/>
          <w:lang w:val="pt-PT"/>
        </w:rPr>
        <w:t xml:space="preserve"> </w:t>
      </w:r>
      <w:r w:rsidRPr="00AB5568">
        <w:rPr>
          <w:sz w:val="21"/>
          <w:szCs w:val="21"/>
          <w:lang w:val="pt-PT"/>
        </w:rPr>
        <w:t>+( 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4</w:t>
      </w:r>
      <w:r w:rsidRPr="00AB5568">
        <w:rPr>
          <w:sz w:val="21"/>
          <w:szCs w:val="21"/>
          <w:lang w:val="pt-PT"/>
        </w:rPr>
        <w:t>b</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 a</w:t>
      </w:r>
      <w:r w:rsidRPr="00AB5568">
        <w:rPr>
          <w:sz w:val="21"/>
          <w:szCs w:val="21"/>
          <w:vertAlign w:val="sub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a</w:t>
      </w:r>
      <w:r w:rsidRPr="00AB5568">
        <w:rPr>
          <w:sz w:val="21"/>
          <w:szCs w:val="21"/>
          <w:vertAlign w:val="subscript"/>
          <w:lang w:val="pt-PT"/>
        </w:rPr>
        <w:t>5</w:t>
      </w:r>
      <w:r w:rsidRPr="00AB5568">
        <w:rPr>
          <w:sz w:val="21"/>
          <w:szCs w:val="21"/>
          <w:lang w:val="pt-PT"/>
        </w:rPr>
        <w:t>b</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)Var(</w:t>
      </w:r>
      <w:r>
        <w:rPr>
          <w:sz w:val="21"/>
          <w:szCs w:val="21"/>
        </w:rPr>
        <w:t>ε</w:t>
      </w:r>
      <w:r w:rsidRPr="00AB5568">
        <w:rPr>
          <w:sz w:val="21"/>
          <w:szCs w:val="21"/>
          <w:vertAlign w:val="subscript"/>
          <w:lang w:val="pt-PT"/>
        </w:rPr>
        <w:t>2</w:t>
      </w:r>
      <w:r w:rsidRPr="00AB5568">
        <w:rPr>
          <w:sz w:val="21"/>
          <w:szCs w:val="21"/>
          <w:lang w:val="pt-PT"/>
        </w:rPr>
        <w:t>)</w:t>
      </w:r>
    </w:p>
    <w:p w:rsidR="00BA08FE" w:rsidRPr="00AB5568" w:rsidRDefault="00BA08FE" w:rsidP="00BA08FE">
      <w:pPr>
        <w:ind w:firstLine="105"/>
        <w:rPr>
          <w:sz w:val="21"/>
          <w:szCs w:val="21"/>
          <w:lang w:val="pt-PT"/>
        </w:rPr>
      </w:pPr>
      <w:r w:rsidRPr="00AB5568">
        <w:rPr>
          <w:sz w:val="21"/>
          <w:szCs w:val="21"/>
          <w:lang w:val="pt-PT"/>
        </w:rPr>
        <w:t xml:space="preserve"> X</w:t>
      </w:r>
      <w:r w:rsidRPr="00AB5568">
        <w:rPr>
          <w:sz w:val="21"/>
          <w:szCs w:val="21"/>
          <w:vertAlign w:val="subscript"/>
          <w:lang w:val="pt-PT"/>
        </w:rPr>
        <w:t>3</w:t>
      </w:r>
      <w:r w:rsidRPr="00AB5568">
        <w:rPr>
          <w:sz w:val="21"/>
          <w:szCs w:val="21"/>
          <w:lang w:val="pt-PT"/>
        </w:rPr>
        <w:t xml:space="preserve">                  </w:t>
      </w:r>
      <w:r>
        <w:rPr>
          <w:sz w:val="21"/>
          <w:szCs w:val="21"/>
          <w:lang w:val="pt-PT"/>
        </w:rPr>
        <w:t xml:space="preserve">   </w:t>
      </w:r>
      <w:r w:rsidRPr="00AB5568">
        <w:rPr>
          <w:sz w:val="21"/>
          <w:szCs w:val="21"/>
          <w:lang w:val="pt-PT"/>
        </w:rPr>
        <w:t>Var(X</w:t>
      </w:r>
      <w:r w:rsidRPr="00AB5568">
        <w:rPr>
          <w:sz w:val="21"/>
          <w:szCs w:val="21"/>
          <w:vertAlign w:val="subscript"/>
          <w:lang w:val="pt-PT"/>
        </w:rPr>
        <w:t>3</w:t>
      </w:r>
      <w:r w:rsidRPr="00AB5568">
        <w:rPr>
          <w:sz w:val="21"/>
          <w:szCs w:val="21"/>
          <w:lang w:val="pt-PT"/>
        </w:rPr>
        <w:t xml:space="preserve">)   </w:t>
      </w:r>
      <w:r>
        <w:rPr>
          <w:sz w:val="21"/>
          <w:szCs w:val="21"/>
          <w:lang w:val="pt-PT"/>
        </w:rPr>
        <w:t xml:space="preserve">   </w:t>
      </w:r>
      <w:r w:rsidRPr="00AB5568">
        <w:rPr>
          <w:sz w:val="21"/>
          <w:szCs w:val="21"/>
          <w:lang w:val="pt-PT"/>
        </w:rPr>
        <w:t>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Var(X</w:t>
      </w:r>
      <w:r w:rsidRPr="00AB5568">
        <w:rPr>
          <w:sz w:val="21"/>
          <w:szCs w:val="21"/>
          <w:vertAlign w:val="subscript"/>
          <w:lang w:val="pt-PT"/>
        </w:rPr>
        <w:t>1</w:t>
      </w:r>
      <w:r w:rsidRPr="00AB5568">
        <w:rPr>
          <w:sz w:val="21"/>
          <w:szCs w:val="21"/>
          <w:lang w:val="pt-PT"/>
        </w:rPr>
        <w:t xml:space="preserve">)    </w:t>
      </w:r>
      <w:r>
        <w:rPr>
          <w:sz w:val="21"/>
          <w:szCs w:val="21"/>
          <w:lang w:val="pt-PT"/>
        </w:rPr>
        <w:t xml:space="preserve"> </w:t>
      </w:r>
      <w:r w:rsidRPr="00AB5568">
        <w:rPr>
          <w:sz w:val="21"/>
          <w:szCs w:val="21"/>
          <w:lang w:val="pt-PT"/>
        </w:rPr>
        <w:t>(a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4</w:t>
      </w:r>
      <w:r w:rsidRPr="00AB5568">
        <w:rPr>
          <w:sz w:val="21"/>
          <w:szCs w:val="21"/>
          <w:lang w:val="pt-PT"/>
        </w:rPr>
        <w:t>+ a</w:t>
      </w:r>
      <w:r w:rsidRPr="00AB5568">
        <w:rPr>
          <w:sz w:val="21"/>
          <w:szCs w:val="21"/>
          <w:vertAlign w:val="subscript"/>
          <w:lang w:val="pt-PT"/>
        </w:rPr>
        <w:t>1</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2</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a</w:t>
      </w:r>
      <w:r w:rsidRPr="00AB5568">
        <w:rPr>
          <w:sz w:val="21"/>
          <w:szCs w:val="21"/>
          <w:vertAlign w:val="subscript"/>
          <w:lang w:val="pt-PT"/>
        </w:rPr>
        <w:t>5</w:t>
      </w:r>
      <w:r w:rsidRPr="00AB5568">
        <w:rPr>
          <w:sz w:val="21"/>
          <w:szCs w:val="21"/>
          <w:lang w:val="pt-PT"/>
        </w:rPr>
        <w:t>)Var(X</w:t>
      </w:r>
      <w:r w:rsidRPr="00AB5568">
        <w:rPr>
          <w:sz w:val="21"/>
          <w:szCs w:val="21"/>
          <w:vertAlign w:val="subscript"/>
          <w:lang w:val="pt-PT"/>
        </w:rPr>
        <w:t>1</w:t>
      </w:r>
      <w:r w:rsidRPr="00AB5568">
        <w:rPr>
          <w:sz w:val="21"/>
          <w:szCs w:val="21"/>
          <w:lang w:val="pt-PT"/>
        </w:rPr>
        <w:t>)</w:t>
      </w:r>
    </w:p>
    <w:p w:rsidR="00BA08FE" w:rsidRPr="00AB5568" w:rsidRDefault="00BA08FE" w:rsidP="00BA08FE">
      <w:pPr>
        <w:ind w:firstLine="105"/>
        <w:rPr>
          <w:sz w:val="21"/>
          <w:szCs w:val="21"/>
          <w:lang w:val="pt-PT"/>
        </w:rPr>
      </w:pPr>
      <w:r w:rsidRPr="00AB5568">
        <w:rPr>
          <w:sz w:val="21"/>
          <w:szCs w:val="21"/>
          <w:lang w:val="pt-PT"/>
        </w:rPr>
        <w:t xml:space="preserve">                                       +a</w:t>
      </w:r>
      <w:r w:rsidRPr="00AB5568">
        <w:rPr>
          <w:sz w:val="21"/>
          <w:szCs w:val="21"/>
          <w:vertAlign w:val="subscript"/>
          <w:lang w:val="pt-PT"/>
        </w:rPr>
        <w:t>3</w:t>
      </w:r>
      <w:r w:rsidRPr="00AB5568">
        <w:rPr>
          <w:sz w:val="21"/>
          <w:szCs w:val="21"/>
          <w:lang w:val="pt-PT"/>
        </w:rPr>
        <w:t>b</w:t>
      </w:r>
      <w:r w:rsidRPr="00AB5568">
        <w:rPr>
          <w:sz w:val="21"/>
          <w:szCs w:val="21"/>
          <w:vertAlign w:val="subscript"/>
          <w:lang w:val="pt-PT"/>
        </w:rPr>
        <w:t>3</w:t>
      </w:r>
      <w:r w:rsidRPr="00AB5568">
        <w:rPr>
          <w:sz w:val="21"/>
          <w:szCs w:val="21"/>
          <w:vertAlign w:val="superscript"/>
          <w:lang w:val="pt-PT"/>
        </w:rPr>
        <w:t>2</w:t>
      </w:r>
      <w:r w:rsidRPr="00AB5568">
        <w:rPr>
          <w:sz w:val="21"/>
          <w:szCs w:val="21"/>
          <w:lang w:val="pt-PT"/>
        </w:rPr>
        <w:t>Var(</w:t>
      </w:r>
      <w:r>
        <w:rPr>
          <w:sz w:val="21"/>
          <w:szCs w:val="21"/>
        </w:rPr>
        <w:t>ε</w:t>
      </w:r>
      <w:r w:rsidRPr="00AB5568">
        <w:rPr>
          <w:sz w:val="21"/>
          <w:szCs w:val="21"/>
          <w:vertAlign w:val="subscript"/>
          <w:lang w:val="pt-PT"/>
        </w:rPr>
        <w:t>3</w:t>
      </w:r>
      <w:r w:rsidRPr="00AB5568">
        <w:rPr>
          <w:sz w:val="21"/>
          <w:szCs w:val="21"/>
          <w:lang w:val="pt-PT"/>
        </w:rPr>
        <w:t>)       +(a</w:t>
      </w:r>
      <w:r w:rsidRPr="00AB5568">
        <w:rPr>
          <w:sz w:val="21"/>
          <w:szCs w:val="21"/>
          <w:vertAlign w:val="subscript"/>
          <w:lang w:val="pt-PT"/>
        </w:rPr>
        <w:t>4</w:t>
      </w:r>
      <w:r w:rsidRPr="00AB5568">
        <w:rPr>
          <w:sz w:val="21"/>
          <w:szCs w:val="21"/>
          <w:lang w:val="pt-PT"/>
        </w:rPr>
        <w:t>b</w:t>
      </w:r>
      <w:r w:rsidRPr="00AB5568">
        <w:rPr>
          <w:sz w:val="21"/>
          <w:szCs w:val="21"/>
          <w:vertAlign w:val="subscript"/>
          <w:lang w:val="pt-PT"/>
        </w:rPr>
        <w:t>3</w:t>
      </w:r>
      <w:r w:rsidRPr="00AB5568">
        <w:rPr>
          <w:sz w:val="21"/>
          <w:szCs w:val="21"/>
          <w:vertAlign w:val="superscript"/>
          <w:lang w:val="pt-PT"/>
        </w:rPr>
        <w:t>2</w:t>
      </w:r>
      <w:r w:rsidRPr="00AB5568">
        <w:rPr>
          <w:sz w:val="21"/>
          <w:szCs w:val="21"/>
          <w:lang w:val="pt-PT"/>
        </w:rPr>
        <w:t>+a</w:t>
      </w:r>
      <w:r w:rsidRPr="00AB5568">
        <w:rPr>
          <w:sz w:val="21"/>
          <w:szCs w:val="21"/>
          <w:vertAlign w:val="subscript"/>
          <w:lang w:val="pt-PT"/>
        </w:rPr>
        <w:t>3</w:t>
      </w:r>
      <w:r w:rsidRPr="00AB5568">
        <w:rPr>
          <w:sz w:val="21"/>
          <w:szCs w:val="21"/>
          <w:lang w:val="pt-PT"/>
        </w:rPr>
        <w:t>a</w:t>
      </w:r>
      <w:r w:rsidRPr="00AB5568">
        <w:rPr>
          <w:sz w:val="21"/>
          <w:szCs w:val="21"/>
          <w:vertAlign w:val="subscript"/>
          <w:lang w:val="pt-PT"/>
        </w:rPr>
        <w:t>5</w:t>
      </w:r>
      <w:r w:rsidRPr="00AB5568">
        <w:rPr>
          <w:sz w:val="21"/>
          <w:szCs w:val="21"/>
          <w:lang w:val="pt-PT"/>
        </w:rPr>
        <w:t>b</w:t>
      </w:r>
      <w:r w:rsidRPr="00AB5568">
        <w:rPr>
          <w:sz w:val="21"/>
          <w:szCs w:val="21"/>
          <w:vertAlign w:val="subscript"/>
          <w:lang w:val="pt-PT"/>
        </w:rPr>
        <w:t>3</w:t>
      </w:r>
      <w:r w:rsidRPr="00AB5568">
        <w:rPr>
          <w:sz w:val="21"/>
          <w:szCs w:val="21"/>
          <w:vertAlign w:val="superscript"/>
          <w:lang w:val="pt-PT"/>
        </w:rPr>
        <w:t>2</w:t>
      </w:r>
      <w:r w:rsidRPr="00AB5568">
        <w:rPr>
          <w:sz w:val="21"/>
          <w:szCs w:val="21"/>
          <w:lang w:val="pt-PT"/>
        </w:rPr>
        <w:t>)Var(</w:t>
      </w:r>
      <w:r>
        <w:rPr>
          <w:sz w:val="21"/>
          <w:szCs w:val="21"/>
        </w:rPr>
        <w:t>ε</w:t>
      </w:r>
      <w:r w:rsidRPr="00AB5568">
        <w:rPr>
          <w:sz w:val="21"/>
          <w:szCs w:val="21"/>
          <w:vertAlign w:val="subscript"/>
          <w:lang w:val="pt-PT"/>
        </w:rPr>
        <w:t>3</w:t>
      </w:r>
      <w:r w:rsidRPr="00AB5568">
        <w:rPr>
          <w:sz w:val="21"/>
          <w:szCs w:val="21"/>
          <w:lang w:val="pt-PT"/>
        </w:rPr>
        <w:t>)</w:t>
      </w:r>
    </w:p>
    <w:p w:rsidR="00BA08FE" w:rsidRPr="007D4415" w:rsidRDefault="00BA08FE" w:rsidP="00BA08FE">
      <w:pPr>
        <w:ind w:firstLine="210"/>
        <w:rPr>
          <w:sz w:val="21"/>
          <w:szCs w:val="21"/>
          <w:lang w:val="es-ES_tradnl"/>
        </w:rPr>
      </w:pPr>
      <w:r w:rsidRPr="007D4415">
        <w:rPr>
          <w:sz w:val="21"/>
          <w:szCs w:val="21"/>
          <w:lang w:val="es-ES_tradnl"/>
        </w:rPr>
        <w:t>X</w:t>
      </w:r>
      <w:r w:rsidRPr="007D4415">
        <w:rPr>
          <w:sz w:val="21"/>
          <w:szCs w:val="21"/>
          <w:vertAlign w:val="subscript"/>
          <w:lang w:val="es-ES_tradnl"/>
        </w:rPr>
        <w:t xml:space="preserve">4 </w:t>
      </w:r>
      <w:r w:rsidRPr="007D4415">
        <w:rPr>
          <w:sz w:val="21"/>
          <w:szCs w:val="21"/>
          <w:lang w:val="es-ES_tradnl"/>
        </w:rPr>
        <w:t xml:space="preserve">                          </w:t>
      </w:r>
      <w:r>
        <w:rPr>
          <w:sz w:val="21"/>
          <w:szCs w:val="21"/>
          <w:lang w:val="es-ES_tradnl"/>
        </w:rPr>
        <w:t xml:space="preserve">         </w:t>
      </w:r>
      <w:r w:rsidRPr="007D4415">
        <w:rPr>
          <w:sz w:val="21"/>
          <w:szCs w:val="21"/>
          <w:lang w:val="es-ES_tradnl"/>
        </w:rPr>
        <w:t xml:space="preserve">  Var(X</w:t>
      </w:r>
      <w:r w:rsidRPr="007D4415">
        <w:rPr>
          <w:sz w:val="21"/>
          <w:szCs w:val="21"/>
          <w:vertAlign w:val="subscript"/>
          <w:lang w:val="es-ES_tradnl"/>
        </w:rPr>
        <w:t>4</w:t>
      </w:r>
      <w:r w:rsidRPr="007D4415">
        <w:rPr>
          <w:sz w:val="21"/>
          <w:szCs w:val="21"/>
          <w:lang w:val="es-ES_tradnl"/>
        </w:rPr>
        <w:t>)     a</w:t>
      </w:r>
      <w:r w:rsidRPr="007D4415">
        <w:rPr>
          <w:sz w:val="21"/>
          <w:szCs w:val="21"/>
          <w:vertAlign w:val="subscript"/>
          <w:lang w:val="es-ES_tradnl"/>
        </w:rPr>
        <w:t>1</w:t>
      </w:r>
      <w:r w:rsidRPr="007D4415">
        <w:rPr>
          <w:sz w:val="21"/>
          <w:szCs w:val="21"/>
          <w:vertAlign w:val="superscript"/>
          <w:lang w:val="es-ES_tradnl"/>
        </w:rPr>
        <w:t>2</w:t>
      </w:r>
      <w:r w:rsidRPr="007D4415">
        <w:rPr>
          <w:sz w:val="21"/>
          <w:szCs w:val="21"/>
          <w:lang w:val="es-ES_tradnl"/>
        </w:rPr>
        <w:t>a</w:t>
      </w:r>
      <w:r w:rsidRPr="007D4415">
        <w:rPr>
          <w:sz w:val="21"/>
          <w:szCs w:val="21"/>
          <w:vertAlign w:val="subscript"/>
          <w:lang w:val="es-ES_tradnl"/>
        </w:rPr>
        <w:t>2</w:t>
      </w:r>
      <w:r w:rsidRPr="007D4415">
        <w:rPr>
          <w:sz w:val="21"/>
          <w:szCs w:val="21"/>
          <w:vertAlign w:val="superscript"/>
          <w:lang w:val="es-ES_tradnl"/>
        </w:rPr>
        <w:t>2</w:t>
      </w:r>
      <w:r w:rsidRPr="007D4415">
        <w:rPr>
          <w:sz w:val="21"/>
          <w:szCs w:val="21"/>
          <w:lang w:val="es-ES_tradnl"/>
        </w:rPr>
        <w:t>a</w:t>
      </w:r>
      <w:r w:rsidRPr="007D4415">
        <w:rPr>
          <w:sz w:val="21"/>
          <w:szCs w:val="21"/>
          <w:vertAlign w:val="subscript"/>
          <w:lang w:val="es-ES_tradnl"/>
        </w:rPr>
        <w:t>3</w:t>
      </w:r>
      <w:r w:rsidRPr="007D4415">
        <w:rPr>
          <w:sz w:val="21"/>
          <w:szCs w:val="21"/>
          <w:vertAlign w:val="superscript"/>
          <w:lang w:val="es-ES_tradnl"/>
        </w:rPr>
        <w:t>2</w:t>
      </w:r>
      <w:r w:rsidRPr="007D4415">
        <w:rPr>
          <w:sz w:val="21"/>
          <w:szCs w:val="21"/>
          <w:lang w:val="es-ES_tradnl"/>
        </w:rPr>
        <w:t>a</w:t>
      </w:r>
      <w:r w:rsidRPr="007D4415">
        <w:rPr>
          <w:sz w:val="21"/>
          <w:szCs w:val="21"/>
          <w:vertAlign w:val="subscript"/>
          <w:lang w:val="es-ES_tradnl"/>
        </w:rPr>
        <w:t>5</w:t>
      </w:r>
      <w:r w:rsidRPr="007D4415">
        <w:rPr>
          <w:sz w:val="21"/>
          <w:szCs w:val="21"/>
          <w:lang w:val="es-ES_tradnl"/>
        </w:rPr>
        <w:t>Var(X</w:t>
      </w:r>
      <w:r w:rsidRPr="007D4415">
        <w:rPr>
          <w:sz w:val="21"/>
          <w:szCs w:val="21"/>
          <w:vertAlign w:val="subscript"/>
          <w:lang w:val="es-ES_tradnl"/>
        </w:rPr>
        <w:t>1</w:t>
      </w:r>
      <w:r w:rsidRPr="007D4415">
        <w:rPr>
          <w:sz w:val="21"/>
          <w:szCs w:val="21"/>
          <w:lang w:val="es-ES_tradnl"/>
        </w:rPr>
        <w:t>)+a</w:t>
      </w:r>
      <w:r w:rsidRPr="007D4415">
        <w:rPr>
          <w:sz w:val="21"/>
          <w:szCs w:val="21"/>
          <w:vertAlign w:val="subscript"/>
          <w:lang w:val="es-ES_tradnl"/>
        </w:rPr>
        <w:t>3</w:t>
      </w:r>
      <w:r w:rsidRPr="007D4415">
        <w:rPr>
          <w:sz w:val="21"/>
          <w:szCs w:val="21"/>
          <w:lang w:val="es-ES_tradnl"/>
        </w:rPr>
        <w:t>a</w:t>
      </w:r>
      <w:r w:rsidRPr="007D4415">
        <w:rPr>
          <w:sz w:val="21"/>
          <w:szCs w:val="21"/>
          <w:vertAlign w:val="subscript"/>
          <w:lang w:val="es-ES_tradnl"/>
        </w:rPr>
        <w:t>4</w:t>
      </w:r>
      <w:r w:rsidRPr="007D4415">
        <w:rPr>
          <w:sz w:val="21"/>
          <w:szCs w:val="21"/>
          <w:lang w:val="es-ES_tradnl"/>
        </w:rPr>
        <w:t>Var(X</w:t>
      </w:r>
      <w:r w:rsidRPr="007D4415">
        <w:rPr>
          <w:sz w:val="21"/>
          <w:szCs w:val="21"/>
          <w:vertAlign w:val="subscript"/>
          <w:lang w:val="es-ES_tradnl"/>
        </w:rPr>
        <w:t>3</w:t>
      </w:r>
      <w:r w:rsidRPr="007D4415">
        <w:rPr>
          <w:sz w:val="21"/>
          <w:szCs w:val="21"/>
          <w:lang w:val="es-ES_tradnl"/>
        </w:rPr>
        <w:t>)</w:t>
      </w:r>
    </w:p>
    <w:p w:rsidR="00BA08FE" w:rsidRPr="008860E2" w:rsidRDefault="00BA08FE" w:rsidP="00BA08FE">
      <w:pPr>
        <w:ind w:firstLine="210"/>
        <w:rPr>
          <w:sz w:val="21"/>
          <w:szCs w:val="21"/>
          <w:lang w:val="pt-PT"/>
        </w:rPr>
      </w:pPr>
      <w:r w:rsidRPr="007D4415">
        <w:rPr>
          <w:sz w:val="21"/>
          <w:szCs w:val="21"/>
          <w:lang w:val="es-ES_tradnl"/>
        </w:rPr>
        <w:t xml:space="preserve">                    </w:t>
      </w:r>
      <w:r>
        <w:rPr>
          <w:sz w:val="21"/>
          <w:szCs w:val="21"/>
          <w:lang w:val="es-ES_tradnl"/>
        </w:rPr>
        <w:t xml:space="preserve">                            </w:t>
      </w:r>
      <w:r w:rsidRPr="007D4415">
        <w:rPr>
          <w:sz w:val="21"/>
          <w:szCs w:val="21"/>
          <w:lang w:val="es-ES_tradnl"/>
        </w:rPr>
        <w:t xml:space="preserve">     </w:t>
      </w:r>
      <w:r w:rsidRPr="008860E2">
        <w:rPr>
          <w:sz w:val="21"/>
          <w:szCs w:val="21"/>
          <w:lang w:val="pt-PT"/>
        </w:rPr>
        <w:t>+a</w:t>
      </w:r>
      <w:r w:rsidRPr="008860E2">
        <w:rPr>
          <w:sz w:val="21"/>
          <w:szCs w:val="21"/>
          <w:vertAlign w:val="subscript"/>
          <w:lang w:val="pt-PT"/>
        </w:rPr>
        <w:t>3</w:t>
      </w:r>
      <w:r w:rsidRPr="008860E2">
        <w:rPr>
          <w:sz w:val="21"/>
          <w:szCs w:val="21"/>
          <w:vertAlign w:val="superscript"/>
          <w:lang w:val="pt-PT"/>
        </w:rPr>
        <w:t>2</w:t>
      </w:r>
      <w:r w:rsidRPr="008860E2">
        <w:rPr>
          <w:sz w:val="21"/>
          <w:szCs w:val="21"/>
          <w:lang w:val="pt-PT"/>
        </w:rPr>
        <w:t>a</w:t>
      </w:r>
      <w:r w:rsidRPr="008860E2">
        <w:rPr>
          <w:sz w:val="21"/>
          <w:szCs w:val="21"/>
          <w:vertAlign w:val="subscript"/>
          <w:lang w:val="pt-PT"/>
        </w:rPr>
        <w:t>5</w:t>
      </w:r>
      <w:r w:rsidRPr="008860E2">
        <w:rPr>
          <w:sz w:val="21"/>
          <w:szCs w:val="21"/>
          <w:lang w:val="pt-PT"/>
        </w:rPr>
        <w:t>b</w:t>
      </w:r>
      <w:r w:rsidRPr="008860E2">
        <w:rPr>
          <w:sz w:val="21"/>
          <w:szCs w:val="21"/>
          <w:vertAlign w:val="subscript"/>
          <w:lang w:val="pt-PT"/>
        </w:rPr>
        <w:t>3</w:t>
      </w:r>
      <w:r w:rsidRPr="008860E2">
        <w:rPr>
          <w:sz w:val="21"/>
          <w:szCs w:val="21"/>
          <w:vertAlign w:val="superscript"/>
          <w:lang w:val="pt-PT"/>
        </w:rPr>
        <w:t>2</w:t>
      </w:r>
      <w:r w:rsidRPr="008860E2">
        <w:rPr>
          <w:sz w:val="21"/>
          <w:szCs w:val="21"/>
          <w:lang w:val="pt-PT"/>
        </w:rPr>
        <w:t>Var(</w:t>
      </w:r>
      <w:r>
        <w:rPr>
          <w:sz w:val="21"/>
          <w:szCs w:val="21"/>
        </w:rPr>
        <w:t>ε</w:t>
      </w:r>
      <w:r w:rsidRPr="008860E2">
        <w:rPr>
          <w:sz w:val="21"/>
          <w:szCs w:val="21"/>
          <w:vertAlign w:val="subscript"/>
          <w:lang w:val="pt-PT"/>
        </w:rPr>
        <w:t>3</w:t>
      </w:r>
      <w:r w:rsidRPr="008860E2">
        <w:rPr>
          <w:sz w:val="21"/>
          <w:szCs w:val="21"/>
          <w:lang w:val="pt-PT"/>
        </w:rPr>
        <w:t>)+a</w:t>
      </w:r>
      <w:r w:rsidRPr="008860E2">
        <w:rPr>
          <w:sz w:val="21"/>
          <w:szCs w:val="21"/>
          <w:vertAlign w:val="subscript"/>
          <w:lang w:val="pt-PT"/>
        </w:rPr>
        <w:t>5</w:t>
      </w:r>
      <w:r w:rsidRPr="008860E2">
        <w:rPr>
          <w:sz w:val="21"/>
          <w:szCs w:val="21"/>
          <w:lang w:val="pt-PT"/>
        </w:rPr>
        <w:t>b</w:t>
      </w:r>
      <w:r w:rsidRPr="008860E2">
        <w:rPr>
          <w:sz w:val="21"/>
          <w:szCs w:val="21"/>
          <w:vertAlign w:val="subscript"/>
          <w:lang w:val="pt-PT"/>
        </w:rPr>
        <w:t>4</w:t>
      </w:r>
      <w:r w:rsidRPr="008860E2">
        <w:rPr>
          <w:sz w:val="21"/>
          <w:szCs w:val="21"/>
          <w:vertAlign w:val="superscript"/>
          <w:lang w:val="pt-PT"/>
        </w:rPr>
        <w:t>2</w:t>
      </w:r>
      <w:r w:rsidRPr="008860E2">
        <w:rPr>
          <w:sz w:val="21"/>
          <w:szCs w:val="21"/>
          <w:lang w:val="pt-PT"/>
        </w:rPr>
        <w:t>Var(</w:t>
      </w:r>
      <w:r>
        <w:rPr>
          <w:sz w:val="21"/>
          <w:szCs w:val="21"/>
        </w:rPr>
        <w:t>ε</w:t>
      </w:r>
      <w:r w:rsidRPr="008860E2">
        <w:rPr>
          <w:sz w:val="21"/>
          <w:szCs w:val="21"/>
          <w:vertAlign w:val="subscript"/>
          <w:lang w:val="pt-PT"/>
        </w:rPr>
        <w:t>4</w:t>
      </w:r>
      <w:r w:rsidRPr="008860E2">
        <w:rPr>
          <w:sz w:val="21"/>
          <w:szCs w:val="21"/>
          <w:lang w:val="pt-PT"/>
        </w:rPr>
        <w:t>)</w:t>
      </w:r>
    </w:p>
    <w:p w:rsidR="00BA08FE" w:rsidRPr="008860E2" w:rsidRDefault="00BA08FE" w:rsidP="00BA08FE">
      <w:pPr>
        <w:pBdr>
          <w:bottom w:val="single" w:sz="6" w:space="1" w:color="000000"/>
        </w:pBdr>
        <w:ind w:firstLine="210"/>
        <w:rPr>
          <w:sz w:val="21"/>
          <w:szCs w:val="21"/>
          <w:lang w:val="pt-PT"/>
        </w:rPr>
      </w:pPr>
      <w:r w:rsidRPr="008860E2">
        <w:rPr>
          <w:sz w:val="21"/>
          <w:szCs w:val="21"/>
          <w:lang w:val="pt-PT"/>
        </w:rPr>
        <w:t>X</w:t>
      </w:r>
      <w:r w:rsidRPr="008860E2">
        <w:rPr>
          <w:sz w:val="21"/>
          <w:szCs w:val="21"/>
          <w:vertAlign w:val="subscript"/>
          <w:lang w:val="pt-PT"/>
        </w:rPr>
        <w:t xml:space="preserve">5                                                                                        </w:t>
      </w:r>
      <w:r w:rsidRPr="008860E2">
        <w:rPr>
          <w:sz w:val="21"/>
          <w:szCs w:val="21"/>
          <w:lang w:val="pt-PT"/>
        </w:rPr>
        <w:t xml:space="preserve">   Var (X</w:t>
      </w:r>
      <w:r w:rsidRPr="008860E2">
        <w:rPr>
          <w:sz w:val="21"/>
          <w:szCs w:val="21"/>
          <w:vertAlign w:val="subscript"/>
          <w:lang w:val="pt-PT"/>
        </w:rPr>
        <w:t>5</w:t>
      </w:r>
      <w:r w:rsidRPr="008860E2">
        <w:rPr>
          <w:sz w:val="21"/>
          <w:szCs w:val="21"/>
          <w:lang w:val="pt-PT"/>
        </w:rPr>
        <w:t>)</w:t>
      </w:r>
    </w:p>
    <w:p w:rsidR="00D74F0B" w:rsidRPr="005B199E" w:rsidRDefault="005B199E" w:rsidP="00F05C08">
      <w:pPr>
        <w:rPr>
          <w:sz w:val="21"/>
          <w:szCs w:val="21"/>
          <w:lang w:val="pt-PT"/>
        </w:rPr>
      </w:pPr>
      <w:r>
        <w:rPr>
          <w:rFonts w:hint="eastAsia"/>
          <w:sz w:val="21"/>
          <w:szCs w:val="21"/>
          <w:lang w:val="pt-PT"/>
        </w:rPr>
        <w:t>(</w:t>
      </w:r>
      <w:r w:rsidRPr="005B199E">
        <w:rPr>
          <w:sz w:val="21"/>
          <w:szCs w:val="21"/>
          <w:lang w:val="pt-PT"/>
        </w:rPr>
        <w:t>This table and the associated calculations are made by myself, though guided by Shipley (2002).</w:t>
      </w:r>
      <w:r>
        <w:rPr>
          <w:rFonts w:hint="eastAsia"/>
          <w:sz w:val="21"/>
          <w:szCs w:val="21"/>
          <w:lang w:val="pt-PT"/>
        </w:rPr>
        <w:t>)</w:t>
      </w:r>
    </w:p>
    <w:p w:rsidR="005B199E" w:rsidRPr="00F05C08" w:rsidRDefault="005B199E" w:rsidP="005B199E">
      <w:pPr>
        <w:rPr>
          <w:szCs w:val="24"/>
          <w:lang w:val="pt-PT"/>
        </w:rPr>
      </w:pPr>
    </w:p>
    <w:p w:rsidR="00920464" w:rsidRPr="00576A95" w:rsidRDefault="00920464" w:rsidP="00D612ED">
      <w:pPr>
        <w:pStyle w:val="Default"/>
        <w:jc w:val="both"/>
        <w:rPr>
          <w:sz w:val="21"/>
          <w:szCs w:val="21"/>
        </w:rPr>
      </w:pPr>
      <w:r>
        <w:rPr>
          <w:b/>
          <w:sz w:val="21"/>
          <w:szCs w:val="21"/>
        </w:rPr>
        <w:t>Appendix</w:t>
      </w:r>
      <w:r w:rsidR="00D74F0B">
        <w:rPr>
          <w:b/>
          <w:sz w:val="21"/>
          <w:szCs w:val="21"/>
        </w:rPr>
        <w:t xml:space="preserve"> 2</w:t>
      </w:r>
      <w:r>
        <w:rPr>
          <w:b/>
          <w:sz w:val="21"/>
          <w:szCs w:val="21"/>
        </w:rPr>
        <w:t>:</w:t>
      </w:r>
      <w:r w:rsidRPr="00576A95">
        <w:rPr>
          <w:b/>
          <w:sz w:val="21"/>
          <w:szCs w:val="21"/>
        </w:rPr>
        <w:t xml:space="preserve"> Derivation of Weisberg’s Similarity Account from the JSC</w:t>
      </w:r>
      <w:r w:rsidR="00B47C12">
        <w:rPr>
          <w:rStyle w:val="a6"/>
          <w:b/>
          <w:sz w:val="21"/>
          <w:szCs w:val="21"/>
        </w:rPr>
        <w:footnoteReference w:id="41"/>
      </w:r>
    </w:p>
    <w:p w:rsidR="00920464" w:rsidRDefault="00920464" w:rsidP="00D612ED">
      <w:pPr>
        <w:ind w:firstLine="210"/>
      </w:pPr>
      <w:r>
        <w:rPr>
          <w:sz w:val="21"/>
          <w:szCs w:val="21"/>
        </w:rPr>
        <w:t>One can show that Weisberg’s similarity index is the weighted average of the similarity coefficients upon mechanisms and attributes. The demonstration goes as follows:</w:t>
      </w:r>
    </w:p>
    <w:p w:rsidR="00920464" w:rsidRDefault="00AF2D1E" w:rsidP="00D612ED">
      <w:pPr>
        <w:ind w:firstLine="240"/>
        <w:jc w:val="center"/>
        <w:rPr>
          <w:sz w:val="21"/>
          <w:szCs w:val="21"/>
        </w:rPr>
      </w:pPr>
      <w:r>
        <w:rPr>
          <w:szCs w:val="24"/>
          <w:lang w:val="pt-P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5pt;height:175.7pt" filled="t" fillcolor="black">
            <v:imagedata r:id="rId8" o:title=""/>
          </v:shape>
        </w:pict>
      </w:r>
    </w:p>
    <w:p w:rsidR="00920464" w:rsidRDefault="00920464" w:rsidP="00D612ED">
      <w:pPr>
        <w:ind w:firstLine="210"/>
      </w:pPr>
      <w:r>
        <w:rPr>
          <w:sz w:val="21"/>
          <w:szCs w:val="21"/>
        </w:rPr>
        <w:t xml:space="preserve">The last equation is just Weisberg’s formula. If the sets of mechanisms and attributes are disjoint (which in fact is an assumption made by Weisberg), that is, if </w:t>
      </w:r>
      <w:r w:rsidRPr="00F05C08">
        <w:rPr>
          <w:i/>
          <w:sz w:val="21"/>
          <w:szCs w:val="21"/>
        </w:rPr>
        <w:t>M</w:t>
      </w:r>
      <w:r w:rsidRPr="00F05C08">
        <w:rPr>
          <w:i/>
          <w:sz w:val="21"/>
          <w:szCs w:val="21"/>
          <w:vertAlign w:val="subscript"/>
        </w:rPr>
        <w:t>m</w:t>
      </w:r>
      <w:r w:rsidRPr="00F05C08">
        <w:rPr>
          <w:rFonts w:hint="eastAsia"/>
          <w:i/>
          <w:sz w:val="21"/>
          <w:szCs w:val="21"/>
        </w:rPr>
        <w:t>∩</w:t>
      </w:r>
      <w:r w:rsidRPr="00F05C08">
        <w:rPr>
          <w:i/>
          <w:sz w:val="21"/>
          <w:szCs w:val="21"/>
        </w:rPr>
        <w:t>M</w:t>
      </w:r>
      <w:r w:rsidRPr="00F05C08">
        <w:rPr>
          <w:i/>
          <w:sz w:val="21"/>
          <w:szCs w:val="21"/>
          <w:vertAlign w:val="subscript"/>
        </w:rPr>
        <w:t>a</w:t>
      </w:r>
      <w:r>
        <w:rPr>
          <w:sz w:val="21"/>
          <w:szCs w:val="21"/>
        </w:rPr>
        <w:t>=</w:t>
      </w:r>
      <w:r w:rsidRPr="00F05C08">
        <w:rPr>
          <w:i/>
          <w:sz w:val="21"/>
          <w:szCs w:val="21"/>
        </w:rPr>
        <w:t>T</w:t>
      </w:r>
      <w:r w:rsidRPr="00F05C08">
        <w:rPr>
          <w:i/>
          <w:sz w:val="21"/>
          <w:szCs w:val="21"/>
          <w:vertAlign w:val="subscript"/>
        </w:rPr>
        <w:t>m</w:t>
      </w:r>
      <w:r w:rsidRPr="00F05C08">
        <w:rPr>
          <w:rFonts w:hint="eastAsia"/>
          <w:i/>
          <w:sz w:val="21"/>
          <w:szCs w:val="21"/>
        </w:rPr>
        <w:t>∩</w:t>
      </w:r>
      <w:r w:rsidRPr="00F05C08">
        <w:rPr>
          <w:i/>
          <w:sz w:val="21"/>
          <w:szCs w:val="21"/>
        </w:rPr>
        <w:t>T</w:t>
      </w:r>
      <w:r w:rsidRPr="00F05C08">
        <w:rPr>
          <w:i/>
          <w:sz w:val="21"/>
          <w:szCs w:val="21"/>
          <w:vertAlign w:val="subscript"/>
        </w:rPr>
        <w:t>a</w:t>
      </w:r>
      <w:r>
        <w:rPr>
          <w:sz w:val="21"/>
          <w:szCs w:val="21"/>
        </w:rPr>
        <w:t>=</w:t>
      </w:r>
      <w:r w:rsidRPr="00F05C08">
        <w:rPr>
          <w:i/>
          <w:sz w:val="21"/>
          <w:szCs w:val="21"/>
        </w:rPr>
        <w:t>M</w:t>
      </w:r>
      <w:r w:rsidRPr="00F05C08">
        <w:rPr>
          <w:i/>
          <w:sz w:val="21"/>
          <w:szCs w:val="21"/>
          <w:vertAlign w:val="subscript"/>
        </w:rPr>
        <w:t>m</w:t>
      </w:r>
      <w:r w:rsidRPr="00F05C08">
        <w:rPr>
          <w:rFonts w:hint="eastAsia"/>
          <w:i/>
          <w:sz w:val="21"/>
          <w:szCs w:val="21"/>
        </w:rPr>
        <w:t>∩</w:t>
      </w:r>
      <w:r w:rsidRPr="00F05C08">
        <w:rPr>
          <w:i/>
          <w:sz w:val="21"/>
          <w:szCs w:val="21"/>
        </w:rPr>
        <w:t>T</w:t>
      </w:r>
      <w:r w:rsidRPr="00F05C08">
        <w:rPr>
          <w:i/>
          <w:sz w:val="21"/>
          <w:szCs w:val="21"/>
          <w:vertAlign w:val="subscript"/>
        </w:rPr>
        <w:t>a</w:t>
      </w:r>
      <w:r>
        <w:rPr>
          <w:sz w:val="21"/>
          <w:szCs w:val="21"/>
        </w:rPr>
        <w:t>=</w:t>
      </w:r>
      <w:r w:rsidRPr="00F05C08">
        <w:rPr>
          <w:i/>
          <w:sz w:val="21"/>
          <w:szCs w:val="21"/>
        </w:rPr>
        <w:t>T</w:t>
      </w:r>
      <w:r w:rsidRPr="00F05C08">
        <w:rPr>
          <w:i/>
          <w:sz w:val="21"/>
          <w:szCs w:val="21"/>
          <w:vertAlign w:val="subscript"/>
        </w:rPr>
        <w:t>m</w:t>
      </w:r>
      <w:r w:rsidRPr="00F05C08">
        <w:rPr>
          <w:rFonts w:hint="eastAsia"/>
          <w:i/>
          <w:sz w:val="21"/>
          <w:szCs w:val="21"/>
        </w:rPr>
        <w:t>∩</w:t>
      </w:r>
      <w:r w:rsidRPr="00F05C08">
        <w:rPr>
          <w:i/>
          <w:sz w:val="21"/>
          <w:szCs w:val="21"/>
        </w:rPr>
        <w:t>M</w:t>
      </w:r>
      <w:r w:rsidRPr="00F05C08">
        <w:rPr>
          <w:i/>
          <w:sz w:val="21"/>
          <w:szCs w:val="21"/>
          <w:vertAlign w:val="subscript"/>
        </w:rPr>
        <w:t>a</w:t>
      </w:r>
      <w:r>
        <w:rPr>
          <w:sz w:val="21"/>
          <w:szCs w:val="21"/>
        </w:rPr>
        <w:t>=</w:t>
      </w:r>
      <w:r w:rsidRPr="00F05C08">
        <w:rPr>
          <w:rFonts w:ascii="Cambria Math" w:eastAsia="MS Mincho" w:hAnsi="Cambria Math" w:cs="Cambria Math"/>
          <w:i/>
          <w:sz w:val="21"/>
          <w:szCs w:val="21"/>
        </w:rPr>
        <w:t>∅</w:t>
      </w:r>
      <w:r>
        <w:rPr>
          <w:rFonts w:cs="MS Mincho"/>
          <w:sz w:val="21"/>
          <w:szCs w:val="21"/>
        </w:rPr>
        <w:t>,</w:t>
      </w:r>
      <w:r>
        <w:rPr>
          <w:sz w:val="21"/>
          <w:szCs w:val="21"/>
        </w:rPr>
        <w:t xml:space="preserve"> then Weisberg’s similarity index is the Jaccard similarity index on the union of mechanisms and attributes:</w:t>
      </w:r>
    </w:p>
    <w:p w:rsidR="00920464" w:rsidRDefault="00AF2D1E" w:rsidP="009E41CC">
      <w:pPr>
        <w:jc w:val="left"/>
        <w:rPr>
          <w:sz w:val="21"/>
          <w:szCs w:val="21"/>
        </w:rPr>
      </w:pPr>
      <w:r>
        <w:pict>
          <v:shape id="_x0000_i1026" type="#_x0000_t75" style="width:413.65pt;height:46.5pt;mso-position-horizontal-relative:text;mso-position-vertical-relative:text" wrapcoords="-43 0 -43 21214 21600 21214 21600 0 -43 0" o:allowoverlap="f">
            <v:imagedata r:id="rId9" o:title=""/>
          </v:shape>
        </w:pict>
      </w:r>
    </w:p>
    <w:p w:rsidR="00920464" w:rsidRDefault="00920464" w:rsidP="00903292">
      <w:pPr>
        <w:spacing w:afterLines="50" w:after="156" w:line="240" w:lineRule="atLeast"/>
        <w:ind w:firstLine="210"/>
        <w:rPr>
          <w:sz w:val="21"/>
          <w:szCs w:val="21"/>
        </w:rPr>
      </w:pPr>
      <w:r>
        <w:rPr>
          <w:sz w:val="21"/>
          <w:szCs w:val="21"/>
        </w:rPr>
        <w:t>Proof of this equation follows directly from:</w:t>
      </w:r>
    </w:p>
    <w:p w:rsidR="00920464" w:rsidRPr="00B4296C" w:rsidRDefault="00920464" w:rsidP="00903292">
      <w:pPr>
        <w:spacing w:afterLines="50" w:after="156" w:line="240" w:lineRule="atLeast"/>
        <w:rPr>
          <w:sz w:val="21"/>
          <w:szCs w:val="21"/>
        </w:rPr>
      </w:pPr>
      <w:r>
        <w:rPr>
          <w:rFonts w:ascii="Symbol" w:hAnsi="Symbol"/>
          <w:sz w:val="21"/>
          <w:szCs w:val="21"/>
          <w:lang w:val="en-AU"/>
        </w:rPr>
        <w:t></w:t>
      </w:r>
      <w:r w:rsidRPr="00A472D4">
        <w:rPr>
          <w:i/>
          <w:sz w:val="18"/>
          <w:szCs w:val="18"/>
          <w:lang w:val="en-AU"/>
        </w:rPr>
        <w:t>A</w:t>
      </w:r>
      <w:r w:rsidRPr="00A472D4">
        <w:rPr>
          <w:rFonts w:ascii="Symbol" w:hAnsi="Symbol"/>
          <w:sz w:val="18"/>
          <w:szCs w:val="18"/>
          <w:lang w:val="en-AU"/>
        </w:rPr>
        <w:t></w:t>
      </w:r>
      <w:r w:rsidRPr="00A472D4">
        <w:rPr>
          <w:i/>
          <w:sz w:val="18"/>
          <w:szCs w:val="18"/>
          <w:lang w:val="en-AU"/>
        </w:rPr>
        <w:t>B</w:t>
      </w:r>
      <w:r w:rsidRPr="00A472D4">
        <w:rPr>
          <w:rFonts w:ascii="Symbol" w:hAnsi="Symbol"/>
          <w:sz w:val="18"/>
          <w:szCs w:val="18"/>
          <w:lang w:val="en-AU"/>
        </w:rPr>
        <w:t></w:t>
      </w:r>
      <w:r w:rsidRPr="00A472D4">
        <w:rPr>
          <w:rFonts w:ascii="Symbol" w:hAnsi="Symbol"/>
          <w:sz w:val="18"/>
          <w:szCs w:val="18"/>
          <w:lang w:val="en-AU"/>
        </w:rPr>
        <w:t></w:t>
      </w:r>
      <w:r w:rsidRPr="00A472D4">
        <w:rPr>
          <w:rFonts w:ascii="Symbol" w:hAnsi="Symbol"/>
          <w:sz w:val="18"/>
          <w:szCs w:val="18"/>
          <w:lang w:val="en-AU"/>
        </w:rPr>
        <w:t></w:t>
      </w:r>
      <w:r w:rsidRPr="00A472D4">
        <w:rPr>
          <w:rFonts w:ascii="Symbol" w:hAnsi="Symbol"/>
          <w:i/>
          <w:sz w:val="18"/>
          <w:szCs w:val="18"/>
          <w:lang w:val="en-AU"/>
        </w:rPr>
        <w:t></w:t>
      </w:r>
      <w:r w:rsidRPr="00A472D4">
        <w:rPr>
          <w:rFonts w:ascii="Symbol" w:hAnsi="Symbol"/>
          <w:sz w:val="18"/>
          <w:szCs w:val="18"/>
          <w:lang w:val="en-AU"/>
        </w:rPr>
        <w:t></w:t>
      </w:r>
      <w:r w:rsidRPr="00A472D4">
        <w:rPr>
          <w:rFonts w:ascii="Symbol" w:hAnsi="Symbol"/>
          <w:sz w:val="18"/>
          <w:szCs w:val="18"/>
          <w:lang w:val="en-AU"/>
        </w:rPr>
        <w:t></w:t>
      </w:r>
      <w:r w:rsidRPr="00A472D4">
        <w:rPr>
          <w:rFonts w:ascii="Symbol" w:hAnsi="Symbol"/>
          <w:sz w:val="18"/>
          <w:szCs w:val="18"/>
          <w:lang w:val="en-AU"/>
        </w:rPr>
        <w:t></w:t>
      </w:r>
      <w:r w:rsidRPr="00A472D4">
        <w:rPr>
          <w:rFonts w:ascii="Symbol" w:hAnsi="Symbol"/>
          <w:i/>
          <w:sz w:val="18"/>
          <w:szCs w:val="18"/>
          <w:lang w:val="en-AU"/>
        </w:rPr>
        <w:t></w:t>
      </w:r>
      <w:r w:rsidRPr="00A472D4">
        <w:rPr>
          <w:rFonts w:ascii="Symbol" w:hAnsi="Symbol"/>
          <w:sz w:val="18"/>
          <w:szCs w:val="18"/>
          <w:lang w:val="en-AU"/>
        </w:rPr>
        <w:t></w:t>
      </w:r>
      <w:r w:rsidRPr="00A472D4">
        <w:rPr>
          <w:rFonts w:ascii="Symbol" w:hAnsi="Symbol"/>
          <w:sz w:val="18"/>
          <w:szCs w:val="18"/>
          <w:lang w:val="en-AU"/>
        </w:rPr>
        <w:t></w:t>
      </w:r>
      <w:r w:rsidRPr="00A472D4">
        <w:rPr>
          <w:rFonts w:ascii="Symbol" w:hAnsi="Symbol"/>
          <w:sz w:val="18"/>
          <w:szCs w:val="18"/>
          <w:lang w:val="en-AU"/>
        </w:rPr>
        <w:t></w:t>
      </w:r>
      <w:r w:rsidRPr="00A472D4">
        <w:rPr>
          <w:i/>
          <w:sz w:val="18"/>
          <w:szCs w:val="18"/>
          <w:lang w:val="en-AU"/>
        </w:rPr>
        <w:t>A</w:t>
      </w:r>
      <w:r w:rsidRPr="00A472D4">
        <w:rPr>
          <w:rFonts w:ascii="Symbol" w:hAnsi="Symbol"/>
          <w:sz w:val="18"/>
          <w:szCs w:val="18"/>
          <w:lang w:val="en-AU"/>
        </w:rPr>
        <w:t></w:t>
      </w:r>
      <w:r w:rsidRPr="00A472D4">
        <w:rPr>
          <w:i/>
          <w:sz w:val="18"/>
          <w:szCs w:val="18"/>
        </w:rPr>
        <w:t>B</w:t>
      </w:r>
      <w:r w:rsidRPr="00A472D4">
        <w:rPr>
          <w:rFonts w:ascii="Symbol" w:hAnsi="Symbol"/>
          <w:sz w:val="18"/>
          <w:szCs w:val="18"/>
          <w:lang w:val="en-AU"/>
        </w:rPr>
        <w:t></w:t>
      </w:r>
    </w:p>
    <w:p w:rsidR="00920464" w:rsidRPr="000B1C51" w:rsidRDefault="00920464" w:rsidP="00D73F99">
      <w:pPr>
        <w:spacing w:beforeLines="50" w:before="156" w:line="240" w:lineRule="atLeast"/>
        <w:ind w:firstLine="210"/>
        <w:rPr>
          <w:sz w:val="21"/>
          <w:szCs w:val="21"/>
        </w:rPr>
      </w:pPr>
      <w:r>
        <w:rPr>
          <w:sz w:val="21"/>
          <w:szCs w:val="21"/>
        </w:rPr>
        <w:t>Let us prove the numerator:</w:t>
      </w:r>
    </w:p>
    <w:p w:rsidR="00920464" w:rsidRDefault="00AF2D1E" w:rsidP="009E41CC">
      <w:pPr>
        <w:jc w:val="left"/>
        <w:rPr>
          <w:sz w:val="21"/>
          <w:szCs w:val="21"/>
        </w:rPr>
      </w:pPr>
      <w:r>
        <w:pict>
          <v:shape id="_x0000_i1027" type="#_x0000_t75" style="width:351.65pt;height:81.75pt;mso-position-horizontal:absolute;mso-position-horizontal-relative:text;mso-position-vertical:absolute;mso-position-vertical-relative:text" wrapcoords="-55 0 -55 21363 21600 21363 21600 0 -55 0" o:allowoverlap="f">
            <v:imagedata r:id="rId10" o:title=""/>
          </v:shape>
        </w:pict>
      </w:r>
    </w:p>
    <w:p w:rsidR="00920464" w:rsidRDefault="00920464" w:rsidP="00D612ED">
      <w:pPr>
        <w:ind w:firstLine="210"/>
      </w:pPr>
      <w:r>
        <w:rPr>
          <w:sz w:val="21"/>
          <w:szCs w:val="21"/>
        </w:rPr>
        <w:t>The denominator:</w:t>
      </w:r>
    </w:p>
    <w:p w:rsidR="00920464" w:rsidRDefault="00AF2D1E" w:rsidP="009E41CC">
      <w:pPr>
        <w:jc w:val="left"/>
        <w:rPr>
          <w:sz w:val="21"/>
          <w:szCs w:val="21"/>
        </w:rPr>
      </w:pPr>
      <w:r>
        <w:rPr>
          <w:sz w:val="21"/>
          <w:szCs w:val="21"/>
        </w:rPr>
        <w:pict>
          <v:shape id="_x0000_i1028" type="#_x0000_t75" style="width:270.85pt;height:31.95pt;mso-position-horizontal:absolute">
            <v:imagedata r:id="rId11" o:title=""/>
          </v:shape>
        </w:pict>
      </w:r>
    </w:p>
    <w:p w:rsidR="00920464" w:rsidRDefault="00920464" w:rsidP="000665BD">
      <w:pPr>
        <w:ind w:firstLine="210"/>
        <w:rPr>
          <w:sz w:val="21"/>
          <w:szCs w:val="21"/>
        </w:rPr>
      </w:pPr>
      <w:r>
        <w:rPr>
          <w:sz w:val="21"/>
          <w:szCs w:val="21"/>
        </w:rPr>
        <w:t>This means that if attributes and mechanisms are disjoint, similarity on mechanisms and attributes can be thought of somehow as independent. If mechanisms and attributes were not disjoint, however, elements in the intersection would be counted twice in the average and the Weisberg’s similarity index would be simply wrong.</w:t>
      </w:r>
    </w:p>
    <w:p w:rsidR="000B08DF" w:rsidRPr="000665BD" w:rsidRDefault="000B08DF" w:rsidP="000665BD">
      <w:pPr>
        <w:ind w:firstLine="210"/>
        <w:rPr>
          <w:sz w:val="21"/>
          <w:szCs w:val="21"/>
        </w:rPr>
      </w:pPr>
    </w:p>
    <w:p w:rsidR="00920464" w:rsidRPr="003A6213" w:rsidRDefault="00920464">
      <w:pPr>
        <w:rPr>
          <w:b/>
          <w:lang w:val="en-AU"/>
        </w:rPr>
      </w:pPr>
      <w:r>
        <w:rPr>
          <w:b/>
        </w:rPr>
        <w:t>References</w:t>
      </w:r>
    </w:p>
    <w:p w:rsidR="00192766" w:rsidRPr="007400DA" w:rsidRDefault="00192766" w:rsidP="007C1418">
      <w:pPr>
        <w:rPr>
          <w:sz w:val="18"/>
          <w:szCs w:val="18"/>
        </w:rPr>
      </w:pPr>
      <w:r w:rsidRPr="007400DA">
        <w:rPr>
          <w:sz w:val="18"/>
          <w:szCs w:val="18"/>
        </w:rPr>
        <w:t xml:space="preserve">Downs, S. </w:t>
      </w:r>
      <w:r w:rsidR="0061776D" w:rsidRPr="007400DA">
        <w:rPr>
          <w:sz w:val="18"/>
          <w:szCs w:val="18"/>
        </w:rPr>
        <w:t xml:space="preserve">M. </w:t>
      </w:r>
      <w:r w:rsidR="007C1418">
        <w:rPr>
          <w:sz w:val="18"/>
          <w:szCs w:val="18"/>
        </w:rPr>
        <w:t xml:space="preserve">(1992). </w:t>
      </w:r>
      <w:r w:rsidR="0061776D" w:rsidRPr="007400DA">
        <w:rPr>
          <w:sz w:val="18"/>
          <w:szCs w:val="18"/>
        </w:rPr>
        <w:t>The Importance of Models in Theorizin</w:t>
      </w:r>
      <w:r w:rsidR="007C1418">
        <w:rPr>
          <w:sz w:val="18"/>
          <w:szCs w:val="18"/>
        </w:rPr>
        <w:t>g: A Deflationary Semantic View. In</w:t>
      </w:r>
      <w:r w:rsidR="0061776D" w:rsidRPr="007400DA">
        <w:rPr>
          <w:sz w:val="18"/>
          <w:szCs w:val="18"/>
        </w:rPr>
        <w:t xml:space="preserve"> </w:t>
      </w:r>
      <w:r w:rsidR="0061776D" w:rsidRPr="007400DA">
        <w:rPr>
          <w:i/>
          <w:sz w:val="18"/>
          <w:szCs w:val="18"/>
        </w:rPr>
        <w:t>PSA: Proceedings of the Biennial Meeting of the Philosophy of Science Association</w:t>
      </w:r>
      <w:r w:rsidR="0061776D" w:rsidRPr="007400DA">
        <w:rPr>
          <w:sz w:val="18"/>
          <w:szCs w:val="18"/>
        </w:rPr>
        <w:t xml:space="preserve"> </w:t>
      </w:r>
      <w:r w:rsidR="007C1418">
        <w:rPr>
          <w:sz w:val="18"/>
          <w:szCs w:val="18"/>
        </w:rPr>
        <w:t xml:space="preserve">(pp. </w:t>
      </w:r>
      <w:r w:rsidR="0061776D" w:rsidRPr="007400DA">
        <w:rPr>
          <w:sz w:val="18"/>
          <w:szCs w:val="18"/>
        </w:rPr>
        <w:t>142-</w:t>
      </w:r>
      <w:r w:rsidR="00D623F3">
        <w:rPr>
          <w:sz w:val="18"/>
          <w:szCs w:val="18"/>
        </w:rPr>
        <w:t>1</w:t>
      </w:r>
      <w:r w:rsidR="0061776D" w:rsidRPr="007400DA">
        <w:rPr>
          <w:sz w:val="18"/>
          <w:szCs w:val="18"/>
        </w:rPr>
        <w:t>53</w:t>
      </w:r>
      <w:r w:rsidR="007C1418">
        <w:rPr>
          <w:sz w:val="18"/>
          <w:szCs w:val="18"/>
        </w:rPr>
        <w:t>)</w:t>
      </w:r>
      <w:r w:rsidR="0061776D" w:rsidRPr="007400DA">
        <w:rPr>
          <w:sz w:val="18"/>
          <w:szCs w:val="18"/>
        </w:rPr>
        <w:t>.</w:t>
      </w:r>
    </w:p>
    <w:p w:rsidR="00835DE7" w:rsidRPr="007400DA" w:rsidRDefault="004E49FE">
      <w:pPr>
        <w:ind w:left="240" w:hanging="240"/>
        <w:rPr>
          <w:sz w:val="18"/>
          <w:szCs w:val="18"/>
        </w:rPr>
      </w:pPr>
      <w:r>
        <w:rPr>
          <w:sz w:val="18"/>
          <w:szCs w:val="18"/>
        </w:rPr>
        <w:t xml:space="preserve">Frigg, R. (2006). </w:t>
      </w:r>
      <w:r w:rsidR="00835DE7" w:rsidRPr="007400DA">
        <w:rPr>
          <w:sz w:val="18"/>
          <w:szCs w:val="18"/>
        </w:rPr>
        <w:t>Scientific Representation and</w:t>
      </w:r>
      <w:r>
        <w:rPr>
          <w:sz w:val="18"/>
          <w:szCs w:val="18"/>
        </w:rPr>
        <w:t xml:space="preserve"> the Semantic View of Theories.</w:t>
      </w:r>
      <w:r w:rsidR="00835DE7" w:rsidRPr="007400DA">
        <w:rPr>
          <w:sz w:val="18"/>
          <w:szCs w:val="18"/>
        </w:rPr>
        <w:t xml:space="preserve"> </w:t>
      </w:r>
      <w:r w:rsidR="00835DE7" w:rsidRPr="007400DA">
        <w:rPr>
          <w:i/>
          <w:sz w:val="18"/>
          <w:szCs w:val="18"/>
        </w:rPr>
        <w:t>Theoria</w:t>
      </w:r>
      <w:r w:rsidR="00835DE7" w:rsidRPr="007400DA">
        <w:rPr>
          <w:sz w:val="18"/>
          <w:szCs w:val="18"/>
        </w:rPr>
        <w:t>, 21 (1): 49-65.</w:t>
      </w:r>
    </w:p>
    <w:p w:rsidR="00920464" w:rsidRPr="007400DA" w:rsidRDefault="00920464">
      <w:pPr>
        <w:ind w:left="240" w:hanging="240"/>
        <w:rPr>
          <w:sz w:val="18"/>
          <w:szCs w:val="18"/>
        </w:rPr>
      </w:pPr>
      <w:r w:rsidRPr="007400DA">
        <w:rPr>
          <w:sz w:val="18"/>
          <w:szCs w:val="18"/>
        </w:rPr>
        <w:t xml:space="preserve">Giere, R. (1988). </w:t>
      </w:r>
      <w:r w:rsidRPr="007400DA">
        <w:rPr>
          <w:i/>
          <w:sz w:val="18"/>
          <w:szCs w:val="18"/>
        </w:rPr>
        <w:t>Explaining Science: A Cognitive Approach</w:t>
      </w:r>
      <w:r w:rsidRPr="007400DA">
        <w:rPr>
          <w:sz w:val="18"/>
          <w:szCs w:val="18"/>
        </w:rPr>
        <w:t>. Chicago: University of Chicago Press.</w:t>
      </w:r>
    </w:p>
    <w:p w:rsidR="00920464" w:rsidRPr="007400DA" w:rsidRDefault="00920464">
      <w:pPr>
        <w:ind w:left="240" w:hanging="240"/>
        <w:rPr>
          <w:sz w:val="18"/>
          <w:szCs w:val="18"/>
        </w:rPr>
      </w:pPr>
      <w:r w:rsidRPr="007400DA">
        <w:rPr>
          <w:sz w:val="18"/>
          <w:szCs w:val="18"/>
        </w:rPr>
        <w:t xml:space="preserve">Giere, R. (1999a). </w:t>
      </w:r>
      <w:r w:rsidRPr="007400DA">
        <w:rPr>
          <w:i/>
          <w:sz w:val="18"/>
          <w:szCs w:val="18"/>
        </w:rPr>
        <w:t>Science with</w:t>
      </w:r>
      <w:r w:rsidR="00B84908">
        <w:rPr>
          <w:i/>
          <w:sz w:val="18"/>
          <w:szCs w:val="18"/>
        </w:rPr>
        <w:t>out</w:t>
      </w:r>
      <w:r w:rsidRPr="007400DA">
        <w:rPr>
          <w:i/>
          <w:sz w:val="18"/>
          <w:szCs w:val="18"/>
        </w:rPr>
        <w:t xml:space="preserve"> Laws</w:t>
      </w:r>
      <w:r w:rsidRPr="007400DA">
        <w:rPr>
          <w:sz w:val="18"/>
          <w:szCs w:val="18"/>
        </w:rPr>
        <w:t>. Chicago: University of Chicago Press.</w:t>
      </w:r>
    </w:p>
    <w:p w:rsidR="00920464" w:rsidRPr="007400DA" w:rsidRDefault="004E49FE" w:rsidP="007C1418">
      <w:pPr>
        <w:rPr>
          <w:sz w:val="18"/>
          <w:szCs w:val="18"/>
        </w:rPr>
      </w:pPr>
      <w:r>
        <w:rPr>
          <w:sz w:val="18"/>
          <w:szCs w:val="18"/>
        </w:rPr>
        <w:lastRenderedPageBreak/>
        <w:t xml:space="preserve">Giere, R. (1999b). </w:t>
      </w:r>
      <w:r w:rsidR="00920464" w:rsidRPr="007400DA">
        <w:rPr>
          <w:sz w:val="18"/>
          <w:szCs w:val="18"/>
        </w:rPr>
        <w:t>Usin</w:t>
      </w:r>
      <w:r>
        <w:rPr>
          <w:sz w:val="18"/>
          <w:szCs w:val="18"/>
        </w:rPr>
        <w:t>g Models to Represent Reality. I</w:t>
      </w:r>
      <w:r w:rsidR="00920464" w:rsidRPr="007400DA">
        <w:rPr>
          <w:sz w:val="18"/>
          <w:szCs w:val="18"/>
        </w:rPr>
        <w:t xml:space="preserve">n L. Magnani, N. </w:t>
      </w:r>
      <w:r w:rsidR="00F85E57">
        <w:rPr>
          <w:sz w:val="18"/>
          <w:szCs w:val="18"/>
        </w:rPr>
        <w:t>J. Nersessian, and P. Thagard (E</w:t>
      </w:r>
      <w:r w:rsidR="00920464" w:rsidRPr="007400DA">
        <w:rPr>
          <w:sz w:val="18"/>
          <w:szCs w:val="18"/>
        </w:rPr>
        <w:t>d</w:t>
      </w:r>
      <w:r w:rsidR="00F85E57">
        <w:rPr>
          <w:sz w:val="18"/>
          <w:szCs w:val="18"/>
        </w:rPr>
        <w:t>s</w:t>
      </w:r>
      <w:r w:rsidR="00920464" w:rsidRPr="007400DA">
        <w:rPr>
          <w:sz w:val="18"/>
          <w:szCs w:val="18"/>
        </w:rPr>
        <w:t xml:space="preserve">.), </w:t>
      </w:r>
      <w:r w:rsidR="00920464" w:rsidRPr="007400DA">
        <w:rPr>
          <w:i/>
          <w:sz w:val="18"/>
          <w:szCs w:val="18"/>
        </w:rPr>
        <w:t>Model-based Reasoning in Scientific Discovery</w:t>
      </w:r>
      <w:r w:rsidR="00F85E57">
        <w:rPr>
          <w:i/>
          <w:sz w:val="18"/>
          <w:szCs w:val="18"/>
        </w:rPr>
        <w:t xml:space="preserve"> </w:t>
      </w:r>
      <w:r w:rsidR="00F85E57">
        <w:rPr>
          <w:sz w:val="18"/>
          <w:szCs w:val="18"/>
        </w:rPr>
        <w:t>(pp</w:t>
      </w:r>
      <w:r w:rsidR="00920464" w:rsidRPr="007400DA">
        <w:rPr>
          <w:sz w:val="18"/>
          <w:szCs w:val="18"/>
        </w:rPr>
        <w:t>.</w:t>
      </w:r>
      <w:r w:rsidR="00F85E57">
        <w:rPr>
          <w:sz w:val="18"/>
          <w:szCs w:val="18"/>
        </w:rPr>
        <w:t xml:space="preserve"> 41-57).</w:t>
      </w:r>
      <w:r w:rsidR="00920464" w:rsidRPr="007400DA">
        <w:rPr>
          <w:sz w:val="18"/>
          <w:szCs w:val="18"/>
        </w:rPr>
        <w:t xml:space="preserve"> Sp</w:t>
      </w:r>
      <w:r w:rsidR="00F85E57">
        <w:rPr>
          <w:sz w:val="18"/>
          <w:szCs w:val="18"/>
        </w:rPr>
        <w:t>ringer Science &amp; Business Media</w:t>
      </w:r>
      <w:r w:rsidR="00920464" w:rsidRPr="007400DA">
        <w:rPr>
          <w:sz w:val="18"/>
          <w:szCs w:val="18"/>
        </w:rPr>
        <w:t>.</w:t>
      </w:r>
    </w:p>
    <w:p w:rsidR="00920464" w:rsidRDefault="00826E1D">
      <w:pPr>
        <w:ind w:left="240" w:hanging="240"/>
        <w:rPr>
          <w:sz w:val="18"/>
          <w:szCs w:val="18"/>
        </w:rPr>
      </w:pPr>
      <w:r>
        <w:rPr>
          <w:sz w:val="18"/>
          <w:szCs w:val="18"/>
        </w:rPr>
        <w:t xml:space="preserve">Giere, R. (2004). </w:t>
      </w:r>
      <w:r w:rsidR="00920464" w:rsidRPr="007400DA">
        <w:rPr>
          <w:sz w:val="18"/>
          <w:szCs w:val="18"/>
        </w:rPr>
        <w:t>How Models</w:t>
      </w:r>
      <w:r>
        <w:rPr>
          <w:sz w:val="18"/>
          <w:szCs w:val="18"/>
        </w:rPr>
        <w:t xml:space="preserve"> are Used to Represent Reality.</w:t>
      </w:r>
      <w:r w:rsidR="00920464" w:rsidRPr="007400DA">
        <w:rPr>
          <w:sz w:val="18"/>
          <w:szCs w:val="18"/>
        </w:rPr>
        <w:t xml:space="preserve"> </w:t>
      </w:r>
      <w:r w:rsidR="00920464" w:rsidRPr="007400DA">
        <w:rPr>
          <w:i/>
          <w:sz w:val="18"/>
          <w:szCs w:val="18"/>
        </w:rPr>
        <w:t>Philosophy of Science</w:t>
      </w:r>
      <w:r>
        <w:rPr>
          <w:sz w:val="18"/>
          <w:szCs w:val="18"/>
        </w:rPr>
        <w:t xml:space="preserve">, 71 </w:t>
      </w:r>
      <w:r w:rsidRPr="00826E1D">
        <w:rPr>
          <w:sz w:val="18"/>
          <w:szCs w:val="18"/>
        </w:rPr>
        <w:t>(5):</w:t>
      </w:r>
      <w:r w:rsidR="005D078D">
        <w:rPr>
          <w:sz w:val="18"/>
          <w:szCs w:val="18"/>
        </w:rPr>
        <w:t xml:space="preserve"> </w:t>
      </w:r>
      <w:r w:rsidRPr="00826E1D">
        <w:rPr>
          <w:sz w:val="18"/>
          <w:szCs w:val="18"/>
        </w:rPr>
        <w:t>742-752</w:t>
      </w:r>
      <w:r>
        <w:rPr>
          <w:sz w:val="18"/>
          <w:szCs w:val="18"/>
        </w:rPr>
        <w:t>.</w:t>
      </w:r>
    </w:p>
    <w:p w:rsidR="0007450E" w:rsidRPr="007400DA" w:rsidRDefault="0007450E">
      <w:pPr>
        <w:ind w:left="240" w:hanging="240"/>
        <w:rPr>
          <w:sz w:val="18"/>
          <w:szCs w:val="18"/>
        </w:rPr>
      </w:pPr>
      <w:r w:rsidRPr="0007450E">
        <w:rPr>
          <w:sz w:val="18"/>
          <w:szCs w:val="18"/>
        </w:rPr>
        <w:t xml:space="preserve">Giere, R. </w:t>
      </w:r>
      <w:r>
        <w:rPr>
          <w:sz w:val="18"/>
          <w:szCs w:val="18"/>
        </w:rPr>
        <w:t>(</w:t>
      </w:r>
      <w:r w:rsidRPr="0007450E">
        <w:rPr>
          <w:sz w:val="18"/>
          <w:szCs w:val="18"/>
        </w:rPr>
        <w:t>2010</w:t>
      </w:r>
      <w:r>
        <w:rPr>
          <w:sz w:val="18"/>
          <w:szCs w:val="18"/>
        </w:rPr>
        <w:t>)</w:t>
      </w:r>
      <w:r w:rsidRPr="0007450E">
        <w:rPr>
          <w:sz w:val="18"/>
          <w:szCs w:val="18"/>
        </w:rPr>
        <w:t xml:space="preserve">. An Agent-Based Conception of Models and Scientific Representation. </w:t>
      </w:r>
      <w:r w:rsidRPr="0007450E">
        <w:rPr>
          <w:i/>
          <w:sz w:val="18"/>
          <w:szCs w:val="18"/>
        </w:rPr>
        <w:t>Synthese</w:t>
      </w:r>
      <w:r w:rsidRPr="0007450E">
        <w:rPr>
          <w:sz w:val="18"/>
          <w:szCs w:val="18"/>
        </w:rPr>
        <w:t>, 172 (2): 269–281.</w:t>
      </w:r>
    </w:p>
    <w:p w:rsidR="00920464" w:rsidRPr="007400DA" w:rsidRDefault="005D078D">
      <w:pPr>
        <w:ind w:left="240" w:hanging="240"/>
        <w:rPr>
          <w:sz w:val="18"/>
          <w:szCs w:val="18"/>
        </w:rPr>
      </w:pPr>
      <w:r>
        <w:rPr>
          <w:sz w:val="18"/>
          <w:szCs w:val="18"/>
        </w:rPr>
        <w:t xml:space="preserve">Godfrey-Smith, P. (2006). </w:t>
      </w:r>
      <w:r w:rsidR="00920464" w:rsidRPr="007400DA">
        <w:rPr>
          <w:sz w:val="18"/>
          <w:szCs w:val="18"/>
        </w:rPr>
        <w:t>The S</w:t>
      </w:r>
      <w:r>
        <w:rPr>
          <w:sz w:val="18"/>
          <w:szCs w:val="18"/>
        </w:rPr>
        <w:t>trategy of Model-based Science.</w:t>
      </w:r>
      <w:r w:rsidR="00920464" w:rsidRPr="007400DA">
        <w:rPr>
          <w:sz w:val="18"/>
          <w:szCs w:val="18"/>
        </w:rPr>
        <w:t xml:space="preserve"> </w:t>
      </w:r>
      <w:r w:rsidR="00920464" w:rsidRPr="007400DA">
        <w:rPr>
          <w:i/>
          <w:sz w:val="18"/>
          <w:szCs w:val="18"/>
        </w:rPr>
        <w:t>Biology and Philosophy</w:t>
      </w:r>
      <w:r w:rsidR="00920464" w:rsidRPr="007400DA">
        <w:rPr>
          <w:sz w:val="18"/>
          <w:szCs w:val="18"/>
        </w:rPr>
        <w:t>, 21</w:t>
      </w:r>
      <w:r>
        <w:rPr>
          <w:sz w:val="18"/>
          <w:szCs w:val="18"/>
        </w:rPr>
        <w:t xml:space="preserve"> (5)</w:t>
      </w:r>
      <w:r w:rsidR="00920464" w:rsidRPr="007400DA">
        <w:rPr>
          <w:sz w:val="18"/>
          <w:szCs w:val="18"/>
        </w:rPr>
        <w:t>: 725-</w:t>
      </w:r>
      <w:r>
        <w:rPr>
          <w:sz w:val="18"/>
          <w:szCs w:val="18"/>
        </w:rPr>
        <w:t>7</w:t>
      </w:r>
      <w:r w:rsidR="00920464" w:rsidRPr="007400DA">
        <w:rPr>
          <w:sz w:val="18"/>
          <w:szCs w:val="18"/>
        </w:rPr>
        <w:t>40.</w:t>
      </w:r>
    </w:p>
    <w:p w:rsidR="00920464" w:rsidRDefault="005D078D" w:rsidP="007C1418">
      <w:pPr>
        <w:rPr>
          <w:sz w:val="18"/>
          <w:szCs w:val="18"/>
        </w:rPr>
      </w:pPr>
      <w:r>
        <w:rPr>
          <w:sz w:val="18"/>
          <w:szCs w:val="18"/>
        </w:rPr>
        <w:t xml:space="preserve">Goodman, N. (1972). </w:t>
      </w:r>
      <w:r w:rsidR="00920464" w:rsidRPr="007400DA">
        <w:rPr>
          <w:sz w:val="18"/>
          <w:szCs w:val="18"/>
        </w:rPr>
        <w:t>Seve</w:t>
      </w:r>
      <w:r>
        <w:rPr>
          <w:sz w:val="18"/>
          <w:szCs w:val="18"/>
        </w:rPr>
        <w:t>n Strictures on Similarity. I</w:t>
      </w:r>
      <w:r w:rsidR="00920464" w:rsidRPr="007400DA">
        <w:rPr>
          <w:sz w:val="18"/>
          <w:szCs w:val="18"/>
        </w:rPr>
        <w:t xml:space="preserve">n </w:t>
      </w:r>
      <w:r w:rsidR="00F43890">
        <w:rPr>
          <w:sz w:val="18"/>
          <w:szCs w:val="18"/>
        </w:rPr>
        <w:t xml:space="preserve">N. Goodman (Ed.), </w:t>
      </w:r>
      <w:r w:rsidR="00920464" w:rsidRPr="007400DA">
        <w:rPr>
          <w:i/>
          <w:sz w:val="18"/>
          <w:szCs w:val="18"/>
        </w:rPr>
        <w:t>Problems and Projects</w:t>
      </w:r>
      <w:r>
        <w:rPr>
          <w:i/>
          <w:sz w:val="18"/>
          <w:szCs w:val="18"/>
        </w:rPr>
        <w:t xml:space="preserve"> </w:t>
      </w:r>
      <w:r>
        <w:rPr>
          <w:sz w:val="18"/>
          <w:szCs w:val="18"/>
        </w:rPr>
        <w:t>(pp. 437-446). Indianapolis: Bobbs-Merril</w:t>
      </w:r>
      <w:r w:rsidR="00920464" w:rsidRPr="007400DA">
        <w:rPr>
          <w:sz w:val="18"/>
          <w:szCs w:val="18"/>
        </w:rPr>
        <w:t>.</w:t>
      </w:r>
    </w:p>
    <w:p w:rsidR="006444E6" w:rsidRPr="007400DA" w:rsidRDefault="006444E6" w:rsidP="007C1418">
      <w:pPr>
        <w:rPr>
          <w:sz w:val="18"/>
          <w:szCs w:val="18"/>
        </w:rPr>
      </w:pPr>
      <w:r>
        <w:rPr>
          <w:sz w:val="18"/>
          <w:szCs w:val="18"/>
        </w:rPr>
        <w:t xml:space="preserve">Hughes, R. I. G. (1997). Models and Representation. </w:t>
      </w:r>
      <w:r w:rsidRPr="006444E6">
        <w:rPr>
          <w:i/>
          <w:sz w:val="18"/>
          <w:szCs w:val="18"/>
        </w:rPr>
        <w:t>Philosophy of Science</w:t>
      </w:r>
      <w:r>
        <w:rPr>
          <w:sz w:val="18"/>
          <w:szCs w:val="18"/>
        </w:rPr>
        <w:t>, 64 (4): S325-S336.</w:t>
      </w:r>
    </w:p>
    <w:p w:rsidR="00920464" w:rsidRPr="007400DA" w:rsidRDefault="00920464" w:rsidP="007C1418">
      <w:pPr>
        <w:rPr>
          <w:sz w:val="18"/>
          <w:szCs w:val="18"/>
        </w:rPr>
      </w:pPr>
      <w:r w:rsidRPr="007400DA">
        <w:rPr>
          <w:sz w:val="18"/>
          <w:szCs w:val="18"/>
        </w:rPr>
        <w:t>Johnson,</w:t>
      </w:r>
      <w:r w:rsidR="005D078D">
        <w:rPr>
          <w:sz w:val="18"/>
          <w:szCs w:val="18"/>
        </w:rPr>
        <w:t xml:space="preserve"> J. B. &amp; Omland, K. S. (2004). </w:t>
      </w:r>
      <w:r w:rsidRPr="007400DA">
        <w:rPr>
          <w:sz w:val="18"/>
          <w:szCs w:val="18"/>
        </w:rPr>
        <w:t>Model Sele</w:t>
      </w:r>
      <w:r w:rsidR="005D078D">
        <w:rPr>
          <w:sz w:val="18"/>
          <w:szCs w:val="18"/>
        </w:rPr>
        <w:t>ction in Ecology and Evolution.</w:t>
      </w:r>
      <w:r w:rsidRPr="007400DA">
        <w:rPr>
          <w:sz w:val="18"/>
          <w:szCs w:val="18"/>
        </w:rPr>
        <w:t xml:space="preserve"> </w:t>
      </w:r>
      <w:r w:rsidRPr="007400DA">
        <w:rPr>
          <w:i/>
          <w:sz w:val="18"/>
          <w:szCs w:val="18"/>
        </w:rPr>
        <w:t>Trends in Ecology and Evolution</w:t>
      </w:r>
      <w:r w:rsidRPr="007400DA">
        <w:rPr>
          <w:sz w:val="18"/>
          <w:szCs w:val="18"/>
        </w:rPr>
        <w:t>, 19 (2): 101-</w:t>
      </w:r>
      <w:r w:rsidR="005D078D">
        <w:rPr>
          <w:sz w:val="18"/>
          <w:szCs w:val="18"/>
        </w:rPr>
        <w:t>10</w:t>
      </w:r>
      <w:r w:rsidRPr="007400DA">
        <w:rPr>
          <w:sz w:val="18"/>
          <w:szCs w:val="18"/>
        </w:rPr>
        <w:t>8.</w:t>
      </w:r>
    </w:p>
    <w:p w:rsidR="00920464" w:rsidRPr="007400DA" w:rsidRDefault="00920464" w:rsidP="00DE6587">
      <w:pPr>
        <w:ind w:left="240" w:hanging="240"/>
        <w:rPr>
          <w:sz w:val="18"/>
          <w:szCs w:val="18"/>
        </w:rPr>
      </w:pPr>
      <w:proofErr w:type="gramStart"/>
      <w:r w:rsidRPr="007400DA">
        <w:rPr>
          <w:rStyle w:val="citation"/>
          <w:sz w:val="18"/>
          <w:szCs w:val="18"/>
        </w:rPr>
        <w:t>Levand</w:t>
      </w:r>
      <w:r w:rsidR="00755DA6">
        <w:rPr>
          <w:rStyle w:val="citation"/>
          <w:sz w:val="18"/>
          <w:szCs w:val="18"/>
        </w:rPr>
        <w:t>owsky, M. &amp; Winter, D. (1971).</w:t>
      </w:r>
      <w:proofErr w:type="gramEnd"/>
      <w:r w:rsidR="00755DA6">
        <w:rPr>
          <w:rStyle w:val="citation"/>
          <w:sz w:val="18"/>
          <w:szCs w:val="18"/>
        </w:rPr>
        <w:t xml:space="preserve"> Distance between Sets.</w:t>
      </w:r>
      <w:r w:rsidRPr="007400DA">
        <w:rPr>
          <w:rStyle w:val="citation"/>
          <w:sz w:val="18"/>
          <w:szCs w:val="18"/>
        </w:rPr>
        <w:t xml:space="preserve"> </w:t>
      </w:r>
      <w:r w:rsidRPr="007400DA">
        <w:rPr>
          <w:rStyle w:val="citation"/>
          <w:i/>
          <w:iCs/>
          <w:sz w:val="18"/>
          <w:szCs w:val="18"/>
        </w:rPr>
        <w:t>Nature,</w:t>
      </w:r>
      <w:r w:rsidRPr="007400DA">
        <w:rPr>
          <w:rStyle w:val="citation"/>
          <w:sz w:val="18"/>
          <w:szCs w:val="18"/>
        </w:rPr>
        <w:t xml:space="preserve"> </w:t>
      </w:r>
      <w:r w:rsidRPr="007400DA">
        <w:rPr>
          <w:rStyle w:val="citation"/>
          <w:bCs/>
          <w:sz w:val="18"/>
          <w:szCs w:val="18"/>
        </w:rPr>
        <w:t>234</w:t>
      </w:r>
      <w:r w:rsidRPr="007400DA">
        <w:rPr>
          <w:rStyle w:val="citation"/>
          <w:sz w:val="18"/>
          <w:szCs w:val="18"/>
        </w:rPr>
        <w:t xml:space="preserve"> (5): 34–</w:t>
      </w:r>
      <w:r w:rsidR="00755DA6">
        <w:rPr>
          <w:rStyle w:val="citation"/>
          <w:sz w:val="18"/>
          <w:szCs w:val="18"/>
        </w:rPr>
        <w:t>3</w:t>
      </w:r>
      <w:r w:rsidRPr="007400DA">
        <w:rPr>
          <w:rStyle w:val="citation"/>
          <w:sz w:val="18"/>
          <w:szCs w:val="18"/>
        </w:rPr>
        <w:t>5.</w:t>
      </w:r>
    </w:p>
    <w:p w:rsidR="00920464" w:rsidRPr="007400DA" w:rsidRDefault="00755DA6">
      <w:pPr>
        <w:ind w:left="240" w:hanging="240"/>
        <w:rPr>
          <w:sz w:val="18"/>
          <w:szCs w:val="18"/>
        </w:rPr>
      </w:pPr>
      <w:r>
        <w:rPr>
          <w:sz w:val="18"/>
          <w:szCs w:val="18"/>
        </w:rPr>
        <w:t xml:space="preserve">Levins, R. (1966). </w:t>
      </w:r>
      <w:r w:rsidR="00920464" w:rsidRPr="007400DA">
        <w:rPr>
          <w:sz w:val="18"/>
          <w:szCs w:val="18"/>
        </w:rPr>
        <w:t xml:space="preserve">The Strategy of Model </w:t>
      </w:r>
      <w:r>
        <w:rPr>
          <w:sz w:val="18"/>
          <w:szCs w:val="18"/>
        </w:rPr>
        <w:t>Building in Population Biology.</w:t>
      </w:r>
      <w:r w:rsidR="00920464" w:rsidRPr="007400DA">
        <w:rPr>
          <w:sz w:val="18"/>
          <w:szCs w:val="18"/>
        </w:rPr>
        <w:t xml:space="preserve"> </w:t>
      </w:r>
      <w:r w:rsidR="00920464" w:rsidRPr="007400DA">
        <w:rPr>
          <w:i/>
          <w:sz w:val="18"/>
          <w:szCs w:val="18"/>
        </w:rPr>
        <w:t>American Scientist</w:t>
      </w:r>
      <w:r w:rsidR="00920464" w:rsidRPr="007400DA">
        <w:rPr>
          <w:sz w:val="18"/>
          <w:szCs w:val="18"/>
        </w:rPr>
        <w:t>, 54 (4): 421-</w:t>
      </w:r>
      <w:r>
        <w:rPr>
          <w:sz w:val="18"/>
          <w:szCs w:val="18"/>
        </w:rPr>
        <w:t>4</w:t>
      </w:r>
      <w:r w:rsidR="00920464" w:rsidRPr="007400DA">
        <w:rPr>
          <w:sz w:val="18"/>
          <w:szCs w:val="18"/>
        </w:rPr>
        <w:t>31.</w:t>
      </w:r>
    </w:p>
    <w:p w:rsidR="00920464" w:rsidRDefault="00920464" w:rsidP="007C1418">
      <w:pPr>
        <w:rPr>
          <w:sz w:val="18"/>
          <w:szCs w:val="18"/>
        </w:rPr>
      </w:pPr>
      <w:r w:rsidRPr="007400DA">
        <w:rPr>
          <w:sz w:val="18"/>
          <w:szCs w:val="18"/>
        </w:rPr>
        <w:t>Matthew</w:t>
      </w:r>
      <w:r w:rsidR="00755DA6">
        <w:rPr>
          <w:sz w:val="18"/>
          <w:szCs w:val="18"/>
        </w:rPr>
        <w:t xml:space="preserve">son, J. &amp; Weisberg, M. (2009). </w:t>
      </w:r>
      <w:r w:rsidRPr="007400DA">
        <w:rPr>
          <w:sz w:val="18"/>
          <w:szCs w:val="18"/>
        </w:rPr>
        <w:t xml:space="preserve">The Structure of </w:t>
      </w:r>
      <w:r w:rsidR="00755DA6">
        <w:rPr>
          <w:sz w:val="18"/>
          <w:szCs w:val="18"/>
        </w:rPr>
        <w:t>Tradeoffs in Modeling Building.</w:t>
      </w:r>
      <w:r w:rsidRPr="007400DA">
        <w:rPr>
          <w:sz w:val="18"/>
          <w:szCs w:val="18"/>
        </w:rPr>
        <w:t xml:space="preserve"> </w:t>
      </w:r>
      <w:r w:rsidRPr="007400DA">
        <w:rPr>
          <w:i/>
          <w:sz w:val="18"/>
          <w:szCs w:val="18"/>
        </w:rPr>
        <w:t>Synthese</w:t>
      </w:r>
      <w:r w:rsidRPr="007400DA">
        <w:rPr>
          <w:sz w:val="18"/>
          <w:szCs w:val="18"/>
        </w:rPr>
        <w:t>, 170</w:t>
      </w:r>
      <w:r w:rsidR="00755DA6">
        <w:rPr>
          <w:sz w:val="18"/>
          <w:szCs w:val="18"/>
        </w:rPr>
        <w:t xml:space="preserve"> (1)</w:t>
      </w:r>
      <w:r w:rsidRPr="007400DA">
        <w:rPr>
          <w:sz w:val="18"/>
          <w:szCs w:val="18"/>
        </w:rPr>
        <w:t>: 169-</w:t>
      </w:r>
      <w:r w:rsidR="00755DA6">
        <w:rPr>
          <w:sz w:val="18"/>
          <w:szCs w:val="18"/>
        </w:rPr>
        <w:t>1</w:t>
      </w:r>
      <w:r w:rsidRPr="007400DA">
        <w:rPr>
          <w:sz w:val="18"/>
          <w:szCs w:val="18"/>
        </w:rPr>
        <w:t>90.</w:t>
      </w:r>
    </w:p>
    <w:p w:rsidR="00C37F3E" w:rsidRPr="007400DA" w:rsidRDefault="00C37F3E" w:rsidP="007C1418">
      <w:pPr>
        <w:rPr>
          <w:sz w:val="18"/>
          <w:szCs w:val="18"/>
        </w:rPr>
      </w:pPr>
      <w:r>
        <w:rPr>
          <w:sz w:val="18"/>
          <w:szCs w:val="18"/>
        </w:rPr>
        <w:t xml:space="preserve">Morgan, M. S. &amp; Morrison, M. (1999). </w:t>
      </w:r>
      <w:r w:rsidRPr="00C37F3E">
        <w:rPr>
          <w:i/>
          <w:sz w:val="18"/>
          <w:szCs w:val="18"/>
        </w:rPr>
        <w:t>Models as Mediators: Perspectives on Natural and Social Science</w:t>
      </w:r>
      <w:r>
        <w:rPr>
          <w:sz w:val="18"/>
          <w:szCs w:val="18"/>
        </w:rPr>
        <w:t>. Cambridge: Cambridge University Press.</w:t>
      </w:r>
    </w:p>
    <w:p w:rsidR="00920464" w:rsidRPr="007400DA" w:rsidRDefault="00755DA6">
      <w:pPr>
        <w:ind w:left="240" w:hanging="240"/>
        <w:rPr>
          <w:sz w:val="18"/>
          <w:szCs w:val="18"/>
        </w:rPr>
      </w:pPr>
      <w:r>
        <w:rPr>
          <w:sz w:val="18"/>
          <w:szCs w:val="18"/>
        </w:rPr>
        <w:t>Musgrave, A. (1981). ‘</w:t>
      </w:r>
      <w:r w:rsidR="00920464" w:rsidRPr="007400DA">
        <w:rPr>
          <w:sz w:val="18"/>
          <w:szCs w:val="18"/>
        </w:rPr>
        <w:t xml:space="preserve">Unreal Assumptions’ in Economic Theories: </w:t>
      </w:r>
      <w:r>
        <w:rPr>
          <w:sz w:val="18"/>
          <w:szCs w:val="18"/>
        </w:rPr>
        <w:t>The F-Twist Untwist.</w:t>
      </w:r>
      <w:r w:rsidR="00920464" w:rsidRPr="007400DA">
        <w:rPr>
          <w:i/>
          <w:sz w:val="18"/>
          <w:szCs w:val="18"/>
        </w:rPr>
        <w:t xml:space="preserve"> Kyklos</w:t>
      </w:r>
      <w:r w:rsidR="00920464" w:rsidRPr="007400DA">
        <w:rPr>
          <w:sz w:val="18"/>
          <w:szCs w:val="18"/>
        </w:rPr>
        <w:t>, 34 (3): 377-</w:t>
      </w:r>
      <w:r>
        <w:rPr>
          <w:sz w:val="18"/>
          <w:szCs w:val="18"/>
        </w:rPr>
        <w:t>3</w:t>
      </w:r>
      <w:r w:rsidR="00920464" w:rsidRPr="007400DA">
        <w:rPr>
          <w:sz w:val="18"/>
          <w:szCs w:val="18"/>
        </w:rPr>
        <w:t>87.</w:t>
      </w:r>
    </w:p>
    <w:p w:rsidR="00920464" w:rsidRPr="007400DA" w:rsidRDefault="00755DA6" w:rsidP="007C1418">
      <w:pPr>
        <w:rPr>
          <w:sz w:val="18"/>
          <w:szCs w:val="18"/>
        </w:rPr>
      </w:pPr>
      <w:r>
        <w:rPr>
          <w:sz w:val="18"/>
          <w:szCs w:val="18"/>
        </w:rPr>
        <w:t xml:space="preserve">Odenbaugh, J. (2003). </w:t>
      </w:r>
      <w:r w:rsidR="00920464" w:rsidRPr="007400DA">
        <w:rPr>
          <w:sz w:val="18"/>
          <w:szCs w:val="18"/>
        </w:rPr>
        <w:t>Complex Systems, Trade-Offs, and Theoretical Population Biology: Richard Levins’s ‘Strategy of Model Building in</w:t>
      </w:r>
      <w:r>
        <w:rPr>
          <w:sz w:val="18"/>
          <w:szCs w:val="18"/>
        </w:rPr>
        <w:t xml:space="preserve"> Population Biology’ Revisited.</w:t>
      </w:r>
      <w:r w:rsidR="00920464" w:rsidRPr="007400DA">
        <w:rPr>
          <w:sz w:val="18"/>
          <w:szCs w:val="18"/>
        </w:rPr>
        <w:t xml:space="preserve"> </w:t>
      </w:r>
      <w:r w:rsidR="00920464" w:rsidRPr="007400DA">
        <w:rPr>
          <w:i/>
          <w:sz w:val="18"/>
          <w:szCs w:val="18"/>
        </w:rPr>
        <w:t>Philosophy of Science</w:t>
      </w:r>
      <w:r w:rsidR="00920464" w:rsidRPr="007400DA">
        <w:rPr>
          <w:sz w:val="18"/>
          <w:szCs w:val="18"/>
        </w:rPr>
        <w:t>, 70 (5): 1496-1507.</w:t>
      </w:r>
    </w:p>
    <w:p w:rsidR="00920464" w:rsidRPr="007400DA" w:rsidRDefault="007C38EE" w:rsidP="007C1418">
      <w:pPr>
        <w:rPr>
          <w:sz w:val="18"/>
          <w:szCs w:val="18"/>
        </w:rPr>
      </w:pPr>
      <w:r>
        <w:rPr>
          <w:sz w:val="18"/>
          <w:szCs w:val="18"/>
        </w:rPr>
        <w:t xml:space="preserve">Odenbaugh, J. (2006). </w:t>
      </w:r>
      <w:r w:rsidR="00920464" w:rsidRPr="007400DA">
        <w:rPr>
          <w:sz w:val="18"/>
          <w:szCs w:val="18"/>
        </w:rPr>
        <w:t>The Strategy of ‘The strategy of Model B</w:t>
      </w:r>
      <w:r>
        <w:rPr>
          <w:sz w:val="18"/>
          <w:szCs w:val="18"/>
        </w:rPr>
        <w:t>uilding in Population Biology’.</w:t>
      </w:r>
      <w:r w:rsidR="00920464" w:rsidRPr="007400DA">
        <w:rPr>
          <w:sz w:val="18"/>
          <w:szCs w:val="18"/>
        </w:rPr>
        <w:t xml:space="preserve"> </w:t>
      </w:r>
      <w:r w:rsidR="00920464" w:rsidRPr="007400DA">
        <w:rPr>
          <w:i/>
          <w:sz w:val="18"/>
          <w:szCs w:val="18"/>
        </w:rPr>
        <w:t>Biology and Philosophy</w:t>
      </w:r>
      <w:r w:rsidR="00920464" w:rsidRPr="007400DA">
        <w:rPr>
          <w:sz w:val="18"/>
          <w:szCs w:val="18"/>
        </w:rPr>
        <w:t>, 21</w:t>
      </w:r>
      <w:r>
        <w:rPr>
          <w:sz w:val="18"/>
          <w:szCs w:val="18"/>
        </w:rPr>
        <w:t xml:space="preserve"> (5)</w:t>
      </w:r>
      <w:r w:rsidR="00920464" w:rsidRPr="007400DA">
        <w:rPr>
          <w:sz w:val="18"/>
          <w:szCs w:val="18"/>
        </w:rPr>
        <w:t>: 607-</w:t>
      </w:r>
      <w:r>
        <w:rPr>
          <w:sz w:val="18"/>
          <w:szCs w:val="18"/>
        </w:rPr>
        <w:t>6</w:t>
      </w:r>
      <w:r w:rsidR="00920464" w:rsidRPr="007400DA">
        <w:rPr>
          <w:sz w:val="18"/>
          <w:szCs w:val="18"/>
        </w:rPr>
        <w:t>21.</w:t>
      </w:r>
    </w:p>
    <w:p w:rsidR="004B03F0" w:rsidRPr="007400DA" w:rsidRDefault="007C38EE" w:rsidP="007C1418">
      <w:pPr>
        <w:rPr>
          <w:sz w:val="18"/>
          <w:szCs w:val="18"/>
        </w:rPr>
      </w:pPr>
      <w:r>
        <w:rPr>
          <w:sz w:val="18"/>
          <w:szCs w:val="18"/>
        </w:rPr>
        <w:t>Odenbaugh, J. (2008). Models. I</w:t>
      </w:r>
      <w:r w:rsidR="004B03F0" w:rsidRPr="007400DA">
        <w:rPr>
          <w:sz w:val="18"/>
          <w:szCs w:val="18"/>
        </w:rPr>
        <w:t xml:space="preserve">n </w:t>
      </w:r>
      <w:r>
        <w:rPr>
          <w:sz w:val="18"/>
          <w:szCs w:val="18"/>
        </w:rPr>
        <w:t>S. Sarkar and A. Plutynski (Eds.),</w:t>
      </w:r>
      <w:r w:rsidRPr="007C38EE">
        <w:rPr>
          <w:i/>
          <w:sz w:val="18"/>
          <w:szCs w:val="18"/>
        </w:rPr>
        <w:t xml:space="preserve"> </w:t>
      </w:r>
      <w:r w:rsidRPr="007400DA">
        <w:rPr>
          <w:i/>
          <w:sz w:val="18"/>
          <w:szCs w:val="18"/>
        </w:rPr>
        <w:t>A Companion to the Philosophy of Biology</w:t>
      </w:r>
      <w:r>
        <w:rPr>
          <w:i/>
          <w:sz w:val="18"/>
          <w:szCs w:val="18"/>
        </w:rPr>
        <w:t xml:space="preserve"> </w:t>
      </w:r>
      <w:r>
        <w:rPr>
          <w:sz w:val="18"/>
          <w:szCs w:val="18"/>
        </w:rPr>
        <w:t xml:space="preserve">(pp. 506-524). </w:t>
      </w:r>
      <w:r w:rsidR="00EC6821" w:rsidRPr="007400DA">
        <w:rPr>
          <w:sz w:val="18"/>
          <w:szCs w:val="18"/>
        </w:rPr>
        <w:t>Blackwell Publishing</w:t>
      </w:r>
      <w:r w:rsidR="002B7F08" w:rsidRPr="007400DA">
        <w:rPr>
          <w:sz w:val="18"/>
          <w:szCs w:val="18"/>
        </w:rPr>
        <w:t>.</w:t>
      </w:r>
    </w:p>
    <w:p w:rsidR="002B7F08" w:rsidRPr="007400DA" w:rsidRDefault="00F43890" w:rsidP="007C1418">
      <w:pPr>
        <w:rPr>
          <w:sz w:val="18"/>
          <w:szCs w:val="18"/>
        </w:rPr>
      </w:pPr>
      <w:r>
        <w:rPr>
          <w:sz w:val="18"/>
          <w:szCs w:val="18"/>
        </w:rPr>
        <w:t xml:space="preserve">Odenbaugh, J. (2014). </w:t>
      </w:r>
      <w:r w:rsidR="00F8426F" w:rsidRPr="007400DA">
        <w:rPr>
          <w:sz w:val="18"/>
          <w:szCs w:val="18"/>
        </w:rPr>
        <w:t>Semblance or S</w:t>
      </w:r>
      <w:r w:rsidR="002B7F08" w:rsidRPr="007400DA">
        <w:rPr>
          <w:sz w:val="18"/>
          <w:szCs w:val="18"/>
        </w:rPr>
        <w:t>imilarity? Reflection</w:t>
      </w:r>
      <w:r>
        <w:rPr>
          <w:sz w:val="18"/>
          <w:szCs w:val="18"/>
        </w:rPr>
        <w:t>s on Simulation and Similarity.</w:t>
      </w:r>
      <w:r w:rsidR="002B7F08" w:rsidRPr="007400DA">
        <w:rPr>
          <w:sz w:val="18"/>
          <w:szCs w:val="18"/>
        </w:rPr>
        <w:t xml:space="preserve"> </w:t>
      </w:r>
      <w:r w:rsidR="002B7F08" w:rsidRPr="007400DA">
        <w:rPr>
          <w:i/>
          <w:sz w:val="18"/>
          <w:szCs w:val="18"/>
        </w:rPr>
        <w:t>Biology and Philosophy</w:t>
      </w:r>
      <w:r w:rsidR="002B7F08" w:rsidRPr="007400DA">
        <w:rPr>
          <w:sz w:val="18"/>
          <w:szCs w:val="18"/>
        </w:rPr>
        <w:t>, 30 (2): 277-</w:t>
      </w:r>
      <w:r>
        <w:rPr>
          <w:sz w:val="18"/>
          <w:szCs w:val="18"/>
        </w:rPr>
        <w:t>2</w:t>
      </w:r>
      <w:r w:rsidR="002B7F08" w:rsidRPr="007400DA">
        <w:rPr>
          <w:sz w:val="18"/>
          <w:szCs w:val="18"/>
        </w:rPr>
        <w:t>91.</w:t>
      </w:r>
    </w:p>
    <w:p w:rsidR="00920464" w:rsidRPr="007400DA" w:rsidRDefault="00920464" w:rsidP="007C1418">
      <w:pPr>
        <w:rPr>
          <w:sz w:val="18"/>
          <w:szCs w:val="18"/>
        </w:rPr>
      </w:pPr>
      <w:r w:rsidRPr="007400DA">
        <w:rPr>
          <w:sz w:val="18"/>
          <w:szCs w:val="18"/>
        </w:rPr>
        <w:t>Orz</w:t>
      </w:r>
      <w:r w:rsidR="00F43890">
        <w:rPr>
          <w:sz w:val="18"/>
          <w:szCs w:val="18"/>
        </w:rPr>
        <w:t xml:space="preserve">ack, S. H. &amp; Sober, E. (1993). </w:t>
      </w:r>
      <w:r w:rsidRPr="007400DA">
        <w:rPr>
          <w:sz w:val="18"/>
          <w:szCs w:val="18"/>
        </w:rPr>
        <w:t>A Critical Assessment of Levins’s The Strategy of Model Building in Po</w:t>
      </w:r>
      <w:r w:rsidR="00F43890">
        <w:rPr>
          <w:sz w:val="18"/>
          <w:szCs w:val="18"/>
        </w:rPr>
        <w:t>pulation Biology (1966).</w:t>
      </w:r>
      <w:r w:rsidRPr="007400DA">
        <w:rPr>
          <w:sz w:val="18"/>
          <w:szCs w:val="18"/>
        </w:rPr>
        <w:t xml:space="preserve"> </w:t>
      </w:r>
      <w:r w:rsidRPr="007400DA">
        <w:rPr>
          <w:i/>
          <w:sz w:val="18"/>
          <w:szCs w:val="18"/>
        </w:rPr>
        <w:t>The Quarterly Review of Biology</w:t>
      </w:r>
      <w:r w:rsidRPr="007400DA">
        <w:rPr>
          <w:sz w:val="18"/>
          <w:szCs w:val="18"/>
        </w:rPr>
        <w:t>, 68 (4): 533-</w:t>
      </w:r>
      <w:r w:rsidR="00F43890">
        <w:rPr>
          <w:sz w:val="18"/>
          <w:szCs w:val="18"/>
        </w:rPr>
        <w:t>5</w:t>
      </w:r>
      <w:r w:rsidRPr="007400DA">
        <w:rPr>
          <w:sz w:val="18"/>
          <w:szCs w:val="18"/>
        </w:rPr>
        <w:t>46.</w:t>
      </w:r>
    </w:p>
    <w:p w:rsidR="00920464" w:rsidRPr="007400DA" w:rsidRDefault="00F43890" w:rsidP="007C1418">
      <w:pPr>
        <w:rPr>
          <w:sz w:val="18"/>
          <w:szCs w:val="18"/>
        </w:rPr>
      </w:pPr>
      <w:r>
        <w:rPr>
          <w:sz w:val="18"/>
          <w:szCs w:val="18"/>
        </w:rPr>
        <w:t xml:space="preserve">Orzack, S. H. (2005). </w:t>
      </w:r>
      <w:r w:rsidR="00920464" w:rsidRPr="007400DA">
        <w:rPr>
          <w:sz w:val="18"/>
          <w:szCs w:val="18"/>
        </w:rPr>
        <w:t>What, If Anything, Is ‘The Strategy of Model Building in Population Biology?’ A Comment on Levi</w:t>
      </w:r>
      <w:r>
        <w:rPr>
          <w:sz w:val="18"/>
          <w:szCs w:val="18"/>
        </w:rPr>
        <w:t>ns (1966) and Odenbaugh (2003).</w:t>
      </w:r>
      <w:r w:rsidR="00920464" w:rsidRPr="007400DA">
        <w:rPr>
          <w:sz w:val="18"/>
          <w:szCs w:val="18"/>
        </w:rPr>
        <w:t xml:space="preserve"> </w:t>
      </w:r>
      <w:r w:rsidR="00920464" w:rsidRPr="007400DA">
        <w:rPr>
          <w:i/>
          <w:sz w:val="18"/>
          <w:szCs w:val="18"/>
        </w:rPr>
        <w:t>Philosophy of Science</w:t>
      </w:r>
      <w:r w:rsidR="00920464" w:rsidRPr="007400DA">
        <w:rPr>
          <w:sz w:val="18"/>
          <w:szCs w:val="18"/>
        </w:rPr>
        <w:t>, 72 (3): 479-</w:t>
      </w:r>
      <w:r>
        <w:rPr>
          <w:sz w:val="18"/>
          <w:szCs w:val="18"/>
        </w:rPr>
        <w:t>4</w:t>
      </w:r>
      <w:r w:rsidR="00920464" w:rsidRPr="007400DA">
        <w:rPr>
          <w:sz w:val="18"/>
          <w:szCs w:val="18"/>
        </w:rPr>
        <w:t>85.</w:t>
      </w:r>
    </w:p>
    <w:p w:rsidR="00920464" w:rsidRPr="007400DA" w:rsidRDefault="00F43890" w:rsidP="005A5D6D">
      <w:pPr>
        <w:ind w:left="240" w:hanging="240"/>
        <w:rPr>
          <w:sz w:val="18"/>
          <w:szCs w:val="18"/>
        </w:rPr>
      </w:pPr>
      <w:r>
        <w:rPr>
          <w:sz w:val="18"/>
          <w:szCs w:val="18"/>
        </w:rPr>
        <w:t xml:space="preserve">Parker, W. S. (2015). </w:t>
      </w:r>
      <w:r w:rsidR="00920464" w:rsidRPr="007400DA">
        <w:rPr>
          <w:sz w:val="18"/>
          <w:szCs w:val="18"/>
        </w:rPr>
        <w:t xml:space="preserve">Getting (even </w:t>
      </w:r>
      <w:r>
        <w:rPr>
          <w:sz w:val="18"/>
          <w:szCs w:val="18"/>
        </w:rPr>
        <w:t>more) Serious about Similarity.</w:t>
      </w:r>
      <w:r w:rsidR="00920464" w:rsidRPr="007400DA">
        <w:rPr>
          <w:sz w:val="18"/>
          <w:szCs w:val="18"/>
        </w:rPr>
        <w:t xml:space="preserve"> </w:t>
      </w:r>
      <w:r w:rsidR="00920464" w:rsidRPr="007400DA">
        <w:rPr>
          <w:i/>
          <w:sz w:val="18"/>
          <w:szCs w:val="18"/>
        </w:rPr>
        <w:t>Biology and Philosophy</w:t>
      </w:r>
      <w:r w:rsidR="00920464" w:rsidRPr="007400DA">
        <w:rPr>
          <w:sz w:val="18"/>
          <w:szCs w:val="18"/>
        </w:rPr>
        <w:t>, 30</w:t>
      </w:r>
      <w:r w:rsidR="00B851E8" w:rsidRPr="007400DA">
        <w:rPr>
          <w:sz w:val="18"/>
          <w:szCs w:val="18"/>
        </w:rPr>
        <w:t xml:space="preserve"> (2)</w:t>
      </w:r>
      <w:r w:rsidR="00920464" w:rsidRPr="007400DA">
        <w:rPr>
          <w:sz w:val="18"/>
          <w:szCs w:val="18"/>
        </w:rPr>
        <w:t>: 267-</w:t>
      </w:r>
      <w:r>
        <w:rPr>
          <w:sz w:val="18"/>
          <w:szCs w:val="18"/>
        </w:rPr>
        <w:t>2</w:t>
      </w:r>
      <w:r w:rsidR="00920464" w:rsidRPr="007400DA">
        <w:rPr>
          <w:sz w:val="18"/>
          <w:szCs w:val="18"/>
        </w:rPr>
        <w:t>76.</w:t>
      </w:r>
    </w:p>
    <w:p w:rsidR="00920464" w:rsidRPr="007400DA" w:rsidRDefault="00F43890" w:rsidP="007C1418">
      <w:pPr>
        <w:rPr>
          <w:sz w:val="18"/>
          <w:szCs w:val="18"/>
        </w:rPr>
      </w:pPr>
      <w:r>
        <w:rPr>
          <w:sz w:val="18"/>
          <w:szCs w:val="18"/>
        </w:rPr>
        <w:t>Quine, W. V. O. (1969). Natural Kinds</w:t>
      </w:r>
      <w:r w:rsidR="00C31210">
        <w:rPr>
          <w:sz w:val="18"/>
          <w:szCs w:val="18"/>
        </w:rPr>
        <w:t>. I</w:t>
      </w:r>
      <w:r w:rsidR="00920464" w:rsidRPr="007400DA">
        <w:rPr>
          <w:sz w:val="18"/>
          <w:szCs w:val="18"/>
        </w:rPr>
        <w:t xml:space="preserve">n </w:t>
      </w:r>
      <w:r>
        <w:rPr>
          <w:sz w:val="18"/>
          <w:szCs w:val="18"/>
        </w:rPr>
        <w:t xml:space="preserve">W. V. O. Quine (Ed.), </w:t>
      </w:r>
      <w:r w:rsidR="00920464" w:rsidRPr="007400DA">
        <w:rPr>
          <w:i/>
          <w:sz w:val="18"/>
          <w:szCs w:val="18"/>
        </w:rPr>
        <w:t>Ontological Relativity and Other Essays</w:t>
      </w:r>
      <w:r>
        <w:rPr>
          <w:i/>
          <w:sz w:val="18"/>
          <w:szCs w:val="18"/>
        </w:rPr>
        <w:t xml:space="preserve"> </w:t>
      </w:r>
      <w:r>
        <w:rPr>
          <w:sz w:val="18"/>
          <w:szCs w:val="18"/>
        </w:rPr>
        <w:t>(pp. 114-138)</w:t>
      </w:r>
      <w:r w:rsidR="00920464" w:rsidRPr="007400DA">
        <w:rPr>
          <w:sz w:val="18"/>
          <w:szCs w:val="18"/>
        </w:rPr>
        <w:t>. New York: C</w:t>
      </w:r>
      <w:r>
        <w:rPr>
          <w:sz w:val="18"/>
          <w:szCs w:val="18"/>
        </w:rPr>
        <w:t>olumbia University Press</w:t>
      </w:r>
      <w:r w:rsidR="00920464" w:rsidRPr="007400DA">
        <w:rPr>
          <w:sz w:val="18"/>
          <w:szCs w:val="18"/>
        </w:rPr>
        <w:t>.</w:t>
      </w:r>
    </w:p>
    <w:p w:rsidR="00920464" w:rsidRPr="007400DA" w:rsidRDefault="00920464" w:rsidP="007C1418">
      <w:pPr>
        <w:rPr>
          <w:sz w:val="18"/>
          <w:szCs w:val="18"/>
        </w:rPr>
      </w:pPr>
      <w:r w:rsidRPr="007400DA">
        <w:rPr>
          <w:sz w:val="18"/>
          <w:szCs w:val="18"/>
        </w:rPr>
        <w:t xml:space="preserve">Shipley, B. (2002). </w:t>
      </w:r>
      <w:r w:rsidRPr="007400DA">
        <w:rPr>
          <w:i/>
          <w:sz w:val="18"/>
          <w:szCs w:val="18"/>
        </w:rPr>
        <w:t>Cause and Correlation in Biology: A User’s Guide to Path Analysis, Structural Equations and Causal Inference</w:t>
      </w:r>
      <w:r w:rsidRPr="007400DA">
        <w:rPr>
          <w:sz w:val="18"/>
          <w:szCs w:val="18"/>
        </w:rPr>
        <w:t>. Cambridge: Cambridge University Press.</w:t>
      </w:r>
    </w:p>
    <w:p w:rsidR="00920464" w:rsidRPr="007400DA" w:rsidRDefault="00920464" w:rsidP="007C1418">
      <w:pPr>
        <w:rPr>
          <w:sz w:val="18"/>
          <w:szCs w:val="18"/>
        </w:rPr>
      </w:pPr>
      <w:r w:rsidRPr="007400DA">
        <w:rPr>
          <w:sz w:val="18"/>
          <w:szCs w:val="18"/>
        </w:rPr>
        <w:t>Shipl</w:t>
      </w:r>
      <w:r w:rsidR="00F43890">
        <w:rPr>
          <w:sz w:val="18"/>
          <w:szCs w:val="18"/>
        </w:rPr>
        <w:t xml:space="preserve">ey, B. &amp; Lechowicz, M. (2000). </w:t>
      </w:r>
      <w:r w:rsidRPr="007400DA">
        <w:rPr>
          <w:sz w:val="18"/>
          <w:szCs w:val="18"/>
        </w:rPr>
        <w:t>The Functional Coordination of Leaf Morphology and Gas Exchan</w:t>
      </w:r>
      <w:r w:rsidR="00F43890">
        <w:rPr>
          <w:sz w:val="18"/>
          <w:szCs w:val="18"/>
        </w:rPr>
        <w:t>ge in 40 Wetland Plant Species.</w:t>
      </w:r>
      <w:r w:rsidRPr="007400DA">
        <w:rPr>
          <w:sz w:val="18"/>
          <w:szCs w:val="18"/>
        </w:rPr>
        <w:t xml:space="preserve"> </w:t>
      </w:r>
      <w:r w:rsidRPr="007400DA">
        <w:rPr>
          <w:i/>
          <w:sz w:val="18"/>
          <w:szCs w:val="18"/>
        </w:rPr>
        <w:t>Ecoscience</w:t>
      </w:r>
      <w:r w:rsidRPr="007400DA">
        <w:rPr>
          <w:sz w:val="18"/>
          <w:szCs w:val="18"/>
        </w:rPr>
        <w:t>, 7 (2): 183-</w:t>
      </w:r>
      <w:r w:rsidR="00F43890">
        <w:rPr>
          <w:sz w:val="18"/>
          <w:szCs w:val="18"/>
        </w:rPr>
        <w:t>1</w:t>
      </w:r>
      <w:r w:rsidRPr="007400DA">
        <w:rPr>
          <w:sz w:val="18"/>
          <w:szCs w:val="18"/>
        </w:rPr>
        <w:t>94.</w:t>
      </w:r>
    </w:p>
    <w:p w:rsidR="00A46E5B" w:rsidRPr="007400DA" w:rsidRDefault="00A46E5B" w:rsidP="00EB2DDF">
      <w:pPr>
        <w:ind w:left="240" w:hanging="240"/>
        <w:rPr>
          <w:sz w:val="18"/>
          <w:szCs w:val="18"/>
        </w:rPr>
      </w:pPr>
      <w:r w:rsidRPr="007400DA">
        <w:rPr>
          <w:sz w:val="18"/>
          <w:szCs w:val="18"/>
        </w:rPr>
        <w:t xml:space="preserve">Sneed, J. (1971). </w:t>
      </w:r>
      <w:r w:rsidRPr="007400DA">
        <w:rPr>
          <w:i/>
          <w:sz w:val="18"/>
          <w:szCs w:val="18"/>
        </w:rPr>
        <w:t>The Logical Structure of Mathematical physics</w:t>
      </w:r>
      <w:r w:rsidRPr="007400DA">
        <w:rPr>
          <w:sz w:val="18"/>
          <w:szCs w:val="18"/>
        </w:rPr>
        <w:t>. Dordrecht: Reidel.</w:t>
      </w:r>
    </w:p>
    <w:p w:rsidR="00A46E5B" w:rsidRPr="007400DA" w:rsidRDefault="00A46E5B" w:rsidP="00A46E5B">
      <w:pPr>
        <w:ind w:left="240" w:hanging="240"/>
        <w:rPr>
          <w:sz w:val="18"/>
          <w:szCs w:val="18"/>
        </w:rPr>
      </w:pPr>
      <w:r w:rsidRPr="007400DA">
        <w:rPr>
          <w:sz w:val="18"/>
          <w:szCs w:val="18"/>
        </w:rPr>
        <w:t xml:space="preserve">Stegmuller, W. (1976). </w:t>
      </w:r>
      <w:r w:rsidRPr="007400DA">
        <w:rPr>
          <w:i/>
          <w:sz w:val="18"/>
          <w:szCs w:val="18"/>
        </w:rPr>
        <w:t>The Structure and Dynamics of Theories</w:t>
      </w:r>
      <w:r w:rsidRPr="007400DA">
        <w:rPr>
          <w:sz w:val="18"/>
          <w:szCs w:val="18"/>
        </w:rPr>
        <w:t>. New York: Springer-</w:t>
      </w:r>
      <w:proofErr w:type="spellStart"/>
      <w:r w:rsidRPr="007400DA">
        <w:rPr>
          <w:sz w:val="18"/>
          <w:szCs w:val="18"/>
        </w:rPr>
        <w:t>Verlag</w:t>
      </w:r>
      <w:proofErr w:type="spellEnd"/>
      <w:r w:rsidRPr="007400DA">
        <w:rPr>
          <w:sz w:val="18"/>
          <w:szCs w:val="18"/>
        </w:rPr>
        <w:t>.</w:t>
      </w:r>
    </w:p>
    <w:p w:rsidR="00920464" w:rsidRDefault="00920464" w:rsidP="004E49FE">
      <w:pPr>
        <w:rPr>
          <w:sz w:val="18"/>
          <w:szCs w:val="18"/>
        </w:rPr>
      </w:pPr>
      <w:r w:rsidRPr="007400DA">
        <w:rPr>
          <w:sz w:val="18"/>
          <w:szCs w:val="18"/>
        </w:rPr>
        <w:t>Suárez, M. (2003).</w:t>
      </w:r>
      <w:r w:rsidR="00CA0177">
        <w:rPr>
          <w:sz w:val="18"/>
          <w:szCs w:val="18"/>
        </w:rPr>
        <w:t xml:space="preserve"> </w:t>
      </w:r>
      <w:r w:rsidRPr="007400DA">
        <w:rPr>
          <w:sz w:val="18"/>
          <w:szCs w:val="18"/>
        </w:rPr>
        <w:t>Scientific Representation: agai</w:t>
      </w:r>
      <w:r w:rsidR="00CA0177">
        <w:rPr>
          <w:sz w:val="18"/>
          <w:szCs w:val="18"/>
        </w:rPr>
        <w:t>nst Similarity and Isomorphism.</w:t>
      </w:r>
      <w:r w:rsidRPr="007400DA">
        <w:rPr>
          <w:sz w:val="18"/>
          <w:szCs w:val="18"/>
        </w:rPr>
        <w:t xml:space="preserve"> </w:t>
      </w:r>
      <w:r w:rsidRPr="007400DA">
        <w:rPr>
          <w:i/>
          <w:sz w:val="18"/>
          <w:szCs w:val="18"/>
        </w:rPr>
        <w:t>International Studies in the Philosophy of Science</w:t>
      </w:r>
      <w:r w:rsidRPr="007400DA">
        <w:rPr>
          <w:sz w:val="18"/>
          <w:szCs w:val="18"/>
        </w:rPr>
        <w:t>, 17 (3): 225-</w:t>
      </w:r>
      <w:r w:rsidR="00CA0177">
        <w:rPr>
          <w:sz w:val="18"/>
          <w:szCs w:val="18"/>
        </w:rPr>
        <w:t>2</w:t>
      </w:r>
      <w:r w:rsidRPr="007400DA">
        <w:rPr>
          <w:sz w:val="18"/>
          <w:szCs w:val="18"/>
        </w:rPr>
        <w:t>44.</w:t>
      </w:r>
    </w:p>
    <w:p w:rsidR="002A27F1" w:rsidRDefault="002A27F1" w:rsidP="004E49FE">
      <w:pPr>
        <w:rPr>
          <w:sz w:val="18"/>
          <w:szCs w:val="18"/>
        </w:rPr>
      </w:pPr>
      <w:r>
        <w:rPr>
          <w:sz w:val="18"/>
          <w:szCs w:val="18"/>
        </w:rPr>
        <w:t>Suárez, M. (2004</w:t>
      </w:r>
      <w:r w:rsidRPr="007400DA">
        <w:rPr>
          <w:sz w:val="18"/>
          <w:szCs w:val="18"/>
        </w:rPr>
        <w:t>).</w:t>
      </w:r>
      <w:r>
        <w:rPr>
          <w:sz w:val="18"/>
          <w:szCs w:val="18"/>
        </w:rPr>
        <w:t xml:space="preserve"> An Inferential Conception of Scientific Representation. </w:t>
      </w:r>
      <w:r w:rsidRPr="002A27F1">
        <w:rPr>
          <w:i/>
          <w:sz w:val="18"/>
          <w:szCs w:val="18"/>
        </w:rPr>
        <w:t>Philosophy of Science</w:t>
      </w:r>
      <w:r>
        <w:rPr>
          <w:sz w:val="18"/>
          <w:szCs w:val="18"/>
        </w:rPr>
        <w:t>, 71 (5): 767-779.</w:t>
      </w:r>
    </w:p>
    <w:p w:rsidR="002A27F1" w:rsidRDefault="002A27F1" w:rsidP="004E49FE">
      <w:pPr>
        <w:rPr>
          <w:sz w:val="18"/>
          <w:szCs w:val="18"/>
        </w:rPr>
      </w:pPr>
      <w:r>
        <w:rPr>
          <w:sz w:val="18"/>
          <w:szCs w:val="18"/>
        </w:rPr>
        <w:t xml:space="preserve">Suárez, M. (2015a). Representation in Science. In P. Humphreys (Ed.), </w:t>
      </w:r>
      <w:r w:rsidRPr="002A27F1">
        <w:rPr>
          <w:i/>
          <w:sz w:val="18"/>
          <w:szCs w:val="18"/>
        </w:rPr>
        <w:t>The Oxford Handbook of Philosophy of Science</w:t>
      </w:r>
      <w:r w:rsidR="00C206BE">
        <w:rPr>
          <w:sz w:val="18"/>
          <w:szCs w:val="18"/>
        </w:rPr>
        <w:t xml:space="preserve"> (forthcoming). Oxford: Oxford University Press.</w:t>
      </w:r>
    </w:p>
    <w:p w:rsidR="00C206BE" w:rsidRPr="007400DA" w:rsidRDefault="00C206BE" w:rsidP="004E49FE">
      <w:pPr>
        <w:rPr>
          <w:sz w:val="18"/>
          <w:szCs w:val="18"/>
        </w:rPr>
      </w:pPr>
      <w:r>
        <w:rPr>
          <w:sz w:val="18"/>
          <w:szCs w:val="18"/>
        </w:rPr>
        <w:lastRenderedPageBreak/>
        <w:t xml:space="preserve">Suárez, M. (2015b). Deflationary Representation, Inference, and Practice. </w:t>
      </w:r>
      <w:r w:rsidRPr="00C206BE">
        <w:rPr>
          <w:i/>
          <w:sz w:val="18"/>
          <w:szCs w:val="18"/>
        </w:rPr>
        <w:t>Studies in History and Philosophy of Science</w:t>
      </w:r>
      <w:r>
        <w:rPr>
          <w:sz w:val="18"/>
          <w:szCs w:val="18"/>
        </w:rPr>
        <w:t>, 49 (2015): 36-47.</w:t>
      </w:r>
    </w:p>
    <w:p w:rsidR="0083612F" w:rsidRPr="007400DA" w:rsidRDefault="00CA0177" w:rsidP="004E49FE">
      <w:pPr>
        <w:rPr>
          <w:sz w:val="18"/>
          <w:szCs w:val="18"/>
        </w:rPr>
      </w:pPr>
      <w:r>
        <w:rPr>
          <w:sz w:val="18"/>
          <w:szCs w:val="18"/>
        </w:rPr>
        <w:t>Suppe, F. (1974). Theories and Phenomena. I</w:t>
      </w:r>
      <w:r w:rsidR="0083612F" w:rsidRPr="007400DA">
        <w:rPr>
          <w:sz w:val="18"/>
          <w:szCs w:val="18"/>
        </w:rPr>
        <w:t xml:space="preserve">n </w:t>
      </w:r>
      <w:r w:rsidRPr="007400DA">
        <w:rPr>
          <w:sz w:val="18"/>
          <w:szCs w:val="18"/>
        </w:rPr>
        <w:t xml:space="preserve">W. </w:t>
      </w:r>
      <w:proofErr w:type="spellStart"/>
      <w:r w:rsidRPr="007400DA">
        <w:rPr>
          <w:sz w:val="18"/>
          <w:szCs w:val="18"/>
        </w:rPr>
        <w:t>Leinfellnerand</w:t>
      </w:r>
      <w:proofErr w:type="spellEnd"/>
      <w:r w:rsidRPr="007400DA">
        <w:rPr>
          <w:sz w:val="18"/>
          <w:szCs w:val="18"/>
        </w:rPr>
        <w:t xml:space="preserve"> and E. Kohler (</w:t>
      </w:r>
      <w:r>
        <w:rPr>
          <w:sz w:val="18"/>
          <w:szCs w:val="18"/>
        </w:rPr>
        <w:t>E</w:t>
      </w:r>
      <w:r w:rsidRPr="007400DA">
        <w:rPr>
          <w:sz w:val="18"/>
          <w:szCs w:val="18"/>
        </w:rPr>
        <w:t>ds.)</w:t>
      </w:r>
      <w:r>
        <w:rPr>
          <w:sz w:val="18"/>
          <w:szCs w:val="18"/>
        </w:rPr>
        <w:t xml:space="preserve">, </w:t>
      </w:r>
      <w:r w:rsidR="0083612F" w:rsidRPr="007400DA">
        <w:rPr>
          <w:i/>
          <w:sz w:val="18"/>
          <w:szCs w:val="18"/>
        </w:rPr>
        <w:t>Developments of the Methodology of Social Science</w:t>
      </w:r>
      <w:r>
        <w:rPr>
          <w:sz w:val="18"/>
          <w:szCs w:val="18"/>
        </w:rPr>
        <w:t xml:space="preserve"> (pp. 45-92)</w:t>
      </w:r>
      <w:r w:rsidR="0083612F" w:rsidRPr="007400DA">
        <w:rPr>
          <w:sz w:val="18"/>
          <w:szCs w:val="18"/>
        </w:rPr>
        <w:t>. Dordrecht</w:t>
      </w:r>
      <w:r w:rsidR="00BB760D" w:rsidRPr="007400DA">
        <w:rPr>
          <w:sz w:val="18"/>
          <w:szCs w:val="18"/>
        </w:rPr>
        <w:t>: R</w:t>
      </w:r>
      <w:r>
        <w:rPr>
          <w:sz w:val="18"/>
          <w:szCs w:val="18"/>
        </w:rPr>
        <w:t>eidel</w:t>
      </w:r>
      <w:r w:rsidR="0083612F" w:rsidRPr="007400DA">
        <w:rPr>
          <w:sz w:val="18"/>
          <w:szCs w:val="18"/>
        </w:rPr>
        <w:t>.</w:t>
      </w:r>
    </w:p>
    <w:p w:rsidR="00BB760D" w:rsidRPr="007400DA" w:rsidRDefault="00BB760D" w:rsidP="00BB760D">
      <w:pPr>
        <w:ind w:left="240" w:hanging="240"/>
        <w:rPr>
          <w:sz w:val="18"/>
          <w:szCs w:val="18"/>
        </w:rPr>
      </w:pPr>
      <w:r w:rsidRPr="007400DA">
        <w:rPr>
          <w:sz w:val="18"/>
          <w:szCs w:val="18"/>
        </w:rPr>
        <w:t xml:space="preserve">Suppe, F. (1977). </w:t>
      </w:r>
      <w:r w:rsidRPr="007400DA">
        <w:rPr>
          <w:i/>
          <w:sz w:val="18"/>
          <w:szCs w:val="18"/>
        </w:rPr>
        <w:t>The Structure of Scientific Theories</w:t>
      </w:r>
      <w:r w:rsidRPr="007400DA">
        <w:rPr>
          <w:sz w:val="18"/>
          <w:szCs w:val="18"/>
        </w:rPr>
        <w:t>. Urbana, Illinois: University of Illinois Press.</w:t>
      </w:r>
    </w:p>
    <w:p w:rsidR="005A3D91" w:rsidRPr="007400DA" w:rsidRDefault="005A3D91" w:rsidP="00934FCE">
      <w:pPr>
        <w:ind w:left="240" w:hanging="240"/>
        <w:rPr>
          <w:sz w:val="18"/>
          <w:szCs w:val="18"/>
        </w:rPr>
      </w:pPr>
      <w:r w:rsidRPr="007400DA">
        <w:rPr>
          <w:sz w:val="18"/>
          <w:szCs w:val="18"/>
        </w:rPr>
        <w:t xml:space="preserve">Suppes, P. (1957). </w:t>
      </w:r>
      <w:r w:rsidRPr="007400DA">
        <w:rPr>
          <w:i/>
          <w:sz w:val="18"/>
          <w:szCs w:val="18"/>
        </w:rPr>
        <w:t>Introduction to Logic</w:t>
      </w:r>
      <w:r w:rsidRPr="007400DA">
        <w:rPr>
          <w:sz w:val="18"/>
          <w:szCs w:val="18"/>
        </w:rPr>
        <w:t xml:space="preserve">. New Jersey: D. Van </w:t>
      </w:r>
      <w:proofErr w:type="spellStart"/>
      <w:r w:rsidRPr="007400DA">
        <w:rPr>
          <w:sz w:val="18"/>
          <w:szCs w:val="18"/>
        </w:rPr>
        <w:t>Nostrand</w:t>
      </w:r>
      <w:proofErr w:type="spellEnd"/>
      <w:r w:rsidRPr="007400DA">
        <w:rPr>
          <w:sz w:val="18"/>
          <w:szCs w:val="18"/>
        </w:rPr>
        <w:t xml:space="preserve"> and Co.</w:t>
      </w:r>
    </w:p>
    <w:p w:rsidR="00204CEC" w:rsidRPr="007400DA" w:rsidRDefault="00204CEC" w:rsidP="004E49FE">
      <w:pPr>
        <w:rPr>
          <w:sz w:val="18"/>
          <w:szCs w:val="18"/>
        </w:rPr>
      </w:pPr>
      <w:r w:rsidRPr="007400DA">
        <w:rPr>
          <w:sz w:val="18"/>
          <w:szCs w:val="18"/>
        </w:rPr>
        <w:t>Suppes</w:t>
      </w:r>
      <w:r w:rsidRPr="007400DA">
        <w:rPr>
          <w:rFonts w:hint="eastAsia"/>
          <w:sz w:val="18"/>
          <w:szCs w:val="18"/>
        </w:rPr>
        <w:t>,</w:t>
      </w:r>
      <w:r w:rsidRPr="007400DA">
        <w:rPr>
          <w:sz w:val="18"/>
          <w:szCs w:val="18"/>
        </w:rPr>
        <w:t xml:space="preserve"> P</w:t>
      </w:r>
      <w:r w:rsidR="00934FCE" w:rsidRPr="007400DA">
        <w:rPr>
          <w:sz w:val="18"/>
          <w:szCs w:val="18"/>
        </w:rPr>
        <w:t>.</w:t>
      </w:r>
      <w:r w:rsidRPr="007400DA">
        <w:rPr>
          <w:sz w:val="18"/>
          <w:szCs w:val="18"/>
        </w:rPr>
        <w:t xml:space="preserve"> (1960)</w:t>
      </w:r>
      <w:r w:rsidR="00934FCE" w:rsidRPr="007400DA">
        <w:rPr>
          <w:sz w:val="18"/>
          <w:szCs w:val="18"/>
        </w:rPr>
        <w:t>.</w:t>
      </w:r>
      <w:r w:rsidRPr="007400DA">
        <w:rPr>
          <w:sz w:val="18"/>
          <w:szCs w:val="18"/>
        </w:rPr>
        <w:t xml:space="preserve"> A </w:t>
      </w:r>
      <w:r w:rsidR="003A209C" w:rsidRPr="007400DA">
        <w:rPr>
          <w:sz w:val="18"/>
          <w:szCs w:val="18"/>
        </w:rPr>
        <w:t>C</w:t>
      </w:r>
      <w:r w:rsidRPr="007400DA">
        <w:rPr>
          <w:sz w:val="18"/>
          <w:szCs w:val="18"/>
        </w:rPr>
        <w:t xml:space="preserve">omparison of the </w:t>
      </w:r>
      <w:r w:rsidR="003A209C" w:rsidRPr="007400DA">
        <w:rPr>
          <w:sz w:val="18"/>
          <w:szCs w:val="18"/>
        </w:rPr>
        <w:t>M</w:t>
      </w:r>
      <w:r w:rsidRPr="007400DA">
        <w:rPr>
          <w:sz w:val="18"/>
          <w:szCs w:val="18"/>
        </w:rPr>
        <w:t xml:space="preserve">eaning and </w:t>
      </w:r>
      <w:r w:rsidR="003A209C" w:rsidRPr="007400DA">
        <w:rPr>
          <w:sz w:val="18"/>
          <w:szCs w:val="18"/>
        </w:rPr>
        <w:t>U</w:t>
      </w:r>
      <w:r w:rsidRPr="007400DA">
        <w:rPr>
          <w:sz w:val="18"/>
          <w:szCs w:val="18"/>
        </w:rPr>
        <w:t xml:space="preserve">ses of </w:t>
      </w:r>
      <w:r w:rsidR="003A209C" w:rsidRPr="007400DA">
        <w:rPr>
          <w:sz w:val="18"/>
          <w:szCs w:val="18"/>
        </w:rPr>
        <w:t>M</w:t>
      </w:r>
      <w:r w:rsidRPr="007400DA">
        <w:rPr>
          <w:sz w:val="18"/>
          <w:szCs w:val="18"/>
        </w:rPr>
        <w:t xml:space="preserve">odels in </w:t>
      </w:r>
      <w:r w:rsidR="003A209C" w:rsidRPr="007400DA">
        <w:rPr>
          <w:sz w:val="18"/>
          <w:szCs w:val="18"/>
        </w:rPr>
        <w:t>M</w:t>
      </w:r>
      <w:r w:rsidRPr="007400DA">
        <w:rPr>
          <w:sz w:val="18"/>
          <w:szCs w:val="18"/>
        </w:rPr>
        <w:t xml:space="preserve">athematics and the </w:t>
      </w:r>
      <w:r w:rsidR="003A209C" w:rsidRPr="007400DA">
        <w:rPr>
          <w:sz w:val="18"/>
          <w:szCs w:val="18"/>
        </w:rPr>
        <w:t>E</w:t>
      </w:r>
      <w:r w:rsidRPr="007400DA">
        <w:rPr>
          <w:sz w:val="18"/>
          <w:szCs w:val="18"/>
        </w:rPr>
        <w:t>mpirical</w:t>
      </w:r>
      <w:r w:rsidR="00934FCE" w:rsidRPr="007400DA">
        <w:rPr>
          <w:sz w:val="18"/>
          <w:szCs w:val="18"/>
        </w:rPr>
        <w:t xml:space="preserve"> </w:t>
      </w:r>
      <w:r w:rsidR="003A209C" w:rsidRPr="007400DA">
        <w:rPr>
          <w:sz w:val="18"/>
          <w:szCs w:val="18"/>
        </w:rPr>
        <w:t>S</w:t>
      </w:r>
      <w:r w:rsidRPr="007400DA">
        <w:rPr>
          <w:sz w:val="18"/>
          <w:szCs w:val="18"/>
        </w:rPr>
        <w:t>ciences</w:t>
      </w:r>
      <w:r w:rsidR="00CA0177">
        <w:rPr>
          <w:sz w:val="18"/>
          <w:szCs w:val="18"/>
        </w:rPr>
        <w:t>.</w:t>
      </w:r>
      <w:r w:rsidRPr="007400DA">
        <w:rPr>
          <w:sz w:val="18"/>
          <w:szCs w:val="18"/>
        </w:rPr>
        <w:t xml:space="preserve"> </w:t>
      </w:r>
      <w:r w:rsidRPr="007400DA">
        <w:rPr>
          <w:i/>
          <w:sz w:val="18"/>
          <w:szCs w:val="18"/>
        </w:rPr>
        <w:t>Synthese</w:t>
      </w:r>
      <w:r w:rsidR="00203F5A" w:rsidRPr="007400DA">
        <w:rPr>
          <w:sz w:val="18"/>
          <w:szCs w:val="18"/>
        </w:rPr>
        <w:t xml:space="preserve">: </w:t>
      </w:r>
      <w:r w:rsidRPr="007400DA">
        <w:rPr>
          <w:sz w:val="18"/>
          <w:szCs w:val="18"/>
        </w:rPr>
        <w:t>12</w:t>
      </w:r>
      <w:r w:rsidR="00203F5A" w:rsidRPr="007400DA">
        <w:rPr>
          <w:sz w:val="18"/>
          <w:szCs w:val="18"/>
        </w:rPr>
        <w:t xml:space="preserve"> (2-3)</w:t>
      </w:r>
      <w:r w:rsidRPr="007400DA">
        <w:rPr>
          <w:sz w:val="18"/>
          <w:szCs w:val="18"/>
        </w:rPr>
        <w:t>:</w:t>
      </w:r>
      <w:r w:rsidR="00203F5A" w:rsidRPr="007400DA">
        <w:rPr>
          <w:sz w:val="18"/>
          <w:szCs w:val="18"/>
        </w:rPr>
        <w:t xml:space="preserve"> </w:t>
      </w:r>
      <w:r w:rsidRPr="007400DA">
        <w:rPr>
          <w:sz w:val="18"/>
          <w:szCs w:val="18"/>
        </w:rPr>
        <w:t>287–301</w:t>
      </w:r>
      <w:r w:rsidR="00934FCE" w:rsidRPr="007400DA">
        <w:rPr>
          <w:sz w:val="18"/>
          <w:szCs w:val="18"/>
        </w:rPr>
        <w:t>.</w:t>
      </w:r>
    </w:p>
    <w:p w:rsidR="005A3D91" w:rsidRPr="007400DA" w:rsidRDefault="00CA0177" w:rsidP="004E49FE">
      <w:pPr>
        <w:rPr>
          <w:sz w:val="18"/>
          <w:szCs w:val="18"/>
        </w:rPr>
      </w:pPr>
      <w:r>
        <w:rPr>
          <w:sz w:val="18"/>
          <w:szCs w:val="18"/>
        </w:rPr>
        <w:t>Suppes, P. (1962). Models of Data. I</w:t>
      </w:r>
      <w:r w:rsidR="005A3D91" w:rsidRPr="007400DA">
        <w:rPr>
          <w:sz w:val="18"/>
          <w:szCs w:val="18"/>
        </w:rPr>
        <w:t xml:space="preserve">n </w:t>
      </w:r>
      <w:r w:rsidRPr="007400DA">
        <w:rPr>
          <w:sz w:val="18"/>
          <w:szCs w:val="18"/>
        </w:rPr>
        <w:t>E. Na</w:t>
      </w:r>
      <w:r>
        <w:rPr>
          <w:sz w:val="18"/>
          <w:szCs w:val="18"/>
        </w:rPr>
        <w:t>gel, P. Suppes, and A. Tarski (E</w:t>
      </w:r>
      <w:r w:rsidRPr="007400DA">
        <w:rPr>
          <w:sz w:val="18"/>
          <w:szCs w:val="18"/>
        </w:rPr>
        <w:t>ds.)</w:t>
      </w:r>
      <w:r>
        <w:rPr>
          <w:sz w:val="18"/>
          <w:szCs w:val="18"/>
        </w:rPr>
        <w:t xml:space="preserve">, </w:t>
      </w:r>
      <w:r w:rsidR="005A3D91" w:rsidRPr="007400DA">
        <w:rPr>
          <w:i/>
          <w:sz w:val="18"/>
          <w:szCs w:val="18"/>
        </w:rPr>
        <w:t>Logic, Methodology, and the Philosophy of Science</w:t>
      </w:r>
      <w:r>
        <w:rPr>
          <w:sz w:val="18"/>
          <w:szCs w:val="18"/>
        </w:rPr>
        <w:t xml:space="preserve"> (pp. 252-261)</w:t>
      </w:r>
      <w:r w:rsidR="005A3D91" w:rsidRPr="007400DA">
        <w:rPr>
          <w:sz w:val="18"/>
          <w:szCs w:val="18"/>
        </w:rPr>
        <w:t>. California: S</w:t>
      </w:r>
      <w:r w:rsidR="00CC1B06">
        <w:rPr>
          <w:sz w:val="18"/>
          <w:szCs w:val="18"/>
        </w:rPr>
        <w:t>tanford University Press</w:t>
      </w:r>
      <w:r w:rsidR="005A3D91" w:rsidRPr="007400DA">
        <w:rPr>
          <w:sz w:val="18"/>
          <w:szCs w:val="18"/>
        </w:rPr>
        <w:t>.</w:t>
      </w:r>
    </w:p>
    <w:p w:rsidR="001D17EF" w:rsidRPr="007400DA" w:rsidRDefault="00D575D7" w:rsidP="004E49FE">
      <w:pPr>
        <w:rPr>
          <w:sz w:val="18"/>
          <w:szCs w:val="18"/>
        </w:rPr>
      </w:pPr>
      <w:r>
        <w:rPr>
          <w:sz w:val="18"/>
          <w:szCs w:val="18"/>
        </w:rPr>
        <w:t xml:space="preserve">Suppes, P. (1967). </w:t>
      </w:r>
      <w:r w:rsidR="001D17EF" w:rsidRPr="007400DA">
        <w:rPr>
          <w:sz w:val="18"/>
          <w:szCs w:val="18"/>
        </w:rPr>
        <w:t>W</w:t>
      </w:r>
      <w:r>
        <w:rPr>
          <w:sz w:val="18"/>
          <w:szCs w:val="18"/>
        </w:rPr>
        <w:t>hat is a Scientific Theory? I</w:t>
      </w:r>
      <w:r w:rsidR="001D17EF" w:rsidRPr="007400DA">
        <w:rPr>
          <w:sz w:val="18"/>
          <w:szCs w:val="18"/>
        </w:rPr>
        <w:t xml:space="preserve">n </w:t>
      </w:r>
      <w:r>
        <w:rPr>
          <w:sz w:val="18"/>
          <w:szCs w:val="18"/>
        </w:rPr>
        <w:t xml:space="preserve">S. </w:t>
      </w:r>
      <w:proofErr w:type="spellStart"/>
      <w:r>
        <w:rPr>
          <w:sz w:val="18"/>
          <w:szCs w:val="18"/>
        </w:rPr>
        <w:t>Morgenbesser</w:t>
      </w:r>
      <w:proofErr w:type="spellEnd"/>
      <w:r>
        <w:rPr>
          <w:sz w:val="18"/>
          <w:szCs w:val="18"/>
        </w:rPr>
        <w:t xml:space="preserve"> (E</w:t>
      </w:r>
      <w:r w:rsidRPr="007400DA">
        <w:rPr>
          <w:sz w:val="18"/>
          <w:szCs w:val="18"/>
        </w:rPr>
        <w:t>d.)</w:t>
      </w:r>
      <w:r>
        <w:rPr>
          <w:sz w:val="18"/>
          <w:szCs w:val="18"/>
        </w:rPr>
        <w:t xml:space="preserve">, </w:t>
      </w:r>
      <w:r w:rsidR="001D17EF" w:rsidRPr="00D575D7">
        <w:rPr>
          <w:i/>
          <w:sz w:val="18"/>
          <w:szCs w:val="18"/>
        </w:rPr>
        <w:t>Philosophy of Science Today</w:t>
      </w:r>
      <w:r>
        <w:rPr>
          <w:sz w:val="18"/>
          <w:szCs w:val="18"/>
        </w:rPr>
        <w:t>.</w:t>
      </w:r>
      <w:r w:rsidR="001D17EF" w:rsidRPr="007400DA">
        <w:rPr>
          <w:sz w:val="18"/>
          <w:szCs w:val="18"/>
        </w:rPr>
        <w:t xml:space="preserve"> New York: Meridian Books.</w:t>
      </w:r>
    </w:p>
    <w:p w:rsidR="00350277" w:rsidRPr="007400DA" w:rsidRDefault="00D575D7" w:rsidP="004E49FE">
      <w:pPr>
        <w:rPr>
          <w:sz w:val="18"/>
          <w:szCs w:val="18"/>
        </w:rPr>
      </w:pPr>
      <w:r>
        <w:rPr>
          <w:sz w:val="18"/>
          <w:szCs w:val="18"/>
        </w:rPr>
        <w:t xml:space="preserve">Taylor, T. (2000). </w:t>
      </w:r>
      <w:r w:rsidR="00920464" w:rsidRPr="007400DA">
        <w:rPr>
          <w:sz w:val="18"/>
          <w:szCs w:val="18"/>
        </w:rPr>
        <w:t>Socio-Ecological Webs and Sites of Sociality: Levins’ Strate</w:t>
      </w:r>
      <w:r>
        <w:rPr>
          <w:sz w:val="18"/>
          <w:szCs w:val="18"/>
        </w:rPr>
        <w:t>gy of Model Building Revisited.</w:t>
      </w:r>
      <w:r w:rsidR="00920464" w:rsidRPr="007400DA">
        <w:rPr>
          <w:sz w:val="18"/>
          <w:szCs w:val="18"/>
        </w:rPr>
        <w:t xml:space="preserve"> </w:t>
      </w:r>
      <w:r w:rsidR="00920464" w:rsidRPr="00D575D7">
        <w:rPr>
          <w:i/>
          <w:sz w:val="18"/>
          <w:szCs w:val="18"/>
        </w:rPr>
        <w:t>Biology and Philosophy</w:t>
      </w:r>
      <w:r w:rsidR="00920464" w:rsidRPr="007400DA">
        <w:rPr>
          <w:sz w:val="18"/>
          <w:szCs w:val="18"/>
        </w:rPr>
        <w:t>, 15</w:t>
      </w:r>
      <w:r>
        <w:rPr>
          <w:sz w:val="18"/>
          <w:szCs w:val="18"/>
        </w:rPr>
        <w:t xml:space="preserve"> (2)</w:t>
      </w:r>
      <w:r w:rsidR="00920464" w:rsidRPr="007400DA">
        <w:rPr>
          <w:sz w:val="18"/>
          <w:szCs w:val="18"/>
        </w:rPr>
        <w:t>: 197-210.</w:t>
      </w:r>
    </w:p>
    <w:p w:rsidR="00350277" w:rsidRPr="004E49FE" w:rsidRDefault="002F6F54" w:rsidP="004E49FE">
      <w:pPr>
        <w:rPr>
          <w:sz w:val="18"/>
          <w:szCs w:val="18"/>
        </w:rPr>
      </w:pPr>
      <w:r>
        <w:rPr>
          <w:sz w:val="18"/>
          <w:szCs w:val="18"/>
        </w:rPr>
        <w:t xml:space="preserve">van Fraassen, B. C. (1970). </w:t>
      </w:r>
      <w:r w:rsidR="00350277" w:rsidRPr="004E49FE">
        <w:rPr>
          <w:sz w:val="18"/>
          <w:szCs w:val="18"/>
        </w:rPr>
        <w:t xml:space="preserve">On the Extension of Beth’s </w:t>
      </w:r>
      <w:r>
        <w:rPr>
          <w:sz w:val="18"/>
          <w:szCs w:val="18"/>
        </w:rPr>
        <w:t>Semantics of Physical Theories.</w:t>
      </w:r>
      <w:r w:rsidR="00350277" w:rsidRPr="004E49FE">
        <w:rPr>
          <w:sz w:val="18"/>
          <w:szCs w:val="18"/>
        </w:rPr>
        <w:t xml:space="preserve"> </w:t>
      </w:r>
      <w:r w:rsidR="00350277" w:rsidRPr="002F6F54">
        <w:rPr>
          <w:i/>
          <w:sz w:val="18"/>
          <w:szCs w:val="18"/>
        </w:rPr>
        <w:t>Philosophy of Science</w:t>
      </w:r>
      <w:r w:rsidR="00350277" w:rsidRPr="004E49FE">
        <w:rPr>
          <w:sz w:val="18"/>
          <w:szCs w:val="18"/>
        </w:rPr>
        <w:t>, 37 (3): 325-</w:t>
      </w:r>
      <w:r w:rsidR="00C31210">
        <w:rPr>
          <w:sz w:val="18"/>
          <w:szCs w:val="18"/>
        </w:rPr>
        <w:t>3</w:t>
      </w:r>
      <w:r w:rsidR="00350277" w:rsidRPr="004E49FE">
        <w:rPr>
          <w:sz w:val="18"/>
          <w:szCs w:val="18"/>
        </w:rPr>
        <w:t>39.</w:t>
      </w:r>
    </w:p>
    <w:p w:rsidR="00350277" w:rsidRPr="004E49FE" w:rsidRDefault="002F6F54" w:rsidP="004E49FE">
      <w:pPr>
        <w:rPr>
          <w:sz w:val="18"/>
          <w:szCs w:val="18"/>
        </w:rPr>
      </w:pPr>
      <w:r>
        <w:rPr>
          <w:sz w:val="18"/>
          <w:szCs w:val="18"/>
        </w:rPr>
        <w:t xml:space="preserve">van Fraassen, B. C. (1972). </w:t>
      </w:r>
      <w:r w:rsidR="00350277" w:rsidRPr="004E49FE">
        <w:rPr>
          <w:sz w:val="18"/>
          <w:szCs w:val="18"/>
        </w:rPr>
        <w:t>A Formal Approac</w:t>
      </w:r>
      <w:r>
        <w:rPr>
          <w:sz w:val="18"/>
          <w:szCs w:val="18"/>
        </w:rPr>
        <w:t>h to the Philosophy of Science. I</w:t>
      </w:r>
      <w:r w:rsidR="00350277" w:rsidRPr="004E49FE">
        <w:rPr>
          <w:sz w:val="18"/>
          <w:szCs w:val="18"/>
        </w:rPr>
        <w:t xml:space="preserve">n </w:t>
      </w:r>
      <w:r>
        <w:rPr>
          <w:sz w:val="18"/>
          <w:szCs w:val="18"/>
        </w:rPr>
        <w:t>R.</w:t>
      </w:r>
      <w:r w:rsidRPr="004E49FE">
        <w:rPr>
          <w:sz w:val="18"/>
          <w:szCs w:val="18"/>
        </w:rPr>
        <w:t xml:space="preserve">. </w:t>
      </w:r>
      <w:proofErr w:type="spellStart"/>
      <w:r w:rsidRPr="004E49FE">
        <w:rPr>
          <w:sz w:val="18"/>
          <w:szCs w:val="18"/>
        </w:rPr>
        <w:t>Colodny</w:t>
      </w:r>
      <w:proofErr w:type="spellEnd"/>
      <w:r>
        <w:rPr>
          <w:sz w:val="18"/>
          <w:szCs w:val="18"/>
        </w:rPr>
        <w:t xml:space="preserve"> (E</w:t>
      </w:r>
      <w:r w:rsidRPr="004E49FE">
        <w:rPr>
          <w:sz w:val="18"/>
          <w:szCs w:val="18"/>
        </w:rPr>
        <w:t>d.)</w:t>
      </w:r>
      <w:r>
        <w:rPr>
          <w:sz w:val="18"/>
          <w:szCs w:val="18"/>
        </w:rPr>
        <w:t xml:space="preserve">, </w:t>
      </w:r>
      <w:r w:rsidR="00350277" w:rsidRPr="002F6F54">
        <w:rPr>
          <w:i/>
          <w:sz w:val="18"/>
          <w:szCs w:val="18"/>
        </w:rPr>
        <w:t>Paradigms</w:t>
      </w:r>
      <w:r w:rsidR="00A76BB5" w:rsidRPr="002F6F54">
        <w:rPr>
          <w:i/>
          <w:sz w:val="18"/>
          <w:szCs w:val="18"/>
        </w:rPr>
        <w:t xml:space="preserve"> and Paradoxes</w:t>
      </w:r>
      <w:r w:rsidR="00A76BB5" w:rsidRPr="004E49FE">
        <w:rPr>
          <w:sz w:val="18"/>
          <w:szCs w:val="18"/>
        </w:rPr>
        <w:t xml:space="preserve">. </w:t>
      </w:r>
      <w:r w:rsidR="00350277" w:rsidRPr="004E49FE">
        <w:rPr>
          <w:sz w:val="18"/>
          <w:szCs w:val="18"/>
        </w:rPr>
        <w:t>Pittsburgh</w:t>
      </w:r>
      <w:r w:rsidR="00A76BB5" w:rsidRPr="004E49FE">
        <w:rPr>
          <w:sz w:val="18"/>
          <w:szCs w:val="18"/>
        </w:rPr>
        <w:t>: U</w:t>
      </w:r>
      <w:r w:rsidR="00350277" w:rsidRPr="004E49FE">
        <w:rPr>
          <w:sz w:val="18"/>
          <w:szCs w:val="18"/>
        </w:rPr>
        <w:t>niversity</w:t>
      </w:r>
      <w:r w:rsidR="00A76BB5" w:rsidRPr="004E49FE">
        <w:rPr>
          <w:sz w:val="18"/>
          <w:szCs w:val="18"/>
        </w:rPr>
        <w:t xml:space="preserve"> o</w:t>
      </w:r>
      <w:r w:rsidR="00350277" w:rsidRPr="004E49FE">
        <w:rPr>
          <w:sz w:val="18"/>
          <w:szCs w:val="18"/>
        </w:rPr>
        <w:t>f Pittsburgh</w:t>
      </w:r>
      <w:r w:rsidR="00A76BB5" w:rsidRPr="004E49FE">
        <w:rPr>
          <w:sz w:val="18"/>
          <w:szCs w:val="18"/>
        </w:rPr>
        <w:t xml:space="preserve"> P</w:t>
      </w:r>
      <w:r w:rsidR="00350277" w:rsidRPr="004E49FE">
        <w:rPr>
          <w:sz w:val="18"/>
          <w:szCs w:val="18"/>
        </w:rPr>
        <w:t>ress.</w:t>
      </w:r>
    </w:p>
    <w:p w:rsidR="00350277" w:rsidRPr="004E49FE" w:rsidRDefault="00A76BB5" w:rsidP="004E49FE">
      <w:pPr>
        <w:rPr>
          <w:sz w:val="18"/>
          <w:szCs w:val="18"/>
        </w:rPr>
      </w:pPr>
      <w:r w:rsidRPr="004E49FE">
        <w:rPr>
          <w:sz w:val="18"/>
          <w:szCs w:val="18"/>
        </w:rPr>
        <w:t>van Fraassen, B. C. (</w:t>
      </w:r>
      <w:r w:rsidR="00350277" w:rsidRPr="004E49FE">
        <w:rPr>
          <w:sz w:val="18"/>
          <w:szCs w:val="18"/>
        </w:rPr>
        <w:t>1974</w:t>
      </w:r>
      <w:r w:rsidRPr="004E49FE">
        <w:rPr>
          <w:sz w:val="18"/>
          <w:szCs w:val="18"/>
        </w:rPr>
        <w:t>). The Labyrinth of Quantum L</w:t>
      </w:r>
      <w:r w:rsidR="002F6F54">
        <w:rPr>
          <w:sz w:val="18"/>
          <w:szCs w:val="18"/>
        </w:rPr>
        <w:t>ogic. I</w:t>
      </w:r>
      <w:r w:rsidRPr="004E49FE">
        <w:rPr>
          <w:sz w:val="18"/>
          <w:szCs w:val="18"/>
        </w:rPr>
        <w:t>n</w:t>
      </w:r>
      <w:r w:rsidR="002F6F54">
        <w:rPr>
          <w:sz w:val="18"/>
          <w:szCs w:val="18"/>
        </w:rPr>
        <w:t xml:space="preserve"> </w:t>
      </w:r>
      <w:r w:rsidR="00311A92">
        <w:rPr>
          <w:sz w:val="18"/>
          <w:szCs w:val="18"/>
        </w:rPr>
        <w:t xml:space="preserve">R. S. Cohen and M. </w:t>
      </w:r>
      <w:proofErr w:type="spellStart"/>
      <w:r w:rsidR="00311A92">
        <w:rPr>
          <w:sz w:val="18"/>
          <w:szCs w:val="18"/>
        </w:rPr>
        <w:t>Wartofsky</w:t>
      </w:r>
      <w:proofErr w:type="spellEnd"/>
      <w:r w:rsidR="00311A92">
        <w:rPr>
          <w:sz w:val="18"/>
          <w:szCs w:val="18"/>
        </w:rPr>
        <w:t xml:space="preserve"> (E</w:t>
      </w:r>
      <w:r w:rsidR="002F6F54" w:rsidRPr="004E49FE">
        <w:rPr>
          <w:sz w:val="18"/>
          <w:szCs w:val="18"/>
        </w:rPr>
        <w:t>ds.)</w:t>
      </w:r>
      <w:r w:rsidR="002F6F54">
        <w:rPr>
          <w:sz w:val="18"/>
          <w:szCs w:val="18"/>
        </w:rPr>
        <w:t>,</w:t>
      </w:r>
      <w:r w:rsidRPr="004E49FE">
        <w:rPr>
          <w:sz w:val="18"/>
          <w:szCs w:val="18"/>
        </w:rPr>
        <w:t xml:space="preserve"> </w:t>
      </w:r>
      <w:r w:rsidRPr="002F6F54">
        <w:rPr>
          <w:i/>
          <w:sz w:val="18"/>
          <w:szCs w:val="18"/>
        </w:rPr>
        <w:t>Logical and Empirical Studies in Contemporary Physics</w:t>
      </w:r>
      <w:r w:rsidR="002F6F54">
        <w:rPr>
          <w:sz w:val="18"/>
          <w:szCs w:val="18"/>
        </w:rPr>
        <w:t>.</w:t>
      </w:r>
      <w:r w:rsidRPr="004E49FE">
        <w:rPr>
          <w:sz w:val="18"/>
          <w:szCs w:val="18"/>
        </w:rPr>
        <w:t xml:space="preserve"> </w:t>
      </w:r>
      <w:r w:rsidR="00CE1880">
        <w:rPr>
          <w:sz w:val="18"/>
          <w:szCs w:val="18"/>
        </w:rPr>
        <w:t>D. Reidel Publishing Company</w:t>
      </w:r>
      <w:r w:rsidR="002F6F54">
        <w:rPr>
          <w:sz w:val="18"/>
          <w:szCs w:val="18"/>
        </w:rPr>
        <w:t>.</w:t>
      </w:r>
    </w:p>
    <w:p w:rsidR="00920464" w:rsidRPr="007400DA" w:rsidRDefault="00311A92" w:rsidP="004E49FE">
      <w:pPr>
        <w:rPr>
          <w:sz w:val="18"/>
          <w:szCs w:val="18"/>
        </w:rPr>
      </w:pPr>
      <w:r>
        <w:rPr>
          <w:sz w:val="18"/>
          <w:szCs w:val="18"/>
        </w:rPr>
        <w:t xml:space="preserve">Weisberg, M. (2006). </w:t>
      </w:r>
      <w:r w:rsidR="00920464" w:rsidRPr="007400DA">
        <w:rPr>
          <w:sz w:val="18"/>
          <w:szCs w:val="18"/>
        </w:rPr>
        <w:t>Forty Years of ‘The Strategy’: Levins on M</w:t>
      </w:r>
      <w:r>
        <w:rPr>
          <w:sz w:val="18"/>
          <w:szCs w:val="18"/>
        </w:rPr>
        <w:t>odel Building and Idealization.</w:t>
      </w:r>
      <w:r w:rsidR="00920464" w:rsidRPr="007400DA">
        <w:rPr>
          <w:sz w:val="18"/>
          <w:szCs w:val="18"/>
        </w:rPr>
        <w:t xml:space="preserve"> </w:t>
      </w:r>
      <w:r w:rsidR="00920464" w:rsidRPr="00311A92">
        <w:rPr>
          <w:i/>
          <w:sz w:val="18"/>
          <w:szCs w:val="18"/>
        </w:rPr>
        <w:t>Biology and Philosophy</w:t>
      </w:r>
      <w:r w:rsidR="00920464" w:rsidRPr="007400DA">
        <w:rPr>
          <w:sz w:val="18"/>
          <w:szCs w:val="18"/>
        </w:rPr>
        <w:t>, 21</w:t>
      </w:r>
      <w:r>
        <w:rPr>
          <w:sz w:val="18"/>
          <w:szCs w:val="18"/>
        </w:rPr>
        <w:t xml:space="preserve"> (5)</w:t>
      </w:r>
      <w:r w:rsidR="00920464" w:rsidRPr="007400DA">
        <w:rPr>
          <w:sz w:val="18"/>
          <w:szCs w:val="18"/>
        </w:rPr>
        <w:t>: 623-</w:t>
      </w:r>
      <w:r>
        <w:rPr>
          <w:sz w:val="18"/>
          <w:szCs w:val="18"/>
        </w:rPr>
        <w:t>6</w:t>
      </w:r>
      <w:r w:rsidR="00920464" w:rsidRPr="007400DA">
        <w:rPr>
          <w:sz w:val="18"/>
          <w:szCs w:val="18"/>
        </w:rPr>
        <w:t>45.</w:t>
      </w:r>
    </w:p>
    <w:p w:rsidR="00920464" w:rsidRPr="007400DA" w:rsidRDefault="00311A92" w:rsidP="004E49FE">
      <w:pPr>
        <w:rPr>
          <w:sz w:val="18"/>
          <w:szCs w:val="18"/>
        </w:rPr>
      </w:pPr>
      <w:r>
        <w:rPr>
          <w:sz w:val="18"/>
          <w:szCs w:val="18"/>
        </w:rPr>
        <w:t xml:space="preserve">Weisberg, M. (2012). </w:t>
      </w:r>
      <w:r w:rsidR="00920464" w:rsidRPr="007400DA">
        <w:rPr>
          <w:sz w:val="18"/>
          <w:szCs w:val="18"/>
        </w:rPr>
        <w:t>Ge</w:t>
      </w:r>
      <w:r>
        <w:rPr>
          <w:sz w:val="18"/>
          <w:szCs w:val="18"/>
        </w:rPr>
        <w:t>tting Serious about Similarity.</w:t>
      </w:r>
      <w:r w:rsidR="00920464" w:rsidRPr="007400DA">
        <w:rPr>
          <w:sz w:val="18"/>
          <w:szCs w:val="18"/>
        </w:rPr>
        <w:t xml:space="preserve"> </w:t>
      </w:r>
      <w:r w:rsidR="00920464" w:rsidRPr="00311A92">
        <w:rPr>
          <w:i/>
          <w:sz w:val="18"/>
          <w:szCs w:val="18"/>
        </w:rPr>
        <w:t>Philosophy of Science</w:t>
      </w:r>
      <w:r w:rsidR="00920464" w:rsidRPr="007400DA">
        <w:rPr>
          <w:sz w:val="18"/>
          <w:szCs w:val="18"/>
        </w:rPr>
        <w:t>, 79 (5): 785-</w:t>
      </w:r>
      <w:r>
        <w:rPr>
          <w:sz w:val="18"/>
          <w:szCs w:val="18"/>
        </w:rPr>
        <w:t>7</w:t>
      </w:r>
      <w:r w:rsidR="00920464" w:rsidRPr="007400DA">
        <w:rPr>
          <w:sz w:val="18"/>
          <w:szCs w:val="18"/>
        </w:rPr>
        <w:t>94.</w:t>
      </w:r>
    </w:p>
    <w:p w:rsidR="00920464" w:rsidRPr="007400DA" w:rsidRDefault="00920464" w:rsidP="004E49FE">
      <w:pPr>
        <w:rPr>
          <w:sz w:val="18"/>
          <w:szCs w:val="18"/>
        </w:rPr>
      </w:pPr>
      <w:r w:rsidRPr="007400DA">
        <w:rPr>
          <w:sz w:val="18"/>
          <w:szCs w:val="18"/>
        </w:rPr>
        <w:t xml:space="preserve">Weisberg, M. (2013). </w:t>
      </w:r>
      <w:r w:rsidRPr="00311A92">
        <w:rPr>
          <w:i/>
          <w:sz w:val="18"/>
          <w:szCs w:val="18"/>
        </w:rPr>
        <w:t>Simulation and Similarity: Using Models to Understand the World</w:t>
      </w:r>
      <w:r w:rsidRPr="007400DA">
        <w:rPr>
          <w:sz w:val="18"/>
          <w:szCs w:val="18"/>
        </w:rPr>
        <w:t>. Oxford: Oxford University Press.</w:t>
      </w:r>
    </w:p>
    <w:sectPr w:rsidR="00920464" w:rsidRPr="007400DA" w:rsidSect="00B419BE">
      <w:footerReference w:type="default" r:id="rId12"/>
      <w:pgSz w:w="11906" w:h="16838"/>
      <w:pgMar w:top="1440" w:right="1800" w:bottom="1440" w:left="1800" w:header="72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A4" w:rsidRDefault="004F41A4">
      <w:r>
        <w:separator/>
      </w:r>
    </w:p>
  </w:endnote>
  <w:endnote w:type="continuationSeparator" w:id="0">
    <w:p w:rsidR="004F41A4" w:rsidRDefault="004F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Droid Sans Fallback">
    <w:altName w:val="SimSun"/>
    <w:panose1 w:val="00000000000000000000"/>
    <w:charset w:val="86"/>
    <w:family w:val="auto"/>
    <w:notTrueType/>
    <w:pitch w:val="variable"/>
    <w:sig w:usb0="00000001" w:usb1="080E0000" w:usb2="00000010" w:usb3="00000000" w:csb0="00040000" w:csb1="00000000"/>
  </w:font>
  <w:font w:name="FreeSans">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77" w:rsidRDefault="004F41A4">
    <w:pPr>
      <w:pStyle w:val="af2"/>
      <w:ind w:right="360"/>
    </w:pPr>
    <w:r>
      <w:rPr>
        <w:noProof/>
      </w:rPr>
      <w:pict>
        <v:shapetype id="_x0000_t202" coordsize="21600,21600" o:spt="202" path="m,l,21600r21600,l21600,xe">
          <v:stroke joinstyle="miter"/>
          <v:path gradientshapeok="t" o:connecttype="rect"/>
        </v:shapetype>
        <v:shape id="Text Box 1" o:spid="_x0000_s2049" type="#_x0000_t202" style="position:absolute;margin-left:496.25pt;margin-top:.05pt;width:9pt;height:19.8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" stroked="f">
          <v:fill opacity="0"/>
          <v:textbox inset="0,0,0,0">
            <w:txbxContent>
              <w:p w:rsidR="00CA0177" w:rsidRDefault="00CA0177">
                <w:pPr>
                  <w:pStyle w:val="af2"/>
                </w:pPr>
                <w:r>
                  <w:rPr>
                    <w:rStyle w:val="a5"/>
                  </w:rPr>
                  <w:fldChar w:fldCharType="begin"/>
                </w:r>
                <w:r>
                  <w:rPr>
                    <w:rStyle w:val="a5"/>
                  </w:rPr>
                  <w:instrText xml:space="preserve"> PAGE </w:instrText>
                </w:r>
                <w:r>
                  <w:rPr>
                    <w:rStyle w:val="a5"/>
                  </w:rPr>
                  <w:fldChar w:fldCharType="separate"/>
                </w:r>
                <w:r w:rsidR="002805CF">
                  <w:rPr>
                    <w:rStyle w:val="a5"/>
                    <w:noProof/>
                  </w:rPr>
                  <w:t>13</w:t>
                </w:r>
                <w:r>
                  <w:rPr>
                    <w:rStyle w:val="a5"/>
                  </w:rPr>
                  <w:fldChar w:fldCharType="end"/>
                </w:r>
              </w:p>
              <w:p w:rsidR="00CA0177" w:rsidRDefault="00CA0177">
                <w:pPr>
                  <w:pStyle w:val="af2"/>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A4" w:rsidRDefault="004F41A4">
      <w:r>
        <w:separator/>
      </w:r>
    </w:p>
  </w:footnote>
  <w:footnote w:type="continuationSeparator" w:id="0">
    <w:p w:rsidR="004F41A4" w:rsidRDefault="004F41A4">
      <w:r>
        <w:continuationSeparator/>
      </w:r>
    </w:p>
  </w:footnote>
  <w:footnote w:id="1">
    <w:p w:rsidR="00CA0177" w:rsidRDefault="00CA0177" w:rsidP="00660116">
      <w:pPr>
        <w:pStyle w:val="af"/>
        <w:jc w:val="both"/>
      </w:pPr>
      <w:r>
        <w:rPr>
          <w:rStyle w:val="a6"/>
        </w:rPr>
        <w:footnoteRef/>
      </w:r>
      <w:r>
        <w:t xml:space="preserve"> Wendy Parker expresses a similar interpretation of Weisberg’s account, claiming that “Ultimately, however, Weisberg’s account seems best characterized as an account of what underwrites scientists’ </w:t>
      </w:r>
      <w:r w:rsidRPr="00660116">
        <w:rPr>
          <w:i/>
        </w:rPr>
        <w:t>judgments</w:t>
      </w:r>
      <w:r>
        <w:t xml:space="preserve"> of the </w:t>
      </w:r>
      <w:r w:rsidRPr="00660116">
        <w:rPr>
          <w:i/>
        </w:rPr>
        <w:t>extent</w:t>
      </w:r>
      <w:r>
        <w:t xml:space="preserve"> to which </w:t>
      </w:r>
      <w:r w:rsidR="005D67D6">
        <w:t>models and targets are similar”</w:t>
      </w:r>
      <w:r>
        <w:t xml:space="preserve"> (2015, 271; author’s emphasis)</w:t>
      </w:r>
      <w:r w:rsidR="005D67D6">
        <w:t>.</w:t>
      </w:r>
    </w:p>
  </w:footnote>
  <w:footnote w:id="2">
    <w:p w:rsidR="00CA0177" w:rsidRDefault="00CA0177" w:rsidP="00B40BB7">
      <w:pPr>
        <w:pStyle w:val="af"/>
        <w:jc w:val="both"/>
      </w:pPr>
      <w:r>
        <w:rPr>
          <w:rStyle w:val="a6"/>
        </w:rPr>
        <w:footnoteRef/>
      </w:r>
      <w:r>
        <w:t xml:space="preserve"> Weisberg’s account can be more strongly interpreted as aiming to “capture </w:t>
      </w:r>
      <w:r w:rsidRPr="007C6329">
        <w:rPr>
          <w:i/>
        </w:rPr>
        <w:t>how</w:t>
      </w:r>
      <w:r>
        <w:t xml:space="preserve"> similarity judgments are made by scientists”, for his similarity equation and its associated interpretation (</w:t>
      </w:r>
      <w:r>
        <w:rPr>
          <w:rFonts w:hint="eastAsia"/>
        </w:rPr>
        <w:t xml:space="preserve">as </w:t>
      </w:r>
      <w:r>
        <w:t>I will describe below) i</w:t>
      </w:r>
      <w:r>
        <w:rPr>
          <w:rFonts w:hint="eastAsia"/>
        </w:rPr>
        <w:t>ncludes</w:t>
      </w:r>
      <w:r>
        <w:t xml:space="preserve"> the way in which features are </w:t>
      </w:r>
      <w:r w:rsidRPr="00F05C08">
        <w:rPr>
          <w:i/>
        </w:rPr>
        <w:t xml:space="preserve">selected </w:t>
      </w:r>
      <w:r>
        <w:t xml:space="preserve">and </w:t>
      </w:r>
      <w:r w:rsidRPr="00F05C08">
        <w:rPr>
          <w:i/>
        </w:rPr>
        <w:t>weighted</w:t>
      </w:r>
      <w:r>
        <w:t xml:space="preserve"> differently by scientists. This clearly involves the “how” problem: how do scientists select and weight these features so as to make appropriate similarity judgments? But to be charitable, in this paper I simply interpret his account as attempting to “capture </w:t>
      </w:r>
      <w:r w:rsidRPr="006B2DEE">
        <w:t>similarity judgments made by scientists</w:t>
      </w:r>
      <w:r>
        <w:t xml:space="preserve">”. The latter interpretation is weaker than the former because it merely interprets Weisberg’s account as </w:t>
      </w:r>
      <w:r w:rsidRPr="009F355E">
        <w:rPr>
          <w:i/>
        </w:rPr>
        <w:t>describing</w:t>
      </w:r>
      <w:r>
        <w:t xml:space="preserve"> similarity judgments </w:t>
      </w:r>
      <w:r w:rsidRPr="00577940">
        <w:t>rather than the process by which they are made</w:t>
      </w:r>
      <w:r>
        <w:t>.</w:t>
      </w:r>
    </w:p>
  </w:footnote>
  <w:footnote w:id="3">
    <w:p w:rsidR="00CA0177" w:rsidRPr="00F05C08" w:rsidRDefault="00CA0177" w:rsidP="00F05C08">
      <w:pPr>
        <w:pStyle w:val="af"/>
        <w:jc w:val="both"/>
        <w:rPr>
          <w:color w:val="000000"/>
        </w:rPr>
      </w:pPr>
      <w:r>
        <w:rPr>
          <w:rStyle w:val="a6"/>
        </w:rPr>
        <w:footnoteRef/>
      </w:r>
      <w:r>
        <w:t xml:space="preserve"> </w:t>
      </w:r>
      <w:r w:rsidRPr="00F05C08">
        <w:rPr>
          <w:color w:val="000000"/>
        </w:rPr>
        <w:t>Weisberg also describes three other kinds of modelling practice which require different weighting parameters: hyperaccurate, how-possibly and mechanistic modeling. For details please see Weisberg (2013, 150-</w:t>
      </w:r>
      <w:r w:rsidR="00283B77">
        <w:rPr>
          <w:color w:val="000000"/>
        </w:rPr>
        <w:t>1</w:t>
      </w:r>
      <w:r w:rsidRPr="00F05C08">
        <w:rPr>
          <w:color w:val="000000"/>
        </w:rPr>
        <w:t>52).</w:t>
      </w:r>
    </w:p>
  </w:footnote>
  <w:footnote w:id="4">
    <w:p w:rsidR="00CA0177" w:rsidRDefault="00CA0177" w:rsidP="004023B8">
      <w:pPr>
        <w:pStyle w:val="af"/>
        <w:jc w:val="both"/>
      </w:pPr>
      <w:r>
        <w:rPr>
          <w:rStyle w:val="a6"/>
        </w:rPr>
        <w:footnoteRef/>
      </w:r>
      <w:r>
        <w:t xml:space="preserve"> </w:t>
      </w:r>
      <w:r w:rsidRPr="009A77D0">
        <w:rPr>
          <w:color w:val="000000"/>
        </w:rPr>
        <w:t>Assume there is such a data set regarding the variables in the model. Note this extremely simple case should be regarded as a textbook example used merely for introductory purpose.</w:t>
      </w:r>
    </w:p>
  </w:footnote>
  <w:footnote w:id="5">
    <w:p w:rsidR="00CA0177" w:rsidRDefault="00CA0177">
      <w:pPr>
        <w:pStyle w:val="af"/>
      </w:pPr>
      <w:r>
        <w:rPr>
          <w:rStyle w:val="a3"/>
        </w:rPr>
        <w:footnoteRef/>
      </w:r>
      <w:r>
        <w:t xml:space="preserve"> This model is borrowed from Shipley (2002, 47-48), though slightly different from the original one.</w:t>
      </w:r>
    </w:p>
  </w:footnote>
  <w:footnote w:id="6">
    <w:p w:rsidR="00CA0177" w:rsidRDefault="00CA0177">
      <w:pPr>
        <w:pStyle w:val="af"/>
      </w:pPr>
      <w:r>
        <w:rPr>
          <w:rStyle w:val="a6"/>
        </w:rPr>
        <w:footnoteRef/>
      </w:r>
      <w:r>
        <w:t xml:space="preserve"> </w:t>
      </w:r>
      <w:r w:rsidRPr="00E36E6B">
        <w:t>I will argue extensively in section 4 that the applicability of Weisberg’s account is in fact in dispute.</w:t>
      </w:r>
    </w:p>
  </w:footnote>
  <w:footnote w:id="7">
    <w:p w:rsidR="00CA0177" w:rsidRDefault="00CA0177" w:rsidP="002561EF">
      <w:pPr>
        <w:pStyle w:val="af"/>
        <w:jc w:val="both"/>
      </w:pPr>
      <w:r>
        <w:rPr>
          <w:rStyle w:val="a6"/>
        </w:rPr>
        <w:footnoteRef/>
      </w:r>
      <w:r>
        <w:t xml:space="preserve"> </w:t>
      </w:r>
      <w:r>
        <w:rPr>
          <w:lang w:val="en-AU"/>
        </w:rPr>
        <w:t>Because we have already assumed that there is a causal mechanism between the two variables and that is just what the modellers aim to capture.</w:t>
      </w:r>
    </w:p>
  </w:footnote>
  <w:footnote w:id="8">
    <w:p w:rsidR="00CA0177" w:rsidRDefault="00CA0177" w:rsidP="00470AAA">
      <w:pPr>
        <w:pStyle w:val="af"/>
        <w:jc w:val="both"/>
      </w:pPr>
      <w:r>
        <w:rPr>
          <w:rStyle w:val="a3"/>
        </w:rPr>
        <w:footnoteRef/>
      </w:r>
      <w:r>
        <w:t xml:space="preserve"> This model is drawn from Shipley (2002, chapter 3). Also, the following discussion about the maximum likelihood estimation method is based on Shipley (2002).</w:t>
      </w:r>
    </w:p>
  </w:footnote>
  <w:footnote w:id="9">
    <w:p w:rsidR="00CA0177" w:rsidRDefault="00CA0177" w:rsidP="00F05C08">
      <w:pPr>
        <w:pStyle w:val="af"/>
        <w:jc w:val="both"/>
      </w:pPr>
      <w:r>
        <w:rPr>
          <w:rStyle w:val="a6"/>
        </w:rPr>
        <w:footnoteRef/>
      </w:r>
      <w:r>
        <w:t xml:space="preserve"> Though, for the limit of space, I will not demonstrate the claim that the toy model can be readily treated by many scientific testing methods, the following elaboration of the MLE regarding a more complicated model should lend support to this claim.</w:t>
      </w:r>
    </w:p>
  </w:footnote>
  <w:footnote w:id="10">
    <w:p w:rsidR="00CA0177" w:rsidRDefault="00CA0177">
      <w:pPr>
        <w:pStyle w:val="af"/>
        <w:jc w:val="both"/>
      </w:pPr>
      <w:r>
        <w:rPr>
          <w:rStyle w:val="a3"/>
        </w:rPr>
        <w:footnoteRef/>
      </w:r>
      <w:r>
        <w:t xml:space="preserve"> Variables on the right side of the equation are causes and on the left side are effects. ‘</w:t>
      </w:r>
      <w:proofErr w:type="gramStart"/>
      <w:r w:rsidRPr="00343313">
        <w:rPr>
          <w:i/>
        </w:rPr>
        <w:t>ε</w:t>
      </w:r>
      <w:proofErr w:type="gramEnd"/>
      <w:r>
        <w:t>’ is an error variable representing other unmodelled cause of the variable E, or pure randomness.</w:t>
      </w:r>
    </w:p>
  </w:footnote>
  <w:footnote w:id="11">
    <w:p w:rsidR="00CA0177" w:rsidRDefault="00CA0177" w:rsidP="00343313">
      <w:pPr>
        <w:pStyle w:val="af"/>
        <w:jc w:val="both"/>
      </w:pPr>
      <w:r>
        <w:rPr>
          <w:rStyle w:val="a3"/>
        </w:rPr>
        <w:footnoteRef/>
      </w:r>
      <w:r>
        <w:t xml:space="preserve"> The variance is the expected square of the deviation around a variable’s expected value, defined as: </w:t>
      </w:r>
      <w:r w:rsidRPr="00343313">
        <w:rPr>
          <w:i/>
        </w:rPr>
        <w:t>E</w:t>
      </w:r>
      <w:proofErr w:type="gramStart"/>
      <w:r>
        <w:t>=[</w:t>
      </w:r>
      <w:proofErr w:type="gramEnd"/>
      <w:r>
        <w:t>(</w:t>
      </w:r>
      <w:r>
        <w:rPr>
          <w:i/>
        </w:rPr>
        <w:t>X</w:t>
      </w:r>
      <w:r>
        <w:rPr>
          <w:i/>
          <w:vertAlign w:val="subscript"/>
        </w:rPr>
        <w:t>i</w:t>
      </w:r>
      <w:r>
        <w:rPr>
          <w:rFonts w:ascii="FangSong_GB2312" w:eastAsia="Times New Roman"/>
        </w:rPr>
        <w:t>-</w:t>
      </w:r>
      <w:r>
        <w:rPr>
          <w:i/>
        </w:rPr>
        <w:t>µ</w:t>
      </w:r>
      <w:r>
        <w:rPr>
          <w:i/>
          <w:vertAlign w:val="subscript"/>
        </w:rPr>
        <w:t>X</w:t>
      </w:r>
      <w:r>
        <w:t>)</w:t>
      </w:r>
      <w:r>
        <w:rPr>
          <w:vertAlign w:val="superscript"/>
        </w:rPr>
        <w:t>2</w:t>
      </w:r>
      <w:r>
        <w:t xml:space="preserve">], where </w:t>
      </w:r>
      <w:r w:rsidRPr="00343313">
        <w:rPr>
          <w:i/>
        </w:rPr>
        <w:t>µ</w:t>
      </w:r>
      <w:r w:rsidRPr="00343313">
        <w:rPr>
          <w:i/>
          <w:vertAlign w:val="subscript"/>
        </w:rPr>
        <w:t>X</w:t>
      </w:r>
      <w:r>
        <w:t xml:space="preserve"> is</w:t>
      </w:r>
      <w:r w:rsidRPr="00343313">
        <w:rPr>
          <w:i/>
        </w:rPr>
        <w:t xml:space="preserve"> X</w:t>
      </w:r>
      <w:r w:rsidRPr="00343313">
        <w:rPr>
          <w:i/>
          <w:vertAlign w:val="subscript"/>
        </w:rPr>
        <w:t>i</w:t>
      </w:r>
      <w:r>
        <w:t>’s expected value. Simply put, it is the measure of distance between the expected and the measured values of a variable. The covariance is simply a generalization of the variance. If we have two different random variables (</w:t>
      </w:r>
      <w:r w:rsidRPr="00343313">
        <w:rPr>
          <w:i/>
        </w:rPr>
        <w:t>X</w:t>
      </w:r>
      <w:r>
        <w:t xml:space="preserve">, </w:t>
      </w:r>
      <w:r w:rsidRPr="00343313">
        <w:rPr>
          <w:i/>
        </w:rPr>
        <w:t>Y</w:t>
      </w:r>
      <w:r>
        <w:t xml:space="preserve">) measured on the same observational units, then the covariance between them is defined as: </w:t>
      </w:r>
      <w:proofErr w:type="gramStart"/>
      <w:r w:rsidRPr="00343313">
        <w:rPr>
          <w:i/>
        </w:rPr>
        <w:t>E</w:t>
      </w:r>
      <w:r>
        <w:t>[</w:t>
      </w:r>
      <w:proofErr w:type="gramEnd"/>
      <w:r>
        <w:t>(</w:t>
      </w:r>
      <w:r>
        <w:rPr>
          <w:i/>
        </w:rPr>
        <w:t>X</w:t>
      </w:r>
      <w:r>
        <w:rPr>
          <w:i/>
          <w:vertAlign w:val="subscript"/>
        </w:rPr>
        <w:t>i</w:t>
      </w:r>
      <w:r>
        <w:rPr>
          <w:i/>
        </w:rPr>
        <w:t>-µ</w:t>
      </w:r>
      <w:r>
        <w:rPr>
          <w:i/>
          <w:vertAlign w:val="subscript"/>
        </w:rPr>
        <w:t>X</w:t>
      </w:r>
      <w:r>
        <w:t>)(</w:t>
      </w:r>
      <w:r>
        <w:rPr>
          <w:i/>
        </w:rPr>
        <w:t>Y</w:t>
      </w:r>
      <w:r>
        <w:rPr>
          <w:i/>
          <w:vertAlign w:val="subscript"/>
        </w:rPr>
        <w:t>i</w:t>
      </w:r>
      <w:r>
        <w:rPr>
          <w:i/>
        </w:rPr>
        <w:t>-µ</w:t>
      </w:r>
      <w:r>
        <w:rPr>
          <w:i/>
          <w:vertAlign w:val="subscript"/>
        </w:rPr>
        <w:t>Y</w:t>
      </w:r>
      <w:r>
        <w:t>)], in which (</w:t>
      </w:r>
      <w:r>
        <w:rPr>
          <w:i/>
        </w:rPr>
        <w:t>X</w:t>
      </w:r>
      <w:r>
        <w:rPr>
          <w:i/>
          <w:vertAlign w:val="subscript"/>
        </w:rPr>
        <w:t>i</w:t>
      </w:r>
      <w:r>
        <w:rPr>
          <w:i/>
        </w:rPr>
        <w:t>-µ</w:t>
      </w:r>
      <w:r>
        <w:rPr>
          <w:i/>
          <w:vertAlign w:val="subscript"/>
        </w:rPr>
        <w:t>X</w:t>
      </w:r>
      <w:r>
        <w:t>) and (</w:t>
      </w:r>
      <w:r>
        <w:rPr>
          <w:i/>
        </w:rPr>
        <w:t>Y</w:t>
      </w:r>
      <w:r>
        <w:rPr>
          <w:i/>
          <w:vertAlign w:val="subscript"/>
        </w:rPr>
        <w:t>i</w:t>
      </w:r>
      <w:r>
        <w:rPr>
          <w:i/>
        </w:rPr>
        <w:t>-µ</w:t>
      </w:r>
      <w:r>
        <w:rPr>
          <w:i/>
          <w:vertAlign w:val="subscript"/>
        </w:rPr>
        <w:t>Y</w:t>
      </w:r>
      <w:r>
        <w:t xml:space="preserve">) mean deviations of </w:t>
      </w:r>
      <w:r w:rsidRPr="00343313">
        <w:rPr>
          <w:i/>
        </w:rPr>
        <w:t>X</w:t>
      </w:r>
      <w:r>
        <w:t xml:space="preserve"> and </w:t>
      </w:r>
      <w:r w:rsidRPr="00343313">
        <w:rPr>
          <w:i/>
        </w:rPr>
        <w:t>Y</w:t>
      </w:r>
      <w:r>
        <w:t xml:space="preserve"> from its mean </w:t>
      </w:r>
      <w:r w:rsidRPr="00343313">
        <w:rPr>
          <w:i/>
        </w:rPr>
        <w:t>µ</w:t>
      </w:r>
      <w:r w:rsidRPr="00343313">
        <w:rPr>
          <w:i/>
          <w:vertAlign w:val="subscript"/>
        </w:rPr>
        <w:t>X</w:t>
      </w:r>
      <w:r>
        <w:t xml:space="preserve"> and </w:t>
      </w:r>
      <w:r w:rsidRPr="00343313">
        <w:rPr>
          <w:i/>
        </w:rPr>
        <w:t>µ</w:t>
      </w:r>
      <w:r w:rsidRPr="00343313">
        <w:rPr>
          <w:i/>
          <w:vertAlign w:val="subscript"/>
        </w:rPr>
        <w:t>Y</w:t>
      </w:r>
      <w:r w:rsidR="005D67D6">
        <w:t xml:space="preserve"> respectively</w:t>
      </w:r>
      <w:r>
        <w:t xml:space="preserve"> (Shipley 2002, 74)</w:t>
      </w:r>
      <w:r w:rsidR="005D67D6">
        <w:t>.</w:t>
      </w:r>
    </w:p>
  </w:footnote>
  <w:footnote w:id="12">
    <w:p w:rsidR="00CA0177" w:rsidRDefault="00CA0177" w:rsidP="00D23C98">
      <w:pPr>
        <w:pStyle w:val="af"/>
        <w:jc w:val="both"/>
      </w:pPr>
      <w:r>
        <w:rPr>
          <w:rStyle w:val="a3"/>
        </w:rPr>
        <w:footnoteRef/>
      </w:r>
      <w:r>
        <w:t xml:space="preserve"> </w:t>
      </w:r>
      <w:r w:rsidRPr="00065FD5">
        <w:t>A free parameter is one that can be adjusted</w:t>
      </w:r>
      <w:r>
        <w:t xml:space="preserve"> to make the model fit the data.</w:t>
      </w:r>
    </w:p>
  </w:footnote>
  <w:footnote w:id="13">
    <w:p w:rsidR="00CA0177" w:rsidRDefault="00CA0177" w:rsidP="005A4B0F">
      <w:pPr>
        <w:pStyle w:val="af"/>
        <w:jc w:val="both"/>
      </w:pPr>
      <w:r>
        <w:rPr>
          <w:rStyle w:val="a6"/>
        </w:rPr>
        <w:footnoteRef/>
      </w:r>
      <w:r>
        <w:t xml:space="preserve"> This is typically done by using the maximum likelihood chi-squared statistic. For details see Shipley (2002, 110-</w:t>
      </w:r>
      <w:r w:rsidR="00283B77">
        <w:t>1</w:t>
      </w:r>
      <w:r>
        <w:t>14).</w:t>
      </w:r>
    </w:p>
  </w:footnote>
  <w:footnote w:id="14">
    <w:p w:rsidR="00CA0177" w:rsidRDefault="00CA0177" w:rsidP="00B27FE0">
      <w:pPr>
        <w:pStyle w:val="af"/>
        <w:jc w:val="both"/>
      </w:pPr>
      <w:r>
        <w:rPr>
          <w:rStyle w:val="a6"/>
        </w:rPr>
        <w:footnoteRef/>
      </w:r>
      <w:r>
        <w:t xml:space="preserve"> The maximum likelihood estimates (typically using the maximum likelihood chi-squared statistic) guarantee that, by iteratively choosing values for free parameters, the numerical values of the predicted covariance matrix become as close as possible to the actual covariances measured in the da</w:t>
      </w:r>
      <w:r>
        <w:rPr>
          <w:lang w:val="en-AU"/>
        </w:rPr>
        <w:t xml:space="preserve">ta. </w:t>
      </w:r>
      <w:proofErr w:type="gramStart"/>
      <w:r>
        <w:rPr>
          <w:lang w:val="en-AU"/>
        </w:rPr>
        <w:t>In essence</w:t>
      </w:r>
      <w:r>
        <w:t>, to increase the fit as close as possible is also to decrease the difference as much as possible.</w:t>
      </w:r>
      <w:proofErr w:type="gramEnd"/>
      <w:r>
        <w:t xml:space="preserve"> Hence at </w:t>
      </w:r>
      <w:r>
        <w:rPr>
          <w:lang w:val="en-AU"/>
        </w:rPr>
        <w:t xml:space="preserve">a </w:t>
      </w:r>
      <w:r>
        <w:t xml:space="preserve">certain point we </w:t>
      </w:r>
      <w:r>
        <w:rPr>
          <w:lang w:val="en-AU"/>
        </w:rPr>
        <w:t>obtain a minimum difference. The</w:t>
      </w:r>
      <w:r>
        <w:t xml:space="preserve"> next step is to calculate the probability of having observed such a minimum difference</w:t>
      </w:r>
      <w:r>
        <w:rPr>
          <w:szCs w:val="24"/>
          <w:lang w:val="en-AU"/>
        </w:rPr>
        <w:t>. The value of probability can be calculated by some commercial computer programs, given certain maximum likelihood estimates and degrees of freedom.</w:t>
      </w:r>
    </w:p>
  </w:footnote>
  <w:footnote w:id="15">
    <w:p w:rsidR="00CA0177" w:rsidRDefault="00CA0177" w:rsidP="00AF59B1">
      <w:pPr>
        <w:pStyle w:val="af"/>
        <w:jc w:val="both"/>
      </w:pPr>
      <w:r>
        <w:rPr>
          <w:rStyle w:val="a6"/>
        </w:rPr>
        <w:footnoteRef/>
      </w:r>
      <w:r>
        <w:t xml:space="preserve"> In scientific testing the acceptability criterion of 0.05 (or other values depending on different fields of study) is also called the </w:t>
      </w:r>
      <w:r w:rsidRPr="00C52C0D">
        <w:rPr>
          <w:i/>
        </w:rPr>
        <w:t>significance level</w:t>
      </w:r>
      <w:r>
        <w:rPr>
          <w:i/>
          <w:lang w:val="en-AU"/>
        </w:rPr>
        <w:t xml:space="preserve"> </w:t>
      </w:r>
      <w:r>
        <w:rPr>
          <w:lang w:val="en-AU"/>
        </w:rPr>
        <w:t>or</w:t>
      </w:r>
      <w:r>
        <w:rPr>
          <w:i/>
          <w:lang w:val="en-AU"/>
        </w:rPr>
        <w:t xml:space="preserve"> P value</w:t>
      </w:r>
      <w:r>
        <w:t xml:space="preserve">, used by scientists to determine whether the null hypothesis should be rejected in favor of alternative hypothesis. In short, the significance level indicates whether there is a relationship between various variables represented in the model under testing, or whether </w:t>
      </w:r>
      <w:r>
        <w:rPr>
          <w:rFonts w:hint="eastAsia"/>
        </w:rPr>
        <w:t>the result can be explained by the null hypothesis</w:t>
      </w:r>
      <w:r>
        <w:t>. For example, if the probability is less than or equal to the significance level, then the null hypothesis is rejected and then the outcome is said to be</w:t>
      </w:r>
      <w:r w:rsidRPr="00192C90">
        <w:rPr>
          <w:i/>
        </w:rPr>
        <w:t xml:space="preserve"> statistically significant</w:t>
      </w:r>
      <w:r>
        <w:t xml:space="preserve">. </w:t>
      </w:r>
      <w:r w:rsidRPr="00F26629">
        <w:t>A</w:t>
      </w:r>
      <w:r>
        <w:t>n outcome</w:t>
      </w:r>
      <w:r w:rsidRPr="00F26629">
        <w:t xml:space="preserve"> is said to be statistically significant </w:t>
      </w:r>
      <w:r>
        <w:t xml:space="preserve">only </w:t>
      </w:r>
      <w:r w:rsidRPr="00F26629">
        <w:t>if it can enable the rejection of the null hypothesis</w:t>
      </w:r>
      <w:r>
        <w:t>. On the other hand, if the probability is larger than the significance level, then the null hypothesis cannot be rejected.</w:t>
      </w:r>
    </w:p>
  </w:footnote>
  <w:footnote w:id="16">
    <w:p w:rsidR="00CA0177" w:rsidRDefault="00CA0177" w:rsidP="003440EC">
      <w:pPr>
        <w:pStyle w:val="af"/>
        <w:jc w:val="both"/>
      </w:pPr>
      <w:r>
        <w:rPr>
          <w:rStyle w:val="a3"/>
        </w:rPr>
        <w:footnoteRef/>
      </w:r>
      <w:r>
        <w:t xml:space="preserve"> </w:t>
      </w:r>
      <w:r w:rsidRPr="0065547D">
        <w:t>There are reasons why we choose this model but not others. First, it is definitely a mathematical model and falls into the category of minimal modeling according to Weisberg’s terminology. Second, it is neither too complicated nor too simple to grasp. Third, and most important, it is a good exemplar in the discourse of causal modeling and related testing methods.</w:t>
      </w:r>
    </w:p>
  </w:footnote>
  <w:footnote w:id="17">
    <w:p w:rsidR="00CA0177" w:rsidRDefault="00CA0177">
      <w:pPr>
        <w:pStyle w:val="af"/>
      </w:pPr>
      <w:r>
        <w:rPr>
          <w:rStyle w:val="a3"/>
        </w:rPr>
        <w:footnoteRef/>
      </w:r>
      <w:r>
        <w:t xml:space="preserve"> The figure is also drawn from Shipley (2002, 131), with only small modifications.</w:t>
      </w:r>
    </w:p>
  </w:footnote>
  <w:footnote w:id="18">
    <w:p w:rsidR="00CA0177" w:rsidRDefault="00CA0177" w:rsidP="0077394C">
      <w:pPr>
        <w:pStyle w:val="af"/>
        <w:jc w:val="both"/>
      </w:pPr>
      <w:r>
        <w:rPr>
          <w:rStyle w:val="a3"/>
        </w:rPr>
        <w:footnoteRef/>
      </w:r>
      <w:r>
        <w:t xml:space="preserve"> In most structural equations, the causal relations are assumed to be additively linear (Shipley 2002, 105), so we here follow this assumption. It also should be noted that since causal relations are asymmetric while these equations are symmetric, this translation is only a partial translation.</w:t>
      </w:r>
    </w:p>
  </w:footnote>
  <w:footnote w:id="19">
    <w:p w:rsidR="00CA0177" w:rsidRDefault="00CA0177" w:rsidP="002B7F0A">
      <w:pPr>
        <w:pStyle w:val="af"/>
      </w:pPr>
      <w:r>
        <w:rPr>
          <w:rStyle w:val="a6"/>
        </w:rPr>
        <w:footnoteRef/>
      </w:r>
      <w:r w:rsidR="00483E58">
        <w:t xml:space="preserve"> See footnote 13</w:t>
      </w:r>
      <w:r>
        <w:t>.</w:t>
      </w:r>
    </w:p>
  </w:footnote>
  <w:footnote w:id="20">
    <w:p w:rsidR="00CA0177" w:rsidRDefault="00CA0177">
      <w:pPr>
        <w:pStyle w:val="af"/>
      </w:pPr>
      <w:r>
        <w:rPr>
          <w:rStyle w:val="a3"/>
        </w:rPr>
        <w:footnoteRef/>
      </w:r>
      <w:r>
        <w:t xml:space="preserve"> See Shipley for more details about these techniques</w:t>
      </w:r>
      <w:r w:rsidR="00A84EF3">
        <w:t xml:space="preserve"> (2002, 110-114)</w:t>
      </w:r>
      <w:r>
        <w:t>.</w:t>
      </w:r>
    </w:p>
  </w:footnote>
  <w:footnote w:id="21">
    <w:p w:rsidR="00CA0177" w:rsidRDefault="00CA0177">
      <w:pPr>
        <w:pStyle w:val="af"/>
        <w:jc w:val="both"/>
      </w:pPr>
      <w:r>
        <w:rPr>
          <w:rStyle w:val="a3"/>
        </w:rPr>
        <w:footnoteRef/>
      </w:r>
      <w:r>
        <w:t xml:space="preserve"> This difference can be calculated using some formula. For more details, see Shipley (2002, 113-</w:t>
      </w:r>
      <w:r w:rsidR="00283B77">
        <w:t>1</w:t>
      </w:r>
      <w:r>
        <w:t>14).</w:t>
      </w:r>
    </w:p>
  </w:footnote>
  <w:footnote w:id="22">
    <w:p w:rsidR="00CA0177" w:rsidRDefault="00CA0177">
      <w:pPr>
        <w:pStyle w:val="af"/>
      </w:pPr>
      <w:r>
        <w:rPr>
          <w:rStyle w:val="a6"/>
        </w:rPr>
        <w:footnoteRef/>
      </w:r>
      <w:r w:rsidR="005D67D6">
        <w:t xml:space="preserve"> See footnote 14</w:t>
      </w:r>
      <w:r>
        <w:t>.</w:t>
      </w:r>
    </w:p>
  </w:footnote>
  <w:footnote w:id="23">
    <w:p w:rsidR="00CA0177" w:rsidRDefault="00CA0177">
      <w:pPr>
        <w:pStyle w:val="af"/>
      </w:pPr>
      <w:r>
        <w:rPr>
          <w:rStyle w:val="a6"/>
        </w:rPr>
        <w:footnoteRef/>
      </w:r>
      <w:r>
        <w:t xml:space="preserve"> See Shipley (2002) for more details about the calculations of this value.</w:t>
      </w:r>
    </w:p>
  </w:footnote>
  <w:footnote w:id="24">
    <w:p w:rsidR="00CA0177" w:rsidRDefault="00CA0177">
      <w:pPr>
        <w:pStyle w:val="af"/>
      </w:pPr>
      <w:r>
        <w:rPr>
          <w:rStyle w:val="a6"/>
        </w:rPr>
        <w:footnoteRef/>
      </w:r>
      <w:r>
        <w:t xml:space="preserve"> There might be other interpretations which set different threshold values for the acceptable probability, but our case discussed in this paper is neutral on exactly which value is actually chosen.</w:t>
      </w:r>
    </w:p>
  </w:footnote>
  <w:footnote w:id="25">
    <w:p w:rsidR="00CA0177" w:rsidRDefault="00CA0177" w:rsidP="00B37F78">
      <w:pPr>
        <w:pStyle w:val="af"/>
        <w:jc w:val="both"/>
      </w:pPr>
      <w:r>
        <w:rPr>
          <w:rStyle w:val="a6"/>
        </w:rPr>
        <w:footnoteRef/>
      </w:r>
      <w:r>
        <w:t xml:space="preserve"> Wendy Parker recently made a similar point, asking “c</w:t>
      </w:r>
      <w:r w:rsidRPr="006859D6">
        <w:t>an feature weights really be assigned independently?</w:t>
      </w:r>
      <w:r>
        <w:t>” She says that “In his account of model-world similarity, Weisberg deviates from Tversky in restricting the weighting function such that it assigns weights to features independently of which other features are shared”, and that “Weisberg’s restriction seems to go too far, however. For surely the perceived significance of a feature ‘shared’ by a model and a target sometimes does depend on which other features are ‘shared’”. (Parker 2015, 273-</w:t>
      </w:r>
      <w:r w:rsidR="00073001">
        <w:t>2</w:t>
      </w:r>
      <w:r>
        <w:t>74)</w:t>
      </w:r>
    </w:p>
  </w:footnote>
  <w:footnote w:id="26">
    <w:p w:rsidR="00CA0177" w:rsidRDefault="00CA0177">
      <w:pPr>
        <w:pStyle w:val="af"/>
        <w:jc w:val="both"/>
      </w:pPr>
      <w:r>
        <w:rPr>
          <w:rStyle w:val="a3"/>
        </w:rPr>
        <w:footnoteRef/>
      </w:r>
      <w:r>
        <w:t xml:space="preserve"> For Weisberg, fidelity criteria “describe how similar the model must be to the world in order to be considered an adequate representation. There are two types of fidelity criteria: </w:t>
      </w:r>
      <w:r>
        <w:rPr>
          <w:i/>
        </w:rPr>
        <w:t>dynamical fidelity criteria</w:t>
      </w:r>
      <w:r>
        <w:t xml:space="preserve"> and </w:t>
      </w:r>
      <w:r>
        <w:rPr>
          <w:i/>
        </w:rPr>
        <w:t>representational fidelity criteria</w:t>
      </w:r>
      <w:r>
        <w:t>” (2013, 41)</w:t>
      </w:r>
      <w:r w:rsidR="00031B8C">
        <w:t>.</w:t>
      </w:r>
    </w:p>
  </w:footnote>
  <w:footnote w:id="27">
    <w:p w:rsidR="00CA0177" w:rsidRDefault="00CA0177" w:rsidP="00F47B88">
      <w:pPr>
        <w:pStyle w:val="af"/>
        <w:jc w:val="both"/>
      </w:pPr>
      <w:r>
        <w:rPr>
          <w:rStyle w:val="a6"/>
        </w:rPr>
        <w:footnoteRef/>
      </w:r>
      <w:r>
        <w:t xml:space="preserve"> MAXOUT is a representational ideal which guarantees that models are useful for predicting but gives no guarantee that the m</w:t>
      </w:r>
      <w:r w:rsidR="00031B8C">
        <w:t>odels are useful for explaining</w:t>
      </w:r>
      <w:r>
        <w:t xml:space="preserve"> (2013, 109)</w:t>
      </w:r>
      <w:r w:rsidR="00031B8C">
        <w:t>.</w:t>
      </w:r>
    </w:p>
  </w:footnote>
  <w:footnote w:id="28">
    <w:p w:rsidR="00CA0177" w:rsidRDefault="00CA0177" w:rsidP="00D04EA3">
      <w:pPr>
        <w:pStyle w:val="af"/>
        <w:jc w:val="both"/>
      </w:pPr>
      <w:r>
        <w:rPr>
          <w:rStyle w:val="a6"/>
        </w:rPr>
        <w:footnoteRef/>
      </w:r>
      <w:r>
        <w:t xml:space="preserve"> The discussion surrounding representational strategies started from Richard Levins (1966), </w:t>
      </w:r>
      <w:r>
        <w:rPr>
          <w:rFonts w:hint="eastAsia"/>
        </w:rPr>
        <w:t xml:space="preserve">who </w:t>
      </w:r>
      <w:r>
        <w:t>claim</w:t>
      </w:r>
      <w:r>
        <w:rPr>
          <w:rFonts w:hint="eastAsia"/>
        </w:rPr>
        <w:t>ed</w:t>
      </w:r>
      <w:r>
        <w:t xml:space="preserve"> that there are three types of representational strategies (i.e. realism, precision and generality) among which tradeoffs exist, and continued well into this century by Orzack and Sober (1993), Taylor (2000), Odenbaugh (2003, 2006), Orzack (2005), Weisberg (2006), </w:t>
      </w:r>
      <w:r w:rsidR="00A261E9">
        <w:t>Matthewson</w:t>
      </w:r>
      <w:r w:rsidR="00A261E9">
        <w:t xml:space="preserve"> and </w:t>
      </w:r>
      <w:r>
        <w:t>Weisberg (2009), etc.</w:t>
      </w:r>
    </w:p>
  </w:footnote>
  <w:footnote w:id="29">
    <w:p w:rsidR="00CA0177" w:rsidRDefault="00CA0177">
      <w:pPr>
        <w:pStyle w:val="af"/>
      </w:pPr>
      <w:r>
        <w:rPr>
          <w:rStyle w:val="a6"/>
        </w:rPr>
        <w:footnoteRef/>
      </w:r>
      <w:r>
        <w:t xml:space="preserve"> Weisberg himself also distinguishes various different representational ideals: completeness, simplicity, 1-causal, maxout, and P-general. For details please see his (2013, chapter 6, section 2).</w:t>
      </w:r>
    </w:p>
  </w:footnote>
  <w:footnote w:id="30">
    <w:p w:rsidR="00CA0177" w:rsidRDefault="00CA0177" w:rsidP="00F05C08">
      <w:pPr>
        <w:pStyle w:val="af"/>
        <w:jc w:val="both"/>
      </w:pPr>
      <w:r>
        <w:rPr>
          <w:rStyle w:val="a6"/>
        </w:rPr>
        <w:footnoteRef/>
      </w:r>
      <w:r>
        <w:t xml:space="preserve"> The semantic view about models (or more generally about theories) has two versions, one is the set-theoretic predicate approach developed </w:t>
      </w:r>
      <w:r w:rsidRPr="00C1727E">
        <w:rPr>
          <w:color w:val="000000"/>
        </w:rPr>
        <w:t>by</w:t>
      </w:r>
      <w:r w:rsidRPr="00F05C08">
        <w:rPr>
          <w:color w:val="000000"/>
        </w:rPr>
        <w:t xml:space="preserve"> Suppes (</w:t>
      </w:r>
      <w:r w:rsidRPr="00C1727E">
        <w:rPr>
          <w:rFonts w:hint="eastAsia"/>
          <w:color w:val="000000"/>
        </w:rPr>
        <w:t xml:space="preserve">1957, </w:t>
      </w:r>
      <w:r w:rsidRPr="00F05C08">
        <w:rPr>
          <w:color w:val="000000"/>
        </w:rPr>
        <w:t>1960, 1962, 1967), Sneed (1971) and Stegmuller (1976)</w:t>
      </w:r>
      <w:r w:rsidRPr="00C1727E">
        <w:rPr>
          <w:color w:val="000000"/>
        </w:rPr>
        <w:t xml:space="preserve">, and the other is the state space approach developed by </w:t>
      </w:r>
      <w:r w:rsidRPr="00F05C08">
        <w:rPr>
          <w:color w:val="000000"/>
        </w:rPr>
        <w:t>van Fraassen (1970, 1972, 1974) and Suppe (1974</w:t>
      </w:r>
      <w:r w:rsidRPr="00C1727E">
        <w:rPr>
          <w:rFonts w:hint="eastAsia"/>
          <w:color w:val="000000"/>
        </w:rPr>
        <w:t>, 1977</w:t>
      </w:r>
      <w:r w:rsidRPr="00F05C08">
        <w:rPr>
          <w:color w:val="000000"/>
        </w:rPr>
        <w:t>)</w:t>
      </w:r>
      <w:r w:rsidRPr="00C1727E">
        <w:rPr>
          <w:color w:val="000000"/>
        </w:rPr>
        <w:t>.</w:t>
      </w:r>
    </w:p>
  </w:footnote>
  <w:footnote w:id="31">
    <w:p w:rsidR="00CA0177" w:rsidRDefault="00CA0177" w:rsidP="002341CC">
      <w:pPr>
        <w:pStyle w:val="af"/>
        <w:jc w:val="both"/>
      </w:pPr>
      <w:r>
        <w:rPr>
          <w:rStyle w:val="a6"/>
        </w:rPr>
        <w:footnoteRef/>
      </w:r>
      <w:r>
        <w:t xml:space="preserve"> The semantic view of models, as Weisberg himself criticizes, takes mathematical models to be more or less equivalent to logicians’ models, and thus accounts for the model-world relation by tools (typically </w:t>
      </w:r>
      <w:r w:rsidRPr="002755D5">
        <w:rPr>
          <w:i/>
        </w:rPr>
        <w:t>set theory</w:t>
      </w:r>
      <w:r>
        <w:t xml:space="preserve">) appropriate for logicians’ models. In particular, it takes model-world relation to be an isomorphism relationship (or some weakened versions), i.e. a mapping between two </w:t>
      </w:r>
      <w:r w:rsidRPr="002755D5">
        <w:rPr>
          <w:i/>
        </w:rPr>
        <w:t>sets</w:t>
      </w:r>
      <w:r>
        <w:t xml:space="preserve"> that pr</w:t>
      </w:r>
      <w:r w:rsidR="00031B8C">
        <w:t>eserves structure and relations</w:t>
      </w:r>
      <w:r>
        <w:t xml:space="preserve"> (Weisberg 2013, 137-</w:t>
      </w:r>
      <w:r w:rsidR="00073001">
        <w:t>1</w:t>
      </w:r>
      <w:r>
        <w:t>38)</w:t>
      </w:r>
      <w:r w:rsidR="00031B8C">
        <w:t>.</w:t>
      </w:r>
    </w:p>
  </w:footnote>
  <w:footnote w:id="32">
    <w:p w:rsidR="008B5B49" w:rsidRPr="008B5B49" w:rsidRDefault="008B5B49">
      <w:pPr>
        <w:pStyle w:val="af"/>
      </w:pPr>
      <w:r>
        <w:rPr>
          <w:rStyle w:val="a6"/>
        </w:rPr>
        <w:footnoteRef/>
      </w:r>
      <w:r>
        <w:t xml:space="preserve"> I thank Arnaud Pocheville for bringing this to my attention.</w:t>
      </w:r>
    </w:p>
  </w:footnote>
  <w:footnote w:id="33">
    <w:p w:rsidR="00CA0177" w:rsidRPr="00470AB3" w:rsidRDefault="00CA0177">
      <w:pPr>
        <w:pStyle w:val="af"/>
      </w:pPr>
      <w:r>
        <w:rPr>
          <w:rStyle w:val="a6"/>
        </w:rPr>
        <w:footnoteRef/>
      </w:r>
      <w:r>
        <w:t xml:space="preserve"> </w:t>
      </w:r>
      <w:r>
        <w:rPr>
          <w:rFonts w:hint="eastAsia"/>
        </w:rPr>
        <w:t>I will say more about my conception of structures in the next section.</w:t>
      </w:r>
    </w:p>
  </w:footnote>
  <w:footnote w:id="34">
    <w:p w:rsidR="00CA0177" w:rsidRDefault="00CA0177" w:rsidP="008E4695">
      <w:pPr>
        <w:pStyle w:val="af"/>
        <w:jc w:val="both"/>
      </w:pPr>
      <w:r>
        <w:rPr>
          <w:rStyle w:val="a6"/>
        </w:rPr>
        <w:footnoteRef/>
      </w:r>
      <w:r>
        <w:t xml:space="preserve"> </w:t>
      </w:r>
      <w:r>
        <w:rPr>
          <w:lang w:val="en-AU"/>
        </w:rPr>
        <w:t>A proponent of similarity view can reply that the whole structure composed of various interconnected elements can be thought of as a single feature, and the similarity judgment is just made about the similarity of this single feature between the model and the target. But this way of reply makes Weisberg’s vie</w:t>
      </w:r>
      <w:r w:rsidR="001E78B6">
        <w:rPr>
          <w:lang w:val="en-AU"/>
        </w:rPr>
        <w:t xml:space="preserve">w descend into a version of </w:t>
      </w:r>
      <w:r>
        <w:rPr>
          <w:lang w:val="en-AU"/>
        </w:rPr>
        <w:t>holistic approach that he rejects.</w:t>
      </w:r>
    </w:p>
  </w:footnote>
  <w:footnote w:id="35">
    <w:p w:rsidR="00CA0177" w:rsidRPr="00B963DA" w:rsidRDefault="00CA0177" w:rsidP="00B963DA">
      <w:pPr>
        <w:pStyle w:val="af"/>
        <w:jc w:val="both"/>
      </w:pPr>
      <w:r>
        <w:rPr>
          <w:rStyle w:val="a6"/>
        </w:rPr>
        <w:footnoteRef/>
      </w:r>
      <w:r>
        <w:t xml:space="preserve"> </w:t>
      </w:r>
      <w:r>
        <w:rPr>
          <w:rFonts w:hint="eastAsia"/>
        </w:rPr>
        <w:t xml:space="preserve">In cases where no causal relation (direct or indirect) </w:t>
      </w:r>
      <w:r>
        <w:t xml:space="preserve">holds </w:t>
      </w:r>
      <w:r>
        <w:rPr>
          <w:rFonts w:hint="eastAsia"/>
        </w:rPr>
        <w:t xml:space="preserve">between two variables, </w:t>
      </w:r>
      <w:r>
        <w:t>the</w:t>
      </w:r>
      <w:r>
        <w:rPr>
          <w:rFonts w:hint="eastAsia"/>
        </w:rPr>
        <w:t xml:space="preserve"> situation could be slightly different, for weighting one would not affect weighting the other. For example, if there is no causal relation between </w:t>
      </w:r>
      <w:r w:rsidRPr="00B963DA">
        <w:rPr>
          <w:rFonts w:hint="eastAsia"/>
          <w:i/>
        </w:rPr>
        <w:t>X</w:t>
      </w:r>
      <w:r w:rsidRPr="00B963DA">
        <w:rPr>
          <w:rFonts w:hint="eastAsia"/>
          <w:i/>
          <w:vertAlign w:val="subscript"/>
        </w:rPr>
        <w:t>3</w:t>
      </w:r>
      <w:r>
        <w:rPr>
          <w:rFonts w:hint="eastAsia"/>
        </w:rPr>
        <w:t xml:space="preserve"> and </w:t>
      </w:r>
      <w:r w:rsidRPr="00B963DA">
        <w:rPr>
          <w:rFonts w:hint="eastAsia"/>
          <w:i/>
        </w:rPr>
        <w:t>X</w:t>
      </w:r>
      <w:r w:rsidRPr="00B963DA">
        <w:rPr>
          <w:rFonts w:hint="eastAsia"/>
          <w:i/>
          <w:vertAlign w:val="subscript"/>
        </w:rPr>
        <w:t>4</w:t>
      </w:r>
      <w:r>
        <w:rPr>
          <w:rFonts w:hint="eastAsia"/>
        </w:rPr>
        <w:t xml:space="preserve"> in the leaf gas-exchange model, then weighting the causal relation between </w:t>
      </w:r>
      <w:r w:rsidRPr="00EA4367">
        <w:rPr>
          <w:rFonts w:hint="eastAsia"/>
          <w:i/>
        </w:rPr>
        <w:t>X</w:t>
      </w:r>
      <w:r w:rsidRPr="00EA4367">
        <w:rPr>
          <w:rFonts w:hint="eastAsia"/>
          <w:i/>
          <w:vertAlign w:val="subscript"/>
        </w:rPr>
        <w:t>3</w:t>
      </w:r>
      <w:r>
        <w:rPr>
          <w:rFonts w:hint="eastAsia"/>
        </w:rPr>
        <w:t xml:space="preserve"> and </w:t>
      </w:r>
      <w:r w:rsidRPr="00EA4367">
        <w:rPr>
          <w:rFonts w:hint="eastAsia"/>
          <w:i/>
        </w:rPr>
        <w:t>X</w:t>
      </w:r>
      <w:r w:rsidRPr="00EA4367">
        <w:rPr>
          <w:rFonts w:hint="eastAsia"/>
          <w:i/>
          <w:vertAlign w:val="subscript"/>
        </w:rPr>
        <w:t>5</w:t>
      </w:r>
      <w:r>
        <w:rPr>
          <w:rFonts w:hint="eastAsia"/>
        </w:rPr>
        <w:t xml:space="preserve"> would not affect weighting the one between </w:t>
      </w:r>
      <w:r w:rsidRPr="00EA4367">
        <w:rPr>
          <w:rFonts w:hint="eastAsia"/>
          <w:i/>
        </w:rPr>
        <w:t>X</w:t>
      </w:r>
      <w:r w:rsidRPr="00EA4367">
        <w:rPr>
          <w:rFonts w:hint="eastAsia"/>
          <w:i/>
          <w:vertAlign w:val="subscript"/>
        </w:rPr>
        <w:t>4</w:t>
      </w:r>
      <w:r>
        <w:rPr>
          <w:rFonts w:hint="eastAsia"/>
        </w:rPr>
        <w:t xml:space="preserve"> and </w:t>
      </w:r>
      <w:r w:rsidRPr="00EA4367">
        <w:rPr>
          <w:rFonts w:hint="eastAsia"/>
          <w:i/>
        </w:rPr>
        <w:t>X</w:t>
      </w:r>
      <w:r w:rsidRPr="00EA4367">
        <w:rPr>
          <w:rFonts w:hint="eastAsia"/>
          <w:i/>
          <w:vertAlign w:val="subscript"/>
        </w:rPr>
        <w:t>5</w:t>
      </w:r>
      <w:r>
        <w:rPr>
          <w:rFonts w:hint="eastAsia"/>
        </w:rPr>
        <w:t xml:space="preserve">. </w:t>
      </w:r>
      <w:r>
        <w:t>B</w:t>
      </w:r>
      <w:r>
        <w:rPr>
          <w:rFonts w:hint="eastAsia"/>
        </w:rPr>
        <w:t>ut the general claim still applies here, for many (if not most) variables in the model still bear causal relations on one another.</w:t>
      </w:r>
    </w:p>
  </w:footnote>
  <w:footnote w:id="36">
    <w:p w:rsidR="005A58C1" w:rsidRPr="005A58C1" w:rsidRDefault="005A58C1" w:rsidP="00455484">
      <w:pPr>
        <w:pStyle w:val="af"/>
        <w:jc w:val="both"/>
      </w:pPr>
      <w:r>
        <w:rPr>
          <w:rStyle w:val="a6"/>
        </w:rPr>
        <w:footnoteRef/>
      </w:r>
      <w:r>
        <w:t xml:space="preserve"> </w:t>
      </w:r>
      <w:r w:rsidR="00726BBB" w:rsidRPr="00726BBB">
        <w:t>A</w:t>
      </w:r>
      <w:r w:rsidRPr="00726BBB">
        <w:t xml:space="preserve"> whole body of literature falls into this category of non-set-theoretic approach, such as the “mediating models movement” led by Morgan and Morrison (1999), </w:t>
      </w:r>
      <w:r w:rsidR="00455484" w:rsidRPr="00726BBB">
        <w:t xml:space="preserve">R. I. G. Hughes’s “denotation-demonstration-interpretation” account (1997), </w:t>
      </w:r>
      <w:r w:rsidR="00455484" w:rsidRPr="00726BBB">
        <w:rPr>
          <w:rFonts w:eastAsia="Times New Roman"/>
        </w:rPr>
        <w:t>Suárez’s “inferential account” (2004, 2015a, 2015b), etc.</w:t>
      </w:r>
      <w:r w:rsidR="00AD6A55" w:rsidRPr="00726BBB">
        <w:rPr>
          <w:rFonts w:eastAsia="Times New Roman"/>
        </w:rPr>
        <w:t xml:space="preserve"> Suárez</w:t>
      </w:r>
      <w:r w:rsidR="00726BBB" w:rsidRPr="00726BBB">
        <w:rPr>
          <w:rFonts w:eastAsia="Times New Roman"/>
        </w:rPr>
        <w:t>,</w:t>
      </w:r>
      <w:r w:rsidR="00AD6A55" w:rsidRPr="00726BBB">
        <w:rPr>
          <w:rFonts w:eastAsia="Times New Roman"/>
        </w:rPr>
        <w:t xml:space="preserve"> in some sense</w:t>
      </w:r>
      <w:r w:rsidR="00726BBB" w:rsidRPr="00726BBB">
        <w:rPr>
          <w:rFonts w:eastAsia="Times New Roman"/>
        </w:rPr>
        <w:t>,</w:t>
      </w:r>
      <w:r w:rsidR="00AD6A55" w:rsidRPr="00726BBB">
        <w:rPr>
          <w:rFonts w:eastAsia="Times New Roman"/>
        </w:rPr>
        <w:t xml:space="preserve"> even anticipates the “anti-set-theoretic” criticism developed in this article, as he claims</w:t>
      </w:r>
      <w:r w:rsidR="00815B9E">
        <w:rPr>
          <w:rFonts w:eastAsia="Times New Roman"/>
        </w:rPr>
        <w:t>,</w:t>
      </w:r>
      <w:r w:rsidR="00AD6A55" w:rsidRPr="00726BBB">
        <w:rPr>
          <w:rFonts w:eastAsia="Times New Roman"/>
        </w:rPr>
        <w:t xml:space="preserve"> when criticizing the Tversky-Weisberg similarity account</w:t>
      </w:r>
      <w:r w:rsidR="00815B9E">
        <w:rPr>
          <w:rFonts w:eastAsia="Times New Roman"/>
        </w:rPr>
        <w:t>,</w:t>
      </w:r>
      <w:r w:rsidR="00AD6A55" w:rsidRPr="00726BBB">
        <w:rPr>
          <w:rFonts w:eastAsia="Times New Roman"/>
        </w:rPr>
        <w:t xml:space="preserve"> that “the idea of context-relative description presupposes that some antecedent notion of representation is already in place, since it assumes that sources and targets are </w:t>
      </w:r>
      <w:r w:rsidR="00AD6A55" w:rsidRPr="00726BBB">
        <w:rPr>
          <w:rFonts w:eastAsia="Times New Roman"/>
          <w:i/>
        </w:rPr>
        <w:t>represented</w:t>
      </w:r>
      <w:r w:rsidR="00AD6A55" w:rsidRPr="00726BBB">
        <w:rPr>
          <w:rFonts w:eastAsia="Times New Roman"/>
        </w:rPr>
        <w:t xml:space="preserve"> </w:t>
      </w:r>
      <w:r w:rsidR="00AD6A55" w:rsidRPr="00726BBB">
        <w:rPr>
          <w:rFonts w:eastAsia="Times New Roman"/>
          <w:i/>
        </w:rPr>
        <w:t>as having particular sets of features</w:t>
      </w:r>
      <w:r w:rsidR="00815B9E">
        <w:rPr>
          <w:rFonts w:eastAsia="Times New Roman"/>
        </w:rPr>
        <w:t xml:space="preserve"> in context”</w:t>
      </w:r>
      <w:r w:rsidR="00AD6A55" w:rsidRPr="00726BBB">
        <w:rPr>
          <w:rFonts w:eastAsia="Times New Roman"/>
        </w:rPr>
        <w:t xml:space="preserve"> (Suárez 2015a, 8; </w:t>
      </w:r>
      <w:r w:rsidR="001917FA" w:rsidRPr="00726BBB">
        <w:rPr>
          <w:rFonts w:eastAsia="Times New Roman"/>
        </w:rPr>
        <w:t>my</w:t>
      </w:r>
      <w:r w:rsidR="00AD6A55" w:rsidRPr="00726BBB">
        <w:rPr>
          <w:rFonts w:eastAsia="Times New Roman"/>
        </w:rPr>
        <w:t xml:space="preserve"> emphasis)</w:t>
      </w:r>
      <w:r w:rsidR="00815B9E">
        <w:rPr>
          <w:rFonts w:eastAsia="Times New Roman"/>
        </w:rPr>
        <w:t>.</w:t>
      </w:r>
    </w:p>
  </w:footnote>
  <w:footnote w:id="37">
    <w:p w:rsidR="00CA0177" w:rsidRDefault="00CA0177" w:rsidP="005A58C1">
      <w:pPr>
        <w:autoSpaceDE w:val="0"/>
        <w:spacing w:line="0" w:lineRule="atLeast"/>
      </w:pPr>
      <w:r w:rsidRPr="00DE0D35">
        <w:rPr>
          <w:rStyle w:val="a3"/>
          <w:sz w:val="18"/>
          <w:szCs w:val="18"/>
        </w:rPr>
        <w:footnoteRef/>
      </w:r>
      <w:r>
        <w:rPr>
          <w:sz w:val="18"/>
          <w:szCs w:val="18"/>
        </w:rPr>
        <w:t xml:space="preserve"> Least </w:t>
      </w:r>
      <w:proofErr w:type="gramStart"/>
      <w:r>
        <w:rPr>
          <w:sz w:val="18"/>
          <w:szCs w:val="18"/>
        </w:rPr>
        <w:t>squares is</w:t>
      </w:r>
      <w:proofErr w:type="gramEnd"/>
      <w:r>
        <w:rPr>
          <w:sz w:val="18"/>
          <w:szCs w:val="18"/>
        </w:rPr>
        <w:t xml:space="preserve"> a method of fitting a model to data by minimizing the squared differences between observed and predicted values (Johnson and Omland 2004, 102). Whether or not the least squares method is a holistic approach is less obvious but it is at least not set-theoretic, for </w:t>
      </w:r>
      <w:r w:rsidRPr="00D527F2">
        <w:rPr>
          <w:sz w:val="18"/>
          <w:szCs w:val="18"/>
          <w:lang w:val="en-AU"/>
        </w:rPr>
        <w:t>any change in a parameter of the predicted curve will possibly affect all the deviations to be squared (i.e. the distance of each point to the curve)</w:t>
      </w:r>
      <w:r>
        <w:rPr>
          <w:sz w:val="18"/>
          <w:szCs w:val="18"/>
          <w:lang w:val="en-AU"/>
        </w:rPr>
        <w:t>.</w:t>
      </w:r>
    </w:p>
  </w:footnote>
  <w:footnote w:id="38">
    <w:p w:rsidR="00B70CE4" w:rsidRPr="00B70CE4" w:rsidRDefault="00B70CE4" w:rsidP="00B51CC0">
      <w:pPr>
        <w:pStyle w:val="af"/>
        <w:jc w:val="both"/>
      </w:pPr>
      <w:r>
        <w:rPr>
          <w:rStyle w:val="a6"/>
        </w:rPr>
        <w:footnoteRef/>
      </w:r>
      <w:r>
        <w:t xml:space="preserve"> </w:t>
      </w:r>
      <w:r w:rsidRPr="00E5215D">
        <w:rPr>
          <w:rFonts w:eastAsia="Times New Roman"/>
        </w:rPr>
        <w:t xml:space="preserve">Suárez’s use-based inferential account is especially pertinent, </w:t>
      </w:r>
      <w:r w:rsidR="00E5215D">
        <w:rPr>
          <w:rFonts w:eastAsia="Times New Roman"/>
        </w:rPr>
        <w:t>expressing</w:t>
      </w:r>
      <w:r w:rsidR="00B51CC0" w:rsidRPr="00E5215D">
        <w:rPr>
          <w:rFonts w:eastAsia="Times New Roman"/>
        </w:rPr>
        <w:t xml:space="preserve"> that “</w:t>
      </w:r>
      <w:r w:rsidR="00B51CC0" w:rsidRPr="00E5215D">
        <w:rPr>
          <w:rFonts w:eastAsia="Times New Roman"/>
          <w:i/>
        </w:rPr>
        <w:t>A</w:t>
      </w:r>
      <w:r w:rsidR="00B51CC0" w:rsidRPr="00E5215D">
        <w:rPr>
          <w:rFonts w:eastAsia="Times New Roman"/>
        </w:rPr>
        <w:t xml:space="preserve"> represents </w:t>
      </w:r>
      <w:r w:rsidR="00B51CC0" w:rsidRPr="00E5215D">
        <w:rPr>
          <w:rFonts w:eastAsia="Times New Roman"/>
          <w:i/>
        </w:rPr>
        <w:t>B</w:t>
      </w:r>
      <w:r w:rsidR="00B51CC0" w:rsidRPr="00E5215D">
        <w:rPr>
          <w:rFonts w:eastAsia="Times New Roman"/>
        </w:rPr>
        <w:t xml:space="preserve"> if (</w:t>
      </w:r>
      <w:proofErr w:type="spellStart"/>
      <w:r w:rsidR="00B51CC0" w:rsidRPr="00E5215D">
        <w:rPr>
          <w:rFonts w:eastAsia="Times New Roman"/>
        </w:rPr>
        <w:t>i</w:t>
      </w:r>
      <w:proofErr w:type="spellEnd"/>
      <w:r w:rsidR="00B51CC0" w:rsidRPr="00E5215D">
        <w:rPr>
          <w:rFonts w:eastAsia="Times New Roman"/>
        </w:rPr>
        <w:t xml:space="preserve">) the representational force of </w:t>
      </w:r>
      <w:r w:rsidR="00B51CC0" w:rsidRPr="00E5215D">
        <w:rPr>
          <w:rFonts w:eastAsia="Times New Roman"/>
          <w:i/>
        </w:rPr>
        <w:t>A</w:t>
      </w:r>
      <w:r w:rsidR="00B51CC0" w:rsidRPr="00E5215D">
        <w:rPr>
          <w:rFonts w:eastAsia="Times New Roman"/>
        </w:rPr>
        <w:t xml:space="preserve"> points towards </w:t>
      </w:r>
      <w:r w:rsidR="00B51CC0" w:rsidRPr="00E5215D">
        <w:rPr>
          <w:rFonts w:eastAsia="Times New Roman"/>
          <w:i/>
        </w:rPr>
        <w:t>B</w:t>
      </w:r>
      <w:r w:rsidR="00B51CC0" w:rsidRPr="00E5215D">
        <w:rPr>
          <w:rFonts w:eastAsia="Times New Roman"/>
        </w:rPr>
        <w:t xml:space="preserve">, and (ii) </w:t>
      </w:r>
      <w:r w:rsidR="00B51CC0" w:rsidRPr="00E5215D">
        <w:rPr>
          <w:rFonts w:eastAsia="Times New Roman"/>
          <w:i/>
        </w:rPr>
        <w:t>A</w:t>
      </w:r>
      <w:r w:rsidR="00B51CC0" w:rsidRPr="00E5215D">
        <w:rPr>
          <w:rFonts w:eastAsia="Times New Roman"/>
        </w:rPr>
        <w:t xml:space="preserve"> allows competent and informed agents to draw specific inferences regarding </w:t>
      </w:r>
      <w:r w:rsidR="00B51CC0" w:rsidRPr="00E5215D">
        <w:rPr>
          <w:rFonts w:eastAsia="Times New Roman"/>
          <w:i/>
        </w:rPr>
        <w:t>B</w:t>
      </w:r>
      <w:r w:rsidR="00B51CC0" w:rsidRPr="00E5215D">
        <w:rPr>
          <w:rFonts w:eastAsia="Times New Roman"/>
        </w:rPr>
        <w:t>” (2004, 773)</w:t>
      </w:r>
      <w:r w:rsidR="00994338">
        <w:rPr>
          <w:rFonts w:eastAsia="Times New Roman"/>
        </w:rPr>
        <w:t>.</w:t>
      </w:r>
      <w:r w:rsidR="00B51CC0" w:rsidRPr="00E5215D">
        <w:rPr>
          <w:rFonts w:eastAsia="Times New Roman"/>
        </w:rPr>
        <w:t xml:space="preserve"> Note that the reference to the presence of agents and purposes of inquiry is crucial for this account: “First, the establishing and maintaining of representational force in (</w:t>
      </w:r>
      <w:proofErr w:type="spellStart"/>
      <w:r w:rsidR="00B51CC0" w:rsidRPr="00E5215D">
        <w:rPr>
          <w:rFonts w:eastAsia="Times New Roman"/>
        </w:rPr>
        <w:t>i</w:t>
      </w:r>
      <w:proofErr w:type="spellEnd"/>
      <w:r w:rsidR="00B51CC0" w:rsidRPr="00E5215D">
        <w:rPr>
          <w:rFonts w:eastAsia="Times New Roman"/>
        </w:rPr>
        <w:t xml:space="preserve">) requires some agent’s intended uses to be in place; and these will be driven by pragmatic considerations. Second, the type and level of competence and information required in (ii) for an agent to draw inferences regarding </w:t>
      </w:r>
      <w:r w:rsidR="00B51CC0" w:rsidRPr="00E5215D">
        <w:rPr>
          <w:rFonts w:eastAsia="Times New Roman"/>
          <w:i/>
        </w:rPr>
        <w:t>B</w:t>
      </w:r>
      <w:r w:rsidR="00B51CC0" w:rsidRPr="00E5215D">
        <w:rPr>
          <w:rFonts w:eastAsia="Times New Roman"/>
        </w:rPr>
        <w:t xml:space="preserve"> on the basis of reasoning about </w:t>
      </w:r>
      <w:r w:rsidR="00B51CC0" w:rsidRPr="00E5215D">
        <w:rPr>
          <w:rFonts w:eastAsia="Times New Roman"/>
          <w:i/>
        </w:rPr>
        <w:t>A</w:t>
      </w:r>
      <w:r w:rsidR="00B51CC0" w:rsidRPr="00E5215D">
        <w:rPr>
          <w:rFonts w:eastAsia="Times New Roman"/>
        </w:rPr>
        <w:t xml:space="preserve"> is a pragmatic skill that depends on the aim and context of the particular inquiry” (2004, 773). This account is deflationist because it construes representation as </w:t>
      </w:r>
      <w:r w:rsidR="00B51CC0" w:rsidRPr="00E5215D">
        <w:rPr>
          <w:rFonts w:eastAsia="Times New Roman"/>
          <w:i/>
        </w:rPr>
        <w:t>means</w:t>
      </w:r>
      <w:r w:rsidR="006636C9" w:rsidRPr="00E5215D">
        <w:rPr>
          <w:rFonts w:eastAsia="Times New Roman"/>
        </w:rPr>
        <w:t xml:space="preserve">, rather than </w:t>
      </w:r>
      <w:r w:rsidR="006636C9" w:rsidRPr="00E5215D">
        <w:rPr>
          <w:rFonts w:eastAsia="Times New Roman"/>
          <w:i/>
        </w:rPr>
        <w:t>constituents</w:t>
      </w:r>
      <w:r w:rsidR="006636C9" w:rsidRPr="00E5215D">
        <w:rPr>
          <w:rFonts w:eastAsia="Times New Roman"/>
        </w:rPr>
        <w:t>, of inference-making, implying that represen</w:t>
      </w:r>
      <w:r w:rsidR="00994338">
        <w:rPr>
          <w:rFonts w:eastAsia="Times New Roman"/>
        </w:rPr>
        <w:t>tation</w:t>
      </w:r>
      <w:r w:rsidR="006636C9" w:rsidRPr="00E5215D">
        <w:rPr>
          <w:rFonts w:eastAsia="Times New Roman"/>
        </w:rPr>
        <w:t xml:space="preserve"> </w:t>
      </w:r>
      <w:r w:rsidR="00E5215D">
        <w:rPr>
          <w:rFonts w:eastAsia="Times New Roman"/>
        </w:rPr>
        <w:t>can be fulfilled by</w:t>
      </w:r>
      <w:r w:rsidR="006636C9" w:rsidRPr="00E5215D">
        <w:rPr>
          <w:rFonts w:eastAsia="Times New Roman"/>
        </w:rPr>
        <w:t xml:space="preserve"> any means of inference (such as induction, deduction, abduction, etc.), without</w:t>
      </w:r>
      <w:r w:rsidR="006636C9" w:rsidRPr="005944F3">
        <w:rPr>
          <w:rFonts w:eastAsia="Times New Roman"/>
          <w:b/>
        </w:rPr>
        <w:t xml:space="preserve"> </w:t>
      </w:r>
      <w:r w:rsidR="006636C9" w:rsidRPr="00E5215D">
        <w:rPr>
          <w:rFonts w:eastAsia="Times New Roman"/>
        </w:rPr>
        <w:t xml:space="preserve">committing to any constitutive </w:t>
      </w:r>
      <w:r w:rsidR="007B10FE" w:rsidRPr="00E5215D">
        <w:rPr>
          <w:rFonts w:eastAsia="Times New Roman"/>
        </w:rPr>
        <w:t xml:space="preserve">relationship </w:t>
      </w:r>
      <w:r w:rsidR="00E85825" w:rsidRPr="00E5215D">
        <w:rPr>
          <w:rFonts w:eastAsia="Times New Roman"/>
        </w:rPr>
        <w:t xml:space="preserve">(such as similarity, isomorphism, partial isomorphism, homomorphism, etc.) </w:t>
      </w:r>
      <w:r w:rsidR="007B10FE" w:rsidRPr="00E5215D">
        <w:rPr>
          <w:rFonts w:eastAsia="Times New Roman"/>
        </w:rPr>
        <w:t>between the target and the model</w:t>
      </w:r>
      <w:r w:rsidR="006636C9" w:rsidRPr="00E5215D">
        <w:rPr>
          <w:rFonts w:eastAsia="Times New Roman"/>
        </w:rPr>
        <w:t>.</w:t>
      </w:r>
    </w:p>
  </w:footnote>
  <w:footnote w:id="39">
    <w:p w:rsidR="00F01CBB" w:rsidRPr="00F01CBB" w:rsidRDefault="00F01CBB" w:rsidP="00F01CBB">
      <w:pPr>
        <w:pStyle w:val="af"/>
        <w:jc w:val="both"/>
        <w:rPr>
          <w:lang w:val="en-AU"/>
        </w:rPr>
      </w:pPr>
      <w:r>
        <w:rPr>
          <w:rStyle w:val="a6"/>
        </w:rPr>
        <w:footnoteRef/>
      </w:r>
      <w:r>
        <w:t xml:space="preserve"> </w:t>
      </w:r>
      <w:r w:rsidR="00994338">
        <w:rPr>
          <w:lang w:val="en-AU"/>
        </w:rPr>
        <w:t>Though</w:t>
      </w:r>
      <w:r w:rsidRPr="00E5215D">
        <w:rPr>
          <w:lang w:val="en-AU"/>
        </w:rPr>
        <w:t xml:space="preserve"> my </w:t>
      </w:r>
      <w:r w:rsidR="00994338">
        <w:rPr>
          <w:lang w:val="en-AU"/>
        </w:rPr>
        <w:t>account</w:t>
      </w:r>
      <w:r w:rsidRPr="00E5215D">
        <w:rPr>
          <w:lang w:val="en-AU"/>
        </w:rPr>
        <w:t xml:space="preserve"> is developed using a mathematical model</w:t>
      </w:r>
      <w:r w:rsidR="00994338">
        <w:rPr>
          <w:lang w:val="en-AU"/>
        </w:rPr>
        <w:t xml:space="preserve"> as an example,</w:t>
      </w:r>
      <w:r w:rsidRPr="00E5215D">
        <w:rPr>
          <w:lang w:val="en-AU"/>
        </w:rPr>
        <w:t xml:space="preserve"> I do not think it cannot be applied to concrete models. </w:t>
      </w:r>
      <w:r w:rsidR="00F45C76">
        <w:rPr>
          <w:lang w:val="en-AU"/>
        </w:rPr>
        <w:t xml:space="preserve">It will be worth developing another article to support this claim, but let me just </w:t>
      </w:r>
      <w:proofErr w:type="gramStart"/>
      <w:r w:rsidR="00F45C76">
        <w:rPr>
          <w:lang w:val="en-AU"/>
        </w:rPr>
        <w:t>mention</w:t>
      </w:r>
      <w:proofErr w:type="gramEnd"/>
      <w:r w:rsidR="00F45C76">
        <w:rPr>
          <w:lang w:val="en-AU"/>
        </w:rPr>
        <w:t xml:space="preserve"> several points relevant to our current purpose. First, </w:t>
      </w:r>
      <w:r w:rsidRPr="00E5215D">
        <w:rPr>
          <w:lang w:val="en-AU"/>
        </w:rPr>
        <w:t xml:space="preserve">I agree </w:t>
      </w:r>
      <w:r w:rsidR="00994338">
        <w:rPr>
          <w:lang w:val="en-AU"/>
        </w:rPr>
        <w:t>(</w:t>
      </w:r>
      <w:r w:rsidRPr="00E5215D">
        <w:rPr>
          <w:lang w:val="en-AU"/>
        </w:rPr>
        <w:t>with Weisberg</w:t>
      </w:r>
      <w:r w:rsidR="00994338">
        <w:rPr>
          <w:lang w:val="en-AU"/>
        </w:rPr>
        <w:t>)</w:t>
      </w:r>
      <w:r w:rsidRPr="00E5215D">
        <w:rPr>
          <w:lang w:val="en-AU"/>
        </w:rPr>
        <w:t xml:space="preserve"> that concrete models are concrete stru</w:t>
      </w:r>
      <w:r w:rsidR="00994338">
        <w:rPr>
          <w:lang w:val="en-AU"/>
        </w:rPr>
        <w:t>ctures (plus certain construal).</w:t>
      </w:r>
      <w:r w:rsidRPr="00E5215D">
        <w:rPr>
          <w:lang w:val="en-AU"/>
        </w:rPr>
        <w:t xml:space="preserve"> </w:t>
      </w:r>
      <w:r w:rsidR="00F45C76">
        <w:rPr>
          <w:lang w:val="en-AU"/>
        </w:rPr>
        <w:t>Second, t</w:t>
      </w:r>
      <w:r w:rsidRPr="00E5215D">
        <w:rPr>
          <w:lang w:val="en-AU"/>
        </w:rPr>
        <w:t xml:space="preserve">hese concrete structures, like their mathematical counterparts, are </w:t>
      </w:r>
      <w:r w:rsidRPr="00127686">
        <w:rPr>
          <w:i/>
          <w:lang w:val="en-AU"/>
        </w:rPr>
        <w:t>organized entities</w:t>
      </w:r>
      <w:r w:rsidRPr="00E5215D">
        <w:rPr>
          <w:lang w:val="en-AU"/>
        </w:rPr>
        <w:t xml:space="preserve"> in which elements b</w:t>
      </w:r>
      <w:r w:rsidR="00994338">
        <w:rPr>
          <w:lang w:val="en-AU"/>
        </w:rPr>
        <w:t>ear relationships to each other.</w:t>
      </w:r>
      <w:r w:rsidRPr="00E5215D">
        <w:rPr>
          <w:lang w:val="en-AU"/>
        </w:rPr>
        <w:t xml:space="preserve"> </w:t>
      </w:r>
      <w:r w:rsidR="00F45C76">
        <w:rPr>
          <w:lang w:val="en-AU"/>
        </w:rPr>
        <w:t xml:space="preserve">Third, </w:t>
      </w:r>
      <w:r w:rsidR="00994338">
        <w:rPr>
          <w:lang w:val="en-AU"/>
        </w:rPr>
        <w:t>I think</w:t>
      </w:r>
      <w:r w:rsidRPr="00E5215D">
        <w:rPr>
          <w:lang w:val="en-AU"/>
        </w:rPr>
        <w:t xml:space="preserve"> a set-theoretic approach of comparison (or similarity) cannot capture these organized </w:t>
      </w:r>
      <w:r w:rsidR="008A7E0A">
        <w:rPr>
          <w:lang w:val="en-AU"/>
        </w:rPr>
        <w:t>entities</w:t>
      </w:r>
      <w:r w:rsidRPr="00E5215D">
        <w:rPr>
          <w:lang w:val="en-AU"/>
        </w:rPr>
        <w:t>.</w:t>
      </w:r>
    </w:p>
  </w:footnote>
  <w:footnote w:id="40">
    <w:p w:rsidR="00CA0177" w:rsidRDefault="00CA0177" w:rsidP="00D74F0B">
      <w:pPr>
        <w:pStyle w:val="af"/>
        <w:jc w:val="both"/>
      </w:pPr>
      <w:r>
        <w:rPr>
          <w:rStyle w:val="a3"/>
        </w:rPr>
        <w:footnoteRef/>
      </w:r>
      <w:r>
        <w:t xml:space="preserve"> </w:t>
      </w:r>
      <w:r w:rsidRPr="00EC5A6F">
        <w:rPr>
          <w:i/>
        </w:rPr>
        <w:t>N</w:t>
      </w:r>
      <w:r>
        <w:t xml:space="preserve"> (0, </w:t>
      </w:r>
      <w:r w:rsidRPr="00EC5A6F">
        <w:rPr>
          <w:i/>
        </w:rPr>
        <w:t>σ</w:t>
      </w:r>
      <w:r>
        <w:t xml:space="preserve">) means ‘a normally distributed random variable with a population mean of zero and a population standard deviation of </w:t>
      </w:r>
      <w:r w:rsidRPr="00EC5A6F">
        <w:rPr>
          <w:i/>
        </w:rPr>
        <w:t>σ</w:t>
      </w:r>
      <w:r>
        <w:t>’. Because our interest is in the causal relations between variables but not the mean values of the variables themselves, all variables are ‘centered’ by subtracting the mean value of each variable. This treatment ensures that the mean of each transformed variable is zero and thus the intercepts are zero. Besides, since we assume that all error variables (</w:t>
      </w:r>
      <w:r w:rsidRPr="00EC5A6F">
        <w:rPr>
          <w:i/>
        </w:rPr>
        <w:t>ε</w:t>
      </w:r>
      <w:r>
        <w:t>) are unit normal variables, so they are with a zero mean and a standard deviation of 1. (Shipley 2002, 105-</w:t>
      </w:r>
      <w:r w:rsidR="004E3B0C">
        <w:t>10</w:t>
      </w:r>
      <w:r>
        <w:t>6)</w:t>
      </w:r>
    </w:p>
  </w:footnote>
  <w:footnote w:id="41">
    <w:p w:rsidR="00B47C12" w:rsidRPr="00B47C12" w:rsidRDefault="00B47C12">
      <w:pPr>
        <w:pStyle w:val="af"/>
        <w:rPr>
          <w:lang w:val="en-AU"/>
        </w:rPr>
      </w:pPr>
      <w:r>
        <w:rPr>
          <w:rStyle w:val="a6"/>
        </w:rPr>
        <w:footnoteRef/>
      </w:r>
      <w:r>
        <w:t xml:space="preserve"> I thank Arnaud Pocheville for giving me this demonstration.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78"/>
    <w:rsid w:val="0000304C"/>
    <w:rsid w:val="000044CE"/>
    <w:rsid w:val="00006B48"/>
    <w:rsid w:val="0000748B"/>
    <w:rsid w:val="00010032"/>
    <w:rsid w:val="00010A53"/>
    <w:rsid w:val="00012DC3"/>
    <w:rsid w:val="000130A1"/>
    <w:rsid w:val="00013E1B"/>
    <w:rsid w:val="000144F7"/>
    <w:rsid w:val="0001507C"/>
    <w:rsid w:val="00017443"/>
    <w:rsid w:val="000205C1"/>
    <w:rsid w:val="00023825"/>
    <w:rsid w:val="00025491"/>
    <w:rsid w:val="00025CD0"/>
    <w:rsid w:val="00027215"/>
    <w:rsid w:val="00031B8C"/>
    <w:rsid w:val="00032139"/>
    <w:rsid w:val="000325C9"/>
    <w:rsid w:val="00034F4C"/>
    <w:rsid w:val="000351D6"/>
    <w:rsid w:val="00042F0C"/>
    <w:rsid w:val="00045264"/>
    <w:rsid w:val="00045316"/>
    <w:rsid w:val="00050838"/>
    <w:rsid w:val="00052CD2"/>
    <w:rsid w:val="00055AF7"/>
    <w:rsid w:val="00056034"/>
    <w:rsid w:val="00060CF0"/>
    <w:rsid w:val="00062991"/>
    <w:rsid w:val="000635E9"/>
    <w:rsid w:val="00063F2A"/>
    <w:rsid w:val="00063F73"/>
    <w:rsid w:val="00064A4C"/>
    <w:rsid w:val="0006549C"/>
    <w:rsid w:val="00065FD5"/>
    <w:rsid w:val="000665BD"/>
    <w:rsid w:val="00067961"/>
    <w:rsid w:val="00070F4C"/>
    <w:rsid w:val="00071964"/>
    <w:rsid w:val="0007201C"/>
    <w:rsid w:val="00073001"/>
    <w:rsid w:val="0007450E"/>
    <w:rsid w:val="000749CF"/>
    <w:rsid w:val="00075104"/>
    <w:rsid w:val="000755C0"/>
    <w:rsid w:val="00080FBD"/>
    <w:rsid w:val="00081BC3"/>
    <w:rsid w:val="00083805"/>
    <w:rsid w:val="00087CD1"/>
    <w:rsid w:val="000917A1"/>
    <w:rsid w:val="00092DEA"/>
    <w:rsid w:val="00093ABA"/>
    <w:rsid w:val="000943D9"/>
    <w:rsid w:val="0009612B"/>
    <w:rsid w:val="000A2152"/>
    <w:rsid w:val="000A2C8F"/>
    <w:rsid w:val="000A436E"/>
    <w:rsid w:val="000A489E"/>
    <w:rsid w:val="000B08DF"/>
    <w:rsid w:val="000B1C51"/>
    <w:rsid w:val="000B1FD6"/>
    <w:rsid w:val="000B3CD5"/>
    <w:rsid w:val="000B3F65"/>
    <w:rsid w:val="000B42ED"/>
    <w:rsid w:val="000B4889"/>
    <w:rsid w:val="000B553A"/>
    <w:rsid w:val="000B78A8"/>
    <w:rsid w:val="000B7A34"/>
    <w:rsid w:val="000B7B7A"/>
    <w:rsid w:val="000C3C63"/>
    <w:rsid w:val="000C3CCE"/>
    <w:rsid w:val="000C6902"/>
    <w:rsid w:val="000D04AC"/>
    <w:rsid w:val="000D1A8F"/>
    <w:rsid w:val="000D3898"/>
    <w:rsid w:val="000D4718"/>
    <w:rsid w:val="000D64E8"/>
    <w:rsid w:val="000D6682"/>
    <w:rsid w:val="000E063E"/>
    <w:rsid w:val="000E1185"/>
    <w:rsid w:val="000E28F6"/>
    <w:rsid w:val="000E3F59"/>
    <w:rsid w:val="000E48D4"/>
    <w:rsid w:val="000E53B0"/>
    <w:rsid w:val="000E5AF3"/>
    <w:rsid w:val="000E65C0"/>
    <w:rsid w:val="000E7920"/>
    <w:rsid w:val="000F06ED"/>
    <w:rsid w:val="000F17BB"/>
    <w:rsid w:val="000F1830"/>
    <w:rsid w:val="000F24F1"/>
    <w:rsid w:val="000F2D4C"/>
    <w:rsid w:val="000F3AD5"/>
    <w:rsid w:val="000F5E7E"/>
    <w:rsid w:val="000F6804"/>
    <w:rsid w:val="001002F2"/>
    <w:rsid w:val="001014D0"/>
    <w:rsid w:val="0011083E"/>
    <w:rsid w:val="00110C3D"/>
    <w:rsid w:val="00111FFE"/>
    <w:rsid w:val="001135A4"/>
    <w:rsid w:val="0011440C"/>
    <w:rsid w:val="001144A7"/>
    <w:rsid w:val="00114B35"/>
    <w:rsid w:val="0012249F"/>
    <w:rsid w:val="001248C3"/>
    <w:rsid w:val="00127055"/>
    <w:rsid w:val="00127686"/>
    <w:rsid w:val="00127D8D"/>
    <w:rsid w:val="00131D17"/>
    <w:rsid w:val="00135723"/>
    <w:rsid w:val="00135830"/>
    <w:rsid w:val="00136E9E"/>
    <w:rsid w:val="00137423"/>
    <w:rsid w:val="001377F2"/>
    <w:rsid w:val="001404CA"/>
    <w:rsid w:val="00140A78"/>
    <w:rsid w:val="00143A08"/>
    <w:rsid w:val="001443F7"/>
    <w:rsid w:val="0014782A"/>
    <w:rsid w:val="001501F8"/>
    <w:rsid w:val="00151202"/>
    <w:rsid w:val="0015148A"/>
    <w:rsid w:val="0015541C"/>
    <w:rsid w:val="00155F8D"/>
    <w:rsid w:val="00155F96"/>
    <w:rsid w:val="00156214"/>
    <w:rsid w:val="001643AC"/>
    <w:rsid w:val="0017001E"/>
    <w:rsid w:val="00171331"/>
    <w:rsid w:val="00172DA5"/>
    <w:rsid w:val="00174F7B"/>
    <w:rsid w:val="001777C3"/>
    <w:rsid w:val="0018053B"/>
    <w:rsid w:val="00180ABD"/>
    <w:rsid w:val="001869EE"/>
    <w:rsid w:val="00186B52"/>
    <w:rsid w:val="00190EB3"/>
    <w:rsid w:val="001917FA"/>
    <w:rsid w:val="00191A27"/>
    <w:rsid w:val="00192766"/>
    <w:rsid w:val="00192C90"/>
    <w:rsid w:val="00194917"/>
    <w:rsid w:val="001952B6"/>
    <w:rsid w:val="001A15EC"/>
    <w:rsid w:val="001A1C30"/>
    <w:rsid w:val="001A2B3F"/>
    <w:rsid w:val="001A4F89"/>
    <w:rsid w:val="001A5009"/>
    <w:rsid w:val="001A5827"/>
    <w:rsid w:val="001A5E78"/>
    <w:rsid w:val="001A733C"/>
    <w:rsid w:val="001A7F9E"/>
    <w:rsid w:val="001B0601"/>
    <w:rsid w:val="001B09EA"/>
    <w:rsid w:val="001B11FE"/>
    <w:rsid w:val="001B1694"/>
    <w:rsid w:val="001B2AC1"/>
    <w:rsid w:val="001B5133"/>
    <w:rsid w:val="001B5167"/>
    <w:rsid w:val="001B5A16"/>
    <w:rsid w:val="001B5AFE"/>
    <w:rsid w:val="001B69E0"/>
    <w:rsid w:val="001C120F"/>
    <w:rsid w:val="001C1561"/>
    <w:rsid w:val="001C1919"/>
    <w:rsid w:val="001C6A31"/>
    <w:rsid w:val="001D132E"/>
    <w:rsid w:val="001D17EF"/>
    <w:rsid w:val="001D2CE3"/>
    <w:rsid w:val="001D3CE7"/>
    <w:rsid w:val="001D7FC4"/>
    <w:rsid w:val="001E78B6"/>
    <w:rsid w:val="001E7F1E"/>
    <w:rsid w:val="001F00F9"/>
    <w:rsid w:val="001F3EEE"/>
    <w:rsid w:val="001F4C10"/>
    <w:rsid w:val="001F5F0B"/>
    <w:rsid w:val="00200753"/>
    <w:rsid w:val="00200866"/>
    <w:rsid w:val="00201005"/>
    <w:rsid w:val="00203F5A"/>
    <w:rsid w:val="00204CEC"/>
    <w:rsid w:val="00205C27"/>
    <w:rsid w:val="00215090"/>
    <w:rsid w:val="00215D15"/>
    <w:rsid w:val="00217BB2"/>
    <w:rsid w:val="00221296"/>
    <w:rsid w:val="002232C1"/>
    <w:rsid w:val="002234D8"/>
    <w:rsid w:val="00233A9A"/>
    <w:rsid w:val="002341CC"/>
    <w:rsid w:val="00236FD5"/>
    <w:rsid w:val="00237699"/>
    <w:rsid w:val="002377F7"/>
    <w:rsid w:val="00237912"/>
    <w:rsid w:val="002400BC"/>
    <w:rsid w:val="00240B2C"/>
    <w:rsid w:val="00241299"/>
    <w:rsid w:val="00242203"/>
    <w:rsid w:val="00243E2E"/>
    <w:rsid w:val="002449D7"/>
    <w:rsid w:val="0024521F"/>
    <w:rsid w:val="00245E4F"/>
    <w:rsid w:val="00246E84"/>
    <w:rsid w:val="00247EB3"/>
    <w:rsid w:val="00250CF4"/>
    <w:rsid w:val="0025127B"/>
    <w:rsid w:val="002556EA"/>
    <w:rsid w:val="002560A9"/>
    <w:rsid w:val="0025618B"/>
    <w:rsid w:val="002561EF"/>
    <w:rsid w:val="00256662"/>
    <w:rsid w:val="002574C5"/>
    <w:rsid w:val="0025799A"/>
    <w:rsid w:val="0026004F"/>
    <w:rsid w:val="002616F6"/>
    <w:rsid w:val="002630D5"/>
    <w:rsid w:val="00267225"/>
    <w:rsid w:val="00270F4F"/>
    <w:rsid w:val="00272009"/>
    <w:rsid w:val="00272B9B"/>
    <w:rsid w:val="0027544F"/>
    <w:rsid w:val="002755D5"/>
    <w:rsid w:val="00275C85"/>
    <w:rsid w:val="002805CF"/>
    <w:rsid w:val="00282B86"/>
    <w:rsid w:val="00283B77"/>
    <w:rsid w:val="00283F5D"/>
    <w:rsid w:val="002845F8"/>
    <w:rsid w:val="002853C2"/>
    <w:rsid w:val="002854E2"/>
    <w:rsid w:val="00285CC0"/>
    <w:rsid w:val="00290B8C"/>
    <w:rsid w:val="00293D5A"/>
    <w:rsid w:val="00294C60"/>
    <w:rsid w:val="0029508F"/>
    <w:rsid w:val="002A1A7E"/>
    <w:rsid w:val="002A27F1"/>
    <w:rsid w:val="002A2B15"/>
    <w:rsid w:val="002A46D9"/>
    <w:rsid w:val="002A5B97"/>
    <w:rsid w:val="002B0E3D"/>
    <w:rsid w:val="002B2FB1"/>
    <w:rsid w:val="002B3ABA"/>
    <w:rsid w:val="002B5952"/>
    <w:rsid w:val="002B7103"/>
    <w:rsid w:val="002B7F08"/>
    <w:rsid w:val="002B7F0A"/>
    <w:rsid w:val="002B7FEC"/>
    <w:rsid w:val="002C1626"/>
    <w:rsid w:val="002C3EA6"/>
    <w:rsid w:val="002D116C"/>
    <w:rsid w:val="002D1819"/>
    <w:rsid w:val="002D3503"/>
    <w:rsid w:val="002D472F"/>
    <w:rsid w:val="002D7460"/>
    <w:rsid w:val="002E0D8E"/>
    <w:rsid w:val="002E0DE8"/>
    <w:rsid w:val="002E18E9"/>
    <w:rsid w:val="002E19FC"/>
    <w:rsid w:val="002E2048"/>
    <w:rsid w:val="002E3F58"/>
    <w:rsid w:val="002E3F6B"/>
    <w:rsid w:val="002E55DF"/>
    <w:rsid w:val="002E5EEC"/>
    <w:rsid w:val="002F0FCA"/>
    <w:rsid w:val="002F178F"/>
    <w:rsid w:val="002F1C26"/>
    <w:rsid w:val="002F5374"/>
    <w:rsid w:val="002F6F54"/>
    <w:rsid w:val="002F7736"/>
    <w:rsid w:val="00300024"/>
    <w:rsid w:val="003044CC"/>
    <w:rsid w:val="00305737"/>
    <w:rsid w:val="00305DBF"/>
    <w:rsid w:val="00307ABB"/>
    <w:rsid w:val="00307F81"/>
    <w:rsid w:val="00310D11"/>
    <w:rsid w:val="00311A92"/>
    <w:rsid w:val="003130B9"/>
    <w:rsid w:val="00313E89"/>
    <w:rsid w:val="003141C9"/>
    <w:rsid w:val="00314474"/>
    <w:rsid w:val="003171A6"/>
    <w:rsid w:val="00317E05"/>
    <w:rsid w:val="00321087"/>
    <w:rsid w:val="003217E8"/>
    <w:rsid w:val="00321B04"/>
    <w:rsid w:val="00321C8E"/>
    <w:rsid w:val="0032299A"/>
    <w:rsid w:val="00325FEF"/>
    <w:rsid w:val="00326481"/>
    <w:rsid w:val="0032723B"/>
    <w:rsid w:val="00332142"/>
    <w:rsid w:val="00333D98"/>
    <w:rsid w:val="00336217"/>
    <w:rsid w:val="003364A0"/>
    <w:rsid w:val="00336B44"/>
    <w:rsid w:val="00336C5C"/>
    <w:rsid w:val="0034047A"/>
    <w:rsid w:val="00341376"/>
    <w:rsid w:val="00343313"/>
    <w:rsid w:val="003440EC"/>
    <w:rsid w:val="003460C1"/>
    <w:rsid w:val="00346CA6"/>
    <w:rsid w:val="00347656"/>
    <w:rsid w:val="00347DBE"/>
    <w:rsid w:val="00350277"/>
    <w:rsid w:val="003505AC"/>
    <w:rsid w:val="00350AD2"/>
    <w:rsid w:val="003513C5"/>
    <w:rsid w:val="00353B7F"/>
    <w:rsid w:val="00355433"/>
    <w:rsid w:val="00357497"/>
    <w:rsid w:val="00360EF3"/>
    <w:rsid w:val="00364B32"/>
    <w:rsid w:val="00365888"/>
    <w:rsid w:val="0036700D"/>
    <w:rsid w:val="0036792A"/>
    <w:rsid w:val="003716CC"/>
    <w:rsid w:val="00371F9D"/>
    <w:rsid w:val="00376A44"/>
    <w:rsid w:val="00380CE6"/>
    <w:rsid w:val="003857F2"/>
    <w:rsid w:val="003862B7"/>
    <w:rsid w:val="0039040F"/>
    <w:rsid w:val="00392542"/>
    <w:rsid w:val="00392FA7"/>
    <w:rsid w:val="003950A0"/>
    <w:rsid w:val="003958FC"/>
    <w:rsid w:val="00395F44"/>
    <w:rsid w:val="003A08A2"/>
    <w:rsid w:val="003A12CB"/>
    <w:rsid w:val="003A209C"/>
    <w:rsid w:val="003A2DAD"/>
    <w:rsid w:val="003A3327"/>
    <w:rsid w:val="003A4789"/>
    <w:rsid w:val="003A56DB"/>
    <w:rsid w:val="003A58BD"/>
    <w:rsid w:val="003A6213"/>
    <w:rsid w:val="003A67D1"/>
    <w:rsid w:val="003B1686"/>
    <w:rsid w:val="003B1D07"/>
    <w:rsid w:val="003B5856"/>
    <w:rsid w:val="003B6E8F"/>
    <w:rsid w:val="003B7842"/>
    <w:rsid w:val="003C1CA6"/>
    <w:rsid w:val="003C1F99"/>
    <w:rsid w:val="003C325F"/>
    <w:rsid w:val="003C353A"/>
    <w:rsid w:val="003C3A79"/>
    <w:rsid w:val="003C3C89"/>
    <w:rsid w:val="003C4DB9"/>
    <w:rsid w:val="003C5046"/>
    <w:rsid w:val="003C5AB5"/>
    <w:rsid w:val="003C6268"/>
    <w:rsid w:val="003D088F"/>
    <w:rsid w:val="003D2146"/>
    <w:rsid w:val="003D2DBA"/>
    <w:rsid w:val="003D6739"/>
    <w:rsid w:val="003D6FFF"/>
    <w:rsid w:val="003D73B4"/>
    <w:rsid w:val="003D7A24"/>
    <w:rsid w:val="003D7FAA"/>
    <w:rsid w:val="003E1C3A"/>
    <w:rsid w:val="003E2209"/>
    <w:rsid w:val="003E3AE1"/>
    <w:rsid w:val="003E4059"/>
    <w:rsid w:val="003E42C4"/>
    <w:rsid w:val="003E4316"/>
    <w:rsid w:val="003E5479"/>
    <w:rsid w:val="003F0D33"/>
    <w:rsid w:val="003F1726"/>
    <w:rsid w:val="003F19EE"/>
    <w:rsid w:val="003F1D7A"/>
    <w:rsid w:val="003F240C"/>
    <w:rsid w:val="003F2A61"/>
    <w:rsid w:val="003F5760"/>
    <w:rsid w:val="003F5945"/>
    <w:rsid w:val="003F59C5"/>
    <w:rsid w:val="003F79F2"/>
    <w:rsid w:val="004017FA"/>
    <w:rsid w:val="00402332"/>
    <w:rsid w:val="004023B8"/>
    <w:rsid w:val="00403735"/>
    <w:rsid w:val="00405DBE"/>
    <w:rsid w:val="00406B25"/>
    <w:rsid w:val="00411CCE"/>
    <w:rsid w:val="004121E9"/>
    <w:rsid w:val="00412E1A"/>
    <w:rsid w:val="00416530"/>
    <w:rsid w:val="004169CC"/>
    <w:rsid w:val="0041767B"/>
    <w:rsid w:val="004178B6"/>
    <w:rsid w:val="00421D83"/>
    <w:rsid w:val="004226DB"/>
    <w:rsid w:val="00422847"/>
    <w:rsid w:val="004235CD"/>
    <w:rsid w:val="00423743"/>
    <w:rsid w:val="0042375D"/>
    <w:rsid w:val="004258D0"/>
    <w:rsid w:val="0042714E"/>
    <w:rsid w:val="0042722B"/>
    <w:rsid w:val="00427E58"/>
    <w:rsid w:val="004327C5"/>
    <w:rsid w:val="0043374E"/>
    <w:rsid w:val="004349C1"/>
    <w:rsid w:val="00436935"/>
    <w:rsid w:val="004379AA"/>
    <w:rsid w:val="00440CB2"/>
    <w:rsid w:val="00443402"/>
    <w:rsid w:val="004443E3"/>
    <w:rsid w:val="004449BC"/>
    <w:rsid w:val="00450F8B"/>
    <w:rsid w:val="0045286D"/>
    <w:rsid w:val="00453879"/>
    <w:rsid w:val="00453DC1"/>
    <w:rsid w:val="004541FE"/>
    <w:rsid w:val="00455484"/>
    <w:rsid w:val="00456473"/>
    <w:rsid w:val="00462FE9"/>
    <w:rsid w:val="00465716"/>
    <w:rsid w:val="00465927"/>
    <w:rsid w:val="004662D2"/>
    <w:rsid w:val="004676EF"/>
    <w:rsid w:val="00470AAA"/>
    <w:rsid w:val="00470AB3"/>
    <w:rsid w:val="00474249"/>
    <w:rsid w:val="004742D0"/>
    <w:rsid w:val="00474F6E"/>
    <w:rsid w:val="0047698C"/>
    <w:rsid w:val="00476A5A"/>
    <w:rsid w:val="0048023C"/>
    <w:rsid w:val="00481103"/>
    <w:rsid w:val="0048214B"/>
    <w:rsid w:val="00482206"/>
    <w:rsid w:val="004833CE"/>
    <w:rsid w:val="00483E58"/>
    <w:rsid w:val="00491555"/>
    <w:rsid w:val="00492367"/>
    <w:rsid w:val="004976C4"/>
    <w:rsid w:val="004A04F1"/>
    <w:rsid w:val="004A1C7E"/>
    <w:rsid w:val="004A28DF"/>
    <w:rsid w:val="004A2A6B"/>
    <w:rsid w:val="004A306B"/>
    <w:rsid w:val="004A4387"/>
    <w:rsid w:val="004A4AE0"/>
    <w:rsid w:val="004A5D5E"/>
    <w:rsid w:val="004A63D3"/>
    <w:rsid w:val="004B03F0"/>
    <w:rsid w:val="004B08A0"/>
    <w:rsid w:val="004B237E"/>
    <w:rsid w:val="004B2B0C"/>
    <w:rsid w:val="004B3E59"/>
    <w:rsid w:val="004B68E4"/>
    <w:rsid w:val="004B6B48"/>
    <w:rsid w:val="004C1C11"/>
    <w:rsid w:val="004C2619"/>
    <w:rsid w:val="004C4228"/>
    <w:rsid w:val="004D0712"/>
    <w:rsid w:val="004D475E"/>
    <w:rsid w:val="004D4A43"/>
    <w:rsid w:val="004D7ACA"/>
    <w:rsid w:val="004E1EC5"/>
    <w:rsid w:val="004E2D45"/>
    <w:rsid w:val="004E382D"/>
    <w:rsid w:val="004E3B0C"/>
    <w:rsid w:val="004E49BA"/>
    <w:rsid w:val="004E49FE"/>
    <w:rsid w:val="004E623B"/>
    <w:rsid w:val="004F19D2"/>
    <w:rsid w:val="004F2ECF"/>
    <w:rsid w:val="004F3734"/>
    <w:rsid w:val="004F41A4"/>
    <w:rsid w:val="004F4506"/>
    <w:rsid w:val="004F571D"/>
    <w:rsid w:val="004F5A50"/>
    <w:rsid w:val="004F63A2"/>
    <w:rsid w:val="004F76B9"/>
    <w:rsid w:val="00504336"/>
    <w:rsid w:val="00506B21"/>
    <w:rsid w:val="00510E7A"/>
    <w:rsid w:val="00512469"/>
    <w:rsid w:val="005137D0"/>
    <w:rsid w:val="00516411"/>
    <w:rsid w:val="0052362A"/>
    <w:rsid w:val="00524737"/>
    <w:rsid w:val="0052597B"/>
    <w:rsid w:val="00525B08"/>
    <w:rsid w:val="00525CAF"/>
    <w:rsid w:val="00526A98"/>
    <w:rsid w:val="00526F7E"/>
    <w:rsid w:val="005273C8"/>
    <w:rsid w:val="00532B6E"/>
    <w:rsid w:val="0053365F"/>
    <w:rsid w:val="00533D64"/>
    <w:rsid w:val="00534553"/>
    <w:rsid w:val="005345C6"/>
    <w:rsid w:val="005363A1"/>
    <w:rsid w:val="00536E22"/>
    <w:rsid w:val="005415D1"/>
    <w:rsid w:val="00542400"/>
    <w:rsid w:val="005424AD"/>
    <w:rsid w:val="00543E5E"/>
    <w:rsid w:val="0055136F"/>
    <w:rsid w:val="0055208D"/>
    <w:rsid w:val="00553320"/>
    <w:rsid w:val="00553B11"/>
    <w:rsid w:val="00553B83"/>
    <w:rsid w:val="00554C47"/>
    <w:rsid w:val="005556AF"/>
    <w:rsid w:val="00556874"/>
    <w:rsid w:val="00557136"/>
    <w:rsid w:val="00560126"/>
    <w:rsid w:val="0056015F"/>
    <w:rsid w:val="00562948"/>
    <w:rsid w:val="00562BDD"/>
    <w:rsid w:val="00563E2B"/>
    <w:rsid w:val="00565146"/>
    <w:rsid w:val="0056624C"/>
    <w:rsid w:val="00570728"/>
    <w:rsid w:val="0057094C"/>
    <w:rsid w:val="00572A64"/>
    <w:rsid w:val="00572AF2"/>
    <w:rsid w:val="00572CB6"/>
    <w:rsid w:val="00573F60"/>
    <w:rsid w:val="00576A95"/>
    <w:rsid w:val="00577940"/>
    <w:rsid w:val="00580640"/>
    <w:rsid w:val="00580737"/>
    <w:rsid w:val="00591E94"/>
    <w:rsid w:val="00594401"/>
    <w:rsid w:val="005944F3"/>
    <w:rsid w:val="0059482E"/>
    <w:rsid w:val="005964E2"/>
    <w:rsid w:val="00596590"/>
    <w:rsid w:val="005973D5"/>
    <w:rsid w:val="005975CF"/>
    <w:rsid w:val="005A0CD3"/>
    <w:rsid w:val="005A2D04"/>
    <w:rsid w:val="005A33DF"/>
    <w:rsid w:val="005A3D91"/>
    <w:rsid w:val="005A4B0F"/>
    <w:rsid w:val="005A5380"/>
    <w:rsid w:val="005A58C1"/>
    <w:rsid w:val="005A5D6D"/>
    <w:rsid w:val="005A73DA"/>
    <w:rsid w:val="005B0656"/>
    <w:rsid w:val="005B199E"/>
    <w:rsid w:val="005B3809"/>
    <w:rsid w:val="005B7ACE"/>
    <w:rsid w:val="005C1FDF"/>
    <w:rsid w:val="005C52F5"/>
    <w:rsid w:val="005C5D2A"/>
    <w:rsid w:val="005C6F0D"/>
    <w:rsid w:val="005D078D"/>
    <w:rsid w:val="005D4E42"/>
    <w:rsid w:val="005D59D8"/>
    <w:rsid w:val="005D6612"/>
    <w:rsid w:val="005D67D6"/>
    <w:rsid w:val="005D7692"/>
    <w:rsid w:val="005D7C20"/>
    <w:rsid w:val="005D7E52"/>
    <w:rsid w:val="005E022F"/>
    <w:rsid w:val="005E0574"/>
    <w:rsid w:val="005E094A"/>
    <w:rsid w:val="005E1109"/>
    <w:rsid w:val="005E5364"/>
    <w:rsid w:val="005E5598"/>
    <w:rsid w:val="005E6033"/>
    <w:rsid w:val="005E66A3"/>
    <w:rsid w:val="005E679A"/>
    <w:rsid w:val="005E792D"/>
    <w:rsid w:val="005F2C61"/>
    <w:rsid w:val="005F722C"/>
    <w:rsid w:val="006006A8"/>
    <w:rsid w:val="00601EA8"/>
    <w:rsid w:val="00602223"/>
    <w:rsid w:val="00602A63"/>
    <w:rsid w:val="00603936"/>
    <w:rsid w:val="00605095"/>
    <w:rsid w:val="006050DA"/>
    <w:rsid w:val="00610224"/>
    <w:rsid w:val="00610369"/>
    <w:rsid w:val="00611BE1"/>
    <w:rsid w:val="0061776D"/>
    <w:rsid w:val="00621423"/>
    <w:rsid w:val="006222F3"/>
    <w:rsid w:val="0062556A"/>
    <w:rsid w:val="006269C6"/>
    <w:rsid w:val="0062746E"/>
    <w:rsid w:val="00630EF2"/>
    <w:rsid w:val="00632C6B"/>
    <w:rsid w:val="00636032"/>
    <w:rsid w:val="0063607B"/>
    <w:rsid w:val="006400CD"/>
    <w:rsid w:val="00641502"/>
    <w:rsid w:val="0064272C"/>
    <w:rsid w:val="0064297A"/>
    <w:rsid w:val="00642BDA"/>
    <w:rsid w:val="0064346A"/>
    <w:rsid w:val="006444E6"/>
    <w:rsid w:val="00644C8D"/>
    <w:rsid w:val="006454A8"/>
    <w:rsid w:val="006454AD"/>
    <w:rsid w:val="00646CF9"/>
    <w:rsid w:val="006470BA"/>
    <w:rsid w:val="00647447"/>
    <w:rsid w:val="006509E9"/>
    <w:rsid w:val="00650A39"/>
    <w:rsid w:val="00651B55"/>
    <w:rsid w:val="00654DD7"/>
    <w:rsid w:val="0065547D"/>
    <w:rsid w:val="00655D31"/>
    <w:rsid w:val="0065638B"/>
    <w:rsid w:val="00657F91"/>
    <w:rsid w:val="00660116"/>
    <w:rsid w:val="006623FA"/>
    <w:rsid w:val="0066331A"/>
    <w:rsid w:val="006636C9"/>
    <w:rsid w:val="0066400A"/>
    <w:rsid w:val="0066422C"/>
    <w:rsid w:val="0066490B"/>
    <w:rsid w:val="0066532B"/>
    <w:rsid w:val="00666205"/>
    <w:rsid w:val="00667560"/>
    <w:rsid w:val="00670B0A"/>
    <w:rsid w:val="00671E8B"/>
    <w:rsid w:val="006744A9"/>
    <w:rsid w:val="006772A3"/>
    <w:rsid w:val="00677CA0"/>
    <w:rsid w:val="006825D7"/>
    <w:rsid w:val="0068271F"/>
    <w:rsid w:val="00682B1E"/>
    <w:rsid w:val="00683527"/>
    <w:rsid w:val="0068439B"/>
    <w:rsid w:val="006856C6"/>
    <w:rsid w:val="006859D6"/>
    <w:rsid w:val="00685FA5"/>
    <w:rsid w:val="00686764"/>
    <w:rsid w:val="00687435"/>
    <w:rsid w:val="006904AC"/>
    <w:rsid w:val="006905F1"/>
    <w:rsid w:val="006912DB"/>
    <w:rsid w:val="00692339"/>
    <w:rsid w:val="00694BC6"/>
    <w:rsid w:val="0069630A"/>
    <w:rsid w:val="006973F0"/>
    <w:rsid w:val="006977B7"/>
    <w:rsid w:val="00697E59"/>
    <w:rsid w:val="006A18A6"/>
    <w:rsid w:val="006A1DB1"/>
    <w:rsid w:val="006A2418"/>
    <w:rsid w:val="006A2E70"/>
    <w:rsid w:val="006A3564"/>
    <w:rsid w:val="006A3C32"/>
    <w:rsid w:val="006A46EF"/>
    <w:rsid w:val="006A56F5"/>
    <w:rsid w:val="006A70C2"/>
    <w:rsid w:val="006A7D23"/>
    <w:rsid w:val="006B11E5"/>
    <w:rsid w:val="006B1311"/>
    <w:rsid w:val="006B19DF"/>
    <w:rsid w:val="006B1E6C"/>
    <w:rsid w:val="006B29C9"/>
    <w:rsid w:val="006B2DEE"/>
    <w:rsid w:val="006B2E45"/>
    <w:rsid w:val="006C1F95"/>
    <w:rsid w:val="006C2DC6"/>
    <w:rsid w:val="006C5946"/>
    <w:rsid w:val="006C7230"/>
    <w:rsid w:val="006C73E5"/>
    <w:rsid w:val="006C7CDE"/>
    <w:rsid w:val="006D2482"/>
    <w:rsid w:val="006D32AA"/>
    <w:rsid w:val="006D4AD2"/>
    <w:rsid w:val="006D606C"/>
    <w:rsid w:val="006D6BA6"/>
    <w:rsid w:val="006E0739"/>
    <w:rsid w:val="006E2334"/>
    <w:rsid w:val="006E578F"/>
    <w:rsid w:val="006E6E5A"/>
    <w:rsid w:val="006F122B"/>
    <w:rsid w:val="006F12A3"/>
    <w:rsid w:val="006F5B24"/>
    <w:rsid w:val="00700092"/>
    <w:rsid w:val="0070047E"/>
    <w:rsid w:val="007059C7"/>
    <w:rsid w:val="00705EA7"/>
    <w:rsid w:val="007060E2"/>
    <w:rsid w:val="0070625E"/>
    <w:rsid w:val="00706747"/>
    <w:rsid w:val="00706DBD"/>
    <w:rsid w:val="00706FC1"/>
    <w:rsid w:val="00706FFD"/>
    <w:rsid w:val="00707C8C"/>
    <w:rsid w:val="007101AF"/>
    <w:rsid w:val="007103C4"/>
    <w:rsid w:val="00711404"/>
    <w:rsid w:val="00712058"/>
    <w:rsid w:val="00715DA2"/>
    <w:rsid w:val="007172D4"/>
    <w:rsid w:val="00720ADD"/>
    <w:rsid w:val="00723BFF"/>
    <w:rsid w:val="00723C5B"/>
    <w:rsid w:val="00723CD1"/>
    <w:rsid w:val="00726BBB"/>
    <w:rsid w:val="007275A3"/>
    <w:rsid w:val="0073201D"/>
    <w:rsid w:val="00733119"/>
    <w:rsid w:val="0073401A"/>
    <w:rsid w:val="00735594"/>
    <w:rsid w:val="007359A0"/>
    <w:rsid w:val="0073794E"/>
    <w:rsid w:val="007400DA"/>
    <w:rsid w:val="007406C3"/>
    <w:rsid w:val="00741ADF"/>
    <w:rsid w:val="0074262B"/>
    <w:rsid w:val="00742855"/>
    <w:rsid w:val="007451D8"/>
    <w:rsid w:val="007459D6"/>
    <w:rsid w:val="00745C38"/>
    <w:rsid w:val="00747A44"/>
    <w:rsid w:val="007501E5"/>
    <w:rsid w:val="007509E4"/>
    <w:rsid w:val="00751462"/>
    <w:rsid w:val="00752034"/>
    <w:rsid w:val="00752049"/>
    <w:rsid w:val="00752D0A"/>
    <w:rsid w:val="00755DA6"/>
    <w:rsid w:val="00756B15"/>
    <w:rsid w:val="00757283"/>
    <w:rsid w:val="007608FF"/>
    <w:rsid w:val="00762B17"/>
    <w:rsid w:val="007633EE"/>
    <w:rsid w:val="00770A3D"/>
    <w:rsid w:val="00771E13"/>
    <w:rsid w:val="0077394C"/>
    <w:rsid w:val="00775770"/>
    <w:rsid w:val="00777598"/>
    <w:rsid w:val="007821ED"/>
    <w:rsid w:val="0078260C"/>
    <w:rsid w:val="00783AC0"/>
    <w:rsid w:val="00786DD9"/>
    <w:rsid w:val="00786EA9"/>
    <w:rsid w:val="00791F43"/>
    <w:rsid w:val="007921D5"/>
    <w:rsid w:val="0079270E"/>
    <w:rsid w:val="00795756"/>
    <w:rsid w:val="00797838"/>
    <w:rsid w:val="007A2F45"/>
    <w:rsid w:val="007A57FF"/>
    <w:rsid w:val="007A5AF1"/>
    <w:rsid w:val="007A6902"/>
    <w:rsid w:val="007A691B"/>
    <w:rsid w:val="007A7147"/>
    <w:rsid w:val="007A717B"/>
    <w:rsid w:val="007B03A6"/>
    <w:rsid w:val="007B10FE"/>
    <w:rsid w:val="007B7DE3"/>
    <w:rsid w:val="007C099B"/>
    <w:rsid w:val="007C1418"/>
    <w:rsid w:val="007C2186"/>
    <w:rsid w:val="007C2757"/>
    <w:rsid w:val="007C38EE"/>
    <w:rsid w:val="007C5B5D"/>
    <w:rsid w:val="007C6329"/>
    <w:rsid w:val="007D09C4"/>
    <w:rsid w:val="007D13ED"/>
    <w:rsid w:val="007D1DE5"/>
    <w:rsid w:val="007D285D"/>
    <w:rsid w:val="007D3612"/>
    <w:rsid w:val="007D3999"/>
    <w:rsid w:val="007D3F81"/>
    <w:rsid w:val="007D4415"/>
    <w:rsid w:val="007D4CB5"/>
    <w:rsid w:val="007D5270"/>
    <w:rsid w:val="007D59AF"/>
    <w:rsid w:val="007E08C4"/>
    <w:rsid w:val="007E1737"/>
    <w:rsid w:val="007E2841"/>
    <w:rsid w:val="007E2876"/>
    <w:rsid w:val="007E4055"/>
    <w:rsid w:val="007E40A9"/>
    <w:rsid w:val="007E4B87"/>
    <w:rsid w:val="007E4C20"/>
    <w:rsid w:val="007E5592"/>
    <w:rsid w:val="007E7EF3"/>
    <w:rsid w:val="007F052B"/>
    <w:rsid w:val="007F0570"/>
    <w:rsid w:val="007F0958"/>
    <w:rsid w:val="007F1A14"/>
    <w:rsid w:val="007F2C78"/>
    <w:rsid w:val="007F3038"/>
    <w:rsid w:val="007F3687"/>
    <w:rsid w:val="007F5500"/>
    <w:rsid w:val="007F5BA4"/>
    <w:rsid w:val="007F613C"/>
    <w:rsid w:val="007F6FE1"/>
    <w:rsid w:val="0080132C"/>
    <w:rsid w:val="00804E7E"/>
    <w:rsid w:val="0080631C"/>
    <w:rsid w:val="00807131"/>
    <w:rsid w:val="00807E95"/>
    <w:rsid w:val="0081264F"/>
    <w:rsid w:val="008131AE"/>
    <w:rsid w:val="00815B9E"/>
    <w:rsid w:val="00817024"/>
    <w:rsid w:val="008219C6"/>
    <w:rsid w:val="008220BE"/>
    <w:rsid w:val="00822B6C"/>
    <w:rsid w:val="00823B0B"/>
    <w:rsid w:val="00823C12"/>
    <w:rsid w:val="00824889"/>
    <w:rsid w:val="008264F1"/>
    <w:rsid w:val="00826E1D"/>
    <w:rsid w:val="0083061E"/>
    <w:rsid w:val="008321AD"/>
    <w:rsid w:val="00832B1D"/>
    <w:rsid w:val="00832E9B"/>
    <w:rsid w:val="00835DE7"/>
    <w:rsid w:val="0083612F"/>
    <w:rsid w:val="00837397"/>
    <w:rsid w:val="00840DBA"/>
    <w:rsid w:val="00841AF1"/>
    <w:rsid w:val="0084681C"/>
    <w:rsid w:val="00847C5A"/>
    <w:rsid w:val="0085087D"/>
    <w:rsid w:val="008517DA"/>
    <w:rsid w:val="00852099"/>
    <w:rsid w:val="00852420"/>
    <w:rsid w:val="008529AC"/>
    <w:rsid w:val="00855C5C"/>
    <w:rsid w:val="00856595"/>
    <w:rsid w:val="00860796"/>
    <w:rsid w:val="00860BFD"/>
    <w:rsid w:val="00861748"/>
    <w:rsid w:val="008628B9"/>
    <w:rsid w:val="00862D3C"/>
    <w:rsid w:val="00864CBD"/>
    <w:rsid w:val="008651F7"/>
    <w:rsid w:val="008665BF"/>
    <w:rsid w:val="00867944"/>
    <w:rsid w:val="00873E20"/>
    <w:rsid w:val="008741D4"/>
    <w:rsid w:val="00875FFE"/>
    <w:rsid w:val="00877579"/>
    <w:rsid w:val="00877656"/>
    <w:rsid w:val="0088177F"/>
    <w:rsid w:val="008838C8"/>
    <w:rsid w:val="00883C61"/>
    <w:rsid w:val="00885926"/>
    <w:rsid w:val="00885B61"/>
    <w:rsid w:val="008860E2"/>
    <w:rsid w:val="00886753"/>
    <w:rsid w:val="008870CF"/>
    <w:rsid w:val="008879EE"/>
    <w:rsid w:val="0089389B"/>
    <w:rsid w:val="00893EC8"/>
    <w:rsid w:val="0089613B"/>
    <w:rsid w:val="008A10B0"/>
    <w:rsid w:val="008A3EEA"/>
    <w:rsid w:val="008A4412"/>
    <w:rsid w:val="008A5199"/>
    <w:rsid w:val="008A6484"/>
    <w:rsid w:val="008A7E0A"/>
    <w:rsid w:val="008B0ED9"/>
    <w:rsid w:val="008B116B"/>
    <w:rsid w:val="008B41A8"/>
    <w:rsid w:val="008B4242"/>
    <w:rsid w:val="008B5B49"/>
    <w:rsid w:val="008B64D1"/>
    <w:rsid w:val="008C1999"/>
    <w:rsid w:val="008C5F2B"/>
    <w:rsid w:val="008C6A2E"/>
    <w:rsid w:val="008D315B"/>
    <w:rsid w:val="008D44B9"/>
    <w:rsid w:val="008D47F1"/>
    <w:rsid w:val="008D4B35"/>
    <w:rsid w:val="008D6D95"/>
    <w:rsid w:val="008E1D1F"/>
    <w:rsid w:val="008E3FFC"/>
    <w:rsid w:val="008E4695"/>
    <w:rsid w:val="008E4CAF"/>
    <w:rsid w:val="008E5B85"/>
    <w:rsid w:val="008E6494"/>
    <w:rsid w:val="008E6846"/>
    <w:rsid w:val="008E6A92"/>
    <w:rsid w:val="008E72CA"/>
    <w:rsid w:val="008E7D26"/>
    <w:rsid w:val="008F21B9"/>
    <w:rsid w:val="008F322B"/>
    <w:rsid w:val="008F358B"/>
    <w:rsid w:val="008F4EC2"/>
    <w:rsid w:val="008F563E"/>
    <w:rsid w:val="008F5F8B"/>
    <w:rsid w:val="008F661D"/>
    <w:rsid w:val="008F7597"/>
    <w:rsid w:val="008F7C5A"/>
    <w:rsid w:val="00900D81"/>
    <w:rsid w:val="009017AA"/>
    <w:rsid w:val="00901E2A"/>
    <w:rsid w:val="00902958"/>
    <w:rsid w:val="00903292"/>
    <w:rsid w:val="00903352"/>
    <w:rsid w:val="009038E0"/>
    <w:rsid w:val="00903CAC"/>
    <w:rsid w:val="00904529"/>
    <w:rsid w:val="009063BE"/>
    <w:rsid w:val="0090659C"/>
    <w:rsid w:val="00906FE4"/>
    <w:rsid w:val="009073E7"/>
    <w:rsid w:val="00907650"/>
    <w:rsid w:val="009168D7"/>
    <w:rsid w:val="0091735F"/>
    <w:rsid w:val="00920464"/>
    <w:rsid w:val="009225A5"/>
    <w:rsid w:val="00922DB0"/>
    <w:rsid w:val="009245A3"/>
    <w:rsid w:val="00926BB6"/>
    <w:rsid w:val="009270CD"/>
    <w:rsid w:val="009304BF"/>
    <w:rsid w:val="00934FCE"/>
    <w:rsid w:val="00936B01"/>
    <w:rsid w:val="00937D84"/>
    <w:rsid w:val="00941A11"/>
    <w:rsid w:val="00947A83"/>
    <w:rsid w:val="009519F4"/>
    <w:rsid w:val="0095263C"/>
    <w:rsid w:val="00954DF8"/>
    <w:rsid w:val="00955FD8"/>
    <w:rsid w:val="0095799C"/>
    <w:rsid w:val="00957B7A"/>
    <w:rsid w:val="009609A9"/>
    <w:rsid w:val="00960AFA"/>
    <w:rsid w:val="00961B0B"/>
    <w:rsid w:val="0096338F"/>
    <w:rsid w:val="009643E3"/>
    <w:rsid w:val="00964E49"/>
    <w:rsid w:val="009653E7"/>
    <w:rsid w:val="00965467"/>
    <w:rsid w:val="00966D87"/>
    <w:rsid w:val="00966FB8"/>
    <w:rsid w:val="00966FE4"/>
    <w:rsid w:val="0096731B"/>
    <w:rsid w:val="00970434"/>
    <w:rsid w:val="00970BE4"/>
    <w:rsid w:val="00970D70"/>
    <w:rsid w:val="0097137E"/>
    <w:rsid w:val="00971642"/>
    <w:rsid w:val="00972D64"/>
    <w:rsid w:val="00973FD7"/>
    <w:rsid w:val="0097549B"/>
    <w:rsid w:val="00977201"/>
    <w:rsid w:val="0097790C"/>
    <w:rsid w:val="00980069"/>
    <w:rsid w:val="00980510"/>
    <w:rsid w:val="009811C3"/>
    <w:rsid w:val="009821CF"/>
    <w:rsid w:val="009836AA"/>
    <w:rsid w:val="00984F21"/>
    <w:rsid w:val="00986EC8"/>
    <w:rsid w:val="00987FA3"/>
    <w:rsid w:val="00990BA5"/>
    <w:rsid w:val="00990F55"/>
    <w:rsid w:val="00992FC1"/>
    <w:rsid w:val="009935ED"/>
    <w:rsid w:val="00994338"/>
    <w:rsid w:val="0099497F"/>
    <w:rsid w:val="00995E48"/>
    <w:rsid w:val="009A109D"/>
    <w:rsid w:val="009A4700"/>
    <w:rsid w:val="009A77D0"/>
    <w:rsid w:val="009B38DB"/>
    <w:rsid w:val="009B473A"/>
    <w:rsid w:val="009B521B"/>
    <w:rsid w:val="009C1874"/>
    <w:rsid w:val="009C2519"/>
    <w:rsid w:val="009C28A1"/>
    <w:rsid w:val="009C5450"/>
    <w:rsid w:val="009C6437"/>
    <w:rsid w:val="009C7B3E"/>
    <w:rsid w:val="009D1936"/>
    <w:rsid w:val="009D3038"/>
    <w:rsid w:val="009D333E"/>
    <w:rsid w:val="009D4888"/>
    <w:rsid w:val="009D5593"/>
    <w:rsid w:val="009D59FC"/>
    <w:rsid w:val="009D6324"/>
    <w:rsid w:val="009D6CBC"/>
    <w:rsid w:val="009E06FF"/>
    <w:rsid w:val="009E16FA"/>
    <w:rsid w:val="009E350D"/>
    <w:rsid w:val="009E369E"/>
    <w:rsid w:val="009E39E2"/>
    <w:rsid w:val="009E41CC"/>
    <w:rsid w:val="009E4D0A"/>
    <w:rsid w:val="009E5568"/>
    <w:rsid w:val="009E61EF"/>
    <w:rsid w:val="009E6731"/>
    <w:rsid w:val="009E6C15"/>
    <w:rsid w:val="009F0BDB"/>
    <w:rsid w:val="009F110D"/>
    <w:rsid w:val="009F160A"/>
    <w:rsid w:val="009F355E"/>
    <w:rsid w:val="009F4488"/>
    <w:rsid w:val="009F4B46"/>
    <w:rsid w:val="009F59D0"/>
    <w:rsid w:val="00A01550"/>
    <w:rsid w:val="00A037BC"/>
    <w:rsid w:val="00A049A3"/>
    <w:rsid w:val="00A0515A"/>
    <w:rsid w:val="00A05935"/>
    <w:rsid w:val="00A0741B"/>
    <w:rsid w:val="00A07C93"/>
    <w:rsid w:val="00A10908"/>
    <w:rsid w:val="00A111AB"/>
    <w:rsid w:val="00A117D6"/>
    <w:rsid w:val="00A11A37"/>
    <w:rsid w:val="00A1260B"/>
    <w:rsid w:val="00A12C2B"/>
    <w:rsid w:val="00A17093"/>
    <w:rsid w:val="00A175D6"/>
    <w:rsid w:val="00A17DFA"/>
    <w:rsid w:val="00A2000B"/>
    <w:rsid w:val="00A20A10"/>
    <w:rsid w:val="00A20E38"/>
    <w:rsid w:val="00A25863"/>
    <w:rsid w:val="00A261E9"/>
    <w:rsid w:val="00A32573"/>
    <w:rsid w:val="00A3257A"/>
    <w:rsid w:val="00A32726"/>
    <w:rsid w:val="00A35404"/>
    <w:rsid w:val="00A4059F"/>
    <w:rsid w:val="00A434BA"/>
    <w:rsid w:val="00A461DE"/>
    <w:rsid w:val="00A46E5B"/>
    <w:rsid w:val="00A472D4"/>
    <w:rsid w:val="00A47D84"/>
    <w:rsid w:val="00A508AB"/>
    <w:rsid w:val="00A51246"/>
    <w:rsid w:val="00A51926"/>
    <w:rsid w:val="00A51B0D"/>
    <w:rsid w:val="00A52583"/>
    <w:rsid w:val="00A52B61"/>
    <w:rsid w:val="00A543D8"/>
    <w:rsid w:val="00A565BF"/>
    <w:rsid w:val="00A5660D"/>
    <w:rsid w:val="00A5684C"/>
    <w:rsid w:val="00A57134"/>
    <w:rsid w:val="00A57231"/>
    <w:rsid w:val="00A601F7"/>
    <w:rsid w:val="00A60598"/>
    <w:rsid w:val="00A61B0E"/>
    <w:rsid w:val="00A62F0A"/>
    <w:rsid w:val="00A631FC"/>
    <w:rsid w:val="00A66B2C"/>
    <w:rsid w:val="00A70012"/>
    <w:rsid w:val="00A70A4A"/>
    <w:rsid w:val="00A70B9F"/>
    <w:rsid w:val="00A7281F"/>
    <w:rsid w:val="00A749E3"/>
    <w:rsid w:val="00A74D66"/>
    <w:rsid w:val="00A76027"/>
    <w:rsid w:val="00A76BB5"/>
    <w:rsid w:val="00A80A6E"/>
    <w:rsid w:val="00A80A8D"/>
    <w:rsid w:val="00A84EF3"/>
    <w:rsid w:val="00A85BE2"/>
    <w:rsid w:val="00A87200"/>
    <w:rsid w:val="00A87409"/>
    <w:rsid w:val="00A92754"/>
    <w:rsid w:val="00A93017"/>
    <w:rsid w:val="00A94059"/>
    <w:rsid w:val="00A97621"/>
    <w:rsid w:val="00A97A26"/>
    <w:rsid w:val="00AA225A"/>
    <w:rsid w:val="00AA28A3"/>
    <w:rsid w:val="00AA37A5"/>
    <w:rsid w:val="00AA414F"/>
    <w:rsid w:val="00AA7C79"/>
    <w:rsid w:val="00AB0B0F"/>
    <w:rsid w:val="00AB2B56"/>
    <w:rsid w:val="00AB53B3"/>
    <w:rsid w:val="00AB5445"/>
    <w:rsid w:val="00AB5568"/>
    <w:rsid w:val="00AB79AE"/>
    <w:rsid w:val="00AB7DE2"/>
    <w:rsid w:val="00AC1596"/>
    <w:rsid w:val="00AC3CD4"/>
    <w:rsid w:val="00AC4C47"/>
    <w:rsid w:val="00AC660C"/>
    <w:rsid w:val="00AD0578"/>
    <w:rsid w:val="00AD0608"/>
    <w:rsid w:val="00AD6A55"/>
    <w:rsid w:val="00AE185B"/>
    <w:rsid w:val="00AE18B7"/>
    <w:rsid w:val="00AE365F"/>
    <w:rsid w:val="00AE370F"/>
    <w:rsid w:val="00AE4D46"/>
    <w:rsid w:val="00AE59DE"/>
    <w:rsid w:val="00AE5C96"/>
    <w:rsid w:val="00AE6A9A"/>
    <w:rsid w:val="00AE76FA"/>
    <w:rsid w:val="00AE7BDF"/>
    <w:rsid w:val="00AF220D"/>
    <w:rsid w:val="00AF22D1"/>
    <w:rsid w:val="00AF2684"/>
    <w:rsid w:val="00AF2852"/>
    <w:rsid w:val="00AF2D1E"/>
    <w:rsid w:val="00AF3CFF"/>
    <w:rsid w:val="00AF50BA"/>
    <w:rsid w:val="00AF59B1"/>
    <w:rsid w:val="00AF7CE6"/>
    <w:rsid w:val="00AF7F0A"/>
    <w:rsid w:val="00B0029C"/>
    <w:rsid w:val="00B0096F"/>
    <w:rsid w:val="00B01140"/>
    <w:rsid w:val="00B0548E"/>
    <w:rsid w:val="00B05A8E"/>
    <w:rsid w:val="00B069C2"/>
    <w:rsid w:val="00B07A20"/>
    <w:rsid w:val="00B11429"/>
    <w:rsid w:val="00B1396E"/>
    <w:rsid w:val="00B13AF0"/>
    <w:rsid w:val="00B147C7"/>
    <w:rsid w:val="00B14F61"/>
    <w:rsid w:val="00B16755"/>
    <w:rsid w:val="00B17624"/>
    <w:rsid w:val="00B17F52"/>
    <w:rsid w:val="00B2051E"/>
    <w:rsid w:val="00B249D8"/>
    <w:rsid w:val="00B24DFC"/>
    <w:rsid w:val="00B269C5"/>
    <w:rsid w:val="00B27848"/>
    <w:rsid w:val="00B27B87"/>
    <w:rsid w:val="00B27FE0"/>
    <w:rsid w:val="00B30F77"/>
    <w:rsid w:val="00B3337E"/>
    <w:rsid w:val="00B34384"/>
    <w:rsid w:val="00B36D41"/>
    <w:rsid w:val="00B37D73"/>
    <w:rsid w:val="00B37F78"/>
    <w:rsid w:val="00B403C6"/>
    <w:rsid w:val="00B40BB7"/>
    <w:rsid w:val="00B419BE"/>
    <w:rsid w:val="00B42575"/>
    <w:rsid w:val="00B4296C"/>
    <w:rsid w:val="00B43E7A"/>
    <w:rsid w:val="00B4625D"/>
    <w:rsid w:val="00B46594"/>
    <w:rsid w:val="00B47094"/>
    <w:rsid w:val="00B47533"/>
    <w:rsid w:val="00B47C12"/>
    <w:rsid w:val="00B47D21"/>
    <w:rsid w:val="00B47F5A"/>
    <w:rsid w:val="00B51CC0"/>
    <w:rsid w:val="00B566C9"/>
    <w:rsid w:val="00B56F89"/>
    <w:rsid w:val="00B5775C"/>
    <w:rsid w:val="00B629FC"/>
    <w:rsid w:val="00B634A5"/>
    <w:rsid w:val="00B63B0F"/>
    <w:rsid w:val="00B63F65"/>
    <w:rsid w:val="00B65D87"/>
    <w:rsid w:val="00B6777C"/>
    <w:rsid w:val="00B70CE4"/>
    <w:rsid w:val="00B71FA8"/>
    <w:rsid w:val="00B73982"/>
    <w:rsid w:val="00B769C2"/>
    <w:rsid w:val="00B77918"/>
    <w:rsid w:val="00B77E08"/>
    <w:rsid w:val="00B82F45"/>
    <w:rsid w:val="00B84908"/>
    <w:rsid w:val="00B851E8"/>
    <w:rsid w:val="00B858AF"/>
    <w:rsid w:val="00B86696"/>
    <w:rsid w:val="00B878CB"/>
    <w:rsid w:val="00B87913"/>
    <w:rsid w:val="00B92350"/>
    <w:rsid w:val="00B92DC5"/>
    <w:rsid w:val="00B9368A"/>
    <w:rsid w:val="00B93A0C"/>
    <w:rsid w:val="00B93C55"/>
    <w:rsid w:val="00B94909"/>
    <w:rsid w:val="00B963DA"/>
    <w:rsid w:val="00B97C14"/>
    <w:rsid w:val="00BA04BD"/>
    <w:rsid w:val="00BA08FE"/>
    <w:rsid w:val="00BB195D"/>
    <w:rsid w:val="00BB2C1F"/>
    <w:rsid w:val="00BB32F9"/>
    <w:rsid w:val="00BB4AEC"/>
    <w:rsid w:val="00BB4FCD"/>
    <w:rsid w:val="00BB725E"/>
    <w:rsid w:val="00BB760D"/>
    <w:rsid w:val="00BC09EA"/>
    <w:rsid w:val="00BC13BB"/>
    <w:rsid w:val="00BC36EA"/>
    <w:rsid w:val="00BC3BC0"/>
    <w:rsid w:val="00BC4E27"/>
    <w:rsid w:val="00BC6695"/>
    <w:rsid w:val="00BC799D"/>
    <w:rsid w:val="00BD0D07"/>
    <w:rsid w:val="00BD2817"/>
    <w:rsid w:val="00BD2BFE"/>
    <w:rsid w:val="00BD4670"/>
    <w:rsid w:val="00BD6EEF"/>
    <w:rsid w:val="00BD739F"/>
    <w:rsid w:val="00BD7993"/>
    <w:rsid w:val="00BD7EFC"/>
    <w:rsid w:val="00BE0B1E"/>
    <w:rsid w:val="00BE0C0F"/>
    <w:rsid w:val="00BE222C"/>
    <w:rsid w:val="00BE3128"/>
    <w:rsid w:val="00BE321F"/>
    <w:rsid w:val="00BE3EC0"/>
    <w:rsid w:val="00BE580C"/>
    <w:rsid w:val="00BF0502"/>
    <w:rsid w:val="00BF1174"/>
    <w:rsid w:val="00BF3260"/>
    <w:rsid w:val="00BF5C83"/>
    <w:rsid w:val="00BF6A35"/>
    <w:rsid w:val="00C00B8E"/>
    <w:rsid w:val="00C017F3"/>
    <w:rsid w:val="00C029F8"/>
    <w:rsid w:val="00C03D65"/>
    <w:rsid w:val="00C04E8B"/>
    <w:rsid w:val="00C10847"/>
    <w:rsid w:val="00C1134C"/>
    <w:rsid w:val="00C12972"/>
    <w:rsid w:val="00C13621"/>
    <w:rsid w:val="00C14D09"/>
    <w:rsid w:val="00C157E8"/>
    <w:rsid w:val="00C1592F"/>
    <w:rsid w:val="00C16180"/>
    <w:rsid w:val="00C1727E"/>
    <w:rsid w:val="00C17CA9"/>
    <w:rsid w:val="00C206BE"/>
    <w:rsid w:val="00C21E2F"/>
    <w:rsid w:val="00C23B27"/>
    <w:rsid w:val="00C2582F"/>
    <w:rsid w:val="00C26E39"/>
    <w:rsid w:val="00C278AA"/>
    <w:rsid w:val="00C30F38"/>
    <w:rsid w:val="00C31210"/>
    <w:rsid w:val="00C3179A"/>
    <w:rsid w:val="00C329C5"/>
    <w:rsid w:val="00C344CB"/>
    <w:rsid w:val="00C3455C"/>
    <w:rsid w:val="00C34AF9"/>
    <w:rsid w:val="00C34C04"/>
    <w:rsid w:val="00C365D8"/>
    <w:rsid w:val="00C37B05"/>
    <w:rsid w:val="00C37F3E"/>
    <w:rsid w:val="00C4034F"/>
    <w:rsid w:val="00C410A1"/>
    <w:rsid w:val="00C453AE"/>
    <w:rsid w:val="00C453DC"/>
    <w:rsid w:val="00C46887"/>
    <w:rsid w:val="00C47A42"/>
    <w:rsid w:val="00C47C1E"/>
    <w:rsid w:val="00C50109"/>
    <w:rsid w:val="00C518B1"/>
    <w:rsid w:val="00C519BD"/>
    <w:rsid w:val="00C52C0D"/>
    <w:rsid w:val="00C558D1"/>
    <w:rsid w:val="00C559A8"/>
    <w:rsid w:val="00C56596"/>
    <w:rsid w:val="00C60357"/>
    <w:rsid w:val="00C61616"/>
    <w:rsid w:val="00C61A19"/>
    <w:rsid w:val="00C61C04"/>
    <w:rsid w:val="00C61E7D"/>
    <w:rsid w:val="00C61F98"/>
    <w:rsid w:val="00C6534E"/>
    <w:rsid w:val="00C707AD"/>
    <w:rsid w:val="00C71E93"/>
    <w:rsid w:val="00C7258E"/>
    <w:rsid w:val="00C74093"/>
    <w:rsid w:val="00C745F3"/>
    <w:rsid w:val="00C77DE0"/>
    <w:rsid w:val="00C77FEC"/>
    <w:rsid w:val="00C8015B"/>
    <w:rsid w:val="00C81166"/>
    <w:rsid w:val="00C91B9E"/>
    <w:rsid w:val="00C9449E"/>
    <w:rsid w:val="00C95208"/>
    <w:rsid w:val="00C975A5"/>
    <w:rsid w:val="00CA0177"/>
    <w:rsid w:val="00CA1055"/>
    <w:rsid w:val="00CA2517"/>
    <w:rsid w:val="00CA2852"/>
    <w:rsid w:val="00CA4523"/>
    <w:rsid w:val="00CA5A1C"/>
    <w:rsid w:val="00CA5AA6"/>
    <w:rsid w:val="00CA61BC"/>
    <w:rsid w:val="00CA66FE"/>
    <w:rsid w:val="00CA6DEA"/>
    <w:rsid w:val="00CA7D1F"/>
    <w:rsid w:val="00CB0108"/>
    <w:rsid w:val="00CB0458"/>
    <w:rsid w:val="00CB226A"/>
    <w:rsid w:val="00CC1B06"/>
    <w:rsid w:val="00CC1CFF"/>
    <w:rsid w:val="00CC298D"/>
    <w:rsid w:val="00CC413B"/>
    <w:rsid w:val="00CC4299"/>
    <w:rsid w:val="00CC6377"/>
    <w:rsid w:val="00CC7EA5"/>
    <w:rsid w:val="00CC7F59"/>
    <w:rsid w:val="00CD21DE"/>
    <w:rsid w:val="00CD22C5"/>
    <w:rsid w:val="00CD2D2D"/>
    <w:rsid w:val="00CD43A3"/>
    <w:rsid w:val="00CD4AA8"/>
    <w:rsid w:val="00CD5F80"/>
    <w:rsid w:val="00CE05F9"/>
    <w:rsid w:val="00CE0936"/>
    <w:rsid w:val="00CE1880"/>
    <w:rsid w:val="00CE18AC"/>
    <w:rsid w:val="00CE2054"/>
    <w:rsid w:val="00CE22E2"/>
    <w:rsid w:val="00CE2429"/>
    <w:rsid w:val="00CE2F84"/>
    <w:rsid w:val="00CE54E7"/>
    <w:rsid w:val="00CE5D35"/>
    <w:rsid w:val="00CE663E"/>
    <w:rsid w:val="00CE7196"/>
    <w:rsid w:val="00CE78D3"/>
    <w:rsid w:val="00CF05F5"/>
    <w:rsid w:val="00CF26EE"/>
    <w:rsid w:val="00CF55A9"/>
    <w:rsid w:val="00D023C2"/>
    <w:rsid w:val="00D03214"/>
    <w:rsid w:val="00D03FD8"/>
    <w:rsid w:val="00D04EA3"/>
    <w:rsid w:val="00D0739B"/>
    <w:rsid w:val="00D07D75"/>
    <w:rsid w:val="00D10A8E"/>
    <w:rsid w:val="00D12D5B"/>
    <w:rsid w:val="00D12DE3"/>
    <w:rsid w:val="00D14210"/>
    <w:rsid w:val="00D17CB6"/>
    <w:rsid w:val="00D203F2"/>
    <w:rsid w:val="00D21458"/>
    <w:rsid w:val="00D217C9"/>
    <w:rsid w:val="00D22872"/>
    <w:rsid w:val="00D23A60"/>
    <w:rsid w:val="00D23C98"/>
    <w:rsid w:val="00D24BDB"/>
    <w:rsid w:val="00D25680"/>
    <w:rsid w:val="00D26458"/>
    <w:rsid w:val="00D329C0"/>
    <w:rsid w:val="00D35E69"/>
    <w:rsid w:val="00D37CD6"/>
    <w:rsid w:val="00D42188"/>
    <w:rsid w:val="00D43808"/>
    <w:rsid w:val="00D469B6"/>
    <w:rsid w:val="00D4768F"/>
    <w:rsid w:val="00D50958"/>
    <w:rsid w:val="00D51578"/>
    <w:rsid w:val="00D527F2"/>
    <w:rsid w:val="00D52D0A"/>
    <w:rsid w:val="00D568B4"/>
    <w:rsid w:val="00D575D7"/>
    <w:rsid w:val="00D57B9C"/>
    <w:rsid w:val="00D612ED"/>
    <w:rsid w:val="00D623F3"/>
    <w:rsid w:val="00D64624"/>
    <w:rsid w:val="00D6636A"/>
    <w:rsid w:val="00D702F9"/>
    <w:rsid w:val="00D70836"/>
    <w:rsid w:val="00D70933"/>
    <w:rsid w:val="00D709A4"/>
    <w:rsid w:val="00D72248"/>
    <w:rsid w:val="00D72AA1"/>
    <w:rsid w:val="00D73152"/>
    <w:rsid w:val="00D734FC"/>
    <w:rsid w:val="00D737B8"/>
    <w:rsid w:val="00D73F99"/>
    <w:rsid w:val="00D7497B"/>
    <w:rsid w:val="00D74F0B"/>
    <w:rsid w:val="00D75196"/>
    <w:rsid w:val="00D76720"/>
    <w:rsid w:val="00D7763C"/>
    <w:rsid w:val="00D80112"/>
    <w:rsid w:val="00D8048B"/>
    <w:rsid w:val="00D80DD6"/>
    <w:rsid w:val="00D8254D"/>
    <w:rsid w:val="00D82BE6"/>
    <w:rsid w:val="00D85044"/>
    <w:rsid w:val="00D87897"/>
    <w:rsid w:val="00D906C4"/>
    <w:rsid w:val="00D91480"/>
    <w:rsid w:val="00D92E3F"/>
    <w:rsid w:val="00D934B6"/>
    <w:rsid w:val="00D93A6F"/>
    <w:rsid w:val="00DA0B2F"/>
    <w:rsid w:val="00DA158E"/>
    <w:rsid w:val="00DA1737"/>
    <w:rsid w:val="00DA407C"/>
    <w:rsid w:val="00DA5579"/>
    <w:rsid w:val="00DB0AAD"/>
    <w:rsid w:val="00DB16F3"/>
    <w:rsid w:val="00DB1B68"/>
    <w:rsid w:val="00DC0C67"/>
    <w:rsid w:val="00DC1CDB"/>
    <w:rsid w:val="00DC1CF3"/>
    <w:rsid w:val="00DC3126"/>
    <w:rsid w:val="00DC3BCC"/>
    <w:rsid w:val="00DC4549"/>
    <w:rsid w:val="00DC49CA"/>
    <w:rsid w:val="00DC6863"/>
    <w:rsid w:val="00DD0937"/>
    <w:rsid w:val="00DD13AC"/>
    <w:rsid w:val="00DD1609"/>
    <w:rsid w:val="00DD2CFF"/>
    <w:rsid w:val="00DD3ABD"/>
    <w:rsid w:val="00DD4377"/>
    <w:rsid w:val="00DD468C"/>
    <w:rsid w:val="00DE0305"/>
    <w:rsid w:val="00DE0D35"/>
    <w:rsid w:val="00DE0E78"/>
    <w:rsid w:val="00DE100A"/>
    <w:rsid w:val="00DE1051"/>
    <w:rsid w:val="00DE11B6"/>
    <w:rsid w:val="00DE159B"/>
    <w:rsid w:val="00DE17F6"/>
    <w:rsid w:val="00DE1C96"/>
    <w:rsid w:val="00DE5CA3"/>
    <w:rsid w:val="00DE6507"/>
    <w:rsid w:val="00DE6587"/>
    <w:rsid w:val="00DE7621"/>
    <w:rsid w:val="00DE7CB0"/>
    <w:rsid w:val="00DF19B1"/>
    <w:rsid w:val="00DF25EB"/>
    <w:rsid w:val="00DF27F8"/>
    <w:rsid w:val="00DF28B4"/>
    <w:rsid w:val="00DF69F6"/>
    <w:rsid w:val="00DF75FA"/>
    <w:rsid w:val="00E02167"/>
    <w:rsid w:val="00E022AE"/>
    <w:rsid w:val="00E060A0"/>
    <w:rsid w:val="00E118C8"/>
    <w:rsid w:val="00E12C64"/>
    <w:rsid w:val="00E15E9C"/>
    <w:rsid w:val="00E1705E"/>
    <w:rsid w:val="00E175CC"/>
    <w:rsid w:val="00E17806"/>
    <w:rsid w:val="00E17DED"/>
    <w:rsid w:val="00E20F27"/>
    <w:rsid w:val="00E20F4A"/>
    <w:rsid w:val="00E2199C"/>
    <w:rsid w:val="00E22FD8"/>
    <w:rsid w:val="00E24929"/>
    <w:rsid w:val="00E24A09"/>
    <w:rsid w:val="00E24D6F"/>
    <w:rsid w:val="00E24ECB"/>
    <w:rsid w:val="00E25B63"/>
    <w:rsid w:val="00E265CA"/>
    <w:rsid w:val="00E30D1E"/>
    <w:rsid w:val="00E32622"/>
    <w:rsid w:val="00E327AE"/>
    <w:rsid w:val="00E32DCB"/>
    <w:rsid w:val="00E342CC"/>
    <w:rsid w:val="00E34768"/>
    <w:rsid w:val="00E34F84"/>
    <w:rsid w:val="00E3585A"/>
    <w:rsid w:val="00E36827"/>
    <w:rsid w:val="00E36E6B"/>
    <w:rsid w:val="00E44C79"/>
    <w:rsid w:val="00E4507D"/>
    <w:rsid w:val="00E46EAA"/>
    <w:rsid w:val="00E47076"/>
    <w:rsid w:val="00E50540"/>
    <w:rsid w:val="00E51CCF"/>
    <w:rsid w:val="00E5215D"/>
    <w:rsid w:val="00E531C4"/>
    <w:rsid w:val="00E547B9"/>
    <w:rsid w:val="00E558DB"/>
    <w:rsid w:val="00E5711E"/>
    <w:rsid w:val="00E57368"/>
    <w:rsid w:val="00E61C2D"/>
    <w:rsid w:val="00E6311F"/>
    <w:rsid w:val="00E63A70"/>
    <w:rsid w:val="00E6420C"/>
    <w:rsid w:val="00E75E3F"/>
    <w:rsid w:val="00E76332"/>
    <w:rsid w:val="00E8019A"/>
    <w:rsid w:val="00E81B27"/>
    <w:rsid w:val="00E83351"/>
    <w:rsid w:val="00E84B4B"/>
    <w:rsid w:val="00E853BB"/>
    <w:rsid w:val="00E85422"/>
    <w:rsid w:val="00E85825"/>
    <w:rsid w:val="00E8632B"/>
    <w:rsid w:val="00E87054"/>
    <w:rsid w:val="00E873B0"/>
    <w:rsid w:val="00E90D2A"/>
    <w:rsid w:val="00E93B9B"/>
    <w:rsid w:val="00E9439C"/>
    <w:rsid w:val="00E94B7C"/>
    <w:rsid w:val="00E9606C"/>
    <w:rsid w:val="00E96494"/>
    <w:rsid w:val="00E97217"/>
    <w:rsid w:val="00EA02AB"/>
    <w:rsid w:val="00EA30ED"/>
    <w:rsid w:val="00EA4367"/>
    <w:rsid w:val="00EA572D"/>
    <w:rsid w:val="00EA5A1F"/>
    <w:rsid w:val="00EA5D2B"/>
    <w:rsid w:val="00EA6404"/>
    <w:rsid w:val="00EA7022"/>
    <w:rsid w:val="00EA7508"/>
    <w:rsid w:val="00EA7A90"/>
    <w:rsid w:val="00EB1346"/>
    <w:rsid w:val="00EB1770"/>
    <w:rsid w:val="00EB2DDF"/>
    <w:rsid w:val="00EB3FDB"/>
    <w:rsid w:val="00EB5038"/>
    <w:rsid w:val="00EB525B"/>
    <w:rsid w:val="00EB65EF"/>
    <w:rsid w:val="00EB7D14"/>
    <w:rsid w:val="00EC2293"/>
    <w:rsid w:val="00EC270B"/>
    <w:rsid w:val="00EC49DF"/>
    <w:rsid w:val="00EC51F3"/>
    <w:rsid w:val="00EC5A6F"/>
    <w:rsid w:val="00EC6821"/>
    <w:rsid w:val="00ED07C7"/>
    <w:rsid w:val="00ED2C86"/>
    <w:rsid w:val="00ED3674"/>
    <w:rsid w:val="00ED6511"/>
    <w:rsid w:val="00EE0F57"/>
    <w:rsid w:val="00EE27CF"/>
    <w:rsid w:val="00EE2D03"/>
    <w:rsid w:val="00EE3509"/>
    <w:rsid w:val="00EE3B2D"/>
    <w:rsid w:val="00EE5ADA"/>
    <w:rsid w:val="00EE5F26"/>
    <w:rsid w:val="00EE6D66"/>
    <w:rsid w:val="00EF15EF"/>
    <w:rsid w:val="00EF3EE9"/>
    <w:rsid w:val="00F010C1"/>
    <w:rsid w:val="00F012A3"/>
    <w:rsid w:val="00F01CBB"/>
    <w:rsid w:val="00F05352"/>
    <w:rsid w:val="00F05C08"/>
    <w:rsid w:val="00F06449"/>
    <w:rsid w:val="00F07C67"/>
    <w:rsid w:val="00F10094"/>
    <w:rsid w:val="00F1113D"/>
    <w:rsid w:val="00F11E63"/>
    <w:rsid w:val="00F14A3E"/>
    <w:rsid w:val="00F17162"/>
    <w:rsid w:val="00F17846"/>
    <w:rsid w:val="00F17D40"/>
    <w:rsid w:val="00F23C18"/>
    <w:rsid w:val="00F26629"/>
    <w:rsid w:val="00F33AA8"/>
    <w:rsid w:val="00F34573"/>
    <w:rsid w:val="00F35D13"/>
    <w:rsid w:val="00F36FFC"/>
    <w:rsid w:val="00F37304"/>
    <w:rsid w:val="00F407F3"/>
    <w:rsid w:val="00F43890"/>
    <w:rsid w:val="00F43BE7"/>
    <w:rsid w:val="00F43EC5"/>
    <w:rsid w:val="00F43FF7"/>
    <w:rsid w:val="00F45C76"/>
    <w:rsid w:val="00F47199"/>
    <w:rsid w:val="00F47B88"/>
    <w:rsid w:val="00F47E06"/>
    <w:rsid w:val="00F50767"/>
    <w:rsid w:val="00F50D69"/>
    <w:rsid w:val="00F50EEB"/>
    <w:rsid w:val="00F52F12"/>
    <w:rsid w:val="00F540DC"/>
    <w:rsid w:val="00F55985"/>
    <w:rsid w:val="00F56B7F"/>
    <w:rsid w:val="00F61C14"/>
    <w:rsid w:val="00F6691C"/>
    <w:rsid w:val="00F71EDC"/>
    <w:rsid w:val="00F72283"/>
    <w:rsid w:val="00F72E4E"/>
    <w:rsid w:val="00F744F8"/>
    <w:rsid w:val="00F76757"/>
    <w:rsid w:val="00F77F62"/>
    <w:rsid w:val="00F80AA6"/>
    <w:rsid w:val="00F81B54"/>
    <w:rsid w:val="00F8426F"/>
    <w:rsid w:val="00F8580D"/>
    <w:rsid w:val="00F85E57"/>
    <w:rsid w:val="00F86B1E"/>
    <w:rsid w:val="00F87865"/>
    <w:rsid w:val="00F87F2D"/>
    <w:rsid w:val="00F9179A"/>
    <w:rsid w:val="00F91A68"/>
    <w:rsid w:val="00F94BA2"/>
    <w:rsid w:val="00F94FDA"/>
    <w:rsid w:val="00F95121"/>
    <w:rsid w:val="00F957CE"/>
    <w:rsid w:val="00F968F3"/>
    <w:rsid w:val="00FA0B7D"/>
    <w:rsid w:val="00FA1507"/>
    <w:rsid w:val="00FA456E"/>
    <w:rsid w:val="00FA5111"/>
    <w:rsid w:val="00FA5FB5"/>
    <w:rsid w:val="00FA604F"/>
    <w:rsid w:val="00FA6913"/>
    <w:rsid w:val="00FA76D9"/>
    <w:rsid w:val="00FA7A36"/>
    <w:rsid w:val="00FA7BAB"/>
    <w:rsid w:val="00FB1BE9"/>
    <w:rsid w:val="00FB3C87"/>
    <w:rsid w:val="00FB46DA"/>
    <w:rsid w:val="00FB47CC"/>
    <w:rsid w:val="00FB6F83"/>
    <w:rsid w:val="00FC005D"/>
    <w:rsid w:val="00FC2155"/>
    <w:rsid w:val="00FC2CDC"/>
    <w:rsid w:val="00FC3558"/>
    <w:rsid w:val="00FC4029"/>
    <w:rsid w:val="00FC71D9"/>
    <w:rsid w:val="00FD0244"/>
    <w:rsid w:val="00FD03D7"/>
    <w:rsid w:val="00FD04E7"/>
    <w:rsid w:val="00FD1BD5"/>
    <w:rsid w:val="00FD3A2A"/>
    <w:rsid w:val="00FD47EB"/>
    <w:rsid w:val="00FD543B"/>
    <w:rsid w:val="00FD5770"/>
    <w:rsid w:val="00FD6712"/>
    <w:rsid w:val="00FD7AD0"/>
    <w:rsid w:val="00FE019B"/>
    <w:rsid w:val="00FE066D"/>
    <w:rsid w:val="00FE0E05"/>
    <w:rsid w:val="00FE1BCA"/>
    <w:rsid w:val="00FE2028"/>
    <w:rsid w:val="00FE2CDC"/>
    <w:rsid w:val="00FE3F91"/>
    <w:rsid w:val="00FE6081"/>
    <w:rsid w:val="00FF372F"/>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50"/>
    <o:shapelayout v:ext="edit">
      <o:idmap v:ext="edit" data="1"/>
      <o:rules v:ext="edit">
        <o:r id="V:Rule1" type="connector" idref="#_x0000_s1035"/>
        <o:r id="V:Rule2" type="connector" idref="#_x0000_s1114"/>
        <o:r id="V:Rule3" type="connector" idref="#_x0000_s1107"/>
        <o:r id="V:Rule4" type="connector" idref="#_x0000_s1101"/>
        <o:r id="V:Rule5" type="connector" idref="#_x0000_s1046"/>
        <o:r id="V:Rule6" type="connector" idref="#_x0000_s1047"/>
        <o:r id="V:Rule7" type="connector" idref="#_x0000_s1099"/>
        <o:r id="V:Rule8" type="connector" idref="#_x0000_s1105"/>
        <o:r id="V:Rule9" type="connector" idref="#_x0000_s1050"/>
        <o:r id="V:Rule10" type="connector" idref="#_x0000_s1102"/>
        <o:r id="V:Rule11" type="connector" idref="#_x0000_s1049"/>
        <o:r id="V:Rule12" type="connector" idref="#_x0000_s1048"/>
        <o:r id="V:Rule13" type="connector" idref="#_x0000_s1098"/>
        <o:r id="V:Rule14" type="connector" idref="#_x0000_s1057"/>
        <o:r id="V:Rule15" type="connector" idref="#_x0000_s1110"/>
        <o:r id="V:Rule16" type="connector" idref="#_x0000_s1106"/>
        <o:r id="V:Rule17" type="connector" idref="#_x0000_s1044"/>
        <o:r id="V:Rule18" type="connector" idref="#_x0000_s1112"/>
        <o:r id="V:Rule19" type="connector" idref="#_x0000_s1111"/>
        <o:r id="V:Rule20" type="connector" idref="#_x0000_s1058"/>
        <o:r id="V:Rule21" type="connector" idref="#_x0000_s1045"/>
        <o:r id="V:Rule22" type="connector" idref="#_x0000_s11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B4242"/>
    <w:pPr>
      <w:widowControl w:val="0"/>
      <w:suppressAutoHyphens/>
      <w:jc w:val="both"/>
    </w:pPr>
    <w:rPr>
      <w:kern w:val="1"/>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符"/>
    <w:uiPriority w:val="99"/>
    <w:rsid w:val="00B419BE"/>
    <w:rPr>
      <w:vertAlign w:val="superscript"/>
    </w:rPr>
  </w:style>
  <w:style w:type="character" w:styleId="a4">
    <w:name w:val="annotation reference"/>
    <w:uiPriority w:val="99"/>
    <w:rsid w:val="00B419BE"/>
    <w:rPr>
      <w:rFonts w:cs="Times New Roman"/>
      <w:sz w:val="21"/>
    </w:rPr>
  </w:style>
  <w:style w:type="character" w:styleId="a5">
    <w:name w:val="page number"/>
    <w:uiPriority w:val="99"/>
    <w:rsid w:val="00B419BE"/>
    <w:rPr>
      <w:rFonts w:cs="Times New Roman"/>
    </w:rPr>
  </w:style>
  <w:style w:type="character" w:styleId="a6">
    <w:name w:val="footnote reference"/>
    <w:uiPriority w:val="99"/>
    <w:rsid w:val="00B419BE"/>
    <w:rPr>
      <w:rFonts w:cs="Times New Roman"/>
      <w:vertAlign w:val="superscript"/>
    </w:rPr>
  </w:style>
  <w:style w:type="character" w:customStyle="1" w:styleId="a7">
    <w:name w:val="编号符号"/>
    <w:uiPriority w:val="99"/>
    <w:rsid w:val="00B419BE"/>
  </w:style>
  <w:style w:type="character" w:styleId="a8">
    <w:name w:val="endnote reference"/>
    <w:uiPriority w:val="99"/>
    <w:rsid w:val="00B419BE"/>
    <w:rPr>
      <w:rFonts w:cs="Times New Roman"/>
      <w:vertAlign w:val="superscript"/>
    </w:rPr>
  </w:style>
  <w:style w:type="character" w:customStyle="1" w:styleId="a9">
    <w:name w:val="尾注符"/>
    <w:uiPriority w:val="99"/>
    <w:rsid w:val="00B419BE"/>
  </w:style>
  <w:style w:type="paragraph" w:styleId="aa">
    <w:name w:val="Title"/>
    <w:basedOn w:val="a"/>
    <w:next w:val="ab"/>
    <w:link w:val="Char"/>
    <w:uiPriority w:val="99"/>
    <w:qFormat/>
    <w:rsid w:val="00B419BE"/>
    <w:pPr>
      <w:keepNext/>
      <w:spacing w:before="240" w:after="120"/>
    </w:pPr>
    <w:rPr>
      <w:rFonts w:ascii="Liberation Sans" w:eastAsia="Droid Sans Fallback" w:hAnsi="Liberation Sans" w:cs="FreeSans"/>
      <w:sz w:val="28"/>
      <w:szCs w:val="28"/>
    </w:rPr>
  </w:style>
  <w:style w:type="character" w:customStyle="1" w:styleId="Char">
    <w:name w:val="标题 Char"/>
    <w:link w:val="aa"/>
    <w:uiPriority w:val="99"/>
    <w:locked/>
    <w:rsid w:val="003E3AE1"/>
    <w:rPr>
      <w:rFonts w:ascii="Cambria" w:hAnsi="Cambria" w:cs="Times New Roman"/>
      <w:b/>
      <w:bCs/>
      <w:kern w:val="1"/>
      <w:sz w:val="32"/>
      <w:szCs w:val="32"/>
    </w:rPr>
  </w:style>
  <w:style w:type="paragraph" w:styleId="ab">
    <w:name w:val="Body Text"/>
    <w:basedOn w:val="a"/>
    <w:link w:val="Char0"/>
    <w:uiPriority w:val="99"/>
    <w:rsid w:val="00B419BE"/>
    <w:pPr>
      <w:spacing w:after="140" w:line="288" w:lineRule="auto"/>
    </w:pPr>
  </w:style>
  <w:style w:type="character" w:customStyle="1" w:styleId="Char0">
    <w:name w:val="正文文本 Char"/>
    <w:link w:val="ab"/>
    <w:uiPriority w:val="99"/>
    <w:semiHidden/>
    <w:locked/>
    <w:rsid w:val="003E3AE1"/>
    <w:rPr>
      <w:rFonts w:cs="Times New Roman"/>
      <w:kern w:val="1"/>
      <w:sz w:val="20"/>
      <w:szCs w:val="20"/>
    </w:rPr>
  </w:style>
  <w:style w:type="paragraph" w:styleId="ac">
    <w:name w:val="List"/>
    <w:basedOn w:val="ab"/>
    <w:uiPriority w:val="99"/>
    <w:rsid w:val="00B419BE"/>
    <w:rPr>
      <w:rFonts w:cs="FreeSans"/>
    </w:rPr>
  </w:style>
  <w:style w:type="paragraph" w:styleId="ad">
    <w:name w:val="caption"/>
    <w:basedOn w:val="a"/>
    <w:uiPriority w:val="99"/>
    <w:qFormat/>
    <w:rsid w:val="00B419BE"/>
    <w:pPr>
      <w:suppressLineNumbers/>
      <w:spacing w:before="120" w:after="120"/>
    </w:pPr>
    <w:rPr>
      <w:rFonts w:cs="FreeSans"/>
      <w:i/>
      <w:iCs/>
      <w:szCs w:val="24"/>
    </w:rPr>
  </w:style>
  <w:style w:type="paragraph" w:customStyle="1" w:styleId="ae">
    <w:name w:val="索引"/>
    <w:basedOn w:val="a"/>
    <w:uiPriority w:val="99"/>
    <w:rsid w:val="00B419BE"/>
    <w:pPr>
      <w:suppressLineNumbers/>
    </w:pPr>
    <w:rPr>
      <w:rFonts w:cs="FreeSans"/>
    </w:rPr>
  </w:style>
  <w:style w:type="paragraph" w:styleId="af">
    <w:name w:val="footnote text"/>
    <w:basedOn w:val="a"/>
    <w:link w:val="Char1"/>
    <w:uiPriority w:val="99"/>
    <w:rsid w:val="00B419BE"/>
    <w:pPr>
      <w:snapToGrid w:val="0"/>
      <w:jc w:val="left"/>
    </w:pPr>
    <w:rPr>
      <w:sz w:val="18"/>
      <w:szCs w:val="18"/>
    </w:rPr>
  </w:style>
  <w:style w:type="character" w:customStyle="1" w:styleId="Char1">
    <w:name w:val="脚注文本 Char"/>
    <w:link w:val="af"/>
    <w:uiPriority w:val="99"/>
    <w:semiHidden/>
    <w:locked/>
    <w:rsid w:val="003E3AE1"/>
    <w:rPr>
      <w:rFonts w:cs="Times New Roman"/>
      <w:kern w:val="1"/>
      <w:sz w:val="18"/>
      <w:szCs w:val="18"/>
    </w:rPr>
  </w:style>
  <w:style w:type="paragraph" w:styleId="af0">
    <w:name w:val="Document Map"/>
    <w:basedOn w:val="a"/>
    <w:link w:val="Char2"/>
    <w:uiPriority w:val="99"/>
    <w:rsid w:val="00B419BE"/>
  </w:style>
  <w:style w:type="character" w:customStyle="1" w:styleId="Char2">
    <w:name w:val="文档结构图 Char"/>
    <w:link w:val="af0"/>
    <w:uiPriority w:val="99"/>
    <w:semiHidden/>
    <w:locked/>
    <w:rsid w:val="003E3AE1"/>
    <w:rPr>
      <w:rFonts w:cs="Times New Roman"/>
      <w:kern w:val="1"/>
      <w:sz w:val="2"/>
    </w:rPr>
  </w:style>
  <w:style w:type="paragraph" w:styleId="af1">
    <w:name w:val="header"/>
    <w:basedOn w:val="a"/>
    <w:link w:val="Char3"/>
    <w:uiPriority w:val="99"/>
    <w:rsid w:val="00B419BE"/>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character" w:customStyle="1" w:styleId="Char3">
    <w:name w:val="页眉 Char"/>
    <w:link w:val="af1"/>
    <w:uiPriority w:val="99"/>
    <w:semiHidden/>
    <w:locked/>
    <w:rsid w:val="003E3AE1"/>
    <w:rPr>
      <w:rFonts w:cs="Times New Roman"/>
      <w:kern w:val="1"/>
      <w:sz w:val="18"/>
      <w:szCs w:val="18"/>
    </w:rPr>
  </w:style>
  <w:style w:type="paragraph" w:styleId="af2">
    <w:name w:val="footer"/>
    <w:basedOn w:val="a"/>
    <w:link w:val="Char4"/>
    <w:uiPriority w:val="99"/>
    <w:rsid w:val="00B419BE"/>
    <w:pPr>
      <w:tabs>
        <w:tab w:val="center" w:pos="4153"/>
        <w:tab w:val="right" w:pos="8306"/>
      </w:tabs>
      <w:snapToGrid w:val="0"/>
      <w:jc w:val="left"/>
    </w:pPr>
    <w:rPr>
      <w:sz w:val="18"/>
      <w:szCs w:val="18"/>
    </w:rPr>
  </w:style>
  <w:style w:type="character" w:customStyle="1" w:styleId="Char4">
    <w:name w:val="页脚 Char"/>
    <w:link w:val="af2"/>
    <w:uiPriority w:val="99"/>
    <w:semiHidden/>
    <w:locked/>
    <w:rsid w:val="003E3AE1"/>
    <w:rPr>
      <w:rFonts w:cs="Times New Roman"/>
      <w:kern w:val="1"/>
      <w:sz w:val="18"/>
      <w:szCs w:val="18"/>
    </w:rPr>
  </w:style>
  <w:style w:type="paragraph" w:customStyle="1" w:styleId="Default">
    <w:name w:val="Default"/>
    <w:uiPriority w:val="99"/>
    <w:rsid w:val="00B419BE"/>
    <w:pPr>
      <w:widowControl w:val="0"/>
      <w:suppressAutoHyphens/>
      <w:autoSpaceDE w:val="0"/>
    </w:pPr>
    <w:rPr>
      <w:color w:val="000000"/>
      <w:sz w:val="24"/>
      <w:szCs w:val="24"/>
      <w:lang w:val="en-US"/>
    </w:rPr>
  </w:style>
  <w:style w:type="paragraph" w:styleId="af3">
    <w:name w:val="annotation text"/>
    <w:basedOn w:val="a"/>
    <w:link w:val="Char5"/>
    <w:uiPriority w:val="99"/>
    <w:rsid w:val="00B419BE"/>
    <w:pPr>
      <w:jc w:val="left"/>
    </w:pPr>
  </w:style>
  <w:style w:type="character" w:customStyle="1" w:styleId="Char5">
    <w:name w:val="批注文字 Char"/>
    <w:link w:val="af3"/>
    <w:uiPriority w:val="99"/>
    <w:semiHidden/>
    <w:locked/>
    <w:rsid w:val="003E3AE1"/>
    <w:rPr>
      <w:rFonts w:cs="Times New Roman"/>
      <w:kern w:val="1"/>
      <w:sz w:val="20"/>
      <w:szCs w:val="20"/>
    </w:rPr>
  </w:style>
  <w:style w:type="paragraph" w:styleId="af4">
    <w:name w:val="annotation subject"/>
    <w:basedOn w:val="af3"/>
    <w:next w:val="af3"/>
    <w:link w:val="Char6"/>
    <w:uiPriority w:val="99"/>
    <w:rsid w:val="00B419BE"/>
    <w:rPr>
      <w:b/>
      <w:bCs/>
    </w:rPr>
  </w:style>
  <w:style w:type="character" w:customStyle="1" w:styleId="Char6">
    <w:name w:val="批注主题 Char"/>
    <w:link w:val="af4"/>
    <w:uiPriority w:val="99"/>
    <w:semiHidden/>
    <w:locked/>
    <w:rsid w:val="003E3AE1"/>
    <w:rPr>
      <w:rFonts w:cs="Times New Roman"/>
      <w:b/>
      <w:bCs/>
      <w:kern w:val="1"/>
      <w:sz w:val="20"/>
      <w:szCs w:val="20"/>
    </w:rPr>
  </w:style>
  <w:style w:type="paragraph" w:styleId="af5">
    <w:name w:val="Balloon Text"/>
    <w:basedOn w:val="a"/>
    <w:link w:val="Char7"/>
    <w:uiPriority w:val="99"/>
    <w:rsid w:val="00B419BE"/>
    <w:rPr>
      <w:sz w:val="18"/>
      <w:szCs w:val="18"/>
    </w:rPr>
  </w:style>
  <w:style w:type="character" w:customStyle="1" w:styleId="Char7">
    <w:name w:val="批注框文本 Char"/>
    <w:link w:val="af5"/>
    <w:uiPriority w:val="99"/>
    <w:semiHidden/>
    <w:locked/>
    <w:rsid w:val="003E3AE1"/>
    <w:rPr>
      <w:rFonts w:cs="Times New Roman"/>
      <w:kern w:val="1"/>
      <w:sz w:val="2"/>
    </w:rPr>
  </w:style>
  <w:style w:type="paragraph" w:customStyle="1" w:styleId="af6">
    <w:name w:val="框架内容"/>
    <w:basedOn w:val="a"/>
    <w:uiPriority w:val="99"/>
    <w:rsid w:val="00B419BE"/>
  </w:style>
  <w:style w:type="paragraph" w:customStyle="1" w:styleId="cjk">
    <w:name w:val="cjk"/>
    <w:basedOn w:val="a"/>
    <w:uiPriority w:val="99"/>
    <w:rsid w:val="00711404"/>
    <w:pPr>
      <w:widowControl/>
      <w:suppressAutoHyphens w:val="0"/>
      <w:spacing w:before="100" w:beforeAutospacing="1" w:after="142" w:line="288" w:lineRule="auto"/>
    </w:pPr>
    <w:rPr>
      <w:rFonts w:ascii="FangSong_GB2312" w:eastAsia="Times New Roman" w:hAnsi="SimSun" w:cs="SimSun"/>
      <w:color w:val="000000"/>
      <w:kern w:val="0"/>
      <w:szCs w:val="24"/>
    </w:rPr>
  </w:style>
  <w:style w:type="character" w:customStyle="1" w:styleId="citation">
    <w:name w:val="citation"/>
    <w:uiPriority w:val="99"/>
    <w:rsid w:val="00DE6587"/>
  </w:style>
  <w:style w:type="character" w:styleId="af7">
    <w:name w:val="Hyperlink"/>
    <w:uiPriority w:val="99"/>
    <w:rsid w:val="00F05352"/>
    <w:rPr>
      <w:rFonts w:cs="Times New Roman"/>
      <w:color w:val="0563C1"/>
      <w:u w:val="single"/>
    </w:rPr>
  </w:style>
  <w:style w:type="paragraph" w:styleId="af8">
    <w:name w:val="Revision"/>
    <w:hidden/>
    <w:uiPriority w:val="99"/>
    <w:semiHidden/>
    <w:rsid w:val="001D3CE7"/>
    <w:rPr>
      <w:kern w:val="1"/>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2276">
      <w:marLeft w:val="0"/>
      <w:marRight w:val="0"/>
      <w:marTop w:val="0"/>
      <w:marBottom w:val="0"/>
      <w:divBdr>
        <w:top w:val="none" w:sz="0" w:space="0" w:color="auto"/>
        <w:left w:val="none" w:sz="0" w:space="0" w:color="auto"/>
        <w:bottom w:val="none" w:sz="0" w:space="0" w:color="auto"/>
        <w:right w:val="none" w:sz="0" w:space="0" w:color="auto"/>
      </w:divBdr>
    </w:div>
    <w:div w:id="242762279">
      <w:marLeft w:val="0"/>
      <w:marRight w:val="0"/>
      <w:marTop w:val="0"/>
      <w:marBottom w:val="0"/>
      <w:divBdr>
        <w:top w:val="none" w:sz="0" w:space="0" w:color="auto"/>
        <w:left w:val="none" w:sz="0" w:space="0" w:color="auto"/>
        <w:bottom w:val="none" w:sz="0" w:space="0" w:color="auto"/>
        <w:right w:val="none" w:sz="0" w:space="0" w:color="auto"/>
      </w:divBdr>
      <w:divsChild>
        <w:div w:id="242762273">
          <w:marLeft w:val="0"/>
          <w:marRight w:val="0"/>
          <w:marTop w:val="0"/>
          <w:marBottom w:val="0"/>
          <w:divBdr>
            <w:top w:val="none" w:sz="0" w:space="0" w:color="auto"/>
            <w:left w:val="none" w:sz="0" w:space="0" w:color="auto"/>
            <w:bottom w:val="none" w:sz="0" w:space="0" w:color="auto"/>
            <w:right w:val="none" w:sz="0" w:space="0" w:color="auto"/>
          </w:divBdr>
        </w:div>
        <w:div w:id="242762274">
          <w:marLeft w:val="0"/>
          <w:marRight w:val="0"/>
          <w:marTop w:val="0"/>
          <w:marBottom w:val="0"/>
          <w:divBdr>
            <w:top w:val="none" w:sz="0" w:space="0" w:color="auto"/>
            <w:left w:val="none" w:sz="0" w:space="0" w:color="auto"/>
            <w:bottom w:val="none" w:sz="0" w:space="0" w:color="auto"/>
            <w:right w:val="none" w:sz="0" w:space="0" w:color="auto"/>
          </w:divBdr>
        </w:div>
        <w:div w:id="242762275">
          <w:marLeft w:val="0"/>
          <w:marRight w:val="0"/>
          <w:marTop w:val="0"/>
          <w:marBottom w:val="0"/>
          <w:divBdr>
            <w:top w:val="none" w:sz="0" w:space="0" w:color="auto"/>
            <w:left w:val="none" w:sz="0" w:space="0" w:color="auto"/>
            <w:bottom w:val="none" w:sz="0" w:space="0" w:color="auto"/>
            <w:right w:val="none" w:sz="0" w:space="0" w:color="auto"/>
          </w:divBdr>
        </w:div>
        <w:div w:id="242762277">
          <w:marLeft w:val="0"/>
          <w:marRight w:val="0"/>
          <w:marTop w:val="0"/>
          <w:marBottom w:val="0"/>
          <w:divBdr>
            <w:top w:val="none" w:sz="0" w:space="0" w:color="auto"/>
            <w:left w:val="none" w:sz="0" w:space="0" w:color="auto"/>
            <w:bottom w:val="none" w:sz="0" w:space="0" w:color="auto"/>
            <w:right w:val="none" w:sz="0" w:space="0" w:color="auto"/>
          </w:divBdr>
        </w:div>
        <w:div w:id="24276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3B84-E86F-4169-AB76-C58C61E2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6175</TotalTime>
  <Pages>21</Pages>
  <Words>8022</Words>
  <Characters>45729</Characters>
  <Application>Microsoft Office Word</Application>
  <DocSecurity>0</DocSecurity>
  <Lines>381</Lines>
  <Paragraphs>107</Paragraphs>
  <ScaleCrop>false</ScaleCrop>
  <Company/>
  <LinksUpToDate>false</LinksUpToDate>
  <CharactersWithSpaces>53644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Holistic Account of Similarity—An Objection to Weisberg’s Weighted Feature-Matching Account</dc:title>
  <dc:subject/>
  <dc:creator>Administrator</dc:creator>
  <cp:keywords/>
  <dc:description/>
  <cp:lastModifiedBy>Wesley Fang</cp:lastModifiedBy>
  <cp:revision>310</cp:revision>
  <cp:lastPrinted>2015-05-11T02:49:00Z</cp:lastPrinted>
  <dcterms:created xsi:type="dcterms:W3CDTF">2015-05-11T03:27:00Z</dcterms:created>
  <dcterms:modified xsi:type="dcterms:W3CDTF">2016-03-01T01:04:00Z</dcterms:modified>
</cp:coreProperties>
</file>