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BF19D" w14:textId="257ACA13" w:rsidR="00522BD0" w:rsidRPr="00522BD0" w:rsidRDefault="00522BD0" w:rsidP="00522BD0">
      <w:pPr>
        <w:spacing w:line="480" w:lineRule="auto"/>
        <w:rPr>
          <w:rFonts w:ascii="Times New Roman" w:hAnsi="Times New Roman" w:cs="Times New Roman"/>
          <w:i/>
        </w:rPr>
      </w:pPr>
      <w:r>
        <w:rPr>
          <w:rFonts w:ascii="Times New Roman" w:hAnsi="Times New Roman" w:cs="Times New Roman"/>
        </w:rPr>
        <w:t xml:space="preserve">Review published in </w:t>
      </w:r>
      <w:r w:rsidRPr="00522BD0">
        <w:rPr>
          <w:rFonts w:ascii="Times New Roman" w:hAnsi="Times New Roman" w:cs="Times New Roman"/>
          <w:i/>
        </w:rPr>
        <w:t xml:space="preserve">American Catholic Philosophical Quarterly </w:t>
      </w:r>
      <w:r w:rsidRPr="00522BD0">
        <w:rPr>
          <w:rFonts w:ascii="Times New Roman" w:hAnsi="Times New Roman" w:cs="Times New Roman"/>
        </w:rPr>
        <w:t>(93:1) 2019</w:t>
      </w:r>
      <w:r>
        <w:rPr>
          <w:rFonts w:ascii="Times New Roman" w:hAnsi="Times New Roman" w:cs="Times New Roman"/>
        </w:rPr>
        <w:t>.</w:t>
      </w:r>
    </w:p>
    <w:p w14:paraId="2FA3BB46" w14:textId="77777777" w:rsidR="00522BD0" w:rsidRDefault="00522BD0" w:rsidP="00EA22DD">
      <w:pPr>
        <w:spacing w:line="480" w:lineRule="auto"/>
        <w:rPr>
          <w:rFonts w:ascii="Times New Roman" w:hAnsi="Times New Roman" w:cs="Times New Roman"/>
        </w:rPr>
      </w:pPr>
    </w:p>
    <w:p w14:paraId="2A42C27D" w14:textId="77777777" w:rsidR="007D539C" w:rsidRDefault="00EA22DD" w:rsidP="00EA22DD">
      <w:pPr>
        <w:spacing w:line="480" w:lineRule="auto"/>
        <w:rPr>
          <w:rFonts w:ascii="Times New Roman" w:hAnsi="Times New Roman" w:cs="Times New Roman"/>
        </w:rPr>
      </w:pPr>
      <w:r>
        <w:rPr>
          <w:rFonts w:ascii="Times New Roman" w:hAnsi="Times New Roman" w:cs="Times New Roman"/>
        </w:rPr>
        <w:t xml:space="preserve">LEIBNIZ ON GOD AND RELIGION: A READER. </w:t>
      </w:r>
      <w:r w:rsidR="00A51518">
        <w:rPr>
          <w:rFonts w:ascii="Times New Roman" w:hAnsi="Times New Roman" w:cs="Times New Roman"/>
        </w:rPr>
        <w:t xml:space="preserve">By Gottfried Wilhelm Leibniz. </w:t>
      </w:r>
      <w:r>
        <w:rPr>
          <w:rFonts w:ascii="Times New Roman" w:hAnsi="Times New Roman" w:cs="Times New Roman"/>
        </w:rPr>
        <w:t xml:space="preserve">Translated and edited by Lloyd Strickland. London: Bloomsbury, 2016. </w:t>
      </w:r>
      <w:r w:rsidR="00A51518">
        <w:rPr>
          <w:rFonts w:ascii="Times New Roman" w:hAnsi="Times New Roman" w:cs="Times New Roman"/>
        </w:rPr>
        <w:t xml:space="preserve">Pp. </w:t>
      </w:r>
      <w:r>
        <w:rPr>
          <w:rFonts w:ascii="Times New Roman" w:hAnsi="Times New Roman" w:cs="Times New Roman"/>
        </w:rPr>
        <w:t xml:space="preserve">xiii+350. </w:t>
      </w:r>
      <w:r w:rsidR="002870D8">
        <w:rPr>
          <w:rFonts w:ascii="Times New Roman" w:hAnsi="Times New Roman" w:cs="Times New Roman"/>
        </w:rPr>
        <w:t>Hard</w:t>
      </w:r>
      <w:r w:rsidR="0011375C">
        <w:rPr>
          <w:rFonts w:ascii="Times New Roman" w:hAnsi="Times New Roman" w:cs="Times New Roman"/>
        </w:rPr>
        <w:t xml:space="preserve"> C</w:t>
      </w:r>
      <w:r w:rsidR="002870D8">
        <w:rPr>
          <w:rFonts w:ascii="Times New Roman" w:hAnsi="Times New Roman" w:cs="Times New Roman"/>
        </w:rPr>
        <w:t xml:space="preserve">over </w:t>
      </w:r>
      <w:r w:rsidR="0011375C">
        <w:rPr>
          <w:rFonts w:ascii="Times New Roman" w:hAnsi="Times New Roman" w:cs="Times New Roman"/>
        </w:rPr>
        <w:t>$</w:t>
      </w:r>
      <w:r w:rsidR="002870D8">
        <w:rPr>
          <w:rFonts w:ascii="Times New Roman" w:hAnsi="Times New Roman" w:cs="Times New Roman"/>
        </w:rPr>
        <w:t>114</w:t>
      </w:r>
      <w:r w:rsidR="00A51518">
        <w:rPr>
          <w:rFonts w:ascii="Times New Roman" w:hAnsi="Times New Roman" w:cs="Times New Roman"/>
        </w:rPr>
        <w:t>, ISBN: 978-1-472-58061-</w:t>
      </w:r>
      <w:r w:rsidR="002870D8">
        <w:rPr>
          <w:rFonts w:ascii="Times New Roman" w:hAnsi="Times New Roman" w:cs="Times New Roman"/>
        </w:rPr>
        <w:t xml:space="preserve">0; Paper </w:t>
      </w:r>
      <w:r w:rsidR="0011375C">
        <w:rPr>
          <w:rFonts w:ascii="Times New Roman" w:hAnsi="Times New Roman" w:cs="Times New Roman"/>
        </w:rPr>
        <w:t>$</w:t>
      </w:r>
      <w:r w:rsidR="002870D8">
        <w:rPr>
          <w:rFonts w:ascii="Times New Roman" w:hAnsi="Times New Roman" w:cs="Times New Roman"/>
        </w:rPr>
        <w:t>29.95</w:t>
      </w:r>
      <w:r w:rsidR="00A51518">
        <w:rPr>
          <w:rFonts w:ascii="Times New Roman" w:hAnsi="Times New Roman" w:cs="Times New Roman"/>
        </w:rPr>
        <w:t>, ISBN: 978-1-472-58062-7.</w:t>
      </w:r>
    </w:p>
    <w:p w14:paraId="0183B34C" w14:textId="77777777" w:rsidR="007D539C" w:rsidRDefault="007D539C" w:rsidP="00EA22DD">
      <w:pPr>
        <w:spacing w:line="480" w:lineRule="auto"/>
        <w:rPr>
          <w:rFonts w:ascii="Times New Roman" w:hAnsi="Times New Roman" w:cs="Times New Roman"/>
        </w:rPr>
      </w:pPr>
      <w:bookmarkStart w:id="0" w:name="_GoBack"/>
      <w:bookmarkEnd w:id="0"/>
    </w:p>
    <w:p w14:paraId="7DBBD6D2" w14:textId="2F3804F4" w:rsidR="00937A20" w:rsidRPr="00EA22DD" w:rsidRDefault="00CA29D2" w:rsidP="007014FF">
      <w:pPr>
        <w:spacing w:line="480" w:lineRule="auto"/>
        <w:rPr>
          <w:rFonts w:ascii="Times New Roman" w:hAnsi="Times New Roman" w:cs="Times New Roman"/>
        </w:rPr>
      </w:pPr>
      <w:r w:rsidRPr="00EA22DD">
        <w:rPr>
          <w:rFonts w:ascii="Times New Roman" w:hAnsi="Times New Roman" w:cs="Times New Roman"/>
        </w:rPr>
        <w:t>Lloyd Strickland</w:t>
      </w:r>
      <w:r w:rsidR="0011375C">
        <w:rPr>
          <w:rFonts w:ascii="Times New Roman" w:hAnsi="Times New Roman" w:cs="Times New Roman"/>
        </w:rPr>
        <w:t xml:space="preserve"> </w:t>
      </w:r>
      <w:r w:rsidR="008B17B7" w:rsidRPr="00EA22DD">
        <w:rPr>
          <w:rFonts w:ascii="Times New Roman" w:hAnsi="Times New Roman" w:cs="Times New Roman"/>
        </w:rPr>
        <w:t xml:space="preserve">has already made significant contributions to </w:t>
      </w:r>
      <w:r w:rsidR="0011375C">
        <w:rPr>
          <w:rFonts w:ascii="Times New Roman" w:hAnsi="Times New Roman" w:cs="Times New Roman"/>
        </w:rPr>
        <w:t xml:space="preserve">Leibniz scholarship through </w:t>
      </w:r>
      <w:r w:rsidR="00250081">
        <w:rPr>
          <w:rFonts w:ascii="Times New Roman" w:hAnsi="Times New Roman" w:cs="Times New Roman"/>
        </w:rPr>
        <w:t xml:space="preserve">online and print </w:t>
      </w:r>
      <w:r w:rsidR="008B17B7" w:rsidRPr="00EA22DD">
        <w:rPr>
          <w:rFonts w:ascii="Times New Roman" w:hAnsi="Times New Roman" w:cs="Times New Roman"/>
        </w:rPr>
        <w:t xml:space="preserve">translations </w:t>
      </w:r>
      <w:r w:rsidR="0011375C">
        <w:rPr>
          <w:rFonts w:ascii="Times New Roman" w:hAnsi="Times New Roman" w:cs="Times New Roman"/>
        </w:rPr>
        <w:t>of many short</w:t>
      </w:r>
      <w:r w:rsidR="00236D4C" w:rsidRPr="00EA22DD">
        <w:rPr>
          <w:rFonts w:ascii="Times New Roman" w:hAnsi="Times New Roman" w:cs="Times New Roman"/>
        </w:rPr>
        <w:t xml:space="preserve"> Leibniz texts, and through his translation of the </w:t>
      </w:r>
      <w:r w:rsidR="008B17B7" w:rsidRPr="00EA22DD">
        <w:rPr>
          <w:rFonts w:ascii="Times New Roman" w:hAnsi="Times New Roman" w:cs="Times New Roman"/>
        </w:rPr>
        <w:t xml:space="preserve">correspondence with </w:t>
      </w:r>
      <w:r w:rsidR="00F540EA" w:rsidRPr="00EA22DD">
        <w:rPr>
          <w:rFonts w:ascii="Times New Roman" w:hAnsi="Times New Roman" w:cs="Times New Roman"/>
        </w:rPr>
        <w:t>Electress Sophie and her daughter, Queen Sophie Charlotte</w:t>
      </w:r>
      <w:r w:rsidR="00525A76">
        <w:rPr>
          <w:rFonts w:ascii="Times New Roman" w:hAnsi="Times New Roman" w:cs="Times New Roman"/>
        </w:rPr>
        <w:t>.</w:t>
      </w:r>
      <w:r w:rsidR="0011375C">
        <w:rPr>
          <w:rFonts w:ascii="Times New Roman" w:hAnsi="Times New Roman" w:cs="Times New Roman"/>
        </w:rPr>
        <w:t xml:space="preserve"> He </w:t>
      </w:r>
      <w:r w:rsidR="00F540EA" w:rsidRPr="00EA22DD">
        <w:rPr>
          <w:rFonts w:ascii="Times New Roman" w:hAnsi="Times New Roman" w:cs="Times New Roman"/>
        </w:rPr>
        <w:t xml:space="preserve">now offers a very helpful volume of translations </w:t>
      </w:r>
      <w:r w:rsidR="0012375C" w:rsidRPr="00EA22DD">
        <w:rPr>
          <w:rFonts w:ascii="Times New Roman" w:hAnsi="Times New Roman" w:cs="Times New Roman"/>
        </w:rPr>
        <w:t>drawn from Leibniz’s w</w:t>
      </w:r>
      <w:r w:rsidR="00F540EA" w:rsidRPr="00EA22DD">
        <w:rPr>
          <w:rFonts w:ascii="Times New Roman" w:hAnsi="Times New Roman" w:cs="Times New Roman"/>
        </w:rPr>
        <w:t>ork</w:t>
      </w:r>
      <w:r w:rsidR="0012375C" w:rsidRPr="00EA22DD">
        <w:rPr>
          <w:rFonts w:ascii="Times New Roman" w:hAnsi="Times New Roman" w:cs="Times New Roman"/>
        </w:rPr>
        <w:t xml:space="preserve"> on religion and philosophical theology</w:t>
      </w:r>
      <w:r w:rsidR="00A51518">
        <w:rPr>
          <w:rFonts w:ascii="Times New Roman" w:hAnsi="Times New Roman" w:cs="Times New Roman"/>
        </w:rPr>
        <w:t xml:space="preserve">. </w:t>
      </w:r>
      <w:r w:rsidR="0012375C" w:rsidRPr="00EA22DD">
        <w:rPr>
          <w:rFonts w:ascii="Times New Roman" w:hAnsi="Times New Roman" w:cs="Times New Roman"/>
        </w:rPr>
        <w:t xml:space="preserve">This </w:t>
      </w:r>
      <w:r w:rsidR="00236D4C" w:rsidRPr="00EA22DD">
        <w:rPr>
          <w:rFonts w:ascii="Times New Roman" w:hAnsi="Times New Roman" w:cs="Times New Roman"/>
        </w:rPr>
        <w:t xml:space="preserve">new </w:t>
      </w:r>
      <w:r w:rsidR="0012375C" w:rsidRPr="00EA22DD">
        <w:rPr>
          <w:rFonts w:ascii="Times New Roman" w:hAnsi="Times New Roman" w:cs="Times New Roman"/>
        </w:rPr>
        <w:t xml:space="preserve">volume </w:t>
      </w:r>
      <w:r w:rsidR="00236D4C" w:rsidRPr="00EA22DD">
        <w:rPr>
          <w:rFonts w:ascii="Times New Roman" w:hAnsi="Times New Roman" w:cs="Times New Roman"/>
        </w:rPr>
        <w:t xml:space="preserve">would be suitable for an advanced seminar on Leibniz, or as a source of </w:t>
      </w:r>
      <w:r w:rsidR="00F72883" w:rsidRPr="00EA22DD">
        <w:rPr>
          <w:rFonts w:ascii="Times New Roman" w:hAnsi="Times New Roman" w:cs="Times New Roman"/>
        </w:rPr>
        <w:t>fresh</w:t>
      </w:r>
      <w:r w:rsidR="00236D4C" w:rsidRPr="00EA22DD">
        <w:rPr>
          <w:rFonts w:ascii="Times New Roman" w:hAnsi="Times New Roman" w:cs="Times New Roman"/>
        </w:rPr>
        <w:t xml:space="preserve"> readings for a historically oriented course </w:t>
      </w:r>
      <w:r w:rsidR="00A51518">
        <w:rPr>
          <w:rFonts w:ascii="Times New Roman" w:hAnsi="Times New Roman" w:cs="Times New Roman"/>
        </w:rPr>
        <w:t xml:space="preserve">on the philosophy of religion. </w:t>
      </w:r>
      <w:r w:rsidR="00236D4C" w:rsidRPr="00EA22DD">
        <w:rPr>
          <w:rFonts w:ascii="Times New Roman" w:hAnsi="Times New Roman" w:cs="Times New Roman"/>
        </w:rPr>
        <w:t xml:space="preserve">It is also </w:t>
      </w:r>
      <w:r w:rsidR="0012375C" w:rsidRPr="00EA22DD">
        <w:rPr>
          <w:rFonts w:ascii="Times New Roman" w:hAnsi="Times New Roman" w:cs="Times New Roman"/>
        </w:rPr>
        <w:t xml:space="preserve">a valuable companion to </w:t>
      </w:r>
      <w:r w:rsidR="00F72883" w:rsidRPr="00EA22DD">
        <w:rPr>
          <w:rFonts w:ascii="Times New Roman" w:hAnsi="Times New Roman" w:cs="Times New Roman"/>
        </w:rPr>
        <w:t>those</w:t>
      </w:r>
      <w:r w:rsidR="0012375C" w:rsidRPr="00EA22DD">
        <w:rPr>
          <w:rFonts w:ascii="Times New Roman" w:hAnsi="Times New Roman" w:cs="Times New Roman"/>
        </w:rPr>
        <w:t xml:space="preserve"> reading Maria Rosa Antognazza’s </w:t>
      </w:r>
      <w:r w:rsidR="0012375C" w:rsidRPr="00EA22DD">
        <w:rPr>
          <w:rFonts w:ascii="Times New Roman" w:hAnsi="Times New Roman" w:cs="Times New Roman"/>
          <w:i/>
        </w:rPr>
        <w:t xml:space="preserve">Leibniz on the Trinity and the Incarnation: Reason and Revelation in the Seventeenth Century </w:t>
      </w:r>
      <w:r w:rsidR="0012375C" w:rsidRPr="00EA22DD">
        <w:rPr>
          <w:rFonts w:ascii="Times New Roman" w:hAnsi="Times New Roman" w:cs="Times New Roman"/>
        </w:rPr>
        <w:t>(2007)</w:t>
      </w:r>
      <w:r w:rsidR="004A70F8" w:rsidRPr="00EA22DD">
        <w:rPr>
          <w:rFonts w:ascii="Times New Roman" w:hAnsi="Times New Roman" w:cs="Times New Roman"/>
        </w:rPr>
        <w:t>,</w:t>
      </w:r>
      <w:r w:rsidR="0012375C" w:rsidRPr="00EA22DD">
        <w:rPr>
          <w:rFonts w:ascii="Times New Roman" w:hAnsi="Times New Roman" w:cs="Times New Roman"/>
        </w:rPr>
        <w:t xml:space="preserve"> Irena Backus’s </w:t>
      </w:r>
      <w:r w:rsidR="0012375C" w:rsidRPr="00EA22DD">
        <w:rPr>
          <w:rFonts w:ascii="Times New Roman" w:hAnsi="Times New Roman" w:cs="Times New Roman"/>
          <w:i/>
        </w:rPr>
        <w:t>Leibniz: Protestant Theologian</w:t>
      </w:r>
      <w:r w:rsidR="0012375C" w:rsidRPr="00EA22DD">
        <w:rPr>
          <w:rFonts w:ascii="Times New Roman" w:hAnsi="Times New Roman" w:cs="Times New Roman"/>
        </w:rPr>
        <w:t xml:space="preserve"> (2016)</w:t>
      </w:r>
      <w:r w:rsidR="004A70F8" w:rsidRPr="00EA22DD">
        <w:rPr>
          <w:rFonts w:ascii="Times New Roman" w:hAnsi="Times New Roman" w:cs="Times New Roman"/>
        </w:rPr>
        <w:t xml:space="preserve">, and </w:t>
      </w:r>
      <w:r w:rsidR="0012375C" w:rsidRPr="00EA22DD">
        <w:rPr>
          <w:rFonts w:ascii="Times New Roman" w:hAnsi="Times New Roman" w:cs="Times New Roman"/>
        </w:rPr>
        <w:t xml:space="preserve">Claire Rösler-Le Van’s </w:t>
      </w:r>
      <w:r w:rsidR="0011375C">
        <w:rPr>
          <w:rFonts w:ascii="Times New Roman" w:hAnsi="Times New Roman" w:cs="Times New Roman"/>
        </w:rPr>
        <w:t xml:space="preserve">1172–page </w:t>
      </w:r>
      <w:r w:rsidR="0012375C" w:rsidRPr="00EA22DD">
        <w:rPr>
          <w:rFonts w:ascii="Times New Roman" w:hAnsi="Times New Roman" w:cs="Times New Roman"/>
        </w:rPr>
        <w:t xml:space="preserve">French commentary and translation of </w:t>
      </w:r>
      <w:r w:rsidR="0011375C">
        <w:rPr>
          <w:rFonts w:ascii="Times New Roman" w:hAnsi="Times New Roman" w:cs="Times New Roman"/>
        </w:rPr>
        <w:t xml:space="preserve">letters and papers </w:t>
      </w:r>
      <w:r w:rsidR="00596A7E">
        <w:rPr>
          <w:rFonts w:ascii="Times New Roman" w:hAnsi="Times New Roman" w:cs="Times New Roman"/>
        </w:rPr>
        <w:t xml:space="preserve">related to </w:t>
      </w:r>
      <w:r w:rsidR="0012375C" w:rsidRPr="00EA22DD">
        <w:rPr>
          <w:rFonts w:ascii="Times New Roman" w:hAnsi="Times New Roman" w:cs="Times New Roman"/>
        </w:rPr>
        <w:t xml:space="preserve">Leibniz’s ecumenical correspondence with </w:t>
      </w:r>
      <w:r w:rsidR="00937A20" w:rsidRPr="00EA22DD">
        <w:rPr>
          <w:rFonts w:ascii="Times New Roman" w:hAnsi="Times New Roman" w:cs="Times New Roman"/>
        </w:rPr>
        <w:t>Daniel Ernst Jablonski</w:t>
      </w:r>
      <w:r w:rsidR="0011375C">
        <w:rPr>
          <w:rFonts w:ascii="Times New Roman" w:hAnsi="Times New Roman" w:cs="Times New Roman"/>
        </w:rPr>
        <w:t>, a bishop of the Unity of the Brethren</w:t>
      </w:r>
      <w:r w:rsidR="00563E27" w:rsidRPr="00EA22DD">
        <w:rPr>
          <w:rFonts w:ascii="Times New Roman" w:hAnsi="Times New Roman" w:cs="Times New Roman"/>
        </w:rPr>
        <w:t xml:space="preserve"> </w:t>
      </w:r>
      <w:r w:rsidR="0011375C">
        <w:rPr>
          <w:rFonts w:ascii="Times New Roman" w:hAnsi="Times New Roman" w:cs="Times New Roman"/>
        </w:rPr>
        <w:t>(2013)</w:t>
      </w:r>
      <w:r w:rsidR="00596A7E">
        <w:rPr>
          <w:rFonts w:ascii="Times New Roman" w:hAnsi="Times New Roman" w:cs="Times New Roman"/>
        </w:rPr>
        <w:t>.</w:t>
      </w:r>
      <w:r w:rsidR="00A51518">
        <w:rPr>
          <w:rFonts w:ascii="Times New Roman" w:hAnsi="Times New Roman" w:cs="Times New Roman"/>
        </w:rPr>
        <w:t xml:space="preserve"> </w:t>
      </w:r>
      <w:r w:rsidR="009D367D" w:rsidRPr="00EA22DD">
        <w:rPr>
          <w:rFonts w:ascii="Times New Roman" w:hAnsi="Times New Roman" w:cs="Times New Roman"/>
        </w:rPr>
        <w:t>There is now abundant material available to stimulate a reco</w:t>
      </w:r>
      <w:r w:rsidR="00250081">
        <w:rPr>
          <w:rFonts w:ascii="Times New Roman" w:hAnsi="Times New Roman" w:cs="Times New Roman"/>
        </w:rPr>
        <w:t xml:space="preserve">nsideration of Leibniz as </w:t>
      </w:r>
      <w:r w:rsidR="00000544">
        <w:rPr>
          <w:rFonts w:ascii="Times New Roman" w:hAnsi="Times New Roman" w:cs="Times New Roman"/>
        </w:rPr>
        <w:t xml:space="preserve">a </w:t>
      </w:r>
      <w:r w:rsidR="00250081">
        <w:rPr>
          <w:rFonts w:ascii="Times New Roman" w:hAnsi="Times New Roman" w:cs="Times New Roman"/>
        </w:rPr>
        <w:t>theologically</w:t>
      </w:r>
      <w:r w:rsidR="00000544">
        <w:rPr>
          <w:rFonts w:ascii="Times New Roman" w:hAnsi="Times New Roman" w:cs="Times New Roman"/>
        </w:rPr>
        <w:t xml:space="preserve"> engaged philosopher and even </w:t>
      </w:r>
      <w:r w:rsidR="00250081">
        <w:rPr>
          <w:rFonts w:ascii="Times New Roman" w:hAnsi="Times New Roman" w:cs="Times New Roman"/>
        </w:rPr>
        <w:t xml:space="preserve">as a </w:t>
      </w:r>
      <w:r w:rsidR="009D367D" w:rsidRPr="00EA22DD">
        <w:rPr>
          <w:rFonts w:ascii="Times New Roman" w:hAnsi="Times New Roman" w:cs="Times New Roman"/>
        </w:rPr>
        <w:t>theologian.</w:t>
      </w:r>
    </w:p>
    <w:p w14:paraId="156786B3" w14:textId="38AA49CB" w:rsidR="002E7E86" w:rsidRPr="00EA22DD" w:rsidRDefault="00563E27" w:rsidP="00EA22DD">
      <w:pPr>
        <w:spacing w:line="480" w:lineRule="auto"/>
        <w:ind w:firstLine="720"/>
        <w:rPr>
          <w:rFonts w:ascii="Times New Roman" w:hAnsi="Times New Roman" w:cs="Times New Roman"/>
        </w:rPr>
      </w:pPr>
      <w:r w:rsidRPr="00EA22DD">
        <w:rPr>
          <w:rFonts w:ascii="Times New Roman" w:hAnsi="Times New Roman" w:cs="Times New Roman"/>
        </w:rPr>
        <w:t>Strickland offers</w:t>
      </w:r>
      <w:r w:rsidR="00D505F9" w:rsidRPr="00EA22DD">
        <w:rPr>
          <w:rFonts w:ascii="Times New Roman" w:hAnsi="Times New Roman" w:cs="Times New Roman"/>
        </w:rPr>
        <w:t xml:space="preserve"> </w:t>
      </w:r>
      <w:r w:rsidRPr="00EA22DD">
        <w:rPr>
          <w:rFonts w:ascii="Times New Roman" w:hAnsi="Times New Roman" w:cs="Times New Roman"/>
        </w:rPr>
        <w:t>more than</w:t>
      </w:r>
      <w:r w:rsidR="00D505F9" w:rsidRPr="00EA22DD">
        <w:rPr>
          <w:rFonts w:ascii="Times New Roman" w:hAnsi="Times New Roman" w:cs="Times New Roman"/>
        </w:rPr>
        <w:t xml:space="preserve"> 300 pages of translations</w:t>
      </w:r>
      <w:r w:rsidR="002E7E86" w:rsidRPr="00EA22DD">
        <w:rPr>
          <w:rFonts w:ascii="Times New Roman" w:hAnsi="Times New Roman" w:cs="Times New Roman"/>
        </w:rPr>
        <w:t xml:space="preserve"> drawn from 70 texts, some </w:t>
      </w:r>
      <w:r w:rsidRPr="00EA22DD">
        <w:rPr>
          <w:rFonts w:ascii="Times New Roman" w:hAnsi="Times New Roman" w:cs="Times New Roman"/>
        </w:rPr>
        <w:t>complete</w:t>
      </w:r>
      <w:r w:rsidR="002E7E86" w:rsidRPr="00EA22DD">
        <w:rPr>
          <w:rFonts w:ascii="Times New Roman" w:hAnsi="Times New Roman" w:cs="Times New Roman"/>
        </w:rPr>
        <w:t xml:space="preserve"> and others with less philosophically relevant material left out</w:t>
      </w:r>
      <w:r w:rsidR="00A51518">
        <w:rPr>
          <w:rFonts w:ascii="Times New Roman" w:hAnsi="Times New Roman" w:cs="Times New Roman"/>
        </w:rPr>
        <w:t xml:space="preserve">. </w:t>
      </w:r>
      <w:r w:rsidR="002E7E86" w:rsidRPr="00EA22DD">
        <w:rPr>
          <w:rFonts w:ascii="Times New Roman" w:hAnsi="Times New Roman" w:cs="Times New Roman"/>
        </w:rPr>
        <w:t xml:space="preserve">Though complete translations would have </w:t>
      </w:r>
      <w:r w:rsidR="0086783F" w:rsidRPr="00EA22DD">
        <w:rPr>
          <w:rFonts w:ascii="Times New Roman" w:hAnsi="Times New Roman" w:cs="Times New Roman"/>
        </w:rPr>
        <w:t>been</w:t>
      </w:r>
      <w:r w:rsidR="002E7E86" w:rsidRPr="00EA22DD">
        <w:rPr>
          <w:rFonts w:ascii="Times New Roman" w:hAnsi="Times New Roman" w:cs="Times New Roman"/>
        </w:rPr>
        <w:t xml:space="preserve"> helpful or at least interesting, the abridgement enabled Strickland to </w:t>
      </w:r>
      <w:r w:rsidR="00596A7E">
        <w:rPr>
          <w:rFonts w:ascii="Times New Roman" w:hAnsi="Times New Roman" w:cs="Times New Roman"/>
        </w:rPr>
        <w:t>sample more widely.</w:t>
      </w:r>
      <w:r w:rsidR="00A51518">
        <w:rPr>
          <w:rFonts w:ascii="Times New Roman" w:hAnsi="Times New Roman" w:cs="Times New Roman"/>
        </w:rPr>
        <w:t xml:space="preserve"> </w:t>
      </w:r>
      <w:r w:rsidR="002E7E86" w:rsidRPr="00EA22DD">
        <w:rPr>
          <w:rFonts w:ascii="Times New Roman" w:hAnsi="Times New Roman" w:cs="Times New Roman"/>
        </w:rPr>
        <w:t xml:space="preserve">Individual texts are given titles to make the table of contents more useful, and the reader is directed to </w:t>
      </w:r>
      <w:r w:rsidRPr="00EA22DD">
        <w:rPr>
          <w:rFonts w:ascii="Times New Roman" w:hAnsi="Times New Roman" w:cs="Times New Roman"/>
        </w:rPr>
        <w:t>the</w:t>
      </w:r>
      <w:r w:rsidR="002E7E86" w:rsidRPr="00EA22DD">
        <w:rPr>
          <w:rFonts w:ascii="Times New Roman" w:hAnsi="Times New Roman" w:cs="Times New Roman"/>
        </w:rPr>
        <w:t xml:space="preserve"> manuscript and transcription sources</w:t>
      </w:r>
      <w:r w:rsidR="00A51518">
        <w:rPr>
          <w:rFonts w:ascii="Times New Roman" w:hAnsi="Times New Roman" w:cs="Times New Roman"/>
        </w:rPr>
        <w:t xml:space="preserve">. </w:t>
      </w:r>
      <w:r w:rsidR="002E7E86" w:rsidRPr="00EA22DD">
        <w:rPr>
          <w:rFonts w:ascii="Times New Roman" w:hAnsi="Times New Roman" w:cs="Times New Roman"/>
        </w:rPr>
        <w:t>H</w:t>
      </w:r>
      <w:r w:rsidR="00D505F9" w:rsidRPr="00EA22DD">
        <w:rPr>
          <w:rFonts w:ascii="Times New Roman" w:hAnsi="Times New Roman" w:cs="Times New Roman"/>
        </w:rPr>
        <w:t xml:space="preserve">elpful </w:t>
      </w:r>
      <w:r w:rsidR="002E7E86" w:rsidRPr="00EA22DD">
        <w:rPr>
          <w:rFonts w:ascii="Times New Roman" w:hAnsi="Times New Roman" w:cs="Times New Roman"/>
        </w:rPr>
        <w:lastRenderedPageBreak/>
        <w:t xml:space="preserve">introductory comments </w:t>
      </w:r>
      <w:r w:rsidR="000408D1" w:rsidRPr="00EA22DD">
        <w:rPr>
          <w:rFonts w:ascii="Times New Roman" w:hAnsi="Times New Roman" w:cs="Times New Roman"/>
        </w:rPr>
        <w:t xml:space="preserve">and annotations </w:t>
      </w:r>
      <w:r w:rsidR="00F72883" w:rsidRPr="00EA22DD">
        <w:rPr>
          <w:rFonts w:ascii="Times New Roman" w:hAnsi="Times New Roman" w:cs="Times New Roman"/>
        </w:rPr>
        <w:t>point</w:t>
      </w:r>
      <w:r w:rsidR="000408D1" w:rsidRPr="00EA22DD">
        <w:rPr>
          <w:rFonts w:ascii="Times New Roman" w:hAnsi="Times New Roman" w:cs="Times New Roman"/>
        </w:rPr>
        <w:t xml:space="preserve"> the reader to </w:t>
      </w:r>
      <w:r w:rsidR="00087A4C">
        <w:rPr>
          <w:rFonts w:ascii="Times New Roman" w:hAnsi="Times New Roman" w:cs="Times New Roman"/>
        </w:rPr>
        <w:t>a range of</w:t>
      </w:r>
      <w:r w:rsidR="000408D1" w:rsidRPr="00EA22DD">
        <w:rPr>
          <w:rFonts w:ascii="Times New Roman" w:hAnsi="Times New Roman" w:cs="Times New Roman"/>
        </w:rPr>
        <w:t xml:space="preserve"> controversies, </w:t>
      </w:r>
      <w:r w:rsidR="00596A7E">
        <w:rPr>
          <w:rFonts w:ascii="Times New Roman" w:hAnsi="Times New Roman" w:cs="Times New Roman"/>
        </w:rPr>
        <w:t>works</w:t>
      </w:r>
      <w:r w:rsidR="00000544">
        <w:rPr>
          <w:rFonts w:ascii="Times New Roman" w:hAnsi="Times New Roman" w:cs="Times New Roman"/>
        </w:rPr>
        <w:t>,</w:t>
      </w:r>
      <w:r w:rsidR="00000544" w:rsidRPr="00EA22DD">
        <w:rPr>
          <w:rFonts w:ascii="Times New Roman" w:hAnsi="Times New Roman" w:cs="Times New Roman"/>
        </w:rPr>
        <w:t xml:space="preserve"> </w:t>
      </w:r>
      <w:r w:rsidR="000408D1" w:rsidRPr="00EA22DD">
        <w:rPr>
          <w:rFonts w:ascii="Times New Roman" w:hAnsi="Times New Roman" w:cs="Times New Roman"/>
        </w:rPr>
        <w:t xml:space="preserve">and personalities that are now obscure but would have been familiar to Leibniz and his </w:t>
      </w:r>
      <w:r w:rsidR="00F72883" w:rsidRPr="00EA22DD">
        <w:rPr>
          <w:rFonts w:ascii="Times New Roman" w:hAnsi="Times New Roman" w:cs="Times New Roman"/>
        </w:rPr>
        <w:t>contemporaries</w:t>
      </w:r>
      <w:r w:rsidR="00A51518">
        <w:rPr>
          <w:rFonts w:ascii="Times New Roman" w:hAnsi="Times New Roman" w:cs="Times New Roman"/>
        </w:rPr>
        <w:t xml:space="preserve">. </w:t>
      </w:r>
      <w:r w:rsidR="00D61D00" w:rsidRPr="00EA22DD">
        <w:rPr>
          <w:rFonts w:ascii="Times New Roman" w:hAnsi="Times New Roman" w:cs="Times New Roman"/>
        </w:rPr>
        <w:t xml:space="preserve">The </w:t>
      </w:r>
      <w:r w:rsidR="002E7E86" w:rsidRPr="00EA22DD">
        <w:rPr>
          <w:rFonts w:ascii="Times New Roman" w:hAnsi="Times New Roman" w:cs="Times New Roman"/>
        </w:rPr>
        <w:t>footnotes</w:t>
      </w:r>
      <w:r w:rsidR="00087A4C">
        <w:rPr>
          <w:rFonts w:ascii="Times New Roman" w:hAnsi="Times New Roman" w:cs="Times New Roman"/>
        </w:rPr>
        <w:t xml:space="preserve"> provide phrases and </w:t>
      </w:r>
      <w:r w:rsidR="00D61D00" w:rsidRPr="00EA22DD">
        <w:rPr>
          <w:rFonts w:ascii="Times New Roman" w:hAnsi="Times New Roman" w:cs="Times New Roman"/>
        </w:rPr>
        <w:t>whole paragraphs that Leibniz deleted</w:t>
      </w:r>
      <w:r w:rsidR="00596A7E">
        <w:rPr>
          <w:rFonts w:ascii="Times New Roman" w:hAnsi="Times New Roman" w:cs="Times New Roman"/>
        </w:rPr>
        <w:t>; Leibniz’s preli</w:t>
      </w:r>
      <w:r w:rsidR="00525A76">
        <w:rPr>
          <w:rFonts w:ascii="Times New Roman" w:hAnsi="Times New Roman" w:cs="Times New Roman"/>
        </w:rPr>
        <w:t>minary drafts are also included</w:t>
      </w:r>
      <w:r w:rsidR="00596A7E">
        <w:rPr>
          <w:rFonts w:ascii="Times New Roman" w:hAnsi="Times New Roman" w:cs="Times New Roman"/>
        </w:rPr>
        <w:t xml:space="preserve"> </w:t>
      </w:r>
      <w:r w:rsidR="00D61D00" w:rsidRPr="00EA22DD">
        <w:rPr>
          <w:rFonts w:ascii="Times New Roman" w:hAnsi="Times New Roman" w:cs="Times New Roman"/>
        </w:rPr>
        <w:t>when these are available</w:t>
      </w:r>
      <w:r w:rsidR="00A51518">
        <w:rPr>
          <w:rFonts w:ascii="Times New Roman" w:hAnsi="Times New Roman" w:cs="Times New Roman"/>
        </w:rPr>
        <w:t xml:space="preserve">. </w:t>
      </w:r>
      <w:r w:rsidRPr="00EA22DD">
        <w:rPr>
          <w:rFonts w:ascii="Times New Roman" w:hAnsi="Times New Roman" w:cs="Times New Roman"/>
        </w:rPr>
        <w:t xml:space="preserve">On the whole, the collection is helpfully transparent to the </w:t>
      </w:r>
      <w:r w:rsidR="00087A4C">
        <w:rPr>
          <w:rFonts w:ascii="Times New Roman" w:hAnsi="Times New Roman" w:cs="Times New Roman"/>
        </w:rPr>
        <w:t xml:space="preserve">considerable </w:t>
      </w:r>
      <w:r w:rsidRPr="00EA22DD">
        <w:rPr>
          <w:rFonts w:ascii="Times New Roman" w:hAnsi="Times New Roman" w:cs="Times New Roman"/>
        </w:rPr>
        <w:t xml:space="preserve">editorial difficulties presented by Leibniz’s manuscripts. </w:t>
      </w:r>
    </w:p>
    <w:p w14:paraId="05BFF98E" w14:textId="4EC5EDF8" w:rsidR="00F540EA" w:rsidRPr="007F74BF" w:rsidRDefault="0053194B" w:rsidP="00E81C79">
      <w:pPr>
        <w:spacing w:line="480" w:lineRule="auto"/>
        <w:ind w:firstLine="720"/>
        <w:rPr>
          <w:rFonts w:ascii="Times New Roman" w:hAnsi="Times New Roman" w:cs="Times New Roman"/>
        </w:rPr>
      </w:pPr>
      <w:r w:rsidRPr="00EA22DD">
        <w:rPr>
          <w:rFonts w:ascii="Times New Roman" w:hAnsi="Times New Roman" w:cs="Times New Roman"/>
        </w:rPr>
        <w:t xml:space="preserve">Faced with the choice of </w:t>
      </w:r>
      <w:r w:rsidR="00087A4C">
        <w:rPr>
          <w:rFonts w:ascii="Times New Roman" w:hAnsi="Times New Roman" w:cs="Times New Roman"/>
        </w:rPr>
        <w:t>topical</w:t>
      </w:r>
      <w:r w:rsidRPr="00EA22DD">
        <w:rPr>
          <w:rFonts w:ascii="Times New Roman" w:hAnsi="Times New Roman" w:cs="Times New Roman"/>
        </w:rPr>
        <w:t xml:space="preserve"> or chronological organization, Strickland chose both</w:t>
      </w:r>
      <w:r w:rsidR="00A51518">
        <w:rPr>
          <w:rFonts w:ascii="Times New Roman" w:hAnsi="Times New Roman" w:cs="Times New Roman"/>
        </w:rPr>
        <w:t xml:space="preserve">. </w:t>
      </w:r>
      <w:r w:rsidRPr="00EA22DD">
        <w:rPr>
          <w:rFonts w:ascii="Times New Roman" w:hAnsi="Times New Roman" w:cs="Times New Roman"/>
        </w:rPr>
        <w:t xml:space="preserve">The texts are arranged chronologically within eleven distinct topics: The </w:t>
      </w:r>
      <w:r w:rsidRPr="00EA22DD">
        <w:rPr>
          <w:rFonts w:ascii="Times New Roman" w:hAnsi="Times New Roman" w:cs="Times New Roman"/>
          <w:i/>
        </w:rPr>
        <w:t>Catholic Demonstrations</w:t>
      </w:r>
      <w:r w:rsidRPr="00EA22DD">
        <w:rPr>
          <w:rFonts w:ascii="Times New Roman" w:hAnsi="Times New Roman" w:cs="Times New Roman"/>
        </w:rPr>
        <w:t>; The Existence and Nature of God; Reason and Faith; Ethics and the Love of God; The Bible; Miracles and Mysteries; The Churches and their Doctrines; Grace and Predestination; Sin, Evil and Theodicy; The Afterlife; and Non-Christian Religions</w:t>
      </w:r>
      <w:r w:rsidR="00A51518">
        <w:rPr>
          <w:rFonts w:ascii="Times New Roman" w:hAnsi="Times New Roman" w:cs="Times New Roman"/>
        </w:rPr>
        <w:t xml:space="preserve">. </w:t>
      </w:r>
      <w:r w:rsidR="00A176CC">
        <w:rPr>
          <w:rFonts w:ascii="Times New Roman" w:hAnsi="Times New Roman" w:cs="Times New Roman"/>
        </w:rPr>
        <w:t>These</w:t>
      </w:r>
      <w:r w:rsidR="00A176CC" w:rsidRPr="00EA22DD">
        <w:rPr>
          <w:rFonts w:ascii="Times New Roman" w:hAnsi="Times New Roman" w:cs="Times New Roman"/>
        </w:rPr>
        <w:t xml:space="preserve"> divisions do not </w:t>
      </w:r>
      <w:r w:rsidR="00A176CC">
        <w:rPr>
          <w:rFonts w:ascii="Times New Roman" w:hAnsi="Times New Roman" w:cs="Times New Roman"/>
        </w:rPr>
        <w:t xml:space="preserve">always </w:t>
      </w:r>
      <w:r w:rsidR="00A176CC" w:rsidRPr="00EA22DD">
        <w:rPr>
          <w:rFonts w:ascii="Times New Roman" w:hAnsi="Times New Roman" w:cs="Times New Roman"/>
        </w:rPr>
        <w:t xml:space="preserve">reflect basic divisions in Leibniz’s own </w:t>
      </w:r>
      <w:r w:rsidR="00A176CC">
        <w:rPr>
          <w:rFonts w:ascii="Times New Roman" w:hAnsi="Times New Roman" w:cs="Times New Roman"/>
        </w:rPr>
        <w:t>thought, and the</w:t>
      </w:r>
      <w:r w:rsidR="00D9164E" w:rsidRPr="00EA22DD">
        <w:rPr>
          <w:rFonts w:ascii="Times New Roman" w:hAnsi="Times New Roman" w:cs="Times New Roman"/>
        </w:rPr>
        <w:t xml:space="preserve"> arrangement </w:t>
      </w:r>
      <w:r w:rsidR="002E7E86" w:rsidRPr="00EA22DD">
        <w:rPr>
          <w:rFonts w:ascii="Times New Roman" w:hAnsi="Times New Roman" w:cs="Times New Roman"/>
        </w:rPr>
        <w:t xml:space="preserve">creates the </w:t>
      </w:r>
      <w:r w:rsidR="00087A4C">
        <w:rPr>
          <w:rFonts w:ascii="Times New Roman" w:hAnsi="Times New Roman" w:cs="Times New Roman"/>
        </w:rPr>
        <w:t xml:space="preserve">misleading </w:t>
      </w:r>
      <w:r w:rsidR="002E7E86" w:rsidRPr="00EA22DD">
        <w:rPr>
          <w:rFonts w:ascii="Times New Roman" w:hAnsi="Times New Roman" w:cs="Times New Roman"/>
        </w:rPr>
        <w:t>impression</w:t>
      </w:r>
      <w:r w:rsidR="00087A4C">
        <w:rPr>
          <w:rFonts w:ascii="Times New Roman" w:hAnsi="Times New Roman" w:cs="Times New Roman"/>
        </w:rPr>
        <w:t xml:space="preserve"> that divergences </w:t>
      </w:r>
      <w:r w:rsidR="00E81C79">
        <w:rPr>
          <w:rFonts w:ascii="Times New Roman" w:hAnsi="Times New Roman" w:cs="Times New Roman"/>
        </w:rPr>
        <w:t xml:space="preserve">among works </w:t>
      </w:r>
      <w:r w:rsidR="001044B4">
        <w:rPr>
          <w:rFonts w:ascii="Times New Roman" w:hAnsi="Times New Roman" w:cs="Times New Roman"/>
        </w:rPr>
        <w:t xml:space="preserve">may be explained by </w:t>
      </w:r>
      <w:r w:rsidR="00E81C79">
        <w:rPr>
          <w:rFonts w:ascii="Times New Roman" w:hAnsi="Times New Roman" w:cs="Times New Roman"/>
        </w:rPr>
        <w:t xml:space="preserve">sorting works into </w:t>
      </w:r>
      <w:r w:rsidR="00B25526">
        <w:rPr>
          <w:rFonts w:ascii="Times New Roman" w:hAnsi="Times New Roman" w:cs="Times New Roman"/>
        </w:rPr>
        <w:t>topics</w:t>
      </w:r>
      <w:r w:rsidR="00D3652A">
        <w:rPr>
          <w:rFonts w:ascii="Times New Roman" w:hAnsi="Times New Roman" w:cs="Times New Roman"/>
        </w:rPr>
        <w:t xml:space="preserve">. For example, </w:t>
      </w:r>
      <w:r w:rsidR="00ED2892">
        <w:rPr>
          <w:rFonts w:ascii="Times New Roman" w:hAnsi="Times New Roman" w:cs="Times New Roman"/>
        </w:rPr>
        <w:t xml:space="preserve">Leibniz seems to express contradictory views about </w:t>
      </w:r>
      <w:r w:rsidR="00D3652A">
        <w:rPr>
          <w:rFonts w:ascii="Times New Roman" w:hAnsi="Times New Roman" w:cs="Times New Roman"/>
        </w:rPr>
        <w:t xml:space="preserve">the Eucharist </w:t>
      </w:r>
      <w:r w:rsidR="00ED2892">
        <w:rPr>
          <w:rFonts w:ascii="Times New Roman" w:hAnsi="Times New Roman" w:cs="Times New Roman"/>
        </w:rPr>
        <w:t xml:space="preserve">in passages that appear under separate topics—but </w:t>
      </w:r>
      <w:r w:rsidR="00B25526">
        <w:rPr>
          <w:rFonts w:ascii="Times New Roman" w:hAnsi="Times New Roman" w:cs="Times New Roman"/>
        </w:rPr>
        <w:t xml:space="preserve">Leibniz’s </w:t>
      </w:r>
      <w:r w:rsidR="007F74BF">
        <w:rPr>
          <w:rFonts w:ascii="Times New Roman" w:hAnsi="Times New Roman" w:cs="Times New Roman"/>
        </w:rPr>
        <w:t xml:space="preserve">defense of transubstantiation </w:t>
      </w:r>
      <w:r w:rsidR="007F74BF" w:rsidRPr="00EA22DD">
        <w:rPr>
          <w:rFonts w:ascii="Times New Roman" w:hAnsi="Times New Roman" w:cs="Times New Roman"/>
        </w:rPr>
        <w:t xml:space="preserve">under “The </w:t>
      </w:r>
      <w:r w:rsidR="007F74BF" w:rsidRPr="00EA22DD">
        <w:rPr>
          <w:rFonts w:ascii="Times New Roman" w:hAnsi="Times New Roman" w:cs="Times New Roman"/>
          <w:i/>
        </w:rPr>
        <w:t>Catholic Demonstrations</w:t>
      </w:r>
      <w:r w:rsidR="007F74BF" w:rsidRPr="00EA22DD">
        <w:rPr>
          <w:rFonts w:ascii="Times New Roman" w:hAnsi="Times New Roman" w:cs="Times New Roman"/>
        </w:rPr>
        <w:t>”</w:t>
      </w:r>
      <w:r w:rsidR="007F74BF">
        <w:rPr>
          <w:rFonts w:ascii="Times New Roman" w:hAnsi="Times New Roman" w:cs="Times New Roman"/>
        </w:rPr>
        <w:t xml:space="preserve"> (35–</w:t>
      </w:r>
      <w:r w:rsidR="007F74BF" w:rsidRPr="00EA22DD">
        <w:rPr>
          <w:rFonts w:ascii="Times New Roman" w:hAnsi="Times New Roman" w:cs="Times New Roman"/>
        </w:rPr>
        <w:t>42)</w:t>
      </w:r>
      <w:r w:rsidR="007F74BF">
        <w:rPr>
          <w:rFonts w:ascii="Times New Roman" w:hAnsi="Times New Roman" w:cs="Times New Roman"/>
        </w:rPr>
        <w:t xml:space="preserve"> </w:t>
      </w:r>
      <w:r w:rsidR="00ED2892">
        <w:rPr>
          <w:rFonts w:ascii="Times New Roman" w:hAnsi="Times New Roman" w:cs="Times New Roman"/>
        </w:rPr>
        <w:t>should not</w:t>
      </w:r>
      <w:r w:rsidR="007F74BF">
        <w:rPr>
          <w:rFonts w:ascii="Times New Roman" w:hAnsi="Times New Roman" w:cs="Times New Roman"/>
        </w:rPr>
        <w:t xml:space="preserve"> be reconciled with his </w:t>
      </w:r>
      <w:r w:rsidR="00A94D83">
        <w:rPr>
          <w:rFonts w:ascii="Times New Roman" w:hAnsi="Times New Roman" w:cs="Times New Roman"/>
        </w:rPr>
        <w:t>claim that “a host is not God”</w:t>
      </w:r>
      <w:r w:rsidR="00B25526">
        <w:rPr>
          <w:rFonts w:ascii="Times New Roman" w:hAnsi="Times New Roman" w:cs="Times New Roman"/>
        </w:rPr>
        <w:t xml:space="preserve"> under </w:t>
      </w:r>
      <w:r w:rsidR="007F74BF" w:rsidRPr="00EA22DD">
        <w:rPr>
          <w:rFonts w:ascii="Times New Roman" w:hAnsi="Times New Roman" w:cs="Times New Roman"/>
        </w:rPr>
        <w:t>the “Churches and their Doctrines”</w:t>
      </w:r>
      <w:r w:rsidR="0026506C">
        <w:rPr>
          <w:rFonts w:ascii="Times New Roman" w:hAnsi="Times New Roman" w:cs="Times New Roman"/>
        </w:rPr>
        <w:t xml:space="preserve"> (226</w:t>
      </w:r>
      <w:r w:rsidR="007F74BF" w:rsidRPr="00EA22DD">
        <w:rPr>
          <w:rFonts w:ascii="Times New Roman" w:hAnsi="Times New Roman" w:cs="Times New Roman"/>
        </w:rPr>
        <w:t>)</w:t>
      </w:r>
      <w:r w:rsidR="007F74BF">
        <w:rPr>
          <w:rFonts w:ascii="Times New Roman" w:hAnsi="Times New Roman" w:cs="Times New Roman"/>
        </w:rPr>
        <w:t xml:space="preserve"> simply by </w:t>
      </w:r>
      <w:r w:rsidR="00525A76">
        <w:rPr>
          <w:rFonts w:ascii="Times New Roman" w:hAnsi="Times New Roman" w:cs="Times New Roman"/>
        </w:rPr>
        <w:t xml:space="preserve">classing the former and not the later among </w:t>
      </w:r>
      <w:r w:rsidR="007F74BF">
        <w:rPr>
          <w:rFonts w:ascii="Times New Roman" w:hAnsi="Times New Roman" w:cs="Times New Roman"/>
          <w:i/>
        </w:rPr>
        <w:t xml:space="preserve">Catholic </w:t>
      </w:r>
      <w:r w:rsidR="007F74BF">
        <w:rPr>
          <w:rFonts w:ascii="Times New Roman" w:hAnsi="Times New Roman" w:cs="Times New Roman"/>
        </w:rPr>
        <w:t>demonstrations.</w:t>
      </w:r>
      <w:r w:rsidR="00D3652A">
        <w:rPr>
          <w:rFonts w:ascii="Times New Roman" w:hAnsi="Times New Roman" w:cs="Times New Roman"/>
        </w:rPr>
        <w:t xml:space="preserve"> </w:t>
      </w:r>
      <w:r w:rsidR="0091490C">
        <w:rPr>
          <w:rFonts w:ascii="Times New Roman" w:hAnsi="Times New Roman" w:cs="Times New Roman"/>
        </w:rPr>
        <w:t>This would miss a viable interp</w:t>
      </w:r>
      <w:r w:rsidR="00E81C79">
        <w:rPr>
          <w:rFonts w:ascii="Times New Roman" w:hAnsi="Times New Roman" w:cs="Times New Roman"/>
        </w:rPr>
        <w:t xml:space="preserve">retation of the second passage, </w:t>
      </w:r>
      <w:r w:rsidR="006B6759">
        <w:rPr>
          <w:rFonts w:ascii="Times New Roman" w:hAnsi="Times New Roman" w:cs="Times New Roman"/>
        </w:rPr>
        <w:t xml:space="preserve">on which Leibniz </w:t>
      </w:r>
      <w:r w:rsidR="00511CA7">
        <w:rPr>
          <w:rFonts w:ascii="Times New Roman" w:hAnsi="Times New Roman" w:cs="Times New Roman"/>
        </w:rPr>
        <w:t>still aimed</w:t>
      </w:r>
      <w:r w:rsidR="00E81C79">
        <w:rPr>
          <w:rFonts w:ascii="Times New Roman" w:hAnsi="Times New Roman" w:cs="Times New Roman"/>
        </w:rPr>
        <w:t xml:space="preserve"> to </w:t>
      </w:r>
      <w:r w:rsidR="00511CA7">
        <w:rPr>
          <w:rFonts w:ascii="Times New Roman" w:hAnsi="Times New Roman" w:cs="Times New Roman"/>
        </w:rPr>
        <w:t xml:space="preserve">defend </w:t>
      </w:r>
      <w:r w:rsidR="00E81C79">
        <w:rPr>
          <w:rFonts w:ascii="Times New Roman" w:hAnsi="Times New Roman" w:cs="Times New Roman"/>
        </w:rPr>
        <w:t>transubstantiation</w:t>
      </w:r>
      <w:r w:rsidR="00511CA7">
        <w:rPr>
          <w:rFonts w:ascii="Times New Roman" w:hAnsi="Times New Roman" w:cs="Times New Roman"/>
        </w:rPr>
        <w:t>, this time by r</w:t>
      </w:r>
      <w:r w:rsidR="006B6759">
        <w:rPr>
          <w:rFonts w:ascii="Times New Roman" w:hAnsi="Times New Roman" w:cs="Times New Roman"/>
        </w:rPr>
        <w:t>ejecting</w:t>
      </w:r>
      <w:r w:rsidR="00511CA7">
        <w:rPr>
          <w:rFonts w:ascii="Times New Roman" w:hAnsi="Times New Roman" w:cs="Times New Roman"/>
        </w:rPr>
        <w:t xml:space="preserve"> a pious inclination</w:t>
      </w:r>
      <w:r w:rsidR="006B6759">
        <w:rPr>
          <w:rFonts w:ascii="Times New Roman" w:hAnsi="Times New Roman" w:cs="Times New Roman"/>
        </w:rPr>
        <w:t xml:space="preserve"> to </w:t>
      </w:r>
      <w:r w:rsidR="00E81C79">
        <w:rPr>
          <w:rFonts w:ascii="Times New Roman" w:hAnsi="Times New Roman" w:cs="Times New Roman"/>
        </w:rPr>
        <w:t xml:space="preserve">adore </w:t>
      </w:r>
      <w:r w:rsidR="00525A76">
        <w:rPr>
          <w:rFonts w:ascii="Times New Roman" w:hAnsi="Times New Roman" w:cs="Times New Roman"/>
        </w:rPr>
        <w:t xml:space="preserve">the </w:t>
      </w:r>
      <w:r w:rsidR="00511CA7">
        <w:rPr>
          <w:rFonts w:ascii="Times New Roman" w:hAnsi="Times New Roman" w:cs="Times New Roman"/>
        </w:rPr>
        <w:t>created</w:t>
      </w:r>
      <w:r w:rsidR="00E81C79">
        <w:rPr>
          <w:rFonts w:ascii="Times New Roman" w:hAnsi="Times New Roman" w:cs="Times New Roman"/>
        </w:rPr>
        <w:t xml:space="preserve"> accidents that persist in the host. </w:t>
      </w:r>
      <w:r w:rsidR="00511CA7">
        <w:rPr>
          <w:rFonts w:ascii="Times New Roman" w:hAnsi="Times New Roman" w:cs="Times New Roman"/>
        </w:rPr>
        <w:t>Although t</w:t>
      </w:r>
      <w:r w:rsidR="00E81C79">
        <w:rPr>
          <w:rFonts w:ascii="Times New Roman" w:hAnsi="Times New Roman" w:cs="Times New Roman"/>
        </w:rPr>
        <w:t xml:space="preserve">he topical divisions erect artificial barriers within Leibniz’s thought, </w:t>
      </w:r>
      <w:r w:rsidR="00C31207" w:rsidRPr="00EA22DD">
        <w:rPr>
          <w:rFonts w:ascii="Times New Roman" w:hAnsi="Times New Roman" w:cs="Times New Roman"/>
        </w:rPr>
        <w:t xml:space="preserve">it is </w:t>
      </w:r>
      <w:r w:rsidR="007F74BF">
        <w:rPr>
          <w:rFonts w:ascii="Times New Roman" w:hAnsi="Times New Roman" w:cs="Times New Roman"/>
        </w:rPr>
        <w:t xml:space="preserve">admittedly </w:t>
      </w:r>
      <w:r w:rsidR="00C31207" w:rsidRPr="00EA22DD">
        <w:rPr>
          <w:rFonts w:ascii="Times New Roman" w:hAnsi="Times New Roman" w:cs="Times New Roman"/>
        </w:rPr>
        <w:t>hard t</w:t>
      </w:r>
      <w:r w:rsidR="00511CA7">
        <w:rPr>
          <w:rFonts w:ascii="Times New Roman" w:hAnsi="Times New Roman" w:cs="Times New Roman"/>
        </w:rPr>
        <w:t>o think of a better arrangement</w:t>
      </w:r>
      <w:r w:rsidR="00E81C79">
        <w:rPr>
          <w:rFonts w:ascii="Times New Roman" w:hAnsi="Times New Roman" w:cs="Times New Roman"/>
        </w:rPr>
        <w:t xml:space="preserve">, and Strickland himself is careful not to </w:t>
      </w:r>
      <w:r w:rsidR="00691E68">
        <w:rPr>
          <w:rFonts w:ascii="Times New Roman" w:hAnsi="Times New Roman" w:cs="Times New Roman"/>
        </w:rPr>
        <w:t>present his organizational scheme as an interpretive key.</w:t>
      </w:r>
    </w:p>
    <w:p w14:paraId="0CCAC963" w14:textId="32A4E584" w:rsidR="002E7E86" w:rsidRPr="00EA22DD" w:rsidRDefault="002E7E86" w:rsidP="00ED1A76">
      <w:pPr>
        <w:spacing w:line="480" w:lineRule="auto"/>
        <w:ind w:firstLine="720"/>
        <w:rPr>
          <w:rFonts w:ascii="Times New Roman" w:hAnsi="Times New Roman" w:cs="Times New Roman"/>
        </w:rPr>
      </w:pPr>
      <w:r w:rsidRPr="00EA22DD">
        <w:rPr>
          <w:rFonts w:ascii="Times New Roman" w:hAnsi="Times New Roman" w:cs="Times New Roman"/>
        </w:rPr>
        <w:lastRenderedPageBreak/>
        <w:t xml:space="preserve">The broad </w:t>
      </w:r>
      <w:r w:rsidR="00525A76">
        <w:rPr>
          <w:rFonts w:ascii="Times New Roman" w:hAnsi="Times New Roman" w:cs="Times New Roman"/>
        </w:rPr>
        <w:t>range</w:t>
      </w:r>
      <w:r w:rsidRPr="00EA22DD">
        <w:rPr>
          <w:rFonts w:ascii="Times New Roman" w:hAnsi="Times New Roman" w:cs="Times New Roman"/>
        </w:rPr>
        <w:t xml:space="preserve"> of topics </w:t>
      </w:r>
      <w:r w:rsidR="00563E27" w:rsidRPr="00EA22DD">
        <w:rPr>
          <w:rFonts w:ascii="Times New Roman" w:hAnsi="Times New Roman" w:cs="Times New Roman"/>
        </w:rPr>
        <w:t xml:space="preserve">also </w:t>
      </w:r>
      <w:r w:rsidRPr="00EA22DD">
        <w:rPr>
          <w:rFonts w:ascii="Times New Roman" w:hAnsi="Times New Roman" w:cs="Times New Roman"/>
        </w:rPr>
        <w:t>create</w:t>
      </w:r>
      <w:r w:rsidR="00FF27A8" w:rsidRPr="00EA22DD">
        <w:rPr>
          <w:rFonts w:ascii="Times New Roman" w:hAnsi="Times New Roman" w:cs="Times New Roman"/>
        </w:rPr>
        <w:t>s</w:t>
      </w:r>
      <w:r w:rsidRPr="00EA22DD">
        <w:rPr>
          <w:rFonts w:ascii="Times New Roman" w:hAnsi="Times New Roman" w:cs="Times New Roman"/>
        </w:rPr>
        <w:t xml:space="preserve"> </w:t>
      </w:r>
      <w:r w:rsidR="004D5F58" w:rsidRPr="00EA22DD">
        <w:rPr>
          <w:rFonts w:ascii="Times New Roman" w:hAnsi="Times New Roman" w:cs="Times New Roman"/>
        </w:rPr>
        <w:t>a</w:t>
      </w:r>
      <w:r w:rsidRPr="00EA22DD">
        <w:rPr>
          <w:rFonts w:ascii="Times New Roman" w:hAnsi="Times New Roman" w:cs="Times New Roman"/>
        </w:rPr>
        <w:t xml:space="preserve"> </w:t>
      </w:r>
      <w:r w:rsidR="004D5F58" w:rsidRPr="00EA22DD">
        <w:rPr>
          <w:rFonts w:ascii="Times New Roman" w:hAnsi="Times New Roman" w:cs="Times New Roman"/>
        </w:rPr>
        <w:t xml:space="preserve">false </w:t>
      </w:r>
      <w:r w:rsidRPr="00EA22DD">
        <w:rPr>
          <w:rFonts w:ascii="Times New Roman" w:hAnsi="Times New Roman" w:cs="Times New Roman"/>
        </w:rPr>
        <w:t xml:space="preserve">impression </w:t>
      </w:r>
      <w:r w:rsidR="004D5F58" w:rsidRPr="00EA22DD">
        <w:rPr>
          <w:rFonts w:ascii="Times New Roman" w:hAnsi="Times New Roman" w:cs="Times New Roman"/>
        </w:rPr>
        <w:t xml:space="preserve">of completeness, but this is inevitable given the sheer volume and variety of Leibniz’s work on God, revelation, </w:t>
      </w:r>
      <w:r w:rsidR="00471BA2">
        <w:rPr>
          <w:rFonts w:ascii="Times New Roman" w:hAnsi="Times New Roman" w:cs="Times New Roman"/>
        </w:rPr>
        <w:t>sacred history, and the C</w:t>
      </w:r>
      <w:r w:rsidR="004D5F58" w:rsidRPr="00EA22DD">
        <w:rPr>
          <w:rFonts w:ascii="Times New Roman" w:hAnsi="Times New Roman" w:cs="Times New Roman"/>
        </w:rPr>
        <w:t>hurches</w:t>
      </w:r>
      <w:r w:rsidR="00A51518">
        <w:rPr>
          <w:rFonts w:ascii="Times New Roman" w:hAnsi="Times New Roman" w:cs="Times New Roman"/>
        </w:rPr>
        <w:t xml:space="preserve">. </w:t>
      </w:r>
      <w:r w:rsidR="00032A39">
        <w:rPr>
          <w:rFonts w:ascii="Times New Roman" w:hAnsi="Times New Roman" w:cs="Times New Roman"/>
        </w:rPr>
        <w:t>As Strickland notes (13)</w:t>
      </w:r>
      <w:r w:rsidR="004D5F58" w:rsidRPr="00EA22DD">
        <w:rPr>
          <w:rFonts w:ascii="Times New Roman" w:hAnsi="Times New Roman" w:cs="Times New Roman"/>
        </w:rPr>
        <w:t>, much has been left out, including the</w:t>
      </w:r>
      <w:r w:rsidR="0026506C">
        <w:rPr>
          <w:rFonts w:ascii="Times New Roman" w:hAnsi="Times New Roman" w:cs="Times New Roman"/>
        </w:rPr>
        <w:t xml:space="preserve"> </w:t>
      </w:r>
      <w:r w:rsidR="00A176CC">
        <w:rPr>
          <w:rFonts w:ascii="Times New Roman" w:hAnsi="Times New Roman" w:cs="Times New Roman"/>
        </w:rPr>
        <w:t>hundred-page</w:t>
      </w:r>
      <w:r w:rsidR="004D5F58" w:rsidRPr="00EA22DD">
        <w:rPr>
          <w:rFonts w:ascii="Times New Roman" w:hAnsi="Times New Roman" w:cs="Times New Roman"/>
        </w:rPr>
        <w:t xml:space="preserve"> </w:t>
      </w:r>
      <w:r w:rsidR="00511CA7">
        <w:rPr>
          <w:rFonts w:ascii="Times New Roman" w:hAnsi="Times New Roman" w:cs="Times New Roman"/>
          <w:i/>
        </w:rPr>
        <w:t>Examination of the Christian Religion</w:t>
      </w:r>
      <w:r w:rsidR="00A176CC">
        <w:rPr>
          <w:rFonts w:ascii="Times New Roman" w:hAnsi="Times New Roman" w:cs="Times New Roman"/>
          <w:i/>
        </w:rPr>
        <w:t xml:space="preserve"> </w:t>
      </w:r>
      <w:r w:rsidR="00A176CC">
        <w:rPr>
          <w:rFonts w:ascii="Times New Roman" w:eastAsia="Times New Roman" w:hAnsi="Times New Roman" w:cs="Times New Roman"/>
        </w:rPr>
        <w:t>o</w:t>
      </w:r>
      <w:r w:rsidR="004D5F58" w:rsidRPr="00EA22DD">
        <w:rPr>
          <w:rFonts w:ascii="Times New Roman" w:hAnsi="Times New Roman" w:cs="Times New Roman"/>
        </w:rPr>
        <w:t>f 1686, which occasioned a controversy</w:t>
      </w:r>
      <w:r w:rsidR="00BB5B51" w:rsidRPr="00EA22DD">
        <w:rPr>
          <w:rFonts w:ascii="Times New Roman" w:hAnsi="Times New Roman" w:cs="Times New Roman"/>
        </w:rPr>
        <w:t xml:space="preserve"> in the 19</w:t>
      </w:r>
      <w:r w:rsidR="00BB5B51" w:rsidRPr="00EA22DD">
        <w:rPr>
          <w:rFonts w:ascii="Times New Roman" w:hAnsi="Times New Roman" w:cs="Times New Roman"/>
          <w:vertAlign w:val="superscript"/>
        </w:rPr>
        <w:t>th</w:t>
      </w:r>
      <w:r w:rsidR="00BB5B51" w:rsidRPr="00EA22DD">
        <w:rPr>
          <w:rFonts w:ascii="Times New Roman" w:hAnsi="Times New Roman" w:cs="Times New Roman"/>
        </w:rPr>
        <w:t xml:space="preserve"> Century over Leibniz’s apparent embrace of the Catholic Church</w:t>
      </w:r>
      <w:r w:rsidR="00900DAB" w:rsidRPr="00EA22DD">
        <w:rPr>
          <w:rFonts w:ascii="Times New Roman" w:hAnsi="Times New Roman" w:cs="Times New Roman"/>
        </w:rPr>
        <w:t xml:space="preserve"> (10n47)</w:t>
      </w:r>
      <w:r w:rsidR="00A51518">
        <w:rPr>
          <w:rFonts w:ascii="Times New Roman" w:hAnsi="Times New Roman" w:cs="Times New Roman"/>
        </w:rPr>
        <w:t>.</w:t>
      </w:r>
      <w:r w:rsidR="00ED1A76">
        <w:rPr>
          <w:rFonts w:ascii="Times New Roman" w:hAnsi="Times New Roman" w:cs="Times New Roman"/>
        </w:rPr>
        <w:t xml:space="preserve"> </w:t>
      </w:r>
      <w:r w:rsidR="00C7185C" w:rsidRPr="00EA22DD">
        <w:rPr>
          <w:rFonts w:ascii="Times New Roman" w:hAnsi="Times New Roman" w:cs="Times New Roman"/>
        </w:rPr>
        <w:t>Most importantly, Strickland leaves out Leibniz’s writings on church reunion</w:t>
      </w:r>
      <w:r w:rsidR="00A51518">
        <w:rPr>
          <w:rFonts w:ascii="Times New Roman" w:hAnsi="Times New Roman" w:cs="Times New Roman"/>
        </w:rPr>
        <w:t xml:space="preserve">. </w:t>
      </w:r>
      <w:r w:rsidR="00C7185C" w:rsidRPr="00EA22DD">
        <w:rPr>
          <w:rFonts w:ascii="Times New Roman" w:hAnsi="Times New Roman" w:cs="Times New Roman"/>
        </w:rPr>
        <w:t xml:space="preserve">This is a reasonable omission, because Backus’s volume includes </w:t>
      </w:r>
      <w:r w:rsidR="009C50F0" w:rsidRPr="00EA22DD">
        <w:rPr>
          <w:rFonts w:ascii="Times New Roman" w:hAnsi="Times New Roman" w:cs="Times New Roman"/>
        </w:rPr>
        <w:t>ma</w:t>
      </w:r>
      <w:r w:rsidR="00563E27" w:rsidRPr="00EA22DD">
        <w:rPr>
          <w:rFonts w:ascii="Times New Roman" w:hAnsi="Times New Roman" w:cs="Times New Roman"/>
        </w:rPr>
        <w:t>ny original translations on that</w:t>
      </w:r>
      <w:r w:rsidR="009C50F0" w:rsidRPr="00EA22DD">
        <w:rPr>
          <w:rFonts w:ascii="Times New Roman" w:hAnsi="Times New Roman" w:cs="Times New Roman"/>
        </w:rPr>
        <w:t xml:space="preserve"> topic and Rösler-Le Van’s contains over 600 pages of material drawn from </w:t>
      </w:r>
      <w:r w:rsidR="007C71BB" w:rsidRPr="00EA22DD">
        <w:rPr>
          <w:rFonts w:ascii="Times New Roman" w:hAnsi="Times New Roman" w:cs="Times New Roman"/>
        </w:rPr>
        <w:t>Leibniz’s effort to reconcile the evangelic</w:t>
      </w:r>
      <w:r w:rsidR="00BB5B51" w:rsidRPr="00EA22DD">
        <w:rPr>
          <w:rFonts w:ascii="Times New Roman" w:hAnsi="Times New Roman" w:cs="Times New Roman"/>
        </w:rPr>
        <w:t>al</w:t>
      </w:r>
      <w:r w:rsidR="007C71BB" w:rsidRPr="00EA22DD">
        <w:rPr>
          <w:rFonts w:ascii="Times New Roman" w:hAnsi="Times New Roman" w:cs="Times New Roman"/>
        </w:rPr>
        <w:t xml:space="preserve"> and reformed churches in Hanover and Berlin</w:t>
      </w:r>
      <w:r w:rsidR="00A51518">
        <w:rPr>
          <w:rFonts w:ascii="Times New Roman" w:hAnsi="Times New Roman" w:cs="Times New Roman"/>
        </w:rPr>
        <w:t xml:space="preserve">. </w:t>
      </w:r>
    </w:p>
    <w:p w14:paraId="37731423" w14:textId="161D48B2" w:rsidR="001C67C4" w:rsidRDefault="00083731" w:rsidP="00EA22DD">
      <w:pPr>
        <w:spacing w:line="480" w:lineRule="auto"/>
        <w:ind w:firstLine="720"/>
        <w:rPr>
          <w:rFonts w:ascii="Times New Roman" w:hAnsi="Times New Roman" w:cs="Times New Roman"/>
        </w:rPr>
      </w:pPr>
      <w:r w:rsidRPr="00EA22DD">
        <w:rPr>
          <w:rFonts w:ascii="Times New Roman" w:hAnsi="Times New Roman" w:cs="Times New Roman"/>
        </w:rPr>
        <w:t>Strickland also provides a general introduction, in which he argues that Leibniz’s orientation toward religion was predominantly pra</w:t>
      </w:r>
      <w:r w:rsidR="003E5864" w:rsidRPr="00EA22DD">
        <w:rPr>
          <w:rFonts w:ascii="Times New Roman" w:hAnsi="Times New Roman" w:cs="Times New Roman"/>
        </w:rPr>
        <w:t>ctical</w:t>
      </w:r>
      <w:r w:rsidR="00FE53AF">
        <w:rPr>
          <w:rFonts w:ascii="Times New Roman" w:hAnsi="Times New Roman" w:cs="Times New Roman"/>
        </w:rPr>
        <w:t xml:space="preserve"> and political</w:t>
      </w:r>
      <w:r w:rsidR="00A51518">
        <w:rPr>
          <w:rFonts w:ascii="Times New Roman" w:hAnsi="Times New Roman" w:cs="Times New Roman"/>
        </w:rPr>
        <w:t xml:space="preserve">. </w:t>
      </w:r>
      <w:r w:rsidR="003E5864" w:rsidRPr="00EA22DD">
        <w:rPr>
          <w:rFonts w:ascii="Times New Roman" w:hAnsi="Times New Roman" w:cs="Times New Roman"/>
        </w:rPr>
        <w:t>The final sentences read: “Perhaps, then, Leibniz’s most deeply held belief was not in this or that religious creed or doctrine, but in what religion could and should be, namely a force for good, bringing people together and enriching their lives</w:t>
      </w:r>
      <w:r w:rsidR="00A51518">
        <w:rPr>
          <w:rFonts w:ascii="Times New Roman" w:hAnsi="Times New Roman" w:cs="Times New Roman"/>
        </w:rPr>
        <w:t xml:space="preserve">. </w:t>
      </w:r>
      <w:r w:rsidR="003E5864" w:rsidRPr="00EA22DD">
        <w:rPr>
          <w:rFonts w:ascii="Times New Roman" w:hAnsi="Times New Roman" w:cs="Times New Roman"/>
        </w:rPr>
        <w:t>To that ideal, at least, Leibniz’s commitment was cer</w:t>
      </w:r>
      <w:r w:rsidR="00261585">
        <w:rPr>
          <w:rFonts w:ascii="Times New Roman" w:hAnsi="Times New Roman" w:cs="Times New Roman"/>
        </w:rPr>
        <w:t>tain, and unwavering (10–</w:t>
      </w:r>
      <w:r w:rsidR="00543B0D" w:rsidRPr="00EA22DD">
        <w:rPr>
          <w:rFonts w:ascii="Times New Roman" w:hAnsi="Times New Roman" w:cs="Times New Roman"/>
        </w:rPr>
        <w:t xml:space="preserve">11).” </w:t>
      </w:r>
      <w:r w:rsidR="00FE53AF">
        <w:rPr>
          <w:rFonts w:ascii="Times New Roman" w:hAnsi="Times New Roman" w:cs="Times New Roman"/>
        </w:rPr>
        <w:t>Strickland returns to this idea</w:t>
      </w:r>
      <w:r w:rsidR="00700247">
        <w:rPr>
          <w:rFonts w:ascii="Times New Roman" w:hAnsi="Times New Roman" w:cs="Times New Roman"/>
        </w:rPr>
        <w:t>l</w:t>
      </w:r>
      <w:r w:rsidR="00FE53AF">
        <w:rPr>
          <w:rFonts w:ascii="Times New Roman" w:hAnsi="Times New Roman" w:cs="Times New Roman"/>
        </w:rPr>
        <w:t xml:space="preserve"> </w:t>
      </w:r>
      <w:r w:rsidR="001C67C4">
        <w:rPr>
          <w:rFonts w:ascii="Times New Roman" w:hAnsi="Times New Roman" w:cs="Times New Roman"/>
        </w:rPr>
        <w:t>later</w:t>
      </w:r>
      <w:r w:rsidR="00FE53AF">
        <w:rPr>
          <w:rFonts w:ascii="Times New Roman" w:hAnsi="Times New Roman" w:cs="Times New Roman"/>
        </w:rPr>
        <w:t xml:space="preserve"> to </w:t>
      </w:r>
      <w:r w:rsidR="00570901">
        <w:rPr>
          <w:rFonts w:ascii="Times New Roman" w:hAnsi="Times New Roman" w:cs="Times New Roman"/>
        </w:rPr>
        <w:t>suggest a reason</w:t>
      </w:r>
      <w:r w:rsidR="00FE53AF">
        <w:rPr>
          <w:rFonts w:ascii="Times New Roman" w:hAnsi="Times New Roman" w:cs="Times New Roman"/>
        </w:rPr>
        <w:t xml:space="preserve"> why Leibniz </w:t>
      </w:r>
      <w:r w:rsidR="00525A76">
        <w:rPr>
          <w:rFonts w:ascii="Times New Roman" w:hAnsi="Times New Roman" w:cs="Times New Roman"/>
        </w:rPr>
        <w:t xml:space="preserve">keeps </w:t>
      </w:r>
      <w:r w:rsidR="00FE53AF">
        <w:rPr>
          <w:rFonts w:ascii="Times New Roman" w:hAnsi="Times New Roman" w:cs="Times New Roman"/>
        </w:rPr>
        <w:t>defend</w:t>
      </w:r>
      <w:r w:rsidR="00525A76">
        <w:rPr>
          <w:rFonts w:ascii="Times New Roman" w:hAnsi="Times New Roman" w:cs="Times New Roman"/>
        </w:rPr>
        <w:t>ing</w:t>
      </w:r>
      <w:r w:rsidR="00FE53AF">
        <w:rPr>
          <w:rFonts w:ascii="Times New Roman" w:hAnsi="Times New Roman" w:cs="Times New Roman"/>
        </w:rPr>
        <w:t xml:space="preserve"> Catholic</w:t>
      </w:r>
      <w:r w:rsidR="00525A76">
        <w:rPr>
          <w:rFonts w:ascii="Times New Roman" w:hAnsi="Times New Roman" w:cs="Times New Roman"/>
        </w:rPr>
        <w:t xml:space="preserve"> </w:t>
      </w:r>
      <w:r w:rsidR="007455C3">
        <w:rPr>
          <w:rFonts w:ascii="Times New Roman" w:hAnsi="Times New Roman" w:cs="Times New Roman"/>
        </w:rPr>
        <w:t>dogma</w:t>
      </w:r>
      <w:r w:rsidR="00525A76">
        <w:rPr>
          <w:rFonts w:ascii="Times New Roman" w:hAnsi="Times New Roman" w:cs="Times New Roman"/>
        </w:rPr>
        <w:t xml:space="preserve">: </w:t>
      </w:r>
      <w:r w:rsidR="00FE53AF">
        <w:rPr>
          <w:rFonts w:ascii="Times New Roman" w:hAnsi="Times New Roman" w:cs="Times New Roman"/>
        </w:rPr>
        <w:t>“Leibniz is concerned above all to show that the dogmas of the Catholic Church are in harmony with reason, perhaps in an effort to lay solid metaphysical foundations for the reunion of the Churches (70, cf. 61).”</w:t>
      </w:r>
      <w:r w:rsidR="001C67C4">
        <w:rPr>
          <w:rFonts w:ascii="Times New Roman" w:hAnsi="Times New Roman" w:cs="Times New Roman"/>
        </w:rPr>
        <w:t xml:space="preserve"> According to Strickland’s suggestion, Leibniz </w:t>
      </w:r>
      <w:r w:rsidR="00F030F5">
        <w:rPr>
          <w:rFonts w:ascii="Times New Roman" w:hAnsi="Times New Roman" w:cs="Times New Roman"/>
        </w:rPr>
        <w:t>may value</w:t>
      </w:r>
      <w:r w:rsidR="001C67C4">
        <w:rPr>
          <w:rFonts w:ascii="Times New Roman" w:hAnsi="Times New Roman" w:cs="Times New Roman"/>
        </w:rPr>
        <w:t xml:space="preserve"> religion primarily for its potential to </w:t>
      </w:r>
      <w:r w:rsidR="006A6DDF">
        <w:rPr>
          <w:rFonts w:ascii="Times New Roman" w:hAnsi="Times New Roman" w:cs="Times New Roman"/>
        </w:rPr>
        <w:t>improve</w:t>
      </w:r>
      <w:r w:rsidR="001C67C4">
        <w:rPr>
          <w:rFonts w:ascii="Times New Roman" w:hAnsi="Times New Roman" w:cs="Times New Roman"/>
        </w:rPr>
        <w:t xml:space="preserve"> relations among human beings, and only secondarily, if at all, for its potential to put us in right relation with God.</w:t>
      </w:r>
    </w:p>
    <w:p w14:paraId="2D15FD35" w14:textId="69E1F1A6" w:rsidR="006A6DDF" w:rsidRDefault="00F030F5" w:rsidP="00EA22DD">
      <w:pPr>
        <w:spacing w:line="480" w:lineRule="auto"/>
        <w:ind w:firstLine="720"/>
        <w:rPr>
          <w:rFonts w:ascii="Times New Roman" w:hAnsi="Times New Roman" w:cs="Times New Roman"/>
        </w:rPr>
      </w:pPr>
      <w:r>
        <w:rPr>
          <w:rFonts w:ascii="Times New Roman" w:hAnsi="Times New Roman" w:cs="Times New Roman"/>
        </w:rPr>
        <w:t xml:space="preserve">Although even Leibniz’s contemporaries had difficulty making out his religious commitments (cf. 10n45) and although </w:t>
      </w:r>
      <w:r w:rsidR="003E5864" w:rsidRPr="00EA22DD">
        <w:rPr>
          <w:rFonts w:ascii="Times New Roman" w:hAnsi="Times New Roman" w:cs="Times New Roman"/>
        </w:rPr>
        <w:t>Leibni</w:t>
      </w:r>
      <w:r>
        <w:rPr>
          <w:rFonts w:ascii="Times New Roman" w:hAnsi="Times New Roman" w:cs="Times New Roman"/>
        </w:rPr>
        <w:t xml:space="preserve">z </w:t>
      </w:r>
      <w:r w:rsidR="003E5864" w:rsidRPr="00EA22DD">
        <w:rPr>
          <w:rFonts w:ascii="Times New Roman" w:hAnsi="Times New Roman" w:cs="Times New Roman"/>
        </w:rPr>
        <w:t>was genuinely concerned with the practical import of religion, I do not think this is an accurate or well-grounded characterization of Leibniz’s most deeply held beliefs</w:t>
      </w:r>
      <w:r w:rsidR="00D52633">
        <w:rPr>
          <w:rFonts w:ascii="Times New Roman" w:hAnsi="Times New Roman" w:cs="Times New Roman"/>
        </w:rPr>
        <w:t xml:space="preserve"> about religion</w:t>
      </w:r>
      <w:r w:rsidR="00A51518">
        <w:rPr>
          <w:rFonts w:ascii="Times New Roman" w:hAnsi="Times New Roman" w:cs="Times New Roman"/>
        </w:rPr>
        <w:t>.</w:t>
      </w:r>
      <w:r w:rsidR="00D52633">
        <w:rPr>
          <w:rFonts w:ascii="Times New Roman" w:hAnsi="Times New Roman" w:cs="Times New Roman"/>
        </w:rPr>
        <w:t xml:space="preserve"> </w:t>
      </w:r>
      <w:r w:rsidR="00700247">
        <w:rPr>
          <w:rFonts w:ascii="Times New Roman" w:hAnsi="Times New Roman" w:cs="Times New Roman"/>
        </w:rPr>
        <w:t>Rather</w:t>
      </w:r>
      <w:r w:rsidR="00D52633">
        <w:rPr>
          <w:rFonts w:ascii="Times New Roman" w:hAnsi="Times New Roman" w:cs="Times New Roman"/>
        </w:rPr>
        <w:t xml:space="preserve">, Leibniz holds that “our perfection </w:t>
      </w:r>
      <w:r w:rsidR="00D52633">
        <w:rPr>
          <w:rFonts w:ascii="Times New Roman" w:hAnsi="Times New Roman" w:cs="Times New Roman"/>
        </w:rPr>
        <w:lastRenderedPageBreak/>
        <w:t xml:space="preserve">consists in the knowledge and the love of God” and that </w:t>
      </w:r>
      <w:r w:rsidR="00570901">
        <w:rPr>
          <w:rFonts w:ascii="Times New Roman" w:hAnsi="Times New Roman" w:cs="Times New Roman"/>
        </w:rPr>
        <w:t>“</w:t>
      </w:r>
      <w:r w:rsidR="00D52633">
        <w:rPr>
          <w:rFonts w:ascii="Times New Roman" w:hAnsi="Times New Roman" w:cs="Times New Roman"/>
        </w:rPr>
        <w:t>we are advanced in perfection to the extent that we penetrate eternal truths (89).” Moreover, “we should demonstrate the supreme love we bear toward God through the charity we owe to our neighbor (135).” On this view, whatever power religion has to benefit us and to draw us together in salutary ways would derive from religion’s power to foster knowledge and love of God.</w:t>
      </w:r>
      <w:r w:rsidR="00F970E3">
        <w:rPr>
          <w:rFonts w:ascii="Times New Roman" w:hAnsi="Times New Roman" w:cs="Times New Roman"/>
        </w:rPr>
        <w:t xml:space="preserve"> </w:t>
      </w:r>
      <w:r w:rsidR="006A6DDF">
        <w:rPr>
          <w:rFonts w:ascii="Times New Roman" w:hAnsi="Times New Roman" w:cs="Times New Roman"/>
        </w:rPr>
        <w:t>The truth of this or that religious creed or doctrine would be of first importance</w:t>
      </w:r>
      <w:r>
        <w:rPr>
          <w:rFonts w:ascii="Times New Roman" w:hAnsi="Times New Roman" w:cs="Times New Roman"/>
        </w:rPr>
        <w:t xml:space="preserve"> if our perfection consists in knowledge of God, and when the love of God is demonstrated </w:t>
      </w:r>
      <w:r w:rsidR="008E4E22">
        <w:rPr>
          <w:rFonts w:ascii="Times New Roman" w:hAnsi="Times New Roman" w:cs="Times New Roman"/>
        </w:rPr>
        <w:t>in</w:t>
      </w:r>
      <w:r>
        <w:rPr>
          <w:rFonts w:ascii="Times New Roman" w:hAnsi="Times New Roman" w:cs="Times New Roman"/>
        </w:rPr>
        <w:t xml:space="preserve"> a desire for religious unity, it would be a desire to share knowledge of God, not a desire for consensus itself.</w:t>
      </w:r>
      <w:r w:rsidR="006A6DDF">
        <w:rPr>
          <w:rFonts w:ascii="Times New Roman" w:hAnsi="Times New Roman" w:cs="Times New Roman"/>
        </w:rPr>
        <w:t xml:space="preserve">  </w:t>
      </w:r>
    </w:p>
    <w:p w14:paraId="6F6FBC41" w14:textId="4316F20A" w:rsidR="00FA4731" w:rsidRDefault="008E5582" w:rsidP="00DF4FF4">
      <w:pPr>
        <w:spacing w:line="480" w:lineRule="auto"/>
        <w:ind w:firstLine="720"/>
        <w:rPr>
          <w:rFonts w:ascii="Times New Roman" w:hAnsi="Times New Roman" w:cs="Times New Roman"/>
        </w:rPr>
      </w:pPr>
      <w:r>
        <w:rPr>
          <w:rFonts w:ascii="Times New Roman" w:hAnsi="Times New Roman" w:cs="Times New Roman"/>
        </w:rPr>
        <w:t xml:space="preserve">Strickland </w:t>
      </w:r>
      <w:r w:rsidR="00471BA2">
        <w:rPr>
          <w:rFonts w:ascii="Times New Roman" w:hAnsi="Times New Roman" w:cs="Times New Roman"/>
        </w:rPr>
        <w:t>could</w:t>
      </w:r>
      <w:r>
        <w:rPr>
          <w:rFonts w:ascii="Times New Roman" w:hAnsi="Times New Roman" w:cs="Times New Roman"/>
        </w:rPr>
        <w:t xml:space="preserve"> reply</w:t>
      </w:r>
      <w:r w:rsidR="009537AC">
        <w:rPr>
          <w:rFonts w:ascii="Times New Roman" w:hAnsi="Times New Roman" w:cs="Times New Roman"/>
        </w:rPr>
        <w:t xml:space="preserve">: </w:t>
      </w:r>
      <w:r w:rsidR="00D005DD">
        <w:rPr>
          <w:rFonts w:ascii="Times New Roman" w:hAnsi="Times New Roman" w:cs="Times New Roman"/>
        </w:rPr>
        <w:t>what Leibniz meant</w:t>
      </w:r>
      <w:r w:rsidR="009537AC">
        <w:rPr>
          <w:rFonts w:ascii="Times New Roman" w:hAnsi="Times New Roman" w:cs="Times New Roman"/>
        </w:rPr>
        <w:t xml:space="preserve"> by </w:t>
      </w:r>
      <w:r>
        <w:rPr>
          <w:rFonts w:ascii="Times New Roman" w:hAnsi="Times New Roman" w:cs="Times New Roman"/>
        </w:rPr>
        <w:t xml:space="preserve">“the knowledge and the love of God” </w:t>
      </w:r>
      <w:r w:rsidR="009537AC">
        <w:rPr>
          <w:rFonts w:ascii="Times New Roman" w:hAnsi="Times New Roman" w:cs="Times New Roman"/>
        </w:rPr>
        <w:t xml:space="preserve">is </w:t>
      </w:r>
      <w:r>
        <w:rPr>
          <w:rFonts w:ascii="Times New Roman" w:hAnsi="Times New Roman" w:cs="Times New Roman"/>
        </w:rPr>
        <w:t>universally available to rationa</w:t>
      </w:r>
      <w:r w:rsidR="009537AC">
        <w:rPr>
          <w:rFonts w:ascii="Times New Roman" w:hAnsi="Times New Roman" w:cs="Times New Roman"/>
        </w:rPr>
        <w:t>l creatures and</w:t>
      </w:r>
      <w:r>
        <w:rPr>
          <w:rFonts w:ascii="Times New Roman" w:hAnsi="Times New Roman" w:cs="Times New Roman"/>
        </w:rPr>
        <w:t xml:space="preserve"> not dependent on the authority or practices of any particular religious community. Leibniz </w:t>
      </w:r>
      <w:r w:rsidR="00FA4731">
        <w:rPr>
          <w:rFonts w:ascii="Times New Roman" w:hAnsi="Times New Roman" w:cs="Times New Roman"/>
        </w:rPr>
        <w:t xml:space="preserve">seems to support </w:t>
      </w:r>
      <w:r w:rsidR="007455C3">
        <w:rPr>
          <w:rFonts w:ascii="Times New Roman" w:hAnsi="Times New Roman" w:cs="Times New Roman"/>
        </w:rPr>
        <w:t>this</w:t>
      </w:r>
      <w:r w:rsidR="00FA4731">
        <w:rPr>
          <w:rFonts w:ascii="Times New Roman" w:hAnsi="Times New Roman" w:cs="Times New Roman"/>
        </w:rPr>
        <w:t xml:space="preserve"> reply when he expresses a </w:t>
      </w:r>
      <w:r>
        <w:rPr>
          <w:rFonts w:ascii="Times New Roman" w:hAnsi="Times New Roman" w:cs="Times New Roman"/>
        </w:rPr>
        <w:t xml:space="preserve">hope for the ultimate perfection of “those who have not known Jesus Christ (320)” and </w:t>
      </w:r>
      <w:r w:rsidR="00FA4731">
        <w:rPr>
          <w:rFonts w:ascii="Times New Roman" w:hAnsi="Times New Roman" w:cs="Times New Roman"/>
        </w:rPr>
        <w:t xml:space="preserve">when he suggests </w:t>
      </w:r>
      <w:r w:rsidR="00E221D3">
        <w:rPr>
          <w:rFonts w:ascii="Times New Roman" w:hAnsi="Times New Roman" w:cs="Times New Roman"/>
        </w:rPr>
        <w:t xml:space="preserve">that “one can be saved through the sincere love of God above all things, whatever communion one belongs to (154).” </w:t>
      </w:r>
      <w:r w:rsidR="00471BA2">
        <w:rPr>
          <w:rFonts w:ascii="Times New Roman" w:hAnsi="Times New Roman" w:cs="Times New Roman"/>
        </w:rPr>
        <w:t>If this is correct, then the Churches would be justified on horizontal grounds and the point of religious unity would just be political.</w:t>
      </w:r>
    </w:p>
    <w:p w14:paraId="2B720D06" w14:textId="3FD04CDF" w:rsidR="00DC1310" w:rsidRDefault="00DF4FF4" w:rsidP="0079228A">
      <w:pPr>
        <w:spacing w:line="480" w:lineRule="auto"/>
        <w:ind w:firstLine="720"/>
        <w:rPr>
          <w:rFonts w:ascii="Times New Roman" w:hAnsi="Times New Roman" w:cs="Times New Roman"/>
        </w:rPr>
      </w:pPr>
      <w:r>
        <w:rPr>
          <w:rFonts w:ascii="Times New Roman" w:hAnsi="Times New Roman" w:cs="Times New Roman"/>
        </w:rPr>
        <w:t xml:space="preserve">But salvation outside of any particular church can be </w:t>
      </w:r>
      <w:r w:rsidR="009537AC">
        <w:rPr>
          <w:rFonts w:ascii="Times New Roman" w:hAnsi="Times New Roman" w:cs="Times New Roman"/>
        </w:rPr>
        <w:t xml:space="preserve">defended </w:t>
      </w:r>
      <w:r>
        <w:rPr>
          <w:rFonts w:ascii="Times New Roman" w:hAnsi="Times New Roman" w:cs="Times New Roman"/>
        </w:rPr>
        <w:t xml:space="preserve">by affirming our weakness just as well as by affirming our </w:t>
      </w:r>
      <w:r w:rsidR="00DC1310">
        <w:rPr>
          <w:rFonts w:ascii="Times New Roman" w:hAnsi="Times New Roman" w:cs="Times New Roman"/>
        </w:rPr>
        <w:t>strength.</w:t>
      </w:r>
      <w:r>
        <w:rPr>
          <w:rFonts w:ascii="Times New Roman" w:hAnsi="Times New Roman" w:cs="Times New Roman"/>
        </w:rPr>
        <w:t xml:space="preserve"> Perhaps o</w:t>
      </w:r>
      <w:r w:rsidR="009537AC">
        <w:rPr>
          <w:rFonts w:ascii="Times New Roman" w:hAnsi="Times New Roman" w:cs="Times New Roman"/>
        </w:rPr>
        <w:t>ur natural</w:t>
      </w:r>
      <w:r w:rsidR="00DC1310">
        <w:rPr>
          <w:rFonts w:ascii="Times New Roman" w:hAnsi="Times New Roman" w:cs="Times New Roman"/>
        </w:rPr>
        <w:t>, rational</w:t>
      </w:r>
      <w:r w:rsidR="009537AC">
        <w:rPr>
          <w:rFonts w:ascii="Times New Roman" w:hAnsi="Times New Roman" w:cs="Times New Roman"/>
        </w:rPr>
        <w:t xml:space="preserve"> ca</w:t>
      </w:r>
      <w:r w:rsidR="00BC0797">
        <w:rPr>
          <w:rFonts w:ascii="Times New Roman" w:hAnsi="Times New Roman" w:cs="Times New Roman"/>
        </w:rPr>
        <w:t xml:space="preserve">pacities are </w:t>
      </w:r>
      <w:r>
        <w:rPr>
          <w:rFonts w:ascii="Times New Roman" w:hAnsi="Times New Roman" w:cs="Times New Roman"/>
        </w:rPr>
        <w:t>in</w:t>
      </w:r>
      <w:r w:rsidR="00BC0797">
        <w:rPr>
          <w:rFonts w:ascii="Times New Roman" w:hAnsi="Times New Roman" w:cs="Times New Roman"/>
        </w:rPr>
        <w:t xml:space="preserve">adequate to penetrate </w:t>
      </w:r>
      <w:r w:rsidR="009537AC">
        <w:rPr>
          <w:rFonts w:ascii="Times New Roman" w:hAnsi="Times New Roman" w:cs="Times New Roman"/>
        </w:rPr>
        <w:t>eternal truths</w:t>
      </w:r>
      <w:r>
        <w:rPr>
          <w:rFonts w:ascii="Times New Roman" w:hAnsi="Times New Roman" w:cs="Times New Roman"/>
        </w:rPr>
        <w:t xml:space="preserve"> and even a divinely established church that teaches these eternal truths is not sufficient to guarantee that all </w:t>
      </w:r>
      <w:r w:rsidR="00471BA2">
        <w:rPr>
          <w:rFonts w:ascii="Times New Roman" w:hAnsi="Times New Roman" w:cs="Times New Roman"/>
        </w:rPr>
        <w:t>who w</w:t>
      </w:r>
      <w:r>
        <w:rPr>
          <w:rFonts w:ascii="Times New Roman" w:hAnsi="Times New Roman" w:cs="Times New Roman"/>
        </w:rPr>
        <w:t xml:space="preserve">ould believe actually do. </w:t>
      </w:r>
      <w:r w:rsidR="00D005DD">
        <w:rPr>
          <w:rFonts w:ascii="Times New Roman" w:hAnsi="Times New Roman" w:cs="Times New Roman"/>
        </w:rPr>
        <w:t xml:space="preserve">Perhaps, then, </w:t>
      </w:r>
      <w:r w:rsidR="009537AC">
        <w:rPr>
          <w:rFonts w:ascii="Times New Roman" w:hAnsi="Times New Roman" w:cs="Times New Roman"/>
        </w:rPr>
        <w:t xml:space="preserve">divine justice makes </w:t>
      </w:r>
      <w:r>
        <w:rPr>
          <w:rFonts w:ascii="Times New Roman" w:hAnsi="Times New Roman" w:cs="Times New Roman"/>
        </w:rPr>
        <w:t>two</w:t>
      </w:r>
      <w:r w:rsidR="009537AC">
        <w:rPr>
          <w:rFonts w:ascii="Times New Roman" w:hAnsi="Times New Roman" w:cs="Times New Roman"/>
        </w:rPr>
        <w:t xml:space="preserve"> concession</w:t>
      </w:r>
      <w:r>
        <w:rPr>
          <w:rFonts w:ascii="Times New Roman" w:hAnsi="Times New Roman" w:cs="Times New Roman"/>
        </w:rPr>
        <w:t>s</w:t>
      </w:r>
      <w:r w:rsidR="009537AC">
        <w:rPr>
          <w:rFonts w:ascii="Times New Roman" w:hAnsi="Times New Roman" w:cs="Times New Roman"/>
        </w:rPr>
        <w:t xml:space="preserve"> for </w:t>
      </w:r>
      <w:r w:rsidR="00D005DD">
        <w:rPr>
          <w:rFonts w:ascii="Times New Roman" w:hAnsi="Times New Roman" w:cs="Times New Roman"/>
        </w:rPr>
        <w:t xml:space="preserve">our </w:t>
      </w:r>
      <w:r>
        <w:rPr>
          <w:rFonts w:ascii="Times New Roman" w:hAnsi="Times New Roman" w:cs="Times New Roman"/>
        </w:rPr>
        <w:t xml:space="preserve">weakness, first by establishing a church </w:t>
      </w:r>
      <w:r w:rsidR="00D005DD">
        <w:rPr>
          <w:rFonts w:ascii="Times New Roman" w:hAnsi="Times New Roman" w:cs="Times New Roman"/>
        </w:rPr>
        <w:t xml:space="preserve">to teach eternal truths and second </w:t>
      </w:r>
      <w:r>
        <w:rPr>
          <w:rFonts w:ascii="Times New Roman" w:hAnsi="Times New Roman" w:cs="Times New Roman"/>
        </w:rPr>
        <w:t>by extending hope even to those who do not accept that</w:t>
      </w:r>
      <w:r w:rsidR="00884F91">
        <w:rPr>
          <w:rFonts w:ascii="Times New Roman" w:hAnsi="Times New Roman" w:cs="Times New Roman"/>
        </w:rPr>
        <w:t xml:space="preserve"> church.</w:t>
      </w:r>
      <w:r>
        <w:rPr>
          <w:rFonts w:ascii="Times New Roman" w:hAnsi="Times New Roman" w:cs="Times New Roman"/>
        </w:rPr>
        <w:t xml:space="preserve"> </w:t>
      </w:r>
      <w:r w:rsidR="00884F91">
        <w:rPr>
          <w:rFonts w:ascii="Times New Roman" w:hAnsi="Times New Roman" w:cs="Times New Roman"/>
        </w:rPr>
        <w:t xml:space="preserve">Crucially, </w:t>
      </w:r>
      <w:r w:rsidR="00E221D3">
        <w:rPr>
          <w:rFonts w:ascii="Times New Roman" w:hAnsi="Times New Roman" w:cs="Times New Roman"/>
        </w:rPr>
        <w:t>Leibniz appeal</w:t>
      </w:r>
      <w:r w:rsidR="00884F91">
        <w:rPr>
          <w:rFonts w:ascii="Times New Roman" w:hAnsi="Times New Roman" w:cs="Times New Roman"/>
        </w:rPr>
        <w:t xml:space="preserve">s </w:t>
      </w:r>
      <w:r w:rsidR="00E221D3">
        <w:rPr>
          <w:rFonts w:ascii="Times New Roman" w:hAnsi="Times New Roman" w:cs="Times New Roman"/>
        </w:rPr>
        <w:t>to God’s</w:t>
      </w:r>
      <w:r w:rsidR="00BC0797">
        <w:rPr>
          <w:rFonts w:ascii="Times New Roman" w:hAnsi="Times New Roman" w:cs="Times New Roman"/>
        </w:rPr>
        <w:t xml:space="preserve"> </w:t>
      </w:r>
      <w:r w:rsidR="00884F91">
        <w:rPr>
          <w:rFonts w:ascii="Times New Roman" w:hAnsi="Times New Roman" w:cs="Times New Roman"/>
        </w:rPr>
        <w:t>justice and</w:t>
      </w:r>
      <w:r w:rsidR="00E221D3">
        <w:rPr>
          <w:rFonts w:ascii="Times New Roman" w:hAnsi="Times New Roman" w:cs="Times New Roman"/>
        </w:rPr>
        <w:t xml:space="preserve"> not </w:t>
      </w:r>
      <w:r w:rsidR="00BC0797">
        <w:rPr>
          <w:rFonts w:ascii="Times New Roman" w:hAnsi="Times New Roman" w:cs="Times New Roman"/>
        </w:rPr>
        <w:t xml:space="preserve">to </w:t>
      </w:r>
      <w:r w:rsidR="00570901">
        <w:rPr>
          <w:rFonts w:ascii="Times New Roman" w:hAnsi="Times New Roman" w:cs="Times New Roman"/>
        </w:rPr>
        <w:t>our natural powers</w:t>
      </w:r>
      <w:r w:rsidR="009537AC">
        <w:rPr>
          <w:rFonts w:ascii="Times New Roman" w:hAnsi="Times New Roman" w:cs="Times New Roman"/>
        </w:rPr>
        <w:t xml:space="preserve"> </w:t>
      </w:r>
      <w:r w:rsidR="00884F91">
        <w:rPr>
          <w:rFonts w:ascii="Times New Roman" w:hAnsi="Times New Roman" w:cs="Times New Roman"/>
        </w:rPr>
        <w:t xml:space="preserve">when defending these hopes </w:t>
      </w:r>
      <w:r w:rsidR="009537AC">
        <w:rPr>
          <w:rFonts w:ascii="Times New Roman" w:hAnsi="Times New Roman" w:cs="Times New Roman"/>
        </w:rPr>
        <w:t>(320)</w:t>
      </w:r>
      <w:r w:rsidR="00884F91">
        <w:rPr>
          <w:rFonts w:ascii="Times New Roman" w:hAnsi="Times New Roman" w:cs="Times New Roman"/>
        </w:rPr>
        <w:t xml:space="preserve">, and so his position </w:t>
      </w:r>
      <w:r w:rsidR="008F1AAA">
        <w:rPr>
          <w:rFonts w:ascii="Times New Roman" w:hAnsi="Times New Roman" w:cs="Times New Roman"/>
        </w:rPr>
        <w:t>may affirm rather than undercut the vertically oriented self-u</w:t>
      </w:r>
      <w:r w:rsidR="00C46524">
        <w:rPr>
          <w:rFonts w:ascii="Times New Roman" w:hAnsi="Times New Roman" w:cs="Times New Roman"/>
        </w:rPr>
        <w:t xml:space="preserve">nderstanding of most </w:t>
      </w:r>
      <w:r w:rsidR="00471BA2">
        <w:rPr>
          <w:rFonts w:ascii="Times New Roman" w:hAnsi="Times New Roman" w:cs="Times New Roman"/>
        </w:rPr>
        <w:t>C</w:t>
      </w:r>
      <w:r w:rsidR="00DC1310">
        <w:rPr>
          <w:rFonts w:ascii="Times New Roman" w:hAnsi="Times New Roman" w:cs="Times New Roman"/>
        </w:rPr>
        <w:t>hurches</w:t>
      </w:r>
      <w:r w:rsidR="00C46524">
        <w:rPr>
          <w:rFonts w:ascii="Times New Roman" w:hAnsi="Times New Roman" w:cs="Times New Roman"/>
        </w:rPr>
        <w:t>.</w:t>
      </w:r>
      <w:r w:rsidR="008F1AAA">
        <w:rPr>
          <w:rFonts w:ascii="Times New Roman" w:hAnsi="Times New Roman" w:cs="Times New Roman"/>
        </w:rPr>
        <w:t xml:space="preserve"> As Leibniz writes, </w:t>
      </w:r>
      <w:r w:rsidR="00C35EB4">
        <w:rPr>
          <w:rFonts w:ascii="Times New Roman" w:hAnsi="Times New Roman" w:cs="Times New Roman"/>
        </w:rPr>
        <w:t xml:space="preserve">“Christ has revealed to us some divine doctrines which reason </w:t>
      </w:r>
      <w:r w:rsidR="00C35EB4">
        <w:rPr>
          <w:rFonts w:ascii="Times New Roman" w:hAnsi="Times New Roman" w:cs="Times New Roman"/>
        </w:rPr>
        <w:lastRenderedPageBreak/>
        <w:t>cannot discern (211</w:t>
      </w:r>
      <w:r w:rsidR="003A37AE">
        <w:rPr>
          <w:rFonts w:ascii="Times New Roman" w:hAnsi="Times New Roman" w:cs="Times New Roman"/>
        </w:rPr>
        <w:t>, cf. 223</w:t>
      </w:r>
      <w:r w:rsidR="00C35EB4">
        <w:rPr>
          <w:rFonts w:ascii="Times New Roman" w:hAnsi="Times New Roman" w:cs="Times New Roman"/>
        </w:rPr>
        <w:t>).”</w:t>
      </w:r>
      <w:r w:rsidR="00BC0797">
        <w:rPr>
          <w:rFonts w:ascii="Times New Roman" w:hAnsi="Times New Roman" w:cs="Times New Roman"/>
        </w:rPr>
        <w:t xml:space="preserve"> </w:t>
      </w:r>
      <w:r w:rsidR="003A37AE">
        <w:rPr>
          <w:rFonts w:ascii="Times New Roman" w:hAnsi="Times New Roman" w:cs="Times New Roman"/>
        </w:rPr>
        <w:t>Even</w:t>
      </w:r>
      <w:r w:rsidR="00884F91">
        <w:rPr>
          <w:rFonts w:ascii="Times New Roman" w:hAnsi="Times New Roman" w:cs="Times New Roman"/>
        </w:rPr>
        <w:t xml:space="preserve"> if God m</w:t>
      </w:r>
      <w:r w:rsidR="00DC1310">
        <w:rPr>
          <w:rFonts w:ascii="Times New Roman" w:hAnsi="Times New Roman" w:cs="Times New Roman"/>
        </w:rPr>
        <w:t>akes up for our failure to receive that revelation,</w:t>
      </w:r>
      <w:r w:rsidR="00884F91">
        <w:rPr>
          <w:rFonts w:ascii="Times New Roman" w:hAnsi="Times New Roman" w:cs="Times New Roman"/>
        </w:rPr>
        <w:t xml:space="preserve"> it would still be incumbent on us to </w:t>
      </w:r>
      <w:r w:rsidR="00DC1310">
        <w:rPr>
          <w:rFonts w:ascii="Times New Roman" w:hAnsi="Times New Roman" w:cs="Times New Roman"/>
        </w:rPr>
        <w:t xml:space="preserve">at least </w:t>
      </w:r>
      <w:r w:rsidR="00471BA2">
        <w:rPr>
          <w:rFonts w:ascii="Times New Roman" w:hAnsi="Times New Roman" w:cs="Times New Roman"/>
        </w:rPr>
        <w:t>search for</w:t>
      </w:r>
      <w:r w:rsidR="00DC1310">
        <w:rPr>
          <w:rFonts w:ascii="Times New Roman" w:hAnsi="Times New Roman" w:cs="Times New Roman"/>
        </w:rPr>
        <w:t xml:space="preserve"> truth, true authority, and true piety among the competing </w:t>
      </w:r>
      <w:r w:rsidR="00BC0797">
        <w:rPr>
          <w:rFonts w:ascii="Times New Roman" w:hAnsi="Times New Roman" w:cs="Times New Roman"/>
        </w:rPr>
        <w:t xml:space="preserve">claims and practices of </w:t>
      </w:r>
      <w:r w:rsidR="00DC1310">
        <w:rPr>
          <w:rFonts w:ascii="Times New Roman" w:hAnsi="Times New Roman" w:cs="Times New Roman"/>
        </w:rPr>
        <w:t xml:space="preserve">the several </w:t>
      </w:r>
      <w:r w:rsidR="00471BA2">
        <w:rPr>
          <w:rFonts w:ascii="Times New Roman" w:hAnsi="Times New Roman" w:cs="Times New Roman"/>
        </w:rPr>
        <w:t>C</w:t>
      </w:r>
      <w:r w:rsidR="003A37AE">
        <w:rPr>
          <w:rFonts w:ascii="Times New Roman" w:hAnsi="Times New Roman" w:cs="Times New Roman"/>
        </w:rPr>
        <w:t>hurches</w:t>
      </w:r>
      <w:r w:rsidR="00DC1310">
        <w:rPr>
          <w:rFonts w:ascii="Times New Roman" w:hAnsi="Times New Roman" w:cs="Times New Roman"/>
        </w:rPr>
        <w:t>.</w:t>
      </w:r>
    </w:p>
    <w:p w14:paraId="47B9A57F" w14:textId="77777777" w:rsidR="00AD580A" w:rsidRDefault="00C46524" w:rsidP="00AD580A">
      <w:pPr>
        <w:spacing w:line="480" w:lineRule="auto"/>
        <w:ind w:firstLine="720"/>
        <w:rPr>
          <w:rFonts w:ascii="Times New Roman" w:hAnsi="Times New Roman" w:cs="Times New Roman"/>
        </w:rPr>
      </w:pPr>
      <w:r>
        <w:rPr>
          <w:rFonts w:ascii="Times New Roman" w:hAnsi="Times New Roman" w:cs="Times New Roman"/>
        </w:rPr>
        <w:t xml:space="preserve">It is a testament to Strickland’s scholarship that an argument </w:t>
      </w:r>
      <w:r w:rsidR="00B57006">
        <w:rPr>
          <w:rFonts w:ascii="Times New Roman" w:hAnsi="Times New Roman" w:cs="Times New Roman"/>
        </w:rPr>
        <w:t xml:space="preserve">against his own interpretation </w:t>
      </w:r>
      <w:r>
        <w:rPr>
          <w:rFonts w:ascii="Times New Roman" w:hAnsi="Times New Roman" w:cs="Times New Roman"/>
        </w:rPr>
        <w:t xml:space="preserve">may </w:t>
      </w:r>
      <w:r w:rsidR="00B57006">
        <w:rPr>
          <w:rFonts w:ascii="Times New Roman" w:hAnsi="Times New Roman" w:cs="Times New Roman"/>
        </w:rPr>
        <w:t>develop</w:t>
      </w:r>
      <w:r>
        <w:rPr>
          <w:rFonts w:ascii="Times New Roman" w:hAnsi="Times New Roman" w:cs="Times New Roman"/>
        </w:rPr>
        <w:t xml:space="preserve">, at least initially, from texts </w:t>
      </w:r>
      <w:r w:rsidR="0079228A">
        <w:rPr>
          <w:rFonts w:ascii="Times New Roman" w:hAnsi="Times New Roman" w:cs="Times New Roman"/>
        </w:rPr>
        <w:t>he has made readily available.</w:t>
      </w:r>
      <w:r>
        <w:rPr>
          <w:rFonts w:ascii="Times New Roman" w:hAnsi="Times New Roman" w:cs="Times New Roman"/>
        </w:rPr>
        <w:t xml:space="preserve"> </w:t>
      </w:r>
      <w:r>
        <w:rPr>
          <w:rFonts w:ascii="Times New Roman" w:hAnsi="Times New Roman" w:cs="Times New Roman"/>
          <w:i/>
        </w:rPr>
        <w:t>Leibniz on God and Religion</w:t>
      </w:r>
      <w:r w:rsidR="0079228A">
        <w:rPr>
          <w:rFonts w:ascii="Times New Roman" w:hAnsi="Times New Roman" w:cs="Times New Roman"/>
        </w:rPr>
        <w:t xml:space="preserve"> is a</w:t>
      </w:r>
      <w:r>
        <w:rPr>
          <w:rFonts w:ascii="Times New Roman" w:hAnsi="Times New Roman" w:cs="Times New Roman"/>
        </w:rPr>
        <w:t xml:space="preserve">n important resource </w:t>
      </w:r>
      <w:r w:rsidR="0079228A">
        <w:rPr>
          <w:rFonts w:ascii="Times New Roman" w:hAnsi="Times New Roman" w:cs="Times New Roman"/>
        </w:rPr>
        <w:t xml:space="preserve">for Leibniz scholars and for all who share Leibniz’s </w:t>
      </w:r>
      <w:r w:rsidR="00AD580A">
        <w:rPr>
          <w:rFonts w:ascii="Times New Roman" w:hAnsi="Times New Roman" w:cs="Times New Roman"/>
        </w:rPr>
        <w:t>interests and concerns.</w:t>
      </w:r>
    </w:p>
    <w:p w14:paraId="2311019D" w14:textId="77777777" w:rsidR="00AD580A" w:rsidRDefault="00AD580A" w:rsidP="00AD580A">
      <w:pPr>
        <w:spacing w:line="480" w:lineRule="auto"/>
        <w:rPr>
          <w:rFonts w:ascii="Times New Roman" w:hAnsi="Times New Roman" w:cs="Times New Roman"/>
        </w:rPr>
      </w:pPr>
    </w:p>
    <w:p w14:paraId="201DBC58" w14:textId="380EE5DC" w:rsidR="00A51518" w:rsidRDefault="00A51518" w:rsidP="00AD580A">
      <w:pPr>
        <w:spacing w:line="480" w:lineRule="auto"/>
        <w:rPr>
          <w:rFonts w:ascii="Times New Roman" w:hAnsi="Times New Roman" w:cs="Times New Roman"/>
        </w:rPr>
      </w:pPr>
      <w:r>
        <w:rPr>
          <w:rFonts w:ascii="Times New Roman" w:hAnsi="Times New Roman" w:cs="Times New Roman"/>
        </w:rPr>
        <w:t>THOMAS FEENEY</w:t>
      </w:r>
    </w:p>
    <w:p w14:paraId="2FCF3058" w14:textId="20E2EE12" w:rsidR="00A51518" w:rsidRPr="00EA22DD" w:rsidRDefault="00A51518" w:rsidP="00A51518">
      <w:pPr>
        <w:spacing w:line="480" w:lineRule="auto"/>
        <w:rPr>
          <w:rFonts w:ascii="Times New Roman" w:hAnsi="Times New Roman" w:cs="Times New Roman"/>
        </w:rPr>
      </w:pPr>
      <w:r>
        <w:rPr>
          <w:rFonts w:ascii="Times New Roman" w:hAnsi="Times New Roman" w:cs="Times New Roman"/>
        </w:rPr>
        <w:t>University of Saint Thomas</w:t>
      </w:r>
    </w:p>
    <w:sectPr w:rsidR="00A51518" w:rsidRPr="00EA22DD" w:rsidSect="00EA22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56C26" w14:textId="77777777" w:rsidR="004308C0" w:rsidRDefault="004308C0" w:rsidP="008F1AAA">
      <w:r>
        <w:separator/>
      </w:r>
    </w:p>
  </w:endnote>
  <w:endnote w:type="continuationSeparator" w:id="0">
    <w:p w14:paraId="2CB39E85" w14:textId="77777777" w:rsidR="004308C0" w:rsidRDefault="004308C0" w:rsidP="008F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51EAD" w14:textId="77777777" w:rsidR="004308C0" w:rsidRDefault="004308C0" w:rsidP="008F1AAA">
      <w:r>
        <w:separator/>
      </w:r>
    </w:p>
  </w:footnote>
  <w:footnote w:type="continuationSeparator" w:id="0">
    <w:p w14:paraId="4F8979E1" w14:textId="77777777" w:rsidR="004308C0" w:rsidRDefault="004308C0" w:rsidP="008F1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5A4"/>
    <w:rsid w:val="00000544"/>
    <w:rsid w:val="00002493"/>
    <w:rsid w:val="00011CF2"/>
    <w:rsid w:val="00032A39"/>
    <w:rsid w:val="000408D1"/>
    <w:rsid w:val="00055DB1"/>
    <w:rsid w:val="00083731"/>
    <w:rsid w:val="00087A4C"/>
    <w:rsid w:val="000A55B6"/>
    <w:rsid w:val="000E3D56"/>
    <w:rsid w:val="001044B4"/>
    <w:rsid w:val="0011375C"/>
    <w:rsid w:val="0012375C"/>
    <w:rsid w:val="00173AAF"/>
    <w:rsid w:val="001C67C4"/>
    <w:rsid w:val="001E4671"/>
    <w:rsid w:val="002052C1"/>
    <w:rsid w:val="00236D4C"/>
    <w:rsid w:val="00250081"/>
    <w:rsid w:val="00261585"/>
    <w:rsid w:val="0026506C"/>
    <w:rsid w:val="00276797"/>
    <w:rsid w:val="002870D8"/>
    <w:rsid w:val="00291242"/>
    <w:rsid w:val="002E7E86"/>
    <w:rsid w:val="00336651"/>
    <w:rsid w:val="00346ED1"/>
    <w:rsid w:val="0039041F"/>
    <w:rsid w:val="003A37AE"/>
    <w:rsid w:val="003E0056"/>
    <w:rsid w:val="003E5864"/>
    <w:rsid w:val="00413707"/>
    <w:rsid w:val="004308C0"/>
    <w:rsid w:val="00471BA2"/>
    <w:rsid w:val="00471E22"/>
    <w:rsid w:val="0048665A"/>
    <w:rsid w:val="004A70F8"/>
    <w:rsid w:val="004B7A11"/>
    <w:rsid w:val="004D5F58"/>
    <w:rsid w:val="004D6E49"/>
    <w:rsid w:val="00511CA7"/>
    <w:rsid w:val="00520B77"/>
    <w:rsid w:val="00522BD0"/>
    <w:rsid w:val="00525A76"/>
    <w:rsid w:val="0053194B"/>
    <w:rsid w:val="00543B0D"/>
    <w:rsid w:val="00563E27"/>
    <w:rsid w:val="00570901"/>
    <w:rsid w:val="00596A7E"/>
    <w:rsid w:val="005A5AB0"/>
    <w:rsid w:val="00642809"/>
    <w:rsid w:val="00660CF0"/>
    <w:rsid w:val="00691E68"/>
    <w:rsid w:val="006A6DDF"/>
    <w:rsid w:val="006B6759"/>
    <w:rsid w:val="00700247"/>
    <w:rsid w:val="007014FF"/>
    <w:rsid w:val="007455C3"/>
    <w:rsid w:val="00753396"/>
    <w:rsid w:val="0079228A"/>
    <w:rsid w:val="007C71BB"/>
    <w:rsid w:val="007D539C"/>
    <w:rsid w:val="007F74BF"/>
    <w:rsid w:val="0086573C"/>
    <w:rsid w:val="0086783F"/>
    <w:rsid w:val="00875632"/>
    <w:rsid w:val="00884F91"/>
    <w:rsid w:val="008B17B7"/>
    <w:rsid w:val="008E4CBE"/>
    <w:rsid w:val="008E4E22"/>
    <w:rsid w:val="008E5582"/>
    <w:rsid w:val="008F1AAA"/>
    <w:rsid w:val="00900DAB"/>
    <w:rsid w:val="00902279"/>
    <w:rsid w:val="009030BB"/>
    <w:rsid w:val="0091490C"/>
    <w:rsid w:val="00915581"/>
    <w:rsid w:val="00937A20"/>
    <w:rsid w:val="009537AC"/>
    <w:rsid w:val="009C50F0"/>
    <w:rsid w:val="009D367D"/>
    <w:rsid w:val="009F2C3F"/>
    <w:rsid w:val="00A176CC"/>
    <w:rsid w:val="00A51518"/>
    <w:rsid w:val="00A73E7D"/>
    <w:rsid w:val="00A94D83"/>
    <w:rsid w:val="00AA3FCD"/>
    <w:rsid w:val="00AD580A"/>
    <w:rsid w:val="00AF4BBC"/>
    <w:rsid w:val="00B039D0"/>
    <w:rsid w:val="00B11F02"/>
    <w:rsid w:val="00B25526"/>
    <w:rsid w:val="00B53C11"/>
    <w:rsid w:val="00B57006"/>
    <w:rsid w:val="00B823E6"/>
    <w:rsid w:val="00BB5B51"/>
    <w:rsid w:val="00BC0797"/>
    <w:rsid w:val="00BD0043"/>
    <w:rsid w:val="00C23029"/>
    <w:rsid w:val="00C31207"/>
    <w:rsid w:val="00C35EB4"/>
    <w:rsid w:val="00C46524"/>
    <w:rsid w:val="00C7185C"/>
    <w:rsid w:val="00CA29D2"/>
    <w:rsid w:val="00D005DD"/>
    <w:rsid w:val="00D16342"/>
    <w:rsid w:val="00D3652A"/>
    <w:rsid w:val="00D505F9"/>
    <w:rsid w:val="00D52633"/>
    <w:rsid w:val="00D61D00"/>
    <w:rsid w:val="00D71EC9"/>
    <w:rsid w:val="00D9164E"/>
    <w:rsid w:val="00DA15A4"/>
    <w:rsid w:val="00DC1310"/>
    <w:rsid w:val="00DF4FF4"/>
    <w:rsid w:val="00E221D3"/>
    <w:rsid w:val="00E30B9E"/>
    <w:rsid w:val="00E439AC"/>
    <w:rsid w:val="00E70D9D"/>
    <w:rsid w:val="00E81C79"/>
    <w:rsid w:val="00E81C86"/>
    <w:rsid w:val="00EA22DD"/>
    <w:rsid w:val="00EC5CFE"/>
    <w:rsid w:val="00ED1A76"/>
    <w:rsid w:val="00ED2892"/>
    <w:rsid w:val="00F030F5"/>
    <w:rsid w:val="00F540EA"/>
    <w:rsid w:val="00F72883"/>
    <w:rsid w:val="00F970E3"/>
    <w:rsid w:val="00FA4731"/>
    <w:rsid w:val="00FE53AF"/>
    <w:rsid w:val="00FF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467A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75C"/>
    <w:rPr>
      <w:color w:val="0563C1" w:themeColor="hyperlink"/>
      <w:u w:val="single"/>
    </w:rPr>
  </w:style>
  <w:style w:type="paragraph" w:styleId="NormalWeb">
    <w:name w:val="Normal (Web)"/>
    <w:basedOn w:val="Normal"/>
    <w:uiPriority w:val="99"/>
    <w:semiHidden/>
    <w:unhideWhenUsed/>
    <w:rsid w:val="0026506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F1AAA"/>
    <w:pPr>
      <w:tabs>
        <w:tab w:val="center" w:pos="4680"/>
        <w:tab w:val="right" w:pos="9360"/>
      </w:tabs>
    </w:pPr>
  </w:style>
  <w:style w:type="character" w:customStyle="1" w:styleId="HeaderChar">
    <w:name w:val="Header Char"/>
    <w:basedOn w:val="DefaultParagraphFont"/>
    <w:link w:val="Header"/>
    <w:uiPriority w:val="99"/>
    <w:rsid w:val="008F1AAA"/>
  </w:style>
  <w:style w:type="paragraph" w:styleId="Footer">
    <w:name w:val="footer"/>
    <w:basedOn w:val="Normal"/>
    <w:link w:val="FooterChar"/>
    <w:uiPriority w:val="99"/>
    <w:unhideWhenUsed/>
    <w:rsid w:val="008F1AAA"/>
    <w:pPr>
      <w:tabs>
        <w:tab w:val="center" w:pos="4680"/>
        <w:tab w:val="right" w:pos="9360"/>
      </w:tabs>
    </w:pPr>
  </w:style>
  <w:style w:type="character" w:customStyle="1" w:styleId="FooterChar">
    <w:name w:val="Footer Char"/>
    <w:basedOn w:val="DefaultParagraphFont"/>
    <w:link w:val="Footer"/>
    <w:uiPriority w:val="99"/>
    <w:rsid w:val="008F1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74479">
      <w:bodyDiv w:val="1"/>
      <w:marLeft w:val="0"/>
      <w:marRight w:val="0"/>
      <w:marTop w:val="0"/>
      <w:marBottom w:val="0"/>
      <w:divBdr>
        <w:top w:val="none" w:sz="0" w:space="0" w:color="auto"/>
        <w:left w:val="none" w:sz="0" w:space="0" w:color="auto"/>
        <w:bottom w:val="none" w:sz="0" w:space="0" w:color="auto"/>
        <w:right w:val="none" w:sz="0" w:space="0" w:color="auto"/>
      </w:divBdr>
      <w:divsChild>
        <w:div w:id="87167187">
          <w:marLeft w:val="0"/>
          <w:marRight w:val="0"/>
          <w:marTop w:val="0"/>
          <w:marBottom w:val="0"/>
          <w:divBdr>
            <w:top w:val="none" w:sz="0" w:space="0" w:color="auto"/>
            <w:left w:val="none" w:sz="0" w:space="0" w:color="auto"/>
            <w:bottom w:val="none" w:sz="0" w:space="0" w:color="auto"/>
            <w:right w:val="none" w:sz="0" w:space="0" w:color="auto"/>
          </w:divBdr>
          <w:divsChild>
            <w:div w:id="982664650">
              <w:marLeft w:val="0"/>
              <w:marRight w:val="0"/>
              <w:marTop w:val="0"/>
              <w:marBottom w:val="0"/>
              <w:divBdr>
                <w:top w:val="none" w:sz="0" w:space="0" w:color="auto"/>
                <w:left w:val="none" w:sz="0" w:space="0" w:color="auto"/>
                <w:bottom w:val="none" w:sz="0" w:space="0" w:color="auto"/>
                <w:right w:val="none" w:sz="0" w:space="0" w:color="auto"/>
              </w:divBdr>
              <w:divsChild>
                <w:div w:id="9554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87787">
      <w:bodyDiv w:val="1"/>
      <w:marLeft w:val="0"/>
      <w:marRight w:val="0"/>
      <w:marTop w:val="0"/>
      <w:marBottom w:val="0"/>
      <w:divBdr>
        <w:top w:val="none" w:sz="0" w:space="0" w:color="auto"/>
        <w:left w:val="none" w:sz="0" w:space="0" w:color="auto"/>
        <w:bottom w:val="none" w:sz="0" w:space="0" w:color="auto"/>
        <w:right w:val="none" w:sz="0" w:space="0" w:color="auto"/>
      </w:divBdr>
      <w:divsChild>
        <w:div w:id="1332030694">
          <w:marLeft w:val="0"/>
          <w:marRight w:val="0"/>
          <w:marTop w:val="0"/>
          <w:marBottom w:val="0"/>
          <w:divBdr>
            <w:top w:val="none" w:sz="0" w:space="0" w:color="auto"/>
            <w:left w:val="none" w:sz="0" w:space="0" w:color="auto"/>
            <w:bottom w:val="none" w:sz="0" w:space="0" w:color="auto"/>
            <w:right w:val="none" w:sz="0" w:space="0" w:color="auto"/>
          </w:divBdr>
          <w:divsChild>
            <w:div w:id="1460801572">
              <w:marLeft w:val="0"/>
              <w:marRight w:val="0"/>
              <w:marTop w:val="0"/>
              <w:marBottom w:val="0"/>
              <w:divBdr>
                <w:top w:val="none" w:sz="0" w:space="0" w:color="auto"/>
                <w:left w:val="none" w:sz="0" w:space="0" w:color="auto"/>
                <w:bottom w:val="none" w:sz="0" w:space="0" w:color="auto"/>
                <w:right w:val="none" w:sz="0" w:space="0" w:color="auto"/>
              </w:divBdr>
              <w:divsChild>
                <w:div w:id="18577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sChild>
        <w:div w:id="1725829867">
          <w:marLeft w:val="0"/>
          <w:marRight w:val="0"/>
          <w:marTop w:val="0"/>
          <w:marBottom w:val="0"/>
          <w:divBdr>
            <w:top w:val="none" w:sz="0" w:space="0" w:color="auto"/>
            <w:left w:val="none" w:sz="0" w:space="0" w:color="auto"/>
            <w:bottom w:val="none" w:sz="0" w:space="0" w:color="auto"/>
            <w:right w:val="none" w:sz="0" w:space="0" w:color="auto"/>
          </w:divBdr>
          <w:divsChild>
            <w:div w:id="1344624418">
              <w:marLeft w:val="0"/>
              <w:marRight w:val="0"/>
              <w:marTop w:val="0"/>
              <w:marBottom w:val="0"/>
              <w:divBdr>
                <w:top w:val="none" w:sz="0" w:space="0" w:color="auto"/>
                <w:left w:val="none" w:sz="0" w:space="0" w:color="auto"/>
                <w:bottom w:val="none" w:sz="0" w:space="0" w:color="auto"/>
                <w:right w:val="none" w:sz="0" w:space="0" w:color="auto"/>
              </w:divBdr>
              <w:divsChild>
                <w:div w:id="13855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1200</TotalTime>
  <Pages>5</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Feeney, Thomas D.</dc:creator>
  <cp:keywords/>
  <dc:description/>
  <cp:lastModifiedBy>Feeney, Thomas D.</cp:lastModifiedBy>
  <cp:revision>27</cp:revision>
  <cp:lastPrinted>2018-04-26T20:42:00Z</cp:lastPrinted>
  <dcterms:created xsi:type="dcterms:W3CDTF">2017-08-16T17:19:00Z</dcterms:created>
  <dcterms:modified xsi:type="dcterms:W3CDTF">2019-01-04T17:32:00Z</dcterms:modified>
</cp:coreProperties>
</file>