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85CB4" w14:textId="4A4CBAD7" w:rsidR="00C23888" w:rsidRDefault="00C23888" w:rsidP="009F5D2A">
      <w:pPr>
        <w:spacing w:line="480" w:lineRule="auto"/>
        <w:jc w:val="center"/>
      </w:pPr>
      <w:r>
        <w:t xml:space="preserve">For the </w:t>
      </w:r>
      <w:proofErr w:type="spellStart"/>
      <w:r>
        <w:rPr>
          <w:i/>
        </w:rPr>
        <w:t>Metascience</w:t>
      </w:r>
      <w:proofErr w:type="spellEnd"/>
      <w:r>
        <w:t xml:space="preserve"> symposium on </w:t>
      </w:r>
      <w:proofErr w:type="spellStart"/>
      <w:r>
        <w:rPr>
          <w:i/>
        </w:rPr>
        <w:t>Carnap</w:t>
      </w:r>
      <w:proofErr w:type="spellEnd"/>
      <w:r>
        <w:rPr>
          <w:i/>
        </w:rPr>
        <w:t xml:space="preserve">, </w:t>
      </w:r>
      <w:proofErr w:type="spellStart"/>
      <w:r>
        <w:rPr>
          <w:i/>
        </w:rPr>
        <w:t>Tarski</w:t>
      </w:r>
      <w:proofErr w:type="spellEnd"/>
      <w:r>
        <w:rPr>
          <w:i/>
        </w:rPr>
        <w:t xml:space="preserve">, and </w:t>
      </w:r>
      <w:proofErr w:type="spellStart"/>
      <w:r>
        <w:rPr>
          <w:i/>
        </w:rPr>
        <w:t>Quine</w:t>
      </w:r>
      <w:proofErr w:type="spellEnd"/>
      <w:r>
        <w:rPr>
          <w:i/>
        </w:rPr>
        <w:t xml:space="preserve"> at Harvard</w:t>
      </w:r>
      <w:r w:rsidR="00A60F7F">
        <w:t>:</w:t>
      </w:r>
    </w:p>
    <w:p w14:paraId="008A0775" w14:textId="7CA8B1CE" w:rsidR="00A60F7F" w:rsidRPr="00A60F7F" w:rsidRDefault="00A60F7F" w:rsidP="009F5D2A">
      <w:pPr>
        <w:spacing w:line="480" w:lineRule="auto"/>
        <w:jc w:val="center"/>
      </w:pPr>
      <w:r>
        <w:t xml:space="preserve">Replies to </w:t>
      </w:r>
      <w:proofErr w:type="spellStart"/>
      <w:r>
        <w:t>Creath</w:t>
      </w:r>
      <w:proofErr w:type="spellEnd"/>
      <w:r>
        <w:t>, Ebbs, and Lavers</w:t>
      </w:r>
    </w:p>
    <w:p w14:paraId="541C7C22" w14:textId="74A561B2" w:rsidR="004F4734" w:rsidRDefault="00464A29" w:rsidP="009F5D2A">
      <w:pPr>
        <w:spacing w:line="480" w:lineRule="auto"/>
        <w:jc w:val="center"/>
      </w:pPr>
      <w:r>
        <w:t>Greg Frost-Arnold</w:t>
      </w:r>
    </w:p>
    <w:p w14:paraId="51639704" w14:textId="77777777" w:rsidR="00464A29" w:rsidRPr="00C23888" w:rsidRDefault="00464A29" w:rsidP="007A7806">
      <w:pPr>
        <w:spacing w:line="480" w:lineRule="auto"/>
      </w:pPr>
    </w:p>
    <w:p w14:paraId="159747A8" w14:textId="2A12F781" w:rsidR="00C23888" w:rsidRPr="004F4734" w:rsidRDefault="004F4734" w:rsidP="007A7806">
      <w:pPr>
        <w:spacing w:line="480" w:lineRule="auto"/>
        <w:rPr>
          <w:b/>
        </w:rPr>
      </w:pPr>
      <w:r w:rsidRPr="004F4734">
        <w:rPr>
          <w:b/>
        </w:rPr>
        <w:t>1. Introduction/ Pr</w:t>
      </w:r>
      <w:bookmarkStart w:id="0" w:name="_GoBack"/>
      <w:bookmarkEnd w:id="0"/>
      <w:r w:rsidR="00A60F7F">
        <w:rPr>
          <w:rFonts w:ascii="Cambria" w:hAnsi="Cambria"/>
          <w:b/>
        </w:rPr>
        <w:t>é</w:t>
      </w:r>
      <w:r w:rsidRPr="004F4734">
        <w:rPr>
          <w:b/>
        </w:rPr>
        <w:t xml:space="preserve">cis </w:t>
      </w:r>
    </w:p>
    <w:p w14:paraId="5A37B309" w14:textId="77777777" w:rsidR="004F4734" w:rsidRDefault="004F4734" w:rsidP="007A7806">
      <w:pPr>
        <w:spacing w:line="480" w:lineRule="auto"/>
      </w:pPr>
    </w:p>
    <w:p w14:paraId="2A8E1B7B" w14:textId="007AD24E" w:rsidR="00C23888" w:rsidRDefault="00C23888" w:rsidP="007A7806">
      <w:pPr>
        <w:spacing w:line="480" w:lineRule="auto"/>
      </w:pPr>
      <w:r>
        <w:t xml:space="preserve">Rudolf </w:t>
      </w:r>
      <w:proofErr w:type="spellStart"/>
      <w:r>
        <w:t>Carnap</w:t>
      </w:r>
      <w:proofErr w:type="spellEnd"/>
      <w:r>
        <w:t xml:space="preserve">, Alfred </w:t>
      </w:r>
      <w:proofErr w:type="spellStart"/>
      <w:r>
        <w:t>Tarski</w:t>
      </w:r>
      <w:proofErr w:type="spellEnd"/>
      <w:r>
        <w:t xml:space="preserve">, and W. V. </w:t>
      </w:r>
      <w:proofErr w:type="spellStart"/>
      <w:r>
        <w:t>Quine</w:t>
      </w:r>
      <w:proofErr w:type="spellEnd"/>
      <w:r>
        <w:t xml:space="preserve"> spent the academic year 1940-41 together at Harvard.  They frequently met to discuss </w:t>
      </w:r>
      <w:r w:rsidR="00464A29">
        <w:t>topics of shared interest concerning</w:t>
      </w:r>
      <w:r>
        <w:t xml:space="preserve"> philosophy and logic. </w:t>
      </w:r>
      <w:r w:rsidR="00525798">
        <w:t xml:space="preserve"> </w:t>
      </w:r>
      <w:proofErr w:type="spellStart"/>
      <w:r>
        <w:t>Carnap</w:t>
      </w:r>
      <w:proofErr w:type="spellEnd"/>
      <w:r>
        <w:t xml:space="preserve"> took dictation notes in many of these meetings, and these notes are store</w:t>
      </w:r>
      <w:r w:rsidR="00540572">
        <w:t xml:space="preserve">d in the </w:t>
      </w:r>
      <w:proofErr w:type="spellStart"/>
      <w:r w:rsidR="00540572">
        <w:t>Carnap</w:t>
      </w:r>
      <w:proofErr w:type="spellEnd"/>
      <w:r w:rsidR="00540572">
        <w:t xml:space="preserve"> Archive.  H</w:t>
      </w:r>
      <w:r>
        <w:t xml:space="preserve">ighlights of these notes appear in Paolo </w:t>
      </w:r>
      <w:proofErr w:type="spellStart"/>
      <w:r>
        <w:t>Mancosu’s</w:t>
      </w:r>
      <w:proofErr w:type="spellEnd"/>
      <w:r>
        <w:t xml:space="preserve"> (2004), and the </w:t>
      </w:r>
      <w:r w:rsidR="0094128F">
        <w:t xml:space="preserve">notes in their entirety </w:t>
      </w:r>
      <w:r w:rsidR="00AB5E89">
        <w:t>comprise</w:t>
      </w:r>
      <w:r w:rsidR="0094128F">
        <w:t xml:space="preserve"> the appendix to</w:t>
      </w:r>
      <w:r>
        <w:t xml:space="preserve"> my </w:t>
      </w:r>
      <w:proofErr w:type="spellStart"/>
      <w:r>
        <w:rPr>
          <w:i/>
        </w:rPr>
        <w:t>Carnap</w:t>
      </w:r>
      <w:proofErr w:type="spellEnd"/>
      <w:r>
        <w:rPr>
          <w:i/>
        </w:rPr>
        <w:t xml:space="preserve">, </w:t>
      </w:r>
      <w:proofErr w:type="spellStart"/>
      <w:r>
        <w:rPr>
          <w:i/>
        </w:rPr>
        <w:t>Tarski</w:t>
      </w:r>
      <w:proofErr w:type="spellEnd"/>
      <w:r>
        <w:rPr>
          <w:i/>
        </w:rPr>
        <w:t xml:space="preserve">, and </w:t>
      </w:r>
      <w:proofErr w:type="spellStart"/>
      <w:r>
        <w:rPr>
          <w:i/>
        </w:rPr>
        <w:t>Quine</w:t>
      </w:r>
      <w:proofErr w:type="spellEnd"/>
      <w:r>
        <w:rPr>
          <w:i/>
        </w:rPr>
        <w:t xml:space="preserve"> at Harvard</w:t>
      </w:r>
      <w:r>
        <w:t>, which is the focus of this symposium.</w:t>
      </w:r>
      <w:r w:rsidR="00525798">
        <w:t xml:space="preserve">  I feel truly</w:t>
      </w:r>
      <w:r>
        <w:t xml:space="preserve"> honor</w:t>
      </w:r>
      <w:r w:rsidR="00525798">
        <w:t>ed</w:t>
      </w:r>
      <w:r>
        <w:t xml:space="preserve"> to have </w:t>
      </w:r>
      <w:r w:rsidR="00F85899">
        <w:t>outstanding</w:t>
      </w:r>
      <w:r>
        <w:t xml:space="preserve"> scholars engaging</w:t>
      </w:r>
      <w:r w:rsidR="00525798">
        <w:t xml:space="preserve"> with the material in this book</w:t>
      </w:r>
      <w:r>
        <w:t>.  Before addressing their comments in detail, I offe</w:t>
      </w:r>
      <w:r w:rsidR="0094128F">
        <w:t>r a brief overview of the notes</w:t>
      </w:r>
      <w:r>
        <w:t xml:space="preserve">.  </w:t>
      </w:r>
    </w:p>
    <w:p w14:paraId="28C0F488" w14:textId="77777777" w:rsidR="00C23888" w:rsidRDefault="00C23888" w:rsidP="007A7806">
      <w:pPr>
        <w:spacing w:line="480" w:lineRule="auto"/>
      </w:pPr>
    </w:p>
    <w:p w14:paraId="0D71DDC0" w14:textId="7DEDCCD0" w:rsidR="00C94EEE" w:rsidRDefault="00F85899" w:rsidP="007A7806">
      <w:pPr>
        <w:spacing w:line="480" w:lineRule="auto"/>
      </w:pPr>
      <w:r>
        <w:t>S</w:t>
      </w:r>
      <w:r w:rsidR="00C23888">
        <w:t xml:space="preserve">ince these </w:t>
      </w:r>
      <w:r w:rsidR="00525798">
        <w:t xml:space="preserve">conversations </w:t>
      </w:r>
      <w:r w:rsidR="00C23888">
        <w:t xml:space="preserve">were informal, the participants discussed whatever </w:t>
      </w:r>
      <w:r w:rsidR="00525798">
        <w:t>struck their fancy</w:t>
      </w:r>
      <w:r w:rsidR="00C23888">
        <w:t xml:space="preserve"> that day.  Thus, the conversati</w:t>
      </w:r>
      <w:r w:rsidR="00525798">
        <w:t>ons span a wide range of topics.  Nonetheless</w:t>
      </w:r>
      <w:r w:rsidR="00C23888">
        <w:t>, the theme that recurs mo</w:t>
      </w:r>
      <w:r>
        <w:t xml:space="preserve">st often is the project, </w:t>
      </w:r>
      <w:r w:rsidR="000E7DA7">
        <w:t>or</w:t>
      </w:r>
      <w:r>
        <w:t xml:space="preserve">iginally proposed by </w:t>
      </w:r>
      <w:proofErr w:type="spellStart"/>
      <w:r>
        <w:t>Tarski</w:t>
      </w:r>
      <w:proofErr w:type="spellEnd"/>
      <w:r>
        <w:t>,</w:t>
      </w:r>
      <w:r w:rsidR="000E7DA7">
        <w:t xml:space="preserve"> </w:t>
      </w:r>
      <w:r w:rsidR="00C94EEE">
        <w:t>of construct</w:t>
      </w:r>
      <w:r w:rsidR="00C23888">
        <w:t xml:space="preserve">ing </w:t>
      </w:r>
      <w:r>
        <w:t>what the discussants called a ‘</w:t>
      </w:r>
      <w:proofErr w:type="spellStart"/>
      <w:r>
        <w:t>f</w:t>
      </w:r>
      <w:r w:rsidR="00C23888">
        <w:t>initist</w:t>
      </w:r>
      <w:proofErr w:type="spellEnd"/>
      <w:r>
        <w:t>’ and/or ‘n</w:t>
      </w:r>
      <w:r w:rsidR="00C94EEE">
        <w:t xml:space="preserve">ominalist’ language of (natural) science.  Since </w:t>
      </w:r>
      <w:proofErr w:type="spellStart"/>
      <w:r w:rsidR="00C94EEE">
        <w:t>Creath</w:t>
      </w:r>
      <w:proofErr w:type="spellEnd"/>
      <w:r w:rsidR="00C94EEE">
        <w:t>,</w:t>
      </w:r>
      <w:r w:rsidR="00525798">
        <w:t xml:space="preserve"> Ebbs, and Lavers</w:t>
      </w:r>
      <w:r w:rsidR="00C94EEE">
        <w:t xml:space="preserve"> </w:t>
      </w:r>
      <w:r>
        <w:t>all</w:t>
      </w:r>
      <w:r w:rsidR="00C94EEE">
        <w:t xml:space="preserve"> address this part of the 1940-</w:t>
      </w:r>
      <w:r w:rsidR="00525798">
        <w:t>41 conversations, I will</w:t>
      </w:r>
      <w:r w:rsidR="00C94EEE">
        <w:t xml:space="preserve"> outline the key features of this project.</w:t>
      </w:r>
    </w:p>
    <w:p w14:paraId="6454C825" w14:textId="77777777" w:rsidR="00C94EEE" w:rsidRDefault="00C94EEE" w:rsidP="007A7806">
      <w:pPr>
        <w:spacing w:line="480" w:lineRule="auto"/>
      </w:pPr>
    </w:p>
    <w:p w14:paraId="238F1287" w14:textId="221436DE" w:rsidR="00C94EEE" w:rsidRDefault="00C94EEE" w:rsidP="007A7806">
      <w:pPr>
        <w:spacing w:line="480" w:lineRule="auto"/>
      </w:pPr>
      <w:r>
        <w:lastRenderedPageBreak/>
        <w:t xml:space="preserve">What is a </w:t>
      </w:r>
      <w:proofErr w:type="spellStart"/>
      <w:r>
        <w:t>Finitist</w:t>
      </w:r>
      <w:proofErr w:type="spellEnd"/>
      <w:r>
        <w:t>-Nominali</w:t>
      </w:r>
      <w:r w:rsidR="00F24BF3">
        <w:t>st (FN) language</w:t>
      </w:r>
      <w:r>
        <w:t xml:space="preserve">?  It is any language that has the following four features: </w:t>
      </w:r>
      <w:r w:rsidR="0088309F">
        <w:t xml:space="preserve">(1) </w:t>
      </w:r>
      <w:r>
        <w:t xml:space="preserve">it is first-order, </w:t>
      </w:r>
      <w:r w:rsidR="0088309F">
        <w:t xml:space="preserve">(2) </w:t>
      </w:r>
      <w:r>
        <w:t xml:space="preserve">the domain of discourse can only contain concrete objects, </w:t>
      </w:r>
      <w:r w:rsidR="0088309F">
        <w:t xml:space="preserve">(3) </w:t>
      </w:r>
      <w:r>
        <w:t xml:space="preserve">no assumption is made about the cardinality of the domain of discourse, and </w:t>
      </w:r>
      <w:r w:rsidR="0088309F">
        <w:t xml:space="preserve">(4) </w:t>
      </w:r>
      <w:r>
        <w:t xml:space="preserve">there are only finitely many non-logical, undefined predicates.  The first two are nominalist strictures: because it is first-order, one cannot quantify over properties, and because the domain can only contain </w:t>
      </w:r>
      <w:proofErr w:type="spellStart"/>
      <w:r>
        <w:t>concreta</w:t>
      </w:r>
      <w:proofErr w:type="spellEnd"/>
      <w:r>
        <w:t>, one cannot quan</w:t>
      </w:r>
      <w:r w:rsidR="0088309F">
        <w:t>t</w:t>
      </w:r>
      <w:r>
        <w:t>ify over numbers or class</w:t>
      </w:r>
      <w:r w:rsidR="0088309F">
        <w:t xml:space="preserve">es (conceived of as </w:t>
      </w:r>
      <w:proofErr w:type="spellStart"/>
      <w:r w:rsidR="0088309F">
        <w:t>abstracta</w:t>
      </w:r>
      <w:proofErr w:type="spellEnd"/>
      <w:r w:rsidR="0088309F">
        <w:t xml:space="preserve">).  </w:t>
      </w:r>
      <w:r w:rsidR="00A60F7F">
        <w:t xml:space="preserve">As a result, </w:t>
      </w:r>
      <w:r w:rsidR="00F85899">
        <w:t>numerals must refer to physical objects</w:t>
      </w:r>
      <w:r w:rsidR="00A60F7F">
        <w:t xml:space="preserve"> (if anything)</w:t>
      </w:r>
      <w:r w:rsidR="00F85899">
        <w:t xml:space="preserve">.  </w:t>
      </w:r>
      <w:r w:rsidR="00F24BF3">
        <w:t xml:space="preserve">Conditions (3) and (4) are obviously </w:t>
      </w:r>
      <w:proofErr w:type="spellStart"/>
      <w:r w:rsidR="00F24BF3">
        <w:t>finitist</w:t>
      </w:r>
      <w:proofErr w:type="spellEnd"/>
      <w:r w:rsidR="00525798">
        <w:t>.</w:t>
      </w:r>
    </w:p>
    <w:p w14:paraId="7CDD2540" w14:textId="77777777" w:rsidR="00525798" w:rsidRDefault="00525798" w:rsidP="007A7806">
      <w:pPr>
        <w:spacing w:line="480" w:lineRule="auto"/>
      </w:pPr>
    </w:p>
    <w:p w14:paraId="5163ED06" w14:textId="47E07DCF" w:rsidR="00525798" w:rsidRDefault="00525798" w:rsidP="007A7806">
      <w:pPr>
        <w:spacing w:line="480" w:lineRule="auto"/>
      </w:pPr>
      <w:r>
        <w:t xml:space="preserve">But, one may wonder, what is the point of imposing such strict constraints on a language?  </w:t>
      </w:r>
      <w:proofErr w:type="spellStart"/>
      <w:r>
        <w:t>Tarski</w:t>
      </w:r>
      <w:proofErr w:type="spellEnd"/>
      <w:r>
        <w:t>, who proposes the project, says that he “only understands a language meeting” these four con</w:t>
      </w:r>
      <w:r w:rsidR="00F85899">
        <w:t>ditions; he ‘understands’ other languages</w:t>
      </w:r>
      <w:r>
        <w:t xml:space="preserve"> only in the way one understands a f</w:t>
      </w:r>
      <w:r w:rsidR="00F85899">
        <w:t>ormal, empty calculus (Frost-Arnold 2013</w:t>
      </w:r>
      <w:r>
        <w:t>, p.153).  And the notes return repeatedly to understandability or intelligibility [</w:t>
      </w:r>
      <w:proofErr w:type="spellStart"/>
      <w:r>
        <w:rPr>
          <w:i/>
        </w:rPr>
        <w:t>Verständlichkeit</w:t>
      </w:r>
      <w:proofErr w:type="spellEnd"/>
      <w:r>
        <w:t>] as the fundamental motivation for imposing the FN conditions.  T</w:t>
      </w:r>
      <w:r w:rsidR="00A60F7F">
        <w:t xml:space="preserve">he obvious next question </w:t>
      </w:r>
      <w:r>
        <w:t>is: what do the discussants mean by this term</w:t>
      </w:r>
      <w:r w:rsidR="00F85899">
        <w:t>?</w:t>
      </w:r>
      <w:r>
        <w:t xml:space="preserve">  Unfortunately, </w:t>
      </w:r>
      <w:r w:rsidR="00F85899">
        <w:t xml:space="preserve">they almost never discuss </w:t>
      </w:r>
      <w:r>
        <w:t>intelligibility itself, even though the notion is at the heart of the</w:t>
      </w:r>
      <w:r w:rsidR="003F0252">
        <w:t>ir</w:t>
      </w:r>
      <w:r>
        <w:t xml:space="preserve"> </w:t>
      </w:r>
      <w:proofErr w:type="spellStart"/>
      <w:r>
        <w:t>finitist</w:t>
      </w:r>
      <w:proofErr w:type="spellEnd"/>
      <w:r>
        <w:t xml:space="preserve">-nominalist project.  </w:t>
      </w:r>
    </w:p>
    <w:p w14:paraId="3026923F" w14:textId="77777777" w:rsidR="0023212A" w:rsidRDefault="0023212A" w:rsidP="007A7806">
      <w:pPr>
        <w:spacing w:line="480" w:lineRule="auto"/>
      </w:pPr>
    </w:p>
    <w:p w14:paraId="128B35D9" w14:textId="77777777" w:rsidR="004F4734" w:rsidRDefault="004F4734" w:rsidP="007A7806">
      <w:pPr>
        <w:spacing w:line="480" w:lineRule="auto"/>
      </w:pPr>
    </w:p>
    <w:p w14:paraId="2FA81866" w14:textId="02AE6DCD" w:rsidR="004F4734" w:rsidRDefault="004F4734" w:rsidP="007A7806">
      <w:pPr>
        <w:spacing w:line="480" w:lineRule="auto"/>
      </w:pPr>
      <w:r>
        <w:rPr>
          <w:b/>
        </w:rPr>
        <w:t xml:space="preserve">2. </w:t>
      </w:r>
      <w:proofErr w:type="spellStart"/>
      <w:r>
        <w:rPr>
          <w:b/>
        </w:rPr>
        <w:t>Creath</w:t>
      </w:r>
      <w:proofErr w:type="spellEnd"/>
      <w:r>
        <w:rPr>
          <w:b/>
        </w:rPr>
        <w:t>, “Understandability”</w:t>
      </w:r>
    </w:p>
    <w:p w14:paraId="78B71295" w14:textId="77777777" w:rsidR="004F4734" w:rsidRDefault="004F4734" w:rsidP="007A7806">
      <w:pPr>
        <w:spacing w:line="480" w:lineRule="auto"/>
      </w:pPr>
    </w:p>
    <w:p w14:paraId="46E8A4BD" w14:textId="5614AF35" w:rsidR="00025C03" w:rsidRDefault="00CF20A0" w:rsidP="007A7806">
      <w:pPr>
        <w:spacing w:line="480" w:lineRule="auto"/>
      </w:pPr>
      <w:r>
        <w:t xml:space="preserve">According to </w:t>
      </w:r>
      <w:proofErr w:type="spellStart"/>
      <w:r>
        <w:t>Creath</w:t>
      </w:r>
      <w:proofErr w:type="spellEnd"/>
      <w:r>
        <w:t>,</w:t>
      </w:r>
      <w:r w:rsidR="005600BE">
        <w:t xml:space="preserve"> to understand a linguistic expression is</w:t>
      </w:r>
      <w:r w:rsidR="00F85899">
        <w:t>, in one important sense,</w:t>
      </w:r>
      <w:r w:rsidR="005600BE">
        <w:t xml:space="preserve"> to know its role</w:t>
      </w:r>
      <w:r w:rsidR="006865CB">
        <w:t xml:space="preserve"> in a system of rules.</w:t>
      </w:r>
      <w:r w:rsidR="00F85899">
        <w:t xml:space="preserve"> </w:t>
      </w:r>
      <w:r w:rsidR="005600BE">
        <w:t xml:space="preserve"> </w:t>
      </w:r>
      <w:proofErr w:type="spellStart"/>
      <w:r w:rsidR="005600BE">
        <w:t>Creath</w:t>
      </w:r>
      <w:proofErr w:type="spellEnd"/>
      <w:r w:rsidR="005600BE">
        <w:t xml:space="preserve"> calls this an idealization</w:t>
      </w:r>
      <w:r w:rsidR="00990E3A">
        <w:t xml:space="preserve">; however, I want to </w:t>
      </w:r>
      <w:r>
        <w:t xml:space="preserve">argue </w:t>
      </w:r>
      <w:r w:rsidR="00990E3A">
        <w:t xml:space="preserve">that </w:t>
      </w:r>
      <w:r w:rsidR="006865CB">
        <w:t>this</w:t>
      </w:r>
      <w:r w:rsidR="00990E3A">
        <w:t xml:space="preserve"> is an </w:t>
      </w:r>
      <w:r w:rsidR="00990E3A">
        <w:rPr>
          <w:i/>
        </w:rPr>
        <w:t>over</w:t>
      </w:r>
      <w:r w:rsidR="00990E3A">
        <w:t xml:space="preserve">-idealization, i.e. </w:t>
      </w:r>
      <w:r w:rsidR="006865CB">
        <w:t xml:space="preserve">this characterization leaves out something necessary for </w:t>
      </w:r>
      <w:proofErr w:type="spellStart"/>
      <w:r w:rsidR="00AB5E89">
        <w:t>Carnapian</w:t>
      </w:r>
      <w:proofErr w:type="spellEnd"/>
      <w:r w:rsidR="00AB5E89">
        <w:t xml:space="preserve"> </w:t>
      </w:r>
      <w:r w:rsidR="006865CB">
        <w:t>understanding.</w:t>
      </w:r>
      <w:r w:rsidR="005600BE">
        <w:t xml:space="preserve"> </w:t>
      </w:r>
      <w:r w:rsidR="006865CB">
        <w:t xml:space="preserve"> </w:t>
      </w:r>
      <w:r w:rsidR="0015709A">
        <w:t>Put otherwise</w:t>
      </w:r>
      <w:r w:rsidR="00A62861">
        <w:t xml:space="preserve">: this characterization of understanding is adequate </w:t>
      </w:r>
      <w:r w:rsidR="0015709A">
        <w:t>only when certain further conditions are met</w:t>
      </w:r>
      <w:r w:rsidR="00A62861">
        <w:t xml:space="preserve">.  </w:t>
      </w:r>
      <w:r w:rsidR="006865CB">
        <w:t xml:space="preserve">I </w:t>
      </w:r>
      <w:r w:rsidR="00A62861">
        <w:t xml:space="preserve">will </w:t>
      </w:r>
      <w:r w:rsidR="006865CB">
        <w:t>bracket natural languages</w:t>
      </w:r>
      <w:r w:rsidR="00DE2703">
        <w:t xml:space="preserve"> here</w:t>
      </w:r>
      <w:r w:rsidR="006865CB">
        <w:t xml:space="preserve">, as </w:t>
      </w:r>
      <w:proofErr w:type="spellStart"/>
      <w:r w:rsidR="006865CB">
        <w:t>Creath</w:t>
      </w:r>
      <w:proofErr w:type="spellEnd"/>
      <w:r w:rsidR="006865CB">
        <w:t xml:space="preserve"> </w:t>
      </w:r>
      <w:r w:rsidR="00D123A4">
        <w:t xml:space="preserve">does </w:t>
      </w:r>
      <w:r w:rsidR="0015709A">
        <w:t>(MS* p.9)</w:t>
      </w:r>
      <w:r w:rsidR="00A62861">
        <w:t xml:space="preserve">.  So let us turn to </w:t>
      </w:r>
      <w:r w:rsidR="00025C03">
        <w:t>understanding the expressions of an artificial language via their roles in the language’s system of rules</w:t>
      </w:r>
      <w:r w:rsidR="00A62861">
        <w:t>.  Specifically</w:t>
      </w:r>
      <w:r w:rsidR="00D123A4">
        <w:t xml:space="preserve">, </w:t>
      </w:r>
      <w:proofErr w:type="spellStart"/>
      <w:r w:rsidR="00D123A4">
        <w:t>Creath</w:t>
      </w:r>
      <w:proofErr w:type="spellEnd"/>
      <w:r w:rsidR="00D123A4">
        <w:t xml:space="preserve"> </w:t>
      </w:r>
      <w:proofErr w:type="gramStart"/>
      <w:r w:rsidR="00D123A4">
        <w:t>says</w:t>
      </w:r>
      <w:proofErr w:type="gramEnd"/>
      <w:r w:rsidR="00A62861">
        <w:t xml:space="preserve"> “the transformation rules of logical syntax</w:t>
      </w:r>
      <w:r w:rsidR="00D77F87">
        <w:t>… can be fitted into… such a notion of understanding</w:t>
      </w:r>
      <w:r w:rsidR="00A62861">
        <w:t>” (MS* p.8)</w:t>
      </w:r>
      <w:r w:rsidR="00025C03">
        <w:t>.  (Transformation rules are, in a natural deduction system, the introduction and elimination rules, plus any axioms.)</w:t>
      </w:r>
    </w:p>
    <w:p w14:paraId="60FA98E2" w14:textId="77777777" w:rsidR="00025C03" w:rsidRDefault="00025C03" w:rsidP="007A7806">
      <w:pPr>
        <w:spacing w:line="480" w:lineRule="auto"/>
      </w:pPr>
    </w:p>
    <w:p w14:paraId="56CD57EE" w14:textId="6F37B1A5" w:rsidR="00DE2703" w:rsidRDefault="00D77F87" w:rsidP="00DE2703">
      <w:pPr>
        <w:spacing w:line="480" w:lineRule="auto"/>
      </w:pPr>
      <w:r>
        <w:t xml:space="preserve">I think </w:t>
      </w:r>
      <w:r w:rsidR="00025C03">
        <w:t xml:space="preserve">this </w:t>
      </w:r>
      <w:r>
        <w:t xml:space="preserve">is an over-idealization: the formation and transformation rules that define a language in </w:t>
      </w:r>
      <w:proofErr w:type="spellStart"/>
      <w:r w:rsidR="00DE2703">
        <w:t>Carnap’s</w:t>
      </w:r>
      <w:proofErr w:type="spellEnd"/>
      <w:r w:rsidR="00DE2703">
        <w:t xml:space="preserve"> </w:t>
      </w:r>
      <w:r>
        <w:rPr>
          <w:i/>
        </w:rPr>
        <w:t>Logical Syntax</w:t>
      </w:r>
      <w:r w:rsidR="00DE2703">
        <w:rPr>
          <w:i/>
        </w:rPr>
        <w:t xml:space="preserve"> of Language</w:t>
      </w:r>
      <w:r>
        <w:t xml:space="preserve"> do not suffice for understanding</w:t>
      </w:r>
      <w:r w:rsidR="00025C03">
        <w:t xml:space="preserve">, according </w:t>
      </w:r>
      <w:r w:rsidR="00DE2703">
        <w:t xml:space="preserve">to </w:t>
      </w:r>
      <w:proofErr w:type="spellStart"/>
      <w:r w:rsidR="00DE2703">
        <w:t>Carnap</w:t>
      </w:r>
      <w:proofErr w:type="spellEnd"/>
      <w:r w:rsidR="00DE2703">
        <w:t xml:space="preserve">, even during </w:t>
      </w:r>
      <w:proofErr w:type="spellStart"/>
      <w:r w:rsidR="00DE2703">
        <w:t>Carnap’s</w:t>
      </w:r>
      <w:proofErr w:type="spellEnd"/>
      <w:r w:rsidR="00DE2703">
        <w:t xml:space="preserve"> syntactic phase</w:t>
      </w:r>
      <w:r>
        <w:t>.  Why? Because these ru</w:t>
      </w:r>
      <w:r w:rsidR="00025C03">
        <w:t>les cannot, by themselves,</w:t>
      </w:r>
      <w:r>
        <w:t xml:space="preserve"> avoid what we could call the ‘</w:t>
      </w:r>
      <w:proofErr w:type="spellStart"/>
      <w:r>
        <w:t>teavy</w:t>
      </w:r>
      <w:proofErr w:type="spellEnd"/>
      <w:r>
        <w:t xml:space="preserve"> problem’ </w:t>
      </w:r>
      <w:r w:rsidR="00025C03">
        <w:t xml:space="preserve">(following “Overcoming Metaphysics through the Logical </w:t>
      </w:r>
      <w:r w:rsidR="00803FE7">
        <w:t>Analysis of Language” (1932/1959</w:t>
      </w:r>
      <w:r w:rsidR="00025C03">
        <w:t>, p.64)), or</w:t>
      </w:r>
      <w:r>
        <w:t xml:space="preserve"> the ‘entele</w:t>
      </w:r>
      <w:r w:rsidR="00025C03">
        <w:t>chy problem’ (1934/1937, p.319)</w:t>
      </w:r>
      <w:r w:rsidR="00DE2703">
        <w:t xml:space="preserve">, a problem </w:t>
      </w:r>
      <w:r w:rsidR="003F0252">
        <w:t>that</w:t>
      </w:r>
      <w:r w:rsidR="00DE2703">
        <w:t xml:space="preserve"> prefigures Searle’s Chinese Room argument</w:t>
      </w:r>
      <w:r w:rsidR="00025C03">
        <w:t>.  This</w:t>
      </w:r>
      <w:r>
        <w:t xml:space="preserve"> problem is that merely knowing the formation and transformation rules governing a linguistic expres</w:t>
      </w:r>
      <w:r w:rsidR="00EF385C">
        <w:t>sion does not guarantee that expression has a meaning</w:t>
      </w:r>
      <w:r w:rsidR="00EA3A10">
        <w:t>, for there can be a rule-governed system comprised entirely of meaningless marks or sounds</w:t>
      </w:r>
      <w:r w:rsidR="00AB5E89">
        <w:t>, such as ‘</w:t>
      </w:r>
      <w:proofErr w:type="spellStart"/>
      <w:r w:rsidR="00AB5E89">
        <w:t>teavy</w:t>
      </w:r>
      <w:proofErr w:type="spellEnd"/>
      <w:r w:rsidR="00EA3A10">
        <w:t>.</w:t>
      </w:r>
      <w:r w:rsidR="00AB5E89">
        <w:t>’</w:t>
      </w:r>
      <w:r w:rsidR="00EA3A10">
        <w:t xml:space="preserve">  And </w:t>
      </w:r>
      <w:r w:rsidR="00AB5E89">
        <w:t xml:space="preserve">as </w:t>
      </w:r>
      <w:proofErr w:type="spellStart"/>
      <w:r w:rsidR="00AB5E89">
        <w:t>Creath</w:t>
      </w:r>
      <w:proofErr w:type="spellEnd"/>
      <w:r w:rsidR="00AB5E89">
        <w:t xml:space="preserve"> holds</w:t>
      </w:r>
      <w:r w:rsidR="00EA3A10">
        <w:t>,</w:t>
      </w:r>
      <w:r w:rsidR="00EF385C">
        <w:t xml:space="preserve"> meaningless expressions cannot be understood.</w:t>
      </w:r>
      <w:r w:rsidR="00AB5E89">
        <w:t xml:space="preserve">  </w:t>
      </w:r>
      <w:r w:rsidR="00EA3A10">
        <w:t>Such a “freely floating system” (</w:t>
      </w:r>
      <w:proofErr w:type="spellStart"/>
      <w:r w:rsidR="00EA3A10">
        <w:t>Carnap</w:t>
      </w:r>
      <w:proofErr w:type="spellEnd"/>
      <w:r w:rsidR="00EA3A10">
        <w:t xml:space="preserve"> 1963, 78) </w:t>
      </w:r>
      <w:r w:rsidR="00AB5E89">
        <w:t xml:space="preserve">of formation and transformation rules </w:t>
      </w:r>
      <w:r w:rsidR="00EA3A10">
        <w:t>only become</w:t>
      </w:r>
      <w:r w:rsidR="00025C03">
        <w:t>s</w:t>
      </w:r>
      <w:r w:rsidR="00EA3A10">
        <w:t xml:space="preserve"> meaningful by entering into (non-trivial) logical relationships with meaningful </w:t>
      </w:r>
      <w:r w:rsidR="00025C03">
        <w:t>expressions</w:t>
      </w:r>
      <w:r w:rsidR="00DE2703">
        <w:t>;</w:t>
      </w:r>
      <w:r w:rsidR="0055112F">
        <w:t xml:space="preserve"> </w:t>
      </w:r>
      <w:r w:rsidR="00DE2703">
        <w:t xml:space="preserve">and </w:t>
      </w:r>
      <w:r w:rsidR="0055112F">
        <w:t xml:space="preserve">the paradigm case </w:t>
      </w:r>
      <w:r w:rsidR="00DE2703">
        <w:t xml:space="preserve">of sub-sentential meaningful expressions are </w:t>
      </w:r>
      <w:r w:rsidR="0055112F">
        <w:t>observation</w:t>
      </w:r>
      <w:r w:rsidR="00025C03">
        <w:t>al terms</w:t>
      </w:r>
      <w:r w:rsidR="00EA3A10">
        <w:t>.</w:t>
      </w:r>
      <w:r w:rsidR="002F47B6">
        <w:t xml:space="preserve">  </w:t>
      </w:r>
      <w:r w:rsidR="00497D5D">
        <w:t xml:space="preserve">Even in </w:t>
      </w:r>
      <w:r w:rsidR="00497D5D">
        <w:rPr>
          <w:i/>
        </w:rPr>
        <w:t>Logical Syntax</w:t>
      </w:r>
      <w:r w:rsidR="00497D5D">
        <w:t xml:space="preserve">, </w:t>
      </w:r>
      <w:proofErr w:type="spellStart"/>
      <w:r w:rsidR="00497D5D">
        <w:t>Carnap</w:t>
      </w:r>
      <w:proofErr w:type="spellEnd"/>
      <w:r w:rsidR="00497D5D">
        <w:t xml:space="preserve"> holds that mathematical expressions </w:t>
      </w:r>
      <w:r w:rsidR="00025C03">
        <w:t>become</w:t>
      </w:r>
      <w:r w:rsidR="00497D5D">
        <w:t xml:space="preserve"> genui</w:t>
      </w:r>
      <w:r w:rsidR="002F47B6">
        <w:t>nely meaningful</w:t>
      </w:r>
      <w:r w:rsidR="00497D5D">
        <w:t xml:space="preserve"> in</w:t>
      </w:r>
      <w:r w:rsidR="00C90AFA">
        <w:t xml:space="preserve">stead of empty formalism </w:t>
      </w:r>
      <w:r w:rsidR="00025C03">
        <w:t>by</w:t>
      </w:r>
      <w:r w:rsidR="00C90AFA">
        <w:t xml:space="preserve"> </w:t>
      </w:r>
      <w:r w:rsidR="002F47B6">
        <w:t>stand</w:t>
      </w:r>
      <w:r w:rsidR="00025C03">
        <w:t>ing</w:t>
      </w:r>
      <w:r w:rsidR="002F47B6">
        <w:t xml:space="preserve"> in</w:t>
      </w:r>
      <w:r w:rsidR="00497D5D">
        <w:t xml:space="preserve"> inferential relationships with </w:t>
      </w:r>
      <w:r w:rsidR="002F47B6">
        <w:t xml:space="preserve">the rest of our language, which includes empirical claims: “the meaning of the mathematical symbols is established… by </w:t>
      </w:r>
      <w:r w:rsidR="002F47B6">
        <w:rPr>
          <w:i/>
        </w:rPr>
        <w:t>the inclusion of the mathematical calculus in the total language</w:t>
      </w:r>
      <w:r w:rsidR="002F47B6">
        <w:t>” (1934/1937, p.326-327)</w:t>
      </w:r>
      <w:r w:rsidR="00025C03">
        <w:t>, where ‘the total language’ includes everyday and scientific vocabularies</w:t>
      </w:r>
      <w:r w:rsidR="002F47B6">
        <w:t xml:space="preserve">.  </w:t>
      </w:r>
    </w:p>
    <w:p w14:paraId="5B654062" w14:textId="77777777" w:rsidR="00DE2703" w:rsidRDefault="00DE2703" w:rsidP="00DE2703">
      <w:pPr>
        <w:spacing w:line="480" w:lineRule="auto"/>
      </w:pPr>
    </w:p>
    <w:p w14:paraId="261BA63D" w14:textId="6E835832" w:rsidR="00DE2703" w:rsidRDefault="00DE2703" w:rsidP="00DE2703">
      <w:pPr>
        <w:spacing w:line="480" w:lineRule="auto"/>
      </w:pPr>
      <w:r>
        <w:t xml:space="preserve">One might think that switching from syntactic to semantic characterizations of language could solve this problem for treating understanding as knowing an expression’s place in a system of rules.   I do not think so.  When </w:t>
      </w:r>
      <w:proofErr w:type="spellStart"/>
      <w:r>
        <w:t>Carnap</w:t>
      </w:r>
      <w:proofErr w:type="spellEnd"/>
      <w:r>
        <w:t xml:space="preserve"> specifies a language via semantic rules instead of only syntactic (formation and transformation) ones, this specification always presupposes an antecedently understood </w:t>
      </w:r>
      <w:proofErr w:type="spellStart"/>
      <w:r>
        <w:t>metalanguage</w:t>
      </w:r>
      <w:proofErr w:type="spellEnd"/>
      <w:r>
        <w:t>, into which the object language expressions are translated (</w:t>
      </w:r>
      <w:r>
        <w:rPr>
          <w:i/>
        </w:rPr>
        <w:t>Foundations of Logic and Mathematics</w:t>
      </w:r>
      <w:r>
        <w:t xml:space="preserve"> and </w:t>
      </w:r>
      <w:r>
        <w:rPr>
          <w:i/>
        </w:rPr>
        <w:t>Introduction to Semantics</w:t>
      </w:r>
      <w:r w:rsidR="00A60F7F">
        <w:t xml:space="preserve"> are</w:t>
      </w:r>
      <w:r>
        <w:t xml:space="preserve"> examples of this).  So also in the case of semantic rules, there is an originally understood language, in which the rules characterizing the object language are stated—but we cannot use </w:t>
      </w:r>
      <w:proofErr w:type="spellStart"/>
      <w:r>
        <w:t>Creath’s</w:t>
      </w:r>
      <w:proofErr w:type="spellEnd"/>
      <w:r>
        <w:t xml:space="preserve"> ‘system-of-rules’ proposal to capture what makes that originally understood language understandable, since we can imagine a situation where both the object language and the </w:t>
      </w:r>
      <w:proofErr w:type="spellStart"/>
      <w:r>
        <w:t>metalanguage</w:t>
      </w:r>
      <w:proofErr w:type="spellEnd"/>
      <w:r>
        <w:t xml:space="preserve"> are </w:t>
      </w:r>
      <w:proofErr w:type="spellStart"/>
      <w:r>
        <w:t>teavy</w:t>
      </w:r>
      <w:proofErr w:type="spellEnd"/>
      <w:r>
        <w:t>-like.  In such a case, the semantic rules would not yield understanding.</w:t>
      </w:r>
    </w:p>
    <w:p w14:paraId="6750AB7A" w14:textId="77777777" w:rsidR="0028177E" w:rsidRDefault="0028177E" w:rsidP="007A7806">
      <w:pPr>
        <w:spacing w:line="480" w:lineRule="auto"/>
      </w:pPr>
    </w:p>
    <w:p w14:paraId="3D85CAE1" w14:textId="3FDB62BC" w:rsidR="00086B27" w:rsidRDefault="00DE2703" w:rsidP="007A7806">
      <w:pPr>
        <w:spacing w:line="480" w:lineRule="auto"/>
      </w:pPr>
      <w:r>
        <w:t>Consider</w:t>
      </w:r>
      <w:r w:rsidR="00086B27">
        <w:t xml:space="preserve"> further</w:t>
      </w:r>
      <w:r w:rsidR="00AB5E89">
        <w:t xml:space="preserve"> evidence that </w:t>
      </w:r>
      <w:r>
        <w:t xml:space="preserve">even </w:t>
      </w:r>
      <w:r>
        <w:rPr>
          <w:i/>
        </w:rPr>
        <w:t>Syntax</w:t>
      </w:r>
      <w:r>
        <w:t>-era</w:t>
      </w:r>
      <w:r>
        <w:rPr>
          <w:i/>
        </w:rPr>
        <w:t xml:space="preserve"> </w:t>
      </w:r>
      <w:proofErr w:type="spellStart"/>
      <w:r>
        <w:t>Carnap</w:t>
      </w:r>
      <w:proofErr w:type="spellEnd"/>
      <w:r>
        <w:t xml:space="preserve"> </w:t>
      </w:r>
      <w:r w:rsidR="002F47B6">
        <w:t>think</w:t>
      </w:r>
      <w:r>
        <w:t>s</w:t>
      </w:r>
      <w:r w:rsidR="002F47B6">
        <w:t xml:space="preserve"> the formal rules alone </w:t>
      </w:r>
      <w:r>
        <w:t>are insufficient</w:t>
      </w:r>
      <w:r w:rsidR="002F47B6">
        <w:t xml:space="preserve"> for understanding: “When only the formal rules of a language… are known, then, although it is possible to answer syntactical questions concerning it… it is not possible to use it</w:t>
      </w:r>
      <w:r w:rsidR="00086B27">
        <w:t xml:space="preserve"> as a language of communication</w:t>
      </w:r>
      <w:r w:rsidR="002F47B6">
        <w:t>” (1934/1937, p.227).  And presumably, if a ‘language’ cannot be used for communication,</w:t>
      </w:r>
      <w:r w:rsidR="00AB5E89">
        <w:t xml:space="preserve"> then it is not understandable, </w:t>
      </w:r>
      <w:r w:rsidR="002F47B6">
        <w:t>since what a hearer understands is what the s</w:t>
      </w:r>
      <w:r w:rsidR="00AB5E89">
        <w:t>peaker is trying to communicate</w:t>
      </w:r>
      <w:r w:rsidR="002F47B6">
        <w:t>.</w:t>
      </w:r>
      <w:r w:rsidR="00AE512E">
        <w:t xml:space="preserve">  </w:t>
      </w:r>
    </w:p>
    <w:p w14:paraId="20B1F780" w14:textId="77777777" w:rsidR="0028177E" w:rsidRDefault="0028177E" w:rsidP="007A7806">
      <w:pPr>
        <w:spacing w:line="480" w:lineRule="auto"/>
      </w:pPr>
    </w:p>
    <w:p w14:paraId="4F8EB22E" w14:textId="0327159B" w:rsidR="006F3D0E" w:rsidRDefault="00AE512E" w:rsidP="007A7806">
      <w:pPr>
        <w:spacing w:line="480" w:lineRule="auto"/>
      </w:pPr>
      <w:r>
        <w:t xml:space="preserve">In sum, </w:t>
      </w:r>
      <w:proofErr w:type="spellStart"/>
      <w:r>
        <w:t>Creath’s</w:t>
      </w:r>
      <w:proofErr w:type="spellEnd"/>
      <w:r>
        <w:t xml:space="preserve"> proposal that understanding is knowing a role in a system of rules needs to be restricted: th</w:t>
      </w:r>
      <w:r w:rsidR="005E1666">
        <w:t>e system of rules must include some</w:t>
      </w:r>
      <w:r>
        <w:t xml:space="preserve"> </w:t>
      </w:r>
      <w:r w:rsidRPr="005E1666">
        <w:t>understandable</w:t>
      </w:r>
      <w:r w:rsidR="005E1666">
        <w:t xml:space="preserve"> (and thus meaningful)</w:t>
      </w:r>
      <w:r>
        <w:t xml:space="preserve"> expressions.  So a set of formation and transformation rules does not guarantee understandability</w:t>
      </w:r>
      <w:r w:rsidR="005E1666">
        <w:t xml:space="preserve">, and neither would a set of semantic rules stated in a </w:t>
      </w:r>
      <w:proofErr w:type="spellStart"/>
      <w:r w:rsidR="005E1666">
        <w:t>metalanguage</w:t>
      </w:r>
      <w:proofErr w:type="spellEnd"/>
      <w:r w:rsidR="005E1666">
        <w:t xml:space="preserve"> that was not antecedently understood</w:t>
      </w:r>
      <w:r>
        <w:t xml:space="preserve">.  We need some ‘originally’ meaningful, understandable expressions </w:t>
      </w:r>
      <w:r w:rsidR="00086B27">
        <w:t>somewhere</w:t>
      </w:r>
      <w:r>
        <w:t xml:space="preserve">—and this proposal </w:t>
      </w:r>
      <w:r w:rsidR="005E1666">
        <w:t xml:space="preserve">does not provide a way </w:t>
      </w:r>
      <w:r w:rsidR="00086B27">
        <w:t>to determine whether any of</w:t>
      </w:r>
      <w:r>
        <w:t xml:space="preserve"> those originals</w:t>
      </w:r>
      <w:r w:rsidR="00086B27">
        <w:t xml:space="preserve"> are present</w:t>
      </w:r>
      <w:r>
        <w:t>.</w:t>
      </w:r>
    </w:p>
    <w:p w14:paraId="56B36D2F" w14:textId="77777777" w:rsidR="00AE512E" w:rsidRDefault="00AE512E" w:rsidP="007A7806">
      <w:pPr>
        <w:spacing w:line="480" w:lineRule="auto"/>
      </w:pPr>
    </w:p>
    <w:p w14:paraId="41567A4B" w14:textId="31E69F6F" w:rsidR="00AE512E" w:rsidRDefault="00CF380F" w:rsidP="007A7806">
      <w:pPr>
        <w:spacing w:line="480" w:lineRule="auto"/>
      </w:pPr>
      <w:r>
        <w:t xml:space="preserve">Finally, </w:t>
      </w:r>
      <w:r w:rsidR="00AE512E">
        <w:t>I think this</w:t>
      </w:r>
      <w:r w:rsidR="005E1666">
        <w:t xml:space="preserve"> also</w:t>
      </w:r>
      <w:r w:rsidR="00AE512E">
        <w:t xml:space="preserve"> matters for </w:t>
      </w:r>
      <w:proofErr w:type="spellStart"/>
      <w:r w:rsidR="00AE512E">
        <w:t>Cr</w:t>
      </w:r>
      <w:r w:rsidR="0028177E">
        <w:t>eath’s</w:t>
      </w:r>
      <w:proofErr w:type="spellEnd"/>
      <w:r w:rsidR="0028177E">
        <w:t xml:space="preserve"> </w:t>
      </w:r>
      <w:r>
        <w:t xml:space="preserve">closing </w:t>
      </w:r>
      <w:r w:rsidR="0028177E">
        <w:t>historiographical point.</w:t>
      </w:r>
      <w:r w:rsidR="00AE512E">
        <w:t xml:space="preserve"> </w:t>
      </w:r>
      <w:r w:rsidR="0028177E">
        <w:t xml:space="preserve"> If all that is necessary to understand a historical figure is </w:t>
      </w:r>
      <w:r>
        <w:t xml:space="preserve">knowing </w:t>
      </w:r>
      <w:r w:rsidR="0028177E">
        <w:t xml:space="preserve">how each ‘foreign’ historical term is inferentially related to all the other historical terms, then historians can fall prey to an </w:t>
      </w:r>
      <w:r w:rsidR="0028177E" w:rsidRPr="0028177E">
        <w:rPr>
          <w:i/>
        </w:rPr>
        <w:t>illusion</w:t>
      </w:r>
      <w:r w:rsidR="0028177E">
        <w:t xml:space="preserve"> of understanding.  That is, t</w:t>
      </w:r>
      <w:r w:rsidR="00AB5E89">
        <w:t>hey can deceive themselves (and</w:t>
      </w:r>
      <w:r w:rsidR="0028177E">
        <w:t xml:space="preserve"> others) into believing they understand a historical text, </w:t>
      </w:r>
      <w:r w:rsidR="005E1666">
        <w:t>when they</w:t>
      </w:r>
      <w:r>
        <w:t xml:space="preserve"> are actually merely inferentially connecting a set of ‘</w:t>
      </w:r>
      <w:proofErr w:type="spellStart"/>
      <w:r>
        <w:t>teavy</w:t>
      </w:r>
      <w:proofErr w:type="spellEnd"/>
      <w:r>
        <w:t>’-like</w:t>
      </w:r>
      <w:r w:rsidR="005E1666">
        <w:t xml:space="preserve"> (for us moderns)</w:t>
      </w:r>
      <w:r>
        <w:t xml:space="preserve"> </w:t>
      </w:r>
      <w:r w:rsidR="005E1666">
        <w:t xml:space="preserve">historical </w:t>
      </w:r>
      <w:r>
        <w:t>expressions</w:t>
      </w:r>
      <w:r w:rsidR="0028177E">
        <w:t xml:space="preserve"> the historical authors used.  </w:t>
      </w:r>
    </w:p>
    <w:p w14:paraId="768C9BF7" w14:textId="77777777" w:rsidR="0028177E" w:rsidRDefault="0028177E" w:rsidP="007A7806">
      <w:pPr>
        <w:spacing w:line="480" w:lineRule="auto"/>
      </w:pPr>
    </w:p>
    <w:p w14:paraId="777F20D0" w14:textId="77777777" w:rsidR="005E1666" w:rsidRDefault="005E1666" w:rsidP="007A7806">
      <w:pPr>
        <w:spacing w:line="480" w:lineRule="auto"/>
      </w:pPr>
    </w:p>
    <w:p w14:paraId="0B485C87" w14:textId="1C91B7EA" w:rsidR="0028177E" w:rsidRDefault="0028177E" w:rsidP="007A7806">
      <w:pPr>
        <w:spacing w:line="480" w:lineRule="auto"/>
      </w:pPr>
      <w:r>
        <w:rPr>
          <w:b/>
        </w:rPr>
        <w:t>3. Ebbs, “</w:t>
      </w:r>
      <w:proofErr w:type="spellStart"/>
      <w:r>
        <w:rPr>
          <w:b/>
        </w:rPr>
        <w:t>Quine’s</w:t>
      </w:r>
      <w:proofErr w:type="spellEnd"/>
      <w:r>
        <w:rPr>
          <w:b/>
        </w:rPr>
        <w:t xml:space="preserve"> ‘Predilection’ for </w:t>
      </w:r>
      <w:proofErr w:type="spellStart"/>
      <w:r>
        <w:rPr>
          <w:b/>
        </w:rPr>
        <w:t>Finitism</w:t>
      </w:r>
      <w:proofErr w:type="spellEnd"/>
      <w:r>
        <w:rPr>
          <w:b/>
        </w:rPr>
        <w:t>”</w:t>
      </w:r>
    </w:p>
    <w:p w14:paraId="1D4957C3" w14:textId="77777777" w:rsidR="0028177E" w:rsidRDefault="0028177E" w:rsidP="007A7806">
      <w:pPr>
        <w:spacing w:line="480" w:lineRule="auto"/>
      </w:pPr>
    </w:p>
    <w:p w14:paraId="52953627" w14:textId="029CBDFC" w:rsidR="0067519F" w:rsidRDefault="0028177E" w:rsidP="007A7806">
      <w:pPr>
        <w:spacing w:line="480" w:lineRule="auto"/>
      </w:pPr>
      <w:r>
        <w:t>Gary Eb</w:t>
      </w:r>
      <w:r w:rsidR="00B54F4B">
        <w:t>bs’</w:t>
      </w:r>
      <w:r w:rsidR="00CF380F">
        <w:t xml:space="preserve"> contribution also</w:t>
      </w:r>
      <w:r>
        <w:t xml:space="preserve"> aims to help </w:t>
      </w:r>
      <w:r w:rsidR="00CF380F">
        <w:t>us grasp</w:t>
      </w:r>
      <w:r>
        <w:t xml:space="preserve"> the notion of intelligibility</w:t>
      </w:r>
      <w:r w:rsidR="00CF380F">
        <w:t xml:space="preserve"> in play in the Harvard conversations</w:t>
      </w:r>
      <w:r>
        <w:t xml:space="preserve">, </w:t>
      </w:r>
      <w:r w:rsidR="0067519F">
        <w:t xml:space="preserve">focusing on </w:t>
      </w:r>
      <w:proofErr w:type="spellStart"/>
      <w:r w:rsidR="0067519F">
        <w:t>Quine’s</w:t>
      </w:r>
      <w:proofErr w:type="spellEnd"/>
      <w:r w:rsidR="0067519F">
        <w:t xml:space="preserve"> conception of it.  For </w:t>
      </w:r>
      <w:proofErr w:type="spellStart"/>
      <w:r w:rsidR="0067519F">
        <w:t>Quin</w:t>
      </w:r>
      <w:r w:rsidR="00DB738C">
        <w:t>e</w:t>
      </w:r>
      <w:proofErr w:type="spellEnd"/>
      <w:r w:rsidR="00DB738C">
        <w:t xml:space="preserve">, ‘intelligible’ appears </w:t>
      </w:r>
      <w:r w:rsidR="0067519F">
        <w:t>roughly equivalen</w:t>
      </w:r>
      <w:r w:rsidR="00DB738C">
        <w:t xml:space="preserve">t to ‘clear,’ as shown by a 1947 </w:t>
      </w:r>
      <w:r w:rsidR="005E1666">
        <w:t>letter</w:t>
      </w:r>
      <w:r w:rsidR="0067519F">
        <w:t xml:space="preserve"> Ebbs cites: “In my own predilection for an exclusively concrete ontology, there is something which does not reduce in any obvious way to considerations of mere convenience; viz., some vague but seemingly ultimate standard of intelligibility o</w:t>
      </w:r>
      <w:r w:rsidR="005E1666">
        <w:t>r clarity” (</w:t>
      </w:r>
      <w:proofErr w:type="spellStart"/>
      <w:r w:rsidR="005E1666">
        <w:t>Creath</w:t>
      </w:r>
      <w:proofErr w:type="spellEnd"/>
      <w:r w:rsidR="005E1666">
        <w:t xml:space="preserve"> 1990, 410).  </w:t>
      </w:r>
      <w:r w:rsidR="00B54F4B">
        <w:t>The heart of Ebbs’</w:t>
      </w:r>
      <w:r w:rsidR="00DB738C">
        <w:t xml:space="preserve"> </w:t>
      </w:r>
      <w:r w:rsidR="0067519F">
        <w:t>interpre</w:t>
      </w:r>
      <w:r w:rsidR="00DB738C">
        <w:t>tation of</w:t>
      </w:r>
      <w:r w:rsidR="0067519F">
        <w:t xml:space="preserve"> </w:t>
      </w:r>
      <w:proofErr w:type="spellStart"/>
      <w:r w:rsidR="0067519F">
        <w:t>Quine’s</w:t>
      </w:r>
      <w:proofErr w:type="spellEnd"/>
      <w:r w:rsidR="0067519F">
        <w:t xml:space="preserve"> conception of intelligibility is this: to say that a </w:t>
      </w:r>
      <w:r w:rsidR="00DB738C">
        <w:t>FN</w:t>
      </w:r>
      <w:r w:rsidR="0067519F">
        <w:t xml:space="preserve"> ontology is clearer or more intelligible than other ontologies </w:t>
      </w:r>
      <w:r w:rsidR="00AF0451">
        <w:t>means that</w:t>
      </w:r>
      <w:r w:rsidR="00DB738C">
        <w:t xml:space="preserve"> that a FN</w:t>
      </w:r>
      <w:r w:rsidR="0067519F">
        <w:t xml:space="preserve"> ontology is </w:t>
      </w:r>
      <w:r w:rsidR="0067519F">
        <w:rPr>
          <w:i/>
        </w:rPr>
        <w:t>closer to common sense</w:t>
      </w:r>
      <w:r w:rsidR="0067519F">
        <w:t xml:space="preserve"> than other ontologies (and thus more explanatory).</w:t>
      </w:r>
      <w:r w:rsidR="005D7B98">
        <w:t xml:space="preserve"> </w:t>
      </w:r>
      <w:r w:rsidR="00DB738C">
        <w:t xml:space="preserve">In </w:t>
      </w:r>
      <w:r w:rsidR="005D7B98">
        <w:t>Ebbs</w:t>
      </w:r>
      <w:r w:rsidR="00DB738C">
        <w:t>’ words:</w:t>
      </w:r>
      <w:r w:rsidR="005D7B98">
        <w:t xml:space="preserve"> “</w:t>
      </w:r>
      <w:proofErr w:type="spellStart"/>
      <w:r w:rsidR="005D7B98">
        <w:t>Quine</w:t>
      </w:r>
      <w:proofErr w:type="spellEnd"/>
      <w:r w:rsidR="005D7B98">
        <w:t xml:space="preserve"> views this ‘seemingly ultimate standard’ as of a piece with ‘controls of common sense’ that are integral to scienti</w:t>
      </w:r>
      <w:r w:rsidR="00DB738C">
        <w:t xml:space="preserve">fic method” (MS* p.5).  </w:t>
      </w:r>
      <w:r w:rsidR="00B54F4B">
        <w:t>Ebbs’</w:t>
      </w:r>
      <w:r w:rsidR="005D7B98">
        <w:t xml:space="preserve"> proposal </w:t>
      </w:r>
      <w:r w:rsidR="00DB738C">
        <w:t xml:space="preserve">is </w:t>
      </w:r>
      <w:r w:rsidR="00B54F4B">
        <w:t xml:space="preserve">innovative and </w:t>
      </w:r>
      <w:r w:rsidR="005D7B98">
        <w:t xml:space="preserve">well worth pursuing, especially since intelligibility is such a crucial </w:t>
      </w:r>
      <w:r w:rsidR="00DB738C">
        <w:t xml:space="preserve">yet under-theorized </w:t>
      </w:r>
      <w:r w:rsidR="005D7B98">
        <w:t>concept in these 1940-41 discussio</w:t>
      </w:r>
      <w:r w:rsidR="00AB5E89">
        <w:t>ns.  In what follows, I raise two</w:t>
      </w:r>
      <w:r w:rsidR="005D7B98">
        <w:t xml:space="preserve"> concerns </w:t>
      </w:r>
      <w:r w:rsidR="00AB5E89">
        <w:t>for</w:t>
      </w:r>
      <w:r w:rsidR="005D7B98">
        <w:t xml:space="preserve"> this interpretation of </w:t>
      </w:r>
      <w:proofErr w:type="spellStart"/>
      <w:r w:rsidR="005D7B98">
        <w:t>Quinean</w:t>
      </w:r>
      <w:proofErr w:type="spellEnd"/>
      <w:r w:rsidR="005D7B98">
        <w:t xml:space="preserve"> intellig</w:t>
      </w:r>
      <w:r w:rsidR="00AF0451">
        <w:t>ibility.</w:t>
      </w:r>
    </w:p>
    <w:p w14:paraId="278D9DE1" w14:textId="77777777" w:rsidR="00AF0451" w:rsidRDefault="00AF0451" w:rsidP="007A7806">
      <w:pPr>
        <w:spacing w:line="480" w:lineRule="auto"/>
      </w:pPr>
    </w:p>
    <w:p w14:paraId="7EEE787B" w14:textId="47D134BB" w:rsidR="00AF0451" w:rsidRDefault="00AF0451" w:rsidP="007A7806">
      <w:pPr>
        <w:spacing w:line="480" w:lineRule="auto"/>
      </w:pPr>
      <w:r>
        <w:t xml:space="preserve">First, a quotation from “Two Dogmas” that Ebbs cites (MS* p.3) </w:t>
      </w:r>
      <w:r w:rsidR="0030409A">
        <w:t>appears</w:t>
      </w:r>
      <w:r>
        <w:t xml:space="preserve"> to be evidence against the claim that the austerity of the FN conditions are closer to common sense.  </w:t>
      </w:r>
      <w:proofErr w:type="spellStart"/>
      <w:r w:rsidR="0030409A">
        <w:t>Quine</w:t>
      </w:r>
      <w:proofErr w:type="spellEnd"/>
      <w:r w:rsidR="0030409A">
        <w:t xml:space="preserve"> says that “[</w:t>
      </w:r>
      <w:proofErr w:type="gramStart"/>
      <w:r w:rsidR="0030409A">
        <w:t>s]</w:t>
      </w:r>
      <w:proofErr w:type="spellStart"/>
      <w:r>
        <w:t>cience</w:t>
      </w:r>
      <w:proofErr w:type="spellEnd"/>
      <w:proofErr w:type="gramEnd"/>
      <w:r>
        <w:t xml:space="preserve"> is a continuation of common sense, and it continues the </w:t>
      </w:r>
      <w:r w:rsidRPr="00AF0451">
        <w:rPr>
          <w:i/>
        </w:rPr>
        <w:t>common-sense expedient of swelling ontology</w:t>
      </w:r>
      <w:r>
        <w:t xml:space="preserve"> to simplify theory” (1953, 45; my emphasis).</w:t>
      </w:r>
      <w:r w:rsidR="002B3173">
        <w:t xml:space="preserve">  The emphasized text suggests </w:t>
      </w:r>
      <w:r w:rsidR="00AE3C35">
        <w:t xml:space="preserve">that </w:t>
      </w:r>
      <w:proofErr w:type="spellStart"/>
      <w:r w:rsidR="00AE3C35">
        <w:t>Quine</w:t>
      </w:r>
      <w:proofErr w:type="spellEnd"/>
      <w:r w:rsidR="00AE3C35">
        <w:t xml:space="preserve"> does not think common sense favor</w:t>
      </w:r>
      <w:r w:rsidR="0030409A">
        <w:t>s the</w:t>
      </w:r>
      <w:r w:rsidR="00AE3C35">
        <w:t xml:space="preserve"> sparse </w:t>
      </w:r>
      <w:r w:rsidR="0030409A">
        <w:t xml:space="preserve">FN </w:t>
      </w:r>
      <w:r w:rsidR="00AE3C35">
        <w:t>ontology</w:t>
      </w:r>
      <w:r w:rsidR="00BF0D2F">
        <w:t>, since avoiding the c</w:t>
      </w:r>
      <w:r w:rsidR="0030409A">
        <w:t>omplications created by FN</w:t>
      </w:r>
      <w:r w:rsidR="00BF0D2F">
        <w:t xml:space="preserve"> strictures is a major motivation for </w:t>
      </w:r>
      <w:r w:rsidR="005E1666">
        <w:t xml:space="preserve">the ‘swollen ontology’ of </w:t>
      </w:r>
      <w:r w:rsidR="00BF0D2F">
        <w:t>classical mathematics</w:t>
      </w:r>
      <w:r w:rsidR="0030409A">
        <w:t xml:space="preserve"> over </w:t>
      </w:r>
      <w:proofErr w:type="spellStart"/>
      <w:r w:rsidR="0030409A">
        <w:t>f</w:t>
      </w:r>
      <w:r w:rsidR="005373F3">
        <w:t>initist</w:t>
      </w:r>
      <w:proofErr w:type="spellEnd"/>
      <w:r w:rsidR="005373F3">
        <w:t xml:space="preserve">-nominalist mathematics </w:t>
      </w:r>
      <w:r w:rsidR="0030409A">
        <w:t>(1976, 261).</w:t>
      </w:r>
      <w:r w:rsidR="005373F3">
        <w:t xml:space="preserve">  </w:t>
      </w:r>
      <w:proofErr w:type="spellStart"/>
      <w:r w:rsidR="00A94039">
        <w:t>Quine</w:t>
      </w:r>
      <w:proofErr w:type="spellEnd"/>
      <w:r w:rsidR="00A94039">
        <w:t xml:space="preserve"> </w:t>
      </w:r>
      <w:r w:rsidR="002543D2">
        <w:t>distinguishes</w:t>
      </w:r>
      <w:r w:rsidR="00A94039">
        <w:t xml:space="preserve"> theoretical and ontological simplicity (1960, 243); nominalism is somewhat ontologically simpler than realism about classes, but it i</w:t>
      </w:r>
      <w:r w:rsidR="002543D2">
        <w:t xml:space="preserve">s </w:t>
      </w:r>
      <w:r w:rsidR="005E1666">
        <w:t>much more</w:t>
      </w:r>
      <w:r w:rsidR="002543D2">
        <w:t xml:space="preserve"> theoretically </w:t>
      </w:r>
      <w:r w:rsidR="005E1666">
        <w:t>complicated</w:t>
      </w:r>
      <w:r w:rsidR="00A94039">
        <w:t>.</w:t>
      </w:r>
      <w:r w:rsidR="00A94039">
        <w:rPr>
          <w:rStyle w:val="FootnoteReference"/>
        </w:rPr>
        <w:footnoteReference w:id="1"/>
      </w:r>
      <w:r w:rsidR="005E1666">
        <w:t xml:space="preserve">   Additionally, one might hesitate in saying that </w:t>
      </w:r>
      <w:proofErr w:type="spellStart"/>
      <w:r w:rsidR="005E1666">
        <w:t>Quine</w:t>
      </w:r>
      <w:proofErr w:type="spellEnd"/>
      <w:r w:rsidR="005E1666">
        <w:t xml:space="preserve"> held that common sense favors any ontology, since that </w:t>
      </w:r>
      <w:proofErr w:type="spellStart"/>
      <w:r w:rsidR="005E1666">
        <w:t>Quine</w:t>
      </w:r>
      <w:proofErr w:type="spellEnd"/>
      <w:r w:rsidR="005E1666">
        <w:t xml:space="preserve"> claims that rarified ontological doctrines are not part of common sense.  “Ontological concern is not a correction of lay thought and practice; it is foreign to the lay culture” (1981, p.9). </w:t>
      </w:r>
    </w:p>
    <w:p w14:paraId="21275D86" w14:textId="77777777" w:rsidR="00BF0D2F" w:rsidRDefault="00BF0D2F" w:rsidP="007A7806">
      <w:pPr>
        <w:spacing w:line="480" w:lineRule="auto"/>
      </w:pPr>
    </w:p>
    <w:p w14:paraId="19E6A163" w14:textId="511681B8" w:rsidR="00C87390" w:rsidRDefault="005E1666" w:rsidP="007A7806">
      <w:pPr>
        <w:spacing w:line="480" w:lineRule="auto"/>
      </w:pPr>
      <w:r>
        <w:t xml:space="preserve">Here is the second concern.  </w:t>
      </w:r>
      <w:r w:rsidR="00C87390">
        <w:t xml:space="preserve">Ebbs presents </w:t>
      </w:r>
      <w:proofErr w:type="spellStart"/>
      <w:r w:rsidR="00C87390">
        <w:t>Quine</w:t>
      </w:r>
      <w:proofErr w:type="spellEnd"/>
      <w:r w:rsidR="00C87390">
        <w:t xml:space="preserve"> as </w:t>
      </w:r>
      <w:r w:rsidR="003652AF">
        <w:t>holding that</w:t>
      </w:r>
      <w:r w:rsidR="00C87390">
        <w:t xml:space="preserve"> all inquiry (including </w:t>
      </w:r>
      <w:proofErr w:type="spellStart"/>
      <w:r w:rsidR="00C87390">
        <w:t>Quine’s</w:t>
      </w:r>
      <w:proofErr w:type="spellEnd"/>
      <w:r w:rsidR="00C87390">
        <w:t xml:space="preserve"> own inquiry into nominalism) as pursuing two </w:t>
      </w:r>
      <w:r w:rsidR="00A94039">
        <w:t>distinct</w:t>
      </w:r>
      <w:r w:rsidR="00C87390">
        <w:t xml:space="preserve"> goals: (1) economy and (2) adherence to the cont</w:t>
      </w:r>
      <w:r>
        <w:t>rols of common sense (MS* p.3).  But</w:t>
      </w:r>
      <w:r w:rsidR="00910E15">
        <w:t xml:space="preserve"> is common sense</w:t>
      </w:r>
      <w:r w:rsidR="00E271ED">
        <w:t xml:space="preserve"> a separate criterion, over and above the theoretical criteria of economy </w:t>
      </w:r>
      <w:r w:rsidR="00AA2883">
        <w:t>(</w:t>
      </w:r>
      <w:r w:rsidR="00E271ED">
        <w:t xml:space="preserve">and </w:t>
      </w:r>
      <w:r w:rsidR="00AA2883">
        <w:t>other theoretical virtues</w:t>
      </w:r>
      <w:r w:rsidR="00E271ED">
        <w:t xml:space="preserve">)?  Or can the facts </w:t>
      </w:r>
      <w:r>
        <w:t xml:space="preserve">about </w:t>
      </w:r>
      <w:proofErr w:type="spellStart"/>
      <w:r>
        <w:t>Quine’s</w:t>
      </w:r>
      <w:proofErr w:type="spellEnd"/>
      <w:r>
        <w:t xml:space="preserve"> texts</w:t>
      </w:r>
      <w:r w:rsidR="00E271ED">
        <w:t xml:space="preserve"> that Ebbs explains via appeal to common sense </w:t>
      </w:r>
      <w:r w:rsidR="00910E15">
        <w:t xml:space="preserve">instead </w:t>
      </w:r>
      <w:r w:rsidR="00E271ED">
        <w:t>be explained via simplicity</w:t>
      </w:r>
      <w:r w:rsidR="00680B84">
        <w:t xml:space="preserve"> (and other theoretical virtues</w:t>
      </w:r>
      <w:r w:rsidR="00A60F7F">
        <w:rPr>
          <w:rStyle w:val="FootnoteReference"/>
        </w:rPr>
        <w:footnoteReference w:id="2"/>
      </w:r>
      <w:r w:rsidR="00680B84">
        <w:t>)</w:t>
      </w:r>
      <w:r w:rsidR="00910E15">
        <w:t xml:space="preserve"> alone</w:t>
      </w:r>
      <w:r>
        <w:t>, without positing a separate criterion of common-</w:t>
      </w:r>
      <w:proofErr w:type="spellStart"/>
      <w:r>
        <w:t>sensicality</w:t>
      </w:r>
      <w:proofErr w:type="spellEnd"/>
      <w:r w:rsidR="00E271ED">
        <w:t xml:space="preserve">?  </w:t>
      </w:r>
      <w:r w:rsidR="00887EA8">
        <w:t xml:space="preserve">I will </w:t>
      </w:r>
      <w:r w:rsidR="00D1405B">
        <w:t>give three reasons in favor of</w:t>
      </w:r>
      <w:r w:rsidR="00887EA8">
        <w:t xml:space="preserve"> the latter option. </w:t>
      </w:r>
      <w:r w:rsidR="00E271ED">
        <w:t xml:space="preserve">First, as we saw in the quotation from “Two Dogmas” above, </w:t>
      </w:r>
      <w:proofErr w:type="spellStart"/>
      <w:r w:rsidR="006143E1">
        <w:t>Quine</w:t>
      </w:r>
      <w:proofErr w:type="spellEnd"/>
      <w:r w:rsidR="006143E1">
        <w:t xml:space="preserve"> elaborates upon his assertion that ‘science is a continuation of common sense’ by explaining that common sense aims ‘to </w:t>
      </w:r>
      <w:r w:rsidR="006143E1">
        <w:rPr>
          <w:i/>
        </w:rPr>
        <w:t xml:space="preserve">simplify </w:t>
      </w:r>
      <w:r w:rsidR="006143E1">
        <w:t>theory.’  So the drive to simplify is part of common s</w:t>
      </w:r>
      <w:r w:rsidR="00887EA8">
        <w:t>ense here</w:t>
      </w:r>
      <w:r w:rsidR="003678F9">
        <w:t>, not a distinct concern</w:t>
      </w:r>
      <w:r w:rsidR="00887EA8">
        <w:t>.</w:t>
      </w:r>
      <w:r w:rsidR="006143E1">
        <w:t xml:space="preserve">  </w:t>
      </w:r>
      <w:r w:rsidR="00887EA8">
        <w:t xml:space="preserve">Second, since </w:t>
      </w:r>
      <w:proofErr w:type="spellStart"/>
      <w:r w:rsidR="00887EA8">
        <w:t>Quine</w:t>
      </w:r>
      <w:proofErr w:type="spellEnd"/>
      <w:r w:rsidR="00887EA8">
        <w:t xml:space="preserve"> says that science does </w:t>
      </w:r>
      <w:r w:rsidR="00887EA8" w:rsidRPr="00887EA8">
        <w:rPr>
          <w:i/>
        </w:rPr>
        <w:t>not</w:t>
      </w:r>
      <w:r w:rsidR="00887EA8">
        <w:t xml:space="preserve"> replace common sense, but </w:t>
      </w:r>
      <w:r w:rsidR="005373F3">
        <w:t xml:space="preserve">is </w:t>
      </w:r>
      <w:r w:rsidR="00887EA8">
        <w:t xml:space="preserve">rather a “continuation” of it, one natural reading is that the drive for simplicity is part of common sense, </w:t>
      </w:r>
      <w:r w:rsidR="003678F9">
        <w:t>instead of common sense being a distinct criterion</w:t>
      </w:r>
      <w:r w:rsidR="00887EA8">
        <w:t xml:space="preserve">.  So </w:t>
      </w:r>
      <w:r w:rsidR="00B54F4B">
        <w:t>here is an alternative to Ebbs’</w:t>
      </w:r>
      <w:r w:rsidR="00887EA8">
        <w:t xml:space="preserve"> picture: common sense is not one component goal of the overall project of science amongst other goals like </w:t>
      </w:r>
      <w:r w:rsidR="00A94039">
        <w:t>simplicity and consistency with observation</w:t>
      </w:r>
      <w:r w:rsidR="00887EA8">
        <w:t xml:space="preserve">, but rather it </w:t>
      </w:r>
      <w:r w:rsidR="003678F9">
        <w:t xml:space="preserve">is </w:t>
      </w:r>
      <w:r w:rsidR="00887EA8">
        <w:t xml:space="preserve">the </w:t>
      </w:r>
      <w:r w:rsidR="003678F9">
        <w:t xml:space="preserve">temporal </w:t>
      </w:r>
      <w:r w:rsidR="00887EA8">
        <w:t>ancestor of the whole enterprise.  Third</w:t>
      </w:r>
      <w:r w:rsidR="006143E1">
        <w:t xml:space="preserve">, </w:t>
      </w:r>
      <w:r w:rsidR="00F02803">
        <w:t xml:space="preserve">we can explain why </w:t>
      </w:r>
      <w:proofErr w:type="spellStart"/>
      <w:r w:rsidR="00F02803">
        <w:t>Quine</w:t>
      </w:r>
      <w:proofErr w:type="spellEnd"/>
      <w:r w:rsidR="00F02803">
        <w:t xml:space="preserve"> says (as Ebbs cites) that nominalism “would be my actual position if I could make a go of it” (cited in MS* p.5)</w:t>
      </w:r>
      <w:r w:rsidR="003678F9">
        <w:t>, without appealing to common sense—simplicity suffices</w:t>
      </w:r>
      <w:r w:rsidR="00F02803">
        <w:t xml:space="preserve">. </w:t>
      </w:r>
      <w:r w:rsidR="002543D2">
        <w:t xml:space="preserve"> </w:t>
      </w:r>
      <w:proofErr w:type="spellStart"/>
      <w:r w:rsidR="00F02803">
        <w:t>Quine</w:t>
      </w:r>
      <w:proofErr w:type="spellEnd"/>
      <w:r w:rsidR="00F02803">
        <w:t xml:space="preserve"> says nominalism is appe</w:t>
      </w:r>
      <w:r w:rsidR="00F1439F">
        <w:t xml:space="preserve">aling because of its </w:t>
      </w:r>
      <w:r w:rsidR="003678F9">
        <w:t xml:space="preserve">(ontological) </w:t>
      </w:r>
      <w:r w:rsidR="00F1439F">
        <w:t xml:space="preserve">simplicity: not only does it reduce the number of individual entities we must accept, but it also </w:t>
      </w:r>
      <w:r w:rsidR="00F02803">
        <w:t xml:space="preserve">eliminates a “dualism of categories” (1960, 268), i.e. the categories of both physical objects and abstract classes.  So in terms of both the individual objects and the basic properties, nominalism is more economical—no appeal to common sense </w:t>
      </w:r>
      <w:r w:rsidR="002543D2">
        <w:t xml:space="preserve">is </w:t>
      </w:r>
      <w:r w:rsidR="00F02803">
        <w:t xml:space="preserve">required. </w:t>
      </w:r>
      <w:r w:rsidR="00D1405B">
        <w:t xml:space="preserve"> In short, the ‘controls of common sense’ need not be seen as distinct from the drive for simplicity, or other theoretical virtues.</w:t>
      </w:r>
    </w:p>
    <w:p w14:paraId="5EA0B3D6" w14:textId="77777777" w:rsidR="005818C3" w:rsidRDefault="005818C3" w:rsidP="007A7806">
      <w:pPr>
        <w:spacing w:line="480" w:lineRule="auto"/>
      </w:pPr>
    </w:p>
    <w:p w14:paraId="700FD819" w14:textId="77777777" w:rsidR="0059651D" w:rsidRDefault="0059651D" w:rsidP="007A7806">
      <w:pPr>
        <w:spacing w:line="480" w:lineRule="auto"/>
      </w:pPr>
    </w:p>
    <w:p w14:paraId="56201293" w14:textId="0FD19EA3" w:rsidR="005818C3" w:rsidRDefault="005818C3" w:rsidP="007A7806">
      <w:pPr>
        <w:spacing w:line="480" w:lineRule="auto"/>
      </w:pPr>
      <w:r>
        <w:rPr>
          <w:b/>
        </w:rPr>
        <w:t>4. Lavers, “</w:t>
      </w:r>
      <w:proofErr w:type="spellStart"/>
      <w:r>
        <w:rPr>
          <w:b/>
        </w:rPr>
        <w:t>Carnap’s</w:t>
      </w:r>
      <w:proofErr w:type="spellEnd"/>
      <w:r>
        <w:rPr>
          <w:b/>
        </w:rPr>
        <w:t xml:space="preserve"> Surprising Views on the Axiom of Infinity”</w:t>
      </w:r>
    </w:p>
    <w:p w14:paraId="001ED0A8" w14:textId="77777777" w:rsidR="00517BA7" w:rsidRDefault="00517BA7" w:rsidP="007A7806">
      <w:pPr>
        <w:spacing w:line="480" w:lineRule="auto"/>
      </w:pPr>
    </w:p>
    <w:p w14:paraId="09880703" w14:textId="56426E69" w:rsidR="005818C3" w:rsidRDefault="008103AB" w:rsidP="007A7806">
      <w:pPr>
        <w:spacing w:line="480" w:lineRule="auto"/>
      </w:pPr>
      <w:proofErr w:type="gramStart"/>
      <w:r>
        <w:t xml:space="preserve">Lavers focuses on the </w:t>
      </w:r>
      <w:proofErr w:type="spellStart"/>
      <w:r>
        <w:t>finitist</w:t>
      </w:r>
      <w:proofErr w:type="spellEnd"/>
      <w:r>
        <w:t xml:space="preserve"> part of the </w:t>
      </w:r>
      <w:proofErr w:type="spellStart"/>
      <w:r>
        <w:t>finitist</w:t>
      </w:r>
      <w:proofErr w:type="spellEnd"/>
      <w:r>
        <w:t>-nom</w:t>
      </w:r>
      <w:r w:rsidR="003678F9">
        <w:t>inalist project.</w:t>
      </w:r>
      <w:proofErr w:type="gramEnd"/>
      <w:r w:rsidR="003678F9">
        <w:t xml:space="preserve">  </w:t>
      </w:r>
      <w:r>
        <w:t xml:space="preserve">Lavers </w:t>
      </w:r>
      <w:r w:rsidR="005E7A30">
        <w:t xml:space="preserve">raises </w:t>
      </w:r>
      <w:r w:rsidR="00234C0C">
        <w:t>a clear</w:t>
      </w:r>
      <w:r>
        <w:t xml:space="preserve"> “dilemma” for </w:t>
      </w:r>
      <w:proofErr w:type="spellStart"/>
      <w:r>
        <w:t>Carnap’s</w:t>
      </w:r>
      <w:proofErr w:type="spellEnd"/>
      <w:r>
        <w:t xml:space="preserve"> views about the axiom of infinity, </w:t>
      </w:r>
      <w:r w:rsidR="003678F9">
        <w:t>specifically</w:t>
      </w:r>
      <w:r>
        <w:t xml:space="preserve">, </w:t>
      </w:r>
      <w:proofErr w:type="spellStart"/>
      <w:r>
        <w:t>Carnap’s</w:t>
      </w:r>
      <w:proofErr w:type="spellEnd"/>
      <w:r>
        <w:t xml:space="preserve"> </w:t>
      </w:r>
      <w:r w:rsidR="005E7A30">
        <w:t xml:space="preserve">self-described </w:t>
      </w:r>
      <w:r>
        <w:t xml:space="preserve">attempts to find an interpretation of the axiom of infinity that makes it analytic. </w:t>
      </w:r>
      <w:r w:rsidR="005E7A30">
        <w:t xml:space="preserve">In what follows, </w:t>
      </w:r>
      <w:r>
        <w:t>I w</w:t>
      </w:r>
      <w:r w:rsidR="00D704B8">
        <w:t xml:space="preserve">ill </w:t>
      </w:r>
      <w:r w:rsidR="00F414C2">
        <w:t>offer a way out of Lavers’</w:t>
      </w:r>
      <w:r>
        <w:t xml:space="preserve"> dilemma for </w:t>
      </w:r>
      <w:proofErr w:type="spellStart"/>
      <w:r>
        <w:t>Carnap</w:t>
      </w:r>
      <w:proofErr w:type="spellEnd"/>
      <w:r>
        <w:t>.</w:t>
      </w:r>
      <w:r w:rsidR="00D704B8">
        <w:t xml:space="preserve">  However, I believe </w:t>
      </w:r>
      <w:proofErr w:type="spellStart"/>
      <w:r w:rsidR="00D704B8">
        <w:t>Carnap</w:t>
      </w:r>
      <w:proofErr w:type="spellEnd"/>
      <w:r w:rsidR="00D704B8">
        <w:t xml:space="preserve"> </w:t>
      </w:r>
      <w:r w:rsidR="00067BD1">
        <w:t>does fall</w:t>
      </w:r>
      <w:r w:rsidR="00D704B8">
        <w:t xml:space="preserve"> prey to a closely related </w:t>
      </w:r>
      <w:r w:rsidR="00F1439F">
        <w:t>problem</w:t>
      </w:r>
      <w:r w:rsidR="005E7A30">
        <w:t xml:space="preserve">—and other scholarship </w:t>
      </w:r>
      <w:r w:rsidR="003678F9">
        <w:t xml:space="preserve">by Lavers </w:t>
      </w:r>
      <w:r w:rsidR="005E7A30">
        <w:t xml:space="preserve">provides the resources needed to pose this related </w:t>
      </w:r>
      <w:r w:rsidR="00F1439F">
        <w:t>problem</w:t>
      </w:r>
      <w:r w:rsidR="00D704B8">
        <w:t xml:space="preserve">. </w:t>
      </w:r>
    </w:p>
    <w:p w14:paraId="5A5517D4" w14:textId="77777777" w:rsidR="008103AB" w:rsidRDefault="008103AB" w:rsidP="007A7806">
      <w:pPr>
        <w:spacing w:line="480" w:lineRule="auto"/>
      </w:pPr>
    </w:p>
    <w:p w14:paraId="2D99B77E" w14:textId="4ACF5D79" w:rsidR="008A084D" w:rsidRDefault="005B4E70" w:rsidP="007A7806">
      <w:pPr>
        <w:spacing w:line="480" w:lineRule="auto"/>
      </w:pPr>
      <w:r>
        <w:t>Lavers sets up the dilemma as follows.</w:t>
      </w:r>
      <w:r w:rsidR="00067BD1">
        <w:t xml:space="preserve">  Following the terminology in Lavers’ contribution, let us call the assignment</w:t>
      </w:r>
      <w:r w:rsidR="00A761BE">
        <w:t xml:space="preserve"> of positions</w:t>
      </w:r>
      <w:r w:rsidR="00D704B8">
        <w:t>, instead of objects,</w:t>
      </w:r>
      <w:r w:rsidR="00A761BE">
        <w:t xml:space="preserve"> </w:t>
      </w:r>
      <w:r w:rsidR="00067BD1">
        <w:t xml:space="preserve">to the values of (first-order) variables </w:t>
      </w:r>
      <w:proofErr w:type="spellStart"/>
      <w:r w:rsidR="00067BD1">
        <w:t>Carnap’s</w:t>
      </w:r>
      <w:proofErr w:type="spellEnd"/>
      <w:r w:rsidR="00A761BE">
        <w:t xml:space="preserve"> ‘material interpretation’ of the axiom of infinity.</w:t>
      </w:r>
      <w:r>
        <w:t xml:space="preserve">  (1) </w:t>
      </w:r>
      <w:r w:rsidR="008A084D">
        <w:t>If the material interpretation is “</w:t>
      </w:r>
      <w:r w:rsidR="008103AB">
        <w:t>doing some important epistemological work</w:t>
      </w:r>
      <w:r w:rsidR="008A084D">
        <w:t>,” then “the axiom is synthetic.”</w:t>
      </w:r>
      <w:r>
        <w:t xml:space="preserve">  (2) </w:t>
      </w:r>
      <w:r w:rsidR="008A084D">
        <w:t>If the mate</w:t>
      </w:r>
      <w:r>
        <w:t>rial interpretation</w:t>
      </w:r>
      <w:r w:rsidR="008A084D">
        <w:t xml:space="preserve"> is “not really doing any serious epistemic work,” then it is “superfluous.” </w:t>
      </w:r>
      <w:r>
        <w:t xml:space="preserve"> Therefore</w:t>
      </w:r>
      <w:r w:rsidR="008A084D">
        <w:t>, the (interpreted) axiom is either synthetic or superfluous—</w:t>
      </w:r>
      <w:r>
        <w:t>but</w:t>
      </w:r>
      <w:r w:rsidR="008A084D">
        <w:t xml:space="preserve"> </w:t>
      </w:r>
      <w:proofErr w:type="spellStart"/>
      <w:r w:rsidR="008A084D">
        <w:t>Carna</w:t>
      </w:r>
      <w:r>
        <w:t>p</w:t>
      </w:r>
      <w:proofErr w:type="spellEnd"/>
      <w:r>
        <w:t xml:space="preserve"> does not want it to be either (MS* p.4).</w:t>
      </w:r>
    </w:p>
    <w:p w14:paraId="38606B23" w14:textId="77777777" w:rsidR="005B4E70" w:rsidRDefault="005B4E70" w:rsidP="007A7806">
      <w:pPr>
        <w:spacing w:line="480" w:lineRule="auto"/>
      </w:pPr>
    </w:p>
    <w:p w14:paraId="65FADF46" w14:textId="57C9F739" w:rsidR="005B4E70" w:rsidRDefault="005B4E70" w:rsidP="007A7806">
      <w:pPr>
        <w:spacing w:line="480" w:lineRule="auto"/>
      </w:pPr>
      <w:r>
        <w:t>I think (1) can be resi</w:t>
      </w:r>
      <w:r w:rsidR="00067BD1">
        <w:t>sted, because i</w:t>
      </w:r>
      <w:r>
        <w:t xml:space="preserve">mportant </w:t>
      </w:r>
      <w:r w:rsidR="009A7063">
        <w:t>epistemological</w:t>
      </w:r>
      <w:r>
        <w:t xml:space="preserve"> work can be </w:t>
      </w:r>
      <w:r w:rsidR="009A7063">
        <w:t>done by analytic claims (assuming</w:t>
      </w:r>
      <w:r w:rsidR="00067BD1">
        <w:t xml:space="preserve"> analytic truths exist</w:t>
      </w:r>
      <w:r w:rsidR="009A7063">
        <w:t xml:space="preserve">, as </w:t>
      </w:r>
      <w:proofErr w:type="spellStart"/>
      <w:r w:rsidR="009A7063">
        <w:t>Carnap</w:t>
      </w:r>
      <w:proofErr w:type="spellEnd"/>
      <w:r w:rsidR="009A7063">
        <w:t xml:space="preserve"> of course does).  For example, any mathematical proof will proceed via analytic truths.  And presumably</w:t>
      </w:r>
      <w:r w:rsidR="00C51C03">
        <w:t>, sophisticated</w:t>
      </w:r>
      <w:r w:rsidR="009A7063">
        <w:t xml:space="preserve"> mathematical proofs count as ‘important epist</w:t>
      </w:r>
      <w:r w:rsidR="00C51C03">
        <w:t xml:space="preserve">emological work.’  But let </w:t>
      </w:r>
      <w:r w:rsidR="00067BD1">
        <w:t>us imagine someone denies this, presumably</w:t>
      </w:r>
      <w:r w:rsidR="00C51C03">
        <w:t xml:space="preserve"> on the grounds that analytic sentences do not make any claims about how the world is</w:t>
      </w:r>
      <w:r w:rsidR="00327216">
        <w:t>, and/or that a proof merely makes explicit information already implicitly contained in the premises</w:t>
      </w:r>
      <w:r w:rsidR="00067BD1">
        <w:t xml:space="preserve">.  Then, </w:t>
      </w:r>
      <w:r w:rsidR="00C51C03">
        <w:t xml:space="preserve">important </w:t>
      </w:r>
      <w:r w:rsidR="00067BD1">
        <w:t xml:space="preserve">epistemological work can only be </w:t>
      </w:r>
      <w:r w:rsidR="009A7063">
        <w:t>done via synthetic claims.</w:t>
      </w:r>
      <w:r w:rsidR="00067BD1">
        <w:t xml:space="preserve">  However,</w:t>
      </w:r>
      <w:r w:rsidR="0088502C">
        <w:t xml:space="preserve"> if we read this </w:t>
      </w:r>
      <w:r w:rsidR="00C51C03">
        <w:t xml:space="preserve">meaning </w:t>
      </w:r>
      <w:r w:rsidR="0088502C">
        <w:t xml:space="preserve">of ‘important epistemological work’ </w:t>
      </w:r>
      <w:r w:rsidR="00C51C03">
        <w:t>in</w:t>
      </w:r>
      <w:r w:rsidR="0088502C">
        <w:t>to</w:t>
      </w:r>
      <w:r w:rsidR="009A7063">
        <w:t xml:space="preserve"> </w:t>
      </w:r>
      <w:r w:rsidR="00C51C03">
        <w:t>premise (2), then (2) becomes</w:t>
      </w:r>
      <w:r w:rsidR="009A7063">
        <w:t xml:space="preserve"> untenable</w:t>
      </w:r>
      <w:r w:rsidR="00C51C03">
        <w:t>, unless we accept</w:t>
      </w:r>
      <w:r w:rsidR="009A7063">
        <w:t xml:space="preserve"> that all of </w:t>
      </w:r>
      <w:r w:rsidR="00C51C03">
        <w:t xml:space="preserve">logic and mathematics is superfluous—which is very implausible.  </w:t>
      </w:r>
      <w:r w:rsidR="0088502C">
        <w:t xml:space="preserve">In short, I think a </w:t>
      </w:r>
      <w:proofErr w:type="spellStart"/>
      <w:r w:rsidR="0088502C">
        <w:t>Carnapian</w:t>
      </w:r>
      <w:proofErr w:type="spellEnd"/>
      <w:r w:rsidR="0088502C">
        <w:t xml:space="preserve"> could escape Lavers’ dilemma by pointing out that the analytic truths of logic and mathematics do important epistemological</w:t>
      </w:r>
      <w:r w:rsidR="00D704B8">
        <w:t xml:space="preserve"> work; and even if one </w:t>
      </w:r>
      <w:r w:rsidR="003678F9">
        <w:t xml:space="preserve">denies that </w:t>
      </w:r>
      <w:r w:rsidR="00D704B8">
        <w:t xml:space="preserve">mathematical proofs </w:t>
      </w:r>
      <w:r w:rsidR="003678F9">
        <w:t xml:space="preserve">are </w:t>
      </w:r>
      <w:r w:rsidR="00D704B8">
        <w:t>‘important epistemological work,’ they are, at least, not ‘superfluous.’</w:t>
      </w:r>
    </w:p>
    <w:p w14:paraId="70B0D2CB" w14:textId="77777777" w:rsidR="008A084D" w:rsidRDefault="008A084D" w:rsidP="007A7806">
      <w:pPr>
        <w:spacing w:line="480" w:lineRule="auto"/>
      </w:pPr>
    </w:p>
    <w:p w14:paraId="57CC7B67" w14:textId="7EF28D18" w:rsidR="00CA6374" w:rsidRPr="007A047F" w:rsidRDefault="00D704B8" w:rsidP="007A7806">
      <w:pPr>
        <w:spacing w:line="480" w:lineRule="auto"/>
      </w:pPr>
      <w:r>
        <w:t xml:space="preserve">Nonetheless, I think </w:t>
      </w:r>
      <w:proofErr w:type="spellStart"/>
      <w:r>
        <w:t>Carnap’s</w:t>
      </w:r>
      <w:proofErr w:type="spellEnd"/>
      <w:r>
        <w:t xml:space="preserve"> attempt to make the axiom of infinity analytic by interpreting the individuals as positions (instead of objects) </w:t>
      </w:r>
      <w:r w:rsidR="003678F9">
        <w:t>can still be shown to be problematic.  I</w:t>
      </w:r>
      <w:r>
        <w:t xml:space="preserve">n </w:t>
      </w:r>
      <w:r w:rsidR="003678F9">
        <w:t xml:space="preserve">his </w:t>
      </w:r>
      <w:r>
        <w:t xml:space="preserve">other work, </w:t>
      </w:r>
      <w:r w:rsidR="003678F9">
        <w:t xml:space="preserve">Lavers </w:t>
      </w:r>
      <w:r>
        <w:t xml:space="preserve">provides some of the key insights needed to pose this related </w:t>
      </w:r>
      <w:r w:rsidR="00F1439F">
        <w:t>problem</w:t>
      </w:r>
      <w:r>
        <w:t xml:space="preserve">.  </w:t>
      </w:r>
      <w:r w:rsidR="00F1439F">
        <w:t xml:space="preserve">Analytic truths, according to </w:t>
      </w:r>
      <w:proofErr w:type="spellStart"/>
      <w:r w:rsidR="00F1439F">
        <w:t>Carnap</w:t>
      </w:r>
      <w:proofErr w:type="spellEnd"/>
      <w:r w:rsidR="00F1439F">
        <w:t>, are independent of empirical matters of fact; however, t</w:t>
      </w:r>
      <w:r w:rsidR="00067BD1">
        <w:t>here are</w:t>
      </w:r>
      <w:r w:rsidR="00CA6374">
        <w:t xml:space="preserve"> reasons to think that this positional interpretation of the axiom of infinity is </w:t>
      </w:r>
      <w:r w:rsidR="00CA6374">
        <w:rPr>
          <w:i/>
        </w:rPr>
        <w:t>not</w:t>
      </w:r>
      <w:r w:rsidR="00CA6374">
        <w:t xml:space="preserve"> independent of empirical knowledge.  </w:t>
      </w:r>
      <w:r w:rsidR="00067BD1">
        <w:t>As Lavers says in (</w:t>
      </w:r>
      <w:r w:rsidR="00067BD1">
        <w:rPr>
          <w:i/>
        </w:rPr>
        <w:t>forthcoming</w:t>
      </w:r>
      <w:r w:rsidR="00067BD1">
        <w:t xml:space="preserve">): if the individual names </w:t>
      </w:r>
      <w:r w:rsidR="00067BD1">
        <w:rPr>
          <w:rFonts w:ascii="URWPalladioL-Roma" w:hAnsi="URWPalladioL-Roma" w:cs="URWPalladioL-Roma"/>
        </w:rPr>
        <w:t>“</w:t>
      </w:r>
      <w:r w:rsidR="00067BD1" w:rsidRPr="00D16BE8">
        <w:rPr>
          <w:rFonts w:ascii="URWPalladioL-Roma" w:hAnsi="URWPalladioL-Roma" w:cs="URWPalladioL-Roma"/>
        </w:rPr>
        <w:t xml:space="preserve">stand for positions in some intuitive sense, then the axiom of infinity would assert the existence of infinitely many such positions. </w:t>
      </w:r>
      <w:r w:rsidR="00067BD1" w:rsidRPr="007A047F">
        <w:rPr>
          <w:rFonts w:ascii="URWPalladioL-Roma" w:hAnsi="URWPalladioL-Roma" w:cs="URWPalladioL-Roma"/>
        </w:rPr>
        <w:t>This would still be an empirical claim whether or not there was anything</w:t>
      </w:r>
      <w:r w:rsidR="00067BD1">
        <w:rPr>
          <w:rFonts w:ascii="URWPalladioL-Roma" w:hAnsi="URWPalladioL-Roma" w:cs="URWPalladioL-Roma"/>
        </w:rPr>
        <w:t xml:space="preserve"> to be found at these positions</w:t>
      </w:r>
      <w:r w:rsidR="00067BD1" w:rsidRPr="007A047F">
        <w:rPr>
          <w:rFonts w:ascii="URWPalladioL-Roma" w:hAnsi="URWPalladioL-Roma" w:cs="URWPalladioL-Roma"/>
        </w:rPr>
        <w:t>” (§2).</w:t>
      </w:r>
      <w:r w:rsidR="00067BD1">
        <w:rPr>
          <w:rFonts w:ascii="URWPalladioL-Roma" w:hAnsi="URWPalladioL-Roma" w:cs="URWPalladioL-Roma"/>
        </w:rPr>
        <w:t xml:space="preserve">  </w:t>
      </w:r>
      <w:r w:rsidR="00A64525">
        <w:t>Certain</w:t>
      </w:r>
      <w:r w:rsidR="00CA6374">
        <w:t xml:space="preserve"> types of </w:t>
      </w:r>
      <w:r w:rsidR="007D280C">
        <w:t>scenarios</w:t>
      </w:r>
      <w:r w:rsidR="00CA6374">
        <w:t xml:space="preserve"> discussed </w:t>
      </w:r>
      <w:r w:rsidR="00A64525">
        <w:t>in the 1940-41 notes support</w:t>
      </w:r>
      <w:r w:rsidR="00067BD1">
        <w:t xml:space="preserve"> this </w:t>
      </w:r>
      <w:r w:rsidR="00BE09B9">
        <w:t>claim</w:t>
      </w:r>
      <w:r w:rsidR="00B75005">
        <w:t xml:space="preserve"> </w:t>
      </w:r>
      <w:r w:rsidR="00BE09B9">
        <w:t xml:space="preserve">vividly and </w:t>
      </w:r>
      <w:r w:rsidR="00CA6374">
        <w:t>concrete</w:t>
      </w:r>
      <w:r w:rsidR="00BE09B9">
        <w:t>ly</w:t>
      </w:r>
      <w:r w:rsidR="00CA6374">
        <w:t xml:space="preserve">.  For example, if </w:t>
      </w:r>
      <w:proofErr w:type="spellStart"/>
      <w:r w:rsidR="00CA6374">
        <w:t>spacetime</w:t>
      </w:r>
      <w:proofErr w:type="spellEnd"/>
      <w:r w:rsidR="00CA6374">
        <w:t xml:space="preserve"> were both (</w:t>
      </w:r>
      <w:proofErr w:type="spellStart"/>
      <w:r w:rsidR="00CA6374">
        <w:t>i</w:t>
      </w:r>
      <w:proofErr w:type="spellEnd"/>
      <w:r w:rsidR="00CA6374">
        <w:t xml:space="preserve">) discrete </w:t>
      </w:r>
      <w:r w:rsidR="007D280C">
        <w:t>or quantized</w:t>
      </w:r>
      <w:r w:rsidR="00CA6374">
        <w:t xml:space="preserve"> and (ii) </w:t>
      </w:r>
      <w:r w:rsidR="007D280C">
        <w:t xml:space="preserve">circular or otherwise </w:t>
      </w:r>
      <w:r w:rsidR="00CA6374">
        <w:t xml:space="preserve">finite in extent, then </w:t>
      </w:r>
      <w:r w:rsidR="007D280C">
        <w:t xml:space="preserve">there would </w:t>
      </w:r>
      <w:r w:rsidR="007D280C">
        <w:rPr>
          <w:i/>
        </w:rPr>
        <w:t>not</w:t>
      </w:r>
      <w:r w:rsidR="007D280C">
        <w:t xml:space="preserve"> be an infinite number of spatiot</w:t>
      </w:r>
      <w:r w:rsidR="00A64525">
        <w:t>emporal ‘atoms’ or indivisibles (Frost-Arnold 2013, 46-7, 164).</w:t>
      </w:r>
      <w:r w:rsidR="007D280C">
        <w:t xml:space="preserve">  Thus, there would be a finite number of positions, and thus, in this imagined circumstance, the axiom of infinity would be false on a position-based interpretation.</w:t>
      </w:r>
      <w:r w:rsidR="003678F9">
        <w:t xml:space="preserve">  Since, on this interpretation, certain states of affairs would falsify the axiom of infinity, the axiom would be synthetic.</w:t>
      </w:r>
    </w:p>
    <w:p w14:paraId="4A93B20D" w14:textId="77777777" w:rsidR="008A084D" w:rsidRDefault="008A084D" w:rsidP="007A7806">
      <w:pPr>
        <w:spacing w:line="480" w:lineRule="auto"/>
      </w:pPr>
    </w:p>
    <w:p w14:paraId="12CFD33C" w14:textId="6660E1FA" w:rsidR="007A047F" w:rsidRDefault="003F3733" w:rsidP="007A7806">
      <w:pPr>
        <w:spacing w:line="480" w:lineRule="auto"/>
      </w:pPr>
      <w:r>
        <w:t xml:space="preserve">One might defend </w:t>
      </w:r>
      <w:proofErr w:type="spellStart"/>
      <w:r>
        <w:t>Carnap</w:t>
      </w:r>
      <w:proofErr w:type="spellEnd"/>
      <w:r>
        <w:t xml:space="preserve"> as follows: </w:t>
      </w:r>
      <w:r w:rsidR="0094128F">
        <w:t>I have misinterpreted</w:t>
      </w:r>
      <w:r>
        <w:t xml:space="preserve"> ‘position.’  </w:t>
      </w:r>
      <w:proofErr w:type="spellStart"/>
      <w:r>
        <w:t>Carnap</w:t>
      </w:r>
      <w:proofErr w:type="spellEnd"/>
      <w:r>
        <w:t xml:space="preserve"> must have in mind some other, more abstract sense of ‘position,’ perhaps of a position in an arbitrary linear progression.  For example, when </w:t>
      </w:r>
      <w:proofErr w:type="spellStart"/>
      <w:r>
        <w:t>Carnap</w:t>
      </w:r>
      <w:proofErr w:type="spellEnd"/>
      <w:r>
        <w:t xml:space="preserve"> is defending the analyticity of the axiom of infinity in the 1940-41 discussions, </w:t>
      </w:r>
      <w:proofErr w:type="spellStart"/>
      <w:r>
        <w:t>Carnap</w:t>
      </w:r>
      <w:proofErr w:type="spellEnd"/>
      <w:r>
        <w:t xml:space="preserve"> says “the possibility always exists of taking another step in forming the number series” (Frost-Arnold</w:t>
      </w:r>
      <w:r w:rsidR="00A64525">
        <w:t xml:space="preserve"> 2013</w:t>
      </w:r>
      <w:r>
        <w:t>, 58)</w:t>
      </w:r>
      <w:r w:rsidR="00A64525">
        <w:t>; positions should be understood as (like) these ‘next steps</w:t>
      </w:r>
      <w:r>
        <w:t>.</w:t>
      </w:r>
      <w:r w:rsidR="00A64525">
        <w:t>’</w:t>
      </w:r>
      <w:r w:rsidR="00FD730A">
        <w:t xml:space="preserve">  However, this defense </w:t>
      </w:r>
      <w:r w:rsidR="00F1439F">
        <w:t>of the</w:t>
      </w:r>
      <w:r w:rsidR="003678F9">
        <w:t xml:space="preserve"> position-based interpretation’s</w:t>
      </w:r>
      <w:r w:rsidR="00F1439F">
        <w:t xml:space="preserve"> analyticity </w:t>
      </w:r>
      <w:r w:rsidR="003678F9">
        <w:t>is inadequate</w:t>
      </w:r>
      <w:r w:rsidR="00FD730A">
        <w:t xml:space="preserve">.  First, </w:t>
      </w:r>
      <w:r w:rsidR="005B74B9">
        <w:t xml:space="preserve">recall that </w:t>
      </w:r>
      <w:proofErr w:type="spellStart"/>
      <w:r w:rsidR="00A64525">
        <w:t>Carnap</w:t>
      </w:r>
      <w:proofErr w:type="spellEnd"/>
      <w:r w:rsidR="00A64525">
        <w:t xml:space="preserve"> believes that both logical and descriptive interpretations of the </w:t>
      </w:r>
      <w:proofErr w:type="spellStart"/>
      <w:r w:rsidR="00A64525">
        <w:t>Peano</w:t>
      </w:r>
      <w:proofErr w:type="spellEnd"/>
      <w:r w:rsidR="00A64525">
        <w:t xml:space="preserve"> axioms are possible (1939, 181</w:t>
      </w:r>
      <w:r w:rsidR="003678F9">
        <w:t>)</w:t>
      </w:r>
      <w:r w:rsidR="00A64525">
        <w:t xml:space="preserve">.  </w:t>
      </w:r>
      <w:r w:rsidR="005B74B9">
        <w:t>T</w:t>
      </w:r>
      <w:r w:rsidR="00FD730A">
        <w:t xml:space="preserve">his </w:t>
      </w:r>
      <w:r w:rsidR="005B74B9">
        <w:t xml:space="preserve">‘possibility of another step’ </w:t>
      </w:r>
      <w:r w:rsidR="00FD730A">
        <w:t xml:space="preserve">interpretation sounds </w:t>
      </w:r>
      <w:r w:rsidR="003678F9">
        <w:t>closer to</w:t>
      </w:r>
      <w:r w:rsidR="005B74B9">
        <w:t xml:space="preserve"> a logical interpr</w:t>
      </w:r>
      <w:r w:rsidR="003678F9">
        <w:t xml:space="preserve">etation than a descriptive one; and </w:t>
      </w:r>
      <w:r w:rsidR="005B74B9">
        <w:t>if it were descriptive, it threaten</w:t>
      </w:r>
      <w:r w:rsidR="00BE09B9">
        <w:t>s</w:t>
      </w:r>
      <w:r w:rsidR="005B74B9">
        <w:t xml:space="preserve"> to fall into </w:t>
      </w:r>
      <w:proofErr w:type="spellStart"/>
      <w:r w:rsidR="005B74B9">
        <w:t>psychologism</w:t>
      </w:r>
      <w:proofErr w:type="spellEnd"/>
      <w:r w:rsidR="005B74B9">
        <w:t>: it would depend o</w:t>
      </w:r>
      <w:r w:rsidR="003678F9">
        <w:t>n humans’ psychological ability</w:t>
      </w:r>
      <w:r w:rsidR="005B74B9">
        <w:t xml:space="preserve"> to always ‘add one</w:t>
      </w:r>
      <w:r w:rsidR="00803FE7">
        <w:t>,</w:t>
      </w:r>
      <w:r w:rsidR="005B74B9">
        <w:t>’</w:t>
      </w:r>
      <w:r w:rsidR="00803FE7">
        <w:t xml:space="preserve"> no matter how large the starting point</w:t>
      </w:r>
      <w:r w:rsidR="00FD730A">
        <w:t xml:space="preserve">.  Second, more decisively, the positions </w:t>
      </w:r>
      <w:proofErr w:type="spellStart"/>
      <w:r w:rsidR="00FD730A">
        <w:t>Carnap</w:t>
      </w:r>
      <w:proofErr w:type="spellEnd"/>
      <w:r w:rsidR="00FD730A">
        <w:t xml:space="preserve"> talks about in </w:t>
      </w:r>
      <w:r w:rsidR="005B74B9">
        <w:t>t</w:t>
      </w:r>
      <w:r w:rsidR="00FD730A">
        <w:t xml:space="preserve">his interpretation of the axiom of infinity are positions </w:t>
      </w:r>
      <w:r w:rsidR="00FD730A" w:rsidRPr="00FD730A">
        <w:rPr>
          <w:i/>
        </w:rPr>
        <w:t xml:space="preserve">where </w:t>
      </w:r>
      <w:r w:rsidR="00FD730A">
        <w:rPr>
          <w:i/>
        </w:rPr>
        <w:t xml:space="preserve">physical </w:t>
      </w:r>
      <w:r w:rsidR="00FD730A" w:rsidRPr="00FD730A">
        <w:rPr>
          <w:i/>
        </w:rPr>
        <w:t>objects could be located</w:t>
      </w:r>
      <w:r w:rsidR="00FD730A">
        <w:t xml:space="preserve"> (1934/1937, §38a).  </w:t>
      </w:r>
      <w:r w:rsidR="003678F9">
        <w:t>So</w:t>
      </w:r>
      <w:r w:rsidR="00FD730A">
        <w:t xml:space="preserve"> those positions</w:t>
      </w:r>
      <w:r w:rsidR="00197184">
        <w:t xml:space="preserve"> have to be physical themselves, since</w:t>
      </w:r>
      <w:r w:rsidR="00FD730A">
        <w:t xml:space="preserve"> a physical body can only be</w:t>
      </w:r>
      <w:r w:rsidR="00197184">
        <w:t xml:space="preserve"> located in a physical place.  </w:t>
      </w:r>
      <w:r w:rsidR="00FD730A">
        <w:t>As Lavers says in (</w:t>
      </w:r>
      <w:r w:rsidR="00FD730A">
        <w:rPr>
          <w:i/>
        </w:rPr>
        <w:t>forthcoming</w:t>
      </w:r>
      <w:r w:rsidR="00FD730A">
        <w:t xml:space="preserve">), in </w:t>
      </w:r>
      <w:r w:rsidR="00FD730A">
        <w:rPr>
          <w:i/>
        </w:rPr>
        <w:t>Logical Syntax</w:t>
      </w:r>
      <w:r w:rsidR="00FD730A">
        <w:t>, “</w:t>
      </w:r>
      <w:proofErr w:type="spellStart"/>
      <w:r w:rsidR="00FD730A">
        <w:t>Carnap</w:t>
      </w:r>
      <w:proofErr w:type="spellEnd"/>
      <w:r w:rsidR="00FD730A">
        <w:t xml:space="preserve"> interprets positions as locations in some</w:t>
      </w:r>
      <w:r w:rsidR="00197184">
        <w:t xml:space="preserve"> intuitive sense” (§2).</w:t>
      </w:r>
      <w:r w:rsidR="00B75005">
        <w:t xml:space="preserve">  In short, the positions in </w:t>
      </w:r>
      <w:proofErr w:type="spellStart"/>
      <w:r w:rsidR="00B75005">
        <w:t>Carnap’s</w:t>
      </w:r>
      <w:proofErr w:type="spellEnd"/>
      <w:r w:rsidR="00B75005">
        <w:t xml:space="preserve"> position-based interpretation of the axiom of infinity are empirical positions</w:t>
      </w:r>
      <w:r w:rsidR="00D1405B">
        <w:t>, so even if the actual world does not have a finite number of positions, it is an empirical fact that it does not have this spatiotemporal structure; thus, the position-based interpretation cannot make the axiom of infinity analytic.</w:t>
      </w:r>
      <w:r w:rsidR="003678F9">
        <w:t xml:space="preserve">  Therefore, I think Lavers’ concern that the position-based interpretation does not make the axiom of infinity analytic is justified, </w:t>
      </w:r>
      <w:r w:rsidR="00BE09B9">
        <w:t>although</w:t>
      </w:r>
      <w:r w:rsidR="003678F9">
        <w:t xml:space="preserve"> I demur from his reasons for this conclusion offered in this symposium.</w:t>
      </w:r>
    </w:p>
    <w:p w14:paraId="67A747D7" w14:textId="77777777" w:rsidR="00C36657" w:rsidRDefault="00C36657" w:rsidP="007A7806">
      <w:pPr>
        <w:spacing w:line="480" w:lineRule="auto"/>
      </w:pPr>
    </w:p>
    <w:p w14:paraId="177BECD5" w14:textId="77777777" w:rsidR="00C36657" w:rsidRDefault="00C36657" w:rsidP="007A7806">
      <w:pPr>
        <w:spacing w:line="480" w:lineRule="auto"/>
      </w:pPr>
    </w:p>
    <w:p w14:paraId="44F1FAF9" w14:textId="5438C0A3" w:rsidR="0094128F" w:rsidRDefault="0094128F" w:rsidP="007A7806">
      <w:pPr>
        <w:spacing w:line="480" w:lineRule="auto"/>
      </w:pPr>
      <w:r>
        <w:rPr>
          <w:b/>
        </w:rPr>
        <w:t>REFERENCES</w:t>
      </w:r>
    </w:p>
    <w:p w14:paraId="13F790D5" w14:textId="5B807B8B" w:rsidR="002222B1" w:rsidRDefault="000A3F4B" w:rsidP="000C56D8">
      <w:proofErr w:type="spellStart"/>
      <w:proofErr w:type="gramStart"/>
      <w:r>
        <w:t>Carnap</w:t>
      </w:r>
      <w:proofErr w:type="spellEnd"/>
      <w:r>
        <w:t>, Rudolf (1932/195</w:t>
      </w:r>
      <w:r w:rsidR="00803FE7">
        <w:t>9</w:t>
      </w:r>
      <w:r w:rsidR="002222B1">
        <w:t>).</w:t>
      </w:r>
      <w:proofErr w:type="gramEnd"/>
      <w:r w:rsidR="002222B1">
        <w:t xml:space="preserve">  “Elimination of Metaphysics through the Logical Analysis of Language,” in </w:t>
      </w:r>
      <w:r w:rsidR="002222B1">
        <w:rPr>
          <w:i/>
        </w:rPr>
        <w:t>Logical Positivism</w:t>
      </w:r>
      <w:r w:rsidR="002222B1">
        <w:t xml:space="preserve">, A. J. Ayer (ed.). </w:t>
      </w:r>
      <w:r w:rsidR="00803FE7">
        <w:t>New York: Free Press, 60-81</w:t>
      </w:r>
      <w:r w:rsidR="000279FD">
        <w:t>.</w:t>
      </w:r>
    </w:p>
    <w:p w14:paraId="6A10DD42" w14:textId="77777777" w:rsidR="002222B1" w:rsidRDefault="002222B1" w:rsidP="000C56D8"/>
    <w:p w14:paraId="7105A488" w14:textId="184F7BC5" w:rsidR="002222B1" w:rsidRDefault="002222B1" w:rsidP="000C56D8">
      <w:proofErr w:type="spellStart"/>
      <w:proofErr w:type="gramStart"/>
      <w:r>
        <w:t>Carnap</w:t>
      </w:r>
      <w:proofErr w:type="spellEnd"/>
      <w:r>
        <w:t>, Rudolf (1934/1937).</w:t>
      </w:r>
      <w:proofErr w:type="gramEnd"/>
      <w:r>
        <w:t xml:space="preserve"> </w:t>
      </w:r>
      <w:proofErr w:type="gramStart"/>
      <w:r>
        <w:rPr>
          <w:i/>
        </w:rPr>
        <w:t>Logical Syntax of Language</w:t>
      </w:r>
      <w:r w:rsidR="00803FE7">
        <w:t xml:space="preserve">, A. </w:t>
      </w:r>
      <w:proofErr w:type="spellStart"/>
      <w:r w:rsidR="00803FE7">
        <w:t>Smeaton</w:t>
      </w:r>
      <w:proofErr w:type="spellEnd"/>
      <w:r w:rsidR="00803FE7">
        <w:t xml:space="preserve"> </w:t>
      </w:r>
      <w:r>
        <w:t>(trans.).</w:t>
      </w:r>
      <w:proofErr w:type="gramEnd"/>
      <w:r>
        <w:t xml:space="preserve">  Chicago: Open Court.</w:t>
      </w:r>
    </w:p>
    <w:p w14:paraId="0FA40FD7" w14:textId="77777777" w:rsidR="00AA2883" w:rsidRDefault="00AA2883" w:rsidP="000C56D8"/>
    <w:p w14:paraId="780D8771" w14:textId="1FE536DD" w:rsidR="008434AA" w:rsidRPr="008434AA" w:rsidRDefault="008434AA" w:rsidP="000C56D8">
      <w:proofErr w:type="spellStart"/>
      <w:r>
        <w:t>Carnap</w:t>
      </w:r>
      <w:proofErr w:type="spellEnd"/>
      <w:r>
        <w:t xml:space="preserve">, Rudolf (1939).  “Foundations of Logic and Mathematics,” in </w:t>
      </w:r>
      <w:r>
        <w:rPr>
          <w:i/>
        </w:rPr>
        <w:t>International Encyclopedia of Unified Science</w:t>
      </w:r>
      <w:r>
        <w:t xml:space="preserve">, O. </w:t>
      </w:r>
      <w:proofErr w:type="spellStart"/>
      <w:r>
        <w:t>Neurath</w:t>
      </w:r>
      <w:proofErr w:type="spellEnd"/>
      <w:r>
        <w:t xml:space="preserve">, R. </w:t>
      </w:r>
      <w:proofErr w:type="spellStart"/>
      <w:r>
        <w:t>Carnap</w:t>
      </w:r>
      <w:proofErr w:type="spellEnd"/>
      <w:r>
        <w:t xml:space="preserve">, and C. Morris (eds.).  Chicago: University of Chicago Press, 139-214. </w:t>
      </w:r>
    </w:p>
    <w:p w14:paraId="3A11E8B8" w14:textId="77777777" w:rsidR="008434AA" w:rsidRDefault="008434AA" w:rsidP="000C56D8"/>
    <w:p w14:paraId="2CA31336" w14:textId="02D8B283" w:rsidR="002222B1" w:rsidRPr="002222B1" w:rsidRDefault="002222B1" w:rsidP="000C56D8">
      <w:proofErr w:type="spellStart"/>
      <w:r>
        <w:t>Carnap</w:t>
      </w:r>
      <w:proofErr w:type="spellEnd"/>
      <w:r>
        <w:t xml:space="preserve">, Rudolf (1963).  “Intellectual Autobiography,” in </w:t>
      </w:r>
      <w:r>
        <w:rPr>
          <w:i/>
        </w:rPr>
        <w:t xml:space="preserve">The Philosophy of Rudolf </w:t>
      </w:r>
      <w:proofErr w:type="spellStart"/>
      <w:r>
        <w:rPr>
          <w:i/>
        </w:rPr>
        <w:t>Carnap</w:t>
      </w:r>
      <w:proofErr w:type="spellEnd"/>
      <w:r w:rsidR="00803FE7">
        <w:t xml:space="preserve">, P. </w:t>
      </w:r>
      <w:proofErr w:type="spellStart"/>
      <w:r w:rsidR="00803FE7">
        <w:t>Schilpp</w:t>
      </w:r>
      <w:proofErr w:type="spellEnd"/>
      <w:r w:rsidR="00803FE7">
        <w:t xml:space="preserve"> (ed.). LaSalle: Open Court.</w:t>
      </w:r>
    </w:p>
    <w:p w14:paraId="1B7C03D6" w14:textId="77777777" w:rsidR="002222B1" w:rsidRDefault="002222B1" w:rsidP="000C56D8"/>
    <w:p w14:paraId="65F0FD8A" w14:textId="12F0CD69" w:rsidR="0053788F" w:rsidRPr="0053788F" w:rsidRDefault="0053788F" w:rsidP="000C56D8">
      <w:proofErr w:type="spellStart"/>
      <w:r>
        <w:t>Creath</w:t>
      </w:r>
      <w:proofErr w:type="spellEnd"/>
      <w:r>
        <w:t xml:space="preserve">, Richard (1990).  </w:t>
      </w:r>
      <w:proofErr w:type="gramStart"/>
      <w:r>
        <w:rPr>
          <w:i/>
        </w:rPr>
        <w:t xml:space="preserve">Dear </w:t>
      </w:r>
      <w:proofErr w:type="spellStart"/>
      <w:r>
        <w:rPr>
          <w:i/>
        </w:rPr>
        <w:t>Carnap</w:t>
      </w:r>
      <w:proofErr w:type="spellEnd"/>
      <w:r>
        <w:rPr>
          <w:i/>
        </w:rPr>
        <w:t>, Dear Van</w:t>
      </w:r>
      <w:r>
        <w:t>.</w:t>
      </w:r>
      <w:proofErr w:type="gramEnd"/>
      <w:r>
        <w:t xml:space="preserve">  Berkeley: University of California.</w:t>
      </w:r>
    </w:p>
    <w:p w14:paraId="33E907BC" w14:textId="77777777" w:rsidR="0053788F" w:rsidRDefault="0053788F" w:rsidP="000C56D8"/>
    <w:p w14:paraId="1236006C" w14:textId="3E1EB0A3" w:rsidR="0094128F" w:rsidRPr="008434AA" w:rsidRDefault="0094128F" w:rsidP="000C56D8">
      <w:r>
        <w:t>Frost-Arnold, Greg (2013)</w:t>
      </w:r>
      <w:r w:rsidR="008434AA">
        <w:t xml:space="preserve">.  </w:t>
      </w:r>
      <w:proofErr w:type="spellStart"/>
      <w:r w:rsidR="008434AA">
        <w:rPr>
          <w:i/>
        </w:rPr>
        <w:t>Carnap</w:t>
      </w:r>
      <w:proofErr w:type="spellEnd"/>
      <w:r w:rsidR="008434AA">
        <w:rPr>
          <w:i/>
        </w:rPr>
        <w:t xml:space="preserve">, </w:t>
      </w:r>
      <w:proofErr w:type="spellStart"/>
      <w:r w:rsidR="008434AA">
        <w:rPr>
          <w:i/>
        </w:rPr>
        <w:t>Tarski</w:t>
      </w:r>
      <w:proofErr w:type="spellEnd"/>
      <w:r w:rsidR="008434AA">
        <w:rPr>
          <w:i/>
        </w:rPr>
        <w:t xml:space="preserve">, and </w:t>
      </w:r>
      <w:proofErr w:type="spellStart"/>
      <w:r w:rsidR="008434AA">
        <w:rPr>
          <w:i/>
        </w:rPr>
        <w:t>Quine</w:t>
      </w:r>
      <w:proofErr w:type="spellEnd"/>
      <w:r w:rsidR="008434AA">
        <w:rPr>
          <w:i/>
        </w:rPr>
        <w:t xml:space="preserve"> at Harvard</w:t>
      </w:r>
      <w:r w:rsidR="008434AA">
        <w:t>.  Chicago: Open Court.</w:t>
      </w:r>
    </w:p>
    <w:p w14:paraId="739A5A47" w14:textId="77777777" w:rsidR="0094128F" w:rsidRDefault="0094128F" w:rsidP="000C56D8"/>
    <w:p w14:paraId="270FC096" w14:textId="742AD465" w:rsidR="0094128F" w:rsidRPr="0094128F" w:rsidRDefault="0094128F" w:rsidP="000C56D8">
      <w:proofErr w:type="gramStart"/>
      <w:r>
        <w:t>Lavers, Gregory (</w:t>
      </w:r>
      <w:r w:rsidRPr="00067BD1">
        <w:rPr>
          <w:i/>
        </w:rPr>
        <w:t>forthcoming</w:t>
      </w:r>
      <w:r>
        <w:t>).</w:t>
      </w:r>
      <w:proofErr w:type="gramEnd"/>
      <w:r>
        <w:t xml:space="preserve">  “</w:t>
      </w:r>
      <w:proofErr w:type="spellStart"/>
      <w:r>
        <w:t>Carnap</w:t>
      </w:r>
      <w:proofErr w:type="spellEnd"/>
      <w:r>
        <w:t xml:space="preserve"> on Abstract and Theoretical Entities,” in </w:t>
      </w:r>
      <w:r>
        <w:rPr>
          <w:i/>
        </w:rPr>
        <w:t xml:space="preserve">Ontology After </w:t>
      </w:r>
      <w:proofErr w:type="spellStart"/>
      <w:r>
        <w:rPr>
          <w:i/>
        </w:rPr>
        <w:t>Carnap</w:t>
      </w:r>
      <w:proofErr w:type="spellEnd"/>
      <w:r>
        <w:t xml:space="preserve">, </w:t>
      </w:r>
      <w:proofErr w:type="spellStart"/>
      <w:r>
        <w:t>Blatti</w:t>
      </w:r>
      <w:proofErr w:type="spellEnd"/>
      <w:r>
        <w:t xml:space="preserve"> and </w:t>
      </w:r>
      <w:proofErr w:type="spellStart"/>
      <w:r>
        <w:t>Lapointe</w:t>
      </w:r>
      <w:proofErr w:type="spellEnd"/>
      <w:r>
        <w:t xml:space="preserve"> (eds.).  New York: Oxford University Press.</w:t>
      </w:r>
    </w:p>
    <w:p w14:paraId="225C1396" w14:textId="77777777" w:rsidR="0094128F" w:rsidRDefault="0094128F" w:rsidP="000C56D8"/>
    <w:p w14:paraId="038658FF" w14:textId="071A4F10" w:rsidR="0094128F" w:rsidRPr="003307E7" w:rsidRDefault="0094128F" w:rsidP="000C56D8">
      <w:proofErr w:type="spellStart"/>
      <w:r>
        <w:t>Mancosu</w:t>
      </w:r>
      <w:proofErr w:type="spellEnd"/>
      <w:r>
        <w:t>, Paolo (2004).</w:t>
      </w:r>
      <w:r w:rsidR="00803FE7">
        <w:t xml:space="preserve">  “Harvard 1940-41: </w:t>
      </w:r>
      <w:proofErr w:type="spellStart"/>
      <w:r w:rsidR="00803FE7">
        <w:t>Carnap</w:t>
      </w:r>
      <w:proofErr w:type="spellEnd"/>
      <w:r w:rsidR="00803FE7">
        <w:t xml:space="preserve">, </w:t>
      </w:r>
      <w:proofErr w:type="spellStart"/>
      <w:r w:rsidR="00803FE7">
        <w:t>Tarski</w:t>
      </w:r>
      <w:proofErr w:type="spellEnd"/>
      <w:r w:rsidR="00803FE7">
        <w:t xml:space="preserve"> and </w:t>
      </w:r>
      <w:proofErr w:type="spellStart"/>
      <w:r w:rsidR="00803FE7">
        <w:t>Quine</w:t>
      </w:r>
      <w:proofErr w:type="spellEnd"/>
      <w:r w:rsidR="00803FE7">
        <w:t xml:space="preserve"> on a </w:t>
      </w:r>
      <w:proofErr w:type="spellStart"/>
      <w:r w:rsidR="00803FE7">
        <w:t>Finitistic</w:t>
      </w:r>
      <w:proofErr w:type="spellEnd"/>
      <w:r w:rsidR="00803FE7">
        <w:t xml:space="preserve"> Language of Mathematics for Science,” </w:t>
      </w:r>
      <w:r w:rsidR="0053788F">
        <w:rPr>
          <w:i/>
        </w:rPr>
        <w:t>History and Philosophy of Logic</w:t>
      </w:r>
      <w:r w:rsidR="00803FE7">
        <w:t xml:space="preserve"> </w:t>
      </w:r>
      <w:r w:rsidR="00803FE7">
        <w:rPr>
          <w:b/>
        </w:rPr>
        <w:t>26</w:t>
      </w:r>
      <w:r w:rsidR="00803FE7">
        <w:t>: 327-357.</w:t>
      </w:r>
    </w:p>
    <w:p w14:paraId="459C20CE" w14:textId="77777777" w:rsidR="0094128F" w:rsidRDefault="0094128F" w:rsidP="000C56D8"/>
    <w:p w14:paraId="3B04F0CA" w14:textId="2072AB78" w:rsidR="0053788F" w:rsidRDefault="0053788F" w:rsidP="000C56D8">
      <w:proofErr w:type="spellStart"/>
      <w:proofErr w:type="gramStart"/>
      <w:r>
        <w:t>Quine</w:t>
      </w:r>
      <w:proofErr w:type="spellEnd"/>
      <w:r>
        <w:t>, W. V. (1953).</w:t>
      </w:r>
      <w:proofErr w:type="gramEnd"/>
      <w:r>
        <w:t xml:space="preserve">  </w:t>
      </w:r>
      <w:proofErr w:type="gramStart"/>
      <w:r>
        <w:t xml:space="preserve">“Two Dogmas of Empiricism,” in </w:t>
      </w:r>
      <w:r>
        <w:rPr>
          <w:i/>
        </w:rPr>
        <w:t>From a Logical Point of View</w:t>
      </w:r>
      <w:r w:rsidR="00803FE7">
        <w:t>.</w:t>
      </w:r>
      <w:proofErr w:type="gramEnd"/>
      <w:r w:rsidR="00803FE7">
        <w:t xml:space="preserve">  Cambridge: Harvard University Press.</w:t>
      </w:r>
    </w:p>
    <w:p w14:paraId="10D45FBB" w14:textId="77777777" w:rsidR="00AA2883" w:rsidRDefault="00AA2883" w:rsidP="000C56D8"/>
    <w:p w14:paraId="2EBC52AD" w14:textId="10A52EAC" w:rsidR="00AA2883" w:rsidRDefault="00AA2883" w:rsidP="000C56D8">
      <w:proofErr w:type="spellStart"/>
      <w:proofErr w:type="gramStart"/>
      <w:r>
        <w:t>Quine</w:t>
      </w:r>
      <w:proofErr w:type="spellEnd"/>
      <w:r>
        <w:t>, W. V. (1960).</w:t>
      </w:r>
      <w:proofErr w:type="gramEnd"/>
      <w:r>
        <w:t xml:space="preserve"> </w:t>
      </w:r>
      <w:r>
        <w:rPr>
          <w:i/>
        </w:rPr>
        <w:t>Word and Object</w:t>
      </w:r>
      <w:r>
        <w:t>.  Cambridge: MIT Press.</w:t>
      </w:r>
    </w:p>
    <w:p w14:paraId="7E040510" w14:textId="77777777" w:rsidR="00AA2883" w:rsidRDefault="00AA2883" w:rsidP="000C56D8"/>
    <w:p w14:paraId="5A5240D7" w14:textId="5B7F2218" w:rsidR="00AA2883" w:rsidRPr="00AA2883" w:rsidRDefault="00AA2883" w:rsidP="000C56D8">
      <w:proofErr w:type="spellStart"/>
      <w:proofErr w:type="gramStart"/>
      <w:r>
        <w:t>Quine</w:t>
      </w:r>
      <w:proofErr w:type="spellEnd"/>
      <w:r>
        <w:t>, W. V. (1976).</w:t>
      </w:r>
      <w:proofErr w:type="gramEnd"/>
      <w:r>
        <w:t xml:space="preserve">  </w:t>
      </w:r>
      <w:proofErr w:type="gramStart"/>
      <w:r>
        <w:rPr>
          <w:i/>
        </w:rPr>
        <w:t>The Ways of Paradox and Other Essays</w:t>
      </w:r>
      <w:r>
        <w:t>.</w:t>
      </w:r>
      <w:proofErr w:type="gramEnd"/>
      <w:r>
        <w:t xml:space="preserve">  Cambridge: Harvard University Press.</w:t>
      </w:r>
    </w:p>
    <w:p w14:paraId="7E80B887" w14:textId="77777777" w:rsidR="00887EA8" w:rsidRDefault="00887EA8" w:rsidP="000C56D8"/>
    <w:p w14:paraId="40B518AF" w14:textId="22C3B39D" w:rsidR="00887EA8" w:rsidRPr="00803FE7" w:rsidRDefault="00803FE7" w:rsidP="000C56D8">
      <w:proofErr w:type="spellStart"/>
      <w:proofErr w:type="gramStart"/>
      <w:r>
        <w:t>Quine</w:t>
      </w:r>
      <w:proofErr w:type="spellEnd"/>
      <w:r>
        <w:t>, W. V. (1981).</w:t>
      </w:r>
      <w:proofErr w:type="gramEnd"/>
      <w:r>
        <w:t xml:space="preserve"> </w:t>
      </w:r>
      <w:proofErr w:type="gramStart"/>
      <w:r>
        <w:rPr>
          <w:i/>
        </w:rPr>
        <w:t>Theories and Things</w:t>
      </w:r>
      <w:r>
        <w:t>.</w:t>
      </w:r>
      <w:proofErr w:type="gramEnd"/>
      <w:r>
        <w:t xml:space="preserve">  Cambridge: Harvard University Press.</w:t>
      </w:r>
    </w:p>
    <w:p w14:paraId="09BC8FCB" w14:textId="77777777" w:rsidR="00AA2883" w:rsidRDefault="00AA2883" w:rsidP="000C56D8"/>
    <w:p w14:paraId="53AE0DF2" w14:textId="612355FB" w:rsidR="008A084D" w:rsidRDefault="00AA2883" w:rsidP="000C56D8">
      <w:proofErr w:type="spellStart"/>
      <w:proofErr w:type="gramStart"/>
      <w:r>
        <w:t>Quine</w:t>
      </w:r>
      <w:proofErr w:type="spellEnd"/>
      <w:r>
        <w:t xml:space="preserve">, W. V. (1990) </w:t>
      </w:r>
      <w:r>
        <w:rPr>
          <w:i/>
        </w:rPr>
        <w:t>Pursuit of Truth</w:t>
      </w:r>
      <w:r w:rsidR="00803FE7">
        <w:t>.</w:t>
      </w:r>
      <w:proofErr w:type="gramEnd"/>
      <w:r w:rsidR="00803FE7">
        <w:t xml:space="preserve"> Cambridge: Harvard University Press.</w:t>
      </w:r>
    </w:p>
    <w:sectPr w:rsidR="008A084D" w:rsidSect="003079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43032" w14:textId="77777777" w:rsidR="003F0252" w:rsidRDefault="003F0252" w:rsidP="0067519F">
      <w:r>
        <w:separator/>
      </w:r>
    </w:p>
  </w:endnote>
  <w:endnote w:type="continuationSeparator" w:id="0">
    <w:p w14:paraId="135BD40A" w14:textId="77777777" w:rsidR="003F0252" w:rsidRDefault="003F0252" w:rsidP="0067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URWPalladioL-Roma">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72DE5" w14:textId="77777777" w:rsidR="003F0252" w:rsidRDefault="003F0252" w:rsidP="0067519F">
      <w:r>
        <w:separator/>
      </w:r>
    </w:p>
  </w:footnote>
  <w:footnote w:type="continuationSeparator" w:id="0">
    <w:p w14:paraId="0FCA161A" w14:textId="77777777" w:rsidR="003F0252" w:rsidRDefault="003F0252" w:rsidP="0067519F">
      <w:r>
        <w:continuationSeparator/>
      </w:r>
    </w:p>
  </w:footnote>
  <w:footnote w:id="1">
    <w:p w14:paraId="29449C23" w14:textId="5F50A3E9" w:rsidR="003F0252" w:rsidRPr="003307E7" w:rsidRDefault="003F0252" w:rsidP="00A94039">
      <w:pPr>
        <w:pStyle w:val="FootnoteText"/>
        <w:rPr>
          <w:sz w:val="22"/>
          <w:szCs w:val="22"/>
        </w:rPr>
      </w:pPr>
      <w:r w:rsidRPr="003307E7">
        <w:rPr>
          <w:rStyle w:val="FootnoteReference"/>
          <w:sz w:val="22"/>
          <w:szCs w:val="22"/>
        </w:rPr>
        <w:footnoteRef/>
      </w:r>
      <w:r w:rsidRPr="003307E7">
        <w:rPr>
          <w:sz w:val="22"/>
          <w:szCs w:val="22"/>
        </w:rPr>
        <w:t xml:space="preserve"> </w:t>
      </w:r>
      <w:proofErr w:type="spellStart"/>
      <w:r>
        <w:rPr>
          <w:sz w:val="22"/>
          <w:szCs w:val="22"/>
        </w:rPr>
        <w:t>Quine</w:t>
      </w:r>
      <w:proofErr w:type="spellEnd"/>
      <w:r w:rsidRPr="003307E7">
        <w:rPr>
          <w:sz w:val="22"/>
          <w:szCs w:val="22"/>
        </w:rPr>
        <w:t xml:space="preserve"> thinks a balance must be </w:t>
      </w:r>
      <w:r>
        <w:rPr>
          <w:sz w:val="22"/>
          <w:szCs w:val="22"/>
        </w:rPr>
        <w:t>struck between the two types</w:t>
      </w:r>
      <w:r w:rsidRPr="003307E7">
        <w:rPr>
          <w:sz w:val="22"/>
          <w:szCs w:val="22"/>
        </w:rPr>
        <w:t>: “Simplicity is the thing, and ontological economy is one aspect of it, to be averaged in with the others” (1976, 264).</w:t>
      </w:r>
    </w:p>
  </w:footnote>
  <w:footnote w:id="2">
    <w:p w14:paraId="677B4EC7" w14:textId="77777777" w:rsidR="00A60F7F" w:rsidRPr="003307E7" w:rsidRDefault="00A60F7F" w:rsidP="00A60F7F">
      <w:pPr>
        <w:pStyle w:val="FootnoteText"/>
        <w:rPr>
          <w:sz w:val="22"/>
          <w:szCs w:val="22"/>
        </w:rPr>
      </w:pPr>
      <w:r w:rsidRPr="003307E7">
        <w:rPr>
          <w:rStyle w:val="FootnoteReference"/>
          <w:sz w:val="22"/>
          <w:szCs w:val="22"/>
        </w:rPr>
        <w:footnoteRef/>
      </w:r>
      <w:r w:rsidRPr="003307E7">
        <w:rPr>
          <w:sz w:val="22"/>
          <w:szCs w:val="22"/>
        </w:rPr>
        <w:t xml:space="preserve"> </w:t>
      </w:r>
      <w:proofErr w:type="spellStart"/>
      <w:r w:rsidRPr="003307E7">
        <w:rPr>
          <w:sz w:val="22"/>
          <w:szCs w:val="22"/>
        </w:rPr>
        <w:t>Quine</w:t>
      </w:r>
      <w:proofErr w:type="spellEnd"/>
      <w:r w:rsidRPr="003307E7">
        <w:rPr>
          <w:sz w:val="22"/>
          <w:szCs w:val="22"/>
        </w:rPr>
        <w:t xml:space="preserve"> lists five virtues in a hypothesis: “conservatism, generality, simplicity, refutability, and modesty” (1990, 20). </w:t>
      </w:r>
      <w:r>
        <w:rPr>
          <w:sz w:val="22"/>
          <w:szCs w:val="22"/>
        </w:rPr>
        <w:t xml:space="preserve"> Perhaps Ebbs’</w:t>
      </w:r>
      <w:r w:rsidRPr="003307E7">
        <w:rPr>
          <w:sz w:val="22"/>
          <w:szCs w:val="22"/>
        </w:rPr>
        <w:t xml:space="preserve"> position is—or should be—that ‘common sense’ is roughly equivalent to one </w:t>
      </w:r>
      <w:r>
        <w:rPr>
          <w:sz w:val="22"/>
          <w:szCs w:val="22"/>
        </w:rPr>
        <w:t xml:space="preserve">or more of these (conservatism </w:t>
      </w:r>
      <w:r w:rsidRPr="003307E7">
        <w:rPr>
          <w:sz w:val="22"/>
          <w:szCs w:val="22"/>
        </w:rPr>
        <w:t xml:space="preserve">is probably the best candidate, but that encompasses familiar scientific theories </w:t>
      </w:r>
      <w:r>
        <w:rPr>
          <w:sz w:val="22"/>
          <w:szCs w:val="22"/>
        </w:rPr>
        <w:t>in addition to</w:t>
      </w:r>
      <w:r w:rsidRPr="003307E7">
        <w:rPr>
          <w:sz w:val="22"/>
          <w:szCs w:val="22"/>
        </w:rPr>
        <w:t xml:space="preserve"> common sense</w:t>
      </w:r>
      <w:r>
        <w:rPr>
          <w:sz w:val="22"/>
          <w:szCs w:val="22"/>
        </w:rPr>
        <w:t xml:space="preserve">, for </w:t>
      </w:r>
      <w:proofErr w:type="spellStart"/>
      <w:r>
        <w:rPr>
          <w:sz w:val="22"/>
          <w:szCs w:val="22"/>
        </w:rPr>
        <w:t>Quine</w:t>
      </w:r>
      <w:proofErr w:type="spellEnd"/>
      <w:r w:rsidRPr="003307E7">
        <w:rPr>
          <w:sz w:val="22"/>
          <w:szCs w:val="22"/>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832D5"/>
    <w:multiLevelType w:val="hybridMultilevel"/>
    <w:tmpl w:val="463614D8"/>
    <w:lvl w:ilvl="0" w:tplc="D2547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88"/>
    <w:rsid w:val="00025C03"/>
    <w:rsid w:val="000279FD"/>
    <w:rsid w:val="00067BD1"/>
    <w:rsid w:val="00086B27"/>
    <w:rsid w:val="000A3F4B"/>
    <w:rsid w:val="000A5644"/>
    <w:rsid w:val="000B4DF5"/>
    <w:rsid w:val="000C56D8"/>
    <w:rsid w:val="000E7DA7"/>
    <w:rsid w:val="001345E7"/>
    <w:rsid w:val="0015709A"/>
    <w:rsid w:val="00197184"/>
    <w:rsid w:val="002222B1"/>
    <w:rsid w:val="0023212A"/>
    <w:rsid w:val="00234C0C"/>
    <w:rsid w:val="0025222B"/>
    <w:rsid w:val="002543D2"/>
    <w:rsid w:val="0028177E"/>
    <w:rsid w:val="002B3173"/>
    <w:rsid w:val="002B758D"/>
    <w:rsid w:val="002F25B6"/>
    <w:rsid w:val="002F47B6"/>
    <w:rsid w:val="0030409A"/>
    <w:rsid w:val="00307932"/>
    <w:rsid w:val="00326D4F"/>
    <w:rsid w:val="00327216"/>
    <w:rsid w:val="003307E7"/>
    <w:rsid w:val="00343A59"/>
    <w:rsid w:val="003652AF"/>
    <w:rsid w:val="003678F9"/>
    <w:rsid w:val="003F0252"/>
    <w:rsid w:val="003F108A"/>
    <w:rsid w:val="003F3733"/>
    <w:rsid w:val="004340CD"/>
    <w:rsid w:val="00464A29"/>
    <w:rsid w:val="00471828"/>
    <w:rsid w:val="00497D5D"/>
    <w:rsid w:val="004F4734"/>
    <w:rsid w:val="00502439"/>
    <w:rsid w:val="00517BA7"/>
    <w:rsid w:val="00525798"/>
    <w:rsid w:val="005373F3"/>
    <w:rsid w:val="0053788F"/>
    <w:rsid w:val="00540572"/>
    <w:rsid w:val="0055112F"/>
    <w:rsid w:val="005600BE"/>
    <w:rsid w:val="005818C3"/>
    <w:rsid w:val="0059621B"/>
    <w:rsid w:val="00596442"/>
    <w:rsid w:val="0059651D"/>
    <w:rsid w:val="005B4E70"/>
    <w:rsid w:val="005B74B9"/>
    <w:rsid w:val="005D7B98"/>
    <w:rsid w:val="005E1666"/>
    <w:rsid w:val="005E7A30"/>
    <w:rsid w:val="00607118"/>
    <w:rsid w:val="006143E1"/>
    <w:rsid w:val="00655A3F"/>
    <w:rsid w:val="00655BCC"/>
    <w:rsid w:val="0067519F"/>
    <w:rsid w:val="00680B84"/>
    <w:rsid w:val="006865CB"/>
    <w:rsid w:val="006D78B3"/>
    <w:rsid w:val="006F3D0E"/>
    <w:rsid w:val="00700EC1"/>
    <w:rsid w:val="00770CB0"/>
    <w:rsid w:val="007A047F"/>
    <w:rsid w:val="007A7806"/>
    <w:rsid w:val="007D280C"/>
    <w:rsid w:val="00803FE7"/>
    <w:rsid w:val="008103AB"/>
    <w:rsid w:val="008434AA"/>
    <w:rsid w:val="008666A1"/>
    <w:rsid w:val="0088309F"/>
    <w:rsid w:val="0088502C"/>
    <w:rsid w:val="00887EA8"/>
    <w:rsid w:val="00894AEB"/>
    <w:rsid w:val="008A084D"/>
    <w:rsid w:val="008A4385"/>
    <w:rsid w:val="008D1B6D"/>
    <w:rsid w:val="008F35D7"/>
    <w:rsid w:val="00910E15"/>
    <w:rsid w:val="0094128F"/>
    <w:rsid w:val="00973A93"/>
    <w:rsid w:val="00974312"/>
    <w:rsid w:val="00982A5B"/>
    <w:rsid w:val="00990E3A"/>
    <w:rsid w:val="009A7063"/>
    <w:rsid w:val="009D13AD"/>
    <w:rsid w:val="009F2322"/>
    <w:rsid w:val="009F5D2A"/>
    <w:rsid w:val="00A60F7F"/>
    <w:rsid w:val="00A62861"/>
    <w:rsid w:val="00A64525"/>
    <w:rsid w:val="00A761BE"/>
    <w:rsid w:val="00A94039"/>
    <w:rsid w:val="00AA0B17"/>
    <w:rsid w:val="00AA2883"/>
    <w:rsid w:val="00AB5E89"/>
    <w:rsid w:val="00AE3C35"/>
    <w:rsid w:val="00AE512E"/>
    <w:rsid w:val="00AF0451"/>
    <w:rsid w:val="00AF3257"/>
    <w:rsid w:val="00B01261"/>
    <w:rsid w:val="00B54F4B"/>
    <w:rsid w:val="00B75005"/>
    <w:rsid w:val="00BD12AD"/>
    <w:rsid w:val="00BE09B9"/>
    <w:rsid w:val="00BF0D2F"/>
    <w:rsid w:val="00C23888"/>
    <w:rsid w:val="00C36657"/>
    <w:rsid w:val="00C51C03"/>
    <w:rsid w:val="00C87390"/>
    <w:rsid w:val="00C90AFA"/>
    <w:rsid w:val="00C92F23"/>
    <w:rsid w:val="00C94EEE"/>
    <w:rsid w:val="00CA4F14"/>
    <w:rsid w:val="00CA6374"/>
    <w:rsid w:val="00CF20A0"/>
    <w:rsid w:val="00CF380F"/>
    <w:rsid w:val="00D123A4"/>
    <w:rsid w:val="00D1405B"/>
    <w:rsid w:val="00D704B8"/>
    <w:rsid w:val="00D77F87"/>
    <w:rsid w:val="00D8713E"/>
    <w:rsid w:val="00DB738C"/>
    <w:rsid w:val="00DE2703"/>
    <w:rsid w:val="00E17107"/>
    <w:rsid w:val="00E271ED"/>
    <w:rsid w:val="00E515EA"/>
    <w:rsid w:val="00EA3A10"/>
    <w:rsid w:val="00EB3A7D"/>
    <w:rsid w:val="00ED2656"/>
    <w:rsid w:val="00ED28A3"/>
    <w:rsid w:val="00EF385C"/>
    <w:rsid w:val="00F02803"/>
    <w:rsid w:val="00F1439F"/>
    <w:rsid w:val="00F243A4"/>
    <w:rsid w:val="00F24BF3"/>
    <w:rsid w:val="00F414C2"/>
    <w:rsid w:val="00F85899"/>
    <w:rsid w:val="00FD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102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734"/>
    <w:pPr>
      <w:ind w:left="720"/>
      <w:contextualSpacing/>
    </w:pPr>
  </w:style>
  <w:style w:type="paragraph" w:styleId="FootnoteText">
    <w:name w:val="footnote text"/>
    <w:basedOn w:val="Normal"/>
    <w:link w:val="FootnoteTextChar"/>
    <w:uiPriority w:val="99"/>
    <w:unhideWhenUsed/>
    <w:rsid w:val="0067519F"/>
  </w:style>
  <w:style w:type="character" w:customStyle="1" w:styleId="FootnoteTextChar">
    <w:name w:val="Footnote Text Char"/>
    <w:basedOn w:val="DefaultParagraphFont"/>
    <w:link w:val="FootnoteText"/>
    <w:uiPriority w:val="99"/>
    <w:rsid w:val="0067519F"/>
  </w:style>
  <w:style w:type="character" w:styleId="FootnoteReference">
    <w:name w:val="footnote reference"/>
    <w:basedOn w:val="DefaultParagraphFont"/>
    <w:uiPriority w:val="99"/>
    <w:unhideWhenUsed/>
    <w:rsid w:val="0067519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734"/>
    <w:pPr>
      <w:ind w:left="720"/>
      <w:contextualSpacing/>
    </w:pPr>
  </w:style>
  <w:style w:type="paragraph" w:styleId="FootnoteText">
    <w:name w:val="footnote text"/>
    <w:basedOn w:val="Normal"/>
    <w:link w:val="FootnoteTextChar"/>
    <w:uiPriority w:val="99"/>
    <w:unhideWhenUsed/>
    <w:rsid w:val="0067519F"/>
  </w:style>
  <w:style w:type="character" w:customStyle="1" w:styleId="FootnoteTextChar">
    <w:name w:val="Footnote Text Char"/>
    <w:basedOn w:val="DefaultParagraphFont"/>
    <w:link w:val="FootnoteText"/>
    <w:uiPriority w:val="99"/>
    <w:rsid w:val="0067519F"/>
  </w:style>
  <w:style w:type="character" w:styleId="FootnoteReference">
    <w:name w:val="footnote reference"/>
    <w:basedOn w:val="DefaultParagraphFont"/>
    <w:uiPriority w:val="99"/>
    <w:unhideWhenUsed/>
    <w:rsid w:val="00675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2941</Words>
  <Characters>16764</Characters>
  <Application>Microsoft Macintosh Word</Application>
  <DocSecurity>0</DocSecurity>
  <Lines>139</Lines>
  <Paragraphs>39</Paragraphs>
  <ScaleCrop>false</ScaleCrop>
  <Company>Hobart &amp; William Smith Colleges</Company>
  <LinksUpToDate>false</LinksUpToDate>
  <CharactersWithSpaces>19666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Frost-Arnold, Gregory</dc:creator>
  <cp:keywords/>
  <dc:description/>
  <cp:lastModifiedBy>Frost-Arnold, Gregory</cp:lastModifiedBy>
  <cp:revision>2</cp:revision>
  <cp:lastPrinted>2015-07-28T01:38:00Z</cp:lastPrinted>
  <dcterms:created xsi:type="dcterms:W3CDTF">2015-08-10T16:38:00Z</dcterms:created>
  <dcterms:modified xsi:type="dcterms:W3CDTF">2015-08-10T16:38:00Z</dcterms:modified>
</cp:coreProperties>
</file>