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D53AA" w14:textId="1886ABD7" w:rsidR="007B36C6" w:rsidRDefault="007B36C6" w:rsidP="007B36C6">
      <w:pPr>
        <w:spacing w:after="0" w:line="240" w:lineRule="auto"/>
        <w:contextualSpacing/>
        <w:jc w:val="center"/>
        <w:textAlignment w:val="baseline"/>
        <w:rPr>
          <w:rFonts w:ascii="Garamond" w:hAnsi="Garamond"/>
          <w:sz w:val="20"/>
          <w:szCs w:val="20"/>
          <w:lang w:val="en-US"/>
        </w:rPr>
      </w:pPr>
      <w:r w:rsidRPr="007B36C6">
        <w:rPr>
          <w:rFonts w:ascii="Garamond" w:hAnsi="Garamond"/>
          <w:sz w:val="20"/>
          <w:szCs w:val="20"/>
          <w:lang w:val="en-US"/>
        </w:rPr>
        <w:t xml:space="preserve">Forthcoming in </w:t>
      </w:r>
      <w:r w:rsidRPr="007B36C6">
        <w:rPr>
          <w:rFonts w:ascii="Garamond" w:hAnsi="Garamond"/>
          <w:i/>
          <w:iCs/>
          <w:sz w:val="20"/>
          <w:szCs w:val="20"/>
          <w:lang w:val="en-US"/>
        </w:rPr>
        <w:t>Behavioral and Brain Sciences</w:t>
      </w:r>
      <w:r>
        <w:rPr>
          <w:rFonts w:ascii="Garamond" w:hAnsi="Garamond"/>
          <w:sz w:val="20"/>
          <w:szCs w:val="20"/>
          <w:lang w:val="en-US"/>
        </w:rPr>
        <w:t xml:space="preserve"> as a comment on </w:t>
      </w:r>
      <w:r w:rsidRPr="007B36C6">
        <w:rPr>
          <w:rFonts w:ascii="Garamond" w:hAnsi="Garamond"/>
          <w:sz w:val="20"/>
          <w:szCs w:val="20"/>
          <w:lang w:val="en-US"/>
        </w:rPr>
        <w:t>Phillips et al.</w:t>
      </w:r>
      <w:r>
        <w:rPr>
          <w:rFonts w:ascii="Garamond" w:hAnsi="Garamond"/>
          <w:sz w:val="20"/>
          <w:szCs w:val="20"/>
          <w:lang w:val="en-US"/>
        </w:rPr>
        <w:t xml:space="preserve"> ‘</w:t>
      </w:r>
      <w:r w:rsidRPr="003F43C8">
        <w:rPr>
          <w:rFonts w:ascii="Garamond" w:hAnsi="Garamond"/>
          <w:i/>
          <w:iCs/>
          <w:sz w:val="20"/>
          <w:szCs w:val="20"/>
          <w:lang w:val="en-US"/>
        </w:rPr>
        <w:t>Knowledge before belief</w:t>
      </w:r>
      <w:r w:rsidR="003F43C8">
        <w:rPr>
          <w:rFonts w:ascii="Garamond" w:hAnsi="Garamond"/>
          <w:sz w:val="20"/>
          <w:szCs w:val="20"/>
          <w:lang w:val="en-US"/>
        </w:rPr>
        <w:t>.’</w:t>
      </w:r>
    </w:p>
    <w:p w14:paraId="3C19F460" w14:textId="66A9A16C" w:rsidR="003F43C8" w:rsidRDefault="003F43C8" w:rsidP="007B36C6">
      <w:pPr>
        <w:spacing w:after="0" w:line="240" w:lineRule="auto"/>
        <w:contextualSpacing/>
        <w:jc w:val="center"/>
        <w:textAlignment w:val="baseline"/>
        <w:rPr>
          <w:rFonts w:ascii="Garamond" w:hAnsi="Garamond"/>
          <w:sz w:val="20"/>
          <w:szCs w:val="20"/>
          <w:lang w:val="en-US"/>
        </w:rPr>
      </w:pPr>
      <w:r>
        <w:rPr>
          <w:rFonts w:ascii="Garamond" w:hAnsi="Garamond"/>
          <w:sz w:val="20"/>
          <w:szCs w:val="20"/>
          <w:lang w:val="en-US"/>
        </w:rPr>
        <w:t xml:space="preserve">Penultimate version. </w:t>
      </w:r>
      <w:r>
        <w:rPr>
          <w:rFonts w:ascii="Garamond" w:hAnsi="Garamond"/>
          <w:sz w:val="20"/>
          <w:szCs w:val="20"/>
          <w:lang w:val="en-US"/>
        </w:rPr>
        <w:t xml:space="preserve">Please cite the published version. </w:t>
      </w:r>
    </w:p>
    <w:p w14:paraId="64909D1E" w14:textId="085BD141" w:rsidR="003F43C8" w:rsidRDefault="003F43C8" w:rsidP="002378DB">
      <w:pPr>
        <w:spacing w:after="0" w:line="240" w:lineRule="auto"/>
        <w:contextualSpacing/>
        <w:jc w:val="center"/>
        <w:textAlignment w:val="baseline"/>
        <w:rPr>
          <w:rFonts w:ascii="Garamond" w:hAnsi="Garamond"/>
          <w:sz w:val="20"/>
          <w:szCs w:val="20"/>
          <w:lang w:val="en-US"/>
        </w:rPr>
      </w:pPr>
      <w:r>
        <w:rPr>
          <w:rFonts w:ascii="Garamond" w:hAnsi="Garamond"/>
          <w:sz w:val="20"/>
          <w:szCs w:val="20"/>
          <w:lang w:val="en-US"/>
        </w:rPr>
        <w:t>Mikkel Gerken</w:t>
      </w:r>
    </w:p>
    <w:p w14:paraId="60B818CB" w14:textId="3547C6C2" w:rsidR="003F43C8" w:rsidRDefault="003F43C8" w:rsidP="003F43C8">
      <w:pPr>
        <w:spacing w:after="0" w:line="240" w:lineRule="auto"/>
        <w:contextualSpacing/>
        <w:textAlignment w:val="baseline"/>
        <w:rPr>
          <w:rFonts w:ascii="Garamond" w:hAnsi="Garamond"/>
          <w:sz w:val="20"/>
          <w:szCs w:val="20"/>
          <w:lang w:val="en-US"/>
        </w:rPr>
      </w:pPr>
    </w:p>
    <w:p w14:paraId="3A4D6D9F" w14:textId="77777777" w:rsidR="002378DB" w:rsidRDefault="002378DB" w:rsidP="002378DB">
      <w:pPr>
        <w:spacing w:after="0" w:line="240" w:lineRule="auto"/>
        <w:contextualSpacing/>
        <w:jc w:val="center"/>
        <w:textAlignment w:val="baseline"/>
        <w:rPr>
          <w:rFonts w:ascii="Garamond" w:hAnsi="Garamond"/>
          <w:b/>
          <w:bCs/>
          <w:i/>
          <w:iCs/>
          <w:sz w:val="36"/>
          <w:szCs w:val="36"/>
          <w:lang w:val="en-US"/>
        </w:rPr>
      </w:pPr>
    </w:p>
    <w:p w14:paraId="3AD675C9" w14:textId="2B06ADFC" w:rsidR="002378DB" w:rsidRPr="002378DB" w:rsidRDefault="002378DB" w:rsidP="002378DB">
      <w:pPr>
        <w:spacing w:after="0" w:line="240" w:lineRule="auto"/>
        <w:contextualSpacing/>
        <w:jc w:val="center"/>
        <w:textAlignment w:val="baseline"/>
        <w:rPr>
          <w:rFonts w:ascii="Garamond" w:hAnsi="Garamond"/>
          <w:b/>
          <w:bCs/>
          <w:i/>
          <w:iCs/>
          <w:sz w:val="40"/>
          <w:szCs w:val="40"/>
          <w:lang w:val="en-US"/>
        </w:rPr>
      </w:pPr>
      <w:r w:rsidRPr="002378DB">
        <w:rPr>
          <w:rFonts w:ascii="Garamond" w:hAnsi="Garamond"/>
          <w:b/>
          <w:bCs/>
          <w:i/>
          <w:iCs/>
          <w:sz w:val="40"/>
          <w:szCs w:val="40"/>
          <w:lang w:val="en-US"/>
        </w:rPr>
        <w:t>Representation and misrepresentation of knowledge</w:t>
      </w:r>
    </w:p>
    <w:p w14:paraId="507170F1" w14:textId="77777777" w:rsidR="002378DB" w:rsidRDefault="002378DB" w:rsidP="002378DB">
      <w:pPr>
        <w:spacing w:after="0" w:line="240" w:lineRule="auto"/>
        <w:contextualSpacing/>
        <w:textAlignment w:val="baseline"/>
        <w:rPr>
          <w:rFonts w:ascii="Garamond" w:hAnsi="Garamond"/>
          <w:sz w:val="24"/>
          <w:szCs w:val="24"/>
          <w:lang w:val="en-US"/>
        </w:rPr>
      </w:pPr>
    </w:p>
    <w:p w14:paraId="38155E4B" w14:textId="77777777" w:rsidR="002378DB" w:rsidRPr="002378DB" w:rsidRDefault="002378DB" w:rsidP="002378DB">
      <w:pPr>
        <w:spacing w:after="0" w:line="240" w:lineRule="auto"/>
        <w:ind w:left="851" w:right="849"/>
        <w:jc w:val="both"/>
        <w:textAlignment w:val="baseline"/>
        <w:rPr>
          <w:rFonts w:ascii="Garamond" w:hAnsi="Garamond"/>
          <w:sz w:val="20"/>
          <w:szCs w:val="20"/>
          <w:lang w:val="en-US"/>
        </w:rPr>
      </w:pPr>
      <w:r w:rsidRPr="002378DB">
        <w:rPr>
          <w:rFonts w:ascii="Garamond" w:hAnsi="Garamond"/>
          <w:b/>
          <w:bCs/>
          <w:sz w:val="20"/>
          <w:szCs w:val="20"/>
          <w:lang w:val="en-US"/>
        </w:rPr>
        <w:t xml:space="preserve">Abstract: </w:t>
      </w:r>
      <w:r w:rsidRPr="002378DB">
        <w:rPr>
          <w:rFonts w:ascii="Garamond" w:hAnsi="Garamond"/>
          <w:sz w:val="20"/>
          <w:szCs w:val="20"/>
          <w:lang w:val="en-US"/>
        </w:rPr>
        <w:t xml:space="preserve">I argue for three points: First, evidence of the primacy of knowledge representation is not evidence of primacy of knowledge. Second, knowledge-oriented mindreading research should also focus on misrepresentations and biased representations of knowledge. Third, knowledge-oriented mindreading research must confront </w:t>
      </w:r>
      <w:r w:rsidRPr="002378DB">
        <w:rPr>
          <w:rFonts w:ascii="Garamond" w:hAnsi="Garamond"/>
          <w:i/>
          <w:iCs/>
          <w:sz w:val="20"/>
          <w:szCs w:val="20"/>
          <w:lang w:val="en-US"/>
        </w:rPr>
        <w:t>the problem of the gold standard</w:t>
      </w:r>
      <w:r w:rsidRPr="002378DB">
        <w:rPr>
          <w:rFonts w:ascii="Garamond" w:hAnsi="Garamond"/>
          <w:sz w:val="20"/>
          <w:szCs w:val="20"/>
          <w:lang w:val="en-US"/>
        </w:rPr>
        <w:t xml:space="preserve"> that arises when disagreement about knowledge complicates the interpretation of empirical findings.</w:t>
      </w:r>
    </w:p>
    <w:p w14:paraId="26CF43AE" w14:textId="77777777" w:rsidR="002378DB" w:rsidRDefault="002378DB" w:rsidP="002378DB">
      <w:pPr>
        <w:spacing w:after="0" w:line="240" w:lineRule="auto"/>
        <w:contextualSpacing/>
        <w:textAlignment w:val="baseline"/>
        <w:rPr>
          <w:rFonts w:ascii="Segoe UI" w:hAnsi="Segoe UI" w:cs="Segoe UI"/>
          <w:b/>
          <w:bCs/>
          <w:color w:val="212121"/>
          <w:sz w:val="20"/>
          <w:szCs w:val="20"/>
          <w:shd w:val="clear" w:color="auto" w:fill="FFFFFF"/>
          <w:lang w:val="en-US"/>
        </w:rPr>
      </w:pPr>
    </w:p>
    <w:p w14:paraId="30E66EEA" w14:textId="6E8E5431" w:rsidR="002378DB" w:rsidRDefault="002378DB" w:rsidP="007B36C6">
      <w:pPr>
        <w:spacing w:after="0" w:line="240" w:lineRule="auto"/>
        <w:contextualSpacing/>
        <w:textAlignment w:val="baseline"/>
        <w:rPr>
          <w:rFonts w:ascii="Garamond" w:hAnsi="Garamond"/>
          <w:sz w:val="24"/>
          <w:szCs w:val="24"/>
          <w:lang w:val="en-US"/>
        </w:rPr>
      </w:pPr>
    </w:p>
    <w:p w14:paraId="2D2A687F" w14:textId="0F404D69" w:rsidR="007B36C6" w:rsidRDefault="007B36C6" w:rsidP="007B36C6">
      <w:pPr>
        <w:spacing w:after="0" w:line="240" w:lineRule="auto"/>
        <w:contextualSpacing/>
        <w:textAlignment w:val="baseline"/>
        <w:rPr>
          <w:rFonts w:ascii="Garamond" w:hAnsi="Garamond"/>
          <w:sz w:val="24"/>
          <w:szCs w:val="24"/>
          <w:lang w:val="en-US"/>
        </w:rPr>
      </w:pPr>
      <w:r>
        <w:rPr>
          <w:rFonts w:ascii="Garamond" w:hAnsi="Garamond"/>
          <w:sz w:val="24"/>
          <w:szCs w:val="24"/>
          <w:lang w:val="en-US"/>
        </w:rPr>
        <w:t xml:space="preserve">The target article (Phillips et al., this issue) provides converging evidence for assuming that representations of knowledge are more basic than representations of belief. While some findings that they take as evidence for representations of knowledge may perhaps be given deflationary interpretations, I am sympathetic to their broad </w:t>
      </w:r>
      <w:r w:rsidRPr="00D7570C">
        <w:rPr>
          <w:rFonts w:ascii="Garamond" w:hAnsi="Garamond"/>
          <w:i/>
          <w:iCs/>
          <w:sz w:val="24"/>
          <w:szCs w:val="24"/>
          <w:lang w:val="en-US"/>
        </w:rPr>
        <w:t>descriptive</w:t>
      </w:r>
      <w:r>
        <w:rPr>
          <w:rFonts w:ascii="Garamond" w:hAnsi="Garamond"/>
          <w:sz w:val="24"/>
          <w:szCs w:val="24"/>
          <w:lang w:val="en-US"/>
        </w:rPr>
        <w:t xml:space="preserve"> conclusion about the primacy of knowledge representations. Likewise, I agree with their </w:t>
      </w:r>
      <w:r w:rsidRPr="00D7570C">
        <w:rPr>
          <w:rFonts w:ascii="Garamond" w:hAnsi="Garamond"/>
          <w:i/>
          <w:iCs/>
          <w:sz w:val="24"/>
          <w:szCs w:val="24"/>
          <w:lang w:val="en-US"/>
        </w:rPr>
        <w:t>methodological</w:t>
      </w:r>
      <w:r>
        <w:rPr>
          <w:rFonts w:ascii="Garamond" w:hAnsi="Garamond"/>
          <w:sz w:val="24"/>
          <w:szCs w:val="24"/>
          <w:lang w:val="en-US"/>
        </w:rPr>
        <w:t xml:space="preserve"> conclusion that mindreading research should focus more on knowledge representation. Consequently, I will argue for three further points about knowledge-oriented mindreading research.</w:t>
      </w:r>
      <w:r w:rsidRPr="00BC0923">
        <w:rPr>
          <w:rFonts w:ascii="Garamond" w:hAnsi="Garamond"/>
          <w:sz w:val="24"/>
          <w:szCs w:val="24"/>
          <w:lang w:val="en-US"/>
        </w:rPr>
        <w:t xml:space="preserve"> </w:t>
      </w:r>
    </w:p>
    <w:p w14:paraId="4EF7A22F" w14:textId="77777777" w:rsidR="007B36C6" w:rsidRDefault="007B36C6" w:rsidP="007B36C6">
      <w:pPr>
        <w:spacing w:after="0" w:line="240" w:lineRule="auto"/>
        <w:contextualSpacing/>
        <w:textAlignment w:val="baseline"/>
        <w:rPr>
          <w:rFonts w:ascii="Garamond" w:hAnsi="Garamond"/>
          <w:sz w:val="24"/>
          <w:szCs w:val="24"/>
          <w:lang w:val="en-US"/>
        </w:rPr>
      </w:pPr>
    </w:p>
    <w:p w14:paraId="0D15BAF2" w14:textId="77777777" w:rsidR="007B36C6" w:rsidRDefault="007B36C6" w:rsidP="007B36C6">
      <w:pPr>
        <w:spacing w:after="0" w:line="240" w:lineRule="auto"/>
        <w:contextualSpacing/>
        <w:textAlignment w:val="baseline"/>
        <w:rPr>
          <w:rFonts w:ascii="Garamond" w:hAnsi="Garamond"/>
          <w:sz w:val="24"/>
          <w:szCs w:val="24"/>
          <w:lang w:val="en-US"/>
        </w:rPr>
      </w:pPr>
      <w:r>
        <w:rPr>
          <w:rFonts w:ascii="Garamond" w:hAnsi="Garamond"/>
          <w:sz w:val="24"/>
          <w:szCs w:val="24"/>
          <w:lang w:val="en-US"/>
        </w:rPr>
        <w:t xml:space="preserve">The first point is that it is fallacious to conclude that knowledge itself is primary from evidence that representations of knowledge are primary. Generally, it is fallacious to move from assumptions about the primacy of a </w:t>
      </w:r>
      <w:r>
        <w:rPr>
          <w:rFonts w:ascii="Garamond" w:hAnsi="Garamond"/>
          <w:i/>
          <w:iCs/>
          <w:sz w:val="24"/>
          <w:szCs w:val="24"/>
          <w:lang w:val="en-US"/>
        </w:rPr>
        <w:t>mental representation</w:t>
      </w:r>
      <w:r>
        <w:rPr>
          <w:rFonts w:ascii="Garamond" w:hAnsi="Garamond"/>
          <w:sz w:val="24"/>
          <w:szCs w:val="24"/>
          <w:lang w:val="en-US"/>
        </w:rPr>
        <w:t xml:space="preserve"> to conclusions about the primacy of its </w:t>
      </w:r>
      <w:r w:rsidRPr="00B10D55">
        <w:rPr>
          <w:rFonts w:ascii="Garamond" w:hAnsi="Garamond"/>
          <w:i/>
          <w:iCs/>
          <w:sz w:val="24"/>
          <w:szCs w:val="24"/>
          <w:lang w:val="en-US"/>
        </w:rPr>
        <w:t>referent</w:t>
      </w:r>
      <w:r>
        <w:rPr>
          <w:rFonts w:ascii="Garamond" w:hAnsi="Garamond"/>
          <w:sz w:val="24"/>
          <w:szCs w:val="24"/>
          <w:lang w:val="en-US"/>
        </w:rPr>
        <w:t xml:space="preserve">. For example (from Gerken 2017b), it is a safe bet that representations of water are more basic than representations of hydrogen in terms of ontogenesis, phylogenesis, automatic processing etc. But this does not entail that the substance </w:t>
      </w:r>
      <w:r w:rsidRPr="009F4600">
        <w:rPr>
          <w:rFonts w:ascii="Garamond" w:hAnsi="Garamond"/>
          <w:i/>
          <w:iCs/>
          <w:sz w:val="24"/>
          <w:szCs w:val="24"/>
          <w:lang w:val="en-US"/>
        </w:rPr>
        <w:t>water</w:t>
      </w:r>
      <w:r>
        <w:rPr>
          <w:rFonts w:ascii="Garamond" w:hAnsi="Garamond"/>
          <w:sz w:val="24"/>
          <w:szCs w:val="24"/>
          <w:lang w:val="en-US"/>
        </w:rPr>
        <w:t xml:space="preserve"> is more basic or primary than </w:t>
      </w:r>
      <w:r w:rsidRPr="001663F6">
        <w:rPr>
          <w:rFonts w:ascii="Garamond" w:hAnsi="Garamond"/>
          <w:i/>
          <w:iCs/>
          <w:sz w:val="24"/>
          <w:szCs w:val="24"/>
          <w:lang w:val="en-US"/>
        </w:rPr>
        <w:t>hydrogen</w:t>
      </w:r>
      <w:r>
        <w:rPr>
          <w:rFonts w:ascii="Garamond" w:hAnsi="Garamond"/>
          <w:sz w:val="24"/>
          <w:szCs w:val="24"/>
          <w:lang w:val="en-US"/>
        </w:rPr>
        <w:t xml:space="preserve">. Such a </w:t>
      </w:r>
      <w:r>
        <w:rPr>
          <w:rFonts w:ascii="Garamond" w:hAnsi="Garamond"/>
          <w:i/>
          <w:iCs/>
          <w:sz w:val="24"/>
          <w:szCs w:val="24"/>
          <w:lang w:val="en-US"/>
        </w:rPr>
        <w:t>representation-</w:t>
      </w:r>
      <w:proofErr w:type="spellStart"/>
      <w:r>
        <w:rPr>
          <w:rFonts w:ascii="Garamond" w:hAnsi="Garamond"/>
          <w:i/>
          <w:iCs/>
          <w:sz w:val="24"/>
          <w:szCs w:val="24"/>
          <w:lang w:val="en-US"/>
        </w:rPr>
        <w:t>representandum</w:t>
      </w:r>
      <w:proofErr w:type="spellEnd"/>
      <w:r>
        <w:rPr>
          <w:rFonts w:ascii="Garamond" w:hAnsi="Garamond"/>
          <w:i/>
          <w:iCs/>
          <w:sz w:val="24"/>
          <w:szCs w:val="24"/>
          <w:lang w:val="en-US"/>
        </w:rPr>
        <w:t xml:space="preserve"> </w:t>
      </w:r>
      <w:r>
        <w:rPr>
          <w:rFonts w:ascii="Garamond" w:hAnsi="Garamond"/>
          <w:sz w:val="24"/>
          <w:szCs w:val="24"/>
          <w:lang w:val="en-US"/>
        </w:rPr>
        <w:t xml:space="preserve">fallacy regarding representations of knowledge may occur in both epistemology and cognitive science. The fallacy is not committed in the target article, although its title – </w:t>
      </w:r>
      <w:r>
        <w:rPr>
          <w:rFonts w:ascii="Garamond" w:hAnsi="Garamond"/>
          <w:i/>
          <w:iCs/>
          <w:sz w:val="24"/>
          <w:szCs w:val="24"/>
          <w:lang w:val="en-US"/>
        </w:rPr>
        <w:t xml:space="preserve">Knowledge before belief </w:t>
      </w:r>
      <w:r>
        <w:rPr>
          <w:rFonts w:ascii="Garamond" w:hAnsi="Garamond"/>
          <w:sz w:val="24"/>
          <w:szCs w:val="24"/>
          <w:lang w:val="en-US"/>
        </w:rPr>
        <w:t xml:space="preserve">– might encourage it. So, to ensure that the surveyed evidence is used responsibly, it is important to warn against the </w:t>
      </w:r>
      <w:r>
        <w:rPr>
          <w:rFonts w:ascii="Garamond" w:hAnsi="Garamond"/>
          <w:i/>
          <w:iCs/>
          <w:sz w:val="24"/>
          <w:szCs w:val="24"/>
          <w:lang w:val="en-US"/>
        </w:rPr>
        <w:t>representation-</w:t>
      </w:r>
      <w:proofErr w:type="spellStart"/>
      <w:r>
        <w:rPr>
          <w:rFonts w:ascii="Garamond" w:hAnsi="Garamond"/>
          <w:i/>
          <w:iCs/>
          <w:sz w:val="24"/>
          <w:szCs w:val="24"/>
          <w:lang w:val="en-US"/>
        </w:rPr>
        <w:t>representandum</w:t>
      </w:r>
      <w:proofErr w:type="spellEnd"/>
      <w:r>
        <w:rPr>
          <w:rFonts w:ascii="Garamond" w:hAnsi="Garamond"/>
          <w:i/>
          <w:iCs/>
          <w:sz w:val="24"/>
          <w:szCs w:val="24"/>
          <w:lang w:val="en-US"/>
        </w:rPr>
        <w:t xml:space="preserve"> </w:t>
      </w:r>
      <w:r>
        <w:rPr>
          <w:rFonts w:ascii="Garamond" w:hAnsi="Garamond"/>
          <w:sz w:val="24"/>
          <w:szCs w:val="24"/>
          <w:lang w:val="en-US"/>
        </w:rPr>
        <w:t xml:space="preserve">fallacy. For example, it would be fallacious to take the surveyed evidence to motivate any knowledge-first program concerning </w:t>
      </w:r>
      <w:r w:rsidRPr="005E580C">
        <w:rPr>
          <w:rFonts w:ascii="Garamond" w:hAnsi="Garamond"/>
          <w:sz w:val="24"/>
          <w:szCs w:val="24"/>
          <w:lang w:val="en-US"/>
        </w:rPr>
        <w:t>knowledge</w:t>
      </w:r>
      <w:r>
        <w:rPr>
          <w:rFonts w:ascii="Garamond" w:hAnsi="Garamond"/>
          <w:sz w:val="24"/>
          <w:szCs w:val="24"/>
          <w:lang w:val="en-US"/>
        </w:rPr>
        <w:t xml:space="preserve"> rather than the concept of knowledge, the word ‘knowledge’ etc. (Williamson 2000).</w:t>
      </w:r>
    </w:p>
    <w:p w14:paraId="15B18F89" w14:textId="77777777" w:rsidR="007B36C6" w:rsidRDefault="007B36C6" w:rsidP="007B36C6">
      <w:pPr>
        <w:autoSpaceDE w:val="0"/>
        <w:autoSpaceDN w:val="0"/>
        <w:adjustRightInd w:val="0"/>
        <w:spacing w:after="0" w:line="240" w:lineRule="auto"/>
        <w:rPr>
          <w:rFonts w:ascii="Garamond" w:hAnsi="Garamond"/>
          <w:sz w:val="24"/>
          <w:szCs w:val="24"/>
          <w:lang w:val="en-US"/>
        </w:rPr>
      </w:pPr>
    </w:p>
    <w:p w14:paraId="57DC4865" w14:textId="77777777" w:rsidR="007B36C6" w:rsidRDefault="007B36C6" w:rsidP="007B36C6">
      <w:pPr>
        <w:autoSpaceDE w:val="0"/>
        <w:autoSpaceDN w:val="0"/>
        <w:adjustRightInd w:val="0"/>
        <w:spacing w:after="0" w:line="240" w:lineRule="auto"/>
        <w:rPr>
          <w:rFonts w:ascii="Garamond" w:hAnsi="Garamond"/>
          <w:sz w:val="24"/>
          <w:szCs w:val="24"/>
          <w:lang w:val="en-US"/>
        </w:rPr>
      </w:pPr>
      <w:r>
        <w:rPr>
          <w:rFonts w:ascii="Garamond" w:hAnsi="Garamond"/>
          <w:sz w:val="24"/>
          <w:szCs w:val="24"/>
          <w:lang w:val="en-US"/>
        </w:rPr>
        <w:t xml:space="preserve">The second point is that knowledge-oriented mindreading research should study misrepresentations and biased knowledge representations. The primacy of knowledge representations may be partly explained in terms of </w:t>
      </w:r>
      <w:r>
        <w:rPr>
          <w:rFonts w:ascii="Garamond" w:hAnsi="Garamond"/>
          <w:i/>
          <w:iCs/>
          <w:sz w:val="24"/>
          <w:szCs w:val="24"/>
          <w:lang w:val="en-US"/>
        </w:rPr>
        <w:t>bounded rationality</w:t>
      </w:r>
      <w:r>
        <w:rPr>
          <w:rFonts w:ascii="Garamond" w:hAnsi="Garamond"/>
          <w:sz w:val="24"/>
          <w:szCs w:val="24"/>
          <w:lang w:val="en-US"/>
        </w:rPr>
        <w:t xml:space="preserve">: Representations of knowledge are basic and prominent partly because they are cognitively “cheap” ways of representing complex epistemic matters in a manner that is accurate enough for many purposes. </w:t>
      </w:r>
      <w:r w:rsidRPr="00375177">
        <w:rPr>
          <w:rFonts w:ascii="Garamond" w:hAnsi="Garamond"/>
          <w:sz w:val="24"/>
          <w:szCs w:val="24"/>
          <w:lang w:val="en-US"/>
        </w:rPr>
        <w:t>Insofar as r</w:t>
      </w:r>
      <w:r>
        <w:rPr>
          <w:rFonts w:ascii="Garamond" w:hAnsi="Garamond"/>
          <w:sz w:val="24"/>
          <w:szCs w:val="24"/>
          <w:lang w:val="en-US"/>
        </w:rPr>
        <w:t>epresentations of non-factive representations</w:t>
      </w:r>
      <w:r w:rsidRPr="00375177">
        <w:rPr>
          <w:rFonts w:ascii="Garamond" w:hAnsi="Garamond"/>
          <w:sz w:val="24"/>
          <w:szCs w:val="24"/>
          <w:lang w:val="en-US"/>
        </w:rPr>
        <w:t>, which</w:t>
      </w:r>
      <w:r>
        <w:rPr>
          <w:rFonts w:ascii="Garamond" w:hAnsi="Garamond"/>
          <w:sz w:val="24"/>
          <w:szCs w:val="24"/>
          <w:lang w:val="en-US"/>
        </w:rPr>
        <w:t xml:space="preserve"> </w:t>
      </w:r>
      <w:r w:rsidRPr="00375177">
        <w:rPr>
          <w:rFonts w:ascii="Garamond" w:hAnsi="Garamond"/>
          <w:sz w:val="24"/>
          <w:szCs w:val="24"/>
          <w:lang w:val="en-US"/>
        </w:rPr>
        <w:t>require one to keep track of both the mental representation and what it represents, are</w:t>
      </w:r>
      <w:r>
        <w:rPr>
          <w:rFonts w:ascii="Garamond" w:hAnsi="Garamond"/>
          <w:sz w:val="24"/>
          <w:szCs w:val="24"/>
          <w:lang w:val="en-US"/>
        </w:rPr>
        <w:t xml:space="preserve"> more cognitively taxing than representations of factive representations</w:t>
      </w:r>
      <w:r w:rsidRPr="00375177">
        <w:rPr>
          <w:rFonts w:ascii="Garamond" w:hAnsi="Garamond"/>
          <w:sz w:val="24"/>
          <w:szCs w:val="24"/>
          <w:lang w:val="en-US"/>
        </w:rPr>
        <w:t xml:space="preserve">, </w:t>
      </w:r>
      <w:r>
        <w:rPr>
          <w:rFonts w:ascii="Garamond" w:hAnsi="Garamond"/>
          <w:sz w:val="24"/>
          <w:szCs w:val="24"/>
          <w:lang w:val="en-US"/>
        </w:rPr>
        <w:t>cognitive bounds may partly explain the primacy of knowledge representations. However, bounded cognition involves biases.</w:t>
      </w:r>
    </w:p>
    <w:p w14:paraId="38D22B6D" w14:textId="77777777" w:rsidR="007B36C6" w:rsidRDefault="007B36C6" w:rsidP="007B36C6">
      <w:pPr>
        <w:autoSpaceDE w:val="0"/>
        <w:autoSpaceDN w:val="0"/>
        <w:adjustRightInd w:val="0"/>
        <w:spacing w:after="0" w:line="240" w:lineRule="auto"/>
        <w:rPr>
          <w:rFonts w:ascii="Garamond" w:hAnsi="Garamond"/>
          <w:sz w:val="24"/>
          <w:szCs w:val="24"/>
          <w:lang w:val="en-US"/>
        </w:rPr>
      </w:pPr>
    </w:p>
    <w:p w14:paraId="71D8BB2D" w14:textId="77777777" w:rsidR="007B36C6" w:rsidRPr="00BD63C0" w:rsidRDefault="007B36C6" w:rsidP="007B36C6">
      <w:pPr>
        <w:autoSpaceDE w:val="0"/>
        <w:autoSpaceDN w:val="0"/>
        <w:adjustRightInd w:val="0"/>
        <w:spacing w:after="0" w:line="240" w:lineRule="auto"/>
        <w:rPr>
          <w:rFonts w:ascii="Garamond" w:hAnsi="Garamond" w:cs="BaskervilleMT"/>
          <w:sz w:val="24"/>
          <w:szCs w:val="24"/>
          <w:lang w:val="en-US"/>
        </w:rPr>
      </w:pPr>
      <w:r>
        <w:rPr>
          <w:rFonts w:ascii="Garamond" w:hAnsi="Garamond"/>
          <w:sz w:val="24"/>
          <w:szCs w:val="24"/>
          <w:lang w:val="en-US"/>
        </w:rPr>
        <w:t>The target article provides evidence that knowledge representations are automatically processed (</w:t>
      </w:r>
      <w:r w:rsidRPr="005D6EF0">
        <w:rPr>
          <w:rFonts w:ascii="Garamond" w:hAnsi="Garamond"/>
          <w:sz w:val="24"/>
          <w:szCs w:val="24"/>
          <w:lang w:val="en-US"/>
        </w:rPr>
        <w:t>§4.3)</w:t>
      </w:r>
      <w:r>
        <w:rPr>
          <w:rFonts w:ascii="Garamond" w:hAnsi="Garamond"/>
          <w:sz w:val="24"/>
          <w:szCs w:val="24"/>
          <w:lang w:val="en-US"/>
        </w:rPr>
        <w:t xml:space="preserve">. But it does not mention that automatic processing of primitive representations often exhibits signature biases (Saxe 2005; </w:t>
      </w:r>
      <w:proofErr w:type="spellStart"/>
      <w:r>
        <w:rPr>
          <w:rFonts w:ascii="Garamond" w:hAnsi="Garamond"/>
          <w:sz w:val="24"/>
          <w:szCs w:val="24"/>
          <w:lang w:val="en-US"/>
        </w:rPr>
        <w:t>Apperly</w:t>
      </w:r>
      <w:proofErr w:type="spellEnd"/>
      <w:r>
        <w:rPr>
          <w:rFonts w:ascii="Garamond" w:hAnsi="Garamond"/>
          <w:sz w:val="24"/>
          <w:szCs w:val="24"/>
          <w:lang w:val="en-US"/>
        </w:rPr>
        <w:t xml:space="preserve"> 2011). Likewise, misrepresentations of knowledge are not discussed. Given the aim of the target article, its focus on </w:t>
      </w:r>
      <w:r w:rsidRPr="002F2B3E">
        <w:rPr>
          <w:rFonts w:ascii="Garamond" w:hAnsi="Garamond"/>
          <w:i/>
          <w:iCs/>
          <w:sz w:val="24"/>
          <w:szCs w:val="24"/>
          <w:lang w:val="en-US"/>
        </w:rPr>
        <w:t>successful</w:t>
      </w:r>
      <w:r w:rsidRPr="002F2B3E">
        <w:rPr>
          <w:rFonts w:ascii="Garamond" w:hAnsi="Garamond"/>
          <w:sz w:val="24"/>
          <w:szCs w:val="24"/>
          <w:lang w:val="en-US"/>
        </w:rPr>
        <w:t xml:space="preserve"> representation</w:t>
      </w:r>
      <w:r>
        <w:rPr>
          <w:rFonts w:ascii="Garamond" w:hAnsi="Garamond"/>
          <w:sz w:val="24"/>
          <w:szCs w:val="24"/>
          <w:lang w:val="en-US"/>
        </w:rPr>
        <w:t>s</w:t>
      </w:r>
      <w:r w:rsidRPr="002F2B3E">
        <w:rPr>
          <w:rFonts w:ascii="Garamond" w:hAnsi="Garamond"/>
          <w:sz w:val="24"/>
          <w:szCs w:val="24"/>
          <w:lang w:val="en-US"/>
        </w:rPr>
        <w:t xml:space="preserve"> of knowledge</w:t>
      </w:r>
      <w:r>
        <w:rPr>
          <w:rFonts w:ascii="Garamond" w:hAnsi="Garamond"/>
          <w:sz w:val="24"/>
          <w:szCs w:val="24"/>
          <w:lang w:val="en-US"/>
        </w:rPr>
        <w:t xml:space="preserve"> is natural</w:t>
      </w:r>
      <w:r w:rsidRPr="002F2B3E">
        <w:rPr>
          <w:rFonts w:ascii="Garamond" w:hAnsi="Garamond"/>
          <w:sz w:val="24"/>
          <w:szCs w:val="24"/>
          <w:lang w:val="en-US"/>
        </w:rPr>
        <w:t xml:space="preserve">. </w:t>
      </w:r>
      <w:r>
        <w:rPr>
          <w:rFonts w:ascii="Garamond" w:hAnsi="Garamond"/>
          <w:sz w:val="24"/>
          <w:szCs w:val="24"/>
          <w:lang w:val="en-US"/>
        </w:rPr>
        <w:t xml:space="preserve">However, this focus suggests a misleading picture of social cognition and overshadows the methodological upshot that knowledge-oriented mindreading research must also </w:t>
      </w:r>
      <w:r w:rsidRPr="002F2B3E">
        <w:rPr>
          <w:rFonts w:ascii="Garamond" w:hAnsi="Garamond"/>
          <w:sz w:val="24"/>
          <w:szCs w:val="24"/>
          <w:lang w:val="en-US"/>
        </w:rPr>
        <w:t xml:space="preserve">focus on </w:t>
      </w:r>
      <w:r>
        <w:rPr>
          <w:rFonts w:ascii="Garamond" w:hAnsi="Garamond"/>
          <w:sz w:val="24"/>
          <w:szCs w:val="24"/>
          <w:lang w:val="en-US"/>
        </w:rPr>
        <w:t>misrepresentations and biases</w:t>
      </w:r>
      <w:r w:rsidRPr="002F2B3E">
        <w:rPr>
          <w:rFonts w:ascii="Garamond" w:hAnsi="Garamond"/>
          <w:sz w:val="24"/>
          <w:szCs w:val="24"/>
          <w:lang w:val="en-US"/>
        </w:rPr>
        <w:t xml:space="preserve">. </w:t>
      </w:r>
      <w:r>
        <w:rPr>
          <w:rFonts w:ascii="Garamond" w:hAnsi="Garamond"/>
          <w:sz w:val="24"/>
          <w:szCs w:val="24"/>
          <w:lang w:val="en-US"/>
        </w:rPr>
        <w:t xml:space="preserve">Some </w:t>
      </w:r>
      <w:r>
        <w:rPr>
          <w:rFonts w:ascii="Garamond" w:hAnsi="Garamond"/>
          <w:sz w:val="24"/>
          <w:szCs w:val="24"/>
          <w:lang w:val="en-US"/>
        </w:rPr>
        <w:lastRenderedPageBreak/>
        <w:t>research suggests that patterns of knowledge representations exhibit egocentric bias (Nagel 2008); focal bias (Gerken and Beebe 2015; Gerken et al. 2020); source-content bias (</w:t>
      </w:r>
      <w:proofErr w:type="spellStart"/>
      <w:r>
        <w:rPr>
          <w:rFonts w:ascii="Garamond" w:hAnsi="Garamond"/>
          <w:sz w:val="24"/>
          <w:szCs w:val="24"/>
          <w:lang w:val="en-US"/>
        </w:rPr>
        <w:t>Turri</w:t>
      </w:r>
      <w:proofErr w:type="spellEnd"/>
      <w:r>
        <w:rPr>
          <w:rFonts w:ascii="Garamond" w:hAnsi="Garamond"/>
          <w:sz w:val="24"/>
          <w:szCs w:val="24"/>
          <w:lang w:val="en-US"/>
        </w:rPr>
        <w:t xml:space="preserve"> 2015); </w:t>
      </w:r>
      <w:r w:rsidRPr="0074047A">
        <w:rPr>
          <w:rFonts w:ascii="Garamond" w:hAnsi="Garamond"/>
          <w:sz w:val="24"/>
          <w:szCs w:val="24"/>
          <w:lang w:val="en-US"/>
        </w:rPr>
        <w:t>subadditivity</w:t>
      </w:r>
      <w:r>
        <w:rPr>
          <w:rFonts w:ascii="Garamond" w:hAnsi="Garamond"/>
          <w:sz w:val="24"/>
          <w:szCs w:val="24"/>
          <w:lang w:val="en-US"/>
        </w:rPr>
        <w:t xml:space="preserve"> effects (</w:t>
      </w:r>
      <w:proofErr w:type="spellStart"/>
      <w:r>
        <w:rPr>
          <w:rFonts w:ascii="Garamond" w:hAnsi="Garamond"/>
          <w:sz w:val="24"/>
          <w:szCs w:val="24"/>
          <w:lang w:val="en-US"/>
        </w:rPr>
        <w:t>Dinges</w:t>
      </w:r>
      <w:proofErr w:type="spellEnd"/>
      <w:r>
        <w:rPr>
          <w:rFonts w:ascii="Garamond" w:hAnsi="Garamond"/>
          <w:sz w:val="24"/>
          <w:szCs w:val="24"/>
          <w:lang w:val="en-US"/>
        </w:rPr>
        <w:t xml:space="preserve"> 2018) etc. Signature biases of knowledge representations are important to study empirically because they are very consequential. For example, they may result in </w:t>
      </w:r>
      <w:r w:rsidRPr="00E66155">
        <w:rPr>
          <w:rFonts w:ascii="Garamond" w:hAnsi="Garamond"/>
          <w:i/>
          <w:iCs/>
          <w:sz w:val="24"/>
          <w:szCs w:val="24"/>
          <w:lang w:val="en-US"/>
        </w:rPr>
        <w:t>discriminatory</w:t>
      </w:r>
      <w:r w:rsidRPr="00E66155">
        <w:rPr>
          <w:rFonts w:ascii="Garamond" w:hAnsi="Garamond" w:cs="BaskervilleMT"/>
          <w:i/>
          <w:iCs/>
          <w:sz w:val="24"/>
          <w:szCs w:val="24"/>
          <w:lang w:val="en-US"/>
        </w:rPr>
        <w:t xml:space="preserve"> epistemic injustice</w:t>
      </w:r>
      <w:r w:rsidRPr="00955AEC">
        <w:rPr>
          <w:rFonts w:ascii="Garamond" w:hAnsi="Garamond" w:cs="BaskervilleMT"/>
          <w:sz w:val="24"/>
          <w:szCs w:val="24"/>
          <w:lang w:val="en-US"/>
        </w:rPr>
        <w:t xml:space="preserve"> </w:t>
      </w:r>
      <w:r>
        <w:rPr>
          <w:rFonts w:ascii="Garamond" w:hAnsi="Garamond" w:cs="BaskervilleMT"/>
          <w:sz w:val="24"/>
          <w:szCs w:val="24"/>
          <w:lang w:val="en-US"/>
        </w:rPr>
        <w:t>which occurs when</w:t>
      </w:r>
      <w:r w:rsidRPr="00955AEC">
        <w:rPr>
          <w:rFonts w:ascii="Garamond" w:hAnsi="Garamond" w:cs="BaskervilleMT"/>
          <w:sz w:val="24"/>
          <w:szCs w:val="24"/>
          <w:lang w:val="en-US"/>
        </w:rPr>
        <w:t xml:space="preserve"> </w:t>
      </w:r>
      <w:r>
        <w:rPr>
          <w:rFonts w:ascii="Garamond" w:hAnsi="Garamond" w:cs="BaskervilleMT"/>
          <w:sz w:val="24"/>
          <w:szCs w:val="24"/>
          <w:lang w:val="en-US"/>
        </w:rPr>
        <w:t xml:space="preserve">someone </w:t>
      </w:r>
      <w:r w:rsidRPr="00955AEC">
        <w:rPr>
          <w:rFonts w:ascii="Garamond" w:hAnsi="Garamond" w:cs="BaskervilleMT"/>
          <w:sz w:val="24"/>
          <w:szCs w:val="24"/>
          <w:lang w:val="en-US"/>
        </w:rPr>
        <w:t>is wronged specifically in her capacity as an epistemic subject</w:t>
      </w:r>
      <w:r>
        <w:rPr>
          <w:rFonts w:ascii="Garamond" w:hAnsi="Garamond" w:cs="BaskervilleMT"/>
          <w:sz w:val="24"/>
          <w:szCs w:val="24"/>
          <w:lang w:val="en-US"/>
        </w:rPr>
        <w:t xml:space="preserve"> </w:t>
      </w:r>
      <w:r w:rsidRPr="00955AEC">
        <w:rPr>
          <w:rFonts w:ascii="Garamond" w:hAnsi="Garamond" w:cs="BaskervilleMT"/>
          <w:sz w:val="24"/>
          <w:szCs w:val="24"/>
          <w:lang w:val="en-US"/>
        </w:rPr>
        <w:t>(</w:t>
      </w:r>
      <w:r w:rsidRPr="00955AEC">
        <w:rPr>
          <w:rFonts w:ascii="Garamond" w:hAnsi="Garamond"/>
          <w:sz w:val="24"/>
          <w:szCs w:val="24"/>
          <w:lang w:val="en-US"/>
        </w:rPr>
        <w:t xml:space="preserve">Fricker 2013: </w:t>
      </w:r>
      <w:r w:rsidRPr="00955AEC">
        <w:rPr>
          <w:rFonts w:ascii="Garamond" w:eastAsia="Times New Roman" w:hAnsi="Garamond" w:cs="Times New Roman"/>
          <w:color w:val="000000"/>
          <w:sz w:val="24"/>
          <w:szCs w:val="24"/>
          <w:shd w:val="clear" w:color="auto" w:fill="FFFFFF"/>
          <w:lang w:val="en-US" w:eastAsia="da-DK"/>
        </w:rPr>
        <w:t>1320</w:t>
      </w:r>
      <w:r>
        <w:rPr>
          <w:rFonts w:ascii="Garamond" w:eastAsia="Times New Roman" w:hAnsi="Garamond" w:cs="Times New Roman"/>
          <w:color w:val="000000"/>
          <w:sz w:val="24"/>
          <w:szCs w:val="24"/>
          <w:shd w:val="clear" w:color="auto" w:fill="FFFFFF"/>
          <w:lang w:val="en-US" w:eastAsia="da-DK"/>
        </w:rPr>
        <w:t xml:space="preserve">; </w:t>
      </w:r>
      <w:r w:rsidRPr="00955AEC">
        <w:rPr>
          <w:rFonts w:ascii="Garamond" w:eastAsia="Times New Roman" w:hAnsi="Garamond" w:cs="Times New Roman"/>
          <w:color w:val="000000"/>
          <w:sz w:val="24"/>
          <w:szCs w:val="24"/>
          <w:shd w:val="clear" w:color="auto" w:fill="FFFFFF"/>
          <w:lang w:val="en-US" w:eastAsia="da-DK"/>
        </w:rPr>
        <w:t>Gerken 2019)</w:t>
      </w:r>
      <w:r w:rsidRPr="00955AEC">
        <w:rPr>
          <w:rFonts w:ascii="Garamond" w:hAnsi="Garamond" w:cs="BaskervilleMT"/>
          <w:sz w:val="24"/>
          <w:szCs w:val="24"/>
          <w:lang w:val="en-US"/>
        </w:rPr>
        <w:t>.</w:t>
      </w:r>
      <w:r>
        <w:rPr>
          <w:rFonts w:ascii="Garamond" w:hAnsi="Garamond" w:cs="BaskervilleMT"/>
          <w:sz w:val="24"/>
          <w:szCs w:val="24"/>
          <w:lang w:val="en-US"/>
        </w:rPr>
        <w:t xml:space="preserve"> Since</w:t>
      </w:r>
      <w:r>
        <w:rPr>
          <w:rFonts w:ascii="Garamond" w:hAnsi="Garamond"/>
          <w:sz w:val="24"/>
          <w:szCs w:val="24"/>
          <w:lang w:val="en-US"/>
        </w:rPr>
        <w:t xml:space="preserve"> representations of knowledge play central roles in navigating social life, </w:t>
      </w:r>
      <w:r>
        <w:rPr>
          <w:rFonts w:ascii="Garamond" w:hAnsi="Garamond" w:cs="BaskervilleMT"/>
          <w:sz w:val="24"/>
          <w:szCs w:val="24"/>
          <w:lang w:val="en-US"/>
        </w:rPr>
        <w:t xml:space="preserve">cases in which someone is wronged specifically in her capacity as a knower are especially harmful. Generally, given that knowledge representations are central to social cognition, it is important to </w:t>
      </w:r>
      <w:r>
        <w:rPr>
          <w:rFonts w:ascii="Garamond" w:hAnsi="Garamond"/>
          <w:sz w:val="24"/>
          <w:szCs w:val="24"/>
          <w:lang w:val="en-US"/>
        </w:rPr>
        <w:t>empirically study their signature biases and the social ramifications thereof (Gerken 2017a; Spaulding 2018).</w:t>
      </w:r>
    </w:p>
    <w:p w14:paraId="2291B199" w14:textId="77777777" w:rsidR="007B36C6" w:rsidRDefault="007B36C6" w:rsidP="007B36C6">
      <w:pPr>
        <w:spacing w:after="0" w:line="240" w:lineRule="auto"/>
        <w:contextualSpacing/>
        <w:textAlignment w:val="baseline"/>
        <w:rPr>
          <w:rFonts w:ascii="Garamond" w:hAnsi="Garamond"/>
          <w:sz w:val="24"/>
          <w:szCs w:val="24"/>
          <w:lang w:val="en-US"/>
        </w:rPr>
      </w:pPr>
    </w:p>
    <w:p w14:paraId="4A5704FC" w14:textId="77777777" w:rsidR="007B36C6" w:rsidRDefault="007B36C6" w:rsidP="007B36C6">
      <w:pPr>
        <w:spacing w:after="0" w:line="240" w:lineRule="auto"/>
        <w:contextualSpacing/>
        <w:textAlignment w:val="baseline"/>
        <w:rPr>
          <w:rFonts w:ascii="Garamond" w:hAnsi="Garamond"/>
          <w:sz w:val="24"/>
          <w:szCs w:val="24"/>
          <w:lang w:val="en-US"/>
        </w:rPr>
      </w:pPr>
      <w:r>
        <w:rPr>
          <w:rFonts w:ascii="Garamond" w:hAnsi="Garamond"/>
          <w:sz w:val="24"/>
          <w:szCs w:val="24"/>
          <w:lang w:val="en-US"/>
        </w:rPr>
        <w:t xml:space="preserve">My third point is that knowledge-oriented mindreading research must confront a </w:t>
      </w:r>
      <w:r w:rsidRPr="00E66155">
        <w:rPr>
          <w:rFonts w:ascii="Garamond" w:hAnsi="Garamond"/>
          <w:i/>
          <w:iCs/>
          <w:sz w:val="24"/>
          <w:szCs w:val="24"/>
          <w:lang w:val="en-US"/>
        </w:rPr>
        <w:t>problem of the gold standard</w:t>
      </w:r>
      <w:r>
        <w:rPr>
          <w:rFonts w:ascii="Garamond" w:hAnsi="Garamond"/>
          <w:sz w:val="24"/>
          <w:szCs w:val="24"/>
          <w:lang w:val="en-US"/>
        </w:rPr>
        <w:t xml:space="preserve">: Interpreting empirical data from tasks involving knowledge is often complicated because the gold standard response to the task is disputed. As noted, some researchers argue that particular patterns of knowledge ascriptions reveal a bias (Op. cit.). But others reject this and argue that these patterns reflect correct responses that illuminate the concept of knowledge, the word ‘knowledge’ or even knowledge itself (e.g., DeRose 2009; </w:t>
      </w:r>
      <w:proofErr w:type="spellStart"/>
      <w:r>
        <w:rPr>
          <w:rFonts w:ascii="Garamond" w:hAnsi="Garamond"/>
          <w:sz w:val="24"/>
          <w:szCs w:val="24"/>
          <w:lang w:val="en-US"/>
        </w:rPr>
        <w:t>Knobe</w:t>
      </w:r>
      <w:proofErr w:type="spellEnd"/>
      <w:r>
        <w:rPr>
          <w:rFonts w:ascii="Garamond" w:hAnsi="Garamond"/>
          <w:sz w:val="24"/>
          <w:szCs w:val="24"/>
          <w:lang w:val="en-US"/>
        </w:rPr>
        <w:t xml:space="preserve"> and Schaffer 2015; Stanley 2005). Some even suggest that to explain these patterns of knowledge ascriptions in terms of cognitive bias is to “explain away” the relevant evidence (</w:t>
      </w:r>
      <w:r w:rsidRPr="00994CEE">
        <w:rPr>
          <w:rFonts w:ascii="Garamond" w:hAnsi="Garamond"/>
          <w:sz w:val="24"/>
          <w:szCs w:val="24"/>
          <w:lang w:val="en-US"/>
        </w:rPr>
        <w:t>Stanley 2005; DeRose 2009</w:t>
      </w:r>
      <w:r>
        <w:rPr>
          <w:rFonts w:ascii="Garamond" w:hAnsi="Garamond"/>
          <w:sz w:val="24"/>
          <w:szCs w:val="24"/>
          <w:lang w:val="en-US"/>
        </w:rPr>
        <w:t xml:space="preserve">). </w:t>
      </w:r>
    </w:p>
    <w:p w14:paraId="07671F8D" w14:textId="77777777" w:rsidR="007B36C6" w:rsidRDefault="007B36C6" w:rsidP="007B36C6">
      <w:pPr>
        <w:spacing w:after="0" w:line="240" w:lineRule="auto"/>
        <w:contextualSpacing/>
        <w:textAlignment w:val="baseline"/>
        <w:rPr>
          <w:rFonts w:ascii="Garamond" w:hAnsi="Garamond"/>
          <w:sz w:val="24"/>
          <w:szCs w:val="24"/>
          <w:lang w:val="en-US"/>
        </w:rPr>
      </w:pPr>
    </w:p>
    <w:p w14:paraId="1A321C32" w14:textId="77777777" w:rsidR="007B36C6" w:rsidRPr="00B27042" w:rsidRDefault="007B36C6" w:rsidP="007B36C6">
      <w:pPr>
        <w:spacing w:after="0" w:line="240" w:lineRule="auto"/>
        <w:contextualSpacing/>
        <w:textAlignment w:val="baseline"/>
        <w:rPr>
          <w:rFonts w:ascii="Garamond" w:hAnsi="Garamond"/>
          <w:sz w:val="24"/>
          <w:szCs w:val="24"/>
          <w:lang w:val="en-US"/>
        </w:rPr>
      </w:pPr>
      <w:r w:rsidRPr="00267DB0">
        <w:rPr>
          <w:rFonts w:ascii="Garamond" w:hAnsi="Garamond"/>
          <w:sz w:val="24"/>
          <w:szCs w:val="24"/>
          <w:lang w:val="en-US"/>
        </w:rPr>
        <w:t>Presumably, the false</w:t>
      </w:r>
      <w:r>
        <w:rPr>
          <w:rFonts w:ascii="Garamond" w:hAnsi="Garamond"/>
          <w:sz w:val="24"/>
          <w:szCs w:val="24"/>
          <w:lang w:val="en-US"/>
        </w:rPr>
        <w:t>-</w:t>
      </w:r>
      <w:r w:rsidRPr="00267DB0">
        <w:rPr>
          <w:rFonts w:ascii="Garamond" w:hAnsi="Garamond"/>
          <w:sz w:val="24"/>
          <w:szCs w:val="24"/>
          <w:lang w:val="en-US"/>
        </w:rPr>
        <w:t xml:space="preserve">belief test is a widely employed experimental paradigm partly because of agreement about the gold standard response </w:t>
      </w:r>
      <w:r>
        <w:rPr>
          <w:rFonts w:ascii="Garamond" w:hAnsi="Garamond"/>
          <w:sz w:val="24"/>
          <w:szCs w:val="24"/>
          <w:lang w:val="en-US"/>
        </w:rPr>
        <w:t>(e</w:t>
      </w:r>
      <w:r w:rsidRPr="00267DB0">
        <w:rPr>
          <w:rFonts w:ascii="Garamond" w:hAnsi="Garamond"/>
          <w:sz w:val="24"/>
          <w:szCs w:val="24"/>
          <w:lang w:val="en-US"/>
        </w:rPr>
        <w:t>.g., saying that the agent will seek an object where she last saw it rather than at its new location in verbal false</w:t>
      </w:r>
      <w:r>
        <w:rPr>
          <w:rFonts w:ascii="Garamond" w:hAnsi="Garamond"/>
          <w:sz w:val="24"/>
          <w:szCs w:val="24"/>
          <w:lang w:val="en-US"/>
        </w:rPr>
        <w:t>-</w:t>
      </w:r>
      <w:r w:rsidRPr="00267DB0">
        <w:rPr>
          <w:rFonts w:ascii="Garamond" w:hAnsi="Garamond"/>
          <w:sz w:val="24"/>
          <w:szCs w:val="24"/>
          <w:lang w:val="en-US"/>
        </w:rPr>
        <w:t>belief tests (Wellman et al. 2001)</w:t>
      </w:r>
      <w:r>
        <w:rPr>
          <w:rFonts w:ascii="Garamond" w:hAnsi="Garamond"/>
          <w:sz w:val="24"/>
          <w:szCs w:val="24"/>
          <w:lang w:val="en-US"/>
        </w:rPr>
        <w:t>)</w:t>
      </w:r>
      <w:r w:rsidRPr="00267DB0">
        <w:rPr>
          <w:rFonts w:ascii="Garamond" w:hAnsi="Garamond"/>
          <w:sz w:val="24"/>
          <w:szCs w:val="24"/>
          <w:lang w:val="en-US"/>
        </w:rPr>
        <w:t xml:space="preserve">. In contrast, the gold standard response is </w:t>
      </w:r>
      <w:r w:rsidRPr="00F42277">
        <w:rPr>
          <w:rFonts w:ascii="Garamond" w:hAnsi="Garamond"/>
          <w:i/>
          <w:iCs/>
          <w:sz w:val="24"/>
          <w:szCs w:val="24"/>
          <w:lang w:val="en-US"/>
        </w:rPr>
        <w:t>part of what is investigated</w:t>
      </w:r>
      <w:r w:rsidRPr="00267DB0">
        <w:rPr>
          <w:rFonts w:ascii="Garamond" w:hAnsi="Garamond"/>
          <w:sz w:val="24"/>
          <w:szCs w:val="24"/>
          <w:lang w:val="en-US"/>
        </w:rPr>
        <w:t xml:space="preserve"> in many mindreading tasks involving knowledge. </w:t>
      </w:r>
      <w:r>
        <w:rPr>
          <w:rFonts w:ascii="Garamond" w:hAnsi="Garamond"/>
          <w:sz w:val="24"/>
          <w:szCs w:val="24"/>
          <w:lang w:val="en-US"/>
        </w:rPr>
        <w:t xml:space="preserve">This is simply a methodological challenge for research on knowledge representation and </w:t>
      </w:r>
      <w:r w:rsidRPr="00F42277">
        <w:rPr>
          <w:rFonts w:ascii="Garamond" w:hAnsi="Garamond"/>
          <w:sz w:val="24"/>
          <w:szCs w:val="24"/>
          <w:lang w:val="en-US"/>
        </w:rPr>
        <w:t>not</w:t>
      </w:r>
      <w:r>
        <w:rPr>
          <w:rFonts w:ascii="Garamond" w:hAnsi="Garamond"/>
          <w:sz w:val="24"/>
          <w:szCs w:val="24"/>
          <w:lang w:val="en-US"/>
        </w:rPr>
        <w:t xml:space="preserve"> a reason to stick with established experimental paradigms. Moreover, the </w:t>
      </w:r>
      <w:r w:rsidRPr="00267DB0">
        <w:rPr>
          <w:rFonts w:ascii="Garamond" w:hAnsi="Garamond"/>
          <w:sz w:val="24"/>
          <w:szCs w:val="24"/>
          <w:lang w:val="en-US"/>
        </w:rPr>
        <w:t>problem of the gold standard</w:t>
      </w:r>
      <w:r>
        <w:rPr>
          <w:rFonts w:ascii="Garamond" w:hAnsi="Garamond"/>
          <w:i/>
          <w:iCs/>
          <w:sz w:val="24"/>
          <w:szCs w:val="24"/>
          <w:lang w:val="en-US"/>
        </w:rPr>
        <w:t xml:space="preserve"> </w:t>
      </w:r>
      <w:r>
        <w:rPr>
          <w:rFonts w:ascii="Garamond" w:hAnsi="Garamond"/>
          <w:iCs/>
          <w:sz w:val="24"/>
          <w:szCs w:val="24"/>
          <w:lang w:val="en-US"/>
        </w:rPr>
        <w:t xml:space="preserve">is </w:t>
      </w:r>
      <w:r>
        <w:rPr>
          <w:rFonts w:ascii="Garamond" w:hAnsi="Garamond"/>
          <w:sz w:val="24"/>
          <w:szCs w:val="24"/>
          <w:lang w:val="en-US"/>
        </w:rPr>
        <w:t>far from unique to research on knowledge representation, although it is pertinent to it because many aspects of knowledge are disputed. Minimal properties of knowledge, such as the four considered by Phillips et al. (</w:t>
      </w:r>
      <w:r w:rsidRPr="005D6EF0">
        <w:rPr>
          <w:rFonts w:ascii="Garamond" w:hAnsi="Garamond"/>
          <w:sz w:val="24"/>
          <w:szCs w:val="24"/>
          <w:lang w:val="en-US"/>
        </w:rPr>
        <w:t>§</w:t>
      </w:r>
      <w:r>
        <w:rPr>
          <w:rFonts w:ascii="Garamond" w:hAnsi="Garamond"/>
          <w:sz w:val="24"/>
          <w:szCs w:val="24"/>
          <w:lang w:val="en-US"/>
        </w:rPr>
        <w:t xml:space="preserve">2), are good starting points. However, it is disputed how knowledge is related to luck, practical factors, actionability, competence etc. Knowledge-oriented mindreading research should study such relationships. But disputes over the gold standard response to tasks involving them constitute a methodological challenge in interpreting findings. Interestingly, the first two points mark specific methodological pitfalls. Given that some patterns of folk knowledge representation are biased (point two), moving too swiftly from findings about participants’ representations of knowledge to conclusions about whether they are correct would exemplify the </w:t>
      </w:r>
      <w:r>
        <w:rPr>
          <w:rFonts w:ascii="Garamond" w:hAnsi="Garamond"/>
          <w:i/>
          <w:iCs/>
          <w:sz w:val="24"/>
          <w:szCs w:val="24"/>
          <w:lang w:val="en-US"/>
        </w:rPr>
        <w:t>representation-</w:t>
      </w:r>
      <w:proofErr w:type="spellStart"/>
      <w:r>
        <w:rPr>
          <w:rFonts w:ascii="Garamond" w:hAnsi="Garamond"/>
          <w:i/>
          <w:iCs/>
          <w:sz w:val="24"/>
          <w:szCs w:val="24"/>
          <w:lang w:val="en-US"/>
        </w:rPr>
        <w:t>representandum</w:t>
      </w:r>
      <w:proofErr w:type="spellEnd"/>
      <w:r>
        <w:rPr>
          <w:rFonts w:ascii="Garamond" w:hAnsi="Garamond"/>
          <w:i/>
          <w:iCs/>
          <w:sz w:val="24"/>
          <w:szCs w:val="24"/>
          <w:lang w:val="en-US"/>
        </w:rPr>
        <w:t xml:space="preserve"> </w:t>
      </w:r>
      <w:r>
        <w:rPr>
          <w:rFonts w:ascii="Garamond" w:hAnsi="Garamond"/>
          <w:sz w:val="24"/>
          <w:szCs w:val="24"/>
          <w:lang w:val="en-US"/>
        </w:rPr>
        <w:t>fallacy (point one).</w:t>
      </w:r>
    </w:p>
    <w:p w14:paraId="0F7077F1" w14:textId="77777777" w:rsidR="007B36C6" w:rsidRDefault="007B36C6" w:rsidP="007B36C6">
      <w:pPr>
        <w:autoSpaceDE w:val="0"/>
        <w:autoSpaceDN w:val="0"/>
        <w:adjustRightInd w:val="0"/>
        <w:spacing w:after="0" w:line="240" w:lineRule="auto"/>
        <w:rPr>
          <w:rFonts w:ascii="Garamond" w:hAnsi="Garamond" w:cs="BaskervilleMT"/>
          <w:sz w:val="24"/>
          <w:szCs w:val="24"/>
          <w:lang w:val="en-US"/>
        </w:rPr>
      </w:pPr>
    </w:p>
    <w:p w14:paraId="68B620DB" w14:textId="77777777" w:rsidR="007B36C6" w:rsidRDefault="007B36C6" w:rsidP="007B36C6">
      <w:pPr>
        <w:autoSpaceDE w:val="0"/>
        <w:autoSpaceDN w:val="0"/>
        <w:adjustRightInd w:val="0"/>
        <w:spacing w:after="0" w:line="240" w:lineRule="auto"/>
        <w:rPr>
          <w:rFonts w:ascii="Garamond" w:hAnsi="Garamond"/>
          <w:sz w:val="24"/>
          <w:szCs w:val="24"/>
          <w:lang w:val="en-US"/>
        </w:rPr>
      </w:pPr>
      <w:r>
        <w:rPr>
          <w:rFonts w:ascii="Garamond" w:hAnsi="Garamond" w:cs="BaskervilleMT"/>
          <w:sz w:val="24"/>
          <w:szCs w:val="24"/>
          <w:lang w:val="en-US"/>
        </w:rPr>
        <w:t>In sum, here are my three main points:</w:t>
      </w:r>
    </w:p>
    <w:p w14:paraId="2E175643" w14:textId="77777777" w:rsidR="007B36C6" w:rsidRDefault="007B36C6" w:rsidP="007B36C6">
      <w:pPr>
        <w:spacing w:after="0" w:line="240" w:lineRule="auto"/>
        <w:ind w:firstLine="709"/>
        <w:contextualSpacing/>
        <w:textAlignment w:val="baseline"/>
        <w:rPr>
          <w:rFonts w:ascii="Garamond" w:hAnsi="Garamond"/>
          <w:sz w:val="24"/>
          <w:szCs w:val="24"/>
          <w:lang w:val="en-US"/>
        </w:rPr>
      </w:pPr>
    </w:p>
    <w:p w14:paraId="505526F9" w14:textId="77777777" w:rsidR="007B36C6" w:rsidRDefault="007B36C6" w:rsidP="007B36C6">
      <w:pPr>
        <w:pStyle w:val="ListParagraph"/>
        <w:numPr>
          <w:ilvl w:val="0"/>
          <w:numId w:val="1"/>
        </w:numPr>
        <w:spacing w:after="0" w:line="240" w:lineRule="auto"/>
        <w:textAlignment w:val="baseline"/>
        <w:rPr>
          <w:rFonts w:ascii="Garamond" w:hAnsi="Garamond"/>
          <w:sz w:val="24"/>
          <w:szCs w:val="24"/>
          <w:lang w:val="en-US"/>
        </w:rPr>
      </w:pPr>
      <w:r>
        <w:rPr>
          <w:rFonts w:ascii="Garamond" w:hAnsi="Garamond"/>
          <w:sz w:val="24"/>
          <w:szCs w:val="24"/>
          <w:lang w:val="en-US"/>
        </w:rPr>
        <w:t>Evidence of primacy of knowledge representation is not evidence of primacy of knowledge.</w:t>
      </w:r>
    </w:p>
    <w:p w14:paraId="6DC5081A" w14:textId="77777777" w:rsidR="007B36C6" w:rsidRDefault="007B36C6" w:rsidP="007B36C6">
      <w:pPr>
        <w:pStyle w:val="ListParagraph"/>
        <w:numPr>
          <w:ilvl w:val="0"/>
          <w:numId w:val="1"/>
        </w:numPr>
        <w:spacing w:after="0" w:line="240" w:lineRule="auto"/>
        <w:textAlignment w:val="baseline"/>
        <w:rPr>
          <w:rFonts w:ascii="Garamond" w:hAnsi="Garamond"/>
          <w:sz w:val="24"/>
          <w:szCs w:val="24"/>
          <w:lang w:val="en-US"/>
        </w:rPr>
      </w:pPr>
      <w:r w:rsidRPr="00E66155">
        <w:rPr>
          <w:rFonts w:ascii="Garamond" w:hAnsi="Garamond"/>
          <w:sz w:val="24"/>
          <w:szCs w:val="24"/>
          <w:lang w:val="en-US"/>
        </w:rPr>
        <w:t xml:space="preserve">Knowledge-oriented </w:t>
      </w:r>
      <w:r>
        <w:rPr>
          <w:rFonts w:ascii="Garamond" w:hAnsi="Garamond"/>
          <w:sz w:val="24"/>
          <w:szCs w:val="24"/>
          <w:lang w:val="en-US"/>
        </w:rPr>
        <w:t>mindreading</w:t>
      </w:r>
      <w:r w:rsidRPr="00E66155">
        <w:rPr>
          <w:rFonts w:ascii="Garamond" w:hAnsi="Garamond"/>
          <w:sz w:val="24"/>
          <w:szCs w:val="24"/>
          <w:lang w:val="en-US"/>
        </w:rPr>
        <w:t xml:space="preserve"> research should </w:t>
      </w:r>
      <w:r>
        <w:rPr>
          <w:rFonts w:ascii="Garamond" w:hAnsi="Garamond"/>
          <w:sz w:val="24"/>
          <w:szCs w:val="24"/>
          <w:lang w:val="en-US"/>
        </w:rPr>
        <w:t xml:space="preserve">also </w:t>
      </w:r>
      <w:r w:rsidRPr="00E66155">
        <w:rPr>
          <w:rFonts w:ascii="Garamond" w:hAnsi="Garamond"/>
          <w:sz w:val="24"/>
          <w:szCs w:val="24"/>
          <w:lang w:val="en-US"/>
        </w:rPr>
        <w:t>focus on misrepresentations and</w:t>
      </w:r>
      <w:r>
        <w:rPr>
          <w:rFonts w:ascii="Garamond" w:hAnsi="Garamond"/>
          <w:sz w:val="24"/>
          <w:szCs w:val="24"/>
          <w:lang w:val="en-US"/>
        </w:rPr>
        <w:t xml:space="preserve"> </w:t>
      </w:r>
      <w:r w:rsidRPr="00E66155">
        <w:rPr>
          <w:rFonts w:ascii="Garamond" w:hAnsi="Garamond"/>
          <w:sz w:val="24"/>
          <w:szCs w:val="24"/>
          <w:lang w:val="en-US"/>
        </w:rPr>
        <w:t>biased representations of knowledge</w:t>
      </w:r>
      <w:r>
        <w:rPr>
          <w:rFonts w:ascii="Garamond" w:hAnsi="Garamond"/>
          <w:sz w:val="24"/>
          <w:szCs w:val="24"/>
          <w:lang w:val="en-US"/>
        </w:rPr>
        <w:t>.</w:t>
      </w:r>
    </w:p>
    <w:p w14:paraId="3AD4D1FE" w14:textId="77777777" w:rsidR="007B36C6" w:rsidRDefault="007B36C6" w:rsidP="007B36C6">
      <w:pPr>
        <w:pStyle w:val="ListParagraph"/>
        <w:numPr>
          <w:ilvl w:val="0"/>
          <w:numId w:val="1"/>
        </w:numPr>
        <w:spacing w:after="0" w:line="240" w:lineRule="auto"/>
        <w:textAlignment w:val="baseline"/>
        <w:rPr>
          <w:rFonts w:ascii="Garamond" w:hAnsi="Garamond"/>
          <w:sz w:val="24"/>
          <w:szCs w:val="24"/>
          <w:lang w:val="en-US"/>
        </w:rPr>
      </w:pPr>
      <w:r>
        <w:rPr>
          <w:rFonts w:ascii="Garamond" w:hAnsi="Garamond"/>
          <w:sz w:val="24"/>
          <w:szCs w:val="24"/>
          <w:lang w:val="en-US"/>
        </w:rPr>
        <w:t xml:space="preserve">Knowledge-oriented mindreading research must confront </w:t>
      </w:r>
      <w:r>
        <w:rPr>
          <w:rFonts w:ascii="Garamond" w:hAnsi="Garamond"/>
          <w:i/>
          <w:iCs/>
          <w:sz w:val="24"/>
          <w:szCs w:val="24"/>
          <w:lang w:val="en-US"/>
        </w:rPr>
        <w:t>the problem of the gold standard</w:t>
      </w:r>
      <w:r>
        <w:rPr>
          <w:rFonts w:ascii="Garamond" w:hAnsi="Garamond"/>
          <w:sz w:val="24"/>
          <w:szCs w:val="24"/>
          <w:lang w:val="en-US"/>
        </w:rPr>
        <w:t>.</w:t>
      </w:r>
    </w:p>
    <w:p w14:paraId="1188E38E" w14:textId="77777777" w:rsidR="007B36C6" w:rsidRDefault="007B36C6" w:rsidP="007B36C6">
      <w:pPr>
        <w:spacing w:after="0" w:line="240" w:lineRule="auto"/>
        <w:textAlignment w:val="baseline"/>
        <w:rPr>
          <w:rFonts w:ascii="Garamond" w:hAnsi="Garamond"/>
          <w:sz w:val="24"/>
          <w:szCs w:val="24"/>
          <w:lang w:val="en-US"/>
        </w:rPr>
      </w:pPr>
    </w:p>
    <w:p w14:paraId="4B8E6FBD" w14:textId="78E3EF73" w:rsidR="007B36C6" w:rsidRDefault="007B36C6" w:rsidP="007B36C6">
      <w:pPr>
        <w:spacing w:after="0" w:line="240" w:lineRule="auto"/>
        <w:contextualSpacing/>
        <w:textAlignment w:val="baseline"/>
        <w:rPr>
          <w:rFonts w:ascii="Garamond" w:hAnsi="Garamond"/>
          <w:sz w:val="24"/>
          <w:szCs w:val="24"/>
          <w:lang w:val="en-US"/>
        </w:rPr>
      </w:pPr>
      <w:r>
        <w:rPr>
          <w:rFonts w:ascii="Garamond" w:hAnsi="Garamond"/>
          <w:sz w:val="24"/>
          <w:szCs w:val="24"/>
          <w:lang w:val="en-US"/>
        </w:rPr>
        <w:t>These three points are compatible with the surveyed evidence and the main conclusions that Phillips et al. draw from it. But the points are not included in Phillips et al.’s conclusions. So, I wonder whether they agree with them or not.</w:t>
      </w:r>
    </w:p>
    <w:p w14:paraId="5B66163F" w14:textId="7670584F" w:rsidR="003F43C8" w:rsidRDefault="003F43C8" w:rsidP="007B36C6">
      <w:pPr>
        <w:spacing w:after="0" w:line="240" w:lineRule="auto"/>
        <w:contextualSpacing/>
        <w:textAlignment w:val="baseline"/>
        <w:rPr>
          <w:rFonts w:ascii="Garamond" w:hAnsi="Garamond"/>
          <w:sz w:val="24"/>
          <w:szCs w:val="24"/>
          <w:lang w:val="en-US"/>
        </w:rPr>
      </w:pPr>
    </w:p>
    <w:p w14:paraId="4EF8BE58" w14:textId="51F9C0D8" w:rsidR="003F43C8" w:rsidRPr="002378DB" w:rsidRDefault="003F43C8" w:rsidP="007B36C6">
      <w:pPr>
        <w:spacing w:after="0" w:line="240" w:lineRule="auto"/>
        <w:contextualSpacing/>
        <w:textAlignment w:val="baseline"/>
        <w:rPr>
          <w:rFonts w:ascii="Garamond" w:hAnsi="Garamond"/>
          <w:sz w:val="24"/>
          <w:szCs w:val="24"/>
          <w:lang w:val="en-US"/>
        </w:rPr>
      </w:pPr>
      <w:r>
        <w:rPr>
          <w:rFonts w:ascii="Garamond" w:hAnsi="Garamond"/>
          <w:b/>
          <w:bCs/>
          <w:sz w:val="24"/>
          <w:szCs w:val="24"/>
          <w:lang w:val="en-US"/>
        </w:rPr>
        <w:lastRenderedPageBreak/>
        <w:t xml:space="preserve">Acknowledgements: </w:t>
      </w:r>
      <w:r w:rsidR="002378DB" w:rsidRPr="00174C82">
        <w:rPr>
          <w:rFonts w:ascii="Garamond" w:hAnsi="Garamond"/>
          <w:sz w:val="24"/>
          <w:szCs w:val="24"/>
          <w:lang w:val="en-US"/>
        </w:rPr>
        <w:t>Thanks to Kenneth Boyd, Uwe Peters and Shannon Spaulding.</w:t>
      </w:r>
      <w:r w:rsidR="002378DB">
        <w:rPr>
          <w:rFonts w:ascii="Garamond" w:hAnsi="Garamond"/>
          <w:sz w:val="24"/>
          <w:szCs w:val="24"/>
          <w:lang w:val="en-US"/>
        </w:rPr>
        <w:t xml:space="preserve"> </w:t>
      </w:r>
      <w:r w:rsidR="002378DB" w:rsidRPr="00174C82">
        <w:rPr>
          <w:rFonts w:ascii="Garamond" w:hAnsi="Garamond" w:cs="Segoe UI"/>
          <w:color w:val="212121"/>
          <w:sz w:val="24"/>
          <w:szCs w:val="24"/>
          <w:shd w:val="clear" w:color="auto" w:fill="FFFFFF"/>
          <w:lang w:val="en-US"/>
        </w:rPr>
        <w:t xml:space="preserve">Funding: </w:t>
      </w:r>
      <w:proofErr w:type="spellStart"/>
      <w:r w:rsidR="002378DB" w:rsidRPr="002378DB">
        <w:rPr>
          <w:rFonts w:ascii="Garamond" w:hAnsi="Garamond"/>
          <w:i/>
          <w:iCs/>
          <w:sz w:val="24"/>
          <w:szCs w:val="24"/>
          <w:lang w:val="en-US"/>
        </w:rPr>
        <w:t>Danmarks</w:t>
      </w:r>
      <w:proofErr w:type="spellEnd"/>
      <w:r w:rsidR="002378DB" w:rsidRPr="002378DB">
        <w:rPr>
          <w:rFonts w:ascii="Garamond" w:hAnsi="Garamond"/>
          <w:i/>
          <w:iCs/>
          <w:sz w:val="24"/>
          <w:szCs w:val="24"/>
          <w:lang w:val="en-US"/>
        </w:rPr>
        <w:t xml:space="preserve"> </w:t>
      </w:r>
      <w:proofErr w:type="spellStart"/>
      <w:r w:rsidR="002378DB" w:rsidRPr="002378DB">
        <w:rPr>
          <w:rFonts w:ascii="Garamond" w:hAnsi="Garamond"/>
          <w:i/>
          <w:iCs/>
          <w:sz w:val="24"/>
          <w:szCs w:val="24"/>
          <w:lang w:val="en-US"/>
        </w:rPr>
        <w:t>Frie</w:t>
      </w:r>
      <w:proofErr w:type="spellEnd"/>
      <w:r w:rsidR="002378DB" w:rsidRPr="002378DB">
        <w:rPr>
          <w:rFonts w:ascii="Garamond" w:hAnsi="Garamond"/>
          <w:i/>
          <w:iCs/>
          <w:sz w:val="24"/>
          <w:szCs w:val="24"/>
          <w:lang w:val="en-US"/>
        </w:rPr>
        <w:t xml:space="preserve"> </w:t>
      </w:r>
      <w:proofErr w:type="spellStart"/>
      <w:r w:rsidR="002378DB" w:rsidRPr="002378DB">
        <w:rPr>
          <w:rFonts w:ascii="Garamond" w:hAnsi="Garamond"/>
          <w:i/>
          <w:iCs/>
          <w:sz w:val="24"/>
          <w:szCs w:val="24"/>
          <w:lang w:val="en-US"/>
        </w:rPr>
        <w:t>Forskningsfund</w:t>
      </w:r>
      <w:proofErr w:type="spellEnd"/>
      <w:r w:rsidR="002378DB" w:rsidRPr="00174C82">
        <w:rPr>
          <w:rFonts w:ascii="Garamond" w:hAnsi="Garamond"/>
          <w:sz w:val="24"/>
          <w:szCs w:val="24"/>
          <w:lang w:val="en-US"/>
        </w:rPr>
        <w:t xml:space="preserve">, </w:t>
      </w:r>
      <w:r w:rsidR="002378DB">
        <w:rPr>
          <w:rFonts w:ascii="Garamond" w:hAnsi="Garamond"/>
          <w:sz w:val="24"/>
          <w:szCs w:val="24"/>
          <w:lang w:val="en-US"/>
        </w:rPr>
        <w:t>G</w:t>
      </w:r>
      <w:r w:rsidR="002378DB" w:rsidRPr="00174C82">
        <w:rPr>
          <w:rFonts w:ascii="Garamond" w:hAnsi="Garamond"/>
          <w:sz w:val="24"/>
          <w:szCs w:val="24"/>
          <w:lang w:val="en-US"/>
        </w:rPr>
        <w:t xml:space="preserve">rant </w:t>
      </w:r>
      <w:r w:rsidR="002378DB">
        <w:rPr>
          <w:rFonts w:ascii="Garamond" w:hAnsi="Garamond"/>
          <w:sz w:val="24"/>
          <w:szCs w:val="24"/>
          <w:lang w:val="en-US"/>
        </w:rPr>
        <w:t>N</w:t>
      </w:r>
      <w:r w:rsidR="002378DB" w:rsidRPr="00174C82">
        <w:rPr>
          <w:rFonts w:ascii="Garamond" w:hAnsi="Garamond"/>
          <w:sz w:val="24"/>
          <w:szCs w:val="24"/>
          <w:lang w:val="en-US"/>
        </w:rPr>
        <w:t>um</w:t>
      </w:r>
      <w:r w:rsidR="002378DB">
        <w:rPr>
          <w:rFonts w:ascii="Garamond" w:hAnsi="Garamond"/>
          <w:sz w:val="24"/>
          <w:szCs w:val="24"/>
          <w:lang w:val="en-US"/>
        </w:rPr>
        <w:t>b</w:t>
      </w:r>
      <w:r w:rsidR="002378DB" w:rsidRPr="00174C82">
        <w:rPr>
          <w:rFonts w:ascii="Garamond" w:hAnsi="Garamond"/>
          <w:sz w:val="24"/>
          <w:szCs w:val="24"/>
          <w:lang w:val="en-US"/>
        </w:rPr>
        <w:t>er: 8018-00053B.</w:t>
      </w:r>
      <w:r w:rsidR="002378DB" w:rsidRPr="00174C82">
        <w:rPr>
          <w:rFonts w:ascii="Garamond" w:hAnsi="Garamond" w:cs="Segoe UI"/>
          <w:b/>
          <w:bCs/>
          <w:color w:val="212121"/>
          <w:sz w:val="24"/>
          <w:szCs w:val="24"/>
          <w:lang w:val="en-US"/>
        </w:rPr>
        <w:br/>
      </w:r>
    </w:p>
    <w:p w14:paraId="76043FA0" w14:textId="0CB5FA7D" w:rsidR="007B36C6" w:rsidRPr="00063097" w:rsidRDefault="007B36C6" w:rsidP="007B36C6">
      <w:pPr>
        <w:spacing w:after="0" w:line="240" w:lineRule="auto"/>
        <w:contextualSpacing/>
        <w:textAlignment w:val="baseline"/>
        <w:rPr>
          <w:rFonts w:ascii="Garamond" w:hAnsi="Garamond"/>
          <w:b/>
          <w:bCs/>
          <w:i/>
          <w:iCs/>
          <w:sz w:val="24"/>
          <w:szCs w:val="24"/>
          <w:lang w:val="en-US"/>
        </w:rPr>
      </w:pPr>
    </w:p>
    <w:p w14:paraId="522D4857" w14:textId="77777777" w:rsidR="003F43C8" w:rsidRPr="002378DB" w:rsidRDefault="003F43C8" w:rsidP="007B36C6">
      <w:pPr>
        <w:spacing w:after="0" w:line="240" w:lineRule="auto"/>
        <w:contextualSpacing/>
        <w:rPr>
          <w:rFonts w:ascii="Garamond" w:hAnsi="Garamond"/>
          <w:b/>
          <w:bCs/>
          <w:i/>
          <w:iCs/>
          <w:sz w:val="40"/>
          <w:szCs w:val="40"/>
          <w:lang w:val="en-US"/>
        </w:rPr>
      </w:pPr>
      <w:bookmarkStart w:id="0" w:name="_GoBack"/>
      <w:r w:rsidRPr="002378DB">
        <w:rPr>
          <w:rFonts w:ascii="Garamond" w:hAnsi="Garamond"/>
          <w:b/>
          <w:bCs/>
          <w:i/>
          <w:iCs/>
          <w:sz w:val="40"/>
          <w:szCs w:val="40"/>
          <w:lang w:val="en-US"/>
        </w:rPr>
        <w:t>References</w:t>
      </w:r>
    </w:p>
    <w:bookmarkEnd w:id="0"/>
    <w:p w14:paraId="1C09C953" w14:textId="6275899D" w:rsidR="007B36C6" w:rsidRDefault="007B36C6" w:rsidP="007B36C6">
      <w:pPr>
        <w:spacing w:after="0" w:line="240" w:lineRule="auto"/>
        <w:contextualSpacing/>
        <w:rPr>
          <w:rFonts w:ascii="Garamond" w:hAnsi="Garamond"/>
          <w:sz w:val="24"/>
          <w:szCs w:val="24"/>
          <w:lang w:val="en-US"/>
        </w:rPr>
      </w:pPr>
      <w:proofErr w:type="spellStart"/>
      <w:r w:rsidRPr="005D6EF0">
        <w:rPr>
          <w:rFonts w:ascii="Garamond" w:hAnsi="Garamond"/>
          <w:sz w:val="24"/>
          <w:szCs w:val="24"/>
          <w:lang w:val="en-US"/>
        </w:rPr>
        <w:t>Apperly</w:t>
      </w:r>
      <w:proofErr w:type="spellEnd"/>
      <w:r w:rsidRPr="005D6EF0">
        <w:rPr>
          <w:rFonts w:ascii="Garamond" w:hAnsi="Garamond"/>
          <w:sz w:val="24"/>
          <w:szCs w:val="24"/>
          <w:lang w:val="en-US"/>
        </w:rPr>
        <w:t>, I. A.</w:t>
      </w:r>
      <w:r>
        <w:rPr>
          <w:rFonts w:ascii="Garamond" w:hAnsi="Garamond"/>
          <w:sz w:val="24"/>
          <w:szCs w:val="24"/>
          <w:lang w:val="en-US"/>
        </w:rPr>
        <w:t xml:space="preserve"> </w:t>
      </w:r>
      <w:r w:rsidRPr="005D6EF0">
        <w:rPr>
          <w:rFonts w:ascii="Garamond" w:hAnsi="Garamond"/>
          <w:sz w:val="24"/>
          <w:szCs w:val="24"/>
          <w:lang w:val="en-US"/>
        </w:rPr>
        <w:t>(20</w:t>
      </w:r>
      <w:r>
        <w:rPr>
          <w:rFonts w:ascii="Garamond" w:hAnsi="Garamond"/>
          <w:sz w:val="24"/>
          <w:szCs w:val="24"/>
          <w:lang w:val="en-US"/>
        </w:rPr>
        <w:t>11</w:t>
      </w:r>
      <w:r w:rsidRPr="005D6EF0">
        <w:rPr>
          <w:rFonts w:ascii="Garamond" w:hAnsi="Garamond"/>
          <w:sz w:val="24"/>
          <w:szCs w:val="24"/>
          <w:lang w:val="en-US"/>
        </w:rPr>
        <w:t xml:space="preserve">). </w:t>
      </w:r>
      <w:proofErr w:type="spellStart"/>
      <w:r>
        <w:rPr>
          <w:rFonts w:ascii="Garamond" w:hAnsi="Garamond"/>
          <w:i/>
          <w:iCs/>
          <w:sz w:val="24"/>
          <w:szCs w:val="24"/>
          <w:lang w:val="en-US"/>
        </w:rPr>
        <w:t>Mindreaders</w:t>
      </w:r>
      <w:proofErr w:type="spellEnd"/>
      <w:r>
        <w:rPr>
          <w:rFonts w:ascii="Garamond" w:hAnsi="Garamond"/>
          <w:i/>
          <w:iCs/>
          <w:sz w:val="24"/>
          <w:szCs w:val="24"/>
          <w:lang w:val="en-US"/>
        </w:rPr>
        <w:t>. The Cognitive Basis of Theory of Mind</w:t>
      </w:r>
      <w:r w:rsidRPr="00AB6121">
        <w:rPr>
          <w:rFonts w:ascii="Garamond" w:hAnsi="Garamond"/>
          <w:sz w:val="24"/>
          <w:szCs w:val="24"/>
          <w:lang w:val="en-US"/>
        </w:rPr>
        <w:t>.</w:t>
      </w:r>
      <w:r>
        <w:rPr>
          <w:rFonts w:ascii="Garamond" w:hAnsi="Garamond"/>
          <w:sz w:val="24"/>
          <w:szCs w:val="24"/>
          <w:lang w:val="en-US"/>
        </w:rPr>
        <w:t xml:space="preserve"> Psychology Press.</w:t>
      </w:r>
    </w:p>
    <w:p w14:paraId="3E7D33B8" w14:textId="77777777" w:rsidR="007B36C6" w:rsidRPr="00604982" w:rsidRDefault="007B36C6" w:rsidP="007B36C6">
      <w:pPr>
        <w:spacing w:after="0" w:line="240" w:lineRule="auto"/>
        <w:contextualSpacing/>
        <w:rPr>
          <w:rFonts w:ascii="Garamond" w:hAnsi="Garamond"/>
          <w:sz w:val="24"/>
          <w:szCs w:val="24"/>
          <w:lang w:val="en-US"/>
        </w:rPr>
      </w:pPr>
      <w:r w:rsidRPr="00604982">
        <w:rPr>
          <w:rFonts w:ascii="Garamond" w:hAnsi="Garamond"/>
          <w:sz w:val="24"/>
          <w:szCs w:val="24"/>
          <w:lang w:val="en-US"/>
        </w:rPr>
        <w:t xml:space="preserve">DeRose, K. (2009). </w:t>
      </w:r>
      <w:r w:rsidRPr="00604982">
        <w:rPr>
          <w:rFonts w:ascii="Garamond" w:hAnsi="Garamond"/>
          <w:i/>
          <w:sz w:val="24"/>
          <w:szCs w:val="24"/>
          <w:lang w:val="en-US"/>
        </w:rPr>
        <w:t>The Case for Contextualism</w:t>
      </w:r>
      <w:r w:rsidRPr="00604982">
        <w:rPr>
          <w:rFonts w:ascii="Garamond" w:hAnsi="Garamond"/>
          <w:sz w:val="24"/>
          <w:szCs w:val="24"/>
          <w:lang w:val="en-US"/>
        </w:rPr>
        <w:t>. New York: Oxford University Press.</w:t>
      </w:r>
    </w:p>
    <w:p w14:paraId="6435E705" w14:textId="77777777" w:rsidR="007B36C6" w:rsidRPr="0074047A" w:rsidRDefault="007B36C6" w:rsidP="007B36C6">
      <w:pPr>
        <w:spacing w:after="0" w:line="240" w:lineRule="auto"/>
        <w:contextualSpacing/>
        <w:rPr>
          <w:rFonts w:ascii="Garamond" w:hAnsi="Garamond"/>
          <w:sz w:val="24"/>
          <w:szCs w:val="24"/>
          <w:lang w:val="en-US"/>
        </w:rPr>
      </w:pPr>
      <w:proofErr w:type="spellStart"/>
      <w:r w:rsidRPr="0074047A">
        <w:rPr>
          <w:rFonts w:ascii="Garamond" w:hAnsi="Garamond"/>
          <w:sz w:val="24"/>
          <w:szCs w:val="24"/>
          <w:lang w:val="en-US"/>
        </w:rPr>
        <w:t>Dinges</w:t>
      </w:r>
      <w:proofErr w:type="spellEnd"/>
      <w:r w:rsidRPr="0074047A">
        <w:rPr>
          <w:rFonts w:ascii="Garamond" w:hAnsi="Garamond"/>
          <w:sz w:val="24"/>
          <w:szCs w:val="24"/>
          <w:lang w:val="en-US"/>
        </w:rPr>
        <w:t>, A</w:t>
      </w:r>
      <w:r>
        <w:rPr>
          <w:rFonts w:ascii="Garamond" w:hAnsi="Garamond"/>
          <w:sz w:val="24"/>
          <w:szCs w:val="24"/>
          <w:lang w:val="en-US"/>
        </w:rPr>
        <w:t>.</w:t>
      </w:r>
      <w:r w:rsidRPr="0074047A">
        <w:rPr>
          <w:rFonts w:ascii="Garamond" w:hAnsi="Garamond"/>
          <w:sz w:val="24"/>
          <w:szCs w:val="24"/>
          <w:lang w:val="en-US"/>
        </w:rPr>
        <w:t xml:space="preserve"> (2018). Knowledge and availability. </w:t>
      </w:r>
      <w:r w:rsidRPr="0074047A">
        <w:rPr>
          <w:rFonts w:ascii="Garamond" w:hAnsi="Garamond"/>
          <w:i/>
          <w:iCs/>
          <w:sz w:val="24"/>
          <w:szCs w:val="24"/>
          <w:lang w:val="en-US"/>
        </w:rPr>
        <w:t>Philosophical Psychology</w:t>
      </w:r>
      <w:r w:rsidRPr="0074047A">
        <w:rPr>
          <w:rFonts w:ascii="Garamond" w:hAnsi="Garamond"/>
          <w:sz w:val="24"/>
          <w:szCs w:val="24"/>
          <w:lang w:val="en-US"/>
        </w:rPr>
        <w:t> 31 (4):</w:t>
      </w:r>
      <w:r>
        <w:rPr>
          <w:rFonts w:ascii="Garamond" w:hAnsi="Garamond"/>
          <w:sz w:val="24"/>
          <w:szCs w:val="24"/>
          <w:lang w:val="en-US"/>
        </w:rPr>
        <w:t xml:space="preserve"> </w:t>
      </w:r>
      <w:r w:rsidRPr="0074047A">
        <w:rPr>
          <w:rFonts w:ascii="Garamond" w:hAnsi="Garamond"/>
          <w:sz w:val="24"/>
          <w:szCs w:val="24"/>
          <w:lang w:val="en-US"/>
        </w:rPr>
        <w:t>554-573.</w:t>
      </w:r>
    </w:p>
    <w:p w14:paraId="02EC881B" w14:textId="77777777" w:rsidR="007B36C6" w:rsidRPr="00046CBE" w:rsidRDefault="007B36C6" w:rsidP="007B36C6">
      <w:pPr>
        <w:spacing w:after="0" w:line="240" w:lineRule="auto"/>
        <w:contextualSpacing/>
        <w:rPr>
          <w:rFonts w:ascii="Garamond" w:hAnsi="Garamond"/>
          <w:sz w:val="24"/>
          <w:szCs w:val="24"/>
          <w:lang w:val="en-US"/>
        </w:rPr>
      </w:pPr>
      <w:r w:rsidRPr="00046CBE">
        <w:rPr>
          <w:rFonts w:ascii="Garamond" w:hAnsi="Garamond"/>
          <w:sz w:val="24"/>
          <w:szCs w:val="24"/>
          <w:lang w:val="en-US"/>
        </w:rPr>
        <w:t xml:space="preserve">Gerken, M. (2017a). </w:t>
      </w:r>
      <w:r w:rsidRPr="00046CBE">
        <w:rPr>
          <w:rFonts w:ascii="Garamond" w:hAnsi="Garamond"/>
          <w:i/>
          <w:iCs/>
          <w:sz w:val="24"/>
          <w:szCs w:val="24"/>
          <w:lang w:val="en-US"/>
        </w:rPr>
        <w:t>On Folk Epistemology. How we think and talk about knowledge</w:t>
      </w:r>
      <w:r w:rsidRPr="00046CBE">
        <w:rPr>
          <w:rFonts w:ascii="Garamond" w:hAnsi="Garamond"/>
          <w:sz w:val="24"/>
          <w:szCs w:val="24"/>
          <w:lang w:val="en-US"/>
        </w:rPr>
        <w:t xml:space="preserve">. Oxford: Oxford </w:t>
      </w:r>
    </w:p>
    <w:p w14:paraId="472E2CC1" w14:textId="77777777" w:rsidR="007B36C6" w:rsidRPr="00046CBE" w:rsidRDefault="007B36C6" w:rsidP="007B36C6">
      <w:pPr>
        <w:spacing w:after="0" w:line="240" w:lineRule="auto"/>
        <w:contextualSpacing/>
        <w:rPr>
          <w:rFonts w:ascii="Garamond" w:hAnsi="Garamond"/>
          <w:sz w:val="24"/>
          <w:szCs w:val="24"/>
          <w:lang w:val="en-US"/>
        </w:rPr>
      </w:pPr>
      <w:r w:rsidRPr="00046CBE">
        <w:rPr>
          <w:rFonts w:ascii="Garamond" w:hAnsi="Garamond"/>
          <w:sz w:val="24"/>
          <w:szCs w:val="24"/>
          <w:lang w:val="en-US"/>
        </w:rPr>
        <w:tab/>
        <w:t>University Press.</w:t>
      </w:r>
    </w:p>
    <w:p w14:paraId="5177C3C1" w14:textId="77777777" w:rsidR="007B36C6" w:rsidRPr="00046CBE" w:rsidRDefault="007B36C6" w:rsidP="007B36C6">
      <w:pPr>
        <w:spacing w:after="0" w:line="240" w:lineRule="auto"/>
        <w:contextualSpacing/>
        <w:rPr>
          <w:rFonts w:ascii="Garamond" w:hAnsi="Garamond"/>
          <w:sz w:val="24"/>
          <w:szCs w:val="24"/>
          <w:lang w:val="en-US"/>
        </w:rPr>
      </w:pPr>
      <w:r w:rsidRPr="00046CBE">
        <w:rPr>
          <w:rFonts w:ascii="Garamond" w:hAnsi="Garamond"/>
          <w:sz w:val="24"/>
          <w:szCs w:val="24"/>
          <w:lang w:val="en-US"/>
        </w:rPr>
        <w:t xml:space="preserve">Gerken, M. (2017b). Against Knowledge-First Epistemology. In Gordon and Jarvis Carter (ed.), </w:t>
      </w:r>
    </w:p>
    <w:p w14:paraId="7A9D9335" w14:textId="77777777" w:rsidR="007B36C6" w:rsidRPr="00046CBE" w:rsidRDefault="007B36C6" w:rsidP="007B36C6">
      <w:pPr>
        <w:spacing w:after="0" w:line="240" w:lineRule="auto"/>
        <w:contextualSpacing/>
        <w:rPr>
          <w:rFonts w:ascii="Garamond" w:hAnsi="Garamond"/>
          <w:sz w:val="24"/>
          <w:szCs w:val="24"/>
          <w:lang w:val="en-US"/>
        </w:rPr>
      </w:pPr>
      <w:r w:rsidRPr="00046CBE">
        <w:rPr>
          <w:rFonts w:ascii="Garamond" w:hAnsi="Garamond"/>
          <w:sz w:val="24"/>
          <w:szCs w:val="24"/>
          <w:lang w:val="en-US"/>
        </w:rPr>
        <w:tab/>
      </w:r>
      <w:r w:rsidRPr="00046CBE">
        <w:rPr>
          <w:rFonts w:ascii="Garamond" w:hAnsi="Garamond"/>
          <w:i/>
          <w:iCs/>
          <w:sz w:val="24"/>
          <w:szCs w:val="24"/>
          <w:lang w:val="en-US"/>
        </w:rPr>
        <w:t>Knowledge-First Approaches in Epistemology and Mind</w:t>
      </w:r>
      <w:r w:rsidRPr="00046CBE">
        <w:rPr>
          <w:rFonts w:ascii="Garamond" w:hAnsi="Garamond"/>
          <w:sz w:val="24"/>
          <w:szCs w:val="24"/>
          <w:lang w:val="en-US"/>
        </w:rPr>
        <w:t>. Oxford University Press</w:t>
      </w:r>
      <w:r>
        <w:rPr>
          <w:rFonts w:ascii="Garamond" w:hAnsi="Garamond"/>
          <w:sz w:val="24"/>
          <w:szCs w:val="24"/>
          <w:lang w:val="en-US"/>
        </w:rPr>
        <w:t>:</w:t>
      </w:r>
      <w:r w:rsidRPr="00046CBE">
        <w:rPr>
          <w:rFonts w:ascii="Garamond" w:hAnsi="Garamond"/>
          <w:sz w:val="24"/>
          <w:szCs w:val="24"/>
          <w:lang w:val="en-US"/>
        </w:rPr>
        <w:t xml:space="preserve"> 46-71.</w:t>
      </w:r>
    </w:p>
    <w:p w14:paraId="0A255F21" w14:textId="77777777" w:rsidR="007B36C6" w:rsidRDefault="007B36C6" w:rsidP="007B36C6">
      <w:pPr>
        <w:tabs>
          <w:tab w:val="left" w:pos="709"/>
        </w:tabs>
        <w:spacing w:after="0" w:line="240" w:lineRule="auto"/>
        <w:contextualSpacing/>
        <w:rPr>
          <w:rFonts w:ascii="Garamond" w:hAnsi="Garamond"/>
          <w:sz w:val="24"/>
          <w:szCs w:val="24"/>
          <w:lang w:val="en-US"/>
        </w:rPr>
      </w:pPr>
      <w:r w:rsidRPr="00046CBE">
        <w:rPr>
          <w:rFonts w:ascii="Garamond" w:hAnsi="Garamond"/>
          <w:sz w:val="24"/>
          <w:szCs w:val="24"/>
          <w:lang w:val="en-US"/>
        </w:rPr>
        <w:t>Gerken, M., Alexander, J. Gonnerman, C. and Waterman</w:t>
      </w:r>
      <w:r>
        <w:rPr>
          <w:rFonts w:ascii="Garamond" w:hAnsi="Garamond"/>
          <w:sz w:val="24"/>
          <w:szCs w:val="24"/>
          <w:lang w:val="en-US"/>
        </w:rPr>
        <w:t xml:space="preserve">, J. (2020). </w:t>
      </w:r>
      <w:r w:rsidRPr="00046CBE">
        <w:rPr>
          <w:rFonts w:ascii="Garamond" w:hAnsi="Garamond"/>
          <w:sz w:val="24"/>
          <w:szCs w:val="24"/>
          <w:lang w:val="en-US"/>
        </w:rPr>
        <w:t xml:space="preserve">Salient Alternatives in </w:t>
      </w:r>
    </w:p>
    <w:p w14:paraId="56BF26AA" w14:textId="77777777" w:rsidR="007B36C6" w:rsidRPr="00046CBE" w:rsidRDefault="007B36C6" w:rsidP="007B36C6">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r>
      <w:r w:rsidRPr="00046CBE">
        <w:rPr>
          <w:rFonts w:ascii="Garamond" w:hAnsi="Garamond"/>
          <w:sz w:val="24"/>
          <w:szCs w:val="24"/>
          <w:lang w:val="en-US"/>
        </w:rPr>
        <w:t xml:space="preserve">Perspective. </w:t>
      </w:r>
      <w:r w:rsidRPr="00046CBE">
        <w:rPr>
          <w:rFonts w:ascii="Garamond" w:hAnsi="Garamond"/>
          <w:i/>
          <w:sz w:val="24"/>
          <w:szCs w:val="24"/>
          <w:lang w:val="en-US"/>
        </w:rPr>
        <w:t>Australasian Journal of Philosophy</w:t>
      </w:r>
      <w:r w:rsidRPr="00046CBE">
        <w:rPr>
          <w:rFonts w:ascii="Garamond" w:hAnsi="Garamond"/>
          <w:sz w:val="24"/>
          <w:szCs w:val="24"/>
          <w:lang w:val="en-US"/>
        </w:rPr>
        <w:t>.</w:t>
      </w:r>
    </w:p>
    <w:p w14:paraId="7E3B3201" w14:textId="77777777" w:rsidR="007B36C6" w:rsidRDefault="007B36C6" w:rsidP="007B36C6">
      <w:pPr>
        <w:tabs>
          <w:tab w:val="left" w:pos="709"/>
        </w:tabs>
        <w:spacing w:after="0" w:line="240" w:lineRule="auto"/>
        <w:contextualSpacing/>
        <w:rPr>
          <w:rFonts w:ascii="Garamond" w:hAnsi="Garamond"/>
          <w:sz w:val="24"/>
          <w:szCs w:val="24"/>
          <w:lang w:val="en-US"/>
        </w:rPr>
      </w:pPr>
      <w:r w:rsidRPr="00E305A4">
        <w:rPr>
          <w:rFonts w:ascii="Garamond" w:hAnsi="Garamond"/>
          <w:sz w:val="24"/>
          <w:szCs w:val="24"/>
          <w:lang w:val="en-US"/>
        </w:rPr>
        <w:t xml:space="preserve">Gerken, M., </w:t>
      </w:r>
      <w:r>
        <w:rPr>
          <w:rFonts w:ascii="Garamond" w:hAnsi="Garamond"/>
          <w:sz w:val="24"/>
          <w:szCs w:val="24"/>
          <w:lang w:val="en-US"/>
        </w:rPr>
        <w:t>and</w:t>
      </w:r>
      <w:r w:rsidRPr="00E305A4">
        <w:rPr>
          <w:rFonts w:ascii="Garamond" w:hAnsi="Garamond"/>
          <w:sz w:val="24"/>
          <w:szCs w:val="24"/>
          <w:lang w:val="en-US"/>
        </w:rPr>
        <w:t xml:space="preserve"> Beebe, J. R. (2016). </w:t>
      </w:r>
      <w:r w:rsidRPr="00D10F4C">
        <w:rPr>
          <w:rFonts w:ascii="Garamond" w:hAnsi="Garamond"/>
          <w:sz w:val="24"/>
          <w:szCs w:val="24"/>
          <w:lang w:val="en-US"/>
        </w:rPr>
        <w:t xml:space="preserve">Knowledge in and out of contrast. </w:t>
      </w:r>
      <w:proofErr w:type="spellStart"/>
      <w:r w:rsidRPr="0077076B">
        <w:rPr>
          <w:rFonts w:ascii="Garamond" w:hAnsi="Garamond"/>
          <w:i/>
          <w:iCs/>
          <w:sz w:val="24"/>
          <w:szCs w:val="24"/>
          <w:lang w:val="en-US"/>
        </w:rPr>
        <w:t>Noûs</w:t>
      </w:r>
      <w:proofErr w:type="spellEnd"/>
      <w:r w:rsidRPr="0077076B">
        <w:rPr>
          <w:rFonts w:ascii="Garamond" w:hAnsi="Garamond"/>
          <w:sz w:val="24"/>
          <w:szCs w:val="24"/>
          <w:lang w:val="en-US"/>
        </w:rPr>
        <w:t xml:space="preserve">, </w:t>
      </w:r>
      <w:r w:rsidRPr="0077076B">
        <w:rPr>
          <w:rFonts w:ascii="Garamond" w:hAnsi="Garamond"/>
          <w:i/>
          <w:iCs/>
          <w:sz w:val="24"/>
          <w:szCs w:val="24"/>
          <w:lang w:val="en-US"/>
        </w:rPr>
        <w:t xml:space="preserve">50 </w:t>
      </w:r>
      <w:r w:rsidRPr="0077076B">
        <w:rPr>
          <w:rFonts w:ascii="Garamond" w:hAnsi="Garamond"/>
          <w:sz w:val="24"/>
          <w:szCs w:val="24"/>
          <w:lang w:val="en-US"/>
        </w:rPr>
        <w:t>(1)</w:t>
      </w:r>
      <w:r>
        <w:rPr>
          <w:rFonts w:ascii="Garamond" w:hAnsi="Garamond"/>
          <w:sz w:val="24"/>
          <w:szCs w:val="24"/>
          <w:lang w:val="en-US"/>
        </w:rPr>
        <w:t>:</w:t>
      </w:r>
      <w:r w:rsidRPr="0077076B">
        <w:rPr>
          <w:rFonts w:ascii="Garamond" w:hAnsi="Garamond"/>
          <w:sz w:val="24"/>
          <w:szCs w:val="24"/>
          <w:lang w:val="en-US"/>
        </w:rPr>
        <w:t xml:space="preserve"> 133-164.</w:t>
      </w:r>
    </w:p>
    <w:p w14:paraId="3FFA3FEF" w14:textId="77777777" w:rsidR="007B36C6" w:rsidRPr="00EA41BC" w:rsidRDefault="007B36C6" w:rsidP="007B36C6">
      <w:pPr>
        <w:spacing w:after="0" w:line="240" w:lineRule="auto"/>
        <w:contextualSpacing/>
        <w:rPr>
          <w:rFonts w:ascii="Garamond" w:hAnsi="Garamond"/>
          <w:sz w:val="24"/>
          <w:szCs w:val="24"/>
          <w:lang w:val="en-US"/>
        </w:rPr>
      </w:pPr>
      <w:r w:rsidRPr="00EA41BC">
        <w:rPr>
          <w:rFonts w:ascii="Garamond" w:hAnsi="Garamond"/>
          <w:sz w:val="24"/>
          <w:szCs w:val="24"/>
          <w:lang w:val="en-US"/>
        </w:rPr>
        <w:t xml:space="preserve">Nagel, J. (2008). Knowledge Ascriptions and the Psychological Consequences of Changing Stakes. </w:t>
      </w:r>
    </w:p>
    <w:p w14:paraId="7E737921" w14:textId="77777777" w:rsidR="007B36C6" w:rsidRPr="00EA41BC" w:rsidRDefault="007B36C6" w:rsidP="007B36C6">
      <w:pPr>
        <w:spacing w:after="0" w:line="240" w:lineRule="auto"/>
        <w:contextualSpacing/>
        <w:rPr>
          <w:rFonts w:ascii="Garamond" w:hAnsi="Garamond"/>
          <w:sz w:val="24"/>
          <w:szCs w:val="24"/>
          <w:lang w:val="en-US"/>
        </w:rPr>
      </w:pPr>
      <w:r w:rsidRPr="00EA41BC">
        <w:rPr>
          <w:rFonts w:ascii="Garamond" w:hAnsi="Garamond"/>
          <w:sz w:val="24"/>
          <w:szCs w:val="24"/>
          <w:lang w:val="en-US"/>
        </w:rPr>
        <w:tab/>
      </w:r>
      <w:r w:rsidRPr="00EA41BC">
        <w:rPr>
          <w:rFonts w:ascii="Garamond" w:hAnsi="Garamond"/>
          <w:i/>
          <w:sz w:val="24"/>
          <w:szCs w:val="24"/>
          <w:lang w:val="en-US"/>
        </w:rPr>
        <w:t>Australasian Journal of Philosophy</w:t>
      </w:r>
      <w:r w:rsidRPr="00EA41BC">
        <w:rPr>
          <w:rFonts w:ascii="Garamond" w:hAnsi="Garamond"/>
          <w:sz w:val="24"/>
          <w:szCs w:val="24"/>
          <w:lang w:val="en-US"/>
        </w:rPr>
        <w:t>, 86: 279–94.</w:t>
      </w:r>
    </w:p>
    <w:p w14:paraId="2EFAE7DE" w14:textId="77777777" w:rsidR="007B36C6" w:rsidRPr="005B6455" w:rsidRDefault="007B36C6" w:rsidP="007B36C6">
      <w:pPr>
        <w:spacing w:after="0" w:line="240" w:lineRule="auto"/>
        <w:contextualSpacing/>
        <w:rPr>
          <w:rFonts w:ascii="Garamond" w:hAnsi="Garamond"/>
          <w:sz w:val="24"/>
          <w:szCs w:val="24"/>
          <w:lang w:val="en-US"/>
        </w:rPr>
      </w:pPr>
      <w:r w:rsidRPr="005B6455">
        <w:rPr>
          <w:rFonts w:ascii="Garamond" w:hAnsi="Garamond"/>
          <w:sz w:val="24"/>
          <w:szCs w:val="24"/>
          <w:lang w:val="en-US"/>
        </w:rPr>
        <w:t xml:space="preserve">Saxe, R. (2005). Against simulation: The argument from error. </w:t>
      </w:r>
      <w:r w:rsidRPr="005B6455">
        <w:rPr>
          <w:rFonts w:ascii="Garamond" w:hAnsi="Garamond"/>
          <w:i/>
          <w:iCs/>
          <w:sz w:val="24"/>
          <w:szCs w:val="24"/>
          <w:lang w:val="en-US"/>
        </w:rPr>
        <w:t xml:space="preserve">Trends in Cognitive Sciences, 9 </w:t>
      </w:r>
      <w:r w:rsidRPr="005B6455">
        <w:rPr>
          <w:rFonts w:ascii="Garamond" w:hAnsi="Garamond"/>
          <w:sz w:val="24"/>
          <w:szCs w:val="24"/>
          <w:lang w:val="en-US"/>
        </w:rPr>
        <w:t>(4): 174-179.</w:t>
      </w:r>
    </w:p>
    <w:p w14:paraId="6A9DF34E" w14:textId="77777777" w:rsidR="007B36C6" w:rsidRPr="005B6455" w:rsidRDefault="007B36C6" w:rsidP="007B36C6">
      <w:pPr>
        <w:spacing w:after="0" w:line="240" w:lineRule="auto"/>
        <w:contextualSpacing/>
        <w:rPr>
          <w:rFonts w:ascii="Garamond" w:hAnsi="Garamond"/>
          <w:sz w:val="24"/>
          <w:szCs w:val="24"/>
          <w:lang w:val="en-US"/>
        </w:rPr>
      </w:pPr>
      <w:r w:rsidRPr="005B6455">
        <w:rPr>
          <w:rFonts w:ascii="Garamond" w:hAnsi="Garamond"/>
          <w:sz w:val="24"/>
          <w:szCs w:val="24"/>
          <w:lang w:val="en-US"/>
        </w:rPr>
        <w:t xml:space="preserve">Schaffer, J. and </w:t>
      </w:r>
      <w:proofErr w:type="spellStart"/>
      <w:r w:rsidRPr="005B6455">
        <w:rPr>
          <w:rFonts w:ascii="Garamond" w:hAnsi="Garamond"/>
          <w:sz w:val="24"/>
          <w:szCs w:val="24"/>
          <w:lang w:val="en-US"/>
        </w:rPr>
        <w:t>Knobe</w:t>
      </w:r>
      <w:proofErr w:type="spellEnd"/>
      <w:r w:rsidRPr="005B6455">
        <w:rPr>
          <w:rFonts w:ascii="Garamond" w:hAnsi="Garamond"/>
          <w:sz w:val="24"/>
          <w:szCs w:val="24"/>
          <w:lang w:val="en-US"/>
        </w:rPr>
        <w:t xml:space="preserve">, J. (2012). Contrastive Knowledge Surveyed. </w:t>
      </w:r>
      <w:proofErr w:type="spellStart"/>
      <w:r w:rsidRPr="005B6455">
        <w:rPr>
          <w:rFonts w:ascii="Garamond" w:hAnsi="Garamond"/>
          <w:i/>
          <w:iCs/>
          <w:sz w:val="24"/>
          <w:szCs w:val="24"/>
          <w:lang w:val="en-US"/>
        </w:rPr>
        <w:t>Noûs</w:t>
      </w:r>
      <w:proofErr w:type="spellEnd"/>
      <w:r w:rsidRPr="005B6455">
        <w:rPr>
          <w:rFonts w:ascii="Garamond" w:hAnsi="Garamond"/>
          <w:iCs/>
          <w:sz w:val="24"/>
          <w:szCs w:val="24"/>
          <w:lang w:val="en-US"/>
        </w:rPr>
        <w:t>, 4</w:t>
      </w:r>
      <w:r w:rsidRPr="005B6455">
        <w:rPr>
          <w:rFonts w:ascii="Garamond" w:hAnsi="Garamond"/>
          <w:sz w:val="24"/>
          <w:szCs w:val="24"/>
          <w:lang w:val="en-US"/>
        </w:rPr>
        <w:t>6, (4): 675-708.</w:t>
      </w:r>
    </w:p>
    <w:p w14:paraId="488BF85D" w14:textId="77777777" w:rsidR="007B36C6" w:rsidRDefault="007B36C6" w:rsidP="007B36C6">
      <w:pPr>
        <w:spacing w:after="0" w:line="240" w:lineRule="auto"/>
        <w:contextualSpacing/>
        <w:rPr>
          <w:rFonts w:ascii="Garamond" w:hAnsi="Garamond"/>
          <w:sz w:val="24"/>
          <w:szCs w:val="24"/>
          <w:lang w:val="en-US"/>
        </w:rPr>
      </w:pPr>
      <w:r w:rsidRPr="000B67D5">
        <w:rPr>
          <w:rFonts w:ascii="Garamond" w:hAnsi="Garamond"/>
          <w:sz w:val="24"/>
          <w:szCs w:val="24"/>
          <w:lang w:val="en-US"/>
        </w:rPr>
        <w:t xml:space="preserve">Spaulding, S. (2018). </w:t>
      </w:r>
      <w:r w:rsidRPr="000B67D5">
        <w:rPr>
          <w:rFonts w:ascii="Garamond" w:hAnsi="Garamond"/>
          <w:i/>
          <w:iCs/>
          <w:sz w:val="24"/>
          <w:szCs w:val="24"/>
          <w:lang w:val="en-US"/>
        </w:rPr>
        <w:t>How we understand others: Philosophy and social cognition</w:t>
      </w:r>
      <w:r w:rsidRPr="000B67D5">
        <w:rPr>
          <w:rFonts w:ascii="Garamond" w:hAnsi="Garamond"/>
          <w:sz w:val="24"/>
          <w:szCs w:val="24"/>
          <w:lang w:val="en-US"/>
        </w:rPr>
        <w:t xml:space="preserve">. </w:t>
      </w:r>
      <w:r w:rsidRPr="00F0239E">
        <w:rPr>
          <w:rFonts w:ascii="Garamond" w:hAnsi="Garamond"/>
          <w:sz w:val="24"/>
          <w:szCs w:val="24"/>
          <w:lang w:val="en-US"/>
        </w:rPr>
        <w:t>Routledge.</w:t>
      </w:r>
    </w:p>
    <w:p w14:paraId="3CC3D962" w14:textId="77777777" w:rsidR="007B36C6" w:rsidRPr="005B6455" w:rsidRDefault="007B36C6" w:rsidP="007B36C6">
      <w:pPr>
        <w:spacing w:after="0" w:line="240" w:lineRule="auto"/>
        <w:contextualSpacing/>
        <w:textAlignment w:val="baseline"/>
        <w:rPr>
          <w:rFonts w:ascii="Garamond" w:hAnsi="Garamond"/>
          <w:sz w:val="24"/>
          <w:szCs w:val="24"/>
          <w:lang w:val="en-US"/>
        </w:rPr>
      </w:pPr>
      <w:r w:rsidRPr="005B6455">
        <w:rPr>
          <w:rFonts w:ascii="Garamond" w:hAnsi="Garamond"/>
          <w:sz w:val="24"/>
          <w:szCs w:val="24"/>
          <w:lang w:val="en-US"/>
        </w:rPr>
        <w:t xml:space="preserve">Stanley, J. (2005). </w:t>
      </w:r>
      <w:r w:rsidRPr="005B6455">
        <w:rPr>
          <w:rFonts w:ascii="Garamond" w:hAnsi="Garamond"/>
          <w:i/>
          <w:sz w:val="24"/>
          <w:szCs w:val="24"/>
          <w:lang w:val="en-US"/>
        </w:rPr>
        <w:t>Knowledge and Practical Interests</w:t>
      </w:r>
      <w:r w:rsidRPr="005B6455">
        <w:rPr>
          <w:rFonts w:ascii="Garamond" w:hAnsi="Garamond"/>
          <w:sz w:val="24"/>
          <w:szCs w:val="24"/>
          <w:lang w:val="en-US"/>
        </w:rPr>
        <w:t>. Oxford University Press.</w:t>
      </w:r>
    </w:p>
    <w:p w14:paraId="40775706" w14:textId="77777777" w:rsidR="007B36C6" w:rsidRPr="005B6455" w:rsidRDefault="007B36C6" w:rsidP="007B36C6">
      <w:pPr>
        <w:spacing w:after="0" w:line="240" w:lineRule="auto"/>
        <w:contextualSpacing/>
        <w:textAlignment w:val="baseline"/>
        <w:rPr>
          <w:rFonts w:ascii="Garamond" w:hAnsi="Garamond"/>
          <w:sz w:val="24"/>
          <w:szCs w:val="24"/>
          <w:lang w:val="en-US"/>
        </w:rPr>
      </w:pPr>
      <w:proofErr w:type="spellStart"/>
      <w:r w:rsidRPr="005B6455">
        <w:rPr>
          <w:rFonts w:ascii="Garamond" w:hAnsi="Garamond"/>
          <w:sz w:val="24"/>
          <w:szCs w:val="24"/>
          <w:lang w:val="en-US"/>
        </w:rPr>
        <w:t>Turri</w:t>
      </w:r>
      <w:proofErr w:type="spellEnd"/>
      <w:r w:rsidRPr="005B6455">
        <w:rPr>
          <w:rFonts w:ascii="Garamond" w:hAnsi="Garamond"/>
          <w:sz w:val="24"/>
          <w:szCs w:val="24"/>
          <w:lang w:val="en-US"/>
        </w:rPr>
        <w:t xml:space="preserve">, J. (2015b). Skeptical Appeal: The Source-Content Bias. </w:t>
      </w:r>
      <w:r w:rsidRPr="005B6455">
        <w:rPr>
          <w:rFonts w:ascii="Garamond" w:hAnsi="Garamond"/>
          <w:i/>
          <w:iCs/>
          <w:sz w:val="24"/>
          <w:szCs w:val="24"/>
          <w:lang w:val="en-US"/>
        </w:rPr>
        <w:t>Cognitive Science</w:t>
      </w:r>
      <w:r w:rsidRPr="005B6455">
        <w:rPr>
          <w:rFonts w:ascii="Garamond" w:hAnsi="Garamond"/>
          <w:sz w:val="24"/>
          <w:szCs w:val="24"/>
          <w:lang w:val="en-US"/>
        </w:rPr>
        <w:t xml:space="preserve"> 38 (5): 307-324.</w:t>
      </w:r>
    </w:p>
    <w:p w14:paraId="3D525387" w14:textId="77777777" w:rsidR="007B36C6" w:rsidRPr="005B6455" w:rsidRDefault="007B36C6" w:rsidP="007B36C6">
      <w:pPr>
        <w:spacing w:after="0" w:line="240" w:lineRule="auto"/>
        <w:contextualSpacing/>
        <w:textAlignment w:val="baseline"/>
        <w:rPr>
          <w:rFonts w:ascii="Garamond" w:hAnsi="Garamond"/>
          <w:sz w:val="24"/>
          <w:szCs w:val="24"/>
          <w:lang w:val="en-US"/>
        </w:rPr>
      </w:pPr>
      <w:r w:rsidRPr="005B6455">
        <w:rPr>
          <w:rFonts w:ascii="Garamond" w:hAnsi="Garamond"/>
          <w:sz w:val="24"/>
          <w:szCs w:val="24"/>
          <w:lang w:val="en-US"/>
        </w:rPr>
        <w:t xml:space="preserve">Wellman, H., Cross, D. and Watson, J (2001). Meta-analysis of theory of mind development: The </w:t>
      </w:r>
    </w:p>
    <w:p w14:paraId="1A5B2D6C" w14:textId="77777777" w:rsidR="007B36C6" w:rsidRDefault="007B36C6" w:rsidP="007B36C6">
      <w:pPr>
        <w:spacing w:after="0" w:line="240" w:lineRule="auto"/>
        <w:contextualSpacing/>
        <w:textAlignment w:val="baseline"/>
        <w:rPr>
          <w:rFonts w:ascii="Garamond" w:hAnsi="Garamond"/>
          <w:sz w:val="24"/>
          <w:szCs w:val="24"/>
          <w:lang w:val="en-US"/>
        </w:rPr>
      </w:pPr>
      <w:r w:rsidRPr="005B6455">
        <w:rPr>
          <w:rFonts w:ascii="Garamond" w:hAnsi="Garamond"/>
          <w:sz w:val="24"/>
          <w:szCs w:val="24"/>
          <w:lang w:val="en-US"/>
        </w:rPr>
        <w:tab/>
        <w:t xml:space="preserve">truth about </w:t>
      </w:r>
      <w:proofErr w:type="gramStart"/>
      <w:r w:rsidRPr="005B6455">
        <w:rPr>
          <w:rFonts w:ascii="Garamond" w:hAnsi="Garamond"/>
          <w:sz w:val="24"/>
          <w:szCs w:val="24"/>
          <w:lang w:val="en-US"/>
        </w:rPr>
        <w:t>false-belief</w:t>
      </w:r>
      <w:proofErr w:type="gramEnd"/>
      <w:r w:rsidRPr="005B6455">
        <w:rPr>
          <w:rFonts w:ascii="Garamond" w:hAnsi="Garamond"/>
          <w:sz w:val="24"/>
          <w:szCs w:val="24"/>
          <w:lang w:val="en-US"/>
        </w:rPr>
        <w:t xml:space="preserve">. </w:t>
      </w:r>
      <w:r w:rsidRPr="005B6455">
        <w:rPr>
          <w:rFonts w:ascii="Garamond" w:hAnsi="Garamond"/>
          <w:i/>
          <w:sz w:val="24"/>
          <w:szCs w:val="24"/>
          <w:lang w:val="en-US"/>
        </w:rPr>
        <w:t>Child Development</w:t>
      </w:r>
      <w:r w:rsidRPr="005B6455">
        <w:rPr>
          <w:rFonts w:ascii="Garamond" w:hAnsi="Garamond"/>
          <w:sz w:val="24"/>
          <w:szCs w:val="24"/>
          <w:lang w:val="en-US"/>
        </w:rPr>
        <w:t>, 72 (3): 655-684.</w:t>
      </w:r>
    </w:p>
    <w:p w14:paraId="36EA57BC" w14:textId="77777777" w:rsidR="007B36C6" w:rsidRPr="005B6455" w:rsidRDefault="007B36C6" w:rsidP="007B36C6">
      <w:pPr>
        <w:spacing w:after="0" w:line="240" w:lineRule="auto"/>
        <w:contextualSpacing/>
        <w:textAlignment w:val="baseline"/>
        <w:rPr>
          <w:rFonts w:ascii="Garamond" w:hAnsi="Garamond"/>
          <w:sz w:val="24"/>
          <w:szCs w:val="24"/>
          <w:lang w:val="en-US"/>
        </w:rPr>
      </w:pPr>
      <w:r w:rsidRPr="005B6455">
        <w:rPr>
          <w:rFonts w:ascii="Garamond" w:hAnsi="Garamond"/>
          <w:sz w:val="24"/>
          <w:szCs w:val="24"/>
          <w:lang w:val="en-US"/>
        </w:rPr>
        <w:t xml:space="preserve">Williamson, T. (2000). </w:t>
      </w:r>
      <w:r w:rsidRPr="005B6455">
        <w:rPr>
          <w:rFonts w:ascii="Garamond" w:hAnsi="Garamond"/>
          <w:i/>
          <w:sz w:val="24"/>
          <w:szCs w:val="24"/>
          <w:lang w:val="en-US"/>
        </w:rPr>
        <w:t>Knowledge and its Limits</w:t>
      </w:r>
      <w:r w:rsidRPr="005B6455">
        <w:rPr>
          <w:rFonts w:ascii="Garamond" w:hAnsi="Garamond"/>
          <w:sz w:val="24"/>
          <w:szCs w:val="24"/>
          <w:lang w:val="en-US"/>
        </w:rPr>
        <w:t>. Oxford University Press.</w:t>
      </w:r>
    </w:p>
    <w:p w14:paraId="5734966C" w14:textId="77777777" w:rsidR="007B36C6" w:rsidRPr="005B6455" w:rsidRDefault="007B36C6" w:rsidP="007B36C6">
      <w:pPr>
        <w:spacing w:after="0" w:line="240" w:lineRule="auto"/>
        <w:contextualSpacing/>
        <w:textAlignment w:val="baseline"/>
        <w:rPr>
          <w:rFonts w:ascii="Garamond" w:hAnsi="Garamond"/>
          <w:sz w:val="24"/>
          <w:szCs w:val="24"/>
          <w:lang w:val="en-US"/>
        </w:rPr>
      </w:pPr>
    </w:p>
    <w:p w14:paraId="177B7FE2" w14:textId="77777777" w:rsidR="007B36C6" w:rsidRDefault="007B36C6" w:rsidP="007B36C6">
      <w:pPr>
        <w:spacing w:after="0" w:line="240" w:lineRule="auto"/>
        <w:contextualSpacing/>
        <w:textAlignment w:val="baseline"/>
        <w:rPr>
          <w:rFonts w:ascii="Garamond" w:hAnsi="Garamond"/>
          <w:sz w:val="24"/>
          <w:szCs w:val="24"/>
          <w:lang w:val="en-US"/>
        </w:rPr>
      </w:pPr>
    </w:p>
    <w:p w14:paraId="77E5C1FD" w14:textId="77777777" w:rsidR="007B36C6" w:rsidRDefault="007B36C6" w:rsidP="007B36C6">
      <w:pPr>
        <w:spacing w:after="0" w:line="240" w:lineRule="auto"/>
        <w:contextualSpacing/>
        <w:textAlignment w:val="baseline"/>
        <w:rPr>
          <w:rFonts w:ascii="Garamond" w:hAnsi="Garamond"/>
          <w:sz w:val="24"/>
          <w:szCs w:val="24"/>
          <w:lang w:val="en-US"/>
        </w:rPr>
      </w:pPr>
    </w:p>
    <w:p w14:paraId="444FEC4A" w14:textId="77777777" w:rsidR="007B36C6" w:rsidRPr="00490481" w:rsidRDefault="007B36C6" w:rsidP="007B36C6">
      <w:pPr>
        <w:spacing w:after="0" w:line="240" w:lineRule="auto"/>
        <w:rPr>
          <w:lang w:val="en-US"/>
        </w:rPr>
      </w:pPr>
    </w:p>
    <w:p w14:paraId="7FC860C8" w14:textId="77777777" w:rsidR="004F7249" w:rsidRDefault="004F7249" w:rsidP="007B36C6">
      <w:pPr>
        <w:spacing w:after="0" w:line="240" w:lineRule="auto"/>
      </w:pPr>
    </w:p>
    <w:sectPr w:rsidR="004F7249">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7706E" w14:textId="77777777" w:rsidR="00545541" w:rsidRDefault="00545541" w:rsidP="002378DB">
      <w:pPr>
        <w:spacing w:after="0" w:line="240" w:lineRule="auto"/>
      </w:pPr>
      <w:r>
        <w:separator/>
      </w:r>
    </w:p>
  </w:endnote>
  <w:endnote w:type="continuationSeparator" w:id="0">
    <w:p w14:paraId="566D8DF4" w14:textId="77777777" w:rsidR="00545541" w:rsidRDefault="00545541" w:rsidP="00237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skervilleMT">
    <w:altName w:val="Baskerville Old Fac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5936466"/>
      <w:docPartObj>
        <w:docPartGallery w:val="Page Numbers (Bottom of Page)"/>
        <w:docPartUnique/>
      </w:docPartObj>
    </w:sdtPr>
    <w:sdtContent>
      <w:p w14:paraId="4B5E1554" w14:textId="09B066B4" w:rsidR="002378DB" w:rsidRDefault="002378DB">
        <w:pPr>
          <w:pStyle w:val="Footer"/>
          <w:jc w:val="center"/>
        </w:pPr>
        <w:r>
          <w:fldChar w:fldCharType="begin"/>
        </w:r>
        <w:r>
          <w:instrText>PAGE   \* MERGEFORMAT</w:instrText>
        </w:r>
        <w:r>
          <w:fldChar w:fldCharType="separate"/>
        </w:r>
        <w:r>
          <w:t>2</w:t>
        </w:r>
        <w:r>
          <w:fldChar w:fldCharType="end"/>
        </w:r>
      </w:p>
    </w:sdtContent>
  </w:sdt>
  <w:p w14:paraId="258701F3" w14:textId="77777777" w:rsidR="002378DB" w:rsidRDefault="00237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08C79" w14:textId="77777777" w:rsidR="00545541" w:rsidRDefault="00545541" w:rsidP="002378DB">
      <w:pPr>
        <w:spacing w:after="0" w:line="240" w:lineRule="auto"/>
      </w:pPr>
      <w:r>
        <w:separator/>
      </w:r>
    </w:p>
  </w:footnote>
  <w:footnote w:type="continuationSeparator" w:id="0">
    <w:p w14:paraId="078179D1" w14:textId="77777777" w:rsidR="00545541" w:rsidRDefault="00545541" w:rsidP="002378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982363"/>
    <w:multiLevelType w:val="hybridMultilevel"/>
    <w:tmpl w:val="BA2EFC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6C6"/>
    <w:rsid w:val="002378DB"/>
    <w:rsid w:val="003F43C8"/>
    <w:rsid w:val="004F7249"/>
    <w:rsid w:val="00545541"/>
    <w:rsid w:val="007B36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4C77E"/>
  <w15:chartTrackingRefBased/>
  <w15:docId w15:val="{7E763300-115A-4B48-8428-D06BC11F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6C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6C6"/>
    <w:pPr>
      <w:ind w:left="720"/>
      <w:contextualSpacing/>
    </w:pPr>
  </w:style>
  <w:style w:type="paragraph" w:styleId="Header">
    <w:name w:val="header"/>
    <w:basedOn w:val="Normal"/>
    <w:link w:val="HeaderChar"/>
    <w:uiPriority w:val="99"/>
    <w:unhideWhenUsed/>
    <w:rsid w:val="002378DB"/>
    <w:pPr>
      <w:tabs>
        <w:tab w:val="center" w:pos="4819"/>
        <w:tab w:val="right" w:pos="9638"/>
      </w:tabs>
      <w:spacing w:after="0" w:line="240" w:lineRule="auto"/>
    </w:pPr>
  </w:style>
  <w:style w:type="character" w:customStyle="1" w:styleId="HeaderChar">
    <w:name w:val="Header Char"/>
    <w:basedOn w:val="DefaultParagraphFont"/>
    <w:link w:val="Header"/>
    <w:uiPriority w:val="99"/>
    <w:rsid w:val="002378DB"/>
  </w:style>
  <w:style w:type="paragraph" w:styleId="Footer">
    <w:name w:val="footer"/>
    <w:basedOn w:val="Normal"/>
    <w:link w:val="FooterChar"/>
    <w:uiPriority w:val="99"/>
    <w:unhideWhenUsed/>
    <w:rsid w:val="002378DB"/>
    <w:pPr>
      <w:tabs>
        <w:tab w:val="center" w:pos="4819"/>
        <w:tab w:val="right" w:pos="9638"/>
      </w:tabs>
      <w:spacing w:after="0" w:line="240" w:lineRule="auto"/>
    </w:pPr>
  </w:style>
  <w:style w:type="character" w:customStyle="1" w:styleId="FooterChar">
    <w:name w:val="Footer Char"/>
    <w:basedOn w:val="DefaultParagraphFont"/>
    <w:link w:val="Footer"/>
    <w:uiPriority w:val="99"/>
    <w:rsid w:val="00237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A54AF-42A8-49D3-8C31-CA37DCCD9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1338</Words>
  <Characters>8162</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Mikkel Gerken</dc:creator>
  <cp:keywords/>
  <dc:description/>
  <cp:lastModifiedBy>Mikkel Gerken</cp:lastModifiedBy>
  <cp:revision>1</cp:revision>
  <dcterms:created xsi:type="dcterms:W3CDTF">2020-12-29T15:12:00Z</dcterms:created>
  <dcterms:modified xsi:type="dcterms:W3CDTF">2020-12-29T15:40:00Z</dcterms:modified>
</cp:coreProperties>
</file>