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A6CB" w14:textId="60E7718B" w:rsidR="00194436" w:rsidRPr="00194436" w:rsidRDefault="00194436" w:rsidP="00194436">
      <w:pPr>
        <w:jc w:val="center"/>
        <w:rPr>
          <w:rFonts w:eastAsia="Calibri"/>
          <w:sz w:val="32"/>
          <w:szCs w:val="32"/>
          <w:lang w:eastAsia="en-US"/>
        </w:rPr>
      </w:pPr>
      <w:r w:rsidRPr="00194436">
        <w:rPr>
          <w:rFonts w:eastAsia="Calibri"/>
          <w:sz w:val="32"/>
          <w:szCs w:val="32"/>
          <w:lang w:eastAsia="en-US"/>
        </w:rPr>
        <w:t>The Agent in Pain: Alienation and Discursive Abuse</w:t>
      </w:r>
      <w:bookmarkStart w:id="0" w:name="_GoBack"/>
      <w:bookmarkEnd w:id="0"/>
    </w:p>
    <w:p w14:paraId="55F2ADFD" w14:textId="77777777" w:rsidR="00194436" w:rsidRDefault="00194436" w:rsidP="00B968A4"/>
    <w:p w14:paraId="3AA3E797" w14:textId="26599696" w:rsidR="00CF0729" w:rsidRPr="00C554E0" w:rsidRDefault="00C42C56" w:rsidP="00B968A4">
      <w:r w:rsidRPr="00C554E0">
        <w:t xml:space="preserve">For </w:t>
      </w:r>
      <w:r w:rsidR="006701BE">
        <w:t xml:space="preserve">Theodor </w:t>
      </w:r>
      <w:r w:rsidR="00DB1A1E" w:rsidRPr="00C554E0">
        <w:t xml:space="preserve">Adorno, </w:t>
      </w:r>
      <w:r w:rsidR="00B968A4" w:rsidRPr="00C554E0">
        <w:t>t</w:t>
      </w:r>
      <w:r w:rsidRPr="00C554E0">
        <w:t xml:space="preserve">he </w:t>
      </w:r>
      <w:r w:rsidR="00677DCD" w:rsidRPr="00C554E0">
        <w:t xml:space="preserve">atrocity of the Holocaust, the brutality of two world wars, and the rapid expansion and </w:t>
      </w:r>
      <w:r w:rsidR="00F26D9D" w:rsidRPr="00C554E0">
        <w:t>encroachment</w:t>
      </w:r>
      <w:r w:rsidR="00525F0D" w:rsidRPr="00C554E0">
        <w:t xml:space="preserve"> </w:t>
      </w:r>
      <w:r w:rsidR="00677DCD" w:rsidRPr="00C554E0">
        <w:t xml:space="preserve">of </w:t>
      </w:r>
      <w:r w:rsidR="004F18BD" w:rsidRPr="00C554E0">
        <w:t xml:space="preserve">market </w:t>
      </w:r>
      <w:r w:rsidR="00677DCD" w:rsidRPr="00C554E0">
        <w:t xml:space="preserve">capitalism </w:t>
      </w:r>
      <w:r w:rsidR="00F26D9D" w:rsidRPr="00C554E0">
        <w:t xml:space="preserve">into </w:t>
      </w:r>
      <w:r w:rsidR="00F26D9D" w:rsidRPr="00D658FB">
        <w:rPr>
          <w:i/>
          <w:iCs/>
        </w:rPr>
        <w:t>all</w:t>
      </w:r>
      <w:r w:rsidR="00F26D9D" w:rsidRPr="00C554E0">
        <w:t xml:space="preserve"> spheres of life </w:t>
      </w:r>
      <w:r w:rsidR="00956CA5" w:rsidRPr="00C554E0">
        <w:t>demonstrated</w:t>
      </w:r>
      <w:r w:rsidR="00677DCD" w:rsidRPr="00C554E0">
        <w:t xml:space="preserve"> that the </w:t>
      </w:r>
      <w:r w:rsidRPr="00C554E0">
        <w:t xml:space="preserve">project of modernity </w:t>
      </w:r>
      <w:r w:rsidR="00677DCD" w:rsidRPr="00C554E0">
        <w:t xml:space="preserve">could only be viewed </w:t>
      </w:r>
      <w:r w:rsidRPr="00C554E0">
        <w:t>as a disaster</w:t>
      </w:r>
      <w:r w:rsidR="00677DCD" w:rsidRPr="00C554E0">
        <w:t xml:space="preserve">. </w:t>
      </w:r>
      <w:r w:rsidR="00B968A4" w:rsidRPr="00C554E0">
        <w:t>To use Max Weber’s iconic terminology, e</w:t>
      </w:r>
      <w:r w:rsidRPr="00C554E0">
        <w:t>very aspect of reality</w:t>
      </w:r>
      <w:r w:rsidR="0025566C" w:rsidRPr="00C554E0">
        <w:t xml:space="preserve"> was</w:t>
      </w:r>
      <w:r w:rsidR="00677DCD" w:rsidRPr="00C554E0">
        <w:t xml:space="preserve"> </w:t>
      </w:r>
      <w:r w:rsidR="0025566C" w:rsidRPr="00C554E0">
        <w:t xml:space="preserve">now thoroughly </w:t>
      </w:r>
      <w:r w:rsidRPr="005201FA">
        <w:rPr>
          <w:i/>
          <w:iCs/>
        </w:rPr>
        <w:t>disenchanted</w:t>
      </w:r>
      <w:r w:rsidR="0025566C" w:rsidRPr="00C554E0">
        <w:t>, boxed in</w:t>
      </w:r>
      <w:r w:rsidR="00B968A4" w:rsidRPr="00C554E0">
        <w:t xml:space="preserve"> </w:t>
      </w:r>
      <w:r w:rsidR="0025566C" w:rsidRPr="00C554E0">
        <w:t xml:space="preserve">an </w:t>
      </w:r>
      <w:r w:rsidRPr="00C554E0">
        <w:t>iron cage</w:t>
      </w:r>
      <w:r w:rsidR="005201FA">
        <w:t xml:space="preserve"> </w:t>
      </w:r>
      <w:r w:rsidR="0025566C" w:rsidRPr="00C554E0">
        <w:t>governed by</w:t>
      </w:r>
      <w:r w:rsidRPr="00C554E0">
        <w:t xml:space="preserve"> calculating instrumental rationality</w:t>
      </w:r>
      <w:r w:rsidR="00F26D9D" w:rsidRPr="00C554E0">
        <w:t xml:space="preserve">. Humanity and the world </w:t>
      </w:r>
      <w:r w:rsidR="00F57FD4">
        <w:t xml:space="preserve">had steered to </w:t>
      </w:r>
      <w:proofErr w:type="gramStart"/>
      <w:r w:rsidR="00F57FD4">
        <w:t>barbarity, and</w:t>
      </w:r>
      <w:proofErr w:type="gramEnd"/>
      <w:r w:rsidR="00F57FD4">
        <w:t xml:space="preserve"> </w:t>
      </w:r>
      <w:r w:rsidR="00F26D9D" w:rsidRPr="00C554E0">
        <w:t xml:space="preserve">were now in </w:t>
      </w:r>
      <w:r w:rsidR="00D658FB">
        <w:t>near-</w:t>
      </w:r>
      <w:r w:rsidR="00F26D9D" w:rsidRPr="00C554E0">
        <w:t>total</w:t>
      </w:r>
      <w:r w:rsidR="00D658FB">
        <w:t>ised</w:t>
      </w:r>
      <w:r w:rsidR="00F26D9D" w:rsidRPr="00C554E0">
        <w:t xml:space="preserve"> </w:t>
      </w:r>
      <w:r w:rsidR="00677DCD" w:rsidRPr="00C554E0">
        <w:t>‘</w:t>
      </w:r>
      <w:r w:rsidRPr="00C554E0">
        <w:t>mechanised petrification</w:t>
      </w:r>
      <w:r w:rsidR="00677DCD" w:rsidRPr="00C554E0">
        <w:t>’</w:t>
      </w:r>
      <w:r w:rsidR="0025566C" w:rsidRPr="00C554E0">
        <w:t>.</w:t>
      </w:r>
      <w:r w:rsidR="00CF0729" w:rsidRPr="00C554E0">
        <w:t xml:space="preserve"> </w:t>
      </w:r>
    </w:p>
    <w:p w14:paraId="10194D27" w14:textId="659E0B1B" w:rsidR="00CC11D8" w:rsidRPr="00C554E0" w:rsidRDefault="00C42C56" w:rsidP="00CF0729">
      <w:pPr>
        <w:ind w:firstLine="720"/>
      </w:pPr>
      <w:r w:rsidRPr="00C554E0">
        <w:t xml:space="preserve">Both the </w:t>
      </w:r>
      <w:r w:rsidR="0025566C" w:rsidRPr="00C554E0">
        <w:t xml:space="preserve">increasing volume </w:t>
      </w:r>
      <w:r w:rsidRPr="00C554E0">
        <w:t>of social evils</w:t>
      </w:r>
      <w:r w:rsidR="0025566C" w:rsidRPr="00C554E0">
        <w:t>, such as poverty,</w:t>
      </w:r>
      <w:r w:rsidRPr="00C554E0">
        <w:t xml:space="preserve"> as well as the presence of </w:t>
      </w:r>
      <w:r w:rsidR="007A6D31" w:rsidRPr="00C554E0">
        <w:t>‘</w:t>
      </w:r>
      <w:r w:rsidRPr="00C554E0">
        <w:t>radical evil</w:t>
      </w:r>
      <w:r w:rsidR="007A6D31" w:rsidRPr="00C554E0">
        <w:t>’</w:t>
      </w:r>
      <w:r w:rsidR="0025566C" w:rsidRPr="00C554E0">
        <w:t xml:space="preserve"> in the world, such as industrialised genocide</w:t>
      </w:r>
      <w:r w:rsidRPr="00C554E0">
        <w:t xml:space="preserve">, </w:t>
      </w:r>
      <w:r w:rsidR="00F26D9D" w:rsidRPr="00C554E0">
        <w:t xml:space="preserve">signified </w:t>
      </w:r>
      <w:r w:rsidRPr="00C554E0">
        <w:t xml:space="preserve">that </w:t>
      </w:r>
      <w:r w:rsidR="00B842B3">
        <w:t xml:space="preserve">the </w:t>
      </w:r>
      <w:r w:rsidRPr="00C554E0">
        <w:t xml:space="preserve">self-image of </w:t>
      </w:r>
      <w:r w:rsidR="0025566C" w:rsidRPr="00C554E0">
        <w:t xml:space="preserve">philosophical </w:t>
      </w:r>
      <w:r w:rsidRPr="00C554E0">
        <w:t>inquiry</w:t>
      </w:r>
      <w:r w:rsidR="00B842B3">
        <w:t xml:space="preserve"> required redefining</w:t>
      </w:r>
      <w:r w:rsidR="00070CC3" w:rsidRPr="00C554E0">
        <w:t>: rather than</w:t>
      </w:r>
      <w:r w:rsidR="00955830" w:rsidRPr="00C554E0">
        <w:t xml:space="preserve"> engage in </w:t>
      </w:r>
      <w:r w:rsidR="0025566C" w:rsidRPr="00C554E0">
        <w:t xml:space="preserve">traditional </w:t>
      </w:r>
      <w:r w:rsidR="00955830" w:rsidRPr="00C554E0">
        <w:t xml:space="preserve">theoretical </w:t>
      </w:r>
      <w:r w:rsidR="009603DE" w:rsidRPr="00C554E0">
        <w:t>flights of speculative fancy</w:t>
      </w:r>
      <w:r w:rsidR="00955830" w:rsidRPr="00C554E0">
        <w:t xml:space="preserve"> </w:t>
      </w:r>
      <w:r w:rsidR="00F26D9D" w:rsidRPr="00C554E0">
        <w:t xml:space="preserve">ultimately </w:t>
      </w:r>
      <w:r w:rsidR="00955830" w:rsidRPr="00C554E0">
        <w:t xml:space="preserve">divorced from </w:t>
      </w:r>
      <w:r w:rsidR="00F26D9D" w:rsidRPr="00C554E0">
        <w:t xml:space="preserve">and indifferent to </w:t>
      </w:r>
      <w:r w:rsidR="008509FF" w:rsidRPr="00C554E0">
        <w:t>embodied experiences</w:t>
      </w:r>
      <w:r w:rsidR="00955830" w:rsidRPr="00C554E0">
        <w:t>, philosophers had to</w:t>
      </w:r>
      <w:r w:rsidRPr="00C554E0">
        <w:t xml:space="preserve"> </w:t>
      </w:r>
      <w:r w:rsidR="00677DCD" w:rsidRPr="006701BE">
        <w:t>lend a voice to suffering</w:t>
      </w:r>
      <w:r w:rsidR="008509FF" w:rsidRPr="006701BE">
        <w:t xml:space="preserve"> </w:t>
      </w:r>
      <w:r w:rsidR="00D56C1D" w:rsidRPr="006701BE">
        <w:t>with the aim of</w:t>
      </w:r>
      <w:r w:rsidR="008509FF" w:rsidRPr="006701BE">
        <w:t xml:space="preserve"> emancipati</w:t>
      </w:r>
      <w:r w:rsidR="00D56C1D" w:rsidRPr="006701BE">
        <w:t xml:space="preserve">on from the circumstances that </w:t>
      </w:r>
      <w:r w:rsidR="00AD6929" w:rsidRPr="006701BE">
        <w:t>produce and reproduce</w:t>
      </w:r>
      <w:r w:rsidR="00D56C1D" w:rsidRPr="006701BE">
        <w:t xml:space="preserve"> </w:t>
      </w:r>
      <w:r w:rsidR="001E101A" w:rsidRPr="006701BE">
        <w:t>it</w:t>
      </w:r>
      <w:r w:rsidR="00677DCD" w:rsidRPr="006701BE">
        <w:t>.</w:t>
      </w:r>
      <w:r w:rsidR="00677DCD" w:rsidRPr="00C554E0">
        <w:t xml:space="preserve"> As </w:t>
      </w:r>
      <w:r w:rsidR="00335E97">
        <w:t>Adorno</w:t>
      </w:r>
      <w:r w:rsidR="00677DCD" w:rsidRPr="00C554E0">
        <w:t xml:space="preserve"> wrote</w:t>
      </w:r>
      <w:r w:rsidR="0059196F" w:rsidRPr="00C554E0">
        <w:t>,</w:t>
      </w:r>
      <w:r w:rsidR="0059196F">
        <w:t xml:space="preserve"> </w:t>
      </w:r>
      <w:r w:rsidR="005201FA">
        <w:t>‘</w:t>
      </w:r>
      <w:r w:rsidR="00DB1A1E" w:rsidRPr="00C554E0">
        <w:t xml:space="preserve">[t]he </w:t>
      </w:r>
      <w:proofErr w:type="gramStart"/>
      <w:r w:rsidR="00DB1A1E" w:rsidRPr="00C554E0">
        <w:t>need</w:t>
      </w:r>
      <w:proofErr w:type="gramEnd"/>
      <w:r w:rsidR="00DB1A1E" w:rsidRPr="00C554E0">
        <w:t xml:space="preserve"> to lend a voice to suffering is a condition of all truth. For suffering is objectivity that weighs upon the subject</w:t>
      </w:r>
      <w:r w:rsidR="005201FA">
        <w:t>’</w:t>
      </w:r>
      <w:r w:rsidR="00196FD0">
        <w:t>.</w:t>
      </w:r>
      <w:r w:rsidR="00196FD0">
        <w:rPr>
          <w:rStyle w:val="FootnoteReference"/>
        </w:rPr>
        <w:footnoteReference w:id="1"/>
      </w:r>
      <w:r w:rsidR="00DB1A1E" w:rsidRPr="00C554E0">
        <w:t xml:space="preserve"> In other words, no </w:t>
      </w:r>
      <w:r w:rsidR="00677DCD" w:rsidRPr="00C554E0">
        <w:t>philosopher</w:t>
      </w:r>
      <w:r w:rsidR="00CC11D8" w:rsidRPr="00C554E0">
        <w:t xml:space="preserve"> </w:t>
      </w:r>
      <w:r w:rsidR="00DB1A1E" w:rsidRPr="00C554E0">
        <w:t>worth their salt can</w:t>
      </w:r>
      <w:r w:rsidR="00B04989" w:rsidRPr="00C554E0">
        <w:t>, in all good conscience,</w:t>
      </w:r>
      <w:r w:rsidR="00DB1A1E" w:rsidRPr="00C554E0">
        <w:t xml:space="preserve"> </w:t>
      </w:r>
      <w:r w:rsidR="004A582D" w:rsidRPr="00C554E0">
        <w:t xml:space="preserve">conduct </w:t>
      </w:r>
      <w:r w:rsidR="004B16ED" w:rsidRPr="00C554E0">
        <w:t xml:space="preserve">their </w:t>
      </w:r>
      <w:r w:rsidR="004A582D" w:rsidRPr="00C554E0">
        <w:t>intellectual investigation</w:t>
      </w:r>
      <w:r w:rsidR="00A07A3B" w:rsidRPr="00C554E0">
        <w:t>s</w:t>
      </w:r>
      <w:r w:rsidR="00DB1A1E" w:rsidRPr="00C554E0">
        <w:t xml:space="preserve"> without being acutely aware of </w:t>
      </w:r>
      <w:r w:rsidR="00677DCD" w:rsidRPr="00C554E0">
        <w:t xml:space="preserve">and </w:t>
      </w:r>
      <w:r w:rsidR="00F26D9D" w:rsidRPr="00C554E0">
        <w:t xml:space="preserve">being </w:t>
      </w:r>
      <w:r w:rsidR="00677DCD" w:rsidRPr="00C554E0">
        <w:t xml:space="preserve">sensitively attuned to </w:t>
      </w:r>
      <w:r w:rsidR="00DB1A1E" w:rsidRPr="00C554E0">
        <w:t>endemic suffering in the world</w:t>
      </w:r>
      <w:r w:rsidR="00CC11D8" w:rsidRPr="00C554E0">
        <w:t>.</w:t>
      </w:r>
    </w:p>
    <w:p w14:paraId="5BD0B66A" w14:textId="3C1E9FD5" w:rsidR="00DB1A1E" w:rsidRPr="00C554E0" w:rsidRDefault="00335E97" w:rsidP="00CC11D8">
      <w:pPr>
        <w:ind w:firstLine="720"/>
      </w:pPr>
      <w:r>
        <w:t>O</w:t>
      </w:r>
      <w:r w:rsidR="00DB1A1E" w:rsidRPr="00C554E0">
        <w:t>ne of the most powerful works in recent years to lend a voice to suffering</w:t>
      </w:r>
      <w:r w:rsidR="001E101A" w:rsidRPr="00C554E0">
        <w:t xml:space="preserve"> for the purpose of radical social change</w:t>
      </w:r>
      <w:r w:rsidR="00DB1A1E" w:rsidRPr="00C554E0">
        <w:t xml:space="preserve"> has been Elaine Scarry’s </w:t>
      </w:r>
      <w:r w:rsidR="00DB1A1E" w:rsidRPr="00C554E0">
        <w:rPr>
          <w:i/>
        </w:rPr>
        <w:t>The Body in Pain: The Making and Unmaking of the World</w:t>
      </w:r>
      <w:r w:rsidR="00CC11D8" w:rsidRPr="00C554E0">
        <w:t xml:space="preserve">. In </w:t>
      </w:r>
      <w:r w:rsidR="003A47E9" w:rsidRPr="00C554E0">
        <w:t xml:space="preserve">her </w:t>
      </w:r>
      <w:r w:rsidR="00CC11D8" w:rsidRPr="00C554E0">
        <w:t>book, Scarry detail</w:t>
      </w:r>
      <w:r w:rsidR="00F57FD4">
        <w:t>s</w:t>
      </w:r>
      <w:r w:rsidR="00CC11D8" w:rsidRPr="00C554E0">
        <w:t xml:space="preserve"> the </w:t>
      </w:r>
      <w:r w:rsidR="00B44A65" w:rsidRPr="00C554E0">
        <w:t>full, complex</w:t>
      </w:r>
      <w:r w:rsidR="00B842B3">
        <w:t xml:space="preserve"> and harrowing</w:t>
      </w:r>
      <w:r w:rsidR="00B44A65" w:rsidRPr="00C554E0">
        <w:t xml:space="preserve"> </w:t>
      </w:r>
      <w:r>
        <w:t xml:space="preserve">phenomenology </w:t>
      </w:r>
      <w:r w:rsidR="00CC11D8" w:rsidRPr="00C554E0">
        <w:t>of physical pain caused by torture</w:t>
      </w:r>
      <w:r w:rsidR="001D6A36" w:rsidRPr="00C554E0">
        <w:t xml:space="preserve">, an especially </w:t>
      </w:r>
      <w:r w:rsidR="00CC11D8" w:rsidRPr="00C554E0">
        <w:t xml:space="preserve">violent and cruel practice. She is concerned with the difficulty of expressing physical pain; with the political and perceptual complications that arise as a result of that difficulty; and with the nature of both </w:t>
      </w:r>
      <w:r w:rsidR="00B44A65" w:rsidRPr="00C554E0">
        <w:t>bodily</w:t>
      </w:r>
      <w:r w:rsidR="00CC11D8" w:rsidRPr="00C554E0">
        <w:t xml:space="preserve"> and verbal expressibility in general. Central to Scarry’s position is her </w:t>
      </w:r>
      <w:r w:rsidR="00F36CFC" w:rsidRPr="00C554E0">
        <w:t xml:space="preserve">arresting </w:t>
      </w:r>
      <w:r w:rsidR="00CC11D8" w:rsidRPr="00C554E0">
        <w:t xml:space="preserve">claim that </w:t>
      </w:r>
      <w:r w:rsidR="00321A09">
        <w:t>‘</w:t>
      </w:r>
      <w:r w:rsidR="00CC11D8" w:rsidRPr="00C554E0">
        <w:t>physical pain does not simply resist language but actively destroys it, bringing about an immediate reversion to a state anterior to language, to the sounds and cries a human being makes before language is learned</w:t>
      </w:r>
      <w:r w:rsidR="00321A09">
        <w:t>’</w:t>
      </w:r>
      <w:r w:rsidR="00CC11D8" w:rsidRPr="00C554E0">
        <w:t>.</w:t>
      </w:r>
      <w:r>
        <w:rPr>
          <w:rStyle w:val="FootnoteReference"/>
        </w:rPr>
        <w:footnoteReference w:id="2"/>
      </w:r>
      <w:r w:rsidR="00CC11D8" w:rsidRPr="00C554E0">
        <w:t xml:space="preserve"> </w:t>
      </w:r>
      <w:r w:rsidR="00C00D8B" w:rsidRPr="00C554E0">
        <w:t xml:space="preserve">Though </w:t>
      </w:r>
      <w:r w:rsidR="00CC11D8" w:rsidRPr="00C554E0">
        <w:t>Scarry</w:t>
      </w:r>
      <w:r w:rsidR="00C00D8B" w:rsidRPr="00C554E0">
        <w:t xml:space="preserve"> directs her attention to </w:t>
      </w:r>
      <w:r w:rsidR="009F3D21" w:rsidRPr="00C554E0">
        <w:t>detailing</w:t>
      </w:r>
      <w:r w:rsidR="00C00D8B" w:rsidRPr="00C554E0">
        <w:t xml:space="preserve"> </w:t>
      </w:r>
      <w:r w:rsidR="0025566C" w:rsidRPr="00C554E0">
        <w:t xml:space="preserve">the </w:t>
      </w:r>
      <w:r w:rsidR="009F3D21" w:rsidRPr="00C554E0">
        <w:t>phenomenology</w:t>
      </w:r>
      <w:r w:rsidR="00B842B3">
        <w:t xml:space="preserve"> </w:t>
      </w:r>
      <w:r w:rsidR="009F3D21" w:rsidRPr="00C554E0">
        <w:t xml:space="preserve">of </w:t>
      </w:r>
      <w:r w:rsidR="0025566C" w:rsidRPr="00C554E0">
        <w:t>bod</w:t>
      </w:r>
      <w:r w:rsidR="009F3D21" w:rsidRPr="00C554E0">
        <w:t>ily</w:t>
      </w:r>
      <w:r w:rsidR="0025566C" w:rsidRPr="00C554E0">
        <w:t xml:space="preserve"> pain</w:t>
      </w:r>
      <w:r w:rsidR="00C00D8B" w:rsidRPr="00C554E0">
        <w:t xml:space="preserve">, </w:t>
      </w:r>
      <w:r w:rsidR="00CC11D8" w:rsidRPr="00C554E0">
        <w:t xml:space="preserve">the notion of </w:t>
      </w:r>
      <w:r w:rsidR="00CC11D8" w:rsidRPr="00C554E0">
        <w:rPr>
          <w:i/>
        </w:rPr>
        <w:t>the agent</w:t>
      </w:r>
      <w:r w:rsidR="00CC11D8" w:rsidRPr="00C554E0">
        <w:t xml:space="preserve"> in pain that I will try to </w:t>
      </w:r>
      <w:r w:rsidR="0025566C" w:rsidRPr="00C554E0">
        <w:t>sketch</w:t>
      </w:r>
      <w:r w:rsidR="00CC11D8" w:rsidRPr="00C554E0">
        <w:t xml:space="preserve"> in this paper </w:t>
      </w:r>
      <w:r w:rsidR="00D658FB">
        <w:t xml:space="preserve">– and will develop fully in the monograph I am currently writing – </w:t>
      </w:r>
      <w:r w:rsidR="00B842B3">
        <w:t xml:space="preserve">is greatly indebted </w:t>
      </w:r>
      <w:r w:rsidR="00772EE4" w:rsidRPr="00C554E0">
        <w:t xml:space="preserve">to her </w:t>
      </w:r>
      <w:r w:rsidR="008C2955" w:rsidRPr="00C554E0">
        <w:t>pioneering</w:t>
      </w:r>
      <w:r w:rsidR="00772EE4" w:rsidRPr="00C554E0">
        <w:t xml:space="preserve"> work</w:t>
      </w:r>
      <w:r w:rsidR="00CC11D8" w:rsidRPr="00C554E0">
        <w:t xml:space="preserve">. </w:t>
      </w:r>
    </w:p>
    <w:p w14:paraId="11AACC07" w14:textId="77777777" w:rsidR="00CC11D8" w:rsidRPr="00C554E0" w:rsidRDefault="00CC11D8" w:rsidP="00F63501">
      <w:pPr>
        <w:rPr>
          <w:lang w:val="en-US"/>
        </w:rPr>
      </w:pPr>
    </w:p>
    <w:p w14:paraId="0F8F5021" w14:textId="7DE67E53" w:rsidR="00CC11D8" w:rsidRPr="00C554E0" w:rsidRDefault="00CC11D8" w:rsidP="00CC11D8">
      <w:pPr>
        <w:jc w:val="center"/>
        <w:rPr>
          <w:lang w:val="en-US"/>
        </w:rPr>
      </w:pPr>
      <w:r w:rsidRPr="00C554E0">
        <w:rPr>
          <w:lang w:val="en-US"/>
        </w:rPr>
        <w:t>I</w:t>
      </w:r>
    </w:p>
    <w:p w14:paraId="45E44051" w14:textId="6C0E881E" w:rsidR="006000CD" w:rsidRDefault="00910F74" w:rsidP="00335E97">
      <w:pPr>
        <w:rPr>
          <w:lang w:val="en-US"/>
        </w:rPr>
      </w:pPr>
      <w:r w:rsidRPr="00C554E0">
        <w:rPr>
          <w:lang w:val="en-US"/>
        </w:rPr>
        <w:t xml:space="preserve">The </w:t>
      </w:r>
      <w:r w:rsidR="00772EE4" w:rsidRPr="00C554E0">
        <w:rPr>
          <w:lang w:val="en-US"/>
        </w:rPr>
        <w:t xml:space="preserve">different-but-related </w:t>
      </w:r>
      <w:r w:rsidRPr="00C554E0">
        <w:rPr>
          <w:lang w:val="en-US"/>
        </w:rPr>
        <w:t>concept</w:t>
      </w:r>
      <w:r w:rsidR="00C00D8B" w:rsidRPr="00C554E0">
        <w:rPr>
          <w:lang w:val="en-US"/>
        </w:rPr>
        <w:t>s</w:t>
      </w:r>
      <w:r w:rsidRPr="00C554E0">
        <w:rPr>
          <w:lang w:val="en-US"/>
        </w:rPr>
        <w:t xml:space="preserve"> of epistemic </w:t>
      </w:r>
      <w:r w:rsidR="00C00D8B" w:rsidRPr="00C554E0">
        <w:rPr>
          <w:lang w:val="en-US"/>
        </w:rPr>
        <w:t xml:space="preserve">oppression and epistemic </w:t>
      </w:r>
      <w:r w:rsidRPr="00C554E0">
        <w:rPr>
          <w:lang w:val="en-US"/>
        </w:rPr>
        <w:t>injustice</w:t>
      </w:r>
      <w:r w:rsidR="00C00D8B" w:rsidRPr="00C554E0">
        <w:rPr>
          <w:lang w:val="en-US"/>
        </w:rPr>
        <w:t xml:space="preserve"> emerge</w:t>
      </w:r>
      <w:r w:rsidRPr="00C554E0">
        <w:rPr>
          <w:lang w:val="en-US"/>
        </w:rPr>
        <w:t xml:space="preserve"> out of and ha</w:t>
      </w:r>
      <w:r w:rsidR="008960AF" w:rsidRPr="00C554E0">
        <w:rPr>
          <w:lang w:val="en-US"/>
        </w:rPr>
        <w:t>ve</w:t>
      </w:r>
      <w:r w:rsidRPr="00C554E0">
        <w:rPr>
          <w:lang w:val="en-US"/>
        </w:rPr>
        <w:t xml:space="preserve"> re-invigorated a rich line of work in </w:t>
      </w:r>
      <w:r w:rsidR="0069117F" w:rsidRPr="00C554E0">
        <w:rPr>
          <w:lang w:val="en-US"/>
        </w:rPr>
        <w:t>critical social epistemology, particularly</w:t>
      </w:r>
      <w:r w:rsidR="009A54C9" w:rsidRPr="00C554E0">
        <w:rPr>
          <w:lang w:val="en-US"/>
        </w:rPr>
        <w:t xml:space="preserve"> the </w:t>
      </w:r>
      <w:r w:rsidR="007E33DC" w:rsidRPr="00C554E0">
        <w:rPr>
          <w:lang w:val="en-US"/>
        </w:rPr>
        <w:t xml:space="preserve">groundbreaking </w:t>
      </w:r>
      <w:r w:rsidR="009A54C9" w:rsidRPr="00C554E0">
        <w:rPr>
          <w:lang w:val="en-US"/>
        </w:rPr>
        <w:t>work</w:t>
      </w:r>
      <w:r w:rsidR="00E95F07" w:rsidRPr="00C554E0">
        <w:rPr>
          <w:lang w:val="en-US"/>
        </w:rPr>
        <w:t xml:space="preserve"> by</w:t>
      </w:r>
      <w:r w:rsidR="0069117F" w:rsidRPr="00C554E0">
        <w:rPr>
          <w:lang w:val="en-US"/>
        </w:rPr>
        <w:t xml:space="preserve"> i</w:t>
      </w:r>
      <w:r w:rsidR="00C00D8B" w:rsidRPr="00C554E0">
        <w:rPr>
          <w:lang w:val="en-US"/>
        </w:rPr>
        <w:t xml:space="preserve">ntersectional </w:t>
      </w:r>
      <w:r w:rsidRPr="00C554E0">
        <w:rPr>
          <w:lang w:val="en-US"/>
        </w:rPr>
        <w:t>feminist</w:t>
      </w:r>
      <w:r w:rsidR="00E95F07" w:rsidRPr="00C554E0">
        <w:rPr>
          <w:lang w:val="en-US"/>
        </w:rPr>
        <w:t>s</w:t>
      </w:r>
      <w:r w:rsidRPr="00C554E0">
        <w:rPr>
          <w:lang w:val="en-US"/>
        </w:rPr>
        <w:t xml:space="preserve"> on epistemic exclusio</w:t>
      </w:r>
      <w:r w:rsidR="00332B96" w:rsidRPr="00C554E0">
        <w:rPr>
          <w:lang w:val="en-US"/>
        </w:rPr>
        <w:t xml:space="preserve">n, silencing, </w:t>
      </w:r>
      <w:r w:rsidR="008960AF" w:rsidRPr="00C554E0">
        <w:rPr>
          <w:lang w:val="en-US"/>
        </w:rPr>
        <w:t xml:space="preserve">violence, </w:t>
      </w:r>
      <w:r w:rsidR="00332B96" w:rsidRPr="00C554E0">
        <w:rPr>
          <w:lang w:val="en-US"/>
        </w:rPr>
        <w:t>and subordination.</w:t>
      </w:r>
      <w:r w:rsidR="00335E97">
        <w:rPr>
          <w:rStyle w:val="FootnoteReference"/>
          <w:lang w:val="en-US"/>
        </w:rPr>
        <w:footnoteReference w:id="3"/>
      </w:r>
      <w:r w:rsidR="00196FD0">
        <w:rPr>
          <w:lang w:val="en-US"/>
        </w:rPr>
        <w:t xml:space="preserve"> </w:t>
      </w:r>
      <w:r w:rsidR="00CC11D8" w:rsidRPr="00C554E0">
        <w:rPr>
          <w:lang w:val="en-US"/>
        </w:rPr>
        <w:t>C</w:t>
      </w:r>
      <w:r w:rsidR="00C00D8B" w:rsidRPr="00C554E0">
        <w:rPr>
          <w:lang w:val="en-US"/>
        </w:rPr>
        <w:t>ritical social epistemologists</w:t>
      </w:r>
      <w:r w:rsidR="00B44349" w:rsidRPr="00C554E0">
        <w:rPr>
          <w:lang w:val="en-US"/>
        </w:rPr>
        <w:t xml:space="preserve">, </w:t>
      </w:r>
      <w:r w:rsidR="00772EE4" w:rsidRPr="00C554E0">
        <w:rPr>
          <w:lang w:val="en-US"/>
        </w:rPr>
        <w:t xml:space="preserve">like traditional social epistemologists, have a </w:t>
      </w:r>
      <w:r w:rsidR="00B44349" w:rsidRPr="00C554E0">
        <w:rPr>
          <w:lang w:val="en-US"/>
        </w:rPr>
        <w:t>default commitment to knowledge</w:t>
      </w:r>
      <w:r w:rsidR="000C0278" w:rsidRPr="00C554E0">
        <w:rPr>
          <w:lang w:val="en-US"/>
        </w:rPr>
        <w:t xml:space="preserve"> </w:t>
      </w:r>
      <w:r w:rsidR="00335E97">
        <w:rPr>
          <w:lang w:val="en-US"/>
        </w:rPr>
        <w:t xml:space="preserve">and </w:t>
      </w:r>
      <w:r w:rsidR="00335E97" w:rsidRPr="00335E97">
        <w:t>our epistemic practices</w:t>
      </w:r>
      <w:r w:rsidR="005201FA">
        <w:t xml:space="preserve"> </w:t>
      </w:r>
      <w:r w:rsidR="005201FA">
        <w:rPr>
          <w:lang w:val="en-US"/>
        </w:rPr>
        <w:t xml:space="preserve">as </w:t>
      </w:r>
      <w:r w:rsidR="005201FA" w:rsidRPr="00335E97">
        <w:rPr>
          <w:i/>
          <w:lang w:val="en-US"/>
        </w:rPr>
        <w:t>social mediat</w:t>
      </w:r>
      <w:r w:rsidR="005201FA">
        <w:rPr>
          <w:i/>
          <w:lang w:val="en-US"/>
        </w:rPr>
        <w:t>ed</w:t>
      </w:r>
      <w:r w:rsidR="00335E97" w:rsidRPr="00335E97">
        <w:t xml:space="preserve"> – from innocuous instances of belief</w:t>
      </w:r>
      <w:r w:rsidR="005201FA">
        <w:t>-</w:t>
      </w:r>
      <w:r w:rsidR="00335E97" w:rsidRPr="00335E97">
        <w:t xml:space="preserve">formation to </w:t>
      </w:r>
      <w:r w:rsidR="00D658FB">
        <w:t xml:space="preserve">the complexities concerning </w:t>
      </w:r>
      <w:r w:rsidR="00335E97" w:rsidRPr="00335E97">
        <w:t>credibility attribution</w:t>
      </w:r>
      <w:r w:rsidR="00335E97" w:rsidRPr="00335E97">
        <w:rPr>
          <w:lang w:val="en-US"/>
        </w:rPr>
        <w:t xml:space="preserve">. </w:t>
      </w:r>
    </w:p>
    <w:p w14:paraId="14AAD8D5" w14:textId="653F9C02" w:rsidR="006000CD" w:rsidRDefault="006000CD" w:rsidP="006000CD">
      <w:pPr>
        <w:ind w:firstLine="720"/>
        <w:rPr>
          <w:lang w:val="en-US"/>
        </w:rPr>
      </w:pPr>
      <w:r>
        <w:rPr>
          <w:lang w:val="en-US"/>
        </w:rPr>
        <w:t>W</w:t>
      </w:r>
      <w:r w:rsidRPr="00C554E0">
        <w:rPr>
          <w:lang w:val="en-US"/>
        </w:rPr>
        <w:t>hat particularly motivates the inquiries of intersectional feminist epistemologists is the focus on (</w:t>
      </w:r>
      <w:proofErr w:type="spellStart"/>
      <w:r w:rsidRPr="00C554E0">
        <w:rPr>
          <w:lang w:val="en-US"/>
        </w:rPr>
        <w:t>i</w:t>
      </w:r>
      <w:proofErr w:type="spellEnd"/>
      <w:r w:rsidRPr="00C554E0">
        <w:rPr>
          <w:lang w:val="en-US"/>
        </w:rPr>
        <w:t xml:space="preserve">) the power dynamics of gender, race, class, sexuality, and disability; (ii) the role these dynamics of power play </w:t>
      </w:r>
      <w:r w:rsidR="00D658FB">
        <w:rPr>
          <w:lang w:val="en-US"/>
        </w:rPr>
        <w:t>i</w:t>
      </w:r>
      <w:r w:rsidRPr="00C554E0">
        <w:rPr>
          <w:lang w:val="en-US"/>
        </w:rPr>
        <w:t xml:space="preserve">n the social conditions of knowing; and (iii) the ways in which the structures of existing social institutions affect the actual practices of knowers. </w:t>
      </w:r>
      <w:r>
        <w:rPr>
          <w:lang w:val="en-US"/>
        </w:rPr>
        <w:t>To b</w:t>
      </w:r>
      <w:r w:rsidRPr="00C554E0">
        <w:rPr>
          <w:lang w:val="en-US"/>
        </w:rPr>
        <w:t xml:space="preserve">orrow </w:t>
      </w:r>
      <w:r w:rsidR="00D658FB">
        <w:rPr>
          <w:lang w:val="en-US"/>
        </w:rPr>
        <w:t xml:space="preserve">Wilfrid </w:t>
      </w:r>
      <w:r w:rsidRPr="00C554E0">
        <w:rPr>
          <w:lang w:val="en-US"/>
        </w:rPr>
        <w:t xml:space="preserve">Sellars’s expression, I would say that intersectional feminist epistemologists are particularly concerned with </w:t>
      </w:r>
      <w:r w:rsidRPr="006701BE">
        <w:rPr>
          <w:bCs/>
          <w:lang w:val="en-US"/>
        </w:rPr>
        <w:t>(</w:t>
      </w:r>
      <w:proofErr w:type="spellStart"/>
      <w:r w:rsidRPr="006701BE">
        <w:rPr>
          <w:bCs/>
          <w:lang w:val="en-US"/>
        </w:rPr>
        <w:t>i</w:t>
      </w:r>
      <w:proofErr w:type="spellEnd"/>
      <w:r w:rsidRPr="006701BE">
        <w:rPr>
          <w:bCs/>
          <w:lang w:val="en-US"/>
        </w:rPr>
        <w:t xml:space="preserve">) how the </w:t>
      </w:r>
      <w:r w:rsidR="00D658FB">
        <w:rPr>
          <w:bCs/>
          <w:lang w:val="en-US"/>
        </w:rPr>
        <w:t xml:space="preserve">normative </w:t>
      </w:r>
      <w:r w:rsidRPr="006701BE">
        <w:rPr>
          <w:bCs/>
          <w:lang w:val="en-US"/>
        </w:rPr>
        <w:t>space of reasons</w:t>
      </w:r>
      <w:r w:rsidR="00D658FB">
        <w:rPr>
          <w:bCs/>
          <w:lang w:val="en-US"/>
        </w:rPr>
        <w:t xml:space="preserve"> </w:t>
      </w:r>
      <w:r w:rsidRPr="006701BE">
        <w:rPr>
          <w:bCs/>
          <w:lang w:val="en-US"/>
        </w:rPr>
        <w:t xml:space="preserve">is </w:t>
      </w:r>
      <w:r w:rsidRPr="006701BE">
        <w:rPr>
          <w:bCs/>
        </w:rPr>
        <w:t>organised</w:t>
      </w:r>
      <w:r w:rsidR="00D658FB">
        <w:rPr>
          <w:bCs/>
          <w:lang w:val="en-US"/>
        </w:rPr>
        <w:t>;</w:t>
      </w:r>
      <w:r w:rsidRPr="006701BE">
        <w:rPr>
          <w:bCs/>
          <w:lang w:val="en-US"/>
        </w:rPr>
        <w:t xml:space="preserve"> (ii) how one negotiates the </w:t>
      </w:r>
      <w:r w:rsidR="00D658FB">
        <w:rPr>
          <w:bCs/>
          <w:lang w:val="en-US"/>
        </w:rPr>
        <w:t xml:space="preserve">normative </w:t>
      </w:r>
      <w:r w:rsidRPr="006701BE">
        <w:rPr>
          <w:bCs/>
          <w:lang w:val="en-US"/>
        </w:rPr>
        <w:t>space of reasons</w:t>
      </w:r>
      <w:r w:rsidR="00D658FB">
        <w:rPr>
          <w:bCs/>
          <w:lang w:val="en-US"/>
        </w:rPr>
        <w:t>;</w:t>
      </w:r>
      <w:r w:rsidRPr="006701BE">
        <w:rPr>
          <w:bCs/>
          <w:lang w:val="en-US"/>
        </w:rPr>
        <w:t xml:space="preserve"> and (iii) how one gets into normative space at all.</w:t>
      </w:r>
      <w:r w:rsidRPr="00C554E0">
        <w:rPr>
          <w:lang w:val="en-US"/>
        </w:rPr>
        <w:t xml:space="preserve"> To put this more simply, the overriding focus is critically uncovering the substantive link between </w:t>
      </w:r>
      <w:r w:rsidR="00D658FB">
        <w:rPr>
          <w:lang w:val="en-US"/>
        </w:rPr>
        <w:t xml:space="preserve">various types of </w:t>
      </w:r>
      <w:r w:rsidRPr="00321A09">
        <w:rPr>
          <w:iCs/>
          <w:lang w:val="en-US"/>
        </w:rPr>
        <w:t xml:space="preserve">power </w:t>
      </w:r>
      <w:r w:rsidR="00D658FB">
        <w:rPr>
          <w:iCs/>
          <w:lang w:val="en-US"/>
        </w:rPr>
        <w:t xml:space="preserve">relations </w:t>
      </w:r>
      <w:r w:rsidRPr="00321A09">
        <w:rPr>
          <w:iCs/>
          <w:lang w:val="en-US"/>
        </w:rPr>
        <w:t>and epistemic practices</w:t>
      </w:r>
      <w:r w:rsidRPr="00C554E0">
        <w:rPr>
          <w:lang w:val="en-US"/>
        </w:rPr>
        <w:t>. Arguably, the central question is ‘</w:t>
      </w:r>
      <w:r w:rsidR="00D658FB">
        <w:rPr>
          <w:i/>
          <w:lang w:val="en-US"/>
        </w:rPr>
        <w:t>w</w:t>
      </w:r>
      <w:r w:rsidRPr="00C554E0">
        <w:rPr>
          <w:i/>
          <w:lang w:val="en-US"/>
        </w:rPr>
        <w:t>ho gets to know things?</w:t>
      </w:r>
      <w:r w:rsidRPr="00C554E0">
        <w:rPr>
          <w:lang w:val="en-US"/>
        </w:rPr>
        <w:t>’.</w:t>
      </w:r>
    </w:p>
    <w:p w14:paraId="708F87DD" w14:textId="74CD0A32" w:rsidR="00335E97" w:rsidRPr="006000CD" w:rsidRDefault="006000CD" w:rsidP="006000CD">
      <w:pPr>
        <w:ind w:firstLine="720"/>
        <w:rPr>
          <w:lang w:val="en-US"/>
        </w:rPr>
      </w:pPr>
      <w:r>
        <w:rPr>
          <w:lang w:val="en-US"/>
        </w:rPr>
        <w:t>A</w:t>
      </w:r>
      <w:r w:rsidR="00335E97" w:rsidRPr="00335E97">
        <w:rPr>
          <w:lang w:val="en-US"/>
        </w:rPr>
        <w:t xml:space="preserve">n important advantage of the </w:t>
      </w:r>
      <w:r w:rsidR="00D658FB">
        <w:rPr>
          <w:lang w:val="en-US"/>
        </w:rPr>
        <w:t xml:space="preserve">default commitment </w:t>
      </w:r>
      <w:r w:rsidR="00D658FB" w:rsidRPr="00D658FB">
        <w:rPr>
          <w:lang w:val="en-US"/>
        </w:rPr>
        <w:t xml:space="preserve">to knowledge and </w:t>
      </w:r>
      <w:r w:rsidR="00D658FB" w:rsidRPr="00D658FB">
        <w:t xml:space="preserve">our epistemic practices </w:t>
      </w:r>
      <w:r w:rsidR="00D658FB" w:rsidRPr="00D658FB">
        <w:rPr>
          <w:lang w:val="en-US"/>
        </w:rPr>
        <w:t xml:space="preserve">as </w:t>
      </w:r>
      <w:r w:rsidR="00D658FB" w:rsidRPr="00D658FB">
        <w:rPr>
          <w:i/>
          <w:lang w:val="en-US"/>
        </w:rPr>
        <w:t>social mediated</w:t>
      </w:r>
      <w:r w:rsidR="00D658FB" w:rsidRPr="00D658FB">
        <w:t xml:space="preserve"> </w:t>
      </w:r>
      <w:r w:rsidR="00335E97" w:rsidRPr="00335E97">
        <w:rPr>
          <w:lang w:val="en-US"/>
        </w:rPr>
        <w:t xml:space="preserve">is how one can be alert to the ways in which race prejudices or gender biases or many other long-held socio-cultural views </w:t>
      </w:r>
      <w:r w:rsidR="00321A09">
        <w:rPr>
          <w:lang w:val="en-US"/>
        </w:rPr>
        <w:t>‘</w:t>
      </w:r>
      <w:r w:rsidR="00335E97" w:rsidRPr="00335E97">
        <w:rPr>
          <w:lang w:val="en-US"/>
        </w:rPr>
        <w:t>can embed themselves in our thinking, distorting even basic instances of empirical claim-making, memory, and belief-formation</w:t>
      </w:r>
      <w:r w:rsidR="00321A09">
        <w:rPr>
          <w:lang w:val="en-US"/>
        </w:rPr>
        <w:t>’</w:t>
      </w:r>
      <w:r w:rsidR="00335E97" w:rsidRPr="00335E97">
        <w:rPr>
          <w:lang w:val="en-US"/>
        </w:rPr>
        <w:t>.</w:t>
      </w:r>
      <w:r w:rsidR="00335E97" w:rsidRPr="00335E97">
        <w:rPr>
          <w:vertAlign w:val="superscript"/>
        </w:rPr>
        <w:footnoteReference w:id="4"/>
      </w:r>
      <w:r w:rsidR="00335E97" w:rsidRPr="00335E97">
        <w:t xml:space="preserve"> </w:t>
      </w:r>
      <w:r w:rsidR="00335E97">
        <w:t>T</w:t>
      </w:r>
      <w:r w:rsidR="00335E97" w:rsidRPr="00C554E0">
        <w:t>he most serious distortion</w:t>
      </w:r>
      <w:r w:rsidR="00D658FB">
        <w:t xml:space="preserve">s (and </w:t>
      </w:r>
      <w:r w:rsidR="00C07BFD" w:rsidRPr="00C07BFD">
        <w:rPr>
          <w:i/>
          <w:iCs/>
        </w:rPr>
        <w:t>mutations</w:t>
      </w:r>
      <w:r w:rsidR="00D658FB">
        <w:t>, I would add)</w:t>
      </w:r>
      <w:r w:rsidR="00335E97" w:rsidRPr="00C554E0">
        <w:t xml:space="preserve"> involves acts of </w:t>
      </w:r>
      <w:r w:rsidR="00335E97" w:rsidRPr="00C07BFD">
        <w:rPr>
          <w:iCs/>
        </w:rPr>
        <w:t>epistemic oppression</w:t>
      </w:r>
      <w:r w:rsidR="00335E97" w:rsidRPr="00C554E0">
        <w:t xml:space="preserve"> and </w:t>
      </w:r>
      <w:r w:rsidR="00335E97" w:rsidRPr="00C07BFD">
        <w:rPr>
          <w:iCs/>
        </w:rPr>
        <w:t>epistemic injustice</w:t>
      </w:r>
      <w:r w:rsidR="00335E97" w:rsidRPr="00C554E0">
        <w:t>.</w:t>
      </w:r>
      <w:r w:rsidR="00335E97">
        <w:t xml:space="preserve"> </w:t>
      </w:r>
    </w:p>
    <w:p w14:paraId="142E587E" w14:textId="3C635E43" w:rsidR="00050444" w:rsidRPr="005F310A" w:rsidRDefault="00335E97" w:rsidP="005F310A">
      <w:pPr>
        <w:ind w:firstLine="567"/>
        <w:rPr>
          <w:lang w:val="en"/>
        </w:rPr>
      </w:pPr>
      <w:r>
        <w:rPr>
          <w:lang w:val="en"/>
        </w:rPr>
        <w:t xml:space="preserve">For </w:t>
      </w:r>
      <w:r w:rsidR="00C00D8B" w:rsidRPr="00C554E0">
        <w:rPr>
          <w:lang w:val="en"/>
        </w:rPr>
        <w:t>Kristie Dotson</w:t>
      </w:r>
      <w:r w:rsidR="00772EE4" w:rsidRPr="00C554E0">
        <w:rPr>
          <w:lang w:val="en"/>
        </w:rPr>
        <w:t>,</w:t>
      </w:r>
      <w:r w:rsidR="00C00D8B" w:rsidRPr="00C554E0">
        <w:rPr>
          <w:lang w:val="en"/>
        </w:rPr>
        <w:t xml:space="preserve"> epistemic oppression refers </w:t>
      </w:r>
      <w:r w:rsidR="006000CD">
        <w:rPr>
          <w:lang w:val="en"/>
        </w:rPr>
        <w:t xml:space="preserve">to </w:t>
      </w:r>
      <w:r w:rsidR="00C07BFD">
        <w:rPr>
          <w:lang w:val="en"/>
        </w:rPr>
        <w:t>‘</w:t>
      </w:r>
      <w:r w:rsidR="005F310A" w:rsidRPr="005F310A">
        <w:rPr>
          <w:lang w:val="en"/>
        </w:rPr>
        <w:t>a persistent and unwarranted</w:t>
      </w:r>
      <w:r w:rsidR="005F310A">
        <w:rPr>
          <w:lang w:val="en"/>
        </w:rPr>
        <w:t xml:space="preserve"> </w:t>
      </w:r>
      <w:r w:rsidR="005F310A" w:rsidRPr="005F310A">
        <w:rPr>
          <w:lang w:val="en"/>
        </w:rPr>
        <w:t>infringement on the ability to utilise persuasively shared epistemic resources</w:t>
      </w:r>
      <w:r w:rsidR="005F310A">
        <w:rPr>
          <w:lang w:val="en"/>
        </w:rPr>
        <w:t xml:space="preserve"> </w:t>
      </w:r>
      <w:r w:rsidR="005F310A" w:rsidRPr="005F310A">
        <w:rPr>
          <w:lang w:val="en"/>
        </w:rPr>
        <w:t>that hinders one’s contributions to knowledge production</w:t>
      </w:r>
      <w:r w:rsidR="00C07BFD">
        <w:rPr>
          <w:lang w:val="en"/>
        </w:rPr>
        <w:t>’</w:t>
      </w:r>
      <w:r w:rsidR="00FE64C2" w:rsidRPr="00C554E0">
        <w:rPr>
          <w:lang w:val="en"/>
        </w:rPr>
        <w:t>.</w:t>
      </w:r>
      <w:r>
        <w:rPr>
          <w:rStyle w:val="FootnoteReference"/>
          <w:lang w:val="en"/>
        </w:rPr>
        <w:footnoteReference w:id="5"/>
      </w:r>
      <w:r w:rsidR="00FE64C2" w:rsidRPr="00C554E0">
        <w:rPr>
          <w:lang w:val="en"/>
        </w:rPr>
        <w:t xml:space="preserve"> For Dotson, </w:t>
      </w:r>
      <w:r w:rsidR="00C07BFD">
        <w:rPr>
          <w:lang w:val="en"/>
        </w:rPr>
        <w:t xml:space="preserve">systemic practices of </w:t>
      </w:r>
      <w:r w:rsidR="00FE64C2" w:rsidRPr="00C554E0">
        <w:t xml:space="preserve">epistemic exclusion </w:t>
      </w:r>
      <w:r w:rsidR="00C07BFD">
        <w:t xml:space="preserve">result in </w:t>
      </w:r>
      <w:r w:rsidR="00FE64C2" w:rsidRPr="00C554E0">
        <w:t>positions and communities that</w:t>
      </w:r>
      <w:r w:rsidR="00C07BFD">
        <w:t xml:space="preserve"> </w:t>
      </w:r>
      <w:r w:rsidR="00FE64C2" w:rsidRPr="00C554E0">
        <w:t xml:space="preserve">produce deficiencies in social knowledge. </w:t>
      </w:r>
      <w:r w:rsidR="00C00D8B" w:rsidRPr="00C554E0">
        <w:t>Related to</w:t>
      </w:r>
      <w:r w:rsidR="008960AF" w:rsidRPr="00C554E0">
        <w:t>,</w:t>
      </w:r>
      <w:r w:rsidR="00C00D8B" w:rsidRPr="00C554E0">
        <w:t xml:space="preserve"> but conceptually and politically distinct from the concept of epistemic oppression</w:t>
      </w:r>
      <w:r w:rsidR="00050444" w:rsidRPr="00C554E0">
        <w:t xml:space="preserve">, which is principally concerned with endemic, </w:t>
      </w:r>
      <w:r w:rsidR="00050444" w:rsidRPr="00C07BFD">
        <w:rPr>
          <w:i/>
          <w:iCs/>
        </w:rPr>
        <w:t>structural</w:t>
      </w:r>
      <w:r w:rsidR="00050444" w:rsidRPr="00C554E0">
        <w:t xml:space="preserve"> patterns of exploitation and </w:t>
      </w:r>
      <w:r w:rsidR="00050444" w:rsidRPr="00C554E0">
        <w:lastRenderedPageBreak/>
        <w:t>domination</w:t>
      </w:r>
      <w:r w:rsidR="00C07BFD" w:rsidRPr="00C07BFD">
        <w:rPr>
          <w:lang w:val="en"/>
        </w:rPr>
        <w:t xml:space="preserve"> </w:t>
      </w:r>
      <w:r w:rsidR="00C07BFD">
        <w:rPr>
          <w:lang w:val="en"/>
        </w:rPr>
        <w:t xml:space="preserve">of specific </w:t>
      </w:r>
      <w:r w:rsidR="00C07BFD" w:rsidRPr="00C554E0">
        <w:t>epistemic communities</w:t>
      </w:r>
      <w:r w:rsidR="00050444" w:rsidRPr="00C554E0">
        <w:t>,</w:t>
      </w:r>
      <w:r w:rsidR="00C00D8B" w:rsidRPr="00C554E0">
        <w:t xml:space="preserve"> is the concept of </w:t>
      </w:r>
      <w:r w:rsidR="00C00D8B" w:rsidRPr="00C554E0">
        <w:rPr>
          <w:bCs/>
        </w:rPr>
        <w:t>e</w:t>
      </w:r>
      <w:r w:rsidR="00910F74" w:rsidRPr="00C554E0">
        <w:rPr>
          <w:bCs/>
        </w:rPr>
        <w:t>pistemic injustice</w:t>
      </w:r>
      <w:r w:rsidR="00C00D8B" w:rsidRPr="00C554E0">
        <w:rPr>
          <w:bCs/>
        </w:rPr>
        <w:t>. To quote Miranda Fricker</w:t>
      </w:r>
      <w:r w:rsidR="00301BD0" w:rsidRPr="00C554E0">
        <w:rPr>
          <w:bCs/>
        </w:rPr>
        <w:t xml:space="preserve">, </w:t>
      </w:r>
      <w:r w:rsidR="00C00D8B" w:rsidRPr="00C554E0">
        <w:rPr>
          <w:bCs/>
        </w:rPr>
        <w:t xml:space="preserve">epistemic injustice arises </w:t>
      </w:r>
      <w:r w:rsidR="00910F74" w:rsidRPr="00C554E0">
        <w:rPr>
          <w:bCs/>
        </w:rPr>
        <w:t>when somebody</w:t>
      </w:r>
      <w:r w:rsidR="00910F74" w:rsidRPr="00C554E0">
        <w:t xml:space="preserve"> </w:t>
      </w:r>
      <w:r w:rsidR="00910F74" w:rsidRPr="00C554E0">
        <w:rPr>
          <w:bCs/>
        </w:rPr>
        <w:t xml:space="preserve">or a </w:t>
      </w:r>
      <w:r w:rsidR="00D70516" w:rsidRPr="00C554E0">
        <w:rPr>
          <w:bCs/>
        </w:rPr>
        <w:t xml:space="preserve">social </w:t>
      </w:r>
      <w:r w:rsidR="00910F74" w:rsidRPr="00C554E0">
        <w:rPr>
          <w:bCs/>
        </w:rPr>
        <w:t xml:space="preserve">group is </w:t>
      </w:r>
      <w:r w:rsidR="00301BD0" w:rsidRPr="00C554E0">
        <w:rPr>
          <w:bCs/>
        </w:rPr>
        <w:t>“</w:t>
      </w:r>
      <w:r w:rsidR="00910F74" w:rsidRPr="00C554E0">
        <w:rPr>
          <w:bCs/>
        </w:rPr>
        <w:t>wronged in their capacity as a knower</w:t>
      </w:r>
      <w:r w:rsidR="001D7393" w:rsidRPr="00C554E0">
        <w:rPr>
          <w:bCs/>
        </w:rPr>
        <w:t>”</w:t>
      </w:r>
      <w:r w:rsidR="00910F74" w:rsidRPr="00C554E0">
        <w:rPr>
          <w:bCs/>
        </w:rPr>
        <w:t>.</w:t>
      </w:r>
      <w:r>
        <w:rPr>
          <w:rStyle w:val="FootnoteReference"/>
          <w:bCs/>
        </w:rPr>
        <w:footnoteReference w:id="6"/>
      </w:r>
      <w:r w:rsidR="00910F74" w:rsidRPr="00C554E0">
        <w:rPr>
          <w:bCs/>
        </w:rPr>
        <w:t xml:space="preserve"> </w:t>
      </w:r>
      <w:r w:rsidR="002722D3" w:rsidRPr="00C554E0">
        <w:rPr>
          <w:bCs/>
        </w:rPr>
        <w:t>Such wronging usually</w:t>
      </w:r>
      <w:r w:rsidR="00910F74" w:rsidRPr="00C554E0">
        <w:rPr>
          <w:bCs/>
        </w:rPr>
        <w:t xml:space="preserve"> happen</w:t>
      </w:r>
      <w:r w:rsidR="002722D3" w:rsidRPr="00C554E0">
        <w:rPr>
          <w:bCs/>
        </w:rPr>
        <w:t>s</w:t>
      </w:r>
      <w:r w:rsidR="00910F74" w:rsidRPr="00C554E0">
        <w:rPr>
          <w:bCs/>
        </w:rPr>
        <w:t xml:space="preserve"> in </w:t>
      </w:r>
      <w:r w:rsidR="002722D3" w:rsidRPr="00C554E0">
        <w:rPr>
          <w:bCs/>
        </w:rPr>
        <w:t xml:space="preserve">at least </w:t>
      </w:r>
      <w:r w:rsidR="00910F74" w:rsidRPr="00C554E0">
        <w:rPr>
          <w:bCs/>
        </w:rPr>
        <w:t xml:space="preserve">two ways: </w:t>
      </w:r>
      <w:r w:rsidR="002722D3" w:rsidRPr="00C554E0">
        <w:rPr>
          <w:bCs/>
        </w:rPr>
        <w:t xml:space="preserve">through </w:t>
      </w:r>
      <w:r w:rsidR="00910F74" w:rsidRPr="00C07BFD">
        <w:rPr>
          <w:b/>
          <w:iCs/>
        </w:rPr>
        <w:t>testimonial injustice</w:t>
      </w:r>
      <w:r w:rsidR="00910F74" w:rsidRPr="00C554E0">
        <w:rPr>
          <w:bCs/>
        </w:rPr>
        <w:t xml:space="preserve">, which </w:t>
      </w:r>
      <w:r w:rsidR="00C07BFD" w:rsidRPr="00C07BFD">
        <w:rPr>
          <w:bCs/>
          <w:i/>
          <w:iCs/>
        </w:rPr>
        <w:t>typically</w:t>
      </w:r>
      <w:r w:rsidR="00C07BFD">
        <w:rPr>
          <w:bCs/>
        </w:rPr>
        <w:t xml:space="preserve"> </w:t>
      </w:r>
      <w:r w:rsidR="00910F74" w:rsidRPr="00C554E0">
        <w:rPr>
          <w:bCs/>
        </w:rPr>
        <w:t xml:space="preserve">occurs when a speaker’s </w:t>
      </w:r>
      <w:r w:rsidR="00F01A19" w:rsidRPr="00C554E0">
        <w:rPr>
          <w:bCs/>
        </w:rPr>
        <w:t xml:space="preserve">assertions </w:t>
      </w:r>
      <w:r w:rsidR="00910F74" w:rsidRPr="00C554E0">
        <w:rPr>
          <w:bCs/>
        </w:rPr>
        <w:t>are given less credibility than they deserve because the hearer has prejudices about a social group of which the speaker is a member;</w:t>
      </w:r>
      <w:r w:rsidR="00C07BFD">
        <w:rPr>
          <w:rStyle w:val="FootnoteReference"/>
          <w:bCs/>
        </w:rPr>
        <w:footnoteReference w:id="7"/>
      </w:r>
      <w:r w:rsidR="00910F74" w:rsidRPr="00C554E0">
        <w:rPr>
          <w:bCs/>
        </w:rPr>
        <w:t xml:space="preserve"> </w:t>
      </w:r>
      <w:r w:rsidR="002722D3" w:rsidRPr="00C554E0">
        <w:rPr>
          <w:bCs/>
        </w:rPr>
        <w:t xml:space="preserve">through </w:t>
      </w:r>
      <w:r w:rsidR="00910F74" w:rsidRPr="00C07BFD">
        <w:rPr>
          <w:b/>
        </w:rPr>
        <w:t>hermeneutical injustice</w:t>
      </w:r>
      <w:r w:rsidR="00910F74" w:rsidRPr="00C554E0">
        <w:rPr>
          <w:bCs/>
          <w:iCs/>
        </w:rPr>
        <w:t>,</w:t>
      </w:r>
      <w:r w:rsidR="00910F74" w:rsidRPr="00C554E0">
        <w:rPr>
          <w:bCs/>
        </w:rPr>
        <w:t xml:space="preserve"> which occurs </w:t>
      </w:r>
      <w:r w:rsidR="00050444" w:rsidRPr="00C554E0">
        <w:rPr>
          <w:bCs/>
        </w:rPr>
        <w:t xml:space="preserve">when there is a lacuna or gap in the collective interpretive resources of a given society that leaves a marginalised and socially powerless group unable to </w:t>
      </w:r>
      <w:r w:rsidR="00C07BFD">
        <w:rPr>
          <w:bCs/>
        </w:rPr>
        <w:t xml:space="preserve">properly </w:t>
      </w:r>
      <w:r w:rsidR="00050444" w:rsidRPr="00C554E0">
        <w:rPr>
          <w:bCs/>
        </w:rPr>
        <w:t xml:space="preserve">make sense of </w:t>
      </w:r>
      <w:r w:rsidR="005C2D40" w:rsidRPr="00C554E0">
        <w:rPr>
          <w:bCs/>
        </w:rPr>
        <w:t>their social powerlessness.</w:t>
      </w:r>
    </w:p>
    <w:p w14:paraId="46F63222" w14:textId="0488CBC2" w:rsidR="00910F74" w:rsidRPr="00C554E0" w:rsidRDefault="005C2D40" w:rsidP="00FE64C2">
      <w:pPr>
        <w:ind w:firstLine="567"/>
      </w:pPr>
      <w:proofErr w:type="gramStart"/>
      <w:r w:rsidRPr="00C554E0">
        <w:rPr>
          <w:bCs/>
        </w:rPr>
        <w:t>With regard to</w:t>
      </w:r>
      <w:proofErr w:type="gramEnd"/>
      <w:r w:rsidRPr="00C554E0">
        <w:rPr>
          <w:bCs/>
        </w:rPr>
        <w:t xml:space="preserve"> testimonial injustice, </w:t>
      </w:r>
      <w:r w:rsidR="000650ED" w:rsidRPr="00C554E0">
        <w:rPr>
          <w:bCs/>
        </w:rPr>
        <w:t xml:space="preserve">I think </w:t>
      </w:r>
      <w:r w:rsidRPr="00C554E0">
        <w:rPr>
          <w:bCs/>
        </w:rPr>
        <w:t>it would be he</w:t>
      </w:r>
      <w:r w:rsidR="002722D3" w:rsidRPr="00C554E0">
        <w:rPr>
          <w:bCs/>
        </w:rPr>
        <w:t>lpful to illustrate this with a</w:t>
      </w:r>
      <w:r w:rsidRPr="00C554E0">
        <w:rPr>
          <w:bCs/>
        </w:rPr>
        <w:t xml:space="preserve"> </w:t>
      </w:r>
      <w:r w:rsidR="002722D3" w:rsidRPr="00C554E0">
        <w:rPr>
          <w:bCs/>
        </w:rPr>
        <w:t>powerful example, an</w:t>
      </w:r>
      <w:r w:rsidR="000650ED" w:rsidRPr="00C554E0">
        <w:rPr>
          <w:bCs/>
        </w:rPr>
        <w:t xml:space="preserve"> upsetting </w:t>
      </w:r>
      <w:r w:rsidRPr="00C554E0">
        <w:rPr>
          <w:bCs/>
        </w:rPr>
        <w:t>true story told by Patricia Williams</w:t>
      </w:r>
      <w:r w:rsidR="007F07FF" w:rsidRPr="00C554E0">
        <w:rPr>
          <w:bCs/>
        </w:rPr>
        <w:t xml:space="preserve">, </w:t>
      </w:r>
      <w:r w:rsidR="00AE0973" w:rsidRPr="00C554E0">
        <w:rPr>
          <w:bCs/>
        </w:rPr>
        <w:t>the James L. Dohr Professor of Law Emerita</w:t>
      </w:r>
      <w:r w:rsidRPr="00C554E0">
        <w:rPr>
          <w:bCs/>
        </w:rPr>
        <w:t>:</w:t>
      </w:r>
      <w:r w:rsidR="00910F74" w:rsidRPr="00C554E0">
        <w:rPr>
          <w:bCs/>
        </w:rPr>
        <w:t xml:space="preserve">  </w:t>
      </w:r>
      <w:r w:rsidR="00F01A19" w:rsidRPr="00C554E0">
        <w:rPr>
          <w:bCs/>
        </w:rPr>
        <w:t xml:space="preserve"> </w:t>
      </w:r>
      <w:r w:rsidR="00404A07" w:rsidRPr="00C554E0">
        <w:rPr>
          <w:bCs/>
        </w:rPr>
        <w:t xml:space="preserve"> </w:t>
      </w:r>
      <w:r w:rsidR="00BF4FCD" w:rsidRPr="00C554E0">
        <w:rPr>
          <w:bCs/>
        </w:rPr>
        <w:t xml:space="preserve"> </w:t>
      </w:r>
      <w:r w:rsidR="00301BD0" w:rsidRPr="00C554E0">
        <w:rPr>
          <w:bCs/>
        </w:rPr>
        <w:t xml:space="preserve"> </w:t>
      </w:r>
    </w:p>
    <w:p w14:paraId="600C357C" w14:textId="77777777" w:rsidR="0062324F" w:rsidRPr="00C554E0" w:rsidRDefault="0062324F" w:rsidP="00910F74">
      <w:pPr>
        <w:rPr>
          <w:bCs/>
        </w:rPr>
      </w:pPr>
    </w:p>
    <w:p w14:paraId="21F379E3" w14:textId="17DA8D57" w:rsidR="005C2D40" w:rsidRPr="006701BE" w:rsidRDefault="005C2D40" w:rsidP="005201FA">
      <w:pPr>
        <w:spacing w:line="240" w:lineRule="auto"/>
        <w:ind w:left="567" w:right="680"/>
        <w:rPr>
          <w:rFonts w:eastAsia="Calibri"/>
          <w:bCs/>
          <w:sz w:val="20"/>
          <w:szCs w:val="20"/>
          <w:lang w:eastAsia="en-US"/>
        </w:rPr>
      </w:pPr>
      <w:r w:rsidRPr="006701BE">
        <w:rPr>
          <w:rFonts w:eastAsia="Calibri"/>
          <w:bCs/>
          <w:sz w:val="20"/>
          <w:szCs w:val="20"/>
          <w:lang w:eastAsia="en-US"/>
        </w:rPr>
        <w:t xml:space="preserve">I was shopping in Soho </w:t>
      </w:r>
      <w:r w:rsidR="009E4542" w:rsidRPr="006701BE">
        <w:rPr>
          <w:rFonts w:eastAsia="Calibri"/>
          <w:bCs/>
          <w:sz w:val="20"/>
          <w:szCs w:val="20"/>
          <w:lang w:eastAsia="en-US"/>
        </w:rPr>
        <w:t xml:space="preserve">[in Benetton’s] </w:t>
      </w:r>
      <w:r w:rsidRPr="006701BE">
        <w:rPr>
          <w:rFonts w:eastAsia="Calibri"/>
          <w:bCs/>
          <w:sz w:val="20"/>
          <w:szCs w:val="20"/>
          <w:lang w:eastAsia="en-US"/>
        </w:rPr>
        <w:t xml:space="preserve">and saw a sweater that I wanted to buy for my mother. I pressed my round brown face to the window and my finger to the buzzer, seeking admittance. A narrow-eyed, white teenager wearing running shoes and feasting on bubble gum glared out, </w:t>
      </w:r>
      <w:bookmarkStart w:id="1" w:name="_Hlk42062378"/>
      <w:r w:rsidRPr="006701BE">
        <w:rPr>
          <w:rFonts w:eastAsia="Calibri"/>
          <w:bCs/>
          <w:sz w:val="20"/>
          <w:szCs w:val="20"/>
          <w:lang w:eastAsia="en-US"/>
        </w:rPr>
        <w:t xml:space="preserve">evaluating me for signs </w:t>
      </w:r>
      <w:bookmarkEnd w:id="1"/>
      <w:r w:rsidRPr="006701BE">
        <w:rPr>
          <w:rFonts w:eastAsia="Calibri"/>
          <w:bCs/>
          <w:sz w:val="20"/>
          <w:szCs w:val="20"/>
          <w:lang w:eastAsia="en-US"/>
        </w:rPr>
        <w:t xml:space="preserve">that would pit me against the limits of his social understanding. After about five seconds, he mouthed “We’re closed”, and blew pink rubber at me. It was two Saturdays before Christmas, at one o’clock in the afternoon; there were several white people in the store who appeared to be shopping for things for </w:t>
      </w:r>
      <w:r w:rsidRPr="006701BE">
        <w:rPr>
          <w:rFonts w:eastAsia="Calibri"/>
          <w:bCs/>
          <w:i/>
          <w:iCs/>
          <w:sz w:val="20"/>
          <w:szCs w:val="20"/>
          <w:lang w:eastAsia="en-US"/>
        </w:rPr>
        <w:t xml:space="preserve">their </w:t>
      </w:r>
      <w:r w:rsidRPr="006701BE">
        <w:rPr>
          <w:rFonts w:eastAsia="Calibri"/>
          <w:bCs/>
          <w:sz w:val="20"/>
          <w:szCs w:val="20"/>
          <w:lang w:eastAsia="en-US"/>
        </w:rPr>
        <w:t xml:space="preserve">mothers. I was enraged. At that moment I literally wanted to break all the windows of the store and </w:t>
      </w:r>
      <w:r w:rsidRPr="006701BE">
        <w:rPr>
          <w:rFonts w:eastAsia="Calibri"/>
          <w:bCs/>
          <w:i/>
          <w:iCs/>
          <w:sz w:val="20"/>
          <w:szCs w:val="20"/>
          <w:lang w:eastAsia="en-US"/>
        </w:rPr>
        <w:t xml:space="preserve">take </w:t>
      </w:r>
      <w:r w:rsidRPr="006701BE">
        <w:rPr>
          <w:rFonts w:eastAsia="Calibri"/>
          <w:bCs/>
          <w:sz w:val="20"/>
          <w:szCs w:val="20"/>
          <w:lang w:eastAsia="en-US"/>
        </w:rPr>
        <w:t xml:space="preserve">lots of sweaters for my mother. In the flicker of his judgemental grey eyes, that sales-child had transformed my brightly sentimental, joy-to-the-world, pre-Christmas spree to a </w:t>
      </w:r>
      <w:proofErr w:type="gramStart"/>
      <w:r w:rsidRPr="006701BE">
        <w:rPr>
          <w:rFonts w:eastAsia="Calibri"/>
          <w:bCs/>
          <w:sz w:val="20"/>
          <w:szCs w:val="20"/>
          <w:lang w:eastAsia="en-US"/>
        </w:rPr>
        <w:t>shambles</w:t>
      </w:r>
      <w:proofErr w:type="gramEnd"/>
      <w:r w:rsidRPr="006701BE">
        <w:rPr>
          <w:rFonts w:eastAsia="Calibri"/>
          <w:bCs/>
          <w:sz w:val="20"/>
          <w:szCs w:val="20"/>
          <w:lang w:eastAsia="en-US"/>
        </w:rPr>
        <w:t xml:space="preserve"> ... I am still struck by the structure of power that drove me into such a blizzard of rage ... No words, no gestures, no prejudices of my own would make a bit of difference to him; his refusal to let me into the store ... was an outward manifestation of his never having let someone like me into the realm of his reality</w:t>
      </w:r>
      <w:r w:rsidR="008B520F" w:rsidRPr="006701BE">
        <w:rPr>
          <w:rFonts w:eastAsia="Calibri"/>
          <w:bCs/>
          <w:sz w:val="20"/>
          <w:szCs w:val="20"/>
          <w:lang w:eastAsia="en-US"/>
        </w:rPr>
        <w:t xml:space="preserve"> …</w:t>
      </w:r>
      <w:r w:rsidR="004E78D4" w:rsidRPr="006701BE">
        <w:rPr>
          <w:rStyle w:val="FootnoteReference"/>
          <w:rFonts w:eastAsia="Calibri"/>
          <w:bCs/>
          <w:sz w:val="20"/>
          <w:szCs w:val="20"/>
          <w:lang w:eastAsia="en-US"/>
        </w:rPr>
        <w:footnoteReference w:id="8"/>
      </w:r>
      <w:r w:rsidR="005201FA">
        <w:rPr>
          <w:rFonts w:eastAsia="Calibri"/>
          <w:bCs/>
          <w:sz w:val="20"/>
          <w:szCs w:val="20"/>
          <w:lang w:eastAsia="en-US"/>
        </w:rPr>
        <w:t xml:space="preserve"> </w:t>
      </w:r>
      <w:r w:rsidRPr="006701BE">
        <w:rPr>
          <w:rFonts w:eastAsia="Calibri"/>
          <w:bCs/>
          <w:sz w:val="20"/>
          <w:szCs w:val="20"/>
          <w:lang w:eastAsia="en-US"/>
        </w:rPr>
        <w:t>A rumour got started that the Benetton’s story wasn’t true, that I had made it up, that it was a fantasy, a lie that was probably the product of a diseased mind trying to make all white people fee</w:t>
      </w:r>
      <w:r w:rsidR="005821B5" w:rsidRPr="006701BE">
        <w:rPr>
          <w:rFonts w:eastAsia="Calibri"/>
          <w:bCs/>
          <w:sz w:val="20"/>
          <w:szCs w:val="20"/>
          <w:lang w:eastAsia="en-US"/>
        </w:rPr>
        <w:t>l guilty. At this point I realis</w:t>
      </w:r>
      <w:r w:rsidRPr="006701BE">
        <w:rPr>
          <w:rFonts w:eastAsia="Calibri"/>
          <w:bCs/>
          <w:sz w:val="20"/>
          <w:szCs w:val="20"/>
          <w:lang w:eastAsia="en-US"/>
        </w:rPr>
        <w:t>ed it almost didn’t make any difference whether I was telling the truth or not – that the greater issue I had to face was the overwhelming weight of a disbelief that goes beyond mere disinclination to believe and becomes active suppression of anything I might have to say.</w:t>
      </w:r>
      <w:r w:rsidR="00FE64C2" w:rsidRPr="006701BE">
        <w:rPr>
          <w:sz w:val="22"/>
          <w:szCs w:val="22"/>
        </w:rPr>
        <w:t xml:space="preserve"> </w:t>
      </w:r>
      <w:r w:rsidR="00FE64C2" w:rsidRPr="006701BE">
        <w:rPr>
          <w:rFonts w:eastAsia="Calibri"/>
          <w:bCs/>
          <w:sz w:val="20"/>
          <w:szCs w:val="20"/>
          <w:lang w:eastAsia="en-US"/>
        </w:rPr>
        <w:t>The greater problem is a powerfully oppressive mechanism for denial of self-knowledge and expression. And this denial cannot be separated from the simultaneously pathological willingness to believe certain things about blacks –</w:t>
      </w:r>
      <w:r w:rsidR="005201FA">
        <w:rPr>
          <w:rFonts w:eastAsia="Calibri"/>
          <w:bCs/>
          <w:sz w:val="20"/>
          <w:szCs w:val="20"/>
          <w:lang w:eastAsia="en-US"/>
        </w:rPr>
        <w:t xml:space="preserve"> </w:t>
      </w:r>
      <w:r w:rsidR="00FE64C2" w:rsidRPr="006701BE">
        <w:rPr>
          <w:rFonts w:eastAsia="Calibri"/>
          <w:bCs/>
          <w:sz w:val="20"/>
          <w:szCs w:val="20"/>
          <w:lang w:eastAsia="en-US"/>
        </w:rPr>
        <w:t xml:space="preserve">not believe them, but things </w:t>
      </w:r>
      <w:r w:rsidR="00FE64C2" w:rsidRPr="006701BE">
        <w:rPr>
          <w:rFonts w:eastAsia="Calibri"/>
          <w:bCs/>
          <w:i/>
          <w:sz w:val="20"/>
          <w:szCs w:val="20"/>
          <w:lang w:eastAsia="en-US"/>
        </w:rPr>
        <w:t>about</w:t>
      </w:r>
      <w:r w:rsidR="00FE64C2" w:rsidRPr="006701BE">
        <w:rPr>
          <w:rFonts w:eastAsia="Calibri"/>
          <w:bCs/>
          <w:sz w:val="20"/>
          <w:szCs w:val="20"/>
          <w:lang w:eastAsia="en-US"/>
        </w:rPr>
        <w:t xml:space="preserve"> them</w:t>
      </w:r>
      <w:r w:rsidR="00BA4BCB" w:rsidRPr="006701BE">
        <w:rPr>
          <w:rFonts w:eastAsia="Calibri"/>
          <w:bCs/>
          <w:sz w:val="20"/>
          <w:szCs w:val="20"/>
          <w:lang w:eastAsia="en-US"/>
        </w:rPr>
        <w:t>.</w:t>
      </w:r>
      <w:r w:rsidR="004E78D4" w:rsidRPr="006701BE">
        <w:rPr>
          <w:rStyle w:val="FootnoteReference"/>
          <w:rFonts w:eastAsia="Calibri"/>
          <w:bCs/>
          <w:sz w:val="20"/>
          <w:szCs w:val="20"/>
          <w:lang w:eastAsia="en-US"/>
        </w:rPr>
        <w:footnoteReference w:id="9"/>
      </w:r>
    </w:p>
    <w:p w14:paraId="1C2E1011" w14:textId="77777777" w:rsidR="002861A6" w:rsidRPr="00C554E0" w:rsidRDefault="002861A6" w:rsidP="00910F74">
      <w:pPr>
        <w:rPr>
          <w:bCs/>
        </w:rPr>
      </w:pPr>
    </w:p>
    <w:p w14:paraId="46C89DB6" w14:textId="4BBD31D2" w:rsidR="00B44349" w:rsidRPr="00C554E0" w:rsidRDefault="00F01A19" w:rsidP="000652B4">
      <w:pPr>
        <w:rPr>
          <w:bCs/>
        </w:rPr>
      </w:pPr>
      <w:r w:rsidRPr="00C554E0">
        <w:rPr>
          <w:bCs/>
        </w:rPr>
        <w:t xml:space="preserve">In addition to </w:t>
      </w:r>
      <w:r w:rsidR="00312223">
        <w:rPr>
          <w:bCs/>
        </w:rPr>
        <w:t xml:space="preserve">being </w:t>
      </w:r>
      <w:r w:rsidRPr="00C554E0">
        <w:rPr>
          <w:bCs/>
        </w:rPr>
        <w:t>harmed by the shop clerk’s raci</w:t>
      </w:r>
      <w:r w:rsidR="00312223">
        <w:rPr>
          <w:bCs/>
        </w:rPr>
        <w:t xml:space="preserve">sm </w:t>
      </w:r>
      <w:r w:rsidR="00C07BFD">
        <w:rPr>
          <w:bCs/>
        </w:rPr>
        <w:t xml:space="preserve">– she was not allowed to buy </w:t>
      </w:r>
      <w:r w:rsidR="00312223" w:rsidRPr="00312223">
        <w:rPr>
          <w:bCs/>
        </w:rPr>
        <w:t xml:space="preserve">Christmas </w:t>
      </w:r>
      <w:r w:rsidR="00C07BFD">
        <w:rPr>
          <w:bCs/>
        </w:rPr>
        <w:t>presents</w:t>
      </w:r>
      <w:r w:rsidR="00C07BFD" w:rsidRPr="00C07BFD">
        <w:rPr>
          <w:bCs/>
        </w:rPr>
        <w:t xml:space="preserve"> for he</w:t>
      </w:r>
      <w:r w:rsidR="00C07BFD">
        <w:rPr>
          <w:bCs/>
        </w:rPr>
        <w:t>r</w:t>
      </w:r>
      <w:r w:rsidR="00C07BFD" w:rsidRPr="00C07BFD">
        <w:rPr>
          <w:bCs/>
        </w:rPr>
        <w:t xml:space="preserve"> mother</w:t>
      </w:r>
      <w:r w:rsidR="00C07BFD">
        <w:rPr>
          <w:bCs/>
        </w:rPr>
        <w:t xml:space="preserve"> – </w:t>
      </w:r>
      <w:r w:rsidRPr="00C554E0">
        <w:rPr>
          <w:bCs/>
        </w:rPr>
        <w:t xml:space="preserve">Williams suffered </w:t>
      </w:r>
      <w:r w:rsidR="00FE64C2" w:rsidRPr="00C554E0">
        <w:rPr>
          <w:bCs/>
        </w:rPr>
        <w:t>a</w:t>
      </w:r>
      <w:r w:rsidR="00C07BFD">
        <w:rPr>
          <w:bCs/>
        </w:rPr>
        <w:t xml:space="preserve"> distinct, </w:t>
      </w:r>
      <w:r w:rsidRPr="00C554E0">
        <w:rPr>
          <w:bCs/>
        </w:rPr>
        <w:t xml:space="preserve">further </w:t>
      </w:r>
      <w:r w:rsidR="00FE64C2" w:rsidRPr="00C554E0">
        <w:rPr>
          <w:bCs/>
        </w:rPr>
        <w:t>wrong</w:t>
      </w:r>
      <w:r w:rsidRPr="00C554E0">
        <w:rPr>
          <w:bCs/>
        </w:rPr>
        <w:t xml:space="preserve"> by having her </w:t>
      </w:r>
      <w:r w:rsidR="00312223">
        <w:rPr>
          <w:bCs/>
          <w:i/>
        </w:rPr>
        <w:t xml:space="preserve">reporting of the event </w:t>
      </w:r>
      <w:r w:rsidR="00FE64C2" w:rsidRPr="00C554E0">
        <w:rPr>
          <w:bCs/>
        </w:rPr>
        <w:t>dismissed and not acc</w:t>
      </w:r>
      <w:r w:rsidRPr="00C554E0">
        <w:rPr>
          <w:bCs/>
        </w:rPr>
        <w:t xml:space="preserve">orded serious </w:t>
      </w:r>
      <w:r w:rsidR="00C07BFD">
        <w:rPr>
          <w:bCs/>
        </w:rPr>
        <w:t xml:space="preserve">doxastic </w:t>
      </w:r>
      <w:r w:rsidR="00772EE4" w:rsidRPr="00C554E0">
        <w:rPr>
          <w:bCs/>
        </w:rPr>
        <w:t>status</w:t>
      </w:r>
      <w:r w:rsidR="00FE64C2" w:rsidRPr="00C554E0">
        <w:rPr>
          <w:bCs/>
        </w:rPr>
        <w:t>.</w:t>
      </w:r>
      <w:r w:rsidR="00335E97">
        <w:rPr>
          <w:rStyle w:val="FootnoteReference"/>
          <w:bCs/>
        </w:rPr>
        <w:footnoteReference w:id="10"/>
      </w:r>
      <w:r w:rsidR="00FE64C2" w:rsidRPr="00C554E0">
        <w:rPr>
          <w:bCs/>
        </w:rPr>
        <w:t xml:space="preserve"> R</w:t>
      </w:r>
      <w:r w:rsidR="00895566" w:rsidRPr="00C554E0">
        <w:rPr>
          <w:bCs/>
        </w:rPr>
        <w:t xml:space="preserve">ather than </w:t>
      </w:r>
      <w:r w:rsidR="00312223">
        <w:rPr>
          <w:bCs/>
        </w:rPr>
        <w:t>automatically receive</w:t>
      </w:r>
      <w:r w:rsidR="00335E97" w:rsidRPr="00335E97">
        <w:rPr>
          <w:bCs/>
        </w:rPr>
        <w:t xml:space="preserve"> the default level of epistemic respect and appreciation provided by Tyler</w:t>
      </w:r>
      <w:r w:rsidR="00335E97">
        <w:rPr>
          <w:bCs/>
        </w:rPr>
        <w:t xml:space="preserve"> Burge’s </w:t>
      </w:r>
      <w:r w:rsidR="00335E97">
        <w:rPr>
          <w:bCs/>
        </w:rPr>
        <w:lastRenderedPageBreak/>
        <w:t>Acceptance Principle,</w:t>
      </w:r>
      <w:r w:rsidR="00335E97">
        <w:rPr>
          <w:rStyle w:val="FootnoteReference"/>
          <w:bCs/>
        </w:rPr>
        <w:footnoteReference w:id="11"/>
      </w:r>
      <w:r w:rsidR="00335E97">
        <w:rPr>
          <w:bCs/>
        </w:rPr>
        <w:t xml:space="preserve"> </w:t>
      </w:r>
      <w:r w:rsidR="00335E97" w:rsidRPr="00335E97">
        <w:rPr>
          <w:bCs/>
        </w:rPr>
        <w:t>Williams is not only treated with epistemic scorn, she is also stripped of any normative authority, and is deemed as someone who violates norms of assertion.</w:t>
      </w:r>
      <w:r w:rsidR="00335E97">
        <w:rPr>
          <w:rStyle w:val="FootnoteReference"/>
          <w:bCs/>
        </w:rPr>
        <w:footnoteReference w:id="12"/>
      </w:r>
      <w:r w:rsidR="00335E97" w:rsidRPr="00335E97">
        <w:rPr>
          <w:bCs/>
        </w:rPr>
        <w:t xml:space="preserve">  </w:t>
      </w:r>
      <w:r w:rsidR="00335E97">
        <w:rPr>
          <w:bCs/>
        </w:rPr>
        <w:t xml:space="preserve"> </w:t>
      </w:r>
    </w:p>
    <w:p w14:paraId="477CAEE3" w14:textId="3DA6E5BF" w:rsidR="000652B4" w:rsidRPr="00C554E0" w:rsidRDefault="000652B4" w:rsidP="00B44349">
      <w:pPr>
        <w:ind w:firstLine="567"/>
        <w:rPr>
          <w:bCs/>
        </w:rPr>
      </w:pPr>
      <w:proofErr w:type="gramStart"/>
      <w:r w:rsidRPr="00C554E0">
        <w:rPr>
          <w:bCs/>
        </w:rPr>
        <w:t>With regard to</w:t>
      </w:r>
      <w:proofErr w:type="gramEnd"/>
      <w:r w:rsidRPr="00C554E0">
        <w:rPr>
          <w:bCs/>
        </w:rPr>
        <w:t xml:space="preserve"> hermeneutical injustice, it would be helpful to illustrate this with an example used by Fricker from the memoir of Susan Brownmiller:   </w:t>
      </w:r>
    </w:p>
    <w:p w14:paraId="154E21F2" w14:textId="77777777" w:rsidR="000652B4" w:rsidRPr="00C554E0" w:rsidRDefault="000652B4" w:rsidP="000652B4">
      <w:pPr>
        <w:rPr>
          <w:bCs/>
        </w:rPr>
      </w:pPr>
    </w:p>
    <w:p w14:paraId="6B208F30" w14:textId="7FBB9200" w:rsidR="00DD4222" w:rsidRPr="006701BE" w:rsidRDefault="000652B4" w:rsidP="00DD4222">
      <w:pPr>
        <w:spacing w:line="240" w:lineRule="auto"/>
        <w:ind w:left="567" w:right="680"/>
        <w:rPr>
          <w:rFonts w:eastAsia="Calibri"/>
          <w:bCs/>
          <w:sz w:val="20"/>
          <w:szCs w:val="20"/>
          <w:lang w:eastAsia="en-US"/>
        </w:rPr>
      </w:pPr>
      <w:r w:rsidRPr="006701BE">
        <w:rPr>
          <w:rFonts w:eastAsia="Calibri"/>
          <w:bCs/>
          <w:sz w:val="20"/>
          <w:szCs w:val="20"/>
          <w:lang w:eastAsia="en-US"/>
        </w:rPr>
        <w:t>Carmita Wood, age forty-four, born and raised in the apple orchard region of Lake Cayuga, and the sole support of two of her children, had worked for eight years in Cornell’s department of nuclear physics, advancing from lab assistant to a desk job handling administrative chores. Wood did not know why she had been singled out, or indeed if she had been singled out, but a distinguished professor seemed unable to keep his hands off her.</w:t>
      </w:r>
      <w:r w:rsidR="00FA7FB8" w:rsidRPr="006701BE">
        <w:rPr>
          <w:rFonts w:eastAsia="Calibri"/>
          <w:bCs/>
          <w:sz w:val="20"/>
          <w:szCs w:val="20"/>
          <w:lang w:eastAsia="en-US"/>
        </w:rPr>
        <w:t xml:space="preserve"> </w:t>
      </w:r>
      <w:r w:rsidRPr="006701BE">
        <w:rPr>
          <w:rFonts w:eastAsia="Calibri"/>
          <w:bCs/>
          <w:sz w:val="20"/>
          <w:szCs w:val="20"/>
          <w:lang w:eastAsia="en-US"/>
        </w:rPr>
        <w:t>As Wood told the story, the eminent man would jiggle his crotch when he stood near her desk and looked at his mail, or he’d deliberately brush against her breasts while reaching for some</w:t>
      </w:r>
      <w:r w:rsidR="004060B1" w:rsidRPr="006701BE">
        <w:rPr>
          <w:rFonts w:eastAsia="Calibri"/>
          <w:bCs/>
          <w:sz w:val="20"/>
          <w:szCs w:val="20"/>
          <w:lang w:eastAsia="en-US"/>
        </w:rPr>
        <w:t xml:space="preserve"> papers. One night as the lab workers were leaving their annual Christmas party, he cornered her in the elevator and planted some unwanted kisses on her mouth. After the Christmas party incident, Carmita Wood went out of her way to use the stairs in the lab building in order to avoid a repeat encounter, but the stress of the furtive molestations and her efforts to keep the scientist at a distance while maintain</w:t>
      </w:r>
      <w:r w:rsidR="0062324F" w:rsidRPr="006701BE">
        <w:rPr>
          <w:rFonts w:eastAsia="Calibri"/>
          <w:bCs/>
          <w:sz w:val="20"/>
          <w:szCs w:val="20"/>
          <w:lang w:eastAsia="en-US"/>
        </w:rPr>
        <w:t>ing</w:t>
      </w:r>
      <w:r w:rsidR="004060B1" w:rsidRPr="006701BE">
        <w:rPr>
          <w:rFonts w:eastAsia="Calibri"/>
          <w:bCs/>
          <w:sz w:val="20"/>
          <w:szCs w:val="20"/>
          <w:lang w:eastAsia="en-US"/>
        </w:rPr>
        <w:t xml:space="preserve"> cordial relations with his wife, whom she liked, brought on a host of physical symptoms. Wood developed chronic back and neck pains. Her right thumb tingled and grew numb. She requested a transfer to another department, and when it didn’t come through, she quit. She walked out the door and went to Florida for some rest and recuperation. Upon her return she applied for unemployment insurance. When the claims investigator asked why she had left her job after eight years, Wood was at a loss to describe the hateful episodes. She was ashamed and embarrassed. Under prodding – the blank on the form needed to be filled in – she answered that her reasons had been personal. Her claim for unemployment was denied</w:t>
      </w:r>
      <w:r w:rsidR="00E91F0B" w:rsidRPr="006701BE">
        <w:rPr>
          <w:rFonts w:eastAsia="Calibri"/>
          <w:bCs/>
          <w:sz w:val="20"/>
          <w:szCs w:val="20"/>
          <w:lang w:eastAsia="en-US"/>
        </w:rPr>
        <w:t>.</w:t>
      </w:r>
    </w:p>
    <w:p w14:paraId="6F8C043A" w14:textId="69BC0FC6" w:rsidR="000652B4" w:rsidRPr="006701BE" w:rsidRDefault="00E91F0B" w:rsidP="00DD4222">
      <w:pPr>
        <w:spacing w:line="240" w:lineRule="auto"/>
        <w:ind w:left="567" w:right="680"/>
        <w:rPr>
          <w:rFonts w:eastAsia="Calibri"/>
          <w:bCs/>
          <w:sz w:val="20"/>
          <w:szCs w:val="20"/>
          <w:lang w:eastAsia="en-US"/>
        </w:rPr>
      </w:pPr>
      <w:r w:rsidRPr="006701BE">
        <w:rPr>
          <w:rFonts w:eastAsia="Calibri"/>
          <w:bCs/>
          <w:sz w:val="20"/>
          <w:szCs w:val="20"/>
          <w:lang w:eastAsia="en-US"/>
        </w:rPr>
        <w:t xml:space="preserve">‘Lin’s students had been talking in her seminar about the unwanted sexual advances they’d encountered on their summer jobs,’ </w:t>
      </w:r>
      <w:proofErr w:type="spellStart"/>
      <w:r w:rsidRPr="006701BE">
        <w:rPr>
          <w:rFonts w:eastAsia="Calibri"/>
          <w:bCs/>
          <w:sz w:val="20"/>
          <w:szCs w:val="20"/>
          <w:lang w:eastAsia="en-US"/>
        </w:rPr>
        <w:t>Sauvigne</w:t>
      </w:r>
      <w:proofErr w:type="spellEnd"/>
      <w:r w:rsidRPr="006701BE">
        <w:rPr>
          <w:rFonts w:eastAsia="Calibri"/>
          <w:bCs/>
          <w:sz w:val="20"/>
          <w:szCs w:val="20"/>
          <w:lang w:eastAsia="en-US"/>
        </w:rPr>
        <w:t xml:space="preserve"> relates. ‘And then Carmita Wood comes in and tells Lin </w:t>
      </w:r>
      <w:r w:rsidRPr="006701BE">
        <w:rPr>
          <w:rFonts w:eastAsia="Calibri"/>
          <w:bCs/>
          <w:i/>
          <w:sz w:val="20"/>
          <w:szCs w:val="20"/>
          <w:lang w:eastAsia="en-US"/>
        </w:rPr>
        <w:t xml:space="preserve">her </w:t>
      </w:r>
      <w:r w:rsidRPr="006701BE">
        <w:rPr>
          <w:rFonts w:eastAsia="Calibri"/>
          <w:bCs/>
          <w:sz w:val="20"/>
          <w:szCs w:val="20"/>
          <w:lang w:eastAsia="en-US"/>
        </w:rPr>
        <w:t xml:space="preserve">story. We realised that to a person, every one of us – the women on staff, Carmita, the students – had had an experience like this at some point, you know? And none of us had ever told anyone before. It was one of those </w:t>
      </w:r>
      <w:r w:rsidRPr="006701BE">
        <w:rPr>
          <w:rFonts w:eastAsia="Calibri"/>
          <w:bCs/>
          <w:i/>
          <w:sz w:val="20"/>
          <w:szCs w:val="20"/>
          <w:lang w:eastAsia="en-US"/>
        </w:rPr>
        <w:t>click, aha!</w:t>
      </w:r>
      <w:r w:rsidRPr="006701BE">
        <w:rPr>
          <w:rFonts w:eastAsia="Calibri"/>
          <w:bCs/>
          <w:sz w:val="20"/>
          <w:szCs w:val="20"/>
          <w:lang w:eastAsia="en-US"/>
        </w:rPr>
        <w:t xml:space="preserve"> moments, a profound revelation.</w:t>
      </w:r>
      <w:r w:rsidR="00FA7FB8" w:rsidRPr="006701BE">
        <w:rPr>
          <w:rFonts w:eastAsia="Calibri"/>
          <w:bCs/>
          <w:sz w:val="20"/>
          <w:szCs w:val="20"/>
          <w:lang w:eastAsia="en-US"/>
        </w:rPr>
        <w:t xml:space="preserve"> </w:t>
      </w:r>
      <w:r w:rsidRPr="006701BE">
        <w:rPr>
          <w:rFonts w:eastAsia="Calibri"/>
          <w:bCs/>
          <w:sz w:val="20"/>
          <w:szCs w:val="20"/>
          <w:lang w:eastAsia="en-US"/>
        </w:rPr>
        <w:t xml:space="preserve">The women had their issue. Meyer located two feminist lawyers in Syracuse, Susan Horn and </w:t>
      </w:r>
      <w:proofErr w:type="spellStart"/>
      <w:r w:rsidRPr="006701BE">
        <w:rPr>
          <w:rFonts w:eastAsia="Calibri"/>
          <w:bCs/>
          <w:sz w:val="20"/>
          <w:szCs w:val="20"/>
          <w:lang w:eastAsia="en-US"/>
        </w:rPr>
        <w:t>Maurie</w:t>
      </w:r>
      <w:proofErr w:type="spellEnd"/>
      <w:r w:rsidRPr="006701BE">
        <w:rPr>
          <w:rFonts w:eastAsia="Calibri"/>
          <w:bCs/>
          <w:sz w:val="20"/>
          <w:szCs w:val="20"/>
          <w:lang w:eastAsia="en-US"/>
        </w:rPr>
        <w:t xml:space="preserve"> </w:t>
      </w:r>
      <w:proofErr w:type="spellStart"/>
      <w:r w:rsidRPr="006701BE">
        <w:rPr>
          <w:rFonts w:eastAsia="Calibri"/>
          <w:bCs/>
          <w:sz w:val="20"/>
          <w:szCs w:val="20"/>
          <w:lang w:eastAsia="en-US"/>
        </w:rPr>
        <w:t>Heins</w:t>
      </w:r>
      <w:proofErr w:type="spellEnd"/>
      <w:r w:rsidRPr="006701BE">
        <w:rPr>
          <w:rFonts w:eastAsia="Calibri"/>
          <w:bCs/>
          <w:sz w:val="20"/>
          <w:szCs w:val="20"/>
          <w:lang w:eastAsia="en-US"/>
        </w:rPr>
        <w:t xml:space="preserve">, to take on Carmita Wood’s unemployment insurance appeal. ‘And then …,’ </w:t>
      </w:r>
      <w:proofErr w:type="spellStart"/>
      <w:r w:rsidRPr="006701BE">
        <w:rPr>
          <w:rFonts w:eastAsia="Calibri"/>
          <w:bCs/>
          <w:sz w:val="20"/>
          <w:szCs w:val="20"/>
          <w:lang w:eastAsia="en-US"/>
        </w:rPr>
        <w:t>Sauvigne</w:t>
      </w:r>
      <w:proofErr w:type="spellEnd"/>
      <w:r w:rsidRPr="006701BE">
        <w:rPr>
          <w:rFonts w:eastAsia="Calibri"/>
          <w:bCs/>
          <w:sz w:val="20"/>
          <w:szCs w:val="20"/>
          <w:lang w:eastAsia="en-US"/>
        </w:rPr>
        <w:t xml:space="preserve"> reports, ‘we decided that we also had to hold a speak-out in order to break the silence about this.’</w:t>
      </w:r>
      <w:r w:rsidR="00FA7FB8" w:rsidRPr="006701BE">
        <w:rPr>
          <w:rFonts w:eastAsia="Calibri"/>
          <w:bCs/>
          <w:sz w:val="20"/>
          <w:szCs w:val="20"/>
          <w:lang w:eastAsia="en-US"/>
        </w:rPr>
        <w:t xml:space="preserve"> </w:t>
      </w:r>
      <w:r w:rsidRPr="006701BE">
        <w:rPr>
          <w:rFonts w:eastAsia="Calibri"/>
          <w:bCs/>
          <w:sz w:val="20"/>
          <w:szCs w:val="20"/>
          <w:lang w:eastAsia="en-US"/>
        </w:rPr>
        <w:t xml:space="preserve">The ‘this’ they were going to break the silence about had no name. ‘Eight of us were sitting in an office of Human Affairs,’ </w:t>
      </w:r>
      <w:proofErr w:type="spellStart"/>
      <w:r w:rsidRPr="006701BE">
        <w:rPr>
          <w:rFonts w:eastAsia="Calibri"/>
          <w:bCs/>
          <w:sz w:val="20"/>
          <w:szCs w:val="20"/>
          <w:lang w:eastAsia="en-US"/>
        </w:rPr>
        <w:t>Sauvigne</w:t>
      </w:r>
      <w:proofErr w:type="spellEnd"/>
      <w:r w:rsidRPr="006701BE">
        <w:rPr>
          <w:rFonts w:eastAsia="Calibri"/>
          <w:bCs/>
          <w:sz w:val="20"/>
          <w:szCs w:val="20"/>
          <w:lang w:eastAsia="en-US"/>
        </w:rPr>
        <w:t xml:space="preserve"> remembers, ‘brainstorming about what we were going to write on the posters for our speak-out. We were referring to it as “sexual intimidation,” “sexual coercion,” “sexual exploitation on the job.” None of those names seemed quite right</w:t>
      </w:r>
      <w:r w:rsidR="00A512E6" w:rsidRPr="006701BE">
        <w:rPr>
          <w:rFonts w:eastAsia="Calibri"/>
          <w:bCs/>
          <w:sz w:val="20"/>
          <w:szCs w:val="20"/>
          <w:lang w:eastAsia="en-US"/>
        </w:rPr>
        <w:t xml:space="preserve">. We wanted something that embraced a whole range of subtle and unsubtle persistent behaviours. Somebody came up with “harassment.” </w:t>
      </w:r>
      <w:r w:rsidR="00A512E6" w:rsidRPr="006701BE">
        <w:rPr>
          <w:rFonts w:eastAsia="Calibri"/>
          <w:bCs/>
          <w:i/>
          <w:sz w:val="20"/>
          <w:szCs w:val="20"/>
          <w:lang w:eastAsia="en-US"/>
        </w:rPr>
        <w:t>Sexual harassment!</w:t>
      </w:r>
      <w:r w:rsidR="00A512E6" w:rsidRPr="006701BE">
        <w:rPr>
          <w:rFonts w:eastAsia="Calibri"/>
          <w:bCs/>
          <w:sz w:val="20"/>
          <w:szCs w:val="20"/>
          <w:lang w:eastAsia="en-US"/>
        </w:rPr>
        <w:t xml:space="preserve"> Instantly we agreed. That’s what it was.</w:t>
      </w:r>
      <w:r w:rsidR="00031955" w:rsidRPr="006701BE">
        <w:rPr>
          <w:rStyle w:val="FootnoteReference"/>
          <w:rFonts w:eastAsia="Calibri"/>
          <w:bCs/>
          <w:sz w:val="20"/>
          <w:szCs w:val="20"/>
          <w:lang w:eastAsia="en-US"/>
        </w:rPr>
        <w:footnoteReference w:id="13"/>
      </w:r>
    </w:p>
    <w:p w14:paraId="698B0FEA" w14:textId="77777777" w:rsidR="000652B4" w:rsidRPr="00C554E0" w:rsidRDefault="000652B4" w:rsidP="000652B4">
      <w:pPr>
        <w:rPr>
          <w:bCs/>
        </w:rPr>
      </w:pPr>
    </w:p>
    <w:p w14:paraId="505726ED" w14:textId="6578AF69" w:rsidR="001E0CC0" w:rsidRPr="00C554E0" w:rsidRDefault="00D32EDF" w:rsidP="00FA7FB8">
      <w:pPr>
        <w:rPr>
          <w:bCs/>
          <w:lang w:val="en-US"/>
        </w:rPr>
      </w:pPr>
      <w:r w:rsidRPr="00C554E0">
        <w:rPr>
          <w:bCs/>
        </w:rPr>
        <w:t>The epistemic injustice suffered by Wood</w:t>
      </w:r>
      <w:r w:rsidR="00FA7FB8" w:rsidRPr="00C554E0">
        <w:rPr>
          <w:bCs/>
        </w:rPr>
        <w:t xml:space="preserve">, a black woman, </w:t>
      </w:r>
      <w:r w:rsidRPr="00C554E0">
        <w:rPr>
          <w:bCs/>
        </w:rPr>
        <w:t xml:space="preserve">is hermeneutical, because it concerns the specific ways in which cognitive resources for interpreting one’s experiences are </w:t>
      </w:r>
      <w:r w:rsidR="000C10E3" w:rsidRPr="00C554E0">
        <w:rPr>
          <w:bCs/>
        </w:rPr>
        <w:t>mal</w:t>
      </w:r>
      <w:r w:rsidRPr="00C554E0">
        <w:rPr>
          <w:bCs/>
        </w:rPr>
        <w:t xml:space="preserve">distributed in accordance with the background </w:t>
      </w:r>
      <w:r w:rsidR="000C10E3" w:rsidRPr="00C554E0">
        <w:rPr>
          <w:bCs/>
        </w:rPr>
        <w:t xml:space="preserve">unequal </w:t>
      </w:r>
      <w:r w:rsidRPr="00C554E0">
        <w:rPr>
          <w:bCs/>
        </w:rPr>
        <w:t xml:space="preserve">power relations governing </w:t>
      </w:r>
      <w:r w:rsidR="00312223">
        <w:rPr>
          <w:bCs/>
        </w:rPr>
        <w:t xml:space="preserve">gender, racial, class, sexual, and disabled </w:t>
      </w:r>
      <w:r w:rsidR="00574E98" w:rsidRPr="00C554E0">
        <w:rPr>
          <w:bCs/>
        </w:rPr>
        <w:t>identities</w:t>
      </w:r>
      <w:r w:rsidR="00050444" w:rsidRPr="00C554E0">
        <w:rPr>
          <w:bCs/>
        </w:rPr>
        <w:t xml:space="preserve">. </w:t>
      </w:r>
      <w:r w:rsidR="0062324F" w:rsidRPr="00C554E0">
        <w:rPr>
          <w:bCs/>
        </w:rPr>
        <w:t>In 1960s</w:t>
      </w:r>
      <w:r w:rsidR="00A15C8A" w:rsidRPr="00C554E0">
        <w:rPr>
          <w:bCs/>
        </w:rPr>
        <w:t xml:space="preserve">, </w:t>
      </w:r>
      <w:r w:rsidR="00312223">
        <w:rPr>
          <w:bCs/>
        </w:rPr>
        <w:t xml:space="preserve">U. S. </w:t>
      </w:r>
      <w:r w:rsidR="00A15C8A" w:rsidRPr="00C554E0">
        <w:rPr>
          <w:bCs/>
        </w:rPr>
        <w:t>women</w:t>
      </w:r>
      <w:r w:rsidR="004A582D" w:rsidRPr="00C554E0">
        <w:rPr>
          <w:bCs/>
        </w:rPr>
        <w:t xml:space="preserve"> – especially working-class women of colour – </w:t>
      </w:r>
      <w:r w:rsidR="00A15C8A" w:rsidRPr="00C554E0">
        <w:rPr>
          <w:bCs/>
        </w:rPr>
        <w:t xml:space="preserve">were still </w:t>
      </w:r>
      <w:r w:rsidR="00A15C8A" w:rsidRPr="00312223">
        <w:rPr>
          <w:bCs/>
          <w:i/>
          <w:iCs/>
        </w:rPr>
        <w:t>socially</w:t>
      </w:r>
      <w:r w:rsidR="00A15C8A" w:rsidRPr="00C554E0">
        <w:rPr>
          <w:bCs/>
        </w:rPr>
        <w:t xml:space="preserve"> powerless, in no small part due to the way </w:t>
      </w:r>
      <w:r w:rsidR="00EE0283" w:rsidRPr="00C554E0">
        <w:rPr>
          <w:bCs/>
        </w:rPr>
        <w:t xml:space="preserve">unequal </w:t>
      </w:r>
      <w:r w:rsidR="00A15C8A" w:rsidRPr="00C554E0">
        <w:rPr>
          <w:bCs/>
        </w:rPr>
        <w:t xml:space="preserve">power relations had structured </w:t>
      </w:r>
      <w:r w:rsidR="00EE0283" w:rsidRPr="00C554E0">
        <w:rPr>
          <w:bCs/>
        </w:rPr>
        <w:t xml:space="preserve">negative </w:t>
      </w:r>
      <w:r w:rsidR="00A15C8A" w:rsidRPr="00C554E0">
        <w:rPr>
          <w:bCs/>
        </w:rPr>
        <w:t xml:space="preserve">social </w:t>
      </w:r>
      <w:r w:rsidR="00EE0283" w:rsidRPr="00C554E0">
        <w:rPr>
          <w:bCs/>
          <w:lang w:val="en-US"/>
        </w:rPr>
        <w:t>attitudes and legal precedents</w:t>
      </w:r>
      <w:r w:rsidR="002722D3" w:rsidRPr="00C554E0">
        <w:rPr>
          <w:bCs/>
          <w:lang w:val="en-US"/>
        </w:rPr>
        <w:t xml:space="preserve"> and provisions</w:t>
      </w:r>
      <w:r w:rsidR="00E32C2A" w:rsidRPr="00C554E0">
        <w:rPr>
          <w:bCs/>
          <w:lang w:val="en-US"/>
        </w:rPr>
        <w:t xml:space="preserve">. </w:t>
      </w:r>
      <w:r w:rsidR="000907AF" w:rsidRPr="00C554E0">
        <w:rPr>
          <w:bCs/>
          <w:lang w:val="en-US"/>
        </w:rPr>
        <w:t xml:space="preserve">For </w:t>
      </w:r>
      <w:r w:rsidR="000907AF" w:rsidRPr="00C554E0">
        <w:rPr>
          <w:bCs/>
          <w:lang w:val="en-US"/>
        </w:rPr>
        <w:lastRenderedPageBreak/>
        <w:t xml:space="preserve">Fricker, </w:t>
      </w:r>
      <w:r w:rsidR="000E24F6" w:rsidRPr="00C554E0">
        <w:rPr>
          <w:bCs/>
          <w:lang w:val="en-US"/>
        </w:rPr>
        <w:t xml:space="preserve">women </w:t>
      </w:r>
      <w:r w:rsidR="00E32C2A" w:rsidRPr="00C554E0">
        <w:rPr>
          <w:bCs/>
          <w:lang w:val="en-US"/>
        </w:rPr>
        <w:t xml:space="preserve">were </w:t>
      </w:r>
      <w:r w:rsidR="000E24F6" w:rsidRPr="00C554E0">
        <w:rPr>
          <w:bCs/>
          <w:lang w:val="en-US"/>
        </w:rPr>
        <w:t xml:space="preserve">often </w:t>
      </w:r>
      <w:r w:rsidR="00321A09">
        <w:rPr>
          <w:bCs/>
          <w:lang w:val="en-US"/>
        </w:rPr>
        <w:t>‘</w:t>
      </w:r>
      <w:r w:rsidR="00E32C2A" w:rsidRPr="00C554E0">
        <w:rPr>
          <w:bCs/>
          <w:iCs/>
        </w:rPr>
        <w:t>hermeneutically marginalised</w:t>
      </w:r>
      <w:r w:rsidR="00321A09">
        <w:rPr>
          <w:bCs/>
          <w:iCs/>
        </w:rPr>
        <w:t>’</w:t>
      </w:r>
      <w:r w:rsidR="00335E97">
        <w:rPr>
          <w:rStyle w:val="FootnoteReference"/>
          <w:bCs/>
        </w:rPr>
        <w:footnoteReference w:id="14"/>
      </w:r>
      <w:r w:rsidR="004A550B" w:rsidRPr="00C554E0">
        <w:rPr>
          <w:bCs/>
          <w:lang w:val="en-US"/>
        </w:rPr>
        <w:t xml:space="preserve"> as a direct result of being and remaining socially powerless</w:t>
      </w:r>
      <w:r w:rsidR="0037038C" w:rsidRPr="00C554E0">
        <w:rPr>
          <w:bCs/>
        </w:rPr>
        <w:t>. In other words,</w:t>
      </w:r>
      <w:r w:rsidR="00E32C2A" w:rsidRPr="00C554E0">
        <w:rPr>
          <w:bCs/>
          <w:lang w:val="en-US"/>
        </w:rPr>
        <w:t xml:space="preserve"> </w:t>
      </w:r>
      <w:r w:rsidR="000E24F6" w:rsidRPr="00C554E0">
        <w:rPr>
          <w:bCs/>
          <w:lang w:val="en-US"/>
        </w:rPr>
        <w:t xml:space="preserve">they were </w:t>
      </w:r>
      <w:r w:rsidR="00E32C2A" w:rsidRPr="00C554E0">
        <w:rPr>
          <w:bCs/>
          <w:lang w:val="en-US"/>
        </w:rPr>
        <w:t>prevented from having access to the resources required to ma</w:t>
      </w:r>
      <w:r w:rsidR="00F270CF" w:rsidRPr="00C554E0">
        <w:rPr>
          <w:bCs/>
          <w:lang w:val="en-US"/>
        </w:rPr>
        <w:t>k</w:t>
      </w:r>
      <w:r w:rsidR="00E32C2A" w:rsidRPr="00C554E0">
        <w:rPr>
          <w:bCs/>
          <w:lang w:val="en-US"/>
        </w:rPr>
        <w:t xml:space="preserve">e </w:t>
      </w:r>
      <w:r w:rsidR="00312223">
        <w:rPr>
          <w:bCs/>
          <w:lang w:val="en-US"/>
        </w:rPr>
        <w:t xml:space="preserve">sufficiently salient </w:t>
      </w:r>
      <w:r w:rsidR="00E32C2A" w:rsidRPr="00C554E0">
        <w:rPr>
          <w:bCs/>
          <w:lang w:val="en-US"/>
        </w:rPr>
        <w:t xml:space="preserve">sense of their </w:t>
      </w:r>
      <w:r w:rsidR="002722D3" w:rsidRPr="00C554E0">
        <w:rPr>
          <w:bCs/>
          <w:lang w:val="en-US"/>
        </w:rPr>
        <w:t xml:space="preserve">social </w:t>
      </w:r>
      <w:r w:rsidR="00E32C2A" w:rsidRPr="00C554E0">
        <w:rPr>
          <w:bCs/>
          <w:lang w:val="en-US"/>
        </w:rPr>
        <w:t xml:space="preserve">powerlessness. Consequently, the hermeneutical </w:t>
      </w:r>
      <w:r w:rsidR="00946C43" w:rsidRPr="00C554E0">
        <w:rPr>
          <w:bCs/>
        </w:rPr>
        <w:t>marginalis</w:t>
      </w:r>
      <w:r w:rsidR="00E32C2A" w:rsidRPr="00C554E0">
        <w:rPr>
          <w:bCs/>
        </w:rPr>
        <w:t>ation</w:t>
      </w:r>
      <w:r w:rsidR="00E32C2A" w:rsidRPr="00C554E0">
        <w:rPr>
          <w:bCs/>
          <w:lang w:val="en-US"/>
        </w:rPr>
        <w:t xml:space="preserve"> create</w:t>
      </w:r>
      <w:r w:rsidR="00BF4FCD" w:rsidRPr="00C554E0">
        <w:rPr>
          <w:bCs/>
          <w:lang w:val="en-US"/>
        </w:rPr>
        <w:t>d</w:t>
      </w:r>
      <w:r w:rsidR="00E32C2A" w:rsidRPr="00C554E0">
        <w:rPr>
          <w:bCs/>
          <w:lang w:val="en-US"/>
        </w:rPr>
        <w:t xml:space="preserve"> and sustain</w:t>
      </w:r>
      <w:r w:rsidR="00BF4FCD" w:rsidRPr="00C554E0">
        <w:rPr>
          <w:bCs/>
          <w:lang w:val="en-US"/>
        </w:rPr>
        <w:t>ed</w:t>
      </w:r>
      <w:r w:rsidR="00E32C2A" w:rsidRPr="00C554E0">
        <w:rPr>
          <w:bCs/>
          <w:lang w:val="en-US"/>
        </w:rPr>
        <w:t xml:space="preserve"> a form of</w:t>
      </w:r>
      <w:r w:rsidR="00946C43" w:rsidRPr="00C554E0">
        <w:rPr>
          <w:bCs/>
          <w:lang w:val="en-US"/>
        </w:rPr>
        <w:t xml:space="preserve"> </w:t>
      </w:r>
      <w:r w:rsidR="005F689E" w:rsidRPr="00C554E0">
        <w:rPr>
          <w:bCs/>
          <w:lang w:val="en-US"/>
        </w:rPr>
        <w:t xml:space="preserve">linguistic </w:t>
      </w:r>
      <w:r w:rsidR="00946C43" w:rsidRPr="00C554E0">
        <w:rPr>
          <w:bCs/>
          <w:lang w:val="en-US"/>
        </w:rPr>
        <w:t xml:space="preserve">paralysis, what Fricker calls </w:t>
      </w:r>
      <w:r w:rsidR="00321A09">
        <w:rPr>
          <w:bCs/>
          <w:lang w:val="en-US"/>
        </w:rPr>
        <w:t>‘</w:t>
      </w:r>
      <w:r w:rsidR="00946C43" w:rsidRPr="00C554E0">
        <w:rPr>
          <w:bCs/>
          <w:lang w:val="en-US"/>
        </w:rPr>
        <w:t>cognitive disablement</w:t>
      </w:r>
      <w:r w:rsidR="00321A09">
        <w:rPr>
          <w:bCs/>
          <w:lang w:val="en-US"/>
        </w:rPr>
        <w:t>’</w:t>
      </w:r>
      <w:r w:rsidR="00946C43" w:rsidRPr="00C554E0">
        <w:rPr>
          <w:bCs/>
          <w:lang w:val="en-US"/>
        </w:rPr>
        <w:t>,</w:t>
      </w:r>
      <w:r w:rsidR="00335E97">
        <w:rPr>
          <w:rStyle w:val="FootnoteReference"/>
          <w:bCs/>
          <w:lang w:val="en-US"/>
        </w:rPr>
        <w:footnoteReference w:id="15"/>
      </w:r>
      <w:r w:rsidR="00946C43" w:rsidRPr="00C554E0">
        <w:rPr>
          <w:bCs/>
          <w:lang w:val="en-US"/>
        </w:rPr>
        <w:t xml:space="preserve"> where</w:t>
      </w:r>
      <w:r w:rsidR="00574E98" w:rsidRPr="00C554E0">
        <w:rPr>
          <w:bCs/>
          <w:lang w:val="en-US"/>
        </w:rPr>
        <w:t>, for example,</w:t>
      </w:r>
      <w:r w:rsidR="00946C43" w:rsidRPr="00C554E0">
        <w:rPr>
          <w:bCs/>
          <w:lang w:val="en-US"/>
        </w:rPr>
        <w:t xml:space="preserve"> victims of sexual harassment are unable to </w:t>
      </w:r>
      <w:r w:rsidR="00946C43" w:rsidRPr="00312223">
        <w:rPr>
          <w:bCs/>
          <w:iCs/>
          <w:lang w:val="en-US"/>
        </w:rPr>
        <w:t>articulate</w:t>
      </w:r>
      <w:r w:rsidR="00946C43" w:rsidRPr="00C554E0">
        <w:rPr>
          <w:bCs/>
          <w:lang w:val="en-US"/>
        </w:rPr>
        <w:t xml:space="preserve"> features of their </w:t>
      </w:r>
      <w:r w:rsidR="00312223">
        <w:rPr>
          <w:bCs/>
          <w:lang w:val="en-US"/>
        </w:rPr>
        <w:t xml:space="preserve">specific </w:t>
      </w:r>
      <w:r w:rsidR="00946C43" w:rsidRPr="00C554E0">
        <w:rPr>
          <w:bCs/>
          <w:lang w:val="en-US"/>
        </w:rPr>
        <w:t>experience for</w:t>
      </w:r>
      <w:r w:rsidR="00946C43" w:rsidRPr="00C554E0">
        <w:rPr>
          <w:bCs/>
          <w:i/>
          <w:lang w:val="en-US"/>
        </w:rPr>
        <w:t xml:space="preserve"> their</w:t>
      </w:r>
      <w:r w:rsidR="002C5A48" w:rsidRPr="00C554E0">
        <w:rPr>
          <w:bCs/>
          <w:lang w:val="en-US"/>
        </w:rPr>
        <w:t xml:space="preserve"> own </w:t>
      </w:r>
      <w:r w:rsidR="002C5A48" w:rsidRPr="00312223">
        <w:rPr>
          <w:bCs/>
          <w:i/>
          <w:iCs/>
          <w:lang w:val="en-US"/>
        </w:rPr>
        <w:t>full</w:t>
      </w:r>
      <w:r w:rsidR="002C5A48" w:rsidRPr="00C554E0">
        <w:rPr>
          <w:bCs/>
          <w:lang w:val="en-US"/>
        </w:rPr>
        <w:t xml:space="preserve"> understanding. </w:t>
      </w:r>
      <w:r w:rsidR="00312223">
        <w:rPr>
          <w:bCs/>
          <w:lang w:val="en-US"/>
        </w:rPr>
        <w:t>According to Fricker, then,</w:t>
      </w:r>
      <w:r w:rsidR="002C5A48" w:rsidRPr="00C554E0">
        <w:rPr>
          <w:bCs/>
          <w:lang w:val="en-US"/>
        </w:rPr>
        <w:t xml:space="preserve"> </w:t>
      </w:r>
      <w:r w:rsidR="00321A09">
        <w:rPr>
          <w:bCs/>
          <w:lang w:val="en-US"/>
        </w:rPr>
        <w:t>‘</w:t>
      </w:r>
      <w:r w:rsidR="00312223">
        <w:rPr>
          <w:bCs/>
          <w:lang w:val="en-US"/>
        </w:rPr>
        <w:t>[Wood’s]</w:t>
      </w:r>
      <w:r w:rsidR="002C5A48" w:rsidRPr="00C554E0">
        <w:rPr>
          <w:bCs/>
          <w:lang w:val="en-US"/>
        </w:rPr>
        <w:t xml:space="preserve"> </w:t>
      </w:r>
      <w:r w:rsidR="00946C43" w:rsidRPr="00C554E0">
        <w:rPr>
          <w:bCs/>
          <w:lang w:val="en-US"/>
        </w:rPr>
        <w:t xml:space="preserve">hermeneutical disadvantage renders </w:t>
      </w:r>
      <w:r w:rsidR="002C5A48" w:rsidRPr="00C554E0">
        <w:rPr>
          <w:bCs/>
          <w:lang w:val="en-US"/>
        </w:rPr>
        <w:t xml:space="preserve">her unable to make sense of her </w:t>
      </w:r>
      <w:r w:rsidR="00946C43" w:rsidRPr="00C554E0">
        <w:rPr>
          <w:bCs/>
          <w:lang w:val="en-US"/>
        </w:rPr>
        <w:t>ongoing mistreatment, and this in turn prevents her from</w:t>
      </w:r>
      <w:r w:rsidR="002C5A48" w:rsidRPr="00C554E0">
        <w:rPr>
          <w:bCs/>
          <w:lang w:val="en-US"/>
        </w:rPr>
        <w:t xml:space="preserve"> protesting it, </w:t>
      </w:r>
      <w:r w:rsidR="00946C43" w:rsidRPr="00C554E0">
        <w:rPr>
          <w:bCs/>
          <w:lang w:val="en-US"/>
        </w:rPr>
        <w:t>let alone securing effective measures to stop it</w:t>
      </w:r>
      <w:r w:rsidR="00321A09">
        <w:rPr>
          <w:bCs/>
          <w:lang w:val="en-US"/>
        </w:rPr>
        <w:t>’</w:t>
      </w:r>
      <w:r w:rsidR="001357A2" w:rsidRPr="00C554E0">
        <w:rPr>
          <w:bCs/>
          <w:lang w:val="en-US"/>
        </w:rPr>
        <w:t>.</w:t>
      </w:r>
      <w:r w:rsidR="00335E97">
        <w:rPr>
          <w:rStyle w:val="FootnoteReference"/>
          <w:bCs/>
          <w:lang w:val="en-US"/>
        </w:rPr>
        <w:footnoteReference w:id="16"/>
      </w:r>
    </w:p>
    <w:p w14:paraId="3F5AA5F8" w14:textId="7ED1F509" w:rsidR="000907AF" w:rsidRPr="00C554E0" w:rsidRDefault="00FA7FB8" w:rsidP="005F310A">
      <w:pPr>
        <w:ind w:firstLine="720"/>
        <w:rPr>
          <w:bCs/>
          <w:lang w:val="en-US"/>
        </w:rPr>
      </w:pPr>
      <w:r w:rsidRPr="00C554E0">
        <w:rPr>
          <w:bCs/>
          <w:lang w:val="en-US"/>
        </w:rPr>
        <w:t xml:space="preserve">Crucially, though, </w:t>
      </w:r>
      <w:r w:rsidR="000907AF" w:rsidRPr="00C554E0">
        <w:rPr>
          <w:bCs/>
          <w:lang w:val="en-US"/>
        </w:rPr>
        <w:t xml:space="preserve">two </w:t>
      </w:r>
      <w:r w:rsidR="0062324F" w:rsidRPr="00C554E0">
        <w:rPr>
          <w:bCs/>
          <w:lang w:val="en-US"/>
        </w:rPr>
        <w:t xml:space="preserve">critical </w:t>
      </w:r>
      <w:r w:rsidR="000907AF" w:rsidRPr="00C554E0">
        <w:rPr>
          <w:bCs/>
          <w:lang w:val="en-US"/>
        </w:rPr>
        <w:t>points need to be made here: (</w:t>
      </w:r>
      <w:proofErr w:type="spellStart"/>
      <w:r w:rsidR="000907AF" w:rsidRPr="00C554E0">
        <w:rPr>
          <w:bCs/>
          <w:lang w:val="en-US"/>
        </w:rPr>
        <w:t>i</w:t>
      </w:r>
      <w:proofErr w:type="spellEnd"/>
      <w:r w:rsidR="000907AF" w:rsidRPr="00C554E0">
        <w:rPr>
          <w:bCs/>
          <w:lang w:val="en-US"/>
        </w:rPr>
        <w:t>) Dotson rightly argues that</w:t>
      </w:r>
      <w:r w:rsidR="004943E0" w:rsidRPr="00C554E0">
        <w:rPr>
          <w:bCs/>
          <w:lang w:val="en-US"/>
        </w:rPr>
        <w:t xml:space="preserve"> </w:t>
      </w:r>
      <w:r w:rsidR="000907AF" w:rsidRPr="00C554E0">
        <w:rPr>
          <w:bCs/>
          <w:lang w:val="en-US"/>
        </w:rPr>
        <w:t>marginalised</w:t>
      </w:r>
      <w:r w:rsidR="00627C1C" w:rsidRPr="00C554E0">
        <w:rPr>
          <w:bCs/>
          <w:lang w:val="en-US"/>
        </w:rPr>
        <w:t xml:space="preserve"> people </w:t>
      </w:r>
      <w:r w:rsidR="000907AF" w:rsidRPr="00C554E0">
        <w:rPr>
          <w:bCs/>
          <w:lang w:val="en-US"/>
        </w:rPr>
        <w:t xml:space="preserve">often have no difficulty articulating their experiences. What </w:t>
      </w:r>
      <w:r w:rsidR="002722D3" w:rsidRPr="00C554E0">
        <w:rPr>
          <w:bCs/>
          <w:lang w:val="en-US"/>
        </w:rPr>
        <w:t>Dotson</w:t>
      </w:r>
      <w:r w:rsidR="000907AF" w:rsidRPr="00C554E0">
        <w:rPr>
          <w:bCs/>
          <w:lang w:val="en-US"/>
        </w:rPr>
        <w:t xml:space="preserve"> has labelled ‘contributory injustice’</w:t>
      </w:r>
      <w:r w:rsidR="005F310A">
        <w:rPr>
          <w:bCs/>
          <w:lang w:val="en-US"/>
        </w:rPr>
        <w:t xml:space="preserve">, i.e. the </w:t>
      </w:r>
      <w:r w:rsidR="005F310A" w:rsidRPr="005F310A">
        <w:rPr>
          <w:bCs/>
          <w:lang w:val="en-US"/>
        </w:rPr>
        <w:t>systematic epist</w:t>
      </w:r>
      <w:r w:rsidR="005F310A">
        <w:rPr>
          <w:bCs/>
          <w:lang w:val="en-US"/>
        </w:rPr>
        <w:t>emic harm</w:t>
      </w:r>
      <w:r w:rsidR="005F310A" w:rsidRPr="005F310A">
        <w:rPr>
          <w:bCs/>
          <w:lang w:val="en-US"/>
        </w:rPr>
        <w:t xml:space="preserve"> </w:t>
      </w:r>
      <w:r w:rsidR="005F310A">
        <w:rPr>
          <w:bCs/>
          <w:lang w:val="en-US"/>
        </w:rPr>
        <w:t>produced</w:t>
      </w:r>
      <w:r w:rsidR="005F310A" w:rsidRPr="005F310A">
        <w:rPr>
          <w:bCs/>
          <w:lang w:val="en-US"/>
        </w:rPr>
        <w:t xml:space="preserve"> </w:t>
      </w:r>
      <w:r w:rsidR="005F310A">
        <w:rPr>
          <w:bCs/>
          <w:lang w:val="en-US"/>
        </w:rPr>
        <w:t>by a privileged inquirer’s</w:t>
      </w:r>
      <w:r w:rsidR="005F310A" w:rsidRPr="005F310A">
        <w:rPr>
          <w:bCs/>
          <w:lang w:val="en-US"/>
        </w:rPr>
        <w:t xml:space="preserve"> willfully ignorant use of</w:t>
      </w:r>
      <w:r w:rsidR="005F310A">
        <w:rPr>
          <w:bCs/>
          <w:lang w:val="en-US"/>
        </w:rPr>
        <w:t xml:space="preserve"> the prejudicial features of interpretive capital</w:t>
      </w:r>
      <w:r w:rsidR="005F310A" w:rsidRPr="005F310A">
        <w:rPr>
          <w:bCs/>
          <w:lang w:val="en-US"/>
        </w:rPr>
        <w:t xml:space="preserve"> in </w:t>
      </w:r>
      <w:r w:rsidR="005F310A">
        <w:rPr>
          <w:bCs/>
          <w:lang w:val="en-US"/>
        </w:rPr>
        <w:t xml:space="preserve">a </w:t>
      </w:r>
      <w:r w:rsidR="005F310A" w:rsidRPr="005F310A">
        <w:rPr>
          <w:bCs/>
          <w:lang w:val="en-US"/>
        </w:rPr>
        <w:t>way</w:t>
      </w:r>
      <w:r w:rsidR="005F310A">
        <w:rPr>
          <w:bCs/>
          <w:lang w:val="en-US"/>
        </w:rPr>
        <w:t xml:space="preserve"> </w:t>
      </w:r>
      <w:r w:rsidR="005F310A" w:rsidRPr="005F310A">
        <w:rPr>
          <w:bCs/>
          <w:lang w:val="en-US"/>
        </w:rPr>
        <w:t xml:space="preserve">that </w:t>
      </w:r>
      <w:r w:rsidR="005F310A">
        <w:rPr>
          <w:bCs/>
          <w:lang w:val="en-US"/>
        </w:rPr>
        <w:t xml:space="preserve">violates the </w:t>
      </w:r>
      <w:r w:rsidR="005F310A" w:rsidRPr="005F310A">
        <w:rPr>
          <w:bCs/>
          <w:lang w:val="en-US"/>
        </w:rPr>
        <w:t>epistemic agency</w:t>
      </w:r>
      <w:r w:rsidR="000907AF" w:rsidRPr="00C554E0">
        <w:rPr>
          <w:bCs/>
          <w:lang w:val="en-US"/>
        </w:rPr>
        <w:t xml:space="preserve"> </w:t>
      </w:r>
      <w:r w:rsidR="005F310A">
        <w:rPr>
          <w:bCs/>
          <w:lang w:val="en-US"/>
        </w:rPr>
        <w:t xml:space="preserve">of a non-privileged person (or group), </w:t>
      </w:r>
      <w:r w:rsidR="000907AF" w:rsidRPr="00C554E0">
        <w:rPr>
          <w:bCs/>
          <w:lang w:val="en-US"/>
        </w:rPr>
        <w:t xml:space="preserve">includes instances where there are interpretive resources readily available for marginalised groups to </w:t>
      </w:r>
      <w:r w:rsidR="00312223">
        <w:rPr>
          <w:bCs/>
          <w:lang w:val="en-US"/>
        </w:rPr>
        <w:t xml:space="preserve">sufficiently </w:t>
      </w:r>
      <w:r w:rsidR="000907AF" w:rsidRPr="00C554E0">
        <w:rPr>
          <w:bCs/>
          <w:lang w:val="en-US"/>
        </w:rPr>
        <w:t>make sense of their marginalisation</w:t>
      </w:r>
      <w:r w:rsidR="00312223">
        <w:rPr>
          <w:bCs/>
          <w:lang w:val="en-US"/>
        </w:rPr>
        <w:t>. B</w:t>
      </w:r>
      <w:r w:rsidR="000907AF" w:rsidRPr="00C554E0">
        <w:rPr>
          <w:bCs/>
          <w:lang w:val="en-US"/>
        </w:rPr>
        <w:t>ut</w:t>
      </w:r>
      <w:r w:rsidR="00312223">
        <w:rPr>
          <w:bCs/>
          <w:lang w:val="en-US"/>
        </w:rPr>
        <w:t>, crucially,</w:t>
      </w:r>
      <w:r w:rsidR="000907AF" w:rsidRPr="00C554E0">
        <w:rPr>
          <w:bCs/>
          <w:lang w:val="en-US"/>
        </w:rPr>
        <w:t xml:space="preserve"> those </w:t>
      </w:r>
      <w:proofErr w:type="gramStart"/>
      <w:r w:rsidR="000907AF" w:rsidRPr="00C554E0">
        <w:rPr>
          <w:bCs/>
          <w:lang w:val="en-US"/>
        </w:rPr>
        <w:t>particular interpretive</w:t>
      </w:r>
      <w:proofErr w:type="gramEnd"/>
      <w:r w:rsidR="000907AF" w:rsidRPr="00C554E0">
        <w:rPr>
          <w:bCs/>
          <w:lang w:val="en-US"/>
        </w:rPr>
        <w:t xml:space="preserve"> resources have not been </w:t>
      </w:r>
      <w:proofErr w:type="spellStart"/>
      <w:r w:rsidR="00A93534">
        <w:rPr>
          <w:bCs/>
          <w:lang w:val="en-US"/>
        </w:rPr>
        <w:t>recognised</w:t>
      </w:r>
      <w:proofErr w:type="spellEnd"/>
      <w:r w:rsidR="000907AF" w:rsidRPr="00C554E0">
        <w:rPr>
          <w:bCs/>
          <w:lang w:val="en-US"/>
        </w:rPr>
        <w:t xml:space="preserve"> as part of the </w:t>
      </w:r>
      <w:r w:rsidR="000907AF" w:rsidRPr="00C554E0">
        <w:rPr>
          <w:bCs/>
          <w:i/>
          <w:lang w:val="en-US"/>
        </w:rPr>
        <w:t>overall</w:t>
      </w:r>
      <w:r w:rsidR="000907AF" w:rsidRPr="00C554E0">
        <w:rPr>
          <w:bCs/>
          <w:lang w:val="en-US"/>
        </w:rPr>
        <w:t xml:space="preserve"> shared </w:t>
      </w:r>
      <w:r w:rsidR="006000CD">
        <w:rPr>
          <w:bCs/>
          <w:lang w:val="en-US"/>
        </w:rPr>
        <w:t>hermeneutic</w:t>
      </w:r>
      <w:r w:rsidR="000907AF" w:rsidRPr="00C554E0">
        <w:rPr>
          <w:bCs/>
          <w:lang w:val="en-US"/>
        </w:rPr>
        <w:t xml:space="preserve"> resources of a given society</w:t>
      </w:r>
      <w:r w:rsidR="005F310A">
        <w:rPr>
          <w:bCs/>
          <w:lang w:val="en-US"/>
        </w:rPr>
        <w:t>. This is</w:t>
      </w:r>
      <w:r w:rsidR="000907AF" w:rsidRPr="00C554E0">
        <w:rPr>
          <w:bCs/>
          <w:lang w:val="en-US"/>
        </w:rPr>
        <w:t xml:space="preserve"> due to </w:t>
      </w:r>
      <w:r w:rsidR="0062324F" w:rsidRPr="00C554E0">
        <w:rPr>
          <w:bCs/>
          <w:lang w:val="en-US"/>
        </w:rPr>
        <w:t>dominant groups’ negative attitudes towards</w:t>
      </w:r>
      <w:r w:rsidR="000907AF" w:rsidRPr="00C554E0">
        <w:rPr>
          <w:bCs/>
          <w:lang w:val="en-US"/>
        </w:rPr>
        <w:t xml:space="preserve"> the authors</w:t>
      </w:r>
      <w:r w:rsidR="00A93534">
        <w:rPr>
          <w:bCs/>
          <w:lang w:val="en-US"/>
        </w:rPr>
        <w:t xml:space="preserve"> and producers</w:t>
      </w:r>
      <w:r w:rsidR="000907AF" w:rsidRPr="00C554E0">
        <w:rPr>
          <w:bCs/>
          <w:lang w:val="en-US"/>
        </w:rPr>
        <w:t xml:space="preserve"> of those </w:t>
      </w:r>
      <w:proofErr w:type="gramStart"/>
      <w:r w:rsidR="000907AF" w:rsidRPr="00C554E0">
        <w:rPr>
          <w:bCs/>
          <w:lang w:val="en-US"/>
        </w:rPr>
        <w:t>particular interpretive</w:t>
      </w:r>
      <w:proofErr w:type="gramEnd"/>
      <w:r w:rsidR="000907AF" w:rsidRPr="00C554E0">
        <w:rPr>
          <w:bCs/>
          <w:lang w:val="en-US"/>
        </w:rPr>
        <w:t xml:space="preserve"> resources. </w:t>
      </w:r>
      <w:r w:rsidR="00434527" w:rsidRPr="00C554E0">
        <w:rPr>
          <w:bCs/>
          <w:lang w:val="en-US"/>
        </w:rPr>
        <w:t xml:space="preserve">In other words, it is not the case that marginalised groups lack the </w:t>
      </w:r>
      <w:r w:rsidR="005F310A">
        <w:rPr>
          <w:bCs/>
          <w:lang w:val="en-US"/>
        </w:rPr>
        <w:t>hermeneutical resources</w:t>
      </w:r>
      <w:r w:rsidR="00C15695" w:rsidRPr="00C554E0">
        <w:rPr>
          <w:bCs/>
          <w:lang w:val="en-US"/>
        </w:rPr>
        <w:t xml:space="preserve"> to </w:t>
      </w:r>
      <w:r w:rsidR="00A93534">
        <w:rPr>
          <w:bCs/>
          <w:lang w:val="en-US"/>
        </w:rPr>
        <w:t xml:space="preserve">make sense of </w:t>
      </w:r>
      <w:r w:rsidR="00C15695" w:rsidRPr="00C554E0">
        <w:rPr>
          <w:bCs/>
          <w:lang w:val="en-US"/>
        </w:rPr>
        <w:t xml:space="preserve">their </w:t>
      </w:r>
      <w:r w:rsidR="00A93534">
        <w:rPr>
          <w:bCs/>
          <w:lang w:val="en-US"/>
        </w:rPr>
        <w:t xml:space="preserve">own </w:t>
      </w:r>
      <w:r w:rsidR="00C15695" w:rsidRPr="00C554E0">
        <w:rPr>
          <w:bCs/>
          <w:lang w:val="en-US"/>
        </w:rPr>
        <w:t>experiences – but rather tha</w:t>
      </w:r>
      <w:r w:rsidR="0057160F" w:rsidRPr="00C554E0">
        <w:rPr>
          <w:bCs/>
          <w:lang w:val="en-US"/>
        </w:rPr>
        <w:t>t</w:t>
      </w:r>
      <w:r w:rsidR="00C15695" w:rsidRPr="00C554E0">
        <w:rPr>
          <w:bCs/>
          <w:lang w:val="en-US"/>
        </w:rPr>
        <w:t xml:space="preserve"> dominant groups</w:t>
      </w:r>
      <w:r w:rsidR="003A4471" w:rsidRPr="00C554E0">
        <w:rPr>
          <w:bCs/>
          <w:lang w:val="en-US"/>
        </w:rPr>
        <w:t xml:space="preserve">, for </w:t>
      </w:r>
      <w:r w:rsidR="00A93534">
        <w:rPr>
          <w:bCs/>
          <w:lang w:val="en-US"/>
        </w:rPr>
        <w:t xml:space="preserve">a plurality of </w:t>
      </w:r>
      <w:r w:rsidR="003A4471" w:rsidRPr="00C554E0">
        <w:rPr>
          <w:bCs/>
          <w:lang w:val="en-US"/>
        </w:rPr>
        <w:t xml:space="preserve">reasons, are not inclined to </w:t>
      </w:r>
      <w:r w:rsidR="00D25D2E" w:rsidRPr="00C554E0">
        <w:rPr>
          <w:bCs/>
          <w:lang w:val="en-US"/>
        </w:rPr>
        <w:t>deem</w:t>
      </w:r>
      <w:r w:rsidR="003A4471" w:rsidRPr="00C554E0">
        <w:rPr>
          <w:bCs/>
          <w:lang w:val="en-US"/>
        </w:rPr>
        <w:t xml:space="preserve"> th</w:t>
      </w:r>
      <w:r w:rsidR="005F310A">
        <w:rPr>
          <w:bCs/>
          <w:lang w:val="en-US"/>
        </w:rPr>
        <w:t>ose resources</w:t>
      </w:r>
      <w:r w:rsidR="003A4471" w:rsidRPr="00C554E0">
        <w:rPr>
          <w:bCs/>
          <w:lang w:val="en-US"/>
        </w:rPr>
        <w:t xml:space="preserve"> </w:t>
      </w:r>
      <w:r w:rsidR="0057160F" w:rsidRPr="00C554E0">
        <w:rPr>
          <w:bCs/>
          <w:lang w:val="en-US"/>
        </w:rPr>
        <w:t xml:space="preserve">as </w:t>
      </w:r>
      <w:r w:rsidR="00A93534">
        <w:rPr>
          <w:bCs/>
          <w:lang w:val="en-US"/>
        </w:rPr>
        <w:t xml:space="preserve">epistemically and politically </w:t>
      </w:r>
      <w:r w:rsidR="0057160F" w:rsidRPr="00C554E0">
        <w:rPr>
          <w:bCs/>
          <w:lang w:val="en-US"/>
        </w:rPr>
        <w:t xml:space="preserve">significant. </w:t>
      </w:r>
      <w:r w:rsidR="000907AF" w:rsidRPr="00C554E0">
        <w:rPr>
          <w:bCs/>
          <w:lang w:val="en-US"/>
        </w:rPr>
        <w:t xml:space="preserve">As Nora Berenstain puts it, </w:t>
      </w:r>
      <w:r w:rsidR="00321A09">
        <w:rPr>
          <w:bCs/>
          <w:lang w:val="en-US"/>
        </w:rPr>
        <w:t>‘</w:t>
      </w:r>
      <w:r w:rsidR="000907AF" w:rsidRPr="00C554E0">
        <w:rPr>
          <w:bCs/>
          <w:lang w:val="en-US"/>
        </w:rPr>
        <w:t>[</w:t>
      </w:r>
      <w:proofErr w:type="spellStart"/>
      <w:r w:rsidR="000907AF" w:rsidRPr="00C554E0">
        <w:rPr>
          <w:bCs/>
          <w:lang w:val="en-US"/>
        </w:rPr>
        <w:t>i</w:t>
      </w:r>
      <w:proofErr w:type="spellEnd"/>
      <w:r w:rsidR="000907AF" w:rsidRPr="00C554E0">
        <w:rPr>
          <w:bCs/>
          <w:lang w:val="en-US"/>
        </w:rPr>
        <w:t xml:space="preserve">]t is a failure of circulation rather than a failure of creation, and it is due to the refusal of dominant groups to acknowledge epistemic resources that resist assimilation into dominant epistemic </w:t>
      </w:r>
      <w:proofErr w:type="gramStart"/>
      <w:r w:rsidR="000907AF" w:rsidRPr="00C554E0">
        <w:rPr>
          <w:bCs/>
          <w:lang w:val="en-US"/>
        </w:rPr>
        <w:t>schemes</w:t>
      </w:r>
      <w:r w:rsidR="00321A09">
        <w:rPr>
          <w:bCs/>
          <w:lang w:val="en-US"/>
        </w:rPr>
        <w:t>’</w:t>
      </w:r>
      <w:proofErr w:type="gramEnd"/>
      <w:r w:rsidR="000907AF" w:rsidRPr="00C554E0">
        <w:rPr>
          <w:bCs/>
          <w:lang w:val="en-US"/>
        </w:rPr>
        <w:t>.</w:t>
      </w:r>
      <w:r w:rsidR="00335E97">
        <w:rPr>
          <w:rStyle w:val="FootnoteReference"/>
          <w:bCs/>
          <w:lang w:val="en-US"/>
        </w:rPr>
        <w:footnoteReference w:id="17"/>
      </w:r>
    </w:p>
    <w:p w14:paraId="3BAB0783" w14:textId="71B8AC13" w:rsidR="00FA7FB8" w:rsidRPr="00C554E0" w:rsidRDefault="000907AF" w:rsidP="001E0CC0">
      <w:pPr>
        <w:ind w:firstLine="720"/>
        <w:rPr>
          <w:rFonts w:eastAsia="Calibri"/>
          <w:szCs w:val="22"/>
          <w:lang w:eastAsia="en-US"/>
        </w:rPr>
      </w:pPr>
      <w:r w:rsidRPr="00C554E0">
        <w:rPr>
          <w:bCs/>
          <w:lang w:val="en-US"/>
        </w:rPr>
        <w:t>(ii) F</w:t>
      </w:r>
      <w:r w:rsidR="00FE2A91" w:rsidRPr="00C554E0">
        <w:rPr>
          <w:bCs/>
          <w:lang w:val="en-US"/>
        </w:rPr>
        <w:t xml:space="preserve">rom the perspective of those </w:t>
      </w:r>
      <w:r w:rsidR="00C749DC" w:rsidRPr="00C554E0">
        <w:rPr>
          <w:bCs/>
          <w:lang w:val="en-US"/>
        </w:rPr>
        <w:t xml:space="preserve">confronting the </w:t>
      </w:r>
      <w:r w:rsidR="004E1985" w:rsidRPr="00C554E0">
        <w:rPr>
          <w:bCs/>
          <w:lang w:val="en-US"/>
        </w:rPr>
        <w:t>ideology motivating</w:t>
      </w:r>
      <w:r w:rsidR="00A93534">
        <w:rPr>
          <w:bCs/>
          <w:lang w:val="en-US"/>
        </w:rPr>
        <w:t xml:space="preserve">, </w:t>
      </w:r>
      <w:r w:rsidR="004E1985" w:rsidRPr="00C554E0">
        <w:rPr>
          <w:bCs/>
          <w:lang w:val="en-US"/>
        </w:rPr>
        <w:t>producing</w:t>
      </w:r>
      <w:r w:rsidR="00A93534">
        <w:rPr>
          <w:bCs/>
          <w:lang w:val="en-US"/>
        </w:rPr>
        <w:t>, and reproducing</w:t>
      </w:r>
      <w:r w:rsidR="004E1985" w:rsidRPr="00C554E0">
        <w:rPr>
          <w:bCs/>
          <w:lang w:val="en-US"/>
        </w:rPr>
        <w:t xml:space="preserve"> </w:t>
      </w:r>
      <w:r w:rsidR="00FE2A91" w:rsidRPr="00C554E0">
        <w:rPr>
          <w:bCs/>
          <w:lang w:val="en-US"/>
        </w:rPr>
        <w:t xml:space="preserve">epistemic </w:t>
      </w:r>
      <w:r w:rsidR="00FE2A91" w:rsidRPr="00C554E0">
        <w:rPr>
          <w:bCs/>
          <w:i/>
          <w:lang w:val="en-US"/>
        </w:rPr>
        <w:t>oppression</w:t>
      </w:r>
      <w:r w:rsidR="00FE2A91" w:rsidRPr="00C554E0">
        <w:rPr>
          <w:bCs/>
          <w:lang w:val="en-US"/>
        </w:rPr>
        <w:t xml:space="preserve">, </w:t>
      </w:r>
      <w:r w:rsidR="00FA7FB8" w:rsidRPr="00C554E0">
        <w:rPr>
          <w:bCs/>
          <w:lang w:val="en-US"/>
        </w:rPr>
        <w:t xml:space="preserve">it would be both </w:t>
      </w:r>
      <w:r w:rsidR="004A582D" w:rsidRPr="00C554E0">
        <w:rPr>
          <w:bCs/>
          <w:lang w:val="en-US"/>
        </w:rPr>
        <w:t xml:space="preserve">conceptually </w:t>
      </w:r>
      <w:r w:rsidR="00FA7FB8" w:rsidRPr="00C554E0">
        <w:rPr>
          <w:bCs/>
          <w:lang w:val="en-US"/>
        </w:rPr>
        <w:t xml:space="preserve">and politically reckless to </w:t>
      </w:r>
      <w:r w:rsidR="00A93534">
        <w:rPr>
          <w:bCs/>
          <w:lang w:val="en-US"/>
        </w:rPr>
        <w:t xml:space="preserve">either ignore or downplay </w:t>
      </w:r>
      <w:r w:rsidR="00FA7FB8" w:rsidRPr="00C554E0">
        <w:rPr>
          <w:bCs/>
          <w:lang w:val="en-US"/>
        </w:rPr>
        <w:t>Wood’s race</w:t>
      </w:r>
      <w:r w:rsidR="00A93534">
        <w:rPr>
          <w:bCs/>
          <w:lang w:val="en-US"/>
        </w:rPr>
        <w:t xml:space="preserve"> in the discourse here</w:t>
      </w:r>
      <w:r w:rsidR="00C00BA5">
        <w:rPr>
          <w:bCs/>
          <w:lang w:val="en-US"/>
        </w:rPr>
        <w:t xml:space="preserve">. </w:t>
      </w:r>
      <w:r w:rsidR="006333A7">
        <w:rPr>
          <w:bCs/>
          <w:lang w:val="en-US"/>
        </w:rPr>
        <w:t>Either f</w:t>
      </w:r>
      <w:r w:rsidR="00FA7FB8" w:rsidRPr="00C554E0">
        <w:rPr>
          <w:bCs/>
          <w:lang w:val="en-US"/>
        </w:rPr>
        <w:t>ailing to</w:t>
      </w:r>
      <w:r w:rsidR="00FA7FB8" w:rsidRPr="00C554E0">
        <w:rPr>
          <w:lang w:val="en"/>
        </w:rPr>
        <w:t xml:space="preserve"> </w:t>
      </w:r>
      <w:r w:rsidR="00FA7FB8" w:rsidRPr="00C554E0">
        <w:rPr>
          <w:bCs/>
          <w:lang w:val="en"/>
        </w:rPr>
        <w:t xml:space="preserve">see Wood’s race as directly relevant to </w:t>
      </w:r>
      <w:r w:rsidR="00FA7FB8" w:rsidRPr="00A93534">
        <w:rPr>
          <w:bCs/>
          <w:i/>
          <w:iCs/>
          <w:lang w:val="en"/>
        </w:rPr>
        <w:t>her</w:t>
      </w:r>
      <w:r w:rsidR="00FA7FB8" w:rsidRPr="00C554E0">
        <w:rPr>
          <w:bCs/>
          <w:lang w:val="en"/>
        </w:rPr>
        <w:t xml:space="preserve"> </w:t>
      </w:r>
      <w:r w:rsidR="006333A7" w:rsidRPr="00C554E0">
        <w:rPr>
          <w:bCs/>
          <w:lang w:val="en"/>
        </w:rPr>
        <w:t>experience or</w:t>
      </w:r>
      <w:r w:rsidR="00FA7FB8" w:rsidRPr="00C554E0">
        <w:rPr>
          <w:bCs/>
          <w:lang w:val="en"/>
        </w:rPr>
        <w:t xml:space="preserve"> avoid</w:t>
      </w:r>
      <w:r w:rsidR="002722D3" w:rsidRPr="00C554E0">
        <w:rPr>
          <w:bCs/>
          <w:lang w:val="en"/>
        </w:rPr>
        <w:t>ing</w:t>
      </w:r>
      <w:r w:rsidR="00FA7FB8" w:rsidRPr="00C554E0">
        <w:rPr>
          <w:bCs/>
          <w:lang w:val="en"/>
        </w:rPr>
        <w:t xml:space="preserve"> mentioning Wood’s race on the grounds that one can see her experience as an instance of something that is relevant to women </w:t>
      </w:r>
      <w:r w:rsidR="00FA7FB8" w:rsidRPr="00C554E0">
        <w:rPr>
          <w:bCs/>
          <w:i/>
          <w:lang w:val="en"/>
        </w:rPr>
        <w:t xml:space="preserve">in general </w:t>
      </w:r>
      <w:r w:rsidR="00FA7FB8" w:rsidRPr="00C554E0">
        <w:rPr>
          <w:bCs/>
          <w:lang w:val="en"/>
        </w:rPr>
        <w:t xml:space="preserve">is </w:t>
      </w:r>
      <w:r w:rsidR="00FA7FB8" w:rsidRPr="00C554E0">
        <w:rPr>
          <w:bCs/>
          <w:lang w:val="en"/>
        </w:rPr>
        <w:lastRenderedPageBreak/>
        <w:t>guilty of the errors</w:t>
      </w:r>
      <w:r w:rsidR="0062324F" w:rsidRPr="00C554E0">
        <w:rPr>
          <w:bCs/>
          <w:lang w:val="en"/>
        </w:rPr>
        <w:t xml:space="preserve"> present </w:t>
      </w:r>
      <w:r w:rsidR="004A582D" w:rsidRPr="00C554E0">
        <w:rPr>
          <w:bCs/>
          <w:lang w:val="en"/>
        </w:rPr>
        <w:t xml:space="preserve">in </w:t>
      </w:r>
      <w:r w:rsidR="00FA7FB8" w:rsidRPr="00C554E0">
        <w:rPr>
          <w:bCs/>
          <w:lang w:val="en"/>
        </w:rPr>
        <w:t xml:space="preserve">‘post-racial’ judgements. </w:t>
      </w:r>
      <w:r w:rsidR="00A93534">
        <w:rPr>
          <w:bCs/>
          <w:lang w:val="en"/>
        </w:rPr>
        <w:t>W</w:t>
      </w:r>
      <w:r w:rsidR="00FA7FB8" w:rsidRPr="00C554E0">
        <w:rPr>
          <w:bCs/>
          <w:lang w:val="en"/>
        </w:rPr>
        <w:t>hile many women face sexual harassment in the workplace, African</w:t>
      </w:r>
      <w:r w:rsidR="006701BE">
        <w:rPr>
          <w:bCs/>
          <w:lang w:val="en"/>
        </w:rPr>
        <w:t xml:space="preserve"> </w:t>
      </w:r>
      <w:r w:rsidR="00FA7FB8" w:rsidRPr="00C554E0">
        <w:rPr>
          <w:bCs/>
          <w:lang w:val="en"/>
        </w:rPr>
        <w:t xml:space="preserve">American women’s experiences of workplace sexual harassment is </w:t>
      </w:r>
      <w:r w:rsidR="00FA7FB8" w:rsidRPr="00C554E0">
        <w:rPr>
          <w:bCs/>
          <w:i/>
          <w:lang w:val="en"/>
        </w:rPr>
        <w:t>unique</w:t>
      </w:r>
      <w:r w:rsidR="00FA7FB8" w:rsidRPr="00C554E0">
        <w:rPr>
          <w:bCs/>
          <w:lang w:val="en"/>
        </w:rPr>
        <w:t xml:space="preserve">. </w:t>
      </w:r>
      <w:r w:rsidR="00FA7FB8" w:rsidRPr="00C554E0">
        <w:rPr>
          <w:rFonts w:eastAsia="Calibri"/>
          <w:szCs w:val="22"/>
          <w:lang w:eastAsia="en-US"/>
        </w:rPr>
        <w:t>For Fanon, the ‘post-racial’ judgement</w:t>
      </w:r>
      <w:r w:rsidR="006A1604" w:rsidRPr="00C554E0">
        <w:rPr>
          <w:rFonts w:eastAsia="Calibri"/>
          <w:szCs w:val="22"/>
          <w:lang w:eastAsia="en-US"/>
        </w:rPr>
        <w:t xml:space="preserve"> </w:t>
      </w:r>
      <w:r w:rsidR="00FA7FB8" w:rsidRPr="00C554E0">
        <w:rPr>
          <w:rFonts w:eastAsia="Calibri"/>
          <w:szCs w:val="22"/>
          <w:lang w:eastAsia="en-US"/>
        </w:rPr>
        <w:t>‘I don’t see colour; I see people’</w:t>
      </w:r>
      <w:r w:rsidR="004D6895" w:rsidRPr="00C554E0">
        <w:rPr>
          <w:rFonts w:eastAsia="Calibri"/>
          <w:szCs w:val="22"/>
          <w:lang w:eastAsia="en-US"/>
        </w:rPr>
        <w:t xml:space="preserve"> – a judgement favoured by liberals</w:t>
      </w:r>
      <w:r w:rsidR="00FA7FB8" w:rsidRPr="00C554E0">
        <w:rPr>
          <w:rFonts w:eastAsia="Calibri"/>
          <w:szCs w:val="22"/>
          <w:lang w:eastAsia="en-US"/>
        </w:rPr>
        <w:t xml:space="preserve"> </w:t>
      </w:r>
      <w:r w:rsidR="004D6895" w:rsidRPr="00C554E0">
        <w:rPr>
          <w:rFonts w:eastAsia="Calibri"/>
          <w:szCs w:val="22"/>
          <w:lang w:eastAsia="en-US"/>
        </w:rPr>
        <w:t xml:space="preserve">– </w:t>
      </w:r>
      <w:r w:rsidR="00FA7FB8" w:rsidRPr="00C554E0">
        <w:rPr>
          <w:rFonts w:eastAsia="Calibri"/>
          <w:szCs w:val="22"/>
          <w:lang w:eastAsia="en-US"/>
        </w:rPr>
        <w:t xml:space="preserve">aims to negate </w:t>
      </w:r>
      <w:r w:rsidR="00FA7FB8" w:rsidRPr="00C554E0">
        <w:rPr>
          <w:rFonts w:eastAsia="Calibri"/>
          <w:i/>
          <w:szCs w:val="22"/>
          <w:lang w:eastAsia="en-US"/>
        </w:rPr>
        <w:t xml:space="preserve">difference </w:t>
      </w:r>
      <w:r w:rsidR="00FA7FB8" w:rsidRPr="00C554E0">
        <w:rPr>
          <w:rFonts w:eastAsia="Calibri"/>
          <w:szCs w:val="22"/>
          <w:lang w:eastAsia="en-US"/>
        </w:rPr>
        <w:t xml:space="preserve">and it does so from a predominantly </w:t>
      </w:r>
      <w:r w:rsidR="00FA7FB8" w:rsidRPr="00C554E0">
        <w:rPr>
          <w:rFonts w:eastAsia="Calibri"/>
          <w:i/>
          <w:szCs w:val="22"/>
          <w:lang w:eastAsia="en-US"/>
        </w:rPr>
        <w:t xml:space="preserve">white </w:t>
      </w:r>
      <w:r w:rsidR="00FA7FB8" w:rsidRPr="00C554E0">
        <w:rPr>
          <w:rFonts w:eastAsia="Calibri"/>
          <w:szCs w:val="22"/>
          <w:lang w:eastAsia="en-US"/>
        </w:rPr>
        <w:t>perspective.</w:t>
      </w:r>
      <w:r w:rsidR="003526D2">
        <w:rPr>
          <w:rStyle w:val="FootnoteReference"/>
          <w:rFonts w:eastAsia="Calibri"/>
          <w:szCs w:val="22"/>
          <w:lang w:eastAsia="en-US"/>
        </w:rPr>
        <w:footnoteReference w:id="18"/>
      </w:r>
      <w:r w:rsidR="00FA7FB8" w:rsidRPr="00C554E0">
        <w:rPr>
          <w:rFonts w:eastAsia="Calibri"/>
          <w:szCs w:val="22"/>
          <w:lang w:eastAsia="en-US"/>
        </w:rPr>
        <w:t xml:space="preserve"> The </w:t>
      </w:r>
      <w:r w:rsidR="00101D6E" w:rsidRPr="00C554E0">
        <w:rPr>
          <w:rFonts w:eastAsia="Calibri"/>
          <w:szCs w:val="22"/>
          <w:lang w:eastAsia="en-US"/>
        </w:rPr>
        <w:t xml:space="preserve">liberal </w:t>
      </w:r>
      <w:r w:rsidR="00FA7FB8" w:rsidRPr="00C554E0">
        <w:rPr>
          <w:rFonts w:eastAsia="Calibri"/>
          <w:szCs w:val="22"/>
          <w:lang w:eastAsia="en-US"/>
        </w:rPr>
        <w:t xml:space="preserve">claim may well be </w:t>
      </w:r>
      <w:r w:rsidR="00FA7FB8" w:rsidRPr="00C554E0">
        <w:rPr>
          <w:rFonts w:eastAsia="Calibri"/>
          <w:i/>
          <w:szCs w:val="22"/>
          <w:lang w:eastAsia="en-US"/>
        </w:rPr>
        <w:t>genuinely</w:t>
      </w:r>
      <w:r w:rsidR="00FA7FB8" w:rsidRPr="00C554E0">
        <w:rPr>
          <w:rFonts w:eastAsia="Calibri"/>
          <w:szCs w:val="22"/>
          <w:lang w:eastAsia="en-US"/>
        </w:rPr>
        <w:t xml:space="preserve"> well intentioned – since it is sensitive to the oppressive features of racial bias –</w:t>
      </w:r>
      <w:r w:rsidR="003526D2">
        <w:rPr>
          <w:rStyle w:val="FootnoteReference"/>
          <w:rFonts w:eastAsia="Calibri"/>
          <w:szCs w:val="22"/>
          <w:lang w:eastAsia="en-US"/>
        </w:rPr>
        <w:footnoteReference w:id="19"/>
      </w:r>
      <w:r w:rsidR="00B44349" w:rsidRPr="00C554E0">
        <w:rPr>
          <w:rFonts w:eastAsia="Calibri"/>
          <w:szCs w:val="22"/>
          <w:vertAlign w:val="superscript"/>
          <w:lang w:eastAsia="en-US"/>
        </w:rPr>
        <w:t xml:space="preserve"> </w:t>
      </w:r>
      <w:r w:rsidR="00FA7FB8" w:rsidRPr="00C554E0">
        <w:rPr>
          <w:rFonts w:eastAsia="Calibri"/>
          <w:szCs w:val="22"/>
          <w:lang w:eastAsia="en-US"/>
        </w:rPr>
        <w:t xml:space="preserve">but it is nonetheless </w:t>
      </w:r>
      <w:r w:rsidR="00FA7FB8" w:rsidRPr="00C554E0">
        <w:rPr>
          <w:rFonts w:eastAsia="Calibri"/>
          <w:i/>
          <w:szCs w:val="22"/>
          <w:lang w:eastAsia="en-US"/>
        </w:rPr>
        <w:t>still</w:t>
      </w:r>
      <w:r w:rsidR="00FA7FB8" w:rsidRPr="00C554E0">
        <w:rPr>
          <w:rFonts w:eastAsia="Calibri"/>
          <w:szCs w:val="22"/>
          <w:lang w:eastAsia="en-US"/>
        </w:rPr>
        <w:t xml:space="preserve"> an instance of</w:t>
      </w:r>
      <w:r w:rsidR="00D700DF">
        <w:rPr>
          <w:rFonts w:eastAsia="Calibri"/>
          <w:szCs w:val="22"/>
          <w:lang w:eastAsia="en-US"/>
        </w:rPr>
        <w:t xml:space="preserve"> </w:t>
      </w:r>
      <w:r w:rsidR="00FA7FB8" w:rsidRPr="00C554E0">
        <w:rPr>
          <w:rFonts w:eastAsia="Calibri"/>
          <w:szCs w:val="22"/>
          <w:lang w:eastAsia="en-US"/>
        </w:rPr>
        <w:t>symbolic violence with material effects.</w:t>
      </w:r>
    </w:p>
    <w:p w14:paraId="2B4C04C8" w14:textId="3775C529" w:rsidR="00FA7FB8" w:rsidRPr="00C554E0" w:rsidRDefault="00FA7FB8" w:rsidP="00FA7FB8">
      <w:pPr>
        <w:rPr>
          <w:rFonts w:eastAsia="Calibri"/>
          <w:szCs w:val="22"/>
          <w:lang w:eastAsia="en-US"/>
        </w:rPr>
      </w:pPr>
      <w:r w:rsidRPr="00C554E0">
        <w:rPr>
          <w:rFonts w:eastAsia="Calibri"/>
          <w:szCs w:val="22"/>
          <w:lang w:eastAsia="en-US"/>
        </w:rPr>
        <w:tab/>
        <w:t xml:space="preserve">The idea of seeing a person of colour independently of any racial category amounts to a form of invisibilisation, insofar as a person of colour is likely to </w:t>
      </w:r>
      <w:proofErr w:type="gramStart"/>
      <w:r w:rsidRPr="00C554E0">
        <w:rPr>
          <w:rFonts w:eastAsia="Calibri"/>
          <w:szCs w:val="22"/>
          <w:lang w:eastAsia="en-US"/>
        </w:rPr>
        <w:t>reply</w:t>
      </w:r>
      <w:proofErr w:type="gramEnd"/>
      <w:r w:rsidRPr="00C554E0">
        <w:rPr>
          <w:rFonts w:eastAsia="Calibri"/>
          <w:szCs w:val="22"/>
          <w:lang w:eastAsia="en-US"/>
        </w:rPr>
        <w:t xml:space="preserve"> ‘If you don’t see </w:t>
      </w:r>
      <w:r w:rsidRPr="00C554E0">
        <w:rPr>
          <w:rFonts w:eastAsia="Calibri"/>
          <w:i/>
          <w:szCs w:val="22"/>
          <w:lang w:eastAsia="en-US"/>
        </w:rPr>
        <w:t>colour</w:t>
      </w:r>
      <w:r w:rsidRPr="00C554E0">
        <w:rPr>
          <w:rFonts w:eastAsia="Calibri"/>
          <w:szCs w:val="22"/>
          <w:lang w:eastAsia="en-US"/>
        </w:rPr>
        <w:t xml:space="preserve">, you don’t see </w:t>
      </w:r>
      <w:r w:rsidRPr="00C554E0">
        <w:rPr>
          <w:rFonts w:eastAsia="Calibri"/>
          <w:i/>
          <w:szCs w:val="22"/>
          <w:lang w:eastAsia="en-US"/>
        </w:rPr>
        <w:t>me</w:t>
      </w:r>
      <w:r w:rsidRPr="00C554E0">
        <w:rPr>
          <w:rFonts w:eastAsia="Calibri"/>
          <w:szCs w:val="22"/>
          <w:lang w:eastAsia="en-US"/>
        </w:rPr>
        <w:t xml:space="preserve">’. </w:t>
      </w:r>
      <w:r w:rsidR="003526D2" w:rsidRPr="003526D2">
        <w:rPr>
          <w:rFonts w:eastAsia="Calibri"/>
          <w:szCs w:val="22"/>
          <w:lang w:eastAsia="en-US"/>
        </w:rPr>
        <w:t xml:space="preserve">The liberal-Enlightenment disposition to do one’s utmost to look through or past putatively contingent or inessential properties in the attempt to establish a </w:t>
      </w:r>
      <w:r w:rsidR="003526D2" w:rsidRPr="00A93534">
        <w:rPr>
          <w:rFonts w:eastAsia="Calibri"/>
          <w:i/>
          <w:iCs/>
          <w:szCs w:val="22"/>
          <w:lang w:eastAsia="en-US"/>
        </w:rPr>
        <w:t>common humanity</w:t>
      </w:r>
      <w:r w:rsidR="003526D2" w:rsidRPr="003526D2">
        <w:rPr>
          <w:rFonts w:eastAsia="Calibri"/>
          <w:szCs w:val="22"/>
          <w:vertAlign w:val="superscript"/>
          <w:lang w:eastAsia="en-US"/>
        </w:rPr>
        <w:footnoteReference w:id="20"/>
      </w:r>
      <w:r w:rsidR="003526D2" w:rsidRPr="003526D2">
        <w:rPr>
          <w:rFonts w:eastAsia="Calibri"/>
          <w:szCs w:val="22"/>
          <w:lang w:eastAsia="en-US"/>
        </w:rPr>
        <w:t xml:space="preserve"> ossifies the potential for moments of </w:t>
      </w:r>
      <w:r w:rsidR="003526D2" w:rsidRPr="003526D2">
        <w:rPr>
          <w:rFonts w:eastAsia="Calibri"/>
          <w:i/>
          <w:szCs w:val="22"/>
          <w:lang w:eastAsia="en-US"/>
        </w:rPr>
        <w:t>genuine</w:t>
      </w:r>
      <w:r w:rsidR="003526D2" w:rsidRPr="003526D2">
        <w:rPr>
          <w:rFonts w:eastAsia="Calibri"/>
          <w:szCs w:val="22"/>
          <w:lang w:eastAsia="en-US"/>
        </w:rPr>
        <w:t xml:space="preserve"> intersubjectivity.</w:t>
      </w:r>
      <w:r w:rsidR="003526D2" w:rsidRPr="003526D2">
        <w:rPr>
          <w:rFonts w:eastAsiaTheme="minorHAnsi" w:cstheme="minorBidi"/>
          <w:szCs w:val="22"/>
          <w:lang w:eastAsia="en-US"/>
        </w:rPr>
        <w:t xml:space="preserve"> </w:t>
      </w:r>
      <w:r w:rsidR="003526D2" w:rsidRPr="003526D2">
        <w:rPr>
          <w:rFonts w:eastAsia="Calibri"/>
          <w:szCs w:val="22"/>
          <w:lang w:eastAsia="en-US"/>
        </w:rPr>
        <w:t xml:space="preserve">Rather than serve as a means to foster communicative action by privileging </w:t>
      </w:r>
      <w:r w:rsidR="003526D2" w:rsidRPr="00A93534">
        <w:rPr>
          <w:rFonts w:eastAsia="Calibri"/>
          <w:iCs/>
          <w:szCs w:val="22"/>
          <w:lang w:eastAsia="en-US"/>
        </w:rPr>
        <w:t>difference</w:t>
      </w:r>
      <w:r w:rsidR="003526D2" w:rsidRPr="003526D2">
        <w:rPr>
          <w:rFonts w:eastAsia="Calibri"/>
          <w:i/>
          <w:szCs w:val="22"/>
          <w:lang w:eastAsia="en-US"/>
        </w:rPr>
        <w:t xml:space="preserve"> </w:t>
      </w:r>
      <w:r w:rsidR="003526D2" w:rsidRPr="003526D2">
        <w:rPr>
          <w:rFonts w:eastAsia="Calibri"/>
          <w:szCs w:val="22"/>
          <w:lang w:eastAsia="en-US"/>
        </w:rPr>
        <w:t>over monochromatic universality, ‘I don’t see colour; I see people’ is either, at best, an instance of a ham-fisted conceptualisation of empathy, or, at worst, an instance of a subtle and insidious racist schema.</w:t>
      </w:r>
      <w:r w:rsidR="003526D2" w:rsidRPr="003526D2">
        <w:rPr>
          <w:rFonts w:eastAsia="Calibri"/>
          <w:szCs w:val="22"/>
          <w:vertAlign w:val="superscript"/>
          <w:lang w:eastAsia="en-US"/>
        </w:rPr>
        <w:footnoteReference w:id="21"/>
      </w:r>
      <w:r w:rsidR="003526D2" w:rsidRPr="003526D2">
        <w:rPr>
          <w:rFonts w:eastAsia="Calibri"/>
          <w:szCs w:val="22"/>
          <w:lang w:eastAsia="en-US"/>
        </w:rPr>
        <w:t xml:space="preserve"> Active disregard of racial categories – whether such disregard is motivated by </w:t>
      </w:r>
      <w:r w:rsidR="003526D2" w:rsidRPr="003526D2">
        <w:rPr>
          <w:rFonts w:eastAsia="Calibri"/>
          <w:i/>
          <w:szCs w:val="22"/>
          <w:lang w:eastAsia="en-US"/>
        </w:rPr>
        <w:t xml:space="preserve">ignorance </w:t>
      </w:r>
      <w:r w:rsidR="003526D2" w:rsidRPr="003526D2">
        <w:rPr>
          <w:rFonts w:eastAsia="Calibri"/>
          <w:szCs w:val="22"/>
          <w:lang w:eastAsia="en-US"/>
        </w:rPr>
        <w:t>or not –</w:t>
      </w:r>
      <w:r w:rsidR="003526D2" w:rsidRPr="003526D2">
        <w:rPr>
          <w:rFonts w:eastAsia="Calibri"/>
          <w:szCs w:val="22"/>
          <w:vertAlign w:val="superscript"/>
          <w:lang w:eastAsia="en-US"/>
        </w:rPr>
        <w:footnoteReference w:id="22"/>
      </w:r>
      <w:r w:rsidR="003526D2" w:rsidRPr="003526D2">
        <w:rPr>
          <w:rFonts w:eastAsia="Calibri"/>
          <w:szCs w:val="22"/>
          <w:lang w:eastAsia="en-US"/>
        </w:rPr>
        <w:t xml:space="preserve"> is invariably bound up with complex patterns of race-specific denigration.</w:t>
      </w:r>
      <w:r w:rsidR="003526D2" w:rsidRPr="003526D2">
        <w:rPr>
          <w:rFonts w:eastAsia="Calibri"/>
          <w:szCs w:val="22"/>
          <w:vertAlign w:val="superscript"/>
          <w:lang w:eastAsia="en-US"/>
        </w:rPr>
        <w:footnoteReference w:id="23"/>
      </w:r>
      <w:r w:rsidR="003526D2" w:rsidRPr="003526D2">
        <w:rPr>
          <w:rFonts w:eastAsia="Calibri"/>
          <w:szCs w:val="22"/>
          <w:lang w:eastAsia="en-US"/>
        </w:rPr>
        <w:t xml:space="preserve"> In this respect, the </w:t>
      </w:r>
      <w:r w:rsidR="003526D2" w:rsidRPr="00A93534">
        <w:rPr>
          <w:rFonts w:eastAsia="Calibri"/>
          <w:i/>
          <w:iCs/>
          <w:szCs w:val="22"/>
          <w:lang w:eastAsia="en-US"/>
        </w:rPr>
        <w:t>pragmatics</w:t>
      </w:r>
      <w:r w:rsidR="003526D2" w:rsidRPr="003526D2">
        <w:rPr>
          <w:rFonts w:eastAsia="Calibri"/>
          <w:szCs w:val="22"/>
          <w:lang w:eastAsia="en-US"/>
        </w:rPr>
        <w:t xml:space="preserve"> of the claim ‘I don’t see colour; I see people’ are ‘I see you </w:t>
      </w:r>
      <w:r w:rsidR="003526D2" w:rsidRPr="00A93534">
        <w:rPr>
          <w:rFonts w:eastAsia="Calibri"/>
          <w:iCs/>
          <w:szCs w:val="22"/>
          <w:lang w:eastAsia="en-US"/>
        </w:rPr>
        <w:t>in spite of your race’</w:t>
      </w:r>
      <w:r w:rsidR="003526D2" w:rsidRPr="003526D2">
        <w:rPr>
          <w:rFonts w:eastAsia="Calibri"/>
          <w:szCs w:val="22"/>
          <w:lang w:eastAsia="en-US"/>
        </w:rPr>
        <w:t xml:space="preserve">. </w:t>
      </w:r>
    </w:p>
    <w:p w14:paraId="1E603E7B" w14:textId="4919486A" w:rsidR="00FA7FB8" w:rsidRPr="00C554E0" w:rsidRDefault="00FA7FB8" w:rsidP="00FA7FB8">
      <w:pPr>
        <w:rPr>
          <w:rFonts w:eastAsia="Calibri"/>
          <w:szCs w:val="22"/>
          <w:lang w:eastAsia="en-US"/>
        </w:rPr>
      </w:pPr>
      <w:r w:rsidRPr="00C554E0">
        <w:rPr>
          <w:rFonts w:eastAsia="Calibri"/>
          <w:szCs w:val="22"/>
          <w:lang w:eastAsia="en-US"/>
        </w:rPr>
        <w:tab/>
      </w:r>
      <w:r w:rsidR="003526D2" w:rsidRPr="003526D2">
        <w:rPr>
          <w:rFonts w:eastAsia="Calibri"/>
          <w:szCs w:val="22"/>
          <w:lang w:eastAsia="en-US"/>
        </w:rPr>
        <w:t xml:space="preserve">To see a person </w:t>
      </w:r>
      <w:r w:rsidR="003526D2" w:rsidRPr="00A93534">
        <w:rPr>
          <w:rFonts w:eastAsia="Calibri"/>
          <w:iCs/>
          <w:szCs w:val="22"/>
          <w:lang w:eastAsia="en-US"/>
        </w:rPr>
        <w:t>despite</w:t>
      </w:r>
      <w:r w:rsidR="003526D2" w:rsidRPr="003526D2">
        <w:rPr>
          <w:rFonts w:eastAsia="Calibri"/>
          <w:i/>
          <w:szCs w:val="22"/>
          <w:lang w:eastAsia="en-US"/>
        </w:rPr>
        <w:t xml:space="preserve"> </w:t>
      </w:r>
      <w:r w:rsidR="003526D2" w:rsidRPr="003526D2">
        <w:rPr>
          <w:rFonts w:eastAsia="Calibri"/>
          <w:szCs w:val="22"/>
          <w:lang w:eastAsia="en-US"/>
        </w:rPr>
        <w:t xml:space="preserve">their race always implies that racial colour categories are, by default, </w:t>
      </w:r>
      <w:r w:rsidR="003526D2" w:rsidRPr="00A93534">
        <w:rPr>
          <w:rFonts w:eastAsia="Calibri"/>
          <w:iCs/>
          <w:szCs w:val="22"/>
          <w:lang w:eastAsia="en-US"/>
        </w:rPr>
        <w:t>problematic</w:t>
      </w:r>
      <w:r w:rsidR="003526D2" w:rsidRPr="003526D2">
        <w:rPr>
          <w:rFonts w:eastAsia="Calibri"/>
          <w:szCs w:val="22"/>
          <w:lang w:eastAsia="en-US"/>
        </w:rPr>
        <w:t xml:space="preserve"> – specifically, </w:t>
      </w:r>
      <w:r w:rsidR="00A93534" w:rsidRPr="003526D2">
        <w:rPr>
          <w:rFonts w:eastAsia="Calibri"/>
          <w:szCs w:val="22"/>
          <w:lang w:eastAsia="en-US"/>
        </w:rPr>
        <w:t xml:space="preserve">racial colour categories </w:t>
      </w:r>
      <w:r w:rsidR="003526D2" w:rsidRPr="003526D2">
        <w:rPr>
          <w:rFonts w:eastAsia="Calibri"/>
          <w:szCs w:val="22"/>
          <w:lang w:eastAsia="en-US"/>
        </w:rPr>
        <w:t xml:space="preserve">are phenomena that need to be eliminated on account of how </w:t>
      </w:r>
      <w:r w:rsidR="00A93534">
        <w:rPr>
          <w:rFonts w:eastAsia="Calibri"/>
          <w:szCs w:val="22"/>
          <w:lang w:eastAsia="en-US"/>
        </w:rPr>
        <w:t>they</w:t>
      </w:r>
      <w:r w:rsidR="003526D2" w:rsidRPr="003526D2">
        <w:rPr>
          <w:rFonts w:eastAsia="Calibri"/>
          <w:szCs w:val="22"/>
          <w:lang w:eastAsia="en-US"/>
        </w:rPr>
        <w:t xml:space="preserve"> </w:t>
      </w:r>
      <w:r w:rsidR="003526D2" w:rsidRPr="00A93534">
        <w:rPr>
          <w:rFonts w:eastAsia="Calibri"/>
          <w:i/>
          <w:iCs/>
          <w:szCs w:val="22"/>
          <w:lang w:eastAsia="en-US"/>
        </w:rPr>
        <w:t>negatively brand</w:t>
      </w:r>
      <w:r w:rsidR="003526D2" w:rsidRPr="003526D2">
        <w:rPr>
          <w:rFonts w:eastAsia="Calibri"/>
          <w:szCs w:val="22"/>
          <w:lang w:eastAsia="en-US"/>
        </w:rPr>
        <w:t xml:space="preserve"> a person’s subjectivity and experiences. However, for so many people of colour, their racial </w:t>
      </w:r>
      <w:r w:rsidR="003420E4" w:rsidRPr="003526D2">
        <w:rPr>
          <w:rFonts w:eastAsia="Calibri"/>
          <w:szCs w:val="22"/>
          <w:lang w:eastAsia="en-US"/>
        </w:rPr>
        <w:t>situatedness</w:t>
      </w:r>
      <w:r w:rsidR="003526D2" w:rsidRPr="003526D2">
        <w:rPr>
          <w:rFonts w:eastAsia="Calibri"/>
          <w:szCs w:val="22"/>
          <w:lang w:eastAsia="en-US"/>
        </w:rPr>
        <w:t xml:space="preserve"> and racially embodied subjectivity is, on the contrary, a profound source of </w:t>
      </w:r>
      <w:r w:rsidR="003526D2" w:rsidRPr="003526D2">
        <w:rPr>
          <w:rFonts w:eastAsia="Calibri"/>
          <w:i/>
          <w:szCs w:val="22"/>
          <w:lang w:eastAsia="en-US"/>
        </w:rPr>
        <w:t>pride</w:t>
      </w:r>
      <w:r w:rsidR="003526D2" w:rsidRPr="003526D2">
        <w:rPr>
          <w:rFonts w:eastAsia="Calibri"/>
          <w:szCs w:val="22"/>
          <w:lang w:eastAsia="en-US"/>
        </w:rPr>
        <w:t>,</w:t>
      </w:r>
      <w:r w:rsidR="003526D2" w:rsidRPr="003526D2">
        <w:rPr>
          <w:rFonts w:eastAsia="Calibri"/>
          <w:szCs w:val="22"/>
          <w:vertAlign w:val="superscript"/>
          <w:lang w:eastAsia="en-US"/>
        </w:rPr>
        <w:footnoteReference w:id="24"/>
      </w:r>
      <w:r w:rsidR="003526D2" w:rsidRPr="003526D2">
        <w:rPr>
          <w:rFonts w:eastAsia="Calibri"/>
          <w:szCs w:val="22"/>
          <w:lang w:eastAsia="en-US"/>
        </w:rPr>
        <w:t xml:space="preserve"> so much so that these play an ineliminable role in imbuing their lives with positive meaning and their achievements with </w:t>
      </w:r>
      <w:r w:rsidR="00A93534">
        <w:rPr>
          <w:rFonts w:eastAsia="Calibri"/>
          <w:szCs w:val="22"/>
          <w:lang w:eastAsia="en-US"/>
        </w:rPr>
        <w:t xml:space="preserve">especially </w:t>
      </w:r>
      <w:r w:rsidR="003526D2" w:rsidRPr="003526D2">
        <w:rPr>
          <w:rFonts w:eastAsia="Calibri"/>
          <w:szCs w:val="22"/>
          <w:lang w:eastAsia="en-US"/>
        </w:rPr>
        <w:t xml:space="preserve">heightened value. For example, the development of </w:t>
      </w:r>
      <w:r w:rsidR="00A93534">
        <w:rPr>
          <w:rFonts w:eastAsia="Calibri"/>
          <w:szCs w:val="22"/>
          <w:lang w:eastAsia="en-US"/>
        </w:rPr>
        <w:t>B</w:t>
      </w:r>
      <w:r w:rsidR="003526D2" w:rsidRPr="003526D2">
        <w:rPr>
          <w:rFonts w:eastAsia="Calibri"/>
          <w:szCs w:val="22"/>
          <w:lang w:eastAsia="en-US"/>
        </w:rPr>
        <w:t xml:space="preserve">lack </w:t>
      </w:r>
      <w:r w:rsidR="00A93534">
        <w:rPr>
          <w:rFonts w:eastAsia="Calibri"/>
          <w:szCs w:val="22"/>
          <w:lang w:eastAsia="en-US"/>
        </w:rPr>
        <w:t>F</w:t>
      </w:r>
      <w:r w:rsidR="003526D2" w:rsidRPr="003526D2">
        <w:rPr>
          <w:rFonts w:eastAsia="Calibri"/>
          <w:szCs w:val="22"/>
          <w:lang w:eastAsia="en-US"/>
        </w:rPr>
        <w:t>eminist thought is precisely predicated on the idea that embodied and embedded blackness is a</w:t>
      </w:r>
      <w:r w:rsidR="00A93534">
        <w:rPr>
          <w:rFonts w:eastAsia="Calibri"/>
          <w:szCs w:val="22"/>
          <w:lang w:eastAsia="en-US"/>
        </w:rPr>
        <w:t xml:space="preserve"> </w:t>
      </w:r>
      <w:r w:rsidR="003526D2" w:rsidRPr="003526D2">
        <w:rPr>
          <w:rFonts w:eastAsia="Calibri"/>
          <w:szCs w:val="22"/>
          <w:lang w:eastAsia="en-US"/>
        </w:rPr>
        <w:t>source of</w:t>
      </w:r>
      <w:r w:rsidR="00A93534">
        <w:rPr>
          <w:rFonts w:eastAsia="Calibri"/>
          <w:szCs w:val="22"/>
          <w:lang w:eastAsia="en-US"/>
        </w:rPr>
        <w:t xml:space="preserve"> profound</w:t>
      </w:r>
      <w:r w:rsidR="003526D2" w:rsidRPr="003526D2">
        <w:rPr>
          <w:rFonts w:eastAsia="Calibri"/>
          <w:szCs w:val="22"/>
          <w:lang w:eastAsia="en-US"/>
        </w:rPr>
        <w:t xml:space="preserve"> </w:t>
      </w:r>
      <w:r w:rsidR="003526D2" w:rsidRPr="003526D2">
        <w:rPr>
          <w:rFonts w:eastAsia="Calibri"/>
          <w:i/>
          <w:szCs w:val="22"/>
          <w:lang w:eastAsia="en-US"/>
        </w:rPr>
        <w:t>power</w:t>
      </w:r>
      <w:r w:rsidR="003526D2" w:rsidRPr="003526D2">
        <w:rPr>
          <w:rFonts w:eastAsia="Calibri"/>
          <w:szCs w:val="22"/>
          <w:lang w:eastAsia="en-US"/>
        </w:rPr>
        <w:t>, as something to be actively deployed in the work of constructing and maintaining intersectional</w:t>
      </w:r>
      <w:r w:rsidR="00A93534">
        <w:rPr>
          <w:rFonts w:eastAsia="Calibri"/>
          <w:szCs w:val="22"/>
          <w:lang w:eastAsia="en-US"/>
        </w:rPr>
        <w:t xml:space="preserve">ly </w:t>
      </w:r>
      <w:r w:rsidR="003526D2" w:rsidRPr="003526D2">
        <w:rPr>
          <w:rFonts w:eastAsia="Calibri"/>
          <w:szCs w:val="22"/>
          <w:lang w:eastAsia="en-US"/>
        </w:rPr>
        <w:t xml:space="preserve">liberating narratives. Black women’s activism has been enriched by how race </w:t>
      </w:r>
      <w:r w:rsidR="003526D2" w:rsidRPr="003526D2">
        <w:rPr>
          <w:rFonts w:eastAsia="Calibri"/>
          <w:szCs w:val="22"/>
          <w:lang w:eastAsia="en-US"/>
        </w:rPr>
        <w:lastRenderedPageBreak/>
        <w:t xml:space="preserve">plays a </w:t>
      </w:r>
      <w:r w:rsidR="003526D2" w:rsidRPr="003526D2">
        <w:rPr>
          <w:rFonts w:eastAsia="Calibri"/>
          <w:i/>
          <w:szCs w:val="22"/>
          <w:lang w:eastAsia="en-US"/>
        </w:rPr>
        <w:t xml:space="preserve">sine qua non </w:t>
      </w:r>
      <w:r w:rsidR="003526D2" w:rsidRPr="003526D2">
        <w:rPr>
          <w:rFonts w:eastAsia="Calibri"/>
          <w:szCs w:val="22"/>
          <w:lang w:eastAsia="en-US"/>
        </w:rPr>
        <w:t xml:space="preserve">role in the articulation of black women’s hermeneutic integrity, where they resist any double bind and are in positions to </w:t>
      </w:r>
      <w:r w:rsidR="003526D2" w:rsidRPr="003526D2">
        <w:rPr>
          <w:rFonts w:eastAsia="Calibri"/>
          <w:i/>
          <w:szCs w:val="22"/>
          <w:lang w:eastAsia="en-US"/>
        </w:rPr>
        <w:t>self</w:t>
      </w:r>
      <w:r w:rsidR="003526D2" w:rsidRPr="003526D2">
        <w:rPr>
          <w:rFonts w:eastAsia="Calibri"/>
          <w:szCs w:val="22"/>
          <w:lang w:eastAsia="en-US"/>
        </w:rPr>
        <w:t xml:space="preserve">-define and interpret their </w:t>
      </w:r>
      <w:r w:rsidR="003526D2" w:rsidRPr="003526D2">
        <w:rPr>
          <w:rFonts w:eastAsia="Calibri"/>
          <w:i/>
          <w:szCs w:val="22"/>
          <w:lang w:eastAsia="en-US"/>
        </w:rPr>
        <w:t>own</w:t>
      </w:r>
      <w:r w:rsidR="003526D2" w:rsidRPr="003526D2">
        <w:rPr>
          <w:rFonts w:eastAsia="Calibri"/>
          <w:szCs w:val="22"/>
          <w:lang w:eastAsia="en-US"/>
        </w:rPr>
        <w:t xml:space="preserve"> experiences and subjectivities </w:t>
      </w:r>
      <w:r w:rsidR="003526D2" w:rsidRPr="003526D2">
        <w:rPr>
          <w:rFonts w:eastAsia="Calibri"/>
          <w:i/>
          <w:szCs w:val="22"/>
          <w:lang w:eastAsia="en-US"/>
        </w:rPr>
        <w:t>independently</w:t>
      </w:r>
      <w:r w:rsidR="003526D2" w:rsidRPr="003526D2">
        <w:rPr>
          <w:rFonts w:eastAsia="Calibri"/>
          <w:szCs w:val="22"/>
          <w:lang w:eastAsia="en-US"/>
        </w:rPr>
        <w:t xml:space="preserve"> of white-centric or white-steered patterns of (un)marked ideological recognition.</w:t>
      </w:r>
      <w:r w:rsidR="003526D2">
        <w:rPr>
          <w:rFonts w:eastAsia="Calibri"/>
          <w:szCs w:val="22"/>
          <w:lang w:eastAsia="en-US"/>
        </w:rPr>
        <w:t xml:space="preserve"> </w:t>
      </w:r>
      <w:r w:rsidR="003526D2" w:rsidRPr="003526D2">
        <w:rPr>
          <w:rFonts w:eastAsia="Calibri"/>
          <w:szCs w:val="22"/>
          <w:lang w:eastAsia="en-US"/>
        </w:rPr>
        <w:t>As Patricia Hill Collins writes:</w:t>
      </w:r>
    </w:p>
    <w:p w14:paraId="6D49B5A5" w14:textId="77777777" w:rsidR="00FA7FB8" w:rsidRPr="00C554E0" w:rsidRDefault="00FA7FB8" w:rsidP="00FA7FB8">
      <w:pPr>
        <w:rPr>
          <w:rFonts w:eastAsia="Calibri"/>
          <w:szCs w:val="22"/>
          <w:lang w:eastAsia="en-US"/>
        </w:rPr>
      </w:pPr>
    </w:p>
    <w:p w14:paraId="3FCA674A" w14:textId="0224EE25" w:rsidR="00FA7FB8" w:rsidRPr="006701BE" w:rsidRDefault="00FA7FB8" w:rsidP="00FA7FB8">
      <w:pPr>
        <w:spacing w:line="240" w:lineRule="auto"/>
        <w:ind w:left="567" w:right="680"/>
        <w:rPr>
          <w:rFonts w:eastAsia="Calibri"/>
          <w:sz w:val="20"/>
          <w:szCs w:val="20"/>
          <w:lang w:eastAsia="en-US"/>
        </w:rPr>
      </w:pPr>
      <w:r w:rsidRPr="006701BE">
        <w:rPr>
          <w:rFonts w:eastAsia="Calibri"/>
          <w:sz w:val="20"/>
          <w:szCs w:val="20"/>
          <w:lang w:eastAsia="en-US"/>
        </w:rPr>
        <w:t>For African-American women, the knowledge gained at intersecting oppressions of race, class, and gender provides the stimulus for crafting and passing on the subjugated knowledge of Black women’s critical social theory …</w:t>
      </w:r>
      <w:r w:rsidR="001D6A36" w:rsidRPr="006701BE">
        <w:rPr>
          <w:rFonts w:eastAsia="Calibri"/>
          <w:sz w:val="20"/>
          <w:szCs w:val="20"/>
          <w:lang w:eastAsia="en-US"/>
        </w:rPr>
        <w:t xml:space="preserve"> </w:t>
      </w:r>
      <w:r w:rsidRPr="006701BE">
        <w:rPr>
          <w:rFonts w:eastAsia="Calibri"/>
          <w:sz w:val="20"/>
          <w:szCs w:val="20"/>
          <w:lang w:eastAsia="en-US"/>
        </w:rPr>
        <w:t>Through the lived experiences gained within their extended families and communities, individual African-American women fashioned their own ideas about the meaning of Black womanhood. When these ideas found collective expression, Black women’s self-definitions enabled them to refashion African-influenced conceptions of self and community. These self-definitions of Black womanhood were designed to resist the negative controlling images of Black womanhood advanced by Whites as well as the discriminatory social practices that these controlling images supported. In all, Black women’s participation in crafting a constantly changing African-American culture fostered distinctively Black and womencentred worldviews.</w:t>
      </w:r>
      <w:r w:rsidR="003526D2" w:rsidRPr="006701BE">
        <w:rPr>
          <w:rStyle w:val="FootnoteReference"/>
          <w:rFonts w:eastAsia="Calibri"/>
          <w:sz w:val="20"/>
          <w:szCs w:val="20"/>
          <w:lang w:eastAsia="en-US"/>
        </w:rPr>
        <w:footnoteReference w:id="25"/>
      </w:r>
    </w:p>
    <w:p w14:paraId="52E94E89" w14:textId="77777777" w:rsidR="00FA7FB8" w:rsidRPr="00C554E0" w:rsidRDefault="00FA7FB8" w:rsidP="00FA7FB8">
      <w:pPr>
        <w:rPr>
          <w:rFonts w:eastAsia="Calibri"/>
          <w:szCs w:val="22"/>
          <w:lang w:eastAsia="en-US"/>
        </w:rPr>
      </w:pPr>
    </w:p>
    <w:p w14:paraId="57755BBC" w14:textId="4B16BDFA" w:rsidR="00F270CF" w:rsidRPr="00C554E0" w:rsidRDefault="001357A2" w:rsidP="0099483B">
      <w:pPr>
        <w:ind w:firstLine="720"/>
        <w:rPr>
          <w:rFonts w:eastAsia="Calibri"/>
        </w:rPr>
      </w:pPr>
      <w:r w:rsidRPr="00C554E0">
        <w:rPr>
          <w:bCs/>
          <w:lang w:val="en-US"/>
        </w:rPr>
        <w:t xml:space="preserve">Having sketched the central themes of </w:t>
      </w:r>
      <w:r w:rsidR="00FE64C2" w:rsidRPr="00C554E0">
        <w:rPr>
          <w:bCs/>
          <w:lang w:val="en-US"/>
        </w:rPr>
        <w:t xml:space="preserve">epistemic oppression, </w:t>
      </w:r>
      <w:r w:rsidRPr="00C554E0">
        <w:rPr>
          <w:bCs/>
          <w:lang w:val="en-US"/>
        </w:rPr>
        <w:t>testimonial injustice and hermeneutical injustice, I would now like to turn to the central themes of recognition theory.</w:t>
      </w:r>
    </w:p>
    <w:p w14:paraId="5C7DA051" w14:textId="77777777" w:rsidR="0018098A" w:rsidRPr="00C554E0" w:rsidRDefault="0018098A" w:rsidP="00910F74">
      <w:pPr>
        <w:rPr>
          <w:bCs/>
        </w:rPr>
      </w:pPr>
    </w:p>
    <w:p w14:paraId="1624856E" w14:textId="77777777" w:rsidR="00FA7FB8" w:rsidRPr="00C554E0" w:rsidRDefault="00FA7FB8" w:rsidP="00FA7FB8">
      <w:pPr>
        <w:jc w:val="center"/>
        <w:rPr>
          <w:bCs/>
          <w:lang w:val="en-US"/>
        </w:rPr>
      </w:pPr>
      <w:r w:rsidRPr="00C554E0">
        <w:rPr>
          <w:bCs/>
          <w:lang w:val="en-US"/>
        </w:rPr>
        <w:t>II</w:t>
      </w:r>
    </w:p>
    <w:p w14:paraId="518A1136" w14:textId="5DF702D2" w:rsidR="001144D9" w:rsidRPr="00C554E0" w:rsidRDefault="009D4233" w:rsidP="00FA7FB8">
      <w:pPr>
        <w:rPr>
          <w:bCs/>
          <w:lang w:val="en-US"/>
        </w:rPr>
      </w:pPr>
      <w:r w:rsidRPr="00C554E0">
        <w:rPr>
          <w:rFonts w:eastAsia="Calibri"/>
          <w:bCs/>
          <w:lang w:eastAsia="en-US"/>
        </w:rPr>
        <w:t xml:space="preserve">One of the key developments in </w:t>
      </w:r>
      <w:r w:rsidR="001357A2" w:rsidRPr="00C554E0">
        <w:rPr>
          <w:rFonts w:eastAsia="Calibri"/>
          <w:bCs/>
          <w:lang w:eastAsia="en-US"/>
        </w:rPr>
        <w:t xml:space="preserve">interdisciplinary social </w:t>
      </w:r>
      <w:r w:rsidR="001357A2" w:rsidRPr="00C554E0">
        <w:t>theory</w:t>
      </w:r>
      <w:r w:rsidR="001357A2" w:rsidRPr="00C554E0">
        <w:rPr>
          <w:rFonts w:eastAsia="Calibri"/>
          <w:bCs/>
          <w:lang w:eastAsia="en-US"/>
        </w:rPr>
        <w:t xml:space="preserve"> </w:t>
      </w:r>
      <w:r w:rsidRPr="00C554E0">
        <w:rPr>
          <w:rFonts w:eastAsia="Calibri"/>
          <w:bCs/>
          <w:lang w:eastAsia="en-US"/>
        </w:rPr>
        <w:t xml:space="preserve">over recent decades has been the rise of </w:t>
      </w:r>
      <w:r w:rsidR="00296C9B">
        <w:rPr>
          <w:rFonts w:eastAsia="Calibri"/>
          <w:bCs/>
          <w:lang w:eastAsia="en-US"/>
        </w:rPr>
        <w:t>‘</w:t>
      </w:r>
      <w:r w:rsidRPr="00C554E0">
        <w:rPr>
          <w:rFonts w:eastAsia="Calibri"/>
          <w:bCs/>
          <w:lang w:eastAsia="en-US"/>
        </w:rPr>
        <w:t>diagnostic social philosophy</w:t>
      </w:r>
      <w:r w:rsidR="00296C9B">
        <w:rPr>
          <w:rFonts w:eastAsia="Calibri"/>
          <w:bCs/>
          <w:lang w:eastAsia="en-US"/>
        </w:rPr>
        <w:t>’</w:t>
      </w:r>
      <w:r w:rsidRPr="00C554E0">
        <w:rPr>
          <w:rFonts w:eastAsia="Calibri"/>
          <w:bCs/>
          <w:lang w:eastAsia="en-US"/>
        </w:rPr>
        <w:t xml:space="preserve">. In the words of its leading contemporary exponent, Axel Honneth, such a tradition </w:t>
      </w:r>
      <w:r w:rsidR="00321A09">
        <w:rPr>
          <w:rFonts w:eastAsia="Calibri"/>
          <w:bCs/>
          <w:lang w:eastAsia="en-US"/>
        </w:rPr>
        <w:t>‘</w:t>
      </w:r>
      <w:r w:rsidRPr="00C554E0">
        <w:rPr>
          <w:rFonts w:eastAsia="Calibri"/>
          <w:bCs/>
          <w:lang w:eastAsia="en-US"/>
        </w:rPr>
        <w:t xml:space="preserve">… is primarily concerned with determining and discussing processes of social development that can be viewed as misdevelopments, disorders or </w:t>
      </w:r>
      <w:r w:rsidR="00321A09">
        <w:rPr>
          <w:rFonts w:eastAsia="Calibri"/>
          <w:bCs/>
          <w:lang w:eastAsia="en-US"/>
        </w:rPr>
        <w:t>“</w:t>
      </w:r>
      <w:r w:rsidRPr="00C554E0">
        <w:rPr>
          <w:rFonts w:eastAsia="Calibri"/>
          <w:bCs/>
          <w:lang w:eastAsia="en-US"/>
        </w:rPr>
        <w:t>social pathologies</w:t>
      </w:r>
      <w:r w:rsidR="00321A09">
        <w:rPr>
          <w:rFonts w:eastAsia="Calibri"/>
          <w:bCs/>
          <w:lang w:eastAsia="en-US"/>
        </w:rPr>
        <w:t>”</w:t>
      </w:r>
      <w:r w:rsidRPr="00C554E0">
        <w:rPr>
          <w:rFonts w:eastAsia="Calibri"/>
          <w:bCs/>
          <w:lang w:eastAsia="en-US"/>
        </w:rPr>
        <w:t xml:space="preserve"> … Its primary task is the diagnosis of processes of social development that must be understood as preventing the members of society from living a </w:t>
      </w:r>
      <w:r w:rsidR="00321A09">
        <w:rPr>
          <w:rFonts w:eastAsia="Calibri"/>
          <w:bCs/>
          <w:lang w:eastAsia="en-US"/>
        </w:rPr>
        <w:t>“</w:t>
      </w:r>
      <w:r w:rsidRPr="00C554E0">
        <w:rPr>
          <w:rFonts w:eastAsia="Calibri"/>
          <w:bCs/>
          <w:lang w:eastAsia="en-US"/>
        </w:rPr>
        <w:t>good life</w:t>
      </w:r>
      <w:r w:rsidR="00321A09">
        <w:rPr>
          <w:rFonts w:eastAsia="Calibri"/>
          <w:bCs/>
          <w:lang w:eastAsia="en-US"/>
        </w:rPr>
        <w:t>”’</w:t>
      </w:r>
      <w:r w:rsidRPr="00C554E0">
        <w:rPr>
          <w:rFonts w:eastAsia="Calibri"/>
          <w:bCs/>
          <w:lang w:eastAsia="en-US"/>
        </w:rPr>
        <w:t>.</w:t>
      </w:r>
      <w:r w:rsidR="003526D2">
        <w:rPr>
          <w:rStyle w:val="FootnoteReference"/>
          <w:rFonts w:eastAsia="Calibri"/>
          <w:bCs/>
          <w:lang w:eastAsia="en-US"/>
        </w:rPr>
        <w:footnoteReference w:id="26"/>
      </w:r>
      <w:r w:rsidRPr="00C554E0">
        <w:rPr>
          <w:rFonts w:eastAsia="Calibri"/>
          <w:bCs/>
          <w:lang w:eastAsia="en-US"/>
        </w:rPr>
        <w:t xml:space="preserve"> </w:t>
      </w:r>
    </w:p>
    <w:p w14:paraId="5407CED2" w14:textId="3AFBAF14" w:rsidR="003420E4" w:rsidRPr="00296C9B" w:rsidRDefault="003526D2" w:rsidP="00296C9B">
      <w:pPr>
        <w:ind w:firstLine="720"/>
        <w:rPr>
          <w:rFonts w:eastAsia="Calibri"/>
          <w:bCs/>
          <w:sz w:val="20"/>
          <w:szCs w:val="20"/>
          <w:lang w:eastAsia="en-US"/>
        </w:rPr>
      </w:pPr>
      <w:r w:rsidRPr="003526D2">
        <w:rPr>
          <w:rFonts w:eastAsia="Calibri"/>
          <w:bCs/>
          <w:lang w:eastAsia="en-US"/>
        </w:rPr>
        <w:t xml:space="preserve">For Honneth, the hallmark concept for articulating the formal complexities of social structures, attitudes, and pathologies is </w:t>
      </w:r>
      <w:r w:rsidRPr="003526D2">
        <w:rPr>
          <w:rFonts w:eastAsia="Calibri"/>
          <w:bCs/>
          <w:i/>
          <w:lang w:eastAsia="en-US"/>
        </w:rPr>
        <w:t>intersubjective</w:t>
      </w:r>
      <w:r w:rsidRPr="003526D2">
        <w:rPr>
          <w:rFonts w:eastAsia="Calibri"/>
          <w:bCs/>
          <w:lang w:eastAsia="en-US"/>
        </w:rPr>
        <w:t xml:space="preserve"> </w:t>
      </w:r>
      <w:r w:rsidRPr="003526D2">
        <w:rPr>
          <w:rFonts w:eastAsia="Calibri"/>
          <w:bCs/>
          <w:i/>
          <w:lang w:eastAsia="en-US"/>
        </w:rPr>
        <w:t>recognition</w:t>
      </w:r>
      <w:r w:rsidRPr="003526D2">
        <w:rPr>
          <w:rFonts w:eastAsia="Calibri"/>
          <w:bCs/>
          <w:lang w:eastAsia="en-US"/>
        </w:rPr>
        <w:t xml:space="preserve">, the practice of acknowledging and being acknowledged by others, specifically </w:t>
      </w:r>
      <w:r w:rsidR="00321A09">
        <w:rPr>
          <w:rFonts w:eastAsia="Calibri"/>
          <w:bCs/>
          <w:lang w:eastAsia="en-US"/>
        </w:rPr>
        <w:t>‘</w:t>
      </w:r>
      <w:r w:rsidRPr="003526D2">
        <w:rPr>
          <w:rFonts w:eastAsia="Calibri"/>
          <w:bCs/>
          <w:lang w:eastAsia="en-US"/>
        </w:rPr>
        <w:t>affective approval or encouragement</w:t>
      </w:r>
      <w:r w:rsidR="00321A09">
        <w:rPr>
          <w:rFonts w:eastAsia="Calibri"/>
          <w:bCs/>
          <w:lang w:eastAsia="en-US"/>
        </w:rPr>
        <w:t>’</w:t>
      </w:r>
      <w:r w:rsidR="003420E4">
        <w:rPr>
          <w:rFonts w:eastAsia="Calibri"/>
          <w:bCs/>
          <w:lang w:eastAsia="en-US"/>
        </w:rPr>
        <w:t>.</w:t>
      </w:r>
      <w:r w:rsidRPr="003526D2">
        <w:rPr>
          <w:rFonts w:eastAsia="Calibri"/>
          <w:bCs/>
          <w:vertAlign w:val="superscript"/>
          <w:lang w:eastAsia="en-US"/>
        </w:rPr>
        <w:footnoteReference w:id="27"/>
      </w:r>
      <w:r w:rsidRPr="003526D2">
        <w:rPr>
          <w:rFonts w:eastAsia="Calibri"/>
          <w:bCs/>
          <w:lang w:eastAsia="en-US"/>
        </w:rPr>
        <w:t xml:space="preserve"> </w:t>
      </w:r>
      <w:r w:rsidR="003420E4">
        <w:rPr>
          <w:rFonts w:eastAsia="Calibri"/>
          <w:bCs/>
          <w:lang w:eastAsia="en-US"/>
        </w:rPr>
        <w:t>I</w:t>
      </w:r>
      <w:r w:rsidRPr="003526D2">
        <w:rPr>
          <w:rFonts w:eastAsia="Calibri"/>
          <w:bCs/>
          <w:lang w:eastAsia="en-US"/>
        </w:rPr>
        <w:t xml:space="preserve">n his first major work, </w:t>
      </w:r>
      <w:r w:rsidRPr="003526D2">
        <w:rPr>
          <w:rFonts w:eastAsia="Calibri"/>
          <w:bCs/>
          <w:i/>
          <w:lang w:eastAsia="en-US"/>
        </w:rPr>
        <w:t xml:space="preserve">The Struggle for Recognition </w:t>
      </w:r>
      <w:r w:rsidRPr="003526D2">
        <w:rPr>
          <w:rFonts w:eastAsia="Calibri"/>
          <w:bCs/>
          <w:lang w:eastAsia="en-US"/>
        </w:rPr>
        <w:t>(a combination of Hegel</w:t>
      </w:r>
      <w:r w:rsidR="003420E4">
        <w:rPr>
          <w:rFonts w:eastAsia="Calibri"/>
          <w:bCs/>
          <w:lang w:eastAsia="en-US"/>
        </w:rPr>
        <w:t xml:space="preserve">’s </w:t>
      </w:r>
      <w:r w:rsidR="00296C9B">
        <w:rPr>
          <w:rFonts w:eastAsia="Calibri"/>
          <w:bCs/>
          <w:lang w:eastAsia="en-US"/>
        </w:rPr>
        <w:t xml:space="preserve">early </w:t>
      </w:r>
      <w:r w:rsidR="003420E4">
        <w:rPr>
          <w:rFonts w:eastAsia="Calibri"/>
          <w:bCs/>
          <w:lang w:eastAsia="en-US"/>
        </w:rPr>
        <w:t>Jena writings</w:t>
      </w:r>
      <w:r w:rsidRPr="003526D2">
        <w:rPr>
          <w:rFonts w:eastAsia="Calibri"/>
          <w:bCs/>
          <w:lang w:eastAsia="en-US"/>
        </w:rPr>
        <w:t>, G. H. Mead</w:t>
      </w:r>
      <w:r w:rsidR="003420E4">
        <w:rPr>
          <w:rFonts w:eastAsia="Calibri"/>
          <w:bCs/>
          <w:lang w:eastAsia="en-US"/>
        </w:rPr>
        <w:t>’s social psychology</w:t>
      </w:r>
      <w:r w:rsidRPr="003526D2">
        <w:rPr>
          <w:rFonts w:eastAsia="Calibri"/>
          <w:bCs/>
          <w:lang w:eastAsia="en-US"/>
        </w:rPr>
        <w:t>, and Donald Winnicott</w:t>
      </w:r>
      <w:r w:rsidR="003420E4">
        <w:rPr>
          <w:rFonts w:eastAsia="Calibri"/>
          <w:bCs/>
          <w:lang w:eastAsia="en-US"/>
        </w:rPr>
        <w:t>’s object relations psychoanalysis</w:t>
      </w:r>
      <w:r w:rsidRPr="003526D2">
        <w:rPr>
          <w:rFonts w:eastAsia="Calibri"/>
          <w:bCs/>
          <w:lang w:eastAsia="en-US"/>
        </w:rPr>
        <w:t xml:space="preserve">), Honneth’s underlying claim is that the process of gaining recognition intersubjectively is identical to the journey of self-realisation </w:t>
      </w:r>
      <w:r w:rsidR="00296C9B">
        <w:rPr>
          <w:rFonts w:eastAsia="Calibri"/>
          <w:bCs/>
          <w:i/>
          <w:iCs/>
          <w:lang w:eastAsia="en-US"/>
        </w:rPr>
        <w:t>qua</w:t>
      </w:r>
      <w:r w:rsidRPr="003526D2">
        <w:rPr>
          <w:rFonts w:eastAsia="Calibri"/>
          <w:bCs/>
          <w:lang w:eastAsia="en-US"/>
        </w:rPr>
        <w:t xml:space="preserve"> social and rational agent</w:t>
      </w:r>
      <w:r w:rsidR="003420E4">
        <w:rPr>
          <w:rFonts w:eastAsia="Calibri"/>
          <w:bCs/>
          <w:lang w:eastAsia="en-US"/>
        </w:rPr>
        <w:t>, as</w:t>
      </w:r>
      <w:r w:rsidRPr="003526D2">
        <w:rPr>
          <w:rFonts w:eastAsia="Calibri"/>
          <w:bCs/>
          <w:lang w:eastAsia="en-US"/>
        </w:rPr>
        <w:t xml:space="preserve"> </w:t>
      </w:r>
      <w:r w:rsidR="00321A09">
        <w:rPr>
          <w:rFonts w:eastAsia="Calibri"/>
          <w:bCs/>
          <w:lang w:eastAsia="en-US"/>
        </w:rPr>
        <w:t>‘</w:t>
      </w:r>
      <w:r w:rsidRPr="003526D2">
        <w:rPr>
          <w:rFonts w:eastAsia="Calibri"/>
          <w:bCs/>
          <w:lang w:eastAsia="en-US"/>
        </w:rPr>
        <w:t>practical identity-formation presupposes intersubjective recognition</w:t>
      </w:r>
      <w:r w:rsidR="00321A09">
        <w:rPr>
          <w:rFonts w:eastAsia="Calibri"/>
          <w:bCs/>
          <w:lang w:eastAsia="en-US"/>
        </w:rPr>
        <w:t>’</w:t>
      </w:r>
      <w:r w:rsidRPr="003526D2">
        <w:rPr>
          <w:rFonts w:eastAsia="Calibri"/>
          <w:bCs/>
          <w:lang w:eastAsia="en-US"/>
        </w:rPr>
        <w:t>.</w:t>
      </w:r>
      <w:r w:rsidRPr="003526D2">
        <w:rPr>
          <w:rFonts w:eastAsia="Calibri"/>
          <w:bCs/>
          <w:vertAlign w:val="superscript"/>
          <w:lang w:eastAsia="en-US"/>
        </w:rPr>
        <w:footnoteReference w:id="28"/>
      </w:r>
      <w:r w:rsidR="003420E4" w:rsidRPr="003420E4">
        <w:rPr>
          <w:rFonts w:eastAsiaTheme="minorHAnsi" w:cstheme="minorBidi"/>
          <w:szCs w:val="22"/>
          <w:lang w:eastAsia="en-US"/>
        </w:rPr>
        <w:t xml:space="preserve"> </w:t>
      </w:r>
      <w:r w:rsidR="003420E4">
        <w:rPr>
          <w:rFonts w:eastAsia="Calibri"/>
          <w:bCs/>
          <w:lang w:eastAsia="en-US"/>
        </w:rPr>
        <w:t>T</w:t>
      </w:r>
      <w:r w:rsidR="003420E4" w:rsidRPr="003420E4">
        <w:rPr>
          <w:rFonts w:eastAsia="Calibri"/>
          <w:bCs/>
          <w:lang w:eastAsia="en-US"/>
        </w:rPr>
        <w:t xml:space="preserve">he </w:t>
      </w:r>
      <w:r w:rsidR="00296C9B" w:rsidRPr="00296C9B">
        <w:rPr>
          <w:rFonts w:eastAsia="Calibri"/>
          <w:bCs/>
          <w:iCs/>
          <w:lang w:eastAsia="en-US"/>
        </w:rPr>
        <w:lastRenderedPageBreak/>
        <w:t xml:space="preserve">dynamical process of intersubjective recognition, where intersubjective recognition itself </w:t>
      </w:r>
      <w:r w:rsidR="00296C9B" w:rsidRPr="00296C9B">
        <w:rPr>
          <w:rFonts w:eastAsia="Calibri"/>
          <w:bCs/>
          <w:lang w:eastAsia="en-US"/>
        </w:rPr>
        <w:t xml:space="preserve">presupposes </w:t>
      </w:r>
      <w:r w:rsidR="00296C9B" w:rsidRPr="00296C9B">
        <w:rPr>
          <w:rFonts w:eastAsia="Calibri"/>
          <w:bCs/>
          <w:iCs/>
          <w:lang w:eastAsia="en-US"/>
        </w:rPr>
        <w:t xml:space="preserve">that social identities are inherently vulnerable through-and-through, is mediated by a dialogically structured normative space of reasons – the </w:t>
      </w:r>
      <w:r w:rsidR="00296C9B">
        <w:rPr>
          <w:rFonts w:eastAsia="Calibri"/>
          <w:bCs/>
          <w:iCs/>
          <w:lang w:eastAsia="en-US"/>
        </w:rPr>
        <w:t>‘</w:t>
      </w:r>
      <w:r w:rsidR="00296C9B" w:rsidRPr="00296C9B">
        <w:rPr>
          <w:rFonts w:eastAsia="Calibri"/>
          <w:bCs/>
          <w:iCs/>
          <w:lang w:eastAsia="en-US"/>
        </w:rPr>
        <w:t>network of discursive holdings</w:t>
      </w:r>
      <w:r w:rsidR="00296C9B">
        <w:rPr>
          <w:rFonts w:eastAsia="Calibri"/>
          <w:bCs/>
          <w:iCs/>
          <w:lang w:eastAsia="en-US"/>
        </w:rPr>
        <w:t>’</w:t>
      </w:r>
      <w:r w:rsidR="00296C9B" w:rsidRPr="00296C9B">
        <w:rPr>
          <w:rFonts w:eastAsia="Calibri"/>
          <w:bCs/>
          <w:iCs/>
          <w:lang w:eastAsia="en-US"/>
        </w:rPr>
        <w:t>,</w:t>
      </w:r>
      <w:r w:rsidR="00296C9B" w:rsidRPr="00296C9B">
        <w:rPr>
          <w:rFonts w:eastAsia="Calibri"/>
          <w:bCs/>
          <w:iCs/>
          <w:vertAlign w:val="superscript"/>
          <w:lang w:eastAsia="en-US"/>
        </w:rPr>
        <w:footnoteReference w:id="29"/>
      </w:r>
      <w:r w:rsidR="00296C9B" w:rsidRPr="00296C9B">
        <w:rPr>
          <w:rFonts w:eastAsia="Calibri"/>
          <w:bCs/>
          <w:iCs/>
          <w:lang w:eastAsia="en-US"/>
        </w:rPr>
        <w:t xml:space="preserve"> where, for example, looping-effect</w:t>
      </w:r>
      <w:r w:rsidR="00296C9B" w:rsidRPr="00296C9B">
        <w:rPr>
          <w:rFonts w:eastAsia="Calibri"/>
          <w:bCs/>
          <w:iCs/>
          <w:vertAlign w:val="superscript"/>
          <w:lang w:eastAsia="en-US"/>
        </w:rPr>
        <w:footnoteReference w:id="30"/>
      </w:r>
      <w:r w:rsidR="00296C9B" w:rsidRPr="00296C9B">
        <w:rPr>
          <w:rFonts w:eastAsia="Calibri"/>
          <w:bCs/>
          <w:iCs/>
          <w:lang w:eastAsia="en-US"/>
        </w:rPr>
        <w:t xml:space="preserve"> normative discourse takes place.</w:t>
      </w:r>
    </w:p>
    <w:p w14:paraId="04A8770D" w14:textId="2934A287" w:rsidR="00321A09" w:rsidRDefault="003526D2" w:rsidP="00296C9B">
      <w:pPr>
        <w:ind w:firstLine="720"/>
        <w:rPr>
          <w:rFonts w:eastAsia="Calibri"/>
          <w:bCs/>
          <w:lang w:eastAsia="en-US"/>
        </w:rPr>
      </w:pPr>
      <w:r w:rsidRPr="003526D2">
        <w:rPr>
          <w:rFonts w:eastAsia="Calibri"/>
          <w:bCs/>
          <w:lang w:eastAsia="en-US"/>
        </w:rPr>
        <w:t>Taking inspiration from Hegel’s three forms of intersubjectivity – love, legal relations, and solidarity –</w:t>
      </w:r>
      <w:r w:rsidR="00E50DEE">
        <w:rPr>
          <w:rFonts w:eastAsia="Calibri"/>
          <w:bCs/>
          <w:lang w:eastAsia="en-US"/>
        </w:rPr>
        <w:t xml:space="preserve"> </w:t>
      </w:r>
      <w:r w:rsidRPr="003526D2">
        <w:rPr>
          <w:rFonts w:eastAsia="Calibri"/>
          <w:bCs/>
          <w:lang w:eastAsia="en-US"/>
        </w:rPr>
        <w:t xml:space="preserve">Honneth draws distinctions between three forms of practical self-understanding, namely </w:t>
      </w:r>
      <w:r w:rsidRPr="003526D2">
        <w:rPr>
          <w:rFonts w:eastAsia="Calibri"/>
          <w:bCs/>
          <w:u w:val="single"/>
          <w:lang w:eastAsia="en-US"/>
        </w:rPr>
        <w:t>self-confidence</w:t>
      </w:r>
      <w:r w:rsidRPr="003526D2">
        <w:rPr>
          <w:rFonts w:eastAsia="Calibri"/>
          <w:bCs/>
          <w:lang w:eastAsia="en-US"/>
        </w:rPr>
        <w:t xml:space="preserve">, </w:t>
      </w:r>
      <w:r w:rsidRPr="003526D2">
        <w:rPr>
          <w:rFonts w:eastAsia="Calibri"/>
          <w:bCs/>
          <w:u w:val="single"/>
          <w:lang w:eastAsia="en-US"/>
        </w:rPr>
        <w:t>self-respect</w:t>
      </w:r>
      <w:r w:rsidRPr="003526D2">
        <w:rPr>
          <w:rFonts w:eastAsia="Calibri"/>
          <w:bCs/>
          <w:lang w:eastAsia="en-US"/>
        </w:rPr>
        <w:t xml:space="preserve">, and </w:t>
      </w:r>
      <w:r w:rsidRPr="003526D2">
        <w:rPr>
          <w:rFonts w:eastAsia="Calibri"/>
          <w:bCs/>
          <w:u w:val="single"/>
          <w:lang w:eastAsia="en-US"/>
        </w:rPr>
        <w:t>self-esteem</w:t>
      </w:r>
      <w:r w:rsidRPr="003526D2">
        <w:rPr>
          <w:rFonts w:eastAsia="Calibri"/>
          <w:bCs/>
          <w:lang w:eastAsia="en-US"/>
        </w:rPr>
        <w:t xml:space="preserve">: </w:t>
      </w:r>
      <w:r w:rsidRPr="003526D2">
        <w:rPr>
          <w:rFonts w:eastAsia="Calibri"/>
          <w:bCs/>
          <w:i/>
          <w:lang w:eastAsia="en-US"/>
        </w:rPr>
        <w:t>self-confidence</w:t>
      </w:r>
      <w:r w:rsidRPr="003526D2">
        <w:rPr>
          <w:rFonts w:eastAsia="Calibri"/>
          <w:bCs/>
          <w:lang w:eastAsia="en-US"/>
        </w:rPr>
        <w:t xml:space="preserve"> refers to the basic sense of the stability and continuity of one’s self as a d</w:t>
      </w:r>
      <w:r w:rsidR="00296C9B">
        <w:rPr>
          <w:rFonts w:eastAsia="Calibri"/>
          <w:bCs/>
          <w:lang w:eastAsia="en-US"/>
        </w:rPr>
        <w:t>eterminate</w:t>
      </w:r>
      <w:r w:rsidRPr="003526D2">
        <w:rPr>
          <w:rFonts w:eastAsia="Calibri"/>
          <w:bCs/>
          <w:lang w:eastAsia="en-US"/>
        </w:rPr>
        <w:t xml:space="preserve"> individual with particular needs and emotions that require intersubjective recognition to be meaningfully constituted. </w:t>
      </w:r>
      <w:r w:rsidRPr="003526D2">
        <w:rPr>
          <w:rFonts w:eastAsia="Calibri"/>
          <w:bCs/>
          <w:i/>
          <w:lang w:eastAsia="en-US"/>
        </w:rPr>
        <w:t>Self-respect</w:t>
      </w:r>
      <w:r w:rsidRPr="003526D2">
        <w:rPr>
          <w:rFonts w:eastAsia="Calibri"/>
          <w:bCs/>
          <w:lang w:eastAsia="en-US"/>
        </w:rPr>
        <w:t xml:space="preserve"> comes from being recognised as part of an equal legal community, where being part of a legal community as an equal member under the protection of law </w:t>
      </w:r>
      <w:r w:rsidR="00296C9B">
        <w:rPr>
          <w:rFonts w:eastAsia="Calibri"/>
          <w:bCs/>
          <w:lang w:eastAsia="en-US"/>
        </w:rPr>
        <w:t>provides</w:t>
      </w:r>
      <w:r w:rsidRPr="003526D2">
        <w:rPr>
          <w:rFonts w:eastAsia="Calibri"/>
          <w:bCs/>
          <w:lang w:eastAsia="en-US"/>
        </w:rPr>
        <w:t xml:space="preserve"> social respect. And </w:t>
      </w:r>
      <w:r w:rsidRPr="003526D2">
        <w:rPr>
          <w:rFonts w:eastAsia="Calibri"/>
          <w:bCs/>
          <w:i/>
          <w:lang w:eastAsia="en-US"/>
        </w:rPr>
        <w:t>self-esteem</w:t>
      </w:r>
      <w:r w:rsidRPr="003526D2">
        <w:rPr>
          <w:rFonts w:eastAsia="Calibri"/>
          <w:bCs/>
          <w:lang w:eastAsia="en-US"/>
        </w:rPr>
        <w:t xml:space="preserve"> comes from having one’s traits and accomplishments positively recognised either by fellow members of one’s individual community or</w:t>
      </w:r>
      <w:r>
        <w:rPr>
          <w:rFonts w:eastAsia="Calibri"/>
          <w:bCs/>
          <w:lang w:eastAsia="en-US"/>
        </w:rPr>
        <w:t xml:space="preserve"> by other communities of value.</w:t>
      </w:r>
    </w:p>
    <w:p w14:paraId="3190D360" w14:textId="322305F6" w:rsidR="00587A18" w:rsidRPr="00C554E0" w:rsidRDefault="006226A5" w:rsidP="00321A09">
      <w:pPr>
        <w:ind w:firstLine="720"/>
        <w:rPr>
          <w:rFonts w:eastAsia="Calibri"/>
          <w:bCs/>
          <w:lang w:eastAsia="en-US"/>
        </w:rPr>
      </w:pPr>
      <w:r w:rsidRPr="00C554E0">
        <w:rPr>
          <w:rFonts w:eastAsia="Calibri"/>
          <w:bCs/>
          <w:lang w:eastAsia="en-US"/>
        </w:rPr>
        <w:t xml:space="preserve">Social conflict, then, is understood to arise from how certain groups within a given society experience either </w:t>
      </w:r>
      <w:r w:rsidRPr="00C554E0">
        <w:rPr>
          <w:rFonts w:eastAsia="Calibri"/>
          <w:bCs/>
          <w:i/>
          <w:lang w:eastAsia="en-US"/>
        </w:rPr>
        <w:t>misrecognition</w:t>
      </w:r>
      <w:r w:rsidRPr="00C554E0">
        <w:rPr>
          <w:rFonts w:eastAsia="Calibri"/>
          <w:bCs/>
          <w:lang w:eastAsia="en-US"/>
        </w:rPr>
        <w:t xml:space="preserve"> or </w:t>
      </w:r>
      <w:r w:rsidRPr="00C554E0">
        <w:rPr>
          <w:rFonts w:eastAsia="Calibri"/>
          <w:bCs/>
          <w:i/>
          <w:lang w:eastAsia="en-US"/>
        </w:rPr>
        <w:t>nonrecognition</w:t>
      </w:r>
      <w:r w:rsidRPr="00C554E0">
        <w:rPr>
          <w:rFonts w:eastAsia="Calibri"/>
          <w:bCs/>
          <w:lang w:eastAsia="en-US"/>
        </w:rPr>
        <w:t>: in cases of misrecognition, the recognition order of a society acknowledges a group or minority, but, incorrectly, does not a</w:t>
      </w:r>
      <w:r w:rsidR="00FE2A91" w:rsidRPr="00C554E0">
        <w:rPr>
          <w:rFonts w:eastAsia="Calibri"/>
          <w:bCs/>
          <w:lang w:eastAsia="en-US"/>
        </w:rPr>
        <w:t>cc</w:t>
      </w:r>
      <w:r w:rsidRPr="00C554E0">
        <w:rPr>
          <w:rFonts w:eastAsia="Calibri"/>
          <w:bCs/>
          <w:lang w:eastAsia="en-US"/>
        </w:rPr>
        <w:t xml:space="preserve">ord that particular </w:t>
      </w:r>
      <w:r w:rsidR="00301BD0" w:rsidRPr="00C554E0">
        <w:rPr>
          <w:rFonts w:eastAsia="Calibri"/>
          <w:bCs/>
          <w:lang w:eastAsia="en-US"/>
        </w:rPr>
        <w:t>group or minority</w:t>
      </w:r>
      <w:r w:rsidRPr="00C554E0">
        <w:rPr>
          <w:rFonts w:eastAsia="Calibri"/>
          <w:bCs/>
          <w:lang w:eastAsia="en-US"/>
        </w:rPr>
        <w:t xml:space="preserve"> the </w:t>
      </w:r>
      <w:r w:rsidRPr="00C554E0">
        <w:rPr>
          <w:rFonts w:eastAsia="Calibri"/>
          <w:bCs/>
          <w:i/>
          <w:lang w:eastAsia="en-US"/>
        </w:rPr>
        <w:t xml:space="preserve">same </w:t>
      </w:r>
      <w:r w:rsidRPr="00C554E0">
        <w:rPr>
          <w:rFonts w:eastAsia="Calibri"/>
          <w:bCs/>
          <w:lang w:eastAsia="en-US"/>
        </w:rPr>
        <w:t>level of respect and value as that of the majority. In cases of nonrecognition, the recognition order of a society incorrectly fails to acknowledge the subjectivity of a group or minority, incorrectly a</w:t>
      </w:r>
      <w:r w:rsidR="00FE2A91" w:rsidRPr="00C554E0">
        <w:rPr>
          <w:rFonts w:eastAsia="Calibri"/>
          <w:bCs/>
          <w:lang w:eastAsia="en-US"/>
        </w:rPr>
        <w:t>cc</w:t>
      </w:r>
      <w:r w:rsidRPr="00C554E0">
        <w:rPr>
          <w:rFonts w:eastAsia="Calibri"/>
          <w:bCs/>
          <w:lang w:eastAsia="en-US"/>
        </w:rPr>
        <w:t xml:space="preserve">ording that group or minority </w:t>
      </w:r>
      <w:r w:rsidRPr="00C554E0">
        <w:rPr>
          <w:rFonts w:eastAsia="Calibri"/>
          <w:bCs/>
          <w:i/>
          <w:lang w:eastAsia="en-US"/>
        </w:rPr>
        <w:t xml:space="preserve">no </w:t>
      </w:r>
      <w:r w:rsidRPr="00C554E0">
        <w:rPr>
          <w:rFonts w:eastAsia="Calibri"/>
          <w:bCs/>
          <w:lang w:eastAsia="en-US"/>
        </w:rPr>
        <w:t>po</w:t>
      </w:r>
      <w:r w:rsidR="00587A18" w:rsidRPr="00C554E0">
        <w:rPr>
          <w:rFonts w:eastAsia="Calibri"/>
          <w:bCs/>
          <w:lang w:eastAsia="en-US"/>
        </w:rPr>
        <w:t>sitive normative status at all.</w:t>
      </w:r>
      <w:r w:rsidR="00301BD0" w:rsidRPr="00C554E0">
        <w:rPr>
          <w:rFonts w:eastAsia="Calibri"/>
          <w:bCs/>
          <w:lang w:eastAsia="en-US"/>
        </w:rPr>
        <w:t xml:space="preserve"> </w:t>
      </w:r>
    </w:p>
    <w:p w14:paraId="1C09CAEA" w14:textId="06EF1141" w:rsidR="006226A5" w:rsidRPr="00C554E0" w:rsidRDefault="006226A5" w:rsidP="001E0CC0">
      <w:pPr>
        <w:ind w:firstLine="720"/>
        <w:rPr>
          <w:rFonts w:eastAsia="Calibri"/>
          <w:bCs/>
          <w:lang w:eastAsia="en-US"/>
        </w:rPr>
      </w:pPr>
      <w:r w:rsidRPr="00C554E0">
        <w:rPr>
          <w:rFonts w:eastAsia="Calibri"/>
          <w:bCs/>
          <w:lang w:eastAsia="en-US"/>
        </w:rPr>
        <w:t xml:space="preserve">Both misrecognition and nonrecognition are severely detrimental to </w:t>
      </w:r>
      <w:r w:rsidR="00301BD0" w:rsidRPr="00C554E0">
        <w:rPr>
          <w:rFonts w:eastAsia="Calibri"/>
          <w:bCs/>
          <w:lang w:eastAsia="en-US"/>
        </w:rPr>
        <w:t xml:space="preserve">psychological and moral </w:t>
      </w:r>
      <w:r w:rsidRPr="00C554E0">
        <w:rPr>
          <w:rFonts w:eastAsia="Calibri"/>
          <w:bCs/>
          <w:lang w:eastAsia="en-US"/>
        </w:rPr>
        <w:t xml:space="preserve">development, since they are not forms of </w:t>
      </w:r>
      <w:r w:rsidRPr="00C554E0">
        <w:rPr>
          <w:rFonts w:eastAsia="Calibri"/>
          <w:bCs/>
          <w:i/>
          <w:lang w:eastAsia="en-US"/>
        </w:rPr>
        <w:t>intersubjective recognition</w:t>
      </w:r>
      <w:r w:rsidRPr="00C554E0">
        <w:rPr>
          <w:rFonts w:eastAsia="Calibri"/>
          <w:bCs/>
          <w:lang w:eastAsia="en-US"/>
        </w:rPr>
        <w:t xml:space="preserve">: </w:t>
      </w:r>
      <w:r w:rsidR="00321A09">
        <w:rPr>
          <w:rFonts w:eastAsia="Calibri"/>
          <w:bCs/>
          <w:lang w:eastAsia="en-US"/>
        </w:rPr>
        <w:t>‘</w:t>
      </w:r>
      <w:r w:rsidRPr="00C554E0">
        <w:rPr>
          <w:rFonts w:eastAsia="Calibri"/>
          <w:bCs/>
          <w:lang w:eastAsia="en-US"/>
        </w:rPr>
        <w:t>[t]</w:t>
      </w:r>
      <w:proofErr w:type="spellStart"/>
      <w:r w:rsidRPr="00C554E0">
        <w:rPr>
          <w:rFonts w:eastAsia="Calibri"/>
          <w:bCs/>
          <w:lang w:eastAsia="en-US"/>
        </w:rPr>
        <w:t>hrough</w:t>
      </w:r>
      <w:proofErr w:type="spellEnd"/>
      <w:r w:rsidRPr="00C554E0">
        <w:rPr>
          <w:rFonts w:eastAsia="Calibri"/>
          <w:bCs/>
          <w:lang w:eastAsia="en-US"/>
        </w:rPr>
        <w:t xml:space="preserve"> intersubjective recognition, [one] is engaged in the process of self-realisation with respect to [one’s] practical relation-to-self</w:t>
      </w:r>
      <w:r w:rsidR="00321A09">
        <w:rPr>
          <w:rFonts w:eastAsia="Calibri"/>
          <w:bCs/>
          <w:lang w:eastAsia="en-US"/>
        </w:rPr>
        <w:t>’</w:t>
      </w:r>
      <w:r w:rsidRPr="00C554E0">
        <w:rPr>
          <w:rFonts w:eastAsia="Calibri"/>
          <w:bCs/>
          <w:lang w:eastAsia="en-US"/>
        </w:rPr>
        <w:t>,</w:t>
      </w:r>
      <w:r w:rsidR="003526D2">
        <w:rPr>
          <w:rStyle w:val="FootnoteReference"/>
          <w:rFonts w:eastAsia="Calibri"/>
          <w:bCs/>
          <w:lang w:eastAsia="en-US"/>
        </w:rPr>
        <w:footnoteReference w:id="31"/>
      </w:r>
      <w:r w:rsidRPr="00C554E0">
        <w:rPr>
          <w:rFonts w:eastAsia="Calibri"/>
          <w:bCs/>
          <w:lang w:eastAsia="en-US"/>
        </w:rPr>
        <w:t xml:space="preserve"> to the extent that the self-realisation of any individual can only be achieved in a progressive social enviro</w:t>
      </w:r>
      <w:r w:rsidR="00301BD0" w:rsidRPr="00C554E0">
        <w:rPr>
          <w:rFonts w:eastAsia="Calibri"/>
          <w:bCs/>
          <w:lang w:eastAsia="en-US"/>
        </w:rPr>
        <w:t>nment. Since human beings are intersubjectively vulnerable</w:t>
      </w:r>
      <w:r w:rsidR="00587A18" w:rsidRPr="00C554E0">
        <w:rPr>
          <w:rFonts w:eastAsia="Calibri"/>
          <w:bCs/>
          <w:lang w:eastAsia="en-US"/>
        </w:rPr>
        <w:t>,</w:t>
      </w:r>
      <w:r w:rsidRPr="00C554E0">
        <w:rPr>
          <w:rFonts w:eastAsia="Calibri"/>
          <w:bCs/>
          <w:lang w:eastAsia="en-US"/>
        </w:rPr>
        <w:t xml:space="preserve"> </w:t>
      </w:r>
      <w:r w:rsidR="00321A09">
        <w:rPr>
          <w:rFonts w:eastAsia="Calibri"/>
          <w:bCs/>
          <w:lang w:eastAsia="en-US"/>
        </w:rPr>
        <w:t>‘</w:t>
      </w:r>
      <w:r w:rsidRPr="00C554E0">
        <w:rPr>
          <w:rFonts w:eastAsia="Calibri"/>
          <w:bCs/>
          <w:lang w:eastAsia="en-US"/>
        </w:rPr>
        <w:t xml:space="preserve">[t]o </w:t>
      </w:r>
      <w:proofErr w:type="gramStart"/>
      <w:r w:rsidRPr="00C554E0">
        <w:rPr>
          <w:rFonts w:eastAsia="Calibri"/>
          <w:bCs/>
          <w:lang w:eastAsia="en-US"/>
        </w:rPr>
        <w:t>miss</w:t>
      </w:r>
      <w:proofErr w:type="gramEnd"/>
      <w:r w:rsidRPr="00C554E0">
        <w:rPr>
          <w:rFonts w:eastAsia="Calibri"/>
          <w:bCs/>
          <w:lang w:eastAsia="en-US"/>
        </w:rPr>
        <w:t xml:space="preserve"> out </w:t>
      </w:r>
      <w:r w:rsidR="00F57FD4">
        <w:rPr>
          <w:rFonts w:eastAsia="Calibri"/>
          <w:bCs/>
          <w:lang w:eastAsia="en-US"/>
        </w:rPr>
        <w:t xml:space="preserve">… </w:t>
      </w:r>
      <w:r w:rsidRPr="00C554E0">
        <w:rPr>
          <w:rFonts w:eastAsia="Calibri"/>
          <w:bCs/>
          <w:lang w:eastAsia="en-US"/>
        </w:rPr>
        <w:t>is to be deprived of one of the basic ways of being a self and hence to suffer a</w:t>
      </w:r>
      <w:r w:rsidR="00301BD0" w:rsidRPr="00C554E0">
        <w:rPr>
          <w:rFonts w:eastAsia="Calibri"/>
          <w:bCs/>
          <w:lang w:eastAsia="en-US"/>
        </w:rPr>
        <w:t>n impoverishment of one’s life</w:t>
      </w:r>
      <w:r w:rsidR="00321A09">
        <w:rPr>
          <w:rFonts w:eastAsia="Calibri"/>
          <w:bCs/>
          <w:lang w:eastAsia="en-US"/>
        </w:rPr>
        <w:t>’</w:t>
      </w:r>
      <w:r w:rsidR="00301BD0" w:rsidRPr="00C554E0">
        <w:rPr>
          <w:rFonts w:eastAsia="Calibri"/>
          <w:bCs/>
          <w:lang w:eastAsia="en-US"/>
        </w:rPr>
        <w:t>,</w:t>
      </w:r>
      <w:r w:rsidR="003526D2">
        <w:rPr>
          <w:rStyle w:val="FootnoteReference"/>
          <w:rFonts w:eastAsia="Calibri"/>
          <w:bCs/>
          <w:lang w:eastAsia="en-US"/>
        </w:rPr>
        <w:footnoteReference w:id="32"/>
      </w:r>
      <w:r w:rsidR="00301BD0" w:rsidRPr="00C554E0">
        <w:rPr>
          <w:rFonts w:eastAsia="Calibri"/>
          <w:bCs/>
          <w:lang w:eastAsia="en-US"/>
        </w:rPr>
        <w:t xml:space="preserve"> to quote Frederick Neuhouser. </w:t>
      </w:r>
      <w:r w:rsidR="00B44349" w:rsidRPr="00C554E0">
        <w:rPr>
          <w:rFonts w:eastAsia="Calibri"/>
          <w:bCs/>
          <w:lang w:eastAsia="en-US"/>
        </w:rPr>
        <w:t>T</w:t>
      </w:r>
      <w:r w:rsidR="00AB12C7" w:rsidRPr="00C554E0">
        <w:rPr>
          <w:rFonts w:eastAsia="Calibri"/>
          <w:bCs/>
          <w:lang w:eastAsia="en-US"/>
        </w:rPr>
        <w:t>h</w:t>
      </w:r>
      <w:r w:rsidR="00B44349" w:rsidRPr="00C554E0">
        <w:rPr>
          <w:rFonts w:eastAsia="Calibri"/>
          <w:bCs/>
          <w:lang w:eastAsia="en-US"/>
        </w:rPr>
        <w:t xml:space="preserve">e following from </w:t>
      </w:r>
      <w:r w:rsidR="00AB12C7" w:rsidRPr="00C554E0">
        <w:rPr>
          <w:rFonts w:eastAsia="Calibri"/>
          <w:bCs/>
          <w:lang w:eastAsia="en-US"/>
        </w:rPr>
        <w:t>Robert Sinnerbrink</w:t>
      </w:r>
      <w:r w:rsidR="00B44349" w:rsidRPr="00C554E0">
        <w:rPr>
          <w:rFonts w:eastAsia="Calibri"/>
          <w:bCs/>
          <w:lang w:eastAsia="en-US"/>
        </w:rPr>
        <w:t xml:space="preserve"> also captures this </w:t>
      </w:r>
      <w:r w:rsidR="00542732" w:rsidRPr="00C554E0">
        <w:rPr>
          <w:rFonts w:eastAsia="Calibri"/>
          <w:bCs/>
          <w:lang w:eastAsia="en-US"/>
        </w:rPr>
        <w:t xml:space="preserve">developmental </w:t>
      </w:r>
      <w:r w:rsidR="00B44349" w:rsidRPr="00C554E0">
        <w:rPr>
          <w:rFonts w:eastAsia="Calibri"/>
          <w:bCs/>
          <w:lang w:eastAsia="en-US"/>
        </w:rPr>
        <w:t xml:space="preserve">point </w:t>
      </w:r>
      <w:r w:rsidR="00542732" w:rsidRPr="00C554E0">
        <w:rPr>
          <w:rFonts w:eastAsia="Calibri"/>
          <w:bCs/>
          <w:lang w:eastAsia="en-US"/>
        </w:rPr>
        <w:t xml:space="preserve">particularly </w:t>
      </w:r>
      <w:r w:rsidR="00B44349" w:rsidRPr="00C554E0">
        <w:rPr>
          <w:rFonts w:eastAsia="Calibri"/>
          <w:bCs/>
          <w:lang w:eastAsia="en-US"/>
        </w:rPr>
        <w:t>well:</w:t>
      </w:r>
      <w:r w:rsidR="00AB12C7" w:rsidRPr="00C554E0">
        <w:rPr>
          <w:rFonts w:eastAsia="Calibri"/>
          <w:bCs/>
          <w:lang w:eastAsia="en-US"/>
        </w:rPr>
        <w:t xml:space="preserve"> </w:t>
      </w:r>
      <w:r w:rsidR="00321A09">
        <w:rPr>
          <w:rFonts w:eastAsia="Calibri"/>
          <w:bCs/>
          <w:lang w:eastAsia="en-US"/>
        </w:rPr>
        <w:t>‘</w:t>
      </w:r>
      <w:r w:rsidR="00B44349" w:rsidRPr="00C554E0">
        <w:rPr>
          <w:rFonts w:eastAsia="Calibri"/>
          <w:bCs/>
          <w:lang w:eastAsia="en-US"/>
        </w:rPr>
        <w:t>[t]</w:t>
      </w:r>
      <w:r w:rsidR="00AB12C7" w:rsidRPr="00C554E0">
        <w:rPr>
          <w:rFonts w:eastAsia="Calibri"/>
          <w:bCs/>
          <w:lang w:eastAsia="en-US"/>
        </w:rPr>
        <w:t xml:space="preserve">he effects of social misrecognition involve not only distorted forms of communication but the real corporeal </w:t>
      </w:r>
      <w:r w:rsidR="00AB12C7" w:rsidRPr="00C554E0">
        <w:rPr>
          <w:rFonts w:eastAsia="Calibri"/>
          <w:bCs/>
          <w:lang w:eastAsia="en-US"/>
        </w:rPr>
        <w:lastRenderedPageBreak/>
        <w:t>experience of suffering; this remains a fundamental experience essential to any account of misrecognition as a moral injury to the integrity, and hence freedom and dignity, of the autonomous subject</w:t>
      </w:r>
      <w:r w:rsidR="00321A09">
        <w:rPr>
          <w:rFonts w:eastAsia="Calibri"/>
          <w:bCs/>
          <w:lang w:eastAsia="en-US"/>
        </w:rPr>
        <w:t>’</w:t>
      </w:r>
      <w:r w:rsidR="00AB12C7" w:rsidRPr="00C554E0">
        <w:rPr>
          <w:rFonts w:eastAsia="Calibri"/>
          <w:bCs/>
          <w:lang w:eastAsia="en-US"/>
        </w:rPr>
        <w:t>.</w:t>
      </w:r>
      <w:r w:rsidR="003526D2">
        <w:rPr>
          <w:rStyle w:val="FootnoteReference"/>
          <w:rFonts w:eastAsia="Calibri"/>
          <w:bCs/>
          <w:lang w:eastAsia="en-US"/>
        </w:rPr>
        <w:footnoteReference w:id="33"/>
      </w:r>
    </w:p>
    <w:p w14:paraId="067918BE" w14:textId="51EEBAA3" w:rsidR="00D37196" w:rsidRDefault="003526D2" w:rsidP="00D37196">
      <w:pPr>
        <w:ind w:firstLine="720"/>
        <w:rPr>
          <w:rFonts w:eastAsia="Calibri"/>
          <w:bCs/>
          <w:lang w:eastAsia="en-US"/>
        </w:rPr>
      </w:pPr>
      <w:r w:rsidRPr="003526D2">
        <w:rPr>
          <w:rFonts w:eastAsia="Calibri"/>
          <w:bCs/>
          <w:lang w:eastAsia="en-US"/>
        </w:rPr>
        <w:t xml:space="preserve">By </w:t>
      </w:r>
      <w:r w:rsidRPr="003526D2">
        <w:rPr>
          <w:rFonts w:eastAsia="Calibri"/>
          <w:bCs/>
          <w:lang w:val="en-US" w:eastAsia="en-US"/>
        </w:rPr>
        <w:t>explicating</w:t>
      </w:r>
      <w:r w:rsidRPr="003526D2">
        <w:rPr>
          <w:rFonts w:eastAsia="Calibri"/>
          <w:bCs/>
          <w:lang w:eastAsia="en-US"/>
        </w:rPr>
        <w:t xml:space="preserve"> the recognition order of a society </w:t>
      </w:r>
      <w:r w:rsidRPr="003526D2">
        <w:rPr>
          <w:rFonts w:eastAsia="Calibri"/>
          <w:bCs/>
          <w:lang w:val="en-US" w:eastAsia="en-US"/>
        </w:rPr>
        <w:t>through</w:t>
      </w:r>
      <w:r w:rsidRPr="003526D2">
        <w:rPr>
          <w:rFonts w:eastAsia="Calibri"/>
          <w:bCs/>
          <w:lang w:eastAsia="en-US"/>
        </w:rPr>
        <w:t xml:space="preserve"> uncovering the moral grammar of that society, one </w:t>
      </w:r>
      <w:r w:rsidR="003420E4">
        <w:rPr>
          <w:rFonts w:eastAsia="Calibri"/>
          <w:bCs/>
          <w:lang w:eastAsia="en-US"/>
        </w:rPr>
        <w:t>can</w:t>
      </w:r>
      <w:r w:rsidRPr="003526D2">
        <w:rPr>
          <w:rFonts w:eastAsia="Calibri"/>
          <w:bCs/>
          <w:lang w:eastAsia="en-US"/>
        </w:rPr>
        <w:t xml:space="preserve"> </w:t>
      </w:r>
      <w:r w:rsidRPr="003526D2">
        <w:rPr>
          <w:rFonts w:eastAsia="Calibri"/>
          <w:bCs/>
          <w:i/>
          <w:lang w:eastAsia="en-US"/>
        </w:rPr>
        <w:t>reveal the moral and social commitments</w:t>
      </w:r>
      <w:r w:rsidRPr="003526D2">
        <w:rPr>
          <w:rFonts w:eastAsia="Calibri"/>
          <w:bCs/>
          <w:lang w:eastAsia="en-US"/>
        </w:rPr>
        <w:t xml:space="preserve"> governing how members interact with one another. This aims to practically aid emancipation by realising the immanent emancipatory potential found in contemporary </w:t>
      </w:r>
      <w:r w:rsidRPr="003526D2">
        <w:rPr>
          <w:rFonts w:eastAsia="Calibri"/>
          <w:bCs/>
          <w:lang w:val="en-US" w:eastAsia="en-US"/>
        </w:rPr>
        <w:t>social structures and social attitudes</w:t>
      </w:r>
      <w:r w:rsidRPr="003526D2">
        <w:rPr>
          <w:rFonts w:eastAsia="Calibri"/>
          <w:bCs/>
          <w:lang w:eastAsia="en-US"/>
        </w:rPr>
        <w:t>, in order to transcend the current intersubjective framework to realise full human freedom.</w:t>
      </w:r>
      <w:r>
        <w:rPr>
          <w:rFonts w:eastAsia="Calibri"/>
          <w:bCs/>
          <w:lang w:eastAsia="en-US"/>
        </w:rPr>
        <w:t xml:space="preserve"> </w:t>
      </w:r>
    </w:p>
    <w:p w14:paraId="055E366A" w14:textId="77777777" w:rsidR="003526D2" w:rsidRPr="00C554E0" w:rsidRDefault="003526D2" w:rsidP="003526D2">
      <w:pPr>
        <w:rPr>
          <w:rFonts w:eastAsia="Calibri"/>
          <w:bCs/>
          <w:lang w:eastAsia="en-US"/>
        </w:rPr>
      </w:pPr>
    </w:p>
    <w:p w14:paraId="1C6EF310" w14:textId="6D16963A" w:rsidR="00587A18" w:rsidRPr="00C554E0" w:rsidRDefault="00587A18" w:rsidP="00587A18">
      <w:pPr>
        <w:jc w:val="center"/>
        <w:rPr>
          <w:bCs/>
          <w:lang w:val="en-US"/>
        </w:rPr>
      </w:pPr>
      <w:r w:rsidRPr="00C554E0">
        <w:rPr>
          <w:bCs/>
          <w:lang w:val="en-US"/>
        </w:rPr>
        <w:t>III</w:t>
      </w:r>
    </w:p>
    <w:p w14:paraId="155AB897" w14:textId="08C0951E" w:rsidR="00301BD0" w:rsidRPr="00C554E0" w:rsidRDefault="00D75DCB" w:rsidP="00D74699">
      <w:pPr>
        <w:rPr>
          <w:bCs/>
          <w:lang w:val="en-US"/>
        </w:rPr>
      </w:pPr>
      <w:r w:rsidRPr="00C554E0">
        <w:rPr>
          <w:bCs/>
          <w:lang w:val="en-US"/>
        </w:rPr>
        <w:t xml:space="preserve">Recognition theory on the one hand, and contemporary work by </w:t>
      </w:r>
      <w:r w:rsidR="00296C9B" w:rsidRPr="00296C9B">
        <w:rPr>
          <w:bCs/>
          <w:lang w:val="en-US"/>
        </w:rPr>
        <w:t>intersectional feminist epistemologists</w:t>
      </w:r>
      <w:r w:rsidRPr="00C554E0">
        <w:rPr>
          <w:bCs/>
          <w:lang w:val="en-US"/>
        </w:rPr>
        <w:t xml:space="preserve"> on the other, have </w:t>
      </w:r>
      <w:r w:rsidR="00FE2A91" w:rsidRPr="00C554E0">
        <w:rPr>
          <w:bCs/>
          <w:lang w:val="en-US"/>
        </w:rPr>
        <w:t xml:space="preserve">largely </w:t>
      </w:r>
      <w:r w:rsidRPr="00C554E0">
        <w:rPr>
          <w:bCs/>
          <w:lang w:val="en-US"/>
        </w:rPr>
        <w:t>developed separately from one another, notwithstanding significant points of overlap</w:t>
      </w:r>
      <w:r w:rsidR="002C5A48" w:rsidRPr="00C554E0">
        <w:rPr>
          <w:bCs/>
          <w:lang w:val="en-US"/>
        </w:rPr>
        <w:t>.</w:t>
      </w:r>
      <w:r w:rsidR="003526D2">
        <w:rPr>
          <w:rStyle w:val="FootnoteReference"/>
          <w:bCs/>
          <w:lang w:val="en-US"/>
        </w:rPr>
        <w:footnoteReference w:id="34"/>
      </w:r>
      <w:r w:rsidRPr="00C554E0">
        <w:rPr>
          <w:bCs/>
          <w:lang w:val="en-US"/>
        </w:rPr>
        <w:t xml:space="preserve"> Yet these fields of discussion have considerable bearing on one another.</w:t>
      </w:r>
      <w:r w:rsidR="00D74699" w:rsidRPr="00C554E0">
        <w:rPr>
          <w:bCs/>
          <w:lang w:val="en-US"/>
        </w:rPr>
        <w:t xml:space="preserve"> </w:t>
      </w:r>
      <w:r w:rsidR="00587A18" w:rsidRPr="00C554E0">
        <w:rPr>
          <w:lang w:val="en-US"/>
        </w:rPr>
        <w:t xml:space="preserve">From a recognition theory perspective, </w:t>
      </w:r>
      <w:r w:rsidR="00222722" w:rsidRPr="00C554E0">
        <w:t xml:space="preserve">I think </w:t>
      </w:r>
      <w:r w:rsidR="001E0CC0" w:rsidRPr="00C554E0">
        <w:t xml:space="preserve">epistemic oppression and </w:t>
      </w:r>
      <w:r w:rsidR="009A129F" w:rsidRPr="00C554E0">
        <w:rPr>
          <w:bCs/>
        </w:rPr>
        <w:t>t</w:t>
      </w:r>
      <w:r w:rsidR="00587A18" w:rsidRPr="00C554E0">
        <w:rPr>
          <w:bCs/>
        </w:rPr>
        <w:t>estimonial injustice</w:t>
      </w:r>
      <w:r w:rsidR="00587A18" w:rsidRPr="00C554E0">
        <w:t xml:space="preserve"> </w:t>
      </w:r>
      <w:r w:rsidR="001E0CC0" w:rsidRPr="00C554E0">
        <w:rPr>
          <w:bCs/>
        </w:rPr>
        <w:t xml:space="preserve">are </w:t>
      </w:r>
      <w:r w:rsidR="00587A18" w:rsidRPr="00C554E0">
        <w:rPr>
          <w:bCs/>
        </w:rPr>
        <w:t xml:space="preserve">particularly harrowing, because </w:t>
      </w:r>
      <w:r w:rsidR="001E0CC0" w:rsidRPr="00C554E0">
        <w:rPr>
          <w:bCs/>
        </w:rPr>
        <w:t>such practices rob</w:t>
      </w:r>
      <w:r w:rsidR="00587A18" w:rsidRPr="00C554E0">
        <w:rPr>
          <w:bCs/>
        </w:rPr>
        <w:t xml:space="preserve"> a group or individual of their status as </w:t>
      </w:r>
      <w:r w:rsidR="00587A18" w:rsidRPr="00C554E0">
        <w:rPr>
          <w:bCs/>
          <w:i/>
        </w:rPr>
        <w:t xml:space="preserve">rational </w:t>
      </w:r>
      <w:r w:rsidR="00E53960" w:rsidRPr="00C554E0">
        <w:rPr>
          <w:bCs/>
          <w:i/>
        </w:rPr>
        <w:t>i</w:t>
      </w:r>
      <w:r w:rsidR="00587A18" w:rsidRPr="00C554E0">
        <w:rPr>
          <w:bCs/>
          <w:i/>
        </w:rPr>
        <w:t>nquirer</w:t>
      </w:r>
      <w:r w:rsidR="00C00BA5">
        <w:rPr>
          <w:bCs/>
          <w:i/>
        </w:rPr>
        <w:t>s</w:t>
      </w:r>
      <w:r w:rsidR="00587A18" w:rsidRPr="00C554E0">
        <w:rPr>
          <w:bCs/>
        </w:rPr>
        <w:t xml:space="preserve">, thereby creating an asymmetrical cognitive environment in which they are not deemed one’s conversational </w:t>
      </w:r>
      <w:r w:rsidR="003D4999" w:rsidRPr="00C554E0">
        <w:rPr>
          <w:bCs/>
        </w:rPr>
        <w:t xml:space="preserve">peer. To see how this works, it would be particularly helpful to articulate an analogy between </w:t>
      </w:r>
      <w:r w:rsidR="00301BD0" w:rsidRPr="00C554E0">
        <w:rPr>
          <w:bCs/>
        </w:rPr>
        <w:t>(</w:t>
      </w:r>
      <w:proofErr w:type="spellStart"/>
      <w:r w:rsidR="00301BD0" w:rsidRPr="00C554E0">
        <w:rPr>
          <w:bCs/>
        </w:rPr>
        <w:t>i</w:t>
      </w:r>
      <w:proofErr w:type="spellEnd"/>
      <w:r w:rsidR="00301BD0" w:rsidRPr="00C554E0">
        <w:rPr>
          <w:bCs/>
        </w:rPr>
        <w:t xml:space="preserve">) </w:t>
      </w:r>
      <w:r w:rsidR="003D4999" w:rsidRPr="00C554E0">
        <w:rPr>
          <w:bCs/>
        </w:rPr>
        <w:t xml:space="preserve">Honneth’s </w:t>
      </w:r>
      <w:r w:rsidR="001E0CC0" w:rsidRPr="00C554E0">
        <w:rPr>
          <w:bCs/>
        </w:rPr>
        <w:t xml:space="preserve">own </w:t>
      </w:r>
      <w:r w:rsidR="00FE2A91" w:rsidRPr="00C554E0">
        <w:rPr>
          <w:bCs/>
        </w:rPr>
        <w:t xml:space="preserve">Scarry-influenced </w:t>
      </w:r>
      <w:r w:rsidR="003D4999" w:rsidRPr="00C554E0">
        <w:rPr>
          <w:bCs/>
        </w:rPr>
        <w:t xml:space="preserve">account of how </w:t>
      </w:r>
      <w:r w:rsidR="007727F6" w:rsidRPr="00C554E0">
        <w:rPr>
          <w:bCs/>
        </w:rPr>
        <w:t xml:space="preserve">torture and rape </w:t>
      </w:r>
      <w:r w:rsidR="003D4999" w:rsidRPr="00C554E0">
        <w:rPr>
          <w:bCs/>
        </w:rPr>
        <w:t>constitute denials of self-confidence</w:t>
      </w:r>
      <w:r w:rsidR="00301BD0" w:rsidRPr="00C554E0">
        <w:rPr>
          <w:bCs/>
        </w:rPr>
        <w:t>,</w:t>
      </w:r>
      <w:r w:rsidR="003D4999" w:rsidRPr="00C554E0">
        <w:rPr>
          <w:bCs/>
        </w:rPr>
        <w:t xml:space="preserve"> and </w:t>
      </w:r>
      <w:r w:rsidR="00301BD0" w:rsidRPr="00C554E0">
        <w:rPr>
          <w:bCs/>
        </w:rPr>
        <w:t xml:space="preserve">(ii) </w:t>
      </w:r>
      <w:r w:rsidR="003D4999" w:rsidRPr="00C554E0">
        <w:rPr>
          <w:bCs/>
        </w:rPr>
        <w:t xml:space="preserve">a recognition account of </w:t>
      </w:r>
      <w:r w:rsidR="001E0CC0" w:rsidRPr="00C554E0">
        <w:rPr>
          <w:bCs/>
        </w:rPr>
        <w:t xml:space="preserve">epistemic oppression and </w:t>
      </w:r>
      <w:r w:rsidR="003D4999" w:rsidRPr="00C554E0">
        <w:rPr>
          <w:bCs/>
        </w:rPr>
        <w:t>testimonial injustice</w:t>
      </w:r>
      <w:r w:rsidR="00301BD0" w:rsidRPr="00C554E0">
        <w:rPr>
          <w:bCs/>
        </w:rPr>
        <w:t>.</w:t>
      </w:r>
    </w:p>
    <w:p w14:paraId="36E7A764" w14:textId="20E3E7DB" w:rsidR="00587A18" w:rsidRPr="00C554E0" w:rsidRDefault="00F57FD4" w:rsidP="001E0CC0">
      <w:pPr>
        <w:ind w:firstLine="567"/>
        <w:rPr>
          <w:rFonts w:eastAsia="Calibri"/>
          <w:bCs/>
          <w:lang w:eastAsia="en-US"/>
        </w:rPr>
      </w:pPr>
      <w:r>
        <w:rPr>
          <w:bCs/>
        </w:rPr>
        <w:t xml:space="preserve">According to </w:t>
      </w:r>
      <w:r w:rsidR="003D4999" w:rsidRPr="00C554E0">
        <w:rPr>
          <w:bCs/>
        </w:rPr>
        <w:t>Honneth, the trauma inflicted by</w:t>
      </w:r>
      <w:r w:rsidR="00F05B15" w:rsidRPr="00C554E0">
        <w:rPr>
          <w:rFonts w:eastAsia="Calibri"/>
          <w:bCs/>
          <w:sz w:val="22"/>
          <w:szCs w:val="22"/>
          <w:lang w:eastAsia="en-US"/>
        </w:rPr>
        <w:t xml:space="preserve"> </w:t>
      </w:r>
      <w:r w:rsidR="00F05B15" w:rsidRPr="00C554E0">
        <w:rPr>
          <w:bCs/>
        </w:rPr>
        <w:t>torture and</w:t>
      </w:r>
      <w:r w:rsidR="003D4999" w:rsidRPr="00C554E0">
        <w:rPr>
          <w:bCs/>
        </w:rPr>
        <w:t xml:space="preserve"> rape </w:t>
      </w:r>
      <w:r w:rsidR="0018098A" w:rsidRPr="00C554E0">
        <w:rPr>
          <w:bCs/>
        </w:rPr>
        <w:t xml:space="preserve">often </w:t>
      </w:r>
      <w:r w:rsidR="003D4999" w:rsidRPr="00C554E0">
        <w:rPr>
          <w:bCs/>
        </w:rPr>
        <w:t xml:space="preserve">involves an </w:t>
      </w:r>
      <w:r w:rsidR="001E0CC0" w:rsidRPr="00C554E0">
        <w:rPr>
          <w:bCs/>
        </w:rPr>
        <w:t>irreparable</w:t>
      </w:r>
      <w:r w:rsidR="003D4999" w:rsidRPr="00C554E0">
        <w:rPr>
          <w:bCs/>
        </w:rPr>
        <w:t xml:space="preserve"> breach of one’s foundational self-confidence in one’s body. As he writes: </w:t>
      </w:r>
      <w:r w:rsidR="007727F6" w:rsidRPr="00C554E0">
        <w:rPr>
          <w:bCs/>
        </w:rPr>
        <w:t xml:space="preserve"> </w:t>
      </w:r>
      <w:r w:rsidR="0018098A" w:rsidRPr="00C554E0">
        <w:rPr>
          <w:bCs/>
        </w:rPr>
        <w:t xml:space="preserve"> </w:t>
      </w:r>
    </w:p>
    <w:p w14:paraId="700D81FD" w14:textId="77777777" w:rsidR="003D4999" w:rsidRPr="00C554E0" w:rsidRDefault="003D4999" w:rsidP="003D4999">
      <w:pPr>
        <w:rPr>
          <w:rFonts w:eastAsia="Calibri"/>
          <w:bCs/>
          <w:lang w:eastAsia="en-US"/>
        </w:rPr>
      </w:pPr>
    </w:p>
    <w:p w14:paraId="5140BEDF" w14:textId="36FFB41E" w:rsidR="003D4999" w:rsidRPr="006701BE" w:rsidRDefault="00F05B15" w:rsidP="003D4999">
      <w:pPr>
        <w:spacing w:line="240" w:lineRule="auto"/>
        <w:ind w:left="567" w:right="680"/>
        <w:rPr>
          <w:rFonts w:eastAsia="Calibri"/>
          <w:bCs/>
          <w:sz w:val="20"/>
          <w:szCs w:val="20"/>
          <w:lang w:eastAsia="en-US"/>
        </w:rPr>
      </w:pPr>
      <w:r w:rsidRPr="006701BE">
        <w:rPr>
          <w:rFonts w:eastAsia="Calibri"/>
          <w:bCs/>
          <w:sz w:val="20"/>
          <w:szCs w:val="20"/>
          <w:lang w:eastAsia="en-US"/>
        </w:rPr>
        <w:t>The forms of practical maltreatment in which a person is forcibly deprived of any opportunity freely to dispose over his or her own body represent the most fundamental sort of personal de</w:t>
      </w:r>
      <w:r w:rsidR="00D8727D" w:rsidRPr="006701BE">
        <w:rPr>
          <w:rFonts w:eastAsia="Calibri"/>
          <w:bCs/>
          <w:sz w:val="20"/>
          <w:szCs w:val="20"/>
          <w:lang w:eastAsia="en-US"/>
        </w:rPr>
        <w:t>gradation. This is because every</w:t>
      </w:r>
      <w:r w:rsidRPr="006701BE">
        <w:rPr>
          <w:rFonts w:eastAsia="Calibri"/>
          <w:bCs/>
          <w:sz w:val="20"/>
          <w:szCs w:val="20"/>
          <w:lang w:eastAsia="en-US"/>
        </w:rPr>
        <w:t xml:space="preserve"> attempt to gain control of a person’s body against his or her will – irrespective of the intention behind it – causes a degree of humiliation that impacts more destructively than other forms of respect on a person’s practical relation-to-self. For what is specific to these kinds of physical injury, as exemplified by torture and rape, is not the purely physical pain but rather the combination of this pain with the feeling of being defencelessly at the mercy of another subject, to the point of feeling that one has been deprived of reality. Physical abuse represents a type of disrespect that does lasting damage to one’s basic confidence (learned through love) that one can autonomously coordinate one’s own body … Thus, the kind of recognition that this type of disrespect deprives one of is the taken-for-granted respect for the autonomous control of one’s own body, which itself could only be acquired at all through experience emotional support as part of the socialisation process.</w:t>
      </w:r>
      <w:r w:rsidR="003526D2" w:rsidRPr="006701BE">
        <w:rPr>
          <w:rStyle w:val="FootnoteReference"/>
          <w:rFonts w:eastAsia="Calibri"/>
          <w:bCs/>
          <w:sz w:val="20"/>
          <w:szCs w:val="20"/>
          <w:lang w:eastAsia="en-US"/>
        </w:rPr>
        <w:footnoteReference w:id="35"/>
      </w:r>
    </w:p>
    <w:p w14:paraId="3BE74382" w14:textId="77777777" w:rsidR="00831A65" w:rsidRPr="00C554E0" w:rsidRDefault="00831A65"/>
    <w:p w14:paraId="3215AB8B" w14:textId="5BDF3D21" w:rsidR="0007034B" w:rsidRPr="00C554E0" w:rsidRDefault="007727F6">
      <w:r w:rsidRPr="00C554E0">
        <w:lastRenderedPageBreak/>
        <w:t xml:space="preserve">Since the violation of bodily integrity represents the violation of one’s most basic and self-evident way of interacting with one’s external environment, torture and rape prevent one from trusting others and oneself – </w:t>
      </w:r>
      <w:r w:rsidR="002A7A82">
        <w:t>‘</w:t>
      </w:r>
      <w:r w:rsidRPr="00C554E0">
        <w:t>the suffering of torture or rape is always accompanied by a dramatic breakdown in one’s trust in the reliability of the social world and hence by a collapse in one’s own basic self-confidence</w:t>
      </w:r>
      <w:r w:rsidR="002A7A82">
        <w:t>’</w:t>
      </w:r>
      <w:r w:rsidR="00D81458" w:rsidRPr="00C554E0">
        <w:t>.</w:t>
      </w:r>
      <w:r w:rsidR="003526D2">
        <w:rPr>
          <w:rStyle w:val="FootnoteReference"/>
        </w:rPr>
        <w:footnoteReference w:id="36"/>
      </w:r>
    </w:p>
    <w:p w14:paraId="4A376EF1" w14:textId="77777777" w:rsidR="00FE7CA1" w:rsidRDefault="003526D2" w:rsidP="00FE7CA1">
      <w:pPr>
        <w:ind w:firstLine="567"/>
        <w:rPr>
          <w:bCs/>
        </w:rPr>
      </w:pPr>
      <w:r w:rsidRPr="003526D2">
        <w:t>To develop the analogy between Honneth’s account of how torture and rape constitute denials of self-confidence and a recognition theoretic account of testimonial injustice</w:t>
      </w:r>
      <w:r w:rsidRPr="003526D2">
        <w:rPr>
          <w:bCs/>
        </w:rPr>
        <w:t>,</w:t>
      </w:r>
      <w:r w:rsidRPr="003526D2">
        <w:t xml:space="preserve"> I would like now to return to the example </w:t>
      </w:r>
      <w:r w:rsidRPr="003526D2">
        <w:rPr>
          <w:bCs/>
        </w:rPr>
        <w:t xml:space="preserve">used </w:t>
      </w:r>
      <w:r w:rsidRPr="003526D2">
        <w:t xml:space="preserve">to articulate testimonial injustice: I claimed that rather than be accorded </w:t>
      </w:r>
      <w:r w:rsidRPr="003526D2">
        <w:rPr>
          <w:bCs/>
        </w:rPr>
        <w:t xml:space="preserve">the default level of epistemic respect and doxastic appreciation provided by Burge’s Acceptance Principle, Patricia Williams is not only treated with epistemic scorn, she is also stripped of </w:t>
      </w:r>
      <w:r w:rsidRPr="003526D2">
        <w:rPr>
          <w:bCs/>
          <w:i/>
        </w:rPr>
        <w:t>any</w:t>
      </w:r>
      <w:r w:rsidRPr="003526D2">
        <w:rPr>
          <w:bCs/>
        </w:rPr>
        <w:t xml:space="preserve"> normative authority, nonrecognised, and is deemed as someone who violates norms of assertion.</w:t>
      </w:r>
    </w:p>
    <w:p w14:paraId="02B4D523" w14:textId="103957B0" w:rsidR="00FE7CA1" w:rsidRDefault="003526D2" w:rsidP="00FE7CA1">
      <w:pPr>
        <w:ind w:firstLine="567"/>
        <w:rPr>
          <w:bCs/>
        </w:rPr>
      </w:pPr>
      <w:r w:rsidRPr="003526D2">
        <w:rPr>
          <w:bCs/>
        </w:rPr>
        <w:t xml:space="preserve">To use a Sellarsian </w:t>
      </w:r>
      <w:r w:rsidRPr="003526D2">
        <w:rPr>
          <w:bCs/>
          <w:i/>
        </w:rPr>
        <w:t>tournure de phrase</w:t>
      </w:r>
      <w:r w:rsidRPr="003526D2">
        <w:rPr>
          <w:bCs/>
        </w:rPr>
        <w:t>, testimonial injustice deprives Williams, a rational agent, of her rightful place as someone moving in the space of reasons</w:t>
      </w:r>
      <w:r w:rsidR="002470D1">
        <w:rPr>
          <w:bCs/>
        </w:rPr>
        <w:t xml:space="preserve">, </w:t>
      </w:r>
      <w:r w:rsidRPr="003526D2">
        <w:rPr>
          <w:bCs/>
        </w:rPr>
        <w:t xml:space="preserve">and thereby leaves individuals like her who are </w:t>
      </w:r>
      <w:r w:rsidR="00FE7CA1">
        <w:rPr>
          <w:bCs/>
        </w:rPr>
        <w:t xml:space="preserve">systemically </w:t>
      </w:r>
      <w:r w:rsidRPr="003526D2">
        <w:rPr>
          <w:bCs/>
        </w:rPr>
        <w:t>prejudiced against in a state of self-alienation</w:t>
      </w:r>
      <w:r w:rsidR="00FE7CA1">
        <w:rPr>
          <w:bCs/>
        </w:rPr>
        <w:t xml:space="preserve"> and</w:t>
      </w:r>
      <w:r w:rsidR="00FE7CA1" w:rsidRPr="00FE7CA1">
        <w:rPr>
          <w:bCs/>
        </w:rPr>
        <w:t xml:space="preserve"> double-consciousness</w:t>
      </w:r>
      <w:r w:rsidRPr="003526D2">
        <w:rPr>
          <w:bCs/>
        </w:rPr>
        <w:t xml:space="preserve">: because Williams is </w:t>
      </w:r>
      <w:r w:rsidRPr="003526D2">
        <w:rPr>
          <w:bCs/>
          <w:i/>
        </w:rPr>
        <w:t>not</w:t>
      </w:r>
      <w:r w:rsidRPr="003526D2">
        <w:rPr>
          <w:bCs/>
        </w:rPr>
        <w:t xml:space="preserve"> recognised</w:t>
      </w:r>
      <w:r w:rsidRPr="003526D2">
        <w:rPr>
          <w:bCs/>
          <w:vertAlign w:val="superscript"/>
        </w:rPr>
        <w:footnoteReference w:id="37"/>
      </w:r>
      <w:r w:rsidRPr="003526D2">
        <w:rPr>
          <w:bCs/>
        </w:rPr>
        <w:t xml:space="preserve"> – </w:t>
      </w:r>
      <w:r w:rsidRPr="003526D2">
        <w:rPr>
          <w:bCs/>
          <w:i/>
        </w:rPr>
        <w:t>as opposed to recognised but treated with less credibility than other epistemic participants</w:t>
      </w:r>
      <w:r w:rsidRPr="003526D2">
        <w:rPr>
          <w:bCs/>
        </w:rPr>
        <w:t xml:space="preserve"> – she is forcibly alienated from her own rationality, where her rationality enables her to be a member of a community of inquirers.</w:t>
      </w:r>
      <w:r w:rsidRPr="003526D2">
        <w:rPr>
          <w:bCs/>
          <w:vertAlign w:val="superscript"/>
        </w:rPr>
        <w:footnoteReference w:id="38"/>
      </w:r>
      <w:r w:rsidR="00FE7CA1" w:rsidRPr="00FE7CA1">
        <w:rPr>
          <w:rFonts w:ascii="Abadi" w:eastAsiaTheme="minorHAnsi" w:hAnsi="Abadi"/>
          <w:szCs w:val="22"/>
          <w:lang w:eastAsia="en-US"/>
        </w:rPr>
        <w:t xml:space="preserve"> </w:t>
      </w:r>
      <w:r w:rsidR="00FE7CA1" w:rsidRPr="00FE7CA1">
        <w:rPr>
          <w:bCs/>
        </w:rPr>
        <w:t xml:space="preserve">As part of her self-conscious identification with fellow African Americans in an African American community, </w:t>
      </w:r>
      <w:r w:rsidR="00FE7CA1">
        <w:rPr>
          <w:bCs/>
        </w:rPr>
        <w:t xml:space="preserve">Williams </w:t>
      </w:r>
      <w:r w:rsidR="00FE7CA1" w:rsidRPr="00FE7CA1">
        <w:rPr>
          <w:bCs/>
        </w:rPr>
        <w:t>communicatively self-interpret</w:t>
      </w:r>
      <w:r w:rsidR="00FE7CA1">
        <w:rPr>
          <w:bCs/>
        </w:rPr>
        <w:t>s</w:t>
      </w:r>
      <w:r w:rsidR="00FE7CA1" w:rsidRPr="00FE7CA1">
        <w:rPr>
          <w:bCs/>
        </w:rPr>
        <w:t xml:space="preserve"> and find</w:t>
      </w:r>
      <w:r w:rsidR="00FE7CA1">
        <w:rPr>
          <w:bCs/>
        </w:rPr>
        <w:t>s</w:t>
      </w:r>
      <w:r w:rsidR="00FE7CA1" w:rsidRPr="00FE7CA1">
        <w:rPr>
          <w:bCs/>
        </w:rPr>
        <w:t xml:space="preserve"> such communicative action empowering. However, African Americans (and, of course, other people of colour), as part of a racist world, are met with external and hostile web of meanings that radically distort such uplifting </w:t>
      </w:r>
      <w:r w:rsidR="00FE7CA1" w:rsidRPr="00FE7CA1">
        <w:rPr>
          <w:bCs/>
          <w:i/>
          <w:iCs/>
        </w:rPr>
        <w:t>local</w:t>
      </w:r>
      <w:r w:rsidR="00FE7CA1" w:rsidRPr="00FE7CA1">
        <w:rPr>
          <w:bCs/>
        </w:rPr>
        <w:t xml:space="preserve"> self-conceptions.</w:t>
      </w:r>
      <w:r w:rsidR="00FE7CA1" w:rsidRPr="00FE7CA1">
        <w:t xml:space="preserve"> </w:t>
      </w:r>
      <w:r w:rsidR="00FE7CA1" w:rsidRPr="00FE7CA1">
        <w:rPr>
          <w:bCs/>
        </w:rPr>
        <w:t>The power structure of racial oppression is pervasive</w:t>
      </w:r>
      <w:r w:rsidR="00FE7CA1">
        <w:rPr>
          <w:bCs/>
        </w:rPr>
        <w:t xml:space="preserve"> such that </w:t>
      </w:r>
      <w:r w:rsidR="00FE7CA1" w:rsidRPr="00FE7CA1">
        <w:rPr>
          <w:bCs/>
        </w:rPr>
        <w:t>the</w:t>
      </w:r>
      <w:r w:rsidR="00FE7CA1">
        <w:rPr>
          <w:bCs/>
        </w:rPr>
        <w:t xml:space="preserve"> </w:t>
      </w:r>
      <w:r w:rsidR="00FE7CA1" w:rsidRPr="00FE7CA1">
        <w:rPr>
          <w:bCs/>
        </w:rPr>
        <w:t xml:space="preserve">experiential relation </w:t>
      </w:r>
      <w:r w:rsidR="00FE7CA1">
        <w:rPr>
          <w:bCs/>
        </w:rPr>
        <w:t xml:space="preserve">Williams </w:t>
      </w:r>
      <w:r w:rsidR="00FE7CA1" w:rsidRPr="00FE7CA1">
        <w:rPr>
          <w:bCs/>
        </w:rPr>
        <w:t>ha</w:t>
      </w:r>
      <w:r w:rsidR="00FE7CA1">
        <w:rPr>
          <w:bCs/>
        </w:rPr>
        <w:t>s</w:t>
      </w:r>
      <w:r w:rsidR="00FE7CA1" w:rsidRPr="00FE7CA1">
        <w:rPr>
          <w:bCs/>
        </w:rPr>
        <w:t xml:space="preserve"> to </w:t>
      </w:r>
      <w:r w:rsidR="00FE7CA1">
        <w:rPr>
          <w:bCs/>
        </w:rPr>
        <w:t>herself</w:t>
      </w:r>
      <w:r w:rsidR="00FE7CA1" w:rsidRPr="00FE7CA1">
        <w:rPr>
          <w:bCs/>
        </w:rPr>
        <w:t xml:space="preserve"> becomes distorted by how </w:t>
      </w:r>
      <w:r w:rsidR="00FE7CA1">
        <w:t>she</w:t>
      </w:r>
      <w:r w:rsidR="00FE7CA1" w:rsidRPr="00851019">
        <w:t xml:space="preserve"> view</w:t>
      </w:r>
      <w:r w:rsidR="00FE7CA1">
        <w:t>s</w:t>
      </w:r>
      <w:r w:rsidR="00FE7CA1" w:rsidRPr="00851019">
        <w:t xml:space="preserve"> </w:t>
      </w:r>
      <w:r w:rsidR="00FE7CA1" w:rsidRPr="00FE7CA1">
        <w:rPr>
          <w:bCs/>
          <w:i/>
          <w:iCs/>
        </w:rPr>
        <w:t>her</w:t>
      </w:r>
      <w:r w:rsidR="00FE7CA1" w:rsidRPr="00FE7CA1">
        <w:rPr>
          <w:bCs/>
        </w:rPr>
        <w:t xml:space="preserve"> agency from the perspective of traditional white prejudicial attitudes.</w:t>
      </w:r>
    </w:p>
    <w:p w14:paraId="2F89F727" w14:textId="79245A9B" w:rsidR="003526D2" w:rsidRDefault="003526D2" w:rsidP="00B968A4">
      <w:pPr>
        <w:ind w:firstLine="567"/>
        <w:rPr>
          <w:bCs/>
        </w:rPr>
      </w:pPr>
      <w:r w:rsidRPr="003526D2">
        <w:rPr>
          <w:bCs/>
        </w:rPr>
        <w:t xml:space="preserve">Crucially, the asymmetrical nature of the cognitive environment causes Williams to </w:t>
      </w:r>
      <w:r w:rsidRPr="00FE7CA1">
        <w:rPr>
          <w:bCs/>
          <w:i/>
          <w:iCs/>
        </w:rPr>
        <w:t>feel</w:t>
      </w:r>
      <w:r w:rsidRPr="003526D2">
        <w:rPr>
          <w:bCs/>
        </w:rPr>
        <w:t xml:space="preserve"> that the space of reasons, the locus of normative discourse where epistemic practices derive their sense of meaning and purpose, is not welcoming to her. As </w:t>
      </w:r>
      <w:r w:rsidRPr="003526D2">
        <w:rPr>
          <w:bCs/>
          <w:lang w:val="en-US"/>
        </w:rPr>
        <w:t xml:space="preserve">Iris Marion </w:t>
      </w:r>
      <w:r w:rsidRPr="003526D2">
        <w:rPr>
          <w:bCs/>
        </w:rPr>
        <w:t xml:space="preserve">Young writes: </w:t>
      </w:r>
    </w:p>
    <w:p w14:paraId="245D9BE3" w14:textId="4B26F9C0" w:rsidR="003526D2" w:rsidRPr="003526D2" w:rsidRDefault="003526D2" w:rsidP="00B968A4">
      <w:pPr>
        <w:ind w:firstLine="567"/>
        <w:rPr>
          <w:bCs/>
          <w:sz w:val="22"/>
          <w:szCs w:val="22"/>
        </w:rPr>
      </w:pPr>
    </w:p>
    <w:p w14:paraId="110D39B0" w14:textId="158F6752" w:rsidR="003526D2" w:rsidRPr="006701BE" w:rsidRDefault="003526D2" w:rsidP="003526D2">
      <w:pPr>
        <w:spacing w:line="240" w:lineRule="auto"/>
        <w:ind w:left="567" w:right="680"/>
        <w:rPr>
          <w:rFonts w:eastAsia="Calibri"/>
          <w:bCs/>
          <w:sz w:val="20"/>
          <w:szCs w:val="20"/>
          <w:lang w:eastAsia="en-US"/>
        </w:rPr>
      </w:pPr>
      <w:r w:rsidRPr="006701BE">
        <w:rPr>
          <w:rFonts w:eastAsia="Calibri"/>
          <w:bCs/>
          <w:sz w:val="20"/>
          <w:szCs w:val="20"/>
          <w:lang w:eastAsia="en-US"/>
        </w:rPr>
        <w:t xml:space="preserve">In societies stamped with cultural imperialism, groups suffering from this form of oppression stand in a paradoxical position. They are understood in terms of crude stereotypes that do not accurately portray individual group members but also assume a mask of invisibility; they are both badly misrepresented and robbed of the means by which to express their perspective. Groups who live </w:t>
      </w:r>
      <w:r w:rsidRPr="006701BE">
        <w:rPr>
          <w:rFonts w:eastAsia="Calibri"/>
          <w:bCs/>
          <w:sz w:val="20"/>
          <w:szCs w:val="20"/>
          <w:lang w:eastAsia="en-US"/>
        </w:rPr>
        <w:lastRenderedPageBreak/>
        <w:t>with cultural imperialism find themselves defined externally, positioned by a web of meanings that arise elsewhere. These meanings and definitions have been imposed on them by people who cannot identify with them and with whom they cannot identify.</w:t>
      </w:r>
      <w:r w:rsidRPr="006701BE">
        <w:rPr>
          <w:bCs/>
          <w:sz w:val="20"/>
          <w:szCs w:val="20"/>
          <w:vertAlign w:val="superscript"/>
        </w:rPr>
        <w:footnoteReference w:id="39"/>
      </w:r>
    </w:p>
    <w:p w14:paraId="074B08D8" w14:textId="77777777" w:rsidR="003526D2" w:rsidRDefault="003526D2" w:rsidP="00B968A4">
      <w:pPr>
        <w:ind w:firstLine="567"/>
        <w:rPr>
          <w:bCs/>
        </w:rPr>
      </w:pPr>
    </w:p>
    <w:p w14:paraId="26FCE4DA" w14:textId="2242AA3A" w:rsidR="00AB12C7" w:rsidRPr="00321A09" w:rsidRDefault="00D35791" w:rsidP="00321A09">
      <w:pPr>
        <w:rPr>
          <w:bCs/>
          <w:lang w:val="en-US"/>
        </w:rPr>
      </w:pPr>
      <w:r w:rsidRPr="00C554E0">
        <w:t xml:space="preserve">Given that </w:t>
      </w:r>
      <w:r w:rsidR="0099483B" w:rsidRPr="00C554E0">
        <w:rPr>
          <w:bCs/>
        </w:rPr>
        <w:t xml:space="preserve">epistemic oppression and </w:t>
      </w:r>
      <w:r w:rsidRPr="00C554E0">
        <w:t xml:space="preserve">testimonial injustice cause </w:t>
      </w:r>
      <w:r w:rsidR="002F6805" w:rsidRPr="00C554E0">
        <w:t>one</w:t>
      </w:r>
      <w:r w:rsidRPr="00C554E0">
        <w:t xml:space="preserve"> to be alienated from both their own rationality and from the practices which necessarily constitute</w:t>
      </w:r>
      <w:r w:rsidR="009E3EFD" w:rsidRPr="00C554E0">
        <w:t xml:space="preserve"> discourse between peers, I think one has compelling reason to think that nonrecognition and exclusion from the space of reasons amounts to</w:t>
      </w:r>
      <w:r w:rsidR="002C483D" w:rsidRPr="00C554E0">
        <w:t>, what I have called,</w:t>
      </w:r>
      <w:r w:rsidR="009E3EFD" w:rsidRPr="00C554E0">
        <w:t xml:space="preserve"> </w:t>
      </w:r>
      <w:r w:rsidR="002C483D" w:rsidRPr="00C554E0">
        <w:t>‘</w:t>
      </w:r>
      <w:r w:rsidR="0090418B" w:rsidRPr="00C554E0">
        <w:rPr>
          <w:i/>
        </w:rPr>
        <w:t xml:space="preserve">discursive </w:t>
      </w:r>
      <w:r w:rsidR="009E3EFD" w:rsidRPr="00C554E0">
        <w:rPr>
          <w:i/>
        </w:rPr>
        <w:t>abuse</w:t>
      </w:r>
      <w:r w:rsidR="002C483D" w:rsidRPr="00C554E0">
        <w:t>’. T</w:t>
      </w:r>
      <w:r w:rsidR="009E3EFD" w:rsidRPr="00C554E0">
        <w:t xml:space="preserve">he </w:t>
      </w:r>
      <w:r w:rsidR="009E3EFD" w:rsidRPr="008109CA">
        <w:rPr>
          <w:i/>
          <w:iCs/>
        </w:rPr>
        <w:t>experience</w:t>
      </w:r>
      <w:r w:rsidR="009E3EFD" w:rsidRPr="00C554E0">
        <w:t xml:space="preserve"> of </w:t>
      </w:r>
      <w:r w:rsidR="002C483D" w:rsidRPr="00C554E0">
        <w:t>discursive abuse</w:t>
      </w:r>
      <w:r w:rsidR="009E3EFD" w:rsidRPr="00C554E0">
        <w:t xml:space="preserve"> </w:t>
      </w:r>
      <w:r w:rsidR="00321A09">
        <w:t>‘</w:t>
      </w:r>
      <w:r w:rsidR="009E3EFD" w:rsidRPr="00C554E0">
        <w:t>carries with it the danger of an injury that can bring the identity of the person as a whole to the point of collapse</w:t>
      </w:r>
      <w:r w:rsidR="00321A09">
        <w:t>’</w:t>
      </w:r>
      <w:r w:rsidR="00F0429A" w:rsidRPr="00C554E0">
        <w:t>,</w:t>
      </w:r>
      <w:r w:rsidR="002470D1">
        <w:rPr>
          <w:rStyle w:val="FootnoteReference"/>
        </w:rPr>
        <w:footnoteReference w:id="40"/>
      </w:r>
      <w:r w:rsidR="00F0429A" w:rsidRPr="00C554E0">
        <w:t xml:space="preserve"> where the identity under threat here is a p</w:t>
      </w:r>
      <w:r w:rsidR="00E53960" w:rsidRPr="00C554E0">
        <w:t>e</w:t>
      </w:r>
      <w:r w:rsidR="00F0429A" w:rsidRPr="00C554E0">
        <w:t xml:space="preserve">rson’s self-interpretation as </w:t>
      </w:r>
      <w:r w:rsidR="002470D1" w:rsidRPr="002470D1">
        <w:rPr>
          <w:i/>
        </w:rPr>
        <w:t>Geistig</w:t>
      </w:r>
      <w:r w:rsidR="002470D1" w:rsidRPr="002470D1">
        <w:t>.</w:t>
      </w:r>
      <w:r w:rsidR="002470D1" w:rsidRPr="002470D1">
        <w:rPr>
          <w:vertAlign w:val="superscript"/>
        </w:rPr>
        <w:footnoteReference w:id="41"/>
      </w:r>
      <w:r w:rsidR="002470D1">
        <w:rPr>
          <w:i/>
        </w:rPr>
        <w:t xml:space="preserve"> </w:t>
      </w:r>
      <w:r w:rsidR="002C483D" w:rsidRPr="00C554E0">
        <w:rPr>
          <w:bCs/>
          <w:lang w:val="en-US"/>
        </w:rPr>
        <w:t>To use Andrea Lobb’s expression, the kind of ‘epistemic injury’</w:t>
      </w:r>
      <w:r w:rsidR="002470D1">
        <w:rPr>
          <w:rStyle w:val="FootnoteReference"/>
          <w:bCs/>
          <w:lang w:val="en-US"/>
        </w:rPr>
        <w:footnoteReference w:id="42"/>
      </w:r>
      <w:r w:rsidR="002C483D" w:rsidRPr="00C554E0">
        <w:rPr>
          <w:bCs/>
          <w:lang w:val="en-US"/>
        </w:rPr>
        <w:t xml:space="preserve"> </w:t>
      </w:r>
      <w:r w:rsidR="00AB12C7" w:rsidRPr="00C554E0">
        <w:rPr>
          <w:bCs/>
          <w:lang w:val="en-US"/>
        </w:rPr>
        <w:t>endured here can be made sense of in relation to what Richard Rorty</w:t>
      </w:r>
      <w:r w:rsidR="00DE13DF" w:rsidRPr="00C554E0">
        <w:rPr>
          <w:bCs/>
          <w:i/>
          <w:lang w:val="en-US"/>
        </w:rPr>
        <w:t xml:space="preserve"> </w:t>
      </w:r>
      <w:r w:rsidR="00AB12C7" w:rsidRPr="00C554E0">
        <w:rPr>
          <w:bCs/>
          <w:lang w:val="en-US"/>
        </w:rPr>
        <w:t>calls ‘mute despair’ and ‘intense mental pain’.</w:t>
      </w:r>
      <w:r w:rsidR="00321A09">
        <w:rPr>
          <w:bCs/>
          <w:lang w:val="en-US"/>
        </w:rPr>
        <w:t xml:space="preserve"> </w:t>
      </w:r>
      <w:r w:rsidR="00AB12C7" w:rsidRPr="00C554E0">
        <w:rPr>
          <w:bCs/>
          <w:lang w:val="en-US"/>
        </w:rPr>
        <w:t xml:space="preserve">For Rorty, </w:t>
      </w:r>
      <w:r w:rsidR="005A625F" w:rsidRPr="00C554E0">
        <w:rPr>
          <w:bCs/>
          <w:lang w:val="en-US"/>
        </w:rPr>
        <w:t xml:space="preserve">this notion of </w:t>
      </w:r>
      <w:r w:rsidR="00AB12C7" w:rsidRPr="008109CA">
        <w:rPr>
          <w:bCs/>
          <w:i/>
          <w:iCs/>
          <w:lang w:val="en-US"/>
        </w:rPr>
        <w:t>agential pain</w:t>
      </w:r>
      <w:r w:rsidR="0018098A" w:rsidRPr="00C554E0">
        <w:rPr>
          <w:bCs/>
          <w:lang w:val="en-US"/>
        </w:rPr>
        <w:t xml:space="preserve"> – the type of pain unique to</w:t>
      </w:r>
      <w:r w:rsidR="00AB12C7" w:rsidRPr="00C554E0">
        <w:rPr>
          <w:bCs/>
          <w:lang w:val="en-US"/>
        </w:rPr>
        <w:t xml:space="preserve"> </w:t>
      </w:r>
      <w:r w:rsidR="00F47574" w:rsidRPr="00C554E0">
        <w:rPr>
          <w:bCs/>
          <w:i/>
          <w:lang w:val="en-US"/>
        </w:rPr>
        <w:t>agents</w:t>
      </w:r>
      <w:r w:rsidR="00F47574" w:rsidRPr="00C554E0">
        <w:rPr>
          <w:bCs/>
          <w:lang w:val="en-US"/>
        </w:rPr>
        <w:t xml:space="preserve"> (i.e. beings with interests and </w:t>
      </w:r>
      <w:r w:rsidR="00787808" w:rsidRPr="00C554E0">
        <w:rPr>
          <w:bCs/>
          <w:lang w:val="en-US"/>
        </w:rPr>
        <w:t>self-conceptions)</w:t>
      </w:r>
      <w:r w:rsidR="00F47574" w:rsidRPr="00C554E0">
        <w:rPr>
          <w:bCs/>
          <w:i/>
          <w:lang w:val="en-US"/>
        </w:rPr>
        <w:t xml:space="preserve"> </w:t>
      </w:r>
      <w:r w:rsidR="00F47574" w:rsidRPr="00C554E0">
        <w:rPr>
          <w:bCs/>
          <w:lang w:val="en-US"/>
        </w:rPr>
        <w:t xml:space="preserve">– </w:t>
      </w:r>
      <w:r w:rsidR="00A11EAA">
        <w:rPr>
          <w:bCs/>
          <w:lang w:val="en-US"/>
        </w:rPr>
        <w:t>‘</w:t>
      </w:r>
      <w:r w:rsidR="00AB12C7" w:rsidRPr="00C554E0">
        <w:rPr>
          <w:bCs/>
          <w:lang w:val="en-US"/>
        </w:rPr>
        <w:t>reminds us that human beings who have been socialised … can all be given a special kind of pain: they can all be humiliated by the forcible tearing</w:t>
      </w:r>
      <w:r w:rsidR="006701BE">
        <w:rPr>
          <w:bCs/>
          <w:lang w:val="en-US"/>
        </w:rPr>
        <w:t xml:space="preserve"> </w:t>
      </w:r>
      <w:r w:rsidR="00AB12C7" w:rsidRPr="00C554E0">
        <w:rPr>
          <w:bCs/>
          <w:lang w:val="en-US"/>
        </w:rPr>
        <w:t>down of the particular structures of language and belief in which they were socialised (or which they pride themselves on having formed for themselves)</w:t>
      </w:r>
      <w:r w:rsidR="00A11EAA">
        <w:rPr>
          <w:bCs/>
          <w:lang w:val="en-US"/>
        </w:rPr>
        <w:t>’</w:t>
      </w:r>
      <w:r w:rsidR="00AB12C7" w:rsidRPr="00C554E0">
        <w:rPr>
          <w:bCs/>
          <w:lang w:val="en-US"/>
        </w:rPr>
        <w:t>.</w:t>
      </w:r>
      <w:r w:rsidR="002470D1">
        <w:rPr>
          <w:rStyle w:val="FootnoteReference"/>
          <w:bCs/>
          <w:lang w:val="en-US"/>
        </w:rPr>
        <w:footnoteReference w:id="43"/>
      </w:r>
    </w:p>
    <w:p w14:paraId="102DA0C4" w14:textId="624274D4" w:rsidR="00237091" w:rsidRDefault="009A129F" w:rsidP="0018098A">
      <w:pPr>
        <w:ind w:firstLine="720"/>
      </w:pPr>
      <w:r w:rsidRPr="00C554E0">
        <w:t>The failu</w:t>
      </w:r>
      <w:r w:rsidR="0099483B" w:rsidRPr="00C554E0">
        <w:t>re to properly recognise and acc</w:t>
      </w:r>
      <w:r w:rsidRPr="00C554E0">
        <w:t xml:space="preserve">ord </w:t>
      </w:r>
      <w:r w:rsidRPr="00C554E0">
        <w:rPr>
          <w:bCs/>
        </w:rPr>
        <w:t xml:space="preserve">somebody </w:t>
      </w:r>
      <w:r w:rsidRPr="00C554E0">
        <w:t xml:space="preserve">the </w:t>
      </w:r>
      <w:r w:rsidRPr="00C554E0">
        <w:rPr>
          <w:bCs/>
        </w:rPr>
        <w:t>epistemic</w:t>
      </w:r>
      <w:r w:rsidRPr="00C554E0">
        <w:t xml:space="preserve"> </w:t>
      </w:r>
      <w:r w:rsidR="00DB15BE">
        <w:t>acknowledgement</w:t>
      </w:r>
      <w:r w:rsidRPr="00C554E0">
        <w:t xml:space="preserve"> </w:t>
      </w:r>
      <w:r w:rsidRPr="00C554E0">
        <w:rPr>
          <w:bCs/>
        </w:rPr>
        <w:t xml:space="preserve">they </w:t>
      </w:r>
      <w:r w:rsidRPr="00321A09">
        <w:rPr>
          <w:i/>
          <w:iCs/>
        </w:rPr>
        <w:t>merit</w:t>
      </w:r>
      <w:r w:rsidRPr="00C554E0">
        <w:t xml:space="preserve"> is an act of </w:t>
      </w:r>
      <w:r w:rsidR="0099483B" w:rsidRPr="00C554E0">
        <w:t>abuse</w:t>
      </w:r>
      <w:r w:rsidRPr="00C554E0">
        <w:t xml:space="preserve"> in the sense of </w:t>
      </w:r>
      <w:r w:rsidR="0099483B" w:rsidRPr="00C554E0">
        <w:t xml:space="preserve">forcibly depriving individuals of a </w:t>
      </w:r>
      <w:r w:rsidR="0099483B" w:rsidRPr="00321A09">
        <w:rPr>
          <w:iCs/>
        </w:rPr>
        <w:t xml:space="preserve">progressive </w:t>
      </w:r>
      <w:r w:rsidR="0099483B" w:rsidRPr="00C554E0">
        <w:t>social environment in which the</w:t>
      </w:r>
      <w:r w:rsidR="0099483B" w:rsidRPr="00C554E0">
        <w:rPr>
          <w:bCs/>
        </w:rPr>
        <w:t xml:space="preserve"> epistemic</w:t>
      </w:r>
      <w:r w:rsidR="0099483B" w:rsidRPr="00C554E0">
        <w:t xml:space="preserve"> </w:t>
      </w:r>
      <w:r w:rsidR="005A625F" w:rsidRPr="00C554E0">
        <w:t>recognition</w:t>
      </w:r>
      <w:r w:rsidR="0099483B" w:rsidRPr="00C554E0">
        <w:t xml:space="preserve"> a</w:t>
      </w:r>
      <w:r w:rsidR="00CB1BEF" w:rsidRPr="00C554E0">
        <w:t>cc</w:t>
      </w:r>
      <w:r w:rsidR="0099483B" w:rsidRPr="00C554E0">
        <w:t xml:space="preserve">orded to them plays a significant role in enabling and fostering </w:t>
      </w:r>
      <w:r w:rsidR="0099483B" w:rsidRPr="00C554E0">
        <w:rPr>
          <w:bCs/>
        </w:rPr>
        <w:t xml:space="preserve">their </w:t>
      </w:r>
      <w:r w:rsidR="0099483B" w:rsidRPr="00C554E0">
        <w:t xml:space="preserve">self-confidence as a </w:t>
      </w:r>
      <w:r w:rsidR="0099483B" w:rsidRPr="008109CA">
        <w:rPr>
          <w:i/>
          <w:iCs/>
        </w:rPr>
        <w:t>knowing agent</w:t>
      </w:r>
      <w:r w:rsidRPr="00C554E0">
        <w:t>. Conceived in this way, one can see the analogous parallel with Honneth’s analysis of the harmful effects of torture or rape on self-confidence</w:t>
      </w:r>
      <w:r w:rsidR="00F0429A" w:rsidRPr="00C554E0">
        <w:t>:</w:t>
      </w:r>
      <w:r w:rsidR="005E4E0F" w:rsidRPr="00C554E0">
        <w:t xml:space="preserve"> </w:t>
      </w:r>
      <w:r w:rsidR="0099483B" w:rsidRPr="00C554E0">
        <w:t xml:space="preserve"> </w:t>
      </w:r>
    </w:p>
    <w:p w14:paraId="2A88D2AB" w14:textId="77777777" w:rsidR="00C05566" w:rsidRPr="00C554E0" w:rsidRDefault="00C05566" w:rsidP="0018098A">
      <w:pPr>
        <w:ind w:firstLine="720"/>
      </w:pPr>
    </w:p>
    <w:tbl>
      <w:tblPr>
        <w:tblStyle w:val="TableGrid"/>
        <w:tblpPr w:leftFromText="180" w:rightFromText="180" w:vertAnchor="text" w:horzAnchor="margin" w:tblpY="254"/>
        <w:tblW w:w="9250" w:type="dxa"/>
        <w:tblLook w:val="04A0" w:firstRow="1" w:lastRow="0" w:firstColumn="1" w:lastColumn="0" w:noHBand="0" w:noVBand="1"/>
      </w:tblPr>
      <w:tblGrid>
        <w:gridCol w:w="4570"/>
        <w:gridCol w:w="4680"/>
      </w:tblGrid>
      <w:tr w:rsidR="0099483B" w:rsidRPr="00C554E0" w14:paraId="24BC162C" w14:textId="77777777" w:rsidTr="0099483B">
        <w:trPr>
          <w:trHeight w:val="549"/>
        </w:trPr>
        <w:tc>
          <w:tcPr>
            <w:tcW w:w="4570" w:type="dxa"/>
          </w:tcPr>
          <w:p w14:paraId="04021ABC" w14:textId="77777777" w:rsidR="0099483B" w:rsidRPr="00C554E0" w:rsidRDefault="0099483B" w:rsidP="0099483B">
            <w:pPr>
              <w:jc w:val="center"/>
              <w:rPr>
                <w:b/>
                <w:sz w:val="19"/>
                <w:szCs w:val="19"/>
              </w:rPr>
            </w:pPr>
            <w:r w:rsidRPr="00C554E0">
              <w:rPr>
                <w:b/>
                <w:sz w:val="19"/>
                <w:szCs w:val="19"/>
              </w:rPr>
              <w:t>Torture or Rape</w:t>
            </w:r>
          </w:p>
        </w:tc>
        <w:tc>
          <w:tcPr>
            <w:tcW w:w="4680" w:type="dxa"/>
          </w:tcPr>
          <w:p w14:paraId="5FC85D9C" w14:textId="0409DED1" w:rsidR="0099483B" w:rsidRPr="00C554E0" w:rsidRDefault="00321A09" w:rsidP="0099483B">
            <w:pPr>
              <w:jc w:val="center"/>
              <w:rPr>
                <w:b/>
                <w:sz w:val="19"/>
                <w:szCs w:val="19"/>
              </w:rPr>
            </w:pPr>
            <w:r w:rsidRPr="00321A09">
              <w:rPr>
                <w:b/>
                <w:bCs/>
                <w:sz w:val="19"/>
                <w:szCs w:val="19"/>
              </w:rPr>
              <w:t>Discursive abuse</w:t>
            </w:r>
          </w:p>
        </w:tc>
      </w:tr>
      <w:tr w:rsidR="0099483B" w:rsidRPr="00C554E0" w14:paraId="2ECAA7A6" w14:textId="77777777" w:rsidTr="0099483B">
        <w:trPr>
          <w:trHeight w:val="1073"/>
        </w:trPr>
        <w:tc>
          <w:tcPr>
            <w:tcW w:w="4570" w:type="dxa"/>
          </w:tcPr>
          <w:p w14:paraId="5EAB4A0F" w14:textId="77777777" w:rsidR="0099483B" w:rsidRPr="00C554E0" w:rsidRDefault="0099483B" w:rsidP="0099483B">
            <w:pPr>
              <w:rPr>
                <w:sz w:val="19"/>
                <w:szCs w:val="19"/>
              </w:rPr>
            </w:pPr>
            <w:r w:rsidRPr="00C554E0">
              <w:rPr>
                <w:sz w:val="19"/>
                <w:szCs w:val="19"/>
              </w:rPr>
              <w:t>External and forcible control over one’s own bodily integrity</w:t>
            </w:r>
          </w:p>
        </w:tc>
        <w:tc>
          <w:tcPr>
            <w:tcW w:w="4680" w:type="dxa"/>
          </w:tcPr>
          <w:p w14:paraId="6C450481" w14:textId="77777777" w:rsidR="0099483B" w:rsidRPr="00C554E0" w:rsidRDefault="0099483B" w:rsidP="0099483B">
            <w:pPr>
              <w:rPr>
                <w:sz w:val="19"/>
                <w:szCs w:val="19"/>
              </w:rPr>
            </w:pPr>
            <w:r w:rsidRPr="00C554E0">
              <w:rPr>
                <w:sz w:val="19"/>
                <w:szCs w:val="19"/>
              </w:rPr>
              <w:t xml:space="preserve">External and forcible control over one’s own </w:t>
            </w:r>
            <w:r w:rsidRPr="00C554E0">
              <w:rPr>
                <w:bCs/>
                <w:sz w:val="19"/>
                <w:szCs w:val="19"/>
              </w:rPr>
              <w:t>epistemic</w:t>
            </w:r>
            <w:r w:rsidRPr="00C554E0">
              <w:rPr>
                <w:sz w:val="19"/>
                <w:szCs w:val="19"/>
              </w:rPr>
              <w:t xml:space="preserve"> integrity</w:t>
            </w:r>
          </w:p>
        </w:tc>
      </w:tr>
      <w:tr w:rsidR="0099483B" w:rsidRPr="00C554E0" w14:paraId="618E2063" w14:textId="77777777" w:rsidTr="0099483B">
        <w:trPr>
          <w:trHeight w:val="1648"/>
        </w:trPr>
        <w:tc>
          <w:tcPr>
            <w:tcW w:w="4570" w:type="dxa"/>
          </w:tcPr>
          <w:p w14:paraId="2F8E5C9A" w14:textId="77777777" w:rsidR="0099483B" w:rsidRPr="00C554E0" w:rsidRDefault="0099483B" w:rsidP="0099483B">
            <w:pPr>
              <w:rPr>
                <w:sz w:val="19"/>
                <w:szCs w:val="19"/>
              </w:rPr>
            </w:pPr>
            <w:r w:rsidRPr="00C554E0">
              <w:rPr>
                <w:sz w:val="19"/>
                <w:szCs w:val="19"/>
              </w:rPr>
              <w:lastRenderedPageBreak/>
              <w:t xml:space="preserve">Violation of bodily integrity prevents one from trusting others and oneself to the distressing extent that victims internalise culpability </w:t>
            </w:r>
          </w:p>
        </w:tc>
        <w:tc>
          <w:tcPr>
            <w:tcW w:w="4680" w:type="dxa"/>
          </w:tcPr>
          <w:p w14:paraId="03835CDC" w14:textId="77777777" w:rsidR="0099483B" w:rsidRPr="00C554E0" w:rsidRDefault="0099483B" w:rsidP="0099483B">
            <w:pPr>
              <w:rPr>
                <w:sz w:val="19"/>
                <w:szCs w:val="19"/>
              </w:rPr>
            </w:pPr>
            <w:r w:rsidRPr="00C554E0">
              <w:rPr>
                <w:sz w:val="19"/>
                <w:szCs w:val="19"/>
              </w:rPr>
              <w:t xml:space="preserve">Violation of </w:t>
            </w:r>
            <w:r w:rsidRPr="00C554E0">
              <w:rPr>
                <w:bCs/>
                <w:sz w:val="19"/>
                <w:szCs w:val="19"/>
              </w:rPr>
              <w:t>epistemic</w:t>
            </w:r>
            <w:r w:rsidRPr="00C554E0">
              <w:rPr>
                <w:sz w:val="19"/>
                <w:szCs w:val="19"/>
              </w:rPr>
              <w:t xml:space="preserve"> integrity prevents one from trusting others and one’s own rational capacities to the distressing extent that victims internalise culpability </w:t>
            </w:r>
          </w:p>
        </w:tc>
      </w:tr>
      <w:tr w:rsidR="0099483B" w:rsidRPr="00C554E0" w14:paraId="5D12F8EC" w14:textId="77777777" w:rsidTr="0099483B">
        <w:trPr>
          <w:trHeight w:val="2319"/>
        </w:trPr>
        <w:tc>
          <w:tcPr>
            <w:tcW w:w="4570" w:type="dxa"/>
          </w:tcPr>
          <w:p w14:paraId="247D6636" w14:textId="260F07E7" w:rsidR="0099483B" w:rsidRPr="00C554E0" w:rsidRDefault="0099483B" w:rsidP="0099483B">
            <w:pPr>
              <w:rPr>
                <w:sz w:val="19"/>
                <w:szCs w:val="19"/>
              </w:rPr>
            </w:pPr>
            <w:r w:rsidRPr="00C554E0">
              <w:rPr>
                <w:sz w:val="19"/>
                <w:szCs w:val="19"/>
              </w:rPr>
              <w:t>“Physical abuse represents a type of disrespect that does lasting damage to one’s basic confidence … that one can autonomously coordinate one’s own body”</w:t>
            </w:r>
            <w:r w:rsidR="002470D1">
              <w:rPr>
                <w:rStyle w:val="FootnoteReference"/>
                <w:sz w:val="19"/>
                <w:szCs w:val="19"/>
              </w:rPr>
              <w:footnoteReference w:id="44"/>
            </w:r>
          </w:p>
        </w:tc>
        <w:tc>
          <w:tcPr>
            <w:tcW w:w="4680" w:type="dxa"/>
          </w:tcPr>
          <w:p w14:paraId="79C6DCD6" w14:textId="77777777" w:rsidR="0099483B" w:rsidRPr="00C554E0" w:rsidRDefault="0099483B" w:rsidP="0099483B">
            <w:pPr>
              <w:rPr>
                <w:sz w:val="19"/>
                <w:szCs w:val="19"/>
              </w:rPr>
            </w:pPr>
            <w:r w:rsidRPr="00C554E0">
              <w:rPr>
                <w:sz w:val="19"/>
                <w:szCs w:val="19"/>
              </w:rPr>
              <w:t xml:space="preserve">Discursive abuse represents a type of disrespect that does lasting damage to one’s basic confidence that one can autonomously coordinate one’s own </w:t>
            </w:r>
            <w:r w:rsidRPr="00C554E0">
              <w:rPr>
                <w:bCs/>
                <w:sz w:val="19"/>
                <w:szCs w:val="19"/>
              </w:rPr>
              <w:t>claims and participate in the game of giving and asking for reasons</w:t>
            </w:r>
          </w:p>
        </w:tc>
      </w:tr>
    </w:tbl>
    <w:p w14:paraId="31A0A4A5" w14:textId="15FFFB74" w:rsidR="00EF2753" w:rsidRPr="00C554E0" w:rsidRDefault="007E5E42" w:rsidP="001A4478">
      <w:r w:rsidRPr="00C554E0">
        <w:t xml:space="preserve"> </w:t>
      </w:r>
    </w:p>
    <w:p w14:paraId="7AD91233" w14:textId="56C6BE43" w:rsidR="001A4478" w:rsidRPr="00C554E0" w:rsidRDefault="00775C29" w:rsidP="001A4478">
      <w:pPr>
        <w:rPr>
          <w:bCs/>
        </w:rPr>
      </w:pPr>
      <w:r w:rsidRPr="00C554E0">
        <w:t>A further harm of the denial of epistemic recognition as a fellow member of a</w:t>
      </w:r>
      <w:r w:rsidR="00B968A4" w:rsidRPr="00C554E0">
        <w:t xml:space="preserve">n epistemic </w:t>
      </w:r>
      <w:r w:rsidRPr="00C554E0">
        <w:t xml:space="preserve">community is that the collapse of self-confidence as a rational </w:t>
      </w:r>
      <w:r w:rsidR="00E53960" w:rsidRPr="00C554E0">
        <w:t>i</w:t>
      </w:r>
      <w:r w:rsidRPr="00C554E0">
        <w:t xml:space="preserve">nquirer stultifies a person’s ability to actively participate in practices designed to bring about </w:t>
      </w:r>
      <w:r w:rsidRPr="00C554E0">
        <w:rPr>
          <w:i/>
        </w:rPr>
        <w:t>social change</w:t>
      </w:r>
      <w:r w:rsidRPr="00C554E0">
        <w:t xml:space="preserve">: the asymmetrical nature of the cognitive environment means that those who are accorded </w:t>
      </w:r>
      <w:r w:rsidR="005A625F" w:rsidRPr="00C554E0">
        <w:t xml:space="preserve">little or </w:t>
      </w:r>
      <w:r w:rsidRPr="00C554E0">
        <w:t xml:space="preserve">no testimonial credibility are </w:t>
      </w:r>
      <w:r w:rsidR="001A4478" w:rsidRPr="00C554E0">
        <w:t xml:space="preserve">further </w:t>
      </w:r>
      <w:r w:rsidRPr="00C554E0">
        <w:t>rendered powerless by having their knowledge claims</w:t>
      </w:r>
      <w:r w:rsidR="001A4478" w:rsidRPr="00C554E0">
        <w:t>,</w:t>
      </w:r>
      <w:r w:rsidRPr="00C554E0">
        <w:t xml:space="preserve"> which challenge various social attitudes</w:t>
      </w:r>
      <w:r w:rsidR="001A4478" w:rsidRPr="00C554E0">
        <w:t>, summarily dismissed.</w:t>
      </w:r>
      <w:r w:rsidR="001A4478" w:rsidRPr="00C554E0">
        <w:rPr>
          <w:bCs/>
        </w:rPr>
        <w:t xml:space="preserve"> As </w:t>
      </w:r>
      <w:r w:rsidR="005A625F" w:rsidRPr="00C554E0">
        <w:rPr>
          <w:bCs/>
        </w:rPr>
        <w:t xml:space="preserve">Jane </w:t>
      </w:r>
      <w:r w:rsidR="001A4478" w:rsidRPr="00C554E0">
        <w:rPr>
          <w:bCs/>
        </w:rPr>
        <w:t>McConkey writes:</w:t>
      </w:r>
    </w:p>
    <w:p w14:paraId="749C1A92" w14:textId="77777777" w:rsidR="001A4478" w:rsidRPr="00C554E0" w:rsidRDefault="001A4478" w:rsidP="001A4478">
      <w:pPr>
        <w:rPr>
          <w:bCs/>
        </w:rPr>
      </w:pPr>
    </w:p>
    <w:p w14:paraId="23B4508C" w14:textId="30529974" w:rsidR="001A4478" w:rsidRPr="006701BE" w:rsidRDefault="001A4478" w:rsidP="001A4478">
      <w:pPr>
        <w:spacing w:line="240" w:lineRule="auto"/>
        <w:ind w:left="567" w:right="680"/>
        <w:rPr>
          <w:rFonts w:eastAsia="Calibri"/>
          <w:bCs/>
          <w:sz w:val="20"/>
          <w:szCs w:val="20"/>
          <w:lang w:eastAsia="en-US"/>
        </w:rPr>
      </w:pPr>
      <w:r w:rsidRPr="006701BE">
        <w:rPr>
          <w:rFonts w:eastAsia="Calibri"/>
          <w:bCs/>
          <w:sz w:val="20"/>
          <w:szCs w:val="20"/>
          <w:lang w:eastAsia="en-US"/>
        </w:rPr>
        <w:t xml:space="preserve">It is questionable whether an individual or group could ever really be regarded as an effective challenger to the dominant interpretations in society if they were not understood as credible knowers. In order to defy their invisibility in the self-understandings of society, putative knowers </w:t>
      </w:r>
      <w:proofErr w:type="gramStart"/>
      <w:r w:rsidRPr="006701BE">
        <w:rPr>
          <w:rFonts w:eastAsia="Calibri"/>
          <w:bCs/>
          <w:sz w:val="20"/>
          <w:szCs w:val="20"/>
          <w:lang w:eastAsia="en-US"/>
        </w:rPr>
        <w:t>have to</w:t>
      </w:r>
      <w:proofErr w:type="gramEnd"/>
      <w:r w:rsidRPr="006701BE">
        <w:rPr>
          <w:rFonts w:eastAsia="Calibri"/>
          <w:bCs/>
          <w:sz w:val="20"/>
          <w:szCs w:val="20"/>
          <w:lang w:eastAsia="en-US"/>
        </w:rPr>
        <w:t xml:space="preserve"> have their new claims to knowledge accepted as at least possibly true. They must be considered as people who can reliably tell us how things are, but this will only be achieved when they are afforded credibility.</w:t>
      </w:r>
      <w:r w:rsidR="002470D1" w:rsidRPr="006701BE">
        <w:rPr>
          <w:rStyle w:val="FootnoteReference"/>
          <w:rFonts w:eastAsia="Calibri"/>
          <w:bCs/>
          <w:sz w:val="20"/>
          <w:szCs w:val="20"/>
          <w:lang w:eastAsia="en-US"/>
        </w:rPr>
        <w:footnoteReference w:id="45"/>
      </w:r>
    </w:p>
    <w:p w14:paraId="5782C7ED" w14:textId="77777777" w:rsidR="001A4478" w:rsidRPr="00C554E0" w:rsidRDefault="001A4478" w:rsidP="00222722"/>
    <w:p w14:paraId="2DE4E513" w14:textId="30269728" w:rsidR="00A11EAA" w:rsidRDefault="003C6D09" w:rsidP="00A11EAA">
      <w:r w:rsidRPr="00C554E0">
        <w:t xml:space="preserve">In addition, there is a significant danger that testimonial nonrecognition and the lasting effects of </w:t>
      </w:r>
      <w:r w:rsidR="0090418B" w:rsidRPr="00C554E0">
        <w:t xml:space="preserve">discursive </w:t>
      </w:r>
      <w:r w:rsidRPr="00C554E0">
        <w:t>abuse can be so systemic</w:t>
      </w:r>
      <w:r w:rsidR="00A10271" w:rsidRPr="00C554E0">
        <w:t>, as in gaslighting,</w:t>
      </w:r>
      <w:r w:rsidRPr="00C554E0">
        <w:t xml:space="preserve"> that </w:t>
      </w:r>
      <w:r w:rsidR="00A10271" w:rsidRPr="00C554E0">
        <w:t>the victim</w:t>
      </w:r>
      <w:r w:rsidR="004B4826" w:rsidRPr="00C554E0">
        <w:t xml:space="preserve"> </w:t>
      </w:r>
      <w:r w:rsidRPr="00C554E0">
        <w:t xml:space="preserve">can end up thinking </w:t>
      </w:r>
      <w:r w:rsidRPr="00C554E0">
        <w:rPr>
          <w:i/>
        </w:rPr>
        <w:t>they</w:t>
      </w:r>
      <w:r w:rsidRPr="00C554E0">
        <w:t xml:space="preserve"> </w:t>
      </w:r>
      <w:r w:rsidR="00CB2B25" w:rsidRPr="00C554E0">
        <w:t xml:space="preserve">are at fault or that </w:t>
      </w:r>
      <w:r w:rsidR="00CB2B25" w:rsidRPr="00C554E0">
        <w:rPr>
          <w:i/>
        </w:rPr>
        <w:t>they</w:t>
      </w:r>
      <w:r w:rsidR="00CB2B25" w:rsidRPr="00C554E0">
        <w:t xml:space="preserve"> </w:t>
      </w:r>
      <w:r w:rsidRPr="00C554E0">
        <w:t>deserve such treatment</w:t>
      </w:r>
      <w:r w:rsidR="001665E3" w:rsidRPr="00C554E0">
        <w:t>.</w:t>
      </w:r>
      <w:r w:rsidR="00A11EAA">
        <w:t xml:space="preserve"> </w:t>
      </w:r>
      <w:r w:rsidR="00A10271" w:rsidRPr="00C554E0">
        <w:t xml:space="preserve">As agents, </w:t>
      </w:r>
      <w:r w:rsidR="002470D1" w:rsidRPr="002470D1">
        <w:t xml:space="preserve">we do not view ourselves as normatively self-supporting. However, this does not mean that we thereby relinquish our status as </w:t>
      </w:r>
      <w:r w:rsidR="002470D1" w:rsidRPr="002470D1">
        <w:rPr>
          <w:i/>
        </w:rPr>
        <w:t xml:space="preserve">independent </w:t>
      </w:r>
      <w:r w:rsidR="002470D1" w:rsidRPr="00A11EAA">
        <w:rPr>
          <w:iCs/>
        </w:rPr>
        <w:t>thinkers</w:t>
      </w:r>
      <w:r w:rsidR="002470D1" w:rsidRPr="002470D1">
        <w:t>. Rather, this means that we continuously check our individual commitments and judgements against the commitments and judgements of our fellow agents.</w:t>
      </w:r>
      <w:r w:rsidR="00A10271" w:rsidRPr="00C554E0">
        <w:t xml:space="preserve"> </w:t>
      </w:r>
      <w:r w:rsidR="002470D1" w:rsidRPr="002470D1">
        <w:t xml:space="preserve">Such a subject is active </w:t>
      </w:r>
      <w:r w:rsidR="002470D1" w:rsidRPr="002470D1">
        <w:rPr>
          <w:bCs/>
        </w:rPr>
        <w:t xml:space="preserve">in </w:t>
      </w:r>
      <w:r w:rsidR="002470D1" w:rsidRPr="002470D1">
        <w:t xml:space="preserve">that they are not passive </w:t>
      </w:r>
      <w:r w:rsidR="00A11EAA">
        <w:t>‘</w:t>
      </w:r>
      <w:r w:rsidR="002470D1" w:rsidRPr="002470D1">
        <w:t>in the use of [their] reason</w:t>
      </w:r>
      <w:r w:rsidR="00A11EAA">
        <w:t>’</w:t>
      </w:r>
      <w:r w:rsidR="002470D1" w:rsidRPr="002470D1">
        <w:t>,</w:t>
      </w:r>
      <w:r w:rsidR="002470D1" w:rsidRPr="002470D1">
        <w:rPr>
          <w:vertAlign w:val="superscript"/>
        </w:rPr>
        <w:footnoteReference w:id="46"/>
      </w:r>
      <w:r w:rsidR="002470D1" w:rsidRPr="002470D1">
        <w:t xml:space="preserve"> where the </w:t>
      </w:r>
      <w:r w:rsidR="002470D1" w:rsidRPr="002470D1">
        <w:lastRenderedPageBreak/>
        <w:t xml:space="preserve">sense of passivity here is one which is formally similar to that of the logical egoist, namely someone who considers themselves </w:t>
      </w:r>
      <w:r w:rsidR="00A11EAA">
        <w:t>‘</w:t>
      </w:r>
      <w:r w:rsidR="002470D1" w:rsidRPr="002470D1">
        <w:t>to be cognitively self-sufficient</w:t>
      </w:r>
      <w:r w:rsidR="00A11EAA">
        <w:t>’</w:t>
      </w:r>
      <w:r w:rsidR="002470D1" w:rsidRPr="002470D1">
        <w:t>.</w:t>
      </w:r>
      <w:r w:rsidR="002470D1" w:rsidRPr="002470D1">
        <w:rPr>
          <w:vertAlign w:val="superscript"/>
        </w:rPr>
        <w:footnoteReference w:id="47"/>
      </w:r>
      <w:r w:rsidR="00A11EAA">
        <w:t xml:space="preserve"> </w:t>
      </w:r>
    </w:p>
    <w:p w14:paraId="195FCCDA" w14:textId="1A0AB6C9" w:rsidR="002470D1" w:rsidRPr="002470D1" w:rsidRDefault="002470D1" w:rsidP="00A11EAA">
      <w:pPr>
        <w:ind w:firstLine="567"/>
      </w:pPr>
      <w:r w:rsidRPr="002470D1">
        <w:t>Since human beings are intersubjectively vulnerable and pay attention to how they are regarded by one another, critical comments are often understood as offering opportunities for self-improvement.</w:t>
      </w:r>
      <w:r w:rsidRPr="002470D1">
        <w:rPr>
          <w:vertAlign w:val="superscript"/>
        </w:rPr>
        <w:footnoteReference w:id="48"/>
      </w:r>
      <w:r w:rsidRPr="002470D1">
        <w:t xml:space="preserve"> For example, receiving a reviewer’s report on a paper submitted to a professional academic journal which recommends rejection or revision and resubmission can often alert an author to weaknesses or errors on the author’s part. However, regressive recognition orders </w:t>
      </w:r>
      <w:r w:rsidRPr="00A11EAA">
        <w:rPr>
          <w:i/>
          <w:iCs/>
        </w:rPr>
        <w:t>deliberately</w:t>
      </w:r>
      <w:r w:rsidRPr="002470D1">
        <w:t xml:space="preserve"> </w:t>
      </w:r>
      <w:r w:rsidRPr="008109CA">
        <w:rPr>
          <w:i/>
          <w:iCs/>
        </w:rPr>
        <w:t xml:space="preserve">exploit </w:t>
      </w:r>
      <w:r w:rsidRPr="002470D1">
        <w:t xml:space="preserve">intersubjective vulnerability and </w:t>
      </w:r>
      <w:r w:rsidRPr="008109CA">
        <w:rPr>
          <w:i/>
          <w:iCs/>
        </w:rPr>
        <w:t>pervert</w:t>
      </w:r>
      <w:r w:rsidRPr="002470D1">
        <w:t xml:space="preserve"> communicative dynamics of critique by making those excluded from the social space of reasons </w:t>
      </w:r>
      <w:r w:rsidR="008109CA" w:rsidRPr="008109CA">
        <w:rPr>
          <w:i/>
          <w:iCs/>
        </w:rPr>
        <w:t xml:space="preserve">think and </w:t>
      </w:r>
      <w:r w:rsidRPr="008109CA">
        <w:rPr>
          <w:i/>
          <w:iCs/>
        </w:rPr>
        <w:t>feel</w:t>
      </w:r>
      <w:r w:rsidRPr="002470D1">
        <w:t xml:space="preserve"> as though their rejection is </w:t>
      </w:r>
      <w:r w:rsidRPr="00A11EAA">
        <w:rPr>
          <w:iCs/>
        </w:rPr>
        <w:t>entirely the result of their failings</w:t>
      </w:r>
      <w:r w:rsidRPr="002470D1">
        <w:t>. Systemic testimonial nonrecognition permeates individuals’ or a social group’s psychology</w:t>
      </w:r>
      <w:r w:rsidRPr="002470D1">
        <w:rPr>
          <w:bCs/>
        </w:rPr>
        <w:t xml:space="preserve"> to the extent</w:t>
      </w:r>
      <w:r w:rsidRPr="002470D1">
        <w:t xml:space="preserve"> that individuals </w:t>
      </w:r>
      <w:r w:rsidRPr="002470D1">
        <w:rPr>
          <w:bCs/>
        </w:rPr>
        <w:t xml:space="preserve">or a social group </w:t>
      </w:r>
      <w:r w:rsidRPr="002470D1">
        <w:t>are made to blame themselves for not being deemed worthy enough to be afforded credibility.</w:t>
      </w:r>
      <w:r>
        <w:t xml:space="preserve"> </w:t>
      </w:r>
    </w:p>
    <w:p w14:paraId="5747DB2A" w14:textId="47C424E4" w:rsidR="00CB1BEF" w:rsidRPr="00C554E0" w:rsidRDefault="00CB1BEF" w:rsidP="00CB1BEF">
      <w:pPr>
        <w:ind w:firstLine="567"/>
      </w:pPr>
      <w:r w:rsidRPr="00C554E0">
        <w:t xml:space="preserve">In response to </w:t>
      </w:r>
      <w:r w:rsidR="00DB15BE">
        <w:t>the</w:t>
      </w:r>
      <w:r w:rsidRPr="00C554E0">
        <w:t xml:space="preserve"> analogy between discursive abuse and the violation of bodily integrity, Lobb has critiqued </w:t>
      </w:r>
      <w:r w:rsidR="00A358BE">
        <w:t>i</w:t>
      </w:r>
      <w:r w:rsidR="008109CA" w:rsidRPr="002470D1">
        <w:t>t</w:t>
      </w:r>
      <w:r w:rsidRPr="00C554E0">
        <w:t>:</w:t>
      </w:r>
    </w:p>
    <w:p w14:paraId="4462F4CF" w14:textId="77777777" w:rsidR="00CB1BEF" w:rsidRPr="00C554E0" w:rsidRDefault="00CB1BEF" w:rsidP="00CB1BEF">
      <w:pPr>
        <w:ind w:firstLine="567"/>
      </w:pPr>
    </w:p>
    <w:p w14:paraId="4B8E8A0B" w14:textId="4D3311CA" w:rsidR="00CB1BEF" w:rsidRPr="006701BE" w:rsidRDefault="00CB1BEF" w:rsidP="00CB1BEF">
      <w:pPr>
        <w:spacing w:line="240" w:lineRule="auto"/>
        <w:ind w:left="567" w:right="680"/>
        <w:rPr>
          <w:sz w:val="20"/>
          <w:szCs w:val="20"/>
        </w:rPr>
      </w:pPr>
      <w:r w:rsidRPr="006701BE">
        <w:rPr>
          <w:sz w:val="20"/>
          <w:szCs w:val="20"/>
        </w:rPr>
        <w:t xml:space="preserve">… physical abuse might be not just </w:t>
      </w:r>
      <w:r w:rsidRPr="006701BE">
        <w:rPr>
          <w:i/>
          <w:sz w:val="20"/>
          <w:szCs w:val="20"/>
        </w:rPr>
        <w:t>analogous</w:t>
      </w:r>
      <w:r w:rsidRPr="006701BE">
        <w:rPr>
          <w:sz w:val="20"/>
          <w:szCs w:val="20"/>
        </w:rPr>
        <w:t xml:space="preserve"> to epistemic abuse, but that physical abuse itself can have direct and severe negative epistemic consequences for the victim. Insofar as these then subsequently harm her capacities to function well as a knower, they also qualify as </w:t>
      </w:r>
      <w:r w:rsidRPr="006701BE">
        <w:rPr>
          <w:i/>
          <w:sz w:val="20"/>
          <w:szCs w:val="20"/>
        </w:rPr>
        <w:t>epistemic harms</w:t>
      </w:r>
      <w:r w:rsidRPr="006701BE">
        <w:rPr>
          <w:sz w:val="20"/>
          <w:szCs w:val="20"/>
        </w:rPr>
        <w:t xml:space="preserve">. Of course, a rapist’s violation of his victim’s integrity and agency is not directed explicitly at his victim’s capacity as a knower </w:t>
      </w:r>
      <w:r w:rsidRPr="006701BE">
        <w:rPr>
          <w:i/>
          <w:sz w:val="20"/>
          <w:szCs w:val="20"/>
        </w:rPr>
        <w:t>per se</w:t>
      </w:r>
      <w:r w:rsidR="008C15BE" w:rsidRPr="006701BE">
        <w:rPr>
          <w:sz w:val="20"/>
          <w:szCs w:val="20"/>
        </w:rPr>
        <w:t xml:space="preserve"> – </w:t>
      </w:r>
      <w:r w:rsidRPr="006701BE">
        <w:rPr>
          <w:sz w:val="20"/>
          <w:szCs w:val="20"/>
        </w:rPr>
        <w:t xml:space="preserve">except insofar as his intention manifests utter indifference to what she knows about her own desires: namely that she does not </w:t>
      </w:r>
      <w:r w:rsidRPr="006701BE">
        <w:rPr>
          <w:i/>
          <w:sz w:val="20"/>
          <w:szCs w:val="20"/>
        </w:rPr>
        <w:t>want this to be happening to her</w:t>
      </w:r>
      <w:r w:rsidRPr="006701BE">
        <w:rPr>
          <w:sz w:val="20"/>
          <w:szCs w:val="20"/>
        </w:rPr>
        <w:t xml:space="preserve">. But such violation can, I suggest, bring resultant epistemic harms that, as Honneth suggests, can undo the foundational sense of an embodied self-confidence and not only shatter the epistemic trust and openness to the world and other people, but also undermine the subject’s epistemic trust in the </w:t>
      </w:r>
      <w:r w:rsidRPr="006701BE">
        <w:rPr>
          <w:i/>
          <w:sz w:val="20"/>
          <w:szCs w:val="20"/>
        </w:rPr>
        <w:t>signals of the body itself</w:t>
      </w:r>
      <w:r w:rsidRPr="006701BE">
        <w:rPr>
          <w:sz w:val="20"/>
          <w:szCs w:val="20"/>
        </w:rPr>
        <w:t xml:space="preserve">. The harms that may be done to the physically violated subject specifically </w:t>
      </w:r>
      <w:r w:rsidRPr="006701BE">
        <w:rPr>
          <w:i/>
          <w:iCs/>
          <w:sz w:val="20"/>
          <w:szCs w:val="20"/>
        </w:rPr>
        <w:t xml:space="preserve">as a knower </w:t>
      </w:r>
      <w:r w:rsidRPr="006701BE">
        <w:rPr>
          <w:sz w:val="20"/>
          <w:szCs w:val="20"/>
        </w:rPr>
        <w:t xml:space="preserve">might not be accessible at all if we take the figure of the </w:t>
      </w:r>
      <w:r w:rsidRPr="006701BE">
        <w:rPr>
          <w:i/>
          <w:iCs/>
          <w:sz w:val="20"/>
          <w:szCs w:val="20"/>
        </w:rPr>
        <w:t xml:space="preserve">knower </w:t>
      </w:r>
      <w:r w:rsidRPr="006701BE">
        <w:rPr>
          <w:sz w:val="20"/>
          <w:szCs w:val="20"/>
        </w:rPr>
        <w:t xml:space="preserve">to be synonymous with a </w:t>
      </w:r>
      <w:r w:rsidRPr="006701BE">
        <w:rPr>
          <w:i/>
          <w:iCs/>
          <w:sz w:val="20"/>
          <w:szCs w:val="20"/>
        </w:rPr>
        <w:t xml:space="preserve">rational enquirer. </w:t>
      </w:r>
      <w:r w:rsidRPr="006701BE">
        <w:rPr>
          <w:sz w:val="20"/>
          <w:szCs w:val="20"/>
        </w:rPr>
        <w:t xml:space="preserve">To accept such a claim requires countenancing modes in which embodied ways of knowing exceed or precede propositional, conceptual, and discursive knowledge, and indeed accepting that there may be modes of direct phenomenological apprehension of the world that do not involve rational enquiry at all. This is not in any way to underestimate the gravity of not being able to function fully as a rational enquirer, of course; rather, it is to suggest that to address </w:t>
      </w:r>
      <w:r w:rsidRPr="006701BE">
        <w:rPr>
          <w:i/>
          <w:iCs/>
          <w:sz w:val="20"/>
          <w:szCs w:val="20"/>
        </w:rPr>
        <w:t xml:space="preserve">only </w:t>
      </w:r>
      <w:r w:rsidRPr="006701BE">
        <w:rPr>
          <w:sz w:val="20"/>
          <w:szCs w:val="20"/>
        </w:rPr>
        <w:t>this kind of epistemic impact may be to underestimate the extent and depth of the loss of knowing function that is incurred by the violated body (as the subject of knowledge). This embodied form of epistemic harm, in other words, may shatter the capacity to function as a knower at levels of a different order than those which operate when she stands in the “space of reasons” as a rational enquirer, or functions as a giver of testimony, or accesses her culture’s semantic and hermeneutical resources. It is for this reason that I think that we need another phrase to describe it.</w:t>
      </w:r>
      <w:r w:rsidR="002470D1" w:rsidRPr="006701BE">
        <w:rPr>
          <w:rStyle w:val="FootnoteReference"/>
          <w:sz w:val="20"/>
          <w:szCs w:val="20"/>
        </w:rPr>
        <w:footnoteReference w:id="49"/>
      </w:r>
    </w:p>
    <w:p w14:paraId="1A3CEA3F" w14:textId="77777777" w:rsidR="00CB1BEF" w:rsidRPr="00C554E0" w:rsidRDefault="00CB1BEF" w:rsidP="00CB1BEF">
      <w:pPr>
        <w:ind w:firstLine="567"/>
      </w:pPr>
    </w:p>
    <w:p w14:paraId="7A7B5718" w14:textId="2F193439" w:rsidR="00960000" w:rsidRPr="00C554E0" w:rsidRDefault="008C15BE" w:rsidP="00960000">
      <w:r w:rsidRPr="00C554E0">
        <w:lastRenderedPageBreak/>
        <w:t xml:space="preserve">I </w:t>
      </w:r>
      <w:r w:rsidR="00A358BE">
        <w:t>sympathise</w:t>
      </w:r>
      <w:r w:rsidRPr="00C554E0">
        <w:t xml:space="preserve"> with </w:t>
      </w:r>
      <w:r w:rsidR="00A358BE">
        <w:t>Lobb’s</w:t>
      </w:r>
      <w:r w:rsidRPr="00C554E0">
        <w:t xml:space="preserve"> criti</w:t>
      </w:r>
      <w:r w:rsidR="00A358BE">
        <w:t>que</w:t>
      </w:r>
      <w:r w:rsidR="005A625F" w:rsidRPr="00C554E0">
        <w:t xml:space="preserve">. </w:t>
      </w:r>
      <w:r w:rsidR="00A358BE">
        <w:t>However</w:t>
      </w:r>
      <w:r w:rsidR="0078342E" w:rsidRPr="00C554E0">
        <w:t>,</w:t>
      </w:r>
      <w:r w:rsidR="00C6719B" w:rsidRPr="00C554E0">
        <w:t xml:space="preserve"> </w:t>
      </w:r>
      <w:r w:rsidR="003C1C42" w:rsidRPr="00C554E0">
        <w:t xml:space="preserve">for the purpose of this </w:t>
      </w:r>
      <w:r w:rsidR="002470D1" w:rsidRPr="002470D1">
        <w:t>paper</w:t>
      </w:r>
      <w:r w:rsidR="002470D1">
        <w:t xml:space="preserve"> </w:t>
      </w:r>
      <w:r w:rsidR="003C1C42" w:rsidRPr="00C554E0">
        <w:t xml:space="preserve">at least, </w:t>
      </w:r>
      <w:r w:rsidR="00C6719B" w:rsidRPr="00C554E0">
        <w:t xml:space="preserve">I would like to </w:t>
      </w:r>
      <w:r w:rsidR="00340C57" w:rsidRPr="00C554E0">
        <w:t xml:space="preserve">very </w:t>
      </w:r>
      <w:r w:rsidR="003C1C42" w:rsidRPr="00C554E0">
        <w:t xml:space="preserve">briefly </w:t>
      </w:r>
      <w:r w:rsidR="00C6719B" w:rsidRPr="00C554E0">
        <w:t xml:space="preserve">claim that </w:t>
      </w:r>
      <w:r w:rsidR="00A358BE">
        <w:t>her</w:t>
      </w:r>
      <w:r w:rsidR="00C6719B" w:rsidRPr="00C554E0">
        <w:t xml:space="preserve"> </w:t>
      </w:r>
      <w:r w:rsidR="00960000" w:rsidRPr="00C554E0">
        <w:t xml:space="preserve">legitimate </w:t>
      </w:r>
      <w:r w:rsidR="00C6719B" w:rsidRPr="00C554E0">
        <w:t>concern</w:t>
      </w:r>
      <w:r w:rsidR="0078342E" w:rsidRPr="00C554E0">
        <w:t xml:space="preserve">, namely that </w:t>
      </w:r>
      <w:r w:rsidR="00A358BE">
        <w:t xml:space="preserve">there is </w:t>
      </w:r>
      <w:r w:rsidR="00C6719B" w:rsidRPr="00C554E0">
        <w:t>insensitiv</w:t>
      </w:r>
      <w:r w:rsidR="00A358BE">
        <w:t>ity</w:t>
      </w:r>
      <w:r w:rsidR="00C6719B" w:rsidRPr="00C554E0">
        <w:t xml:space="preserve"> to the harms of</w:t>
      </w:r>
      <w:r w:rsidR="004F711D" w:rsidRPr="00C554E0">
        <w:t xml:space="preserve"> ‘</w:t>
      </w:r>
      <w:r w:rsidR="00C6719B" w:rsidRPr="00A358BE">
        <w:t>pre-discursive</w:t>
      </w:r>
      <w:r w:rsidR="00C6719B" w:rsidRPr="00C554E0">
        <w:t xml:space="preserve"> </w:t>
      </w:r>
      <w:r w:rsidR="004F711D" w:rsidRPr="00C554E0">
        <w:t>injury’</w:t>
      </w:r>
      <w:r w:rsidR="002C483D" w:rsidRPr="00C554E0">
        <w:t>,</w:t>
      </w:r>
      <w:r w:rsidR="00C6719B" w:rsidRPr="00C554E0">
        <w:t xml:space="preserve"> can be addressed by</w:t>
      </w:r>
      <w:r w:rsidR="009E0670" w:rsidRPr="00C554E0">
        <w:t xml:space="preserve"> </w:t>
      </w:r>
      <w:r w:rsidR="004F711D" w:rsidRPr="00C554E0">
        <w:t xml:space="preserve">carefully </w:t>
      </w:r>
      <w:r w:rsidR="009E0670" w:rsidRPr="00C554E0">
        <w:t>bringing in</w:t>
      </w:r>
      <w:r w:rsidR="002502CE" w:rsidRPr="00C554E0">
        <w:t>to the conversation</w:t>
      </w:r>
      <w:r w:rsidR="009E0670" w:rsidRPr="00C554E0">
        <w:t xml:space="preserve"> the </w:t>
      </w:r>
      <w:r w:rsidR="002C483D" w:rsidRPr="00C554E0">
        <w:t>additional</w:t>
      </w:r>
      <w:r w:rsidR="002C3676" w:rsidRPr="00C554E0">
        <w:t xml:space="preserve"> mode of recognition </w:t>
      </w:r>
      <w:r w:rsidR="002C483D" w:rsidRPr="00C554E0">
        <w:t xml:space="preserve">first </w:t>
      </w:r>
      <w:r w:rsidR="002C3676" w:rsidRPr="00C554E0">
        <w:t>articulated by Honneth</w:t>
      </w:r>
      <w:r w:rsidR="002502CE" w:rsidRPr="00C554E0">
        <w:t xml:space="preserve"> </w:t>
      </w:r>
      <w:r w:rsidR="0002395C" w:rsidRPr="00C554E0">
        <w:t xml:space="preserve">in </w:t>
      </w:r>
      <w:r w:rsidR="004F711D" w:rsidRPr="00C554E0">
        <w:t xml:space="preserve">his </w:t>
      </w:r>
      <w:r w:rsidR="0002395C" w:rsidRPr="00C554E0">
        <w:t>2001</w:t>
      </w:r>
      <w:r w:rsidR="008C7A88" w:rsidRPr="00C554E0">
        <w:t xml:space="preserve"> essay on </w:t>
      </w:r>
      <w:r w:rsidR="0001445E" w:rsidRPr="00C554E0">
        <w:t xml:space="preserve">Ralph Ellison’s </w:t>
      </w:r>
      <w:r w:rsidR="0001445E" w:rsidRPr="00C554E0">
        <w:rPr>
          <w:i/>
        </w:rPr>
        <w:t>Invisible Man</w:t>
      </w:r>
      <w:r w:rsidR="00960000" w:rsidRPr="00C554E0">
        <w:rPr>
          <w:i/>
        </w:rPr>
        <w:t xml:space="preserve"> </w:t>
      </w:r>
      <w:r w:rsidR="00960000" w:rsidRPr="00C554E0">
        <w:t xml:space="preserve">and </w:t>
      </w:r>
      <w:r w:rsidR="00DB15BE">
        <w:t xml:space="preserve">then elaborated </w:t>
      </w:r>
      <w:r w:rsidR="002C483D" w:rsidRPr="00C554E0">
        <w:t xml:space="preserve">in </w:t>
      </w:r>
      <w:r w:rsidR="002C483D" w:rsidRPr="00C554E0">
        <w:rPr>
          <w:i/>
        </w:rPr>
        <w:t>Reification</w:t>
      </w:r>
      <w:r w:rsidR="00960000" w:rsidRPr="00C554E0">
        <w:t>.</w:t>
      </w:r>
      <w:r w:rsidR="002470D1">
        <w:t xml:space="preserve">  </w:t>
      </w:r>
    </w:p>
    <w:p w14:paraId="6DBA0E4B" w14:textId="0E33A38B" w:rsidR="008109CA" w:rsidRDefault="0002395C" w:rsidP="008109CA">
      <w:pPr>
        <w:ind w:firstLine="567"/>
      </w:pPr>
      <w:r w:rsidRPr="00C554E0">
        <w:t xml:space="preserve">This </w:t>
      </w:r>
      <w:r w:rsidR="00DB15BE">
        <w:t xml:space="preserve">additional </w:t>
      </w:r>
      <w:r w:rsidR="002C483D" w:rsidRPr="00C554E0">
        <w:t>mode of recognition</w:t>
      </w:r>
      <w:r w:rsidR="006A20F4" w:rsidRPr="00C554E0">
        <w:t xml:space="preserve">, </w:t>
      </w:r>
      <w:r w:rsidR="002C483D" w:rsidRPr="00C554E0">
        <w:t xml:space="preserve">usually labelled as </w:t>
      </w:r>
      <w:r w:rsidR="006A20F4" w:rsidRPr="00C554E0">
        <w:t xml:space="preserve">‘antecedent recognition’ or </w:t>
      </w:r>
      <w:r w:rsidR="002C483D" w:rsidRPr="00C554E0">
        <w:t>‘</w:t>
      </w:r>
      <w:r w:rsidR="006A20F4" w:rsidRPr="00C554E0">
        <w:t>sympathetic engagement</w:t>
      </w:r>
      <w:r w:rsidR="002C483D" w:rsidRPr="00C554E0">
        <w:t>’</w:t>
      </w:r>
      <w:r w:rsidR="006A20F4" w:rsidRPr="00C554E0">
        <w:t>,</w:t>
      </w:r>
      <w:r w:rsidRPr="00C554E0">
        <w:t xml:space="preserve"> </w:t>
      </w:r>
      <w:r w:rsidR="00960000" w:rsidRPr="00C554E0">
        <w:t xml:space="preserve">is </w:t>
      </w:r>
      <w:r w:rsidR="006A20F4" w:rsidRPr="00C554E0">
        <w:t xml:space="preserve">developmentally and conceptually </w:t>
      </w:r>
      <w:r w:rsidR="00960000" w:rsidRPr="00C554E0">
        <w:t xml:space="preserve">prior to </w:t>
      </w:r>
      <w:r w:rsidR="002502CE" w:rsidRPr="00C554E0">
        <w:t>self-confidence, self-respect, and self-esteem</w:t>
      </w:r>
      <w:r w:rsidR="00845305" w:rsidRPr="00C554E0">
        <w:t>. Crucially, antecedent recognition necessarily involves t</w:t>
      </w:r>
      <w:r w:rsidR="00013FE8" w:rsidRPr="00C554E0">
        <w:t>he ability to take up</w:t>
      </w:r>
      <w:r w:rsidR="00960000" w:rsidRPr="00C554E0">
        <w:t xml:space="preserve"> the second-person perspective, meaning that </w:t>
      </w:r>
      <w:r w:rsidR="00960000" w:rsidRPr="00A11EAA">
        <w:rPr>
          <w:iCs/>
        </w:rPr>
        <w:t xml:space="preserve">the </w:t>
      </w:r>
      <w:r w:rsidR="00A11EAA" w:rsidRPr="00A11EAA">
        <w:rPr>
          <w:iCs/>
        </w:rPr>
        <w:t>O</w:t>
      </w:r>
      <w:r w:rsidR="00960000" w:rsidRPr="00A11EAA">
        <w:rPr>
          <w:iCs/>
        </w:rPr>
        <w:t>ther is</w:t>
      </w:r>
      <w:r w:rsidR="002C483D" w:rsidRPr="00A11EAA">
        <w:rPr>
          <w:iCs/>
        </w:rPr>
        <w:t>, by</w:t>
      </w:r>
      <w:r w:rsidR="00960000" w:rsidRPr="00A11EAA">
        <w:rPr>
          <w:iCs/>
        </w:rPr>
        <w:t xml:space="preserve"> </w:t>
      </w:r>
      <w:r w:rsidR="002C483D" w:rsidRPr="00A11EAA">
        <w:rPr>
          <w:iCs/>
        </w:rPr>
        <w:t xml:space="preserve">default, </w:t>
      </w:r>
      <w:r w:rsidR="00960000" w:rsidRPr="00A11EAA">
        <w:rPr>
          <w:iCs/>
        </w:rPr>
        <w:t xml:space="preserve">seen as a human rather than as a </w:t>
      </w:r>
      <w:r w:rsidR="002C483D" w:rsidRPr="008109CA">
        <w:rPr>
          <w:i/>
        </w:rPr>
        <w:t>mere</w:t>
      </w:r>
      <w:r w:rsidR="002C483D" w:rsidRPr="00A11EAA">
        <w:rPr>
          <w:iCs/>
        </w:rPr>
        <w:t xml:space="preserve"> </w:t>
      </w:r>
      <w:r w:rsidR="00960000" w:rsidRPr="008109CA">
        <w:rPr>
          <w:i/>
        </w:rPr>
        <w:t>thing</w:t>
      </w:r>
      <w:r w:rsidR="00960000" w:rsidRPr="00C554E0">
        <w:t xml:space="preserve">. </w:t>
      </w:r>
      <w:r w:rsidR="002C483D" w:rsidRPr="00C554E0">
        <w:t>Such a skill</w:t>
      </w:r>
      <w:r w:rsidR="00960000" w:rsidRPr="00C554E0">
        <w:t xml:space="preserve"> is </w:t>
      </w:r>
      <w:r w:rsidR="001F49E8" w:rsidRPr="00C554E0">
        <w:t xml:space="preserve">indispensable </w:t>
      </w:r>
      <w:r w:rsidR="00013FE8" w:rsidRPr="00C554E0">
        <w:t>for the later development of language</w:t>
      </w:r>
      <w:r w:rsidR="000768D0" w:rsidRPr="00C554E0">
        <w:t xml:space="preserve"> </w:t>
      </w:r>
      <w:r w:rsidR="00013FE8" w:rsidRPr="00C554E0">
        <w:t xml:space="preserve">and </w:t>
      </w:r>
      <w:r w:rsidR="003508D5" w:rsidRPr="00C554E0">
        <w:t>additional</w:t>
      </w:r>
      <w:r w:rsidR="00013FE8" w:rsidRPr="00C554E0">
        <w:t xml:space="preserve"> </w:t>
      </w:r>
      <w:r w:rsidR="002C483D" w:rsidRPr="00C554E0">
        <w:t>cognitive and psychological abilities</w:t>
      </w:r>
      <w:r w:rsidR="00013FE8" w:rsidRPr="00C554E0">
        <w:t>.</w:t>
      </w:r>
      <w:r w:rsidR="001C04FD" w:rsidRPr="00C554E0">
        <w:t xml:space="preserve"> However, importantly for Honneth, </w:t>
      </w:r>
      <w:r w:rsidR="002C483D" w:rsidRPr="00C554E0">
        <w:t>antecedent</w:t>
      </w:r>
      <w:r w:rsidR="003508D5" w:rsidRPr="00C554E0">
        <w:t xml:space="preserve"> recognition is</w:t>
      </w:r>
      <w:r w:rsidR="001C04FD" w:rsidRPr="00C554E0">
        <w:t xml:space="preserve"> </w:t>
      </w:r>
      <w:r w:rsidR="001C04FD" w:rsidRPr="008109CA">
        <w:rPr>
          <w:i/>
          <w:iCs/>
        </w:rPr>
        <w:t xml:space="preserve">not </w:t>
      </w:r>
      <w:r w:rsidR="001C04FD" w:rsidRPr="00C554E0">
        <w:t xml:space="preserve">achieved </w:t>
      </w:r>
      <w:r w:rsidR="002C483D" w:rsidRPr="00C554E0">
        <w:t>in a cognitive manner. I</w:t>
      </w:r>
      <w:r w:rsidR="001C04FD" w:rsidRPr="00C554E0">
        <w:t xml:space="preserve">t is not a matter of someone </w:t>
      </w:r>
      <w:r w:rsidR="00A11EAA">
        <w:t>‘</w:t>
      </w:r>
      <w:r w:rsidR="001C04FD" w:rsidRPr="00C554E0">
        <w:t>rationally processing the second-person standpoint</w:t>
      </w:r>
      <w:r w:rsidR="00A11EAA">
        <w:t>’</w:t>
      </w:r>
      <w:r w:rsidR="00DB15BE">
        <w:t>,</w:t>
      </w:r>
      <w:r w:rsidR="002470D1">
        <w:rPr>
          <w:rStyle w:val="FootnoteReference"/>
        </w:rPr>
        <w:footnoteReference w:id="50"/>
      </w:r>
      <w:r w:rsidR="00DB15BE">
        <w:t xml:space="preserve"> to quote Christopher Zurn</w:t>
      </w:r>
      <w:r w:rsidR="001C04FD" w:rsidRPr="00C554E0">
        <w:t xml:space="preserve">. Rather, it </w:t>
      </w:r>
      <w:r w:rsidR="00C85E83" w:rsidRPr="00C554E0">
        <w:t xml:space="preserve">comprises </w:t>
      </w:r>
      <w:r w:rsidR="001C04FD" w:rsidRPr="00C554E0">
        <w:t xml:space="preserve">a kind of </w:t>
      </w:r>
      <w:r w:rsidR="008109CA">
        <w:t>purely affective</w:t>
      </w:r>
      <w:r w:rsidR="002C483D" w:rsidRPr="00C554E0">
        <w:t xml:space="preserve">, pre-cognitive, </w:t>
      </w:r>
      <w:r w:rsidR="00C85E83" w:rsidRPr="008109CA">
        <w:rPr>
          <w:iCs/>
        </w:rPr>
        <w:t>sympathetic</w:t>
      </w:r>
      <w:r w:rsidR="001C04FD" w:rsidRPr="00C554E0">
        <w:t xml:space="preserve"> engagement with the </w:t>
      </w:r>
      <w:r w:rsidR="00A11EAA" w:rsidRPr="00A11EAA">
        <w:rPr>
          <w:iCs/>
        </w:rPr>
        <w:t>O</w:t>
      </w:r>
      <w:r w:rsidR="006340E7" w:rsidRPr="00C554E0">
        <w:t>ther</w:t>
      </w:r>
      <w:r w:rsidR="001C04FD" w:rsidRPr="00C554E0">
        <w:t>, where the</w:t>
      </w:r>
      <w:r w:rsidR="006340E7" w:rsidRPr="00C554E0">
        <w:t xml:space="preserve"> </w:t>
      </w:r>
      <w:r w:rsidR="00A11EAA" w:rsidRPr="00A11EAA">
        <w:rPr>
          <w:iCs/>
        </w:rPr>
        <w:t>O</w:t>
      </w:r>
      <w:r w:rsidR="001C04FD" w:rsidRPr="00C554E0">
        <w:t xml:space="preserve">ther is </w:t>
      </w:r>
      <w:r w:rsidR="00DB15BE" w:rsidRPr="008109CA">
        <w:t>directly</w:t>
      </w:r>
      <w:r w:rsidR="00DB15BE">
        <w:t xml:space="preserve"> </w:t>
      </w:r>
      <w:r w:rsidR="001C04FD" w:rsidRPr="00C554E0">
        <w:t xml:space="preserve">encountered as </w:t>
      </w:r>
      <w:r w:rsidR="001C04FD" w:rsidRPr="00A11EAA">
        <w:rPr>
          <w:iCs/>
        </w:rPr>
        <w:t xml:space="preserve">an emotional and intentional </w:t>
      </w:r>
      <w:r w:rsidR="001C04FD" w:rsidRPr="00C554E0">
        <w:t xml:space="preserve">creature with </w:t>
      </w:r>
      <w:r w:rsidR="006340E7" w:rsidRPr="00C554E0">
        <w:t>their</w:t>
      </w:r>
      <w:r w:rsidR="001C04FD" w:rsidRPr="00C554E0">
        <w:t xml:space="preserve"> own desires, goals, and project</w:t>
      </w:r>
      <w:r w:rsidR="005234A4" w:rsidRPr="00C554E0">
        <w:t>s.</w:t>
      </w:r>
      <w:r w:rsidR="00A11EAA">
        <w:t xml:space="preserve"> </w:t>
      </w:r>
    </w:p>
    <w:p w14:paraId="01084133" w14:textId="0209C3C7" w:rsidR="00A11EAA" w:rsidRPr="00A11EAA" w:rsidRDefault="005234A4" w:rsidP="008109CA">
      <w:pPr>
        <w:ind w:firstLine="567"/>
        <w:rPr>
          <w:rFonts w:eastAsia="Calibri"/>
          <w:szCs w:val="22"/>
          <w:lang w:eastAsia="en-US"/>
        </w:rPr>
      </w:pPr>
      <w:r w:rsidRPr="00C554E0">
        <w:t xml:space="preserve">In this respect, then, </w:t>
      </w:r>
      <w:r w:rsidR="00C34AE5" w:rsidRPr="00C554E0">
        <w:t xml:space="preserve">invisibilisation, namely </w:t>
      </w:r>
      <w:r w:rsidR="0075771F" w:rsidRPr="00C554E0">
        <w:t>act</w:t>
      </w:r>
      <w:r w:rsidR="00C34AE5" w:rsidRPr="00C554E0">
        <w:t>s</w:t>
      </w:r>
      <w:r w:rsidR="0075771F" w:rsidRPr="00C554E0">
        <w:t xml:space="preserve"> of ‘</w:t>
      </w:r>
      <w:r w:rsidRPr="00C554E0">
        <w:t>looking past or through</w:t>
      </w:r>
      <w:r w:rsidR="0075771F" w:rsidRPr="00C554E0">
        <w:t>’</w:t>
      </w:r>
      <w:r w:rsidR="00C34AE5" w:rsidRPr="00C554E0">
        <w:t xml:space="preserve">, </w:t>
      </w:r>
      <w:r w:rsidRPr="00C554E0">
        <w:t xml:space="preserve">involves withholding from </w:t>
      </w:r>
      <w:r w:rsidR="0075771F" w:rsidRPr="00C554E0">
        <w:t xml:space="preserve">a person </w:t>
      </w:r>
      <w:r w:rsidR="00F80CD8" w:rsidRPr="00C554E0">
        <w:t xml:space="preserve">both </w:t>
      </w:r>
      <w:r w:rsidRPr="00C554E0">
        <w:t>th</w:t>
      </w:r>
      <w:r w:rsidR="00F80CD8" w:rsidRPr="00C554E0">
        <w:t xml:space="preserve">e subtle and unsubtle expressive gestures </w:t>
      </w:r>
      <w:r w:rsidR="0075771F" w:rsidRPr="00C554E0">
        <w:t xml:space="preserve">that typically mark </w:t>
      </w:r>
      <w:r w:rsidR="00F34A02" w:rsidRPr="00C554E0">
        <w:t xml:space="preserve">the </w:t>
      </w:r>
      <w:r w:rsidR="00DB15BE">
        <w:t xml:space="preserve">original, </w:t>
      </w:r>
      <w:r w:rsidR="002C483D" w:rsidRPr="00C554E0">
        <w:t>sympathetic</w:t>
      </w:r>
      <w:r w:rsidR="00F34A02" w:rsidRPr="00C554E0">
        <w:t xml:space="preserve"> affirmation of the </w:t>
      </w:r>
      <w:r w:rsidR="008109CA">
        <w:t>O</w:t>
      </w:r>
      <w:r w:rsidR="00F34A02" w:rsidRPr="00C554E0">
        <w:t>ther</w:t>
      </w:r>
      <w:r w:rsidR="0075771F" w:rsidRPr="00C554E0">
        <w:t xml:space="preserve"> and the readiness to</w:t>
      </w:r>
      <w:r w:rsidR="00631C25" w:rsidRPr="00C554E0">
        <w:t xml:space="preserve"> communicate with the </w:t>
      </w:r>
      <w:r w:rsidR="008109CA">
        <w:t>O</w:t>
      </w:r>
      <w:r w:rsidR="00631C25" w:rsidRPr="00C554E0">
        <w:t>ther</w:t>
      </w:r>
      <w:r w:rsidR="008109CA">
        <w:rPr>
          <w:iCs/>
        </w:rPr>
        <w:t>, to whom</w:t>
      </w:r>
      <w:r w:rsidR="008109CA" w:rsidRPr="00A7702B">
        <w:rPr>
          <w:iCs/>
        </w:rPr>
        <w:t xml:space="preserve"> we are answerable</w:t>
      </w:r>
      <w:r w:rsidR="00631C25" w:rsidRPr="00C554E0">
        <w:t xml:space="preserve">. </w:t>
      </w:r>
      <w:r w:rsidR="004C13E9" w:rsidRPr="00C554E0">
        <w:t>Epistemic and social i</w:t>
      </w:r>
      <w:r w:rsidR="009D3537" w:rsidRPr="00C554E0">
        <w:t xml:space="preserve">nvisibilisation </w:t>
      </w:r>
      <w:r w:rsidR="00C07B8F" w:rsidRPr="00C554E0">
        <w:t>are</w:t>
      </w:r>
      <w:r w:rsidR="009D3537" w:rsidRPr="00C554E0">
        <w:t xml:space="preserve"> particularly vicious form</w:t>
      </w:r>
      <w:r w:rsidR="00C07B8F" w:rsidRPr="00C554E0">
        <w:t>s</w:t>
      </w:r>
      <w:r w:rsidR="009D3537" w:rsidRPr="00C554E0">
        <w:t xml:space="preserve"> of humiliation</w:t>
      </w:r>
      <w:r w:rsidR="004C13E9" w:rsidRPr="00C554E0">
        <w:t xml:space="preserve"> and violence</w:t>
      </w:r>
      <w:r w:rsidR="00C07B8F" w:rsidRPr="00C554E0">
        <w:t>; they are</w:t>
      </w:r>
      <w:r w:rsidR="009D3537" w:rsidRPr="00C554E0">
        <w:t xml:space="preserve"> a </w:t>
      </w:r>
      <w:r w:rsidR="00933F98">
        <w:t>‘</w:t>
      </w:r>
      <w:r w:rsidR="009D3537" w:rsidRPr="00C554E0">
        <w:t>deformation of the normal human capacity for the evaluative perception of others</w:t>
      </w:r>
      <w:r w:rsidR="00933F98">
        <w:t>’</w:t>
      </w:r>
      <w:r w:rsidR="009D3537" w:rsidRPr="00C554E0">
        <w:t>.</w:t>
      </w:r>
      <w:r w:rsidR="002470D1">
        <w:rPr>
          <w:rStyle w:val="FootnoteReference"/>
        </w:rPr>
        <w:footnoteReference w:id="51"/>
      </w:r>
      <w:r w:rsidR="002C483D" w:rsidRPr="00C554E0">
        <w:t xml:space="preserve"> </w:t>
      </w:r>
      <w:r w:rsidR="00A11EAA" w:rsidRPr="00A11EAA">
        <w:rPr>
          <w:rFonts w:eastAsia="Calibri"/>
          <w:szCs w:val="22"/>
          <w:lang w:eastAsia="en-US"/>
        </w:rPr>
        <w:t xml:space="preserve">This numbing of the appropriate reactive attitude harms one’s ability to maintain the Levinasian-Weilian </w:t>
      </w:r>
      <w:r w:rsidR="00933F98" w:rsidRPr="00933F98">
        <w:rPr>
          <w:rFonts w:eastAsia="Calibri"/>
          <w:szCs w:val="22"/>
          <w:lang w:eastAsia="en-US"/>
        </w:rPr>
        <w:t>summons</w:t>
      </w:r>
      <w:r w:rsidR="00933F98">
        <w:rPr>
          <w:rFonts w:eastAsia="Calibri"/>
          <w:szCs w:val="22"/>
          <w:lang w:eastAsia="en-US"/>
        </w:rPr>
        <w:t>-</w:t>
      </w:r>
      <w:r w:rsidR="00A11EAA" w:rsidRPr="00A11EAA">
        <w:rPr>
          <w:rFonts w:eastAsia="Calibri"/>
          <w:szCs w:val="22"/>
          <w:lang w:eastAsia="en-US"/>
        </w:rPr>
        <w:t xml:space="preserve">obligations one has when regarding the pain of others, and this in turn, entrenches and reproduces anomie. To paraphrase Susan Sontag, writing on Woolf’s </w:t>
      </w:r>
      <w:r w:rsidR="00A11EAA" w:rsidRPr="00A11EAA">
        <w:rPr>
          <w:rFonts w:eastAsia="Calibri"/>
          <w:i/>
          <w:szCs w:val="22"/>
          <w:lang w:eastAsia="en-US"/>
        </w:rPr>
        <w:t>Three Guineas</w:t>
      </w:r>
      <w:r w:rsidR="00A11EAA" w:rsidRPr="00A11EAA">
        <w:rPr>
          <w:rFonts w:eastAsia="Calibri"/>
          <w:szCs w:val="22"/>
          <w:lang w:eastAsia="en-US"/>
        </w:rPr>
        <w:t>:</w:t>
      </w:r>
    </w:p>
    <w:p w14:paraId="34B9E69E" w14:textId="77777777" w:rsidR="00A11EAA" w:rsidRPr="00A11EAA" w:rsidRDefault="00A11EAA" w:rsidP="00A11EAA">
      <w:pPr>
        <w:rPr>
          <w:rFonts w:eastAsia="Calibri"/>
          <w:szCs w:val="22"/>
          <w:lang w:eastAsia="en-US"/>
        </w:rPr>
      </w:pPr>
    </w:p>
    <w:p w14:paraId="5AD111DE" w14:textId="77777777" w:rsidR="00A11EAA" w:rsidRPr="00A11EAA" w:rsidRDefault="00A11EAA" w:rsidP="00A11EAA">
      <w:pPr>
        <w:spacing w:line="240" w:lineRule="auto"/>
        <w:ind w:left="567" w:right="680"/>
        <w:rPr>
          <w:rFonts w:eastAsia="Calibri"/>
          <w:sz w:val="20"/>
          <w:szCs w:val="20"/>
          <w:lang w:eastAsia="en-US"/>
        </w:rPr>
      </w:pPr>
      <w:r w:rsidRPr="00A11EAA">
        <w:rPr>
          <w:rFonts w:eastAsia="Calibri"/>
          <w:sz w:val="20"/>
          <w:szCs w:val="20"/>
          <w:lang w:eastAsia="en-US"/>
        </w:rPr>
        <w:t>Not to be pained … not to recoil … not to strive to abolish what causes this havoc … would be the reactions of a moral monster. And, she is saying, we are not monsters, we members of the educated class. Our failure is one of imagination, of empathy: we have failed to hold this reality in mind.</w:t>
      </w:r>
      <w:r w:rsidRPr="00A11EAA">
        <w:rPr>
          <w:rFonts w:eastAsia="Calibri"/>
          <w:sz w:val="20"/>
          <w:szCs w:val="20"/>
          <w:vertAlign w:val="superscript"/>
          <w:lang w:eastAsia="en-US"/>
        </w:rPr>
        <w:footnoteReference w:id="52"/>
      </w:r>
    </w:p>
    <w:p w14:paraId="4F822063" w14:textId="7587B208" w:rsidR="008C15BE" w:rsidRPr="00C554E0" w:rsidRDefault="00A11EAA" w:rsidP="00A11EAA">
      <w:pPr>
        <w:ind w:firstLine="567"/>
      </w:pPr>
      <w:r>
        <w:t xml:space="preserve"> </w:t>
      </w:r>
    </w:p>
    <w:p w14:paraId="417D8B2C" w14:textId="48222E28" w:rsidR="002470D1" w:rsidRPr="002470D1" w:rsidRDefault="008E3935" w:rsidP="002470D1">
      <w:pPr>
        <w:ind w:firstLine="567"/>
        <w:rPr>
          <w:bCs/>
        </w:rPr>
      </w:pPr>
      <w:r>
        <w:t xml:space="preserve">So </w:t>
      </w:r>
      <w:r w:rsidR="008A47BD" w:rsidRPr="00C554E0">
        <w:t xml:space="preserve">far, </w:t>
      </w:r>
      <w:r w:rsidR="006400D6" w:rsidRPr="00C554E0">
        <w:t xml:space="preserve">I have offered </w:t>
      </w:r>
      <w:r w:rsidR="00787EDB" w:rsidRPr="00C554E0">
        <w:t xml:space="preserve">some </w:t>
      </w:r>
      <w:r w:rsidR="006400D6" w:rsidRPr="00C554E0">
        <w:t xml:space="preserve">reasons for thinking there is a substantive role for recognition theory to play in </w:t>
      </w:r>
      <w:r w:rsidR="006400D6" w:rsidRPr="00C554E0">
        <w:rPr>
          <w:i/>
        </w:rPr>
        <w:t xml:space="preserve">articulating </w:t>
      </w:r>
      <w:r w:rsidR="0099483B" w:rsidRPr="00C554E0">
        <w:t>the harmful effects of</w:t>
      </w:r>
      <w:r w:rsidR="00446611" w:rsidRPr="00C554E0">
        <w:t xml:space="preserve"> </w:t>
      </w:r>
      <w:r w:rsidR="0099483B" w:rsidRPr="00C554E0">
        <w:rPr>
          <w:bCs/>
        </w:rPr>
        <w:t xml:space="preserve">silencing, ignorance, and violating a </w:t>
      </w:r>
      <w:r w:rsidR="0099483B" w:rsidRPr="00C554E0">
        <w:rPr>
          <w:bCs/>
        </w:rPr>
        <w:lastRenderedPageBreak/>
        <w:t>person’s integrity as a knowing agent.</w:t>
      </w:r>
      <w:r w:rsidR="002470D1" w:rsidRPr="002470D1">
        <w:t xml:space="preserve"> </w:t>
      </w:r>
      <w:r w:rsidR="002470D1" w:rsidRPr="002470D1">
        <w:rPr>
          <w:bCs/>
        </w:rPr>
        <w:t xml:space="preserve">However, I would now like to turn to a discussion of whether there is any scope for recognition theory </w:t>
      </w:r>
      <w:r w:rsidR="002470D1" w:rsidRPr="002470D1">
        <w:rPr>
          <w:bCs/>
          <w:i/>
        </w:rPr>
        <w:t xml:space="preserve">treating </w:t>
      </w:r>
      <w:r w:rsidR="002470D1" w:rsidRPr="002470D1">
        <w:rPr>
          <w:bCs/>
        </w:rPr>
        <w:t>the social path</w:t>
      </w:r>
      <w:r w:rsidR="00031955">
        <w:rPr>
          <w:bCs/>
        </w:rPr>
        <w:t>ology of testimonial injustice</w:t>
      </w:r>
      <w:r w:rsidR="00A358BE">
        <w:rPr>
          <w:bCs/>
        </w:rPr>
        <w:t xml:space="preserve"> at least</w:t>
      </w:r>
      <w:r w:rsidR="00031955">
        <w:rPr>
          <w:bCs/>
        </w:rPr>
        <w:t xml:space="preserve">. </w:t>
      </w:r>
      <w:r w:rsidR="00031955" w:rsidRPr="002470D1">
        <w:rPr>
          <w:bCs/>
        </w:rPr>
        <w:t>F</w:t>
      </w:r>
      <w:r w:rsidR="002470D1" w:rsidRPr="002470D1">
        <w:rPr>
          <w:bCs/>
        </w:rPr>
        <w:t>or Fricker, the best means of comba</w:t>
      </w:r>
      <w:r w:rsidR="00A358BE">
        <w:rPr>
          <w:bCs/>
        </w:rPr>
        <w:t>t</w:t>
      </w:r>
      <w:r w:rsidR="002470D1" w:rsidRPr="002470D1">
        <w:rPr>
          <w:bCs/>
        </w:rPr>
        <w:t xml:space="preserve">ting testimonial injustice involves the Aristotelian notion of moral training, specifically the idea of training </w:t>
      </w:r>
      <w:r w:rsidR="002470D1" w:rsidRPr="002470D1">
        <w:rPr>
          <w:bCs/>
          <w:i/>
        </w:rPr>
        <w:t>testimonial sensibility</w:t>
      </w:r>
      <w:r w:rsidR="002470D1" w:rsidRPr="002470D1">
        <w:rPr>
          <w:bCs/>
        </w:rPr>
        <w:t xml:space="preserve">: listeners need to be trained well to develop </w:t>
      </w:r>
      <w:r w:rsidR="002470D1" w:rsidRPr="002470D1">
        <w:rPr>
          <w:bCs/>
          <w:i/>
        </w:rPr>
        <w:t>as far as possible</w:t>
      </w:r>
      <w:r w:rsidR="002470D1" w:rsidRPr="002470D1">
        <w:rPr>
          <w:bCs/>
        </w:rPr>
        <w:t xml:space="preserve"> non-prejudicial attitudes about both their interlocutors (and themselves).</w:t>
      </w:r>
      <w:r w:rsidR="002470D1" w:rsidRPr="002470D1">
        <w:rPr>
          <w:bCs/>
          <w:vertAlign w:val="superscript"/>
        </w:rPr>
        <w:footnoteReference w:id="53"/>
      </w:r>
      <w:r w:rsidR="002470D1" w:rsidRPr="002470D1">
        <w:rPr>
          <w:bCs/>
        </w:rPr>
        <w:t xml:space="preserve"> As she writes:</w:t>
      </w:r>
    </w:p>
    <w:p w14:paraId="0850F89F" w14:textId="77777777" w:rsidR="002470D1" w:rsidRPr="002470D1" w:rsidRDefault="002470D1" w:rsidP="002470D1">
      <w:pPr>
        <w:ind w:firstLine="567"/>
        <w:rPr>
          <w:bCs/>
        </w:rPr>
      </w:pPr>
    </w:p>
    <w:p w14:paraId="255E92E0" w14:textId="77777777" w:rsidR="002470D1" w:rsidRPr="006701BE" w:rsidRDefault="002470D1" w:rsidP="002470D1">
      <w:pPr>
        <w:spacing w:line="240" w:lineRule="auto"/>
        <w:ind w:left="567" w:right="680"/>
        <w:rPr>
          <w:bCs/>
          <w:sz w:val="20"/>
          <w:szCs w:val="20"/>
        </w:rPr>
      </w:pPr>
      <w:r w:rsidRPr="006701BE">
        <w:rPr>
          <w:bCs/>
          <w:sz w:val="20"/>
          <w:szCs w:val="20"/>
        </w:rPr>
        <w:t>[P]</w:t>
      </w:r>
      <w:proofErr w:type="spellStart"/>
      <w:r w:rsidRPr="006701BE">
        <w:rPr>
          <w:bCs/>
          <w:sz w:val="20"/>
          <w:szCs w:val="20"/>
        </w:rPr>
        <w:t>erhaps</w:t>
      </w:r>
      <w:proofErr w:type="spellEnd"/>
      <w:r w:rsidRPr="006701BE">
        <w:rPr>
          <w:bCs/>
          <w:sz w:val="20"/>
          <w:szCs w:val="20"/>
        </w:rPr>
        <w:t xml:space="preserve"> we should think of the ideal hearer as someone for whom correcting for familiar prejudices has become second nature, while the requisite alertness to the influence of less familiar prejudices remains a matter of ongoing active critical reflection. This seems about right. What matters is that somehow or other one succeeds, reliably enough (through time and across a suitable span of prejudices), in correcting for prejudice in one’s credibility judgements. If one succeeds in that, then one has got the virtue of testimonial justice.</w:t>
      </w:r>
      <w:r w:rsidRPr="006701BE">
        <w:rPr>
          <w:bCs/>
          <w:sz w:val="20"/>
          <w:szCs w:val="20"/>
          <w:vertAlign w:val="superscript"/>
        </w:rPr>
        <w:footnoteReference w:id="54"/>
      </w:r>
    </w:p>
    <w:p w14:paraId="38356E2C" w14:textId="77777777" w:rsidR="002470D1" w:rsidRPr="002470D1" w:rsidRDefault="002470D1" w:rsidP="002470D1">
      <w:pPr>
        <w:ind w:firstLine="567"/>
        <w:rPr>
          <w:bCs/>
        </w:rPr>
      </w:pPr>
    </w:p>
    <w:p w14:paraId="74D05CCE" w14:textId="423F50D9" w:rsidR="002470D1" w:rsidRPr="002470D1" w:rsidRDefault="002470D1" w:rsidP="00A358BE">
      <w:pPr>
        <w:rPr>
          <w:bCs/>
        </w:rPr>
      </w:pPr>
      <w:r w:rsidRPr="002470D1">
        <w:rPr>
          <w:bCs/>
        </w:rPr>
        <w:t xml:space="preserve">A key feature of Fricker’s project of training testimonial sensibility involves the hearer developing greater empathetic competency. Empathy plays a crucial role here just not because this particular kind of intentional emotional state is a </w:t>
      </w:r>
      <w:r w:rsidRPr="002470D1">
        <w:rPr>
          <w:bCs/>
          <w:i/>
        </w:rPr>
        <w:t xml:space="preserve">formal </w:t>
      </w:r>
      <w:r w:rsidRPr="002470D1">
        <w:rPr>
          <w:bCs/>
        </w:rPr>
        <w:t>condition for trust,</w:t>
      </w:r>
      <w:r w:rsidRPr="002470D1">
        <w:rPr>
          <w:bCs/>
          <w:vertAlign w:val="superscript"/>
        </w:rPr>
        <w:footnoteReference w:id="55"/>
      </w:r>
      <w:r w:rsidRPr="002470D1">
        <w:rPr>
          <w:bCs/>
        </w:rPr>
        <w:t xml:space="preserve"> but also because empathy is required to </w:t>
      </w:r>
      <w:r w:rsidRPr="002470D1">
        <w:rPr>
          <w:bCs/>
          <w:lang w:val="en-US"/>
        </w:rPr>
        <w:t>make</w:t>
      </w:r>
      <w:r w:rsidRPr="002470D1">
        <w:rPr>
          <w:bCs/>
        </w:rPr>
        <w:t xml:space="preserve"> the </w:t>
      </w:r>
      <w:r w:rsidRPr="002470D1">
        <w:rPr>
          <w:bCs/>
          <w:i/>
        </w:rPr>
        <w:t>right</w:t>
      </w:r>
      <w:r w:rsidRPr="002470D1">
        <w:rPr>
          <w:bCs/>
        </w:rPr>
        <w:t xml:space="preserve"> kind of credibility attribution judgement: minimal levels of empathetic engagement invariably prevent a hearer from being salient to or correct for prejudice, since the failure to put oneself in one’s interlocutor’s shoes – whether due to emotional immaturity or due to personal vindictiveness – results in </w:t>
      </w:r>
      <w:r w:rsidRPr="002470D1">
        <w:rPr>
          <w:bCs/>
          <w:i/>
        </w:rPr>
        <w:t>epistemic misperception</w:t>
      </w:r>
      <w:r w:rsidRPr="002470D1">
        <w:rPr>
          <w:bCs/>
        </w:rPr>
        <w:t>. As Fricker writes</w:t>
      </w:r>
      <w:r w:rsidR="00031955" w:rsidRPr="002470D1">
        <w:rPr>
          <w:bCs/>
        </w:rPr>
        <w:t>,</w:t>
      </w:r>
      <w:r w:rsidRPr="002470D1">
        <w:rPr>
          <w:bCs/>
        </w:rPr>
        <w:t xml:space="preserve"> </w:t>
      </w:r>
      <w:r w:rsidR="00933F98">
        <w:rPr>
          <w:bCs/>
        </w:rPr>
        <w:t>‘</w:t>
      </w:r>
      <w:r w:rsidR="00031955" w:rsidRPr="00031955">
        <w:rPr>
          <w:bCs/>
        </w:rPr>
        <w:t>[</w:t>
      </w:r>
      <w:proofErr w:type="spellStart"/>
      <w:r w:rsidR="00031955" w:rsidRPr="002470D1">
        <w:rPr>
          <w:bCs/>
        </w:rPr>
        <w:t>i</w:t>
      </w:r>
      <w:proofErr w:type="spellEnd"/>
      <w:r w:rsidR="00031955" w:rsidRPr="00031955">
        <w:rPr>
          <w:bCs/>
        </w:rPr>
        <w:t>]</w:t>
      </w:r>
      <w:r w:rsidRPr="002470D1">
        <w:rPr>
          <w:bCs/>
        </w:rPr>
        <w:t>f, for instance, her lack of empathetic skill renders her unable to pick up on the fact that her interlocutor is afraid of her (perhaps he is a school pupil and she the head teacher), then she may well misperceive his manner, taking him, for instance, to be insincere when he is not</w:t>
      </w:r>
      <w:r w:rsidR="00933F98">
        <w:rPr>
          <w:bCs/>
        </w:rPr>
        <w:t>’</w:t>
      </w:r>
      <w:r w:rsidRPr="002470D1">
        <w:rPr>
          <w:bCs/>
        </w:rPr>
        <w:t>.</w:t>
      </w:r>
      <w:r w:rsidRPr="002470D1">
        <w:rPr>
          <w:bCs/>
          <w:vertAlign w:val="superscript"/>
        </w:rPr>
        <w:footnoteReference w:id="56"/>
      </w:r>
      <w:r w:rsidRPr="002470D1">
        <w:rPr>
          <w:bCs/>
        </w:rPr>
        <w:t xml:space="preserve"> </w:t>
      </w:r>
    </w:p>
    <w:p w14:paraId="7FBAD717" w14:textId="77777777" w:rsidR="00933F98" w:rsidRDefault="002470D1" w:rsidP="00A358BE">
      <w:pPr>
        <w:ind w:firstLine="567"/>
        <w:rPr>
          <w:bCs/>
        </w:rPr>
      </w:pPr>
      <w:r w:rsidRPr="002470D1">
        <w:rPr>
          <w:bCs/>
        </w:rPr>
        <w:t xml:space="preserve">      While there are virtues to Fricker’s account of empathy, epistemic exclusion, and silencing, I think empathy is too individualistic, and we need to theorise mis/nonrecognition as </w:t>
      </w:r>
      <w:r w:rsidRPr="00933F98">
        <w:rPr>
          <w:bCs/>
          <w:i/>
          <w:iCs/>
        </w:rPr>
        <w:t>social</w:t>
      </w:r>
      <w:r w:rsidRPr="002470D1">
        <w:rPr>
          <w:bCs/>
        </w:rPr>
        <w:t xml:space="preserve"> phenomena. For the recognition theorist, testimonial injustice is classed as a </w:t>
      </w:r>
      <w:proofErr w:type="gramStart"/>
      <w:r w:rsidRPr="002470D1">
        <w:rPr>
          <w:bCs/>
        </w:rPr>
        <w:t>particular variety</w:t>
      </w:r>
      <w:proofErr w:type="gramEnd"/>
      <w:r w:rsidRPr="002470D1">
        <w:rPr>
          <w:bCs/>
        </w:rPr>
        <w:t xml:space="preserve"> of </w:t>
      </w:r>
      <w:r w:rsidRPr="00933F98">
        <w:rPr>
          <w:bCs/>
          <w:i/>
          <w:iCs/>
        </w:rPr>
        <w:t>social</w:t>
      </w:r>
      <w:r w:rsidRPr="002470D1">
        <w:rPr>
          <w:bCs/>
        </w:rPr>
        <w:t xml:space="preserve"> pathology. Since testimonial injustice is analysed </w:t>
      </w:r>
      <w:r w:rsidRPr="002470D1">
        <w:rPr>
          <w:bCs/>
          <w:iCs/>
        </w:rPr>
        <w:t xml:space="preserve">here </w:t>
      </w:r>
      <w:r w:rsidRPr="002470D1">
        <w:rPr>
          <w:bCs/>
        </w:rPr>
        <w:t xml:space="preserve">under a </w:t>
      </w:r>
      <w:r w:rsidRPr="00933F98">
        <w:rPr>
          <w:bCs/>
          <w:iCs/>
        </w:rPr>
        <w:t>clinical framework</w:t>
      </w:r>
      <w:r w:rsidRPr="002470D1">
        <w:rPr>
          <w:bCs/>
        </w:rPr>
        <w:t xml:space="preserve">, we shall find, in what follows, that recognition theory provides a more </w:t>
      </w:r>
      <w:r w:rsidRPr="00933F98">
        <w:rPr>
          <w:bCs/>
          <w:iCs/>
        </w:rPr>
        <w:t xml:space="preserve">complex </w:t>
      </w:r>
      <w:r w:rsidRPr="002470D1">
        <w:rPr>
          <w:bCs/>
        </w:rPr>
        <w:t xml:space="preserve">but complementary diagnosis </w:t>
      </w:r>
      <w:r w:rsidRPr="00933F98">
        <w:rPr>
          <w:bCs/>
          <w:iCs/>
        </w:rPr>
        <w:t xml:space="preserve">and </w:t>
      </w:r>
      <w:r w:rsidRPr="002470D1">
        <w:rPr>
          <w:bCs/>
        </w:rPr>
        <w:t>social cure of discursive abuse</w:t>
      </w:r>
      <w:r w:rsidR="00933F98" w:rsidRPr="002470D1">
        <w:rPr>
          <w:bCs/>
        </w:rPr>
        <w:t>.</w:t>
      </w:r>
    </w:p>
    <w:p w14:paraId="628ABFE6" w14:textId="067B0DE5" w:rsidR="0004172D" w:rsidRDefault="00933F98" w:rsidP="00933F98">
      <w:pPr>
        <w:ind w:firstLine="567"/>
        <w:rPr>
          <w:bCs/>
        </w:rPr>
      </w:pPr>
      <w:r w:rsidRPr="002470D1">
        <w:rPr>
          <w:bCs/>
        </w:rPr>
        <w:lastRenderedPageBreak/>
        <w:t>F</w:t>
      </w:r>
      <w:r w:rsidR="002470D1" w:rsidRPr="002470D1">
        <w:rPr>
          <w:bCs/>
        </w:rPr>
        <w:t xml:space="preserve">or testimonial injustice to be categorised as a </w:t>
      </w:r>
      <w:r w:rsidR="002470D1" w:rsidRPr="002470D1">
        <w:rPr>
          <w:bCs/>
          <w:i/>
        </w:rPr>
        <w:t>social</w:t>
      </w:r>
      <w:r w:rsidR="002470D1" w:rsidRPr="002470D1">
        <w:rPr>
          <w:bCs/>
        </w:rPr>
        <w:t xml:space="preserve"> pathology, this described phenomenon needs to be established as something that is </w:t>
      </w:r>
      <w:r w:rsidR="002470D1" w:rsidRPr="002470D1">
        <w:rPr>
          <w:bCs/>
          <w:i/>
        </w:rPr>
        <w:t>pervasively experienced throughout society</w:t>
      </w:r>
      <w:r w:rsidR="002470D1" w:rsidRPr="002470D1">
        <w:rPr>
          <w:bCs/>
        </w:rPr>
        <w:t xml:space="preserve">. What this means is that one can legitimately regard a pathological property or symptom to have </w:t>
      </w:r>
      <w:r w:rsidR="002470D1" w:rsidRPr="002470D1">
        <w:rPr>
          <w:bCs/>
          <w:i/>
        </w:rPr>
        <w:t>social</w:t>
      </w:r>
      <w:r w:rsidR="002470D1" w:rsidRPr="002470D1">
        <w:rPr>
          <w:bCs/>
        </w:rPr>
        <w:t xml:space="preserve"> reach only if there is compelling reason to think that the pathogens do not occur </w:t>
      </w:r>
      <w:r w:rsidR="002470D1" w:rsidRPr="002470D1">
        <w:rPr>
          <w:bCs/>
          <w:i/>
        </w:rPr>
        <w:t>only</w:t>
      </w:r>
      <w:r w:rsidR="002470D1" w:rsidRPr="002470D1">
        <w:rPr>
          <w:bCs/>
        </w:rPr>
        <w:t xml:space="preserve"> in isolated and individual instances</w:t>
      </w:r>
      <w:r w:rsidR="00A358BE">
        <w:rPr>
          <w:bCs/>
        </w:rPr>
        <w:t>.</w:t>
      </w:r>
      <w:r>
        <w:rPr>
          <w:bCs/>
        </w:rPr>
        <w:t xml:space="preserve"> </w:t>
      </w:r>
      <w:r w:rsidR="00A358BE">
        <w:rPr>
          <w:bCs/>
        </w:rPr>
        <w:t xml:space="preserve">Once </w:t>
      </w:r>
      <w:r w:rsidR="002470D1" w:rsidRPr="002470D1">
        <w:rPr>
          <w:bCs/>
        </w:rPr>
        <w:t xml:space="preserve">we understand the </w:t>
      </w:r>
      <w:r w:rsidR="002470D1" w:rsidRPr="002470D1">
        <w:rPr>
          <w:bCs/>
          <w:i/>
        </w:rPr>
        <w:t>social</w:t>
      </w:r>
      <w:r w:rsidR="002470D1" w:rsidRPr="002470D1">
        <w:rPr>
          <w:bCs/>
        </w:rPr>
        <w:t xml:space="preserve"> </w:t>
      </w:r>
      <w:r w:rsidR="002470D1" w:rsidRPr="002470D1">
        <w:rPr>
          <w:bCs/>
          <w:i/>
        </w:rPr>
        <w:t xml:space="preserve">scope </w:t>
      </w:r>
      <w:r w:rsidR="002470D1" w:rsidRPr="002470D1">
        <w:rPr>
          <w:bCs/>
        </w:rPr>
        <w:t xml:space="preserve">of the experiences of testimonial disrespect and alienation, we then develop an epidemiology of discursive abuse that goes </w:t>
      </w:r>
      <w:r w:rsidR="002470D1" w:rsidRPr="002470D1">
        <w:rPr>
          <w:bCs/>
          <w:i/>
        </w:rPr>
        <w:t>beyond</w:t>
      </w:r>
      <w:r w:rsidR="002470D1" w:rsidRPr="002470D1">
        <w:rPr>
          <w:bCs/>
        </w:rPr>
        <w:t xml:space="preserve"> the proto-typical social scientific statistical practices of questionnaires and reports, since, as Zurn correctly writes, </w:t>
      </w:r>
      <w:r>
        <w:rPr>
          <w:bCs/>
        </w:rPr>
        <w:t>‘</w:t>
      </w:r>
      <w:r w:rsidR="002470D1" w:rsidRPr="002470D1">
        <w:rPr>
          <w:bCs/>
        </w:rPr>
        <w:t>maladies … are not often acknowledged as such by those who suffer from or are subject to them</w:t>
      </w:r>
      <w:r>
        <w:rPr>
          <w:bCs/>
        </w:rPr>
        <w:t>’</w:t>
      </w:r>
      <w:r w:rsidR="002470D1" w:rsidRPr="002470D1">
        <w:rPr>
          <w:bCs/>
        </w:rPr>
        <w:t>.</w:t>
      </w:r>
      <w:r w:rsidR="002470D1" w:rsidRPr="002470D1">
        <w:rPr>
          <w:bCs/>
          <w:vertAlign w:val="superscript"/>
        </w:rPr>
        <w:footnoteReference w:id="57"/>
      </w:r>
      <w:r w:rsidR="002470D1" w:rsidRPr="002470D1">
        <w:rPr>
          <w:bCs/>
        </w:rPr>
        <w:t xml:space="preserve"> Moreover, the recognition theorist</w:t>
      </w:r>
      <w:r w:rsidR="002470D1" w:rsidRPr="002470D1">
        <w:rPr>
          <w:bCs/>
          <w:iCs/>
        </w:rPr>
        <w:t>’s</w:t>
      </w:r>
      <w:r w:rsidR="002470D1" w:rsidRPr="002470D1">
        <w:rPr>
          <w:bCs/>
        </w:rPr>
        <w:t xml:space="preserve"> sensitivity to the limitation of proto-typical social scientific statistical practices as an </w:t>
      </w:r>
      <w:r w:rsidR="002470D1" w:rsidRPr="00933F98">
        <w:rPr>
          <w:bCs/>
          <w:iCs/>
        </w:rPr>
        <w:t>appropriate</w:t>
      </w:r>
      <w:r w:rsidR="002470D1" w:rsidRPr="002470D1">
        <w:rPr>
          <w:bCs/>
        </w:rPr>
        <w:t xml:space="preserve"> epidemiological methodology for treating social pathologies also points towards a sophisticated form of </w:t>
      </w:r>
      <w:r w:rsidR="002470D1" w:rsidRPr="00933F98">
        <w:rPr>
          <w:bCs/>
          <w:iCs/>
        </w:rPr>
        <w:t>critical social aetiology and therapy</w:t>
      </w:r>
      <w:r w:rsidR="002470D1" w:rsidRPr="002470D1">
        <w:rPr>
          <w:bCs/>
        </w:rPr>
        <w:t xml:space="preserve">: relations of misrecognition and nonrecognition and processes of epistemic exclusion and silencing are </w:t>
      </w:r>
      <w:r w:rsidR="002470D1" w:rsidRPr="002470D1">
        <w:rPr>
          <w:bCs/>
          <w:i/>
        </w:rPr>
        <w:t>mutually supporting</w:t>
      </w:r>
      <w:r w:rsidR="002470D1" w:rsidRPr="002470D1">
        <w:rPr>
          <w:bCs/>
        </w:rPr>
        <w:t xml:space="preserve">: what sustains an asymmetrical social structure is an asymmetrical cognitive environment wherein some speakers are illegitimately deprived of participating in epistemic practices; what sustains an asymmetrical cognitive environment is an asymmetrical social structure wherein some members </w:t>
      </w:r>
      <w:r>
        <w:rPr>
          <w:bCs/>
        </w:rPr>
        <w:t>are</w:t>
      </w:r>
      <w:r w:rsidR="002470D1" w:rsidRPr="002470D1">
        <w:rPr>
          <w:bCs/>
        </w:rPr>
        <w:t xml:space="preserve"> </w:t>
      </w:r>
      <w:r w:rsidRPr="00C554E0">
        <w:t xml:space="preserve">rendered </w:t>
      </w:r>
      <w:r w:rsidR="002470D1" w:rsidRPr="002470D1">
        <w:rPr>
          <w:bCs/>
        </w:rPr>
        <w:t>invisib</w:t>
      </w:r>
      <w:r>
        <w:rPr>
          <w:bCs/>
        </w:rPr>
        <w:t>le</w:t>
      </w:r>
      <w:r w:rsidR="002470D1" w:rsidRPr="002470D1">
        <w:rPr>
          <w:bCs/>
        </w:rPr>
        <w:t>.</w:t>
      </w:r>
      <w:r>
        <w:rPr>
          <w:bCs/>
        </w:rPr>
        <w:t xml:space="preserve"> </w:t>
      </w:r>
    </w:p>
    <w:p w14:paraId="72F4C421" w14:textId="77777777" w:rsidR="004E69D8" w:rsidRDefault="002470D1" w:rsidP="004E69D8">
      <w:pPr>
        <w:ind w:firstLine="567"/>
      </w:pPr>
      <w:r w:rsidRPr="002470D1">
        <w:rPr>
          <w:bCs/>
        </w:rPr>
        <w:t xml:space="preserve">Since recognition theory offers a diagnosis of a social malady in terms of uncovering the moral grammar underlying an asymmetrical recognition order, the kind of therapeutic programme is one rooted in developing the conditions required to bring about intersubjective testimonial recognition. </w:t>
      </w:r>
      <w:r w:rsidRPr="00933F98">
        <w:rPr>
          <w:bCs/>
          <w:iCs/>
        </w:rPr>
        <w:t>The practice of overcoming epistemic unsociability and realising our epistemic sociability seems to share much in common with the process of transitioning from asymmetrical recognition orders to genuinely symmetrical recognition orders, since true sociality does not merely consist in interacting with others simpliciter, but rather in interacting with others in such a way that enables self-realisation.</w:t>
      </w:r>
      <w:r w:rsidR="00031955">
        <w:rPr>
          <w:bCs/>
          <w:iCs/>
        </w:rPr>
        <w:t xml:space="preserve"> </w:t>
      </w:r>
      <w:r w:rsidR="003761B1" w:rsidRPr="00C554E0">
        <w:t>I think there are important advantages t</w:t>
      </w:r>
      <w:r w:rsidR="008E2A87" w:rsidRPr="00C554E0">
        <w:t>o</w:t>
      </w:r>
      <w:r w:rsidR="003761B1" w:rsidRPr="00C554E0">
        <w:t xml:space="preserve"> this approach</w:t>
      </w:r>
      <w:r w:rsidR="004E69D8">
        <w:t>.</w:t>
      </w:r>
    </w:p>
    <w:p w14:paraId="571B011F" w14:textId="77777777" w:rsidR="004E69D8" w:rsidRDefault="004E69D8" w:rsidP="004E69D8">
      <w:pPr>
        <w:ind w:firstLine="567"/>
      </w:pPr>
      <w:r>
        <w:t>Firstly, a</w:t>
      </w:r>
      <w:r w:rsidR="003761B1" w:rsidRPr="008E3935">
        <w:t xml:space="preserve">rticulating the relationship between structures of regressive recognition and regressive epistemic practices in terms of </w:t>
      </w:r>
      <w:r w:rsidR="003761B1" w:rsidRPr="004E69D8">
        <w:rPr>
          <w:i/>
        </w:rPr>
        <w:t>mutual sustainment</w:t>
      </w:r>
      <w:r w:rsidR="003761B1" w:rsidRPr="008E3935">
        <w:t xml:space="preserve"> rather than a linear top-down or linear bottom-up </w:t>
      </w:r>
      <w:r w:rsidR="008E2A87" w:rsidRPr="008E3935">
        <w:t xml:space="preserve">relation </w:t>
      </w:r>
      <w:r w:rsidR="003761B1" w:rsidRPr="008E3935">
        <w:t xml:space="preserve">aids the understanding </w:t>
      </w:r>
      <w:r w:rsidR="008E2A87" w:rsidRPr="008E3935">
        <w:t xml:space="preserve">of </w:t>
      </w:r>
      <w:r w:rsidR="003761B1" w:rsidRPr="008E3935">
        <w:t xml:space="preserve">the social sphere as a </w:t>
      </w:r>
      <w:r w:rsidR="003761B1" w:rsidRPr="004E69D8">
        <w:rPr>
          <w:iCs/>
        </w:rPr>
        <w:t xml:space="preserve">dynamic </w:t>
      </w:r>
      <w:r w:rsidR="003761B1" w:rsidRPr="008E3935">
        <w:t>domain</w:t>
      </w:r>
      <w:r w:rsidR="008E3935" w:rsidRPr="008E3935">
        <w:t>.</w:t>
      </w:r>
      <w:r w:rsidR="00933F98" w:rsidRPr="004E69D8">
        <w:rPr>
          <w:rFonts w:eastAsiaTheme="minorHAnsi"/>
          <w:szCs w:val="22"/>
          <w:lang w:eastAsia="en-US"/>
        </w:rPr>
        <w:t xml:space="preserve"> </w:t>
      </w:r>
      <w:r w:rsidR="00933F98" w:rsidRPr="00933F98">
        <w:t>F</w:t>
      </w:r>
      <w:r w:rsidR="00933F98">
        <w:t>ollowing</w:t>
      </w:r>
      <w:r w:rsidR="00933F98" w:rsidRPr="00933F98">
        <w:t xml:space="preserve"> Foucault, there is no </w:t>
      </w:r>
      <w:r w:rsidR="00933F98" w:rsidRPr="004E69D8">
        <w:rPr>
          <w:iCs/>
        </w:rPr>
        <w:t>vertical</w:t>
      </w:r>
      <w:r w:rsidR="00933F98" w:rsidRPr="004E69D8">
        <w:rPr>
          <w:i/>
        </w:rPr>
        <w:t xml:space="preserve"> </w:t>
      </w:r>
      <w:r w:rsidR="00933F98" w:rsidRPr="00933F98">
        <w:t xml:space="preserve">relationship between discursive practices and </w:t>
      </w:r>
      <w:r w:rsidR="00933F98" w:rsidRPr="008E3935">
        <w:t>recognition</w:t>
      </w:r>
      <w:r w:rsidR="00933F98" w:rsidRPr="00933F98">
        <w:t xml:space="preserve"> structures</w:t>
      </w:r>
      <w:r>
        <w:t xml:space="preserve">, to the extent </w:t>
      </w:r>
      <w:r w:rsidR="00933F98" w:rsidRPr="00933F98">
        <w:t xml:space="preserve">that </w:t>
      </w:r>
      <w:r w:rsidRPr="008E3935">
        <w:t>regressive recognition</w:t>
      </w:r>
      <w:r w:rsidRPr="004E69D8">
        <w:t xml:space="preserve"> </w:t>
      </w:r>
      <w:r w:rsidRPr="008E3935">
        <w:t xml:space="preserve">structures </w:t>
      </w:r>
      <w:r w:rsidR="00933F98" w:rsidRPr="00933F98">
        <w:t xml:space="preserve">enable </w:t>
      </w:r>
      <w:r w:rsidRPr="008E3935">
        <w:t xml:space="preserve">regressive </w:t>
      </w:r>
      <w:r w:rsidRPr="008E3935">
        <w:lastRenderedPageBreak/>
        <w:t>epistemic practices</w:t>
      </w:r>
      <w:r w:rsidR="00933F98" w:rsidRPr="00933F98">
        <w:t xml:space="preserve">, and the </w:t>
      </w:r>
      <w:r w:rsidRPr="008E3935">
        <w:t>regressive epistemic practices</w:t>
      </w:r>
      <w:r w:rsidRPr="00933F98">
        <w:t xml:space="preserve"> </w:t>
      </w:r>
      <w:r w:rsidR="00933F98" w:rsidRPr="00933F98">
        <w:t xml:space="preserve">enable </w:t>
      </w:r>
      <w:r w:rsidRPr="008E3935">
        <w:t>regressive recognition</w:t>
      </w:r>
      <w:r w:rsidRPr="004E69D8">
        <w:t xml:space="preserve"> </w:t>
      </w:r>
      <w:r w:rsidRPr="008E3935">
        <w:t>structures</w:t>
      </w:r>
      <w:r>
        <w:t>: ‘</w:t>
      </w:r>
      <w:r w:rsidRPr="004E69D8">
        <w:t>they condition each other and cannot be understood independently of each other</w:t>
      </w:r>
      <w:r>
        <w:t>’</w:t>
      </w:r>
      <w:r w:rsidR="00933F98" w:rsidRPr="00933F98">
        <w:t>.</w:t>
      </w:r>
      <w:r>
        <w:rPr>
          <w:rStyle w:val="FootnoteReference"/>
        </w:rPr>
        <w:footnoteReference w:id="58"/>
      </w:r>
    </w:p>
    <w:p w14:paraId="26DBCF32" w14:textId="77777777" w:rsidR="004E69D8" w:rsidRDefault="004E69D8" w:rsidP="004E69D8">
      <w:pPr>
        <w:ind w:firstLine="567"/>
      </w:pPr>
      <w:r>
        <w:t>Secondly, r</w:t>
      </w:r>
      <w:r w:rsidR="008E2A87" w:rsidRPr="008E3935">
        <w:t>ealising our epistemic sociability in terms of transitioning from asymmetrical recognition orders to genuinely symmetrical recognition orders</w:t>
      </w:r>
      <w:r w:rsidR="00DD2D67" w:rsidRPr="008E3935">
        <w:t xml:space="preserve"> necessarily requires significant empathetic engagement: attentiveness to the particularity of the </w:t>
      </w:r>
      <w:r>
        <w:t>O</w:t>
      </w:r>
      <w:r w:rsidR="00DD2D67" w:rsidRPr="008E3935">
        <w:t xml:space="preserve">ther, </w:t>
      </w:r>
      <w:proofErr w:type="gramStart"/>
      <w:r w:rsidR="00DD2D67" w:rsidRPr="008E3935">
        <w:t>in light of</w:t>
      </w:r>
      <w:proofErr w:type="gramEnd"/>
      <w:r w:rsidR="00DD2D67" w:rsidRPr="008E3935">
        <w:t xml:space="preserve"> </w:t>
      </w:r>
      <w:r w:rsidR="00DD2D67" w:rsidRPr="004E69D8">
        <w:rPr>
          <w:i/>
        </w:rPr>
        <w:t>difference</w:t>
      </w:r>
      <w:r w:rsidR="00DD2D67" w:rsidRPr="008E3935">
        <w:t xml:space="preserve">, is precisely what is required for </w:t>
      </w:r>
      <w:r w:rsidR="00DD2D67" w:rsidRPr="004E69D8">
        <w:rPr>
          <w:i/>
        </w:rPr>
        <w:t>genuine</w:t>
      </w:r>
      <w:r w:rsidR="00DD2D67" w:rsidRPr="008E3935">
        <w:t xml:space="preserve"> recognition. </w:t>
      </w:r>
      <w:r w:rsidR="00C95548" w:rsidRPr="008E3935">
        <w:t xml:space="preserve">Whilst mutual recognition is </w:t>
      </w:r>
      <w:r w:rsidR="00C95548" w:rsidRPr="004E69D8">
        <w:rPr>
          <w:i/>
        </w:rPr>
        <w:t xml:space="preserve">partly </w:t>
      </w:r>
      <w:r w:rsidR="00C95548" w:rsidRPr="008E3935">
        <w:t xml:space="preserve">designed to follow respect, since we should not treat others as means to an end, mutual recognition goes further, for not only should we treat others as ends in themselves, but </w:t>
      </w:r>
      <w:r w:rsidR="00C95548" w:rsidRPr="004E69D8">
        <w:rPr>
          <w:iCs/>
        </w:rPr>
        <w:t xml:space="preserve">we have realised that recognition of others as equals is a necessary condition for the possibility of us achieving </w:t>
      </w:r>
      <w:r w:rsidR="005A625F" w:rsidRPr="004E69D8">
        <w:rPr>
          <w:iCs/>
        </w:rPr>
        <w:t>a healthy practical relation-to-our-own-selves</w:t>
      </w:r>
      <w:r w:rsidR="00C95548" w:rsidRPr="004E69D8">
        <w:rPr>
          <w:iCs/>
        </w:rPr>
        <w:t>.</w:t>
      </w:r>
      <w:r w:rsidR="008E3935" w:rsidRPr="008E3935">
        <w:t xml:space="preserve"> </w:t>
      </w:r>
      <w:r w:rsidR="008E3935" w:rsidRPr="004E69D8">
        <w:rPr>
          <w:iCs/>
        </w:rPr>
        <w:t>Human beings’</w:t>
      </w:r>
      <w:r w:rsidR="005A625F" w:rsidRPr="004E69D8">
        <w:rPr>
          <w:iCs/>
        </w:rPr>
        <w:t xml:space="preserve"> </w:t>
      </w:r>
      <w:r w:rsidR="00367EFF" w:rsidRPr="004E69D8">
        <w:rPr>
          <w:iCs/>
        </w:rPr>
        <w:t xml:space="preserve">unsociable sociability – to use Kant’s </w:t>
      </w:r>
      <w:r w:rsidR="00B968A4" w:rsidRPr="004E69D8">
        <w:rPr>
          <w:bCs/>
        </w:rPr>
        <w:t>expression</w:t>
      </w:r>
      <w:r w:rsidR="00367EFF" w:rsidRPr="004E69D8">
        <w:rPr>
          <w:bCs/>
        </w:rPr>
        <w:t xml:space="preserve"> –</w:t>
      </w:r>
      <w:r w:rsidR="00CB1BEF" w:rsidRPr="004E69D8">
        <w:rPr>
          <w:bCs/>
        </w:rPr>
        <w:t xml:space="preserve"> </w:t>
      </w:r>
      <w:r w:rsidR="00367EFF" w:rsidRPr="004E69D8">
        <w:rPr>
          <w:iCs/>
        </w:rPr>
        <w:t xml:space="preserve">forces </w:t>
      </w:r>
      <w:r w:rsidR="008E3935" w:rsidRPr="004E69D8">
        <w:rPr>
          <w:iCs/>
        </w:rPr>
        <w:t>us</w:t>
      </w:r>
      <w:r w:rsidR="00367EFF" w:rsidRPr="004E69D8">
        <w:rPr>
          <w:iCs/>
        </w:rPr>
        <w:t xml:space="preserve"> to engage in all sorts of</w:t>
      </w:r>
      <w:r w:rsidR="006E12BD" w:rsidRPr="004E69D8">
        <w:rPr>
          <w:iCs/>
        </w:rPr>
        <w:t xml:space="preserve"> </w:t>
      </w:r>
      <w:r w:rsidR="00367EFF" w:rsidRPr="004E69D8">
        <w:rPr>
          <w:iCs/>
        </w:rPr>
        <w:t xml:space="preserve">reprehensible practices, whose consequences are so </w:t>
      </w:r>
      <w:r w:rsidR="00B968A4" w:rsidRPr="004E69D8">
        <w:rPr>
          <w:iCs/>
        </w:rPr>
        <w:t>awful</w:t>
      </w:r>
      <w:r w:rsidR="00367EFF" w:rsidRPr="004E69D8">
        <w:rPr>
          <w:iCs/>
        </w:rPr>
        <w:t xml:space="preserve"> that they </w:t>
      </w:r>
      <w:r w:rsidR="00663AE1" w:rsidRPr="005201FA">
        <w:t xml:space="preserve">affectively and </w:t>
      </w:r>
      <w:r w:rsidR="00367EFF" w:rsidRPr="005201FA">
        <w:t xml:space="preserve">rationally compel us to overcome those </w:t>
      </w:r>
      <w:r w:rsidR="00D8589F" w:rsidRPr="005201FA">
        <w:t xml:space="preserve">structures and social attitudes </w:t>
      </w:r>
      <w:r w:rsidR="00367EFF" w:rsidRPr="005201FA">
        <w:t xml:space="preserve">that are symptomatic of the unsociable aspects of </w:t>
      </w:r>
      <w:r w:rsidR="005A625F" w:rsidRPr="005201FA">
        <w:t xml:space="preserve">human </w:t>
      </w:r>
      <w:r w:rsidR="00367EFF" w:rsidRPr="005201FA">
        <w:t>nature, so that we can fully develop</w:t>
      </w:r>
      <w:r w:rsidR="0022002D" w:rsidRPr="005201FA">
        <w:t xml:space="preserve"> genuine</w:t>
      </w:r>
      <w:r w:rsidR="005704A9" w:rsidRPr="005201FA">
        <w:t xml:space="preserve"> </w:t>
      </w:r>
      <w:r w:rsidR="005704A9" w:rsidRPr="004E69D8">
        <w:rPr>
          <w:bCs/>
        </w:rPr>
        <w:t>empathetic engagement</w:t>
      </w:r>
      <w:r>
        <w:t>.</w:t>
      </w:r>
    </w:p>
    <w:p w14:paraId="5AF02D12" w14:textId="5E4E4165" w:rsidR="005704A9" w:rsidRPr="004E69D8" w:rsidRDefault="004E69D8" w:rsidP="004E69D8">
      <w:pPr>
        <w:ind w:firstLine="567"/>
        <w:rPr>
          <w:bCs/>
        </w:rPr>
      </w:pPr>
      <w:r>
        <w:t>Thirdly, a</w:t>
      </w:r>
      <w:r w:rsidR="005704A9" w:rsidRPr="004E69D8">
        <w:rPr>
          <w:bCs/>
        </w:rPr>
        <w:t xml:space="preserve">n especially illuminating feature of </w:t>
      </w:r>
      <w:r w:rsidR="006F5DF7" w:rsidRPr="004E69D8">
        <w:rPr>
          <w:bCs/>
        </w:rPr>
        <w:t xml:space="preserve">the </w:t>
      </w:r>
      <w:r w:rsidR="005704A9" w:rsidRPr="004E69D8">
        <w:rPr>
          <w:bCs/>
        </w:rPr>
        <w:t xml:space="preserve">recognition </w:t>
      </w:r>
      <w:r w:rsidR="006F5DF7" w:rsidRPr="008E3935">
        <w:t>approach</w:t>
      </w:r>
      <w:r w:rsidR="0022002D" w:rsidRPr="004E69D8">
        <w:rPr>
          <w:bCs/>
        </w:rPr>
        <w:t xml:space="preserve"> </w:t>
      </w:r>
      <w:r w:rsidR="005704A9" w:rsidRPr="004E69D8">
        <w:rPr>
          <w:bCs/>
        </w:rPr>
        <w:t xml:space="preserve">is the way it articulates the complexities of the </w:t>
      </w:r>
      <w:r w:rsidR="005704A9" w:rsidRPr="004E69D8">
        <w:rPr>
          <w:bCs/>
          <w:iCs/>
        </w:rPr>
        <w:t xml:space="preserve">collective phenomenology of </w:t>
      </w:r>
      <w:r w:rsidR="000C2495" w:rsidRPr="004E69D8">
        <w:rPr>
          <w:bCs/>
          <w:iCs/>
        </w:rPr>
        <w:t>agential suffering</w:t>
      </w:r>
      <w:r w:rsidR="005704A9" w:rsidRPr="004E69D8">
        <w:rPr>
          <w:bCs/>
        </w:rPr>
        <w:t xml:space="preserve"> and the motivation to express </w:t>
      </w:r>
      <w:r w:rsidR="006F5DF7" w:rsidRPr="004E69D8">
        <w:rPr>
          <w:bCs/>
          <w:i/>
          <w:iCs/>
        </w:rPr>
        <w:t>collective</w:t>
      </w:r>
      <w:r w:rsidR="006F5DF7" w:rsidRPr="004E69D8">
        <w:rPr>
          <w:bCs/>
        </w:rPr>
        <w:t xml:space="preserve"> </w:t>
      </w:r>
      <w:r w:rsidR="0018098A" w:rsidRPr="004E69D8">
        <w:rPr>
          <w:bCs/>
        </w:rPr>
        <w:t>outrage</w:t>
      </w:r>
      <w:r w:rsidR="005704A9" w:rsidRPr="004E69D8">
        <w:rPr>
          <w:bCs/>
        </w:rPr>
        <w:t xml:space="preserve"> to such </w:t>
      </w:r>
      <w:r w:rsidR="000C2495" w:rsidRPr="004E69D8">
        <w:rPr>
          <w:bCs/>
        </w:rPr>
        <w:t>suffering</w:t>
      </w:r>
      <w:r w:rsidR="005704A9" w:rsidRPr="004E69D8">
        <w:rPr>
          <w:bCs/>
        </w:rPr>
        <w:t xml:space="preserve">. As Honneth writes:  </w:t>
      </w:r>
      <w:r w:rsidR="006F5DF7" w:rsidRPr="004E69D8">
        <w:rPr>
          <w:bCs/>
        </w:rPr>
        <w:t xml:space="preserve"> </w:t>
      </w:r>
    </w:p>
    <w:p w14:paraId="4AFDFEC7" w14:textId="77777777" w:rsidR="005704A9" w:rsidRPr="00C554E0" w:rsidRDefault="005704A9" w:rsidP="005704A9">
      <w:pPr>
        <w:rPr>
          <w:bCs/>
        </w:rPr>
      </w:pPr>
    </w:p>
    <w:p w14:paraId="0D240012" w14:textId="372DB974" w:rsidR="005704A9" w:rsidRPr="006701BE" w:rsidRDefault="005704A9" w:rsidP="005704A9">
      <w:pPr>
        <w:spacing w:line="240" w:lineRule="auto"/>
        <w:ind w:left="567" w:right="680"/>
        <w:rPr>
          <w:rFonts w:eastAsia="Calibri"/>
          <w:sz w:val="20"/>
          <w:szCs w:val="20"/>
          <w:lang w:eastAsia="en-US"/>
        </w:rPr>
      </w:pPr>
      <w:r w:rsidRPr="006701BE">
        <w:rPr>
          <w:rFonts w:eastAsia="Calibri"/>
          <w:sz w:val="20"/>
          <w:szCs w:val="20"/>
          <w:lang w:eastAsia="en-US"/>
        </w:rPr>
        <w:t>Feelings of having been disrespected … form the core of moral experiences that are part of the structure of social interaction because human subjects encounter one another with expectations for recognition, expectations on which their psychological integrity turns. Feelings of having been unjustly treated can lead to collective actions to the extent to which they come to be experienced by an entire circle of subjects as typical for their social situation … [T]he models of conflict that start from the collective feelings of having been unjustly treated are those that trace the emergence and course of social struggles back to moral experiences of social groups who face having … recognition withheld from them … [In this case] we are dealing with the analysis of a struggle over the intersubjective conditions for personal integrity.</w:t>
      </w:r>
      <w:r w:rsidR="00031955" w:rsidRPr="006701BE">
        <w:rPr>
          <w:rStyle w:val="FootnoteReference"/>
          <w:rFonts w:eastAsia="Calibri"/>
          <w:sz w:val="20"/>
          <w:szCs w:val="20"/>
          <w:lang w:eastAsia="en-US"/>
        </w:rPr>
        <w:footnoteReference w:id="59"/>
      </w:r>
    </w:p>
    <w:p w14:paraId="39237BF8" w14:textId="77777777" w:rsidR="00797236" w:rsidRPr="00C554E0" w:rsidRDefault="00797236" w:rsidP="00797236">
      <w:pPr>
        <w:rPr>
          <w:iCs/>
        </w:rPr>
      </w:pPr>
    </w:p>
    <w:p w14:paraId="2157B33C" w14:textId="24271AE4" w:rsidR="006F5DF7" w:rsidRPr="00C554E0" w:rsidRDefault="006F5DF7" w:rsidP="00613953">
      <w:r w:rsidRPr="00C554E0">
        <w:t xml:space="preserve">The importance of emphasising collective experiences of </w:t>
      </w:r>
      <w:r w:rsidR="008E3935">
        <w:t>pre-</w:t>
      </w:r>
      <w:r w:rsidRPr="00C554E0">
        <w:rPr>
          <w:bCs/>
        </w:rPr>
        <w:t xml:space="preserve">discursive </w:t>
      </w:r>
      <w:r w:rsidR="008E3935">
        <w:rPr>
          <w:bCs/>
        </w:rPr>
        <w:t xml:space="preserve">and discursive </w:t>
      </w:r>
      <w:r w:rsidRPr="00C554E0">
        <w:rPr>
          <w:bCs/>
        </w:rPr>
        <w:t>abuse</w:t>
      </w:r>
      <w:r w:rsidRPr="00C554E0">
        <w:t xml:space="preserve"> lies in a </w:t>
      </w:r>
      <w:r w:rsidRPr="004E69D8">
        <w:rPr>
          <w:iCs/>
        </w:rPr>
        <w:t>descriptively rich, anti-abstract acco</w:t>
      </w:r>
      <w:r w:rsidR="00AA7F09" w:rsidRPr="004E69D8">
        <w:rPr>
          <w:iCs/>
        </w:rPr>
        <w:t>unt of current societal failings, and in an emancipatory narrative</w:t>
      </w:r>
      <w:r w:rsidR="00AA7F09" w:rsidRPr="00C554E0">
        <w:t xml:space="preserve"> concerning how social critique points towards, what Honneth calls, the ‘untapped normative surplus’</w:t>
      </w:r>
      <w:r w:rsidRPr="00C554E0">
        <w:t xml:space="preserve"> </w:t>
      </w:r>
      <w:r w:rsidR="00AA7F09" w:rsidRPr="00C554E0">
        <w:t>in society: collective experiences</w:t>
      </w:r>
      <w:r w:rsidR="008E3935">
        <w:t xml:space="preserve"> often</w:t>
      </w:r>
      <w:r w:rsidR="00AA7F09" w:rsidRPr="00C554E0">
        <w:t xml:space="preserve"> lead to</w:t>
      </w:r>
      <w:r w:rsidR="00AA7F09" w:rsidRPr="00C554E0">
        <w:rPr>
          <w:rFonts w:eastAsia="Calibri"/>
          <w:bCs/>
          <w:sz w:val="22"/>
          <w:szCs w:val="22"/>
          <w:lang w:eastAsia="en-US"/>
        </w:rPr>
        <w:t xml:space="preserve"> </w:t>
      </w:r>
      <w:r w:rsidR="00AA7F09" w:rsidRPr="00C554E0">
        <w:t xml:space="preserve">Consciousness-Raising initiatives, which in turn can help bring about solidarity movements, to form practical ways </w:t>
      </w:r>
      <w:r w:rsidR="00D8589F" w:rsidRPr="00C554E0">
        <w:t xml:space="preserve">of bringing about social change. For example, </w:t>
      </w:r>
      <w:proofErr w:type="gramStart"/>
      <w:r w:rsidR="00D8589F" w:rsidRPr="00C554E0">
        <w:t>with regard to</w:t>
      </w:r>
      <w:proofErr w:type="gramEnd"/>
      <w:r w:rsidR="00D8589F" w:rsidRPr="00C554E0">
        <w:t xml:space="preserve"> </w:t>
      </w:r>
      <w:r w:rsidR="00BA37F6" w:rsidRPr="00C554E0">
        <w:t>epistemic oppression and</w:t>
      </w:r>
      <w:r w:rsidR="00D8589F" w:rsidRPr="00C554E0">
        <w:t xml:space="preserve"> injustice</w:t>
      </w:r>
      <w:r w:rsidR="00173011" w:rsidRPr="00C554E0">
        <w:t>, the epidemiology of th</w:t>
      </w:r>
      <w:r w:rsidR="00BA37F6" w:rsidRPr="00C554E0">
        <w:t>ese</w:t>
      </w:r>
      <w:r w:rsidR="00173011" w:rsidRPr="00C554E0">
        <w:t xml:space="preserve"> abuse</w:t>
      </w:r>
      <w:r w:rsidR="00BA37F6" w:rsidRPr="00C554E0">
        <w:t>s</w:t>
      </w:r>
      <w:r w:rsidR="00173011" w:rsidRPr="00C554E0">
        <w:t xml:space="preserve"> is endemic enough to unite those who experience </w:t>
      </w:r>
      <w:r w:rsidR="00BA37F6" w:rsidRPr="00C554E0">
        <w:lastRenderedPageBreak/>
        <w:t>epistemic oppression</w:t>
      </w:r>
      <w:r w:rsidR="0018098A" w:rsidRPr="00C554E0">
        <w:t xml:space="preserve"> and injustice</w:t>
      </w:r>
      <w:r w:rsidR="00BA37F6" w:rsidRPr="00C554E0">
        <w:t xml:space="preserve"> </w:t>
      </w:r>
      <w:r w:rsidR="00173011" w:rsidRPr="00C554E0">
        <w:t>in different ways and those who exp</w:t>
      </w:r>
      <w:r w:rsidR="0018098A" w:rsidRPr="00C554E0">
        <w:t>ress solidarity with them</w:t>
      </w:r>
      <w:r w:rsidR="00173011" w:rsidRPr="00C554E0">
        <w:t xml:space="preserve">. </w:t>
      </w:r>
      <w:r w:rsidR="006E4DF6" w:rsidRPr="00C554E0">
        <w:t>#MeToo and #</w:t>
      </w:r>
      <w:proofErr w:type="spellStart"/>
      <w:r w:rsidR="006E4DF6" w:rsidRPr="00C554E0">
        <w:t>Times</w:t>
      </w:r>
      <w:r w:rsidR="00FC0E84">
        <w:t>U</w:t>
      </w:r>
      <w:r w:rsidR="006E4DF6" w:rsidRPr="00C554E0">
        <w:t>p</w:t>
      </w:r>
      <w:proofErr w:type="spellEnd"/>
      <w:r w:rsidR="006C2577" w:rsidRPr="00C554E0">
        <w:t xml:space="preserve"> illustrate that</w:t>
      </w:r>
      <w:r w:rsidR="009C5B32" w:rsidRPr="00C554E0">
        <w:t xml:space="preserve"> </w:t>
      </w:r>
      <w:r w:rsidR="00173011" w:rsidRPr="00C554E0">
        <w:t>precisely because a concerted effort to end this genus of</w:t>
      </w:r>
      <w:r w:rsidR="00504D9B" w:rsidRPr="00C554E0">
        <w:t xml:space="preserve"> </w:t>
      </w:r>
      <w:r w:rsidR="00173011" w:rsidRPr="00C554E0">
        <w:t xml:space="preserve">oppression is ever-growing that one has </w:t>
      </w:r>
      <w:r w:rsidR="00FC0E84">
        <w:t xml:space="preserve">good </w:t>
      </w:r>
      <w:r w:rsidR="00173011" w:rsidRPr="00C554E0">
        <w:t xml:space="preserve">reason to think experiences of </w:t>
      </w:r>
      <w:r w:rsidR="004E69D8" w:rsidRPr="00C554E0">
        <w:t xml:space="preserve">abuse </w:t>
      </w:r>
      <w:r w:rsidR="00173011" w:rsidRPr="00C554E0">
        <w:t xml:space="preserve">coalesce into </w:t>
      </w:r>
      <w:r w:rsidR="00504D9B" w:rsidRPr="00C554E0">
        <w:rPr>
          <w:i/>
        </w:rPr>
        <w:t xml:space="preserve">social </w:t>
      </w:r>
      <w:r w:rsidR="00173011" w:rsidRPr="00C554E0">
        <w:rPr>
          <w:i/>
        </w:rPr>
        <w:t xml:space="preserve">movements </w:t>
      </w:r>
      <w:r w:rsidR="00173011" w:rsidRPr="006701BE">
        <w:rPr>
          <w:iCs/>
        </w:rPr>
        <w:t xml:space="preserve">which have the </w:t>
      </w:r>
      <w:r w:rsidR="00504D9B" w:rsidRPr="006701BE">
        <w:rPr>
          <w:iCs/>
        </w:rPr>
        <w:t xml:space="preserve">real </w:t>
      </w:r>
      <w:r w:rsidR="00173011" w:rsidRPr="006701BE">
        <w:rPr>
          <w:iCs/>
        </w:rPr>
        <w:t xml:space="preserve">capability of </w:t>
      </w:r>
      <w:r w:rsidR="00BA37F6" w:rsidRPr="006701BE">
        <w:rPr>
          <w:iCs/>
        </w:rPr>
        <w:t xml:space="preserve">radically </w:t>
      </w:r>
      <w:r w:rsidR="00173011" w:rsidRPr="006701BE">
        <w:rPr>
          <w:iCs/>
        </w:rPr>
        <w:t>reforming the current recognition structure.</w:t>
      </w:r>
      <w:r w:rsidR="00F8246C" w:rsidRPr="006701BE">
        <w:rPr>
          <w:rStyle w:val="FootnoteReference"/>
          <w:iCs/>
        </w:rPr>
        <w:footnoteReference w:id="60"/>
      </w:r>
      <w:r w:rsidR="004E69D8">
        <w:rPr>
          <w:iCs/>
        </w:rPr>
        <w:t xml:space="preserve"> </w:t>
      </w:r>
    </w:p>
    <w:p w14:paraId="3B19578A" w14:textId="308A00AB" w:rsidR="00504D9B" w:rsidRPr="00647A15" w:rsidRDefault="005643F0" w:rsidP="00647A15">
      <w:pPr>
        <w:ind w:firstLine="720"/>
      </w:pPr>
      <w:r w:rsidRPr="006701BE">
        <w:rPr>
          <w:rFonts w:eastAsia="Calibri"/>
          <w:szCs w:val="22"/>
          <w:lang w:eastAsia="en-US"/>
        </w:rPr>
        <w:t>From an intersectio</w:t>
      </w:r>
      <w:r w:rsidR="00BA37F6" w:rsidRPr="006701BE">
        <w:rPr>
          <w:rFonts w:eastAsia="Calibri"/>
          <w:szCs w:val="22"/>
          <w:lang w:eastAsia="en-US"/>
        </w:rPr>
        <w:t xml:space="preserve">nal </w:t>
      </w:r>
      <w:r w:rsidRPr="006701BE">
        <w:rPr>
          <w:rFonts w:eastAsia="Calibri"/>
          <w:szCs w:val="22"/>
          <w:lang w:eastAsia="en-US"/>
        </w:rPr>
        <w:t>perspective, mutual recognition could only be fully generalised and receive institutionalised support in a society that was no longer</w:t>
      </w:r>
      <w:r w:rsidR="00BA37F6" w:rsidRPr="006701BE">
        <w:rPr>
          <w:rFonts w:eastAsia="Calibri"/>
          <w:szCs w:val="22"/>
          <w:lang w:eastAsia="en-US"/>
        </w:rPr>
        <w:t xml:space="preserve"> capitalist, racist, sexist, classist</w:t>
      </w:r>
      <w:r w:rsidR="004E69D8">
        <w:rPr>
          <w:rFonts w:eastAsia="Calibri"/>
          <w:szCs w:val="22"/>
          <w:lang w:eastAsia="en-US"/>
        </w:rPr>
        <w:t>, cisnormative</w:t>
      </w:r>
      <w:r w:rsidR="00647A15">
        <w:rPr>
          <w:rFonts w:eastAsia="Calibri"/>
          <w:szCs w:val="22"/>
          <w:lang w:eastAsia="en-US"/>
        </w:rPr>
        <w:t xml:space="preserve">, </w:t>
      </w:r>
      <w:r w:rsidR="00647A15" w:rsidRPr="00647A15">
        <w:rPr>
          <w:rFonts w:eastAsia="Calibri"/>
          <w:szCs w:val="22"/>
          <w:lang w:eastAsia="en-US"/>
        </w:rPr>
        <w:t>heteronormative</w:t>
      </w:r>
      <w:r w:rsidR="00647A15">
        <w:rPr>
          <w:rFonts w:eastAsia="Calibri"/>
          <w:szCs w:val="22"/>
          <w:lang w:eastAsia="en-US"/>
        </w:rPr>
        <w:t>, trans</w:t>
      </w:r>
      <w:r w:rsidR="00DB15BE" w:rsidRPr="006701BE">
        <w:rPr>
          <w:rFonts w:eastAsia="Calibri"/>
          <w:szCs w:val="22"/>
          <w:lang w:eastAsia="en-US"/>
        </w:rPr>
        <w:t xml:space="preserve">phobic, </w:t>
      </w:r>
      <w:r w:rsidR="00BA37F6" w:rsidRPr="006701BE">
        <w:rPr>
          <w:rFonts w:eastAsia="Calibri"/>
          <w:szCs w:val="22"/>
          <w:lang w:eastAsia="en-US"/>
        </w:rPr>
        <w:t>and ableist</w:t>
      </w:r>
      <w:r w:rsidRPr="006701BE">
        <w:rPr>
          <w:rFonts w:eastAsia="Calibri"/>
          <w:szCs w:val="22"/>
          <w:lang w:eastAsia="en-US"/>
        </w:rPr>
        <w:t xml:space="preserve">. </w:t>
      </w:r>
      <w:proofErr w:type="gramStart"/>
      <w:r w:rsidRPr="006701BE">
        <w:rPr>
          <w:rFonts w:eastAsia="Calibri"/>
          <w:szCs w:val="22"/>
          <w:lang w:eastAsia="en-US"/>
        </w:rPr>
        <w:t>But</w:t>
      </w:r>
      <w:r w:rsidR="00BA37F6" w:rsidRPr="006701BE">
        <w:rPr>
          <w:rFonts w:eastAsia="Calibri"/>
          <w:szCs w:val="22"/>
          <w:lang w:eastAsia="en-US"/>
        </w:rPr>
        <w:t>,</w:t>
      </w:r>
      <w:proofErr w:type="gramEnd"/>
      <w:r w:rsidRPr="006701BE">
        <w:rPr>
          <w:rFonts w:eastAsia="Calibri"/>
          <w:szCs w:val="22"/>
          <w:lang w:eastAsia="en-US"/>
        </w:rPr>
        <w:t xml:space="preserve"> that does not mean (and cannot mean) that mutual recognition </w:t>
      </w:r>
      <w:r w:rsidR="00BA37F6" w:rsidRPr="006701BE">
        <w:rPr>
          <w:rFonts w:eastAsia="Calibri"/>
          <w:szCs w:val="22"/>
          <w:lang w:eastAsia="en-US"/>
        </w:rPr>
        <w:t xml:space="preserve">is </w:t>
      </w:r>
      <w:r w:rsidRPr="00647A15">
        <w:rPr>
          <w:rFonts w:eastAsia="Calibri"/>
          <w:i/>
          <w:iCs/>
          <w:szCs w:val="22"/>
          <w:lang w:eastAsia="en-US"/>
        </w:rPr>
        <w:t>impossible</w:t>
      </w:r>
      <w:r w:rsidRPr="006701BE">
        <w:rPr>
          <w:rFonts w:eastAsia="Calibri"/>
          <w:szCs w:val="22"/>
          <w:lang w:eastAsia="en-US"/>
        </w:rPr>
        <w:t xml:space="preserve"> under the </w:t>
      </w:r>
      <w:r w:rsidR="006D3293" w:rsidRPr="006701BE">
        <w:rPr>
          <w:rFonts w:eastAsia="Calibri"/>
          <w:bCs/>
          <w:lang w:eastAsia="en-US"/>
        </w:rPr>
        <w:t>neoliberal market sphere</w:t>
      </w:r>
      <w:r w:rsidRPr="006701BE">
        <w:rPr>
          <w:rFonts w:eastAsia="Calibri"/>
          <w:szCs w:val="22"/>
          <w:lang w:eastAsia="en-US"/>
        </w:rPr>
        <w:t>. It means</w:t>
      </w:r>
      <w:r w:rsidR="008E74B8" w:rsidRPr="006701BE">
        <w:rPr>
          <w:rFonts w:eastAsia="Calibri"/>
          <w:szCs w:val="22"/>
          <w:lang w:eastAsia="en-US"/>
        </w:rPr>
        <w:t>,</w:t>
      </w:r>
      <w:r w:rsidRPr="006701BE">
        <w:rPr>
          <w:rFonts w:eastAsia="Calibri"/>
          <w:szCs w:val="22"/>
          <w:lang w:eastAsia="en-US"/>
        </w:rPr>
        <w:t xml:space="preserve"> rather</w:t>
      </w:r>
      <w:r w:rsidR="008E74B8" w:rsidRPr="006701BE">
        <w:rPr>
          <w:rFonts w:eastAsia="Calibri"/>
          <w:szCs w:val="22"/>
          <w:lang w:eastAsia="en-US"/>
        </w:rPr>
        <w:t>,</w:t>
      </w:r>
      <w:r w:rsidRPr="006701BE">
        <w:rPr>
          <w:rFonts w:eastAsia="Calibri"/>
          <w:szCs w:val="22"/>
          <w:lang w:eastAsia="en-US"/>
        </w:rPr>
        <w:t xml:space="preserve"> that mutual recognition</w:t>
      </w:r>
      <w:r w:rsidR="00F955C7" w:rsidRPr="006701BE">
        <w:rPr>
          <w:rFonts w:eastAsia="Calibri"/>
          <w:szCs w:val="22"/>
          <w:lang w:eastAsia="en-US"/>
        </w:rPr>
        <w:t xml:space="preserve"> </w:t>
      </w:r>
      <w:r w:rsidRPr="006701BE">
        <w:rPr>
          <w:rFonts w:eastAsia="Calibri"/>
          <w:szCs w:val="22"/>
          <w:lang w:eastAsia="en-US"/>
        </w:rPr>
        <w:t>will be difficult</w:t>
      </w:r>
      <w:r w:rsidR="00F955C7" w:rsidRPr="006701BE">
        <w:rPr>
          <w:rFonts w:eastAsia="Calibri"/>
          <w:szCs w:val="22"/>
          <w:lang w:eastAsia="en-US"/>
        </w:rPr>
        <w:t xml:space="preserve"> </w:t>
      </w:r>
      <w:r w:rsidR="00F955C7" w:rsidRPr="006701BE">
        <w:t xml:space="preserve">to </w:t>
      </w:r>
      <w:r w:rsidR="00F955C7" w:rsidRPr="006701BE">
        <w:rPr>
          <w:rFonts w:eastAsia="Calibri"/>
          <w:bCs/>
          <w:lang w:eastAsia="en-US"/>
        </w:rPr>
        <w:t>achieve</w:t>
      </w:r>
      <w:r w:rsidR="007460E2" w:rsidRPr="006701BE">
        <w:rPr>
          <w:rFonts w:eastAsia="Calibri"/>
          <w:bCs/>
          <w:lang w:eastAsia="en-US"/>
        </w:rPr>
        <w:t xml:space="preserve"> </w:t>
      </w:r>
      <w:r w:rsidR="007460E2" w:rsidRPr="006701BE">
        <w:rPr>
          <w:rFonts w:eastAsia="Calibri"/>
          <w:szCs w:val="22"/>
          <w:lang w:eastAsia="en-US"/>
        </w:rPr>
        <w:t>under existing conditions</w:t>
      </w:r>
      <w:r w:rsidRPr="006701BE">
        <w:rPr>
          <w:rFonts w:eastAsia="Calibri"/>
          <w:szCs w:val="22"/>
          <w:lang w:eastAsia="en-US"/>
        </w:rPr>
        <w:t xml:space="preserve">. </w:t>
      </w:r>
      <w:r w:rsidR="00295C6A" w:rsidRPr="006701BE">
        <w:rPr>
          <w:rFonts w:eastAsia="Calibri"/>
          <w:szCs w:val="22"/>
          <w:lang w:eastAsia="en-US"/>
        </w:rPr>
        <w:t>Recognition</w:t>
      </w:r>
      <w:r w:rsidR="00295C6A" w:rsidRPr="006701BE">
        <w:t xml:space="preserve"> </w:t>
      </w:r>
      <w:r w:rsidR="00295C6A" w:rsidRPr="006701BE">
        <w:rPr>
          <w:rFonts w:eastAsia="Calibri"/>
          <w:szCs w:val="22"/>
          <w:lang w:eastAsia="en-US"/>
        </w:rPr>
        <w:t xml:space="preserve">theory shares much in common with a </w:t>
      </w:r>
      <w:r w:rsidR="00BA37F6" w:rsidRPr="006701BE">
        <w:rPr>
          <w:rFonts w:eastAsia="Calibri"/>
          <w:szCs w:val="22"/>
          <w:lang w:eastAsia="en-US"/>
        </w:rPr>
        <w:t>robust</w:t>
      </w:r>
      <w:r w:rsidR="00295C6A" w:rsidRPr="006701BE">
        <w:rPr>
          <w:rFonts w:eastAsia="Calibri"/>
          <w:szCs w:val="22"/>
          <w:lang w:eastAsia="en-US"/>
        </w:rPr>
        <w:t xml:space="preserve"> democratic call for </w:t>
      </w:r>
      <w:r w:rsidR="00521780" w:rsidRPr="006701BE">
        <w:rPr>
          <w:rFonts w:eastAsia="Calibri"/>
          <w:szCs w:val="22"/>
          <w:lang w:eastAsia="en-US"/>
        </w:rPr>
        <w:t xml:space="preserve">substantive </w:t>
      </w:r>
      <w:r w:rsidR="00295C6A" w:rsidRPr="006701BE">
        <w:rPr>
          <w:rFonts w:eastAsia="Calibri"/>
          <w:szCs w:val="22"/>
          <w:lang w:eastAsia="en-US"/>
        </w:rPr>
        <w:t>progressive correction</w:t>
      </w:r>
      <w:r w:rsidR="00F955C7" w:rsidRPr="006701BE">
        <w:rPr>
          <w:rFonts w:eastAsia="Calibri"/>
          <w:szCs w:val="22"/>
          <w:lang w:eastAsia="en-US"/>
        </w:rPr>
        <w:t xml:space="preserve">, </w:t>
      </w:r>
      <w:r w:rsidR="00295C6A" w:rsidRPr="006701BE">
        <w:rPr>
          <w:rFonts w:eastAsia="Calibri"/>
          <w:szCs w:val="22"/>
          <w:lang w:eastAsia="en-US"/>
        </w:rPr>
        <w:t xml:space="preserve">where </w:t>
      </w:r>
      <w:r w:rsidR="00F955C7" w:rsidRPr="006701BE">
        <w:rPr>
          <w:rFonts w:eastAsia="Calibri"/>
          <w:szCs w:val="22"/>
          <w:lang w:eastAsia="en-US"/>
        </w:rPr>
        <w:t>the</w:t>
      </w:r>
      <w:r w:rsidRPr="006701BE">
        <w:rPr>
          <w:rFonts w:eastAsia="Calibri"/>
          <w:szCs w:val="22"/>
          <w:lang w:eastAsia="en-US"/>
        </w:rPr>
        <w:t xml:space="preserve"> goal of social critique is </w:t>
      </w:r>
      <w:r w:rsidR="007460E2" w:rsidRPr="006701BE">
        <w:t xml:space="preserve">to shift </w:t>
      </w:r>
      <w:r w:rsidR="00D81FF7" w:rsidRPr="006701BE">
        <w:t>unequal power relations</w:t>
      </w:r>
      <w:r w:rsidR="007460E2" w:rsidRPr="006701BE">
        <w:t xml:space="preserve"> that are directly responsible for </w:t>
      </w:r>
      <w:r w:rsidR="0018098A" w:rsidRPr="006701BE">
        <w:t xml:space="preserve">suffering </w:t>
      </w:r>
      <w:r w:rsidR="007460E2" w:rsidRPr="006701BE">
        <w:t>and the kind of alienation that is produced by marginalisation</w:t>
      </w:r>
      <w:r w:rsidR="00963B74" w:rsidRPr="006701BE">
        <w:t xml:space="preserve"> and that further entrenches </w:t>
      </w:r>
      <w:r w:rsidR="00521780" w:rsidRPr="006701BE">
        <w:t xml:space="preserve">oppressive </w:t>
      </w:r>
      <w:r w:rsidR="00963B74" w:rsidRPr="006701BE">
        <w:t>ideology</w:t>
      </w:r>
      <w:r w:rsidR="00647A15">
        <w:t xml:space="preserve">: current social institutions fail to be </w:t>
      </w:r>
      <w:r w:rsidR="00647A15" w:rsidRPr="00647A15">
        <w:rPr>
          <w:i/>
          <w:iCs/>
        </w:rPr>
        <w:t>relational institutions</w:t>
      </w:r>
      <w:r w:rsidR="00647A15">
        <w:t>, since they fail to promote practices of symmetrical recognition</w:t>
      </w:r>
      <w:r w:rsidRPr="006701BE">
        <w:rPr>
          <w:rFonts w:eastAsia="Calibri"/>
          <w:szCs w:val="22"/>
          <w:lang w:eastAsia="en-US"/>
        </w:rPr>
        <w:t>.</w:t>
      </w:r>
      <w:r w:rsidR="00F955C7" w:rsidRPr="006701BE">
        <w:rPr>
          <w:rFonts w:eastAsia="Calibri"/>
          <w:szCs w:val="22"/>
          <w:lang w:eastAsia="en-US"/>
        </w:rPr>
        <w:t xml:space="preserve"> </w:t>
      </w:r>
      <w:r w:rsidR="0018098A" w:rsidRPr="006701BE">
        <w:rPr>
          <w:rFonts w:eastAsia="Calibri"/>
          <w:szCs w:val="22"/>
          <w:lang w:eastAsia="en-US"/>
        </w:rPr>
        <w:t xml:space="preserve"> </w:t>
      </w:r>
    </w:p>
    <w:p w14:paraId="636188BE" w14:textId="77777777" w:rsidR="002A5E63" w:rsidRDefault="005A625F" w:rsidP="002A5E63">
      <w:pPr>
        <w:ind w:firstLine="720"/>
      </w:pPr>
      <w:r w:rsidRPr="00C554E0">
        <w:rPr>
          <w:rFonts w:eastAsia="Calibri"/>
          <w:szCs w:val="22"/>
          <w:lang w:eastAsia="en-US"/>
        </w:rPr>
        <w:t xml:space="preserve"> </w:t>
      </w:r>
      <w:r w:rsidR="00010D31" w:rsidRPr="00C554E0">
        <w:rPr>
          <w:rFonts w:eastAsia="Calibri"/>
          <w:szCs w:val="22"/>
          <w:lang w:eastAsia="en-US"/>
        </w:rPr>
        <w:t xml:space="preserve">I take </w:t>
      </w:r>
      <w:r w:rsidR="002C483D" w:rsidRPr="00C554E0">
        <w:rPr>
          <w:rFonts w:eastAsia="Calibri"/>
          <w:szCs w:val="22"/>
          <w:lang w:eastAsia="en-US"/>
        </w:rPr>
        <w:t>what I have</w:t>
      </w:r>
      <w:r w:rsidR="00010D31" w:rsidRPr="00C554E0">
        <w:rPr>
          <w:rFonts w:eastAsia="Calibri"/>
          <w:szCs w:val="22"/>
          <w:lang w:eastAsia="en-US"/>
        </w:rPr>
        <w:t xml:space="preserve"> proposed </w:t>
      </w:r>
      <w:r w:rsidR="00F61EE3" w:rsidRPr="00C554E0">
        <w:rPr>
          <w:rFonts w:eastAsia="Calibri"/>
          <w:szCs w:val="22"/>
          <w:lang w:eastAsia="en-US"/>
        </w:rPr>
        <w:t xml:space="preserve">here </w:t>
      </w:r>
      <w:r w:rsidR="00010D31" w:rsidRPr="00C554E0">
        <w:rPr>
          <w:rFonts w:eastAsia="Calibri"/>
          <w:szCs w:val="22"/>
          <w:lang w:eastAsia="en-US"/>
        </w:rPr>
        <w:t xml:space="preserve">to hopefully go to some length in </w:t>
      </w:r>
      <w:r w:rsidR="00CA6952" w:rsidRPr="00C554E0">
        <w:rPr>
          <w:rFonts w:eastAsia="Calibri"/>
          <w:szCs w:val="22"/>
          <w:lang w:eastAsia="en-US"/>
        </w:rPr>
        <w:t xml:space="preserve">bringing </w:t>
      </w:r>
      <w:r w:rsidR="00CA6952" w:rsidRPr="00C554E0">
        <w:rPr>
          <w:bCs/>
        </w:rPr>
        <w:t>recognition theory</w:t>
      </w:r>
      <w:r w:rsidR="00CA6952" w:rsidRPr="00C554E0">
        <w:rPr>
          <w:rFonts w:eastAsia="Calibri"/>
          <w:szCs w:val="22"/>
          <w:lang w:eastAsia="en-US"/>
        </w:rPr>
        <w:t xml:space="preserve"> and </w:t>
      </w:r>
      <w:r w:rsidR="009A009E" w:rsidRPr="00C554E0">
        <w:rPr>
          <w:lang w:val="en-US"/>
        </w:rPr>
        <w:t xml:space="preserve">intersectional feminist epistemology </w:t>
      </w:r>
      <w:r w:rsidR="00CA6952" w:rsidRPr="00C554E0">
        <w:rPr>
          <w:rFonts w:eastAsia="Calibri"/>
          <w:szCs w:val="22"/>
          <w:lang w:eastAsia="en-US"/>
        </w:rPr>
        <w:t xml:space="preserve">into conversation, and that this conjunction could help </w:t>
      </w:r>
      <w:r w:rsidR="008C15BE" w:rsidRPr="00C554E0">
        <w:rPr>
          <w:rFonts w:eastAsia="Calibri"/>
          <w:szCs w:val="22"/>
          <w:lang w:eastAsia="en-US"/>
        </w:rPr>
        <w:t xml:space="preserve">those theorists </w:t>
      </w:r>
      <w:r w:rsidR="008C15BE" w:rsidRPr="00C554E0">
        <w:t xml:space="preserve">determined to lend a voice to suffering </w:t>
      </w:r>
      <w:r w:rsidR="008C15BE" w:rsidRPr="00C554E0">
        <w:rPr>
          <w:rFonts w:eastAsia="Calibri"/>
          <w:szCs w:val="22"/>
          <w:lang w:eastAsia="en-US"/>
        </w:rPr>
        <w:t>address</w:t>
      </w:r>
      <w:r w:rsidR="00CA6952" w:rsidRPr="00C554E0">
        <w:rPr>
          <w:rFonts w:eastAsia="Calibri"/>
          <w:szCs w:val="22"/>
          <w:lang w:eastAsia="en-US"/>
        </w:rPr>
        <w:t xml:space="preserve"> social challenges. </w:t>
      </w:r>
      <w:r w:rsidR="005643F0" w:rsidRPr="00C554E0">
        <w:rPr>
          <w:rFonts w:eastAsia="Calibri"/>
          <w:i/>
          <w:szCs w:val="22"/>
          <w:lang w:eastAsia="en-US"/>
        </w:rPr>
        <w:t xml:space="preserve">The failure of mutual recognition </w:t>
      </w:r>
      <w:r w:rsidR="00DB15BE">
        <w:rPr>
          <w:rFonts w:eastAsia="Calibri"/>
          <w:i/>
          <w:szCs w:val="22"/>
          <w:lang w:eastAsia="en-US"/>
        </w:rPr>
        <w:t xml:space="preserve">helpfully </w:t>
      </w:r>
      <w:r w:rsidR="005643F0" w:rsidRPr="00C554E0">
        <w:rPr>
          <w:rFonts w:eastAsia="Calibri"/>
          <w:i/>
          <w:szCs w:val="22"/>
          <w:lang w:eastAsia="en-US"/>
        </w:rPr>
        <w:t xml:space="preserve">explains how epistemic </w:t>
      </w:r>
      <w:r w:rsidR="009A009E" w:rsidRPr="00C554E0">
        <w:rPr>
          <w:rFonts w:eastAsia="Calibri"/>
          <w:i/>
          <w:szCs w:val="22"/>
          <w:lang w:eastAsia="en-US"/>
        </w:rPr>
        <w:t>oppression and injustice are</w:t>
      </w:r>
      <w:r w:rsidR="005643F0" w:rsidRPr="00C554E0">
        <w:rPr>
          <w:rFonts w:eastAsia="Calibri"/>
          <w:i/>
          <w:szCs w:val="22"/>
          <w:lang w:eastAsia="en-US"/>
        </w:rPr>
        <w:t xml:space="preserve"> possible</w:t>
      </w:r>
      <w:r w:rsidR="00DB15BE">
        <w:rPr>
          <w:rFonts w:eastAsia="Calibri"/>
          <w:szCs w:val="22"/>
          <w:lang w:eastAsia="en-US"/>
        </w:rPr>
        <w:t>. T</w:t>
      </w:r>
      <w:r w:rsidR="008C15BE" w:rsidRPr="00C554E0">
        <w:rPr>
          <w:rFonts w:eastAsia="Calibri"/>
          <w:szCs w:val="22"/>
          <w:lang w:eastAsia="en-US"/>
        </w:rPr>
        <w:t xml:space="preserve">hat </w:t>
      </w:r>
      <w:r w:rsidR="00CC5133" w:rsidRPr="00C554E0">
        <w:rPr>
          <w:rFonts w:eastAsia="Calibri"/>
          <w:szCs w:val="22"/>
          <w:lang w:eastAsia="en-US"/>
        </w:rPr>
        <w:t>modern</w:t>
      </w:r>
      <w:r w:rsidR="008C15BE" w:rsidRPr="00C554E0">
        <w:rPr>
          <w:rFonts w:eastAsia="Calibri"/>
          <w:szCs w:val="22"/>
          <w:lang w:eastAsia="en-US"/>
        </w:rPr>
        <w:t xml:space="preserve"> </w:t>
      </w:r>
      <w:r w:rsidR="00046ACF" w:rsidRPr="00C554E0">
        <w:rPr>
          <w:rFonts w:eastAsia="Calibri"/>
          <w:szCs w:val="22"/>
          <w:lang w:eastAsia="en-US"/>
        </w:rPr>
        <w:t xml:space="preserve">Western </w:t>
      </w:r>
      <w:r w:rsidR="008C15BE" w:rsidRPr="00C554E0">
        <w:rPr>
          <w:rFonts w:eastAsia="Calibri"/>
          <w:szCs w:val="22"/>
          <w:lang w:eastAsia="en-US"/>
        </w:rPr>
        <w:t xml:space="preserve">societies, quite simply, have disgraceful </w:t>
      </w:r>
      <w:r w:rsidR="00504D9B" w:rsidRPr="00C554E0">
        <w:rPr>
          <w:rFonts w:eastAsia="Calibri"/>
          <w:szCs w:val="22"/>
          <w:lang w:eastAsia="en-US"/>
        </w:rPr>
        <w:t xml:space="preserve">and appalling </w:t>
      </w:r>
      <w:r w:rsidR="008C15BE" w:rsidRPr="00C554E0">
        <w:rPr>
          <w:rFonts w:eastAsia="Calibri"/>
          <w:szCs w:val="22"/>
          <w:lang w:eastAsia="en-US"/>
        </w:rPr>
        <w:t xml:space="preserve">habits of </w:t>
      </w:r>
      <w:r w:rsidR="000534F2" w:rsidRPr="00C554E0">
        <w:rPr>
          <w:rFonts w:eastAsia="Calibri"/>
          <w:szCs w:val="22"/>
          <w:lang w:eastAsia="en-US"/>
        </w:rPr>
        <w:t xml:space="preserve">epistemic </w:t>
      </w:r>
      <w:r w:rsidR="00026B03" w:rsidRPr="00C554E0">
        <w:rPr>
          <w:rFonts w:eastAsia="Calibri"/>
          <w:szCs w:val="22"/>
          <w:lang w:eastAsia="en-US"/>
        </w:rPr>
        <w:t>mis</w:t>
      </w:r>
      <w:r w:rsidR="000534F2" w:rsidRPr="00C554E0">
        <w:rPr>
          <w:rFonts w:eastAsia="Calibri"/>
          <w:szCs w:val="22"/>
          <w:lang w:eastAsia="en-US"/>
        </w:rPr>
        <w:t>recogni</w:t>
      </w:r>
      <w:r w:rsidR="0084219E" w:rsidRPr="00C554E0">
        <w:rPr>
          <w:rFonts w:eastAsia="Calibri"/>
          <w:szCs w:val="22"/>
          <w:lang w:eastAsia="en-US"/>
        </w:rPr>
        <w:t>tion</w:t>
      </w:r>
      <w:r w:rsidR="00026B03" w:rsidRPr="00C554E0">
        <w:rPr>
          <w:rFonts w:eastAsia="Calibri"/>
          <w:szCs w:val="22"/>
          <w:lang w:eastAsia="en-US"/>
        </w:rPr>
        <w:t xml:space="preserve"> and nonrecognition</w:t>
      </w:r>
      <w:r w:rsidR="000534F2" w:rsidRPr="00C554E0">
        <w:rPr>
          <w:rFonts w:eastAsia="Calibri"/>
          <w:szCs w:val="22"/>
          <w:lang w:eastAsia="en-US"/>
        </w:rPr>
        <w:t xml:space="preserve"> </w:t>
      </w:r>
      <w:r w:rsidR="00D55A37" w:rsidRPr="00C554E0">
        <w:rPr>
          <w:rFonts w:eastAsia="Calibri"/>
          <w:szCs w:val="22"/>
          <w:lang w:eastAsia="en-US"/>
        </w:rPr>
        <w:t xml:space="preserve">reveals the </w:t>
      </w:r>
      <w:r w:rsidR="00DC10C1" w:rsidRPr="00C554E0">
        <w:rPr>
          <w:rFonts w:eastAsia="Calibri"/>
          <w:szCs w:val="22"/>
          <w:lang w:eastAsia="en-US"/>
        </w:rPr>
        <w:t xml:space="preserve">normalised </w:t>
      </w:r>
      <w:r w:rsidR="00B07A2F" w:rsidRPr="00C554E0">
        <w:rPr>
          <w:rFonts w:eastAsia="Calibri"/>
          <w:szCs w:val="22"/>
          <w:lang w:eastAsia="en-US"/>
        </w:rPr>
        <w:t xml:space="preserve">virulent </w:t>
      </w:r>
      <w:r w:rsidR="00D55A37" w:rsidRPr="00C554E0">
        <w:rPr>
          <w:rFonts w:eastAsia="Calibri"/>
          <w:szCs w:val="22"/>
          <w:lang w:eastAsia="en-US"/>
        </w:rPr>
        <w:t>contempt for non-privileged groups</w:t>
      </w:r>
      <w:r w:rsidR="00AA05F8" w:rsidRPr="00C554E0">
        <w:rPr>
          <w:rFonts w:eastAsia="Calibri"/>
          <w:szCs w:val="22"/>
          <w:lang w:eastAsia="en-US"/>
        </w:rPr>
        <w:t xml:space="preserve">. To put this </w:t>
      </w:r>
      <w:r w:rsidR="0084128B" w:rsidRPr="00C554E0">
        <w:rPr>
          <w:rFonts w:eastAsia="Calibri"/>
          <w:szCs w:val="22"/>
          <w:lang w:eastAsia="en-US"/>
        </w:rPr>
        <w:t xml:space="preserve">point more </w:t>
      </w:r>
      <w:r w:rsidR="00AA05F8" w:rsidRPr="00C554E0">
        <w:rPr>
          <w:rFonts w:eastAsia="Calibri"/>
          <w:szCs w:val="22"/>
          <w:lang w:eastAsia="en-US"/>
        </w:rPr>
        <w:t>polemically, m</w:t>
      </w:r>
      <w:r w:rsidR="009A009E" w:rsidRPr="00C554E0">
        <w:rPr>
          <w:rFonts w:eastAsia="Calibri"/>
          <w:szCs w:val="22"/>
          <w:lang w:eastAsia="en-US"/>
        </w:rPr>
        <w:t>odern social institutions have</w:t>
      </w:r>
      <w:r w:rsidR="000534F2" w:rsidRPr="00C554E0">
        <w:rPr>
          <w:rFonts w:eastAsia="Calibri"/>
          <w:szCs w:val="22"/>
          <w:lang w:eastAsia="en-US"/>
        </w:rPr>
        <w:t xml:space="preserve"> </w:t>
      </w:r>
      <w:r w:rsidR="009A009E" w:rsidRPr="00C554E0">
        <w:rPr>
          <w:rFonts w:eastAsia="Calibri"/>
          <w:szCs w:val="22"/>
          <w:lang w:eastAsia="en-US"/>
        </w:rPr>
        <w:t>substantive internal structural weaknesses</w:t>
      </w:r>
      <w:r w:rsidR="008C15BE" w:rsidRPr="00C554E0">
        <w:rPr>
          <w:rFonts w:eastAsia="Calibri"/>
          <w:szCs w:val="22"/>
          <w:lang w:eastAsia="en-US"/>
        </w:rPr>
        <w:t>; m</w:t>
      </w:r>
      <w:r w:rsidR="009A009E" w:rsidRPr="00C554E0">
        <w:rPr>
          <w:rFonts w:eastAsia="Calibri"/>
          <w:szCs w:val="22"/>
          <w:lang w:eastAsia="en-US"/>
        </w:rPr>
        <w:t xml:space="preserve">odern social institutions </w:t>
      </w:r>
      <w:r w:rsidR="0018098A" w:rsidRPr="00C554E0">
        <w:rPr>
          <w:rFonts w:eastAsia="Calibri"/>
          <w:szCs w:val="22"/>
          <w:lang w:eastAsia="en-US"/>
        </w:rPr>
        <w:t xml:space="preserve">often </w:t>
      </w:r>
      <w:r w:rsidR="000534F2" w:rsidRPr="00C554E0">
        <w:rPr>
          <w:rFonts w:eastAsia="Calibri"/>
          <w:szCs w:val="22"/>
          <w:lang w:eastAsia="en-US"/>
        </w:rPr>
        <w:t xml:space="preserve">fail to encourage the quest for self-realisation and thereby leave </w:t>
      </w:r>
      <w:r w:rsidR="002C483D" w:rsidRPr="00C554E0">
        <w:rPr>
          <w:rFonts w:eastAsia="Calibri"/>
          <w:szCs w:val="22"/>
          <w:lang w:eastAsia="en-US"/>
        </w:rPr>
        <w:t>people</w:t>
      </w:r>
      <w:r w:rsidR="000534F2" w:rsidRPr="00C554E0">
        <w:rPr>
          <w:rFonts w:eastAsia="Calibri"/>
          <w:szCs w:val="22"/>
          <w:lang w:eastAsia="en-US"/>
        </w:rPr>
        <w:t xml:space="preserve"> who are </w:t>
      </w:r>
      <w:r w:rsidR="00D55A37" w:rsidRPr="00C554E0">
        <w:rPr>
          <w:rFonts w:eastAsia="Calibri"/>
          <w:szCs w:val="22"/>
          <w:lang w:eastAsia="en-US"/>
        </w:rPr>
        <w:t>epistemically oppressed and marginalised</w:t>
      </w:r>
      <w:r w:rsidR="000534F2" w:rsidRPr="00C554E0">
        <w:rPr>
          <w:rFonts w:eastAsia="Calibri"/>
          <w:szCs w:val="22"/>
          <w:lang w:eastAsia="en-US"/>
        </w:rPr>
        <w:t xml:space="preserve"> in a </w:t>
      </w:r>
      <w:r w:rsidR="00D55A37" w:rsidRPr="00C554E0">
        <w:rPr>
          <w:rFonts w:eastAsia="Calibri"/>
          <w:szCs w:val="22"/>
          <w:lang w:eastAsia="en-US"/>
        </w:rPr>
        <w:t xml:space="preserve">constant </w:t>
      </w:r>
      <w:r w:rsidR="000534F2" w:rsidRPr="00C554E0">
        <w:rPr>
          <w:rFonts w:eastAsia="Calibri"/>
          <w:szCs w:val="22"/>
          <w:lang w:eastAsia="en-US"/>
        </w:rPr>
        <w:t>state of alienation</w:t>
      </w:r>
      <w:r w:rsidR="00D55A37" w:rsidRPr="00C554E0">
        <w:rPr>
          <w:rFonts w:eastAsia="Calibri"/>
          <w:szCs w:val="22"/>
          <w:lang w:eastAsia="en-US"/>
        </w:rPr>
        <w:t>; modern social institutions, therefore, require radical change, rather than liberal tweaks</w:t>
      </w:r>
      <w:r w:rsidR="00647A15" w:rsidRPr="00647A15">
        <w:rPr>
          <w:rFonts w:eastAsia="Calibri"/>
          <w:szCs w:val="22"/>
          <w:lang w:eastAsia="en-US"/>
        </w:rPr>
        <w:t>.</w:t>
      </w:r>
    </w:p>
    <w:p w14:paraId="59BDA24A" w14:textId="16D26226" w:rsidR="00046ACF" w:rsidRPr="00C554E0" w:rsidRDefault="00647A15" w:rsidP="002A5E63">
      <w:pPr>
        <w:ind w:firstLine="720"/>
        <w:rPr>
          <w:rFonts w:eastAsia="Calibri"/>
          <w:szCs w:val="22"/>
          <w:lang w:eastAsia="en-US"/>
        </w:rPr>
      </w:pPr>
      <w:r w:rsidRPr="00647A15">
        <w:t>For example,</w:t>
      </w:r>
      <w:r>
        <w:t xml:space="preserve"> </w:t>
      </w:r>
      <w:r w:rsidRPr="00647A15">
        <w:rPr>
          <w:rFonts w:eastAsia="Calibri"/>
          <w:i/>
          <w:iCs/>
          <w:szCs w:val="22"/>
          <w:lang w:eastAsia="en-US"/>
        </w:rPr>
        <w:t>distress</w:t>
      </w:r>
      <w:r w:rsidRPr="00647A15">
        <w:rPr>
          <w:rFonts w:eastAsia="Calibri"/>
          <w:szCs w:val="22"/>
          <w:lang w:eastAsia="en-US"/>
        </w:rPr>
        <w:t xml:space="preserve"> at institutional racism and police brutality is dismissed, to the</w:t>
      </w:r>
      <w:r>
        <w:rPr>
          <w:rFonts w:eastAsia="Calibri"/>
          <w:szCs w:val="22"/>
          <w:lang w:eastAsia="en-US"/>
        </w:rPr>
        <w:t xml:space="preserve"> </w:t>
      </w:r>
      <w:r w:rsidRPr="00647A15">
        <w:rPr>
          <w:rFonts w:eastAsia="Calibri"/>
          <w:szCs w:val="22"/>
          <w:lang w:eastAsia="en-US"/>
        </w:rPr>
        <w:t xml:space="preserve">extent that the vocabulary of </w:t>
      </w:r>
      <w:proofErr w:type="gramStart"/>
      <w:r w:rsidRPr="00647A15">
        <w:rPr>
          <w:rFonts w:eastAsia="Calibri"/>
          <w:szCs w:val="22"/>
          <w:lang w:eastAsia="en-US"/>
        </w:rPr>
        <w:t>protest against</w:t>
      </w:r>
      <w:proofErr w:type="gramEnd"/>
      <w:r w:rsidRPr="00647A15">
        <w:rPr>
          <w:rFonts w:eastAsia="Calibri"/>
          <w:szCs w:val="22"/>
          <w:lang w:eastAsia="en-US"/>
        </w:rPr>
        <w:t xml:space="preserve"> injustice are</w:t>
      </w:r>
      <w:r>
        <w:rPr>
          <w:rFonts w:eastAsia="Calibri"/>
          <w:szCs w:val="22"/>
          <w:lang w:eastAsia="en-US"/>
        </w:rPr>
        <w:t xml:space="preserve"> </w:t>
      </w:r>
      <w:r w:rsidRPr="00647A15">
        <w:rPr>
          <w:rFonts w:eastAsia="Calibri"/>
          <w:szCs w:val="22"/>
          <w:lang w:eastAsia="en-US"/>
        </w:rPr>
        <w:t>viciously misrecogni</w:t>
      </w:r>
      <w:r>
        <w:rPr>
          <w:rFonts w:eastAsia="Calibri"/>
          <w:szCs w:val="22"/>
          <w:lang w:eastAsia="en-US"/>
        </w:rPr>
        <w:t>s</w:t>
      </w:r>
      <w:r w:rsidRPr="00647A15">
        <w:rPr>
          <w:rFonts w:eastAsia="Calibri"/>
          <w:szCs w:val="22"/>
          <w:lang w:eastAsia="en-US"/>
        </w:rPr>
        <w:t>ed to the point of erasure. As Robert</w:t>
      </w:r>
      <w:r>
        <w:rPr>
          <w:rFonts w:eastAsia="Calibri"/>
          <w:szCs w:val="22"/>
          <w:lang w:eastAsia="en-US"/>
        </w:rPr>
        <w:t xml:space="preserve"> </w:t>
      </w:r>
      <w:r w:rsidRPr="00647A15">
        <w:rPr>
          <w:rFonts w:eastAsia="Calibri"/>
          <w:szCs w:val="22"/>
          <w:lang w:eastAsia="en-US"/>
        </w:rPr>
        <w:t xml:space="preserve">Gooding-Williams writes, the conservative and reactionary view is </w:t>
      </w:r>
      <w:r w:rsidR="002A5E63">
        <w:rPr>
          <w:rFonts w:eastAsia="Calibri"/>
          <w:szCs w:val="22"/>
          <w:lang w:eastAsia="en-US"/>
        </w:rPr>
        <w:t>‘</w:t>
      </w:r>
      <w:r w:rsidRPr="00647A15">
        <w:rPr>
          <w:rFonts w:eastAsia="Calibri"/>
          <w:szCs w:val="22"/>
          <w:lang w:eastAsia="en-US"/>
        </w:rPr>
        <w:t>a failure to</w:t>
      </w:r>
      <w:r>
        <w:rPr>
          <w:rFonts w:eastAsia="Calibri"/>
          <w:szCs w:val="22"/>
          <w:lang w:eastAsia="en-US"/>
        </w:rPr>
        <w:t xml:space="preserve"> </w:t>
      </w:r>
      <w:r w:rsidRPr="00647A15">
        <w:rPr>
          <w:rFonts w:eastAsia="Calibri"/>
          <w:szCs w:val="22"/>
          <w:lang w:eastAsia="en-US"/>
        </w:rPr>
        <w:t>regard the speech or actions of black people as manifesting thoughtful</w:t>
      </w:r>
      <w:r>
        <w:rPr>
          <w:rFonts w:eastAsia="Calibri"/>
          <w:szCs w:val="22"/>
          <w:lang w:eastAsia="en-US"/>
        </w:rPr>
        <w:t xml:space="preserve"> </w:t>
      </w:r>
      <w:r w:rsidRPr="00647A15">
        <w:rPr>
          <w:rFonts w:eastAsia="Calibri"/>
          <w:szCs w:val="22"/>
          <w:lang w:eastAsia="en-US"/>
        </w:rPr>
        <w:t>judg</w:t>
      </w:r>
      <w:r>
        <w:rPr>
          <w:rFonts w:eastAsia="Calibri"/>
          <w:szCs w:val="22"/>
          <w:lang w:eastAsia="en-US"/>
        </w:rPr>
        <w:t>e</w:t>
      </w:r>
      <w:r w:rsidRPr="00647A15">
        <w:rPr>
          <w:rFonts w:eastAsia="Calibri"/>
          <w:szCs w:val="22"/>
          <w:lang w:eastAsia="en-US"/>
        </w:rPr>
        <w:t>ments about issues that concern all members of the political community</w:t>
      </w:r>
      <w:r w:rsidR="002A5E63">
        <w:rPr>
          <w:rFonts w:eastAsia="Calibri"/>
          <w:szCs w:val="22"/>
          <w:lang w:eastAsia="en-US"/>
        </w:rPr>
        <w:t>’</w:t>
      </w:r>
      <w:r w:rsidRPr="00647A15">
        <w:rPr>
          <w:rFonts w:eastAsia="Calibri"/>
          <w:szCs w:val="22"/>
          <w:lang w:eastAsia="en-US"/>
        </w:rPr>
        <w:t>.</w:t>
      </w:r>
      <w:r>
        <w:rPr>
          <w:rStyle w:val="FootnoteReference"/>
          <w:rFonts w:eastAsia="Calibri"/>
          <w:szCs w:val="22"/>
          <w:lang w:eastAsia="en-US"/>
        </w:rPr>
        <w:footnoteReference w:id="61"/>
      </w:r>
      <w:r w:rsidR="002A5E63" w:rsidRPr="002A5E63">
        <w:t xml:space="preserve"> </w:t>
      </w:r>
      <w:r w:rsidR="002A5E63" w:rsidRPr="002A5E63">
        <w:rPr>
          <w:rFonts w:eastAsia="Calibri"/>
          <w:szCs w:val="22"/>
          <w:lang w:eastAsia="en-US"/>
        </w:rPr>
        <w:t>As part of the</w:t>
      </w:r>
      <w:r w:rsidR="002A5E63">
        <w:rPr>
          <w:rFonts w:eastAsia="Calibri"/>
          <w:szCs w:val="22"/>
          <w:lang w:eastAsia="en-US"/>
        </w:rPr>
        <w:t xml:space="preserve"> </w:t>
      </w:r>
      <w:r w:rsidR="002A5E63" w:rsidRPr="002A5E63">
        <w:rPr>
          <w:rFonts w:eastAsia="Calibri"/>
          <w:szCs w:val="22"/>
          <w:lang w:eastAsia="en-US"/>
        </w:rPr>
        <w:t xml:space="preserve">effort to </w:t>
      </w:r>
      <w:r w:rsidR="002A5E63" w:rsidRPr="002A5E63">
        <w:rPr>
          <w:rFonts w:eastAsia="Calibri"/>
          <w:szCs w:val="22"/>
          <w:lang w:eastAsia="en-US"/>
        </w:rPr>
        <w:lastRenderedPageBreak/>
        <w:t>explicitly challenge the reactionary socio-epistemic paradigms</w:t>
      </w:r>
      <w:r w:rsidR="002A5E63">
        <w:rPr>
          <w:rFonts w:eastAsia="Calibri"/>
          <w:szCs w:val="22"/>
          <w:lang w:eastAsia="en-US"/>
        </w:rPr>
        <w:t xml:space="preserve"> </w:t>
      </w:r>
      <w:r w:rsidR="002A5E63" w:rsidRPr="002A5E63">
        <w:rPr>
          <w:rFonts w:eastAsia="Calibri"/>
          <w:szCs w:val="22"/>
          <w:lang w:eastAsia="en-US"/>
        </w:rPr>
        <w:t>which construe antiracist protestors as public threats, Black Lives Matter</w:t>
      </w:r>
      <w:r w:rsidR="002A5E63">
        <w:rPr>
          <w:rFonts w:eastAsia="Calibri"/>
          <w:szCs w:val="22"/>
          <w:lang w:eastAsia="en-US"/>
        </w:rPr>
        <w:t xml:space="preserve"> </w:t>
      </w:r>
      <w:r w:rsidR="002A5E63" w:rsidRPr="002A5E63">
        <w:rPr>
          <w:rFonts w:eastAsia="Calibri"/>
          <w:szCs w:val="22"/>
          <w:lang w:eastAsia="en-US"/>
        </w:rPr>
        <w:t xml:space="preserve">demonstrations typically involve the chants </w:t>
      </w:r>
      <w:r w:rsidR="002A5E63">
        <w:rPr>
          <w:rFonts w:eastAsia="Calibri"/>
          <w:szCs w:val="22"/>
          <w:lang w:eastAsia="en-US"/>
        </w:rPr>
        <w:t>‘</w:t>
      </w:r>
      <w:r w:rsidR="002A5E63" w:rsidRPr="002A5E63">
        <w:rPr>
          <w:rFonts w:eastAsia="Calibri"/>
          <w:szCs w:val="22"/>
          <w:lang w:eastAsia="en-US"/>
        </w:rPr>
        <w:t>Hands Up, Don’t Shoot!</w:t>
      </w:r>
      <w:r w:rsidR="002A5E63">
        <w:rPr>
          <w:rFonts w:eastAsia="Calibri"/>
          <w:szCs w:val="22"/>
          <w:lang w:eastAsia="en-US"/>
        </w:rPr>
        <w:t>’</w:t>
      </w:r>
      <w:r w:rsidR="002A5E63" w:rsidRPr="002A5E63">
        <w:rPr>
          <w:rFonts w:eastAsia="Calibri"/>
          <w:szCs w:val="22"/>
          <w:lang w:eastAsia="en-US"/>
        </w:rPr>
        <w:t>,</w:t>
      </w:r>
      <w:r w:rsidR="002A5E63">
        <w:rPr>
          <w:rFonts w:eastAsia="Calibri"/>
          <w:szCs w:val="22"/>
          <w:lang w:eastAsia="en-US"/>
        </w:rPr>
        <w:t xml:space="preserve"> </w:t>
      </w:r>
      <w:r w:rsidR="002A5E63" w:rsidRPr="002A5E63">
        <w:rPr>
          <w:rFonts w:eastAsia="Calibri"/>
          <w:szCs w:val="22"/>
          <w:lang w:eastAsia="en-US"/>
        </w:rPr>
        <w:t>where marchers raise their hands above their heads while chanting. To</w:t>
      </w:r>
      <w:r w:rsidR="002A5E63">
        <w:rPr>
          <w:rFonts w:eastAsia="Calibri"/>
          <w:szCs w:val="22"/>
          <w:lang w:eastAsia="en-US"/>
        </w:rPr>
        <w:t xml:space="preserve"> </w:t>
      </w:r>
      <w:r w:rsidR="002A5E63" w:rsidRPr="002A5E63">
        <w:rPr>
          <w:rFonts w:eastAsia="Calibri"/>
          <w:szCs w:val="22"/>
          <w:lang w:eastAsia="en-US"/>
        </w:rPr>
        <w:t xml:space="preserve">quote José Medina here, </w:t>
      </w:r>
      <w:r w:rsidR="002A5E63">
        <w:rPr>
          <w:rFonts w:eastAsia="Calibri"/>
          <w:szCs w:val="22"/>
          <w:lang w:eastAsia="en-US"/>
        </w:rPr>
        <w:t>‘[t]</w:t>
      </w:r>
      <w:r w:rsidR="002A5E63" w:rsidRPr="002A5E63">
        <w:rPr>
          <w:rFonts w:eastAsia="Calibri"/>
          <w:szCs w:val="22"/>
          <w:lang w:eastAsia="en-US"/>
        </w:rPr>
        <w:t>his slogan performatively challenges the misplaced</w:t>
      </w:r>
      <w:r w:rsidR="002A5E63">
        <w:rPr>
          <w:rFonts w:eastAsia="Calibri"/>
          <w:szCs w:val="22"/>
          <w:lang w:eastAsia="en-US"/>
        </w:rPr>
        <w:t xml:space="preserve"> </w:t>
      </w:r>
      <w:r w:rsidR="002A5E63" w:rsidRPr="002A5E63">
        <w:rPr>
          <w:rFonts w:eastAsia="Calibri"/>
          <w:szCs w:val="22"/>
          <w:lang w:eastAsia="en-US"/>
        </w:rPr>
        <w:t>presumption that demonstrators pose a threat to public order,</w:t>
      </w:r>
      <w:r w:rsidR="002A5E63">
        <w:rPr>
          <w:rFonts w:eastAsia="Calibri"/>
          <w:szCs w:val="22"/>
          <w:lang w:eastAsia="en-US"/>
        </w:rPr>
        <w:t xml:space="preserve"> </w:t>
      </w:r>
      <w:r w:rsidR="002A5E63" w:rsidRPr="002A5E63">
        <w:rPr>
          <w:rFonts w:eastAsia="Calibri"/>
          <w:szCs w:val="22"/>
          <w:lang w:eastAsia="en-US"/>
        </w:rPr>
        <w:t>interrogating the underlying narratives that depict them as such a threat,</w:t>
      </w:r>
      <w:r w:rsidR="002A5E63">
        <w:rPr>
          <w:rFonts w:eastAsia="Calibri"/>
          <w:szCs w:val="22"/>
          <w:lang w:eastAsia="en-US"/>
        </w:rPr>
        <w:t xml:space="preserve"> </w:t>
      </w:r>
      <w:r w:rsidR="002A5E63" w:rsidRPr="002A5E63">
        <w:rPr>
          <w:rFonts w:eastAsia="Calibri"/>
          <w:szCs w:val="22"/>
          <w:lang w:eastAsia="en-US"/>
        </w:rPr>
        <w:t>while invoking alternative images of peaceful expressions of group</w:t>
      </w:r>
      <w:r w:rsidR="002A5E63">
        <w:rPr>
          <w:rFonts w:eastAsia="Calibri"/>
          <w:szCs w:val="22"/>
          <w:lang w:eastAsia="en-US"/>
        </w:rPr>
        <w:t xml:space="preserve"> </w:t>
      </w:r>
      <w:r w:rsidR="002A5E63" w:rsidRPr="002A5E63">
        <w:rPr>
          <w:rFonts w:eastAsia="Calibri"/>
          <w:szCs w:val="22"/>
          <w:lang w:eastAsia="en-US"/>
        </w:rPr>
        <w:t>agency</w:t>
      </w:r>
      <w:r w:rsidR="002A5E63">
        <w:rPr>
          <w:rFonts w:eastAsia="Calibri"/>
          <w:szCs w:val="22"/>
          <w:lang w:eastAsia="en-US"/>
        </w:rPr>
        <w:t>’.</w:t>
      </w:r>
      <w:r w:rsidR="002A5E63">
        <w:rPr>
          <w:rStyle w:val="FootnoteReference"/>
          <w:rFonts w:eastAsia="Calibri"/>
          <w:szCs w:val="22"/>
          <w:lang w:eastAsia="en-US"/>
        </w:rPr>
        <w:footnoteReference w:id="62"/>
      </w:r>
      <w:r w:rsidR="002A5E63" w:rsidRPr="002A5E63">
        <w:rPr>
          <w:rFonts w:eastAsia="Calibri"/>
          <w:szCs w:val="22"/>
          <w:lang w:eastAsia="en-US"/>
        </w:rPr>
        <w:t xml:space="preserve"> Furthermore, the chants </w:t>
      </w:r>
      <w:r w:rsidR="002A5E63">
        <w:rPr>
          <w:rFonts w:eastAsia="Calibri"/>
          <w:szCs w:val="22"/>
          <w:lang w:eastAsia="en-US"/>
        </w:rPr>
        <w:t>‘</w:t>
      </w:r>
      <w:r w:rsidR="002A5E63" w:rsidRPr="002A5E63">
        <w:rPr>
          <w:rFonts w:eastAsia="Calibri"/>
          <w:szCs w:val="22"/>
          <w:lang w:eastAsia="en-US"/>
        </w:rPr>
        <w:t>Whose streets?</w:t>
      </w:r>
      <w:r w:rsidR="002A5E63">
        <w:rPr>
          <w:rFonts w:eastAsia="Calibri"/>
          <w:szCs w:val="22"/>
          <w:lang w:eastAsia="en-US"/>
        </w:rPr>
        <w:t xml:space="preserve"> </w:t>
      </w:r>
      <w:r w:rsidR="002A5E63" w:rsidRPr="002A5E63">
        <w:rPr>
          <w:rFonts w:eastAsia="Calibri"/>
          <w:szCs w:val="22"/>
          <w:lang w:eastAsia="en-US"/>
        </w:rPr>
        <w:t>Our streets!</w:t>
      </w:r>
      <w:r w:rsidR="002A5E63">
        <w:rPr>
          <w:rFonts w:eastAsia="Calibri"/>
          <w:szCs w:val="22"/>
          <w:lang w:eastAsia="en-US"/>
        </w:rPr>
        <w:t>’</w:t>
      </w:r>
      <w:r w:rsidR="002A5E63" w:rsidRPr="002A5E63">
        <w:rPr>
          <w:rFonts w:eastAsia="Calibri"/>
          <w:szCs w:val="22"/>
          <w:lang w:eastAsia="en-US"/>
        </w:rPr>
        <w:t xml:space="preserve"> and </w:t>
      </w:r>
      <w:r w:rsidR="002A5E63">
        <w:rPr>
          <w:rFonts w:eastAsia="Calibri"/>
          <w:szCs w:val="22"/>
          <w:lang w:eastAsia="en-US"/>
        </w:rPr>
        <w:t>‘</w:t>
      </w:r>
      <w:r w:rsidR="002A5E63" w:rsidRPr="002A5E63">
        <w:rPr>
          <w:rFonts w:eastAsia="Calibri"/>
          <w:szCs w:val="22"/>
          <w:lang w:eastAsia="en-US"/>
        </w:rPr>
        <w:t>No Justice, No Peace!</w:t>
      </w:r>
      <w:r w:rsidR="002A5E63">
        <w:rPr>
          <w:rFonts w:eastAsia="Calibri"/>
          <w:szCs w:val="22"/>
          <w:lang w:eastAsia="en-US"/>
        </w:rPr>
        <w:t>’</w:t>
      </w:r>
      <w:r w:rsidR="002A5E63" w:rsidRPr="002A5E63">
        <w:rPr>
          <w:rFonts w:eastAsia="Calibri"/>
          <w:szCs w:val="22"/>
          <w:lang w:eastAsia="en-US"/>
        </w:rPr>
        <w:t xml:space="preserve"> are </w:t>
      </w:r>
      <w:r w:rsidR="002A5E63" w:rsidRPr="002A5E63">
        <w:rPr>
          <w:rFonts w:eastAsia="Calibri"/>
          <w:i/>
          <w:iCs/>
          <w:szCs w:val="22"/>
          <w:lang w:eastAsia="en-US"/>
        </w:rPr>
        <w:t>deliberately</w:t>
      </w:r>
      <w:r w:rsidR="002A5E63" w:rsidRPr="002A5E63">
        <w:rPr>
          <w:rFonts w:eastAsia="Calibri"/>
          <w:szCs w:val="22"/>
          <w:lang w:eastAsia="en-US"/>
        </w:rPr>
        <w:t xml:space="preserve"> misinterpreted</w:t>
      </w:r>
      <w:r w:rsidR="002A5E63">
        <w:rPr>
          <w:rFonts w:eastAsia="Calibri"/>
          <w:szCs w:val="22"/>
          <w:lang w:eastAsia="en-US"/>
        </w:rPr>
        <w:t xml:space="preserve"> </w:t>
      </w:r>
      <w:r w:rsidR="002A5E63" w:rsidRPr="002A5E63">
        <w:rPr>
          <w:rFonts w:eastAsia="Calibri"/>
          <w:szCs w:val="22"/>
          <w:lang w:eastAsia="en-US"/>
        </w:rPr>
        <w:t>and misrecogni</w:t>
      </w:r>
      <w:r w:rsidR="002A5E63">
        <w:rPr>
          <w:rFonts w:eastAsia="Calibri"/>
          <w:szCs w:val="22"/>
          <w:lang w:eastAsia="en-US"/>
        </w:rPr>
        <w:t>s</w:t>
      </w:r>
      <w:r w:rsidR="002A5E63" w:rsidRPr="002A5E63">
        <w:rPr>
          <w:rFonts w:eastAsia="Calibri"/>
          <w:szCs w:val="22"/>
          <w:lang w:eastAsia="en-US"/>
        </w:rPr>
        <w:t>ed by reactionary groups to imply that the basic progressive</w:t>
      </w:r>
      <w:r w:rsidR="002A5E63">
        <w:rPr>
          <w:rFonts w:eastAsia="Calibri"/>
          <w:szCs w:val="22"/>
          <w:lang w:eastAsia="en-US"/>
        </w:rPr>
        <w:t xml:space="preserve"> </w:t>
      </w:r>
      <w:r w:rsidR="002A5E63" w:rsidRPr="002A5E63">
        <w:rPr>
          <w:rFonts w:eastAsia="Calibri"/>
          <w:szCs w:val="22"/>
          <w:lang w:eastAsia="en-US"/>
        </w:rPr>
        <w:t>claim “Black Lives Matter” is equivalent to “Black Lives Matter More</w:t>
      </w:r>
      <w:r w:rsidR="002A5E63">
        <w:rPr>
          <w:rFonts w:eastAsia="Calibri"/>
          <w:szCs w:val="22"/>
          <w:lang w:eastAsia="en-US"/>
        </w:rPr>
        <w:t xml:space="preserve"> </w:t>
      </w:r>
      <w:r w:rsidR="002A5E63" w:rsidRPr="002A5E63">
        <w:rPr>
          <w:rFonts w:eastAsia="Calibri"/>
          <w:szCs w:val="22"/>
          <w:lang w:eastAsia="en-US"/>
        </w:rPr>
        <w:t>than White Lives.” Crucially, this forms a significant part of the explanation</w:t>
      </w:r>
      <w:r w:rsidR="002A5E63">
        <w:rPr>
          <w:rFonts w:eastAsia="Calibri"/>
          <w:szCs w:val="22"/>
          <w:lang w:eastAsia="en-US"/>
        </w:rPr>
        <w:t xml:space="preserve"> </w:t>
      </w:r>
      <w:r w:rsidR="002A5E63" w:rsidRPr="002A5E63">
        <w:rPr>
          <w:rFonts w:eastAsia="Calibri"/>
          <w:szCs w:val="22"/>
          <w:lang w:eastAsia="en-US"/>
        </w:rPr>
        <w:t>for why #</w:t>
      </w:r>
      <w:proofErr w:type="spellStart"/>
      <w:r w:rsidR="002A5E63" w:rsidRPr="002A5E63">
        <w:rPr>
          <w:rFonts w:eastAsia="Calibri"/>
          <w:szCs w:val="22"/>
          <w:lang w:eastAsia="en-US"/>
        </w:rPr>
        <w:t>AllLivesMatter</w:t>
      </w:r>
      <w:proofErr w:type="spellEnd"/>
      <w:r w:rsidR="002A5E63" w:rsidRPr="002A5E63">
        <w:rPr>
          <w:rFonts w:eastAsia="Calibri"/>
          <w:szCs w:val="22"/>
          <w:lang w:eastAsia="en-US"/>
        </w:rPr>
        <w:t xml:space="preserve"> is in fact reactionary, since #</w:t>
      </w:r>
      <w:proofErr w:type="spellStart"/>
      <w:r w:rsidR="002A5E63" w:rsidRPr="002A5E63">
        <w:rPr>
          <w:rFonts w:eastAsia="Calibri"/>
          <w:szCs w:val="22"/>
          <w:lang w:eastAsia="en-US"/>
        </w:rPr>
        <w:t>AllLivesMatter</w:t>
      </w:r>
      <w:proofErr w:type="spellEnd"/>
      <w:r w:rsidR="002A5E63">
        <w:rPr>
          <w:rFonts w:eastAsia="Calibri"/>
          <w:szCs w:val="22"/>
          <w:lang w:eastAsia="en-US"/>
        </w:rPr>
        <w:t xml:space="preserve"> </w:t>
      </w:r>
      <w:r w:rsidR="002A5E63" w:rsidRPr="002A5E63">
        <w:rPr>
          <w:rFonts w:eastAsia="Calibri"/>
          <w:szCs w:val="22"/>
          <w:lang w:eastAsia="en-US"/>
        </w:rPr>
        <w:t>reveals itself as either wilfully or non-wilfully ignorant of structural racism</w:t>
      </w:r>
      <w:r w:rsidR="002A5E63">
        <w:rPr>
          <w:rFonts w:eastAsia="Calibri"/>
          <w:szCs w:val="22"/>
          <w:lang w:eastAsia="en-US"/>
        </w:rPr>
        <w:t xml:space="preserve"> </w:t>
      </w:r>
      <w:r w:rsidR="002A5E63" w:rsidRPr="002A5E63">
        <w:rPr>
          <w:rFonts w:eastAsia="Calibri"/>
          <w:szCs w:val="22"/>
          <w:lang w:eastAsia="en-US"/>
        </w:rPr>
        <w:t>and systemic misrecognition.</w:t>
      </w:r>
      <w:r w:rsidR="002A5E63">
        <w:rPr>
          <w:rFonts w:eastAsia="Calibri"/>
          <w:szCs w:val="22"/>
          <w:lang w:eastAsia="en-US"/>
        </w:rPr>
        <w:t xml:space="preserve"> </w:t>
      </w:r>
    </w:p>
    <w:p w14:paraId="3045B193" w14:textId="73421533" w:rsidR="00031955" w:rsidRDefault="00823C28" w:rsidP="00F8246C">
      <w:pPr>
        <w:ind w:firstLine="720"/>
        <w:rPr>
          <w:rFonts w:eastAsia="Calibri"/>
          <w:szCs w:val="22"/>
          <w:lang w:eastAsia="en-US"/>
        </w:rPr>
      </w:pPr>
      <w:r w:rsidRPr="00C554E0">
        <w:rPr>
          <w:rFonts w:eastAsia="Calibri"/>
          <w:szCs w:val="22"/>
          <w:lang w:eastAsia="en-US"/>
        </w:rPr>
        <w:t xml:space="preserve">I would contend that </w:t>
      </w:r>
      <w:r w:rsidR="0041234A" w:rsidRPr="00C554E0">
        <w:rPr>
          <w:rFonts w:eastAsia="Calibri"/>
          <w:szCs w:val="22"/>
          <w:lang w:eastAsia="en-US"/>
        </w:rPr>
        <w:t>w</w:t>
      </w:r>
      <w:r w:rsidR="00041FA2" w:rsidRPr="00C554E0">
        <w:rPr>
          <w:rFonts w:eastAsia="Calibri"/>
          <w:szCs w:val="22"/>
          <w:lang w:eastAsia="en-US"/>
        </w:rPr>
        <w:t>hat motivates the desire to</w:t>
      </w:r>
      <w:r w:rsidR="0041234A" w:rsidRPr="00C554E0">
        <w:rPr>
          <w:rFonts w:eastAsia="Calibri"/>
          <w:szCs w:val="22"/>
          <w:lang w:eastAsia="en-US"/>
        </w:rPr>
        <w:t xml:space="preserve"> </w:t>
      </w:r>
      <w:r w:rsidRPr="00C554E0">
        <w:rPr>
          <w:rFonts w:eastAsia="Calibri"/>
          <w:szCs w:val="22"/>
          <w:lang w:eastAsia="en-US"/>
        </w:rPr>
        <w:t xml:space="preserve">transform the </w:t>
      </w:r>
      <w:r w:rsidR="00D74699" w:rsidRPr="00C554E0">
        <w:rPr>
          <w:rFonts w:eastAsia="Calibri"/>
          <w:szCs w:val="22"/>
          <w:lang w:eastAsia="en-US"/>
        </w:rPr>
        <w:t>social-</w:t>
      </w:r>
      <w:r w:rsidRPr="00C554E0">
        <w:rPr>
          <w:rFonts w:eastAsia="Calibri"/>
          <w:szCs w:val="22"/>
          <w:lang w:eastAsia="en-US"/>
        </w:rPr>
        <w:t>epistemic practices of existing modern institutions</w:t>
      </w:r>
      <w:r w:rsidR="00660E77" w:rsidRPr="00C554E0">
        <w:rPr>
          <w:rFonts w:eastAsia="Calibri"/>
          <w:szCs w:val="22"/>
          <w:lang w:eastAsia="en-US"/>
        </w:rPr>
        <w:t xml:space="preserve"> </w:t>
      </w:r>
      <w:r w:rsidR="00041FA2" w:rsidRPr="00C554E0">
        <w:rPr>
          <w:rFonts w:eastAsia="Calibri"/>
          <w:szCs w:val="22"/>
          <w:lang w:eastAsia="en-US"/>
        </w:rPr>
        <w:t xml:space="preserve">is </w:t>
      </w:r>
      <w:r w:rsidR="00A81F8D" w:rsidRPr="00C554E0">
        <w:rPr>
          <w:rFonts w:eastAsia="Calibri"/>
          <w:szCs w:val="22"/>
          <w:lang w:eastAsia="en-US"/>
        </w:rPr>
        <w:t xml:space="preserve">self-critically </w:t>
      </w:r>
      <w:r w:rsidR="005C0693" w:rsidRPr="00C554E0">
        <w:rPr>
          <w:rFonts w:eastAsia="Calibri"/>
          <w:szCs w:val="22"/>
          <w:lang w:eastAsia="en-US"/>
        </w:rPr>
        <w:t xml:space="preserve">facing up to </w:t>
      </w:r>
      <w:r w:rsidR="00A81F8D" w:rsidRPr="00C554E0">
        <w:rPr>
          <w:rFonts w:eastAsia="Calibri"/>
          <w:szCs w:val="22"/>
          <w:lang w:eastAsia="en-US"/>
        </w:rPr>
        <w:t xml:space="preserve">agential alienation, </w:t>
      </w:r>
      <w:r w:rsidR="002A5E63">
        <w:rPr>
          <w:rFonts w:eastAsia="Calibri"/>
          <w:szCs w:val="22"/>
          <w:lang w:eastAsia="en-US"/>
        </w:rPr>
        <w:t>‘</w:t>
      </w:r>
      <w:r w:rsidR="00A81F8D" w:rsidRPr="00C554E0">
        <w:rPr>
          <w:rFonts w:eastAsia="Calibri"/>
          <w:szCs w:val="22"/>
          <w:lang w:eastAsia="en-US"/>
        </w:rPr>
        <w:t xml:space="preserve">to produce </w:t>
      </w:r>
      <w:r w:rsidR="00717F31" w:rsidRPr="00C554E0">
        <w:rPr>
          <w:rFonts w:eastAsia="Calibri"/>
          <w:szCs w:val="22"/>
          <w:lang w:eastAsia="en-US"/>
        </w:rPr>
        <w:t>new forms of intimacy, alliance, and communicability</w:t>
      </w:r>
      <w:r w:rsidR="002A5E63">
        <w:rPr>
          <w:rFonts w:eastAsia="Calibri"/>
          <w:szCs w:val="22"/>
          <w:lang w:eastAsia="en-US"/>
        </w:rPr>
        <w:t>’</w:t>
      </w:r>
      <w:r w:rsidR="0041234A" w:rsidRPr="00C554E0">
        <w:rPr>
          <w:rFonts w:eastAsia="Calibri"/>
          <w:szCs w:val="22"/>
          <w:lang w:eastAsia="en-US"/>
        </w:rPr>
        <w:t>,</w:t>
      </w:r>
      <w:r w:rsidR="00031955">
        <w:rPr>
          <w:rStyle w:val="FootnoteReference"/>
          <w:rFonts w:eastAsia="Calibri"/>
          <w:szCs w:val="22"/>
          <w:lang w:eastAsia="en-US"/>
        </w:rPr>
        <w:footnoteReference w:id="63"/>
      </w:r>
      <w:r w:rsidR="0041234A" w:rsidRPr="00C554E0">
        <w:rPr>
          <w:rFonts w:eastAsia="Calibri"/>
          <w:szCs w:val="22"/>
          <w:lang w:eastAsia="en-US"/>
        </w:rPr>
        <w:t xml:space="preserve"> as Judith Butler beautifully puts it.</w:t>
      </w:r>
      <w:r w:rsidR="00046ACF" w:rsidRPr="00C554E0">
        <w:rPr>
          <w:rFonts w:eastAsia="Calibri"/>
          <w:szCs w:val="22"/>
          <w:lang w:eastAsia="en-US"/>
        </w:rPr>
        <w:t xml:space="preserve"> </w:t>
      </w:r>
      <w:r w:rsidR="003521A5" w:rsidRPr="00C554E0">
        <w:rPr>
          <w:rFonts w:eastAsia="Calibri"/>
          <w:szCs w:val="22"/>
          <w:lang w:eastAsia="en-US"/>
        </w:rPr>
        <w:t xml:space="preserve"> </w:t>
      </w:r>
    </w:p>
    <w:p w14:paraId="1561325D" w14:textId="77777777" w:rsidR="00672D85" w:rsidRDefault="00672D85" w:rsidP="006701BE">
      <w:pPr>
        <w:rPr>
          <w:rFonts w:eastAsia="Calibri"/>
          <w:sz w:val="32"/>
          <w:szCs w:val="32"/>
          <w:lang w:eastAsia="en-US"/>
        </w:rPr>
      </w:pPr>
    </w:p>
    <w:p w14:paraId="6E45352B" w14:textId="42035859" w:rsidR="00031955" w:rsidRPr="006701BE" w:rsidRDefault="00031955" w:rsidP="0004172D">
      <w:pPr>
        <w:jc w:val="center"/>
        <w:rPr>
          <w:rFonts w:eastAsia="Calibri"/>
          <w:sz w:val="32"/>
          <w:szCs w:val="32"/>
          <w:lang w:val="pt-BR" w:eastAsia="en-US"/>
        </w:rPr>
      </w:pPr>
      <w:r w:rsidRPr="006701BE">
        <w:rPr>
          <w:rFonts w:eastAsia="Calibri"/>
          <w:sz w:val="32"/>
          <w:szCs w:val="32"/>
          <w:lang w:val="pt-BR" w:eastAsia="en-US"/>
        </w:rPr>
        <w:t>References</w:t>
      </w:r>
    </w:p>
    <w:p w14:paraId="7015A1F6" w14:textId="77777777" w:rsidR="00031955" w:rsidRPr="006701BE" w:rsidRDefault="00031955" w:rsidP="00031955">
      <w:pPr>
        <w:ind w:firstLine="720"/>
        <w:rPr>
          <w:rFonts w:eastAsia="Calibri"/>
          <w:szCs w:val="22"/>
          <w:lang w:val="pt-BR" w:eastAsia="en-US"/>
        </w:rPr>
      </w:pPr>
    </w:p>
    <w:p w14:paraId="67D7BAF0" w14:textId="77777777" w:rsidR="00F8246C" w:rsidRPr="00031955" w:rsidRDefault="00F8246C" w:rsidP="00F8246C">
      <w:pPr>
        <w:rPr>
          <w:rFonts w:eastAsia="Calibri"/>
          <w:szCs w:val="22"/>
          <w:lang w:eastAsia="en-US"/>
        </w:rPr>
      </w:pPr>
      <w:r w:rsidRPr="006701BE">
        <w:rPr>
          <w:rFonts w:eastAsia="Calibri"/>
          <w:szCs w:val="22"/>
          <w:lang w:val="pt-BR" w:eastAsia="en-US"/>
        </w:rPr>
        <w:t xml:space="preserve">Adorno, T. W. 1981. </w:t>
      </w:r>
      <w:r w:rsidRPr="006701BE">
        <w:rPr>
          <w:rFonts w:eastAsia="Calibri"/>
          <w:i/>
          <w:szCs w:val="22"/>
          <w:lang w:val="pt-BR" w:eastAsia="en-US"/>
        </w:rPr>
        <w:t>Negative Dialectics</w:t>
      </w:r>
      <w:r w:rsidRPr="006701BE">
        <w:rPr>
          <w:rFonts w:eastAsia="Calibri"/>
          <w:szCs w:val="22"/>
          <w:lang w:val="pt-BR" w:eastAsia="en-US"/>
        </w:rPr>
        <w:t xml:space="preserve">. </w:t>
      </w:r>
      <w:r w:rsidRPr="00031955">
        <w:rPr>
          <w:rFonts w:eastAsia="Calibri"/>
          <w:szCs w:val="22"/>
          <w:lang w:eastAsia="en-US"/>
        </w:rPr>
        <w:t>E. B. Ashton (trans.) and (ed.) London: Continuum.</w:t>
      </w:r>
    </w:p>
    <w:p w14:paraId="08F35793" w14:textId="0776B8AC" w:rsidR="00031955" w:rsidRPr="00031955" w:rsidRDefault="00031955" w:rsidP="00031955">
      <w:pPr>
        <w:rPr>
          <w:rFonts w:eastAsia="Calibri"/>
          <w:szCs w:val="22"/>
          <w:lang w:eastAsia="en-US"/>
        </w:rPr>
      </w:pPr>
      <w:r w:rsidRPr="00031955">
        <w:rPr>
          <w:rFonts w:eastAsia="Calibri"/>
          <w:szCs w:val="22"/>
          <w:lang w:eastAsia="en-US"/>
        </w:rPr>
        <w:t xml:space="preserve">Alcoff, L. M. 2007. ‘Epistemologies of Ignorance: Three Types’, in S. Sullivan and N. </w:t>
      </w:r>
      <w:proofErr w:type="spellStart"/>
      <w:r w:rsidRPr="00031955">
        <w:rPr>
          <w:rFonts w:eastAsia="Calibri"/>
          <w:szCs w:val="22"/>
          <w:lang w:eastAsia="en-US"/>
        </w:rPr>
        <w:t>Tuana</w:t>
      </w:r>
      <w:proofErr w:type="spellEnd"/>
      <w:r w:rsidRPr="00031955">
        <w:rPr>
          <w:rFonts w:eastAsia="Calibri"/>
          <w:szCs w:val="22"/>
          <w:lang w:eastAsia="en-US"/>
        </w:rPr>
        <w:t xml:space="preserve"> (eds.) </w:t>
      </w:r>
      <w:r w:rsidRPr="00031955">
        <w:rPr>
          <w:rFonts w:eastAsia="Calibri"/>
          <w:i/>
          <w:szCs w:val="22"/>
          <w:lang w:eastAsia="en-US"/>
        </w:rPr>
        <w:t>Race and Epistemologies of Ignorance</w:t>
      </w:r>
      <w:r w:rsidRPr="00031955">
        <w:rPr>
          <w:rFonts w:eastAsia="Calibri"/>
          <w:szCs w:val="22"/>
          <w:lang w:eastAsia="en-US"/>
        </w:rPr>
        <w:t>. Albany: SUNY</w:t>
      </w:r>
      <w:r w:rsidR="00A42BFE">
        <w:rPr>
          <w:rFonts w:eastAsia="Calibri"/>
          <w:szCs w:val="22"/>
          <w:lang w:eastAsia="en-US"/>
        </w:rPr>
        <w:t xml:space="preserve"> </w:t>
      </w:r>
      <w:r w:rsidRPr="00031955">
        <w:rPr>
          <w:rFonts w:eastAsia="Calibri"/>
          <w:szCs w:val="22"/>
          <w:lang w:eastAsia="en-US"/>
        </w:rPr>
        <w:t>Press.</w:t>
      </w:r>
    </w:p>
    <w:p w14:paraId="7A7369F5" w14:textId="77777777" w:rsidR="00031955" w:rsidRPr="00031955" w:rsidRDefault="00031955" w:rsidP="00031955">
      <w:pPr>
        <w:rPr>
          <w:rFonts w:eastAsia="Calibri"/>
          <w:szCs w:val="22"/>
          <w:lang w:eastAsia="en-US"/>
        </w:rPr>
      </w:pPr>
      <w:r w:rsidRPr="00031955">
        <w:rPr>
          <w:rFonts w:eastAsia="Calibri"/>
          <w:szCs w:val="22"/>
          <w:lang w:eastAsia="en-US"/>
        </w:rPr>
        <w:t xml:space="preserve">--- 2010. ‘Epistemic Identities’. </w:t>
      </w:r>
      <w:r w:rsidRPr="00031955">
        <w:rPr>
          <w:rFonts w:eastAsia="Calibri"/>
          <w:i/>
          <w:szCs w:val="22"/>
          <w:lang w:eastAsia="en-US"/>
        </w:rPr>
        <w:t>Episteme</w:t>
      </w:r>
      <w:r w:rsidRPr="00031955">
        <w:rPr>
          <w:rFonts w:eastAsia="Calibri"/>
          <w:szCs w:val="22"/>
          <w:lang w:eastAsia="en-US"/>
        </w:rPr>
        <w:t xml:space="preserve"> 7: 128-137.</w:t>
      </w:r>
    </w:p>
    <w:p w14:paraId="40A956FE" w14:textId="6B88C8D1" w:rsidR="00F349FF" w:rsidRDefault="00F349FF" w:rsidP="00031955">
      <w:pPr>
        <w:rPr>
          <w:rFonts w:eastAsia="Calibri"/>
          <w:szCs w:val="22"/>
          <w:lang w:eastAsia="en-US"/>
        </w:rPr>
      </w:pPr>
      <w:r w:rsidRPr="00F349FF">
        <w:rPr>
          <w:rFonts w:eastAsia="Calibri"/>
          <w:szCs w:val="22"/>
          <w:lang w:eastAsia="en-US"/>
        </w:rPr>
        <w:t xml:space="preserve">Apfelbaum, E. P., Norton, M. I., and Sommers, S. R. 2012. ‘Racial Colour Blindness: Emergence, Practice, and Implications’. </w:t>
      </w:r>
      <w:r w:rsidRPr="00F349FF">
        <w:rPr>
          <w:rFonts w:eastAsia="Calibri"/>
          <w:i/>
          <w:szCs w:val="22"/>
          <w:lang w:eastAsia="en-US"/>
        </w:rPr>
        <w:t>Current Directions in Psychological Science</w:t>
      </w:r>
      <w:r w:rsidRPr="00F349FF">
        <w:rPr>
          <w:rFonts w:eastAsia="Calibri"/>
          <w:szCs w:val="22"/>
          <w:lang w:eastAsia="en-US"/>
        </w:rPr>
        <w:t xml:space="preserve"> 21: 205-209.</w:t>
      </w:r>
    </w:p>
    <w:p w14:paraId="798CF867" w14:textId="302278A3" w:rsidR="009F7B1F" w:rsidRDefault="009F7B1F" w:rsidP="00031955">
      <w:pPr>
        <w:rPr>
          <w:rFonts w:eastAsia="Calibri"/>
          <w:szCs w:val="22"/>
          <w:lang w:eastAsia="en-US"/>
        </w:rPr>
      </w:pPr>
      <w:r w:rsidRPr="009F7B1F">
        <w:rPr>
          <w:rFonts w:eastAsia="Calibri"/>
          <w:szCs w:val="22"/>
          <w:lang w:eastAsia="en-US"/>
        </w:rPr>
        <w:t xml:space="preserve">Berenstain, N. 2016. ‘Epistemic Exploitation’. </w:t>
      </w:r>
      <w:r w:rsidRPr="009F7B1F">
        <w:rPr>
          <w:rFonts w:eastAsia="Calibri"/>
          <w:i/>
          <w:iCs/>
          <w:szCs w:val="22"/>
          <w:lang w:eastAsia="en-US"/>
        </w:rPr>
        <w:t>Ergo</w:t>
      </w:r>
      <w:r w:rsidRPr="009F7B1F">
        <w:rPr>
          <w:rFonts w:eastAsia="Calibri"/>
          <w:szCs w:val="22"/>
          <w:lang w:eastAsia="en-US"/>
        </w:rPr>
        <w:t xml:space="preserve"> 3: 569-590.</w:t>
      </w:r>
    </w:p>
    <w:p w14:paraId="3BC60D2B" w14:textId="0B996899" w:rsidR="00F349FF" w:rsidRPr="00F349FF" w:rsidRDefault="00F349FF" w:rsidP="00031955">
      <w:pPr>
        <w:rPr>
          <w:rFonts w:eastAsia="Calibri"/>
          <w:szCs w:val="22"/>
          <w:lang w:eastAsia="en-US"/>
        </w:rPr>
      </w:pPr>
      <w:r w:rsidRPr="00F349FF">
        <w:rPr>
          <w:rFonts w:eastAsia="Calibri"/>
          <w:szCs w:val="22"/>
          <w:lang w:eastAsia="en-US"/>
        </w:rPr>
        <w:t xml:space="preserve">Bonilla-Silva, E. 2003. </w:t>
      </w:r>
      <w:r w:rsidRPr="00F349FF">
        <w:rPr>
          <w:rFonts w:eastAsia="Calibri"/>
          <w:i/>
          <w:szCs w:val="22"/>
          <w:lang w:eastAsia="en-US"/>
        </w:rPr>
        <w:t>Racism without Racists: Colour-blind Racism and the Persistence of Racial Inequality in the United States</w:t>
      </w:r>
      <w:r w:rsidRPr="00F349FF">
        <w:rPr>
          <w:rFonts w:eastAsia="Calibri"/>
          <w:szCs w:val="22"/>
          <w:lang w:eastAsia="en-US"/>
        </w:rPr>
        <w:t>. Lanham, MD: Rowman &amp; Littlefield.</w:t>
      </w:r>
    </w:p>
    <w:p w14:paraId="1B9C3512" w14:textId="3208C716" w:rsidR="00031955" w:rsidRPr="00031955" w:rsidRDefault="00031955" w:rsidP="00031955">
      <w:pPr>
        <w:rPr>
          <w:rFonts w:eastAsia="Calibri"/>
          <w:szCs w:val="22"/>
          <w:lang w:eastAsia="en-US"/>
        </w:rPr>
      </w:pPr>
      <w:r w:rsidRPr="00031955">
        <w:rPr>
          <w:rFonts w:eastAsia="Calibri"/>
          <w:szCs w:val="22"/>
          <w:lang w:eastAsia="en-US"/>
        </w:rPr>
        <w:t xml:space="preserve">Brownmiller, S. 1990. </w:t>
      </w:r>
      <w:r w:rsidRPr="00031955">
        <w:rPr>
          <w:rFonts w:eastAsia="Calibri"/>
          <w:i/>
          <w:szCs w:val="22"/>
          <w:lang w:eastAsia="en-US"/>
        </w:rPr>
        <w:t>In Our Time: Memoir of a Revolution</w:t>
      </w:r>
      <w:r w:rsidR="00F8246C">
        <w:rPr>
          <w:rFonts w:eastAsia="Calibri"/>
          <w:szCs w:val="22"/>
          <w:lang w:eastAsia="en-US"/>
        </w:rPr>
        <w:t>.</w:t>
      </w:r>
      <w:r w:rsidRPr="00031955">
        <w:rPr>
          <w:rFonts w:eastAsia="Calibri"/>
          <w:szCs w:val="22"/>
          <w:lang w:eastAsia="en-US"/>
        </w:rPr>
        <w:t xml:space="preserve"> New York: Dial Press.</w:t>
      </w:r>
    </w:p>
    <w:p w14:paraId="52ACB10E" w14:textId="77777777" w:rsidR="00031955" w:rsidRPr="00031955" w:rsidRDefault="00031955" w:rsidP="00031955">
      <w:pPr>
        <w:rPr>
          <w:rFonts w:eastAsia="Calibri"/>
          <w:szCs w:val="22"/>
          <w:lang w:eastAsia="en-US"/>
        </w:rPr>
      </w:pPr>
      <w:r w:rsidRPr="00031955">
        <w:rPr>
          <w:rFonts w:eastAsia="Calibri"/>
          <w:szCs w:val="22"/>
          <w:lang w:eastAsia="en-US"/>
        </w:rPr>
        <w:t xml:space="preserve">Burge, T. 1993. ‘Content Preservation’. </w:t>
      </w:r>
      <w:r w:rsidRPr="00031955">
        <w:rPr>
          <w:rFonts w:eastAsia="Calibri"/>
          <w:i/>
          <w:szCs w:val="22"/>
          <w:lang w:eastAsia="en-US"/>
        </w:rPr>
        <w:t>Philosophical Review</w:t>
      </w:r>
      <w:r w:rsidRPr="00031955">
        <w:rPr>
          <w:rFonts w:eastAsia="Calibri"/>
          <w:szCs w:val="22"/>
          <w:lang w:eastAsia="en-US"/>
        </w:rPr>
        <w:t xml:space="preserve"> 102: 457-488.</w:t>
      </w:r>
    </w:p>
    <w:p w14:paraId="1AE8FA41" w14:textId="77777777" w:rsidR="00F349FF" w:rsidRDefault="00031955" w:rsidP="00031955">
      <w:pPr>
        <w:rPr>
          <w:rFonts w:eastAsia="Calibri"/>
          <w:szCs w:val="22"/>
          <w:lang w:eastAsia="en-US"/>
        </w:rPr>
      </w:pPr>
      <w:r w:rsidRPr="00031955">
        <w:rPr>
          <w:rFonts w:eastAsia="Calibri"/>
          <w:szCs w:val="22"/>
          <w:lang w:eastAsia="en-US"/>
        </w:rPr>
        <w:lastRenderedPageBreak/>
        <w:t xml:space="preserve">Butler, J. </w:t>
      </w:r>
      <w:r w:rsidR="00F349FF" w:rsidRPr="00F349FF">
        <w:rPr>
          <w:rFonts w:eastAsia="Calibri"/>
          <w:szCs w:val="22"/>
          <w:lang w:eastAsia="en-US"/>
        </w:rPr>
        <w:t xml:space="preserve">2004. </w:t>
      </w:r>
      <w:r w:rsidR="00F349FF" w:rsidRPr="00F349FF">
        <w:rPr>
          <w:rFonts w:eastAsia="Calibri"/>
          <w:i/>
          <w:szCs w:val="22"/>
          <w:lang w:eastAsia="en-US"/>
        </w:rPr>
        <w:t>Undoing Gender</w:t>
      </w:r>
      <w:r w:rsidR="00F349FF" w:rsidRPr="00F349FF">
        <w:rPr>
          <w:rFonts w:eastAsia="Calibri"/>
          <w:szCs w:val="22"/>
          <w:lang w:eastAsia="en-US"/>
        </w:rPr>
        <w:t>. New York: Routledge.</w:t>
      </w:r>
    </w:p>
    <w:p w14:paraId="461144CC" w14:textId="7A1D2BB9" w:rsidR="00031955" w:rsidRPr="00031955" w:rsidRDefault="00F349FF" w:rsidP="00031955">
      <w:pPr>
        <w:rPr>
          <w:rFonts w:eastAsia="Calibri"/>
          <w:szCs w:val="22"/>
          <w:lang w:eastAsia="en-US"/>
        </w:rPr>
      </w:pPr>
      <w:r w:rsidRPr="00F349FF">
        <w:rPr>
          <w:rFonts w:eastAsia="Calibri"/>
          <w:szCs w:val="22"/>
          <w:lang w:eastAsia="en-US"/>
        </w:rPr>
        <w:t xml:space="preserve">Collins, P. H. 1999. </w:t>
      </w:r>
      <w:r w:rsidRPr="00F349FF">
        <w:rPr>
          <w:rFonts w:eastAsia="Calibri"/>
          <w:i/>
          <w:szCs w:val="22"/>
          <w:lang w:eastAsia="en-US"/>
        </w:rPr>
        <w:t>Black Feminist Thought: Knowledge, Consciousness and the Politics of Empowerment</w:t>
      </w:r>
      <w:r w:rsidRPr="00F349FF">
        <w:rPr>
          <w:rFonts w:eastAsia="Calibri"/>
          <w:szCs w:val="22"/>
          <w:lang w:eastAsia="en-US"/>
        </w:rPr>
        <w:t xml:space="preserve">. New York: Routledge. </w:t>
      </w:r>
    </w:p>
    <w:p w14:paraId="1F89105E" w14:textId="77777777" w:rsidR="00031955" w:rsidRPr="00031955" w:rsidRDefault="00031955" w:rsidP="00031955">
      <w:pPr>
        <w:rPr>
          <w:rFonts w:eastAsia="Calibri"/>
          <w:szCs w:val="22"/>
          <w:lang w:eastAsia="en-US"/>
        </w:rPr>
      </w:pPr>
      <w:r w:rsidRPr="00031955">
        <w:rPr>
          <w:rFonts w:eastAsia="Calibri"/>
          <w:szCs w:val="22"/>
          <w:lang w:eastAsia="en-US"/>
        </w:rPr>
        <w:t xml:space="preserve">Congdon, M. 2015. ‘Epistemic Injustice in the Space of Reasons’. </w:t>
      </w:r>
      <w:r w:rsidRPr="00031955">
        <w:rPr>
          <w:rFonts w:eastAsia="Calibri"/>
          <w:i/>
          <w:szCs w:val="22"/>
          <w:lang w:eastAsia="en-US"/>
        </w:rPr>
        <w:t>Episteme </w:t>
      </w:r>
      <w:r w:rsidRPr="00031955">
        <w:rPr>
          <w:rFonts w:eastAsia="Calibri"/>
          <w:szCs w:val="22"/>
          <w:lang w:eastAsia="en-US"/>
        </w:rPr>
        <w:t>12: 75-93.</w:t>
      </w:r>
    </w:p>
    <w:p w14:paraId="70C99F0A" w14:textId="01E735BA" w:rsidR="00C05566" w:rsidRPr="00031955" w:rsidRDefault="00C05566" w:rsidP="00031955">
      <w:pPr>
        <w:rPr>
          <w:rFonts w:eastAsia="Calibri"/>
          <w:szCs w:val="22"/>
          <w:lang w:eastAsia="en-US"/>
        </w:rPr>
      </w:pPr>
      <w:r w:rsidRPr="00C05566">
        <w:rPr>
          <w:rFonts w:eastAsia="Calibri"/>
          <w:szCs w:val="22"/>
          <w:lang w:val="en-US" w:eastAsia="en-US"/>
        </w:rPr>
        <w:t xml:space="preserve">Davis, E. 2016. ‘Typecasts, Tokens, and </w:t>
      </w:r>
      <w:proofErr w:type="spellStart"/>
      <w:r w:rsidRPr="00C05566">
        <w:rPr>
          <w:rFonts w:eastAsia="Calibri"/>
          <w:szCs w:val="22"/>
          <w:lang w:val="en-US" w:eastAsia="en-US"/>
        </w:rPr>
        <w:t>Spokepersons</w:t>
      </w:r>
      <w:proofErr w:type="spellEnd"/>
      <w:r w:rsidRPr="00C05566">
        <w:rPr>
          <w:rFonts w:eastAsia="Calibri"/>
          <w:szCs w:val="22"/>
          <w:lang w:val="en-US" w:eastAsia="en-US"/>
        </w:rPr>
        <w:t xml:space="preserve">: A Case for Credibility Excess as </w:t>
      </w:r>
      <w:r w:rsidRPr="00C05566">
        <w:rPr>
          <w:rFonts w:eastAsia="Calibri"/>
          <w:szCs w:val="22"/>
          <w:lang w:eastAsia="en-US"/>
        </w:rPr>
        <w:t xml:space="preserve">Testimonial Injustice’. </w:t>
      </w:r>
      <w:r w:rsidRPr="00194436">
        <w:rPr>
          <w:rFonts w:eastAsia="Calibri"/>
          <w:i/>
          <w:iCs/>
          <w:szCs w:val="22"/>
          <w:lang w:eastAsia="en-US"/>
        </w:rPr>
        <w:t>Hypatia</w:t>
      </w:r>
      <w:r w:rsidRPr="00194436">
        <w:rPr>
          <w:rFonts w:eastAsia="Calibri"/>
          <w:szCs w:val="22"/>
          <w:lang w:eastAsia="en-US"/>
        </w:rPr>
        <w:t xml:space="preserve"> 31: 485-501.</w:t>
      </w:r>
    </w:p>
    <w:p w14:paraId="2018892C" w14:textId="77777777" w:rsidR="00031955" w:rsidRPr="00031955" w:rsidRDefault="00031955" w:rsidP="00031955">
      <w:pPr>
        <w:rPr>
          <w:rFonts w:eastAsia="Calibri"/>
          <w:szCs w:val="22"/>
          <w:lang w:eastAsia="en-US"/>
        </w:rPr>
      </w:pPr>
      <w:r w:rsidRPr="00031955">
        <w:rPr>
          <w:rFonts w:eastAsia="Calibri"/>
          <w:szCs w:val="22"/>
          <w:lang w:eastAsia="en-US"/>
        </w:rPr>
        <w:t>Deligiorgi, K. 2002. ‘</w:t>
      </w:r>
      <w:proofErr w:type="spellStart"/>
      <w:r w:rsidRPr="00031955">
        <w:rPr>
          <w:rFonts w:eastAsia="Calibri"/>
          <w:szCs w:val="22"/>
          <w:lang w:eastAsia="en-US"/>
        </w:rPr>
        <w:t>Universalisability</w:t>
      </w:r>
      <w:proofErr w:type="spellEnd"/>
      <w:r w:rsidRPr="00031955">
        <w:rPr>
          <w:rFonts w:eastAsia="Calibri"/>
          <w:szCs w:val="22"/>
          <w:lang w:eastAsia="en-US"/>
        </w:rPr>
        <w:t xml:space="preserve">, Publicity, and Communication: Kant’s Conception of Reason’. </w:t>
      </w:r>
      <w:r w:rsidRPr="00031955">
        <w:rPr>
          <w:rFonts w:eastAsia="Calibri"/>
          <w:i/>
          <w:szCs w:val="22"/>
          <w:lang w:eastAsia="en-US"/>
        </w:rPr>
        <w:t>European Journal of Philosophy</w:t>
      </w:r>
      <w:r w:rsidRPr="00031955">
        <w:rPr>
          <w:rFonts w:eastAsia="Calibri"/>
          <w:szCs w:val="22"/>
          <w:lang w:eastAsia="en-US"/>
        </w:rPr>
        <w:t xml:space="preserve"> 10: 143-159.   </w:t>
      </w:r>
    </w:p>
    <w:p w14:paraId="68532C55" w14:textId="77777777" w:rsidR="00031955" w:rsidRPr="00031955" w:rsidRDefault="00031955" w:rsidP="00031955">
      <w:pPr>
        <w:rPr>
          <w:rFonts w:eastAsia="Calibri"/>
          <w:szCs w:val="22"/>
          <w:lang w:eastAsia="en-US"/>
        </w:rPr>
      </w:pPr>
      <w:r w:rsidRPr="00031955">
        <w:rPr>
          <w:rFonts w:eastAsia="Calibri"/>
          <w:szCs w:val="22"/>
          <w:lang w:eastAsia="en-US"/>
        </w:rPr>
        <w:t xml:space="preserve">Dotson, K. 2011. ‘Tracking Epistemic Violence, Tracking Practices of Silencing’. </w:t>
      </w:r>
      <w:r w:rsidRPr="00031955">
        <w:rPr>
          <w:rFonts w:eastAsia="Calibri"/>
          <w:i/>
          <w:szCs w:val="22"/>
          <w:lang w:eastAsia="en-US"/>
        </w:rPr>
        <w:t>Hypatia</w:t>
      </w:r>
      <w:r w:rsidRPr="00031955">
        <w:rPr>
          <w:rFonts w:eastAsia="Calibri"/>
          <w:szCs w:val="22"/>
          <w:lang w:eastAsia="en-US"/>
        </w:rPr>
        <w:t xml:space="preserve"> 26: 36-56.</w:t>
      </w:r>
    </w:p>
    <w:p w14:paraId="59D8A06E" w14:textId="57BC3683" w:rsidR="00031955" w:rsidRPr="00031955" w:rsidRDefault="00031955" w:rsidP="00031955">
      <w:pPr>
        <w:rPr>
          <w:rFonts w:eastAsia="Calibri"/>
          <w:szCs w:val="22"/>
          <w:lang w:eastAsia="en-US"/>
        </w:rPr>
      </w:pPr>
      <w:r w:rsidRPr="00031955">
        <w:rPr>
          <w:rFonts w:eastAsia="Calibri"/>
          <w:szCs w:val="22"/>
          <w:lang w:eastAsia="en-US"/>
        </w:rPr>
        <w:t xml:space="preserve">--- 2012. ‘A Cautionary Tale: On Limiting Epistemic Oppression’. </w:t>
      </w:r>
      <w:r w:rsidRPr="00031955">
        <w:rPr>
          <w:rFonts w:eastAsia="Calibri"/>
          <w:i/>
          <w:szCs w:val="22"/>
          <w:lang w:eastAsia="en-US"/>
        </w:rPr>
        <w:t>Frontiers</w:t>
      </w:r>
      <w:r w:rsidRPr="00031955">
        <w:rPr>
          <w:rFonts w:eastAsia="Calibri"/>
          <w:szCs w:val="22"/>
          <w:lang w:eastAsia="en-US"/>
        </w:rPr>
        <w:t xml:space="preserve"> 33: 24-47.</w:t>
      </w:r>
    </w:p>
    <w:p w14:paraId="668F76D9" w14:textId="77777777" w:rsidR="00031955" w:rsidRPr="00031955" w:rsidRDefault="00031955" w:rsidP="00031955">
      <w:pPr>
        <w:rPr>
          <w:rFonts w:eastAsia="Calibri"/>
          <w:szCs w:val="22"/>
          <w:lang w:eastAsia="en-US"/>
        </w:rPr>
      </w:pPr>
      <w:r w:rsidRPr="00031955">
        <w:rPr>
          <w:rFonts w:eastAsia="Calibri"/>
          <w:szCs w:val="22"/>
          <w:lang w:eastAsia="en-US"/>
        </w:rPr>
        <w:t xml:space="preserve">--- 2014a. ‘Making Sense: The </w:t>
      </w:r>
      <w:proofErr w:type="spellStart"/>
      <w:r w:rsidRPr="00031955">
        <w:rPr>
          <w:rFonts w:eastAsia="Calibri"/>
          <w:szCs w:val="22"/>
          <w:lang w:eastAsia="en-US"/>
        </w:rPr>
        <w:t>Multistability</w:t>
      </w:r>
      <w:proofErr w:type="spellEnd"/>
      <w:r w:rsidRPr="00031955">
        <w:rPr>
          <w:rFonts w:eastAsia="Calibri"/>
          <w:szCs w:val="22"/>
          <w:lang w:eastAsia="en-US"/>
        </w:rPr>
        <w:t xml:space="preserve"> of Oppression and the Importance of Intersectionality’, in N. Goswami, M. O’Donovan, and L. </w:t>
      </w:r>
      <w:proofErr w:type="spellStart"/>
      <w:r w:rsidRPr="00031955">
        <w:rPr>
          <w:rFonts w:eastAsia="Calibri"/>
          <w:szCs w:val="22"/>
          <w:lang w:eastAsia="en-US"/>
        </w:rPr>
        <w:t>Yount</w:t>
      </w:r>
      <w:proofErr w:type="spellEnd"/>
      <w:r w:rsidRPr="00031955">
        <w:rPr>
          <w:rFonts w:eastAsia="Calibri"/>
          <w:szCs w:val="22"/>
          <w:lang w:eastAsia="en-US"/>
        </w:rPr>
        <w:t xml:space="preserve"> (eds.) </w:t>
      </w:r>
      <w:r w:rsidRPr="00031955">
        <w:rPr>
          <w:rFonts w:eastAsia="Calibri"/>
          <w:i/>
          <w:szCs w:val="22"/>
          <w:lang w:eastAsia="en-US"/>
        </w:rPr>
        <w:t>Why Race and Gender Still Matter: An Intersectional Approach</w:t>
      </w:r>
      <w:r w:rsidRPr="00031955">
        <w:rPr>
          <w:rFonts w:eastAsia="Calibri"/>
          <w:szCs w:val="22"/>
          <w:lang w:eastAsia="en-US"/>
        </w:rPr>
        <w:t xml:space="preserve">. London: Pickering and </w:t>
      </w:r>
      <w:proofErr w:type="spellStart"/>
      <w:r w:rsidRPr="00031955">
        <w:rPr>
          <w:rFonts w:eastAsia="Calibri"/>
          <w:szCs w:val="22"/>
          <w:lang w:eastAsia="en-US"/>
        </w:rPr>
        <w:t>Chatto</w:t>
      </w:r>
      <w:proofErr w:type="spellEnd"/>
      <w:r w:rsidRPr="00031955">
        <w:rPr>
          <w:rFonts w:eastAsia="Calibri"/>
          <w:szCs w:val="22"/>
          <w:lang w:eastAsia="en-US"/>
        </w:rPr>
        <w:t xml:space="preserve">. </w:t>
      </w:r>
    </w:p>
    <w:p w14:paraId="28CF4956" w14:textId="7D881A3B" w:rsidR="00031955" w:rsidRDefault="00031955" w:rsidP="00031955">
      <w:pPr>
        <w:rPr>
          <w:rFonts w:eastAsia="Calibri"/>
          <w:szCs w:val="22"/>
          <w:lang w:eastAsia="en-US"/>
        </w:rPr>
      </w:pPr>
      <w:r w:rsidRPr="00031955">
        <w:rPr>
          <w:rFonts w:eastAsia="Calibri"/>
          <w:szCs w:val="22"/>
          <w:lang w:eastAsia="en-US"/>
        </w:rPr>
        <w:t xml:space="preserve">--- 2014b. ‘Conceptualising Epistemic Oppression’. </w:t>
      </w:r>
      <w:r w:rsidRPr="00031955">
        <w:rPr>
          <w:rFonts w:eastAsia="Calibri"/>
          <w:i/>
          <w:szCs w:val="22"/>
          <w:lang w:eastAsia="en-US"/>
        </w:rPr>
        <w:t>Social Epistemology</w:t>
      </w:r>
      <w:r w:rsidRPr="00031955">
        <w:rPr>
          <w:rFonts w:eastAsia="Calibri"/>
          <w:szCs w:val="22"/>
          <w:lang w:eastAsia="en-US"/>
        </w:rPr>
        <w:t xml:space="preserve"> 28: 115-138.</w:t>
      </w:r>
    </w:p>
    <w:p w14:paraId="69633554" w14:textId="70974D16" w:rsidR="00F349FF" w:rsidRPr="00F349FF" w:rsidRDefault="00F349FF" w:rsidP="00031955">
      <w:pPr>
        <w:rPr>
          <w:rFonts w:eastAsia="Calibri"/>
          <w:bCs/>
          <w:szCs w:val="22"/>
          <w:lang w:eastAsia="en-US"/>
        </w:rPr>
      </w:pPr>
      <w:r w:rsidRPr="00F349FF">
        <w:rPr>
          <w:rFonts w:eastAsia="Calibri"/>
          <w:bCs/>
          <w:szCs w:val="22"/>
          <w:lang w:eastAsia="en-US"/>
        </w:rPr>
        <w:t xml:space="preserve">Eddo-Lodge, R. 2017. </w:t>
      </w:r>
      <w:r w:rsidRPr="00F349FF">
        <w:rPr>
          <w:rFonts w:eastAsia="Calibri"/>
          <w:bCs/>
          <w:i/>
          <w:szCs w:val="22"/>
          <w:lang w:eastAsia="en-US"/>
        </w:rPr>
        <w:t>Why I’m No Longer Talking to White People about Race</w:t>
      </w:r>
      <w:r w:rsidRPr="00F349FF">
        <w:rPr>
          <w:rFonts w:eastAsia="Calibri"/>
          <w:bCs/>
          <w:szCs w:val="22"/>
          <w:lang w:eastAsia="en-US"/>
        </w:rPr>
        <w:t xml:space="preserve">. London: Bloomsbury. </w:t>
      </w:r>
    </w:p>
    <w:p w14:paraId="5829CF7A" w14:textId="32137B7C" w:rsidR="00F349FF" w:rsidRPr="00031955" w:rsidRDefault="00F349FF" w:rsidP="00031955">
      <w:pPr>
        <w:rPr>
          <w:rFonts w:eastAsia="Calibri"/>
          <w:szCs w:val="22"/>
          <w:lang w:eastAsia="en-US"/>
        </w:rPr>
      </w:pPr>
      <w:r w:rsidRPr="00F349FF">
        <w:rPr>
          <w:rFonts w:eastAsia="Calibri"/>
          <w:szCs w:val="22"/>
          <w:lang w:eastAsia="en-US"/>
        </w:rPr>
        <w:t xml:space="preserve">Fanon, F. 2008. </w:t>
      </w:r>
      <w:r w:rsidRPr="00F349FF">
        <w:rPr>
          <w:rFonts w:eastAsia="Calibri"/>
          <w:i/>
          <w:szCs w:val="22"/>
          <w:lang w:eastAsia="en-US"/>
        </w:rPr>
        <w:t>Black Skin, White Masks</w:t>
      </w:r>
      <w:r w:rsidRPr="00F349FF">
        <w:rPr>
          <w:rFonts w:eastAsia="Calibri"/>
          <w:szCs w:val="22"/>
          <w:lang w:eastAsia="en-US"/>
        </w:rPr>
        <w:t>. R. Philcox (trans.) New York: Grove Press.</w:t>
      </w:r>
    </w:p>
    <w:p w14:paraId="48C4BD3A" w14:textId="735FAD72" w:rsidR="00031955" w:rsidRDefault="00031955" w:rsidP="00031955">
      <w:pPr>
        <w:rPr>
          <w:rFonts w:eastAsia="Calibri"/>
          <w:bCs/>
          <w:szCs w:val="22"/>
          <w:lang w:eastAsia="en-US"/>
        </w:rPr>
      </w:pPr>
      <w:r w:rsidRPr="00031955">
        <w:rPr>
          <w:rFonts w:eastAsia="Calibri"/>
          <w:bCs/>
          <w:szCs w:val="22"/>
          <w:lang w:eastAsia="en-US"/>
        </w:rPr>
        <w:t xml:space="preserve">Fricker, M. 2007. </w:t>
      </w:r>
      <w:r w:rsidRPr="00031955">
        <w:rPr>
          <w:rFonts w:eastAsia="Calibri"/>
          <w:bCs/>
          <w:i/>
          <w:szCs w:val="22"/>
          <w:lang w:eastAsia="en-US"/>
        </w:rPr>
        <w:t>Epistemic Injustice: Power and the Ethics of Knowing</w:t>
      </w:r>
      <w:r w:rsidRPr="00031955">
        <w:rPr>
          <w:rFonts w:eastAsia="Calibri"/>
          <w:bCs/>
          <w:szCs w:val="22"/>
          <w:lang w:eastAsia="en-US"/>
        </w:rPr>
        <w:t>. Oxford: Oxford University Press.</w:t>
      </w:r>
    </w:p>
    <w:p w14:paraId="388DD91D" w14:textId="36F0CC29" w:rsidR="009F7B1F" w:rsidRDefault="009F7B1F" w:rsidP="00031955">
      <w:pPr>
        <w:rPr>
          <w:rFonts w:eastAsia="Calibri"/>
          <w:bCs/>
          <w:szCs w:val="22"/>
          <w:lang w:eastAsia="en-US"/>
        </w:rPr>
      </w:pPr>
      <w:r>
        <w:rPr>
          <w:rFonts w:eastAsia="Calibri"/>
          <w:bCs/>
          <w:szCs w:val="22"/>
          <w:lang w:eastAsia="en-US"/>
        </w:rPr>
        <w:t>Giladi, P. Forthcoming 2021</w:t>
      </w:r>
      <w:r w:rsidR="00A42BFE">
        <w:rPr>
          <w:rFonts w:eastAsia="Calibri"/>
          <w:bCs/>
          <w:szCs w:val="22"/>
          <w:lang w:eastAsia="en-US"/>
        </w:rPr>
        <w:t>. ‘</w:t>
      </w:r>
      <w:r w:rsidRPr="009F7B1F">
        <w:rPr>
          <w:rFonts w:eastAsia="Calibri"/>
          <w:bCs/>
          <w:szCs w:val="22"/>
          <w:lang w:eastAsia="en-US"/>
        </w:rPr>
        <w:t>Epistemic Exploitation, Ideological Recognition, and Practices of Blame</w:t>
      </w:r>
      <w:r w:rsidR="00A42BFE">
        <w:rPr>
          <w:rFonts w:eastAsia="Calibri"/>
          <w:bCs/>
          <w:szCs w:val="22"/>
          <w:lang w:eastAsia="en-US"/>
        </w:rPr>
        <w:t>’</w:t>
      </w:r>
      <w:r w:rsidR="00A42BFE" w:rsidRPr="00031955">
        <w:rPr>
          <w:rFonts w:eastAsia="Calibri"/>
          <w:szCs w:val="22"/>
          <w:lang w:eastAsia="en-US"/>
        </w:rPr>
        <w:t xml:space="preserve">, in </w:t>
      </w:r>
      <w:r w:rsidR="00A42BFE">
        <w:rPr>
          <w:rFonts w:eastAsia="Calibri"/>
          <w:szCs w:val="22"/>
          <w:lang w:eastAsia="en-US"/>
        </w:rPr>
        <w:t>P. Giladi</w:t>
      </w:r>
      <w:r w:rsidR="00A42BFE" w:rsidRPr="00031955">
        <w:rPr>
          <w:rFonts w:eastAsia="Calibri"/>
          <w:szCs w:val="22"/>
          <w:lang w:eastAsia="en-US"/>
        </w:rPr>
        <w:t xml:space="preserve"> and </w:t>
      </w:r>
      <w:r w:rsidR="00A42BFE">
        <w:rPr>
          <w:rFonts w:eastAsia="Calibri"/>
          <w:szCs w:val="22"/>
          <w:lang w:eastAsia="en-US"/>
        </w:rPr>
        <w:t xml:space="preserve">N. McMillan </w:t>
      </w:r>
      <w:r w:rsidR="00A42BFE" w:rsidRPr="00031955">
        <w:rPr>
          <w:rFonts w:eastAsia="Calibri"/>
          <w:szCs w:val="22"/>
          <w:lang w:eastAsia="en-US"/>
        </w:rPr>
        <w:t xml:space="preserve">(eds.) </w:t>
      </w:r>
      <w:r w:rsidR="00A42BFE" w:rsidRPr="00A42BFE">
        <w:rPr>
          <w:rFonts w:eastAsia="Calibri"/>
          <w:i/>
          <w:szCs w:val="22"/>
          <w:lang w:eastAsia="en-US"/>
        </w:rPr>
        <w:t xml:space="preserve">Epistemic Injustice and the Philosophy of Recognition. </w:t>
      </w:r>
      <w:r w:rsidR="00A42BFE" w:rsidRPr="00A42BFE">
        <w:rPr>
          <w:rFonts w:eastAsia="Calibri"/>
          <w:iCs/>
          <w:szCs w:val="22"/>
          <w:lang w:eastAsia="en-US"/>
        </w:rPr>
        <w:t>New York: Routledge</w:t>
      </w:r>
      <w:r w:rsidR="00A42BFE" w:rsidRPr="00031955">
        <w:rPr>
          <w:rFonts w:eastAsia="Calibri"/>
          <w:szCs w:val="22"/>
          <w:lang w:eastAsia="en-US"/>
        </w:rPr>
        <w:t>.</w:t>
      </w:r>
    </w:p>
    <w:p w14:paraId="65345302" w14:textId="086C53F3" w:rsidR="00C05566" w:rsidRPr="00031955" w:rsidRDefault="00C05566" w:rsidP="00031955">
      <w:pPr>
        <w:rPr>
          <w:rFonts w:eastAsia="Calibri"/>
          <w:bCs/>
          <w:szCs w:val="22"/>
          <w:lang w:eastAsia="en-US"/>
        </w:rPr>
      </w:pPr>
      <w:r w:rsidRPr="00C05566">
        <w:rPr>
          <w:rFonts w:eastAsia="Calibri"/>
          <w:bCs/>
          <w:szCs w:val="22"/>
          <w:lang w:eastAsia="en-US"/>
        </w:rPr>
        <w:t xml:space="preserve">Gooding-Williams, R. 2006. </w:t>
      </w:r>
      <w:r w:rsidRPr="00C05566">
        <w:rPr>
          <w:rFonts w:eastAsia="Calibri"/>
          <w:bCs/>
          <w:i/>
          <w:iCs/>
          <w:szCs w:val="22"/>
          <w:lang w:eastAsia="en-US"/>
        </w:rPr>
        <w:t xml:space="preserve">Look, a </w:t>
      </w:r>
      <w:proofErr w:type="gramStart"/>
      <w:r w:rsidRPr="00C05566">
        <w:rPr>
          <w:rFonts w:eastAsia="Calibri"/>
          <w:bCs/>
          <w:i/>
          <w:iCs/>
          <w:szCs w:val="22"/>
          <w:lang w:eastAsia="en-US"/>
        </w:rPr>
        <w:t>Negro!:</w:t>
      </w:r>
      <w:proofErr w:type="gramEnd"/>
      <w:r w:rsidRPr="00C05566">
        <w:rPr>
          <w:rFonts w:eastAsia="Calibri"/>
          <w:bCs/>
          <w:i/>
          <w:iCs/>
          <w:szCs w:val="22"/>
          <w:lang w:eastAsia="en-US"/>
        </w:rPr>
        <w:t xml:space="preserve"> Philosophical Essays on Race, Culture and Politics</w:t>
      </w:r>
      <w:r w:rsidRPr="00C05566">
        <w:rPr>
          <w:rFonts w:eastAsia="Calibri"/>
          <w:bCs/>
          <w:szCs w:val="22"/>
          <w:lang w:eastAsia="en-US"/>
        </w:rPr>
        <w:t>. New York: Routledge.</w:t>
      </w:r>
    </w:p>
    <w:p w14:paraId="3E9C387B" w14:textId="5FDAB4E5" w:rsidR="00031955" w:rsidRDefault="00031955" w:rsidP="00031955">
      <w:pPr>
        <w:rPr>
          <w:rFonts w:eastAsia="Calibri"/>
          <w:bCs/>
          <w:szCs w:val="22"/>
          <w:lang w:eastAsia="en-US"/>
        </w:rPr>
      </w:pPr>
      <w:r w:rsidRPr="00031955">
        <w:rPr>
          <w:rFonts w:eastAsia="Calibri"/>
          <w:bCs/>
          <w:szCs w:val="22"/>
          <w:lang w:eastAsia="en-US"/>
        </w:rPr>
        <w:t xml:space="preserve">Grice, P. H. 1975. ‘Logic and Conversation’, in P. Cole &amp; J. Morgan (eds.) </w:t>
      </w:r>
      <w:r w:rsidRPr="00031955">
        <w:rPr>
          <w:rFonts w:eastAsia="Calibri"/>
          <w:bCs/>
          <w:i/>
          <w:szCs w:val="22"/>
          <w:lang w:eastAsia="en-US"/>
        </w:rPr>
        <w:t>Syntax and Semantics 3: Speech Acts</w:t>
      </w:r>
      <w:r w:rsidRPr="00031955">
        <w:rPr>
          <w:rFonts w:eastAsia="Calibri"/>
          <w:bCs/>
          <w:szCs w:val="22"/>
          <w:lang w:eastAsia="en-US"/>
        </w:rPr>
        <w:t xml:space="preserve">. New York: Academic Press.  </w:t>
      </w:r>
    </w:p>
    <w:p w14:paraId="645A9912" w14:textId="58CEC0E2" w:rsidR="009F7B1F" w:rsidRPr="00031955" w:rsidRDefault="009F7B1F" w:rsidP="00031955">
      <w:pPr>
        <w:rPr>
          <w:rFonts w:eastAsia="Calibri"/>
          <w:bCs/>
          <w:szCs w:val="22"/>
          <w:lang w:eastAsia="en-US"/>
        </w:rPr>
      </w:pPr>
      <w:r w:rsidRPr="009F7B1F">
        <w:rPr>
          <w:rFonts w:eastAsia="Calibri"/>
          <w:bCs/>
          <w:szCs w:val="22"/>
          <w:lang w:eastAsia="en-US"/>
        </w:rPr>
        <w:t>Hacking, I.</w:t>
      </w:r>
      <w:r>
        <w:rPr>
          <w:rFonts w:eastAsia="Calibri"/>
          <w:bCs/>
          <w:szCs w:val="22"/>
          <w:lang w:eastAsia="en-US"/>
        </w:rPr>
        <w:t xml:space="preserve"> </w:t>
      </w:r>
      <w:r w:rsidRPr="009F7B1F">
        <w:rPr>
          <w:rFonts w:eastAsia="Calibri"/>
          <w:bCs/>
          <w:szCs w:val="22"/>
          <w:lang w:eastAsia="en-US"/>
        </w:rPr>
        <w:t xml:space="preserve">1999. </w:t>
      </w:r>
      <w:r w:rsidRPr="009F7B1F">
        <w:rPr>
          <w:rFonts w:eastAsia="Calibri"/>
          <w:bCs/>
          <w:i/>
          <w:iCs/>
          <w:szCs w:val="22"/>
          <w:lang w:eastAsia="en-US"/>
        </w:rPr>
        <w:t>The Social Construction of What?</w:t>
      </w:r>
      <w:r w:rsidRPr="009F7B1F">
        <w:rPr>
          <w:rFonts w:eastAsia="Calibri"/>
          <w:bCs/>
          <w:szCs w:val="22"/>
          <w:lang w:eastAsia="en-US"/>
        </w:rPr>
        <w:t xml:space="preserve"> Cambridge, MA: Harvard University Press.</w:t>
      </w:r>
    </w:p>
    <w:p w14:paraId="5F6A8F25" w14:textId="38A30342" w:rsidR="00031955" w:rsidRDefault="00031955" w:rsidP="00031955">
      <w:pPr>
        <w:rPr>
          <w:rFonts w:eastAsia="Calibri"/>
          <w:szCs w:val="22"/>
          <w:lang w:eastAsia="en-US"/>
        </w:rPr>
      </w:pPr>
      <w:r w:rsidRPr="00031955">
        <w:rPr>
          <w:rFonts w:eastAsia="Calibri"/>
          <w:szCs w:val="22"/>
          <w:lang w:eastAsia="en-US"/>
        </w:rPr>
        <w:t>Honneth, A. 199</w:t>
      </w:r>
      <w:r w:rsidR="00F8246C">
        <w:rPr>
          <w:rFonts w:eastAsia="Calibri"/>
          <w:szCs w:val="22"/>
          <w:lang w:eastAsia="en-US"/>
        </w:rPr>
        <w:t>5</w:t>
      </w:r>
      <w:r w:rsidRPr="00031955">
        <w:rPr>
          <w:rFonts w:eastAsia="Calibri"/>
          <w:szCs w:val="22"/>
          <w:lang w:eastAsia="en-US"/>
        </w:rPr>
        <w:t xml:space="preserve">. </w:t>
      </w:r>
      <w:r w:rsidRPr="00031955">
        <w:rPr>
          <w:rFonts w:eastAsia="Calibri"/>
          <w:i/>
          <w:szCs w:val="22"/>
          <w:lang w:eastAsia="en-US"/>
        </w:rPr>
        <w:t>The Struggle for Recognition: The Moral Grammar of Social Conflicts</w:t>
      </w:r>
      <w:r w:rsidRPr="00031955">
        <w:rPr>
          <w:rFonts w:eastAsia="Calibri"/>
          <w:szCs w:val="22"/>
          <w:lang w:eastAsia="en-US"/>
        </w:rPr>
        <w:t>. J. Anderson (trans.) Cambridge: Polity Press.</w:t>
      </w:r>
    </w:p>
    <w:p w14:paraId="60C0DDA8" w14:textId="5BB88005" w:rsidR="00F8246C" w:rsidRPr="00031955" w:rsidRDefault="00F8246C" w:rsidP="00031955">
      <w:pPr>
        <w:rPr>
          <w:rFonts w:eastAsia="Calibri"/>
          <w:szCs w:val="22"/>
          <w:lang w:eastAsia="en-US"/>
        </w:rPr>
      </w:pPr>
      <w:r>
        <w:rPr>
          <w:rFonts w:eastAsia="Calibri"/>
          <w:szCs w:val="22"/>
          <w:lang w:eastAsia="en-US"/>
        </w:rPr>
        <w:t xml:space="preserve">--- </w:t>
      </w:r>
      <w:r w:rsidRPr="00F8246C">
        <w:rPr>
          <w:rFonts w:eastAsia="Calibri"/>
          <w:szCs w:val="22"/>
          <w:lang w:eastAsia="en-US"/>
        </w:rPr>
        <w:t xml:space="preserve">2001. </w:t>
      </w:r>
      <w:r>
        <w:rPr>
          <w:rFonts w:eastAsia="Calibri"/>
          <w:szCs w:val="22"/>
          <w:lang w:eastAsia="en-US"/>
        </w:rPr>
        <w:t>‘</w:t>
      </w:r>
      <w:r w:rsidRPr="00F8246C">
        <w:rPr>
          <w:rFonts w:eastAsia="Calibri"/>
          <w:szCs w:val="22"/>
          <w:lang w:eastAsia="en-US"/>
        </w:rPr>
        <w:t>Invisibility: On the Epistemology of ‘Recognition</w:t>
      </w:r>
      <w:r>
        <w:rPr>
          <w:rFonts w:eastAsia="Calibri"/>
          <w:szCs w:val="22"/>
          <w:lang w:eastAsia="en-US"/>
        </w:rPr>
        <w:t>’’</w:t>
      </w:r>
      <w:r w:rsidRPr="00F8246C">
        <w:rPr>
          <w:rFonts w:eastAsia="Calibri"/>
          <w:szCs w:val="22"/>
          <w:lang w:eastAsia="en-US"/>
        </w:rPr>
        <w:t xml:space="preserve">. </w:t>
      </w:r>
      <w:r w:rsidRPr="00F8246C">
        <w:rPr>
          <w:rFonts w:eastAsia="Calibri"/>
          <w:i/>
          <w:szCs w:val="22"/>
          <w:lang w:eastAsia="en-US"/>
        </w:rPr>
        <w:t>Aristotelian Society Supplementary Volume</w:t>
      </w:r>
      <w:r w:rsidRPr="00F8246C">
        <w:rPr>
          <w:rFonts w:eastAsia="Calibri"/>
          <w:szCs w:val="22"/>
          <w:lang w:eastAsia="en-US"/>
        </w:rPr>
        <w:t xml:space="preserve"> 75: 111</w:t>
      </w:r>
      <w:r>
        <w:rPr>
          <w:rFonts w:eastAsia="Calibri"/>
          <w:szCs w:val="22"/>
          <w:lang w:eastAsia="en-US"/>
        </w:rPr>
        <w:t>-</w:t>
      </w:r>
      <w:r w:rsidRPr="00F8246C">
        <w:rPr>
          <w:rFonts w:eastAsia="Calibri"/>
          <w:szCs w:val="22"/>
          <w:lang w:eastAsia="en-US"/>
        </w:rPr>
        <w:t>126</w:t>
      </w:r>
      <w:r>
        <w:rPr>
          <w:rFonts w:eastAsia="Calibri"/>
          <w:szCs w:val="22"/>
          <w:lang w:eastAsia="en-US"/>
        </w:rPr>
        <w:t>.</w:t>
      </w:r>
    </w:p>
    <w:p w14:paraId="16026386" w14:textId="17764BF4" w:rsidR="00031955" w:rsidRPr="00031955" w:rsidRDefault="00031955" w:rsidP="00031955">
      <w:pPr>
        <w:rPr>
          <w:rFonts w:eastAsia="Calibri"/>
          <w:szCs w:val="22"/>
          <w:lang w:eastAsia="en-US"/>
        </w:rPr>
      </w:pPr>
      <w:r w:rsidRPr="00031955">
        <w:rPr>
          <w:rFonts w:eastAsia="Calibri"/>
          <w:szCs w:val="22"/>
          <w:lang w:eastAsia="en-US"/>
        </w:rPr>
        <w:t xml:space="preserve">--- 2007. </w:t>
      </w:r>
      <w:r w:rsidRPr="00031955">
        <w:rPr>
          <w:rFonts w:eastAsia="Calibri"/>
          <w:i/>
          <w:szCs w:val="22"/>
          <w:lang w:eastAsia="en-US"/>
        </w:rPr>
        <w:t>Disrespect: The Normative Foundations of Critical Theory</w:t>
      </w:r>
      <w:r w:rsidRPr="00031955">
        <w:rPr>
          <w:rFonts w:eastAsia="Calibri"/>
          <w:szCs w:val="22"/>
          <w:lang w:eastAsia="en-US"/>
        </w:rPr>
        <w:t xml:space="preserve">. Cambridge: Polity Press. </w:t>
      </w:r>
    </w:p>
    <w:p w14:paraId="538F8CB0" w14:textId="197B3CAA" w:rsidR="0004172D" w:rsidRPr="0004172D" w:rsidRDefault="0004172D" w:rsidP="00031955">
      <w:pPr>
        <w:rPr>
          <w:rFonts w:eastAsia="Calibri"/>
          <w:szCs w:val="22"/>
          <w:lang w:eastAsia="en-US"/>
        </w:rPr>
      </w:pPr>
      <w:r>
        <w:rPr>
          <w:rFonts w:eastAsia="Calibri"/>
          <w:szCs w:val="22"/>
          <w:lang w:eastAsia="en-US"/>
        </w:rPr>
        <w:lastRenderedPageBreak/>
        <w:t xml:space="preserve">Jackson, D. L. 2018. ‘“Me Too”: Epistemic Injustice and the Struggle for Recognition’. </w:t>
      </w:r>
      <w:r>
        <w:rPr>
          <w:rFonts w:eastAsia="Calibri"/>
          <w:i/>
          <w:szCs w:val="22"/>
          <w:lang w:eastAsia="en-US"/>
        </w:rPr>
        <w:t xml:space="preserve">Feminist Philosophy Quarterly </w:t>
      </w:r>
      <w:r>
        <w:rPr>
          <w:rFonts w:eastAsia="Calibri"/>
          <w:szCs w:val="22"/>
          <w:lang w:eastAsia="en-US"/>
        </w:rPr>
        <w:t>4</w:t>
      </w:r>
      <w:r w:rsidR="00C05566">
        <w:rPr>
          <w:rFonts w:eastAsia="Calibri"/>
          <w:szCs w:val="22"/>
          <w:lang w:eastAsia="en-US"/>
        </w:rPr>
        <w:t xml:space="preserve"> </w:t>
      </w:r>
      <w:r>
        <w:rPr>
          <w:rFonts w:eastAsia="Calibri"/>
          <w:szCs w:val="22"/>
          <w:lang w:eastAsia="en-US"/>
        </w:rPr>
        <w:t>(Article 7): 1-20.</w:t>
      </w:r>
    </w:p>
    <w:p w14:paraId="2B40337F" w14:textId="62F10667" w:rsidR="00031955" w:rsidRPr="00031955" w:rsidRDefault="00031955" w:rsidP="00031955">
      <w:pPr>
        <w:rPr>
          <w:rFonts w:eastAsia="Calibri"/>
          <w:i/>
          <w:szCs w:val="22"/>
          <w:lang w:eastAsia="en-US"/>
        </w:rPr>
      </w:pPr>
      <w:r w:rsidRPr="00031955">
        <w:rPr>
          <w:rFonts w:eastAsia="Calibri"/>
          <w:szCs w:val="22"/>
          <w:lang w:eastAsia="en-US"/>
        </w:rPr>
        <w:t xml:space="preserve">Jones, K. 2002. ‘The Politics of Credibility’, in L. M. Antony and C. E. Witt (eds.) </w:t>
      </w:r>
      <w:r w:rsidRPr="00031955">
        <w:rPr>
          <w:rFonts w:eastAsia="Calibri"/>
          <w:i/>
          <w:szCs w:val="22"/>
          <w:lang w:eastAsia="en-US"/>
        </w:rPr>
        <w:t>A Mind of One’s Own: Feminist Essays on Reason and Objectivity</w:t>
      </w:r>
      <w:r w:rsidRPr="00031955">
        <w:rPr>
          <w:rFonts w:eastAsia="Calibri"/>
          <w:szCs w:val="22"/>
          <w:lang w:eastAsia="en-US"/>
        </w:rPr>
        <w:t>. Boulder, Col.: Westview Press.</w:t>
      </w:r>
    </w:p>
    <w:p w14:paraId="59046AB3" w14:textId="77777777" w:rsidR="00031955" w:rsidRPr="00031955" w:rsidRDefault="00031955" w:rsidP="00031955">
      <w:pPr>
        <w:rPr>
          <w:rFonts w:eastAsia="Calibri"/>
          <w:szCs w:val="22"/>
          <w:lang w:eastAsia="en-US"/>
        </w:rPr>
      </w:pPr>
      <w:r w:rsidRPr="00031955">
        <w:rPr>
          <w:rFonts w:eastAsia="Calibri"/>
          <w:szCs w:val="22"/>
          <w:lang w:eastAsia="en-US"/>
        </w:rPr>
        <w:t xml:space="preserve">Kant, I. 1992. </w:t>
      </w:r>
      <w:r w:rsidRPr="00031955">
        <w:rPr>
          <w:rFonts w:eastAsia="Calibri"/>
          <w:i/>
          <w:szCs w:val="22"/>
          <w:lang w:eastAsia="en-US"/>
        </w:rPr>
        <w:t>Lectures on Logic</w:t>
      </w:r>
      <w:r w:rsidRPr="00031955">
        <w:rPr>
          <w:rFonts w:eastAsia="Calibri"/>
          <w:szCs w:val="22"/>
          <w:lang w:eastAsia="en-US"/>
        </w:rPr>
        <w:t xml:space="preserve">. J. M. Young (ed. &amp; trans.) Cambridge: Cambridge University Press. </w:t>
      </w:r>
    </w:p>
    <w:p w14:paraId="197E2D85" w14:textId="07F158CE" w:rsidR="00031955" w:rsidRDefault="00031955" w:rsidP="00031955">
      <w:pPr>
        <w:rPr>
          <w:rFonts w:eastAsia="Calibri"/>
          <w:szCs w:val="22"/>
          <w:lang w:eastAsia="en-US"/>
        </w:rPr>
      </w:pPr>
      <w:r w:rsidRPr="00031955">
        <w:rPr>
          <w:rFonts w:eastAsia="Calibri"/>
          <w:szCs w:val="22"/>
          <w:lang w:eastAsia="en-US"/>
        </w:rPr>
        <w:t xml:space="preserve">--- 2006. </w:t>
      </w:r>
      <w:r w:rsidRPr="00031955">
        <w:rPr>
          <w:rFonts w:eastAsia="Calibri"/>
          <w:i/>
          <w:szCs w:val="22"/>
          <w:lang w:eastAsia="en-US"/>
        </w:rPr>
        <w:t>Anthropology from a Pragmatic Point of View</w:t>
      </w:r>
      <w:r w:rsidRPr="00031955">
        <w:rPr>
          <w:rFonts w:eastAsia="Calibri"/>
          <w:szCs w:val="22"/>
          <w:lang w:eastAsia="en-US"/>
        </w:rPr>
        <w:t>. R. B. Louden (ed. &amp; trans.) Cambridge: Cambridge University Press.</w:t>
      </w:r>
    </w:p>
    <w:p w14:paraId="7165E3F8" w14:textId="05CE1E04" w:rsidR="0004172D" w:rsidRDefault="00F349FF" w:rsidP="00031955">
      <w:pPr>
        <w:rPr>
          <w:rFonts w:eastAsia="Calibri"/>
          <w:szCs w:val="22"/>
          <w:lang w:eastAsia="en-US"/>
        </w:rPr>
      </w:pPr>
      <w:r w:rsidRPr="00F349FF">
        <w:rPr>
          <w:rFonts w:eastAsia="Calibri"/>
          <w:szCs w:val="22"/>
          <w:lang w:eastAsia="en-US"/>
        </w:rPr>
        <w:t>Korsgaard, C. M.</w:t>
      </w:r>
      <w:r>
        <w:rPr>
          <w:rFonts w:eastAsia="Calibri"/>
          <w:szCs w:val="22"/>
          <w:lang w:eastAsia="en-US"/>
        </w:rPr>
        <w:t xml:space="preserve"> </w:t>
      </w:r>
      <w:r w:rsidRPr="00F349FF">
        <w:rPr>
          <w:rFonts w:eastAsia="Calibri"/>
          <w:szCs w:val="22"/>
          <w:lang w:eastAsia="en-US"/>
        </w:rPr>
        <w:t xml:space="preserve">2009. </w:t>
      </w:r>
      <w:r w:rsidRPr="00F349FF">
        <w:rPr>
          <w:rFonts w:eastAsia="Calibri"/>
          <w:i/>
          <w:szCs w:val="22"/>
          <w:lang w:eastAsia="en-US"/>
        </w:rPr>
        <w:t>Self-Constitution: Agency, Identity, and Integrity</w:t>
      </w:r>
      <w:r w:rsidRPr="00F349FF">
        <w:rPr>
          <w:rFonts w:eastAsia="Calibri"/>
          <w:szCs w:val="22"/>
          <w:lang w:eastAsia="en-US"/>
        </w:rPr>
        <w:t>. Oxford: Oxford University Press.</w:t>
      </w:r>
    </w:p>
    <w:p w14:paraId="4F624343" w14:textId="2B84DCF2" w:rsidR="00E50DEE" w:rsidRDefault="00E50DEE" w:rsidP="00031955">
      <w:pPr>
        <w:rPr>
          <w:rFonts w:eastAsia="Calibri"/>
          <w:szCs w:val="22"/>
          <w:lang w:eastAsia="en-US"/>
        </w:rPr>
      </w:pPr>
      <w:r w:rsidRPr="00E50DEE">
        <w:rPr>
          <w:rFonts w:eastAsia="Calibri"/>
          <w:szCs w:val="22"/>
          <w:lang w:eastAsia="en-US"/>
        </w:rPr>
        <w:t xml:space="preserve">Kukla, R. and Lance, M. 2009. </w:t>
      </w:r>
      <w:r w:rsidRPr="00E50DEE">
        <w:rPr>
          <w:rFonts w:eastAsia="Calibri"/>
          <w:i/>
          <w:iCs/>
          <w:szCs w:val="22"/>
          <w:lang w:eastAsia="en-US"/>
        </w:rPr>
        <w:t>‘Yo!’ and ‘Lo!’ The Pragmatic Topography of the Space of Reasons</w:t>
      </w:r>
      <w:r w:rsidRPr="00E50DEE">
        <w:rPr>
          <w:rFonts w:eastAsia="Calibri"/>
          <w:iCs/>
          <w:szCs w:val="22"/>
          <w:lang w:eastAsia="en-US"/>
        </w:rPr>
        <w:t>.</w:t>
      </w:r>
      <w:r w:rsidRPr="00E50DEE">
        <w:rPr>
          <w:rFonts w:eastAsia="Calibri"/>
          <w:i/>
          <w:iCs/>
          <w:szCs w:val="22"/>
          <w:lang w:eastAsia="en-US"/>
        </w:rPr>
        <w:t xml:space="preserve"> </w:t>
      </w:r>
      <w:r w:rsidRPr="00E50DEE">
        <w:rPr>
          <w:rFonts w:eastAsia="Calibri"/>
          <w:szCs w:val="22"/>
          <w:lang w:eastAsia="en-US"/>
        </w:rPr>
        <w:t>Cambridge, MA: Harvard University Press.</w:t>
      </w:r>
    </w:p>
    <w:p w14:paraId="50E87C4D" w14:textId="231D0329" w:rsidR="00F349FF" w:rsidRPr="00031955" w:rsidRDefault="0004172D" w:rsidP="00031955">
      <w:pPr>
        <w:rPr>
          <w:rFonts w:eastAsia="Calibri"/>
          <w:szCs w:val="22"/>
          <w:lang w:eastAsia="en-US"/>
        </w:rPr>
      </w:pPr>
      <w:r>
        <w:rPr>
          <w:rFonts w:eastAsia="Calibri"/>
          <w:szCs w:val="22"/>
          <w:lang w:eastAsia="en-US"/>
        </w:rPr>
        <w:t>Lobb, A. 2018. ‘“</w:t>
      </w:r>
      <w:proofErr w:type="spellStart"/>
      <w:r>
        <w:rPr>
          <w:rFonts w:eastAsia="Calibri"/>
          <w:szCs w:val="22"/>
          <w:lang w:eastAsia="en-US"/>
        </w:rPr>
        <w:t>Prediscursive</w:t>
      </w:r>
      <w:proofErr w:type="spellEnd"/>
      <w:r>
        <w:rPr>
          <w:rFonts w:eastAsia="Calibri"/>
          <w:szCs w:val="22"/>
          <w:lang w:eastAsia="en-US"/>
        </w:rPr>
        <w:t xml:space="preserve"> Epistemic Injury”: Recognising Another Form of Epistemic Injustice?’. </w:t>
      </w:r>
      <w:r>
        <w:rPr>
          <w:rFonts w:eastAsia="Calibri"/>
          <w:i/>
          <w:szCs w:val="22"/>
          <w:lang w:eastAsia="en-US"/>
        </w:rPr>
        <w:t xml:space="preserve">Feminist Philosophy Quarterly </w:t>
      </w:r>
      <w:r>
        <w:rPr>
          <w:rFonts w:eastAsia="Calibri"/>
          <w:szCs w:val="22"/>
          <w:lang w:eastAsia="en-US"/>
        </w:rPr>
        <w:t>4</w:t>
      </w:r>
      <w:r w:rsidR="00E50DEE">
        <w:rPr>
          <w:rFonts w:eastAsia="Calibri"/>
          <w:szCs w:val="22"/>
          <w:lang w:eastAsia="en-US"/>
        </w:rPr>
        <w:t xml:space="preserve"> </w:t>
      </w:r>
      <w:r>
        <w:rPr>
          <w:rFonts w:eastAsia="Calibri"/>
          <w:szCs w:val="22"/>
          <w:lang w:eastAsia="en-US"/>
        </w:rPr>
        <w:t xml:space="preserve">(Article 3): 1-23. </w:t>
      </w:r>
      <w:r w:rsidR="00F349FF" w:rsidRPr="00F349FF">
        <w:rPr>
          <w:rFonts w:eastAsia="Calibri"/>
          <w:szCs w:val="22"/>
          <w:lang w:eastAsia="en-US"/>
        </w:rPr>
        <w:t xml:space="preserve"> </w:t>
      </w:r>
    </w:p>
    <w:p w14:paraId="18A50EA7" w14:textId="77777777" w:rsidR="00031955" w:rsidRPr="00031955" w:rsidRDefault="00031955" w:rsidP="00031955">
      <w:pPr>
        <w:rPr>
          <w:rFonts w:eastAsia="Calibri"/>
          <w:szCs w:val="22"/>
          <w:lang w:eastAsia="en-US"/>
        </w:rPr>
      </w:pPr>
      <w:r w:rsidRPr="00031955">
        <w:rPr>
          <w:rFonts w:eastAsia="Calibri"/>
          <w:szCs w:val="22"/>
          <w:lang w:eastAsia="en-US"/>
        </w:rPr>
        <w:t xml:space="preserve">Maitra, I. 2004. ‘Silence and Responsibility’. </w:t>
      </w:r>
      <w:r w:rsidRPr="00031955">
        <w:rPr>
          <w:rFonts w:eastAsia="Calibri"/>
          <w:i/>
          <w:szCs w:val="22"/>
          <w:lang w:eastAsia="en-US"/>
        </w:rPr>
        <w:t>Philosophical Perspectives</w:t>
      </w:r>
      <w:r w:rsidRPr="00031955">
        <w:rPr>
          <w:rFonts w:eastAsia="Calibri"/>
          <w:szCs w:val="22"/>
          <w:lang w:eastAsia="en-US"/>
        </w:rPr>
        <w:t xml:space="preserve"> 18: 189-208.</w:t>
      </w:r>
    </w:p>
    <w:p w14:paraId="0F2FCD26" w14:textId="61D99FAC" w:rsidR="00031955" w:rsidRPr="00031955" w:rsidRDefault="00031955" w:rsidP="00031955">
      <w:pPr>
        <w:rPr>
          <w:rFonts w:eastAsia="Calibri"/>
          <w:szCs w:val="22"/>
          <w:lang w:eastAsia="en-US"/>
        </w:rPr>
      </w:pPr>
      <w:r w:rsidRPr="00031955">
        <w:rPr>
          <w:rFonts w:eastAsia="Calibri"/>
          <w:szCs w:val="22"/>
          <w:lang w:eastAsia="en-US"/>
        </w:rPr>
        <w:t xml:space="preserve">--- 2009. ‘Silencing Speech’. </w:t>
      </w:r>
      <w:r w:rsidRPr="00031955">
        <w:rPr>
          <w:rFonts w:eastAsia="Calibri"/>
          <w:i/>
          <w:szCs w:val="22"/>
          <w:lang w:eastAsia="en-US"/>
        </w:rPr>
        <w:t>Canadian Journal of Philosophy</w:t>
      </w:r>
      <w:r w:rsidRPr="00031955">
        <w:rPr>
          <w:rFonts w:eastAsia="Calibri"/>
          <w:szCs w:val="22"/>
          <w:lang w:eastAsia="en-US"/>
        </w:rPr>
        <w:t xml:space="preserve"> 39: 309-</w:t>
      </w:r>
      <w:r w:rsidR="00A42BFE" w:rsidRPr="00031955">
        <w:rPr>
          <w:rFonts w:eastAsia="Calibri"/>
          <w:szCs w:val="22"/>
          <w:lang w:eastAsia="en-US"/>
        </w:rPr>
        <w:t>3</w:t>
      </w:r>
      <w:r w:rsidRPr="00031955">
        <w:rPr>
          <w:rFonts w:eastAsia="Calibri"/>
          <w:szCs w:val="22"/>
          <w:lang w:eastAsia="en-US"/>
        </w:rPr>
        <w:t>38.</w:t>
      </w:r>
    </w:p>
    <w:p w14:paraId="52C98AF0" w14:textId="74CF74B4" w:rsidR="00031955" w:rsidRDefault="00031955" w:rsidP="00031955">
      <w:pPr>
        <w:rPr>
          <w:rFonts w:eastAsia="Calibri"/>
          <w:szCs w:val="22"/>
          <w:lang w:eastAsia="en-US"/>
        </w:rPr>
      </w:pPr>
      <w:r w:rsidRPr="00031955">
        <w:rPr>
          <w:rFonts w:eastAsia="Calibri"/>
          <w:szCs w:val="22"/>
          <w:lang w:eastAsia="en-US"/>
        </w:rPr>
        <w:t xml:space="preserve">McConkey, J. 2004. ‘Knowledge and Acknowledgment: Epistemic Injustice as a Problem of Recognition’. </w:t>
      </w:r>
      <w:r w:rsidRPr="00031955">
        <w:rPr>
          <w:rFonts w:eastAsia="Calibri"/>
          <w:i/>
          <w:szCs w:val="22"/>
          <w:lang w:eastAsia="en-US"/>
        </w:rPr>
        <w:t>Politics</w:t>
      </w:r>
      <w:r w:rsidRPr="00031955">
        <w:rPr>
          <w:rFonts w:eastAsia="Calibri"/>
          <w:szCs w:val="22"/>
          <w:lang w:eastAsia="en-US"/>
        </w:rPr>
        <w:t> 24: 198-205.</w:t>
      </w:r>
      <w:r w:rsidR="00A42BFE">
        <w:rPr>
          <w:rFonts w:eastAsia="Calibri"/>
          <w:szCs w:val="22"/>
          <w:lang w:eastAsia="en-US"/>
        </w:rPr>
        <w:t xml:space="preserve"> </w:t>
      </w:r>
    </w:p>
    <w:p w14:paraId="72100E7F" w14:textId="77777777" w:rsidR="0004172D" w:rsidRPr="0004172D" w:rsidRDefault="0004172D" w:rsidP="0004172D">
      <w:pPr>
        <w:rPr>
          <w:rFonts w:eastAsia="Calibri"/>
          <w:szCs w:val="22"/>
          <w:lang w:eastAsia="en-US"/>
        </w:rPr>
      </w:pPr>
      <w:r w:rsidRPr="0004172D">
        <w:rPr>
          <w:rFonts w:eastAsia="Calibri"/>
          <w:szCs w:val="22"/>
          <w:lang w:eastAsia="en-US"/>
        </w:rPr>
        <w:t xml:space="preserve">Medina, J. 2004. ‘Identity Trouble: Disidentification and the </w:t>
      </w:r>
      <w:r w:rsidRPr="0004172D">
        <w:rPr>
          <w:rFonts w:eastAsia="Calibri"/>
          <w:i/>
          <w:szCs w:val="22"/>
          <w:lang w:eastAsia="en-US"/>
        </w:rPr>
        <w:t>Problem</w:t>
      </w:r>
      <w:r w:rsidRPr="0004172D">
        <w:rPr>
          <w:rFonts w:eastAsia="Calibri"/>
          <w:szCs w:val="22"/>
          <w:lang w:eastAsia="en-US"/>
        </w:rPr>
        <w:t xml:space="preserve"> of Difference’. </w:t>
      </w:r>
      <w:r w:rsidRPr="0004172D">
        <w:rPr>
          <w:rFonts w:eastAsia="Calibri"/>
          <w:i/>
          <w:szCs w:val="22"/>
          <w:lang w:eastAsia="en-US"/>
        </w:rPr>
        <w:t>Philosophy &amp; Social Criticism</w:t>
      </w:r>
      <w:r w:rsidRPr="0004172D">
        <w:rPr>
          <w:rFonts w:eastAsia="Calibri"/>
          <w:szCs w:val="22"/>
          <w:lang w:eastAsia="en-US"/>
        </w:rPr>
        <w:t xml:space="preserve"> 29: 655-680.</w:t>
      </w:r>
    </w:p>
    <w:p w14:paraId="6D091D5D" w14:textId="2D82842A" w:rsidR="0004172D" w:rsidRPr="0004172D" w:rsidRDefault="0004172D" w:rsidP="0004172D">
      <w:pPr>
        <w:rPr>
          <w:rFonts w:eastAsia="Calibri"/>
          <w:szCs w:val="22"/>
          <w:lang w:eastAsia="en-US"/>
        </w:rPr>
      </w:pPr>
      <w:r w:rsidRPr="0004172D">
        <w:rPr>
          <w:rFonts w:eastAsia="Calibri"/>
          <w:szCs w:val="22"/>
          <w:lang w:eastAsia="en-US"/>
        </w:rPr>
        <w:t xml:space="preserve">--- 2006. </w:t>
      </w:r>
      <w:r w:rsidRPr="0004172D">
        <w:rPr>
          <w:rFonts w:eastAsia="Calibri"/>
          <w:i/>
          <w:szCs w:val="22"/>
          <w:lang w:eastAsia="en-US"/>
        </w:rPr>
        <w:t xml:space="preserve">Speaking </w:t>
      </w:r>
      <w:r w:rsidR="00C05566" w:rsidRPr="0004172D">
        <w:rPr>
          <w:rFonts w:eastAsia="Calibri"/>
          <w:i/>
          <w:szCs w:val="22"/>
          <w:lang w:eastAsia="en-US"/>
        </w:rPr>
        <w:t>from</w:t>
      </w:r>
      <w:r w:rsidRPr="0004172D">
        <w:rPr>
          <w:rFonts w:eastAsia="Calibri"/>
          <w:i/>
          <w:szCs w:val="22"/>
          <w:lang w:eastAsia="en-US"/>
        </w:rPr>
        <w:t xml:space="preserve"> Elsewhere: A New Contextualist Perspective on Meaning, Identity, and Discursive Agency</w:t>
      </w:r>
      <w:r w:rsidRPr="0004172D">
        <w:rPr>
          <w:rFonts w:eastAsia="Calibri"/>
          <w:szCs w:val="22"/>
          <w:lang w:eastAsia="en-US"/>
        </w:rPr>
        <w:t>. Albany: SUNY Press.</w:t>
      </w:r>
    </w:p>
    <w:p w14:paraId="11B8631D" w14:textId="77777777" w:rsidR="0004172D" w:rsidRPr="0004172D" w:rsidRDefault="0004172D" w:rsidP="0004172D">
      <w:pPr>
        <w:rPr>
          <w:rFonts w:eastAsia="Calibri"/>
          <w:szCs w:val="22"/>
          <w:lang w:eastAsia="en-US"/>
        </w:rPr>
      </w:pPr>
      <w:r w:rsidRPr="0004172D">
        <w:rPr>
          <w:rFonts w:eastAsia="Calibri"/>
          <w:szCs w:val="22"/>
          <w:lang w:eastAsia="en-US"/>
        </w:rPr>
        <w:t xml:space="preserve">--- 2012. ‘Hermeneutical Injustice and Polyphonic Contextualism: Social Silences and Shared Hermeneutical Responsibilities’. </w:t>
      </w:r>
      <w:r w:rsidRPr="0004172D">
        <w:rPr>
          <w:rFonts w:eastAsia="Calibri"/>
          <w:i/>
          <w:szCs w:val="22"/>
          <w:lang w:eastAsia="en-US"/>
        </w:rPr>
        <w:t>Social Epistemology</w:t>
      </w:r>
      <w:r w:rsidRPr="0004172D">
        <w:rPr>
          <w:rFonts w:eastAsia="Calibri"/>
          <w:szCs w:val="22"/>
          <w:lang w:eastAsia="en-US"/>
        </w:rPr>
        <w:t xml:space="preserve"> 26: 201-220.</w:t>
      </w:r>
    </w:p>
    <w:p w14:paraId="4DCAA45B" w14:textId="3EDD51DE" w:rsidR="0004172D" w:rsidRDefault="0004172D" w:rsidP="00031955">
      <w:pPr>
        <w:rPr>
          <w:rFonts w:eastAsia="Calibri"/>
          <w:szCs w:val="22"/>
          <w:lang w:eastAsia="en-US"/>
        </w:rPr>
      </w:pPr>
      <w:r w:rsidRPr="0004172D">
        <w:rPr>
          <w:rFonts w:eastAsia="Calibri"/>
          <w:szCs w:val="22"/>
          <w:lang w:eastAsia="en-US"/>
        </w:rPr>
        <w:t xml:space="preserve">--- 2013. </w:t>
      </w:r>
      <w:r w:rsidRPr="0004172D">
        <w:rPr>
          <w:rFonts w:eastAsia="Calibri"/>
          <w:i/>
          <w:szCs w:val="22"/>
          <w:lang w:eastAsia="en-US"/>
        </w:rPr>
        <w:t>The Epistemology of Resistance: Gender and Racial Oppression, Epistemic Injustice, and Resistant Imaginations</w:t>
      </w:r>
      <w:r w:rsidRPr="0004172D">
        <w:rPr>
          <w:rFonts w:eastAsia="Calibri"/>
          <w:szCs w:val="22"/>
          <w:lang w:eastAsia="en-US"/>
        </w:rPr>
        <w:t>. Oxford: Oxford University Press.</w:t>
      </w:r>
    </w:p>
    <w:p w14:paraId="4B9A7B27" w14:textId="050DEF6E" w:rsidR="00C05566" w:rsidRDefault="00C05566" w:rsidP="00C05566">
      <w:pPr>
        <w:rPr>
          <w:rFonts w:eastAsia="Calibri"/>
          <w:szCs w:val="22"/>
          <w:lang w:eastAsia="en-US"/>
        </w:rPr>
      </w:pPr>
      <w:r>
        <w:rPr>
          <w:rFonts w:eastAsia="Calibri"/>
          <w:szCs w:val="22"/>
          <w:lang w:eastAsia="en-US"/>
        </w:rPr>
        <w:t xml:space="preserve">--- </w:t>
      </w:r>
      <w:r w:rsidRPr="00C05566">
        <w:rPr>
          <w:rFonts w:eastAsia="Calibri"/>
          <w:szCs w:val="22"/>
          <w:lang w:eastAsia="en-US"/>
        </w:rPr>
        <w:t xml:space="preserve">2018. </w:t>
      </w:r>
      <w:r>
        <w:rPr>
          <w:rFonts w:eastAsia="Calibri"/>
          <w:szCs w:val="22"/>
          <w:lang w:eastAsia="en-US"/>
        </w:rPr>
        <w:t>‘</w:t>
      </w:r>
      <w:r w:rsidRPr="00C05566">
        <w:rPr>
          <w:rFonts w:eastAsia="Calibri"/>
          <w:szCs w:val="22"/>
          <w:lang w:eastAsia="en-US"/>
        </w:rPr>
        <w:t>Misrecognition and Epistemic Injustice</w:t>
      </w:r>
      <w:r>
        <w:rPr>
          <w:rFonts w:eastAsia="Calibri"/>
          <w:szCs w:val="22"/>
          <w:lang w:eastAsia="en-US"/>
        </w:rPr>
        <w:t>’</w:t>
      </w:r>
      <w:r w:rsidRPr="00C05566">
        <w:rPr>
          <w:rFonts w:eastAsia="Calibri"/>
          <w:szCs w:val="22"/>
          <w:lang w:eastAsia="en-US"/>
        </w:rPr>
        <w:t xml:space="preserve">. </w:t>
      </w:r>
      <w:r w:rsidRPr="00C05566">
        <w:rPr>
          <w:rFonts w:eastAsia="Calibri"/>
          <w:i/>
          <w:iCs/>
          <w:szCs w:val="22"/>
          <w:lang w:eastAsia="en-US"/>
        </w:rPr>
        <w:t xml:space="preserve">Feminist Philosophy Quarterly </w:t>
      </w:r>
      <w:r w:rsidRPr="00C05566">
        <w:rPr>
          <w:rFonts w:eastAsia="Calibri"/>
          <w:szCs w:val="22"/>
          <w:lang w:eastAsia="en-US"/>
        </w:rPr>
        <w:t>4</w:t>
      </w:r>
      <w:r>
        <w:rPr>
          <w:rFonts w:eastAsia="Calibri"/>
          <w:szCs w:val="22"/>
          <w:lang w:eastAsia="en-US"/>
        </w:rPr>
        <w:t xml:space="preserve"> </w:t>
      </w:r>
      <w:r w:rsidRPr="00C05566">
        <w:rPr>
          <w:rFonts w:eastAsia="Calibri"/>
          <w:szCs w:val="22"/>
          <w:lang w:eastAsia="en-US"/>
        </w:rPr>
        <w:t>(</w:t>
      </w:r>
      <w:r>
        <w:rPr>
          <w:rFonts w:eastAsia="Calibri"/>
          <w:szCs w:val="22"/>
          <w:lang w:eastAsia="en-US"/>
        </w:rPr>
        <w:t xml:space="preserve">Article </w:t>
      </w:r>
      <w:r w:rsidRPr="00C05566">
        <w:rPr>
          <w:rFonts w:eastAsia="Calibri"/>
          <w:szCs w:val="22"/>
          <w:lang w:eastAsia="en-US"/>
        </w:rPr>
        <w:t>1</w:t>
      </w:r>
      <w:r>
        <w:rPr>
          <w:rFonts w:eastAsia="Calibri"/>
          <w:szCs w:val="22"/>
          <w:lang w:eastAsia="en-US"/>
        </w:rPr>
        <w:t>)</w:t>
      </w:r>
      <w:r w:rsidRPr="0004172D">
        <w:rPr>
          <w:rFonts w:eastAsia="Calibri"/>
          <w:szCs w:val="22"/>
          <w:lang w:eastAsia="en-US"/>
        </w:rPr>
        <w:t>: 1-1</w:t>
      </w:r>
      <w:r>
        <w:rPr>
          <w:rFonts w:eastAsia="Calibri"/>
          <w:szCs w:val="22"/>
          <w:lang w:eastAsia="en-US"/>
        </w:rPr>
        <w:t>6</w:t>
      </w:r>
      <w:r w:rsidRPr="0004172D">
        <w:rPr>
          <w:rFonts w:eastAsia="Calibri"/>
          <w:szCs w:val="22"/>
          <w:lang w:eastAsia="en-US"/>
        </w:rPr>
        <w:t>.</w:t>
      </w:r>
      <w:r>
        <w:rPr>
          <w:rFonts w:eastAsia="Calibri"/>
          <w:szCs w:val="22"/>
          <w:lang w:eastAsia="en-US"/>
        </w:rPr>
        <w:t xml:space="preserve"> </w:t>
      </w:r>
    </w:p>
    <w:p w14:paraId="02BF89A1" w14:textId="4666DE56" w:rsidR="00F349FF" w:rsidRDefault="00F349FF" w:rsidP="00F349FF">
      <w:pPr>
        <w:rPr>
          <w:rFonts w:eastAsia="Calibri"/>
          <w:szCs w:val="22"/>
          <w:lang w:eastAsia="en-US"/>
        </w:rPr>
      </w:pPr>
      <w:r w:rsidRPr="00F349FF">
        <w:rPr>
          <w:rFonts w:eastAsia="Calibri"/>
          <w:szCs w:val="22"/>
          <w:lang w:eastAsia="en-US"/>
        </w:rPr>
        <w:t xml:space="preserve">Mills, C. W. 2007. ‘White Ignorance’, in S. Sullivan and N. </w:t>
      </w:r>
      <w:proofErr w:type="spellStart"/>
      <w:r w:rsidRPr="00F349FF">
        <w:rPr>
          <w:rFonts w:eastAsia="Calibri"/>
          <w:szCs w:val="22"/>
          <w:lang w:eastAsia="en-US"/>
        </w:rPr>
        <w:t>Tuana</w:t>
      </w:r>
      <w:proofErr w:type="spellEnd"/>
      <w:r w:rsidRPr="00F349FF">
        <w:rPr>
          <w:rFonts w:eastAsia="Calibri"/>
          <w:szCs w:val="22"/>
          <w:lang w:eastAsia="en-US"/>
        </w:rPr>
        <w:t xml:space="preserve"> (eds.) </w:t>
      </w:r>
      <w:r w:rsidRPr="00F349FF">
        <w:rPr>
          <w:rFonts w:eastAsia="Calibri"/>
          <w:i/>
          <w:szCs w:val="22"/>
          <w:lang w:eastAsia="en-US"/>
        </w:rPr>
        <w:t>Race and Epistemologies of Ignorance</w:t>
      </w:r>
      <w:r w:rsidRPr="00F349FF">
        <w:rPr>
          <w:rFonts w:eastAsia="Calibri"/>
          <w:szCs w:val="22"/>
          <w:lang w:eastAsia="en-US"/>
        </w:rPr>
        <w:t>. Albany: SUNY Press.</w:t>
      </w:r>
    </w:p>
    <w:p w14:paraId="39688BBC" w14:textId="1ADAAF8F" w:rsidR="00F349FF" w:rsidRDefault="00F349FF" w:rsidP="00F349FF">
      <w:pPr>
        <w:rPr>
          <w:rFonts w:eastAsia="Calibri"/>
          <w:szCs w:val="22"/>
          <w:lang w:eastAsia="en-US"/>
        </w:rPr>
      </w:pPr>
      <w:r w:rsidRPr="00194436">
        <w:rPr>
          <w:rFonts w:eastAsia="Calibri"/>
          <w:szCs w:val="22"/>
          <w:lang w:eastAsia="en-US"/>
        </w:rPr>
        <w:t xml:space="preserve">Neuhouser, F. 2008. ‘Hegel’s Social Philosophy’, in F. C. Beiser (ed.) </w:t>
      </w:r>
      <w:r w:rsidRPr="00F349FF">
        <w:rPr>
          <w:rFonts w:eastAsia="Calibri"/>
          <w:i/>
          <w:szCs w:val="22"/>
          <w:lang w:eastAsia="en-US"/>
        </w:rPr>
        <w:t>The Cambridge Companion to Hegel and Nineteenth</w:t>
      </w:r>
      <w:r w:rsidR="00672D85">
        <w:rPr>
          <w:rFonts w:eastAsia="Calibri"/>
          <w:i/>
          <w:szCs w:val="22"/>
          <w:lang w:eastAsia="en-US"/>
        </w:rPr>
        <w:t>-</w:t>
      </w:r>
      <w:r w:rsidRPr="00F349FF">
        <w:rPr>
          <w:rFonts w:eastAsia="Calibri"/>
          <w:i/>
          <w:szCs w:val="22"/>
          <w:lang w:eastAsia="en-US"/>
        </w:rPr>
        <w:t>Century Philosophy</w:t>
      </w:r>
      <w:r w:rsidRPr="00F349FF">
        <w:rPr>
          <w:rFonts w:eastAsia="Calibri"/>
          <w:szCs w:val="22"/>
          <w:lang w:eastAsia="en-US"/>
        </w:rPr>
        <w:t>. Cambridge: Cambridge University Press.</w:t>
      </w:r>
    </w:p>
    <w:p w14:paraId="528DC73B" w14:textId="47E3C037" w:rsidR="00C05566" w:rsidRDefault="00C05566" w:rsidP="00F349FF">
      <w:pPr>
        <w:rPr>
          <w:rFonts w:eastAsia="Calibri"/>
          <w:szCs w:val="22"/>
          <w:lang w:eastAsia="en-US"/>
        </w:rPr>
      </w:pPr>
      <w:r w:rsidRPr="00C05566">
        <w:rPr>
          <w:rFonts w:eastAsia="Calibri"/>
          <w:szCs w:val="22"/>
          <w:lang w:eastAsia="en-US"/>
        </w:rPr>
        <w:t>Oksala, J. 2005.</w:t>
      </w:r>
      <w:r>
        <w:rPr>
          <w:rFonts w:eastAsia="Calibri"/>
          <w:szCs w:val="22"/>
          <w:lang w:eastAsia="en-US"/>
        </w:rPr>
        <w:t xml:space="preserve"> </w:t>
      </w:r>
      <w:r w:rsidRPr="00C05566">
        <w:rPr>
          <w:rFonts w:eastAsia="Calibri"/>
          <w:i/>
          <w:szCs w:val="22"/>
          <w:lang w:eastAsia="en-US"/>
        </w:rPr>
        <w:t>Foucault on Freedom</w:t>
      </w:r>
      <w:r w:rsidRPr="00C05566">
        <w:rPr>
          <w:rFonts w:eastAsia="Calibri"/>
          <w:szCs w:val="22"/>
          <w:lang w:eastAsia="en-US"/>
        </w:rPr>
        <w:t xml:space="preserve">. Cambridge: Cambridge University Press.  </w:t>
      </w:r>
    </w:p>
    <w:p w14:paraId="056747F2" w14:textId="261A11BB" w:rsidR="006000CD" w:rsidRPr="006000CD" w:rsidRDefault="006000CD" w:rsidP="00F349FF">
      <w:pPr>
        <w:rPr>
          <w:rFonts w:eastAsia="Calibri"/>
          <w:szCs w:val="22"/>
          <w:lang w:eastAsia="en-US"/>
        </w:rPr>
      </w:pPr>
      <w:r>
        <w:rPr>
          <w:rFonts w:eastAsia="Calibri"/>
          <w:szCs w:val="22"/>
          <w:lang w:eastAsia="en-US"/>
        </w:rPr>
        <w:lastRenderedPageBreak/>
        <w:t xml:space="preserve">Rorty, R. 1989. </w:t>
      </w:r>
      <w:r>
        <w:rPr>
          <w:rFonts w:eastAsia="Calibri"/>
          <w:i/>
          <w:szCs w:val="22"/>
          <w:lang w:eastAsia="en-US"/>
        </w:rPr>
        <w:t>Contingency, Irony, and Solidarity</w:t>
      </w:r>
      <w:r w:rsidR="00672D85">
        <w:rPr>
          <w:rFonts w:eastAsia="Calibri"/>
          <w:szCs w:val="22"/>
          <w:lang w:eastAsia="en-US"/>
        </w:rPr>
        <w:t xml:space="preserve">. Cambridge: Cambridge University Press. </w:t>
      </w:r>
    </w:p>
    <w:p w14:paraId="316FA694" w14:textId="21F96D5B" w:rsidR="00E50DEE" w:rsidRDefault="00E50DEE" w:rsidP="00F349FF">
      <w:pPr>
        <w:rPr>
          <w:rFonts w:eastAsia="Calibri"/>
          <w:szCs w:val="22"/>
          <w:lang w:eastAsia="en-US"/>
        </w:rPr>
      </w:pPr>
      <w:r w:rsidRPr="00E50DEE">
        <w:rPr>
          <w:rFonts w:eastAsia="Calibri"/>
          <w:szCs w:val="22"/>
          <w:lang w:eastAsia="en-US"/>
        </w:rPr>
        <w:t xml:space="preserve">Sontag, S. 2004. </w:t>
      </w:r>
      <w:r w:rsidRPr="00E50DEE">
        <w:rPr>
          <w:rFonts w:eastAsia="Calibri"/>
          <w:i/>
          <w:szCs w:val="22"/>
          <w:lang w:eastAsia="en-US"/>
        </w:rPr>
        <w:t>Regarding the Pain of Others</w:t>
      </w:r>
      <w:r w:rsidRPr="00E50DEE">
        <w:rPr>
          <w:rFonts w:eastAsia="Calibri"/>
          <w:szCs w:val="22"/>
          <w:lang w:eastAsia="en-US"/>
        </w:rPr>
        <w:t>. New York: Picador.</w:t>
      </w:r>
    </w:p>
    <w:p w14:paraId="60F5BF26" w14:textId="45842AE5" w:rsidR="0004172D" w:rsidRDefault="0004172D" w:rsidP="00F349FF">
      <w:pPr>
        <w:rPr>
          <w:rFonts w:eastAsia="Calibri"/>
          <w:szCs w:val="22"/>
          <w:lang w:eastAsia="en-US"/>
        </w:rPr>
      </w:pPr>
      <w:r w:rsidRPr="0004172D">
        <w:rPr>
          <w:rFonts w:eastAsia="Calibri"/>
          <w:szCs w:val="22"/>
          <w:lang w:eastAsia="en-US"/>
        </w:rPr>
        <w:t xml:space="preserve">Scarry, E. 1985. </w:t>
      </w:r>
      <w:r w:rsidRPr="0004172D">
        <w:rPr>
          <w:rFonts w:eastAsia="Calibri"/>
          <w:i/>
          <w:szCs w:val="22"/>
          <w:lang w:eastAsia="en-US"/>
        </w:rPr>
        <w:t>The Body in Pain: The Making and Unmaking of the World</w:t>
      </w:r>
      <w:r w:rsidRPr="0004172D">
        <w:rPr>
          <w:rFonts w:eastAsia="Calibri"/>
          <w:szCs w:val="22"/>
          <w:lang w:eastAsia="en-US"/>
        </w:rPr>
        <w:t>. Oxford:  Oxford University Press.</w:t>
      </w:r>
    </w:p>
    <w:p w14:paraId="7A6E5D38" w14:textId="25DCF515" w:rsidR="0004172D" w:rsidRDefault="0004172D" w:rsidP="00F349FF">
      <w:pPr>
        <w:rPr>
          <w:rFonts w:eastAsia="Calibri"/>
          <w:szCs w:val="22"/>
          <w:lang w:eastAsia="en-US"/>
        </w:rPr>
      </w:pPr>
      <w:r w:rsidRPr="0004172D">
        <w:rPr>
          <w:rFonts w:eastAsia="Calibri"/>
          <w:szCs w:val="22"/>
          <w:lang w:eastAsia="en-US"/>
        </w:rPr>
        <w:t xml:space="preserve">Sinnerbrink, R. 2011. </w:t>
      </w:r>
      <w:r>
        <w:rPr>
          <w:rFonts w:eastAsia="Calibri"/>
          <w:szCs w:val="22"/>
          <w:lang w:eastAsia="en-US"/>
        </w:rPr>
        <w:t>‘</w:t>
      </w:r>
      <w:r w:rsidRPr="0004172D">
        <w:rPr>
          <w:rFonts w:eastAsia="Calibri"/>
          <w:szCs w:val="22"/>
          <w:lang w:eastAsia="en-US"/>
        </w:rPr>
        <w:t>Power, Recognition, and Care: Honneth’s Critique of Poststructuralist Social Philosophy</w:t>
      </w:r>
      <w:r>
        <w:rPr>
          <w:rFonts w:eastAsia="Calibri"/>
          <w:szCs w:val="22"/>
          <w:lang w:eastAsia="en-US"/>
        </w:rPr>
        <w:t>’, in</w:t>
      </w:r>
      <w:r w:rsidRPr="0004172D">
        <w:rPr>
          <w:rFonts w:eastAsia="Calibri"/>
          <w:szCs w:val="22"/>
          <w:lang w:eastAsia="en-US"/>
        </w:rPr>
        <w:t xml:space="preserve"> </w:t>
      </w:r>
      <w:r>
        <w:rPr>
          <w:rFonts w:eastAsia="Calibri"/>
          <w:szCs w:val="22"/>
          <w:lang w:eastAsia="en-US"/>
        </w:rPr>
        <w:t xml:space="preserve">D. Petherbridge (ed.) </w:t>
      </w:r>
      <w:r w:rsidRPr="0004172D">
        <w:rPr>
          <w:rFonts w:eastAsia="Calibri"/>
          <w:i/>
          <w:szCs w:val="22"/>
          <w:lang w:eastAsia="en-US"/>
        </w:rPr>
        <w:t>Axel Honneth: Critical Essays</w:t>
      </w:r>
      <w:r w:rsidRPr="0004172D">
        <w:rPr>
          <w:rFonts w:eastAsia="Calibri"/>
          <w:szCs w:val="22"/>
          <w:lang w:eastAsia="en-US"/>
        </w:rPr>
        <w:t>.</w:t>
      </w:r>
      <w:r>
        <w:rPr>
          <w:rFonts w:eastAsia="Calibri"/>
          <w:szCs w:val="22"/>
          <w:lang w:eastAsia="en-US"/>
        </w:rPr>
        <w:t xml:space="preserve"> Leiden/Boston:</w:t>
      </w:r>
      <w:r w:rsidRPr="0004172D">
        <w:rPr>
          <w:rFonts w:eastAsia="Calibri"/>
          <w:szCs w:val="22"/>
          <w:lang w:eastAsia="en-US"/>
        </w:rPr>
        <w:t xml:space="preserve"> Brill.</w:t>
      </w:r>
    </w:p>
    <w:p w14:paraId="5013D642" w14:textId="69C1A92E" w:rsidR="0004172D" w:rsidRDefault="0004172D" w:rsidP="00F349FF">
      <w:pPr>
        <w:rPr>
          <w:rFonts w:eastAsia="Calibri"/>
          <w:szCs w:val="22"/>
          <w:lang w:eastAsia="en-US"/>
        </w:rPr>
      </w:pPr>
      <w:r w:rsidRPr="0004172D">
        <w:rPr>
          <w:rFonts w:eastAsia="Calibri"/>
          <w:szCs w:val="22"/>
          <w:lang w:eastAsia="en-US"/>
        </w:rPr>
        <w:t xml:space="preserve">Williams, P. J. 1991. </w:t>
      </w:r>
      <w:r w:rsidRPr="0004172D">
        <w:rPr>
          <w:rFonts w:eastAsia="Calibri"/>
          <w:i/>
          <w:szCs w:val="22"/>
          <w:lang w:eastAsia="en-US"/>
        </w:rPr>
        <w:t>The Alchemy of Race and Rights: Diary of a Law Professor</w:t>
      </w:r>
      <w:r w:rsidRPr="0004172D">
        <w:rPr>
          <w:rFonts w:eastAsia="Calibri"/>
          <w:szCs w:val="22"/>
          <w:lang w:eastAsia="en-US"/>
        </w:rPr>
        <w:t>. Cambridge, MA: Harvard University Press.</w:t>
      </w:r>
    </w:p>
    <w:p w14:paraId="59CA016C" w14:textId="1E589D62" w:rsidR="00F349FF" w:rsidRPr="00F349FF" w:rsidRDefault="00F349FF" w:rsidP="00F349FF">
      <w:pPr>
        <w:rPr>
          <w:rFonts w:eastAsia="Calibri"/>
          <w:szCs w:val="22"/>
          <w:lang w:eastAsia="en-US"/>
        </w:rPr>
      </w:pPr>
      <w:r w:rsidRPr="00F349FF">
        <w:rPr>
          <w:rFonts w:eastAsia="Calibri"/>
          <w:szCs w:val="22"/>
          <w:lang w:eastAsia="en-US"/>
        </w:rPr>
        <w:t xml:space="preserve">Young, I. M. 1990. </w:t>
      </w:r>
      <w:r w:rsidRPr="00F349FF">
        <w:rPr>
          <w:rFonts w:eastAsia="Calibri"/>
          <w:i/>
          <w:szCs w:val="22"/>
          <w:lang w:eastAsia="en-US"/>
        </w:rPr>
        <w:t>Justice and the Politics of Difference</w:t>
      </w:r>
      <w:r w:rsidRPr="00F349FF">
        <w:rPr>
          <w:rFonts w:eastAsia="Calibri"/>
          <w:szCs w:val="22"/>
          <w:lang w:eastAsia="en-US"/>
        </w:rPr>
        <w:t>. Princeton</w:t>
      </w:r>
      <w:r>
        <w:rPr>
          <w:rFonts w:eastAsia="Calibri"/>
          <w:szCs w:val="22"/>
          <w:lang w:eastAsia="en-US"/>
        </w:rPr>
        <w:t>, NJ</w:t>
      </w:r>
      <w:r w:rsidRPr="00F349FF">
        <w:rPr>
          <w:rFonts w:eastAsia="Calibri"/>
          <w:szCs w:val="22"/>
          <w:lang w:eastAsia="en-US"/>
        </w:rPr>
        <w:t xml:space="preserve">: Princeton University Press. </w:t>
      </w:r>
    </w:p>
    <w:p w14:paraId="5EEFE660" w14:textId="489A74C5" w:rsidR="00F349FF" w:rsidRPr="00C554E0" w:rsidRDefault="00F349FF" w:rsidP="00031955">
      <w:pPr>
        <w:rPr>
          <w:rFonts w:eastAsia="Calibri"/>
          <w:szCs w:val="22"/>
          <w:lang w:eastAsia="en-US"/>
        </w:rPr>
      </w:pPr>
      <w:r w:rsidRPr="00F349FF">
        <w:rPr>
          <w:rFonts w:eastAsia="Calibri"/>
          <w:szCs w:val="22"/>
          <w:lang w:eastAsia="en-US"/>
        </w:rPr>
        <w:t>Zurn, C. F.</w:t>
      </w:r>
      <w:r w:rsidRPr="00F349FF">
        <w:rPr>
          <w:rFonts w:eastAsia="Calibri"/>
          <w:i/>
          <w:szCs w:val="22"/>
          <w:lang w:eastAsia="en-US"/>
        </w:rPr>
        <w:t xml:space="preserve"> </w:t>
      </w:r>
      <w:r w:rsidRPr="00F349FF">
        <w:rPr>
          <w:rFonts w:eastAsia="Calibri"/>
          <w:szCs w:val="22"/>
          <w:lang w:eastAsia="en-US"/>
        </w:rPr>
        <w:t>2015. </w:t>
      </w:r>
      <w:r w:rsidRPr="00F349FF">
        <w:rPr>
          <w:rFonts w:eastAsia="Calibri"/>
          <w:i/>
          <w:szCs w:val="22"/>
          <w:lang w:eastAsia="en-US"/>
        </w:rPr>
        <w:t>Axel Honneth</w:t>
      </w:r>
      <w:r w:rsidRPr="00F349FF">
        <w:rPr>
          <w:rFonts w:eastAsia="Calibri"/>
          <w:szCs w:val="22"/>
          <w:lang w:eastAsia="en-US"/>
        </w:rPr>
        <w:t>. Cambridge: Polity Press.</w:t>
      </w:r>
    </w:p>
    <w:sectPr w:rsidR="00F349FF" w:rsidRPr="00C554E0" w:rsidSect="00D70516">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9BDCF" w14:textId="77777777" w:rsidR="006F50E4" w:rsidRDefault="006F50E4" w:rsidP="00910F74">
      <w:pPr>
        <w:spacing w:line="240" w:lineRule="auto"/>
      </w:pPr>
      <w:r>
        <w:separator/>
      </w:r>
    </w:p>
  </w:endnote>
  <w:endnote w:type="continuationSeparator" w:id="0">
    <w:p w14:paraId="30980915" w14:textId="77777777" w:rsidR="006F50E4" w:rsidRDefault="006F50E4" w:rsidP="00910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67D30" w14:textId="77777777" w:rsidR="006F50E4" w:rsidRDefault="006F50E4" w:rsidP="00910F74">
      <w:pPr>
        <w:spacing w:line="240" w:lineRule="auto"/>
      </w:pPr>
      <w:r>
        <w:separator/>
      </w:r>
    </w:p>
  </w:footnote>
  <w:footnote w:type="continuationSeparator" w:id="0">
    <w:p w14:paraId="5D0BB134" w14:textId="77777777" w:rsidR="006F50E4" w:rsidRDefault="006F50E4" w:rsidP="00910F74">
      <w:pPr>
        <w:spacing w:line="240" w:lineRule="auto"/>
      </w:pPr>
      <w:r>
        <w:continuationSeparator/>
      </w:r>
    </w:p>
  </w:footnote>
  <w:footnote w:id="1">
    <w:p w14:paraId="27D7913B" w14:textId="19093980" w:rsidR="00FE7CA1" w:rsidRPr="00F8246C" w:rsidRDefault="00FE7CA1">
      <w:pPr>
        <w:pStyle w:val="FootnoteText"/>
      </w:pPr>
      <w:r w:rsidRPr="00F8246C">
        <w:rPr>
          <w:rStyle w:val="FootnoteReference"/>
        </w:rPr>
        <w:footnoteRef/>
      </w:r>
      <w:r w:rsidRPr="00F8246C">
        <w:t xml:space="preserve"> ND: 17-18.</w:t>
      </w:r>
    </w:p>
  </w:footnote>
  <w:footnote w:id="2">
    <w:p w14:paraId="336579D2" w14:textId="01D8BFBB" w:rsidR="00FE7CA1" w:rsidRPr="00F8246C" w:rsidRDefault="00FE7CA1" w:rsidP="00196FD0">
      <w:pPr>
        <w:pStyle w:val="FootnoteText"/>
      </w:pPr>
      <w:r w:rsidRPr="00F8246C">
        <w:rPr>
          <w:rStyle w:val="FootnoteReference"/>
        </w:rPr>
        <w:footnoteRef/>
      </w:r>
      <w:r w:rsidRPr="00F8246C">
        <w:t xml:space="preserve"> Scarry 1985: 4.</w:t>
      </w:r>
    </w:p>
  </w:footnote>
  <w:footnote w:id="3">
    <w:p w14:paraId="40243200" w14:textId="52F9EFFA" w:rsidR="00FE7CA1" w:rsidRPr="00F8246C" w:rsidRDefault="00FE7CA1" w:rsidP="00196FD0">
      <w:pPr>
        <w:pStyle w:val="FootnoteText"/>
      </w:pPr>
      <w:r w:rsidRPr="00F8246C">
        <w:rPr>
          <w:rStyle w:val="FootnoteReference"/>
        </w:rPr>
        <w:footnoteRef/>
      </w:r>
      <w:r w:rsidRPr="00F8246C">
        <w:t xml:space="preserve"> </w:t>
      </w:r>
      <w:r w:rsidR="002A5E63">
        <w:t>See</w:t>
      </w:r>
      <w:r w:rsidRPr="00F8246C">
        <w:t xml:space="preserve"> Maitra (2004, 2009)</w:t>
      </w:r>
      <w:r>
        <w:t>,</w:t>
      </w:r>
      <w:r w:rsidR="002A5E63">
        <w:t xml:space="preserve"> </w:t>
      </w:r>
      <w:r w:rsidRPr="00F8246C">
        <w:t>Dotson (2011, 2012, 2014a, 2014b)</w:t>
      </w:r>
      <w:r>
        <w:t xml:space="preserve">, </w:t>
      </w:r>
      <w:r w:rsidRPr="00F8246C">
        <w:t>Medina (2004, 2006, 2012, 2013); Mills (2007)</w:t>
      </w:r>
      <w:r w:rsidR="002A5E63">
        <w:t xml:space="preserve">; </w:t>
      </w:r>
      <w:r w:rsidRPr="00F8246C">
        <w:t>Alcoff (2007).</w:t>
      </w:r>
      <w:r>
        <w:t xml:space="preserve"> </w:t>
      </w:r>
    </w:p>
  </w:footnote>
  <w:footnote w:id="4">
    <w:p w14:paraId="57117000" w14:textId="336A758D" w:rsidR="00FE7CA1" w:rsidRPr="00F8246C" w:rsidRDefault="00FE7CA1" w:rsidP="00196FD0">
      <w:pPr>
        <w:pStyle w:val="FootnoteText"/>
      </w:pPr>
      <w:r w:rsidRPr="00F8246C">
        <w:rPr>
          <w:rStyle w:val="FootnoteReference"/>
        </w:rPr>
        <w:footnoteRef/>
      </w:r>
      <w:r w:rsidRPr="00F8246C">
        <w:t xml:space="preserve"> Congdon 2015: 78.</w:t>
      </w:r>
    </w:p>
  </w:footnote>
  <w:footnote w:id="5">
    <w:p w14:paraId="2E64D372" w14:textId="7FB87F72" w:rsidR="00FE7CA1" w:rsidRPr="00F8246C" w:rsidRDefault="00FE7CA1" w:rsidP="005F310A">
      <w:pPr>
        <w:pStyle w:val="FootnoteText"/>
      </w:pPr>
      <w:r w:rsidRPr="00F8246C">
        <w:rPr>
          <w:rStyle w:val="FootnoteReference"/>
        </w:rPr>
        <w:footnoteRef/>
      </w:r>
      <w:r w:rsidRPr="00F8246C">
        <w:t xml:space="preserve"> Dotson 2014b: 115.</w:t>
      </w:r>
    </w:p>
  </w:footnote>
  <w:footnote w:id="6">
    <w:p w14:paraId="7F25F9A5" w14:textId="39E90E29" w:rsidR="00FE7CA1" w:rsidRPr="00F8246C" w:rsidRDefault="00FE7CA1" w:rsidP="00196FD0">
      <w:pPr>
        <w:pStyle w:val="FootnoteText"/>
      </w:pPr>
      <w:r w:rsidRPr="00F8246C">
        <w:rPr>
          <w:rStyle w:val="FootnoteReference"/>
        </w:rPr>
        <w:footnoteRef/>
      </w:r>
      <w:r w:rsidRPr="00F8246C">
        <w:t xml:space="preserve"> Fricker 2007: 20.</w:t>
      </w:r>
    </w:p>
  </w:footnote>
  <w:footnote w:id="7">
    <w:p w14:paraId="343607BD" w14:textId="013B6D3F" w:rsidR="00FE7CA1" w:rsidRDefault="00FE7CA1">
      <w:pPr>
        <w:pStyle w:val="FootnoteText"/>
      </w:pPr>
      <w:r>
        <w:rPr>
          <w:rStyle w:val="FootnoteReference"/>
        </w:rPr>
        <w:footnoteRef/>
      </w:r>
      <w:r>
        <w:t xml:space="preserve"> See Davis (2016) and Giladi (forthcoming</w:t>
      </w:r>
      <w:r w:rsidR="009F7B1F">
        <w:t xml:space="preserve"> 2021</w:t>
      </w:r>
      <w:r>
        <w:t>) for how credibility excess is an act of epistemic injustice.</w:t>
      </w:r>
    </w:p>
  </w:footnote>
  <w:footnote w:id="8">
    <w:p w14:paraId="3704AED0" w14:textId="77777777" w:rsidR="00FE7CA1" w:rsidRPr="00F8246C" w:rsidRDefault="00FE7CA1" w:rsidP="004E78D4">
      <w:pPr>
        <w:pStyle w:val="FootnoteText"/>
      </w:pPr>
      <w:r w:rsidRPr="00F8246C">
        <w:rPr>
          <w:rStyle w:val="FootnoteReference"/>
        </w:rPr>
        <w:footnoteRef/>
      </w:r>
      <w:r w:rsidRPr="00F8246C">
        <w:t xml:space="preserve"> Williams 1991: 44-45.  </w:t>
      </w:r>
    </w:p>
  </w:footnote>
  <w:footnote w:id="9">
    <w:p w14:paraId="5C93E258" w14:textId="3A45CD42" w:rsidR="00FE7CA1" w:rsidRPr="00F8246C" w:rsidRDefault="00FE7CA1">
      <w:pPr>
        <w:pStyle w:val="FootnoteText"/>
      </w:pPr>
      <w:r w:rsidRPr="00F8246C">
        <w:rPr>
          <w:rStyle w:val="FootnoteReference"/>
        </w:rPr>
        <w:footnoteRef/>
      </w:r>
      <w:r w:rsidRPr="00F8246C">
        <w:t xml:space="preserve"> Ibid., p. 242.   </w:t>
      </w:r>
    </w:p>
  </w:footnote>
  <w:footnote w:id="10">
    <w:p w14:paraId="41511B8D" w14:textId="0C917AF0" w:rsidR="00FE7CA1" w:rsidRPr="00F8246C" w:rsidRDefault="00FE7CA1" w:rsidP="00196FD0">
      <w:pPr>
        <w:pStyle w:val="FootnoteText"/>
      </w:pPr>
      <w:r w:rsidRPr="00F8246C">
        <w:rPr>
          <w:rStyle w:val="FootnoteReference"/>
        </w:rPr>
        <w:footnoteRef/>
      </w:r>
      <w:r w:rsidRPr="00F8246C">
        <w:t xml:space="preserve"> Cf. McConkey 2004: 202-</w:t>
      </w:r>
      <w:r>
        <w:t>20</w:t>
      </w:r>
      <w:r w:rsidRPr="00F8246C">
        <w:t>3.</w:t>
      </w:r>
    </w:p>
  </w:footnote>
  <w:footnote w:id="11">
    <w:p w14:paraId="4D82CEBF" w14:textId="245D515C" w:rsidR="00FE7CA1" w:rsidRPr="00F8246C" w:rsidRDefault="00FE7CA1" w:rsidP="00196FD0">
      <w:pPr>
        <w:pStyle w:val="FootnoteText"/>
      </w:pPr>
      <w:r w:rsidRPr="00F8246C">
        <w:rPr>
          <w:rStyle w:val="FootnoteReference"/>
        </w:rPr>
        <w:footnoteRef/>
      </w:r>
      <w:r w:rsidRPr="00F8246C">
        <w:t xml:space="preserve"> See Burge 1993: 467.</w:t>
      </w:r>
    </w:p>
  </w:footnote>
  <w:footnote w:id="12">
    <w:p w14:paraId="4125DD8E" w14:textId="7B4E5020" w:rsidR="00FE7CA1" w:rsidRPr="00F8246C" w:rsidRDefault="00FE7CA1" w:rsidP="00196FD0">
      <w:pPr>
        <w:pStyle w:val="FootnoteText"/>
      </w:pPr>
      <w:r w:rsidRPr="00F8246C">
        <w:rPr>
          <w:rStyle w:val="FootnoteReference"/>
        </w:rPr>
        <w:footnoteRef/>
      </w:r>
      <w:r w:rsidRPr="00F8246C">
        <w:t xml:space="preserve"> </w:t>
      </w:r>
      <w:r w:rsidR="00C05566" w:rsidRPr="00F8246C">
        <w:t xml:space="preserve">See </w:t>
      </w:r>
      <w:r w:rsidRPr="00F8246C">
        <w:t>Grice 1975: 26-30.</w:t>
      </w:r>
    </w:p>
  </w:footnote>
  <w:footnote w:id="13">
    <w:p w14:paraId="6EB61E75" w14:textId="2D5CA074" w:rsidR="00FE7CA1" w:rsidRPr="00F8246C" w:rsidRDefault="00FE7CA1" w:rsidP="00196FD0">
      <w:pPr>
        <w:pStyle w:val="FootnoteText"/>
      </w:pPr>
      <w:r w:rsidRPr="00F8246C">
        <w:rPr>
          <w:rStyle w:val="FootnoteReference"/>
        </w:rPr>
        <w:footnoteRef/>
      </w:r>
      <w:r w:rsidRPr="00F8246C">
        <w:t xml:space="preserve"> Brownmiller 1990: 280-</w:t>
      </w:r>
      <w:r>
        <w:t>2</w:t>
      </w:r>
      <w:r w:rsidRPr="00F8246C">
        <w:t xml:space="preserve">81.   </w:t>
      </w:r>
    </w:p>
  </w:footnote>
  <w:footnote w:id="14">
    <w:p w14:paraId="1E02D042" w14:textId="11CA5941" w:rsidR="00FE7CA1" w:rsidRPr="00F8246C" w:rsidRDefault="00FE7CA1" w:rsidP="00196FD0">
      <w:pPr>
        <w:pStyle w:val="FootnoteText"/>
      </w:pPr>
      <w:r w:rsidRPr="00F8246C">
        <w:rPr>
          <w:rStyle w:val="FootnoteReference"/>
        </w:rPr>
        <w:footnoteRef/>
      </w:r>
      <w:r w:rsidRPr="00F8246C">
        <w:t xml:space="preserve"> Fricker, 2007: 153.</w:t>
      </w:r>
    </w:p>
  </w:footnote>
  <w:footnote w:id="15">
    <w:p w14:paraId="15C62195" w14:textId="58F20B94" w:rsidR="00FE7CA1" w:rsidRPr="00F8246C" w:rsidRDefault="00FE7CA1" w:rsidP="00196FD0">
      <w:pPr>
        <w:pStyle w:val="FootnoteText"/>
      </w:pPr>
      <w:r w:rsidRPr="00F8246C">
        <w:rPr>
          <w:rStyle w:val="FootnoteReference"/>
        </w:rPr>
        <w:footnoteRef/>
      </w:r>
      <w:r w:rsidRPr="00F8246C">
        <w:t xml:space="preserve"> Ibid., p. 151.</w:t>
      </w:r>
    </w:p>
  </w:footnote>
  <w:footnote w:id="16">
    <w:p w14:paraId="252CEDA6" w14:textId="4D336F92" w:rsidR="00FE7CA1" w:rsidRPr="00F8246C" w:rsidRDefault="00FE7CA1" w:rsidP="00196FD0">
      <w:pPr>
        <w:pStyle w:val="FootnoteText"/>
      </w:pPr>
      <w:r w:rsidRPr="00F8246C">
        <w:rPr>
          <w:rStyle w:val="FootnoteReference"/>
        </w:rPr>
        <w:footnoteRef/>
      </w:r>
      <w:r w:rsidRPr="00F8246C">
        <w:t xml:space="preserve"> Ibid.</w:t>
      </w:r>
    </w:p>
  </w:footnote>
  <w:footnote w:id="17">
    <w:p w14:paraId="137FCED4" w14:textId="4A3E9422" w:rsidR="00FE7CA1" w:rsidRPr="00F8246C" w:rsidRDefault="00FE7CA1" w:rsidP="00196FD0">
      <w:pPr>
        <w:pStyle w:val="FootnoteText"/>
      </w:pPr>
      <w:r w:rsidRPr="00F8246C">
        <w:rPr>
          <w:rStyle w:val="FootnoteReference"/>
        </w:rPr>
        <w:footnoteRef/>
      </w:r>
      <w:r w:rsidRPr="00F8246C">
        <w:t xml:space="preserve"> Berenstain 2016: 585</w:t>
      </w:r>
      <w:r>
        <w:t>.</w:t>
      </w:r>
    </w:p>
  </w:footnote>
  <w:footnote w:id="18">
    <w:p w14:paraId="5B9DC625" w14:textId="074CAC0F" w:rsidR="00FE7CA1" w:rsidRPr="00194436" w:rsidRDefault="00FE7CA1" w:rsidP="00196FD0">
      <w:pPr>
        <w:pStyle w:val="FootnoteText"/>
        <w:rPr>
          <w:lang w:val="de-DE"/>
        </w:rPr>
      </w:pPr>
      <w:r w:rsidRPr="00F8246C">
        <w:rPr>
          <w:rStyle w:val="FootnoteReference"/>
        </w:rPr>
        <w:footnoteRef/>
      </w:r>
      <w:r w:rsidRPr="00194436">
        <w:rPr>
          <w:lang w:val="de-DE"/>
        </w:rPr>
        <w:t xml:space="preserve"> Viz. BSWM: 196-197.</w:t>
      </w:r>
    </w:p>
  </w:footnote>
  <w:footnote w:id="19">
    <w:p w14:paraId="098A0B3B" w14:textId="1A2F0489" w:rsidR="00FE7CA1" w:rsidRPr="005201FA" w:rsidRDefault="00FE7CA1" w:rsidP="00196FD0">
      <w:pPr>
        <w:pStyle w:val="FootnoteText"/>
        <w:rPr>
          <w:lang w:val="de-DE"/>
        </w:rPr>
      </w:pPr>
      <w:r w:rsidRPr="00F8246C">
        <w:rPr>
          <w:rStyle w:val="FootnoteReference"/>
        </w:rPr>
        <w:footnoteRef/>
      </w:r>
      <w:r w:rsidRPr="005201FA">
        <w:rPr>
          <w:lang w:val="de-DE"/>
        </w:rPr>
        <w:t xml:space="preserve"> Viz. Apfelbaum, Norton, &amp; Sommers 2012: 205. </w:t>
      </w:r>
    </w:p>
  </w:footnote>
  <w:footnote w:id="20">
    <w:p w14:paraId="4D3D2EDA" w14:textId="12AE7C50" w:rsidR="00FE7CA1" w:rsidRPr="00194436" w:rsidRDefault="00FE7CA1" w:rsidP="00196FD0">
      <w:pPr>
        <w:pStyle w:val="FootnoteText"/>
      </w:pPr>
      <w:r w:rsidRPr="00F8246C">
        <w:rPr>
          <w:rStyle w:val="FootnoteReference"/>
        </w:rPr>
        <w:footnoteRef/>
      </w:r>
      <w:r w:rsidRPr="00194436">
        <w:t xml:space="preserve"> Viz. Apfelbaum, Norton, &amp; Sommers 2012: 206.</w:t>
      </w:r>
    </w:p>
  </w:footnote>
  <w:footnote w:id="21">
    <w:p w14:paraId="7BD18458" w14:textId="77777777" w:rsidR="00FE7CA1" w:rsidRPr="00F8246C" w:rsidRDefault="00FE7CA1" w:rsidP="00196FD0">
      <w:pPr>
        <w:pStyle w:val="FootnoteText"/>
      </w:pPr>
      <w:r w:rsidRPr="00F8246C">
        <w:rPr>
          <w:rStyle w:val="FootnoteReference"/>
        </w:rPr>
        <w:footnoteRef/>
      </w:r>
      <w:r w:rsidRPr="00F8246C">
        <w:t xml:space="preserve"> For further on this, see Bonilla-Silva (2003) and Eddo-Lodge (2017).  </w:t>
      </w:r>
    </w:p>
  </w:footnote>
  <w:footnote w:id="22">
    <w:p w14:paraId="2FCF1304" w14:textId="4AE3D15E" w:rsidR="00FE7CA1" w:rsidRPr="00F8246C" w:rsidRDefault="00FE7CA1" w:rsidP="00196FD0">
      <w:pPr>
        <w:pStyle w:val="FootnoteText"/>
      </w:pPr>
      <w:r w:rsidRPr="00F8246C">
        <w:rPr>
          <w:rStyle w:val="FootnoteReference"/>
        </w:rPr>
        <w:footnoteRef/>
      </w:r>
      <w:r w:rsidRPr="00F8246C">
        <w:t xml:space="preserve"> For further on ignorance, see Mills (2007) and Eddo-Lodge (2017).  </w:t>
      </w:r>
    </w:p>
  </w:footnote>
  <w:footnote w:id="23">
    <w:p w14:paraId="36193B6C" w14:textId="57717D65" w:rsidR="00FE7CA1" w:rsidRPr="00296C9B" w:rsidRDefault="00FE7CA1" w:rsidP="00196FD0">
      <w:pPr>
        <w:pStyle w:val="FootnoteText"/>
        <w:rPr>
          <w:lang w:val="de-DE"/>
        </w:rPr>
      </w:pPr>
      <w:r w:rsidRPr="00F8246C">
        <w:rPr>
          <w:rStyle w:val="FootnoteReference"/>
        </w:rPr>
        <w:footnoteRef/>
      </w:r>
      <w:r w:rsidRPr="00296C9B">
        <w:rPr>
          <w:lang w:val="de-DE"/>
        </w:rPr>
        <w:t xml:space="preserve"> Cf. Apfelbaum, Norton, &amp; Sommers 2012: 206.</w:t>
      </w:r>
    </w:p>
  </w:footnote>
  <w:footnote w:id="24">
    <w:p w14:paraId="165D9BD6" w14:textId="0A99878C" w:rsidR="00FE7CA1" w:rsidRPr="00296C9B" w:rsidRDefault="00FE7CA1" w:rsidP="00196FD0">
      <w:pPr>
        <w:pStyle w:val="FootnoteText"/>
        <w:rPr>
          <w:lang w:val="de-DE"/>
        </w:rPr>
      </w:pPr>
      <w:r w:rsidRPr="00F8246C">
        <w:rPr>
          <w:rStyle w:val="FootnoteReference"/>
        </w:rPr>
        <w:footnoteRef/>
      </w:r>
      <w:r w:rsidRPr="00296C9B">
        <w:rPr>
          <w:lang w:val="de-DE"/>
        </w:rPr>
        <w:t xml:space="preserve"> Cf. Korsgaard 2009: 20; 21; 22.</w:t>
      </w:r>
    </w:p>
  </w:footnote>
  <w:footnote w:id="25">
    <w:p w14:paraId="5DD0A6E7" w14:textId="3C9AD194" w:rsidR="00FE7CA1" w:rsidRPr="00F8246C" w:rsidRDefault="00FE7CA1" w:rsidP="00196FD0">
      <w:pPr>
        <w:pStyle w:val="FootnoteText"/>
      </w:pPr>
      <w:r w:rsidRPr="00F8246C">
        <w:rPr>
          <w:rStyle w:val="FootnoteReference"/>
        </w:rPr>
        <w:footnoteRef/>
      </w:r>
      <w:r w:rsidRPr="00F8246C">
        <w:t xml:space="preserve"> Collins 1999: 8-9. </w:t>
      </w:r>
    </w:p>
  </w:footnote>
  <w:footnote w:id="26">
    <w:p w14:paraId="72FC3751" w14:textId="5E0EFEDE" w:rsidR="00FE7CA1" w:rsidRPr="00F8246C" w:rsidRDefault="00FE7CA1" w:rsidP="00196FD0">
      <w:pPr>
        <w:pStyle w:val="FootnoteText"/>
      </w:pPr>
      <w:r w:rsidRPr="00F8246C">
        <w:rPr>
          <w:rStyle w:val="FootnoteReference"/>
        </w:rPr>
        <w:footnoteRef/>
      </w:r>
      <w:r w:rsidRPr="00F8246C">
        <w:t xml:space="preserve"> Honneth 2007: 4.</w:t>
      </w:r>
    </w:p>
  </w:footnote>
  <w:footnote w:id="27">
    <w:p w14:paraId="7C0164A9" w14:textId="35094D8D" w:rsidR="00FE7CA1" w:rsidRPr="00F8246C" w:rsidRDefault="00FE7CA1" w:rsidP="00196FD0">
      <w:pPr>
        <w:pStyle w:val="FootnoteText"/>
      </w:pPr>
      <w:r w:rsidRPr="00F8246C">
        <w:rPr>
          <w:rStyle w:val="FootnoteReference"/>
        </w:rPr>
        <w:footnoteRef/>
      </w:r>
      <w:r w:rsidRPr="00F8246C">
        <w:t xml:space="preserve"> TSR: 95.</w:t>
      </w:r>
    </w:p>
  </w:footnote>
  <w:footnote w:id="28">
    <w:p w14:paraId="5C7FADBD" w14:textId="77777777" w:rsidR="00FE7CA1" w:rsidRPr="00F8246C" w:rsidRDefault="00FE7CA1" w:rsidP="00196FD0">
      <w:pPr>
        <w:pStyle w:val="FootnoteText"/>
      </w:pPr>
      <w:r w:rsidRPr="00F8246C">
        <w:rPr>
          <w:rStyle w:val="FootnoteReference"/>
        </w:rPr>
        <w:footnoteRef/>
      </w:r>
      <w:r w:rsidRPr="00F8246C">
        <w:t xml:space="preserve"> Ibid., p. 92.</w:t>
      </w:r>
    </w:p>
  </w:footnote>
  <w:footnote w:id="29">
    <w:p w14:paraId="3167BB44" w14:textId="77777777" w:rsidR="00FE7CA1" w:rsidRPr="00C74A88" w:rsidRDefault="00FE7CA1" w:rsidP="00296C9B">
      <w:pPr>
        <w:pStyle w:val="FootnoteText"/>
      </w:pPr>
      <w:r w:rsidRPr="00C74A88">
        <w:rPr>
          <w:rStyle w:val="FootnoteReference"/>
        </w:rPr>
        <w:footnoteRef/>
      </w:r>
      <w:r w:rsidRPr="00C74A88">
        <w:t xml:space="preserve"> Kukla and Lance 2009: 192.</w:t>
      </w:r>
    </w:p>
  </w:footnote>
  <w:footnote w:id="30">
    <w:p w14:paraId="34FD9BA0" w14:textId="77777777" w:rsidR="00FE7CA1" w:rsidRDefault="00FE7CA1" w:rsidP="00296C9B">
      <w:pPr>
        <w:pStyle w:val="FootnoteText"/>
      </w:pPr>
      <w:r>
        <w:rPr>
          <w:rStyle w:val="FootnoteReference"/>
        </w:rPr>
        <w:footnoteRef/>
      </w:r>
      <w:r>
        <w:t xml:space="preserve"> Viz. Hacking (1999).</w:t>
      </w:r>
    </w:p>
  </w:footnote>
  <w:footnote w:id="31">
    <w:p w14:paraId="7DB1CB9D" w14:textId="10301E21" w:rsidR="00FE7CA1" w:rsidRPr="00F8246C" w:rsidRDefault="00FE7CA1" w:rsidP="00196FD0">
      <w:pPr>
        <w:pStyle w:val="FootnoteText"/>
      </w:pPr>
      <w:r w:rsidRPr="00F8246C">
        <w:rPr>
          <w:rStyle w:val="FootnoteReference"/>
        </w:rPr>
        <w:footnoteRef/>
      </w:r>
      <w:r w:rsidRPr="00F8246C">
        <w:t xml:space="preserve"> Zurn 2015: 25.  </w:t>
      </w:r>
    </w:p>
  </w:footnote>
  <w:footnote w:id="32">
    <w:p w14:paraId="20AE9C19" w14:textId="614B8202" w:rsidR="00FE7CA1" w:rsidRPr="00F8246C" w:rsidRDefault="00FE7CA1" w:rsidP="00196FD0">
      <w:pPr>
        <w:pStyle w:val="FootnoteText"/>
      </w:pPr>
      <w:r w:rsidRPr="00F8246C">
        <w:rPr>
          <w:rStyle w:val="FootnoteReference"/>
        </w:rPr>
        <w:footnoteRef/>
      </w:r>
      <w:r w:rsidRPr="00F8246C">
        <w:t xml:space="preserve"> Neuhouser 2008: 223.</w:t>
      </w:r>
    </w:p>
  </w:footnote>
  <w:footnote w:id="33">
    <w:p w14:paraId="64D64E12" w14:textId="31086088" w:rsidR="00FE7CA1" w:rsidRPr="00F8246C" w:rsidRDefault="00FE7CA1" w:rsidP="00196FD0">
      <w:pPr>
        <w:pStyle w:val="FootnoteText"/>
      </w:pPr>
      <w:r w:rsidRPr="00F8246C">
        <w:rPr>
          <w:rStyle w:val="FootnoteReference"/>
        </w:rPr>
        <w:footnoteRef/>
      </w:r>
      <w:r w:rsidRPr="00F8246C">
        <w:t xml:space="preserve"> Sinnerbrink 2011: 204.</w:t>
      </w:r>
    </w:p>
  </w:footnote>
  <w:footnote w:id="34">
    <w:p w14:paraId="33E8375C" w14:textId="04D86551" w:rsidR="00FE7CA1" w:rsidRPr="00F8246C" w:rsidRDefault="00FE7CA1" w:rsidP="00196FD0">
      <w:pPr>
        <w:pStyle w:val="FootnoteText"/>
      </w:pPr>
      <w:r w:rsidRPr="00F8246C">
        <w:rPr>
          <w:rStyle w:val="FootnoteReference"/>
        </w:rPr>
        <w:footnoteRef/>
      </w:r>
      <w:r w:rsidRPr="00F8246C">
        <w:t xml:space="preserve"> E.g. Young (1990).</w:t>
      </w:r>
    </w:p>
  </w:footnote>
  <w:footnote w:id="35">
    <w:p w14:paraId="0AADB180" w14:textId="3ACAB751" w:rsidR="00FE7CA1" w:rsidRPr="00F8246C" w:rsidRDefault="00FE7CA1" w:rsidP="00196FD0">
      <w:pPr>
        <w:pStyle w:val="FootnoteText"/>
      </w:pPr>
      <w:r w:rsidRPr="00F8246C">
        <w:rPr>
          <w:rStyle w:val="FootnoteReference"/>
        </w:rPr>
        <w:footnoteRef/>
      </w:r>
      <w:r w:rsidRPr="00F8246C">
        <w:t xml:space="preserve"> TSR: 132-133.</w:t>
      </w:r>
    </w:p>
  </w:footnote>
  <w:footnote w:id="36">
    <w:p w14:paraId="61271352" w14:textId="76223DCA" w:rsidR="00FE7CA1" w:rsidRPr="00F8246C" w:rsidRDefault="00FE7CA1" w:rsidP="00196FD0">
      <w:pPr>
        <w:pStyle w:val="FootnoteText"/>
      </w:pPr>
      <w:r w:rsidRPr="00F8246C">
        <w:rPr>
          <w:rStyle w:val="FootnoteReference"/>
        </w:rPr>
        <w:footnoteRef/>
      </w:r>
      <w:r w:rsidRPr="00F8246C">
        <w:t xml:space="preserve"> Ibid., p. 133. </w:t>
      </w:r>
    </w:p>
  </w:footnote>
  <w:footnote w:id="37">
    <w:p w14:paraId="7FBF2F5C" w14:textId="1FACE649" w:rsidR="00FE7CA1" w:rsidRPr="00F8246C" w:rsidRDefault="00FE7CA1" w:rsidP="00196FD0">
      <w:pPr>
        <w:pStyle w:val="FootnoteText"/>
      </w:pPr>
      <w:r w:rsidRPr="00F8246C">
        <w:rPr>
          <w:rStyle w:val="FootnoteReference"/>
        </w:rPr>
        <w:footnoteRef/>
      </w:r>
      <w:r w:rsidRPr="00F8246C">
        <w:t xml:space="preserve"> Cf.</w:t>
      </w:r>
      <w:r>
        <w:t xml:space="preserve"> </w:t>
      </w:r>
      <w:r w:rsidRPr="00F8246C">
        <w:t>Fricker 2007: 134-</w:t>
      </w:r>
      <w:r>
        <w:t>1</w:t>
      </w:r>
      <w:r w:rsidRPr="00F8246C">
        <w:t xml:space="preserve">35. </w:t>
      </w:r>
    </w:p>
  </w:footnote>
  <w:footnote w:id="38">
    <w:p w14:paraId="6488C89E" w14:textId="55A8CECF" w:rsidR="00FE7CA1" w:rsidRPr="00F8246C" w:rsidRDefault="00FE7CA1" w:rsidP="00196FD0">
      <w:pPr>
        <w:pStyle w:val="FootnoteText"/>
      </w:pPr>
      <w:r w:rsidRPr="00F8246C">
        <w:rPr>
          <w:rStyle w:val="FootnoteReference"/>
        </w:rPr>
        <w:footnoteRef/>
      </w:r>
      <w:r w:rsidRPr="00F8246C">
        <w:t xml:space="preserve"> Cf. Fricker 2007: 133.</w:t>
      </w:r>
    </w:p>
  </w:footnote>
  <w:footnote w:id="39">
    <w:p w14:paraId="20E093EF" w14:textId="7146AFA2" w:rsidR="00FE7CA1" w:rsidRPr="00F8246C" w:rsidRDefault="00FE7CA1" w:rsidP="00196FD0">
      <w:pPr>
        <w:pStyle w:val="FootnoteText"/>
      </w:pPr>
      <w:r w:rsidRPr="00F8246C">
        <w:rPr>
          <w:rStyle w:val="FootnoteReference"/>
        </w:rPr>
        <w:footnoteRef/>
      </w:r>
      <w:r w:rsidRPr="00F8246C">
        <w:t xml:space="preserve"> </w:t>
      </w:r>
      <w:r w:rsidRPr="00F8246C">
        <w:rPr>
          <w:bCs/>
          <w:lang w:val="en-US"/>
        </w:rPr>
        <w:t>Young</w:t>
      </w:r>
      <w:r w:rsidRPr="00F8246C">
        <w:t xml:space="preserve"> 1990: 59. </w:t>
      </w:r>
    </w:p>
  </w:footnote>
  <w:footnote w:id="40">
    <w:p w14:paraId="665AB13B" w14:textId="31DB9C32" w:rsidR="00FE7CA1" w:rsidRPr="00194436" w:rsidRDefault="00FE7CA1" w:rsidP="00196FD0">
      <w:pPr>
        <w:pStyle w:val="FootnoteText"/>
        <w:rPr>
          <w:lang w:val="de-DE"/>
        </w:rPr>
      </w:pPr>
      <w:r w:rsidRPr="00F8246C">
        <w:rPr>
          <w:rStyle w:val="FootnoteReference"/>
        </w:rPr>
        <w:footnoteRef/>
      </w:r>
      <w:r w:rsidRPr="00194436">
        <w:rPr>
          <w:lang w:val="de-DE"/>
        </w:rPr>
        <w:t xml:space="preserve"> TSR: 130-</w:t>
      </w:r>
      <w:r w:rsidR="008109CA" w:rsidRPr="00194436">
        <w:rPr>
          <w:lang w:val="de-DE"/>
        </w:rPr>
        <w:t>1</w:t>
      </w:r>
      <w:r w:rsidRPr="00194436">
        <w:rPr>
          <w:lang w:val="de-DE"/>
        </w:rPr>
        <w:t xml:space="preserve">31. </w:t>
      </w:r>
    </w:p>
  </w:footnote>
  <w:footnote w:id="41">
    <w:p w14:paraId="046C5932" w14:textId="01E132B1" w:rsidR="00FE7CA1" w:rsidRPr="00194436" w:rsidRDefault="00FE7CA1" w:rsidP="00196FD0">
      <w:pPr>
        <w:pStyle w:val="FootnoteText"/>
        <w:rPr>
          <w:lang w:val="de-DE"/>
        </w:rPr>
      </w:pPr>
      <w:r w:rsidRPr="00F8246C">
        <w:rPr>
          <w:rStyle w:val="FootnoteReference"/>
        </w:rPr>
        <w:footnoteRef/>
      </w:r>
      <w:r w:rsidRPr="00194436">
        <w:rPr>
          <w:lang w:val="de-DE"/>
        </w:rPr>
        <w:t xml:space="preserve"> Cf. Fricker 2007: 55.</w:t>
      </w:r>
    </w:p>
  </w:footnote>
  <w:footnote w:id="42">
    <w:p w14:paraId="741690FF" w14:textId="20755D7F" w:rsidR="00FE7CA1" w:rsidRPr="00194436" w:rsidRDefault="00FE7CA1" w:rsidP="00196FD0">
      <w:pPr>
        <w:pStyle w:val="FootnoteText"/>
        <w:rPr>
          <w:lang w:val="de-DE"/>
        </w:rPr>
      </w:pPr>
      <w:r w:rsidRPr="00F8246C">
        <w:rPr>
          <w:rStyle w:val="FootnoteReference"/>
        </w:rPr>
        <w:footnoteRef/>
      </w:r>
      <w:r w:rsidRPr="00194436">
        <w:rPr>
          <w:lang w:val="de-DE"/>
        </w:rPr>
        <w:t xml:space="preserve"> Lobb 2018: 1. </w:t>
      </w:r>
    </w:p>
  </w:footnote>
  <w:footnote w:id="43">
    <w:p w14:paraId="2905644F" w14:textId="6E387B15" w:rsidR="00FE7CA1" w:rsidRPr="00194436" w:rsidRDefault="00FE7CA1" w:rsidP="00196FD0">
      <w:pPr>
        <w:pStyle w:val="FootnoteText"/>
        <w:rPr>
          <w:lang w:val="de-DE"/>
        </w:rPr>
      </w:pPr>
      <w:r w:rsidRPr="00F8246C">
        <w:rPr>
          <w:rStyle w:val="FootnoteReference"/>
        </w:rPr>
        <w:footnoteRef/>
      </w:r>
      <w:r w:rsidRPr="00194436">
        <w:rPr>
          <w:lang w:val="de-DE"/>
        </w:rPr>
        <w:t xml:space="preserve"> CIS: 177.</w:t>
      </w:r>
    </w:p>
  </w:footnote>
  <w:footnote w:id="44">
    <w:p w14:paraId="29AEE9A8" w14:textId="396A763F" w:rsidR="00FE7CA1" w:rsidRPr="00F8246C" w:rsidRDefault="00FE7CA1" w:rsidP="00196FD0">
      <w:pPr>
        <w:pStyle w:val="FootnoteText"/>
      </w:pPr>
      <w:r w:rsidRPr="00F8246C">
        <w:rPr>
          <w:rStyle w:val="FootnoteReference"/>
        </w:rPr>
        <w:footnoteRef/>
      </w:r>
      <w:r w:rsidRPr="00F8246C">
        <w:t xml:space="preserve"> TSR: 132.  </w:t>
      </w:r>
    </w:p>
  </w:footnote>
  <w:footnote w:id="45">
    <w:p w14:paraId="6BD5CB82" w14:textId="399302CA" w:rsidR="00FE7CA1" w:rsidRPr="00F8246C" w:rsidRDefault="00FE7CA1" w:rsidP="00196FD0">
      <w:pPr>
        <w:pStyle w:val="FootnoteText"/>
      </w:pPr>
      <w:r w:rsidRPr="00F8246C">
        <w:rPr>
          <w:rStyle w:val="FootnoteReference"/>
        </w:rPr>
        <w:footnoteRef/>
      </w:r>
      <w:r w:rsidRPr="00F8246C">
        <w:t xml:space="preserve"> McConkey 2004: 204.</w:t>
      </w:r>
    </w:p>
  </w:footnote>
  <w:footnote w:id="46">
    <w:p w14:paraId="0B42920D" w14:textId="583658E6" w:rsidR="00FE7CA1" w:rsidRPr="00F8246C" w:rsidRDefault="00FE7CA1" w:rsidP="00196FD0">
      <w:pPr>
        <w:pStyle w:val="FootnoteText"/>
      </w:pPr>
      <w:r w:rsidRPr="00F8246C">
        <w:rPr>
          <w:rStyle w:val="FootnoteReference"/>
        </w:rPr>
        <w:footnoteRef/>
      </w:r>
      <w:r w:rsidRPr="00F8246C">
        <w:t xml:space="preserve"> Deligiorgi 2002: 150. </w:t>
      </w:r>
    </w:p>
  </w:footnote>
  <w:footnote w:id="47">
    <w:p w14:paraId="13E9C1CF" w14:textId="77777777" w:rsidR="00FE7CA1" w:rsidRPr="00F8246C" w:rsidRDefault="00FE7CA1" w:rsidP="00196FD0">
      <w:pPr>
        <w:pStyle w:val="FootnoteText"/>
      </w:pPr>
      <w:r w:rsidRPr="00F8246C">
        <w:rPr>
          <w:rStyle w:val="FootnoteReference"/>
        </w:rPr>
        <w:footnoteRef/>
      </w:r>
      <w:r w:rsidRPr="00F8246C">
        <w:t xml:space="preserve"> Ibid., p. 150. </w:t>
      </w:r>
    </w:p>
  </w:footnote>
  <w:footnote w:id="48">
    <w:p w14:paraId="09BCE7D0" w14:textId="5E06A1F1" w:rsidR="00FE7CA1" w:rsidRPr="00F8246C" w:rsidRDefault="00FE7CA1" w:rsidP="00196FD0">
      <w:pPr>
        <w:pStyle w:val="FootnoteText"/>
      </w:pPr>
      <w:r w:rsidRPr="00F8246C">
        <w:rPr>
          <w:rStyle w:val="FootnoteReference"/>
        </w:rPr>
        <w:footnoteRef/>
      </w:r>
      <w:r w:rsidRPr="00F8246C">
        <w:t xml:space="preserve"> See APPV: 128-</w:t>
      </w:r>
      <w:r w:rsidR="00C05566">
        <w:t>1</w:t>
      </w:r>
      <w:r w:rsidRPr="00F8246C">
        <w:t xml:space="preserve">29 and LL: §57, 563; §740. </w:t>
      </w:r>
    </w:p>
  </w:footnote>
  <w:footnote w:id="49">
    <w:p w14:paraId="10F68BBF" w14:textId="299E6122" w:rsidR="00FE7CA1" w:rsidRPr="00F8246C" w:rsidRDefault="00FE7CA1" w:rsidP="00196FD0">
      <w:pPr>
        <w:pStyle w:val="FootnoteText"/>
      </w:pPr>
      <w:r w:rsidRPr="00F8246C">
        <w:rPr>
          <w:rStyle w:val="FootnoteReference"/>
        </w:rPr>
        <w:footnoteRef/>
      </w:r>
      <w:r w:rsidRPr="00F8246C">
        <w:t xml:space="preserve"> Lobb 2018: 17-18.</w:t>
      </w:r>
    </w:p>
  </w:footnote>
  <w:footnote w:id="50">
    <w:p w14:paraId="322A6064" w14:textId="16693096" w:rsidR="00FE7CA1" w:rsidRPr="00F8246C" w:rsidRDefault="00FE7CA1" w:rsidP="00196FD0">
      <w:pPr>
        <w:pStyle w:val="FootnoteText"/>
      </w:pPr>
      <w:r w:rsidRPr="00F8246C">
        <w:rPr>
          <w:rStyle w:val="FootnoteReference"/>
        </w:rPr>
        <w:footnoteRef/>
      </w:r>
      <w:r w:rsidRPr="00F8246C">
        <w:t xml:space="preserve"> </w:t>
      </w:r>
      <w:r>
        <w:t xml:space="preserve">Zurn 2015: 44. </w:t>
      </w:r>
    </w:p>
  </w:footnote>
  <w:footnote w:id="51">
    <w:p w14:paraId="51140926" w14:textId="664DF0CE" w:rsidR="00FE7CA1" w:rsidRPr="00F8246C" w:rsidRDefault="00FE7CA1" w:rsidP="00196FD0">
      <w:pPr>
        <w:pStyle w:val="FootnoteText"/>
      </w:pPr>
      <w:r w:rsidRPr="00F8246C">
        <w:rPr>
          <w:rStyle w:val="FootnoteReference"/>
        </w:rPr>
        <w:footnoteRef/>
      </w:r>
      <w:r w:rsidRPr="00F8246C">
        <w:t xml:space="preserve"> </w:t>
      </w:r>
      <w:r>
        <w:t xml:space="preserve">Ibid., p. 101. </w:t>
      </w:r>
    </w:p>
  </w:footnote>
  <w:footnote w:id="52">
    <w:p w14:paraId="2987E1E0" w14:textId="77777777" w:rsidR="00FE7CA1" w:rsidRDefault="00FE7CA1" w:rsidP="00A11EAA">
      <w:pPr>
        <w:pStyle w:val="FootnoteText"/>
      </w:pPr>
      <w:r>
        <w:rPr>
          <w:rStyle w:val="FootnoteReference"/>
        </w:rPr>
        <w:footnoteRef/>
      </w:r>
      <w:r>
        <w:t xml:space="preserve"> Sontag 2004: 8.</w:t>
      </w:r>
    </w:p>
  </w:footnote>
  <w:footnote w:id="53">
    <w:p w14:paraId="0175ECDD" w14:textId="06B98E93" w:rsidR="00FE7CA1" w:rsidRPr="00F8246C" w:rsidRDefault="00FE7CA1" w:rsidP="00196FD0">
      <w:pPr>
        <w:pStyle w:val="FootnoteText"/>
      </w:pPr>
      <w:r w:rsidRPr="00F8246C">
        <w:rPr>
          <w:rStyle w:val="FootnoteReference"/>
        </w:rPr>
        <w:footnoteRef/>
      </w:r>
      <w:r w:rsidRPr="00F8246C">
        <w:t xml:space="preserve"> In response to Fricker, Alcoff (2010) argues that since prejudice and bias are often unconscious intentional states, it is practically impossible to consciously correct those attitudes. </w:t>
      </w:r>
    </w:p>
  </w:footnote>
  <w:footnote w:id="54">
    <w:p w14:paraId="240C957B" w14:textId="11B8FA4A" w:rsidR="00FE7CA1" w:rsidRPr="00F8246C" w:rsidRDefault="00FE7CA1" w:rsidP="00196FD0">
      <w:pPr>
        <w:pStyle w:val="FootnoteText"/>
      </w:pPr>
      <w:r w:rsidRPr="00F8246C">
        <w:rPr>
          <w:rStyle w:val="FootnoteReference"/>
        </w:rPr>
        <w:footnoteRef/>
      </w:r>
      <w:r w:rsidRPr="00F8246C">
        <w:t xml:space="preserve"> Fricker 2007: 98. </w:t>
      </w:r>
    </w:p>
  </w:footnote>
  <w:footnote w:id="55">
    <w:p w14:paraId="11CF5632" w14:textId="77777777" w:rsidR="00FE7CA1" w:rsidRPr="00F8246C" w:rsidRDefault="00FE7CA1" w:rsidP="00196FD0">
      <w:pPr>
        <w:pStyle w:val="FootnoteText"/>
      </w:pPr>
      <w:r w:rsidRPr="00F8246C">
        <w:rPr>
          <w:rStyle w:val="FootnoteReference"/>
        </w:rPr>
        <w:footnoteRef/>
      </w:r>
      <w:r w:rsidRPr="00F8246C">
        <w:t xml:space="preserve"> See Jones (1996).</w:t>
      </w:r>
    </w:p>
  </w:footnote>
  <w:footnote w:id="56">
    <w:p w14:paraId="5A2A7838" w14:textId="455F1369" w:rsidR="00FE7CA1" w:rsidRPr="00F8246C" w:rsidRDefault="00FE7CA1" w:rsidP="00196FD0">
      <w:pPr>
        <w:pStyle w:val="FootnoteText"/>
      </w:pPr>
      <w:r w:rsidRPr="00F8246C">
        <w:rPr>
          <w:rStyle w:val="FootnoteReference"/>
        </w:rPr>
        <w:footnoteRef/>
      </w:r>
      <w:r w:rsidRPr="00F8246C">
        <w:t xml:space="preserve"> Fricker 2007: 79.</w:t>
      </w:r>
    </w:p>
  </w:footnote>
  <w:footnote w:id="57">
    <w:p w14:paraId="2A52D972" w14:textId="288549E8" w:rsidR="00FE7CA1" w:rsidRPr="00F8246C" w:rsidRDefault="00FE7CA1" w:rsidP="00196FD0">
      <w:pPr>
        <w:pStyle w:val="FootnoteText"/>
      </w:pPr>
      <w:r w:rsidRPr="00F8246C">
        <w:rPr>
          <w:rStyle w:val="FootnoteReference"/>
        </w:rPr>
        <w:footnoteRef/>
      </w:r>
      <w:r w:rsidRPr="00F8246C">
        <w:t xml:space="preserve"> Zurn 2015: 114. </w:t>
      </w:r>
    </w:p>
  </w:footnote>
  <w:footnote w:id="58">
    <w:p w14:paraId="2D68FAC9" w14:textId="31AB7C59" w:rsidR="004E69D8" w:rsidRDefault="004E69D8">
      <w:pPr>
        <w:pStyle w:val="FootnoteText"/>
      </w:pPr>
      <w:r>
        <w:rPr>
          <w:rStyle w:val="FootnoteReference"/>
        </w:rPr>
        <w:footnoteRef/>
      </w:r>
      <w:r>
        <w:t xml:space="preserve"> </w:t>
      </w:r>
      <w:r w:rsidRPr="004E69D8">
        <w:t>Oksala</w:t>
      </w:r>
      <w:r>
        <w:t xml:space="preserve"> 2005: </w:t>
      </w:r>
      <w:r w:rsidRPr="004E69D8">
        <w:t xml:space="preserve">97.  </w:t>
      </w:r>
    </w:p>
  </w:footnote>
  <w:footnote w:id="59">
    <w:p w14:paraId="70306F67" w14:textId="301365F6" w:rsidR="00FE7CA1" w:rsidRPr="00F8246C" w:rsidRDefault="00FE7CA1" w:rsidP="00196FD0">
      <w:pPr>
        <w:pStyle w:val="FootnoteText"/>
      </w:pPr>
      <w:r w:rsidRPr="00F8246C">
        <w:rPr>
          <w:rStyle w:val="FootnoteReference"/>
        </w:rPr>
        <w:footnoteRef/>
      </w:r>
      <w:r w:rsidRPr="00F8246C">
        <w:t xml:space="preserve"> TSR: 163.  </w:t>
      </w:r>
    </w:p>
  </w:footnote>
  <w:footnote w:id="60">
    <w:p w14:paraId="47E318E5" w14:textId="3EC02FF2" w:rsidR="00FE7CA1" w:rsidRPr="00F8246C" w:rsidRDefault="00FE7CA1">
      <w:pPr>
        <w:pStyle w:val="FootnoteText"/>
      </w:pPr>
      <w:r w:rsidRPr="00F8246C">
        <w:rPr>
          <w:rStyle w:val="FootnoteReference"/>
        </w:rPr>
        <w:footnoteRef/>
      </w:r>
      <w:r w:rsidRPr="00F8246C">
        <w:t xml:space="preserve"> See Jackson (2018).</w:t>
      </w:r>
    </w:p>
  </w:footnote>
  <w:footnote w:id="61">
    <w:p w14:paraId="5E5DE838" w14:textId="31A450E4" w:rsidR="00647A15" w:rsidRDefault="00647A15">
      <w:pPr>
        <w:pStyle w:val="FootnoteText"/>
      </w:pPr>
      <w:r>
        <w:rPr>
          <w:rStyle w:val="FootnoteReference"/>
        </w:rPr>
        <w:footnoteRef/>
      </w:r>
      <w:r>
        <w:t xml:space="preserve"> </w:t>
      </w:r>
      <w:r w:rsidRPr="00647A15">
        <w:t>Gooding-Williams 2006: 14</w:t>
      </w:r>
      <w:r>
        <w:t xml:space="preserve">. </w:t>
      </w:r>
    </w:p>
  </w:footnote>
  <w:footnote w:id="62">
    <w:p w14:paraId="4BDF4E10" w14:textId="5A325C45" w:rsidR="002A5E63" w:rsidRDefault="002A5E63">
      <w:pPr>
        <w:pStyle w:val="FootnoteText"/>
      </w:pPr>
      <w:r>
        <w:rPr>
          <w:rStyle w:val="FootnoteReference"/>
        </w:rPr>
        <w:footnoteRef/>
      </w:r>
      <w:r>
        <w:t xml:space="preserve"> </w:t>
      </w:r>
      <w:r w:rsidRPr="002A5E63">
        <w:rPr>
          <w:rFonts w:eastAsia="Calibri"/>
          <w:szCs w:val="22"/>
          <w:lang w:eastAsia="en-US"/>
        </w:rPr>
        <w:t>Medina 2018: 12.</w:t>
      </w:r>
    </w:p>
  </w:footnote>
  <w:footnote w:id="63">
    <w:p w14:paraId="1D4EE011" w14:textId="236010EC" w:rsidR="00FE7CA1" w:rsidRPr="00F8246C" w:rsidRDefault="00FE7CA1" w:rsidP="00196FD0">
      <w:pPr>
        <w:pStyle w:val="FootnoteText"/>
      </w:pPr>
      <w:r w:rsidRPr="00F8246C">
        <w:rPr>
          <w:rStyle w:val="FootnoteReference"/>
        </w:rPr>
        <w:footnoteRef/>
      </w:r>
      <w:r w:rsidRPr="00F8246C">
        <w:t xml:space="preserve"> </w:t>
      </w:r>
      <w:r w:rsidRPr="00F349FF">
        <w:t>Butler 2004: 208.</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190194"/>
      <w:docPartObj>
        <w:docPartGallery w:val="Page Numbers (Top of Page)"/>
        <w:docPartUnique/>
      </w:docPartObj>
    </w:sdtPr>
    <w:sdtEndPr>
      <w:rPr>
        <w:noProof/>
      </w:rPr>
    </w:sdtEndPr>
    <w:sdtContent>
      <w:p w14:paraId="7DB9E708" w14:textId="210A62F0" w:rsidR="00FE7CA1" w:rsidRDefault="00FE7CA1">
        <w:pPr>
          <w:pStyle w:val="Header"/>
        </w:pPr>
        <w:r w:rsidRPr="00DC233E">
          <w:fldChar w:fldCharType="begin"/>
        </w:r>
        <w:r w:rsidRPr="00DC233E">
          <w:instrText xml:space="preserve"> PAGE   \* MERGEFORMAT </w:instrText>
        </w:r>
        <w:r w:rsidRPr="00DC233E">
          <w:fldChar w:fldCharType="separate"/>
        </w:r>
        <w:r>
          <w:rPr>
            <w:noProof/>
          </w:rPr>
          <w:t>10</w:t>
        </w:r>
        <w:r w:rsidRPr="00DC233E">
          <w:rPr>
            <w:noProof/>
          </w:rPr>
          <w:fldChar w:fldCharType="end"/>
        </w:r>
      </w:p>
    </w:sdtContent>
  </w:sdt>
  <w:p w14:paraId="5FE124ED" w14:textId="77777777" w:rsidR="00FE7CA1" w:rsidRDefault="00FE7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930355"/>
      <w:docPartObj>
        <w:docPartGallery w:val="Page Numbers (Top of Page)"/>
        <w:docPartUnique/>
      </w:docPartObj>
    </w:sdtPr>
    <w:sdtEndPr>
      <w:rPr>
        <w:noProof/>
      </w:rPr>
    </w:sdtEndPr>
    <w:sdtContent>
      <w:p w14:paraId="06C140A7" w14:textId="6E350391" w:rsidR="00FE7CA1" w:rsidRPr="008960AF" w:rsidRDefault="00FE7CA1">
        <w:pPr>
          <w:pStyle w:val="Header"/>
          <w:jc w:val="right"/>
        </w:pPr>
        <w:r w:rsidRPr="008960AF">
          <w:fldChar w:fldCharType="begin"/>
        </w:r>
        <w:r w:rsidRPr="008960AF">
          <w:instrText xml:space="preserve"> PAGE   \* MERGEFORMAT </w:instrText>
        </w:r>
        <w:r w:rsidRPr="008960AF">
          <w:fldChar w:fldCharType="separate"/>
        </w:r>
        <w:r>
          <w:rPr>
            <w:noProof/>
          </w:rPr>
          <w:t>1</w:t>
        </w:r>
        <w:r w:rsidRPr="008960AF">
          <w:rPr>
            <w:noProof/>
          </w:rPr>
          <w:fldChar w:fldCharType="end"/>
        </w:r>
      </w:p>
    </w:sdtContent>
  </w:sdt>
  <w:p w14:paraId="3EDA0861" w14:textId="77777777" w:rsidR="00FE7CA1" w:rsidRDefault="00FE7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93B50"/>
    <w:multiLevelType w:val="hybridMultilevel"/>
    <w:tmpl w:val="EC32BBAC"/>
    <w:lvl w:ilvl="0" w:tplc="61C42F1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74"/>
    <w:rsid w:val="00006B1E"/>
    <w:rsid w:val="00010D31"/>
    <w:rsid w:val="00013FE8"/>
    <w:rsid w:val="0001445E"/>
    <w:rsid w:val="00014ECC"/>
    <w:rsid w:val="0002395C"/>
    <w:rsid w:val="00026B03"/>
    <w:rsid w:val="00031955"/>
    <w:rsid w:val="0003725B"/>
    <w:rsid w:val="0004172D"/>
    <w:rsid w:val="00041FA2"/>
    <w:rsid w:val="000465D9"/>
    <w:rsid w:val="00046ACF"/>
    <w:rsid w:val="000473FD"/>
    <w:rsid w:val="00050444"/>
    <w:rsid w:val="000534F2"/>
    <w:rsid w:val="000628DB"/>
    <w:rsid w:val="000650ED"/>
    <w:rsid w:val="000652B4"/>
    <w:rsid w:val="0007034B"/>
    <w:rsid w:val="00070CC3"/>
    <w:rsid w:val="000768D0"/>
    <w:rsid w:val="0008511A"/>
    <w:rsid w:val="000907AF"/>
    <w:rsid w:val="00092F80"/>
    <w:rsid w:val="00093514"/>
    <w:rsid w:val="00095426"/>
    <w:rsid w:val="000A7BD3"/>
    <w:rsid w:val="000B5254"/>
    <w:rsid w:val="000B64FE"/>
    <w:rsid w:val="000C0278"/>
    <w:rsid w:val="000C10E3"/>
    <w:rsid w:val="000C2495"/>
    <w:rsid w:val="000C2816"/>
    <w:rsid w:val="000C6BBB"/>
    <w:rsid w:val="000C7F7C"/>
    <w:rsid w:val="000D2DA6"/>
    <w:rsid w:val="000E24F6"/>
    <w:rsid w:val="000F5EC1"/>
    <w:rsid w:val="00101D6E"/>
    <w:rsid w:val="00101FDD"/>
    <w:rsid w:val="00112436"/>
    <w:rsid w:val="00114116"/>
    <w:rsid w:val="001144D9"/>
    <w:rsid w:val="001341F1"/>
    <w:rsid w:val="001357A2"/>
    <w:rsid w:val="001368DA"/>
    <w:rsid w:val="00154E26"/>
    <w:rsid w:val="00162BA8"/>
    <w:rsid w:val="0016428D"/>
    <w:rsid w:val="001665E3"/>
    <w:rsid w:val="00173011"/>
    <w:rsid w:val="00174C1D"/>
    <w:rsid w:val="0018098A"/>
    <w:rsid w:val="001809F9"/>
    <w:rsid w:val="00183150"/>
    <w:rsid w:val="0018330C"/>
    <w:rsid w:val="0018358C"/>
    <w:rsid w:val="0019063F"/>
    <w:rsid w:val="00190E9A"/>
    <w:rsid w:val="00194436"/>
    <w:rsid w:val="00196FD0"/>
    <w:rsid w:val="001A4478"/>
    <w:rsid w:val="001A59D1"/>
    <w:rsid w:val="001B3DBE"/>
    <w:rsid w:val="001B71C3"/>
    <w:rsid w:val="001C04FD"/>
    <w:rsid w:val="001D0E25"/>
    <w:rsid w:val="001D6580"/>
    <w:rsid w:val="001D6A36"/>
    <w:rsid w:val="001D7393"/>
    <w:rsid w:val="001E0CC0"/>
    <w:rsid w:val="001E101A"/>
    <w:rsid w:val="001E770C"/>
    <w:rsid w:val="001F49E8"/>
    <w:rsid w:val="00211FC4"/>
    <w:rsid w:val="00216A74"/>
    <w:rsid w:val="0022002D"/>
    <w:rsid w:val="00222722"/>
    <w:rsid w:val="002342D2"/>
    <w:rsid w:val="00237091"/>
    <w:rsid w:val="00242C3A"/>
    <w:rsid w:val="00244D34"/>
    <w:rsid w:val="002470D1"/>
    <w:rsid w:val="002502CE"/>
    <w:rsid w:val="0025566C"/>
    <w:rsid w:val="002572FC"/>
    <w:rsid w:val="00267D99"/>
    <w:rsid w:val="002722D3"/>
    <w:rsid w:val="0028175C"/>
    <w:rsid w:val="00284BE5"/>
    <w:rsid w:val="00284DDD"/>
    <w:rsid w:val="002861A6"/>
    <w:rsid w:val="00295C6A"/>
    <w:rsid w:val="00296C9B"/>
    <w:rsid w:val="002A05D7"/>
    <w:rsid w:val="002A5E63"/>
    <w:rsid w:val="002A7A82"/>
    <w:rsid w:val="002B242B"/>
    <w:rsid w:val="002B2DC5"/>
    <w:rsid w:val="002C1B52"/>
    <w:rsid w:val="002C3676"/>
    <w:rsid w:val="002C483D"/>
    <w:rsid w:val="002C5A48"/>
    <w:rsid w:val="002C67ED"/>
    <w:rsid w:val="002C7D63"/>
    <w:rsid w:val="002D74DF"/>
    <w:rsid w:val="002E5406"/>
    <w:rsid w:val="002F1084"/>
    <w:rsid w:val="002F2004"/>
    <w:rsid w:val="002F3E0C"/>
    <w:rsid w:val="002F6805"/>
    <w:rsid w:val="00301BD0"/>
    <w:rsid w:val="00311E84"/>
    <w:rsid w:val="00312223"/>
    <w:rsid w:val="00312763"/>
    <w:rsid w:val="00321A09"/>
    <w:rsid w:val="00324A04"/>
    <w:rsid w:val="003254EF"/>
    <w:rsid w:val="00332B96"/>
    <w:rsid w:val="00335E97"/>
    <w:rsid w:val="0034021C"/>
    <w:rsid w:val="00340C57"/>
    <w:rsid w:val="003420E4"/>
    <w:rsid w:val="0034320F"/>
    <w:rsid w:val="00347213"/>
    <w:rsid w:val="003508D5"/>
    <w:rsid w:val="003521A5"/>
    <w:rsid w:val="003526D2"/>
    <w:rsid w:val="00353393"/>
    <w:rsid w:val="00363B20"/>
    <w:rsid w:val="00366FAD"/>
    <w:rsid w:val="00367918"/>
    <w:rsid w:val="00367EFF"/>
    <w:rsid w:val="0037038C"/>
    <w:rsid w:val="003745AF"/>
    <w:rsid w:val="00374B55"/>
    <w:rsid w:val="003761B1"/>
    <w:rsid w:val="003856D3"/>
    <w:rsid w:val="00386E5B"/>
    <w:rsid w:val="0039411F"/>
    <w:rsid w:val="00397847"/>
    <w:rsid w:val="003A1568"/>
    <w:rsid w:val="003A4471"/>
    <w:rsid w:val="003A47E9"/>
    <w:rsid w:val="003B6A11"/>
    <w:rsid w:val="003C1A1E"/>
    <w:rsid w:val="003C1C42"/>
    <w:rsid w:val="003C6D09"/>
    <w:rsid w:val="003D4999"/>
    <w:rsid w:val="003D68E6"/>
    <w:rsid w:val="003E55CB"/>
    <w:rsid w:val="003F474D"/>
    <w:rsid w:val="0040284E"/>
    <w:rsid w:val="00404A07"/>
    <w:rsid w:val="004060B1"/>
    <w:rsid w:val="00411594"/>
    <w:rsid w:val="0041234A"/>
    <w:rsid w:val="004141DF"/>
    <w:rsid w:val="00414790"/>
    <w:rsid w:val="00434527"/>
    <w:rsid w:val="00436B31"/>
    <w:rsid w:val="0043781E"/>
    <w:rsid w:val="00445173"/>
    <w:rsid w:val="00446611"/>
    <w:rsid w:val="00456F81"/>
    <w:rsid w:val="00465131"/>
    <w:rsid w:val="004713B5"/>
    <w:rsid w:val="00474E0E"/>
    <w:rsid w:val="0049330B"/>
    <w:rsid w:val="0049430A"/>
    <w:rsid w:val="004943E0"/>
    <w:rsid w:val="004A0B9C"/>
    <w:rsid w:val="004A550B"/>
    <w:rsid w:val="004A582D"/>
    <w:rsid w:val="004B16ED"/>
    <w:rsid w:val="004B1A62"/>
    <w:rsid w:val="004B2D11"/>
    <w:rsid w:val="004B4826"/>
    <w:rsid w:val="004B7B8D"/>
    <w:rsid w:val="004C0762"/>
    <w:rsid w:val="004C13E9"/>
    <w:rsid w:val="004D623E"/>
    <w:rsid w:val="004D6895"/>
    <w:rsid w:val="004E1985"/>
    <w:rsid w:val="004E19D0"/>
    <w:rsid w:val="004E62CE"/>
    <w:rsid w:val="004E69D8"/>
    <w:rsid w:val="004E78D4"/>
    <w:rsid w:val="004E7FF0"/>
    <w:rsid w:val="004F00C1"/>
    <w:rsid w:val="004F0658"/>
    <w:rsid w:val="004F18BD"/>
    <w:rsid w:val="004F34EE"/>
    <w:rsid w:val="004F711D"/>
    <w:rsid w:val="00503EB6"/>
    <w:rsid w:val="00504D9B"/>
    <w:rsid w:val="0051096A"/>
    <w:rsid w:val="005201FA"/>
    <w:rsid w:val="00521780"/>
    <w:rsid w:val="005234A4"/>
    <w:rsid w:val="00525193"/>
    <w:rsid w:val="00525F0D"/>
    <w:rsid w:val="00526279"/>
    <w:rsid w:val="0052722D"/>
    <w:rsid w:val="00541A2F"/>
    <w:rsid w:val="00542732"/>
    <w:rsid w:val="00546121"/>
    <w:rsid w:val="00546719"/>
    <w:rsid w:val="00546AF5"/>
    <w:rsid w:val="0055086F"/>
    <w:rsid w:val="00561CDD"/>
    <w:rsid w:val="005643F0"/>
    <w:rsid w:val="005704A9"/>
    <w:rsid w:val="0057160F"/>
    <w:rsid w:val="00574DBB"/>
    <w:rsid w:val="00574E98"/>
    <w:rsid w:val="005821B5"/>
    <w:rsid w:val="00587A18"/>
    <w:rsid w:val="0059196F"/>
    <w:rsid w:val="005A625F"/>
    <w:rsid w:val="005A7728"/>
    <w:rsid w:val="005B5B3D"/>
    <w:rsid w:val="005C0693"/>
    <w:rsid w:val="005C2D40"/>
    <w:rsid w:val="005C4450"/>
    <w:rsid w:val="005D167E"/>
    <w:rsid w:val="005D6146"/>
    <w:rsid w:val="005E0EB4"/>
    <w:rsid w:val="005E4E0F"/>
    <w:rsid w:val="005E5309"/>
    <w:rsid w:val="005F197B"/>
    <w:rsid w:val="005F310A"/>
    <w:rsid w:val="005F4B58"/>
    <w:rsid w:val="005F689E"/>
    <w:rsid w:val="006000CD"/>
    <w:rsid w:val="0060092C"/>
    <w:rsid w:val="00600CF0"/>
    <w:rsid w:val="00607220"/>
    <w:rsid w:val="00613953"/>
    <w:rsid w:val="006226A5"/>
    <w:rsid w:val="0062324F"/>
    <w:rsid w:val="00627C1C"/>
    <w:rsid w:val="006305B5"/>
    <w:rsid w:val="00631C25"/>
    <w:rsid w:val="00631CA9"/>
    <w:rsid w:val="006333A7"/>
    <w:rsid w:val="006340E7"/>
    <w:rsid w:val="006400D6"/>
    <w:rsid w:val="00643A29"/>
    <w:rsid w:val="00647A15"/>
    <w:rsid w:val="00660E77"/>
    <w:rsid w:val="006612EC"/>
    <w:rsid w:val="00663AE1"/>
    <w:rsid w:val="00665FB5"/>
    <w:rsid w:val="006701BE"/>
    <w:rsid w:val="00672D85"/>
    <w:rsid w:val="00677A86"/>
    <w:rsid w:val="00677DCD"/>
    <w:rsid w:val="00680147"/>
    <w:rsid w:val="00680CCB"/>
    <w:rsid w:val="0069117F"/>
    <w:rsid w:val="006973BF"/>
    <w:rsid w:val="006A1604"/>
    <w:rsid w:val="006A20F4"/>
    <w:rsid w:val="006A2E1B"/>
    <w:rsid w:val="006C2577"/>
    <w:rsid w:val="006C708F"/>
    <w:rsid w:val="006C752A"/>
    <w:rsid w:val="006D3293"/>
    <w:rsid w:val="006D4726"/>
    <w:rsid w:val="006D5884"/>
    <w:rsid w:val="006E12BD"/>
    <w:rsid w:val="006E4DF6"/>
    <w:rsid w:val="006F0ECB"/>
    <w:rsid w:val="006F1725"/>
    <w:rsid w:val="006F1994"/>
    <w:rsid w:val="006F50E4"/>
    <w:rsid w:val="006F5DF7"/>
    <w:rsid w:val="007104A4"/>
    <w:rsid w:val="0071361B"/>
    <w:rsid w:val="00716D45"/>
    <w:rsid w:val="00717F31"/>
    <w:rsid w:val="00723F8A"/>
    <w:rsid w:val="0072455B"/>
    <w:rsid w:val="007346E8"/>
    <w:rsid w:val="0073605E"/>
    <w:rsid w:val="00745468"/>
    <w:rsid w:val="007460E2"/>
    <w:rsid w:val="0075771F"/>
    <w:rsid w:val="00765A62"/>
    <w:rsid w:val="0077276A"/>
    <w:rsid w:val="007727F6"/>
    <w:rsid w:val="00772944"/>
    <w:rsid w:val="00772EE4"/>
    <w:rsid w:val="00775C29"/>
    <w:rsid w:val="0078342E"/>
    <w:rsid w:val="00787808"/>
    <w:rsid w:val="00787EDB"/>
    <w:rsid w:val="00791BF7"/>
    <w:rsid w:val="00797236"/>
    <w:rsid w:val="007A1D49"/>
    <w:rsid w:val="007A3D09"/>
    <w:rsid w:val="007A4F1A"/>
    <w:rsid w:val="007A64B5"/>
    <w:rsid w:val="007A6D31"/>
    <w:rsid w:val="007C3D4A"/>
    <w:rsid w:val="007C563F"/>
    <w:rsid w:val="007C7860"/>
    <w:rsid w:val="007E33DC"/>
    <w:rsid w:val="007E3A4B"/>
    <w:rsid w:val="007E5E42"/>
    <w:rsid w:val="007F07FF"/>
    <w:rsid w:val="007F5B8D"/>
    <w:rsid w:val="00801E62"/>
    <w:rsid w:val="00804485"/>
    <w:rsid w:val="008069B2"/>
    <w:rsid w:val="008109CA"/>
    <w:rsid w:val="008129B2"/>
    <w:rsid w:val="0081433F"/>
    <w:rsid w:val="00816B4F"/>
    <w:rsid w:val="0082080A"/>
    <w:rsid w:val="00823C28"/>
    <w:rsid w:val="00824C09"/>
    <w:rsid w:val="00826EFB"/>
    <w:rsid w:val="00831A65"/>
    <w:rsid w:val="008361CF"/>
    <w:rsid w:val="0084128B"/>
    <w:rsid w:val="0084219E"/>
    <w:rsid w:val="00845305"/>
    <w:rsid w:val="00846475"/>
    <w:rsid w:val="008509FF"/>
    <w:rsid w:val="00854D91"/>
    <w:rsid w:val="0086062C"/>
    <w:rsid w:val="008639F3"/>
    <w:rsid w:val="008663CB"/>
    <w:rsid w:val="00871E87"/>
    <w:rsid w:val="008769C9"/>
    <w:rsid w:val="00880205"/>
    <w:rsid w:val="00895566"/>
    <w:rsid w:val="008960AF"/>
    <w:rsid w:val="008A47BD"/>
    <w:rsid w:val="008B520F"/>
    <w:rsid w:val="008B7408"/>
    <w:rsid w:val="008C15BE"/>
    <w:rsid w:val="008C2955"/>
    <w:rsid w:val="008C7A88"/>
    <w:rsid w:val="008D5593"/>
    <w:rsid w:val="008D7397"/>
    <w:rsid w:val="008D7A08"/>
    <w:rsid w:val="008D7E1C"/>
    <w:rsid w:val="008E0E81"/>
    <w:rsid w:val="008E101C"/>
    <w:rsid w:val="008E2A87"/>
    <w:rsid w:val="008E3935"/>
    <w:rsid w:val="008E74B8"/>
    <w:rsid w:val="008F1705"/>
    <w:rsid w:val="0090418B"/>
    <w:rsid w:val="00904A5A"/>
    <w:rsid w:val="00905683"/>
    <w:rsid w:val="00905B95"/>
    <w:rsid w:val="00910F74"/>
    <w:rsid w:val="009127DC"/>
    <w:rsid w:val="009130D7"/>
    <w:rsid w:val="009146CC"/>
    <w:rsid w:val="00930EE8"/>
    <w:rsid w:val="00931DBB"/>
    <w:rsid w:val="00933F98"/>
    <w:rsid w:val="00943E14"/>
    <w:rsid w:val="009449C3"/>
    <w:rsid w:val="00946C43"/>
    <w:rsid w:val="00955830"/>
    <w:rsid w:val="0095604D"/>
    <w:rsid w:val="00956CA5"/>
    <w:rsid w:val="00956E67"/>
    <w:rsid w:val="00960000"/>
    <w:rsid w:val="009603DE"/>
    <w:rsid w:val="009622EA"/>
    <w:rsid w:val="00963B74"/>
    <w:rsid w:val="00966987"/>
    <w:rsid w:val="00973817"/>
    <w:rsid w:val="009849E8"/>
    <w:rsid w:val="00991628"/>
    <w:rsid w:val="0099483B"/>
    <w:rsid w:val="009A009E"/>
    <w:rsid w:val="009A129F"/>
    <w:rsid w:val="009A54C9"/>
    <w:rsid w:val="009B1319"/>
    <w:rsid w:val="009B63BB"/>
    <w:rsid w:val="009C39C1"/>
    <w:rsid w:val="009C54ED"/>
    <w:rsid w:val="009C5B32"/>
    <w:rsid w:val="009C692D"/>
    <w:rsid w:val="009D3537"/>
    <w:rsid w:val="009D4233"/>
    <w:rsid w:val="009D7EBC"/>
    <w:rsid w:val="009E0670"/>
    <w:rsid w:val="009E3EFD"/>
    <w:rsid w:val="009E4542"/>
    <w:rsid w:val="009F3D21"/>
    <w:rsid w:val="009F7B1F"/>
    <w:rsid w:val="00A06959"/>
    <w:rsid w:val="00A07A3B"/>
    <w:rsid w:val="00A10271"/>
    <w:rsid w:val="00A11EAA"/>
    <w:rsid w:val="00A12244"/>
    <w:rsid w:val="00A15C8A"/>
    <w:rsid w:val="00A21046"/>
    <w:rsid w:val="00A357B3"/>
    <w:rsid w:val="00A358BE"/>
    <w:rsid w:val="00A40C14"/>
    <w:rsid w:val="00A42BFE"/>
    <w:rsid w:val="00A45A51"/>
    <w:rsid w:val="00A512E6"/>
    <w:rsid w:val="00A5774F"/>
    <w:rsid w:val="00A579D5"/>
    <w:rsid w:val="00A71FA3"/>
    <w:rsid w:val="00A81A66"/>
    <w:rsid w:val="00A81F8D"/>
    <w:rsid w:val="00A85D5A"/>
    <w:rsid w:val="00A87A44"/>
    <w:rsid w:val="00A87BEA"/>
    <w:rsid w:val="00A93534"/>
    <w:rsid w:val="00AA05F8"/>
    <w:rsid w:val="00AA6757"/>
    <w:rsid w:val="00AA7F09"/>
    <w:rsid w:val="00AB12C7"/>
    <w:rsid w:val="00AB6D63"/>
    <w:rsid w:val="00AC29E0"/>
    <w:rsid w:val="00AD0960"/>
    <w:rsid w:val="00AD6929"/>
    <w:rsid w:val="00AE0973"/>
    <w:rsid w:val="00AE25B2"/>
    <w:rsid w:val="00AE5DB4"/>
    <w:rsid w:val="00B003EC"/>
    <w:rsid w:val="00B03946"/>
    <w:rsid w:val="00B04989"/>
    <w:rsid w:val="00B07A2F"/>
    <w:rsid w:val="00B11847"/>
    <w:rsid w:val="00B23667"/>
    <w:rsid w:val="00B3056A"/>
    <w:rsid w:val="00B367F2"/>
    <w:rsid w:val="00B42E8E"/>
    <w:rsid w:val="00B441ED"/>
    <w:rsid w:val="00B44349"/>
    <w:rsid w:val="00B44A65"/>
    <w:rsid w:val="00B47F17"/>
    <w:rsid w:val="00B50CCC"/>
    <w:rsid w:val="00B52446"/>
    <w:rsid w:val="00B5471E"/>
    <w:rsid w:val="00B842B3"/>
    <w:rsid w:val="00B968A4"/>
    <w:rsid w:val="00BA01A6"/>
    <w:rsid w:val="00BA37F6"/>
    <w:rsid w:val="00BA4B5C"/>
    <w:rsid w:val="00BA4BCB"/>
    <w:rsid w:val="00BB0B0A"/>
    <w:rsid w:val="00BD514E"/>
    <w:rsid w:val="00BD55CC"/>
    <w:rsid w:val="00BD67DD"/>
    <w:rsid w:val="00BE45A8"/>
    <w:rsid w:val="00BE4F08"/>
    <w:rsid w:val="00BF4FCD"/>
    <w:rsid w:val="00BF7998"/>
    <w:rsid w:val="00C00BA5"/>
    <w:rsid w:val="00C00D8B"/>
    <w:rsid w:val="00C05566"/>
    <w:rsid w:val="00C07B8F"/>
    <w:rsid w:val="00C07BFD"/>
    <w:rsid w:val="00C15695"/>
    <w:rsid w:val="00C34AE5"/>
    <w:rsid w:val="00C34FDB"/>
    <w:rsid w:val="00C35429"/>
    <w:rsid w:val="00C36065"/>
    <w:rsid w:val="00C422F6"/>
    <w:rsid w:val="00C42C56"/>
    <w:rsid w:val="00C554E0"/>
    <w:rsid w:val="00C6719B"/>
    <w:rsid w:val="00C74252"/>
    <w:rsid w:val="00C749DC"/>
    <w:rsid w:val="00C75D1F"/>
    <w:rsid w:val="00C85E83"/>
    <w:rsid w:val="00C95548"/>
    <w:rsid w:val="00CA0F59"/>
    <w:rsid w:val="00CA486C"/>
    <w:rsid w:val="00CA57DB"/>
    <w:rsid w:val="00CA6952"/>
    <w:rsid w:val="00CB1BEF"/>
    <w:rsid w:val="00CB1ECE"/>
    <w:rsid w:val="00CB2B25"/>
    <w:rsid w:val="00CB65E2"/>
    <w:rsid w:val="00CC11D8"/>
    <w:rsid w:val="00CC5133"/>
    <w:rsid w:val="00CD1343"/>
    <w:rsid w:val="00CD4243"/>
    <w:rsid w:val="00CE2107"/>
    <w:rsid w:val="00CE6871"/>
    <w:rsid w:val="00CE72BB"/>
    <w:rsid w:val="00CF0729"/>
    <w:rsid w:val="00D02B18"/>
    <w:rsid w:val="00D25D2E"/>
    <w:rsid w:val="00D32EDF"/>
    <w:rsid w:val="00D35791"/>
    <w:rsid w:val="00D37196"/>
    <w:rsid w:val="00D430DD"/>
    <w:rsid w:val="00D503F8"/>
    <w:rsid w:val="00D5134E"/>
    <w:rsid w:val="00D53B7F"/>
    <w:rsid w:val="00D55A37"/>
    <w:rsid w:val="00D56C1D"/>
    <w:rsid w:val="00D65530"/>
    <w:rsid w:val="00D658FB"/>
    <w:rsid w:val="00D700DF"/>
    <w:rsid w:val="00D70516"/>
    <w:rsid w:val="00D72F00"/>
    <w:rsid w:val="00D74699"/>
    <w:rsid w:val="00D75DCB"/>
    <w:rsid w:val="00D77770"/>
    <w:rsid w:val="00D81458"/>
    <w:rsid w:val="00D81FF7"/>
    <w:rsid w:val="00D8283F"/>
    <w:rsid w:val="00D8589F"/>
    <w:rsid w:val="00D86534"/>
    <w:rsid w:val="00D8727D"/>
    <w:rsid w:val="00D92D57"/>
    <w:rsid w:val="00DA26A4"/>
    <w:rsid w:val="00DB15BE"/>
    <w:rsid w:val="00DB1A1E"/>
    <w:rsid w:val="00DB6E6F"/>
    <w:rsid w:val="00DC10C1"/>
    <w:rsid w:val="00DC233E"/>
    <w:rsid w:val="00DC2E48"/>
    <w:rsid w:val="00DC7652"/>
    <w:rsid w:val="00DD0028"/>
    <w:rsid w:val="00DD2D67"/>
    <w:rsid w:val="00DD4222"/>
    <w:rsid w:val="00DE13DF"/>
    <w:rsid w:val="00DE3324"/>
    <w:rsid w:val="00DE7471"/>
    <w:rsid w:val="00DF024F"/>
    <w:rsid w:val="00DF796A"/>
    <w:rsid w:val="00E1692E"/>
    <w:rsid w:val="00E32C2A"/>
    <w:rsid w:val="00E353B4"/>
    <w:rsid w:val="00E50DEE"/>
    <w:rsid w:val="00E5167A"/>
    <w:rsid w:val="00E53960"/>
    <w:rsid w:val="00E82714"/>
    <w:rsid w:val="00E91F0B"/>
    <w:rsid w:val="00E95F07"/>
    <w:rsid w:val="00EB1465"/>
    <w:rsid w:val="00EC2B83"/>
    <w:rsid w:val="00EC4348"/>
    <w:rsid w:val="00ED522A"/>
    <w:rsid w:val="00ED7E0C"/>
    <w:rsid w:val="00EE0283"/>
    <w:rsid w:val="00EF2753"/>
    <w:rsid w:val="00EF36BE"/>
    <w:rsid w:val="00F01A19"/>
    <w:rsid w:val="00F0279C"/>
    <w:rsid w:val="00F0429A"/>
    <w:rsid w:val="00F04DFC"/>
    <w:rsid w:val="00F05B15"/>
    <w:rsid w:val="00F26D9D"/>
    <w:rsid w:val="00F270CF"/>
    <w:rsid w:val="00F30481"/>
    <w:rsid w:val="00F349FF"/>
    <w:rsid w:val="00F34A02"/>
    <w:rsid w:val="00F36CFC"/>
    <w:rsid w:val="00F37D5A"/>
    <w:rsid w:val="00F47574"/>
    <w:rsid w:val="00F57FD4"/>
    <w:rsid w:val="00F61EE3"/>
    <w:rsid w:val="00F63501"/>
    <w:rsid w:val="00F719BB"/>
    <w:rsid w:val="00F80CD8"/>
    <w:rsid w:val="00F82448"/>
    <w:rsid w:val="00F8246C"/>
    <w:rsid w:val="00F8631F"/>
    <w:rsid w:val="00F90CB5"/>
    <w:rsid w:val="00F92CE9"/>
    <w:rsid w:val="00F955C7"/>
    <w:rsid w:val="00FA3502"/>
    <w:rsid w:val="00FA7FB8"/>
    <w:rsid w:val="00FB252A"/>
    <w:rsid w:val="00FC0E84"/>
    <w:rsid w:val="00FC6700"/>
    <w:rsid w:val="00FD0192"/>
    <w:rsid w:val="00FE2A91"/>
    <w:rsid w:val="00FE64C2"/>
    <w:rsid w:val="00FE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D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2D85"/>
    <w:pPr>
      <w:spacing w:after="0" w:line="360" w:lineRule="auto"/>
      <w:jc w:val="both"/>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2EA"/>
    <w:pPr>
      <w:spacing w:after="0" w:line="360" w:lineRule="auto"/>
      <w:jc w:val="both"/>
    </w:pPr>
    <w:rPr>
      <w:rFonts w:ascii="Calisto MT" w:eastAsia="Calibri" w:hAnsi="Calisto MT" w:cs="Times New Roman"/>
      <w:sz w:val="24"/>
    </w:rPr>
  </w:style>
  <w:style w:type="paragraph" w:styleId="FootnoteText">
    <w:name w:val="footnote text"/>
    <w:basedOn w:val="Normal"/>
    <w:link w:val="FootnoteTextChar"/>
    <w:uiPriority w:val="99"/>
    <w:unhideWhenUsed/>
    <w:rsid w:val="00910F74"/>
    <w:pPr>
      <w:spacing w:line="240" w:lineRule="auto"/>
    </w:pPr>
    <w:rPr>
      <w:sz w:val="20"/>
      <w:szCs w:val="20"/>
    </w:rPr>
  </w:style>
  <w:style w:type="character" w:customStyle="1" w:styleId="FootnoteTextChar">
    <w:name w:val="Footnote Text Char"/>
    <w:basedOn w:val="DefaultParagraphFont"/>
    <w:link w:val="FootnoteText"/>
    <w:uiPriority w:val="99"/>
    <w:rsid w:val="00910F74"/>
    <w:rPr>
      <w:rFonts w:ascii="Calisto MT" w:hAnsi="Calisto MT" w:cs="Times New Roman"/>
      <w:sz w:val="20"/>
      <w:szCs w:val="20"/>
      <w:lang w:eastAsia="en-GB"/>
    </w:rPr>
  </w:style>
  <w:style w:type="character" w:styleId="FootnoteReference">
    <w:name w:val="footnote reference"/>
    <w:basedOn w:val="DefaultParagraphFont"/>
    <w:uiPriority w:val="99"/>
    <w:semiHidden/>
    <w:unhideWhenUsed/>
    <w:rsid w:val="00910F74"/>
    <w:rPr>
      <w:vertAlign w:val="superscript"/>
    </w:rPr>
  </w:style>
  <w:style w:type="paragraph" w:styleId="Header">
    <w:name w:val="header"/>
    <w:basedOn w:val="Normal"/>
    <w:link w:val="HeaderChar"/>
    <w:uiPriority w:val="99"/>
    <w:unhideWhenUsed/>
    <w:rsid w:val="00D70516"/>
    <w:pPr>
      <w:tabs>
        <w:tab w:val="center" w:pos="4513"/>
        <w:tab w:val="right" w:pos="9026"/>
      </w:tabs>
      <w:spacing w:line="240" w:lineRule="auto"/>
    </w:pPr>
  </w:style>
  <w:style w:type="character" w:customStyle="1" w:styleId="HeaderChar">
    <w:name w:val="Header Char"/>
    <w:basedOn w:val="DefaultParagraphFont"/>
    <w:link w:val="Header"/>
    <w:uiPriority w:val="99"/>
    <w:rsid w:val="00D70516"/>
    <w:rPr>
      <w:rFonts w:ascii="Calisto MT" w:hAnsi="Calisto MT" w:cs="Times New Roman"/>
      <w:sz w:val="24"/>
      <w:szCs w:val="24"/>
      <w:lang w:eastAsia="en-GB"/>
    </w:rPr>
  </w:style>
  <w:style w:type="paragraph" w:styleId="Footer">
    <w:name w:val="footer"/>
    <w:basedOn w:val="Normal"/>
    <w:link w:val="FooterChar"/>
    <w:uiPriority w:val="99"/>
    <w:unhideWhenUsed/>
    <w:rsid w:val="00D70516"/>
    <w:pPr>
      <w:tabs>
        <w:tab w:val="center" w:pos="4513"/>
        <w:tab w:val="right" w:pos="9026"/>
      </w:tabs>
      <w:spacing w:line="240" w:lineRule="auto"/>
    </w:pPr>
  </w:style>
  <w:style w:type="character" w:customStyle="1" w:styleId="FooterChar">
    <w:name w:val="Footer Char"/>
    <w:basedOn w:val="DefaultParagraphFont"/>
    <w:link w:val="Footer"/>
    <w:uiPriority w:val="99"/>
    <w:rsid w:val="00D70516"/>
    <w:rPr>
      <w:rFonts w:ascii="Calisto MT" w:hAnsi="Calisto MT" w:cs="Times New Roman"/>
      <w:sz w:val="24"/>
      <w:szCs w:val="24"/>
      <w:lang w:eastAsia="en-GB"/>
    </w:rPr>
  </w:style>
  <w:style w:type="paragraph" w:styleId="BalloonText">
    <w:name w:val="Balloon Text"/>
    <w:basedOn w:val="Normal"/>
    <w:link w:val="BalloonTextChar"/>
    <w:uiPriority w:val="99"/>
    <w:semiHidden/>
    <w:unhideWhenUsed/>
    <w:rsid w:val="00587A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A18"/>
    <w:rPr>
      <w:rFonts w:ascii="Tahoma" w:hAnsi="Tahoma" w:cs="Tahoma"/>
      <w:sz w:val="16"/>
      <w:szCs w:val="16"/>
      <w:lang w:eastAsia="en-GB"/>
    </w:rPr>
  </w:style>
  <w:style w:type="table" w:styleId="TableGrid">
    <w:name w:val="Table Grid"/>
    <w:basedOn w:val="TableNormal"/>
    <w:uiPriority w:val="59"/>
    <w:rsid w:val="00F0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3502"/>
    <w:rPr>
      <w:sz w:val="16"/>
      <w:szCs w:val="16"/>
    </w:rPr>
  </w:style>
  <w:style w:type="paragraph" w:styleId="CommentText">
    <w:name w:val="annotation text"/>
    <w:basedOn w:val="Normal"/>
    <w:link w:val="CommentTextChar"/>
    <w:uiPriority w:val="99"/>
    <w:semiHidden/>
    <w:unhideWhenUsed/>
    <w:rsid w:val="00FA3502"/>
    <w:pPr>
      <w:spacing w:line="240" w:lineRule="auto"/>
    </w:pPr>
    <w:rPr>
      <w:sz w:val="20"/>
      <w:szCs w:val="20"/>
    </w:rPr>
  </w:style>
  <w:style w:type="character" w:customStyle="1" w:styleId="CommentTextChar">
    <w:name w:val="Comment Text Char"/>
    <w:basedOn w:val="DefaultParagraphFont"/>
    <w:link w:val="CommentText"/>
    <w:uiPriority w:val="99"/>
    <w:semiHidden/>
    <w:rsid w:val="00FA3502"/>
    <w:rPr>
      <w:rFonts w:ascii="Calisto MT" w:hAnsi="Calisto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A3502"/>
    <w:rPr>
      <w:b/>
      <w:bCs/>
    </w:rPr>
  </w:style>
  <w:style w:type="character" w:customStyle="1" w:styleId="CommentSubjectChar">
    <w:name w:val="Comment Subject Char"/>
    <w:basedOn w:val="CommentTextChar"/>
    <w:link w:val="CommentSubject"/>
    <w:uiPriority w:val="99"/>
    <w:semiHidden/>
    <w:rsid w:val="00FA3502"/>
    <w:rPr>
      <w:rFonts w:ascii="Calisto MT" w:hAnsi="Calisto MT" w:cs="Times New Roman"/>
      <w:b/>
      <w:bCs/>
      <w:sz w:val="20"/>
      <w:szCs w:val="20"/>
      <w:lang w:eastAsia="en-GB"/>
    </w:rPr>
  </w:style>
  <w:style w:type="paragraph" w:styleId="ListParagraph">
    <w:name w:val="List Paragraph"/>
    <w:basedOn w:val="Normal"/>
    <w:uiPriority w:val="34"/>
    <w:qFormat/>
    <w:rsid w:val="008E3935"/>
    <w:pPr>
      <w:ind w:left="720"/>
      <w:contextualSpacing/>
    </w:pPr>
  </w:style>
  <w:style w:type="character" w:styleId="Hyperlink">
    <w:name w:val="Hyperlink"/>
    <w:basedOn w:val="DefaultParagraphFont"/>
    <w:uiPriority w:val="99"/>
    <w:unhideWhenUsed/>
    <w:rsid w:val="009F7B1F"/>
    <w:rPr>
      <w:color w:val="0000FF" w:themeColor="hyperlink"/>
      <w:u w:val="single"/>
    </w:rPr>
  </w:style>
  <w:style w:type="character" w:styleId="UnresolvedMention">
    <w:name w:val="Unresolved Mention"/>
    <w:basedOn w:val="DefaultParagraphFont"/>
    <w:uiPriority w:val="99"/>
    <w:semiHidden/>
    <w:unhideWhenUsed/>
    <w:rsid w:val="009F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337">
      <w:bodyDiv w:val="1"/>
      <w:marLeft w:val="0"/>
      <w:marRight w:val="0"/>
      <w:marTop w:val="0"/>
      <w:marBottom w:val="0"/>
      <w:divBdr>
        <w:top w:val="none" w:sz="0" w:space="0" w:color="auto"/>
        <w:left w:val="none" w:sz="0" w:space="0" w:color="auto"/>
        <w:bottom w:val="none" w:sz="0" w:space="0" w:color="auto"/>
        <w:right w:val="none" w:sz="0" w:space="0" w:color="auto"/>
      </w:divBdr>
      <w:divsChild>
        <w:div w:id="132716239">
          <w:marLeft w:val="547"/>
          <w:marRight w:val="0"/>
          <w:marTop w:val="200"/>
          <w:marBottom w:val="0"/>
          <w:divBdr>
            <w:top w:val="none" w:sz="0" w:space="0" w:color="auto"/>
            <w:left w:val="none" w:sz="0" w:space="0" w:color="auto"/>
            <w:bottom w:val="none" w:sz="0" w:space="0" w:color="auto"/>
            <w:right w:val="none" w:sz="0" w:space="0" w:color="auto"/>
          </w:divBdr>
        </w:div>
        <w:div w:id="877006317">
          <w:marLeft w:val="547"/>
          <w:marRight w:val="0"/>
          <w:marTop w:val="200"/>
          <w:marBottom w:val="0"/>
          <w:divBdr>
            <w:top w:val="none" w:sz="0" w:space="0" w:color="auto"/>
            <w:left w:val="none" w:sz="0" w:space="0" w:color="auto"/>
            <w:bottom w:val="none" w:sz="0" w:space="0" w:color="auto"/>
            <w:right w:val="none" w:sz="0" w:space="0" w:color="auto"/>
          </w:divBdr>
        </w:div>
        <w:div w:id="820540090">
          <w:marLeft w:val="547"/>
          <w:marRight w:val="0"/>
          <w:marTop w:val="200"/>
          <w:marBottom w:val="0"/>
          <w:divBdr>
            <w:top w:val="none" w:sz="0" w:space="0" w:color="auto"/>
            <w:left w:val="none" w:sz="0" w:space="0" w:color="auto"/>
            <w:bottom w:val="none" w:sz="0" w:space="0" w:color="auto"/>
            <w:right w:val="none" w:sz="0" w:space="0" w:color="auto"/>
          </w:divBdr>
        </w:div>
        <w:div w:id="1581599189">
          <w:marLeft w:val="547"/>
          <w:marRight w:val="0"/>
          <w:marTop w:val="200"/>
          <w:marBottom w:val="0"/>
          <w:divBdr>
            <w:top w:val="none" w:sz="0" w:space="0" w:color="auto"/>
            <w:left w:val="none" w:sz="0" w:space="0" w:color="auto"/>
            <w:bottom w:val="none" w:sz="0" w:space="0" w:color="auto"/>
            <w:right w:val="none" w:sz="0" w:space="0" w:color="auto"/>
          </w:divBdr>
        </w:div>
      </w:divsChild>
    </w:div>
    <w:div w:id="28770507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57">
          <w:marLeft w:val="0"/>
          <w:marRight w:val="0"/>
          <w:marTop w:val="0"/>
          <w:marBottom w:val="0"/>
          <w:divBdr>
            <w:top w:val="none" w:sz="0" w:space="0" w:color="auto"/>
            <w:left w:val="none" w:sz="0" w:space="0" w:color="auto"/>
            <w:bottom w:val="none" w:sz="0" w:space="0" w:color="auto"/>
            <w:right w:val="none" w:sz="0" w:space="0" w:color="auto"/>
          </w:divBdr>
          <w:divsChild>
            <w:div w:id="804471311">
              <w:marLeft w:val="0"/>
              <w:marRight w:val="0"/>
              <w:marTop w:val="0"/>
              <w:marBottom w:val="0"/>
              <w:divBdr>
                <w:top w:val="none" w:sz="0" w:space="0" w:color="auto"/>
                <w:left w:val="none" w:sz="0" w:space="0" w:color="auto"/>
                <w:bottom w:val="none" w:sz="0" w:space="0" w:color="auto"/>
                <w:right w:val="none" w:sz="0" w:space="0" w:color="auto"/>
              </w:divBdr>
              <w:divsChild>
                <w:div w:id="999191598">
                  <w:marLeft w:val="0"/>
                  <w:marRight w:val="0"/>
                  <w:marTop w:val="1305"/>
                  <w:marBottom w:val="0"/>
                  <w:divBdr>
                    <w:top w:val="none" w:sz="0" w:space="0" w:color="auto"/>
                    <w:left w:val="none" w:sz="0" w:space="0" w:color="auto"/>
                    <w:bottom w:val="none" w:sz="0" w:space="0" w:color="auto"/>
                    <w:right w:val="none" w:sz="0" w:space="0" w:color="auto"/>
                  </w:divBdr>
                  <w:divsChild>
                    <w:div w:id="1759256246">
                      <w:marLeft w:val="-225"/>
                      <w:marRight w:val="-225"/>
                      <w:marTop w:val="0"/>
                      <w:marBottom w:val="0"/>
                      <w:divBdr>
                        <w:top w:val="none" w:sz="0" w:space="0" w:color="auto"/>
                        <w:left w:val="none" w:sz="0" w:space="0" w:color="auto"/>
                        <w:bottom w:val="none" w:sz="0" w:space="0" w:color="auto"/>
                        <w:right w:val="none" w:sz="0" w:space="0" w:color="auto"/>
                      </w:divBdr>
                      <w:divsChild>
                        <w:div w:id="577982229">
                          <w:marLeft w:val="0"/>
                          <w:marRight w:val="0"/>
                          <w:marTop w:val="0"/>
                          <w:marBottom w:val="0"/>
                          <w:divBdr>
                            <w:top w:val="none" w:sz="0" w:space="0" w:color="auto"/>
                            <w:left w:val="none" w:sz="0" w:space="0" w:color="auto"/>
                            <w:bottom w:val="none" w:sz="0" w:space="0" w:color="auto"/>
                            <w:right w:val="none" w:sz="0" w:space="0" w:color="auto"/>
                          </w:divBdr>
                          <w:divsChild>
                            <w:div w:id="227155744">
                              <w:marLeft w:val="0"/>
                              <w:marRight w:val="0"/>
                              <w:marTop w:val="0"/>
                              <w:marBottom w:val="0"/>
                              <w:divBdr>
                                <w:top w:val="none" w:sz="0" w:space="0" w:color="auto"/>
                                <w:left w:val="none" w:sz="0" w:space="0" w:color="auto"/>
                                <w:bottom w:val="none" w:sz="0" w:space="0" w:color="auto"/>
                                <w:right w:val="none" w:sz="0" w:space="0" w:color="auto"/>
                              </w:divBdr>
                              <w:divsChild>
                                <w:div w:id="2095349292">
                                  <w:marLeft w:val="-150"/>
                                  <w:marRight w:val="-150"/>
                                  <w:marTop w:val="0"/>
                                  <w:marBottom w:val="0"/>
                                  <w:divBdr>
                                    <w:top w:val="none" w:sz="0" w:space="0" w:color="auto"/>
                                    <w:left w:val="none" w:sz="0" w:space="0" w:color="auto"/>
                                    <w:bottom w:val="none" w:sz="0" w:space="0" w:color="auto"/>
                                    <w:right w:val="none" w:sz="0" w:space="0" w:color="auto"/>
                                  </w:divBdr>
                                  <w:divsChild>
                                    <w:div w:id="1402866602">
                                      <w:marLeft w:val="0"/>
                                      <w:marRight w:val="0"/>
                                      <w:marTop w:val="0"/>
                                      <w:marBottom w:val="0"/>
                                      <w:divBdr>
                                        <w:top w:val="none" w:sz="0" w:space="0" w:color="auto"/>
                                        <w:left w:val="none" w:sz="0" w:space="0" w:color="auto"/>
                                        <w:bottom w:val="none" w:sz="0" w:space="0" w:color="auto"/>
                                        <w:right w:val="none" w:sz="0" w:space="0" w:color="auto"/>
                                      </w:divBdr>
                                      <w:divsChild>
                                        <w:div w:id="916406515">
                                          <w:marLeft w:val="0"/>
                                          <w:marRight w:val="0"/>
                                          <w:marTop w:val="0"/>
                                          <w:marBottom w:val="0"/>
                                          <w:divBdr>
                                            <w:top w:val="none" w:sz="0" w:space="0" w:color="auto"/>
                                            <w:left w:val="none" w:sz="0" w:space="0" w:color="auto"/>
                                            <w:bottom w:val="none" w:sz="0" w:space="0" w:color="auto"/>
                                            <w:right w:val="none" w:sz="0" w:space="0" w:color="auto"/>
                                          </w:divBdr>
                                          <w:divsChild>
                                            <w:div w:id="1265192707">
                                              <w:marLeft w:val="0"/>
                                              <w:marRight w:val="0"/>
                                              <w:marTop w:val="0"/>
                                              <w:marBottom w:val="0"/>
                                              <w:divBdr>
                                                <w:top w:val="none" w:sz="0" w:space="0" w:color="auto"/>
                                                <w:left w:val="none" w:sz="0" w:space="0" w:color="auto"/>
                                                <w:bottom w:val="none" w:sz="0" w:space="0" w:color="auto"/>
                                                <w:right w:val="none" w:sz="0" w:space="0" w:color="auto"/>
                                              </w:divBdr>
                                              <w:divsChild>
                                                <w:div w:id="1751997318">
                                                  <w:marLeft w:val="0"/>
                                                  <w:marRight w:val="0"/>
                                                  <w:marTop w:val="0"/>
                                                  <w:marBottom w:val="0"/>
                                                  <w:divBdr>
                                                    <w:top w:val="none" w:sz="0" w:space="0" w:color="auto"/>
                                                    <w:left w:val="none" w:sz="0" w:space="0" w:color="auto"/>
                                                    <w:bottom w:val="none" w:sz="0" w:space="0" w:color="auto"/>
                                                    <w:right w:val="none" w:sz="0" w:space="0" w:color="auto"/>
                                                  </w:divBdr>
                                                  <w:divsChild>
                                                    <w:div w:id="295574049">
                                                      <w:marLeft w:val="150"/>
                                                      <w:marRight w:val="150"/>
                                                      <w:marTop w:val="150"/>
                                                      <w:marBottom w:val="300"/>
                                                      <w:divBdr>
                                                        <w:top w:val="none" w:sz="0" w:space="0" w:color="auto"/>
                                                        <w:left w:val="none" w:sz="0" w:space="0" w:color="auto"/>
                                                        <w:bottom w:val="none" w:sz="0" w:space="0" w:color="auto"/>
                                                        <w:right w:val="none" w:sz="0" w:space="0" w:color="auto"/>
                                                      </w:divBdr>
                                                      <w:divsChild>
                                                        <w:div w:id="105387720">
                                                          <w:marLeft w:val="0"/>
                                                          <w:marRight w:val="0"/>
                                                          <w:marTop w:val="0"/>
                                                          <w:marBottom w:val="0"/>
                                                          <w:divBdr>
                                                            <w:top w:val="none" w:sz="0" w:space="0" w:color="auto"/>
                                                            <w:left w:val="none" w:sz="0" w:space="0" w:color="auto"/>
                                                            <w:bottom w:val="none" w:sz="0" w:space="0" w:color="auto"/>
                                                            <w:right w:val="none" w:sz="0" w:space="0" w:color="auto"/>
                                                          </w:divBdr>
                                                          <w:divsChild>
                                                            <w:div w:id="223757407">
                                                              <w:marLeft w:val="0"/>
                                                              <w:marRight w:val="0"/>
                                                              <w:marTop w:val="0"/>
                                                              <w:marBottom w:val="0"/>
                                                              <w:divBdr>
                                                                <w:top w:val="none" w:sz="0" w:space="0" w:color="auto"/>
                                                                <w:left w:val="none" w:sz="0" w:space="0" w:color="auto"/>
                                                                <w:bottom w:val="none" w:sz="0" w:space="0" w:color="auto"/>
                                                                <w:right w:val="none" w:sz="0" w:space="0" w:color="auto"/>
                                                              </w:divBdr>
                                                              <w:divsChild>
                                                                <w:div w:id="670374404">
                                                                  <w:marLeft w:val="0"/>
                                                                  <w:marRight w:val="0"/>
                                                                  <w:marTop w:val="0"/>
                                                                  <w:marBottom w:val="0"/>
                                                                  <w:divBdr>
                                                                    <w:top w:val="none" w:sz="0" w:space="0" w:color="auto"/>
                                                                    <w:left w:val="none" w:sz="0" w:space="0" w:color="auto"/>
                                                                    <w:bottom w:val="none" w:sz="0" w:space="0" w:color="auto"/>
                                                                    <w:right w:val="none" w:sz="0" w:space="0" w:color="auto"/>
                                                                  </w:divBdr>
                                                                  <w:divsChild>
                                                                    <w:div w:id="638263011">
                                                                      <w:marLeft w:val="0"/>
                                                                      <w:marRight w:val="0"/>
                                                                      <w:marTop w:val="0"/>
                                                                      <w:marBottom w:val="0"/>
                                                                      <w:divBdr>
                                                                        <w:top w:val="none" w:sz="0" w:space="0" w:color="auto"/>
                                                                        <w:left w:val="none" w:sz="0" w:space="0" w:color="auto"/>
                                                                        <w:bottom w:val="none" w:sz="0" w:space="0" w:color="auto"/>
                                                                        <w:right w:val="none" w:sz="0" w:space="0" w:color="auto"/>
                                                                      </w:divBdr>
                                                                    </w:div>
                                                                    <w:div w:id="1947616267">
                                                                      <w:marLeft w:val="0"/>
                                                                      <w:marRight w:val="0"/>
                                                                      <w:marTop w:val="0"/>
                                                                      <w:marBottom w:val="0"/>
                                                                      <w:divBdr>
                                                                        <w:top w:val="none" w:sz="0" w:space="0" w:color="auto"/>
                                                                        <w:left w:val="none" w:sz="0" w:space="0" w:color="auto"/>
                                                                        <w:bottom w:val="none" w:sz="0" w:space="0" w:color="auto"/>
                                                                        <w:right w:val="none" w:sz="0" w:space="0" w:color="auto"/>
                                                                      </w:divBdr>
                                                                    </w:div>
                                                                    <w:div w:id="2005162145">
                                                                      <w:marLeft w:val="0"/>
                                                                      <w:marRight w:val="0"/>
                                                                      <w:marTop w:val="0"/>
                                                                      <w:marBottom w:val="0"/>
                                                                      <w:divBdr>
                                                                        <w:top w:val="none" w:sz="0" w:space="0" w:color="auto"/>
                                                                        <w:left w:val="none" w:sz="0" w:space="0" w:color="auto"/>
                                                                        <w:bottom w:val="none" w:sz="0" w:space="0" w:color="auto"/>
                                                                        <w:right w:val="none" w:sz="0" w:space="0" w:color="auto"/>
                                                                      </w:divBdr>
                                                                    </w:div>
                                                                    <w:div w:id="1119644225">
                                                                      <w:marLeft w:val="0"/>
                                                                      <w:marRight w:val="0"/>
                                                                      <w:marTop w:val="0"/>
                                                                      <w:marBottom w:val="0"/>
                                                                      <w:divBdr>
                                                                        <w:top w:val="none" w:sz="0" w:space="0" w:color="auto"/>
                                                                        <w:left w:val="none" w:sz="0" w:space="0" w:color="auto"/>
                                                                        <w:bottom w:val="none" w:sz="0" w:space="0" w:color="auto"/>
                                                                        <w:right w:val="none" w:sz="0" w:space="0" w:color="auto"/>
                                                                      </w:divBdr>
                                                                    </w:div>
                                                                    <w:div w:id="19397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7284252">
      <w:bodyDiv w:val="1"/>
      <w:marLeft w:val="0"/>
      <w:marRight w:val="0"/>
      <w:marTop w:val="0"/>
      <w:marBottom w:val="0"/>
      <w:divBdr>
        <w:top w:val="none" w:sz="0" w:space="0" w:color="auto"/>
        <w:left w:val="none" w:sz="0" w:space="0" w:color="auto"/>
        <w:bottom w:val="none" w:sz="0" w:space="0" w:color="auto"/>
        <w:right w:val="none" w:sz="0" w:space="0" w:color="auto"/>
      </w:divBdr>
      <w:divsChild>
        <w:div w:id="911817553">
          <w:marLeft w:val="576"/>
          <w:marRight w:val="0"/>
          <w:marTop w:val="120"/>
          <w:marBottom w:val="0"/>
          <w:divBdr>
            <w:top w:val="none" w:sz="0" w:space="0" w:color="auto"/>
            <w:left w:val="none" w:sz="0" w:space="0" w:color="auto"/>
            <w:bottom w:val="none" w:sz="0" w:space="0" w:color="auto"/>
            <w:right w:val="none" w:sz="0" w:space="0" w:color="auto"/>
          </w:divBdr>
        </w:div>
      </w:divsChild>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1089427988">
      <w:bodyDiv w:val="1"/>
      <w:marLeft w:val="0"/>
      <w:marRight w:val="0"/>
      <w:marTop w:val="0"/>
      <w:marBottom w:val="0"/>
      <w:divBdr>
        <w:top w:val="none" w:sz="0" w:space="0" w:color="auto"/>
        <w:left w:val="none" w:sz="0" w:space="0" w:color="auto"/>
        <w:bottom w:val="none" w:sz="0" w:space="0" w:color="auto"/>
        <w:right w:val="none" w:sz="0" w:space="0" w:color="auto"/>
      </w:divBdr>
    </w:div>
    <w:div w:id="1354259610">
      <w:bodyDiv w:val="1"/>
      <w:marLeft w:val="0"/>
      <w:marRight w:val="0"/>
      <w:marTop w:val="0"/>
      <w:marBottom w:val="0"/>
      <w:divBdr>
        <w:top w:val="none" w:sz="0" w:space="0" w:color="auto"/>
        <w:left w:val="none" w:sz="0" w:space="0" w:color="auto"/>
        <w:bottom w:val="none" w:sz="0" w:space="0" w:color="auto"/>
        <w:right w:val="none" w:sz="0" w:space="0" w:color="auto"/>
      </w:divBdr>
    </w:div>
    <w:div w:id="1450277516">
      <w:bodyDiv w:val="1"/>
      <w:marLeft w:val="0"/>
      <w:marRight w:val="0"/>
      <w:marTop w:val="0"/>
      <w:marBottom w:val="0"/>
      <w:divBdr>
        <w:top w:val="none" w:sz="0" w:space="0" w:color="auto"/>
        <w:left w:val="none" w:sz="0" w:space="0" w:color="auto"/>
        <w:bottom w:val="none" w:sz="0" w:space="0" w:color="auto"/>
        <w:right w:val="none" w:sz="0" w:space="0" w:color="auto"/>
      </w:divBdr>
    </w:div>
    <w:div w:id="1748381327">
      <w:bodyDiv w:val="1"/>
      <w:marLeft w:val="0"/>
      <w:marRight w:val="0"/>
      <w:marTop w:val="0"/>
      <w:marBottom w:val="0"/>
      <w:divBdr>
        <w:top w:val="none" w:sz="0" w:space="0" w:color="auto"/>
        <w:left w:val="none" w:sz="0" w:space="0" w:color="auto"/>
        <w:bottom w:val="none" w:sz="0" w:space="0" w:color="auto"/>
        <w:right w:val="none" w:sz="0" w:space="0" w:color="auto"/>
      </w:divBdr>
    </w:div>
    <w:div w:id="1875262811">
      <w:bodyDiv w:val="1"/>
      <w:marLeft w:val="0"/>
      <w:marRight w:val="0"/>
      <w:marTop w:val="0"/>
      <w:marBottom w:val="0"/>
      <w:divBdr>
        <w:top w:val="none" w:sz="0" w:space="0" w:color="auto"/>
        <w:left w:val="none" w:sz="0" w:space="0" w:color="auto"/>
        <w:bottom w:val="none" w:sz="0" w:space="0" w:color="auto"/>
        <w:right w:val="none" w:sz="0" w:space="0" w:color="auto"/>
      </w:divBdr>
      <w:divsChild>
        <w:div w:id="1356426764">
          <w:marLeft w:val="576"/>
          <w:marRight w:val="0"/>
          <w:marTop w:val="120"/>
          <w:marBottom w:val="0"/>
          <w:divBdr>
            <w:top w:val="none" w:sz="0" w:space="0" w:color="auto"/>
            <w:left w:val="none" w:sz="0" w:space="0" w:color="auto"/>
            <w:bottom w:val="none" w:sz="0" w:space="0" w:color="auto"/>
            <w:right w:val="none" w:sz="0" w:space="0" w:color="auto"/>
          </w:divBdr>
        </w:div>
      </w:divsChild>
    </w:div>
    <w:div w:id="1974367667">
      <w:bodyDiv w:val="1"/>
      <w:marLeft w:val="0"/>
      <w:marRight w:val="0"/>
      <w:marTop w:val="0"/>
      <w:marBottom w:val="0"/>
      <w:divBdr>
        <w:top w:val="none" w:sz="0" w:space="0" w:color="auto"/>
        <w:left w:val="none" w:sz="0" w:space="0" w:color="auto"/>
        <w:bottom w:val="none" w:sz="0" w:space="0" w:color="auto"/>
        <w:right w:val="none" w:sz="0" w:space="0" w:color="auto"/>
      </w:divBdr>
    </w:div>
    <w:div w:id="2074549272">
      <w:bodyDiv w:val="1"/>
      <w:marLeft w:val="0"/>
      <w:marRight w:val="0"/>
      <w:marTop w:val="0"/>
      <w:marBottom w:val="0"/>
      <w:divBdr>
        <w:top w:val="none" w:sz="0" w:space="0" w:color="auto"/>
        <w:left w:val="none" w:sz="0" w:space="0" w:color="auto"/>
        <w:bottom w:val="none" w:sz="0" w:space="0" w:color="auto"/>
        <w:right w:val="none" w:sz="0" w:space="0" w:color="auto"/>
      </w:divBdr>
      <w:divsChild>
        <w:div w:id="1354769394">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8669</Words>
  <Characters>49156</Characters>
  <Application>Microsoft Office Word</Application>
  <DocSecurity>0</DocSecurity>
  <Lines>712</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2020-06-03T12:07:00Z</dcterms:created>
  <dcterms:modified xsi:type="dcterms:W3CDTF">2020-06-03T12:07:00Z</dcterms:modified>
</cp:coreProperties>
</file>