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41E" w:rsidRPr="00F9071F" w:rsidRDefault="00967A8E">
      <w:pPr>
        <w:spacing w:before="100" w:after="0" w:line="480" w:lineRule="auto"/>
        <w:rPr>
          <w:rFonts w:ascii="Garamond" w:eastAsia="Libre Baskerville" w:hAnsi="Garamond" w:cs="Libre Baskerville"/>
          <w:b/>
          <w:sz w:val="24"/>
          <w:szCs w:val="24"/>
        </w:rPr>
      </w:pPr>
      <w:r w:rsidRPr="00F9071F">
        <w:rPr>
          <w:rFonts w:ascii="Garamond" w:eastAsia="Libre Baskerville" w:hAnsi="Garamond" w:cs="Libre Baskerville"/>
          <w:b/>
          <w:sz w:val="24"/>
          <w:szCs w:val="24"/>
        </w:rPr>
        <w:t>Gender as a historical kind: a tale of two genders?</w:t>
      </w:r>
    </w:p>
    <w:p w:rsidR="00254B59" w:rsidRDefault="00254B59">
      <w:pPr>
        <w:spacing w:before="100" w:after="0" w:line="480" w:lineRule="auto"/>
        <w:rPr>
          <w:rFonts w:ascii="Garamond" w:eastAsia="Libre Baskerville" w:hAnsi="Garamond" w:cs="Libre Baskerville"/>
          <w:b/>
          <w:i/>
          <w:sz w:val="24"/>
          <w:szCs w:val="24"/>
        </w:rPr>
      </w:pPr>
      <w:r>
        <w:rPr>
          <w:rFonts w:ascii="Garamond" w:eastAsia="Libre Baskerville" w:hAnsi="Garamond" w:cs="Libre Baskerville"/>
          <w:b/>
          <w:sz w:val="24"/>
          <w:szCs w:val="24"/>
        </w:rPr>
        <w:t xml:space="preserve">Forthcoming in </w:t>
      </w:r>
      <w:r w:rsidRPr="00254B59">
        <w:rPr>
          <w:rFonts w:ascii="Garamond" w:eastAsia="Libre Baskerville" w:hAnsi="Garamond" w:cs="Libre Baskerville"/>
          <w:b/>
          <w:i/>
          <w:sz w:val="24"/>
          <w:szCs w:val="24"/>
        </w:rPr>
        <w:t>Biology and Philosophy</w:t>
      </w:r>
    </w:p>
    <w:p w:rsidR="00254B59" w:rsidRDefault="00254B59">
      <w:pPr>
        <w:spacing w:before="100" w:after="0" w:line="480" w:lineRule="auto"/>
        <w:rPr>
          <w:rFonts w:ascii="Garamond" w:eastAsia="Libre Baskerville" w:hAnsi="Garamond" w:cs="Libre Baskerville"/>
          <w:b/>
          <w:i/>
          <w:sz w:val="24"/>
          <w:szCs w:val="24"/>
        </w:rPr>
      </w:pPr>
    </w:p>
    <w:p w:rsidR="00254B59" w:rsidRDefault="00254B59">
      <w:pPr>
        <w:spacing w:before="100" w:after="0" w:line="480" w:lineRule="auto"/>
        <w:rPr>
          <w:rFonts w:ascii="Garamond" w:eastAsia="Libre Baskerville" w:hAnsi="Garamond" w:cs="Libre Baskerville"/>
          <w:b/>
          <w:sz w:val="24"/>
          <w:szCs w:val="24"/>
        </w:rPr>
      </w:pPr>
      <w:r>
        <w:rPr>
          <w:rFonts w:ascii="Garamond" w:eastAsia="Libre Baskerville" w:hAnsi="Garamond" w:cs="Libre Baskerville"/>
          <w:b/>
          <w:i/>
          <w:sz w:val="24"/>
          <w:szCs w:val="24"/>
        </w:rPr>
        <w:t>Marion Godman</w:t>
      </w:r>
      <w:bookmarkStart w:id="0" w:name="_GoBack"/>
      <w:bookmarkEnd w:id="0"/>
    </w:p>
    <w:p w:rsidR="00254B59" w:rsidRDefault="00254B59">
      <w:pPr>
        <w:spacing w:before="100" w:after="0" w:line="480" w:lineRule="auto"/>
        <w:rPr>
          <w:rFonts w:ascii="Garamond" w:eastAsia="Libre Baskerville" w:hAnsi="Garamond" w:cs="Libre Baskerville"/>
          <w:b/>
          <w:sz w:val="24"/>
          <w:szCs w:val="24"/>
        </w:rPr>
      </w:pPr>
    </w:p>
    <w:p w:rsidR="0015141E" w:rsidRPr="00F9071F" w:rsidRDefault="00967A8E">
      <w:pPr>
        <w:spacing w:before="100" w:after="0" w:line="480" w:lineRule="auto"/>
        <w:rPr>
          <w:rFonts w:ascii="Garamond" w:eastAsia="Libre Baskerville" w:hAnsi="Garamond" w:cs="Libre Baskerville"/>
          <w:b/>
          <w:sz w:val="24"/>
          <w:szCs w:val="24"/>
        </w:rPr>
      </w:pPr>
      <w:r w:rsidRPr="00F9071F">
        <w:rPr>
          <w:rFonts w:ascii="Garamond" w:eastAsia="Libre Baskerville" w:hAnsi="Garamond" w:cs="Libre Baskerville"/>
          <w:b/>
          <w:sz w:val="24"/>
          <w:szCs w:val="24"/>
        </w:rPr>
        <w:t>Abstract</w:t>
      </w:r>
    </w:p>
    <w:p w:rsidR="0015141E" w:rsidRDefault="006B15C2">
      <w:pPr>
        <w:spacing w:before="100" w:after="0" w:line="480" w:lineRule="auto"/>
        <w:rPr>
          <w:rFonts w:ascii="Garamond" w:eastAsia="Libre Baskerville" w:hAnsi="Garamond" w:cs="Libre Baskerville"/>
          <w:sz w:val="24"/>
          <w:szCs w:val="24"/>
        </w:rPr>
      </w:pPr>
      <w:r>
        <w:rPr>
          <w:rFonts w:ascii="Garamond" w:eastAsia="Libre Baskerville" w:hAnsi="Garamond" w:cs="Libre Baskerville"/>
          <w:sz w:val="24"/>
          <w:szCs w:val="24"/>
        </w:rPr>
        <w:t>Is there anything</w:t>
      </w:r>
      <w:r w:rsidR="00967A8E" w:rsidRPr="00F9071F">
        <w:rPr>
          <w:rFonts w:ascii="Garamond" w:eastAsia="Libre Baskerville" w:hAnsi="Garamond" w:cs="Libre Baskerville"/>
          <w:sz w:val="24"/>
          <w:szCs w:val="24"/>
        </w:rPr>
        <w:t xml:space="preserve"> that members of each binary category of gender have in common? Even many non-essentialists find the lack of unity within a gender worrying as it undermines the basis for a common political agen</w:t>
      </w:r>
      <w:r w:rsidR="0007790D">
        <w:rPr>
          <w:rFonts w:ascii="Garamond" w:eastAsia="Libre Baskerville" w:hAnsi="Garamond" w:cs="Libre Baskerville"/>
          <w:sz w:val="24"/>
          <w:szCs w:val="24"/>
        </w:rPr>
        <w:t xml:space="preserve">da for </w:t>
      </w:r>
      <w:r w:rsidR="00967A8E" w:rsidRPr="00F9071F">
        <w:rPr>
          <w:rFonts w:ascii="Garamond" w:eastAsia="Libre Baskerville" w:hAnsi="Garamond" w:cs="Libre Baskerville"/>
          <w:sz w:val="24"/>
          <w:szCs w:val="24"/>
        </w:rPr>
        <w:t xml:space="preserve">women. One promising proposal for achieving unity is by means of a shared historical lineage of </w:t>
      </w:r>
      <w:r w:rsidR="00967A8E" w:rsidRPr="00F9071F">
        <w:rPr>
          <w:rFonts w:ascii="Garamond" w:eastAsia="Libre Baskerville" w:hAnsi="Garamond" w:cs="Libre Baskerville"/>
          <w:i/>
          <w:sz w:val="24"/>
          <w:szCs w:val="24"/>
        </w:rPr>
        <w:t>cultural reproduction</w:t>
      </w:r>
      <w:r w:rsidR="00967A8E" w:rsidRPr="00F9071F">
        <w:rPr>
          <w:rFonts w:ascii="Garamond" w:eastAsia="Libre Baskerville" w:hAnsi="Garamond" w:cs="Libre Baskerville"/>
          <w:sz w:val="24"/>
          <w:szCs w:val="24"/>
        </w:rPr>
        <w:t xml:space="preserve"> with past binary models of gender (e.g. Bach 2012). I demonstrate how such an account is likely to take on board different binary and also non-binary systems of gender. This implies that all individuals construed as members of </w:t>
      </w:r>
      <w:r w:rsidR="0007790D">
        <w:rPr>
          <w:rFonts w:ascii="Garamond" w:eastAsia="Libre Baskerville" w:hAnsi="Garamond" w:cs="Libre Baskerville"/>
          <w:sz w:val="24"/>
          <w:szCs w:val="24"/>
        </w:rPr>
        <w:t xml:space="preserve">the category, </w:t>
      </w:r>
      <w:r w:rsidR="00967A8E" w:rsidRPr="00F9071F">
        <w:rPr>
          <w:rFonts w:ascii="Garamond" w:eastAsia="Libre Baskerville" w:hAnsi="Garamond" w:cs="Libre Baskerville"/>
          <w:sz w:val="24"/>
          <w:szCs w:val="24"/>
        </w:rPr>
        <w:t xml:space="preserve">“women” are in fact </w:t>
      </w:r>
      <w:r w:rsidR="00967A8E" w:rsidRPr="00F9071F">
        <w:rPr>
          <w:rFonts w:ascii="Garamond" w:eastAsia="Libre Baskerville" w:hAnsi="Garamond" w:cs="Libre Baskerville"/>
          <w:i/>
          <w:sz w:val="24"/>
          <w:szCs w:val="24"/>
        </w:rPr>
        <w:t xml:space="preserve">not </w:t>
      </w:r>
      <w:r w:rsidR="00967A8E" w:rsidRPr="00F9071F">
        <w:rPr>
          <w:rFonts w:ascii="Garamond" w:eastAsia="Libre Baskerville" w:hAnsi="Garamond" w:cs="Libre Baskerville"/>
          <w:sz w:val="24"/>
          <w:szCs w:val="24"/>
        </w:rPr>
        <w:t>members of the same historical kind after all! I then consider different possible means of modifying the account but conclude negatively: the problem runs deeper than has been appreciated thus far.</w:t>
      </w:r>
    </w:p>
    <w:p w:rsidR="00F9071F" w:rsidRDefault="00F9071F">
      <w:pPr>
        <w:spacing w:before="100" w:after="0" w:line="480" w:lineRule="auto"/>
        <w:rPr>
          <w:rFonts w:ascii="Garamond" w:eastAsia="Libre Baskerville" w:hAnsi="Garamond" w:cs="Libre Baskerville"/>
          <w:sz w:val="24"/>
          <w:szCs w:val="24"/>
        </w:rPr>
      </w:pPr>
    </w:p>
    <w:p w:rsidR="00F9071F" w:rsidRPr="00F9071F" w:rsidRDefault="00F9071F">
      <w:pPr>
        <w:spacing w:before="100" w:after="0" w:line="480" w:lineRule="auto"/>
        <w:rPr>
          <w:rFonts w:ascii="Garamond" w:eastAsia="Libre Baskerville" w:hAnsi="Garamond" w:cs="Libre Baskerville"/>
          <w:sz w:val="24"/>
          <w:szCs w:val="24"/>
        </w:rPr>
      </w:pPr>
    </w:p>
    <w:p w:rsidR="0015141E" w:rsidRPr="00F9071F" w:rsidRDefault="00967A8E">
      <w:pPr>
        <w:spacing w:before="100" w:after="120" w:line="240" w:lineRule="auto"/>
        <w:ind w:left="1304"/>
        <w:rPr>
          <w:rFonts w:ascii="Garamond" w:eastAsia="Libre Baskerville" w:hAnsi="Garamond" w:cs="Libre Baskerville"/>
          <w:i/>
          <w:sz w:val="24"/>
          <w:szCs w:val="24"/>
        </w:rPr>
      </w:pPr>
      <w:r w:rsidRPr="00F9071F">
        <w:rPr>
          <w:rFonts w:ascii="Garamond" w:eastAsia="Libre Baskerville" w:hAnsi="Garamond" w:cs="Libre Baskerville"/>
          <w:i/>
          <w:sz w:val="24"/>
          <w:szCs w:val="24"/>
        </w:rPr>
        <w:t xml:space="preserve">Women are a very recent invention. I predate the invention of women by decades. Well if you insist on pedantic accuracy, women have been invented several times in widely varying localities, but the inventor just didn’t know how to sell the product. Their distribution techniques were rudimentary and their market research was nil and so of course the concept didn’t get off the ground. Even with a genius behind it an invention has to find its market, and it seemed like for a long time the idea of women just didn’t make it to the bottom line. Models like the Austen and the Brontë were too complicated, and people just laughed at the Suffragette, and the Woolf was just way too far ahead of its time. </w:t>
      </w:r>
    </w:p>
    <w:p w:rsidR="0015141E" w:rsidRDefault="00967A8E">
      <w:pPr>
        <w:spacing w:after="120" w:line="480" w:lineRule="auto"/>
        <w:rPr>
          <w:rFonts w:ascii="Garamond" w:eastAsia="Libre Baskerville" w:hAnsi="Garamond" w:cs="Libre Baskerville"/>
          <w:i/>
          <w:sz w:val="24"/>
          <w:szCs w:val="24"/>
        </w:rPr>
      </w:pPr>
      <w:r w:rsidRPr="00F9071F">
        <w:rPr>
          <w:rFonts w:ascii="Garamond" w:eastAsia="Libre Baskerville" w:hAnsi="Garamond" w:cs="Libre Baskerville"/>
          <w:sz w:val="24"/>
          <w:szCs w:val="24"/>
        </w:rPr>
        <w:tab/>
      </w:r>
      <w:r w:rsidRPr="00F9071F">
        <w:rPr>
          <w:rFonts w:ascii="Garamond" w:eastAsia="Libre Baskerville" w:hAnsi="Garamond" w:cs="Libre Baskerville"/>
          <w:sz w:val="24"/>
          <w:szCs w:val="24"/>
        </w:rPr>
        <w:tab/>
        <w:t xml:space="preserve">Ursula K. Le Guin, “Introducing myself” from </w:t>
      </w:r>
      <w:r w:rsidRPr="00F9071F">
        <w:rPr>
          <w:rFonts w:ascii="Garamond" w:eastAsia="Libre Baskerville" w:hAnsi="Garamond" w:cs="Libre Baskerville"/>
          <w:i/>
          <w:sz w:val="24"/>
          <w:szCs w:val="24"/>
        </w:rPr>
        <w:t>The Wave in the Mind</w:t>
      </w:r>
    </w:p>
    <w:p w:rsidR="00F9071F" w:rsidRPr="00F9071F" w:rsidRDefault="00F9071F">
      <w:pPr>
        <w:spacing w:after="120" w:line="480" w:lineRule="auto"/>
        <w:rPr>
          <w:rFonts w:ascii="Garamond" w:eastAsia="Libre Baskerville" w:hAnsi="Garamond" w:cs="Libre Baskerville"/>
          <w:i/>
          <w:sz w:val="24"/>
          <w:szCs w:val="24"/>
        </w:rPr>
      </w:pPr>
    </w:p>
    <w:p w:rsidR="0015141E" w:rsidRPr="00F9071F" w:rsidRDefault="00967A8E">
      <w:pPr>
        <w:numPr>
          <w:ilvl w:val="0"/>
          <w:numId w:val="1"/>
        </w:numPr>
        <w:spacing w:before="100" w:after="120" w:line="480" w:lineRule="auto"/>
        <w:rPr>
          <w:rFonts w:ascii="Garamond" w:eastAsia="Libre Baskerville" w:hAnsi="Garamond" w:cs="Libre Baskerville"/>
          <w:b/>
          <w:sz w:val="24"/>
          <w:szCs w:val="24"/>
        </w:rPr>
      </w:pPr>
      <w:r w:rsidRPr="00F9071F">
        <w:rPr>
          <w:rFonts w:ascii="Garamond" w:eastAsia="Libre Baskerville" w:hAnsi="Garamond" w:cs="Libre Baskerville"/>
          <w:b/>
          <w:sz w:val="24"/>
          <w:szCs w:val="24"/>
        </w:rPr>
        <w:t>Introduction</w:t>
      </w:r>
    </w:p>
    <w:p w:rsidR="0015141E" w:rsidRPr="00F9071F" w:rsidRDefault="00967A8E">
      <w:pPr>
        <w:spacing w:before="100" w:after="120" w:line="480" w:lineRule="auto"/>
        <w:rPr>
          <w:rFonts w:ascii="Garamond" w:eastAsia="Libre Baskerville" w:hAnsi="Garamond" w:cs="Libre Baskerville"/>
          <w:sz w:val="24"/>
          <w:szCs w:val="24"/>
        </w:rPr>
      </w:pPr>
      <w:r w:rsidRPr="00F9071F">
        <w:rPr>
          <w:rFonts w:ascii="Garamond" w:eastAsia="Libre Baskerville" w:hAnsi="Garamond" w:cs="Libre Baskerville"/>
          <w:sz w:val="24"/>
          <w:szCs w:val="24"/>
        </w:rPr>
        <w:t>Most of us live in a culture in which gender is understood as a binary matter: you are either a woman or a man; you are either a girl or a boy. Gender is also a rich category in which to belong or identify with. It cuts across a wide variety of dimensions: personal characteristics, cloth</w:t>
      </w:r>
      <w:r w:rsidR="006B15C2">
        <w:rPr>
          <w:rFonts w:ascii="Garamond" w:eastAsia="Libre Baskerville" w:hAnsi="Garamond" w:cs="Libre Baskerville"/>
          <w:sz w:val="24"/>
          <w:szCs w:val="24"/>
        </w:rPr>
        <w:t>ing and bodily aesthetics, work</w:t>
      </w:r>
      <w:r w:rsidRPr="00F9071F">
        <w:rPr>
          <w:rFonts w:ascii="Garamond" w:eastAsia="Libre Baskerville" w:hAnsi="Garamond" w:cs="Libre Baskerville"/>
          <w:sz w:val="24"/>
          <w:szCs w:val="24"/>
        </w:rPr>
        <w:t xml:space="preserve"> and relationship roles are all marked in a gendered manner. What is gendered as belonging to men (or </w:t>
      </w:r>
      <w:r w:rsidRPr="00F9071F">
        <w:rPr>
          <w:rFonts w:ascii="Garamond" w:eastAsia="Libre Baskerville" w:hAnsi="Garamond" w:cs="Libre Baskerville"/>
          <w:sz w:val="24"/>
          <w:szCs w:val="24"/>
        </w:rPr>
        <w:lastRenderedPageBreak/>
        <w:t xml:space="preserve">boys) and what is gendered as belonging to women (or girls) also vary considerably across both time and cultures. A promising way of explaining how gender can be variably expressed while members still belong to the same </w:t>
      </w:r>
      <w:r w:rsidRPr="00F9071F">
        <w:rPr>
          <w:rFonts w:ascii="Garamond" w:eastAsia="Libre Baskerville" w:hAnsi="Garamond" w:cs="Libre Baskerville"/>
          <w:i/>
          <w:sz w:val="24"/>
          <w:szCs w:val="24"/>
        </w:rPr>
        <w:t xml:space="preserve">Kind </w:t>
      </w:r>
      <w:r w:rsidRPr="00F9071F">
        <w:rPr>
          <w:rFonts w:ascii="Garamond" w:eastAsia="Libre Baskerville" w:hAnsi="Garamond" w:cs="Libre Baskerville"/>
          <w:sz w:val="24"/>
          <w:szCs w:val="24"/>
        </w:rPr>
        <w:t>is to take gender as a serial collective (Young 1994) or a historical kind (Bach 2012), such that individuals are connected through a chain of cultural reproduction. In this paper I will argue that such an account nevertheless has limited potential with respect to ascertaining a desired unity within a gender category.</w:t>
      </w:r>
    </w:p>
    <w:p w:rsidR="0015141E" w:rsidRPr="00F9071F" w:rsidRDefault="00967A8E">
      <w:pPr>
        <w:spacing w:before="100" w:after="12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I begin by setting out the important features of gender, and leave us with a problem of unity and representation within a gender category to be resolved (section 2). Next, I present a plausible way to address the problem where gender is a historical kind based on cul</w:t>
      </w:r>
      <w:r w:rsidR="006B15C2">
        <w:rPr>
          <w:rFonts w:ascii="Garamond" w:eastAsia="Libre Baskerville" w:hAnsi="Garamond" w:cs="Libre Baskerville"/>
          <w:sz w:val="24"/>
          <w:szCs w:val="24"/>
        </w:rPr>
        <w:t>tural reproduction (section 3). Yet</w:t>
      </w:r>
      <w:r w:rsidRPr="00F9071F">
        <w:rPr>
          <w:rFonts w:ascii="Garamond" w:eastAsia="Libre Baskerville" w:hAnsi="Garamond" w:cs="Libre Baskerville"/>
          <w:sz w:val="24"/>
          <w:szCs w:val="24"/>
        </w:rPr>
        <w:t>, in the section that follows, I will go on to show that if the account is taken seriously, it becomes increasingly doubtful that it can satisfactorily provide the unity within a gender category that is typically desired (section 4). I then review some possible ways of extending the explanatory scope of the historical account to address the problem (section 5). Finally, I offer my conclusions (section 6).</w:t>
      </w:r>
    </w:p>
    <w:p w:rsidR="0015141E" w:rsidRPr="00F9071F" w:rsidRDefault="00967A8E">
      <w:pPr>
        <w:spacing w:before="100" w:after="120" w:line="480" w:lineRule="auto"/>
        <w:ind w:firstLine="426"/>
        <w:rPr>
          <w:rFonts w:ascii="Garamond" w:eastAsia="Libre Baskerville" w:hAnsi="Garamond" w:cs="Libre Baskerville"/>
          <w:b/>
          <w:sz w:val="24"/>
          <w:szCs w:val="24"/>
        </w:rPr>
      </w:pPr>
      <w:r w:rsidRPr="00F9071F">
        <w:rPr>
          <w:rFonts w:ascii="Garamond" w:eastAsia="Libre Baskerville" w:hAnsi="Garamond" w:cs="Libre Baskerville"/>
          <w:b/>
          <w:sz w:val="24"/>
          <w:szCs w:val="24"/>
        </w:rPr>
        <w:t>2. Sex, Gender and the Representation Problem</w:t>
      </w:r>
    </w:p>
    <w:p w:rsidR="0015141E" w:rsidRPr="00F9071F" w:rsidRDefault="00967A8E">
      <w:pPr>
        <w:spacing w:before="100" w:after="120" w:line="480" w:lineRule="auto"/>
        <w:rPr>
          <w:rFonts w:ascii="Garamond" w:eastAsia="Libre Baskerville" w:hAnsi="Garamond" w:cs="Libre Baskerville"/>
          <w:sz w:val="24"/>
          <w:szCs w:val="24"/>
        </w:rPr>
      </w:pPr>
      <w:r w:rsidRPr="00F9071F">
        <w:rPr>
          <w:rFonts w:ascii="Garamond" w:eastAsia="Libre Baskerville" w:hAnsi="Garamond" w:cs="Libre Baskerville"/>
          <w:sz w:val="24"/>
          <w:szCs w:val="24"/>
        </w:rPr>
        <w:t>It is not just gender that is a tricky notion; as has become increasingly obvious, so is sex. The binary sex distinction has come under fire in recent decades, as several people have questioned whether there really are distinct biological (hormonal or genetic) causes of binary sex categories (see e.g. Oudshoorn 1994; Richardson 2010). To begin this discussion of gender, however, I believe it is possible to sidestep the ontology of sex differences - including issues such as whether there is a real sex distinction arising from binary causes, or a distinction merely on the basis that sex emerges dimorphically</w:t>
      </w:r>
      <w:r w:rsidRPr="00F9071F">
        <w:rPr>
          <w:rFonts w:ascii="Garamond" w:eastAsia="Libre Baskerville" w:hAnsi="Garamond" w:cs="Libre Baskerville"/>
          <w:sz w:val="24"/>
          <w:szCs w:val="24"/>
          <w:vertAlign w:val="superscript"/>
        </w:rPr>
        <w:footnoteReference w:id="1"/>
      </w:r>
      <w:r w:rsidRPr="00F9071F">
        <w:rPr>
          <w:rFonts w:ascii="Garamond" w:eastAsia="Libre Baskerville" w:hAnsi="Garamond" w:cs="Libre Baskerville"/>
          <w:sz w:val="24"/>
          <w:szCs w:val="24"/>
        </w:rPr>
        <w:t xml:space="preserve">? Regardless of whether sex genuinely makes sense as a binary biological cause or category (genetic, hormonal or something else), it is </w:t>
      </w:r>
      <w:r w:rsidRPr="00F9071F">
        <w:rPr>
          <w:rFonts w:ascii="Garamond" w:eastAsia="Libre Baskerville" w:hAnsi="Garamond" w:cs="Libre Baskerville"/>
          <w:i/>
          <w:sz w:val="24"/>
          <w:szCs w:val="24"/>
        </w:rPr>
        <w:t xml:space="preserve">ubiquitously </w:t>
      </w:r>
      <w:r w:rsidRPr="00F9071F">
        <w:rPr>
          <w:rFonts w:ascii="Garamond" w:eastAsia="Libre Baskerville" w:hAnsi="Garamond" w:cs="Libre Baskerville"/>
          <w:sz w:val="24"/>
          <w:szCs w:val="24"/>
        </w:rPr>
        <w:t xml:space="preserve">coded into, or strongly associated with, two mutually exclusive </w:t>
      </w:r>
      <w:r w:rsidRPr="00F9071F">
        <w:rPr>
          <w:rFonts w:ascii="Garamond" w:eastAsia="Libre Baskerville" w:hAnsi="Garamond" w:cs="Libre Baskerville"/>
          <w:i/>
          <w:sz w:val="24"/>
          <w:szCs w:val="24"/>
        </w:rPr>
        <w:t>gender</w:t>
      </w:r>
      <w:r w:rsidRPr="00F9071F">
        <w:rPr>
          <w:rFonts w:ascii="Garamond" w:eastAsia="Libre Baskerville" w:hAnsi="Garamond" w:cs="Libre Baskerville"/>
          <w:sz w:val="24"/>
          <w:szCs w:val="24"/>
        </w:rPr>
        <w:t xml:space="preserve"> categories: men (or boys) and women (or girls). It is of course highly likely that the</w:t>
      </w:r>
      <w:r w:rsidRPr="00F9071F">
        <w:rPr>
          <w:rFonts w:ascii="Garamond" w:eastAsia="Libre Baskerville" w:hAnsi="Garamond" w:cs="Libre Baskerville"/>
          <w:i/>
          <w:sz w:val="24"/>
          <w:szCs w:val="24"/>
        </w:rPr>
        <w:t xml:space="preserve"> perception</w:t>
      </w:r>
      <w:r w:rsidRPr="00F9071F">
        <w:rPr>
          <w:rFonts w:ascii="Garamond" w:eastAsia="Libre Baskerville" w:hAnsi="Garamond" w:cs="Libre Baskerville"/>
          <w:sz w:val="24"/>
          <w:szCs w:val="24"/>
        </w:rPr>
        <w:t xml:space="preserve"> of sex as a binary matter will remain relevant in terms of explaining why gender typically also comes out in a binary </w:t>
      </w:r>
      <w:r w:rsidRPr="00F9071F">
        <w:rPr>
          <w:rFonts w:ascii="Garamond" w:eastAsia="Libre Baskerville" w:hAnsi="Garamond" w:cs="Libre Baskerville"/>
          <w:sz w:val="24"/>
          <w:szCs w:val="24"/>
        </w:rPr>
        <w:lastRenderedPageBreak/>
        <w:t>fashion (Fine 2017, see also section 3).</w:t>
      </w:r>
      <w:r w:rsidRPr="00F9071F">
        <w:rPr>
          <w:rFonts w:ascii="Garamond" w:eastAsia="Libre Baskerville" w:hAnsi="Garamond" w:cs="Libre Baskerville"/>
          <w:sz w:val="24"/>
          <w:szCs w:val="24"/>
          <w:vertAlign w:val="superscript"/>
        </w:rPr>
        <w:footnoteReference w:id="2"/>
      </w:r>
      <w:r w:rsidRPr="00F9071F">
        <w:rPr>
          <w:rFonts w:ascii="Garamond" w:eastAsia="Libre Baskerville" w:hAnsi="Garamond" w:cs="Libre Baskerville"/>
          <w:sz w:val="24"/>
          <w:szCs w:val="24"/>
          <w:vertAlign w:val="superscript"/>
        </w:rPr>
        <w:t xml:space="preserve"> </w:t>
      </w:r>
      <w:r w:rsidRPr="00F9071F">
        <w:rPr>
          <w:rFonts w:ascii="Garamond" w:eastAsia="Libre Baskerville" w:hAnsi="Garamond" w:cs="Libre Baskerville"/>
          <w:sz w:val="24"/>
          <w:szCs w:val="24"/>
        </w:rPr>
        <w:t xml:space="preserve"> In fact, Sandra Bem labels this process </w:t>
      </w:r>
      <w:r w:rsidRPr="00F9071F">
        <w:rPr>
          <w:rFonts w:ascii="Garamond" w:eastAsia="Libre Baskerville" w:hAnsi="Garamond" w:cs="Libre Baskerville"/>
          <w:i/>
          <w:sz w:val="24"/>
          <w:szCs w:val="24"/>
          <w:shd w:val="clear" w:color="auto" w:fill="FCFCFC"/>
        </w:rPr>
        <w:t>gender polarization</w:t>
      </w:r>
      <w:r w:rsidRPr="00F9071F">
        <w:rPr>
          <w:rFonts w:ascii="Garamond" w:eastAsia="Libre Baskerville" w:hAnsi="Garamond" w:cs="Libre Baskerville"/>
          <w:sz w:val="24"/>
          <w:szCs w:val="24"/>
          <w:shd w:val="clear" w:color="auto" w:fill="FCFCFC"/>
        </w:rPr>
        <w:t>: “the organizing of social life around the male–female distinction, the forging of a cultural connection between sex and virtually every other aspect of human experience” (1993, p. 192). This also seems to be the thought behind the popular construal of gender as the social interpretation of sex.</w:t>
      </w:r>
      <w:r w:rsidRPr="00F9071F">
        <w:rPr>
          <w:rFonts w:ascii="Garamond" w:eastAsia="Libre Baskerville" w:hAnsi="Garamond" w:cs="Libre Baskerville"/>
          <w:sz w:val="24"/>
          <w:szCs w:val="24"/>
        </w:rPr>
        <w:t xml:space="preserve"> </w:t>
      </w:r>
      <w:r w:rsidRPr="00F9071F">
        <w:rPr>
          <w:rFonts w:ascii="Garamond" w:eastAsia="Libre Baskerville" w:hAnsi="Garamond" w:cs="Libre Baskerville"/>
          <w:sz w:val="24"/>
          <w:szCs w:val="24"/>
          <w:vertAlign w:val="superscript"/>
        </w:rPr>
        <w:t xml:space="preserve"> </w:t>
      </w:r>
      <w:r w:rsidRPr="00F9071F">
        <w:rPr>
          <w:rFonts w:ascii="Garamond" w:eastAsia="Libre Baskerville" w:hAnsi="Garamond" w:cs="Libre Baskerville"/>
          <w:sz w:val="24"/>
          <w:szCs w:val="24"/>
        </w:rPr>
        <w:t>Nevertheless, it should be borne in mind that this interpretation, assuming a close connection between sex and gender, is not automatic. Indeed, as I discuss in section 4, cultural systems have actively endorsed three or mor</w:t>
      </w:r>
      <w:r w:rsidR="006B15C2">
        <w:rPr>
          <w:rFonts w:ascii="Garamond" w:eastAsia="Libre Baskerville" w:hAnsi="Garamond" w:cs="Libre Baskerville"/>
          <w:sz w:val="24"/>
          <w:szCs w:val="24"/>
        </w:rPr>
        <w:t>e genders. By implication</w:t>
      </w:r>
      <w:r w:rsidRPr="00F9071F">
        <w:rPr>
          <w:rFonts w:ascii="Garamond" w:eastAsia="Libre Baskerville" w:hAnsi="Garamond" w:cs="Libre Baskerville"/>
          <w:sz w:val="24"/>
          <w:szCs w:val="24"/>
        </w:rPr>
        <w:t xml:space="preserve">, at least in some gender systems it is acceptable for one’s gender to come apart from and not simply to follow from one’s perceived sex. </w:t>
      </w:r>
    </w:p>
    <w:p w:rsidR="0015141E" w:rsidRPr="00F9071F" w:rsidRDefault="00967A8E" w:rsidP="006B15C2">
      <w:pPr>
        <w:spacing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What holds across cultures is that gender is an extremely potent category in terms of structuring social life. </w:t>
      </w:r>
      <w:r w:rsidRPr="00F9071F">
        <w:rPr>
          <w:rFonts w:ascii="Garamond" w:eastAsia="Libre Baskerville" w:hAnsi="Garamond" w:cs="Libre Baskerville"/>
          <w:sz w:val="24"/>
          <w:szCs w:val="24"/>
          <w:shd w:val="clear" w:color="auto" w:fill="FCFCFC"/>
        </w:rPr>
        <w:t>As Bem and other social psychologists have thoroughly documented, we are so used to gender pronouns, stereotyping and so on, that we are almost blind to how pervasive it is (</w:t>
      </w:r>
      <w:r w:rsidRPr="00F9071F">
        <w:rPr>
          <w:rFonts w:ascii="Garamond" w:eastAsia="Libre Baskerville" w:hAnsi="Garamond" w:cs="Libre Baskerville"/>
          <w:sz w:val="24"/>
          <w:szCs w:val="24"/>
          <w:highlight w:val="white"/>
        </w:rPr>
        <w:t>Liben and Bigler 2017)</w:t>
      </w:r>
      <w:r w:rsidRPr="00F9071F">
        <w:rPr>
          <w:rFonts w:ascii="Garamond" w:eastAsia="Libre Baskerville" w:hAnsi="Garamond" w:cs="Libre Baskerville"/>
          <w:sz w:val="24"/>
          <w:szCs w:val="24"/>
          <w:shd w:val="clear" w:color="auto" w:fill="FCFCFC"/>
        </w:rPr>
        <w:t xml:space="preserve">. With so many properties being gendered, it is quite natural to think of gender as a </w:t>
      </w:r>
      <w:r w:rsidRPr="00F9071F">
        <w:rPr>
          <w:rFonts w:ascii="Garamond" w:eastAsia="Libre Baskerville" w:hAnsi="Garamond" w:cs="Libre Baskerville"/>
          <w:i/>
          <w:sz w:val="24"/>
          <w:szCs w:val="24"/>
          <w:shd w:val="clear" w:color="auto" w:fill="FCFCFC"/>
        </w:rPr>
        <w:t>social</w:t>
      </w:r>
      <w:r w:rsidRPr="00F9071F">
        <w:rPr>
          <w:rFonts w:ascii="Garamond" w:eastAsia="Libre Baskerville" w:hAnsi="Garamond" w:cs="Libre Baskerville"/>
          <w:sz w:val="24"/>
          <w:szCs w:val="24"/>
          <w:shd w:val="clear" w:color="auto" w:fill="FCFCFC"/>
        </w:rPr>
        <w:t xml:space="preserve"> </w:t>
      </w:r>
      <w:r w:rsidRPr="00F9071F">
        <w:rPr>
          <w:rFonts w:ascii="Garamond" w:eastAsia="Libre Baskerville" w:hAnsi="Garamond" w:cs="Libre Baskerville"/>
          <w:i/>
          <w:sz w:val="24"/>
          <w:szCs w:val="24"/>
          <w:shd w:val="clear" w:color="auto" w:fill="FCFCFC"/>
        </w:rPr>
        <w:t>kind</w:t>
      </w:r>
      <w:r w:rsidRPr="00F9071F">
        <w:rPr>
          <w:rFonts w:ascii="Garamond" w:eastAsia="Libre Baskerville" w:hAnsi="Garamond" w:cs="Libre Baskerville"/>
          <w:sz w:val="24"/>
          <w:szCs w:val="24"/>
          <w:shd w:val="clear" w:color="auto" w:fill="FCFCFC"/>
        </w:rPr>
        <w:t>,</w:t>
      </w:r>
      <w:r w:rsidRPr="00F9071F">
        <w:rPr>
          <w:rFonts w:ascii="Garamond" w:eastAsia="Libre Baskerville" w:hAnsi="Garamond" w:cs="Libre Baskerville"/>
          <w:i/>
          <w:sz w:val="24"/>
          <w:szCs w:val="24"/>
          <w:shd w:val="clear" w:color="auto" w:fill="FCFCFC"/>
        </w:rPr>
        <w:t xml:space="preserve"> </w:t>
      </w:r>
      <w:r w:rsidRPr="00F9071F">
        <w:rPr>
          <w:rFonts w:ascii="Garamond" w:eastAsia="Libre Baskerville" w:hAnsi="Garamond" w:cs="Libre Baskerville"/>
          <w:sz w:val="24"/>
          <w:szCs w:val="24"/>
        </w:rPr>
        <w:t>providing some grounds for inductive generalizations and generics</w:t>
      </w:r>
      <w:r w:rsidR="006B15C2">
        <w:rPr>
          <w:rStyle w:val="FootnoteReference"/>
          <w:rFonts w:ascii="Garamond" w:eastAsia="Libre Baskerville" w:hAnsi="Garamond" w:cs="Libre Baskerville"/>
          <w:sz w:val="24"/>
          <w:szCs w:val="24"/>
        </w:rPr>
        <w:footnoteReference w:id="3"/>
      </w:r>
      <w:r w:rsidRPr="00F9071F">
        <w:rPr>
          <w:rFonts w:ascii="Garamond" w:eastAsia="Libre Baskerville" w:hAnsi="Garamond" w:cs="Libre Baskerville"/>
          <w:sz w:val="24"/>
          <w:szCs w:val="24"/>
        </w:rPr>
        <w:t xml:space="preserve"> (Bach 2012, 2016; Mallon 2016). Note that this conception of social kinds is</w:t>
      </w:r>
      <w:r w:rsidR="006B15C2">
        <w:rPr>
          <w:rFonts w:ascii="Garamond" w:eastAsia="Libre Baskerville" w:hAnsi="Garamond" w:cs="Libre Baskerville"/>
          <w:sz w:val="24"/>
          <w:szCs w:val="24"/>
        </w:rPr>
        <w:t xml:space="preserve"> not necessarily essentialist. </w:t>
      </w:r>
      <w:r w:rsidRPr="00F9071F">
        <w:rPr>
          <w:rFonts w:ascii="Garamond" w:eastAsia="Libre Baskerville" w:hAnsi="Garamond" w:cs="Libre Baskerville"/>
          <w:sz w:val="24"/>
          <w:szCs w:val="24"/>
        </w:rPr>
        <w:t xml:space="preserve">Many accounts of social kinds, follow John Stuart Mill’s notion of (real) Kinds for the inductive (including, social) sciences ([1886]1974). There multiple properties can be associated with a certain Kind even though none of them essentially belong to it (see e.g. Boyd 1991; Millikan 1999, </w:t>
      </w:r>
      <w:r w:rsidR="006B15C2">
        <w:rPr>
          <w:rFonts w:ascii="Garamond" w:eastAsia="Libre Baskerville" w:hAnsi="Garamond" w:cs="Libre Baskerville"/>
          <w:sz w:val="24"/>
          <w:szCs w:val="24"/>
        </w:rPr>
        <w:t>Godman 2015</w:t>
      </w:r>
      <w:r w:rsidRPr="00F9071F">
        <w:rPr>
          <w:rFonts w:ascii="Garamond" w:eastAsia="Libre Baskerville" w:hAnsi="Garamond" w:cs="Libre Baskerville"/>
          <w:sz w:val="24"/>
          <w:szCs w:val="24"/>
        </w:rPr>
        <w:t>). Still these non-essential properties belonging to a Kind matter for the (social) sciences as they have inductive potential - and a</w:t>
      </w:r>
      <w:r w:rsidR="00474475">
        <w:rPr>
          <w:rFonts w:ascii="Garamond" w:eastAsia="Libre Baskerville" w:hAnsi="Garamond" w:cs="Libre Baskerville"/>
          <w:sz w:val="24"/>
          <w:szCs w:val="24"/>
        </w:rPr>
        <w:t>re thereby also useful in interventions that</w:t>
      </w:r>
      <w:r w:rsidRPr="00F9071F">
        <w:rPr>
          <w:rFonts w:ascii="Garamond" w:eastAsia="Libre Baskerville" w:hAnsi="Garamond" w:cs="Libre Baskerville"/>
          <w:sz w:val="24"/>
          <w:szCs w:val="24"/>
        </w:rPr>
        <w:t xml:space="preserve"> affect</w:t>
      </w:r>
      <w:r w:rsidR="00474475">
        <w:rPr>
          <w:rFonts w:ascii="Garamond" w:eastAsia="Libre Baskerville" w:hAnsi="Garamond" w:cs="Libre Baskerville"/>
          <w:sz w:val="24"/>
          <w:szCs w:val="24"/>
        </w:rPr>
        <w:t xml:space="preserve"> social and</w:t>
      </w:r>
      <w:r w:rsidRPr="00F9071F">
        <w:rPr>
          <w:rFonts w:ascii="Garamond" w:eastAsia="Libre Baskerville" w:hAnsi="Garamond" w:cs="Libre Baskerville"/>
          <w:sz w:val="24"/>
          <w:szCs w:val="24"/>
        </w:rPr>
        <w:t xml:space="preserve"> political change. </w:t>
      </w:r>
    </w:p>
    <w:p w:rsidR="0015141E" w:rsidRPr="00F9071F" w:rsidRDefault="00967A8E">
      <w:pPr>
        <w:spacing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One remaining problem with using gender categories in </w:t>
      </w:r>
      <w:r w:rsidR="00074CCA">
        <w:rPr>
          <w:rFonts w:ascii="Garamond" w:eastAsia="Libre Baskerville" w:hAnsi="Garamond" w:cs="Libre Baskerville"/>
          <w:sz w:val="24"/>
          <w:szCs w:val="24"/>
        </w:rPr>
        <w:t xml:space="preserve">generalizations however </w:t>
      </w:r>
      <w:r w:rsidRPr="00F9071F">
        <w:rPr>
          <w:rFonts w:ascii="Garamond" w:eastAsia="Libre Baskerville" w:hAnsi="Garamond" w:cs="Libre Baskerville"/>
          <w:sz w:val="24"/>
          <w:szCs w:val="24"/>
        </w:rPr>
        <w:t xml:space="preserve">is that it effectively disguises the fact that many of the statements are false for many, if not the majority of </w:t>
      </w:r>
      <w:r w:rsidRPr="00F9071F">
        <w:rPr>
          <w:rFonts w:ascii="Garamond" w:eastAsia="Libre Baskerville" w:hAnsi="Garamond" w:cs="Libre Baskerville"/>
          <w:sz w:val="24"/>
          <w:szCs w:val="24"/>
        </w:rPr>
        <w:lastRenderedPageBreak/>
        <w:t xml:space="preserve">individuals concerned. In fact, variation within each gender category seems almost as compelling as the inductive potential of gender. This is true even for core characteristics of gender. Women serve as combat troops and game hunters in some non-industrial societies, for example, and in some hunter-gatherer societies fathers show intensive care for infants (Wood </w:t>
      </w:r>
      <w:r w:rsidRPr="00F9071F">
        <w:rPr>
          <w:rFonts w:ascii="Garamond" w:eastAsia="Libre Baskerville" w:hAnsi="Garamond" w:cs="Libre Baskerville"/>
          <w:i/>
          <w:sz w:val="24"/>
          <w:szCs w:val="24"/>
        </w:rPr>
        <w:t>et al.</w:t>
      </w:r>
      <w:r w:rsidRPr="00F9071F">
        <w:rPr>
          <w:rFonts w:ascii="Garamond" w:eastAsia="Libre Baskerville" w:hAnsi="Garamond" w:cs="Libre Baskerville"/>
          <w:sz w:val="24"/>
          <w:szCs w:val="24"/>
        </w:rPr>
        <w:t xml:space="preserve"> 2002). There are also individuals within each culture who constitute exceptions to most predominant gender norms of that culture, such as the Queen of England (Mikkola 2009).</w:t>
      </w:r>
      <w:r w:rsidRPr="00F9071F">
        <w:rPr>
          <w:rFonts w:ascii="Garamond" w:eastAsia="Libre Baskerville" w:hAnsi="Garamond" w:cs="Libre Baskerville"/>
          <w:sz w:val="24"/>
          <w:szCs w:val="24"/>
          <w:vertAlign w:val="superscript"/>
        </w:rPr>
        <w:footnoteReference w:id="4"/>
      </w:r>
      <w:r w:rsidRPr="00F9071F">
        <w:rPr>
          <w:rFonts w:ascii="Garamond" w:eastAsia="Libre Baskerville" w:hAnsi="Garamond" w:cs="Libre Baskerville"/>
          <w:sz w:val="24"/>
          <w:szCs w:val="24"/>
        </w:rPr>
        <w:t xml:space="preserve"> </w:t>
      </w:r>
    </w:p>
    <w:p w:rsidR="0015141E" w:rsidRPr="00F9071F" w:rsidRDefault="00967A8E">
      <w:pPr>
        <w:spacing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If one purports to explain gender in terms of uniform social roles, such variation will </w:t>
      </w:r>
      <w:r w:rsidR="00660032">
        <w:rPr>
          <w:rFonts w:ascii="Garamond" w:eastAsia="Libre Baskerville" w:hAnsi="Garamond" w:cs="Libre Baskerville"/>
          <w:sz w:val="24"/>
          <w:szCs w:val="24"/>
        </w:rPr>
        <w:t xml:space="preserve">clearly </w:t>
      </w:r>
      <w:r w:rsidRPr="00F9071F">
        <w:rPr>
          <w:rFonts w:ascii="Garamond" w:eastAsia="Libre Baskerville" w:hAnsi="Garamond" w:cs="Libre Baskerville"/>
          <w:sz w:val="24"/>
          <w:szCs w:val="24"/>
        </w:rPr>
        <w:t>be problematic (see Bach 2012). But if it is not a uniform social role across time and space tha</w:t>
      </w:r>
      <w:r w:rsidR="009B7E1A">
        <w:rPr>
          <w:rFonts w:ascii="Garamond" w:eastAsia="Libre Baskerville" w:hAnsi="Garamond" w:cs="Libre Baskerville"/>
          <w:sz w:val="24"/>
          <w:szCs w:val="24"/>
        </w:rPr>
        <w:t>t link individuals of a gender,</w:t>
      </w:r>
      <w:r w:rsidRPr="00F9071F">
        <w:rPr>
          <w:rFonts w:ascii="Garamond" w:eastAsia="Libre Baskerville" w:hAnsi="Garamond" w:cs="Libre Baskerville"/>
          <w:sz w:val="24"/>
          <w:szCs w:val="24"/>
        </w:rPr>
        <w:t xml:space="preserve"> what does? The issue of unity and commonality within a gender might not have been of much concern among others than linguists and philosophers had it not also been associated with a broader political problem of gender. Theodore Bach (2012, p. 234) refers to this as </w:t>
      </w:r>
      <w:r w:rsidRPr="00F9071F">
        <w:rPr>
          <w:rFonts w:ascii="Garamond" w:eastAsia="Libre Baskerville" w:hAnsi="Garamond" w:cs="Libre Baskerville"/>
          <w:i/>
          <w:sz w:val="24"/>
          <w:szCs w:val="24"/>
        </w:rPr>
        <w:t>the representation problem</w:t>
      </w:r>
      <w:r w:rsidRPr="00F9071F">
        <w:rPr>
          <w:rFonts w:ascii="Garamond" w:eastAsia="Libre Baskerville" w:hAnsi="Garamond" w:cs="Libre Baskerville"/>
          <w:sz w:val="24"/>
          <w:szCs w:val="24"/>
        </w:rPr>
        <w:t>, a problem which many feminist philosophers, including Sally Haslanger (2002) and Allison Stone (2004), have also emphasized. Here is Iris Marion Young’s influential formulation of the problem: “We seem to be able to talk about women as a collective in some sense, even though women’s experiences vary considerably by class, race, sexuality, age or society” (1994 p. 722). She goes on, “</w:t>
      </w:r>
      <w:r w:rsidRPr="00F9071F">
        <w:rPr>
          <w:rFonts w:ascii="Garamond" w:eastAsia="Symbol" w:hAnsi="Garamond" w:cs="Symbol"/>
          <w:sz w:val="24"/>
          <w:szCs w:val="24"/>
        </w:rPr>
        <w:t>[</w:t>
      </w:r>
      <w:r w:rsidRPr="00F9071F">
        <w:rPr>
          <w:rFonts w:ascii="Garamond" w:eastAsia="Libre Baskerville" w:hAnsi="Garamond" w:cs="Libre Baskerville"/>
          <w:sz w:val="24"/>
          <w:szCs w:val="24"/>
        </w:rPr>
        <w:t>but</w:t>
      </w:r>
      <w:r w:rsidRPr="00F9071F">
        <w:rPr>
          <w:rFonts w:ascii="Garamond" w:eastAsia="Symbol" w:hAnsi="Garamond" w:cs="Symbol"/>
          <w:sz w:val="24"/>
          <w:szCs w:val="24"/>
        </w:rPr>
        <w:t>]</w:t>
      </w:r>
      <w:r w:rsidRPr="00F9071F">
        <w:rPr>
          <w:rFonts w:ascii="Garamond" w:eastAsia="Libre Baskerville" w:hAnsi="Garamond" w:cs="Libre Baskerville"/>
          <w:sz w:val="24"/>
          <w:szCs w:val="24"/>
        </w:rPr>
        <w:t xml:space="preserve"> without some clear sense in which ‘women’ is the name for a collective, there is nothing specific to feminist politics” (ibid. 714). </w:t>
      </w:r>
    </w:p>
    <w:p w:rsidR="0015141E" w:rsidRPr="00F9071F" w:rsidRDefault="00660032">
      <w:pPr>
        <w:spacing w:line="480" w:lineRule="auto"/>
        <w:ind w:firstLine="1304"/>
        <w:rPr>
          <w:rFonts w:ascii="Garamond" w:eastAsia="Libre Baskerville" w:hAnsi="Garamond" w:cs="Libre Baskerville"/>
          <w:sz w:val="24"/>
          <w:szCs w:val="24"/>
        </w:rPr>
      </w:pPr>
      <w:r>
        <w:rPr>
          <w:rFonts w:ascii="Garamond" w:eastAsia="Libre Baskerville" w:hAnsi="Garamond" w:cs="Libre Baskerville"/>
          <w:sz w:val="24"/>
          <w:szCs w:val="24"/>
        </w:rPr>
        <w:t>For these feminist authors</w:t>
      </w:r>
      <w:r w:rsidR="00967A8E" w:rsidRPr="00F9071F">
        <w:rPr>
          <w:rFonts w:ascii="Garamond" w:eastAsia="Libre Baskerville" w:hAnsi="Garamond" w:cs="Libre Baskerville"/>
          <w:sz w:val="24"/>
          <w:szCs w:val="24"/>
        </w:rPr>
        <w:t>, the issue of commonality and unity within gender is tied to the crucial political function that taking women as a unified and distinct collective has</w:t>
      </w:r>
      <w:r>
        <w:rPr>
          <w:rFonts w:ascii="Garamond" w:eastAsia="Libre Baskerville" w:hAnsi="Garamond" w:cs="Libre Baskerville"/>
          <w:sz w:val="24"/>
          <w:szCs w:val="24"/>
        </w:rPr>
        <w:t>. Here is Young again</w:t>
      </w:r>
      <w:r w:rsidR="00967A8E" w:rsidRPr="00F9071F">
        <w:rPr>
          <w:rFonts w:ascii="Garamond" w:eastAsia="Libre Baskerville" w:hAnsi="Garamond" w:cs="Libre Baskerville"/>
          <w:sz w:val="24"/>
          <w:szCs w:val="24"/>
        </w:rPr>
        <w:t xml:space="preserve">: “The naming of women as a specific and distinct collective, moreover is a difficult achievement and one that gives feminism its specificity as a political movement” (ibid. 718). As </w:t>
      </w:r>
      <w:r>
        <w:rPr>
          <w:rFonts w:ascii="Garamond" w:eastAsia="Libre Baskerville" w:hAnsi="Garamond" w:cs="Libre Baskerville"/>
          <w:sz w:val="24"/>
          <w:szCs w:val="24"/>
        </w:rPr>
        <w:t>she</w:t>
      </w:r>
      <w:r w:rsidR="00967A8E" w:rsidRPr="00F9071F">
        <w:rPr>
          <w:rFonts w:ascii="Garamond" w:eastAsia="Libre Baskerville" w:hAnsi="Garamond" w:cs="Libre Baskerville"/>
          <w:sz w:val="24"/>
          <w:szCs w:val="24"/>
        </w:rPr>
        <w:t xml:space="preserve"> recognizes this</w:t>
      </w:r>
      <w:r>
        <w:rPr>
          <w:rFonts w:ascii="Garamond" w:eastAsia="Libre Baskerville" w:hAnsi="Garamond" w:cs="Libre Baskerville"/>
          <w:sz w:val="24"/>
          <w:szCs w:val="24"/>
        </w:rPr>
        <w:t xml:space="preserve"> function of the term</w:t>
      </w:r>
      <w:r w:rsidR="00967A8E" w:rsidRPr="00F9071F">
        <w:rPr>
          <w:rFonts w:ascii="Garamond" w:eastAsia="Libre Baskerville" w:hAnsi="Garamond" w:cs="Libre Baskerville"/>
          <w:sz w:val="24"/>
          <w:szCs w:val="24"/>
        </w:rPr>
        <w:t xml:space="preserve"> is present even in the justification of concrete policies, such as affirmative action. Let us consider two prominent justifications of affirmative action and other proactive anti-</w:t>
      </w:r>
      <w:r w:rsidR="00967A8E" w:rsidRPr="00F9071F">
        <w:rPr>
          <w:rFonts w:ascii="Garamond" w:eastAsia="Libre Baskerville" w:hAnsi="Garamond" w:cs="Libre Baskerville"/>
          <w:sz w:val="24"/>
          <w:szCs w:val="24"/>
        </w:rPr>
        <w:lastRenderedPageBreak/>
        <w:t xml:space="preserve">discrimination policies toward women. One is about compensating for or remedying historical injustices in past generations of women, and the other, perhaps less controversial, one is the claim that women as a collective are </w:t>
      </w:r>
      <w:r w:rsidR="00967A8E" w:rsidRPr="00F9071F">
        <w:rPr>
          <w:rFonts w:ascii="Garamond" w:eastAsia="Libre Baskerville" w:hAnsi="Garamond" w:cs="Libre Baskerville"/>
          <w:i/>
          <w:sz w:val="24"/>
          <w:szCs w:val="24"/>
        </w:rPr>
        <w:t>currently likely</w:t>
      </w:r>
      <w:r w:rsidR="00967A8E" w:rsidRPr="00F9071F">
        <w:rPr>
          <w:rFonts w:ascii="Garamond" w:eastAsia="Libre Baskerville" w:hAnsi="Garamond" w:cs="Libre Baskerville"/>
          <w:sz w:val="24"/>
          <w:szCs w:val="24"/>
        </w:rPr>
        <w:t xml:space="preserve"> to face structural discrimination. A background condition for both of these claims – pertaining to both historical and current structural injustices – is that there is something uniting a group or collective of (discriminated) members. In fact, even the claim that an</w:t>
      </w:r>
      <w:r w:rsidR="00967A8E" w:rsidRPr="00F9071F">
        <w:rPr>
          <w:rFonts w:ascii="Garamond" w:eastAsia="Libre Baskerville" w:hAnsi="Garamond" w:cs="Libre Baskerville"/>
          <w:i/>
          <w:sz w:val="24"/>
          <w:szCs w:val="24"/>
        </w:rPr>
        <w:t xml:space="preserve"> individual</w:t>
      </w:r>
      <w:r w:rsidR="00967A8E" w:rsidRPr="00F9071F">
        <w:rPr>
          <w:rFonts w:ascii="Garamond" w:eastAsia="Libre Baskerville" w:hAnsi="Garamond" w:cs="Libre Baskerville"/>
          <w:sz w:val="24"/>
          <w:szCs w:val="24"/>
        </w:rPr>
        <w:t xml:space="preserve"> is likely to face injustice is a likelihood that the individual faces </w:t>
      </w:r>
      <w:r w:rsidR="00967A8E" w:rsidRPr="00F9071F">
        <w:rPr>
          <w:rFonts w:ascii="Garamond" w:eastAsia="Libre Baskerville" w:hAnsi="Garamond" w:cs="Libre Baskerville"/>
          <w:i/>
          <w:sz w:val="24"/>
          <w:szCs w:val="24"/>
        </w:rPr>
        <w:t xml:space="preserve">qua </w:t>
      </w:r>
      <w:r w:rsidR="00967A8E" w:rsidRPr="00F9071F">
        <w:rPr>
          <w:rFonts w:ascii="Garamond" w:eastAsia="Libre Baskerville" w:hAnsi="Garamond" w:cs="Libre Baskerville"/>
          <w:sz w:val="24"/>
          <w:szCs w:val="24"/>
        </w:rPr>
        <w:t xml:space="preserve">being a woman. This all brings us back to the same question: what does belonging to a gender really mean? </w:t>
      </w:r>
    </w:p>
    <w:p w:rsidR="0015141E" w:rsidRPr="00F9071F" w:rsidRDefault="00967A8E">
      <w:pPr>
        <w:numPr>
          <w:ilvl w:val="0"/>
          <w:numId w:val="2"/>
        </w:numPr>
        <w:spacing w:before="100" w:after="120" w:line="480" w:lineRule="auto"/>
        <w:rPr>
          <w:rFonts w:ascii="Garamond" w:eastAsia="Libre Baskerville" w:hAnsi="Garamond" w:cs="Libre Baskerville"/>
          <w:b/>
          <w:sz w:val="24"/>
          <w:szCs w:val="24"/>
        </w:rPr>
      </w:pPr>
      <w:r w:rsidRPr="00F9071F">
        <w:rPr>
          <w:rFonts w:ascii="Garamond" w:eastAsia="Libre Baskerville" w:hAnsi="Garamond" w:cs="Libre Baskerville"/>
          <w:b/>
          <w:sz w:val="24"/>
          <w:szCs w:val="24"/>
        </w:rPr>
        <w:t>Gender as a culturally reproduced historical kind</w:t>
      </w:r>
    </w:p>
    <w:p w:rsidR="0015141E" w:rsidRPr="00F9071F" w:rsidRDefault="00967A8E">
      <w:pPr>
        <w:spacing w:before="100" w:after="120" w:line="480" w:lineRule="auto"/>
        <w:rPr>
          <w:rFonts w:ascii="Garamond" w:eastAsia="Libre Baskerville" w:hAnsi="Garamond" w:cs="Libre Baskerville"/>
          <w:sz w:val="24"/>
          <w:szCs w:val="24"/>
        </w:rPr>
      </w:pPr>
      <w:r w:rsidRPr="00F9071F">
        <w:rPr>
          <w:rFonts w:ascii="Garamond" w:eastAsia="Libre Baskerville" w:hAnsi="Garamond" w:cs="Libre Baskerville"/>
          <w:sz w:val="24"/>
          <w:szCs w:val="24"/>
        </w:rPr>
        <w:t>My aim in this section is to offer a plausible account that defends gender as a culturally reproduced historical kind. This position has been set out in response to the representation problem in the work of Iris Marion Young on the one hand, who suggests that women should be thought of as a “serial collective” (1994), and in more detail in the historical essentialist account of gender defended by Theodore Bach. The latter is the account I will follow most closely (Bach 2012, 2016). I will try to demonstrate the virtues of the account, and in particular I will show that a historical account has the capacity to resolve any tension between the inductive potential of gender and the variation within the category.</w:t>
      </w:r>
    </w:p>
    <w:p w:rsidR="00660032" w:rsidRDefault="00967A8E">
      <w:pPr>
        <w:spacing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If we want to consider a paradigm of historical kinds, species are often suggested (Millikan 1999, 2000; Bach 2012). But in my mind, there are far simpler cases of historical reproduction that can serve as a starting point. Take, for example, the true statements about Leo Tolstoy’s </w:t>
      </w:r>
      <w:r w:rsidRPr="00F9071F">
        <w:rPr>
          <w:rFonts w:ascii="Garamond" w:eastAsia="Libre Baskerville" w:hAnsi="Garamond" w:cs="Libre Baskerville"/>
          <w:i/>
          <w:sz w:val="24"/>
          <w:szCs w:val="24"/>
        </w:rPr>
        <w:t>War and Peace</w:t>
      </w:r>
      <w:r w:rsidRPr="00F9071F">
        <w:rPr>
          <w:rFonts w:ascii="Garamond" w:eastAsia="Libre Baskerville" w:hAnsi="Garamond" w:cs="Libre Baskerville"/>
          <w:sz w:val="24"/>
          <w:szCs w:val="24"/>
        </w:rPr>
        <w:t xml:space="preserve">: what makes them true? Here are some instances of </w:t>
      </w:r>
      <w:r w:rsidRPr="00F9071F">
        <w:rPr>
          <w:rFonts w:ascii="Garamond" w:eastAsia="Libre Baskerville" w:hAnsi="Garamond" w:cs="Libre Baskerville"/>
          <w:i/>
          <w:sz w:val="24"/>
          <w:szCs w:val="24"/>
        </w:rPr>
        <w:t>War and Peace</w:t>
      </w:r>
      <w:r w:rsidRPr="00F9071F">
        <w:rPr>
          <w:rFonts w:ascii="Garamond" w:eastAsia="Libre Baskerville" w:hAnsi="Garamond" w:cs="Libre Baskerville"/>
          <w:sz w:val="24"/>
          <w:szCs w:val="24"/>
        </w:rPr>
        <w:t xml:space="preserve">: the paperback on my bookshelf with the front page torn off, the one in my local library, the recent BBC series, and the superior Russian film version from 1969. All of these are members of the same historical kind as they are </w:t>
      </w:r>
      <w:r w:rsidRPr="00F9071F">
        <w:rPr>
          <w:rFonts w:ascii="Garamond" w:eastAsia="Libre Baskerville" w:hAnsi="Garamond" w:cs="Libre Baskerville"/>
          <w:i/>
          <w:sz w:val="24"/>
          <w:szCs w:val="24"/>
        </w:rPr>
        <w:t>all copies of an original version</w:t>
      </w:r>
      <w:r w:rsidRPr="00F9071F">
        <w:rPr>
          <w:rFonts w:ascii="Garamond" w:eastAsia="Libre Baskerville" w:hAnsi="Garamond" w:cs="Libre Baskerville"/>
          <w:sz w:val="24"/>
          <w:szCs w:val="24"/>
        </w:rPr>
        <w:t xml:space="preserve">. The fact that they are copies also </w:t>
      </w:r>
      <w:r w:rsidRPr="00F9071F">
        <w:rPr>
          <w:rFonts w:ascii="Garamond" w:eastAsia="Libre Baskerville" w:hAnsi="Garamond" w:cs="Libre Baskerville"/>
          <w:i/>
          <w:sz w:val="24"/>
          <w:szCs w:val="24"/>
        </w:rPr>
        <w:t>explains</w:t>
      </w:r>
      <w:r w:rsidRPr="00F9071F">
        <w:rPr>
          <w:rFonts w:ascii="Garamond" w:eastAsia="Libre Baskerville" w:hAnsi="Garamond" w:cs="Libre Baskerville"/>
          <w:sz w:val="24"/>
          <w:szCs w:val="24"/>
        </w:rPr>
        <w:t xml:space="preserve"> certain reliable common features: the main protagonist of </w:t>
      </w:r>
      <w:r w:rsidRPr="00F9071F">
        <w:rPr>
          <w:rFonts w:ascii="Garamond" w:eastAsia="Libre Baskerville" w:hAnsi="Garamond" w:cs="Libre Baskerville"/>
          <w:i/>
          <w:sz w:val="24"/>
          <w:szCs w:val="24"/>
        </w:rPr>
        <w:t>War and Peace</w:t>
      </w:r>
      <w:r w:rsidRPr="00F9071F">
        <w:rPr>
          <w:rFonts w:ascii="Garamond" w:eastAsia="Libre Baskerville" w:hAnsi="Garamond" w:cs="Libre Baskerville"/>
          <w:sz w:val="24"/>
          <w:szCs w:val="24"/>
        </w:rPr>
        <w:t xml:space="preserve"> is Pierre; the central love story in </w:t>
      </w:r>
      <w:r w:rsidRPr="00F9071F">
        <w:rPr>
          <w:rFonts w:ascii="Garamond" w:eastAsia="Libre Baskerville" w:hAnsi="Garamond" w:cs="Libre Baskerville"/>
          <w:i/>
          <w:sz w:val="24"/>
          <w:szCs w:val="24"/>
        </w:rPr>
        <w:t>War and Peace</w:t>
      </w:r>
      <w:r w:rsidRPr="00F9071F">
        <w:rPr>
          <w:rFonts w:ascii="Garamond" w:eastAsia="Libre Baskerville" w:hAnsi="Garamond" w:cs="Libre Baskerville"/>
          <w:sz w:val="24"/>
          <w:szCs w:val="24"/>
        </w:rPr>
        <w:t xml:space="preserve"> is the one between Natasha </w:t>
      </w:r>
      <w:r w:rsidRPr="00F9071F">
        <w:rPr>
          <w:rFonts w:ascii="Garamond" w:eastAsia="Libre Baskerville" w:hAnsi="Garamond" w:cs="Libre Baskerville"/>
          <w:sz w:val="24"/>
          <w:szCs w:val="24"/>
        </w:rPr>
        <w:lastRenderedPageBreak/>
        <w:t xml:space="preserve">and Prince André; </w:t>
      </w:r>
      <w:r w:rsidRPr="00F9071F">
        <w:rPr>
          <w:rFonts w:ascii="Garamond" w:eastAsia="Libre Baskerville" w:hAnsi="Garamond" w:cs="Libre Baskerville"/>
          <w:i/>
          <w:sz w:val="24"/>
          <w:szCs w:val="24"/>
        </w:rPr>
        <w:t>War and Peace</w:t>
      </w:r>
      <w:r w:rsidRPr="00F9071F">
        <w:rPr>
          <w:rFonts w:ascii="Garamond" w:eastAsia="Libre Baskerville" w:hAnsi="Garamond" w:cs="Libre Baskerville"/>
          <w:sz w:val="24"/>
          <w:szCs w:val="24"/>
        </w:rPr>
        <w:t xml:space="preserve"> is set in Russia during the early 19</w:t>
      </w:r>
      <w:r w:rsidRPr="00F9071F">
        <w:rPr>
          <w:rFonts w:ascii="Garamond" w:eastAsia="Libre Baskerville" w:hAnsi="Garamond" w:cs="Libre Baskerville"/>
          <w:sz w:val="24"/>
          <w:szCs w:val="24"/>
          <w:vertAlign w:val="superscript"/>
        </w:rPr>
        <w:t>th</w:t>
      </w:r>
      <w:r w:rsidRPr="00F9071F">
        <w:rPr>
          <w:rFonts w:ascii="Garamond" w:eastAsia="Libre Baskerville" w:hAnsi="Garamond" w:cs="Libre Baskerville"/>
          <w:sz w:val="24"/>
          <w:szCs w:val="24"/>
        </w:rPr>
        <w:t xml:space="preserve"> century.</w:t>
      </w:r>
      <w:r w:rsidRPr="00F9071F">
        <w:rPr>
          <w:rFonts w:ascii="Garamond" w:eastAsia="Libre Baskerville" w:hAnsi="Garamond" w:cs="Libre Baskerville"/>
          <w:sz w:val="24"/>
          <w:szCs w:val="24"/>
          <w:vertAlign w:val="superscript"/>
        </w:rPr>
        <w:t xml:space="preserve"> </w:t>
      </w:r>
      <w:r w:rsidRPr="00F9071F">
        <w:rPr>
          <w:rFonts w:ascii="Garamond" w:eastAsia="Libre Baskerville" w:hAnsi="Garamond" w:cs="Libre Baskerville"/>
          <w:sz w:val="24"/>
          <w:szCs w:val="24"/>
          <w:vertAlign w:val="superscript"/>
        </w:rPr>
        <w:footnoteReference w:id="5"/>
      </w:r>
      <w:r w:rsidRPr="00F9071F">
        <w:rPr>
          <w:rFonts w:ascii="Garamond" w:eastAsia="Libre Baskerville" w:hAnsi="Garamond" w:cs="Libre Baskerville"/>
          <w:sz w:val="24"/>
          <w:szCs w:val="24"/>
          <w:vertAlign w:val="superscript"/>
        </w:rPr>
        <w:t xml:space="preserve"> </w:t>
      </w:r>
      <w:r w:rsidRPr="00F9071F">
        <w:rPr>
          <w:rFonts w:ascii="Garamond" w:eastAsia="Libre Baskerville" w:hAnsi="Garamond" w:cs="Libre Baskerville"/>
          <w:sz w:val="24"/>
          <w:szCs w:val="24"/>
        </w:rPr>
        <w:t xml:space="preserve"> Perhaps this is a rather mundane set of claims. Scholars of literary and comparative studies may be far more interested in variations between instances and literary works. Yet, such studies arguably only make sense against a background of kind-identity be</w:t>
      </w:r>
      <w:r w:rsidR="00660032">
        <w:rPr>
          <w:rFonts w:ascii="Garamond" w:eastAsia="Libre Baskerville" w:hAnsi="Garamond" w:cs="Libre Baskerville"/>
          <w:sz w:val="24"/>
          <w:szCs w:val="24"/>
        </w:rPr>
        <w:t>tween items. T</w:t>
      </w:r>
      <w:r w:rsidR="00660032" w:rsidRPr="00F9071F">
        <w:rPr>
          <w:rFonts w:ascii="Garamond" w:eastAsia="Libre Baskerville" w:hAnsi="Garamond" w:cs="Libre Baskerville"/>
          <w:sz w:val="24"/>
          <w:szCs w:val="24"/>
        </w:rPr>
        <w:t>he account claims</w:t>
      </w:r>
      <w:r w:rsidR="00660032">
        <w:rPr>
          <w:rFonts w:ascii="Garamond" w:eastAsia="Libre Baskerville" w:hAnsi="Garamond" w:cs="Libre Baskerville"/>
          <w:sz w:val="24"/>
          <w:szCs w:val="24"/>
        </w:rPr>
        <w:t xml:space="preserve"> that such kind-identity</w:t>
      </w:r>
      <w:r w:rsidRPr="00F9071F">
        <w:rPr>
          <w:rFonts w:ascii="Garamond" w:eastAsia="Libre Baskerville" w:hAnsi="Garamond" w:cs="Libre Baskerville"/>
          <w:sz w:val="24"/>
          <w:szCs w:val="24"/>
        </w:rPr>
        <w:t xml:space="preserve"> is granted by the historical reproduction between items. </w:t>
      </w:r>
    </w:p>
    <w:p w:rsidR="0015141E" w:rsidRPr="00F9071F" w:rsidRDefault="00967A8E" w:rsidP="00660032">
      <w:pPr>
        <w:spacing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We thus already have an initial grasp of how inductive potential and intra-kind variation need not be in a state of mutual tension; indeed the latter seems to presuppose the former.</w:t>
      </w:r>
      <w:r w:rsidR="00660032">
        <w:rPr>
          <w:rFonts w:ascii="Garamond" w:eastAsia="Libre Baskerville" w:hAnsi="Garamond" w:cs="Libre Baskerville"/>
          <w:sz w:val="24"/>
          <w:szCs w:val="24"/>
        </w:rPr>
        <w:t xml:space="preserve"> </w:t>
      </w:r>
      <w:r w:rsidRPr="00F9071F">
        <w:rPr>
          <w:rFonts w:ascii="Garamond" w:eastAsia="Libre Baskerville" w:hAnsi="Garamond" w:cs="Libre Baskerville"/>
          <w:sz w:val="24"/>
          <w:szCs w:val="24"/>
        </w:rPr>
        <w:t xml:space="preserve">The reader might already protest that a gender cannot be a kind in the same sense as </w:t>
      </w:r>
      <w:r w:rsidRPr="00F9071F">
        <w:rPr>
          <w:rFonts w:ascii="Garamond" w:eastAsia="Libre Baskerville" w:hAnsi="Garamond" w:cs="Libre Baskerville"/>
          <w:i/>
          <w:sz w:val="24"/>
          <w:szCs w:val="24"/>
        </w:rPr>
        <w:t>War and Peace</w:t>
      </w:r>
      <w:r w:rsidRPr="00F9071F">
        <w:rPr>
          <w:rFonts w:ascii="Garamond" w:eastAsia="Libre Baskerville" w:hAnsi="Garamond" w:cs="Libre Baskerville"/>
          <w:sz w:val="24"/>
          <w:szCs w:val="24"/>
        </w:rPr>
        <w:t xml:space="preserve"> simply because it is much less evident that there is significant copying in the case of gender than in the case of </w:t>
      </w:r>
      <w:r w:rsidRPr="00F9071F">
        <w:rPr>
          <w:rFonts w:ascii="Garamond" w:eastAsia="Libre Baskerville" w:hAnsi="Garamond" w:cs="Libre Baskerville"/>
          <w:i/>
          <w:sz w:val="24"/>
          <w:szCs w:val="24"/>
        </w:rPr>
        <w:t>War and Peace</w:t>
      </w:r>
      <w:r w:rsidRPr="00F9071F">
        <w:rPr>
          <w:rFonts w:ascii="Garamond" w:eastAsia="Libre Baskerville" w:hAnsi="Garamond" w:cs="Libre Baskerville"/>
          <w:sz w:val="24"/>
          <w:szCs w:val="24"/>
        </w:rPr>
        <w:t xml:space="preserve"> in which reproduction is obvious and the fidelity amongst instances can be assured. </w:t>
      </w:r>
      <w:r w:rsidR="00660032">
        <w:rPr>
          <w:rFonts w:ascii="Garamond" w:eastAsia="Libre Baskerville" w:hAnsi="Garamond" w:cs="Libre Baskerville"/>
          <w:sz w:val="24"/>
          <w:szCs w:val="24"/>
        </w:rPr>
        <w:t>But</w:t>
      </w:r>
      <w:r w:rsidRPr="00F9071F">
        <w:rPr>
          <w:rFonts w:ascii="Garamond" w:eastAsia="Libre Baskerville" w:hAnsi="Garamond" w:cs="Libre Baskerville"/>
          <w:sz w:val="24"/>
          <w:szCs w:val="24"/>
        </w:rPr>
        <w:t xml:space="preserve"> the shared features of </w:t>
      </w:r>
      <w:r w:rsidRPr="00F9071F">
        <w:rPr>
          <w:rFonts w:ascii="Garamond" w:eastAsia="Libre Baskerville" w:hAnsi="Garamond" w:cs="Libre Baskerville"/>
          <w:i/>
          <w:sz w:val="24"/>
          <w:szCs w:val="24"/>
        </w:rPr>
        <w:t xml:space="preserve">War and Peace </w:t>
      </w:r>
      <w:r w:rsidRPr="00F9071F">
        <w:rPr>
          <w:rFonts w:ascii="Garamond" w:eastAsia="Libre Baskerville" w:hAnsi="Garamond" w:cs="Libre Baskerville"/>
          <w:sz w:val="24"/>
          <w:szCs w:val="24"/>
        </w:rPr>
        <w:t xml:space="preserve">hardly constitute a trivial outcome. After all, they demand, among other things, the invention and successful execution of the printing press, well-maintained technologies and legal institutions to ensure common features amongst instances. It is true, nevertheless, that there may not be a clear grasp of reproduction as a concept. At first pass, a historical kind seems to require the following main ingredients: </w:t>
      </w:r>
    </w:p>
    <w:p w:rsidR="0015141E" w:rsidRPr="00F9071F" w:rsidRDefault="00967A8E">
      <w:pPr>
        <w:spacing w:after="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1) The existence of a model or models; </w:t>
      </w:r>
    </w:p>
    <w:p w:rsidR="0015141E" w:rsidRPr="00F9071F" w:rsidRDefault="00967A8E">
      <w:pPr>
        <w:spacing w:after="0" w:line="480" w:lineRule="auto"/>
        <w:ind w:left="1440" w:hanging="143"/>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2) New member(s) produced in interaction with the model (or other past members); </w:t>
      </w:r>
    </w:p>
    <w:p w:rsidR="0015141E" w:rsidRPr="00F9071F" w:rsidRDefault="00967A8E">
      <w:pPr>
        <w:spacing w:after="0" w:line="480" w:lineRule="auto"/>
        <w:ind w:left="130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3) The interaction with past models (or members) </w:t>
      </w:r>
      <w:r w:rsidRPr="00F9071F">
        <w:rPr>
          <w:rFonts w:ascii="Garamond" w:eastAsia="Libre Baskerville" w:hAnsi="Garamond" w:cs="Libre Baskerville"/>
          <w:i/>
          <w:sz w:val="24"/>
          <w:szCs w:val="24"/>
        </w:rPr>
        <w:t>causes</w:t>
      </w:r>
      <w:r w:rsidRPr="00F9071F">
        <w:rPr>
          <w:rFonts w:ascii="Garamond" w:eastAsia="Libre Baskerville" w:hAnsi="Garamond" w:cs="Libre Baskerville"/>
          <w:sz w:val="24"/>
          <w:szCs w:val="24"/>
        </w:rPr>
        <w:t xml:space="preserve"> the new members to </w:t>
      </w:r>
      <w:r w:rsidRPr="00F9071F">
        <w:rPr>
          <w:rFonts w:ascii="Garamond" w:eastAsia="Libre Baskerville" w:hAnsi="Garamond" w:cs="Libre Baskerville"/>
          <w:i/>
          <w:sz w:val="24"/>
          <w:szCs w:val="24"/>
        </w:rPr>
        <w:t xml:space="preserve">resemble </w:t>
      </w:r>
      <w:r w:rsidRPr="00F9071F">
        <w:rPr>
          <w:rFonts w:ascii="Garamond" w:eastAsia="Libre Baskerville" w:hAnsi="Garamond" w:cs="Libre Baskerville"/>
          <w:sz w:val="24"/>
          <w:szCs w:val="24"/>
        </w:rPr>
        <w:t>past member(s);</w:t>
      </w:r>
    </w:p>
    <w:p w:rsidR="0015141E" w:rsidRPr="00F9071F" w:rsidRDefault="00967A8E">
      <w:pPr>
        <w:spacing w:after="0" w:line="480" w:lineRule="auto"/>
        <w:ind w:left="130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4) Steps 2-3 </w:t>
      </w:r>
      <w:r w:rsidRPr="00F9071F">
        <w:rPr>
          <w:rFonts w:ascii="Garamond" w:eastAsia="Libre Baskerville" w:hAnsi="Garamond" w:cs="Libre Baskerville"/>
          <w:i/>
          <w:sz w:val="24"/>
          <w:szCs w:val="24"/>
        </w:rPr>
        <w:t xml:space="preserve">recur </w:t>
      </w:r>
      <w:r w:rsidRPr="00F9071F">
        <w:rPr>
          <w:rFonts w:ascii="Garamond" w:eastAsia="Libre Baskerville" w:hAnsi="Garamond" w:cs="Libre Baskerville"/>
          <w:sz w:val="24"/>
          <w:szCs w:val="24"/>
        </w:rPr>
        <w:t xml:space="preserve">such that there is chain of reproduction or </w:t>
      </w:r>
      <w:r w:rsidRPr="00F9071F">
        <w:rPr>
          <w:rFonts w:ascii="Garamond" w:eastAsia="Libre Baskerville" w:hAnsi="Garamond" w:cs="Libre Baskerville"/>
          <w:i/>
          <w:sz w:val="24"/>
          <w:szCs w:val="24"/>
        </w:rPr>
        <w:t>lineages</w:t>
      </w:r>
      <w:r w:rsidRPr="00F9071F">
        <w:rPr>
          <w:rFonts w:ascii="Garamond" w:eastAsia="Libre Baskerville" w:hAnsi="Garamond" w:cs="Libre Baskerville"/>
          <w:sz w:val="24"/>
          <w:szCs w:val="24"/>
        </w:rPr>
        <w:t xml:space="preserve">. </w:t>
      </w:r>
    </w:p>
    <w:p w:rsidR="0015141E" w:rsidRPr="00F9071F" w:rsidRDefault="00967A8E">
      <w:pPr>
        <w:spacing w:after="0" w:line="480" w:lineRule="auto"/>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With regard to </w:t>
      </w:r>
      <w:r w:rsidRPr="00F9071F">
        <w:rPr>
          <w:rFonts w:ascii="Garamond" w:eastAsia="Libre Baskerville" w:hAnsi="Garamond" w:cs="Libre Baskerville"/>
          <w:i/>
          <w:sz w:val="24"/>
          <w:szCs w:val="24"/>
        </w:rPr>
        <w:t>models of gender</w:t>
      </w:r>
      <w:r w:rsidR="00660032">
        <w:rPr>
          <w:rFonts w:ascii="Garamond" w:eastAsia="Libre Baskerville" w:hAnsi="Garamond" w:cs="Libre Baskerville"/>
          <w:sz w:val="24"/>
          <w:szCs w:val="24"/>
        </w:rPr>
        <w:t xml:space="preserve"> (1),</w:t>
      </w:r>
      <w:r w:rsidRPr="00F9071F">
        <w:rPr>
          <w:rFonts w:ascii="Garamond" w:eastAsia="Libre Baskerville" w:hAnsi="Garamond" w:cs="Libre Baskerville"/>
          <w:sz w:val="24"/>
          <w:szCs w:val="24"/>
        </w:rPr>
        <w:t xml:space="preserve"> Alice Eagly &amp; Wendy Wood (2005) suggest that it was the physical differences between the sexes – such as pregnancy and lactation among women and the greater size, speed and upper-body strength among men – that originally gave rise to the original gender differences. </w:t>
      </w:r>
      <w:r w:rsidRPr="00F9071F">
        <w:rPr>
          <w:rFonts w:ascii="Garamond" w:eastAsia="Libre Baskerville" w:hAnsi="Garamond" w:cs="Libre Baskerville"/>
          <w:sz w:val="24"/>
          <w:szCs w:val="24"/>
        </w:rPr>
        <w:lastRenderedPageBreak/>
        <w:t xml:space="preserve">In their account, for example, this led men to perform tasks that required upper-body strength for extended periods of time, uninterrupted by having babies. It is quite plausible that real, or at the very least perceived, physical sex differences played an important role in the original emergence of gender models that were then transmitted through social learning. It is worth noting, however, that proponents of the historical-reproductive account of gender do not have to presume any particular account of </w:t>
      </w:r>
      <w:r w:rsidRPr="00F9071F">
        <w:rPr>
          <w:rFonts w:ascii="Garamond" w:eastAsia="Libre Baskerville" w:hAnsi="Garamond" w:cs="Libre Baskerville"/>
          <w:i/>
          <w:sz w:val="24"/>
          <w:szCs w:val="24"/>
        </w:rPr>
        <w:t xml:space="preserve">how </w:t>
      </w:r>
      <w:r w:rsidRPr="00F9071F">
        <w:rPr>
          <w:rFonts w:ascii="Garamond" w:eastAsia="Libre Baskerville" w:hAnsi="Garamond" w:cs="Libre Baskerville"/>
          <w:sz w:val="24"/>
          <w:szCs w:val="24"/>
        </w:rPr>
        <w:t xml:space="preserve">specific binary models (or further gender models) emerged alongside sex differences. Let us, again, consider </w:t>
      </w:r>
      <w:r w:rsidRPr="00F9071F">
        <w:rPr>
          <w:rFonts w:ascii="Garamond" w:eastAsia="Libre Baskerville" w:hAnsi="Garamond" w:cs="Libre Baskerville"/>
          <w:i/>
          <w:sz w:val="24"/>
          <w:szCs w:val="24"/>
        </w:rPr>
        <w:t>War and Peace</w:t>
      </w:r>
      <w:r w:rsidRPr="00F9071F">
        <w:rPr>
          <w:rFonts w:ascii="Garamond" w:eastAsia="Libre Baskerville" w:hAnsi="Garamond" w:cs="Libre Baskerville"/>
          <w:sz w:val="24"/>
          <w:szCs w:val="24"/>
        </w:rPr>
        <w:t>. The question of how or when Leo Tolstoy’s ideas and production of the work emerged</w:t>
      </w:r>
      <w:r w:rsidR="00660032">
        <w:rPr>
          <w:rFonts w:ascii="Garamond" w:eastAsia="Libre Baskerville" w:hAnsi="Garamond" w:cs="Libre Baskerville"/>
          <w:sz w:val="24"/>
          <w:szCs w:val="24"/>
        </w:rPr>
        <w:t>,</w:t>
      </w:r>
      <w:r w:rsidRPr="00F9071F">
        <w:rPr>
          <w:rFonts w:ascii="Garamond" w:eastAsia="Libre Baskerville" w:hAnsi="Garamond" w:cs="Libre Baskerville"/>
          <w:sz w:val="24"/>
          <w:szCs w:val="24"/>
        </w:rPr>
        <w:t xml:space="preserve"> is distinct from the claim that subsequent instances are all copies of that original </w:t>
      </w:r>
      <w:r w:rsidRPr="00F9071F">
        <w:rPr>
          <w:rFonts w:ascii="Garamond" w:eastAsia="Libre Baskerville" w:hAnsi="Garamond" w:cs="Libre Baskerville"/>
          <w:i/>
          <w:sz w:val="24"/>
          <w:szCs w:val="24"/>
        </w:rPr>
        <w:t>however</w:t>
      </w:r>
      <w:r w:rsidR="00660032">
        <w:rPr>
          <w:rFonts w:ascii="Garamond" w:eastAsia="Libre Baskerville" w:hAnsi="Garamond" w:cs="Libre Baskerville"/>
          <w:sz w:val="24"/>
          <w:szCs w:val="24"/>
        </w:rPr>
        <w:t xml:space="preserve"> the original </w:t>
      </w:r>
      <w:r w:rsidRPr="00F9071F">
        <w:rPr>
          <w:rFonts w:ascii="Garamond" w:eastAsia="Libre Baskerville" w:hAnsi="Garamond" w:cs="Libre Baskerville"/>
          <w:sz w:val="24"/>
          <w:szCs w:val="24"/>
        </w:rPr>
        <w:t xml:space="preserve">emerged. On the other hand, whereas there is good reason to assume a </w:t>
      </w:r>
      <w:r w:rsidRPr="00F9071F">
        <w:rPr>
          <w:rFonts w:ascii="Garamond" w:eastAsia="Libre Baskerville" w:hAnsi="Garamond" w:cs="Libre Baskerville"/>
          <w:i/>
          <w:sz w:val="24"/>
          <w:szCs w:val="24"/>
        </w:rPr>
        <w:t xml:space="preserve">common cause </w:t>
      </w:r>
      <w:r w:rsidRPr="00F9071F">
        <w:rPr>
          <w:rFonts w:ascii="Garamond" w:eastAsia="Libre Baskerville" w:hAnsi="Garamond" w:cs="Libre Baskerville"/>
          <w:sz w:val="24"/>
          <w:szCs w:val="24"/>
        </w:rPr>
        <w:t>or</w:t>
      </w:r>
      <w:r w:rsidRPr="00F9071F">
        <w:rPr>
          <w:rFonts w:ascii="Garamond" w:eastAsia="Libre Baskerville" w:hAnsi="Garamond" w:cs="Libre Baskerville"/>
          <w:i/>
          <w:sz w:val="24"/>
          <w:szCs w:val="24"/>
        </w:rPr>
        <w:t xml:space="preserve"> model</w:t>
      </w:r>
      <w:r w:rsidRPr="00F9071F">
        <w:rPr>
          <w:rFonts w:ascii="Garamond" w:eastAsia="Libre Baskerville" w:hAnsi="Garamond" w:cs="Libre Baskerville"/>
          <w:sz w:val="24"/>
          <w:szCs w:val="24"/>
        </w:rPr>
        <w:t xml:space="preserve"> in the case of </w:t>
      </w:r>
      <w:r w:rsidRPr="00F9071F">
        <w:rPr>
          <w:rFonts w:ascii="Garamond" w:eastAsia="Libre Baskerville" w:hAnsi="Garamond" w:cs="Libre Baskerville"/>
          <w:i/>
          <w:sz w:val="24"/>
          <w:szCs w:val="24"/>
        </w:rPr>
        <w:t>War and Peace</w:t>
      </w:r>
      <w:r w:rsidRPr="00F9071F">
        <w:rPr>
          <w:rFonts w:ascii="Garamond" w:eastAsia="Libre Baskerville" w:hAnsi="Garamond" w:cs="Libre Baskerville"/>
          <w:sz w:val="24"/>
          <w:szCs w:val="24"/>
        </w:rPr>
        <w:t xml:space="preserve">, this is not at all obvious in the case of gender. In other words, given the likelihood that different cultural systems were spatially and temporally isolated from one another, current binary systems might, in fact, have </w:t>
      </w:r>
      <w:r w:rsidRPr="00F9071F">
        <w:rPr>
          <w:rFonts w:ascii="Garamond" w:eastAsia="Libre Baskerville" w:hAnsi="Garamond" w:cs="Libre Baskerville"/>
          <w:i/>
          <w:sz w:val="24"/>
          <w:szCs w:val="24"/>
        </w:rPr>
        <w:t xml:space="preserve">different </w:t>
      </w:r>
      <w:r w:rsidRPr="00F9071F">
        <w:rPr>
          <w:rFonts w:ascii="Garamond" w:eastAsia="Libre Baskerville" w:hAnsi="Garamond" w:cs="Libre Baskerville"/>
          <w:sz w:val="24"/>
          <w:szCs w:val="24"/>
        </w:rPr>
        <w:t xml:space="preserve">origins. </w:t>
      </w:r>
    </w:p>
    <w:p w:rsidR="0015141E" w:rsidRPr="00F9071F" w:rsidRDefault="00967A8E">
      <w:pPr>
        <w:spacing w:after="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I will return to this question and its implications for solving the representation problem in the next section, but for now it suffices to note that there is no need to assume a particular account of the </w:t>
      </w:r>
      <w:r w:rsidRPr="00F9071F">
        <w:rPr>
          <w:rFonts w:ascii="Garamond" w:eastAsia="Libre Baskerville" w:hAnsi="Garamond" w:cs="Libre Baskerville"/>
          <w:i/>
          <w:sz w:val="24"/>
          <w:szCs w:val="24"/>
        </w:rPr>
        <w:t>emergence</w:t>
      </w:r>
      <w:r w:rsidRPr="00F9071F">
        <w:rPr>
          <w:rFonts w:ascii="Garamond" w:eastAsia="Libre Baskerville" w:hAnsi="Garamond" w:cs="Libre Baskerville"/>
          <w:sz w:val="24"/>
          <w:szCs w:val="24"/>
        </w:rPr>
        <w:t xml:space="preserve"> of models of gender to make the case for a plausible reproductive link between members. For now, the question concerns how interaction between individuals could proceed such that new members come to resemble their predecessors. </w:t>
      </w:r>
    </w:p>
    <w:p w:rsidR="0015141E" w:rsidRPr="00F9071F" w:rsidRDefault="00967A8E">
      <w:pPr>
        <w:spacing w:before="280" w:after="12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The third condition of reproduction is that the interaction between past and present members has some modal force. In other words, it is precisely </w:t>
      </w:r>
      <w:r w:rsidRPr="00F9071F">
        <w:rPr>
          <w:rFonts w:ascii="Garamond" w:eastAsia="Libre Baskerville" w:hAnsi="Garamond" w:cs="Libre Baskerville"/>
          <w:i/>
          <w:sz w:val="24"/>
          <w:szCs w:val="24"/>
        </w:rPr>
        <w:t>because</w:t>
      </w:r>
      <w:r w:rsidRPr="00F9071F">
        <w:rPr>
          <w:rFonts w:ascii="Garamond" w:eastAsia="Libre Baskerville" w:hAnsi="Garamond" w:cs="Libre Baskerville"/>
          <w:sz w:val="24"/>
          <w:szCs w:val="24"/>
        </w:rPr>
        <w:t xml:space="preserve"> the interaction produced similarity amongst members that new members were also produced. It is the nature of the interaction itself that makes it no accident that new members of a historical kind are produced. The copying of genetic material is one form of such reproductive interaction, but Peter Godfrey-Smith introduces what is perhaps a more common phenomenon: </w:t>
      </w:r>
      <w:r w:rsidRPr="00F9071F">
        <w:rPr>
          <w:rFonts w:ascii="Garamond" w:eastAsia="Libre Baskerville" w:hAnsi="Garamond" w:cs="Libre Baskerville"/>
          <w:i/>
          <w:sz w:val="24"/>
          <w:szCs w:val="24"/>
        </w:rPr>
        <w:t xml:space="preserve">scaffolded reproduction </w:t>
      </w:r>
      <w:r w:rsidRPr="00F9071F">
        <w:rPr>
          <w:rFonts w:ascii="Garamond" w:eastAsia="Libre Baskerville" w:hAnsi="Garamond" w:cs="Libre Baskerville"/>
          <w:sz w:val="24"/>
          <w:szCs w:val="24"/>
        </w:rPr>
        <w:t xml:space="preserve">(2009, Ch. 4 &amp; 8). In scaffolded reproduction as opposed to, say, sexual reproduction, no material is exchanged and the reproduction relies heavily on the machinery outside of that which is reproduced. Scaffolded reproduction is the </w:t>
      </w:r>
      <w:r w:rsidRPr="00F9071F">
        <w:rPr>
          <w:rFonts w:ascii="Garamond" w:eastAsia="Libre Baskerville" w:hAnsi="Garamond" w:cs="Libre Baskerville"/>
          <w:sz w:val="24"/>
          <w:szCs w:val="24"/>
        </w:rPr>
        <w:lastRenderedPageBreak/>
        <w:t xml:space="preserve">predominant model of cultural transmission, such as in the case of </w:t>
      </w:r>
      <w:r w:rsidRPr="00F9071F">
        <w:rPr>
          <w:rFonts w:ascii="Garamond" w:eastAsia="Libre Baskerville" w:hAnsi="Garamond" w:cs="Libre Baskerville"/>
          <w:i/>
          <w:sz w:val="24"/>
          <w:szCs w:val="24"/>
        </w:rPr>
        <w:t>War and Peace</w:t>
      </w:r>
      <w:r w:rsidR="00660032">
        <w:rPr>
          <w:rFonts w:ascii="Garamond" w:eastAsia="Libre Baskerville" w:hAnsi="Garamond" w:cs="Libre Baskerville"/>
          <w:sz w:val="24"/>
          <w:szCs w:val="24"/>
        </w:rPr>
        <w:t>. It also seems to be</w:t>
      </w:r>
      <w:r w:rsidRPr="00F9071F">
        <w:rPr>
          <w:rFonts w:ascii="Garamond" w:eastAsia="Libre Baskerville" w:hAnsi="Garamond" w:cs="Libre Baskerville"/>
          <w:sz w:val="24"/>
          <w:szCs w:val="24"/>
        </w:rPr>
        <w:t xml:space="preserve"> what happens in the case of gender. </w:t>
      </w:r>
    </w:p>
    <w:p w:rsidR="0015141E" w:rsidRPr="00660032" w:rsidRDefault="00967A8E" w:rsidP="00660032">
      <w:pPr>
        <w:spacing w:before="100" w:after="12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Theodore Bach lists a number of causally interconnected components of a binary gender system that could be considered part of the machinery of the scaffolded reproduction of gender and gendered traits. These components include: binary sexual categories; conceptual gender dualism (including stereotypes, and psychological essentialist bias); gender norms (moral disapproval of individuals’ deviation from, and the moral approval of conformity to gender norms); gender roles and identity; binary gender-socialization practices; certain social and legal institutions; and binary gendered artefacts (2012, p. 247-8). Amongst these elements, perhaps</w:t>
      </w:r>
      <w:r w:rsidR="00660032">
        <w:rPr>
          <w:rFonts w:ascii="Garamond" w:eastAsia="Libre Baskerville" w:hAnsi="Garamond" w:cs="Libre Baskerville"/>
          <w:sz w:val="24"/>
          <w:szCs w:val="24"/>
        </w:rPr>
        <w:t xml:space="preserve"> the most basic issue i</w:t>
      </w:r>
      <w:r w:rsidRPr="00F9071F">
        <w:rPr>
          <w:rFonts w:ascii="Garamond" w:eastAsia="Libre Baskerville" w:hAnsi="Garamond" w:cs="Libre Baskerville"/>
          <w:sz w:val="24"/>
          <w:szCs w:val="24"/>
        </w:rPr>
        <w:t>s</w:t>
      </w:r>
      <w:r w:rsidRPr="00F9071F">
        <w:rPr>
          <w:rFonts w:ascii="Garamond" w:eastAsia="Libre Baskerville" w:hAnsi="Garamond" w:cs="Libre Baskerville"/>
          <w:i/>
          <w:sz w:val="24"/>
          <w:szCs w:val="24"/>
        </w:rPr>
        <w:t xml:space="preserve"> why</w:t>
      </w:r>
      <w:r w:rsidRPr="00F9071F">
        <w:rPr>
          <w:rFonts w:ascii="Garamond" w:eastAsia="Libre Baskerville" w:hAnsi="Garamond" w:cs="Libre Baskerville"/>
          <w:sz w:val="24"/>
          <w:szCs w:val="24"/>
        </w:rPr>
        <w:t xml:space="preserve"> it is t</w:t>
      </w:r>
      <w:r w:rsidR="00660032">
        <w:rPr>
          <w:rFonts w:ascii="Garamond" w:eastAsia="Libre Baskerville" w:hAnsi="Garamond" w:cs="Libre Baskerville"/>
          <w:sz w:val="24"/>
          <w:szCs w:val="24"/>
        </w:rPr>
        <w:t>hat individuals learn from certain</w:t>
      </w:r>
      <w:r w:rsidRPr="00F9071F">
        <w:rPr>
          <w:rFonts w:ascii="Garamond" w:eastAsia="Libre Baskerville" w:hAnsi="Garamond" w:cs="Libre Baskerville"/>
          <w:sz w:val="24"/>
          <w:szCs w:val="24"/>
        </w:rPr>
        <w:t xml:space="preserve"> models of gender and the horde of characteristics that belong to them</w:t>
      </w:r>
      <w:r w:rsidRPr="00F9071F">
        <w:rPr>
          <w:rFonts w:ascii="Garamond" w:eastAsia="Libre Baskerville" w:hAnsi="Garamond" w:cs="Libre Baskerville"/>
          <w:sz w:val="24"/>
          <w:szCs w:val="24"/>
          <w:vertAlign w:val="superscript"/>
        </w:rPr>
        <w:footnoteReference w:id="6"/>
      </w:r>
      <w:r w:rsidRPr="00F9071F">
        <w:rPr>
          <w:rFonts w:ascii="Garamond" w:eastAsia="Libre Baskerville" w:hAnsi="Garamond" w:cs="Libre Baskerville"/>
          <w:sz w:val="24"/>
          <w:szCs w:val="24"/>
        </w:rPr>
        <w:t xml:space="preserve">. There are two plausible sets of reasons suggested in the literature: a sense of identification or belonging that </w:t>
      </w:r>
      <w:r w:rsidRPr="00F9071F">
        <w:rPr>
          <w:rFonts w:ascii="Garamond" w:eastAsia="Libre Baskerville" w:hAnsi="Garamond" w:cs="Libre Baskerville"/>
          <w:i/>
          <w:sz w:val="24"/>
          <w:szCs w:val="24"/>
        </w:rPr>
        <w:t>motivates one</w:t>
      </w:r>
      <w:r w:rsidRPr="00F9071F">
        <w:rPr>
          <w:rFonts w:ascii="Garamond" w:eastAsia="Libre Baskerville" w:hAnsi="Garamond" w:cs="Libre Baskerville"/>
          <w:sz w:val="24"/>
          <w:szCs w:val="24"/>
        </w:rPr>
        <w:t xml:space="preserve"> to be of a gender; and the</w:t>
      </w:r>
      <w:r w:rsidRPr="00F9071F">
        <w:rPr>
          <w:rFonts w:ascii="Garamond" w:eastAsia="Libre Baskerville" w:hAnsi="Garamond" w:cs="Libre Baskerville"/>
          <w:sz w:val="24"/>
          <w:szCs w:val="24"/>
          <w:highlight w:val="white"/>
        </w:rPr>
        <w:t xml:space="preserve"> imposition via external socializing forces that </w:t>
      </w:r>
      <w:r w:rsidRPr="00F9071F">
        <w:rPr>
          <w:rFonts w:ascii="Garamond" w:eastAsia="Libre Baskerville" w:hAnsi="Garamond" w:cs="Libre Baskerville"/>
          <w:i/>
          <w:sz w:val="24"/>
          <w:szCs w:val="24"/>
          <w:highlight w:val="white"/>
        </w:rPr>
        <w:t xml:space="preserve">compels </w:t>
      </w:r>
      <w:r w:rsidRPr="00F9071F">
        <w:rPr>
          <w:rFonts w:ascii="Garamond" w:eastAsia="Libre Baskerville" w:hAnsi="Garamond" w:cs="Libre Baskerville"/>
          <w:sz w:val="24"/>
          <w:szCs w:val="24"/>
          <w:highlight w:val="white"/>
        </w:rPr>
        <w:t xml:space="preserve">individuals to become of a gender. </w:t>
      </w:r>
    </w:p>
    <w:p w:rsidR="0015141E" w:rsidRPr="00EE0702" w:rsidRDefault="00967A8E" w:rsidP="00EE0702">
      <w:pPr>
        <w:spacing w:before="100" w:after="120" w:line="480" w:lineRule="auto"/>
        <w:ind w:firstLine="1304"/>
        <w:rPr>
          <w:rFonts w:ascii="Garamond" w:eastAsia="Libre Baskerville" w:hAnsi="Garamond" w:cs="Libre Baskerville"/>
          <w:sz w:val="24"/>
          <w:szCs w:val="24"/>
          <w:highlight w:val="white"/>
        </w:rPr>
      </w:pPr>
      <w:r w:rsidRPr="00F9071F">
        <w:rPr>
          <w:rFonts w:ascii="Garamond" w:eastAsia="Libre Baskerville" w:hAnsi="Garamond" w:cs="Libre Baskerville"/>
          <w:sz w:val="24"/>
          <w:szCs w:val="24"/>
          <w:highlight w:val="white"/>
        </w:rPr>
        <w:t xml:space="preserve">The first set of motivations are primarily studied in </w:t>
      </w:r>
      <w:r w:rsidRPr="00F9071F">
        <w:rPr>
          <w:rFonts w:ascii="Garamond" w:eastAsia="Libre Baskerville" w:hAnsi="Garamond" w:cs="Libre Baskerville"/>
          <w:sz w:val="24"/>
          <w:szCs w:val="24"/>
        </w:rPr>
        <w:t xml:space="preserve">the literature on gender identity. In fact, </w:t>
      </w:r>
      <w:r w:rsidRPr="00F9071F">
        <w:rPr>
          <w:rFonts w:ascii="Garamond" w:eastAsia="Libre Baskerville" w:hAnsi="Garamond" w:cs="Libre Baskerville"/>
          <w:sz w:val="24"/>
          <w:szCs w:val="24"/>
          <w:highlight w:val="white"/>
        </w:rPr>
        <w:t xml:space="preserve">Wood and Eagly (2015) make a useful distinction between two different traditions of gender-identity research: one that measures the degree to which an individual </w:t>
      </w:r>
      <w:r w:rsidRPr="00F9071F">
        <w:rPr>
          <w:rFonts w:ascii="Garamond" w:eastAsia="Libre Baskerville" w:hAnsi="Garamond" w:cs="Libre Baskerville"/>
          <w:i/>
          <w:sz w:val="24"/>
          <w:szCs w:val="24"/>
          <w:highlight w:val="white"/>
        </w:rPr>
        <w:t>identifies with gendered traits</w:t>
      </w:r>
      <w:r w:rsidRPr="00F9071F">
        <w:rPr>
          <w:rFonts w:ascii="Garamond" w:eastAsia="Libre Baskerville" w:hAnsi="Garamond" w:cs="Libre Baskerville"/>
          <w:sz w:val="24"/>
          <w:szCs w:val="24"/>
          <w:highlight w:val="white"/>
        </w:rPr>
        <w:t xml:space="preserve"> (often coded in terms of masculinity and femininity) and one that measures the degree to which an individual </w:t>
      </w:r>
      <w:r w:rsidRPr="00F9071F">
        <w:rPr>
          <w:rFonts w:ascii="Garamond" w:eastAsia="Libre Baskerville" w:hAnsi="Garamond" w:cs="Libre Baskerville"/>
          <w:i/>
          <w:sz w:val="24"/>
          <w:szCs w:val="24"/>
          <w:highlight w:val="white"/>
        </w:rPr>
        <w:t>identifies as a member of a gendered group</w:t>
      </w:r>
      <w:r w:rsidRPr="00F9071F">
        <w:rPr>
          <w:rFonts w:ascii="Garamond" w:eastAsia="Libre Baskerville" w:hAnsi="Garamond" w:cs="Libre Baskerville"/>
          <w:sz w:val="24"/>
          <w:szCs w:val="24"/>
          <w:highlight w:val="white"/>
        </w:rPr>
        <w:t xml:space="preserve">. According to the former tradition, gender identity could be thought of as a judgement about, or recognition of, how similar one is to certain gendered stereotypes in terms of the traditional division of labor roles, for example. The latter tradition broadly aligns with the theory of social identity in social psychology (Tajfel 1981). Here the motivation for “self-categorizing” in terms of a gender is that it allows certain in-group ascriptions and at the same time </w:t>
      </w:r>
      <w:r w:rsidRPr="00F9071F">
        <w:rPr>
          <w:rFonts w:ascii="Garamond" w:eastAsia="Libre Baskerville" w:hAnsi="Garamond" w:cs="Libre Baskerville"/>
          <w:sz w:val="24"/>
          <w:szCs w:val="24"/>
          <w:highlight w:val="white"/>
        </w:rPr>
        <w:lastRenderedPageBreak/>
        <w:t xml:space="preserve">allows distance from certain out-groups (Hogg and Turner 1985). </w:t>
      </w:r>
      <w:r w:rsidRPr="00F9071F">
        <w:rPr>
          <w:rFonts w:ascii="Garamond" w:eastAsia="Libre Baskerville" w:hAnsi="Garamond" w:cs="Libre Baskerville"/>
          <w:sz w:val="24"/>
          <w:szCs w:val="24"/>
        </w:rPr>
        <w:t>Thus, motivations concerning in-group belonging, or simply arising from perceived similarity with others, offer one set of reasons why individuals pick the models that they do</w:t>
      </w:r>
      <w:r w:rsidRPr="00F9071F">
        <w:rPr>
          <w:rFonts w:ascii="Garamond" w:eastAsia="Libre Baskerville" w:hAnsi="Garamond" w:cs="Libre Baskerville"/>
          <w:i/>
          <w:sz w:val="24"/>
          <w:szCs w:val="24"/>
        </w:rPr>
        <w:t>.</w:t>
      </w:r>
      <w:r w:rsidRPr="00F9071F">
        <w:rPr>
          <w:rFonts w:ascii="Garamond" w:eastAsia="Libre Baskerville" w:hAnsi="Garamond" w:cs="Libre Baskerville"/>
          <w:sz w:val="24"/>
          <w:szCs w:val="24"/>
          <w:vertAlign w:val="superscript"/>
        </w:rPr>
        <w:t xml:space="preserve"> </w:t>
      </w:r>
      <w:r w:rsidRPr="00F9071F">
        <w:rPr>
          <w:rFonts w:ascii="Garamond" w:eastAsia="Libre Baskerville" w:hAnsi="Garamond" w:cs="Libre Baskerville"/>
          <w:sz w:val="24"/>
          <w:szCs w:val="24"/>
          <w:vertAlign w:val="superscript"/>
        </w:rPr>
        <w:footnoteReference w:id="7"/>
      </w:r>
      <w:r w:rsidRPr="00F9071F">
        <w:rPr>
          <w:rFonts w:ascii="Garamond" w:eastAsia="Libre Baskerville" w:hAnsi="Garamond" w:cs="Libre Baskerville"/>
          <w:sz w:val="24"/>
          <w:szCs w:val="24"/>
        </w:rPr>
        <w:t xml:space="preserve"> </w:t>
      </w:r>
    </w:p>
    <w:p w:rsidR="00EE0702" w:rsidRDefault="00967A8E">
      <w:pPr>
        <w:spacing w:before="100" w:after="12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Bach, however, believe that at heart gender is something imposed on the individual by external social pressures. This may happen through the desire to abide by (gender) norms to attain social approval, or indeed a fear of disapproval or punishment if one were </w:t>
      </w:r>
      <w:r w:rsidRPr="00F9071F">
        <w:rPr>
          <w:rFonts w:ascii="Garamond" w:eastAsia="Libre Baskerville" w:hAnsi="Garamond" w:cs="Libre Baskerville"/>
          <w:i/>
          <w:sz w:val="24"/>
          <w:szCs w:val="24"/>
        </w:rPr>
        <w:t xml:space="preserve">not </w:t>
      </w:r>
      <w:r w:rsidRPr="00F9071F">
        <w:rPr>
          <w:rFonts w:ascii="Garamond" w:eastAsia="Libre Baskerville" w:hAnsi="Garamond" w:cs="Libre Baskerville"/>
          <w:sz w:val="24"/>
          <w:szCs w:val="24"/>
        </w:rPr>
        <w:t xml:space="preserve">to conform to the norms of the perceived sex or gender (see also Castro </w:t>
      </w:r>
      <w:r w:rsidRPr="00F9071F">
        <w:rPr>
          <w:rFonts w:ascii="Garamond" w:eastAsia="Libre Baskerville" w:hAnsi="Garamond" w:cs="Libre Baskerville"/>
          <w:i/>
          <w:sz w:val="24"/>
          <w:szCs w:val="24"/>
        </w:rPr>
        <w:t>et al</w:t>
      </w:r>
      <w:r w:rsidRPr="00F9071F">
        <w:rPr>
          <w:rFonts w:ascii="Garamond" w:eastAsia="Libre Baskerville" w:hAnsi="Garamond" w:cs="Libre Baskerville"/>
          <w:sz w:val="24"/>
          <w:szCs w:val="24"/>
        </w:rPr>
        <w:t xml:space="preserve"> 2010). </w:t>
      </w:r>
    </w:p>
    <w:p w:rsidR="0015141E" w:rsidRPr="00F9071F" w:rsidRDefault="00967A8E">
      <w:pPr>
        <w:spacing w:before="100" w:after="120" w:line="480" w:lineRule="auto"/>
        <w:ind w:firstLine="1304"/>
        <w:rPr>
          <w:rFonts w:ascii="Garamond" w:eastAsia="Libre Baskerville" w:hAnsi="Garamond" w:cs="Libre Baskerville"/>
          <w:i/>
          <w:sz w:val="24"/>
          <w:szCs w:val="24"/>
        </w:rPr>
      </w:pPr>
      <w:r w:rsidRPr="00F9071F">
        <w:rPr>
          <w:rFonts w:ascii="Garamond" w:eastAsia="Libre Baskerville" w:hAnsi="Garamond" w:cs="Libre Baskerville"/>
          <w:sz w:val="24"/>
          <w:szCs w:val="24"/>
        </w:rPr>
        <w:t>Although it is common wisdom in cultural evolution theory that one learns more from some individuals than from others (e.g. Henrich and McElreath 2003; Lewens 2015), it is still worth asking why gender models are so much more powerful than other culturally available models of social learning (such as hair color and class). Perhaps part of the answer lies in the intensive and extensive role that gender plays in many areas of life that are likely to matter to the individual; or perhaps, as the latter cultural evolution tradition tends to stress, it lies in the</w:t>
      </w:r>
      <w:r w:rsidRPr="00F9071F">
        <w:rPr>
          <w:rFonts w:ascii="Garamond" w:eastAsia="Libre Baskerville" w:hAnsi="Garamond" w:cs="Libre Baskerville"/>
          <w:i/>
          <w:sz w:val="24"/>
          <w:szCs w:val="24"/>
        </w:rPr>
        <w:t xml:space="preserve"> degree </w:t>
      </w:r>
      <w:r w:rsidRPr="00F9071F">
        <w:rPr>
          <w:rFonts w:ascii="Garamond" w:eastAsia="Libre Baskerville" w:hAnsi="Garamond" w:cs="Libre Baskerville"/>
          <w:sz w:val="24"/>
          <w:szCs w:val="24"/>
        </w:rPr>
        <w:t>to which society tends to reward conformation with one’s gender and to disapprove of gender or sex deviation.</w:t>
      </w:r>
      <w:r w:rsidRPr="00F9071F">
        <w:rPr>
          <w:rFonts w:ascii="Garamond" w:eastAsia="Libre Baskerville" w:hAnsi="Garamond" w:cs="Libre Baskerville"/>
          <w:sz w:val="24"/>
          <w:szCs w:val="24"/>
          <w:vertAlign w:val="superscript"/>
        </w:rPr>
        <w:t xml:space="preserve"> </w:t>
      </w:r>
    </w:p>
    <w:p w:rsidR="0015141E" w:rsidRPr="00F9071F" w:rsidRDefault="00967A8E">
      <w:pPr>
        <w:spacing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In any case, one is now in a position to see how the account could resolve at least the initial puzzle. If a person’s gender is a result of accepted cultural reproduction from a chain of previous models, it can explain how the existence of binary gender roles can be reconciled, with each gender displaying both variation within cultures and change over time. Although each member of a gender is reproduced within a historical lineage that can be traced back to different models of gender, the lineage need not sustain all or even most properties originally associated with either of the binary models. At the same time, the binary lineages are maintained insofar as whenever each branch of gender undergoes change</w:t>
      </w:r>
      <w:r w:rsidR="00EE0702">
        <w:rPr>
          <w:rFonts w:ascii="Garamond" w:eastAsia="Libre Baskerville" w:hAnsi="Garamond" w:cs="Libre Baskerville"/>
          <w:sz w:val="24"/>
          <w:szCs w:val="24"/>
        </w:rPr>
        <w:t>,</w:t>
      </w:r>
      <w:r w:rsidRPr="00F9071F">
        <w:rPr>
          <w:rFonts w:ascii="Garamond" w:eastAsia="Libre Baskerville" w:hAnsi="Garamond" w:cs="Libre Baskerville"/>
          <w:sz w:val="24"/>
          <w:szCs w:val="24"/>
        </w:rPr>
        <w:t xml:space="preserve"> a relevant binary contrast or “cultural dimorphism” is maintained between the two lineages. In other words, as long as neither gender becomes extinct (that is, the category women or man refers to an </w:t>
      </w:r>
      <w:r w:rsidRPr="00F9071F">
        <w:rPr>
          <w:rFonts w:ascii="Garamond" w:eastAsia="Libre Baskerville" w:hAnsi="Garamond" w:cs="Libre Baskerville"/>
          <w:sz w:val="24"/>
          <w:szCs w:val="24"/>
        </w:rPr>
        <w:lastRenderedPageBreak/>
        <w:t>empty set), significantly branches off from a lineage, or merges with the other, gender remains a binary matter and it is p</w:t>
      </w:r>
      <w:r w:rsidR="002F6628" w:rsidRPr="00F9071F">
        <w:rPr>
          <w:rFonts w:ascii="Garamond" w:eastAsia="Libre Baskerville" w:hAnsi="Garamond" w:cs="Libre Baskerville"/>
          <w:sz w:val="24"/>
          <w:szCs w:val="24"/>
        </w:rPr>
        <w:t>atterned in two distinct ways.</w:t>
      </w:r>
    </w:p>
    <w:p w:rsidR="0015141E" w:rsidRPr="00F9071F" w:rsidRDefault="00967A8E">
      <w:pPr>
        <w:spacing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It might also seem that the unity of a gender simply follows from the shared reproductive history of each lineage. The idea of continuity amongst members is attained through a lineage of reproduction that has remained sufficiently “intact” over time and has avoided merging, extinction or considerable branching-off.</w:t>
      </w:r>
      <w:r w:rsidRPr="00F9071F">
        <w:rPr>
          <w:rFonts w:ascii="Garamond" w:eastAsia="Libre Baskerville" w:hAnsi="Garamond" w:cs="Libre Baskerville"/>
          <w:sz w:val="24"/>
          <w:szCs w:val="24"/>
          <w:vertAlign w:val="superscript"/>
        </w:rPr>
        <w:t xml:space="preserve"> </w:t>
      </w:r>
      <w:r w:rsidRPr="00F9071F">
        <w:rPr>
          <w:rFonts w:ascii="Garamond" w:eastAsia="Libre Baskerville" w:hAnsi="Garamond" w:cs="Libre Baskerville"/>
          <w:sz w:val="24"/>
          <w:szCs w:val="24"/>
        </w:rPr>
        <w:t xml:space="preserve"> But this conclusion is arrived at too hastily. The claim so far is only about gendered reproduction </w:t>
      </w:r>
      <w:r w:rsidRPr="00F9071F">
        <w:rPr>
          <w:rFonts w:ascii="Garamond" w:eastAsia="Libre Baskerville" w:hAnsi="Garamond" w:cs="Libre Baskerville"/>
          <w:i/>
          <w:sz w:val="24"/>
          <w:szCs w:val="24"/>
        </w:rPr>
        <w:t xml:space="preserve">regardless </w:t>
      </w:r>
      <w:r w:rsidRPr="00F9071F">
        <w:rPr>
          <w:rFonts w:ascii="Garamond" w:eastAsia="Libre Baskerville" w:hAnsi="Garamond" w:cs="Libre Baskerville"/>
          <w:sz w:val="24"/>
          <w:szCs w:val="24"/>
        </w:rPr>
        <w:t xml:space="preserve">of the number of original models. I have already flagged a worry that pervasive binary gender systems are not necessarily traceable back to common models (as in the case of </w:t>
      </w:r>
      <w:r w:rsidRPr="00F9071F">
        <w:rPr>
          <w:rFonts w:ascii="Garamond" w:eastAsia="Libre Baskerville" w:hAnsi="Garamond" w:cs="Libre Baskerville"/>
          <w:i/>
          <w:sz w:val="24"/>
          <w:szCs w:val="24"/>
        </w:rPr>
        <w:t>War and Peace</w:t>
      </w:r>
      <w:r w:rsidR="00EE0702">
        <w:rPr>
          <w:rFonts w:ascii="Garamond" w:eastAsia="Libre Baskerville" w:hAnsi="Garamond" w:cs="Libre Baskerville"/>
          <w:sz w:val="24"/>
          <w:szCs w:val="24"/>
        </w:rPr>
        <w:t>), now I turn to this worry more explicitly.</w:t>
      </w:r>
      <w:r w:rsidRPr="00F9071F">
        <w:rPr>
          <w:rFonts w:ascii="Garamond" w:eastAsia="Libre Baskerville" w:hAnsi="Garamond" w:cs="Libre Baskerville"/>
          <w:sz w:val="24"/>
          <w:szCs w:val="24"/>
        </w:rPr>
        <w:t xml:space="preserve"> </w:t>
      </w:r>
    </w:p>
    <w:p w:rsidR="0015141E" w:rsidRPr="00F9071F" w:rsidRDefault="00967A8E">
      <w:pPr>
        <w:spacing w:before="280" w:after="120" w:line="480" w:lineRule="auto"/>
        <w:rPr>
          <w:rFonts w:ascii="Garamond" w:eastAsia="Libre Baskerville" w:hAnsi="Garamond" w:cs="Libre Baskerville"/>
          <w:b/>
          <w:sz w:val="24"/>
          <w:szCs w:val="24"/>
        </w:rPr>
      </w:pPr>
      <w:r w:rsidRPr="00F9071F">
        <w:rPr>
          <w:rFonts w:ascii="Garamond" w:eastAsia="Libre Baskerville" w:hAnsi="Garamond" w:cs="Libre Baskerville"/>
          <w:b/>
          <w:sz w:val="24"/>
          <w:szCs w:val="24"/>
        </w:rPr>
        <w:t xml:space="preserve">4. Beyond binary systems of gender </w:t>
      </w:r>
    </w:p>
    <w:p w:rsidR="0015141E" w:rsidRPr="00F9071F" w:rsidRDefault="00EE0702">
      <w:pPr>
        <w:spacing w:before="100" w:after="120" w:line="480" w:lineRule="auto"/>
        <w:rPr>
          <w:rFonts w:ascii="Garamond" w:eastAsia="Libre Baskerville" w:hAnsi="Garamond" w:cs="Libre Baskerville"/>
          <w:sz w:val="24"/>
          <w:szCs w:val="24"/>
        </w:rPr>
      </w:pPr>
      <w:r>
        <w:rPr>
          <w:rFonts w:ascii="Garamond" w:eastAsia="Libre Baskerville" w:hAnsi="Garamond" w:cs="Libre Baskerville"/>
          <w:sz w:val="24"/>
          <w:szCs w:val="24"/>
        </w:rPr>
        <w:t>If gender is a historical kind, then it should be clear</w:t>
      </w:r>
      <w:r w:rsidR="00967A8E" w:rsidRPr="00F9071F">
        <w:rPr>
          <w:rFonts w:ascii="Garamond" w:eastAsia="Libre Baskerville" w:hAnsi="Garamond" w:cs="Libre Baskerville"/>
          <w:sz w:val="24"/>
          <w:szCs w:val="24"/>
        </w:rPr>
        <w:t xml:space="preserve"> that the current binary gender system need not necessarily have unfolded in a binary manner. In fact, I have shown just how contingent this system is on two features of reproduction: an existing cultural niche with binary models and </w:t>
      </w:r>
      <w:r>
        <w:rPr>
          <w:rFonts w:ascii="Garamond" w:eastAsia="Libre Baskerville" w:hAnsi="Garamond" w:cs="Libre Baskerville"/>
          <w:sz w:val="24"/>
          <w:szCs w:val="24"/>
        </w:rPr>
        <w:t xml:space="preserve">the existence of </w:t>
      </w:r>
      <w:r w:rsidR="00967A8E" w:rsidRPr="00F9071F">
        <w:rPr>
          <w:rFonts w:ascii="Garamond" w:eastAsia="Libre Baskerville" w:hAnsi="Garamond" w:cs="Libre Baskerville"/>
          <w:sz w:val="24"/>
          <w:szCs w:val="24"/>
        </w:rPr>
        <w:t xml:space="preserve">gender-based social learning. </w:t>
      </w:r>
    </w:p>
    <w:p w:rsidR="002F6628" w:rsidRPr="00F9071F" w:rsidRDefault="00967A8E" w:rsidP="002F6628">
      <w:pPr>
        <w:spacing w:before="100" w:after="12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Indeed, given the view of gender as binary cultural lineages one can see that there are three different ways in which a culture can depart from having binary genders. First, the binary lineages might merge at some point, or one or both genders might cease to exist.</w:t>
      </w:r>
      <w:r w:rsidRPr="00F9071F">
        <w:rPr>
          <w:rFonts w:ascii="Garamond" w:eastAsia="Libre Baskerville" w:hAnsi="Garamond" w:cs="Libre Baskerville"/>
          <w:sz w:val="24"/>
          <w:szCs w:val="24"/>
          <w:vertAlign w:val="superscript"/>
        </w:rPr>
        <w:footnoteReference w:id="8"/>
      </w:r>
      <w:r w:rsidRPr="00F9071F">
        <w:rPr>
          <w:rFonts w:ascii="Garamond" w:eastAsia="Libre Baskerville" w:hAnsi="Garamond" w:cs="Libre Baskerville"/>
          <w:sz w:val="24"/>
          <w:szCs w:val="24"/>
        </w:rPr>
        <w:t xml:space="preserve"> Second, it may be that the original gender models were never binary at all (perhaps they were three or even more). Third, new alternative genders may emerge either because an existing lineage has locally branched off into one or more new gender lineages, or due to the </w:t>
      </w:r>
      <w:r w:rsidRPr="00F9071F">
        <w:rPr>
          <w:rFonts w:ascii="Garamond" w:eastAsia="Libre Baskerville" w:hAnsi="Garamond" w:cs="Libre Baskerville"/>
          <w:i/>
          <w:sz w:val="24"/>
          <w:szCs w:val="24"/>
        </w:rPr>
        <w:t>partial</w:t>
      </w:r>
      <w:r w:rsidRPr="00F9071F">
        <w:rPr>
          <w:rFonts w:ascii="Garamond" w:eastAsia="Libre Baskerville" w:hAnsi="Garamond" w:cs="Libre Baskerville"/>
          <w:sz w:val="24"/>
          <w:szCs w:val="24"/>
        </w:rPr>
        <w:t xml:space="preserve"> merging of the two lineages into three</w:t>
      </w:r>
      <w:r w:rsidRPr="00F9071F">
        <w:rPr>
          <w:rFonts w:ascii="Garamond" w:eastAsia="Libre Baskerville" w:hAnsi="Garamond" w:cs="Libre Baskerville"/>
          <w:sz w:val="24"/>
          <w:szCs w:val="24"/>
          <w:highlight w:val="white"/>
        </w:rPr>
        <w:t xml:space="preserve">. </w:t>
      </w:r>
    </w:p>
    <w:p w:rsidR="0015141E" w:rsidRPr="00F9071F" w:rsidRDefault="00967A8E" w:rsidP="002F6628">
      <w:pPr>
        <w:spacing w:before="100" w:after="12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highlight w:val="white"/>
        </w:rPr>
        <w:lastRenderedPageBreak/>
        <w:t>Genderless cultural systems (option 1) seem as rare as those in which gendered social learning does not occur (perhaps for the same reasons).</w:t>
      </w:r>
      <w:r w:rsidRPr="00F9071F">
        <w:rPr>
          <w:rFonts w:ascii="Garamond" w:eastAsia="Libre Baskerville" w:hAnsi="Garamond" w:cs="Libre Baskerville"/>
          <w:sz w:val="24"/>
          <w:szCs w:val="24"/>
          <w:highlight w:val="white"/>
          <w:vertAlign w:val="superscript"/>
        </w:rPr>
        <w:t xml:space="preserve"> </w:t>
      </w:r>
      <w:r w:rsidRPr="00F9071F">
        <w:rPr>
          <w:rFonts w:ascii="Garamond" w:eastAsia="Libre Baskerville" w:hAnsi="Garamond" w:cs="Libre Baskerville"/>
          <w:sz w:val="24"/>
          <w:szCs w:val="24"/>
          <w:highlight w:val="white"/>
          <w:vertAlign w:val="superscript"/>
        </w:rPr>
        <w:footnoteReference w:id="9"/>
      </w:r>
      <w:r w:rsidRPr="00F9071F">
        <w:rPr>
          <w:rFonts w:ascii="Garamond" w:eastAsia="Libre Baskerville" w:hAnsi="Garamond" w:cs="Libre Baskerville"/>
          <w:sz w:val="24"/>
          <w:szCs w:val="24"/>
        </w:rPr>
        <w:t xml:space="preserve"> Although many</w:t>
      </w:r>
      <w:r w:rsidRPr="00F9071F">
        <w:rPr>
          <w:rFonts w:ascii="Garamond" w:eastAsia="Libre Baskerville" w:hAnsi="Garamond" w:cs="Libre Baskerville"/>
          <w:i/>
          <w:sz w:val="24"/>
          <w:szCs w:val="24"/>
        </w:rPr>
        <w:t xml:space="preserve"> individuals</w:t>
      </w:r>
      <w:r w:rsidRPr="00F9071F">
        <w:rPr>
          <w:rFonts w:ascii="Garamond" w:eastAsia="Libre Baskerville" w:hAnsi="Garamond" w:cs="Libre Baskerville"/>
          <w:sz w:val="24"/>
          <w:szCs w:val="24"/>
        </w:rPr>
        <w:t xml:space="preserve"> certainly identify in ways that cut across gender and perceived sex</w:t>
      </w:r>
      <w:r w:rsidRPr="00F9071F">
        <w:rPr>
          <w:rFonts w:ascii="Garamond" w:eastAsia="Libre Baskerville" w:hAnsi="Garamond" w:cs="Libre Baskerville"/>
          <w:sz w:val="24"/>
          <w:szCs w:val="24"/>
          <w:highlight w:val="white"/>
          <w:vertAlign w:val="superscript"/>
        </w:rPr>
        <w:t xml:space="preserve"> </w:t>
      </w:r>
      <w:r w:rsidRPr="00F9071F">
        <w:rPr>
          <w:rFonts w:ascii="Garamond" w:eastAsia="Libre Baskerville" w:hAnsi="Garamond" w:cs="Libre Baskerville"/>
          <w:sz w:val="24"/>
          <w:szCs w:val="24"/>
          <w:highlight w:val="white"/>
          <w:vertAlign w:val="superscript"/>
        </w:rPr>
        <w:footnoteReference w:id="10"/>
      </w:r>
      <w:r w:rsidRPr="00F9071F">
        <w:rPr>
          <w:rFonts w:ascii="Garamond" w:eastAsia="Libre Baskerville" w:hAnsi="Garamond" w:cs="Libre Baskerville"/>
          <w:sz w:val="24"/>
          <w:szCs w:val="24"/>
        </w:rPr>
        <w:t xml:space="preserve">, it is hard to find </w:t>
      </w:r>
      <w:r w:rsidRPr="00EE0702">
        <w:rPr>
          <w:rFonts w:ascii="Garamond" w:eastAsia="Libre Baskerville" w:hAnsi="Garamond" w:cs="Libre Baskerville"/>
          <w:i/>
          <w:sz w:val="24"/>
          <w:szCs w:val="24"/>
        </w:rPr>
        <w:t>cultural systems</w:t>
      </w:r>
      <w:r w:rsidRPr="00EE0702">
        <w:rPr>
          <w:rFonts w:ascii="Garamond" w:eastAsia="Libre Baskerville" w:hAnsi="Garamond" w:cs="Libre Baskerville"/>
          <w:sz w:val="24"/>
          <w:szCs w:val="24"/>
        </w:rPr>
        <w:t xml:space="preserve"> th</w:t>
      </w:r>
      <w:r w:rsidRPr="00F9071F">
        <w:rPr>
          <w:rFonts w:ascii="Garamond" w:eastAsia="Libre Baskerville" w:hAnsi="Garamond" w:cs="Libre Baskerville"/>
          <w:sz w:val="24"/>
          <w:szCs w:val="24"/>
        </w:rPr>
        <w:t>at have departed totally from gender-based social learning</w:t>
      </w:r>
      <w:r w:rsidR="00433A70">
        <w:rPr>
          <w:rFonts w:ascii="Garamond" w:eastAsia="Libre Baskerville" w:hAnsi="Garamond" w:cs="Libre Baskerville"/>
          <w:sz w:val="24"/>
          <w:szCs w:val="24"/>
        </w:rPr>
        <w:t>.</w:t>
      </w:r>
      <w:r w:rsidRPr="00F9071F">
        <w:rPr>
          <w:rFonts w:ascii="Garamond" w:eastAsia="Libre Baskerville" w:hAnsi="Garamond" w:cs="Libre Baskerville"/>
          <w:sz w:val="24"/>
          <w:szCs w:val="24"/>
        </w:rPr>
        <w:t xml:space="preserve"> </w:t>
      </w:r>
      <w:r w:rsidR="00EE0702">
        <w:rPr>
          <w:rFonts w:ascii="Garamond" w:eastAsia="Libre Baskerville" w:hAnsi="Garamond" w:cs="Libre Baskerville"/>
          <w:sz w:val="24"/>
          <w:szCs w:val="24"/>
          <w:highlight w:val="white"/>
        </w:rPr>
        <w:t>T</w:t>
      </w:r>
      <w:r w:rsidRPr="00F9071F">
        <w:rPr>
          <w:rFonts w:ascii="Garamond" w:eastAsia="Libre Baskerville" w:hAnsi="Garamond" w:cs="Libre Baskerville"/>
          <w:sz w:val="24"/>
          <w:szCs w:val="24"/>
          <w:highlight w:val="white"/>
        </w:rPr>
        <w:t>he latter two options on the other hand</w:t>
      </w:r>
      <w:r w:rsidR="00433A70">
        <w:rPr>
          <w:rFonts w:ascii="Garamond" w:eastAsia="Libre Baskerville" w:hAnsi="Garamond" w:cs="Libre Baskerville"/>
          <w:sz w:val="24"/>
          <w:szCs w:val="24"/>
          <w:highlight w:val="white"/>
        </w:rPr>
        <w:t xml:space="preserve"> – where</w:t>
      </w:r>
      <w:r w:rsidRPr="00F9071F">
        <w:rPr>
          <w:rFonts w:ascii="Garamond" w:eastAsia="Libre Baskerville" w:hAnsi="Garamond" w:cs="Libre Baskerville"/>
          <w:sz w:val="24"/>
          <w:szCs w:val="24"/>
          <w:highlight w:val="white"/>
        </w:rPr>
        <w:t xml:space="preserve"> categories of gender have always been, or have become, non-binary – have, in fact, featured in multiple cultural systems</w:t>
      </w:r>
      <w:r w:rsidRPr="00F9071F">
        <w:rPr>
          <w:rFonts w:ascii="Garamond" w:eastAsia="Libre Baskerville" w:hAnsi="Garamond" w:cs="Libre Baskerville"/>
          <w:sz w:val="24"/>
          <w:szCs w:val="24"/>
        </w:rPr>
        <w:t>. One of the longest-lasting alternative ‘genders’ to achieve stability is the male ‘</w:t>
      </w:r>
      <w:r w:rsidRPr="00F9071F">
        <w:rPr>
          <w:rFonts w:ascii="Garamond" w:eastAsia="Libre Baskerville" w:hAnsi="Garamond" w:cs="Libre Baskerville"/>
          <w:sz w:val="24"/>
          <w:szCs w:val="24"/>
          <w:highlight w:val="white"/>
        </w:rPr>
        <w:t>hijra’ in Pakistan and certain parts of India dating back to the 16</w:t>
      </w:r>
      <w:r w:rsidRPr="00F9071F">
        <w:rPr>
          <w:rFonts w:ascii="Garamond" w:eastAsia="Libre Baskerville" w:hAnsi="Garamond" w:cs="Libre Baskerville"/>
          <w:sz w:val="24"/>
          <w:szCs w:val="24"/>
          <w:highlight w:val="white"/>
          <w:vertAlign w:val="superscript"/>
        </w:rPr>
        <w:t>th</w:t>
      </w:r>
      <w:r w:rsidRPr="00F9071F">
        <w:rPr>
          <w:rFonts w:ascii="Garamond" w:eastAsia="Libre Baskerville" w:hAnsi="Garamond" w:cs="Libre Baskerville"/>
          <w:sz w:val="24"/>
          <w:szCs w:val="24"/>
          <w:highlight w:val="white"/>
        </w:rPr>
        <w:t xml:space="preserve"> century (Nanda 1994)</w:t>
      </w:r>
      <w:r w:rsidRPr="00F9071F">
        <w:rPr>
          <w:rFonts w:ascii="Garamond" w:eastAsia="Libre Baskerville" w:hAnsi="Garamond" w:cs="Libre Baskerville"/>
          <w:sz w:val="24"/>
          <w:szCs w:val="24"/>
        </w:rPr>
        <w:t>. Another is the “berdache”, documented in 130 North American tribes with both males and females having assumed alternative gender roles (Roscoe 1993, p. 5). Anthropologist Will Roscoe documented the life in the late 19</w:t>
      </w:r>
      <w:r w:rsidRPr="00F9071F">
        <w:rPr>
          <w:rFonts w:ascii="Garamond" w:eastAsia="Libre Baskerville" w:hAnsi="Garamond" w:cs="Libre Baskerville"/>
          <w:sz w:val="24"/>
          <w:szCs w:val="24"/>
          <w:vertAlign w:val="superscript"/>
        </w:rPr>
        <w:t>th</w:t>
      </w:r>
      <w:r w:rsidRPr="00F9071F">
        <w:rPr>
          <w:rFonts w:ascii="Garamond" w:eastAsia="Libre Baskerville" w:hAnsi="Garamond" w:cs="Libre Baskerville"/>
          <w:sz w:val="24"/>
          <w:szCs w:val="24"/>
        </w:rPr>
        <w:t xml:space="preserve"> century of a particular berdarche, We’wha, who lived among an isolated Zuni tribe near the south New Mexico-Arizona border. In response to the question of how one should make sense of the We’wha’s gender, Roscoe explicitly states that it is a matter of a third gender within the Zuni tribe:</w:t>
      </w:r>
    </w:p>
    <w:p w:rsidR="0015141E" w:rsidRPr="00F9071F" w:rsidRDefault="00967A8E">
      <w:pPr>
        <w:spacing w:before="100" w:after="120" w:line="480" w:lineRule="auto"/>
        <w:ind w:left="1304"/>
        <w:rPr>
          <w:rFonts w:ascii="Garamond" w:eastAsia="Libre Baskerville" w:hAnsi="Garamond" w:cs="Libre Baskerville"/>
          <w:sz w:val="24"/>
          <w:szCs w:val="24"/>
        </w:rPr>
      </w:pPr>
      <w:r w:rsidRPr="00F9071F">
        <w:rPr>
          <w:rFonts w:ascii="Garamond" w:eastAsia="Libre Baskerville" w:hAnsi="Garamond" w:cs="Libre Baskerville"/>
          <w:sz w:val="24"/>
          <w:szCs w:val="24"/>
        </w:rPr>
        <w:t>The answer to the question “Was We’wha a man or a woman?” is “Neither”. That is, the sequence of initiations and social experiences that served to “cook” berdarches did not correspond to the sequence by which either men or women were “cooked”. We’wha represented a third possibility in the Zuni organization and representation of gender – a third gender status. (1993, p. 145)</w:t>
      </w:r>
    </w:p>
    <w:p w:rsidR="0015141E" w:rsidRPr="00F9071F" w:rsidRDefault="00967A8E">
      <w:pPr>
        <w:spacing w:before="100" w:after="120" w:line="480" w:lineRule="auto"/>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I contend that these alternative or third genders should be considered historical kinds of gender in their own right. A new model (or in the case of more than three genders, several models) has been introduced and reproduced in accordance with the process of gendered social learning described in the last section. Roscoe suggests that in the case of the third-gender status (or </w:t>
      </w:r>
      <w:r w:rsidRPr="00F9071F">
        <w:rPr>
          <w:rFonts w:ascii="Garamond" w:eastAsia="Libre Baskerville" w:hAnsi="Garamond" w:cs="Libre Baskerville"/>
          <w:i/>
          <w:sz w:val="24"/>
          <w:szCs w:val="24"/>
        </w:rPr>
        <w:t>Ihamanaye</w:t>
      </w:r>
      <w:r w:rsidRPr="00F9071F">
        <w:rPr>
          <w:rFonts w:ascii="Garamond" w:eastAsia="Libre Baskerville" w:hAnsi="Garamond" w:cs="Libre Baskerville"/>
          <w:sz w:val="24"/>
          <w:szCs w:val="24"/>
        </w:rPr>
        <w:t xml:space="preserve">) of We’wha, there </w:t>
      </w:r>
      <w:r w:rsidRPr="00F9071F">
        <w:rPr>
          <w:rFonts w:ascii="Garamond" w:eastAsia="Libre Baskerville" w:hAnsi="Garamond" w:cs="Libre Baskerville"/>
          <w:sz w:val="24"/>
          <w:szCs w:val="24"/>
        </w:rPr>
        <w:lastRenderedPageBreak/>
        <w:t xml:space="preserve">are two main arguments for stabilized reproduction. First, as noted in the above quotation, belonging to </w:t>
      </w:r>
      <w:r w:rsidRPr="00F9071F">
        <w:rPr>
          <w:rFonts w:ascii="Garamond" w:eastAsia="Libre Baskerville" w:hAnsi="Garamond" w:cs="Libre Baskerville"/>
          <w:i/>
          <w:sz w:val="24"/>
          <w:szCs w:val="24"/>
        </w:rPr>
        <w:t xml:space="preserve">any </w:t>
      </w:r>
      <w:r w:rsidRPr="00F9071F">
        <w:rPr>
          <w:rFonts w:ascii="Garamond" w:eastAsia="Libre Baskerville" w:hAnsi="Garamond" w:cs="Libre Baskerville"/>
          <w:sz w:val="24"/>
          <w:szCs w:val="24"/>
        </w:rPr>
        <w:t xml:space="preserve">gender in the Zuni tribe is part of a formalized process of cultural reproduction. In particular, it is a matter of ceremonial initiation rites in which a person passes from the genderless “uncooked” to the “cooked” stage of belonging to one of at least three genders, and becomes versed in accompanying learned practices such as dress and mastered craftsmanship – especially pottery for the Zuni berdarche (ibid. p. 123ff.). These practices serve to “scaffold” the reproduction between past models and new members of a particular gender. Second, the Zuni berdarche is an attractive model of social learning in that berdarches in the Zuni and in other North American tribes have occupied prestigious positions on many levels of their society – from being integrated into the origin myths to taking an active role in societal governance (ibid. p.147ff.). Under the hypothesis that third genders are historical kinds in their own right, these values and norms sustain the continued reproduction of the gender. Of course, once the cultural system perishes, so does the life-support system for such genders (as, sadly, is largely the case with the berdarches of the Zuni tribe). </w:t>
      </w:r>
    </w:p>
    <w:p w:rsidR="0015141E" w:rsidRPr="00F9071F" w:rsidRDefault="00845C7B">
      <w:pPr>
        <w:spacing w:before="100" w:after="120" w:line="480" w:lineRule="auto"/>
        <w:ind w:firstLine="1304"/>
        <w:rPr>
          <w:rFonts w:ascii="Garamond" w:eastAsia="Libre Baskerville" w:hAnsi="Garamond" w:cs="Libre Baskerville"/>
          <w:sz w:val="24"/>
          <w:szCs w:val="24"/>
        </w:rPr>
      </w:pPr>
      <w:r>
        <w:rPr>
          <w:rFonts w:ascii="Garamond" w:eastAsia="Libre Baskerville" w:hAnsi="Garamond" w:cs="Libre Baskerville"/>
          <w:sz w:val="24"/>
          <w:szCs w:val="24"/>
        </w:rPr>
        <w:t>What c</w:t>
      </w:r>
      <w:r w:rsidR="00967A8E" w:rsidRPr="00F9071F">
        <w:rPr>
          <w:rFonts w:ascii="Garamond" w:eastAsia="Libre Baskerville" w:hAnsi="Garamond" w:cs="Libre Baskerville"/>
          <w:sz w:val="24"/>
          <w:szCs w:val="24"/>
        </w:rPr>
        <w:t>ultures in which gender is not strictly binary demonstrate</w:t>
      </w:r>
      <w:r>
        <w:rPr>
          <w:rFonts w:ascii="Garamond" w:eastAsia="Libre Baskerville" w:hAnsi="Garamond" w:cs="Libre Baskerville"/>
          <w:sz w:val="24"/>
          <w:szCs w:val="24"/>
        </w:rPr>
        <w:t>, is</w:t>
      </w:r>
      <w:r w:rsidR="00967A8E" w:rsidRPr="00F9071F">
        <w:rPr>
          <w:rFonts w:ascii="Garamond" w:eastAsia="Libre Baskerville" w:hAnsi="Garamond" w:cs="Libre Baskerville"/>
          <w:sz w:val="24"/>
          <w:szCs w:val="24"/>
        </w:rPr>
        <w:t xml:space="preserve"> not merely the contingency of the dominant binary cultural gender system</w:t>
      </w:r>
      <w:r>
        <w:rPr>
          <w:rFonts w:ascii="Garamond" w:eastAsia="Libre Baskerville" w:hAnsi="Garamond" w:cs="Libre Baskerville"/>
          <w:sz w:val="24"/>
          <w:szCs w:val="24"/>
        </w:rPr>
        <w:t>,</w:t>
      </w:r>
      <w:r w:rsidR="00967A8E" w:rsidRPr="00F9071F">
        <w:rPr>
          <w:rFonts w:ascii="Garamond" w:eastAsia="Libre Baskerville" w:hAnsi="Garamond" w:cs="Libre Baskerville"/>
          <w:sz w:val="24"/>
          <w:szCs w:val="24"/>
        </w:rPr>
        <w:t xml:space="preserve"> but al</w:t>
      </w:r>
      <w:r>
        <w:rPr>
          <w:rFonts w:ascii="Garamond" w:eastAsia="Libre Baskerville" w:hAnsi="Garamond" w:cs="Libre Baskerville"/>
          <w:sz w:val="24"/>
          <w:szCs w:val="24"/>
        </w:rPr>
        <w:t>so the likelihood that many cultural</w:t>
      </w:r>
      <w:r w:rsidR="00967A8E" w:rsidRPr="00F9071F">
        <w:rPr>
          <w:rFonts w:ascii="Garamond" w:eastAsia="Libre Baskerville" w:hAnsi="Garamond" w:cs="Libre Baskerville"/>
          <w:sz w:val="24"/>
          <w:szCs w:val="24"/>
        </w:rPr>
        <w:t xml:space="preserve"> systems </w:t>
      </w:r>
      <w:r>
        <w:rPr>
          <w:rFonts w:ascii="Garamond" w:eastAsia="Libre Baskerville" w:hAnsi="Garamond" w:cs="Libre Baskerville"/>
          <w:sz w:val="24"/>
          <w:szCs w:val="24"/>
        </w:rPr>
        <w:t>of gender do not share</w:t>
      </w:r>
      <w:r w:rsidR="00967A8E" w:rsidRPr="00F9071F">
        <w:rPr>
          <w:rFonts w:ascii="Garamond" w:eastAsia="Libre Baskerville" w:hAnsi="Garamond" w:cs="Libre Baskerville"/>
          <w:sz w:val="24"/>
          <w:szCs w:val="24"/>
        </w:rPr>
        <w:t xml:space="preserve"> common origins or a common ancestry. It is far more likely that models of gender – binary and non-binary – have emerged separately in different cultures. If this is so, it does not matter how prevalent non-binary cultures are. What is more important, these differently arranged gender systems hint at a </w:t>
      </w:r>
      <w:r w:rsidR="00967A8E" w:rsidRPr="00F9071F">
        <w:rPr>
          <w:rFonts w:ascii="Garamond" w:eastAsia="Libre Baskerville" w:hAnsi="Garamond" w:cs="Libre Baskerville"/>
          <w:i/>
          <w:sz w:val="24"/>
          <w:szCs w:val="24"/>
        </w:rPr>
        <w:t xml:space="preserve">separate ancestry (and ancestors) </w:t>
      </w:r>
      <w:r w:rsidR="00433A70">
        <w:rPr>
          <w:rFonts w:ascii="Garamond" w:eastAsia="Libre Baskerville" w:hAnsi="Garamond" w:cs="Libre Baskerville"/>
          <w:sz w:val="24"/>
          <w:szCs w:val="24"/>
        </w:rPr>
        <w:t>for the categories “</w:t>
      </w:r>
      <w:r w:rsidR="00967A8E" w:rsidRPr="00F9071F">
        <w:rPr>
          <w:rFonts w:ascii="Garamond" w:eastAsia="Libre Baskerville" w:hAnsi="Garamond" w:cs="Libre Baskerville"/>
          <w:sz w:val="24"/>
          <w:szCs w:val="24"/>
        </w:rPr>
        <w:t>man</w:t>
      </w:r>
      <w:r w:rsidR="00433A70">
        <w:rPr>
          <w:rFonts w:ascii="Garamond" w:eastAsia="Libre Baskerville" w:hAnsi="Garamond" w:cs="Libre Baskerville"/>
          <w:sz w:val="24"/>
          <w:szCs w:val="24"/>
        </w:rPr>
        <w:t>”</w:t>
      </w:r>
      <w:r w:rsidR="00967A8E" w:rsidRPr="00F9071F">
        <w:rPr>
          <w:rFonts w:ascii="Garamond" w:eastAsia="Libre Baskerville" w:hAnsi="Garamond" w:cs="Libre Baskerville"/>
          <w:sz w:val="24"/>
          <w:szCs w:val="24"/>
        </w:rPr>
        <w:t xml:space="preserve"> and </w:t>
      </w:r>
      <w:r w:rsidR="00433A70">
        <w:rPr>
          <w:rFonts w:ascii="Garamond" w:eastAsia="Libre Baskerville" w:hAnsi="Garamond" w:cs="Libre Baskerville"/>
          <w:sz w:val="24"/>
          <w:szCs w:val="24"/>
        </w:rPr>
        <w:t>“</w:t>
      </w:r>
      <w:r w:rsidR="00967A8E" w:rsidRPr="00F9071F">
        <w:rPr>
          <w:rFonts w:ascii="Garamond" w:eastAsia="Libre Baskerville" w:hAnsi="Garamond" w:cs="Libre Baskerville"/>
          <w:sz w:val="24"/>
          <w:szCs w:val="24"/>
        </w:rPr>
        <w:t>women</w:t>
      </w:r>
      <w:r w:rsidR="00433A70">
        <w:rPr>
          <w:rFonts w:ascii="Garamond" w:eastAsia="Libre Baskerville" w:hAnsi="Garamond" w:cs="Libre Baskerville"/>
          <w:sz w:val="24"/>
          <w:szCs w:val="24"/>
        </w:rPr>
        <w:t>”</w:t>
      </w:r>
      <w:r>
        <w:rPr>
          <w:rFonts w:ascii="Garamond" w:eastAsia="Libre Baskerville" w:hAnsi="Garamond" w:cs="Libre Baskerville"/>
          <w:sz w:val="24"/>
          <w:szCs w:val="24"/>
        </w:rPr>
        <w:t xml:space="preserve"> </w:t>
      </w:r>
      <w:r w:rsidRPr="00845C7B">
        <w:rPr>
          <w:rFonts w:ascii="Garamond" w:eastAsia="Libre Baskerville" w:hAnsi="Garamond" w:cs="Libre Baskerville"/>
          <w:i/>
          <w:sz w:val="24"/>
          <w:szCs w:val="24"/>
        </w:rPr>
        <w:t>in general</w:t>
      </w:r>
      <w:r>
        <w:rPr>
          <w:rFonts w:ascii="Garamond" w:eastAsia="Libre Baskerville" w:hAnsi="Garamond" w:cs="Libre Baskerville"/>
          <w:sz w:val="24"/>
          <w:szCs w:val="24"/>
        </w:rPr>
        <w:t xml:space="preserve">, </w:t>
      </w:r>
      <w:r w:rsidR="00967A8E" w:rsidRPr="00F9071F">
        <w:rPr>
          <w:rFonts w:ascii="Garamond" w:eastAsia="Libre Baskerville" w:hAnsi="Garamond" w:cs="Libre Baskerville"/>
          <w:sz w:val="24"/>
          <w:szCs w:val="24"/>
        </w:rPr>
        <w:t>which thus far have been thought of in terms of shared ancestry. If one wishes to tell a tale of historically reproduced gender, therefore, it is less likely to be a tale of two genders. It will rather be a tale of binary system</w:t>
      </w:r>
      <w:r w:rsidR="00967A8E" w:rsidRPr="00F9071F">
        <w:rPr>
          <w:rFonts w:ascii="Garamond" w:eastAsia="Libre Baskerville" w:hAnsi="Garamond" w:cs="Libre Baskerville"/>
          <w:i/>
          <w:sz w:val="24"/>
          <w:szCs w:val="24"/>
        </w:rPr>
        <w:t>s</w:t>
      </w:r>
      <w:r w:rsidR="00967A8E" w:rsidRPr="00F9071F">
        <w:rPr>
          <w:rFonts w:ascii="Garamond" w:eastAsia="Libre Baskerville" w:hAnsi="Garamond" w:cs="Libre Baskerville"/>
          <w:sz w:val="24"/>
          <w:szCs w:val="24"/>
        </w:rPr>
        <w:t xml:space="preserve"> of gender (</w:t>
      </w:r>
      <w:r>
        <w:rPr>
          <w:rFonts w:ascii="Garamond" w:eastAsia="Libre Baskerville" w:hAnsi="Garamond" w:cs="Libre Baskerville"/>
          <w:sz w:val="24"/>
          <w:szCs w:val="24"/>
        </w:rPr>
        <w:t xml:space="preserve">and </w:t>
      </w:r>
      <w:r w:rsidR="00967A8E" w:rsidRPr="00F9071F">
        <w:rPr>
          <w:rFonts w:ascii="Garamond" w:eastAsia="Libre Baskerville" w:hAnsi="Garamond" w:cs="Libre Baskerville"/>
          <w:sz w:val="24"/>
          <w:szCs w:val="24"/>
        </w:rPr>
        <w:t xml:space="preserve">some of which are not strictly binary) than of </w:t>
      </w:r>
      <w:r w:rsidR="00967A8E" w:rsidRPr="00F9071F">
        <w:rPr>
          <w:rFonts w:ascii="Garamond" w:eastAsia="Libre Baskerville" w:hAnsi="Garamond" w:cs="Libre Baskerville"/>
          <w:i/>
          <w:sz w:val="24"/>
          <w:szCs w:val="24"/>
        </w:rPr>
        <w:t xml:space="preserve">a </w:t>
      </w:r>
      <w:r w:rsidR="00967A8E" w:rsidRPr="00F9071F">
        <w:rPr>
          <w:rFonts w:ascii="Garamond" w:eastAsia="Libre Baskerville" w:hAnsi="Garamond" w:cs="Libre Baskerville"/>
          <w:sz w:val="24"/>
          <w:szCs w:val="24"/>
        </w:rPr>
        <w:t xml:space="preserve">binary system, each one containing </w:t>
      </w:r>
      <w:r w:rsidR="00967A8E" w:rsidRPr="00F9071F">
        <w:rPr>
          <w:rFonts w:ascii="Garamond" w:eastAsia="Libre Baskerville" w:hAnsi="Garamond" w:cs="Libre Baskerville"/>
          <w:i/>
          <w:sz w:val="24"/>
          <w:szCs w:val="24"/>
        </w:rPr>
        <w:t xml:space="preserve">different </w:t>
      </w:r>
      <w:r w:rsidR="00967A8E" w:rsidRPr="00F9071F">
        <w:rPr>
          <w:rFonts w:ascii="Garamond" w:eastAsia="Libre Baskerville" w:hAnsi="Garamond" w:cs="Libre Baskerville"/>
          <w:sz w:val="24"/>
          <w:szCs w:val="24"/>
        </w:rPr>
        <w:t>historical kinds of gender.</w:t>
      </w:r>
    </w:p>
    <w:p w:rsidR="0015141E" w:rsidRPr="00F9071F" w:rsidRDefault="00967A8E">
      <w:pPr>
        <w:spacing w:before="100" w:after="12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This could spell trouble for the unity of gender. If the assumption of common ancestry is an unlikely hypothesis, then there simply is not a historical chain uniting all individuals categorized as </w:t>
      </w:r>
      <w:r w:rsidRPr="00F9071F">
        <w:rPr>
          <w:rFonts w:ascii="Garamond" w:eastAsia="Libre Baskerville" w:hAnsi="Garamond" w:cs="Libre Baskerville"/>
          <w:sz w:val="24"/>
          <w:szCs w:val="24"/>
        </w:rPr>
        <w:lastRenderedPageBreak/>
        <w:t xml:space="preserve">“women” and all those categorized as “men”. True, one could still say that each individual “woman” is modeled from </w:t>
      </w:r>
      <w:r w:rsidRPr="00F9071F">
        <w:rPr>
          <w:rFonts w:ascii="Garamond" w:eastAsia="Libre Baskerville" w:hAnsi="Garamond" w:cs="Libre Baskerville"/>
          <w:i/>
          <w:sz w:val="24"/>
          <w:szCs w:val="24"/>
        </w:rPr>
        <w:t xml:space="preserve">a </w:t>
      </w:r>
      <w:r w:rsidRPr="00F9071F">
        <w:rPr>
          <w:rFonts w:ascii="Garamond" w:eastAsia="Libre Baskerville" w:hAnsi="Garamond" w:cs="Libre Baskerville"/>
          <w:sz w:val="24"/>
          <w:szCs w:val="24"/>
        </w:rPr>
        <w:t xml:space="preserve">gender variant within </w:t>
      </w:r>
      <w:r w:rsidRPr="00F9071F">
        <w:rPr>
          <w:rFonts w:ascii="Garamond" w:eastAsia="Libre Baskerville" w:hAnsi="Garamond" w:cs="Libre Baskerville"/>
          <w:i/>
          <w:sz w:val="24"/>
          <w:szCs w:val="24"/>
        </w:rPr>
        <w:t xml:space="preserve">some </w:t>
      </w:r>
      <w:r w:rsidRPr="00F9071F">
        <w:rPr>
          <w:rFonts w:ascii="Garamond" w:eastAsia="Libre Baskerville" w:hAnsi="Garamond" w:cs="Libre Baskerville"/>
          <w:sz w:val="24"/>
          <w:szCs w:val="24"/>
        </w:rPr>
        <w:t>binary cultural system of gender</w:t>
      </w:r>
      <w:r w:rsidR="00845C7B">
        <w:rPr>
          <w:rFonts w:ascii="Garamond" w:eastAsia="Libre Baskerville" w:hAnsi="Garamond" w:cs="Libre Baskerville"/>
          <w:sz w:val="24"/>
          <w:szCs w:val="24"/>
        </w:rPr>
        <w:t xml:space="preserve"> </w:t>
      </w:r>
      <w:r w:rsidRPr="00F9071F">
        <w:rPr>
          <w:rFonts w:ascii="Garamond" w:eastAsia="Libre Baskerville" w:hAnsi="Garamond" w:cs="Libre Baskerville"/>
          <w:sz w:val="24"/>
          <w:szCs w:val="24"/>
        </w:rPr>
        <w:t xml:space="preserve">but without common ancestry one is not entitled to assume that each of these individuals will share a unifying feature. In fact, the survey into non-binary systems also implies that such a proposal already excludes individuals who are gendered as part of </w:t>
      </w:r>
      <w:r w:rsidRPr="00F9071F">
        <w:rPr>
          <w:rFonts w:ascii="Garamond" w:eastAsia="Libre Baskerville" w:hAnsi="Garamond" w:cs="Libre Baskerville"/>
          <w:i/>
          <w:sz w:val="24"/>
          <w:szCs w:val="24"/>
        </w:rPr>
        <w:t>non-binary</w:t>
      </w:r>
      <w:r w:rsidRPr="00F9071F">
        <w:rPr>
          <w:rFonts w:ascii="Garamond" w:eastAsia="Libre Baskerville" w:hAnsi="Garamond" w:cs="Libre Baskerville"/>
          <w:sz w:val="24"/>
          <w:szCs w:val="24"/>
        </w:rPr>
        <w:t xml:space="preserve"> systems. Nor can one claim to be concerned with one of the two genders in a binary system, or one of three genders in a non-binary system (and so on), since that presupposes </w:t>
      </w:r>
      <w:r w:rsidR="00845C7B">
        <w:rPr>
          <w:rFonts w:ascii="Garamond" w:eastAsia="Libre Baskerville" w:hAnsi="Garamond" w:cs="Libre Baskerville"/>
          <w:sz w:val="24"/>
          <w:szCs w:val="24"/>
        </w:rPr>
        <w:t xml:space="preserve">an account </w:t>
      </w:r>
      <w:r w:rsidRPr="00F9071F">
        <w:rPr>
          <w:rFonts w:ascii="Garamond" w:eastAsia="Libre Baskerville" w:hAnsi="Garamond" w:cs="Libre Baskerville"/>
          <w:sz w:val="24"/>
          <w:szCs w:val="24"/>
        </w:rPr>
        <w:t xml:space="preserve">of </w:t>
      </w:r>
      <w:r w:rsidRPr="00F9071F">
        <w:rPr>
          <w:rFonts w:ascii="Garamond" w:eastAsia="Libre Baskerville" w:hAnsi="Garamond" w:cs="Libre Baskerville"/>
          <w:i/>
          <w:sz w:val="24"/>
          <w:szCs w:val="24"/>
        </w:rPr>
        <w:t xml:space="preserve">which </w:t>
      </w:r>
      <w:r w:rsidRPr="00F9071F">
        <w:rPr>
          <w:rFonts w:ascii="Garamond" w:eastAsia="Libre Baskerville" w:hAnsi="Garamond" w:cs="Libre Baskerville"/>
          <w:sz w:val="24"/>
          <w:szCs w:val="24"/>
        </w:rPr>
        <w:t xml:space="preserve">of the two or three genders (and so on) one was talking about to begin with. Is there any way to salvage </w:t>
      </w:r>
      <w:r w:rsidR="00845C7B">
        <w:rPr>
          <w:rFonts w:ascii="Garamond" w:eastAsia="Libre Baskerville" w:hAnsi="Garamond" w:cs="Libre Baskerville"/>
          <w:sz w:val="24"/>
          <w:szCs w:val="24"/>
        </w:rPr>
        <w:t>the notion of two genders with</w:t>
      </w:r>
      <w:r w:rsidRPr="00F9071F">
        <w:rPr>
          <w:rFonts w:ascii="Garamond" w:eastAsia="Libre Baskerville" w:hAnsi="Garamond" w:cs="Libre Baskerville"/>
          <w:sz w:val="24"/>
          <w:szCs w:val="24"/>
        </w:rPr>
        <w:t xml:space="preserve"> the broad scope that is typically intended?</w:t>
      </w:r>
    </w:p>
    <w:p w:rsidR="0015141E" w:rsidRPr="00F9071F" w:rsidRDefault="00967A8E">
      <w:pPr>
        <w:numPr>
          <w:ilvl w:val="0"/>
          <w:numId w:val="3"/>
        </w:numPr>
        <w:spacing w:before="100" w:after="120" w:line="480" w:lineRule="auto"/>
        <w:rPr>
          <w:rFonts w:ascii="Garamond" w:eastAsia="Libre Baskerville" w:hAnsi="Garamond" w:cs="Libre Baskerville"/>
          <w:b/>
          <w:sz w:val="24"/>
          <w:szCs w:val="24"/>
        </w:rPr>
      </w:pPr>
      <w:r w:rsidRPr="00F9071F">
        <w:rPr>
          <w:rFonts w:ascii="Garamond" w:eastAsia="Libre Baskerville" w:hAnsi="Garamond" w:cs="Libre Baskerville"/>
          <w:b/>
          <w:sz w:val="24"/>
          <w:szCs w:val="24"/>
        </w:rPr>
        <w:t>Matching the intended scope of gender</w:t>
      </w:r>
    </w:p>
    <w:p w:rsidR="0015141E" w:rsidRPr="00F9071F" w:rsidRDefault="00967A8E">
      <w:pPr>
        <w:spacing w:before="100" w:after="120" w:line="480" w:lineRule="auto"/>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As noted above, Bach advocates a historical </w:t>
      </w:r>
      <w:r w:rsidR="00845C7B">
        <w:rPr>
          <w:rFonts w:ascii="Garamond" w:eastAsia="Libre Baskerville" w:hAnsi="Garamond" w:cs="Libre Baskerville"/>
          <w:sz w:val="24"/>
          <w:szCs w:val="24"/>
        </w:rPr>
        <w:t xml:space="preserve">cultural-reproductive </w:t>
      </w:r>
      <w:r w:rsidRPr="00F9071F">
        <w:rPr>
          <w:rFonts w:ascii="Garamond" w:eastAsia="Libre Baskerville" w:hAnsi="Garamond" w:cs="Libre Baskerville"/>
          <w:sz w:val="24"/>
          <w:szCs w:val="24"/>
        </w:rPr>
        <w:t xml:space="preserve">account of gender that aims to address the representation problem – as well as other problems. Accordingly, he thinks taking gender to be a historical kind gives a superior answer to accounts that treat it as an “objective type”, which makes a salient normative feature of gender, with which one may be concerned in political advocacy, essentially a matter of definition (2012, 2016). </w:t>
      </w:r>
    </w:p>
    <w:p w:rsidR="0015141E" w:rsidRPr="00F9071F" w:rsidRDefault="00967A8E">
      <w:pPr>
        <w:spacing w:before="100" w:after="120" w:line="480" w:lineRule="auto"/>
        <w:ind w:left="567"/>
        <w:rPr>
          <w:rFonts w:ascii="Garamond" w:eastAsia="Libre Baskerville" w:hAnsi="Garamond" w:cs="Libre Baskerville"/>
          <w:sz w:val="24"/>
          <w:szCs w:val="24"/>
        </w:rPr>
      </w:pPr>
      <w:r w:rsidRPr="00F9071F">
        <w:rPr>
          <w:rFonts w:ascii="Garamond" w:eastAsia="Symbol" w:hAnsi="Garamond" w:cs="Symbol"/>
          <w:sz w:val="24"/>
          <w:szCs w:val="24"/>
        </w:rPr>
        <w:t>[</w:t>
      </w:r>
      <w:r w:rsidRPr="00F9071F">
        <w:rPr>
          <w:rFonts w:ascii="Garamond" w:eastAsia="Libre Baskerville" w:hAnsi="Garamond" w:cs="Libre Baskerville"/>
          <w:sz w:val="24"/>
          <w:szCs w:val="24"/>
        </w:rPr>
        <w:t>A</w:t>
      </w:r>
      <w:r w:rsidRPr="00F9071F">
        <w:rPr>
          <w:rFonts w:ascii="Garamond" w:eastAsia="Symbol" w:hAnsi="Garamond" w:cs="Symbol"/>
          <w:sz w:val="24"/>
          <w:szCs w:val="24"/>
        </w:rPr>
        <w:t>]</w:t>
      </w:r>
      <w:r w:rsidRPr="00F9071F">
        <w:rPr>
          <w:rFonts w:ascii="Garamond" w:eastAsia="Libre Baskerville" w:hAnsi="Garamond" w:cs="Libre Baskerville"/>
          <w:sz w:val="24"/>
          <w:szCs w:val="24"/>
        </w:rPr>
        <w:t>n ontology of historical kinds provides explanations for objective similarities. The present proposal agrees with Haslanger’s social objectivism that women generally share the objective similarity of social subordination. But rather than making this property definitive of women, it explains this property as one of several properties that reliably co-occur as a result of a more fundamental, historical property. (2012 p. 271)</w:t>
      </w:r>
    </w:p>
    <w:p w:rsidR="0015141E" w:rsidRPr="00F9071F" w:rsidRDefault="00967A8E">
      <w:pPr>
        <w:spacing w:before="100" w:after="120" w:line="480" w:lineRule="auto"/>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First, allow me to state that I fully agree with Bach about not building in the normative feature that might concern us as a matter of definition of what it is to be of a gender – not least because </w:t>
      </w:r>
      <w:r w:rsidRPr="00F9071F">
        <w:rPr>
          <w:rFonts w:ascii="Garamond" w:eastAsia="Libre Baskerville" w:hAnsi="Garamond" w:cs="Libre Baskerville"/>
          <w:i/>
          <w:sz w:val="24"/>
          <w:szCs w:val="24"/>
        </w:rPr>
        <w:t>if</w:t>
      </w:r>
      <w:r w:rsidRPr="00F9071F">
        <w:rPr>
          <w:rFonts w:ascii="Garamond" w:eastAsia="Libre Baskerville" w:hAnsi="Garamond" w:cs="Libre Baskerville"/>
          <w:sz w:val="24"/>
          <w:szCs w:val="24"/>
        </w:rPr>
        <w:t xml:space="preserve"> it is a matter of definition, we would not be able to have substantial disagreements about</w:t>
      </w:r>
      <w:r w:rsidR="00845C7B">
        <w:rPr>
          <w:rFonts w:ascii="Garamond" w:eastAsia="Libre Baskerville" w:hAnsi="Garamond" w:cs="Libre Baskerville"/>
          <w:sz w:val="24"/>
          <w:szCs w:val="24"/>
        </w:rPr>
        <w:t xml:space="preserve"> those</w:t>
      </w:r>
      <w:r w:rsidRPr="00F9071F">
        <w:rPr>
          <w:rFonts w:ascii="Garamond" w:eastAsia="Libre Baskerville" w:hAnsi="Garamond" w:cs="Libre Baskerville"/>
          <w:sz w:val="24"/>
          <w:szCs w:val="24"/>
        </w:rPr>
        <w:t xml:space="preserve"> gender claims. Therefore, contra Haslanger (2002, 2012), I do not believe that it serves political causes of </w:t>
      </w:r>
      <w:r w:rsidRPr="00F9071F">
        <w:rPr>
          <w:rFonts w:ascii="Garamond" w:eastAsia="Libre Baskerville" w:hAnsi="Garamond" w:cs="Libre Baskerville"/>
          <w:sz w:val="24"/>
          <w:szCs w:val="24"/>
        </w:rPr>
        <w:lastRenderedPageBreak/>
        <w:t xml:space="preserve">emancipation to render “women are subordinated” and “men are dominant” as claims that are true nominally or by definition: they should be truth-evaluative. </w:t>
      </w:r>
    </w:p>
    <w:p w:rsidR="0015141E" w:rsidRPr="00F9071F" w:rsidRDefault="00967A8E">
      <w:pPr>
        <w:spacing w:before="100" w:after="12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However, as was made clear in the previous section, </w:t>
      </w:r>
      <w:r w:rsidR="00845C7B">
        <w:rPr>
          <w:rFonts w:ascii="Garamond" w:eastAsia="Libre Baskerville" w:hAnsi="Garamond" w:cs="Libre Baskerville"/>
          <w:sz w:val="24"/>
          <w:szCs w:val="24"/>
        </w:rPr>
        <w:t>the view</w:t>
      </w:r>
      <w:r w:rsidRPr="00F9071F">
        <w:rPr>
          <w:rFonts w:ascii="Garamond" w:eastAsia="Libre Baskerville" w:hAnsi="Garamond" w:cs="Libre Baskerville"/>
          <w:sz w:val="24"/>
          <w:szCs w:val="24"/>
        </w:rPr>
        <w:t xml:space="preserve"> that gender is a historical kind comes at a cost. In particular, it does not satisfactorily resolve the representation problem that Bach aims to address, simply because there is no guarantee of tracing the common descent of all “women” and “men” to the same binary models and ancestors. As I have shown, this is not merely a theoretical possibility. It is rather grounded in evidence of the existence of multiple gender systems – some of which are non-binary – between which there has been no cultural transmission. </w:t>
      </w:r>
    </w:p>
    <w:p w:rsidR="0015141E" w:rsidRPr="00F9071F" w:rsidRDefault="00967A8E">
      <w:pPr>
        <w:spacing w:before="100" w:after="12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Although Bach does not seem to appreciate the extent of the representation problem for the account, he does offer what one might first see as a remedy: an appeal to </w:t>
      </w:r>
      <w:r w:rsidRPr="00845C7B">
        <w:rPr>
          <w:rFonts w:ascii="Garamond" w:eastAsia="Libre Baskerville" w:hAnsi="Garamond" w:cs="Libre Baskerville"/>
          <w:i/>
          <w:sz w:val="24"/>
          <w:szCs w:val="24"/>
        </w:rPr>
        <w:t>teleological functioning</w:t>
      </w:r>
      <w:r w:rsidRPr="00F9071F">
        <w:rPr>
          <w:rFonts w:ascii="Garamond" w:eastAsia="Libre Baskerville" w:hAnsi="Garamond" w:cs="Libre Baskerville"/>
          <w:sz w:val="24"/>
          <w:szCs w:val="24"/>
        </w:rPr>
        <w:t>. According to Bach, items that are replicated from a historical lineage due to selection have a teleological function (2012, p. 244 ff.) For example, pumping blood is a teleological function of the heart because its function is part of the reason that hearts are reproduced – it bestowed bearers of hearts with certain fitness advantages. He supposes that the same holds for a gender system: the advantage originally conferred by certain traits belonging to a gender system is also the reason why these traits are reproduced. It is the favorable effect of gendered traits within a cultural gender system in the</w:t>
      </w:r>
      <w:r w:rsidRPr="00F9071F">
        <w:rPr>
          <w:rFonts w:ascii="Garamond" w:eastAsia="Libre Baskerville" w:hAnsi="Garamond" w:cs="Libre Baskerville"/>
          <w:i/>
          <w:sz w:val="24"/>
          <w:szCs w:val="24"/>
        </w:rPr>
        <w:t xml:space="preserve"> </w:t>
      </w:r>
      <w:r w:rsidRPr="00F9071F">
        <w:rPr>
          <w:rFonts w:ascii="Garamond" w:eastAsia="Libre Baskerville" w:hAnsi="Garamond" w:cs="Libre Baskerville"/>
          <w:sz w:val="24"/>
          <w:szCs w:val="24"/>
        </w:rPr>
        <w:t xml:space="preserve">past that causes descendants of that culture to </w:t>
      </w:r>
      <w:r w:rsidR="00845C7B">
        <w:rPr>
          <w:rFonts w:ascii="Garamond" w:eastAsia="Libre Baskerville" w:hAnsi="Garamond" w:cs="Libre Baskerville"/>
          <w:sz w:val="24"/>
          <w:szCs w:val="24"/>
        </w:rPr>
        <w:t>continue to possess them</w:t>
      </w:r>
      <w:r w:rsidRPr="00F9071F">
        <w:rPr>
          <w:rFonts w:ascii="Garamond" w:eastAsia="Libre Baskerville" w:hAnsi="Garamond" w:cs="Libre Baskerville"/>
          <w:sz w:val="24"/>
          <w:szCs w:val="24"/>
        </w:rPr>
        <w:t xml:space="preserve">. </w:t>
      </w:r>
      <w:r w:rsidRPr="00F9071F">
        <w:rPr>
          <w:rFonts w:ascii="Garamond" w:eastAsia="Libre Baskerville" w:hAnsi="Garamond" w:cs="Libre Baskerville"/>
          <w:i/>
          <w:sz w:val="24"/>
          <w:szCs w:val="24"/>
          <w:vertAlign w:val="superscript"/>
        </w:rPr>
        <w:footnoteReference w:id="11"/>
      </w:r>
    </w:p>
    <w:p w:rsidR="0015141E" w:rsidRPr="00F9071F" w:rsidRDefault="00967A8E">
      <w:pPr>
        <w:spacing w:before="100" w:after="12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In Bach’s view this means that an individual may possess membership in a historical kind of gender as well as in a teleofunctional kind – the latter being a kind with an analogous cultural function</w:t>
      </w:r>
      <w:r w:rsidR="00ED7F55">
        <w:rPr>
          <w:rFonts w:ascii="Garamond" w:eastAsia="Libre Baskerville" w:hAnsi="Garamond" w:cs="Libre Baskerville"/>
          <w:sz w:val="24"/>
          <w:szCs w:val="24"/>
        </w:rPr>
        <w:t xml:space="preserve"> to other members</w:t>
      </w:r>
      <w:r w:rsidRPr="00F9071F">
        <w:rPr>
          <w:rFonts w:ascii="Garamond" w:eastAsia="Libre Baskerville" w:hAnsi="Garamond" w:cs="Libre Baskerville"/>
          <w:sz w:val="24"/>
          <w:szCs w:val="24"/>
        </w:rPr>
        <w:t xml:space="preserve">. Consequently, women with different historical models may still share membership in virtue of the teleological function. One can therefore speak of sameness in teleological functioning across different gender lineages as well as sameness in the </w:t>
      </w:r>
      <w:r w:rsidRPr="00F9071F">
        <w:rPr>
          <w:rFonts w:ascii="Garamond" w:eastAsia="Libre Baskerville" w:hAnsi="Garamond" w:cs="Libre Baskerville"/>
          <w:i/>
          <w:sz w:val="24"/>
          <w:szCs w:val="24"/>
        </w:rPr>
        <w:t xml:space="preserve">breakdown </w:t>
      </w:r>
      <w:r w:rsidRPr="00F9071F">
        <w:rPr>
          <w:rFonts w:ascii="Garamond" w:eastAsia="Libre Baskerville" w:hAnsi="Garamond" w:cs="Libre Baskerville"/>
          <w:sz w:val="24"/>
          <w:szCs w:val="24"/>
        </w:rPr>
        <w:t>of the function. Bach gives the following example:</w:t>
      </w:r>
    </w:p>
    <w:p w:rsidR="0015141E" w:rsidRPr="00F9071F" w:rsidRDefault="00967A8E">
      <w:pPr>
        <w:spacing w:before="100" w:after="120" w:line="480" w:lineRule="auto"/>
        <w:ind w:left="1304"/>
        <w:rPr>
          <w:rFonts w:ascii="Garamond" w:eastAsia="Libre Baskerville" w:hAnsi="Garamond" w:cs="Libre Baskerville"/>
          <w:sz w:val="24"/>
          <w:szCs w:val="24"/>
        </w:rPr>
      </w:pPr>
      <w:r w:rsidRPr="00F9071F">
        <w:rPr>
          <w:rFonts w:ascii="Garamond" w:eastAsia="Libre Baskerville" w:hAnsi="Garamond" w:cs="Libre Baskerville"/>
          <w:sz w:val="24"/>
          <w:szCs w:val="24"/>
        </w:rPr>
        <w:lastRenderedPageBreak/>
        <w:t>American and Japanese women are not members of numerically the same historical kind. However, the historical gender roles in each system are analogous. On account of their shared type of history, then, American and Japanese women are members of numerically the same teleofunctional gender kind. This means that both American and Japanese women can fail to satisfy their teleofunctional gender norm and yet both are still members in the cross-cultural teleofunctional gender kind (and, of course, they are still also members in their respective historical kinds). (2012, p. 262)</w:t>
      </w:r>
    </w:p>
    <w:p w:rsidR="0015141E" w:rsidRPr="00F9071F" w:rsidRDefault="00967A8E">
      <w:pPr>
        <w:spacing w:before="100" w:after="120" w:line="480" w:lineRule="auto"/>
        <w:rPr>
          <w:rFonts w:ascii="Garamond" w:eastAsia="Libre Baskerville" w:hAnsi="Garamond" w:cs="Libre Baskerville"/>
          <w:sz w:val="24"/>
          <w:szCs w:val="24"/>
        </w:rPr>
      </w:pPr>
      <w:r w:rsidRPr="00F9071F">
        <w:rPr>
          <w:rFonts w:ascii="Garamond" w:eastAsia="Libre Baskerville" w:hAnsi="Garamond" w:cs="Libre Baskerville"/>
          <w:sz w:val="24"/>
          <w:szCs w:val="24"/>
        </w:rPr>
        <w:t>Bach does not suggest it directly, but it may be possible to hold on to a tale of two genders if they are grounded in a shared teleological function</w:t>
      </w:r>
      <w:r w:rsidR="004B67ED">
        <w:rPr>
          <w:rFonts w:ascii="Garamond" w:eastAsia="Libre Baskerville" w:hAnsi="Garamond" w:cs="Libre Baskerville"/>
          <w:sz w:val="24"/>
          <w:szCs w:val="24"/>
        </w:rPr>
        <w:t xml:space="preserve"> rather than history</w:t>
      </w:r>
      <w:r w:rsidRPr="00F9071F">
        <w:rPr>
          <w:rFonts w:ascii="Garamond" w:eastAsia="Libre Baskerville" w:hAnsi="Garamond" w:cs="Libre Baskerville"/>
          <w:sz w:val="24"/>
          <w:szCs w:val="24"/>
        </w:rPr>
        <w:t>. It is because of the shared function between numerically different historical kinds of gender that two teleofunctional gender kinds arise. For instance, common selection pressures may lead women to be barred from certain leadership roles in different gender lineages, which is then attributed to a common telefunctional role amongst all historical kinds of women. Or, common selection pressures may lead men to abuse their power for their sexual advantage in different lineages, and this explains a common telefunctional kind, men.</w:t>
      </w:r>
    </w:p>
    <w:p w:rsidR="0015141E" w:rsidRPr="00F9071F" w:rsidRDefault="00967A8E">
      <w:pPr>
        <w:spacing w:before="100" w:after="12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But what, then, is the real status of selection or selection pressure in these examples? If the teleological function is not to be merely a nominal status, there must be some way of knowing which features should form the basis of a teleofunctional kind.</w:t>
      </w:r>
      <w:r w:rsidRPr="00F9071F">
        <w:rPr>
          <w:rFonts w:ascii="Garamond" w:eastAsia="Libre Baskerville" w:hAnsi="Garamond" w:cs="Libre Baskerville"/>
          <w:sz w:val="24"/>
          <w:szCs w:val="24"/>
          <w:vertAlign w:val="superscript"/>
        </w:rPr>
        <w:footnoteReference w:id="12"/>
      </w:r>
      <w:r w:rsidRPr="00F9071F">
        <w:rPr>
          <w:rFonts w:ascii="Garamond" w:eastAsia="Libre Baskerville" w:hAnsi="Garamond" w:cs="Libre Baskerville"/>
          <w:sz w:val="24"/>
          <w:szCs w:val="24"/>
        </w:rPr>
        <w:t xml:space="preserve"> To continue with the same example, there must be some reason to think that it is indeed power imbalance that is the cross-cultural explanation for why traits such as submissiveness and abusiveness re-occur (also in different lineages). This is an empirical guess, which is in fact more difficult to support than it may seem. First it seems plausible that it would take a relatively long time for a gender kind to acquire a shared teleological function – even in a culture. It is known, however, that over large chunks of time and space, many cultural selective pressures on gender are bound to vary both within and between lineages. Let us revert to one of the examples: how do we ground the tendency to abuse power for sexual advantage amongst </w:t>
      </w:r>
      <w:r w:rsidRPr="00F9071F">
        <w:rPr>
          <w:rFonts w:ascii="Garamond" w:eastAsia="Libre Baskerville" w:hAnsi="Garamond" w:cs="Libre Baskerville"/>
          <w:sz w:val="24"/>
          <w:szCs w:val="24"/>
        </w:rPr>
        <w:lastRenderedPageBreak/>
        <w:t>contemporary middle-class men in Finland and contemporary working-class men in the Philippines, as well as between male aristocrats in either of these locations 300 years ago? Although I am not denying that there may be such a common tendency amongst these individuals, common selection pressures amongst lineages does seem like a bit of a stretch. Why could it not be social learning in some cases, a by-product in others, and individual learning in yet others?</w:t>
      </w:r>
    </w:p>
    <w:p w:rsidR="004B67ED" w:rsidRDefault="00967A8E">
      <w:pPr>
        <w:spacing w:before="100" w:after="12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In truth, worrying about appealing to analogous functions is an instance of the more general worry about the tendency to prioritize adaptationist hypotheses in evolutionary theorizing and to dismiss alternative causal explanations as simply “null hypotheses” (Lloyd 2015). </w:t>
      </w:r>
      <w:r w:rsidR="004B67ED">
        <w:rPr>
          <w:rFonts w:ascii="Garamond" w:eastAsia="Libre Baskerville" w:hAnsi="Garamond" w:cs="Libre Baskerville"/>
          <w:sz w:val="24"/>
          <w:szCs w:val="24"/>
        </w:rPr>
        <w:t xml:space="preserve">As </w:t>
      </w:r>
      <w:r w:rsidRPr="00F9071F">
        <w:rPr>
          <w:rFonts w:ascii="Garamond" w:eastAsia="Libre Baskerville" w:hAnsi="Garamond" w:cs="Libre Baskerville"/>
          <w:sz w:val="24"/>
          <w:szCs w:val="24"/>
        </w:rPr>
        <w:t>Richard Lewonti</w:t>
      </w:r>
      <w:r w:rsidR="004B67ED">
        <w:rPr>
          <w:rFonts w:ascii="Garamond" w:eastAsia="Libre Baskerville" w:hAnsi="Garamond" w:cs="Libre Baskerville"/>
          <w:sz w:val="24"/>
          <w:szCs w:val="24"/>
        </w:rPr>
        <w:t>n and Stephen J. Gould drew our attention to,</w:t>
      </w:r>
      <w:r w:rsidRPr="00F9071F">
        <w:rPr>
          <w:rFonts w:ascii="Garamond" w:eastAsia="Libre Baskerville" w:hAnsi="Garamond" w:cs="Libre Baskerville"/>
          <w:sz w:val="24"/>
          <w:szCs w:val="24"/>
        </w:rPr>
        <w:t xml:space="preserve"> not all traits and products of </w:t>
      </w:r>
      <w:r w:rsidR="004B67ED">
        <w:rPr>
          <w:rFonts w:ascii="Garamond" w:eastAsia="Libre Baskerville" w:hAnsi="Garamond" w:cs="Libre Baskerville"/>
          <w:sz w:val="24"/>
          <w:szCs w:val="24"/>
        </w:rPr>
        <w:t xml:space="preserve">biological </w:t>
      </w:r>
      <w:r w:rsidRPr="00F9071F">
        <w:rPr>
          <w:rFonts w:ascii="Garamond" w:eastAsia="Libre Baskerville" w:hAnsi="Garamond" w:cs="Libre Baskerville"/>
          <w:sz w:val="24"/>
          <w:szCs w:val="24"/>
        </w:rPr>
        <w:t xml:space="preserve">evolution being due to selection; some arise via drift or by being “spandrels” – i.e. bi-products of other (cultural) adaptations (1979). In the case of cultural evolution there are even more alternatives to adaptationist hypotheses in that not only are there traits that are by-products of some gendered traits, some traits may develop as a result of individual trial-and-error learning. </w:t>
      </w:r>
    </w:p>
    <w:p w:rsidR="0015141E" w:rsidRPr="00F9071F" w:rsidRDefault="00967A8E">
      <w:pPr>
        <w:spacing w:before="100" w:after="12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I do believe that Bach is right in highlighting the importance of norms and beliefs about a hierarchy of social statuses, the division of labor, and sexuality in the reproduction of gender in distinct lineages. However, whether these beliefs and norms generate any meaningful analogies and teleological roles between lineages so as to constitute new gender kinds, is another matter. I would make a much more modest claim, namely, that social norms and beliefs play a part in </w:t>
      </w:r>
      <w:r w:rsidRPr="00F9071F">
        <w:rPr>
          <w:rFonts w:ascii="Garamond" w:eastAsia="Libre Baskerville" w:hAnsi="Garamond" w:cs="Libre Baskerville"/>
          <w:i/>
          <w:sz w:val="24"/>
          <w:szCs w:val="24"/>
        </w:rPr>
        <w:t xml:space="preserve">regimenting </w:t>
      </w:r>
      <w:r w:rsidRPr="00F9071F">
        <w:rPr>
          <w:rFonts w:ascii="Garamond" w:eastAsia="Libre Baskerville" w:hAnsi="Garamond" w:cs="Libre Baskerville"/>
          <w:sz w:val="24"/>
          <w:szCs w:val="24"/>
        </w:rPr>
        <w:t xml:space="preserve">the reproduction of gender in a binary manner in diverse lineages. </w:t>
      </w:r>
    </w:p>
    <w:p w:rsidR="0015141E" w:rsidRPr="00F9071F" w:rsidRDefault="00967A8E">
      <w:pPr>
        <w:spacing w:before="100" w:after="12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I therefore propose sticking to gender as historical kinds. In other words, any reference to a gender is always a reference to a particular historical kind (e.g. Japanese women, say) with common ancestry and the spatial temporal proximity of copying as guiding the right individuation of kinds. Of course, this still allows for cultural selection to be the most plausible empirical hypothesis in terms of trait retention </w:t>
      </w:r>
      <w:r w:rsidRPr="004B67ED">
        <w:rPr>
          <w:rFonts w:ascii="Garamond" w:eastAsia="Libre Baskerville" w:hAnsi="Garamond" w:cs="Libre Baskerville"/>
          <w:sz w:val="24"/>
          <w:szCs w:val="24"/>
        </w:rPr>
        <w:t>within a particular lineage</w:t>
      </w:r>
      <w:r w:rsidRPr="00F9071F">
        <w:rPr>
          <w:rFonts w:ascii="Garamond" w:eastAsia="Libre Baskerville" w:hAnsi="Garamond" w:cs="Libre Baskerville"/>
          <w:sz w:val="24"/>
          <w:szCs w:val="24"/>
        </w:rPr>
        <w:t xml:space="preserve">, but it is then precisely a matter of justifying a selected trait </w:t>
      </w:r>
      <w:r w:rsidRPr="004B67ED">
        <w:rPr>
          <w:rFonts w:ascii="Garamond" w:eastAsia="Libre Baskerville" w:hAnsi="Garamond" w:cs="Libre Baskerville"/>
          <w:i/>
          <w:sz w:val="24"/>
          <w:szCs w:val="24"/>
        </w:rPr>
        <w:lastRenderedPageBreak/>
        <w:t>within a lineage</w:t>
      </w:r>
      <w:r w:rsidRPr="00F9071F">
        <w:rPr>
          <w:rFonts w:ascii="Garamond" w:eastAsia="Libre Baskerville" w:hAnsi="Garamond" w:cs="Libre Baskerville"/>
          <w:sz w:val="24"/>
          <w:szCs w:val="24"/>
        </w:rPr>
        <w:t xml:space="preserve">. It is different identifying analogous traits </w:t>
      </w:r>
      <w:r w:rsidRPr="00F9071F">
        <w:rPr>
          <w:rFonts w:ascii="Garamond" w:eastAsia="Libre Baskerville" w:hAnsi="Garamond" w:cs="Libre Baskerville"/>
          <w:i/>
          <w:sz w:val="24"/>
          <w:szCs w:val="24"/>
        </w:rPr>
        <w:t xml:space="preserve">between </w:t>
      </w:r>
      <w:r w:rsidRPr="00F9071F">
        <w:rPr>
          <w:rFonts w:ascii="Garamond" w:eastAsia="Libre Baskerville" w:hAnsi="Garamond" w:cs="Libre Baskerville"/>
          <w:sz w:val="24"/>
          <w:szCs w:val="24"/>
        </w:rPr>
        <w:t xml:space="preserve">lineages that give rise to kinds in their own right. </w:t>
      </w:r>
    </w:p>
    <w:p w:rsidR="0015141E" w:rsidRPr="00F9071F" w:rsidRDefault="00967A8E">
      <w:pPr>
        <w:spacing w:before="100" w:after="12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Nevertheless, getting rid of teleofunctional gender kinds might seem to come at a significant price. As noted, historical membership alone seems disappointing if the aim is to unify the collective of women. Such disappointment might motivate the appeal of a shared adaptive role between different binary systems of gender: they are united by some overlapping cultural adaptive roles. Without a shared history or a shared adaptive function is there any hope of solving the representation problem? Iris Marion Yo</w:t>
      </w:r>
      <w:r w:rsidR="00F9071F">
        <w:rPr>
          <w:rFonts w:ascii="Garamond" w:eastAsia="Libre Baskerville" w:hAnsi="Garamond" w:cs="Libre Baskerville"/>
          <w:sz w:val="24"/>
          <w:szCs w:val="24"/>
        </w:rPr>
        <w:t>ung at least was clear that the representation problem</w:t>
      </w:r>
      <w:r w:rsidRPr="00F9071F">
        <w:rPr>
          <w:rFonts w:ascii="Garamond" w:eastAsia="Libre Baskerville" w:hAnsi="Garamond" w:cs="Libre Baskerville"/>
          <w:sz w:val="24"/>
          <w:szCs w:val="24"/>
        </w:rPr>
        <w:t xml:space="preserve"> is a difficult but nevertheless necessary problem for </w:t>
      </w:r>
      <w:r w:rsidR="004B67ED">
        <w:rPr>
          <w:rFonts w:ascii="Garamond" w:eastAsia="Libre Baskerville" w:hAnsi="Garamond" w:cs="Libre Baskerville"/>
          <w:sz w:val="24"/>
          <w:szCs w:val="24"/>
        </w:rPr>
        <w:t>feminist political movements</w:t>
      </w:r>
      <w:r w:rsidRPr="00F9071F">
        <w:rPr>
          <w:rFonts w:ascii="Garamond" w:eastAsia="Libre Baskerville" w:hAnsi="Garamond" w:cs="Libre Baskerville"/>
          <w:sz w:val="24"/>
          <w:szCs w:val="24"/>
        </w:rPr>
        <w:t xml:space="preserve"> to confront. It seems as if there is no getting away from the fact that many of these movements aim for a conception of gender that transcends the particular cultural system in which gender is reproduced. Is there any way an account of gender as historically reproduced kinds could meet such demands? In my view, there are two options.</w:t>
      </w:r>
    </w:p>
    <w:p w:rsidR="0015141E" w:rsidRPr="00F9071F" w:rsidRDefault="00967A8E">
      <w:pPr>
        <w:spacing w:before="100" w:after="12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The first option is to extend the scope of gender by appealing to lateral transmission between different binary systems. After all, gender identification and imposition within a historical lineage may evoke a sense of solidarity, and eventually cultural transmission, that transcends the existing lineage. Let us say, for example, that injustices such as silencing and harassment take place within the lineage (A</w:t>
      </w:r>
      <w:r w:rsidRPr="00F9071F">
        <w:rPr>
          <w:rFonts w:ascii="Garamond" w:eastAsia="Libre Baskerville" w:hAnsi="Garamond" w:cs="Libre Baskerville"/>
          <w:sz w:val="24"/>
          <w:szCs w:val="24"/>
          <w:vertAlign w:val="subscript"/>
        </w:rPr>
        <w:t>1)</w:t>
      </w:r>
      <w:r w:rsidRPr="00F9071F">
        <w:rPr>
          <w:rFonts w:ascii="Garamond" w:eastAsia="Libre Baskerville" w:hAnsi="Garamond" w:cs="Libre Baskerville"/>
          <w:sz w:val="24"/>
          <w:szCs w:val="24"/>
        </w:rPr>
        <w:t>) in one cultural niche (A), and that this fosters identification with a similarly unjustly treated gender from a different lineage (B</w:t>
      </w:r>
      <w:r w:rsidRPr="00F9071F">
        <w:rPr>
          <w:rFonts w:ascii="Garamond" w:eastAsia="Libre Baskerville" w:hAnsi="Garamond" w:cs="Libre Baskerville"/>
          <w:sz w:val="24"/>
          <w:szCs w:val="24"/>
          <w:vertAlign w:val="subscript"/>
        </w:rPr>
        <w:t>1</w:t>
      </w:r>
      <w:r w:rsidRPr="00F9071F">
        <w:rPr>
          <w:rFonts w:ascii="Garamond" w:eastAsia="Libre Baskerville" w:hAnsi="Garamond" w:cs="Libre Baskerville"/>
          <w:sz w:val="24"/>
          <w:szCs w:val="24"/>
        </w:rPr>
        <w:t>) within a different cultural niche (B).</w:t>
      </w:r>
      <w:r w:rsidRPr="00F9071F">
        <w:rPr>
          <w:rFonts w:ascii="Garamond" w:eastAsia="Libre Baskerville" w:hAnsi="Garamond" w:cs="Libre Baskerville"/>
          <w:sz w:val="24"/>
          <w:szCs w:val="24"/>
          <w:vertAlign w:val="superscript"/>
        </w:rPr>
        <w:footnoteReference w:id="13"/>
      </w:r>
      <w:r w:rsidRPr="00F9071F">
        <w:rPr>
          <w:rFonts w:ascii="Garamond" w:eastAsia="Libre Baskerville" w:hAnsi="Garamond" w:cs="Libre Baskerville"/>
          <w:sz w:val="24"/>
          <w:szCs w:val="24"/>
        </w:rPr>
        <w:t xml:space="preserve"> The likely result is that there will be cultural transmission and social learning between the different lineages A</w:t>
      </w:r>
      <w:r w:rsidRPr="00F9071F">
        <w:rPr>
          <w:rFonts w:ascii="Garamond" w:eastAsia="Libre Baskerville" w:hAnsi="Garamond" w:cs="Libre Baskerville"/>
          <w:sz w:val="24"/>
          <w:szCs w:val="24"/>
          <w:vertAlign w:val="subscript"/>
        </w:rPr>
        <w:t>1</w:t>
      </w:r>
      <w:r w:rsidRPr="00F9071F">
        <w:rPr>
          <w:rFonts w:ascii="Garamond" w:eastAsia="Libre Baskerville" w:hAnsi="Garamond" w:cs="Libre Baskerville"/>
          <w:sz w:val="24"/>
          <w:szCs w:val="24"/>
        </w:rPr>
        <w:t xml:space="preserve"> and B</w:t>
      </w:r>
      <w:r w:rsidRPr="00F9071F">
        <w:rPr>
          <w:rFonts w:ascii="Garamond" w:eastAsia="Libre Baskerville" w:hAnsi="Garamond" w:cs="Libre Baskerville"/>
          <w:sz w:val="24"/>
          <w:szCs w:val="24"/>
          <w:vertAlign w:val="subscript"/>
        </w:rPr>
        <w:t>1</w:t>
      </w:r>
      <w:r w:rsidRPr="00F9071F">
        <w:rPr>
          <w:rFonts w:ascii="Garamond" w:eastAsia="Libre Baskerville" w:hAnsi="Garamond" w:cs="Libre Baskerville"/>
          <w:sz w:val="24"/>
          <w:szCs w:val="24"/>
        </w:rPr>
        <w:t xml:space="preserve"> – not least in how to develop strategies to deal with and overcome these injustices. The end result is thus that there is both some lateral transmission between lineages as well as some partial convergence in new models of social learning. Values of solidarity and concern could promote partial convergence of gender lineages by helping to generate new common models and hence common ancestry. In fact, the convergence of new models of gender is probably more likely given the prevalence of social media, technology and </w:t>
      </w:r>
      <w:r w:rsidRPr="00F9071F">
        <w:rPr>
          <w:rFonts w:ascii="Garamond" w:eastAsia="Libre Baskerville" w:hAnsi="Garamond" w:cs="Libre Baskerville"/>
          <w:sz w:val="24"/>
          <w:szCs w:val="24"/>
        </w:rPr>
        <w:lastRenderedPageBreak/>
        <w:t>travel that harnesses existing tendencies of gendered social learning (and hence without needing the mediation of solidarity). Lateral cultural transmission is thus likely to extend the scope of membership in a historical kind of gender somewhat by merging different binary systems – particularly during the past couple of generations. Nevertheless, this option is still likely to exclude many gendered individuals from inclusion in common membership. In particular, there will be many historical cases in which such lateral transmission is impossible, even if individuals still belong to lineages within binary and non-binary gender systems. (For what it is wort</w:t>
      </w:r>
      <w:r w:rsidR="004B67ED">
        <w:rPr>
          <w:rFonts w:ascii="Garamond" w:eastAsia="Libre Baskerville" w:hAnsi="Garamond" w:cs="Libre Baskerville"/>
          <w:sz w:val="24"/>
          <w:szCs w:val="24"/>
        </w:rPr>
        <w:t xml:space="preserve">h, I think the </w:t>
      </w:r>
      <w:r w:rsidRPr="00F9071F">
        <w:rPr>
          <w:rFonts w:ascii="Garamond" w:eastAsia="Libre Baskerville" w:hAnsi="Garamond" w:cs="Libre Baskerville"/>
          <w:sz w:val="24"/>
          <w:szCs w:val="24"/>
        </w:rPr>
        <w:t>common agency within these d</w:t>
      </w:r>
      <w:r w:rsidR="00AD6958">
        <w:rPr>
          <w:rFonts w:ascii="Garamond" w:eastAsia="Libre Baskerville" w:hAnsi="Garamond" w:cs="Libre Baskerville"/>
          <w:sz w:val="24"/>
          <w:szCs w:val="24"/>
        </w:rPr>
        <w:t>ifferent gender systems might</w:t>
      </w:r>
      <w:r w:rsidRPr="00F9071F">
        <w:rPr>
          <w:rFonts w:ascii="Garamond" w:eastAsia="Libre Baskerville" w:hAnsi="Garamond" w:cs="Libre Baskerville"/>
          <w:sz w:val="24"/>
          <w:szCs w:val="24"/>
        </w:rPr>
        <w:t xml:space="preserve"> be better understood in terms of coalitions and alliances rather than being based on membership of a common kind.)</w:t>
      </w:r>
    </w:p>
    <w:p w:rsidR="0015141E" w:rsidRPr="00F9071F" w:rsidRDefault="00967A8E">
      <w:pPr>
        <w:spacing w:before="100" w:after="120" w:line="480" w:lineRule="auto"/>
        <w:ind w:firstLine="714"/>
        <w:rPr>
          <w:rFonts w:ascii="Garamond" w:eastAsia="Libre Baskerville" w:hAnsi="Garamond" w:cs="Libre Baskerville"/>
          <w:sz w:val="24"/>
          <w:szCs w:val="24"/>
        </w:rPr>
      </w:pPr>
      <w:r w:rsidRPr="00F9071F">
        <w:rPr>
          <w:rFonts w:ascii="Garamond" w:eastAsia="Libre Baskerville" w:hAnsi="Garamond" w:cs="Libre Baskerville"/>
          <w:sz w:val="24"/>
          <w:szCs w:val="24"/>
        </w:rPr>
        <w:t>At this point the second option emerges. Why not interpret gender as historical kinds, but according to a biological sex, rather than to a culture?</w:t>
      </w:r>
      <w:r w:rsidRPr="00F9071F">
        <w:rPr>
          <w:rFonts w:ascii="Garamond" w:eastAsia="Libre Baskerville" w:hAnsi="Garamond" w:cs="Libre Baskerville"/>
          <w:sz w:val="24"/>
          <w:szCs w:val="24"/>
          <w:vertAlign w:val="superscript"/>
        </w:rPr>
        <w:footnoteReference w:id="14"/>
      </w:r>
      <w:r w:rsidRPr="00F9071F">
        <w:rPr>
          <w:rFonts w:ascii="Garamond" w:eastAsia="Libre Baskerville" w:hAnsi="Garamond" w:cs="Libre Baskerville"/>
          <w:sz w:val="24"/>
          <w:szCs w:val="24"/>
        </w:rPr>
        <w:t xml:space="preserve"> In that case a “gender” will encompass all humans with a particular biologically reproduced sex (or reproductive system) – supposedly male or female. This would involve taking a stand with respect to the existence of two biological sex categories, however. As mentioned at the beginning of this paper, such biological dimorphism requires independent argument, especially in view of there being plausible intersex categories. Moreover, such a switch seems to imply that sex and gender also map onto each other – a connection that, as noted, is tenuous to say the least, given the controversial taxonomy of sex and the existence of both non-binary and cross-genders. In particular, one may end up excluding individuals who are gendered in a different way from their (perceived) sex. Hence, I do not believe that replacing gender (as a historical kind) with sex (as a historical kind) is a winning strategy for extending the scope of gender, either.</w:t>
      </w:r>
    </w:p>
    <w:p w:rsidR="0015141E" w:rsidRPr="00F9071F" w:rsidRDefault="00967A8E">
      <w:pPr>
        <w:numPr>
          <w:ilvl w:val="0"/>
          <w:numId w:val="3"/>
        </w:numPr>
        <w:spacing w:before="100" w:after="120" w:line="480" w:lineRule="auto"/>
        <w:rPr>
          <w:rFonts w:ascii="Garamond" w:eastAsia="Libre Baskerville" w:hAnsi="Garamond" w:cs="Libre Baskerville"/>
          <w:b/>
          <w:sz w:val="24"/>
          <w:szCs w:val="24"/>
        </w:rPr>
      </w:pPr>
      <w:r w:rsidRPr="00F9071F">
        <w:rPr>
          <w:rFonts w:ascii="Garamond" w:eastAsia="Libre Baskerville" w:hAnsi="Garamond" w:cs="Libre Baskerville"/>
          <w:b/>
          <w:sz w:val="24"/>
          <w:szCs w:val="24"/>
        </w:rPr>
        <w:t>Conclusion</w:t>
      </w:r>
    </w:p>
    <w:p w:rsidR="0015141E" w:rsidRPr="00F9071F" w:rsidRDefault="00967A8E">
      <w:pPr>
        <w:spacing w:before="100" w:after="120" w:line="480" w:lineRule="auto"/>
        <w:rPr>
          <w:rFonts w:ascii="Garamond" w:eastAsia="Libre Baskerville" w:hAnsi="Garamond" w:cs="Libre Baskerville"/>
          <w:sz w:val="24"/>
          <w:szCs w:val="24"/>
        </w:rPr>
      </w:pPr>
      <w:r w:rsidRPr="00F9071F">
        <w:rPr>
          <w:rFonts w:ascii="Garamond" w:eastAsia="Libre Baskerville" w:hAnsi="Garamond" w:cs="Libre Baskerville"/>
          <w:sz w:val="24"/>
          <w:szCs w:val="24"/>
        </w:rPr>
        <w:t>My current diagnosis is that the representation problem should not be fixed by sacrificing a plausible explanatory story of gender that takes gender to be a historical kind. Aft</w:t>
      </w:r>
      <w:r w:rsidR="00AD6958">
        <w:rPr>
          <w:rFonts w:ascii="Garamond" w:eastAsia="Libre Baskerville" w:hAnsi="Garamond" w:cs="Libre Baskerville"/>
          <w:sz w:val="24"/>
          <w:szCs w:val="24"/>
        </w:rPr>
        <w:t xml:space="preserve">er all, understanding gender as </w:t>
      </w:r>
      <w:r w:rsidRPr="00F9071F">
        <w:rPr>
          <w:rFonts w:ascii="Garamond" w:eastAsia="Libre Baskerville" w:hAnsi="Garamond" w:cs="Libre Baskerville"/>
          <w:sz w:val="24"/>
          <w:szCs w:val="24"/>
        </w:rPr>
        <w:t xml:space="preserve">cultural reproduced kinds makes sense in terms of how variation over time within a lineage can be </w:t>
      </w:r>
      <w:r w:rsidRPr="00F9071F">
        <w:rPr>
          <w:rFonts w:ascii="Garamond" w:eastAsia="Libre Baskerville" w:hAnsi="Garamond" w:cs="Libre Baskerville"/>
          <w:sz w:val="24"/>
          <w:szCs w:val="24"/>
        </w:rPr>
        <w:lastRenderedPageBreak/>
        <w:t>reconciled with the kind displaying an ample amount of culturally inherited attributes. It is important for the science of, and policy on, gender to respect both the inductive potential of as well as the variation within a gender cat</w:t>
      </w:r>
      <w:r>
        <w:rPr>
          <w:rFonts w:ascii="Garamond" w:eastAsia="Libre Baskerville" w:hAnsi="Garamond" w:cs="Libre Baskerville"/>
          <w:sz w:val="24"/>
          <w:szCs w:val="24"/>
        </w:rPr>
        <w:t>egory – even within a culture. Certainly</w:t>
      </w:r>
      <w:r w:rsidRPr="00F9071F">
        <w:rPr>
          <w:rFonts w:ascii="Garamond" w:eastAsia="Libre Baskerville" w:hAnsi="Garamond" w:cs="Libre Baskerville"/>
          <w:sz w:val="24"/>
          <w:szCs w:val="24"/>
        </w:rPr>
        <w:t xml:space="preserve"> sex alone cannot explain th</w:t>
      </w:r>
      <w:r>
        <w:rPr>
          <w:rFonts w:ascii="Garamond" w:eastAsia="Libre Baskerville" w:hAnsi="Garamond" w:cs="Libre Baskerville"/>
          <w:sz w:val="24"/>
          <w:szCs w:val="24"/>
        </w:rPr>
        <w:t xml:space="preserve">ese </w:t>
      </w:r>
      <w:r w:rsidRPr="00F9071F">
        <w:rPr>
          <w:rFonts w:ascii="Garamond" w:eastAsia="Libre Baskerville" w:hAnsi="Garamond" w:cs="Libre Baskerville"/>
          <w:sz w:val="24"/>
          <w:szCs w:val="24"/>
        </w:rPr>
        <w:t xml:space="preserve">features. </w:t>
      </w:r>
    </w:p>
    <w:p w:rsidR="0015141E" w:rsidRPr="00F9071F" w:rsidRDefault="00967A8E">
      <w:pPr>
        <w:spacing w:before="100" w:after="12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Moreover, an account stating that gender is a historical kind because of cultural reproduction makes sense of why claims about gender are typically more plausible if they are more narrowly indexed – or, in the terms of the account, indexed to specific lineages of reproduction. In other words, both political movement and social science should respect the particular cultural niche in which gender is reproduced and should be cautious in making sweeping cross-temporal and cross-cultural claims. It thus seems that we are at least </w:t>
      </w:r>
      <w:r w:rsidRPr="00F9071F">
        <w:rPr>
          <w:rFonts w:ascii="Garamond" w:eastAsia="Libre Baskerville" w:hAnsi="Garamond" w:cs="Libre Baskerville"/>
          <w:i/>
          <w:sz w:val="24"/>
          <w:szCs w:val="24"/>
        </w:rPr>
        <w:t>prima facie</w:t>
      </w:r>
      <w:r w:rsidRPr="00F9071F">
        <w:rPr>
          <w:rFonts w:ascii="Garamond" w:eastAsia="Libre Baskerville" w:hAnsi="Garamond" w:cs="Libre Baskerville"/>
          <w:sz w:val="24"/>
          <w:szCs w:val="24"/>
        </w:rPr>
        <w:t xml:space="preserve"> correct in applying skepticism to many far-reaching prejudicial gender </w:t>
      </w:r>
      <w:r w:rsidR="00474475">
        <w:rPr>
          <w:rFonts w:ascii="Garamond" w:eastAsia="Libre Baskerville" w:hAnsi="Garamond" w:cs="Libre Baskerville"/>
          <w:sz w:val="24"/>
          <w:szCs w:val="24"/>
        </w:rPr>
        <w:t xml:space="preserve">generalizations and </w:t>
      </w:r>
      <w:r w:rsidRPr="00F9071F">
        <w:rPr>
          <w:rFonts w:ascii="Garamond" w:eastAsia="Libre Baskerville" w:hAnsi="Garamond" w:cs="Libre Baskerville"/>
          <w:sz w:val="24"/>
          <w:szCs w:val="24"/>
        </w:rPr>
        <w:t xml:space="preserve">generics, given that in many cases there may rightly be nothing uniting the group represented in the subject in the first place! </w:t>
      </w:r>
      <w:r w:rsidRPr="00F9071F">
        <w:rPr>
          <w:rFonts w:ascii="Garamond" w:eastAsia="Libre Baskerville" w:hAnsi="Garamond" w:cs="Libre Baskerville"/>
          <w:sz w:val="24"/>
          <w:szCs w:val="24"/>
          <w:vertAlign w:val="superscript"/>
        </w:rPr>
        <w:footnoteReference w:id="15"/>
      </w:r>
    </w:p>
    <w:p w:rsidR="0015141E" w:rsidRPr="00F9071F" w:rsidRDefault="00967A8E">
      <w:pPr>
        <w:spacing w:before="100" w:after="120" w:line="480" w:lineRule="auto"/>
        <w:ind w:firstLine="130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Still. I have ended on a slightly negative note in terms of Young’s original hope of finding something on which to base the political </w:t>
      </w:r>
      <w:r w:rsidR="00AD6958">
        <w:rPr>
          <w:rFonts w:ascii="Garamond" w:eastAsia="Libre Baskerville" w:hAnsi="Garamond" w:cs="Libre Baskerville"/>
          <w:sz w:val="24"/>
          <w:szCs w:val="24"/>
        </w:rPr>
        <w:t>movement of feminism</w:t>
      </w:r>
      <w:r w:rsidRPr="00F9071F">
        <w:rPr>
          <w:rFonts w:ascii="Garamond" w:eastAsia="Libre Baskerville" w:hAnsi="Garamond" w:cs="Libre Baskerville"/>
          <w:sz w:val="24"/>
          <w:szCs w:val="24"/>
        </w:rPr>
        <w:t>. It turns out that the representation problem runs deeper than has been appreciated in discussions proposing historical kinds of gender. As it stands, the historical account may not give the full generality that was initially hoped for. This leaves us with two remaining options: reconsidering how desired a tale of two genders is, or thinking harder about an explanatory account of gender that will truly yield two timeless and cross-cultural genders.</w:t>
      </w:r>
    </w:p>
    <w:p w:rsidR="0015141E" w:rsidRPr="00F9071F" w:rsidRDefault="0015141E">
      <w:pPr>
        <w:spacing w:before="100" w:after="120" w:line="480" w:lineRule="auto"/>
        <w:rPr>
          <w:rFonts w:ascii="Garamond" w:eastAsia="Libre Baskerville" w:hAnsi="Garamond" w:cs="Libre Baskerville"/>
          <w:sz w:val="24"/>
          <w:szCs w:val="24"/>
        </w:rPr>
      </w:pPr>
    </w:p>
    <w:p w:rsidR="0015141E" w:rsidRPr="00F9071F" w:rsidRDefault="00967A8E">
      <w:pPr>
        <w:numPr>
          <w:ilvl w:val="0"/>
          <w:numId w:val="3"/>
        </w:numPr>
        <w:spacing w:after="120" w:line="276" w:lineRule="auto"/>
        <w:rPr>
          <w:rFonts w:ascii="Garamond" w:eastAsia="Libre Baskerville" w:hAnsi="Garamond" w:cs="Libre Baskerville"/>
          <w:b/>
          <w:sz w:val="24"/>
          <w:szCs w:val="24"/>
        </w:rPr>
      </w:pPr>
      <w:r w:rsidRPr="00F9071F">
        <w:rPr>
          <w:rFonts w:ascii="Garamond" w:eastAsia="Libre Baskerville" w:hAnsi="Garamond" w:cs="Libre Baskerville"/>
          <w:b/>
          <w:sz w:val="24"/>
          <w:szCs w:val="24"/>
        </w:rPr>
        <w:t>References</w:t>
      </w:r>
    </w:p>
    <w:p w:rsidR="0015141E" w:rsidRPr="00F9071F" w:rsidRDefault="00967A8E">
      <w:pPr>
        <w:spacing w:after="120" w:line="276" w:lineRule="auto"/>
        <w:rPr>
          <w:rFonts w:ascii="Garamond" w:eastAsia="Libre Baskerville" w:hAnsi="Garamond" w:cs="Libre Baskerville"/>
          <w:sz w:val="24"/>
          <w:szCs w:val="24"/>
        </w:rPr>
      </w:pPr>
      <w:r w:rsidRPr="00F9071F">
        <w:rPr>
          <w:rFonts w:ascii="Garamond" w:eastAsia="Libre Baskerville" w:hAnsi="Garamond" w:cs="Libre Baskerville"/>
          <w:sz w:val="24"/>
          <w:szCs w:val="24"/>
        </w:rPr>
        <w:t>Bach T (2012) Gender is a natural kind with a historical essence. Ethics 122: 231-272.</w:t>
      </w:r>
    </w:p>
    <w:p w:rsidR="0015141E" w:rsidRPr="00F9071F" w:rsidRDefault="00967A8E">
      <w:pPr>
        <w:spacing w:after="120" w:line="276" w:lineRule="auto"/>
        <w:ind w:left="284" w:hanging="284"/>
        <w:rPr>
          <w:rFonts w:ascii="Garamond" w:eastAsia="Libre Baskerville" w:hAnsi="Garamond" w:cs="Libre Baskerville"/>
          <w:sz w:val="24"/>
          <w:szCs w:val="24"/>
        </w:rPr>
      </w:pPr>
      <w:r w:rsidRPr="00F9071F">
        <w:rPr>
          <w:rFonts w:ascii="Garamond" w:eastAsia="Libre Baskerville" w:hAnsi="Garamond" w:cs="Libre Baskerville"/>
          <w:sz w:val="24"/>
          <w:szCs w:val="24"/>
          <w:highlight w:val="white"/>
        </w:rPr>
        <w:t>Bach T (2016) Social categories are natural kinds, not objective types (and why it matters politically). Journal of Social Ontology 2(2): 177-201.</w:t>
      </w:r>
      <w:r w:rsidRPr="00F9071F">
        <w:rPr>
          <w:rFonts w:ascii="Garamond" w:eastAsia="Libre Baskerville" w:hAnsi="Garamond" w:cs="Libre Baskerville"/>
          <w:sz w:val="24"/>
          <w:szCs w:val="24"/>
        </w:rPr>
        <w:t xml:space="preserve"> </w:t>
      </w:r>
    </w:p>
    <w:p w:rsidR="0015141E" w:rsidRPr="00F9071F" w:rsidRDefault="00967A8E">
      <w:pPr>
        <w:spacing w:after="120" w:line="276" w:lineRule="auto"/>
        <w:ind w:left="284" w:hanging="284"/>
        <w:rPr>
          <w:rFonts w:ascii="Garamond" w:eastAsia="Libre Baskerville" w:hAnsi="Garamond" w:cs="Libre Baskerville"/>
          <w:sz w:val="24"/>
          <w:szCs w:val="24"/>
          <w:shd w:val="clear" w:color="auto" w:fill="FCFCFC"/>
        </w:rPr>
      </w:pPr>
      <w:r w:rsidRPr="00F9071F">
        <w:rPr>
          <w:rFonts w:ascii="Garamond" w:eastAsia="Libre Baskerville" w:hAnsi="Garamond" w:cs="Libre Baskerville"/>
          <w:sz w:val="24"/>
          <w:szCs w:val="24"/>
          <w:shd w:val="clear" w:color="auto" w:fill="FCFCFC"/>
        </w:rPr>
        <w:lastRenderedPageBreak/>
        <w:t>Bem S L (1993) The lenses of gender: Transforming the debate on sexual inequality. Yale University Press, New Haven.</w:t>
      </w:r>
    </w:p>
    <w:p w:rsidR="0015141E" w:rsidRPr="00F9071F" w:rsidRDefault="00967A8E">
      <w:pPr>
        <w:spacing w:after="120" w:line="276" w:lineRule="auto"/>
        <w:ind w:left="284" w:hanging="284"/>
        <w:rPr>
          <w:rFonts w:ascii="Garamond" w:eastAsia="Libre Baskerville" w:hAnsi="Garamond" w:cs="Libre Baskerville"/>
          <w:sz w:val="24"/>
          <w:szCs w:val="24"/>
        </w:rPr>
      </w:pPr>
      <w:r w:rsidRPr="00F9071F">
        <w:rPr>
          <w:rFonts w:ascii="Garamond" w:eastAsia="Libre Baskerville" w:hAnsi="Garamond" w:cs="Libre Baskerville"/>
          <w:sz w:val="24"/>
          <w:szCs w:val="24"/>
        </w:rPr>
        <w:t>Butler J (1999) Gender Trouble: Tenth Anniversary Edition. Routledge, New York.</w:t>
      </w:r>
    </w:p>
    <w:p w:rsidR="0015141E" w:rsidRPr="00F9071F" w:rsidRDefault="00967A8E">
      <w:pPr>
        <w:spacing w:after="120" w:line="276" w:lineRule="auto"/>
        <w:ind w:left="284" w:hanging="284"/>
        <w:rPr>
          <w:rFonts w:ascii="Garamond" w:eastAsia="Libre Baskerville" w:hAnsi="Garamond" w:cs="Libre Baskerville"/>
          <w:sz w:val="24"/>
          <w:szCs w:val="24"/>
          <w:highlight w:val="white"/>
        </w:rPr>
      </w:pPr>
      <w:r w:rsidRPr="00F9071F">
        <w:rPr>
          <w:rFonts w:ascii="Garamond" w:eastAsia="Libre Baskerville" w:hAnsi="Garamond" w:cs="Libre Baskerville"/>
          <w:sz w:val="24"/>
          <w:szCs w:val="24"/>
          <w:highlight w:val="white"/>
        </w:rPr>
        <w:t>Boyd R (1991) Realism, anti-foundationalism and the enthusiasm for natural kinds. Philosophical studies 61(1-2): 127-148.</w:t>
      </w:r>
    </w:p>
    <w:p w:rsidR="0015141E" w:rsidRPr="00F9071F" w:rsidRDefault="00967A8E">
      <w:pPr>
        <w:spacing w:after="120" w:line="276" w:lineRule="auto"/>
        <w:ind w:left="284" w:hanging="284"/>
        <w:rPr>
          <w:rFonts w:ascii="Garamond" w:eastAsia="Libre Baskerville" w:hAnsi="Garamond" w:cs="Libre Baskerville"/>
          <w:sz w:val="24"/>
          <w:szCs w:val="24"/>
          <w:highlight w:val="white"/>
        </w:rPr>
      </w:pPr>
      <w:r w:rsidRPr="00F9071F">
        <w:rPr>
          <w:rFonts w:ascii="Garamond" w:eastAsia="Libre Baskerville" w:hAnsi="Garamond" w:cs="Libre Baskerville"/>
          <w:sz w:val="24"/>
          <w:szCs w:val="24"/>
          <w:highlight w:val="white"/>
        </w:rPr>
        <w:t>Eagly A &amp; Wood W (2005) Universal sex differences across patriarchal cultures evolved psychological dispositions. Behavioral and Brain Sciences 28(2): 281-283.</w:t>
      </w:r>
    </w:p>
    <w:p w:rsidR="0015141E" w:rsidRPr="00F9071F" w:rsidRDefault="00967A8E">
      <w:pPr>
        <w:spacing w:after="120" w:line="276" w:lineRule="auto"/>
        <w:ind w:left="284" w:hanging="284"/>
        <w:rPr>
          <w:rFonts w:ascii="Garamond" w:eastAsia="Libre Baskerville" w:hAnsi="Garamond" w:cs="Libre Baskerville"/>
          <w:sz w:val="24"/>
          <w:szCs w:val="24"/>
          <w:highlight w:val="white"/>
        </w:rPr>
      </w:pPr>
      <w:r w:rsidRPr="00F9071F">
        <w:rPr>
          <w:rFonts w:ascii="Garamond" w:eastAsia="Libre Baskerville" w:hAnsi="Garamond" w:cs="Libre Baskerville"/>
          <w:sz w:val="24"/>
          <w:szCs w:val="24"/>
          <w:highlight w:val="white"/>
        </w:rPr>
        <w:t>Fausto-Sterling A (1992) Myths of gender: Biological theories about women and men. Basic Books, New York.</w:t>
      </w:r>
    </w:p>
    <w:p w:rsidR="0015141E" w:rsidRPr="00F9071F" w:rsidRDefault="00967A8E">
      <w:pPr>
        <w:spacing w:after="120" w:line="276" w:lineRule="auto"/>
        <w:ind w:left="284" w:hanging="284"/>
        <w:rPr>
          <w:rFonts w:ascii="Garamond" w:eastAsia="Libre Baskerville" w:hAnsi="Garamond" w:cs="Libre Baskerville"/>
          <w:sz w:val="24"/>
          <w:szCs w:val="24"/>
          <w:shd w:val="clear" w:color="auto" w:fill="FCFCFC"/>
        </w:rPr>
      </w:pPr>
      <w:r w:rsidRPr="00F9071F">
        <w:rPr>
          <w:rFonts w:ascii="Garamond" w:eastAsia="Libre Baskerville" w:hAnsi="Garamond" w:cs="Libre Baskerville"/>
          <w:sz w:val="24"/>
          <w:szCs w:val="24"/>
          <w:highlight w:val="white"/>
        </w:rPr>
        <w:t>Fine C (2017) Testosterone rex: Unmaking the myths of our gendered minds. Icon Books, London.</w:t>
      </w:r>
    </w:p>
    <w:p w:rsidR="00474475" w:rsidRPr="00474475" w:rsidRDefault="00967A8E" w:rsidP="00474475">
      <w:pPr>
        <w:spacing w:after="120" w:line="276" w:lineRule="auto"/>
        <w:ind w:left="396" w:hanging="450"/>
        <w:rPr>
          <w:rFonts w:ascii="Garamond" w:eastAsia="Libre Baskerville" w:hAnsi="Garamond" w:cs="Libre Baskerville"/>
          <w:sz w:val="24"/>
          <w:szCs w:val="24"/>
        </w:rPr>
      </w:pPr>
      <w:r w:rsidRPr="00474475">
        <w:rPr>
          <w:rFonts w:ascii="Garamond" w:eastAsia="Libre Baskerville" w:hAnsi="Garamond" w:cs="Libre Baskerville"/>
          <w:sz w:val="24"/>
          <w:szCs w:val="24"/>
        </w:rPr>
        <w:t>Godfrey-Smith P (2009) Darwinian populations and natural selection. Oxford University Press, Oxford.</w:t>
      </w:r>
    </w:p>
    <w:p w:rsidR="00474475" w:rsidRPr="00474475" w:rsidRDefault="00474475" w:rsidP="00474475">
      <w:pPr>
        <w:spacing w:after="120" w:line="276" w:lineRule="auto"/>
        <w:ind w:left="396" w:hanging="450"/>
        <w:rPr>
          <w:rFonts w:ascii="Garamond" w:eastAsia="Libre Baskerville" w:hAnsi="Garamond" w:cs="Libre Baskerville"/>
          <w:sz w:val="24"/>
          <w:szCs w:val="24"/>
        </w:rPr>
      </w:pPr>
      <w:r w:rsidRPr="00474475">
        <w:rPr>
          <w:rFonts w:ascii="Garamond" w:hAnsi="Garamond"/>
          <w:color w:val="404040"/>
          <w:sz w:val="24"/>
          <w:szCs w:val="24"/>
          <w:shd w:val="clear" w:color="auto" w:fill="FFFFFF"/>
        </w:rPr>
        <w:t xml:space="preserve">Godman M (2015) </w:t>
      </w:r>
      <w:r w:rsidRPr="00474475">
        <w:rPr>
          <w:rFonts w:ascii="Garamond" w:hAnsi="Garamond"/>
          <w:sz w:val="24"/>
          <w:szCs w:val="24"/>
          <w:shd w:val="clear" w:color="auto" w:fill="FFFFFF"/>
        </w:rPr>
        <w:t>The Special Science Dilemma and How Culture Solves It.</w:t>
      </w:r>
      <w:r w:rsidRPr="00474475">
        <w:rPr>
          <w:rFonts w:ascii="Garamond" w:hAnsi="Garamond"/>
          <w:color w:val="404040"/>
          <w:sz w:val="24"/>
          <w:szCs w:val="24"/>
          <w:shd w:val="clear" w:color="auto" w:fill="FFFFFF"/>
        </w:rPr>
        <w:t xml:space="preserve"> </w:t>
      </w:r>
      <w:r w:rsidRPr="00474475">
        <w:rPr>
          <w:rStyle w:val="Emphasis"/>
          <w:rFonts w:ascii="Garamond" w:hAnsi="Garamond"/>
          <w:i w:val="0"/>
          <w:color w:val="404040"/>
          <w:sz w:val="24"/>
          <w:szCs w:val="24"/>
          <w:shd w:val="clear" w:color="auto" w:fill="FFFFFF"/>
        </w:rPr>
        <w:t>Australasian Journal of Philosophy,</w:t>
      </w:r>
      <w:r w:rsidRPr="00474475">
        <w:rPr>
          <w:rStyle w:val="Emphasis"/>
          <w:rFonts w:ascii="Garamond" w:hAnsi="Garamond"/>
          <w:color w:val="404040"/>
          <w:sz w:val="24"/>
          <w:szCs w:val="24"/>
          <w:shd w:val="clear" w:color="auto" w:fill="FFFFFF"/>
        </w:rPr>
        <w:t> </w:t>
      </w:r>
      <w:r w:rsidRPr="00474475">
        <w:rPr>
          <w:rFonts w:ascii="Garamond" w:hAnsi="Garamond"/>
          <w:color w:val="404040"/>
          <w:sz w:val="24"/>
          <w:szCs w:val="24"/>
          <w:shd w:val="clear" w:color="auto" w:fill="FFFFFF"/>
        </w:rPr>
        <w:t>93(3), 491-508.</w:t>
      </w:r>
    </w:p>
    <w:p w:rsidR="0015141E" w:rsidRPr="00F9071F" w:rsidRDefault="00967A8E">
      <w:pPr>
        <w:spacing w:after="120" w:line="276" w:lineRule="auto"/>
        <w:ind w:left="284" w:hanging="284"/>
        <w:rPr>
          <w:rFonts w:ascii="Garamond" w:eastAsia="Libre Baskerville" w:hAnsi="Garamond" w:cs="Libre Baskerville"/>
          <w:sz w:val="24"/>
          <w:szCs w:val="24"/>
        </w:rPr>
      </w:pPr>
      <w:r w:rsidRPr="00474475">
        <w:rPr>
          <w:rFonts w:ascii="Garamond" w:eastAsia="Libre Baskerville" w:hAnsi="Garamond" w:cs="Libre Baskerville"/>
          <w:sz w:val="24"/>
          <w:szCs w:val="24"/>
          <w:highlight w:val="white"/>
        </w:rPr>
        <w:t>Gould S J &amp; Lewontin R C (1979) The spandrels of San Marco and the Panglossian paradigm: A critique of the adaptationist programme. Proceedings of the Royal Society of London B: Biological Sciences 205(1161): 581-598</w:t>
      </w:r>
      <w:r w:rsidRPr="00F9071F">
        <w:rPr>
          <w:rFonts w:ascii="Garamond" w:eastAsia="Libre Baskerville" w:hAnsi="Garamond" w:cs="Libre Baskerville"/>
          <w:sz w:val="24"/>
          <w:szCs w:val="24"/>
          <w:highlight w:val="white"/>
        </w:rPr>
        <w:t>.</w:t>
      </w:r>
      <w:r w:rsidRPr="00F9071F">
        <w:rPr>
          <w:rFonts w:ascii="Garamond" w:eastAsia="Libre Baskerville" w:hAnsi="Garamond" w:cs="Libre Baskerville"/>
          <w:sz w:val="24"/>
          <w:szCs w:val="24"/>
        </w:rPr>
        <w:t xml:space="preserve"> </w:t>
      </w:r>
    </w:p>
    <w:p w:rsidR="0015141E" w:rsidRPr="00F9071F" w:rsidRDefault="00967A8E">
      <w:pPr>
        <w:spacing w:after="120" w:line="276" w:lineRule="auto"/>
        <w:ind w:left="284" w:hanging="284"/>
        <w:rPr>
          <w:rFonts w:ascii="Garamond" w:eastAsia="Libre Baskerville" w:hAnsi="Garamond" w:cs="Libre Baskerville"/>
          <w:sz w:val="24"/>
          <w:szCs w:val="24"/>
        </w:rPr>
      </w:pPr>
      <w:r w:rsidRPr="00F9071F">
        <w:rPr>
          <w:rFonts w:ascii="Garamond" w:eastAsia="Libre Baskerville" w:hAnsi="Garamond" w:cs="Libre Baskerville"/>
          <w:sz w:val="24"/>
          <w:szCs w:val="24"/>
          <w:highlight w:val="white"/>
        </w:rPr>
        <w:t>Haslanger S (2000) Gender and race: (What) are they? (What) do we want them to be? Noûs </w:t>
      </w:r>
      <w:r w:rsidRPr="00474475">
        <w:rPr>
          <w:rFonts w:ascii="Garamond" w:eastAsia="Libre Baskerville" w:hAnsi="Garamond" w:cs="Libre Baskerville"/>
          <w:sz w:val="24"/>
          <w:szCs w:val="24"/>
          <w:highlight w:val="white"/>
        </w:rPr>
        <w:t>34(</w:t>
      </w:r>
      <w:r w:rsidRPr="00F9071F">
        <w:rPr>
          <w:rFonts w:ascii="Garamond" w:eastAsia="Libre Baskerville" w:hAnsi="Garamond" w:cs="Libre Baskerville"/>
          <w:sz w:val="24"/>
          <w:szCs w:val="24"/>
          <w:highlight w:val="white"/>
        </w:rPr>
        <w:t>1), 31-55.</w:t>
      </w:r>
      <w:r w:rsidRPr="00F9071F">
        <w:rPr>
          <w:rFonts w:ascii="Garamond" w:eastAsia="Libre Baskerville" w:hAnsi="Garamond" w:cs="Libre Baskerville"/>
          <w:sz w:val="24"/>
          <w:szCs w:val="24"/>
        </w:rPr>
        <w:t xml:space="preserve"> </w:t>
      </w:r>
    </w:p>
    <w:p w:rsidR="0015141E" w:rsidRPr="00F9071F" w:rsidRDefault="00967A8E">
      <w:pPr>
        <w:spacing w:after="120" w:line="276" w:lineRule="auto"/>
        <w:ind w:left="284" w:hanging="284"/>
        <w:rPr>
          <w:rFonts w:ascii="Garamond" w:eastAsia="Libre Baskerville" w:hAnsi="Garamond" w:cs="Libre Baskerville"/>
          <w:sz w:val="24"/>
          <w:szCs w:val="24"/>
        </w:rPr>
      </w:pPr>
      <w:r w:rsidRPr="00F9071F">
        <w:rPr>
          <w:rFonts w:ascii="Garamond" w:eastAsia="Libre Baskerville" w:hAnsi="Garamond" w:cs="Libre Baskerville"/>
          <w:sz w:val="24"/>
          <w:szCs w:val="24"/>
        </w:rPr>
        <w:t>Haslanger S (2012) Resisting reality: Social construction and social critique</w:t>
      </w:r>
      <w:r w:rsidR="00474475">
        <w:rPr>
          <w:rFonts w:ascii="Garamond" w:eastAsia="Libre Baskerville" w:hAnsi="Garamond" w:cs="Libre Baskerville"/>
          <w:sz w:val="24"/>
          <w:szCs w:val="24"/>
        </w:rPr>
        <w:t>.</w:t>
      </w:r>
      <w:r w:rsidRPr="00F9071F">
        <w:rPr>
          <w:rFonts w:ascii="Garamond" w:eastAsia="Libre Baskerville" w:hAnsi="Garamond" w:cs="Libre Baskerville"/>
          <w:sz w:val="24"/>
          <w:szCs w:val="24"/>
        </w:rPr>
        <w:t> Oxford University Press, Oxford.</w:t>
      </w:r>
    </w:p>
    <w:p w:rsidR="0015141E" w:rsidRPr="00F9071F" w:rsidRDefault="00967A8E">
      <w:pPr>
        <w:spacing w:after="120" w:line="276" w:lineRule="auto"/>
        <w:ind w:left="284" w:hanging="284"/>
        <w:rPr>
          <w:rFonts w:ascii="Garamond" w:eastAsia="Libre Baskerville" w:hAnsi="Garamond" w:cs="Libre Baskerville"/>
          <w:sz w:val="24"/>
          <w:szCs w:val="24"/>
        </w:rPr>
      </w:pPr>
      <w:r w:rsidRPr="00F9071F">
        <w:rPr>
          <w:rFonts w:ascii="Garamond" w:eastAsia="Libre Baskerville" w:hAnsi="Garamond" w:cs="Libre Baskerville"/>
          <w:sz w:val="24"/>
          <w:szCs w:val="24"/>
        </w:rPr>
        <w:t xml:space="preserve">Henrich J &amp; R McElreath (2003) The evolution of cultural evolution. Evolutionary Anthropology 12: 123-135. </w:t>
      </w:r>
    </w:p>
    <w:p w:rsidR="0015141E" w:rsidRPr="00F9071F" w:rsidRDefault="00967A8E">
      <w:pPr>
        <w:spacing w:after="120" w:line="276" w:lineRule="auto"/>
        <w:ind w:left="284" w:hanging="284"/>
        <w:rPr>
          <w:rFonts w:ascii="Garamond" w:eastAsia="Libre Baskerville" w:hAnsi="Garamond" w:cs="Libre Baskerville"/>
          <w:sz w:val="24"/>
          <w:szCs w:val="24"/>
          <w:highlight w:val="white"/>
        </w:rPr>
      </w:pPr>
      <w:r w:rsidRPr="00F9071F">
        <w:rPr>
          <w:rFonts w:ascii="Garamond" w:eastAsia="Libre Baskerville" w:hAnsi="Garamond" w:cs="Libre Baskerville"/>
          <w:sz w:val="24"/>
          <w:szCs w:val="24"/>
          <w:highlight w:val="white"/>
        </w:rPr>
        <w:t>Hogg M &amp; Turner J (1985) Interpersonal attraction, social identification and psychological group formation. European Journal of Social Psychology 15(1): 51-66.</w:t>
      </w:r>
    </w:p>
    <w:p w:rsidR="0015141E" w:rsidRPr="00F9071F" w:rsidRDefault="00967A8E">
      <w:pPr>
        <w:spacing w:after="120" w:line="276" w:lineRule="auto"/>
        <w:ind w:left="284" w:hanging="284"/>
        <w:rPr>
          <w:rFonts w:ascii="Garamond" w:eastAsia="Libre Baskerville" w:hAnsi="Garamond" w:cs="Libre Baskerville"/>
          <w:sz w:val="24"/>
          <w:szCs w:val="24"/>
        </w:rPr>
      </w:pPr>
      <w:r w:rsidRPr="00F9071F">
        <w:rPr>
          <w:rFonts w:ascii="Garamond" w:eastAsia="Libre Baskerville" w:hAnsi="Garamond" w:cs="Libre Baskerville"/>
          <w:sz w:val="24"/>
          <w:szCs w:val="24"/>
        </w:rPr>
        <w:t>Joel D (2016) “VIII Captured in terminology: Sex, sex categories, and sex differences. Feminism &amp; Psychology 26(3): 335–345.</w:t>
      </w:r>
    </w:p>
    <w:p w:rsidR="0015141E" w:rsidRPr="00F9071F" w:rsidRDefault="00967A8E">
      <w:pPr>
        <w:spacing w:after="120" w:line="276" w:lineRule="auto"/>
        <w:ind w:left="284" w:hanging="284"/>
        <w:rPr>
          <w:rFonts w:ascii="Garamond" w:eastAsia="Libre Baskerville" w:hAnsi="Garamond" w:cs="Libre Baskerville"/>
          <w:sz w:val="24"/>
          <w:szCs w:val="24"/>
        </w:rPr>
      </w:pPr>
      <w:r w:rsidRPr="00F9071F">
        <w:rPr>
          <w:rFonts w:ascii="Garamond" w:eastAsia="Libre Baskerville" w:hAnsi="Garamond" w:cs="Libre Baskerville"/>
          <w:sz w:val="24"/>
          <w:szCs w:val="24"/>
        </w:rPr>
        <w:t>Le Guin U K (2012) The left hand of darkness. Hachette, UK.</w:t>
      </w:r>
    </w:p>
    <w:p w:rsidR="0015141E" w:rsidRPr="00F9071F" w:rsidRDefault="00967A8E">
      <w:pPr>
        <w:spacing w:after="120" w:line="276" w:lineRule="auto"/>
        <w:ind w:left="284" w:hanging="284"/>
        <w:rPr>
          <w:rFonts w:ascii="Garamond" w:eastAsia="Libre Baskerville" w:hAnsi="Garamond" w:cs="Libre Baskerville"/>
          <w:sz w:val="24"/>
          <w:szCs w:val="24"/>
        </w:rPr>
      </w:pPr>
      <w:r w:rsidRPr="00F9071F">
        <w:rPr>
          <w:rFonts w:ascii="Garamond" w:eastAsia="Libre Baskerville" w:hAnsi="Garamond" w:cs="Libre Baskerville"/>
          <w:sz w:val="24"/>
          <w:szCs w:val="24"/>
          <w:highlight w:val="white"/>
        </w:rPr>
        <w:t>Leslie S J (2008) Generics: Cognition and acquisition</w:t>
      </w:r>
      <w:r w:rsidR="00F50491">
        <w:rPr>
          <w:rFonts w:ascii="Garamond" w:eastAsia="Libre Baskerville" w:hAnsi="Garamond" w:cs="Libre Baskerville"/>
          <w:sz w:val="24"/>
          <w:szCs w:val="24"/>
          <w:highlight w:val="white"/>
        </w:rPr>
        <w:t xml:space="preserve">. Philosophical Review 117(1): </w:t>
      </w:r>
      <w:r w:rsidRPr="00F9071F">
        <w:rPr>
          <w:rFonts w:ascii="Garamond" w:eastAsia="Libre Baskerville" w:hAnsi="Garamond" w:cs="Libre Baskerville"/>
          <w:sz w:val="24"/>
          <w:szCs w:val="24"/>
          <w:highlight w:val="white"/>
        </w:rPr>
        <w:t>1-47.</w:t>
      </w:r>
    </w:p>
    <w:p w:rsidR="0015141E" w:rsidRPr="00F9071F" w:rsidRDefault="00967A8E">
      <w:pPr>
        <w:spacing w:after="120" w:line="276" w:lineRule="auto"/>
        <w:ind w:left="284" w:hanging="284"/>
        <w:rPr>
          <w:rFonts w:ascii="Garamond" w:eastAsia="Libre Baskerville" w:hAnsi="Garamond" w:cs="Libre Baskerville"/>
          <w:sz w:val="24"/>
          <w:szCs w:val="24"/>
        </w:rPr>
      </w:pPr>
      <w:r w:rsidRPr="00F9071F">
        <w:rPr>
          <w:rFonts w:ascii="Garamond" w:eastAsia="Libre Baskerville" w:hAnsi="Garamond" w:cs="Libre Baskerville"/>
          <w:sz w:val="24"/>
          <w:szCs w:val="24"/>
          <w:highlight w:val="white"/>
        </w:rPr>
        <w:t xml:space="preserve">Lewens T (2015) Cultural evolution: Conceptual challenges. Oxford University Press, Oxford. </w:t>
      </w:r>
    </w:p>
    <w:p w:rsidR="0015141E" w:rsidRPr="00F9071F" w:rsidRDefault="00967A8E">
      <w:pPr>
        <w:spacing w:after="120" w:line="276" w:lineRule="auto"/>
        <w:ind w:left="284" w:hanging="284"/>
        <w:rPr>
          <w:rFonts w:ascii="Garamond" w:eastAsia="Libre Baskerville" w:hAnsi="Garamond" w:cs="Libre Baskerville"/>
          <w:sz w:val="24"/>
          <w:szCs w:val="24"/>
          <w:highlight w:val="white"/>
        </w:rPr>
      </w:pPr>
      <w:r w:rsidRPr="00F9071F">
        <w:rPr>
          <w:rFonts w:ascii="Garamond" w:eastAsia="Libre Baskerville" w:hAnsi="Garamond" w:cs="Libre Baskerville"/>
          <w:sz w:val="24"/>
          <w:szCs w:val="24"/>
          <w:highlight w:val="white"/>
        </w:rPr>
        <w:t>Liben L S &amp; Bigler R S (2017) Understanding and undermining the development of gender dichotomies: The legacy of Sandra Lipsitz Bem. Sex Roles 76(9-10): 544-555.</w:t>
      </w:r>
    </w:p>
    <w:p w:rsidR="0015141E" w:rsidRPr="00F9071F" w:rsidRDefault="00967A8E">
      <w:pPr>
        <w:spacing w:after="120" w:line="276" w:lineRule="auto"/>
        <w:ind w:left="284" w:hanging="284"/>
        <w:rPr>
          <w:rFonts w:ascii="Garamond" w:eastAsia="Libre Baskerville" w:hAnsi="Garamond" w:cs="Libre Baskerville"/>
          <w:sz w:val="24"/>
          <w:szCs w:val="24"/>
        </w:rPr>
      </w:pPr>
      <w:r w:rsidRPr="00F9071F">
        <w:rPr>
          <w:rFonts w:ascii="Garamond" w:eastAsia="Libre Baskerville" w:hAnsi="Garamond" w:cs="Libre Baskerville"/>
          <w:sz w:val="24"/>
          <w:szCs w:val="24"/>
        </w:rPr>
        <w:t>Lloyd E A (2015) Adaptationism and the logic of research questions: How to think clearly about evolutionary causes. Biological Theory 10(4): 343-362.</w:t>
      </w:r>
    </w:p>
    <w:p w:rsidR="0015141E" w:rsidRPr="00F9071F" w:rsidRDefault="00967A8E">
      <w:pPr>
        <w:spacing w:after="120" w:line="276" w:lineRule="auto"/>
        <w:ind w:left="284" w:hanging="284"/>
        <w:rPr>
          <w:rFonts w:ascii="Garamond" w:eastAsia="Libre Baskerville" w:hAnsi="Garamond" w:cs="Libre Baskerville"/>
          <w:sz w:val="24"/>
          <w:szCs w:val="24"/>
          <w:highlight w:val="white"/>
        </w:rPr>
      </w:pPr>
      <w:r w:rsidRPr="00F9071F">
        <w:rPr>
          <w:rFonts w:ascii="Garamond" w:eastAsia="Libre Baskerville" w:hAnsi="Garamond" w:cs="Libre Baskerville"/>
          <w:sz w:val="24"/>
          <w:szCs w:val="24"/>
          <w:highlight w:val="white"/>
        </w:rPr>
        <w:t>Mallon R (2016) The construction of human kinds.</w:t>
      </w:r>
      <w:r w:rsidRPr="00F9071F">
        <w:rPr>
          <w:rFonts w:ascii="Garamond" w:eastAsia="Libre Baskerville" w:hAnsi="Garamond" w:cs="Libre Baskerville"/>
          <w:i/>
          <w:sz w:val="24"/>
          <w:szCs w:val="24"/>
          <w:highlight w:val="white"/>
        </w:rPr>
        <w:t xml:space="preserve"> </w:t>
      </w:r>
      <w:r w:rsidRPr="00F9071F">
        <w:rPr>
          <w:rFonts w:ascii="Garamond" w:eastAsia="Libre Baskerville" w:hAnsi="Garamond" w:cs="Libre Baskerville"/>
          <w:sz w:val="24"/>
          <w:szCs w:val="24"/>
          <w:highlight w:val="white"/>
        </w:rPr>
        <w:t>Oxford University Press, Oxford.</w:t>
      </w:r>
    </w:p>
    <w:p w:rsidR="0015141E" w:rsidRPr="00F9071F" w:rsidRDefault="00967A8E">
      <w:pPr>
        <w:spacing w:after="120" w:line="276" w:lineRule="auto"/>
        <w:ind w:left="284" w:hanging="284"/>
        <w:rPr>
          <w:rFonts w:ascii="Garamond" w:eastAsia="Libre Baskerville" w:hAnsi="Garamond" w:cs="Libre Baskerville"/>
          <w:sz w:val="24"/>
          <w:szCs w:val="24"/>
        </w:rPr>
      </w:pPr>
      <w:r w:rsidRPr="00F9071F">
        <w:rPr>
          <w:rFonts w:ascii="Garamond" w:eastAsia="Libre Baskerville" w:hAnsi="Garamond" w:cs="Libre Baskerville"/>
          <w:sz w:val="24"/>
          <w:szCs w:val="24"/>
        </w:rPr>
        <w:t>Mill J S ([1886]1974) A system of logic, ratiocinative and inductive: Being a connected view of the principles of evidence and the methods of scientific investigation. University of Toronto Press, Toronto.</w:t>
      </w:r>
    </w:p>
    <w:p w:rsidR="0015141E" w:rsidRPr="00F9071F" w:rsidRDefault="00D72BD3">
      <w:pPr>
        <w:spacing w:after="120" w:line="276" w:lineRule="auto"/>
        <w:ind w:left="284" w:hanging="284"/>
        <w:rPr>
          <w:rFonts w:ascii="Garamond" w:eastAsia="Libre Baskerville" w:hAnsi="Garamond" w:cs="Libre Baskerville"/>
          <w:sz w:val="24"/>
          <w:szCs w:val="24"/>
        </w:rPr>
      </w:pPr>
      <w:r>
        <w:rPr>
          <w:rFonts w:ascii="Garamond" w:eastAsia="Libre Baskerville" w:hAnsi="Garamond" w:cs="Libre Baskerville"/>
          <w:sz w:val="24"/>
          <w:szCs w:val="24"/>
        </w:rPr>
        <w:lastRenderedPageBreak/>
        <w:t>Millikan R G (1999) Historical kinds and the special s</w:t>
      </w:r>
      <w:r w:rsidR="00967A8E" w:rsidRPr="00F9071F">
        <w:rPr>
          <w:rFonts w:ascii="Garamond" w:eastAsia="Libre Baskerville" w:hAnsi="Garamond" w:cs="Libre Baskerville"/>
          <w:sz w:val="24"/>
          <w:szCs w:val="24"/>
        </w:rPr>
        <w:t>ciences. Philosophical Studies 95: 45–65.</w:t>
      </w:r>
    </w:p>
    <w:p w:rsidR="0015141E" w:rsidRPr="00F9071F" w:rsidRDefault="00967A8E">
      <w:pPr>
        <w:spacing w:after="120" w:line="276" w:lineRule="auto"/>
        <w:ind w:left="284" w:hanging="284"/>
        <w:rPr>
          <w:rFonts w:ascii="Garamond" w:eastAsia="Libre Baskerville" w:hAnsi="Garamond" w:cs="Libre Baskerville"/>
          <w:sz w:val="24"/>
          <w:szCs w:val="24"/>
        </w:rPr>
      </w:pPr>
      <w:r w:rsidRPr="00F9071F">
        <w:rPr>
          <w:rFonts w:ascii="Garamond" w:eastAsia="Libre Baskerville" w:hAnsi="Garamond" w:cs="Libre Baskerville"/>
          <w:sz w:val="24"/>
          <w:szCs w:val="24"/>
          <w:highlight w:val="white"/>
        </w:rPr>
        <w:t>Millikan R (2000) On clear and confused ideas, an essay about substance concepts. Cambridge University Press, Cambridge.</w:t>
      </w:r>
    </w:p>
    <w:p w:rsidR="0015141E" w:rsidRPr="00F9071F" w:rsidRDefault="00D72BD3">
      <w:pPr>
        <w:spacing w:after="120" w:line="276" w:lineRule="auto"/>
        <w:ind w:left="284" w:hanging="284"/>
        <w:rPr>
          <w:rFonts w:ascii="Garamond" w:eastAsia="Libre Baskerville" w:hAnsi="Garamond" w:cs="Libre Baskerville"/>
          <w:sz w:val="24"/>
          <w:szCs w:val="24"/>
        </w:rPr>
      </w:pPr>
      <w:r>
        <w:rPr>
          <w:rFonts w:ascii="Garamond" w:eastAsia="Libre Baskerville" w:hAnsi="Garamond" w:cs="Libre Baskerville"/>
          <w:sz w:val="24"/>
          <w:szCs w:val="24"/>
        </w:rPr>
        <w:t>Mikkola M (2009) Gender concepts and i</w:t>
      </w:r>
      <w:r w:rsidR="00967A8E" w:rsidRPr="00F9071F">
        <w:rPr>
          <w:rFonts w:ascii="Garamond" w:eastAsia="Libre Baskerville" w:hAnsi="Garamond" w:cs="Libre Baskerville"/>
          <w:sz w:val="24"/>
          <w:szCs w:val="24"/>
        </w:rPr>
        <w:t>ntuitions. Canadian Journal of Philosophy 39: 559–583.</w:t>
      </w:r>
    </w:p>
    <w:p w:rsidR="0015141E" w:rsidRPr="00F9071F" w:rsidRDefault="00967A8E">
      <w:pPr>
        <w:spacing w:after="120" w:line="276" w:lineRule="auto"/>
        <w:rPr>
          <w:rFonts w:ascii="Garamond" w:eastAsia="Libre Baskerville" w:hAnsi="Garamond" w:cs="Libre Baskerville"/>
          <w:sz w:val="24"/>
          <w:szCs w:val="24"/>
          <w:highlight w:val="white"/>
        </w:rPr>
      </w:pPr>
      <w:r w:rsidRPr="00F9071F">
        <w:rPr>
          <w:rFonts w:ascii="Garamond" w:eastAsia="Libre Baskerville" w:hAnsi="Garamond" w:cs="Libre Baskerville"/>
          <w:sz w:val="24"/>
          <w:szCs w:val="24"/>
          <w:highlight w:val="white"/>
        </w:rPr>
        <w:t>Nanda S (1994) Hijras. John Wiley &amp; Sons, Ltd.</w:t>
      </w:r>
    </w:p>
    <w:p w:rsidR="0015141E" w:rsidRPr="00F9071F" w:rsidRDefault="00967A8E">
      <w:pPr>
        <w:spacing w:after="120" w:line="276" w:lineRule="auto"/>
        <w:ind w:left="306" w:hanging="270"/>
        <w:rPr>
          <w:rFonts w:ascii="Garamond" w:eastAsia="Libre Baskerville" w:hAnsi="Garamond" w:cs="Libre Baskerville"/>
          <w:sz w:val="24"/>
          <w:szCs w:val="24"/>
        </w:rPr>
      </w:pPr>
      <w:r w:rsidRPr="00F9071F">
        <w:rPr>
          <w:rFonts w:ascii="Garamond" w:eastAsia="Libre Baskerville" w:hAnsi="Garamond" w:cs="Libre Baskerville"/>
          <w:sz w:val="24"/>
          <w:szCs w:val="24"/>
        </w:rPr>
        <w:t>Oudshoorn N (2003) Beyond the natural body: An archaeology of sex hormones. Routledge, New York.</w:t>
      </w:r>
    </w:p>
    <w:p w:rsidR="0015141E" w:rsidRPr="00F9071F" w:rsidRDefault="00967A8E">
      <w:pPr>
        <w:spacing w:after="120" w:line="276" w:lineRule="auto"/>
        <w:ind w:left="284" w:hanging="284"/>
        <w:rPr>
          <w:rFonts w:ascii="Garamond" w:eastAsia="Libre Baskerville" w:hAnsi="Garamond" w:cs="Libre Baskerville"/>
          <w:sz w:val="24"/>
          <w:szCs w:val="24"/>
        </w:rPr>
      </w:pPr>
      <w:r w:rsidRPr="00F9071F">
        <w:rPr>
          <w:rFonts w:ascii="Garamond" w:eastAsia="Libre Baskerville" w:hAnsi="Garamond" w:cs="Libre Baskerville"/>
          <w:sz w:val="24"/>
          <w:szCs w:val="24"/>
          <w:highlight w:val="white"/>
        </w:rPr>
        <w:t>Richardson S S (2010) Sexes, species, and genomes: why males and females are not like humans and chimpanzees. Biology &amp; Philosophy 25(5): 823-841.</w:t>
      </w:r>
      <w:r w:rsidRPr="00F9071F">
        <w:rPr>
          <w:rFonts w:ascii="Garamond" w:eastAsia="Libre Baskerville" w:hAnsi="Garamond" w:cs="Libre Baskerville"/>
          <w:sz w:val="24"/>
          <w:szCs w:val="24"/>
        </w:rPr>
        <w:t xml:space="preserve"> </w:t>
      </w:r>
    </w:p>
    <w:p w:rsidR="0015141E" w:rsidRPr="00F9071F" w:rsidRDefault="00967A8E">
      <w:pPr>
        <w:spacing w:after="120" w:line="276" w:lineRule="auto"/>
        <w:rPr>
          <w:rFonts w:ascii="Garamond" w:eastAsia="Libre Baskerville" w:hAnsi="Garamond" w:cs="Libre Baskerville"/>
          <w:sz w:val="24"/>
          <w:szCs w:val="24"/>
          <w:highlight w:val="white"/>
        </w:rPr>
      </w:pPr>
      <w:r w:rsidRPr="00F9071F">
        <w:rPr>
          <w:rFonts w:ascii="Garamond" w:eastAsia="Libre Baskerville" w:hAnsi="Garamond" w:cs="Libre Baskerville"/>
          <w:sz w:val="24"/>
          <w:szCs w:val="24"/>
          <w:highlight w:val="white"/>
        </w:rPr>
        <w:t>Roscoe W (1992) The Zuni man-woman. University of New Mexico Press, Albuquerque:.</w:t>
      </w:r>
    </w:p>
    <w:p w:rsidR="0015141E" w:rsidRPr="00F9071F" w:rsidRDefault="00967A8E">
      <w:pPr>
        <w:spacing w:after="120" w:line="276" w:lineRule="auto"/>
        <w:ind w:left="284" w:hanging="284"/>
        <w:rPr>
          <w:rFonts w:ascii="Garamond" w:eastAsia="Libre Baskerville" w:hAnsi="Garamond" w:cs="Libre Baskerville"/>
          <w:sz w:val="24"/>
          <w:szCs w:val="24"/>
          <w:highlight w:val="white"/>
        </w:rPr>
      </w:pPr>
      <w:r w:rsidRPr="00F9071F">
        <w:rPr>
          <w:rFonts w:ascii="Garamond" w:eastAsia="Libre Baskerville" w:hAnsi="Garamond" w:cs="Libre Baskerville"/>
          <w:sz w:val="24"/>
          <w:szCs w:val="24"/>
          <w:highlight w:val="white"/>
        </w:rPr>
        <w:t>Shelby T (2005)</w:t>
      </w:r>
      <w:r w:rsidR="00F9071F">
        <w:rPr>
          <w:rFonts w:ascii="Garamond" w:eastAsia="Libre Baskerville" w:hAnsi="Garamond" w:cs="Libre Baskerville"/>
          <w:sz w:val="24"/>
          <w:szCs w:val="24"/>
          <w:highlight w:val="white"/>
        </w:rPr>
        <w:t xml:space="preserve"> </w:t>
      </w:r>
      <w:r w:rsidRPr="00F9071F">
        <w:rPr>
          <w:rFonts w:ascii="Garamond" w:eastAsia="Libre Baskerville" w:hAnsi="Garamond" w:cs="Libre Baskerville"/>
          <w:sz w:val="24"/>
          <w:szCs w:val="24"/>
          <w:highlight w:val="white"/>
        </w:rPr>
        <w:t>We who are dark, the philosophical foundations of black solidarity. Belknap Press of Harvard University Press, Cambridge Mass.</w:t>
      </w:r>
    </w:p>
    <w:p w:rsidR="0015141E" w:rsidRPr="00F9071F" w:rsidRDefault="00967A8E">
      <w:pPr>
        <w:spacing w:after="120" w:line="276" w:lineRule="auto"/>
        <w:ind w:left="284" w:hanging="284"/>
        <w:rPr>
          <w:rFonts w:ascii="Garamond" w:eastAsia="Libre Baskerville" w:hAnsi="Garamond" w:cs="Libre Baskerville"/>
          <w:sz w:val="24"/>
          <w:szCs w:val="24"/>
          <w:highlight w:val="white"/>
        </w:rPr>
      </w:pPr>
      <w:r w:rsidRPr="00F9071F">
        <w:rPr>
          <w:rFonts w:ascii="Garamond" w:eastAsia="Libre Baskerville" w:hAnsi="Garamond" w:cs="Libre Baskerville"/>
          <w:sz w:val="24"/>
          <w:szCs w:val="24"/>
          <w:highlight w:val="white"/>
        </w:rPr>
        <w:t>Stone A (2004) Essentialism and anti-essentialism in feminist philosophy. Journal of Moral Philosoph</w:t>
      </w:r>
      <w:r w:rsidRPr="00F9071F">
        <w:rPr>
          <w:rFonts w:ascii="Garamond" w:eastAsia="Libre Baskerville" w:hAnsi="Garamond" w:cs="Libre Baskerville"/>
          <w:i/>
          <w:sz w:val="24"/>
          <w:szCs w:val="24"/>
          <w:highlight w:val="white"/>
        </w:rPr>
        <w:t>y 1</w:t>
      </w:r>
      <w:r w:rsidRPr="00F9071F">
        <w:rPr>
          <w:rFonts w:ascii="Garamond" w:eastAsia="Libre Baskerville" w:hAnsi="Garamond" w:cs="Libre Baskerville"/>
          <w:sz w:val="24"/>
          <w:szCs w:val="24"/>
          <w:highlight w:val="white"/>
        </w:rPr>
        <w:t>(2): 135-153.</w:t>
      </w:r>
    </w:p>
    <w:p w:rsidR="0015141E" w:rsidRPr="00F9071F" w:rsidRDefault="00967A8E">
      <w:pPr>
        <w:spacing w:after="120" w:line="276" w:lineRule="auto"/>
        <w:ind w:left="284" w:hanging="284"/>
        <w:rPr>
          <w:rFonts w:ascii="Garamond" w:eastAsia="Libre Baskerville" w:hAnsi="Garamond" w:cs="Libre Baskerville"/>
          <w:sz w:val="24"/>
          <w:szCs w:val="24"/>
          <w:highlight w:val="white"/>
        </w:rPr>
      </w:pPr>
      <w:r w:rsidRPr="00F9071F">
        <w:rPr>
          <w:rFonts w:ascii="Garamond" w:eastAsia="Libre Baskerville" w:hAnsi="Garamond" w:cs="Libre Baskerville"/>
          <w:sz w:val="24"/>
          <w:szCs w:val="24"/>
          <w:highlight w:val="white"/>
        </w:rPr>
        <w:t>Tajfel H (1981) Human groups and social categories: Studies in social psychology. Cambridge: Cambridge University Press.</w:t>
      </w:r>
    </w:p>
    <w:p w:rsidR="0015141E" w:rsidRPr="006B15C2" w:rsidRDefault="00967A8E" w:rsidP="006B15C2">
      <w:pPr>
        <w:spacing w:after="120" w:line="276" w:lineRule="auto"/>
        <w:ind w:left="284" w:hanging="284"/>
        <w:rPr>
          <w:rFonts w:ascii="Garamond" w:eastAsia="Libre Baskerville" w:hAnsi="Garamond" w:cs="Libre Baskerville"/>
          <w:sz w:val="24"/>
          <w:szCs w:val="24"/>
          <w:highlight w:val="white"/>
        </w:rPr>
      </w:pPr>
      <w:r w:rsidRPr="00F9071F">
        <w:rPr>
          <w:rFonts w:ascii="Garamond" w:eastAsia="Libre Baskerville" w:hAnsi="Garamond" w:cs="Libre Baskerville"/>
          <w:sz w:val="24"/>
          <w:szCs w:val="24"/>
          <w:highlight w:val="white"/>
        </w:rPr>
        <w:t xml:space="preserve">Wood, W. Eagly, A. &amp; N. Eisenberg (2002). A cross-cultural analysis of the behavior of women and </w:t>
      </w:r>
      <w:r w:rsidRPr="006B15C2">
        <w:rPr>
          <w:rFonts w:ascii="Garamond" w:eastAsia="Libre Baskerville" w:hAnsi="Garamond" w:cs="Libre Baskerville"/>
          <w:sz w:val="24"/>
          <w:szCs w:val="24"/>
          <w:highlight w:val="white"/>
        </w:rPr>
        <w:t>men: Implications for the origins of sex differences. Psychological Bulletin, 128(5), 699-727.</w:t>
      </w:r>
    </w:p>
    <w:p w:rsidR="0015141E" w:rsidRPr="006B15C2" w:rsidRDefault="00967A8E" w:rsidP="006B15C2">
      <w:pPr>
        <w:spacing w:after="120" w:line="276" w:lineRule="auto"/>
        <w:ind w:left="284" w:hanging="284"/>
        <w:rPr>
          <w:rFonts w:ascii="Garamond" w:eastAsia="Libre Baskerville" w:hAnsi="Garamond" w:cs="Libre Baskerville"/>
          <w:sz w:val="24"/>
          <w:szCs w:val="24"/>
        </w:rPr>
      </w:pPr>
      <w:r w:rsidRPr="006B15C2">
        <w:rPr>
          <w:rFonts w:ascii="Garamond" w:eastAsia="Libre Baskerville" w:hAnsi="Garamond" w:cs="Libre Baskerville"/>
          <w:sz w:val="24"/>
          <w:szCs w:val="24"/>
          <w:highlight w:val="white"/>
        </w:rPr>
        <w:t>Wood, W &amp; Eagly A H (2012) Biosocial construction of sex differences and similarities in behaviour. Advances in experimental social psychology 46(1): 55-123.</w:t>
      </w:r>
    </w:p>
    <w:p w:rsidR="0015141E" w:rsidRPr="006B15C2" w:rsidRDefault="00967A8E" w:rsidP="006B15C2">
      <w:pPr>
        <w:spacing w:after="120" w:line="276" w:lineRule="auto"/>
        <w:ind w:left="284" w:hanging="284"/>
        <w:rPr>
          <w:rFonts w:ascii="Garamond" w:eastAsia="Libre Baskerville" w:hAnsi="Garamond" w:cs="Libre Baskerville"/>
          <w:sz w:val="24"/>
          <w:szCs w:val="24"/>
        </w:rPr>
      </w:pPr>
      <w:r w:rsidRPr="006B15C2">
        <w:rPr>
          <w:rFonts w:ascii="Garamond" w:eastAsia="Libre Baskerville" w:hAnsi="Garamond" w:cs="Libre Baskerville"/>
          <w:sz w:val="24"/>
          <w:szCs w:val="24"/>
          <w:highlight w:val="white"/>
        </w:rPr>
        <w:t>Wood, W &amp; Eagly A (2015) Two traditions of research on gender identity. Sex Roles 73(11): 461-473.</w:t>
      </w:r>
    </w:p>
    <w:p w:rsidR="0015141E" w:rsidRPr="006B15C2" w:rsidRDefault="00967A8E" w:rsidP="006B15C2">
      <w:pPr>
        <w:spacing w:after="120" w:line="276" w:lineRule="auto"/>
        <w:ind w:left="284" w:hanging="284"/>
        <w:rPr>
          <w:rFonts w:ascii="Garamond" w:eastAsia="Libre Baskerville" w:hAnsi="Garamond" w:cs="Libre Baskerville"/>
          <w:sz w:val="24"/>
          <w:szCs w:val="24"/>
        </w:rPr>
      </w:pPr>
      <w:r w:rsidRPr="006B15C2">
        <w:rPr>
          <w:rFonts w:ascii="Garamond" w:eastAsia="Libre Baskerville" w:hAnsi="Garamond" w:cs="Libre Baskerville"/>
          <w:sz w:val="24"/>
          <w:szCs w:val="24"/>
        </w:rPr>
        <w:t xml:space="preserve">Young I M (1994) </w:t>
      </w:r>
      <w:r w:rsidRPr="006B15C2">
        <w:rPr>
          <w:rFonts w:ascii="Garamond" w:eastAsia="Libre Baskerville" w:hAnsi="Garamond" w:cs="Libre Baskerville"/>
          <w:sz w:val="24"/>
          <w:szCs w:val="24"/>
          <w:highlight w:val="white"/>
        </w:rPr>
        <w:t>Gender as seriality: Thinking about women as a social collective. Signs 19(3): 713-738.</w:t>
      </w:r>
    </w:p>
    <w:p w:rsidR="006B15C2" w:rsidRPr="006B15C2" w:rsidRDefault="006B15C2" w:rsidP="006B15C2">
      <w:pPr>
        <w:pBdr>
          <w:top w:val="none" w:sz="0" w:space="0" w:color="auto"/>
          <w:left w:val="none" w:sz="0" w:space="0" w:color="auto"/>
          <w:bottom w:val="none" w:sz="0" w:space="0" w:color="auto"/>
          <w:right w:val="none" w:sz="0" w:space="0" w:color="auto"/>
          <w:between w:val="none" w:sz="0" w:space="0" w:color="auto"/>
        </w:pBdr>
        <w:spacing w:after="0" w:line="276" w:lineRule="auto"/>
        <w:rPr>
          <w:rFonts w:ascii="Garamond" w:eastAsiaTheme="minorEastAsia" w:hAnsi="Garamond" w:cstheme="minorBidi"/>
          <w:color w:val="auto"/>
          <w:sz w:val="24"/>
          <w:szCs w:val="24"/>
          <w:lang w:val="en-GB" w:eastAsia="en-US"/>
        </w:rPr>
      </w:pPr>
    </w:p>
    <w:p w:rsidR="006B15C2" w:rsidRPr="00AD6958" w:rsidRDefault="006B15C2" w:rsidP="006B15C2">
      <w:pPr>
        <w:pBdr>
          <w:top w:val="none" w:sz="0" w:space="0" w:color="auto"/>
          <w:left w:val="none" w:sz="0" w:space="0" w:color="auto"/>
          <w:bottom w:val="none" w:sz="0" w:space="0" w:color="auto"/>
          <w:right w:val="none" w:sz="0" w:space="0" w:color="auto"/>
          <w:between w:val="none" w:sz="0" w:space="0" w:color="auto"/>
        </w:pBdr>
        <w:spacing w:after="0" w:line="276" w:lineRule="auto"/>
        <w:rPr>
          <w:rFonts w:ascii="Garamond" w:eastAsiaTheme="minorEastAsia" w:hAnsi="Garamond" w:cstheme="minorBidi"/>
          <w:b/>
          <w:color w:val="auto"/>
          <w:sz w:val="24"/>
          <w:szCs w:val="24"/>
          <w:lang w:val="en-GB" w:eastAsia="en-US"/>
        </w:rPr>
      </w:pPr>
      <w:r w:rsidRPr="00AD6958">
        <w:rPr>
          <w:rFonts w:ascii="Garamond" w:eastAsiaTheme="minorEastAsia" w:hAnsi="Garamond" w:cstheme="minorBidi"/>
          <w:b/>
          <w:color w:val="auto"/>
          <w:sz w:val="24"/>
          <w:szCs w:val="24"/>
          <w:lang w:val="en-GB" w:eastAsia="en-US"/>
        </w:rPr>
        <w:t>Acknowledgements</w:t>
      </w:r>
    </w:p>
    <w:p w:rsidR="006B15C2" w:rsidRPr="006B15C2" w:rsidRDefault="006B15C2" w:rsidP="006B15C2">
      <w:pPr>
        <w:pBdr>
          <w:top w:val="none" w:sz="0" w:space="0" w:color="auto"/>
          <w:left w:val="none" w:sz="0" w:space="0" w:color="auto"/>
          <w:bottom w:val="none" w:sz="0" w:space="0" w:color="auto"/>
          <w:right w:val="none" w:sz="0" w:space="0" w:color="auto"/>
          <w:between w:val="none" w:sz="0" w:space="0" w:color="auto"/>
        </w:pBdr>
        <w:spacing w:after="0" w:line="276" w:lineRule="auto"/>
        <w:rPr>
          <w:rFonts w:ascii="Garamond" w:eastAsiaTheme="minorEastAsia" w:hAnsi="Garamond" w:cstheme="minorBidi"/>
          <w:color w:val="auto"/>
          <w:sz w:val="24"/>
          <w:szCs w:val="24"/>
          <w:lang w:val="en-GB" w:eastAsia="en-US"/>
        </w:rPr>
      </w:pPr>
      <w:r w:rsidRPr="006B15C2">
        <w:rPr>
          <w:rFonts w:ascii="Garamond" w:eastAsiaTheme="minorEastAsia" w:hAnsi="Garamond" w:cstheme="minorBidi"/>
          <w:color w:val="auto"/>
          <w:sz w:val="24"/>
          <w:szCs w:val="24"/>
          <w:lang w:val="en-GB" w:eastAsia="en-US"/>
        </w:rPr>
        <w:t>The ideas and arguments of this paper have matured in the course of being presented in Helsinki, Roehampton (London), Tampere, Copenhagen and Tartu. I owe audiences at all occasions thanks, and especially Alex Davies, Jani Hakkarainen, Sune Hannibal Holm, Paolo Mantovani, Caterina Marchionni and David Papineau for invitations and inspiration. I also am very grateful to the editor and two referees for this journal, who were most helpful in improving the manuscript. I wish to dedicate this paper to the memory of the brilliant Ursula Le Guin.</w:t>
      </w:r>
    </w:p>
    <w:p w:rsidR="0015141E" w:rsidRPr="006B15C2" w:rsidRDefault="0015141E">
      <w:pPr>
        <w:spacing w:after="120" w:line="276" w:lineRule="auto"/>
        <w:rPr>
          <w:rFonts w:ascii="Garamond" w:eastAsia="Libre Baskerville" w:hAnsi="Garamond" w:cs="Libre Baskerville"/>
          <w:sz w:val="24"/>
          <w:szCs w:val="24"/>
          <w:lang w:val="en-GB"/>
        </w:rPr>
      </w:pPr>
    </w:p>
    <w:sectPr w:rsidR="0015141E" w:rsidRPr="006B15C2">
      <w:footerReference w:type="even" r:id="rId8"/>
      <w:footerReference w:type="default" r:id="rId9"/>
      <w:pgSz w:w="11906" w:h="16838"/>
      <w:pgMar w:top="1417" w:right="1134" w:bottom="1417"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59A" w:rsidRDefault="00967A8E">
      <w:pPr>
        <w:spacing w:after="0" w:line="240" w:lineRule="auto"/>
      </w:pPr>
      <w:r>
        <w:separator/>
      </w:r>
    </w:p>
  </w:endnote>
  <w:endnote w:type="continuationSeparator" w:id="0">
    <w:p w:rsidR="00FC059A" w:rsidRDefault="0096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Libre Baskerville">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1E" w:rsidRDefault="00967A8E">
    <w:pPr>
      <w:tabs>
        <w:tab w:val="center" w:pos="4819"/>
        <w:tab w:val="right" w:pos="9638"/>
      </w:tabs>
      <w:spacing w:after="0" w:line="240" w:lineRule="auto"/>
      <w:jc w:val="right"/>
    </w:pPr>
    <w:r>
      <w:fldChar w:fldCharType="begin"/>
    </w:r>
    <w:r>
      <w:instrText>PAGE</w:instrText>
    </w:r>
    <w:r>
      <w:fldChar w:fldCharType="end"/>
    </w:r>
  </w:p>
  <w:p w:rsidR="0015141E" w:rsidRDefault="0015141E">
    <w:pPr>
      <w:tabs>
        <w:tab w:val="center" w:pos="4819"/>
        <w:tab w:val="right" w:pos="9638"/>
      </w:tabs>
      <w:spacing w:after="0" w:line="240" w:lineRule="auto"/>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1E" w:rsidRDefault="00967A8E">
    <w:pPr>
      <w:tabs>
        <w:tab w:val="center" w:pos="4819"/>
        <w:tab w:val="right" w:pos="9638"/>
      </w:tabs>
      <w:spacing w:after="0" w:line="240" w:lineRule="auto"/>
      <w:jc w:val="right"/>
    </w:pPr>
    <w:r>
      <w:fldChar w:fldCharType="begin"/>
    </w:r>
    <w:r>
      <w:instrText>PAGE</w:instrText>
    </w:r>
    <w:r>
      <w:fldChar w:fldCharType="separate"/>
    </w:r>
    <w:r w:rsidR="00254B59">
      <w:rPr>
        <w:noProof/>
      </w:rPr>
      <w:t>2</w:t>
    </w:r>
    <w:r>
      <w:fldChar w:fldCharType="end"/>
    </w:r>
  </w:p>
  <w:p w:rsidR="0015141E" w:rsidRDefault="0015141E">
    <w:pPr>
      <w:tabs>
        <w:tab w:val="center" w:pos="4819"/>
        <w:tab w:val="right" w:pos="9638"/>
      </w:tabs>
      <w:spacing w:after="0" w:line="240" w:lineRule="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59A" w:rsidRDefault="00967A8E">
      <w:pPr>
        <w:spacing w:after="0" w:line="240" w:lineRule="auto"/>
      </w:pPr>
      <w:r>
        <w:separator/>
      </w:r>
    </w:p>
  </w:footnote>
  <w:footnote w:type="continuationSeparator" w:id="0">
    <w:p w:rsidR="00FC059A" w:rsidRDefault="00967A8E">
      <w:pPr>
        <w:spacing w:after="0" w:line="240" w:lineRule="auto"/>
      </w:pPr>
      <w:r>
        <w:continuationSeparator/>
      </w:r>
    </w:p>
  </w:footnote>
  <w:footnote w:id="1">
    <w:p w:rsidR="0015141E" w:rsidRPr="00F9071F" w:rsidRDefault="00967A8E" w:rsidP="002F6628">
      <w:pPr>
        <w:spacing w:after="0" w:line="240" w:lineRule="auto"/>
        <w:rPr>
          <w:rFonts w:ascii="Garamond" w:eastAsia="Libre Baskerville" w:hAnsi="Garamond" w:cs="Libre Baskerville"/>
        </w:rPr>
      </w:pPr>
      <w:r w:rsidRPr="00F9071F">
        <w:rPr>
          <w:rFonts w:ascii="Garamond" w:hAnsi="Garamond"/>
          <w:vertAlign w:val="superscript"/>
        </w:rPr>
        <w:footnoteRef/>
      </w:r>
      <w:r w:rsidRPr="00F9071F">
        <w:rPr>
          <w:rFonts w:ascii="Garamond" w:eastAsia="Libre Baskerville" w:hAnsi="Garamond" w:cs="Libre Baskerville"/>
        </w:rPr>
        <w:t xml:space="preserve"> See a recent suggestion by Joel 2016.</w:t>
      </w:r>
    </w:p>
  </w:footnote>
  <w:footnote w:id="2">
    <w:p w:rsidR="0015141E" w:rsidRPr="00F9071F" w:rsidRDefault="00967A8E">
      <w:pPr>
        <w:spacing w:after="0" w:line="240" w:lineRule="auto"/>
        <w:rPr>
          <w:rFonts w:ascii="Garamond" w:eastAsia="Libre Baskerville" w:hAnsi="Garamond" w:cs="Libre Baskerville"/>
        </w:rPr>
      </w:pPr>
      <w:r w:rsidRPr="00F9071F">
        <w:rPr>
          <w:rFonts w:ascii="Garamond" w:hAnsi="Garamond"/>
          <w:vertAlign w:val="superscript"/>
        </w:rPr>
        <w:footnoteRef/>
      </w:r>
      <w:r w:rsidRPr="00F9071F">
        <w:rPr>
          <w:rFonts w:ascii="Garamond" w:eastAsia="Libre Baskerville" w:hAnsi="Garamond" w:cs="Libre Baskerville"/>
        </w:rPr>
        <w:t xml:space="preserve"> This is not to ignore Judith Butler’s influential argument that we enforce categories and norms about sex precisely to underline our gender norms and categories (1999.) It is merely to suggest that regardless of the legitimate reach of sex categories, the behaviour and dimensions of gender are broader.</w:t>
      </w:r>
    </w:p>
  </w:footnote>
  <w:footnote w:id="3">
    <w:p w:rsidR="006B15C2" w:rsidRPr="006B15C2" w:rsidRDefault="006B15C2">
      <w:pPr>
        <w:pStyle w:val="FootnoteText"/>
      </w:pPr>
      <w:r>
        <w:rPr>
          <w:rStyle w:val="FootnoteReference"/>
        </w:rPr>
        <w:footnoteRef/>
      </w:r>
      <w:r>
        <w:t xml:space="preserve"> </w:t>
      </w:r>
      <w:r w:rsidRPr="006B15C2">
        <w:rPr>
          <w:rFonts w:ascii="Garamond" w:eastAsia="Libre Baskerville" w:hAnsi="Garamond" w:cs="Libre Baskerville"/>
          <w:i/>
          <w:sz w:val="22"/>
          <w:szCs w:val="22"/>
          <w:shd w:val="clear" w:color="auto" w:fill="FCFCFC"/>
        </w:rPr>
        <w:t>G</w:t>
      </w:r>
      <w:r w:rsidRPr="006B15C2">
        <w:rPr>
          <w:rFonts w:ascii="Garamond" w:eastAsia="Libre Baskerville" w:hAnsi="Garamond" w:cs="Libre Baskerville"/>
          <w:i/>
          <w:sz w:val="22"/>
          <w:szCs w:val="22"/>
        </w:rPr>
        <w:t xml:space="preserve">enerics </w:t>
      </w:r>
      <w:r w:rsidR="00474475">
        <w:rPr>
          <w:rFonts w:ascii="Garamond" w:eastAsia="Libre Baskerville" w:hAnsi="Garamond" w:cs="Libre Baskerville"/>
          <w:sz w:val="22"/>
          <w:szCs w:val="22"/>
        </w:rPr>
        <w:t>or unquantified generalizations is the typical</w:t>
      </w:r>
      <w:r w:rsidRPr="006B15C2">
        <w:rPr>
          <w:rFonts w:ascii="Garamond" w:eastAsia="Libre Baskerville" w:hAnsi="Garamond" w:cs="Libre Baskerville"/>
          <w:sz w:val="22"/>
          <w:szCs w:val="22"/>
        </w:rPr>
        <w:t xml:space="preserve"> linguistic tool for asserting properties that belong to a gender: “Women are caring”, “Typically men like to watch football” and “Generally dolls belong to girls” (Leslie 2008).</w:t>
      </w:r>
      <w:r w:rsidR="00474475">
        <w:rPr>
          <w:rFonts w:ascii="Garamond" w:eastAsia="Libre Baskerville" w:hAnsi="Garamond" w:cs="Libre Baskerville"/>
          <w:sz w:val="22"/>
          <w:szCs w:val="22"/>
        </w:rPr>
        <w:t xml:space="preserve"> However, I will mostly use </w:t>
      </w:r>
      <w:r w:rsidR="00474475" w:rsidRPr="00474475">
        <w:rPr>
          <w:rFonts w:ascii="Garamond" w:eastAsia="Libre Baskerville" w:hAnsi="Garamond" w:cs="Libre Baskerville"/>
          <w:i/>
          <w:sz w:val="22"/>
          <w:szCs w:val="22"/>
        </w:rPr>
        <w:t>generalizations</w:t>
      </w:r>
      <w:r w:rsidR="00474475">
        <w:rPr>
          <w:rFonts w:ascii="Garamond" w:eastAsia="Libre Baskerville" w:hAnsi="Garamond" w:cs="Libre Baskerville"/>
          <w:sz w:val="22"/>
          <w:szCs w:val="22"/>
        </w:rPr>
        <w:t xml:space="preserve"> in what follows denoting both the quantified and unquantified kind.</w:t>
      </w:r>
    </w:p>
  </w:footnote>
  <w:footnote w:id="4">
    <w:p w:rsidR="0015141E" w:rsidRPr="00F9071F" w:rsidRDefault="00967A8E">
      <w:pPr>
        <w:spacing w:after="0" w:line="240" w:lineRule="auto"/>
        <w:rPr>
          <w:rFonts w:ascii="Garamond" w:eastAsia="Libre Baskerville" w:hAnsi="Garamond" w:cs="Libre Baskerville"/>
        </w:rPr>
      </w:pPr>
      <w:r w:rsidRPr="00F9071F">
        <w:rPr>
          <w:rFonts w:ascii="Garamond" w:hAnsi="Garamond"/>
          <w:vertAlign w:val="superscript"/>
        </w:rPr>
        <w:footnoteRef/>
      </w:r>
      <w:r w:rsidRPr="00F9071F">
        <w:rPr>
          <w:rFonts w:ascii="Garamond" w:eastAsia="Libre Baskerville" w:hAnsi="Garamond" w:cs="Libre Baskerville"/>
        </w:rPr>
        <w:t xml:space="preserve"> As one reviewer pointed out, however, arguably </w:t>
      </w:r>
      <w:r w:rsidRPr="00F9071F">
        <w:rPr>
          <w:rFonts w:ascii="Garamond" w:eastAsia="Libre Baskerville" w:hAnsi="Garamond" w:cs="Libre Baskerville"/>
          <w:color w:val="212121"/>
          <w:highlight w:val="white"/>
        </w:rPr>
        <w:t xml:space="preserve">the most predominant gender norms of femininity concern appearance, in which case the Queen of England – God bless her matching </w:t>
      </w:r>
      <w:r w:rsidR="00F9071F">
        <w:rPr>
          <w:rFonts w:ascii="Garamond" w:eastAsia="Libre Baskerville" w:hAnsi="Garamond" w:cs="Libre Baskerville"/>
          <w:color w:val="212121"/>
        </w:rPr>
        <w:t>hats and</w:t>
      </w:r>
      <w:r w:rsidR="00F9071F" w:rsidRPr="00F9071F">
        <w:rPr>
          <w:rFonts w:ascii="Garamond" w:eastAsia="Libre Baskerville" w:hAnsi="Garamond" w:cs="Libre Baskerville"/>
          <w:color w:val="212121"/>
        </w:rPr>
        <w:t xml:space="preserve"> </w:t>
      </w:r>
      <w:r w:rsidRPr="00F9071F">
        <w:rPr>
          <w:rFonts w:ascii="Garamond" w:eastAsia="Libre Baskerville" w:hAnsi="Garamond" w:cs="Libre Baskerville"/>
          <w:color w:val="212121"/>
        </w:rPr>
        <w:t xml:space="preserve">handbags </w:t>
      </w:r>
      <w:r w:rsidRPr="00F9071F">
        <w:rPr>
          <w:rFonts w:ascii="Garamond" w:eastAsia="Libre Baskerville" w:hAnsi="Garamond" w:cs="Libre Baskerville"/>
          <w:color w:val="212121"/>
          <w:highlight w:val="white"/>
        </w:rPr>
        <w:t>– certainly conforms.</w:t>
      </w:r>
    </w:p>
  </w:footnote>
  <w:footnote w:id="5">
    <w:p w:rsidR="0015141E" w:rsidRPr="00F9071F" w:rsidRDefault="00967A8E">
      <w:pPr>
        <w:spacing w:after="0" w:line="240" w:lineRule="auto"/>
        <w:rPr>
          <w:rFonts w:ascii="Garamond" w:eastAsia="Libre Baskerville" w:hAnsi="Garamond" w:cs="Libre Baskerville"/>
        </w:rPr>
      </w:pPr>
      <w:r w:rsidRPr="00F9071F">
        <w:rPr>
          <w:rFonts w:ascii="Garamond" w:hAnsi="Garamond"/>
          <w:vertAlign w:val="superscript"/>
        </w:rPr>
        <w:footnoteRef/>
      </w:r>
      <w:r w:rsidRPr="00F9071F">
        <w:rPr>
          <w:rFonts w:ascii="Garamond" w:eastAsia="Libre Baskerville" w:hAnsi="Garamond" w:cs="Libre Baskerville"/>
        </w:rPr>
        <w:t xml:space="preserve"> It may seem as if the </w:t>
      </w:r>
      <w:r w:rsidRPr="00F9071F">
        <w:rPr>
          <w:rFonts w:ascii="Garamond" w:eastAsia="Libre Baskerville" w:hAnsi="Garamond" w:cs="Libre Baskerville"/>
          <w:i/>
        </w:rPr>
        <w:t xml:space="preserve">War and Peace </w:t>
      </w:r>
      <w:r w:rsidRPr="00F9071F">
        <w:rPr>
          <w:rFonts w:ascii="Garamond" w:eastAsia="Libre Baskerville" w:hAnsi="Garamond" w:cs="Libre Baskerville"/>
        </w:rPr>
        <w:t>claims are about a single individual work rather than a Kind. Nevertheless, it is expected that what is true for the original version is also true for most of the copies, e.g. the book on my shelf. Indeed, it is for this reason that Millikan suggests individuals (including individual works) follow the same structure in underwriting generalizations (2000 Ch. 2).</w:t>
      </w:r>
    </w:p>
  </w:footnote>
  <w:footnote w:id="6">
    <w:p w:rsidR="0015141E" w:rsidRPr="00F9071F" w:rsidRDefault="00967A8E">
      <w:pPr>
        <w:spacing w:after="0" w:line="240" w:lineRule="auto"/>
        <w:rPr>
          <w:rFonts w:ascii="Garamond" w:hAnsi="Garamond"/>
        </w:rPr>
      </w:pPr>
      <w:r w:rsidRPr="00F9071F">
        <w:rPr>
          <w:rFonts w:ascii="Garamond" w:hAnsi="Garamond"/>
          <w:vertAlign w:val="superscript"/>
        </w:rPr>
        <w:footnoteRef/>
      </w:r>
      <w:r w:rsidRPr="00F9071F">
        <w:rPr>
          <w:rFonts w:ascii="Garamond" w:hAnsi="Garamond"/>
        </w:rPr>
        <w:t xml:space="preserve"> </w:t>
      </w:r>
      <w:r w:rsidRPr="00F9071F">
        <w:rPr>
          <w:rFonts w:ascii="Garamond" w:eastAsia="Libre Baskerville" w:hAnsi="Garamond" w:cs="Libre Baskerville"/>
        </w:rPr>
        <w:t xml:space="preserve">That is not to deny that one value of gendered concepts and distinctions is purely </w:t>
      </w:r>
      <w:r w:rsidRPr="00F9071F">
        <w:rPr>
          <w:rFonts w:ascii="Garamond" w:eastAsia="Libre Baskerville" w:hAnsi="Garamond" w:cs="Libre Baskerville"/>
          <w:i/>
        </w:rPr>
        <w:t xml:space="preserve">epistemic. </w:t>
      </w:r>
      <w:r w:rsidRPr="00F9071F">
        <w:rPr>
          <w:rFonts w:ascii="Garamond" w:eastAsia="Libre Baskerville" w:hAnsi="Garamond" w:cs="Libre Baskerville"/>
        </w:rPr>
        <w:t xml:space="preserve">Gender concepts are reproduced to facilitate knowledge of the nature and distinctions between existing genders. In short, if one wants to be able to orient in a complex social world that has pre-existing gender structures, gender proves to be a useful heuristic. If people (and other things!) are already gendered in two distinct ways in one’s culture, it is only natural that learning about and navigating gender is an </w:t>
      </w:r>
      <w:r w:rsidRPr="00F9071F">
        <w:rPr>
          <w:rFonts w:ascii="Garamond" w:eastAsia="Libre Baskerville" w:hAnsi="Garamond" w:cs="Libre Baskerville"/>
          <w:i/>
        </w:rPr>
        <w:t>epistemic priority</w:t>
      </w:r>
      <w:r w:rsidRPr="00F9071F">
        <w:rPr>
          <w:rFonts w:ascii="Garamond" w:eastAsia="Libre Baskerville" w:hAnsi="Garamond" w:cs="Libre Baskerville"/>
        </w:rPr>
        <w:t>.</w:t>
      </w:r>
    </w:p>
  </w:footnote>
  <w:footnote w:id="7">
    <w:p w:rsidR="0015141E" w:rsidRPr="00F9071F" w:rsidRDefault="00967A8E">
      <w:pPr>
        <w:spacing w:after="0" w:line="240" w:lineRule="auto"/>
        <w:rPr>
          <w:rFonts w:ascii="Garamond" w:eastAsia="Libre Baskerville" w:hAnsi="Garamond" w:cs="Libre Baskerville"/>
        </w:rPr>
      </w:pPr>
      <w:r w:rsidRPr="00F9071F">
        <w:rPr>
          <w:rFonts w:ascii="Garamond" w:hAnsi="Garamond"/>
          <w:vertAlign w:val="superscript"/>
        </w:rPr>
        <w:footnoteRef/>
      </w:r>
      <w:r w:rsidRPr="00F9071F">
        <w:rPr>
          <w:rFonts w:ascii="Garamond" w:eastAsia="Libre Baskerville" w:hAnsi="Garamond" w:cs="Libre Baskerville"/>
        </w:rPr>
        <w:t xml:space="preserve"> I write gender </w:t>
      </w:r>
      <w:r w:rsidRPr="00F9071F">
        <w:rPr>
          <w:rFonts w:ascii="Garamond" w:eastAsia="Libre Baskerville" w:hAnsi="Garamond" w:cs="Libre Baskerville"/>
          <w:i/>
        </w:rPr>
        <w:t xml:space="preserve">or </w:t>
      </w:r>
      <w:r w:rsidRPr="00F9071F">
        <w:rPr>
          <w:rFonts w:ascii="Garamond" w:eastAsia="Libre Baskerville" w:hAnsi="Garamond" w:cs="Libre Baskerville"/>
        </w:rPr>
        <w:t>sex as we are often we are not aware of a distinction and in many cases it does not matter, because even just a perception of a minimal biological marker is necessary to be a target for identifying a model for learning or for be a targ</w:t>
      </w:r>
      <w:r w:rsidR="00EE0702">
        <w:rPr>
          <w:rFonts w:ascii="Garamond" w:eastAsia="Libre Baskerville" w:hAnsi="Garamond" w:cs="Libre Baskerville"/>
        </w:rPr>
        <w:t>et for instruction. Thanks to Sally Haslanger</w:t>
      </w:r>
      <w:r w:rsidRPr="00F9071F">
        <w:rPr>
          <w:rFonts w:ascii="Garamond" w:eastAsia="Libre Baskerville" w:hAnsi="Garamond" w:cs="Libre Baskerville"/>
        </w:rPr>
        <w:t xml:space="preserve"> for making this more salient to me.</w:t>
      </w:r>
    </w:p>
  </w:footnote>
  <w:footnote w:id="8">
    <w:p w:rsidR="0015141E" w:rsidRPr="00F9071F" w:rsidRDefault="00967A8E">
      <w:pPr>
        <w:spacing w:after="0" w:line="240" w:lineRule="auto"/>
        <w:rPr>
          <w:rFonts w:ascii="Garamond" w:eastAsia="Libre Baskerville" w:hAnsi="Garamond" w:cs="Libre Baskerville"/>
        </w:rPr>
      </w:pPr>
      <w:r w:rsidRPr="00F9071F">
        <w:rPr>
          <w:rFonts w:ascii="Garamond" w:hAnsi="Garamond"/>
          <w:vertAlign w:val="superscript"/>
        </w:rPr>
        <w:footnoteRef/>
      </w:r>
      <w:r w:rsidRPr="00F9071F">
        <w:rPr>
          <w:rFonts w:ascii="Garamond" w:eastAsia="Libre Baskerville" w:hAnsi="Garamond" w:cs="Libre Baskerville"/>
        </w:rPr>
        <w:t xml:space="preserve"> </w:t>
      </w:r>
      <w:r w:rsidRPr="00F9071F">
        <w:rPr>
          <w:rFonts w:ascii="Garamond" w:eastAsia="Libre Baskerville" w:hAnsi="Garamond" w:cs="Libre Baskerville"/>
          <w:color w:val="2F2B20"/>
        </w:rPr>
        <w:t xml:space="preserve">I am inclined to think that the </w:t>
      </w:r>
      <w:r w:rsidRPr="00F9071F">
        <w:rPr>
          <w:rFonts w:ascii="Garamond" w:eastAsia="Libre Baskerville" w:hAnsi="Garamond" w:cs="Libre Baskerville"/>
        </w:rPr>
        <w:t>possibility of the two genders merging into a single gender and one or two genders becoming extinct for most practical purposes amounts to similar scenarios.</w:t>
      </w:r>
    </w:p>
  </w:footnote>
  <w:footnote w:id="9">
    <w:p w:rsidR="0015141E" w:rsidRPr="00F9071F" w:rsidRDefault="00967A8E">
      <w:pPr>
        <w:spacing w:after="0" w:line="276" w:lineRule="auto"/>
        <w:rPr>
          <w:rFonts w:ascii="Garamond" w:hAnsi="Garamond"/>
        </w:rPr>
      </w:pPr>
      <w:r w:rsidRPr="00F9071F">
        <w:rPr>
          <w:rFonts w:ascii="Garamond" w:hAnsi="Garamond"/>
          <w:vertAlign w:val="superscript"/>
        </w:rPr>
        <w:footnoteRef/>
      </w:r>
      <w:r w:rsidRPr="00F9071F">
        <w:rPr>
          <w:rFonts w:ascii="Garamond" w:eastAsia="Libre Baskerville" w:hAnsi="Garamond" w:cs="Libre Baskerville"/>
        </w:rPr>
        <w:t xml:space="preserve"> </w:t>
      </w:r>
      <w:r w:rsidRPr="00F9071F">
        <w:rPr>
          <w:rFonts w:ascii="Garamond" w:eastAsia="Libre Baskerville" w:hAnsi="Garamond" w:cs="Libre Baskerville"/>
          <w:color w:val="252525"/>
          <w:highlight w:val="white"/>
        </w:rPr>
        <w:t xml:space="preserve">Ursula Le Guin’s </w:t>
      </w:r>
      <w:r w:rsidRPr="00F9071F">
        <w:rPr>
          <w:rFonts w:ascii="Garamond" w:eastAsia="Libre Baskerville" w:hAnsi="Garamond" w:cs="Libre Baskerville"/>
          <w:i/>
          <w:color w:val="252525"/>
          <w:highlight w:val="white"/>
        </w:rPr>
        <w:t xml:space="preserve">Left Hand of Darkness </w:t>
      </w:r>
      <w:r w:rsidRPr="00F9071F">
        <w:rPr>
          <w:rFonts w:ascii="Garamond" w:eastAsia="Libre Baskerville" w:hAnsi="Garamond" w:cs="Libre Baskerville"/>
          <w:color w:val="252525"/>
          <w:highlight w:val="white"/>
        </w:rPr>
        <w:t xml:space="preserve">(2012) describes a society in which humans are not thought of or classified according to gender, but are effectively genderless androgynes most of the time. Nor is their sex determinate. During their fertile periods (kemmer) these individuals adopt either the female or the male sex. In the real world, however, it is quite unclear what a genderless system or a system in which gender is eliminated would be like. </w:t>
      </w:r>
    </w:p>
  </w:footnote>
  <w:footnote w:id="10">
    <w:p w:rsidR="0015141E" w:rsidRPr="00F9071F" w:rsidRDefault="00967A8E">
      <w:pPr>
        <w:spacing w:after="0" w:line="240" w:lineRule="auto"/>
        <w:rPr>
          <w:rFonts w:ascii="Garamond" w:eastAsia="Libre Baskerville" w:hAnsi="Garamond" w:cs="Libre Baskerville"/>
        </w:rPr>
      </w:pPr>
      <w:r w:rsidRPr="00F9071F">
        <w:rPr>
          <w:rFonts w:ascii="Garamond" w:hAnsi="Garamond"/>
          <w:vertAlign w:val="superscript"/>
        </w:rPr>
        <w:footnoteRef/>
      </w:r>
      <w:r w:rsidRPr="00F9071F">
        <w:rPr>
          <w:rFonts w:ascii="Garamond" w:eastAsia="Libre Baskerville" w:hAnsi="Garamond" w:cs="Libre Baskerville"/>
        </w:rPr>
        <w:t xml:space="preserve"> </w:t>
      </w:r>
      <w:r w:rsidRPr="00F9071F">
        <w:rPr>
          <w:rFonts w:ascii="Garamond" w:eastAsia="Libre Baskerville" w:hAnsi="Garamond" w:cs="Libre Baskerville"/>
          <w:color w:val="252525"/>
          <w:highlight w:val="white"/>
        </w:rPr>
        <w:t>Depending on the details of the case these individuals would, according to the historical accou</w:t>
      </w:r>
      <w:r w:rsidR="00845C7B">
        <w:rPr>
          <w:rFonts w:ascii="Garamond" w:eastAsia="Libre Baskerville" w:hAnsi="Garamond" w:cs="Libre Baskerville"/>
          <w:color w:val="252525"/>
          <w:highlight w:val="white"/>
        </w:rPr>
        <w:t>nt, belong to both genders or</w:t>
      </w:r>
      <w:r w:rsidRPr="00F9071F">
        <w:rPr>
          <w:rFonts w:ascii="Garamond" w:eastAsia="Libre Baskerville" w:hAnsi="Garamond" w:cs="Libre Baskerville"/>
          <w:color w:val="252525"/>
          <w:highlight w:val="white"/>
        </w:rPr>
        <w:t xml:space="preserve"> neither </w:t>
      </w:r>
      <w:r w:rsidR="00845C7B">
        <w:rPr>
          <w:rFonts w:ascii="Garamond" w:eastAsia="Libre Baskerville" w:hAnsi="Garamond" w:cs="Libre Baskerville"/>
          <w:color w:val="252525"/>
          <w:highlight w:val="white"/>
        </w:rPr>
        <w:t>gender (and thereby also stand</w:t>
      </w:r>
      <w:r w:rsidRPr="00F9071F">
        <w:rPr>
          <w:rFonts w:ascii="Garamond" w:eastAsia="Libre Baskerville" w:hAnsi="Garamond" w:cs="Libre Baskerville"/>
          <w:color w:val="252525"/>
          <w:highlight w:val="white"/>
        </w:rPr>
        <w:t xml:space="preserve"> as a possible model for a new gender</w:t>
      </w:r>
      <w:r w:rsidR="00845C7B">
        <w:rPr>
          <w:rFonts w:ascii="Garamond" w:eastAsia="Libre Baskerville" w:hAnsi="Garamond" w:cs="Libre Baskerville"/>
          <w:color w:val="252525"/>
          <w:highlight w:val="white"/>
        </w:rPr>
        <w:t>)</w:t>
      </w:r>
      <w:r w:rsidRPr="00F9071F">
        <w:rPr>
          <w:rFonts w:ascii="Garamond" w:eastAsia="Libre Baskerville" w:hAnsi="Garamond" w:cs="Libre Baskerville"/>
          <w:color w:val="252525"/>
          <w:highlight w:val="white"/>
        </w:rPr>
        <w:t>.</w:t>
      </w:r>
    </w:p>
  </w:footnote>
  <w:footnote w:id="11">
    <w:p w:rsidR="0015141E" w:rsidRPr="00F9071F" w:rsidRDefault="00967A8E">
      <w:pPr>
        <w:spacing w:after="0" w:line="240" w:lineRule="auto"/>
        <w:rPr>
          <w:rFonts w:ascii="Garamond" w:eastAsia="Libre Baskerville" w:hAnsi="Garamond" w:cs="Libre Baskerville"/>
        </w:rPr>
      </w:pPr>
      <w:r w:rsidRPr="00F9071F">
        <w:rPr>
          <w:rFonts w:ascii="Garamond" w:hAnsi="Garamond"/>
          <w:vertAlign w:val="superscript"/>
        </w:rPr>
        <w:footnoteRef/>
      </w:r>
      <w:r w:rsidRPr="00F9071F">
        <w:rPr>
          <w:rFonts w:ascii="Garamond" w:eastAsia="Libre Baskerville" w:hAnsi="Garamond" w:cs="Libre Baskerville"/>
        </w:rPr>
        <w:t xml:space="preserve"> Although it is not clear whether it is cultural </w:t>
      </w:r>
      <w:r w:rsidRPr="00F9071F">
        <w:rPr>
          <w:rFonts w:ascii="Garamond" w:eastAsia="Libre Baskerville" w:hAnsi="Garamond" w:cs="Libre Baskerville"/>
          <w:i/>
        </w:rPr>
        <w:t xml:space="preserve">group </w:t>
      </w:r>
      <w:r w:rsidRPr="00F9071F">
        <w:rPr>
          <w:rFonts w:ascii="Garamond" w:eastAsia="Libre Baskerville" w:hAnsi="Garamond" w:cs="Libre Baskerville"/>
        </w:rPr>
        <w:t>selection that he has in mind or if it is also an advantage to the individual trait bearer’s reproductive fitness.</w:t>
      </w:r>
    </w:p>
  </w:footnote>
  <w:footnote w:id="12">
    <w:p w:rsidR="0015141E" w:rsidRPr="00F9071F" w:rsidRDefault="00967A8E">
      <w:pPr>
        <w:spacing w:after="0" w:line="240" w:lineRule="auto"/>
        <w:rPr>
          <w:rFonts w:ascii="Garamond" w:eastAsia="Libre Baskerville" w:hAnsi="Garamond" w:cs="Libre Baskerville"/>
        </w:rPr>
      </w:pPr>
      <w:r w:rsidRPr="00F9071F">
        <w:rPr>
          <w:rFonts w:ascii="Garamond" w:hAnsi="Garamond"/>
          <w:vertAlign w:val="superscript"/>
        </w:rPr>
        <w:footnoteRef/>
      </w:r>
      <w:r w:rsidRPr="00F9071F">
        <w:rPr>
          <w:rFonts w:ascii="Garamond" w:eastAsia="Libre Baskerville" w:hAnsi="Garamond" w:cs="Libre Baskerville"/>
        </w:rPr>
        <w:t xml:space="preserve"> I would like to thank one of this journal’s reviewers for prompting more general reflection on this strategy for solving the representation problem, which indeed refocused the argument set out in this paper.</w:t>
      </w:r>
    </w:p>
  </w:footnote>
  <w:footnote w:id="13">
    <w:p w:rsidR="0015141E" w:rsidRPr="00F9071F" w:rsidRDefault="00967A8E">
      <w:pPr>
        <w:spacing w:after="0" w:line="240" w:lineRule="auto"/>
        <w:rPr>
          <w:rFonts w:ascii="Garamond" w:eastAsia="Libre Baskerville" w:hAnsi="Garamond" w:cs="Libre Baskerville"/>
        </w:rPr>
      </w:pPr>
      <w:r w:rsidRPr="00F9071F">
        <w:rPr>
          <w:rFonts w:ascii="Garamond" w:hAnsi="Garamond"/>
          <w:vertAlign w:val="superscript"/>
        </w:rPr>
        <w:footnoteRef/>
      </w:r>
      <w:r w:rsidRPr="00F9071F">
        <w:rPr>
          <w:rFonts w:ascii="Garamond" w:eastAsia="Libre Baskerville" w:hAnsi="Garamond" w:cs="Libre Baskerville"/>
        </w:rPr>
        <w:t xml:space="preserve"> See Shelby 2005 for a developed statement about social-cultural links of solidarity in notions of race.</w:t>
      </w:r>
    </w:p>
  </w:footnote>
  <w:footnote w:id="14">
    <w:p w:rsidR="0015141E" w:rsidRPr="00F9071F" w:rsidRDefault="00967A8E">
      <w:pPr>
        <w:spacing w:after="0" w:line="240" w:lineRule="auto"/>
        <w:rPr>
          <w:rFonts w:ascii="Garamond" w:hAnsi="Garamond"/>
        </w:rPr>
      </w:pPr>
      <w:r w:rsidRPr="00F9071F">
        <w:rPr>
          <w:rFonts w:ascii="Garamond" w:hAnsi="Garamond"/>
          <w:vertAlign w:val="superscript"/>
        </w:rPr>
        <w:footnoteRef/>
      </w:r>
      <w:r w:rsidR="00AD6958">
        <w:rPr>
          <w:rFonts w:ascii="Garamond" w:eastAsia="Libre Baskerville" w:hAnsi="Garamond" w:cs="Libre Baskerville"/>
        </w:rPr>
        <w:t xml:space="preserve"> I thank Sune Hannibal Holm</w:t>
      </w:r>
      <w:r w:rsidRPr="00F9071F">
        <w:rPr>
          <w:rFonts w:ascii="Garamond" w:eastAsia="Libre Baskerville" w:hAnsi="Garamond" w:cs="Libre Baskerville"/>
        </w:rPr>
        <w:t xml:space="preserve"> for making this provocative proposal.</w:t>
      </w:r>
    </w:p>
  </w:footnote>
  <w:footnote w:id="15">
    <w:p w:rsidR="0015141E" w:rsidRPr="00F9071F" w:rsidRDefault="00967A8E">
      <w:pPr>
        <w:spacing w:after="0" w:line="240" w:lineRule="auto"/>
        <w:rPr>
          <w:rFonts w:ascii="Garamond" w:eastAsia="Libre Baskerville" w:hAnsi="Garamond" w:cs="Libre Baskerville"/>
        </w:rPr>
      </w:pPr>
      <w:bookmarkStart w:id="1" w:name="_gjdgxs" w:colFirst="0" w:colLast="0"/>
      <w:bookmarkEnd w:id="1"/>
      <w:r w:rsidRPr="00F9071F">
        <w:rPr>
          <w:rFonts w:ascii="Garamond" w:hAnsi="Garamond"/>
          <w:vertAlign w:val="superscript"/>
        </w:rPr>
        <w:footnoteRef/>
      </w:r>
      <w:r w:rsidRPr="00F9071F">
        <w:rPr>
          <w:rFonts w:ascii="Garamond" w:eastAsia="Libre Baskerville" w:hAnsi="Garamond" w:cs="Libre Baskerville"/>
        </w:rPr>
        <w:t xml:space="preserve"> On this option, it is also open to us to restate womanhood in a case of affirmative action as indexed to a particular culture (i.e. Zuni culture or Swedish culture) – but it should be acknowledged that such indexing is typically not thought to be necessary when making claims about affirmative action.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3178F"/>
    <w:multiLevelType w:val="multilevel"/>
    <w:tmpl w:val="1BC836D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A5A4795"/>
    <w:multiLevelType w:val="multilevel"/>
    <w:tmpl w:val="B15A368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01239B"/>
    <w:multiLevelType w:val="multilevel"/>
    <w:tmpl w:val="7066695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1E"/>
    <w:rsid w:val="00007C52"/>
    <w:rsid w:val="00074CCA"/>
    <w:rsid w:val="0007790D"/>
    <w:rsid w:val="0015141E"/>
    <w:rsid w:val="00254B59"/>
    <w:rsid w:val="002F6628"/>
    <w:rsid w:val="00433A70"/>
    <w:rsid w:val="00474475"/>
    <w:rsid w:val="004B67ED"/>
    <w:rsid w:val="00660032"/>
    <w:rsid w:val="006B15C2"/>
    <w:rsid w:val="00845C7B"/>
    <w:rsid w:val="00967A8E"/>
    <w:rsid w:val="009B7E1A"/>
    <w:rsid w:val="00AD6958"/>
    <w:rsid w:val="00B04225"/>
    <w:rsid w:val="00D72BD3"/>
    <w:rsid w:val="00ED7F55"/>
    <w:rsid w:val="00EE0702"/>
    <w:rsid w:val="00EE0FBC"/>
    <w:rsid w:val="00F50491"/>
    <w:rsid w:val="00F9071F"/>
    <w:rsid w:val="00FC0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3F543-50C0-4466-89AD-C459BA71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zh-CN"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before="100" w:after="100" w:line="240" w:lineRule="auto"/>
      <w:outlineLvl w:val="3"/>
    </w:pPr>
    <w:rPr>
      <w:rFonts w:ascii="Times" w:eastAsia="Times" w:hAnsi="Times" w:cs="Times"/>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6B1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5C2"/>
    <w:rPr>
      <w:sz w:val="20"/>
      <w:szCs w:val="20"/>
    </w:rPr>
  </w:style>
  <w:style w:type="character" w:styleId="FootnoteReference">
    <w:name w:val="footnote reference"/>
    <w:basedOn w:val="DefaultParagraphFont"/>
    <w:uiPriority w:val="99"/>
    <w:semiHidden/>
    <w:unhideWhenUsed/>
    <w:rsid w:val="006B15C2"/>
    <w:rPr>
      <w:vertAlign w:val="superscript"/>
    </w:rPr>
  </w:style>
  <w:style w:type="character" w:styleId="Hyperlink">
    <w:name w:val="Hyperlink"/>
    <w:basedOn w:val="DefaultParagraphFont"/>
    <w:uiPriority w:val="99"/>
    <w:semiHidden/>
    <w:unhideWhenUsed/>
    <w:rsid w:val="00474475"/>
    <w:rPr>
      <w:color w:val="0000FF"/>
      <w:u w:val="single"/>
    </w:rPr>
  </w:style>
  <w:style w:type="character" w:styleId="Emphasis">
    <w:name w:val="Emphasis"/>
    <w:basedOn w:val="DefaultParagraphFont"/>
    <w:uiPriority w:val="20"/>
    <w:qFormat/>
    <w:rsid w:val="00474475"/>
    <w:rPr>
      <w:i/>
      <w:iCs/>
    </w:rPr>
  </w:style>
  <w:style w:type="paragraph" w:styleId="BalloonText">
    <w:name w:val="Balloon Text"/>
    <w:basedOn w:val="Normal"/>
    <w:link w:val="BalloonTextChar"/>
    <w:uiPriority w:val="99"/>
    <w:semiHidden/>
    <w:unhideWhenUsed/>
    <w:rsid w:val="00254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B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CF945-4004-495E-9C33-4F371C49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6878</Words>
  <Characters>39211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45998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Godman, Marion</dc:creator>
  <cp:lastModifiedBy>Godman, Marion</cp:lastModifiedBy>
  <cp:revision>2</cp:revision>
  <cp:lastPrinted>2018-03-13T12:20:00Z</cp:lastPrinted>
  <dcterms:created xsi:type="dcterms:W3CDTF">2018-03-13T12:44:00Z</dcterms:created>
  <dcterms:modified xsi:type="dcterms:W3CDTF">2018-03-13T12:44:00Z</dcterms:modified>
</cp:coreProperties>
</file>