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57AE" w14:textId="430F41DF" w:rsidR="006E7ABD" w:rsidRPr="00FD615F" w:rsidRDefault="00C31355" w:rsidP="00E53339">
      <w:pPr>
        <w:spacing w:line="276" w:lineRule="auto"/>
        <w:rPr>
          <w:rFonts w:cs="Times New Roman"/>
          <w:color w:val="000000" w:themeColor="text1"/>
        </w:rPr>
      </w:pPr>
      <w:r>
        <w:rPr>
          <w:rFonts w:cs="Times New Roman"/>
          <w:color w:val="000000" w:themeColor="text1"/>
        </w:rPr>
        <w:t xml:space="preserve">To appear in </w:t>
      </w:r>
      <w:r w:rsidRPr="00C31355">
        <w:rPr>
          <w:rFonts w:cs="Times New Roman"/>
          <w:i/>
          <w:iCs/>
          <w:color w:val="000000" w:themeColor="text1"/>
        </w:rPr>
        <w:t>American Philosophical Quarterly</w:t>
      </w:r>
      <w:r>
        <w:rPr>
          <w:rFonts w:cs="Times New Roman"/>
          <w:color w:val="000000" w:themeColor="text1"/>
        </w:rPr>
        <w:t>, 2020.</w:t>
      </w:r>
    </w:p>
    <w:p w14:paraId="2160ADD1" w14:textId="10ECFBD6" w:rsidR="006E7ABD" w:rsidRDefault="006E7ABD" w:rsidP="00E53339">
      <w:pPr>
        <w:spacing w:line="276" w:lineRule="auto"/>
        <w:jc w:val="center"/>
        <w:rPr>
          <w:rFonts w:cs="Times New Roman"/>
          <w:color w:val="000000" w:themeColor="text1"/>
        </w:rPr>
      </w:pPr>
    </w:p>
    <w:p w14:paraId="6E85F56A" w14:textId="77777777" w:rsidR="0061496C" w:rsidRPr="00FD615F" w:rsidRDefault="0061496C" w:rsidP="00E53339">
      <w:pPr>
        <w:spacing w:line="276" w:lineRule="auto"/>
        <w:jc w:val="center"/>
        <w:rPr>
          <w:rFonts w:cs="Times New Roman"/>
          <w:color w:val="000000" w:themeColor="text1"/>
        </w:rPr>
      </w:pPr>
      <w:bookmarkStart w:id="0" w:name="_GoBack"/>
      <w:bookmarkEnd w:id="0"/>
    </w:p>
    <w:p w14:paraId="78C0B5DA" w14:textId="1D1A33A9" w:rsidR="004B4DDE" w:rsidRDefault="00565616" w:rsidP="00E53339">
      <w:pPr>
        <w:spacing w:line="276" w:lineRule="auto"/>
        <w:jc w:val="center"/>
        <w:rPr>
          <w:rFonts w:cs="Times New Roman"/>
          <w:color w:val="000000" w:themeColor="text1"/>
        </w:rPr>
      </w:pPr>
      <w:r w:rsidRPr="00860DA2">
        <w:rPr>
          <w:rFonts w:cs="Times New Roman"/>
          <w:color w:val="000000" w:themeColor="text1"/>
        </w:rPr>
        <w:t>Recent Work on Epistemic Entitlement</w:t>
      </w:r>
    </w:p>
    <w:p w14:paraId="113C90CC" w14:textId="5B8B90A3" w:rsidR="0061496C" w:rsidRDefault="0061496C" w:rsidP="00E53339">
      <w:pPr>
        <w:spacing w:line="276" w:lineRule="auto"/>
        <w:jc w:val="center"/>
        <w:rPr>
          <w:rFonts w:cs="Times New Roman"/>
          <w:color w:val="000000" w:themeColor="text1"/>
        </w:rPr>
      </w:pPr>
    </w:p>
    <w:p w14:paraId="1438B5B4" w14:textId="54D16060" w:rsidR="0061496C" w:rsidRDefault="0061496C" w:rsidP="00E53339">
      <w:pPr>
        <w:spacing w:line="276" w:lineRule="auto"/>
        <w:jc w:val="center"/>
        <w:rPr>
          <w:rFonts w:cs="Times New Roman"/>
          <w:color w:val="000000" w:themeColor="text1"/>
        </w:rPr>
      </w:pPr>
      <w:r>
        <w:rPr>
          <w:rFonts w:cs="Times New Roman"/>
          <w:color w:val="000000" w:themeColor="text1"/>
        </w:rPr>
        <w:t>Peter J. Graham</w:t>
      </w:r>
    </w:p>
    <w:p w14:paraId="7F6B2A7F" w14:textId="63159F82" w:rsidR="0061496C" w:rsidRDefault="0061496C" w:rsidP="00E53339">
      <w:pPr>
        <w:spacing w:line="276" w:lineRule="auto"/>
        <w:jc w:val="center"/>
        <w:rPr>
          <w:rFonts w:cs="Times New Roman"/>
          <w:color w:val="000000" w:themeColor="text1"/>
        </w:rPr>
      </w:pPr>
      <w:r>
        <w:rPr>
          <w:rFonts w:cs="Times New Roman"/>
          <w:color w:val="000000" w:themeColor="text1"/>
        </w:rPr>
        <w:t>University of California, Riverside</w:t>
      </w:r>
    </w:p>
    <w:p w14:paraId="4F9517D7" w14:textId="25C0763D" w:rsidR="0061496C" w:rsidRDefault="0061496C" w:rsidP="00E53339">
      <w:pPr>
        <w:spacing w:line="276" w:lineRule="auto"/>
        <w:jc w:val="center"/>
        <w:rPr>
          <w:rFonts w:cs="Times New Roman"/>
          <w:color w:val="000000" w:themeColor="text1"/>
        </w:rPr>
      </w:pPr>
    </w:p>
    <w:p w14:paraId="6384C18C" w14:textId="428BE69A" w:rsidR="0061496C" w:rsidRDefault="0061496C" w:rsidP="00E53339">
      <w:pPr>
        <w:spacing w:line="276" w:lineRule="auto"/>
        <w:jc w:val="center"/>
        <w:rPr>
          <w:rFonts w:cs="Times New Roman"/>
          <w:color w:val="000000" w:themeColor="text1"/>
        </w:rPr>
      </w:pPr>
      <w:r>
        <w:rPr>
          <w:rFonts w:cs="Times New Roman"/>
          <w:color w:val="000000" w:themeColor="text1"/>
        </w:rPr>
        <w:t>Nikolaj Jang Lee Linding Pedersen</w:t>
      </w:r>
    </w:p>
    <w:p w14:paraId="0C1A8348" w14:textId="4670B0DB" w:rsidR="0061496C" w:rsidRDefault="0061496C" w:rsidP="00E53339">
      <w:pPr>
        <w:spacing w:line="276" w:lineRule="auto"/>
        <w:jc w:val="center"/>
        <w:rPr>
          <w:rFonts w:cs="Times New Roman"/>
          <w:color w:val="000000" w:themeColor="text1"/>
        </w:rPr>
      </w:pPr>
      <w:r>
        <w:rPr>
          <w:rFonts w:cs="Times New Roman"/>
          <w:color w:val="000000" w:themeColor="text1"/>
        </w:rPr>
        <w:t>Underwood International College, Yonsei University</w:t>
      </w:r>
    </w:p>
    <w:p w14:paraId="6C3D90E8" w14:textId="77777777" w:rsidR="0061496C" w:rsidRPr="00860DA2" w:rsidRDefault="0061496C" w:rsidP="00E53339">
      <w:pPr>
        <w:spacing w:line="276" w:lineRule="auto"/>
        <w:jc w:val="center"/>
        <w:rPr>
          <w:rFonts w:cs="Times New Roman"/>
          <w:color w:val="000000" w:themeColor="text1"/>
        </w:rPr>
      </w:pPr>
    </w:p>
    <w:p w14:paraId="3AB04A66" w14:textId="77777777" w:rsidR="00767D24" w:rsidRPr="00860DA2" w:rsidRDefault="00767D24" w:rsidP="00E53339">
      <w:pPr>
        <w:spacing w:line="276" w:lineRule="auto"/>
        <w:rPr>
          <w:rFonts w:cs="Times New Roman"/>
          <w:color w:val="000000" w:themeColor="text1"/>
        </w:rPr>
      </w:pPr>
    </w:p>
    <w:p w14:paraId="1FFBCFAD" w14:textId="398B6737" w:rsidR="00E53339" w:rsidRPr="00860DA2" w:rsidRDefault="00D41D27" w:rsidP="00E53339">
      <w:pPr>
        <w:spacing w:line="276" w:lineRule="auto"/>
        <w:rPr>
          <w:rFonts w:cs="Times New Roman"/>
          <w:color w:val="000000" w:themeColor="text1"/>
        </w:rPr>
      </w:pPr>
      <w:r w:rsidRPr="00860DA2">
        <w:rPr>
          <w:rFonts w:cs="Times New Roman"/>
          <w:color w:val="000000" w:themeColor="text1"/>
        </w:rPr>
        <w:t>As</w:t>
      </w:r>
      <w:r w:rsidR="0058330D" w:rsidRPr="00860DA2">
        <w:rPr>
          <w:rFonts w:cs="Times New Roman"/>
          <w:color w:val="000000" w:themeColor="text1"/>
        </w:rPr>
        <w:t xml:space="preserve"> a </w:t>
      </w:r>
      <w:r w:rsidR="00B546DD" w:rsidRPr="00860DA2">
        <w:rPr>
          <w:rFonts w:cs="Times New Roman"/>
          <w:color w:val="000000" w:themeColor="text1"/>
        </w:rPr>
        <w:t>distinctive</w:t>
      </w:r>
      <w:r w:rsidR="0058330D" w:rsidRPr="00860DA2">
        <w:rPr>
          <w:rFonts w:cs="Times New Roman"/>
          <w:color w:val="000000" w:themeColor="text1"/>
        </w:rPr>
        <w:t xml:space="preserve"> notion</w:t>
      </w:r>
      <w:r w:rsidR="009A69B8" w:rsidRPr="00860DA2">
        <w:rPr>
          <w:rFonts w:cs="Times New Roman"/>
          <w:color w:val="000000" w:themeColor="text1"/>
        </w:rPr>
        <w:t xml:space="preserve"> in epistemology</w:t>
      </w:r>
      <w:r w:rsidRPr="00860DA2">
        <w:rPr>
          <w:rFonts w:cs="Times New Roman"/>
          <w:color w:val="000000" w:themeColor="text1"/>
        </w:rPr>
        <w:t>, entitlement</w:t>
      </w:r>
      <w:r w:rsidR="00CA41FF" w:rsidRPr="00860DA2">
        <w:rPr>
          <w:rFonts w:cs="Times New Roman"/>
          <w:color w:val="000000" w:themeColor="text1"/>
        </w:rPr>
        <w:t xml:space="preserve"> </w:t>
      </w:r>
      <w:r w:rsidR="00544D2A" w:rsidRPr="00860DA2">
        <w:rPr>
          <w:rFonts w:cs="Times New Roman"/>
          <w:color w:val="000000" w:themeColor="text1"/>
        </w:rPr>
        <w:t xml:space="preserve">is </w:t>
      </w:r>
      <w:r w:rsidRPr="00860DA2">
        <w:rPr>
          <w:rFonts w:cs="Times New Roman"/>
          <w:color w:val="000000" w:themeColor="text1"/>
        </w:rPr>
        <w:t xml:space="preserve">inextricably </w:t>
      </w:r>
      <w:r w:rsidR="00544D2A" w:rsidRPr="00860DA2">
        <w:rPr>
          <w:rFonts w:cs="Times New Roman"/>
          <w:color w:val="000000" w:themeColor="text1"/>
        </w:rPr>
        <w:t>intertwined with the outlooks of Tyler Burge and Crispin Wright.</w:t>
      </w:r>
      <w:r w:rsidR="00E74A95" w:rsidRPr="00860DA2">
        <w:rPr>
          <w:rFonts w:cs="Times New Roman"/>
          <w:color w:val="000000" w:themeColor="text1"/>
        </w:rPr>
        <w:t xml:space="preserve"> </w:t>
      </w:r>
      <w:r w:rsidR="00E93740" w:rsidRPr="00860DA2">
        <w:rPr>
          <w:rFonts w:cs="Times New Roman"/>
          <w:color w:val="000000" w:themeColor="text1"/>
        </w:rPr>
        <w:t xml:space="preserve">Burge </w:t>
      </w:r>
      <w:r w:rsidR="00CE6080" w:rsidRPr="00860DA2">
        <w:rPr>
          <w:rFonts w:cs="Times New Roman"/>
          <w:color w:val="000000" w:themeColor="text1"/>
        </w:rPr>
        <w:t xml:space="preserve">distinguished </w:t>
      </w:r>
      <w:r w:rsidR="004B435C" w:rsidRPr="00860DA2">
        <w:rPr>
          <w:rFonts w:cs="Times New Roman"/>
          <w:color w:val="000000" w:themeColor="text1"/>
        </w:rPr>
        <w:t>entitlement from justification</w:t>
      </w:r>
      <w:r w:rsidR="00E93740" w:rsidRPr="00860DA2">
        <w:rPr>
          <w:rFonts w:cs="Times New Roman"/>
          <w:color w:val="000000" w:themeColor="text1"/>
        </w:rPr>
        <w:t xml:space="preserve"> in ‘Content Preservation’ </w:t>
      </w:r>
      <w:r w:rsidR="00D43288" w:rsidRPr="00860DA2">
        <w:rPr>
          <w:rFonts w:cs="Times New Roman"/>
          <w:color w:val="000000" w:themeColor="text1"/>
        </w:rPr>
        <w:fldChar w:fldCharType="begin" w:fldLock="1"/>
      </w:r>
      <w:r w:rsidR="001E4BDB" w:rsidRPr="00860DA2">
        <w:rPr>
          <w:rFonts w:cs="Times New Roman"/>
          <w:color w:val="000000" w:themeColor="text1"/>
        </w:rPr>
        <w:instrText>ADDIN CSL_CITATION {"citationItems":[{"id":"ITEM-1","itemData":{"DOI":"10.2307/2185680","ISSN":"00318108","author":[{"dropping-particle":"","family":"Burge","given":"Tyler","non-dropping-particle":"","parse-names":false,"suffix":""}],"container-title":"The Philosophical Review","id":"ITEM-1","issue":"4","issued":{"date-parts":[["1993","10"]]},"page":"457","title":"Content Preservation","type":"article-journal","volume":"102"},"uris":["http://www.mendeley.com/documents/?uuid=f4792282-ab59-3729-884a-785a0b9b3f70"]}],"mendeley":{"formattedCitation":"(Burge 1993)","plainTextFormattedCitation":"(Burge 1993)","previouslyFormattedCitation":"(Burge 1993)"},"properties":{"noteIndex":0},"schema":"https://github.com/citation-style-language/schema/raw/master/csl-citation.json"}</w:instrText>
      </w:r>
      <w:r w:rsidR="00D43288" w:rsidRPr="00860DA2">
        <w:rPr>
          <w:rFonts w:cs="Times New Roman"/>
          <w:color w:val="000000" w:themeColor="text1"/>
        </w:rPr>
        <w:fldChar w:fldCharType="separate"/>
      </w:r>
      <w:r w:rsidR="00291E5E" w:rsidRPr="00860DA2">
        <w:rPr>
          <w:rFonts w:cs="Times New Roman"/>
          <w:noProof/>
          <w:color w:val="000000" w:themeColor="text1"/>
        </w:rPr>
        <w:t>(Burge 1993)</w:t>
      </w:r>
      <w:r w:rsidR="00D43288" w:rsidRPr="00860DA2">
        <w:rPr>
          <w:rFonts w:cs="Times New Roman"/>
          <w:color w:val="000000" w:themeColor="text1"/>
        </w:rPr>
        <w:fldChar w:fldCharType="end"/>
      </w:r>
      <w:r w:rsidR="00D35439" w:rsidRPr="00860DA2">
        <w:rPr>
          <w:rFonts w:cs="Times New Roman"/>
          <w:color w:val="000000" w:themeColor="text1"/>
        </w:rPr>
        <w:t xml:space="preserve"> </w:t>
      </w:r>
      <w:r w:rsidR="00E93740" w:rsidRPr="00860DA2">
        <w:rPr>
          <w:rFonts w:cs="Times New Roman"/>
          <w:color w:val="000000" w:themeColor="text1"/>
        </w:rPr>
        <w:t xml:space="preserve">and then elaborated in ‘Perceptual Entitlement’ </w:t>
      </w:r>
      <w:r w:rsidR="00D43288" w:rsidRPr="00860DA2">
        <w:rPr>
          <w:rFonts w:cs="Times New Roman"/>
          <w:color w:val="000000" w:themeColor="text1"/>
        </w:rPr>
        <w:fldChar w:fldCharType="begin" w:fldLock="1"/>
      </w:r>
      <w:r w:rsidR="00495A0C" w:rsidRPr="00860DA2">
        <w:rPr>
          <w:rFonts w:cs="Times New Roman"/>
          <w:color w:val="000000" w:themeColor="text1"/>
        </w:rPr>
        <w:instrText>ADDIN CSL_CITATION {"citationItems":[{"id":"ITEM-1","itemData":{"DOI":"10.1111/j.1933-1592.2003.tb00307.x","ISSN":"0031-8205","author":[{"dropping-particle":"","family":"Burge","given":"Tyler","non-dropping-particle":"","parse-names":false,"suffix":""}],"container-title":"Philosophy and Phenomenological Research","id":"ITEM-1","issue":"3","issued":{"date-parts":[["2003","11"]]},"page":"503-548","title":"Perceptual Entitlement","type":"article-journal","volume":"67"},"uris":["http://www.mendeley.com/documents/?uuid=bc082d70-f9a5-345e-b20d-e376e9cb0c96"]}],"mendeley":{"formattedCitation":"(Burge 2003)","plainTextFormattedCitation":"(Burge 2003)","previouslyFormattedCitation":"(Burge 2003)"},"properties":{"noteIndex":0},"schema":"https://github.com/citation-style-language/schema/raw/master/csl-citation.json"}</w:instrText>
      </w:r>
      <w:r w:rsidR="00D43288" w:rsidRPr="00860DA2">
        <w:rPr>
          <w:rFonts w:cs="Times New Roman"/>
          <w:color w:val="000000" w:themeColor="text1"/>
        </w:rPr>
        <w:fldChar w:fldCharType="separate"/>
      </w:r>
      <w:r w:rsidR="00BB7A4F" w:rsidRPr="00860DA2">
        <w:rPr>
          <w:rFonts w:cs="Times New Roman"/>
          <w:noProof/>
          <w:color w:val="000000" w:themeColor="text1"/>
        </w:rPr>
        <w:t>(Burge 2003</w:t>
      </w:r>
      <w:r w:rsidR="007556D7" w:rsidRPr="00860DA2">
        <w:rPr>
          <w:rFonts w:cs="Times New Roman"/>
          <w:noProof/>
          <w:color w:val="000000" w:themeColor="text1"/>
        </w:rPr>
        <w:t>a</w:t>
      </w:r>
      <w:r w:rsidR="00BB7A4F" w:rsidRPr="00860DA2">
        <w:rPr>
          <w:rFonts w:cs="Times New Roman"/>
          <w:noProof/>
          <w:color w:val="000000" w:themeColor="text1"/>
        </w:rPr>
        <w:t>)</w:t>
      </w:r>
      <w:r w:rsidR="00D43288" w:rsidRPr="00860DA2">
        <w:rPr>
          <w:rFonts w:cs="Times New Roman"/>
          <w:color w:val="000000" w:themeColor="text1"/>
        </w:rPr>
        <w:fldChar w:fldCharType="end"/>
      </w:r>
      <w:r w:rsidR="00E93740" w:rsidRPr="00860DA2">
        <w:rPr>
          <w:rFonts w:cs="Times New Roman"/>
          <w:color w:val="000000" w:themeColor="text1"/>
        </w:rPr>
        <w:t xml:space="preserve">. </w:t>
      </w:r>
      <w:r w:rsidR="004B435C" w:rsidRPr="00860DA2">
        <w:rPr>
          <w:rFonts w:cs="Times New Roman"/>
          <w:color w:val="000000" w:themeColor="text1"/>
        </w:rPr>
        <w:t xml:space="preserve">Burge’s </w:t>
      </w:r>
      <w:r w:rsidR="004B435C" w:rsidRPr="00860DA2">
        <w:rPr>
          <w:rFonts w:cs="Times New Roman"/>
          <w:i/>
          <w:color w:val="000000" w:themeColor="text1"/>
        </w:rPr>
        <w:t>Cognition Through Understanding</w:t>
      </w:r>
      <w:r w:rsidR="004B435C" w:rsidRPr="00860DA2">
        <w:rPr>
          <w:rFonts w:cs="Times New Roman"/>
          <w:color w:val="000000" w:themeColor="text1"/>
        </w:rPr>
        <w:t xml:space="preserve"> </w:t>
      </w:r>
      <w:r w:rsidR="004B435C" w:rsidRPr="00860DA2">
        <w:rPr>
          <w:rFonts w:cs="Times New Roman"/>
          <w:color w:val="000000" w:themeColor="text1"/>
        </w:rPr>
        <w:fldChar w:fldCharType="begin" w:fldLock="1"/>
      </w:r>
      <w:r w:rsidR="00495A0C" w:rsidRPr="00860DA2">
        <w:rPr>
          <w:rFonts w:cs="Times New Roman"/>
          <w:color w:val="000000" w:themeColor="text1"/>
        </w:rPr>
        <w:instrText>ADDIN CSL_CITATION {"citationItems":[{"id":"ITEM-1","itemData":{"DOI":"10.1093/acprof:oso/9780199672028.001.0001","ISBN":"9780199672028","author":[{"dropping-particle":"","family":"Burge","given":"Tyler","non-dropping-particle":"","parse-names":false,"suffix":""}],"id":"ITEM-1","issued":{"date-parts":[["2013","3","28"]]},"publisher":"Oxford University Press","title":"Cognition Through Understanding","type":"book"},"uris":["http://www.mendeley.com/documents/?uuid=504dc3f1-4f64-350d-9544-f9f70ee4d9b6"]}],"mendeley":{"formattedCitation":"(Burge 2013b)","plainTextFormattedCitation":"(Burge 2013b)","previouslyFormattedCitation":"(Burge 2013b)"},"properties":{"noteIndex":0},"schema":"https://github.com/citation-style-language/schema/raw/master/csl-citation.json"}</w:instrText>
      </w:r>
      <w:r w:rsidR="004B435C" w:rsidRPr="00860DA2">
        <w:rPr>
          <w:rFonts w:cs="Times New Roman"/>
          <w:color w:val="000000" w:themeColor="text1"/>
        </w:rPr>
        <w:fldChar w:fldCharType="separate"/>
      </w:r>
      <w:r w:rsidR="00BB7A4F" w:rsidRPr="00860DA2">
        <w:rPr>
          <w:rFonts w:cs="Times New Roman"/>
          <w:noProof/>
          <w:color w:val="000000" w:themeColor="text1"/>
        </w:rPr>
        <w:t>(Burge 2013</w:t>
      </w:r>
      <w:r w:rsidR="00180178" w:rsidRPr="00860DA2">
        <w:rPr>
          <w:rFonts w:cs="Times New Roman"/>
          <w:noProof/>
          <w:color w:val="000000" w:themeColor="text1"/>
        </w:rPr>
        <w:t>a</w:t>
      </w:r>
      <w:r w:rsidR="00BB7A4F" w:rsidRPr="00860DA2">
        <w:rPr>
          <w:rFonts w:cs="Times New Roman"/>
          <w:noProof/>
          <w:color w:val="000000" w:themeColor="text1"/>
        </w:rPr>
        <w:t>)</w:t>
      </w:r>
      <w:r w:rsidR="004B435C" w:rsidRPr="00860DA2">
        <w:rPr>
          <w:rFonts w:cs="Times New Roman"/>
          <w:color w:val="000000" w:themeColor="text1"/>
        </w:rPr>
        <w:fldChar w:fldCharType="end"/>
      </w:r>
      <w:r w:rsidR="004B435C" w:rsidRPr="00860DA2">
        <w:rPr>
          <w:rFonts w:cs="Times New Roman"/>
          <w:color w:val="000000" w:themeColor="text1"/>
        </w:rPr>
        <w:t xml:space="preserve"> includes three new related essays, and his ‘Entitlement: The Empirical Basis of Epistemic Warrant</w:t>
      </w:r>
      <w:r w:rsidR="00744282" w:rsidRPr="00860DA2">
        <w:rPr>
          <w:rFonts w:cs="Times New Roman"/>
          <w:color w:val="000000" w:themeColor="text1"/>
        </w:rPr>
        <w:t xml:space="preserve">’ (2019) is </w:t>
      </w:r>
      <w:r w:rsidRPr="00860DA2">
        <w:rPr>
          <w:rFonts w:cs="Times New Roman"/>
          <w:color w:val="000000" w:themeColor="text1"/>
        </w:rPr>
        <w:t>a book-length sequel to ‘Perceptual Entitlement’</w:t>
      </w:r>
      <w:r w:rsidR="004B435C" w:rsidRPr="00860DA2">
        <w:rPr>
          <w:rFonts w:cs="Times New Roman"/>
          <w:color w:val="000000" w:themeColor="text1"/>
        </w:rPr>
        <w:t>.</w:t>
      </w:r>
      <w:r w:rsidR="00E74A95" w:rsidRPr="00860DA2">
        <w:rPr>
          <w:rFonts w:cs="Times New Roman"/>
          <w:color w:val="000000" w:themeColor="text1"/>
        </w:rPr>
        <w:t xml:space="preserve"> </w:t>
      </w:r>
      <w:r w:rsidR="00E93740" w:rsidRPr="00860DA2">
        <w:rPr>
          <w:rFonts w:cs="Times New Roman"/>
          <w:color w:val="000000" w:themeColor="text1"/>
        </w:rPr>
        <w:t xml:space="preserve">Wright </w:t>
      </w:r>
      <w:r w:rsidR="006B2941" w:rsidRPr="00860DA2">
        <w:rPr>
          <w:rFonts w:cs="Times New Roman"/>
          <w:color w:val="000000" w:themeColor="text1"/>
        </w:rPr>
        <w:t xml:space="preserve">distinguished </w:t>
      </w:r>
      <w:r w:rsidR="004B435C" w:rsidRPr="00860DA2">
        <w:rPr>
          <w:rFonts w:cs="Times New Roman"/>
          <w:color w:val="000000" w:themeColor="text1"/>
        </w:rPr>
        <w:t>entitlement from justification</w:t>
      </w:r>
      <w:r w:rsidR="00E93740" w:rsidRPr="00860DA2">
        <w:rPr>
          <w:rFonts w:cs="Times New Roman"/>
          <w:color w:val="000000" w:themeColor="text1"/>
        </w:rPr>
        <w:t xml:space="preserve"> in </w:t>
      </w:r>
      <w:r w:rsidR="003069C0" w:rsidRPr="00860DA2">
        <w:rPr>
          <w:rFonts w:cs="Times New Roman"/>
          <w:color w:val="000000" w:themeColor="text1"/>
        </w:rPr>
        <w:t>‘Epistemic Entitlement: Warrant for Nothing (and Foundations for Free?)’</w:t>
      </w:r>
      <w:r w:rsidR="00D35439" w:rsidRPr="00860DA2">
        <w:rPr>
          <w:rFonts w:cs="Times New Roman"/>
          <w:color w:val="000000" w:themeColor="text1"/>
        </w:rPr>
        <w:t xml:space="preserve"> </w:t>
      </w:r>
      <w:r w:rsidR="00D43288" w:rsidRPr="00860DA2">
        <w:rPr>
          <w:rFonts w:cs="Times New Roman"/>
          <w:color w:val="000000" w:themeColor="text1"/>
        </w:rPr>
        <w:fldChar w:fldCharType="begin" w:fldLock="1"/>
      </w:r>
      <w:r w:rsidR="001E4BDB" w:rsidRPr="00860DA2">
        <w:rPr>
          <w:rFonts w:cs="Times New Roman"/>
          <w:color w:val="000000" w:themeColor="text1"/>
        </w:rPr>
        <w:instrText>ADDIN CSL_CITATION {"citationItems":[{"id":"ITEM-1","itemData":{"DOI":"10.1111/j.0309-7013.2004.00121.x","ISSN":"0309-7013","author":[{"dropping-particle":"","family":"Wright","given":"Crispin","non-dropping-particle":"","parse-names":false,"suffix":""}],"container-title":"Aristotelian Society Supplementary Volume","id":"ITEM-1","issue":"1","issued":{"date-parts":[["2004","7","1"]]},"page":"167-212","title":"&lt;i&gt;I—Crispin Wright&lt;/i&gt; : Warrant for Nothing (and Foundations for Free)?","type":"article-journal","volume":"78"},"uris":["http://www.mendeley.com/documents/?uuid=e4ba47b5-f682-3e70-99a6-3b7bd8466c98"]}],"mendeley":{"formattedCitation":"(Wright 2004)","plainTextFormattedCitation":"(Wright 2004)","previouslyFormattedCitation":"(Wright 2004)"},"properties":{"noteIndex":0},"schema":"https://github.com/citation-style-language/schema/raw/master/csl-citation.json"}</w:instrText>
      </w:r>
      <w:r w:rsidR="00D43288" w:rsidRPr="00860DA2">
        <w:rPr>
          <w:rFonts w:cs="Times New Roman"/>
          <w:color w:val="000000" w:themeColor="text1"/>
        </w:rPr>
        <w:fldChar w:fldCharType="separate"/>
      </w:r>
      <w:r w:rsidR="00291E5E" w:rsidRPr="00860DA2">
        <w:rPr>
          <w:rFonts w:cs="Times New Roman"/>
          <w:noProof/>
          <w:color w:val="000000" w:themeColor="text1"/>
        </w:rPr>
        <w:t>(Wright 2004)</w:t>
      </w:r>
      <w:r w:rsidR="00D43288" w:rsidRPr="00860DA2">
        <w:rPr>
          <w:rFonts w:cs="Times New Roman"/>
          <w:color w:val="000000" w:themeColor="text1"/>
        </w:rPr>
        <w:fldChar w:fldCharType="end"/>
      </w:r>
      <w:r w:rsidRPr="00860DA2">
        <w:rPr>
          <w:rFonts w:cs="Times New Roman"/>
          <w:color w:val="000000" w:themeColor="text1"/>
        </w:rPr>
        <w:t>,</w:t>
      </w:r>
      <w:r w:rsidR="00747029" w:rsidRPr="00860DA2">
        <w:rPr>
          <w:rFonts w:cs="Times New Roman"/>
          <w:color w:val="000000" w:themeColor="text1"/>
        </w:rPr>
        <w:t xml:space="preserve"> to which he </w:t>
      </w:r>
      <w:r w:rsidR="00E93740" w:rsidRPr="00860DA2">
        <w:rPr>
          <w:rFonts w:cs="Times New Roman"/>
          <w:color w:val="000000" w:themeColor="text1"/>
        </w:rPr>
        <w:t>recently published</w:t>
      </w:r>
      <w:r w:rsidR="00206DC0" w:rsidRPr="00860DA2">
        <w:rPr>
          <w:rFonts w:cs="Times New Roman"/>
          <w:color w:val="000000" w:themeColor="text1"/>
        </w:rPr>
        <w:t xml:space="preserve"> a</w:t>
      </w:r>
      <w:r w:rsidR="00E93740" w:rsidRPr="00860DA2">
        <w:rPr>
          <w:rFonts w:cs="Times New Roman"/>
          <w:color w:val="000000" w:themeColor="text1"/>
        </w:rPr>
        <w:t xml:space="preserve"> sequel</w:t>
      </w:r>
      <w:r w:rsidR="00097D0F" w:rsidRPr="00860DA2">
        <w:rPr>
          <w:rFonts w:cs="Times New Roman"/>
          <w:color w:val="000000" w:themeColor="text1"/>
        </w:rPr>
        <w:t>:</w:t>
      </w:r>
      <w:r w:rsidR="00E93740" w:rsidRPr="00860DA2">
        <w:rPr>
          <w:rFonts w:cs="Times New Roman"/>
          <w:color w:val="000000" w:themeColor="text1"/>
        </w:rPr>
        <w:t xml:space="preserve"> </w:t>
      </w:r>
      <w:r w:rsidR="00833F77" w:rsidRPr="00860DA2">
        <w:rPr>
          <w:rFonts w:cs="Times New Roman"/>
          <w:color w:val="000000" w:themeColor="text1"/>
        </w:rPr>
        <w:t>‘Epistemic Entitlement II: Welfare-State Epistemology’</w:t>
      </w:r>
      <w:r w:rsidR="00D35439" w:rsidRPr="00860DA2">
        <w:rPr>
          <w:rFonts w:cs="Times New Roman"/>
          <w:color w:val="000000" w:themeColor="text1"/>
        </w:rPr>
        <w:t xml:space="preserve"> </w:t>
      </w:r>
      <w:r w:rsidR="00D43288" w:rsidRPr="00860DA2">
        <w:rPr>
          <w:rFonts w:cs="Times New Roman"/>
          <w:color w:val="000000" w:themeColor="text1"/>
        </w:rPr>
        <w:fldChar w:fldCharType="begin" w:fldLock="1"/>
      </w:r>
      <w:r w:rsidR="001E4BDB" w:rsidRPr="00860DA2">
        <w:rPr>
          <w:rFonts w:cs="Times New Roman"/>
          <w:color w:val="000000" w:themeColor="text1"/>
        </w:rPr>
        <w:instrText>ADDIN CSL_CITATION {"citationItems":[{"id":"ITEM-1","itemData":{"DOI":"10.1093/acprof:oso/9780199658343.003.0011","author":[{"dropping-particle":"","family":"Wright","given":"Crispin","non-dropping-particle":"","parse-names":false,"suffix":""}],"container-title":"Scepticism and Perceptual Justification","id":"ITEM-1","issued":{"date-parts":[["2014","5","1"]]},"page":"213-247","publisher":"Oxford University Press","title":"On Epistemic Entitlement (II)","type":"chapter"},"uris":["http://www.mendeley.com/documents/?uuid=53c72cad-a73e-3e16-bb59-7849883204cd"]}],"mendeley":{"formattedCitation":"(Wright 2014)","plainTextFormattedCitation":"(Wright 2014)","previouslyFormattedCitation":"(Wright 2014)"},"properties":{"noteIndex":0},"schema":"https://github.com/citation-style-language/schema/raw/master/csl-citation.json"}</w:instrText>
      </w:r>
      <w:r w:rsidR="00D43288" w:rsidRPr="00860DA2">
        <w:rPr>
          <w:rFonts w:cs="Times New Roman"/>
          <w:color w:val="000000" w:themeColor="text1"/>
        </w:rPr>
        <w:fldChar w:fldCharType="separate"/>
      </w:r>
      <w:r w:rsidR="00291E5E" w:rsidRPr="00860DA2">
        <w:rPr>
          <w:rFonts w:cs="Times New Roman"/>
          <w:noProof/>
          <w:color w:val="000000" w:themeColor="text1"/>
        </w:rPr>
        <w:t>(Wright 2014)</w:t>
      </w:r>
      <w:r w:rsidR="00D43288" w:rsidRPr="00860DA2">
        <w:rPr>
          <w:rFonts w:cs="Times New Roman"/>
          <w:color w:val="000000" w:themeColor="text1"/>
        </w:rPr>
        <w:fldChar w:fldCharType="end"/>
      </w:r>
      <w:r w:rsidR="00544D2A" w:rsidRPr="00860DA2">
        <w:rPr>
          <w:rFonts w:cs="Times New Roman"/>
          <w:color w:val="000000" w:themeColor="text1"/>
        </w:rPr>
        <w:t xml:space="preserve">. </w:t>
      </w:r>
      <w:r w:rsidR="00CA41FF" w:rsidRPr="00860DA2">
        <w:rPr>
          <w:rFonts w:cs="Times New Roman"/>
          <w:color w:val="000000" w:themeColor="text1"/>
        </w:rPr>
        <w:t xml:space="preserve">A volume on </w:t>
      </w:r>
      <w:r w:rsidR="004B435C" w:rsidRPr="00860DA2">
        <w:rPr>
          <w:rFonts w:cs="Times New Roman"/>
          <w:color w:val="000000" w:themeColor="text1"/>
        </w:rPr>
        <w:t>Wright’s</w:t>
      </w:r>
      <w:r w:rsidR="00BD6A02" w:rsidRPr="00860DA2">
        <w:rPr>
          <w:rFonts w:cs="Times New Roman"/>
          <w:color w:val="000000" w:themeColor="text1"/>
        </w:rPr>
        <w:t xml:space="preserve"> work</w:t>
      </w:r>
      <w:r w:rsidR="00CA41FF" w:rsidRPr="00860DA2">
        <w:rPr>
          <w:rFonts w:cs="Times New Roman"/>
          <w:color w:val="000000" w:themeColor="text1"/>
        </w:rPr>
        <w:t xml:space="preserve"> was published </w:t>
      </w:r>
      <w:r w:rsidR="00BD6A02" w:rsidRPr="00860DA2">
        <w:rPr>
          <w:rFonts w:cs="Times New Roman"/>
          <w:color w:val="000000" w:themeColor="text1"/>
        </w:rPr>
        <w:t>just before,</w:t>
      </w:r>
      <w:r w:rsidR="00CA41FF" w:rsidRPr="00860DA2">
        <w:rPr>
          <w:rFonts w:cs="Times New Roman"/>
          <w:color w:val="000000" w:themeColor="text1"/>
        </w:rPr>
        <w:t xml:space="preserve"> with</w:t>
      </w:r>
      <w:r w:rsidR="006B2941" w:rsidRPr="00860DA2">
        <w:rPr>
          <w:rFonts w:cs="Times New Roman"/>
          <w:color w:val="000000" w:themeColor="text1"/>
        </w:rPr>
        <w:t xml:space="preserve"> his</w:t>
      </w:r>
      <w:r w:rsidR="00CA41FF" w:rsidRPr="00860DA2">
        <w:rPr>
          <w:rFonts w:cs="Times New Roman"/>
          <w:color w:val="000000" w:themeColor="text1"/>
        </w:rPr>
        <w:t xml:space="preserve"> replies</w:t>
      </w:r>
      <w:r w:rsidR="000123DC" w:rsidRPr="00860DA2">
        <w:rPr>
          <w:rFonts w:cs="Times New Roman"/>
          <w:color w:val="000000" w:themeColor="text1"/>
        </w:rPr>
        <w:t xml:space="preserve"> </w:t>
      </w:r>
      <w:r w:rsidR="000123DC" w:rsidRPr="00860DA2">
        <w:rPr>
          <w:rFonts w:cs="Times New Roman"/>
          <w:color w:val="000000" w:themeColor="text1"/>
        </w:rPr>
        <w:fldChar w:fldCharType="begin" w:fldLock="1"/>
      </w:r>
      <w:r w:rsidR="00645071" w:rsidRPr="00860DA2">
        <w:rPr>
          <w:rFonts w:cs="Times New Roman"/>
          <w:color w:val="000000" w:themeColor="text1"/>
        </w:rPr>
        <w:instrText>ADDIN CSL_CITATION {"citationItems":[{"id":"ITEM-1","itemData":{"ISBN":"9780199278053","author":[{"dropping-particle":"","family":"Coliva","given":"Annalisa","non-dropping-particle":"","parse-names":false,"suffix":""}],"id":"ITEM-1","issued":{"date-parts":[["2012"]]},"number-of-pages":"504","publisher":"Oxford University Press","title":"Mind, Meaning, and Knowledge: Themes from the Philosophy of Crispin Wright","type":"book"},"uris":["http://www.mendeley.com/documents/?uuid=a934b216-d63b-32c5-bbef-e9fbe7a0d6d1"]},{"id":"ITEM-2","itemData":{"DOI":"10.1093/acprof:oso/9780199278053.003.0018","author":[{"dropping-particle":"","family":"Wright","given":"Crispin","non-dropping-particle":"","parse-names":false,"suffix":""}],"container-title":"Mind, Meaning, and Knowledge","id":"ITEM-2","issued":{"date-parts":[["2012","10","4"]]},"page":"451-486","publisher":"Oxford University Press","title":"Replies Part IV: Warrant Transmission and Entitlement","type":"chapter"},"uris":["http://www.mendeley.com/documents/?uuid=43b59035-f5ec-35f8-8a39-1e149ee83529"]}],"mendeley":{"formattedCitation":"(Coliva 2012a; Wright 2012)","plainTextFormattedCitation":"(Coliva 2012a; Wright 2012)","previouslyFormattedCitation":"(Coliva 2012a; Wright 2012)"},"properties":{"noteIndex":0},"schema":"https://github.com/citation-style-language/schema/raw/master/csl-citation.json"}</w:instrText>
      </w:r>
      <w:r w:rsidR="000123DC" w:rsidRPr="00860DA2">
        <w:rPr>
          <w:rFonts w:cs="Times New Roman"/>
          <w:color w:val="000000" w:themeColor="text1"/>
        </w:rPr>
        <w:fldChar w:fldCharType="separate"/>
      </w:r>
      <w:r w:rsidR="000123DC" w:rsidRPr="00860DA2">
        <w:rPr>
          <w:rFonts w:cs="Times New Roman"/>
          <w:noProof/>
          <w:color w:val="000000" w:themeColor="text1"/>
        </w:rPr>
        <w:t>(Coliva 2012a; Wright 2012)</w:t>
      </w:r>
      <w:r w:rsidR="000123DC" w:rsidRPr="00860DA2">
        <w:rPr>
          <w:rFonts w:cs="Times New Roman"/>
          <w:color w:val="000000" w:themeColor="text1"/>
        </w:rPr>
        <w:fldChar w:fldCharType="end"/>
      </w:r>
      <w:r w:rsidR="00CA41FF" w:rsidRPr="00860DA2">
        <w:rPr>
          <w:rFonts w:cs="Times New Roman"/>
          <w:color w:val="000000" w:themeColor="text1"/>
        </w:rPr>
        <w:t>.</w:t>
      </w:r>
      <w:r w:rsidR="00E53339" w:rsidRPr="00860DA2">
        <w:rPr>
          <w:rStyle w:val="FootnoteReference"/>
          <w:rFonts w:cs="Times New Roman"/>
          <w:color w:val="000000" w:themeColor="text1"/>
        </w:rPr>
        <w:footnoteReference w:id="1"/>
      </w:r>
    </w:p>
    <w:p w14:paraId="1A5AE35D" w14:textId="3E227280"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The mid-century collapse of classical foundationalist approaches to empirical warrant associated with Locke, Hume, Mill, Moore and Russell—among many others—forms the backdrop for the respective projects of Burge and Wright. The classical foundationalist conceived empirical warrant on the model of axiomatic methods in logic and mathematics, especially Euclidean geometry. Basic, self-evident truths formed a foundation that supported theorems through self-evident demonstrative steps involving abstract, general epistemic principles. Since garden-variety perceptual beliefs are far from self-evident, the classical </w:t>
      </w:r>
      <w:r w:rsidRPr="00860DA2">
        <w:rPr>
          <w:rFonts w:cs="Times New Roman"/>
          <w:color w:val="000000" w:themeColor="text1"/>
        </w:rPr>
        <w:lastRenderedPageBreak/>
        <w:t>foundationalist saw introspective beliefs about perceptions as the secure starting points instead, for they were (allegedly) self-evident “enough”: infallible, incorrigible, or indefeasible. Empirical beliefs are then warranted from secure reasoning from these secure starting points.</w:t>
      </w:r>
    </w:p>
    <w:p w14:paraId="084F87B8" w14:textId="5E53EC84"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Once dominant, this approach eventually collapsed, for the alleged secure starting points do not exist and the steps are insufficiently secure. Coherentism emerged first but also soon collapsed, for it too failed to account for empirical warrant. The now dominant position is modest foundationalism, the view that perceptual representations contribute to an immediate, fallible, defeasible warrant for the perceptual beliefs they normally cause and sustain. </w:t>
      </w:r>
      <w:r w:rsidRPr="00D27C57">
        <w:rPr>
          <w:rFonts w:cs="Times New Roman"/>
          <w:color w:val="000000" w:themeColor="text1"/>
        </w:rPr>
        <w:t>Modest foundationalism can take an externalist-reliabilist or an internalist-evidentialist form.</w:t>
      </w:r>
      <w:r>
        <w:rPr>
          <w:rStyle w:val="FootnoteReference"/>
          <w:rFonts w:cs="Times New Roman"/>
          <w:color w:val="000000" w:themeColor="text1"/>
        </w:rPr>
        <w:footnoteReference w:id="2"/>
      </w:r>
      <w:r w:rsidRPr="00D27C57">
        <w:rPr>
          <w:rFonts w:cs="Times New Roman"/>
          <w:color w:val="000000" w:themeColor="text1"/>
        </w:rPr>
        <w:t xml:space="preserve">  Burge works within the externalist-reliabilist approach. Wright works within the internalist-evidentialist approach. Their introductions of entitlement, however, richly complicates both approaches. Hence the ongoing interest in epistemic entitlement.</w:t>
      </w:r>
    </w:p>
    <w:p w14:paraId="6E164853" w14:textId="5CCB4ABC"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 xml:space="preserve">We review their projects in light of recent work from and surrounding both philosophers. Our review dispels three misunderstandings. First, Burge and Wright are not involved in a common “entitlement” project. Second, though for both Wright and Burge </w:t>
      </w:r>
      <w:r w:rsidRPr="00D27C57">
        <w:rPr>
          <w:rFonts w:cs="Times New Roman"/>
          <w:i/>
          <w:color w:val="000000" w:themeColor="text1"/>
        </w:rPr>
        <w:t>entitlement</w:t>
      </w:r>
      <w:r w:rsidRPr="00D27C57">
        <w:rPr>
          <w:rFonts w:cs="Times New Roman"/>
          <w:color w:val="000000" w:themeColor="text1"/>
        </w:rPr>
        <w:t xml:space="preserve"> is the new notion, “entitlement” is not some altogether </w:t>
      </w:r>
      <w:r w:rsidRPr="00D27C57">
        <w:rPr>
          <w:rFonts w:cs="Times New Roman"/>
          <w:i/>
          <w:color w:val="000000" w:themeColor="text1"/>
        </w:rPr>
        <w:t>third</w:t>
      </w:r>
      <w:r w:rsidRPr="00D27C57">
        <w:rPr>
          <w:rFonts w:cs="Times New Roman"/>
          <w:color w:val="000000" w:themeColor="text1"/>
        </w:rPr>
        <w:t xml:space="preserve"> topic not clearly connected to the nature of knowledge or the encounter with skepticism. Third, entitlement vs. justification does not align with the externalism vs. internalism distinction.</w:t>
      </w:r>
      <w:r w:rsidRPr="00D27C57">
        <w:rPr>
          <w:rStyle w:val="FootnoteReference"/>
          <w:rFonts w:cs="Times New Roman"/>
          <w:color w:val="000000" w:themeColor="text1"/>
        </w:rPr>
        <w:footnoteReference w:id="3"/>
      </w:r>
    </w:p>
    <w:p w14:paraId="67E197FA" w14:textId="77777777" w:rsidR="00E53339" w:rsidRPr="006C7784" w:rsidRDefault="00E53339" w:rsidP="00E53339">
      <w:pPr>
        <w:spacing w:line="276" w:lineRule="auto"/>
        <w:rPr>
          <w:rFonts w:cs="Times New Roman"/>
          <w:color w:val="000000" w:themeColor="text1"/>
        </w:rPr>
      </w:pPr>
    </w:p>
    <w:p w14:paraId="3EFB099D" w14:textId="5C14B7C9" w:rsidR="00E53339" w:rsidRPr="00860DA2" w:rsidRDefault="00E53339" w:rsidP="00E53339">
      <w:pPr>
        <w:pStyle w:val="ListParagraph"/>
        <w:numPr>
          <w:ilvl w:val="0"/>
          <w:numId w:val="32"/>
        </w:numPr>
        <w:spacing w:line="276" w:lineRule="auto"/>
        <w:rPr>
          <w:rFonts w:cs="Times New Roman"/>
          <w:color w:val="000000" w:themeColor="text1"/>
        </w:rPr>
      </w:pPr>
      <w:r w:rsidRPr="006C7784">
        <w:rPr>
          <w:rFonts w:cs="Times New Roman"/>
          <w:b/>
          <w:color w:val="000000" w:themeColor="text1"/>
        </w:rPr>
        <w:t xml:space="preserve">Burge: </w:t>
      </w:r>
      <w:r w:rsidRPr="00860DA2">
        <w:rPr>
          <w:rFonts w:cs="Times New Roman"/>
          <w:b/>
          <w:color w:val="000000" w:themeColor="text1"/>
        </w:rPr>
        <w:t>Warrant Without Reasons.</w:t>
      </w:r>
    </w:p>
    <w:p w14:paraId="7C93DE34" w14:textId="77777777" w:rsidR="0095316C" w:rsidRDefault="0095316C" w:rsidP="00E53339">
      <w:pPr>
        <w:spacing w:line="276" w:lineRule="auto"/>
        <w:rPr>
          <w:rFonts w:cs="Times New Roman"/>
          <w:color w:val="000000" w:themeColor="text1"/>
        </w:rPr>
      </w:pPr>
    </w:p>
    <w:p w14:paraId="3FAC9025" w14:textId="329E4398" w:rsidR="00E53339" w:rsidRPr="00860DA2" w:rsidRDefault="00E53339" w:rsidP="00E53339">
      <w:pPr>
        <w:spacing w:line="276" w:lineRule="auto"/>
        <w:rPr>
          <w:rFonts w:cs="Times New Roman"/>
          <w:color w:val="000000" w:themeColor="text1"/>
        </w:rPr>
      </w:pPr>
      <w:r w:rsidRPr="00D27C57">
        <w:rPr>
          <w:rFonts w:cs="Times New Roman"/>
          <w:color w:val="000000" w:themeColor="text1"/>
        </w:rPr>
        <w:t>Burge’s distinction falls within his proper function, reliable competence account of warrant.</w:t>
      </w:r>
      <w:r w:rsidRPr="00860DA2">
        <w:rPr>
          <w:rFonts w:cs="Times New Roman"/>
          <w:color w:val="000000" w:themeColor="text1"/>
        </w:rPr>
        <w:t xml:space="preserve"> </w:t>
      </w:r>
      <w:r w:rsidRPr="00D27C57">
        <w:rPr>
          <w:rFonts w:cs="Times New Roman"/>
          <w:color w:val="000000" w:themeColor="text1"/>
        </w:rPr>
        <w:t>Warrant consists in meeting natural norms constitutively associated with belief’s representational (non-biological) function</w:t>
      </w:r>
      <w:r w:rsidRPr="00860DA2">
        <w:rPr>
          <w:rFonts w:cs="Times New Roman"/>
          <w:color w:val="000000" w:themeColor="text1"/>
        </w:rPr>
        <w:t xml:space="preserve">. </w:t>
      </w:r>
      <w:r w:rsidRPr="00D27C57">
        <w:rPr>
          <w:rFonts w:cs="Times New Roman"/>
          <w:color w:val="000000" w:themeColor="text1"/>
        </w:rPr>
        <w:t>The function of belief is truth. The function of demonstrative reasoning is to preserve the truth of the premises and support the truth of the conclusion. Belief and reasoning have these functions regardless of the aims or purposes of the subject</w:t>
      </w:r>
      <w:r w:rsidRPr="00860DA2">
        <w:rPr>
          <w:rFonts w:cs="Times New Roman"/>
          <w:color w:val="000000" w:themeColor="text1"/>
        </w:rPr>
        <w:t xml:space="preserve">. These functions determine natural norms. </w:t>
      </w:r>
      <w:r w:rsidRPr="00D27C57">
        <w:rPr>
          <w:rFonts w:cs="Times New Roman"/>
          <w:color w:val="000000" w:themeColor="text1"/>
        </w:rPr>
        <w:t>Natural norms need not be represented, endorsed, or serve as guides. Warrant consists in meeting a natural norm associated with belief’s representational function.</w:t>
      </w:r>
      <w:r w:rsidRPr="00860DA2">
        <w:rPr>
          <w:rFonts w:cs="Times New Roman"/>
          <w:color w:val="000000" w:themeColor="text1"/>
        </w:rPr>
        <w:t xml:space="preserve"> The natural norm </w:t>
      </w:r>
      <w:r w:rsidRPr="00D27C57">
        <w:rPr>
          <w:rFonts w:cs="Times New Roman"/>
          <w:color w:val="000000" w:themeColor="text1"/>
        </w:rPr>
        <w:t>for warrant requires the normal functioning of the belief forming competence, provided the competence is reliable in normal conditions when functioning normally. Warrant thus consists in the normal exercise of reliable competence</w:t>
      </w:r>
      <w:r w:rsidRPr="00860DA2">
        <w:rPr>
          <w:rFonts w:cs="Times New Roman"/>
          <w:color w:val="000000" w:themeColor="text1"/>
        </w:rPr>
        <w:t xml:space="preserve"> (Burge 2003a</w:t>
      </w:r>
      <w:r w:rsidRPr="006C7784">
        <w:rPr>
          <w:rFonts w:cs="Times New Roman"/>
          <w:color w:val="000000" w:themeColor="text1"/>
        </w:rPr>
        <w:t>, 2010a, 1999</w:t>
      </w:r>
      <w:r w:rsidRPr="00860DA2">
        <w:rPr>
          <w:rFonts w:cs="Times New Roman"/>
          <w:color w:val="000000" w:themeColor="text1"/>
        </w:rPr>
        <w:t>).</w:t>
      </w:r>
    </w:p>
    <w:p w14:paraId="5A22B98D" w14:textId="206CE968"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When philosophers refer to </w:t>
      </w:r>
      <w:r w:rsidRPr="00D27C57">
        <w:rPr>
          <w:rFonts w:cs="Times New Roman"/>
          <w:color w:val="000000" w:themeColor="text1"/>
        </w:rPr>
        <w:t>Burge’s distinction between entitlement and justification</w:t>
      </w:r>
      <w:r w:rsidRPr="00860DA2">
        <w:rPr>
          <w:rFonts w:cs="Times New Roman"/>
          <w:color w:val="000000" w:themeColor="text1"/>
        </w:rPr>
        <w:t xml:space="preserve">, they typically cite </w:t>
      </w:r>
      <w:r w:rsidRPr="00860DA2">
        <w:rPr>
          <w:rFonts w:cs="Times New Roman"/>
          <w:color w:val="000000" w:themeColor="text1"/>
        </w:rPr>
        <w:fldChar w:fldCharType="begin" w:fldLock="1"/>
      </w:r>
      <w:r w:rsidRPr="00860DA2">
        <w:rPr>
          <w:rFonts w:cs="Times New Roman"/>
          <w:color w:val="000000" w:themeColor="text1"/>
        </w:rPr>
        <w:instrText>ADDIN CSL_CITATION {"citationItems":[{"id":"ITEM-1","itemData":{"DOI":"10.2307/2185680","ISSN":"00318108","author":[{"dropping-particle":"","family":"Burge","given":"Tyler","non-dropping-particle":"","parse-names":false,"suffix":""}],"container-title":"The Philosophical Review","id":"ITEM-1","issue":"4","issued":{"date-parts":[["1993","10"]]},"page":"457","title":"Content Preservation","type":"article-journal","volume":"102"},"uris":["http://www.mendeley.com/documents/?uuid=f4792282-ab59-3729-884a-785a0b9b3f70"]}],"mendeley":{"formattedCitation":"(Burge 1993)","plainTextFormattedCitation":"(Burge 1993)","previouslyFormattedCitation":"(Burge 1993)"},"properties":{"noteIndex":0},"schema":"https://github.com/citation-style-language/schema/raw/master/csl-citation.json"}</w:instrText>
      </w:r>
      <w:r w:rsidRPr="00860DA2">
        <w:rPr>
          <w:rFonts w:cs="Times New Roman"/>
          <w:color w:val="000000" w:themeColor="text1"/>
        </w:rPr>
        <w:fldChar w:fldCharType="separate"/>
      </w:r>
      <w:r w:rsidRPr="00860DA2">
        <w:rPr>
          <w:rFonts w:cs="Times New Roman"/>
          <w:noProof/>
          <w:color w:val="000000" w:themeColor="text1"/>
        </w:rPr>
        <w:t>(Burge 1993)</w:t>
      </w:r>
      <w:r w:rsidRPr="00860DA2">
        <w:rPr>
          <w:rFonts w:cs="Times New Roman"/>
          <w:color w:val="000000" w:themeColor="text1"/>
        </w:rPr>
        <w:fldChar w:fldCharType="end"/>
      </w:r>
      <w:r w:rsidRPr="00860DA2">
        <w:rPr>
          <w:rFonts w:cs="Times New Roman"/>
          <w:color w:val="000000" w:themeColor="text1"/>
        </w:rPr>
        <w:t xml:space="preserve"> or </w:t>
      </w:r>
      <w:r w:rsidRPr="00860DA2">
        <w:rPr>
          <w:rFonts w:cs="Times New Roman"/>
          <w:color w:val="000000" w:themeColor="text1"/>
        </w:rPr>
        <w:fldChar w:fldCharType="begin" w:fldLock="1"/>
      </w:r>
      <w:r w:rsidRPr="00860DA2">
        <w:rPr>
          <w:rFonts w:cs="Times New Roman"/>
          <w:color w:val="000000" w:themeColor="text1"/>
        </w:rPr>
        <w:instrText>ADDIN CSL_CITATION {"citationItems":[{"id":"ITEM-1","itemData":{"DOI":"10.1111/j.1933-1592.2003.tb00307.x","ISSN":"0031-8205","author":[{"dropping-particle":"","family":"Burge","given":"Tyler","non-dropping-particle":"","parse-names":false,"suffix":""}],"container-title":"Philosophy and Phenomenological Research","id":"ITEM-1","issue":"3","issued":{"date-parts":[["2003","11"]]},"page":"503-548","title":"Perceptual Entitlement","type":"article-journal","volume":"67"},"uris":["http://www.mendeley.com/documents/?uuid=bc082d70-f9a5-345e-b20d-e376e9cb0c96"]}],"mendeley":{"formattedCitation":"(Burge 2003)","plainTextFormattedCitation":"(Burge 2003)","previouslyFormattedCitation":"(Burge 2003)"},"properties":{"noteIndex":0},"schema":"https://github.com/citation-style-language/schema/raw/master/csl-citation.json"}</w:instrText>
      </w:r>
      <w:r w:rsidRPr="00860DA2">
        <w:rPr>
          <w:rFonts w:cs="Times New Roman"/>
          <w:color w:val="000000" w:themeColor="text1"/>
        </w:rPr>
        <w:fldChar w:fldCharType="separate"/>
      </w:r>
      <w:r w:rsidRPr="00860DA2">
        <w:rPr>
          <w:rFonts w:cs="Times New Roman"/>
          <w:noProof/>
          <w:color w:val="000000" w:themeColor="text1"/>
        </w:rPr>
        <w:t>(Burge 2003</w:t>
      </w:r>
      <w:r w:rsidRPr="006C7784">
        <w:rPr>
          <w:rFonts w:cs="Times New Roman"/>
          <w:noProof/>
          <w:color w:val="000000" w:themeColor="text1"/>
        </w:rPr>
        <w:t>a)</w:t>
      </w:r>
      <w:r w:rsidRPr="00860DA2">
        <w:rPr>
          <w:rFonts w:cs="Times New Roman"/>
          <w:color w:val="000000" w:themeColor="text1"/>
        </w:rPr>
        <w:fldChar w:fldCharType="end"/>
      </w:r>
      <w:r w:rsidRPr="00860DA2">
        <w:rPr>
          <w:rFonts w:cs="Times New Roman"/>
          <w:color w:val="000000" w:themeColor="text1"/>
        </w:rPr>
        <w:t xml:space="preserve">. Most don’t know that he’s substantially changed </w:t>
      </w:r>
      <w:r w:rsidRPr="00860DA2">
        <w:rPr>
          <w:rFonts w:cs="Times New Roman"/>
          <w:color w:val="000000" w:themeColor="text1"/>
        </w:rPr>
        <w:lastRenderedPageBreak/>
        <w:t>his formulation (2013b, pp. 27-28). Interpretations occur in Casullo (2007), Neta (2010), Silins (2012), Wri</w:t>
      </w:r>
      <w:r w:rsidRPr="006C7784">
        <w:rPr>
          <w:rFonts w:cs="Times New Roman"/>
          <w:color w:val="000000" w:themeColor="text1"/>
        </w:rPr>
        <w:t>ght (2014), Majors (2015) and Graham (in-press b), among others.</w:t>
      </w:r>
      <w:r w:rsidRPr="00860DA2">
        <w:rPr>
          <w:rStyle w:val="FootnoteReference"/>
          <w:rFonts w:cs="Times New Roman"/>
          <w:color w:val="000000" w:themeColor="text1"/>
        </w:rPr>
        <w:footnoteReference w:id="4"/>
      </w:r>
    </w:p>
    <w:p w14:paraId="01353576" w14:textId="7777777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Here’s </w:t>
      </w:r>
      <w:r w:rsidRPr="00D27C57">
        <w:rPr>
          <w:rFonts w:cs="Times New Roman"/>
          <w:color w:val="000000" w:themeColor="text1"/>
        </w:rPr>
        <w:t>Burge’s first formulation</w:t>
      </w:r>
      <w:r w:rsidRPr="00860DA2">
        <w:rPr>
          <w:rFonts w:cs="Times New Roman"/>
          <w:color w:val="000000" w:themeColor="text1"/>
        </w:rPr>
        <w:t>:</w:t>
      </w:r>
    </w:p>
    <w:p w14:paraId="71509E2C" w14:textId="77777777" w:rsidR="00E53339" w:rsidRPr="006C7784" w:rsidRDefault="00E53339" w:rsidP="00E53339">
      <w:pPr>
        <w:spacing w:line="276" w:lineRule="auto"/>
        <w:rPr>
          <w:rFonts w:cs="Times New Roman"/>
          <w:color w:val="000000" w:themeColor="text1"/>
        </w:rPr>
      </w:pPr>
    </w:p>
    <w:p w14:paraId="3CD0E191" w14:textId="77777777" w:rsidR="00E53339" w:rsidRPr="00860DA2" w:rsidRDefault="00E53339" w:rsidP="00E53339">
      <w:pPr>
        <w:spacing w:line="276" w:lineRule="auto"/>
        <w:ind w:left="360"/>
        <w:rPr>
          <w:rFonts w:cs="Times New Roman"/>
          <w:color w:val="000000" w:themeColor="text1"/>
        </w:rPr>
      </w:pPr>
      <w:r w:rsidRPr="006C7784">
        <w:rPr>
          <w:rFonts w:cs="Times New Roman"/>
          <w:color w:val="000000" w:themeColor="text1"/>
        </w:rPr>
        <w:t>[E]ntitlements</w:t>
      </w:r>
      <w:r w:rsidRPr="00860DA2">
        <w:rPr>
          <w:rFonts w:cs="Times New Roman"/>
          <w:color w:val="000000" w:themeColor="text1"/>
        </w:rPr>
        <w:t xml:space="preserve"> are…warrants that need not be understood or even accessible to the subject…Justifications…involve reasons that people have and </w:t>
      </w:r>
      <w:r w:rsidRPr="00860DA2">
        <w:rPr>
          <w:rFonts w:cs="Times New Roman"/>
          <w:i/>
          <w:color w:val="000000" w:themeColor="text1"/>
        </w:rPr>
        <w:t>have access to</w:t>
      </w:r>
      <w:r w:rsidRPr="00860DA2">
        <w:rPr>
          <w:rFonts w:cs="Times New Roman"/>
          <w:color w:val="000000" w:themeColor="text1"/>
        </w:rPr>
        <w:t xml:space="preserve"> (1993, p. 459, emphasis added).</w:t>
      </w:r>
    </w:p>
    <w:p w14:paraId="346A4620" w14:textId="77777777" w:rsidR="00E53339" w:rsidRPr="00860DA2" w:rsidRDefault="00E53339" w:rsidP="00E53339">
      <w:pPr>
        <w:spacing w:line="276" w:lineRule="auto"/>
        <w:rPr>
          <w:rFonts w:cs="Times New Roman"/>
          <w:color w:val="000000" w:themeColor="text1"/>
        </w:rPr>
      </w:pPr>
    </w:p>
    <w:p w14:paraId="6C111A48" w14:textId="77777777" w:rsidR="00E53339" w:rsidRPr="006C7784" w:rsidRDefault="00E53339" w:rsidP="00E53339">
      <w:pPr>
        <w:spacing w:line="276" w:lineRule="auto"/>
        <w:rPr>
          <w:rFonts w:cs="Times New Roman"/>
          <w:color w:val="000000" w:themeColor="text1"/>
        </w:rPr>
      </w:pPr>
      <w:r w:rsidRPr="00D27C57">
        <w:rPr>
          <w:rFonts w:cs="Times New Roman"/>
          <w:color w:val="000000" w:themeColor="text1"/>
        </w:rPr>
        <w:t xml:space="preserve">Justifications </w:t>
      </w:r>
      <w:r w:rsidRPr="00D27C57">
        <w:rPr>
          <w:rFonts w:cs="Times New Roman"/>
          <w:i/>
          <w:color w:val="000000" w:themeColor="text1"/>
        </w:rPr>
        <w:t>as warrants</w:t>
      </w:r>
      <w:r w:rsidRPr="00D27C57">
        <w:rPr>
          <w:rFonts w:cs="Times New Roman"/>
          <w:color w:val="000000" w:themeColor="text1"/>
        </w:rPr>
        <w:t xml:space="preserve"> are then normal exercises of reliable competencies </w:t>
      </w:r>
      <w:r w:rsidRPr="00D27C57">
        <w:rPr>
          <w:rFonts w:cs="Times New Roman"/>
          <w:i/>
          <w:color w:val="000000" w:themeColor="text1"/>
        </w:rPr>
        <w:t>that involve accessible reasons</w:t>
      </w:r>
      <w:r w:rsidRPr="00D27C57">
        <w:rPr>
          <w:rFonts w:cs="Times New Roman"/>
          <w:color w:val="000000" w:themeColor="text1"/>
        </w:rPr>
        <w:t xml:space="preserve">. Entitlements </w:t>
      </w:r>
      <w:r w:rsidRPr="00D27C57">
        <w:rPr>
          <w:rFonts w:cs="Times New Roman"/>
          <w:i/>
          <w:color w:val="000000" w:themeColor="text1"/>
        </w:rPr>
        <w:t>as warrants</w:t>
      </w:r>
      <w:r w:rsidRPr="00D27C57">
        <w:rPr>
          <w:rFonts w:cs="Times New Roman"/>
          <w:color w:val="000000" w:themeColor="text1"/>
        </w:rPr>
        <w:t xml:space="preserve"> are then normal exercises that don’t</w:t>
      </w:r>
      <w:r w:rsidRPr="00860DA2">
        <w:rPr>
          <w:rFonts w:cs="Times New Roman"/>
          <w:color w:val="000000" w:themeColor="text1"/>
        </w:rPr>
        <w:t>. Was an accessible reason operative? If yes, the warrant is a justification. If no, an entitlement.</w:t>
      </w:r>
    </w:p>
    <w:p w14:paraId="24FE76DD" w14:textId="11ED459F"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t>How does Burge understand reasons?</w:t>
      </w:r>
      <w:r w:rsidRPr="00860DA2">
        <w:rPr>
          <w:rStyle w:val="FootnoteReference"/>
          <w:rFonts w:cs="Times New Roman"/>
          <w:color w:val="000000" w:themeColor="text1"/>
        </w:rPr>
        <w:footnoteReference w:id="5"/>
      </w:r>
    </w:p>
    <w:p w14:paraId="5122C44A" w14:textId="77777777"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Burge sees reasons as constitutively associated with the faculty of reason and the activity of reasoning </w:t>
      </w:r>
      <w:r w:rsidRPr="00860DA2">
        <w:rPr>
          <w:rFonts w:cs="Times New Roman"/>
          <w:color w:val="000000" w:themeColor="text1"/>
        </w:rPr>
        <w:fldChar w:fldCharType="begin" w:fldLock="1"/>
      </w:r>
      <w:r w:rsidRPr="00860DA2">
        <w:rPr>
          <w:rFonts w:cs="Times New Roman"/>
          <w:color w:val="000000" w:themeColor="text1"/>
        </w:rPr>
        <w:instrText>ADDIN CSL_CITATION {"citationItems":[{"id":"ITEM-1","itemData":{"author":[{"dropping-particle":"","family":"Burge","given":"Tyler","non-dropping-particle":"","parse-names":false,"suffix":""}],"container-title":"Cognition Through Understanding","id":"ITEM-1","issued":{"date-parts":[["2013"]]},"publisher":"Oxford University Press","publisher-place":"Oxford, UK","title":"Introduction","type":"chapter"},"uris":["http://www.mendeley.com/documents/?uuid=f6f95936-075b-484e-aae8-9034afb16b25"]}],"mendeley":{"formattedCitation":"(Burge 2013a)","manualFormatting":"(Burge 2013a, pp. 193, 392)","plainTextFormattedCitation":"(Burge 2013a)","previouslyFormattedCitation":"(Burge 2013a)"},"properties":{"noteIndex":0},"schema":"https://github.com/citation-style-language/schema/raw/master/csl-citation.json"}</w:instrText>
      </w:r>
      <w:r w:rsidRPr="00860DA2">
        <w:rPr>
          <w:rFonts w:cs="Times New Roman"/>
          <w:color w:val="000000" w:themeColor="text1"/>
        </w:rPr>
        <w:fldChar w:fldCharType="separate"/>
      </w:r>
      <w:r w:rsidRPr="00860DA2">
        <w:rPr>
          <w:rFonts w:cs="Times New Roman"/>
          <w:noProof/>
          <w:color w:val="000000" w:themeColor="text1"/>
        </w:rPr>
        <w:t>(Burge 2013a, pp. 193, 392)</w:t>
      </w:r>
      <w:r w:rsidRPr="00860DA2">
        <w:rPr>
          <w:rFonts w:cs="Times New Roman"/>
          <w:color w:val="000000" w:themeColor="text1"/>
        </w:rPr>
        <w:fldChar w:fldCharType="end"/>
      </w:r>
      <w:r w:rsidRPr="00860DA2">
        <w:rPr>
          <w:rFonts w:cs="Times New Roman"/>
          <w:color w:val="000000" w:themeColor="text1"/>
        </w:rPr>
        <w:t>. In the first instance, reason is the ability to reason deductively. Reasoning is the exercise of that ability. P</w:t>
      </w:r>
      <w:r w:rsidRPr="006C7784">
        <w:rPr>
          <w:rFonts w:cs="Times New Roman"/>
          <w:color w:val="000000" w:themeColor="text1"/>
        </w:rPr>
        <w:t>aradigm instances of reasons are steps—premises—in deductive reasoning, in arguments for conclusions. He thereby respects a traditional view going back to the Greeks and culminating in Leibniz and Kant.</w:t>
      </w:r>
    </w:p>
    <w:p w14:paraId="60FAA8AD" w14:textId="77777777"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For Burge, with Leibniz and Kant, reasons are explanatory and justificatory. Reasons provide answers to actual and potential ‘why’ questions</w:t>
      </w:r>
      <w:r w:rsidRPr="00860DA2">
        <w:rPr>
          <w:rFonts w:cs="Times New Roman"/>
          <w:color w:val="000000" w:themeColor="text1"/>
        </w:rPr>
        <w:t>: reasons are steps in actual or potential explanation</w:t>
      </w:r>
      <w:r w:rsidRPr="006C7784">
        <w:rPr>
          <w:rFonts w:cs="Times New Roman"/>
          <w:color w:val="000000" w:themeColor="text1"/>
        </w:rPr>
        <w:t>s (2013a, pp. 193, 489-90). But against Leibniz and Kant, reasons are not explanations for truths. Instead, when it comes to reasons for belief</w:t>
      </w:r>
      <w:r w:rsidRPr="00D27C57">
        <w:rPr>
          <w:rFonts w:cs="Times New Roman"/>
          <w:color w:val="000000" w:themeColor="text1"/>
        </w:rPr>
        <w:t>, reasons explain the belief-worthiness of a belief for an individual; reasons explain the ground for a conclusion. That’s why they are also justificatory.</w:t>
      </w:r>
    </w:p>
    <w:p w14:paraId="71301197" w14:textId="5A37196E" w:rsidR="00E53339" w:rsidRPr="006C7784" w:rsidRDefault="00E53339" w:rsidP="00E53339">
      <w:pPr>
        <w:spacing w:line="276" w:lineRule="auto"/>
        <w:ind w:firstLine="360"/>
        <w:rPr>
          <w:rFonts w:cs="Times New Roman"/>
          <w:color w:val="000000" w:themeColor="text1"/>
        </w:rPr>
      </w:pPr>
      <w:r w:rsidRPr="00D27C57">
        <w:rPr>
          <w:rFonts w:cs="Times New Roman"/>
          <w:color w:val="000000" w:themeColor="text1"/>
        </w:rPr>
        <w:t>As explanatory, reasons are necessarily propositional, and so representational, for only propositions can answer why-questions</w:t>
      </w:r>
      <w:r w:rsidRPr="00860DA2">
        <w:rPr>
          <w:rFonts w:cs="Times New Roman"/>
          <w:color w:val="000000" w:themeColor="text1"/>
        </w:rPr>
        <w:t xml:space="preserve"> (2013a, p. 490). </w:t>
      </w:r>
      <w:r w:rsidRPr="006C7784">
        <w:rPr>
          <w:rFonts w:cs="Times New Roman"/>
          <w:color w:val="000000" w:themeColor="text1"/>
        </w:rPr>
        <w:t xml:space="preserve"> This conception of reasons as propositional and representational means reasons are not worldly facts, objects and events. </w:t>
      </w:r>
      <w:r w:rsidRPr="00D27C57">
        <w:rPr>
          <w:rFonts w:cs="Times New Roman"/>
          <w:color w:val="000000" w:themeColor="text1"/>
        </w:rPr>
        <w:t xml:space="preserve">Worldly facts </w:t>
      </w:r>
      <w:r w:rsidRPr="00D27C57">
        <w:rPr>
          <w:rFonts w:cs="Times New Roman"/>
          <w:i/>
          <w:color w:val="000000" w:themeColor="text1"/>
        </w:rPr>
        <w:t>ground</w:t>
      </w:r>
      <w:r w:rsidRPr="00D27C57">
        <w:rPr>
          <w:rFonts w:cs="Times New Roman"/>
          <w:color w:val="000000" w:themeColor="text1"/>
        </w:rPr>
        <w:t xml:space="preserve"> reasons, they cannot </w:t>
      </w:r>
      <w:r w:rsidRPr="00D27C57">
        <w:rPr>
          <w:rFonts w:cs="Times New Roman"/>
          <w:i/>
          <w:color w:val="000000" w:themeColor="text1"/>
        </w:rPr>
        <w:t>be</w:t>
      </w:r>
      <w:r w:rsidRPr="00D27C57">
        <w:rPr>
          <w:rFonts w:cs="Times New Roman"/>
          <w:color w:val="000000" w:themeColor="text1"/>
        </w:rPr>
        <w:t xml:space="preserve"> reasons</w:t>
      </w:r>
      <w:r w:rsidRPr="00860DA2">
        <w:rPr>
          <w:rFonts w:cs="Times New Roman"/>
          <w:color w:val="000000" w:themeColor="text1"/>
        </w:rPr>
        <w:t xml:space="preserve"> (2013a, pp. 192-3). Non-representational sensations and non-propositional perceptual representations cannot be reasons either. A sensation or a perce</w:t>
      </w:r>
      <w:r w:rsidRPr="006C7784">
        <w:rPr>
          <w:rFonts w:cs="Times New Roman"/>
          <w:color w:val="000000" w:themeColor="text1"/>
        </w:rPr>
        <w:t>ption is not a reason for belief. That’s the ontology of reasons.</w:t>
      </w:r>
    </w:p>
    <w:p w14:paraId="33D367BF" w14:textId="54C8275B"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Reason differs from critical reason. Critical reason is a higher-order, reflective ability. It involves the ability to meta-represent representational states; the ability to represent them as </w:t>
      </w:r>
      <w:r w:rsidRPr="00860DA2">
        <w:rPr>
          <w:rFonts w:cs="Times New Roman"/>
          <w:color w:val="000000" w:themeColor="text1"/>
        </w:rPr>
        <w:lastRenderedPageBreak/>
        <w:t>reasons; the ability to think epistemic concepts—</w:t>
      </w:r>
      <w:r w:rsidRPr="00860DA2">
        <w:rPr>
          <w:rFonts w:cs="Times New Roman"/>
          <w:color w:val="000000" w:themeColor="text1"/>
          <w:u w:val="single"/>
        </w:rPr>
        <w:t>truth</w:t>
      </w:r>
      <w:r w:rsidRPr="00860DA2">
        <w:rPr>
          <w:rFonts w:cs="Times New Roman"/>
          <w:color w:val="000000" w:themeColor="text1"/>
        </w:rPr>
        <w:t xml:space="preserve">, </w:t>
      </w:r>
      <w:r w:rsidRPr="00860DA2">
        <w:rPr>
          <w:rFonts w:cs="Times New Roman"/>
          <w:color w:val="000000" w:themeColor="text1"/>
          <w:u w:val="single"/>
        </w:rPr>
        <w:t>reliability</w:t>
      </w:r>
      <w:r w:rsidRPr="00860DA2">
        <w:rPr>
          <w:rFonts w:cs="Times New Roman"/>
          <w:color w:val="000000" w:themeColor="text1"/>
        </w:rPr>
        <w:t xml:space="preserve">, </w:t>
      </w:r>
      <w:r w:rsidRPr="00860DA2">
        <w:rPr>
          <w:rFonts w:cs="Times New Roman"/>
          <w:color w:val="000000" w:themeColor="text1"/>
          <w:u w:val="single"/>
        </w:rPr>
        <w:t>knowledge</w:t>
      </w:r>
      <w:r w:rsidRPr="00860DA2">
        <w:rPr>
          <w:rFonts w:cs="Times New Roman"/>
          <w:color w:val="000000" w:themeColor="text1"/>
        </w:rPr>
        <w:t xml:space="preserve">, </w:t>
      </w:r>
      <w:r w:rsidRPr="00860DA2">
        <w:rPr>
          <w:rFonts w:cs="Times New Roman"/>
          <w:color w:val="000000" w:themeColor="text1"/>
          <w:u w:val="single"/>
        </w:rPr>
        <w:t>warrant</w:t>
      </w:r>
      <w:r w:rsidRPr="00860DA2">
        <w:rPr>
          <w:rFonts w:cs="Times New Roman"/>
          <w:color w:val="000000" w:themeColor="text1"/>
        </w:rPr>
        <w:t xml:space="preserve">, </w:t>
      </w:r>
      <w:r w:rsidRPr="00860DA2">
        <w:rPr>
          <w:rFonts w:cs="Times New Roman"/>
          <w:color w:val="000000" w:themeColor="text1"/>
          <w:u w:val="single"/>
        </w:rPr>
        <w:t>normal conditions</w:t>
      </w:r>
      <w:r w:rsidRPr="00860DA2">
        <w:rPr>
          <w:rFonts w:cs="Times New Roman"/>
          <w:color w:val="000000" w:themeColor="text1"/>
        </w:rPr>
        <w:t xml:space="preserve">, </w:t>
      </w:r>
      <w:r w:rsidRPr="00860DA2">
        <w:rPr>
          <w:rFonts w:cs="Times New Roman"/>
          <w:color w:val="000000" w:themeColor="text1"/>
          <w:u w:val="single"/>
        </w:rPr>
        <w:t>defeating conditions</w:t>
      </w:r>
      <w:r w:rsidRPr="00860DA2">
        <w:rPr>
          <w:rFonts w:cs="Times New Roman"/>
          <w:color w:val="000000" w:themeColor="text1"/>
        </w:rPr>
        <w:t>, etc.; and the ability to think general epistemic principles concerning the conditions for epistemic warrant and knowledge.</w:t>
      </w:r>
    </w:p>
    <w:p w14:paraId="1EADDA06" w14:textId="7CC7DBD1" w:rsidR="00E53339" w:rsidRPr="006C7784"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Burge claims having reason and reasons does not require critical reason and critical reasons. </w:t>
      </w:r>
      <w:r w:rsidRPr="00D27C57">
        <w:rPr>
          <w:rFonts w:cs="Times New Roman"/>
          <w:color w:val="000000" w:themeColor="text1"/>
        </w:rPr>
        <w:t>Having reason and reasons thus does not require the ability to cite one’s reasons as explanations for the belief-worthiness of the conclusion. The explanation can be in one’s psycholog</w:t>
      </w:r>
      <w:r w:rsidRPr="00860DA2">
        <w:rPr>
          <w:rFonts w:cs="Times New Roman"/>
          <w:color w:val="000000" w:themeColor="text1"/>
        </w:rPr>
        <w:t>y without the individual being able to give t</w:t>
      </w:r>
      <w:r w:rsidRPr="006C7784">
        <w:rPr>
          <w:rFonts w:cs="Times New Roman"/>
          <w:color w:val="000000" w:themeColor="text1"/>
        </w:rPr>
        <w:t>he explanation (2013a, pp. 109, 193, 391, 397).</w:t>
      </w:r>
    </w:p>
    <w:p w14:paraId="0E91D9F8" w14:textId="338F2B8D"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Burge gives </w:t>
      </w:r>
      <w:r w:rsidRPr="00D27C57">
        <w:rPr>
          <w:rFonts w:cs="Times New Roman"/>
          <w:color w:val="000000" w:themeColor="text1"/>
        </w:rPr>
        <w:t>two categories of beliefs warranted by reasons: beliefs warranted by self-sufficient premises, and beliefs warranted by other warranted beliefs through reasoning</w:t>
      </w:r>
      <w:r w:rsidRPr="00860DA2">
        <w:rPr>
          <w:rFonts w:cs="Times New Roman"/>
          <w:color w:val="000000" w:themeColor="text1"/>
        </w:rPr>
        <w:t xml:space="preserve"> (2013a, p. 367).</w:t>
      </w:r>
    </w:p>
    <w:p w14:paraId="0C63C501" w14:textId="77777777" w:rsidR="00E53339" w:rsidRPr="006C7784" w:rsidRDefault="00E53339" w:rsidP="00E53339">
      <w:pPr>
        <w:spacing w:line="276" w:lineRule="auto"/>
        <w:ind w:firstLine="360"/>
        <w:rPr>
          <w:rFonts w:cs="Times New Roman"/>
          <w:color w:val="000000" w:themeColor="text1"/>
        </w:rPr>
      </w:pPr>
      <w:r w:rsidRPr="00D27C57">
        <w:rPr>
          <w:rFonts w:cs="Times New Roman"/>
          <w:color w:val="000000" w:themeColor="text1"/>
        </w:rPr>
        <w:t>The former</w:t>
      </w:r>
      <w:r w:rsidRPr="00860DA2">
        <w:rPr>
          <w:rFonts w:cs="Times New Roman"/>
          <w:color w:val="000000" w:themeColor="text1"/>
        </w:rPr>
        <w:t xml:space="preserve"> includes understanding </w:t>
      </w:r>
      <w:r w:rsidRPr="006C7784">
        <w:rPr>
          <w:rFonts w:cs="Times New Roman"/>
          <w:i/>
          <w:color w:val="000000" w:themeColor="text1"/>
        </w:rPr>
        <w:t>cogito</w:t>
      </w:r>
      <w:r w:rsidRPr="006C7784">
        <w:rPr>
          <w:rFonts w:cs="Times New Roman"/>
          <w:color w:val="000000" w:themeColor="text1"/>
        </w:rPr>
        <w:t xml:space="preserve"> thoughts and simple logical and mathematical truths. Our warrant for believing these thoughts resides in understanding them. </w:t>
      </w:r>
      <w:r w:rsidRPr="00D27C57">
        <w:rPr>
          <w:rFonts w:cs="Times New Roman"/>
          <w:color w:val="000000" w:themeColor="text1"/>
        </w:rPr>
        <w:t>These beliefs are self-evident; they constitute reasons for themselves (2013b, pp. 14, 48; cf. Audi 2018). Understanding them suffices to make the reasonability of accepting them self-explanatory</w:t>
      </w:r>
      <w:r w:rsidRPr="00860DA2">
        <w:rPr>
          <w:rFonts w:cs="Times New Roman"/>
          <w:color w:val="000000" w:themeColor="text1"/>
        </w:rPr>
        <w:t>.</w:t>
      </w:r>
    </w:p>
    <w:p w14:paraId="1F5788F8" w14:textId="6D2A5478"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In warranted reasoning</w:t>
      </w:r>
      <w:r w:rsidRPr="00860DA2">
        <w:rPr>
          <w:rFonts w:cs="Times New Roman"/>
          <w:color w:val="000000" w:themeColor="text1"/>
        </w:rPr>
        <w:t>, the warranted premises are the reasons for the conclusion; they c</w:t>
      </w:r>
      <w:r w:rsidRPr="006C7784">
        <w:rPr>
          <w:rFonts w:cs="Times New Roman"/>
          <w:color w:val="000000" w:themeColor="text1"/>
        </w:rPr>
        <w:t>ombine with a competence with an inference rule to provide rational support for the conclusion. The premises combined with the rule provide some “insight” into the nature of the connection between the premises and the conclusion for the individual (2013b, p. 43</w:t>
      </w:r>
      <w:r w:rsidRPr="00D27C57">
        <w:rPr>
          <w:rFonts w:cs="Times New Roman"/>
          <w:color w:val="000000" w:themeColor="text1"/>
        </w:rPr>
        <w:t>). The course of good reasoning from premises P, Q, R to conclusion C provides an answer to the question: why conclude C? The premises are thereby reasons.</w:t>
      </w:r>
    </w:p>
    <w:p w14:paraId="2114B7C8" w14:textId="08AA2F6A"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Associative inferences on the other hand—whether innate or learned—do not involve reasoning.</w:t>
      </w:r>
      <w:r w:rsidRPr="00860DA2">
        <w:rPr>
          <w:rFonts w:cs="Times New Roman"/>
          <w:color w:val="000000" w:themeColor="text1"/>
        </w:rPr>
        <w:t xml:space="preserve"> Th</w:t>
      </w:r>
      <w:r w:rsidRPr="006C7784">
        <w:rPr>
          <w:rFonts w:cs="Times New Roman"/>
          <w:color w:val="000000" w:themeColor="text1"/>
        </w:rPr>
        <w:t xml:space="preserve">e premises—though propositional and representational—are not reasons, for they do not combine with an inference rule so as to function as reasons. </w:t>
      </w:r>
    </w:p>
    <w:p w14:paraId="37894C9C" w14:textId="5CDAAB3E"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In self-evidence cases, reasons are propositions </w:t>
      </w:r>
      <w:r w:rsidRPr="00860DA2">
        <w:rPr>
          <w:rFonts w:cs="Times New Roman"/>
          <w:i/>
          <w:color w:val="000000" w:themeColor="text1"/>
        </w:rPr>
        <w:t>understood</w:t>
      </w:r>
      <w:r w:rsidRPr="00860DA2">
        <w:rPr>
          <w:rFonts w:cs="Times New Roman"/>
          <w:color w:val="000000" w:themeColor="text1"/>
        </w:rPr>
        <w:t xml:space="preserve">. In reasoning cases, reasons are warranted propositional attitudes (premises) that </w:t>
      </w:r>
      <w:r w:rsidRPr="00860DA2">
        <w:rPr>
          <w:rFonts w:cs="Times New Roman"/>
          <w:i/>
          <w:color w:val="000000" w:themeColor="text1"/>
        </w:rPr>
        <w:t>combine with a competence with an inference rule</w:t>
      </w:r>
      <w:r w:rsidRPr="00860DA2">
        <w:rPr>
          <w:rFonts w:cs="Times New Roman"/>
          <w:color w:val="000000" w:themeColor="text1"/>
        </w:rPr>
        <w:t>. Animals lack understanding of self-evident propositions. But if an animal reasons, it has reasons for some of its beliefs.</w:t>
      </w:r>
    </w:p>
    <w:p w14:paraId="0C5B712F" w14:textId="56584709"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 xml:space="preserve">On Burge’s original formulation, justification are warrants involving accessible reasons; entitlements are warrants without accessible reasons. </w:t>
      </w:r>
      <w:r w:rsidRPr="00D27C57">
        <w:rPr>
          <w:color w:val="000000" w:themeColor="text1"/>
        </w:rPr>
        <w:t>So understood Burge’s distinction is orthogonal to the inferential vs. non-inferential warrant distinction</w:t>
      </w:r>
      <w:r w:rsidRPr="00860DA2">
        <w:rPr>
          <w:color w:val="000000" w:themeColor="text1"/>
        </w:rPr>
        <w:t>. Some justifications are non-inferen</w:t>
      </w:r>
      <w:r w:rsidRPr="006C7784">
        <w:rPr>
          <w:color w:val="000000" w:themeColor="text1"/>
        </w:rPr>
        <w:t>tial (self-evidence cases—they involve reasons) and some entitlements are inferential (associative inference ca</w:t>
      </w:r>
      <w:r w:rsidRPr="00860DA2">
        <w:rPr>
          <w:color w:val="000000" w:themeColor="text1"/>
        </w:rPr>
        <w:t xml:space="preserve">ses—they do not involve reasons [Burge </w:t>
      </w:r>
      <w:r w:rsidRPr="00860DA2">
        <w:rPr>
          <w:rFonts w:cs="Times New Roman"/>
          <w:noProof/>
          <w:color w:val="000000" w:themeColor="text1"/>
        </w:rPr>
        <w:t>2013a, pp. 493-5</w:t>
      </w:r>
      <w:r w:rsidRPr="00D27C57">
        <w:rPr>
          <w:rFonts w:cs="Times New Roman"/>
          <w:noProof/>
          <w:color w:val="000000" w:themeColor="text1"/>
        </w:rPr>
        <w:t>]</w:t>
      </w:r>
      <w:r w:rsidRPr="00D27C57">
        <w:rPr>
          <w:color w:val="000000" w:themeColor="text1"/>
        </w:rPr>
        <w:t xml:space="preserve">), </w:t>
      </w:r>
      <w:r w:rsidRPr="00D27C57">
        <w:rPr>
          <w:rFonts w:cs="Times New Roman"/>
          <w:i/>
          <w:color w:val="000000" w:themeColor="text1"/>
        </w:rPr>
        <w:t>pace</w:t>
      </w:r>
      <w:r w:rsidRPr="00D27C57">
        <w:rPr>
          <w:rFonts w:cs="Times New Roman"/>
          <w:color w:val="000000" w:themeColor="text1"/>
        </w:rPr>
        <w:t xml:space="preserve"> interpretations from </w:t>
      </w:r>
      <w:r w:rsidRPr="00D27C57">
        <w:rPr>
          <w:rFonts w:cs="Times New Roman"/>
          <w:color w:val="000000" w:themeColor="text1"/>
        </w:rPr>
        <w:fldChar w:fldCharType="begin" w:fldLock="1"/>
      </w:r>
      <w:r w:rsidRPr="00D27C57">
        <w:rPr>
          <w:rFonts w:cs="Times New Roman"/>
          <w:color w:val="000000" w:themeColor="text1"/>
        </w:rPr>
        <w:instrText>ADDIN CSL_CITATION {"citationItems":[{"id":"ITEM-1","itemData":{"ISBN":"9780199577477","author":[{"dropping-particle":"","family":"Neta","given":"Ram","non-dropping-particle":"","parse-names":false,"suffix":""}],"container-title":"Social Epistemology","editor":[{"dropping-particle":"","family":"Haddock","given":"Adrian","non-dropping-particle":"","parse-names":false,"suffix":""},{"dropping-particle":"","family":"Millar","given":"Alan","non-dropping-particle":"","parse-names":false,"suffix":""},{"dropping-particle":"","family":"Pritchard","given":"Duncan","non-dropping-particle":"","parse-names":false,"suffix":""}],"id":"ITEM-1","issued":{"date-parts":[["2010"]]},"page":"370","title":"Can A Priori Entitlement be Preserved by Testimony?","type":"chapter"},"uris":["http://www.mendeley.com/documents/?uuid=edbd828a-f488-4c27-a8b6-73af8fb8c2cd"]}],"mendeley":{"formattedCitation":"(Neta 2010)","manualFormatting":"Neta (2010, p. 197)","plainTextFormattedCitation":"(Neta 2010)","previouslyFormattedCitation":"(Neta 2010)"},"properties":{"noteIndex":0},"schema":"https://github.com/citation-style-language/schema/raw/master/csl-citation.json"}</w:instrText>
      </w:r>
      <w:r w:rsidRPr="00D27C57">
        <w:rPr>
          <w:rFonts w:cs="Times New Roman"/>
          <w:color w:val="000000" w:themeColor="text1"/>
        </w:rPr>
        <w:fldChar w:fldCharType="separate"/>
      </w:r>
      <w:r w:rsidRPr="00D27C57">
        <w:rPr>
          <w:rFonts w:cs="Times New Roman"/>
          <w:noProof/>
          <w:color w:val="000000" w:themeColor="text1"/>
        </w:rPr>
        <w:t>Neta (2010, p. 197)</w:t>
      </w:r>
      <w:r w:rsidRPr="00D27C57">
        <w:rPr>
          <w:rFonts w:cs="Times New Roman"/>
          <w:color w:val="000000" w:themeColor="text1"/>
        </w:rPr>
        <w:fldChar w:fldCharType="end"/>
      </w:r>
      <w:r w:rsidRPr="00D27C57">
        <w:rPr>
          <w:rFonts w:cs="Times New Roman"/>
          <w:color w:val="000000" w:themeColor="text1"/>
        </w:rPr>
        <w:t xml:space="preserve">, Wright </w:t>
      </w:r>
      <w:r w:rsidRPr="00D27C57">
        <w:rPr>
          <w:rFonts w:cs="Times New Roman"/>
          <w:color w:val="000000" w:themeColor="text1"/>
        </w:rPr>
        <w:fldChar w:fldCharType="begin" w:fldLock="1"/>
      </w:r>
      <w:r w:rsidRPr="00D27C57">
        <w:rPr>
          <w:rFonts w:cs="Times New Roman"/>
          <w:color w:val="000000" w:themeColor="text1"/>
        </w:rPr>
        <w:instrText>ADDIN CSL_CITATION {"citationItems":[{"id":"ITEM-1","itemData":{"DOI":"10.1093/acprof:oso/9780199658343.003.0011","author":[{"dropping-particle":"","family":"Wright","given":"Crispin","non-dropping-particle":"","parse-names":false,"suffix":""}],"container-title":"Scepticism and Perceptual Justification","id":"ITEM-1","issued":{"date-parts":[["2014","5","1"]]},"page":"213-247","publisher":"Oxford University Press","title":"On Epistemic Entitlement (II)","type":"chapter"},"uris":["http://www.mendeley.com/documents/?uuid=53c72cad-a73e-3e16-bb59-7849883204cd"]}],"mendeley":{"formattedCitation":"(Wright 2014)","manualFormatting":"(2014, p. 223)","plainTextFormattedCitation":"(Wright 2014)","previouslyFormattedCitation":"(Wright 2014)"},"properties":{"noteIndex":0},"schema":"https://github.com/citation-style-language/schema/raw/master/csl-citation.json"}</w:instrText>
      </w:r>
      <w:r w:rsidRPr="00D27C57">
        <w:rPr>
          <w:rFonts w:cs="Times New Roman"/>
          <w:color w:val="000000" w:themeColor="text1"/>
        </w:rPr>
        <w:fldChar w:fldCharType="separate"/>
      </w:r>
      <w:r w:rsidRPr="00D27C57">
        <w:rPr>
          <w:rFonts w:cs="Times New Roman"/>
          <w:noProof/>
          <w:color w:val="000000" w:themeColor="text1"/>
        </w:rPr>
        <w:t>(2014, p. 223)</w:t>
      </w:r>
      <w:r w:rsidRPr="00D27C57">
        <w:rPr>
          <w:rFonts w:cs="Times New Roman"/>
          <w:color w:val="000000" w:themeColor="text1"/>
        </w:rPr>
        <w:fldChar w:fldCharType="end"/>
      </w:r>
      <w:r w:rsidRPr="00D27C57">
        <w:rPr>
          <w:rFonts w:cs="Times New Roman"/>
          <w:color w:val="000000" w:themeColor="text1"/>
        </w:rPr>
        <w:t xml:space="preserve"> and </w:t>
      </w:r>
      <w:r w:rsidRPr="00D27C57">
        <w:rPr>
          <w:rFonts w:cs="Times New Roman"/>
          <w:color w:val="000000" w:themeColor="text1"/>
        </w:rPr>
        <w:fldChar w:fldCharType="begin" w:fldLock="1"/>
      </w:r>
      <w:r w:rsidRPr="00D27C57">
        <w:rPr>
          <w:rFonts w:cs="Times New Roman"/>
          <w:color w:val="000000" w:themeColor="text1"/>
        </w:rPr>
        <w:instrText>ADDIN CSL_CITATION {"citationItems":[{"id":"ITEM-1","itemData":{"DOI":"10.1017/epi.2014.26","ISSN":"1742-3600","abstract":"A growing number of authors defend putative examples of knowledge from falsehood (KFF), inferential knowledge based in a critical or essential way on false premises, and they argue that KFF has important implications for many areas of epistemology (whether evidence can be false, the Gettier debate, defeasibility theories of knowledge, etc.). I argue, however, that there is no KFF, because in any supposed example either the falsehood does not contribute to the knowledge or the subject lacks knowledge. In particular, I show that if the subject actually has knowledge in putative KFF cases, then there is always a veridical evidential path meeting the basing conditions that accounts for her knowledge; if there is no such path, then the subject is in a type of Gettier case. All the recent arguments that rely on KFF are therefore based on a mistake.","author":[{"dropping-particle":"","family":"Schnee","given":"Ian","non-dropping-particle":"","parse-names":false,"suffix":""}],"container-title":"Episteme","id":"ITEM-1","issue":"01","issued":{"date-parts":[["2015","3","7"]]},"page":"53-74","publisher":"Cambridge University Press","title":"There is no Knowledge from Falsehood","type":"article-journal","volume":"12"},"uris":["http://www.mendeley.com/documents/?uuid=58e47c29-c2e5-38eb-9500-041e70e0285b"]}],"mendeley":{"formattedCitation":"(Schnee 2015)","manualFormatting":"Schnee (2015, p. 1104)","plainTextFormattedCitation":"(Schnee 2015)","previouslyFormattedCitation":"(Schnee 2015)"},"properties":{"noteIndex":0},"schema":"https://github.com/citation-style-language/schema/raw/master/csl-citation.json"}</w:instrText>
      </w:r>
      <w:r w:rsidRPr="00D27C57">
        <w:rPr>
          <w:rFonts w:cs="Times New Roman"/>
          <w:color w:val="000000" w:themeColor="text1"/>
        </w:rPr>
        <w:fldChar w:fldCharType="separate"/>
      </w:r>
      <w:r w:rsidRPr="00D27C57">
        <w:rPr>
          <w:rFonts w:cs="Times New Roman"/>
          <w:noProof/>
          <w:color w:val="000000" w:themeColor="text1"/>
        </w:rPr>
        <w:t>Schnee (2015, p. 1104)</w:t>
      </w:r>
      <w:r w:rsidRPr="00D27C57">
        <w:rPr>
          <w:rFonts w:cs="Times New Roman"/>
          <w:color w:val="000000" w:themeColor="text1"/>
        </w:rPr>
        <w:fldChar w:fldCharType="end"/>
      </w:r>
      <w:r w:rsidRPr="00D27C57">
        <w:rPr>
          <w:rFonts w:cs="Times New Roman"/>
          <w:color w:val="000000" w:themeColor="text1"/>
        </w:rPr>
        <w:t>.</w:t>
      </w:r>
      <w:r w:rsidRPr="00D27C57">
        <w:rPr>
          <w:rStyle w:val="FootnoteReference"/>
          <w:rFonts w:cs="Times New Roman"/>
          <w:color w:val="000000" w:themeColor="text1"/>
        </w:rPr>
        <w:footnoteReference w:id="6"/>
      </w:r>
    </w:p>
    <w:p w14:paraId="2EB556DB" w14:textId="77777777"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t>We’ve just reviewed his view of reasons</w:t>
      </w:r>
      <w:r w:rsidRPr="00D27C57">
        <w:rPr>
          <w:rFonts w:cs="Times New Roman"/>
          <w:color w:val="000000" w:themeColor="text1"/>
        </w:rPr>
        <w:t xml:space="preserve">. How does he conceive of </w:t>
      </w:r>
      <w:r w:rsidRPr="00D27C57">
        <w:rPr>
          <w:rFonts w:cs="Times New Roman"/>
          <w:i/>
          <w:color w:val="000000" w:themeColor="text1"/>
        </w:rPr>
        <w:t>access</w:t>
      </w:r>
      <w:r w:rsidRPr="00D27C57">
        <w:rPr>
          <w:rFonts w:cs="Times New Roman"/>
          <w:color w:val="000000" w:themeColor="text1"/>
        </w:rPr>
        <w:t>?</w:t>
      </w:r>
    </w:p>
    <w:p w14:paraId="408B02DD" w14:textId="2633DD16"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lastRenderedPageBreak/>
        <w:t xml:space="preserve">The strongest grade of access would require the exercise of reflective critical reason—higher-order epistemic access to the epistemic quality of one’s reasons. </w:t>
      </w:r>
      <w:r w:rsidRPr="00860DA2">
        <w:rPr>
          <w:rFonts w:cs="Times New Roman"/>
          <w:color w:val="000000" w:themeColor="text1"/>
        </w:rPr>
        <w:t>Animals, small children, and ordinary adults lack accessible reasons in this sense.</w:t>
      </w:r>
    </w:p>
    <w:p w14:paraId="2FF9C010" w14:textId="46542E85"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An intermediate grade only requires the ability to meta-represent representational states—</w:t>
      </w:r>
      <w:r w:rsidRPr="00860DA2">
        <w:rPr>
          <w:rFonts w:cs="Times New Roman"/>
          <w:color w:val="000000" w:themeColor="text1"/>
          <w:u w:val="single"/>
        </w:rPr>
        <w:t>I am having a perception as of a brown square</w:t>
      </w:r>
      <w:r w:rsidRPr="00860DA2">
        <w:rPr>
          <w:rFonts w:cs="Times New Roman"/>
          <w:color w:val="000000" w:themeColor="text1"/>
        </w:rPr>
        <w:t xml:space="preserve">, </w:t>
      </w:r>
      <w:r w:rsidRPr="00860DA2">
        <w:rPr>
          <w:rFonts w:cs="Times New Roman"/>
          <w:color w:val="000000" w:themeColor="text1"/>
          <w:u w:val="single"/>
        </w:rPr>
        <w:t>I have the belief that I am older than my sister</w:t>
      </w:r>
      <w:r w:rsidRPr="00860DA2">
        <w:rPr>
          <w:rFonts w:cs="Times New Roman"/>
          <w:color w:val="000000" w:themeColor="text1"/>
        </w:rPr>
        <w:t>—and the ability to use them in arguments. Animals and small children cannot access reasons in this sense for they lack both abilities.</w:t>
      </w:r>
    </w:p>
    <w:p w14:paraId="1B49EF3F" w14:textId="77777777"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 xml:space="preserve">A weak grade only requires the ability to </w:t>
      </w:r>
      <w:r w:rsidRPr="00D27C57">
        <w:rPr>
          <w:rFonts w:cs="Times New Roman"/>
          <w:i/>
          <w:color w:val="000000" w:themeColor="text1"/>
        </w:rPr>
        <w:t>consciously think</w:t>
      </w:r>
      <w:r w:rsidRPr="00D27C57">
        <w:rPr>
          <w:rFonts w:cs="Times New Roman"/>
          <w:color w:val="000000" w:themeColor="text1"/>
        </w:rPr>
        <w:t xml:space="preserve"> the reason.</w:t>
      </w:r>
      <w:r w:rsidRPr="00860DA2">
        <w:rPr>
          <w:rFonts w:cs="Times New Roman"/>
          <w:color w:val="000000" w:themeColor="text1"/>
        </w:rPr>
        <w:t xml:space="preserve"> If a non-human animal can consciously reason—if it can consciously reason deductively about first-</w:t>
      </w:r>
      <w:r w:rsidRPr="006C7784">
        <w:rPr>
          <w:rFonts w:cs="Times New Roman"/>
          <w:color w:val="000000" w:themeColor="text1"/>
        </w:rPr>
        <w:t>order subject-matters—then it can have accessible reasons in this sense. Small children and adults clearly have accessible reasons in this sense.</w:t>
      </w:r>
      <w:r w:rsidRPr="00860DA2">
        <w:rPr>
          <w:rStyle w:val="FootnoteReference"/>
          <w:rFonts w:cs="Times New Roman"/>
          <w:color w:val="000000" w:themeColor="text1"/>
        </w:rPr>
        <w:footnoteReference w:id="7"/>
      </w:r>
    </w:p>
    <w:p w14:paraId="7E6BF7A9" w14:textId="77777777"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What grade does Burge have in mind? Casullo (2007, p. 267) read Burge as requiring the strongest grade. Majors (2015) showed this is incorrect. Burge meant the weakest sense. </w:t>
      </w:r>
      <w:r w:rsidRPr="00D27C57">
        <w:rPr>
          <w:rFonts w:cs="Times New Roman"/>
          <w:color w:val="000000" w:themeColor="text1"/>
        </w:rPr>
        <w:t>Accessible reasons are consciously retrieval (thinkable) reasons</w:t>
      </w:r>
      <w:r w:rsidRPr="00860DA2">
        <w:rPr>
          <w:rFonts w:cs="Times New Roman"/>
          <w:color w:val="000000" w:themeColor="text1"/>
        </w:rPr>
        <w:t>. Animals a</w:t>
      </w:r>
      <w:r w:rsidRPr="006C7784">
        <w:rPr>
          <w:rFonts w:cs="Times New Roman"/>
          <w:color w:val="000000" w:themeColor="text1"/>
        </w:rPr>
        <w:t>nd small children can access their reasons in this sense (Burge 2003a; 2003b; 2010a; 2010b;</w:t>
      </w:r>
      <w:r w:rsidRPr="00860DA2">
        <w:rPr>
          <w:rFonts w:cs="Times New Roman"/>
          <w:color w:val="000000" w:themeColor="text1"/>
        </w:rPr>
        <w:t xml:space="preserve"> 2019, n. 20).</w:t>
      </w:r>
    </w:p>
    <w:p w14:paraId="560AB5B6" w14:textId="034C6106"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Why believe perceptual warrants are entitlements and not justifications? Burge gives two arguments.</w:t>
      </w:r>
    </w:p>
    <w:p w14:paraId="6AC1AAC9" w14:textId="6E9EB480"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The first we call the ontological argument.</w:t>
      </w:r>
      <w:r w:rsidRPr="00860DA2">
        <w:rPr>
          <w:rFonts w:cs="Times New Roman"/>
          <w:color w:val="000000" w:themeColor="text1"/>
        </w:rPr>
        <w:t xml:space="preserve"> It goes as follows. First, reasons for belief are either self-sufficient warrants or warranted steps in reasoning. Justifications are warrants from accessible reasons. Second</w:t>
      </w:r>
      <w:r w:rsidRPr="00D27C57">
        <w:rPr>
          <w:rFonts w:cs="Times New Roman"/>
          <w:color w:val="000000" w:themeColor="text1"/>
        </w:rPr>
        <w:t>, perceptual representations are not reasons. Perceptual beliefs are neither self-evident nor the result of reasoning.</w:t>
      </w:r>
      <w:r w:rsidRPr="00860DA2">
        <w:rPr>
          <w:rFonts w:cs="Times New Roman"/>
          <w:color w:val="000000" w:themeColor="text1"/>
        </w:rPr>
        <w:t xml:space="preserve"> </w:t>
      </w:r>
      <w:r w:rsidRPr="006C7784">
        <w:rPr>
          <w:rFonts w:cs="Times New Roman"/>
          <w:color w:val="000000" w:themeColor="text1"/>
        </w:rPr>
        <w:t>Hence, perceptual warrants</w:t>
      </w:r>
      <w:r w:rsidRPr="00860DA2">
        <w:rPr>
          <w:rFonts w:cs="Times New Roman"/>
          <w:color w:val="000000" w:themeColor="text1"/>
        </w:rPr>
        <w:t xml:space="preserve">—the basis of empirical warrant—do not involve reasons. Perceptual warrants </w:t>
      </w:r>
      <w:r w:rsidRPr="006C7784">
        <w:rPr>
          <w:rFonts w:cs="Times New Roman"/>
          <w:color w:val="000000" w:themeColor="text1"/>
        </w:rPr>
        <w:t>are entitlements, not justifications.</w:t>
      </w:r>
    </w:p>
    <w:p w14:paraId="6E490C77" w14:textId="787C4582"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Contemporary epistemologists—especially contemporary modest foundationalists within the internalist-evidentialist camp—resist Burge’s claim that perceptions are not reasons. John Pollock was among the first modest foundationalist to call perceptions reasons even though they are clearly not self-evident nor obviously steps in reasoning (1974, 1986; for recent examples see Comesaña and McGrath 2016; Smithies 2018). Many epistemologists talk this way. Indeed, talking this way is so commonplace that many students learn to use ‘reason’ in epistemology to </w:t>
      </w:r>
      <w:r w:rsidRPr="00860DA2">
        <w:rPr>
          <w:rFonts w:cs="Times New Roman"/>
          <w:i/>
          <w:color w:val="000000" w:themeColor="text1"/>
        </w:rPr>
        <w:t>mean</w:t>
      </w:r>
      <w:r w:rsidRPr="00860DA2">
        <w:rPr>
          <w:rFonts w:cs="Times New Roman"/>
          <w:color w:val="000000" w:themeColor="text1"/>
        </w:rPr>
        <w:t xml:space="preserve"> warrants from perceptions, among other states. Many readers must find Burge’s claim that perceptions are not reasons for perceptual belief </w:t>
      </w:r>
      <w:r w:rsidRPr="00860DA2">
        <w:rPr>
          <w:rFonts w:cs="Times New Roman"/>
          <w:i/>
          <w:color w:val="000000" w:themeColor="text1"/>
        </w:rPr>
        <w:t>bizarre</w:t>
      </w:r>
      <w:r w:rsidRPr="00860DA2">
        <w:rPr>
          <w:rFonts w:cs="Times New Roman"/>
          <w:color w:val="000000" w:themeColor="text1"/>
        </w:rPr>
        <w:t>.</w:t>
      </w:r>
    </w:p>
    <w:p w14:paraId="03701484" w14:textId="485F876E"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We</w:t>
      </w:r>
      <w:r>
        <w:rPr>
          <w:rFonts w:cs="Times New Roman"/>
          <w:color w:val="000000" w:themeColor="text1"/>
        </w:rPr>
        <w:t xml:space="preserve"> see Burge as diagnosing of the t</w:t>
      </w:r>
      <w:r w:rsidRPr="00860DA2">
        <w:rPr>
          <w:rFonts w:cs="Times New Roman"/>
          <w:color w:val="000000" w:themeColor="text1"/>
        </w:rPr>
        <w:t xml:space="preserve">he </w:t>
      </w:r>
      <w:r w:rsidRPr="006C7784">
        <w:rPr>
          <w:rFonts w:cs="Times New Roman"/>
          <w:color w:val="000000" w:themeColor="text1"/>
        </w:rPr>
        <w:t xml:space="preserve">urge to call perceptions </w:t>
      </w:r>
      <w:r w:rsidRPr="006C7784">
        <w:rPr>
          <w:rFonts w:cs="Times New Roman"/>
          <w:i/>
          <w:color w:val="000000" w:themeColor="text1"/>
        </w:rPr>
        <w:t>reasons</w:t>
      </w:r>
      <w:r w:rsidRPr="006C7784">
        <w:rPr>
          <w:rFonts w:cs="Times New Roman"/>
          <w:color w:val="000000" w:themeColor="text1"/>
        </w:rPr>
        <w:t xml:space="preserve"> as d</w:t>
      </w:r>
      <w:r w:rsidRPr="00860DA2">
        <w:rPr>
          <w:rFonts w:cs="Times New Roman"/>
          <w:color w:val="000000" w:themeColor="text1"/>
        </w:rPr>
        <w:t xml:space="preserve">eriving from the classical foundationalist project. The classical project saw rational systems—like logic and mathematics—as self-contained; there are no starting-points or inputs to a rational system that are not already within “the space of reasons”—rational systems have no </w:t>
      </w:r>
      <w:r w:rsidRPr="00860DA2">
        <w:rPr>
          <w:rFonts w:cs="Times New Roman"/>
          <w:i/>
          <w:color w:val="000000" w:themeColor="text1"/>
        </w:rPr>
        <w:t>non</w:t>
      </w:r>
      <w:r w:rsidRPr="00860DA2">
        <w:rPr>
          <w:rFonts w:cs="Times New Roman"/>
          <w:color w:val="000000" w:themeColor="text1"/>
        </w:rPr>
        <w:t xml:space="preserve">-rational inputs. Since empirical warrant forms a rational system, the starting points must be reasons. In Burge’s jargon, all empirical warrants were </w:t>
      </w:r>
      <w:r w:rsidRPr="00860DA2">
        <w:rPr>
          <w:rFonts w:cs="Times New Roman"/>
          <w:i/>
          <w:color w:val="000000" w:themeColor="text1"/>
        </w:rPr>
        <w:t>justifications</w:t>
      </w:r>
      <w:r w:rsidRPr="00860DA2">
        <w:rPr>
          <w:rFonts w:cs="Times New Roman"/>
          <w:color w:val="000000" w:themeColor="text1"/>
        </w:rPr>
        <w:t>.</w:t>
      </w:r>
    </w:p>
    <w:p w14:paraId="2412861A" w14:textId="1C4782C8"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lastRenderedPageBreak/>
        <w:t>The contemporary internalist foundationalist agrees that beliefs about perceptions fall short of self-evidence and are not steps in reasoning. But if the belief about the perception is not the reason, so the idea goes, the perception</w:t>
      </w:r>
      <w:r w:rsidRPr="00860DA2">
        <w:rPr>
          <w:rFonts w:cs="Times New Roman"/>
          <w:i/>
          <w:color w:val="000000" w:themeColor="text1"/>
        </w:rPr>
        <w:t xml:space="preserve"> itself</w:t>
      </w:r>
      <w:r w:rsidRPr="00860DA2">
        <w:rPr>
          <w:rFonts w:cs="Times New Roman"/>
          <w:color w:val="000000" w:themeColor="text1"/>
        </w:rPr>
        <w:t xml:space="preserve"> must be the reason. For otherwise empirical knowledge cannot form a self-contained, rational system. As Declan Smithies (2018) puts it, “perception is a source of knowledge of the external world only if perception makes it reasonable to form beliefs about the external world” and perceptions do that “only if they are reasons.” Hence, he concludes, perceptions are reasons.</w:t>
      </w:r>
    </w:p>
    <w:p w14:paraId="64F7E716" w14:textId="690D2CB2"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 xml:space="preserve">Burge rejects the urge to extend the category of reasons. Perceptual warrant inputs to the space of reasons, for perceptual beliefs serve as premises (and so as reasons) in deductive or inductive reasoning. But perceptions are not reasons. Perception is a </w:t>
      </w:r>
      <w:r w:rsidRPr="00D27C57">
        <w:rPr>
          <w:rFonts w:cs="Times New Roman"/>
          <w:i/>
          <w:color w:val="000000" w:themeColor="text1"/>
        </w:rPr>
        <w:t>resource</w:t>
      </w:r>
      <w:r w:rsidRPr="00D27C57">
        <w:rPr>
          <w:rFonts w:cs="Times New Roman"/>
          <w:color w:val="000000" w:themeColor="text1"/>
        </w:rPr>
        <w:t xml:space="preserve"> for reason, not in </w:t>
      </w:r>
      <w:r w:rsidRPr="00D27C57">
        <w:rPr>
          <w:rFonts w:cs="Times New Roman"/>
          <w:i/>
          <w:color w:val="000000" w:themeColor="text1"/>
        </w:rPr>
        <w:t>instance</w:t>
      </w:r>
      <w:r w:rsidRPr="00D27C57">
        <w:rPr>
          <w:rFonts w:cs="Times New Roman"/>
          <w:color w:val="000000" w:themeColor="text1"/>
        </w:rPr>
        <w:t xml:space="preserve"> of reason. Not all rational systems are closed systems</w:t>
      </w:r>
      <w:r w:rsidRPr="00860DA2">
        <w:rPr>
          <w:rFonts w:cs="Times New Roman"/>
          <w:color w:val="000000" w:themeColor="text1"/>
        </w:rPr>
        <w:t>.</w:t>
      </w:r>
      <w:r w:rsidRPr="00860DA2">
        <w:rPr>
          <w:rStyle w:val="FootnoteReference"/>
          <w:rFonts w:cs="Times New Roman"/>
          <w:color w:val="000000" w:themeColor="text1"/>
        </w:rPr>
        <w:footnoteReference w:id="8"/>
      </w:r>
    </w:p>
    <w:p w14:paraId="7485F6D3" w14:textId="01952115" w:rsidR="00E53339" w:rsidRPr="00860DA2" w:rsidRDefault="00E53339" w:rsidP="00E53339">
      <w:pPr>
        <w:spacing w:line="276" w:lineRule="auto"/>
        <w:ind w:firstLine="360"/>
        <w:rPr>
          <w:rFonts w:cs="Times New Roman"/>
          <w:color w:val="000000" w:themeColor="text1"/>
        </w:rPr>
      </w:pPr>
      <w:r w:rsidRPr="00D27C57">
        <w:rPr>
          <w:rFonts w:cs="Times New Roman"/>
          <w:color w:val="000000" w:themeColor="text1"/>
        </w:rPr>
        <w:t>Burge’s second argument for perceptual entitlement</w:t>
      </w:r>
      <w:r w:rsidRPr="00860DA2">
        <w:rPr>
          <w:rFonts w:cs="Times New Roman"/>
          <w:color w:val="000000" w:themeColor="text1"/>
        </w:rPr>
        <w:t xml:space="preserve"> is the hyper-intellectualization argument. </w:t>
      </w:r>
      <w:r w:rsidRPr="006C7784">
        <w:rPr>
          <w:rFonts w:cs="Times New Roman"/>
          <w:color w:val="000000" w:themeColor="text1"/>
        </w:rPr>
        <w:t>It goes as follows. First, higher non-human animals (conceivably) have warranted perceptual beliefs, as well as young children and ordinary adults. Second, animals, young children and ordinary adults do not have reasons (or even the ability to have reasons) for their perceptu</w:t>
      </w:r>
      <w:r w:rsidRPr="00860DA2">
        <w:rPr>
          <w:rFonts w:cs="Times New Roman"/>
          <w:color w:val="000000" w:themeColor="text1"/>
        </w:rPr>
        <w:t xml:space="preserve">al beliefs. Hence requiring reasons for warrant for their perceptual beliefs hyper-intellectualizes perceptual warrant. </w:t>
      </w:r>
    </w:p>
    <w:p w14:paraId="7FBF531C" w14:textId="040B58B2"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Many readers have ignored Burge’s ontological argument and have focused on the hyper-intellectualization argument instead. For some, it is the </w:t>
      </w:r>
      <w:r w:rsidRPr="00860DA2">
        <w:rPr>
          <w:rFonts w:cs="Times New Roman"/>
          <w:i/>
          <w:color w:val="000000" w:themeColor="text1"/>
        </w:rPr>
        <w:t>only</w:t>
      </w:r>
      <w:r w:rsidRPr="00860DA2">
        <w:rPr>
          <w:rFonts w:cs="Times New Roman"/>
          <w:color w:val="000000" w:themeColor="text1"/>
        </w:rPr>
        <w:t xml:space="preserve"> argument for entitlement.</w:t>
      </w:r>
      <w:r w:rsidRPr="00860DA2">
        <w:rPr>
          <w:rStyle w:val="FootnoteReference"/>
          <w:rFonts w:cs="Times New Roman"/>
          <w:color w:val="000000" w:themeColor="text1"/>
        </w:rPr>
        <w:footnoteReference w:id="9"/>
      </w:r>
    </w:p>
    <w:p w14:paraId="777C84C5" w14:textId="1FBEB1B7"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Burge does not simply claim that demanding </w:t>
      </w:r>
      <w:r w:rsidRPr="006C7784">
        <w:rPr>
          <w:rFonts w:cs="Times New Roman"/>
          <w:i/>
          <w:color w:val="000000" w:themeColor="text1"/>
        </w:rPr>
        <w:t>critical</w:t>
      </w:r>
      <w:r w:rsidRPr="00860DA2">
        <w:rPr>
          <w:rFonts w:cs="Times New Roman"/>
          <w:color w:val="000000" w:themeColor="text1"/>
        </w:rPr>
        <w:t xml:space="preserve"> reasons hyper-intellectualizes perceptual warrant. Burge’s argument is that demanding </w:t>
      </w:r>
      <w:r w:rsidRPr="00860DA2">
        <w:rPr>
          <w:rFonts w:cs="Times New Roman"/>
          <w:i/>
          <w:color w:val="000000" w:themeColor="text1"/>
        </w:rPr>
        <w:t>any</w:t>
      </w:r>
      <w:r w:rsidRPr="00860DA2">
        <w:rPr>
          <w:rFonts w:cs="Times New Roman"/>
          <w:color w:val="000000" w:themeColor="text1"/>
        </w:rPr>
        <w:t xml:space="preserve"> reasons for perceptual belief—not just critical reasons—hyper-intellectualizes perceptual warrant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{"citationItems":[{"id":"ITEM-1","itemData":{"DOI":"10.1111/j.1933-1592.2003.tb00307.x","ISSN":"0031-8205","author":[{"dropping-particle":"","family":"Burge","given":"Tyler","non-dropping-particle":"","parse-names":false,"suffix":""}],"container-title":"Philosophy and Phenomenological Research","id":"ITEM-1","issue":"3","issued":{"date-parts":[["2003","11"]]},"page":"503-548","title":"Perceptual Entitlement","type":"article-journal","volume":"67"},"uris":["http://www.mendeley.com/documents/?uuid=bc082d70-f9a5-345e-b20d-e376e9cb0c96"]},{"id":"ITEM-2","itemData":{"DOI":"10.1080/13869795.2011.544400","ISSN":"1386-9795","author":[{"dropping-particle":"","family":"Burge","given":"Tyler","non-dropping-particle":"","parse-names":false,"suffix":""}],"container-title":"Philosophical Explorations","id":"ITEM-2","issue":"1","issued":{"date-parts":[["2011","3"]]},"page":"43-80","title":"Disjunctivism again","type":"article-journal","volume":"14"},"uris":["http://www.mendeley.com/documents/?uuid=90b15e51-d805-3446-b9fc-47680f981207"]}],"mendeley":{"formattedCitation":"(Burge 2003, 2011)","manualFormatting":"(Burge 2003b, p. 259, 2011, pp. 64-5)","plainTextFormattedCitation":"(Burge 2003, 2011)","previouslyFormattedCitation":"(Burge 2003, 2011)"},"properties":{"noteIndex":0},"schema":"https://github.com/citation-style-language/schema/raw/master/csl-citation.json"}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2003a, p. 259, 2011, pp. 64-5)</w:t>
      </w:r>
      <w:r w:rsidRPr="006C7784">
        <w:rPr>
          <w:rFonts w:cs="Times New Roman"/>
          <w:color w:val="000000" w:themeColor="text1"/>
        </w:rPr>
        <w:fldChar w:fldCharType="end"/>
      </w:r>
      <w:r w:rsidRPr="00860DA2">
        <w:rPr>
          <w:rFonts w:cs="Times New Roman"/>
          <w:color w:val="000000" w:themeColor="text1"/>
        </w:rPr>
        <w:t>.</w:t>
      </w:r>
      <w:r w:rsidRPr="006C7784">
        <w:rPr>
          <w:rFonts w:cs="Times New Roman"/>
          <w:color w:val="000000" w:themeColor="text1"/>
        </w:rPr>
        <w:t xml:space="preserve">  John McDowell is clearly aware of this point. Even so he insists that adult perceptual knowledge involves reasons. He </w:t>
      </w:r>
      <w:r w:rsidRPr="00860DA2">
        <w:rPr>
          <w:rFonts w:cs="Times New Roman"/>
          <w:color w:val="000000" w:themeColor="text1"/>
        </w:rPr>
        <w:t>first grants (though in a way we do not see as consistent with the rest of his view) that animals and small children have a kind of perceptual knowledge that is “outside” the space of reasons. And so, it seems, he grants to Burge that perceptual warrant for animals and small children involves entitlements, not justifications. But he resists this conclusion for “adult, mature human knowledge.”</w:t>
      </w:r>
      <w:r w:rsidRPr="00860DA2">
        <w:rPr>
          <w:rStyle w:val="FootnoteReference"/>
          <w:rFonts w:cs="Times New Roman"/>
          <w:color w:val="000000" w:themeColor="text1"/>
        </w:rPr>
        <w:footnoteReference w:id="10"/>
      </w:r>
      <w:r w:rsidRPr="00860DA2">
        <w:rPr>
          <w:rFonts w:cs="Times New Roman"/>
          <w:color w:val="000000" w:themeColor="text1"/>
        </w:rPr>
        <w:t xml:space="preserve"> Adult</w:t>
      </w:r>
      <w:r w:rsidRPr="006C7784">
        <w:rPr>
          <w:rFonts w:cs="Times New Roman"/>
          <w:color w:val="000000" w:themeColor="text1"/>
        </w:rPr>
        <w:t xml:space="preserve"> human perceptual knowledge, he argues, is a </w:t>
      </w:r>
      <w:r w:rsidRPr="006C7784">
        <w:rPr>
          <w:rFonts w:cs="Times New Roman"/>
          <w:color w:val="000000" w:themeColor="text1"/>
        </w:rPr>
        <w:lastRenderedPageBreak/>
        <w:t>different kind—a species of a genu</w:t>
      </w:r>
      <w:r w:rsidRPr="00860DA2">
        <w:rPr>
          <w:rFonts w:cs="Times New Roman"/>
          <w:color w:val="000000" w:themeColor="text1"/>
        </w:rPr>
        <w:t xml:space="preserve">s—that stands “inside” the space of reasons. It does not require critical reason, but it requires reasons even so. He then says the reasons </w:t>
      </w:r>
      <w:r w:rsidRPr="00860DA2">
        <w:rPr>
          <w:rFonts w:cs="Times New Roman"/>
          <w:i/>
          <w:color w:val="000000" w:themeColor="text1"/>
        </w:rPr>
        <w:t>adult</w:t>
      </w:r>
      <w:r w:rsidRPr="00860DA2">
        <w:rPr>
          <w:rFonts w:cs="Times New Roman"/>
          <w:color w:val="000000" w:themeColor="text1"/>
        </w:rPr>
        <w:t xml:space="preserve"> perceptual warrant requires aren’t hard to acquire. The ability to think </w:t>
      </w:r>
      <w:r w:rsidRPr="00860DA2">
        <w:rPr>
          <w:rFonts w:cs="Times New Roman"/>
          <w:color w:val="000000" w:themeColor="text1"/>
          <w:u w:val="single"/>
        </w:rPr>
        <w:t>I see that such and such</w:t>
      </w:r>
      <w:r w:rsidRPr="00860DA2">
        <w:rPr>
          <w:rFonts w:cs="Times New Roman"/>
          <w:color w:val="000000" w:themeColor="text1"/>
        </w:rPr>
        <w:t xml:space="preserve"> is easy enough. Thus, requiring reasons in the adult case does not hyper-intellectual adult perceptual knowledge.</w:t>
      </w:r>
    </w:p>
    <w:p w14:paraId="03085286" w14:textId="71B47AAA"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Though Burge agrees that some adults have reasons like these in favor of their perceptual beliefs, he disagrees that animal and childhood perceptual knowledge comprises a different species of perceptual knowledge. Adult perceptual knowledge is no different than childhood perceptual knowledge.  And though Burge agrees that some adults have this kind of reason for their perceptual beliefs, he thinks requiring it still hyper-intellectualizes perceptual warrant, for he does not think every adult has such a reason for all of their perceptual beliefs. For to use </w:t>
      </w:r>
      <w:r w:rsidRPr="00860DA2">
        <w:rPr>
          <w:rFonts w:cs="Times New Roman"/>
          <w:color w:val="000000" w:themeColor="text1"/>
          <w:u w:val="single"/>
        </w:rPr>
        <w:t>I see that such and such</w:t>
      </w:r>
      <w:r w:rsidRPr="00860DA2">
        <w:rPr>
          <w:rFonts w:cs="Times New Roman"/>
          <w:color w:val="000000" w:themeColor="text1"/>
        </w:rPr>
        <w:t xml:space="preserve"> or </w:t>
      </w:r>
      <w:r w:rsidRPr="00860DA2">
        <w:rPr>
          <w:rFonts w:cs="Times New Roman"/>
          <w:color w:val="000000" w:themeColor="text1"/>
          <w:u w:val="single"/>
        </w:rPr>
        <w:t>I have a perception as of a brown sphere</w:t>
      </w:r>
      <w:r w:rsidRPr="00860DA2">
        <w:rPr>
          <w:rFonts w:cs="Times New Roman"/>
          <w:color w:val="000000" w:themeColor="text1"/>
        </w:rPr>
        <w:t xml:space="preserve"> as a reason for a perceptual belief, the adult would have to be able to use it as a premise in an argument (</w:t>
      </w:r>
      <w:r w:rsidRPr="00860DA2">
        <w:rPr>
          <w:rFonts w:cs="Times New Roman"/>
          <w:color w:val="000000" w:themeColor="text1"/>
          <w:u w:val="single"/>
        </w:rPr>
        <w:t>I see that brown sphere</w:t>
      </w:r>
      <w:r w:rsidRPr="00860DA2">
        <w:rPr>
          <w:rFonts w:cs="Times New Roman"/>
          <w:color w:val="000000" w:themeColor="text1"/>
        </w:rPr>
        <w:t xml:space="preserve">, so </w:t>
      </w:r>
      <w:r w:rsidRPr="00860DA2">
        <w:rPr>
          <w:rFonts w:cs="Times New Roman"/>
          <w:color w:val="000000" w:themeColor="text1"/>
          <w:u w:val="single"/>
        </w:rPr>
        <w:t>that is a brown sphere</w:t>
      </w:r>
      <w:r w:rsidRPr="00860DA2">
        <w:rPr>
          <w:rFonts w:cs="Times New Roman"/>
          <w:color w:val="000000" w:themeColor="text1"/>
        </w:rPr>
        <w:t xml:space="preserve">) and also have a capacity that minimally respects defeasibility conditions on those reasons so as to respond or retract in light of objections. This latter capacity implies a “know-how” ability to respond to potential defeaters by accepting or defending against them in </w:t>
      </w:r>
      <w:r w:rsidRPr="00860DA2">
        <w:rPr>
          <w:rFonts w:cs="Times New Roman"/>
          <w:i/>
          <w:color w:val="000000" w:themeColor="text1"/>
        </w:rPr>
        <w:t>particular</w:t>
      </w:r>
      <w:r w:rsidRPr="00860DA2">
        <w:rPr>
          <w:rFonts w:cs="Times New Roman"/>
          <w:color w:val="000000" w:themeColor="text1"/>
        </w:rPr>
        <w:t xml:space="preserve"> cases (and not necessarily the ability to think the general concept </w:t>
      </w:r>
      <w:r w:rsidRPr="00860DA2">
        <w:rPr>
          <w:rFonts w:cs="Times New Roman"/>
          <w:color w:val="000000" w:themeColor="text1"/>
          <w:u w:val="single"/>
        </w:rPr>
        <w:t>defeating conditions</w:t>
      </w:r>
      <w:r w:rsidRPr="00860DA2">
        <w:rPr>
          <w:rFonts w:cs="Times New Roman"/>
          <w:color w:val="000000" w:themeColor="text1"/>
        </w:rPr>
        <w:t xml:space="preserve">). Burge then doubts that </w:t>
      </w:r>
      <w:r w:rsidRPr="00860DA2">
        <w:rPr>
          <w:rFonts w:cs="Times New Roman"/>
          <w:i/>
          <w:color w:val="000000" w:themeColor="text1"/>
        </w:rPr>
        <w:t>all</w:t>
      </w:r>
      <w:r w:rsidRPr="00860DA2">
        <w:rPr>
          <w:rFonts w:cs="Times New Roman"/>
          <w:color w:val="000000" w:themeColor="text1"/>
        </w:rPr>
        <w:t xml:space="preserve"> adult humans with perceptual knowledge have this “know how” mastery. Some do, some don’t. That’s why he thinks even this move hyper-intellectualizes adult perceptual knowledge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{"citationItems":[{"id":"ITEM-1","itemData":{"DOI":"10.1080/13869795.2011.544400","ISSN":"1386-9795","author":[{"dropping-particle":"","family":"Burge","given":"Tyler","non-dropping-particle":"","parse-names":false,"suffix":""}],"container-title":"Philosophical Explorations","id":"ITEM-1","issue":"1","issued":{"date-parts":[["2011","3"]]},"page":"43-80","title":"Disjunctivism again","type":"article-journal","volume":"14"},"uris":["http://www.mendeley.com/documents/?uuid=90b15e51-d805-3446-b9fc-47680f981207"]}],"mendeley":{"formattedCitation":"(Burge 2011)","manualFormatting":"(Burge 2011, pp. 64-5)","plainTextFormattedCitation":"(Burge 2011)","previouslyFormattedCitation":"(Burge 2011)"},"properties":{"noteIndex":0},"schema":"https://github.com/citation-style-language/schema/raw/master/csl-citation.json"}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2011, pp. 64-5)</w:t>
      </w:r>
      <w:r w:rsidRPr="006C7784">
        <w:rPr>
          <w:rFonts w:cs="Times New Roman"/>
          <w:color w:val="000000" w:themeColor="text1"/>
        </w:rPr>
        <w:fldChar w:fldCharType="end"/>
      </w:r>
      <w:r w:rsidRPr="00860DA2">
        <w:rPr>
          <w:rFonts w:cs="Times New Roman"/>
          <w:color w:val="000000" w:themeColor="text1"/>
        </w:rPr>
        <w:t>.</w:t>
      </w:r>
      <w:r w:rsidRPr="00860DA2">
        <w:rPr>
          <w:rStyle w:val="FootnoteReference"/>
          <w:rFonts w:cs="Times New Roman"/>
          <w:color w:val="000000" w:themeColor="text1"/>
        </w:rPr>
        <w:footnoteReference w:id="11"/>
      </w:r>
    </w:p>
    <w:p w14:paraId="48D8378B" w14:textId="62D841BD"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Regardless, one can ask what warrants the higher-level belief </w:t>
      </w:r>
      <w:r w:rsidRPr="006C7784">
        <w:rPr>
          <w:rFonts w:cs="Times New Roman"/>
          <w:color w:val="000000" w:themeColor="text1"/>
          <w:u w:val="single"/>
        </w:rPr>
        <w:t>I see that such and such</w:t>
      </w:r>
      <w:r w:rsidRPr="006C7784">
        <w:rPr>
          <w:rFonts w:cs="Times New Roman"/>
          <w:color w:val="000000" w:themeColor="text1"/>
        </w:rPr>
        <w:t>. It is not self-evident. It is not obviously the result of an induc</w:t>
      </w:r>
      <w:r w:rsidRPr="00860DA2">
        <w:rPr>
          <w:rFonts w:cs="Times New Roman"/>
          <w:color w:val="000000" w:themeColor="text1"/>
        </w:rPr>
        <w:t xml:space="preserve">tive or deductive argument. </w:t>
      </w:r>
      <w:r w:rsidRPr="00860DA2">
        <w:rPr>
          <w:rFonts w:cs="Times New Roman"/>
          <w:i/>
          <w:color w:val="000000" w:themeColor="text1"/>
        </w:rPr>
        <w:t>Its</w:t>
      </w:r>
      <w:r w:rsidRPr="00860DA2">
        <w:rPr>
          <w:rFonts w:cs="Times New Roman"/>
          <w:color w:val="000000" w:themeColor="text1"/>
        </w:rPr>
        <w:t xml:space="preserve"> warrant does not derive from reasons. We’re now back to where we started: Burge’s ontological argument involving that nature of reasons that shows that not all warrants involve reasons.</w:t>
      </w:r>
      <w:r w:rsidRPr="00860DA2">
        <w:rPr>
          <w:rStyle w:val="FootnoteReference"/>
          <w:rFonts w:cs="Times New Roman"/>
          <w:color w:val="000000" w:themeColor="text1"/>
        </w:rPr>
        <w:footnoteReference w:id="12"/>
      </w:r>
      <w:r w:rsidRPr="00860DA2">
        <w:rPr>
          <w:rFonts w:cs="Times New Roman"/>
          <w:color w:val="000000" w:themeColor="text1"/>
        </w:rPr>
        <w:t xml:space="preserve"> The ontological argument seals the de</w:t>
      </w:r>
      <w:r w:rsidRPr="006C7784">
        <w:rPr>
          <w:rFonts w:cs="Times New Roman"/>
          <w:color w:val="000000" w:themeColor="text1"/>
        </w:rPr>
        <w:t>al.</w:t>
      </w:r>
    </w:p>
    <w:p w14:paraId="09A0C47B" w14:textId="2461A96C" w:rsidR="00E53339" w:rsidRPr="006C7784" w:rsidRDefault="00E53339" w:rsidP="00E53339">
      <w:pPr>
        <w:spacing w:line="276" w:lineRule="auto"/>
        <w:ind w:firstLine="360"/>
        <w:rPr>
          <w:rFonts w:cs="Times New Roman"/>
          <w:color w:val="000000" w:themeColor="text1"/>
        </w:rPr>
      </w:pPr>
      <w:r w:rsidRPr="00D27C57">
        <w:rPr>
          <w:rFonts w:cs="Times New Roman"/>
          <w:color w:val="000000" w:themeColor="text1"/>
        </w:rPr>
        <w:t>We now turn to the relation between Burge’s distinction and the internalism vs. externalism distinction.</w:t>
      </w:r>
      <w:r w:rsidRPr="00860DA2">
        <w:rPr>
          <w:rFonts w:cs="Times New Roman"/>
          <w:color w:val="000000" w:themeColor="text1"/>
        </w:rPr>
        <w:t xml:space="preserve"> </w:t>
      </w:r>
      <w:r w:rsidRPr="006C7784">
        <w:rPr>
          <w:rFonts w:cs="Times New Roman"/>
          <w:color w:val="000000" w:themeColor="text1"/>
        </w:rPr>
        <w:t>In ‘Content Preservation’ Burge didn’t mention internalism or externalism. But in ‘Perceptual Entitlement’ he wrote that</w:t>
      </w:r>
    </w:p>
    <w:p w14:paraId="779E6AFD" w14:textId="77777777" w:rsidR="00E53339" w:rsidRPr="00860DA2" w:rsidRDefault="00E53339" w:rsidP="00E53339">
      <w:pPr>
        <w:spacing w:line="276" w:lineRule="auto"/>
        <w:rPr>
          <w:rFonts w:cs="Times New Roman"/>
          <w:color w:val="000000" w:themeColor="text1"/>
        </w:rPr>
      </w:pPr>
    </w:p>
    <w:p w14:paraId="137B509E" w14:textId="08F39666" w:rsidR="00E53339" w:rsidRPr="006C7784" w:rsidRDefault="00E53339" w:rsidP="00E53339">
      <w:pPr>
        <w:autoSpaceDE w:val="0"/>
        <w:autoSpaceDN w:val="0"/>
        <w:adjustRightInd w:val="0"/>
        <w:spacing w:line="276" w:lineRule="auto"/>
        <w:ind w:left="360"/>
        <w:rPr>
          <w:rFonts w:cs="Times New Roman"/>
          <w:color w:val="000000" w:themeColor="text1"/>
          <w:lang w:eastAsia="ko-KR"/>
        </w:rPr>
      </w:pPr>
      <w:r w:rsidRPr="00860DA2">
        <w:rPr>
          <w:rFonts w:cs="Times New Roman"/>
          <w:color w:val="000000" w:themeColor="text1"/>
          <w:lang w:eastAsia="ko-KR"/>
        </w:rPr>
        <w:lastRenderedPageBreak/>
        <w:t>…entitlement…is epistemically externalist….[it] contrasts with the internalist form of warrant—</w:t>
      </w:r>
      <w:r w:rsidRPr="00860DA2">
        <w:rPr>
          <w:rFonts w:cs="Times New Roman"/>
          <w:i/>
          <w:color w:val="000000" w:themeColor="text1"/>
          <w:lang w:eastAsia="ko-KR"/>
        </w:rPr>
        <w:t>justification</w:t>
      </w:r>
      <w:r w:rsidRPr="00860DA2">
        <w:rPr>
          <w:rFonts w:cs="Times New Roman"/>
          <w:color w:val="000000" w:themeColor="text1"/>
        </w:rPr>
        <w:t xml:space="preserve">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{"citationItems":[{"id":"ITEM-1","itemData":{"DOI":"10.1111/j.1933-1592.2003.tb00307.x","ISSN":"0031-8205","author":[{"dropping-particle":"","family":"Burge","given":"Tyler","non-dropping-particle":"","parse-names":false,"suffix":""}],"container-title":"Philosophy and Phenomenological Research","id":"ITEM-1","issue":"3","issued":{"date-parts":[["2003","11"]]},"page":"503-548","title":"Perceptual Entitlement","type":"article-journal","volume":"67"},"uris":["http://www.mendeley.com/documents/?uuid=bc082d70-f9a5-345e-b20d-e376e9cb0c96"]}],"mendeley":{"formattedCitation":"(Burge 2003)","manualFormatting":"(Burge 2003b, p. 504, n. 1)","plainTextFormattedCitation":"(Burge 2003)","previouslyFormattedCitation":"(Burge 2003)"},"properties":{"noteIndex":0},"schema":"https://github.com/citation-style-language/schema/raw/master/csl-citation.json"}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2003a, p. 504, n. 1)</w:t>
      </w:r>
      <w:r w:rsidRPr="006C7784">
        <w:rPr>
          <w:rFonts w:cs="Times New Roman"/>
          <w:color w:val="000000" w:themeColor="text1"/>
        </w:rPr>
        <w:fldChar w:fldCharType="end"/>
      </w:r>
      <w:r w:rsidRPr="00860DA2">
        <w:rPr>
          <w:rFonts w:cs="Times New Roman"/>
          <w:color w:val="000000" w:themeColor="text1"/>
        </w:rPr>
        <w:t xml:space="preserve">. </w:t>
      </w:r>
    </w:p>
    <w:p w14:paraId="7CD075AB" w14:textId="77777777" w:rsidR="00E53339" w:rsidRPr="006C7784" w:rsidRDefault="00E53339" w:rsidP="00E53339">
      <w:pPr>
        <w:spacing w:line="276" w:lineRule="auto"/>
        <w:rPr>
          <w:rFonts w:cs="Times New Roman"/>
          <w:color w:val="000000" w:themeColor="text1"/>
        </w:rPr>
      </w:pPr>
    </w:p>
    <w:p w14:paraId="643F0AC5" w14:textId="33D2CD03" w:rsidR="00E53339" w:rsidRPr="00860DA2" w:rsidRDefault="00E53339" w:rsidP="00E53339">
      <w:pPr>
        <w:spacing w:line="276" w:lineRule="auto"/>
        <w:rPr>
          <w:rFonts w:cs="Times New Roman"/>
          <w:color w:val="000000" w:themeColor="text1"/>
        </w:rPr>
      </w:pPr>
      <w:r w:rsidRPr="00860DA2">
        <w:rPr>
          <w:rFonts w:cs="Times New Roman"/>
          <w:color w:val="000000" w:themeColor="text1"/>
        </w:rPr>
        <w:t>People commonly cite these two papers to show that Burge has established the existence of internalist versus externalist warrant and knowledge. Justification is “access-internalist” while entitlement is not. If there is an orthodox interpretation of the significance of Burge’s distinction, it is this one.</w:t>
      </w:r>
    </w:p>
    <w:p w14:paraId="3C7F3E7C" w14:textId="77777777" w:rsidR="00E53339"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But this interpretation is mistaken.  First, </w:t>
      </w:r>
      <w:r>
        <w:rPr>
          <w:rFonts w:cs="Times New Roman"/>
          <w:color w:val="000000" w:themeColor="text1"/>
        </w:rPr>
        <w:t xml:space="preserve">when Burge placed an access condition on justification, he meant that the reason must be consciously thinkable. It is unclear this is what your typical internalist means by access. </w:t>
      </w:r>
      <w:proofErr w:type="gramStart"/>
      <w:r>
        <w:rPr>
          <w:rFonts w:cs="Times New Roman"/>
          <w:color w:val="000000" w:themeColor="text1"/>
        </w:rPr>
        <w:t>So</w:t>
      </w:r>
      <w:proofErr w:type="gramEnd"/>
      <w:r>
        <w:rPr>
          <w:rFonts w:cs="Times New Roman"/>
          <w:color w:val="000000" w:themeColor="text1"/>
        </w:rPr>
        <w:t xml:space="preserve"> it is not clear Burge’s original thought was internalist to begin with.</w:t>
      </w:r>
    </w:p>
    <w:p w14:paraId="7DB03012" w14:textId="01BE0BC4" w:rsidR="00E53339" w:rsidRDefault="00E53339" w:rsidP="00E53339">
      <w:pPr>
        <w:spacing w:line="276" w:lineRule="auto"/>
        <w:ind w:firstLine="360"/>
        <w:rPr>
          <w:rFonts w:cs="Times New Roman"/>
          <w:color w:val="000000" w:themeColor="text1"/>
        </w:rPr>
      </w:pPr>
      <w:r>
        <w:rPr>
          <w:rFonts w:cs="Times New Roman"/>
          <w:color w:val="000000" w:themeColor="text1"/>
        </w:rPr>
        <w:t xml:space="preserve">Second, your typical internalist thinks the entire basis for epistemic status must be appropriately internal. But Burge never held that view for justifications in general. </w:t>
      </w:r>
      <w:proofErr w:type="gramStart"/>
      <w:r>
        <w:rPr>
          <w:rFonts w:cs="Times New Roman"/>
          <w:color w:val="000000" w:themeColor="text1"/>
        </w:rPr>
        <w:t>Again</w:t>
      </w:r>
      <w:proofErr w:type="gramEnd"/>
      <w:r>
        <w:rPr>
          <w:rFonts w:cs="Times New Roman"/>
          <w:color w:val="000000" w:themeColor="text1"/>
        </w:rPr>
        <w:t xml:space="preserve"> it is not clear Burge’s original thought was internalist to begin with.</w:t>
      </w:r>
    </w:p>
    <w:p w14:paraId="7A283CB1" w14:textId="65054B8D" w:rsidR="00E53339" w:rsidRPr="00860DA2" w:rsidRDefault="00E53339" w:rsidP="00E53339">
      <w:pPr>
        <w:spacing w:line="276" w:lineRule="auto"/>
        <w:ind w:firstLine="360"/>
        <w:rPr>
          <w:rFonts w:cs="Times New Roman"/>
          <w:color w:val="000000" w:themeColor="text1"/>
        </w:rPr>
      </w:pPr>
      <w:r>
        <w:rPr>
          <w:rFonts w:cs="Times New Roman"/>
          <w:color w:val="000000" w:themeColor="text1"/>
        </w:rPr>
        <w:t xml:space="preserve">Third, </w:t>
      </w:r>
      <w:r w:rsidRPr="00860DA2">
        <w:rPr>
          <w:rFonts w:cs="Times New Roman"/>
          <w:color w:val="000000" w:themeColor="text1"/>
        </w:rPr>
        <w:t xml:space="preserve">Burge recently repudiates the idea that all justifications require </w:t>
      </w:r>
      <w:r w:rsidRPr="00860DA2">
        <w:rPr>
          <w:rFonts w:cs="Times New Roman"/>
          <w:i/>
          <w:color w:val="000000" w:themeColor="text1"/>
        </w:rPr>
        <w:t>accessible</w:t>
      </w:r>
      <w:r w:rsidRPr="00860DA2">
        <w:rPr>
          <w:rFonts w:cs="Times New Roman"/>
          <w:color w:val="000000" w:themeColor="text1"/>
        </w:rPr>
        <w:t xml:space="preserve"> reasons. Justification </w:t>
      </w:r>
      <w:r w:rsidRPr="00860DA2">
        <w:rPr>
          <w:rFonts w:cs="Times New Roman"/>
          <w:i/>
          <w:color w:val="000000" w:themeColor="text1"/>
        </w:rPr>
        <w:t>as such</w:t>
      </w:r>
      <w:r w:rsidRPr="00860DA2">
        <w:rPr>
          <w:rFonts w:cs="Times New Roman"/>
          <w:color w:val="000000" w:themeColor="text1"/>
        </w:rPr>
        <w:t xml:space="preserve"> no longer </w:t>
      </w:r>
      <w:r w:rsidRPr="00860DA2">
        <w:rPr>
          <w:rFonts w:cs="Times New Roman"/>
          <w:i/>
          <w:color w:val="000000" w:themeColor="text1"/>
        </w:rPr>
        <w:t>requires</w:t>
      </w:r>
      <w:r w:rsidRPr="00860DA2">
        <w:rPr>
          <w:rFonts w:cs="Times New Roman"/>
          <w:color w:val="000000" w:themeColor="text1"/>
        </w:rPr>
        <w:t xml:space="preserve"> access. Here is his recent formulation:</w:t>
      </w:r>
    </w:p>
    <w:p w14:paraId="74AD40F8" w14:textId="77777777" w:rsidR="00E53339" w:rsidRPr="00860DA2" w:rsidRDefault="00E53339" w:rsidP="00E53339">
      <w:pPr>
        <w:spacing w:line="276" w:lineRule="auto"/>
        <w:rPr>
          <w:rFonts w:cs="Times New Roman"/>
          <w:color w:val="000000" w:themeColor="text1"/>
        </w:rPr>
      </w:pPr>
    </w:p>
    <w:p w14:paraId="35A24EE0" w14:textId="77777777" w:rsidR="00E53339" w:rsidRPr="006C7784" w:rsidRDefault="00E53339" w:rsidP="00E53339">
      <w:pPr>
        <w:spacing w:line="276" w:lineRule="auto"/>
        <w:ind w:left="360"/>
        <w:rPr>
          <w:rFonts w:cs="Times New Roman"/>
          <w:color w:val="000000" w:themeColor="text1"/>
        </w:rPr>
      </w:pPr>
      <w:r w:rsidRPr="00860DA2">
        <w:rPr>
          <w:rFonts w:cs="Times New Roman"/>
          <w:color w:val="000000" w:themeColor="text1"/>
        </w:rPr>
        <w:t xml:space="preserve">A </w:t>
      </w:r>
      <w:r w:rsidRPr="00860DA2">
        <w:rPr>
          <w:rFonts w:cs="Times New Roman"/>
          <w:i/>
          <w:color w:val="000000" w:themeColor="text1"/>
        </w:rPr>
        <w:t>justification</w:t>
      </w:r>
      <w:r w:rsidRPr="00860DA2">
        <w:rPr>
          <w:rFonts w:cs="Times New Roman"/>
          <w:color w:val="000000" w:themeColor="text1"/>
        </w:rPr>
        <w:t xml:space="preserve"> is a warrant that consists </w:t>
      </w:r>
      <w:r w:rsidRPr="00860DA2">
        <w:rPr>
          <w:rFonts w:cs="Times New Roman"/>
          <w:i/>
          <w:color w:val="000000" w:themeColor="text1"/>
        </w:rPr>
        <w:t>partly</w:t>
      </w:r>
      <w:r w:rsidRPr="00860DA2">
        <w:rPr>
          <w:rFonts w:cs="Times New Roman"/>
          <w:color w:val="000000" w:themeColor="text1"/>
        </w:rPr>
        <w:t xml:space="preserve"> in the operation or possession of a reason…An </w:t>
      </w:r>
      <w:r w:rsidRPr="00860DA2">
        <w:rPr>
          <w:rFonts w:cs="Times New Roman"/>
          <w:i/>
          <w:color w:val="000000" w:themeColor="text1"/>
        </w:rPr>
        <w:t>entitlement</w:t>
      </w:r>
      <w:r w:rsidRPr="00860DA2">
        <w:rPr>
          <w:rFonts w:cs="Times New Roman"/>
          <w:color w:val="000000" w:themeColor="text1"/>
        </w:rPr>
        <w:t xml:space="preserve"> is a warrant whose force does not consist, even </w:t>
      </w:r>
      <w:r w:rsidRPr="00860DA2">
        <w:rPr>
          <w:rFonts w:cs="Times New Roman"/>
          <w:i/>
          <w:color w:val="000000" w:themeColor="text1"/>
        </w:rPr>
        <w:t>partly</w:t>
      </w:r>
      <w:r w:rsidRPr="00860DA2">
        <w:rPr>
          <w:rFonts w:cs="Times New Roman"/>
          <w:color w:val="000000" w:themeColor="text1"/>
        </w:rPr>
        <w:t xml:space="preserve">, in the individual’s using or having a reason. Entitlements…derive </w:t>
      </w:r>
      <w:r w:rsidRPr="00860DA2">
        <w:rPr>
          <w:rFonts w:cs="Times New Roman"/>
          <w:i/>
          <w:color w:val="000000" w:themeColor="text1"/>
        </w:rPr>
        <w:t>purely</w:t>
      </w:r>
      <w:r w:rsidRPr="00860DA2">
        <w:rPr>
          <w:rFonts w:cs="Times New Roman"/>
          <w:color w:val="000000" w:themeColor="text1"/>
        </w:rPr>
        <w:t xml:space="preserve"> from the individual’s psychological system operating well with regard to realizing or fulfilling its representational functions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{"citationItems":[{"id":"ITEM-1","itemData":{"author":[{"dropping-particle":"","family":"Burge","given":"Tyler","non-dropping-particle":"","parse-names":false,"suffix":""}],"container-title":"Cognition Through Understanding","id":"ITEM-1","issued":{"date-parts":[["2013"]]},"publisher":"Oxford University Press","publisher-place":"Oxford, UK","title":"Introduction","type":"chapter"},"uris":["http://www.mendeley.com/documents/?uuid=f6f95936-075b-484e-aae8-9034afb16b25"]}],"mendeley":{"formattedCitation":"(Burge 2013a)","manualFormatting":"(Burge 2013b, pp. 3-4, emphasis added)","plainTextFormattedCitation":"(Burge 2013a)","previouslyFormattedCitation":"(Burge 2013a)"},"properties":{"noteIndex":0},"schema":"https://github.com/citation-style-language/schema/raw/master/csl-citation.json"}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2013b, pp. 3-4, emphasis added)</w:t>
      </w:r>
      <w:r w:rsidRPr="006C7784">
        <w:rPr>
          <w:rFonts w:cs="Times New Roman"/>
          <w:color w:val="000000" w:themeColor="text1"/>
        </w:rPr>
        <w:fldChar w:fldCharType="end"/>
      </w:r>
      <w:r w:rsidRPr="00860DA2">
        <w:rPr>
          <w:rFonts w:cs="Times New Roman"/>
          <w:color w:val="000000" w:themeColor="text1"/>
        </w:rPr>
        <w:t>.</w:t>
      </w:r>
    </w:p>
    <w:p w14:paraId="2EB8A6B1" w14:textId="77777777" w:rsidR="00E53339" w:rsidRPr="006C7784" w:rsidRDefault="00E53339" w:rsidP="00E53339">
      <w:pPr>
        <w:spacing w:line="276" w:lineRule="auto"/>
        <w:rPr>
          <w:rFonts w:cs="Times New Roman"/>
          <w:color w:val="000000" w:themeColor="text1"/>
        </w:rPr>
      </w:pPr>
    </w:p>
    <w:p w14:paraId="7CDF9A6E" w14:textId="77777777" w:rsidR="00E53339" w:rsidRPr="00860DA2" w:rsidRDefault="00E53339" w:rsidP="00E53339">
      <w:pPr>
        <w:spacing w:line="276" w:lineRule="auto"/>
        <w:rPr>
          <w:rFonts w:cs="Times New Roman"/>
          <w:color w:val="000000" w:themeColor="text1"/>
        </w:rPr>
      </w:pPr>
      <w:r w:rsidRPr="00860DA2">
        <w:rPr>
          <w:rFonts w:cs="Times New Roman"/>
          <w:color w:val="000000" w:themeColor="text1"/>
        </w:rPr>
        <w:t xml:space="preserve">Entitlements are normal exercises of reliable competence </w:t>
      </w:r>
      <w:r w:rsidRPr="00860DA2">
        <w:rPr>
          <w:rFonts w:cs="Times New Roman"/>
          <w:i/>
          <w:color w:val="000000" w:themeColor="text1"/>
        </w:rPr>
        <w:t>without</w:t>
      </w:r>
      <w:r w:rsidRPr="00860DA2">
        <w:rPr>
          <w:rFonts w:cs="Times New Roman"/>
          <w:color w:val="000000" w:themeColor="text1"/>
        </w:rPr>
        <w:t xml:space="preserve"> reasons. Justifications are normal exercises of reliable competence </w:t>
      </w:r>
      <w:r w:rsidRPr="00860DA2">
        <w:rPr>
          <w:rFonts w:cs="Times New Roman"/>
          <w:i/>
          <w:color w:val="000000" w:themeColor="text1"/>
        </w:rPr>
        <w:t>with</w:t>
      </w:r>
      <w:r w:rsidRPr="00860DA2">
        <w:rPr>
          <w:rFonts w:cs="Times New Roman"/>
          <w:color w:val="000000" w:themeColor="text1"/>
        </w:rPr>
        <w:t xml:space="preserve"> reasons. The operative reasons need not be accessible—viz., </w:t>
      </w:r>
      <w:r w:rsidRPr="00860DA2">
        <w:rPr>
          <w:rFonts w:cs="Times New Roman"/>
          <w:i/>
          <w:color w:val="000000" w:themeColor="text1"/>
        </w:rPr>
        <w:t>consciously</w:t>
      </w:r>
      <w:r w:rsidRPr="00860DA2">
        <w:rPr>
          <w:rFonts w:cs="Times New Roman"/>
          <w:color w:val="000000" w:themeColor="text1"/>
        </w:rPr>
        <w:t xml:space="preserve"> thinkable. Call this the </w:t>
      </w:r>
      <w:r w:rsidRPr="00860DA2">
        <w:rPr>
          <w:rFonts w:cs="Times New Roman"/>
          <w:i/>
          <w:color w:val="000000" w:themeColor="text1"/>
        </w:rPr>
        <w:t>Operative Reasons</w:t>
      </w:r>
      <w:r w:rsidRPr="00860DA2">
        <w:rPr>
          <w:rFonts w:cs="Times New Roman"/>
          <w:color w:val="000000" w:themeColor="text1"/>
        </w:rPr>
        <w:t xml:space="preserve"> criterion.</w:t>
      </w:r>
      <w:r w:rsidRPr="00860DA2">
        <w:rPr>
          <w:rStyle w:val="FootnoteReference"/>
          <w:rFonts w:cs="Times New Roman"/>
          <w:color w:val="000000" w:themeColor="text1"/>
        </w:rPr>
        <w:footnoteReference w:id="13"/>
      </w:r>
    </w:p>
    <w:p w14:paraId="29346EC4" w14:textId="422B1EAA" w:rsidR="00E53339" w:rsidRPr="006C7784" w:rsidRDefault="00E53339" w:rsidP="00E53339">
      <w:pPr>
        <w:spacing w:line="276" w:lineRule="auto"/>
        <w:rPr>
          <w:rFonts w:cs="Times New Roman"/>
          <w:color w:val="000000" w:themeColor="text1"/>
        </w:rPr>
      </w:pPr>
      <w:r w:rsidRPr="006C7784">
        <w:rPr>
          <w:rFonts w:cs="Times New Roman"/>
          <w:color w:val="000000" w:themeColor="text1"/>
        </w:rPr>
        <w:tab/>
        <w:t xml:space="preserve">Burge thereby dropped the </w:t>
      </w:r>
      <w:r>
        <w:rPr>
          <w:rFonts w:cs="Times New Roman"/>
          <w:color w:val="000000" w:themeColor="text1"/>
        </w:rPr>
        <w:t>access (qua consciously thinkable)</w:t>
      </w:r>
      <w:r w:rsidRPr="006C7784">
        <w:rPr>
          <w:rFonts w:cs="Times New Roman"/>
          <w:color w:val="000000" w:themeColor="text1"/>
        </w:rPr>
        <w:t xml:space="preserve"> criterion on justifications</w:t>
      </w:r>
      <w:r w:rsidRPr="00860DA2">
        <w:rPr>
          <w:rFonts w:cs="Times New Roman"/>
          <w:color w:val="000000" w:themeColor="text1"/>
        </w:rPr>
        <w:t xml:space="preserve">. Why? He imagined the possibility </w:t>
      </w:r>
      <w:r w:rsidRPr="006C7784">
        <w:rPr>
          <w:rFonts w:cs="Times New Roman"/>
          <w:color w:val="000000" w:themeColor="text1"/>
        </w:rPr>
        <w:t xml:space="preserve">of modular (and so inaccessible to the individual) propositional reasoning, and so the possibility of </w:t>
      </w:r>
      <w:r w:rsidRPr="006C7784">
        <w:rPr>
          <w:rFonts w:cs="Times New Roman"/>
          <w:i/>
          <w:color w:val="000000" w:themeColor="text1"/>
        </w:rPr>
        <w:t>modular reasons</w:t>
      </w:r>
      <w:r w:rsidRPr="006C7784">
        <w:rPr>
          <w:rFonts w:cs="Times New Roman"/>
          <w:color w:val="000000" w:themeColor="text1"/>
        </w:rPr>
        <w:t xml:space="preserve">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{"citationItems":[{"id":"ITEM-1","itemData":{"DOI":"10.1080/13869795.2011.544400","ISSN":"1386-9795","author":[{"dropping-particle":"","family":"Burge","given":"Tyler","non-dropping-particle":"","parse-names":false,"suffix":""}],"container-title":"Philosophical Explorations","id":"ITEM-1","issue":"1","issued":{"date-parts":[["2011","3"]]},"page":"43-80","title":"Disjunctivism again","type":"article-journal","volume":"14"},"uris":["http://www.mendeley.com/documents/?uuid=90b15e51-d805-3446-b9fc-47680f981207"]}],"mendeley":{"formattedCitation":"(Burge 2011)","manualFormatting":"(Burge 2011, p. 64)","plainTextFormattedCitation":"(Burge 2011)","previouslyFormattedCitation":"(Burge 2011)"},"properties":{"noteIndex":0},"schema":"https://github.com/citation-style-language/schema/raw/master/csl-citation.json"}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2011, p. 64)</w:t>
      </w:r>
      <w:r w:rsidRPr="006C7784">
        <w:rPr>
          <w:rFonts w:cs="Times New Roman"/>
          <w:color w:val="000000" w:themeColor="text1"/>
        </w:rPr>
        <w:fldChar w:fldCharType="end"/>
      </w:r>
      <w:r w:rsidRPr="00860DA2">
        <w:rPr>
          <w:rFonts w:cs="Times New Roman"/>
          <w:color w:val="000000" w:themeColor="text1"/>
        </w:rPr>
        <w:t>. He then thought, even so, the warrants involving m</w:t>
      </w:r>
      <w:r w:rsidRPr="006C7784">
        <w:rPr>
          <w:rFonts w:cs="Times New Roman"/>
          <w:color w:val="000000" w:themeColor="text1"/>
        </w:rPr>
        <w:t xml:space="preserve">odular reasons would still be justifications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{"citationItems":[{"id":"ITEM-1","itemData":{"author":[{"dropping-particle":"","family":"Burge","given":"Tyler","non-dropping-particle":"","parse-names":false,"suffix":""}],"container-title":"Cognition Through Understanding","id":"ITEM-1","issued":{"date-parts":[["2013"]]},"publisher":"Oxford University Press","publisher-place":"Oxford, UK","title":"Introduction","type":"chapter"},"uris":["http://www.mendeley.com/documents/?uuid=f6f95936-075b-484e-aae8-9034afb16b25"]}],"mendeley":{"formattedCitation":"(Burge 2013a)","manualFormatting":"(Burge 2013b, pp. 27-8)","plainTextFormattedCitation":"(Burge 2013a)","previouslyFormattedCitation":"(Burge 2013a)"},"properties":{"noteIndex":0},"schema":"https://github.com/citation-style-language/schema/raw/master/csl-citation.json"}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(Burge 2013b, pp. 27-8)</w:t>
      </w:r>
      <w:r w:rsidRPr="006C7784">
        <w:rPr>
          <w:rFonts w:cs="Times New Roman"/>
          <w:color w:val="000000" w:themeColor="text1"/>
        </w:rPr>
        <w:fldChar w:fldCharType="end"/>
      </w:r>
      <w:r w:rsidRPr="00860DA2">
        <w:rPr>
          <w:rFonts w:cs="Times New Roman"/>
          <w:color w:val="000000" w:themeColor="text1"/>
        </w:rPr>
        <w:t>.</w:t>
      </w:r>
    </w:p>
    <w:p w14:paraId="5B8A11F8" w14:textId="77777777"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His examples include modules for syntactic and semantic interpretation of utterances; they may involve deductive or inductive reasoning, inaccessible to t</w:t>
      </w:r>
      <w:r w:rsidRPr="00860DA2">
        <w:rPr>
          <w:rFonts w:cs="Times New Roman"/>
          <w:color w:val="000000" w:themeColor="text1"/>
        </w:rPr>
        <w:t xml:space="preserve">he individual. A module for basic pragmatic processing might be another example. The modular/non-modular and sub-propositional/propositional distinctions then do not coincide. Non-modular but even so </w:t>
      </w:r>
      <w:r w:rsidRPr="00860DA2">
        <w:rPr>
          <w:rFonts w:cs="Times New Roman"/>
          <w:color w:val="000000" w:themeColor="text1"/>
        </w:rPr>
        <w:lastRenderedPageBreak/>
        <w:t xml:space="preserve">contingently inaccessible—think of the Freudian unconscious—might be another example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{"citationItems":[{"id":"ITEM-1","itemData":{"author":[{"dropping-particle":"","family":"Gerken","given":"Mikkel","non-dropping-particle":"","parse-names":false,"suffix":""}],"container-title":"Epistemic Entitlement","editor":[{"dropping-particle":"","family":"Graham","given":"Peter J.","non-dropping-particle":"","parse-names":false,"suffix":""},{"dropping-particle":"","family":"Pedersen","given":"Nikolaj Jang Lee Linding","non-dropping-particle":"","parse-names":false,"suffix":""}],"id":"ITEM-1","issued":{"date-parts":[["2019"]]},"publisher":"Oxford University Press","publisher-place":"Oxford, UK","title":"Epistemic Entitlement -- Its Scope and Limits","type":"chapter"},"uris":["http://www.mendeley.com/documents/?uuid=63751061-7ef3-4f06-a598-000d9895b1c1"]}],"mendeley":{"formattedCitation":"(Gerken 2019)","manualFormatting":"(Gerken in-press)","plainTextFormattedCitation":"(Gerken 2019)","previouslyFormattedCitation":"(Gerken 2019)"},"properties":{"noteIndex":0},"schema":"https://github.com/citation-style-language/schema/raw/master/csl-citation.json"}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(Gerken in-press)</w:t>
      </w:r>
      <w:r w:rsidRPr="006C7784">
        <w:rPr>
          <w:rFonts w:cs="Times New Roman"/>
          <w:color w:val="000000" w:themeColor="text1"/>
        </w:rPr>
        <w:fldChar w:fldCharType="end"/>
      </w:r>
      <w:r w:rsidRPr="00860DA2">
        <w:rPr>
          <w:rFonts w:cs="Times New Roman"/>
          <w:color w:val="000000" w:themeColor="text1"/>
        </w:rPr>
        <w:t>.</w:t>
      </w:r>
    </w:p>
    <w:p w14:paraId="5AE03CD8" w14:textId="77777777"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t>Entitlements—especially perceptual entitlements—are access-externalist in every sense. They do not require critical reason; they do not requir</w:t>
      </w:r>
      <w:r w:rsidRPr="00860DA2">
        <w:rPr>
          <w:rFonts w:cs="Times New Roman"/>
          <w:color w:val="000000" w:themeColor="text1"/>
        </w:rPr>
        <w:t xml:space="preserve">e meta-representation of one’s perceptions; they do not even require </w:t>
      </w:r>
      <w:r w:rsidRPr="00860DA2">
        <w:rPr>
          <w:rFonts w:cs="Times New Roman"/>
          <w:i/>
          <w:color w:val="000000" w:themeColor="text1"/>
        </w:rPr>
        <w:t>conscious</w:t>
      </w:r>
      <w:r w:rsidRPr="00860DA2">
        <w:rPr>
          <w:rFonts w:cs="Times New Roman"/>
          <w:color w:val="000000" w:themeColor="text1"/>
        </w:rPr>
        <w:t xml:space="preserve"> perceptions. Burge argues for the existence of unconscious perceptions (2010a). He then allows for the possibility that a Super-Blindsighter would have warranted perceptual beliefs based on irretrievably unconscious perceptions. That’s why entitlements are warrants that “need not be understood or accessible to the subject.”</w:t>
      </w:r>
    </w:p>
    <w:p w14:paraId="678B1DEE" w14:textId="0B4432DB" w:rsidR="00E53339" w:rsidRPr="00860DA2" w:rsidRDefault="00E53339" w:rsidP="00E53339">
      <w:pPr>
        <w:spacing w:line="276" w:lineRule="auto"/>
        <w:ind w:firstLine="360"/>
        <w:rPr>
          <w:rFonts w:cs="Times New Roman"/>
          <w:color w:val="000000" w:themeColor="text1"/>
        </w:rPr>
      </w:pPr>
      <w:r>
        <w:rPr>
          <w:rFonts w:cs="Times New Roman"/>
          <w:color w:val="000000" w:themeColor="text1"/>
        </w:rPr>
        <w:t xml:space="preserve">As we just noted, Burge’s older formulation of justification did not fall squarely within the internalist camp. </w:t>
      </w:r>
      <w:r w:rsidRPr="00860DA2">
        <w:rPr>
          <w:rFonts w:cs="Times New Roman"/>
          <w:color w:val="000000" w:themeColor="text1"/>
        </w:rPr>
        <w:t xml:space="preserve">Given Burge’s new formulation, justifications are </w:t>
      </w:r>
      <w:r>
        <w:rPr>
          <w:rFonts w:cs="Times New Roman"/>
          <w:color w:val="000000" w:themeColor="text1"/>
        </w:rPr>
        <w:t>clearly</w:t>
      </w:r>
      <w:r w:rsidRPr="00860DA2">
        <w:rPr>
          <w:rFonts w:cs="Times New Roman"/>
          <w:color w:val="000000" w:themeColor="text1"/>
        </w:rPr>
        <w:t xml:space="preserve"> </w:t>
      </w:r>
      <w:r>
        <w:rPr>
          <w:rFonts w:cs="Times New Roman"/>
          <w:color w:val="000000" w:themeColor="text1"/>
        </w:rPr>
        <w:t xml:space="preserve">not internalist in any sense; they are </w:t>
      </w:r>
      <w:r w:rsidRPr="00860DA2">
        <w:rPr>
          <w:rFonts w:cs="Times New Roman"/>
          <w:color w:val="000000" w:themeColor="text1"/>
        </w:rPr>
        <w:t xml:space="preserve">access-externalist </w:t>
      </w:r>
      <w:r w:rsidRPr="00860DA2">
        <w:rPr>
          <w:rFonts w:cs="Times New Roman"/>
          <w:i/>
          <w:color w:val="000000" w:themeColor="text1"/>
        </w:rPr>
        <w:t>in every sense</w:t>
      </w:r>
      <w:r w:rsidRPr="00860DA2">
        <w:rPr>
          <w:rFonts w:cs="Times New Roman"/>
          <w:color w:val="000000" w:themeColor="text1"/>
        </w:rPr>
        <w:t>. They do not co</w:t>
      </w:r>
      <w:r w:rsidRPr="006C7784">
        <w:rPr>
          <w:rFonts w:cs="Times New Roman"/>
          <w:color w:val="000000" w:themeColor="text1"/>
        </w:rPr>
        <w:t>nstitutively require critical reason; they do not require meta-representation of one’s reasons; and they no longer require conscious accessibility of the warranting reason. Reasons—especially perceptual reasons for other beliefs—are also warranted by relations—representational, causal and reliable—to a b</w:t>
      </w:r>
      <w:r w:rsidRPr="00860DA2">
        <w:rPr>
          <w:rFonts w:cs="Times New Roman"/>
          <w:color w:val="000000" w:themeColor="text1"/>
        </w:rPr>
        <w:t xml:space="preserve">roader environment. Justification is neither access-internalist nor mentalist-internalist. Burge’s original access conception was very weak “internalist” conception to begin with. Without the access requirement, Burge drops the link with internalism. Justification is not constitutively internalist </w:t>
      </w:r>
      <w:r w:rsidRPr="00860DA2">
        <w:rPr>
          <w:rFonts w:cs="Times New Roman"/>
          <w:i/>
          <w:color w:val="000000" w:themeColor="text1"/>
        </w:rPr>
        <w:t>in any sense</w:t>
      </w:r>
      <w:r w:rsidRPr="00860DA2">
        <w:rPr>
          <w:rFonts w:cs="Times New Roman"/>
          <w:color w:val="000000" w:themeColor="text1"/>
        </w:rPr>
        <w:t>.</w:t>
      </w:r>
      <w:r w:rsidRPr="00860DA2">
        <w:rPr>
          <w:rStyle w:val="FootnoteReference"/>
          <w:rFonts w:cs="Times New Roman"/>
          <w:color w:val="000000" w:themeColor="text1"/>
        </w:rPr>
        <w:footnoteReference w:id="14"/>
      </w:r>
    </w:p>
    <w:p w14:paraId="582BB882" w14:textId="77777777" w:rsidR="00E53339" w:rsidRPr="006C7784" w:rsidRDefault="00E53339" w:rsidP="00E53339">
      <w:pPr>
        <w:spacing w:line="276" w:lineRule="auto"/>
        <w:rPr>
          <w:rFonts w:cs="Times New Roman"/>
          <w:color w:val="000000" w:themeColor="text1"/>
        </w:rPr>
      </w:pPr>
    </w:p>
    <w:p w14:paraId="20522E7E" w14:textId="62E3E6A8" w:rsidR="00E53339" w:rsidRPr="00860DA2" w:rsidRDefault="00E53339" w:rsidP="00E53339">
      <w:pPr>
        <w:spacing w:line="276" w:lineRule="auto"/>
        <w:rPr>
          <w:b/>
          <w:color w:val="000000" w:themeColor="text1"/>
        </w:rPr>
      </w:pPr>
      <w:r w:rsidRPr="006C7784">
        <w:rPr>
          <w:b/>
          <w:color w:val="000000" w:themeColor="text1"/>
        </w:rPr>
        <w:t>2. Wright: Warrant for Nothing.</w:t>
      </w:r>
    </w:p>
    <w:p w14:paraId="0BCE5465" w14:textId="77777777" w:rsidR="00E53339" w:rsidRPr="006C7784" w:rsidRDefault="00E53339" w:rsidP="00E53339">
      <w:pPr>
        <w:spacing w:line="276" w:lineRule="auto"/>
        <w:rPr>
          <w:rFonts w:cs="Times New Roman"/>
          <w:color w:val="000000" w:themeColor="text1"/>
        </w:rPr>
      </w:pPr>
    </w:p>
    <w:p w14:paraId="05885826" w14:textId="1438EDCE" w:rsidR="00E53339" w:rsidRPr="006C7784" w:rsidRDefault="00E53339" w:rsidP="00E53339">
      <w:pPr>
        <w:spacing w:line="276" w:lineRule="auto"/>
        <w:rPr>
          <w:rFonts w:cs="Times New Roman"/>
          <w:color w:val="000000" w:themeColor="text1"/>
        </w:rPr>
      </w:pPr>
      <w:r w:rsidRPr="006C7784">
        <w:rPr>
          <w:rFonts w:cs="Times New Roman"/>
          <w:color w:val="000000" w:themeColor="text1"/>
        </w:rPr>
        <w:t>We now turn to Wright’s project. In general, Wright does not conceive of “warrant” the way Burge does. Wright’s default use of ‘warrant’ follows traditional “evidentialist internalist” patterns where justification—</w:t>
      </w:r>
      <w:r w:rsidRPr="006C7784">
        <w:rPr>
          <w:rFonts w:cs="Times New Roman"/>
          <w:i/>
          <w:color w:val="000000" w:themeColor="text1"/>
        </w:rPr>
        <w:t>evidential</w:t>
      </w:r>
      <w:r w:rsidRPr="006C7784">
        <w:rPr>
          <w:rFonts w:cs="Times New Roman"/>
          <w:color w:val="000000" w:themeColor="text1"/>
        </w:rPr>
        <w:t xml:space="preserve"> warrant—consists in experiences, memories, beliefs, and relations among them, and so on, that provide propositional warrant for the individual to believe various propositions</w:t>
      </w:r>
      <w:r w:rsidRPr="00860DA2">
        <w:rPr>
          <w:rFonts w:cs="Times New Roman"/>
          <w:color w:val="000000" w:themeColor="text1"/>
        </w:rPr>
        <w:t xml:space="preserve"> (though</w:t>
      </w:r>
      <w:r w:rsidRPr="006C7784">
        <w:rPr>
          <w:rFonts w:cs="Times New Roman"/>
          <w:color w:val="000000" w:themeColor="text1"/>
        </w:rPr>
        <w:t>, as we’ll see, Wright happily acknowledges externalist, reliabilist warrants, as Burge and others conceive them).</w:t>
      </w:r>
    </w:p>
    <w:p w14:paraId="5AAA58C9" w14:textId="6707C6BC" w:rsidR="00E53339" w:rsidRPr="006C7784" w:rsidRDefault="00E53339" w:rsidP="00E53339">
      <w:pPr>
        <w:spacing w:line="276" w:lineRule="auto"/>
        <w:ind w:firstLine="360"/>
        <w:rPr>
          <w:rFonts w:cs="Times New Roman"/>
          <w:color w:val="000000" w:themeColor="text1"/>
        </w:rPr>
      </w:pPr>
      <w:r w:rsidRPr="00DA4CEF">
        <w:rPr>
          <w:rFonts w:cs="Times New Roman"/>
          <w:color w:val="000000" w:themeColor="text1"/>
        </w:rPr>
        <w:t>Why does Wright introduce entitlement? What role does it play?</w:t>
      </w:r>
      <w:r w:rsidRPr="00860DA2">
        <w:rPr>
          <w:rFonts w:cs="Times New Roman"/>
          <w:color w:val="000000" w:themeColor="text1"/>
        </w:rPr>
        <w:t xml:space="preserve"> Consider </w:t>
      </w:r>
      <w:r w:rsidRPr="006C7784">
        <w:rPr>
          <w:rFonts w:cs="Times New Roman"/>
          <w:color w:val="000000" w:themeColor="text1"/>
        </w:rPr>
        <w:t>three conversations:</w:t>
      </w:r>
    </w:p>
    <w:p w14:paraId="541CEC96" w14:textId="7CB325E7" w:rsidR="00E53339" w:rsidRPr="006C7784" w:rsidRDefault="00E53339" w:rsidP="00E53339">
      <w:pPr>
        <w:spacing w:line="276" w:lineRule="auto"/>
        <w:ind w:firstLine="360"/>
        <w:rPr>
          <w:rFonts w:cs="Times New Roman"/>
          <w:color w:val="000000" w:themeColor="text1"/>
        </w:rPr>
      </w:pPr>
    </w:p>
    <w:p w14:paraId="7FC2060D" w14:textId="073B66D3"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“Hey Sue, two hands! Two external objects!”</w:t>
      </w:r>
    </w:p>
    <w:p w14:paraId="16DEF468" w14:textId="5A47631B"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lastRenderedPageBreak/>
        <w:t>“Uh, John, why do you think that?”</w:t>
      </w:r>
    </w:p>
    <w:p w14:paraId="33DE6B91" w14:textId="48D83422"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“Well Sue, it looks to me like I have two hands!”</w:t>
      </w:r>
    </w:p>
    <w:p w14:paraId="69DEE0EE" w14:textId="738BB7B1"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w:t>
      </w:r>
      <w:proofErr w:type="gramStart"/>
      <w:r w:rsidRPr="00DA4CEF">
        <w:rPr>
          <w:rFonts w:cs="Times New Roman"/>
          <w:color w:val="000000" w:themeColor="text1"/>
        </w:rPr>
        <w:t>So</w:t>
      </w:r>
      <w:proofErr w:type="gramEnd"/>
      <w:r w:rsidRPr="00DA4CEF">
        <w:rPr>
          <w:rFonts w:cs="Times New Roman"/>
          <w:color w:val="000000" w:themeColor="text1"/>
        </w:rPr>
        <w:t xml:space="preserve"> you are taking for granted that sense-perception reveals an external world?”</w:t>
      </w:r>
    </w:p>
    <w:p w14:paraId="5212FC68" w14:textId="107283DA"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“Naturally!”</w:t>
      </w:r>
    </w:p>
    <w:p w14:paraId="2E3B0243" w14:textId="77777777" w:rsidR="00E53339" w:rsidRPr="00DA4CEF" w:rsidRDefault="00E53339" w:rsidP="00E53339">
      <w:pPr>
        <w:spacing w:line="276" w:lineRule="auto"/>
        <w:ind w:firstLine="360"/>
        <w:rPr>
          <w:rFonts w:cs="Times New Roman"/>
          <w:color w:val="000000" w:themeColor="text1"/>
        </w:rPr>
      </w:pPr>
    </w:p>
    <w:p w14:paraId="74AD20F6"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“Look Hwan, zebras!”</w:t>
      </w:r>
    </w:p>
    <w:p w14:paraId="30D681D7"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“But Seong-Woo, why do you think those are zebras?”</w:t>
      </w:r>
    </w:p>
    <w:p w14:paraId="303FF457"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 xml:space="preserve">“They </w:t>
      </w:r>
      <w:r w:rsidRPr="00DA4CEF">
        <w:rPr>
          <w:rFonts w:cs="Times New Roman"/>
          <w:i/>
          <w:color w:val="000000" w:themeColor="text1"/>
        </w:rPr>
        <w:t>look</w:t>
      </w:r>
      <w:r w:rsidRPr="00DA4CEF">
        <w:rPr>
          <w:rFonts w:cs="Times New Roman"/>
          <w:color w:val="000000" w:themeColor="text1"/>
        </w:rPr>
        <w:t xml:space="preserve"> like zebras. </w:t>
      </w:r>
      <w:r w:rsidRPr="00DA4CEF">
        <w:rPr>
          <w:rFonts w:cs="Times New Roman"/>
          <w:i/>
          <w:color w:val="000000" w:themeColor="text1"/>
        </w:rPr>
        <w:t>Surely</w:t>
      </w:r>
      <w:r w:rsidRPr="00DA4CEF">
        <w:rPr>
          <w:rFonts w:cs="Times New Roman"/>
          <w:color w:val="000000" w:themeColor="text1"/>
        </w:rPr>
        <w:t xml:space="preserve"> they are zebras!”</w:t>
      </w:r>
    </w:p>
    <w:p w14:paraId="208D8247"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 xml:space="preserve">“But then aren’t you </w:t>
      </w:r>
      <w:r w:rsidRPr="00DA4CEF">
        <w:rPr>
          <w:rFonts w:cs="Times New Roman"/>
          <w:i/>
          <w:color w:val="000000" w:themeColor="text1"/>
        </w:rPr>
        <w:t>taking for granted</w:t>
      </w:r>
      <w:r w:rsidRPr="00DA4CEF">
        <w:rPr>
          <w:rFonts w:cs="Times New Roman"/>
          <w:color w:val="000000" w:themeColor="text1"/>
        </w:rPr>
        <w:t xml:space="preserve"> that things are as they seem, that, in fact, those animals are not cleverly disguised mules?”</w:t>
      </w:r>
    </w:p>
    <w:p w14:paraId="6FCB9B02"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 xml:space="preserve">“Ugh! Yes Hwan, </w:t>
      </w:r>
      <w:r w:rsidRPr="00DA4CEF">
        <w:rPr>
          <w:rFonts w:cs="Times New Roman"/>
          <w:i/>
          <w:color w:val="000000" w:themeColor="text1"/>
        </w:rPr>
        <w:t>of course</w:t>
      </w:r>
      <w:r w:rsidRPr="00DA4CEF">
        <w:rPr>
          <w:rFonts w:cs="Times New Roman"/>
          <w:color w:val="000000" w:themeColor="text1"/>
        </w:rPr>
        <w:t xml:space="preserve"> I am.”</w:t>
      </w:r>
    </w:p>
    <w:p w14:paraId="710684EC" w14:textId="77777777" w:rsidR="00E53339" w:rsidRPr="00DA4CEF" w:rsidRDefault="00E53339" w:rsidP="00E53339">
      <w:pPr>
        <w:spacing w:line="276" w:lineRule="auto"/>
        <w:rPr>
          <w:rFonts w:cs="Times New Roman"/>
          <w:color w:val="000000" w:themeColor="text1"/>
        </w:rPr>
      </w:pPr>
    </w:p>
    <w:p w14:paraId="222652D7"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“That red wall really stands out.”</w:t>
      </w:r>
    </w:p>
    <w:p w14:paraId="3344B462"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“Why do you think its red?”</w:t>
      </w:r>
    </w:p>
    <w:p w14:paraId="6DC8E8DE"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 xml:space="preserve">“It </w:t>
      </w:r>
      <w:r w:rsidRPr="00DA4CEF">
        <w:rPr>
          <w:rFonts w:cs="Times New Roman"/>
          <w:i/>
          <w:color w:val="000000" w:themeColor="text1"/>
        </w:rPr>
        <w:t>looks</w:t>
      </w:r>
      <w:r w:rsidRPr="00DA4CEF">
        <w:rPr>
          <w:rFonts w:cs="Times New Roman"/>
          <w:color w:val="000000" w:themeColor="text1"/>
        </w:rPr>
        <w:t xml:space="preserve"> red.”</w:t>
      </w:r>
    </w:p>
    <w:p w14:paraId="4F9A819C"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 xml:space="preserve">“Aren’t you then </w:t>
      </w:r>
      <w:r w:rsidRPr="00DA4CEF">
        <w:rPr>
          <w:rFonts w:cs="Times New Roman"/>
          <w:i/>
          <w:color w:val="000000" w:themeColor="text1"/>
        </w:rPr>
        <w:t>presupposing</w:t>
      </w:r>
      <w:r w:rsidRPr="00DA4CEF">
        <w:rPr>
          <w:rFonts w:cs="Times New Roman"/>
          <w:color w:val="000000" w:themeColor="text1"/>
        </w:rPr>
        <w:t xml:space="preserve"> that it’s not a white wall, illuminated by red light?”</w:t>
      </w:r>
    </w:p>
    <w:p w14:paraId="756B2C57" w14:textId="77777777" w:rsidR="00E53339" w:rsidRPr="00DA4CEF" w:rsidRDefault="00E53339" w:rsidP="00E53339">
      <w:pPr>
        <w:spacing w:line="276" w:lineRule="auto"/>
        <w:ind w:left="720" w:hanging="360"/>
        <w:rPr>
          <w:rFonts w:cs="Times New Roman"/>
          <w:color w:val="000000" w:themeColor="text1"/>
        </w:rPr>
      </w:pPr>
      <w:r w:rsidRPr="00DA4CEF">
        <w:rPr>
          <w:rFonts w:cs="Times New Roman"/>
          <w:color w:val="000000" w:themeColor="text1"/>
        </w:rPr>
        <w:t>“Now that you mention it, I guess so. So what?”</w:t>
      </w:r>
    </w:p>
    <w:p w14:paraId="2B90EA50" w14:textId="77777777" w:rsidR="00E53339" w:rsidRPr="00DA4CEF" w:rsidRDefault="00E53339" w:rsidP="00E53339">
      <w:pPr>
        <w:spacing w:line="276" w:lineRule="auto"/>
        <w:rPr>
          <w:rFonts w:cs="Times New Roman"/>
          <w:color w:val="000000" w:themeColor="text1"/>
        </w:rPr>
      </w:pPr>
    </w:p>
    <w:p w14:paraId="7179B755" w14:textId="77777777" w:rsidR="00E53339" w:rsidRPr="006C7784" w:rsidRDefault="00E53339" w:rsidP="00E53339">
      <w:pPr>
        <w:spacing w:line="276" w:lineRule="auto"/>
        <w:rPr>
          <w:rFonts w:cs="Times New Roman"/>
          <w:color w:val="000000" w:themeColor="text1"/>
        </w:rPr>
      </w:pPr>
      <w:r w:rsidRPr="00DA4CEF">
        <w:rPr>
          <w:rFonts w:cs="Times New Roman"/>
          <w:color w:val="000000" w:themeColor="text1"/>
        </w:rPr>
        <w:t xml:space="preserve">In these conversations there’s a question (are those zebras?) and a method (looking from a safe distance). Call any </w:t>
      </w:r>
      <w:r w:rsidRPr="00DA4CEF">
        <w:rPr>
          <w:rFonts w:cs="Times New Roman"/>
          <w:i/>
          <w:color w:val="000000" w:themeColor="text1"/>
        </w:rPr>
        <w:t>pair</w:t>
      </w:r>
      <w:r w:rsidRPr="00DA4CEF">
        <w:rPr>
          <w:rFonts w:cs="Times New Roman"/>
          <w:color w:val="000000" w:themeColor="text1"/>
        </w:rPr>
        <w:t xml:space="preserve"> of a </w:t>
      </w:r>
      <w:r w:rsidRPr="00DA4CEF">
        <w:rPr>
          <w:rFonts w:cs="Times New Roman"/>
          <w:i/>
          <w:color w:val="000000" w:themeColor="text1"/>
        </w:rPr>
        <w:t>question</w:t>
      </w:r>
      <w:r w:rsidRPr="00DA4CEF">
        <w:rPr>
          <w:rFonts w:cs="Times New Roman"/>
          <w:color w:val="000000" w:themeColor="text1"/>
        </w:rPr>
        <w:t xml:space="preserve"> and a </w:t>
      </w:r>
      <w:r w:rsidRPr="00DA4CEF">
        <w:rPr>
          <w:rFonts w:cs="Times New Roman"/>
          <w:i/>
          <w:color w:val="000000" w:themeColor="text1"/>
        </w:rPr>
        <w:t>method</w:t>
      </w:r>
      <w:r w:rsidRPr="00DA4CEF">
        <w:rPr>
          <w:rFonts w:cs="Times New Roman"/>
          <w:color w:val="000000" w:themeColor="text1"/>
        </w:rPr>
        <w:t xml:space="preserve"> for answering a </w:t>
      </w:r>
      <w:r w:rsidRPr="00DA4CEF">
        <w:rPr>
          <w:rFonts w:cs="Times New Roman"/>
          <w:i/>
          <w:color w:val="000000" w:themeColor="text1"/>
        </w:rPr>
        <w:t>cognitive project</w:t>
      </w:r>
      <w:r w:rsidRPr="00DA4CEF">
        <w:rPr>
          <w:rFonts w:cs="Times New Roman"/>
          <w:color w:val="000000" w:themeColor="text1"/>
        </w:rPr>
        <w:t xml:space="preserve"> (Wright 2012, p. 466; 2014, p. 215). When engaged in a cognitive project, there are conditions that if one doubted them, one would have to rationally doubt that one’s method will answer one’s question Wright 2012, p. 467; 2014, p. 215). Wright calls these </w:t>
      </w:r>
      <w:r w:rsidRPr="00DA4CEF">
        <w:rPr>
          <w:rFonts w:cs="Times New Roman"/>
          <w:i/>
          <w:color w:val="000000" w:themeColor="text1"/>
        </w:rPr>
        <w:t>authenticity-conditions</w:t>
      </w:r>
      <w:r w:rsidRPr="00DA4CEF">
        <w:rPr>
          <w:rFonts w:cs="Times New Roman"/>
          <w:color w:val="000000" w:themeColor="text1"/>
        </w:rPr>
        <w:t xml:space="preserve">. “In general,” Wright says, they “include such things as: normal and proper functioning of relevant cognitive faculties, the reliability of instruments utilized, the amenability of the circumstances to the proposed method of investigation…and so on” </w:t>
      </w:r>
      <w:r w:rsidRPr="006C7784">
        <w:rPr>
          <w:rFonts w:cs="Times New Roman"/>
          <w:color w:val="000000" w:themeColor="text1"/>
        </w:rPr>
        <w:fldChar w:fldCharType="begin" w:fldLock="1"/>
      </w:r>
      <w:r w:rsidRPr="00DA4CEF">
        <w:rPr>
          <w:rFonts w:cs="Times New Roman"/>
          <w:color w:val="000000" w:themeColor="text1"/>
        </w:rPr>
        <w:instrText>ADDIN CSL_CITATION {"citationItems":[{"id":"ITEM-1","itemData":{"DOI":"10.1093/acprof:oso/9780199278053.003.0018","author":[{"dropping-particle":"","family":"Wright","given":"Crispin","non-dropping-particle":"","parse-names":false,"suffix":""}],"container-title":"Mind, Meaning, and Knowledge","id":"ITEM-1","issued":{"date-parts":[["2012","10","4"]]},"page":"451-486","publisher":"Oxford University Press","title":"Replies Part IV: Warrant Transmission and Entitlement","type":"chapter"},"uris":["http://www.mendeley.com/documents/?uuid=43b59035-f5ec-35f8-8a39-1e149ee83529"]},{"id":"ITEM-2","itemData":{"DOI":"10.1111/j.0309-7013.2004.00121.x","ISSN":"0309-7013","author":[{"dropping-particle":"","family":"Wright","given":"Crispin","non-dropping-particle":"","parse-names":false,"suffix":""}],"container-title":"Aristotelian Society Supplementary Volume","id":"ITEM-2","issue":"1","issued":{"date-parts":[["2004","7","1"]]},"page":"167-212","title":"&lt;i&gt;I—Crispin Wright&lt;/i&gt; : Warrant for Nothing (and Foundations for Free)?","type":"article-journal","volume":"78"},"uris":["http://www.mendeley.com/documents/?uuid=e4ba47b5-f682-3e70-99a6-3b7bd8466c98"]}],"mendeley":{"formattedCitation":"(Wright 2012, 2004)","manualFormatting":"(Wright 2012, p. 467; 2004, pp. 189, 194; 2014, p. 215)","plainTextFormattedCitation":"(Wright 2012, 2004)","previouslyFormattedCitation":"(Wright 2012, 2004)"},"properties":{"noteIndex":0},"schema":"https://github.com/citation-style-language/schema/raw/master/csl-citation.json"}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(Wright 2012, p. 467; 2004, pp. 189, 194; 2014, p. 215)</w:t>
      </w:r>
      <w:r w:rsidRPr="006C7784">
        <w:rPr>
          <w:rFonts w:cs="Times New Roman"/>
          <w:color w:val="000000" w:themeColor="text1"/>
        </w:rPr>
        <w:fldChar w:fldCharType="end"/>
      </w:r>
      <w:r w:rsidRPr="00860DA2">
        <w:rPr>
          <w:rFonts w:cs="Times New Roman"/>
          <w:color w:val="000000" w:themeColor="text1"/>
        </w:rPr>
        <w:t>.</w:t>
      </w:r>
    </w:p>
    <w:p w14:paraId="657B2187" w14:textId="38B7EFCF" w:rsidR="00E53339" w:rsidRPr="00DA4CEF"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Furthermore, when “laying </w:t>
      </w:r>
      <w:r w:rsidRPr="00DA4CEF">
        <w:rPr>
          <w:rFonts w:cs="Times New Roman"/>
          <w:color w:val="000000" w:themeColor="text1"/>
        </w:rPr>
        <w:t xml:space="preserve">claim to one’s epistemic accomplishments” one must “take ownership of one’s commitment to the satisfaction of the authenticity-condition in question, and that commitment would have to be in good standing” (Wright 2012, p. 475). And that’s what we do. When engaged in a cognitive project, we </w:t>
      </w:r>
      <w:r w:rsidRPr="00DA4CEF">
        <w:rPr>
          <w:rFonts w:cs="Times New Roman"/>
          <w:i/>
          <w:color w:val="000000" w:themeColor="text1"/>
        </w:rPr>
        <w:t>take for granted</w:t>
      </w:r>
      <w:r w:rsidRPr="00DA4CEF">
        <w:rPr>
          <w:rFonts w:cs="Times New Roman"/>
          <w:color w:val="000000" w:themeColor="text1"/>
        </w:rPr>
        <w:t xml:space="preserve">, </w:t>
      </w:r>
      <w:r w:rsidRPr="00DA4CEF">
        <w:rPr>
          <w:rFonts w:cs="Times New Roman"/>
          <w:i/>
          <w:color w:val="000000" w:themeColor="text1"/>
        </w:rPr>
        <w:t>assume</w:t>
      </w:r>
      <w:r w:rsidRPr="00DA4CEF">
        <w:rPr>
          <w:rFonts w:cs="Times New Roman"/>
          <w:color w:val="000000" w:themeColor="text1"/>
        </w:rPr>
        <w:t xml:space="preserve">, </w:t>
      </w:r>
      <w:r w:rsidRPr="00DA4CEF">
        <w:rPr>
          <w:rFonts w:cs="Times New Roman"/>
          <w:i/>
          <w:color w:val="000000" w:themeColor="text1"/>
        </w:rPr>
        <w:t>presuppose</w:t>
      </w:r>
      <w:r w:rsidRPr="00DA4CEF">
        <w:rPr>
          <w:rFonts w:cs="Times New Roman"/>
          <w:color w:val="000000" w:themeColor="text1"/>
        </w:rPr>
        <w:t xml:space="preserve"> or </w:t>
      </w:r>
      <w:r w:rsidRPr="00DA4CEF">
        <w:rPr>
          <w:rFonts w:cs="Times New Roman"/>
          <w:i/>
          <w:color w:val="000000" w:themeColor="text1"/>
        </w:rPr>
        <w:t>accept</w:t>
      </w:r>
      <w:r w:rsidRPr="00DA4CEF">
        <w:rPr>
          <w:rFonts w:cs="Times New Roman"/>
          <w:color w:val="000000" w:themeColor="text1"/>
        </w:rPr>
        <w:t xml:space="preserve"> that our method will answer our question, that the method is working normally in proper conditions. When we reflectively claim knowledge, we claim to be in good conditions, good working order.</w:t>
      </w:r>
    </w:p>
    <w:p w14:paraId="3FC21661" w14:textId="77777777" w:rsidR="00E53339" w:rsidRPr="006C7784" w:rsidRDefault="00E53339" w:rsidP="00E53339">
      <w:pPr>
        <w:spacing w:line="276" w:lineRule="auto"/>
        <w:ind w:firstLine="360"/>
        <w:rPr>
          <w:rFonts w:cs="Times New Roman"/>
          <w:color w:val="000000" w:themeColor="text1"/>
        </w:rPr>
      </w:pPr>
      <w:r w:rsidRPr="00DA4CEF">
        <w:rPr>
          <w:rFonts w:cs="Times New Roman"/>
          <w:i/>
          <w:color w:val="000000" w:themeColor="text1"/>
        </w:rPr>
        <w:t>Cornerstones</w:t>
      </w:r>
      <w:r w:rsidRPr="00DA4CEF">
        <w:rPr>
          <w:rFonts w:cs="Times New Roman"/>
          <w:color w:val="000000" w:themeColor="text1"/>
        </w:rPr>
        <w:t xml:space="preserve"> or </w:t>
      </w:r>
      <w:r w:rsidRPr="00DA4CEF">
        <w:rPr>
          <w:rFonts w:cs="Times New Roman"/>
          <w:i/>
          <w:color w:val="000000" w:themeColor="text1"/>
        </w:rPr>
        <w:t>hinges</w:t>
      </w:r>
      <w:r w:rsidRPr="00DA4CEF">
        <w:rPr>
          <w:rFonts w:cs="Times New Roman"/>
          <w:color w:val="000000" w:themeColor="text1"/>
        </w:rPr>
        <w:t xml:space="preserve"> are authenticity-conditions that involve wide swaths of inquiry </w:t>
      </w:r>
      <w:r w:rsidRPr="006C7784">
        <w:rPr>
          <w:rFonts w:cs="Times New Roman"/>
          <w:color w:val="000000" w:themeColor="text1"/>
        </w:rPr>
        <w:fldChar w:fldCharType="begin" w:fldLock="1"/>
      </w:r>
      <w:r w:rsidRPr="00DA4CEF">
        <w:rPr>
          <w:rFonts w:cs="Times New Roman"/>
          <w:color w:val="000000" w:themeColor="text1"/>
        </w:rPr>
        <w:instrText>ADDIN CSL_CITATION {"citationItems":[{"id":"ITEM-1","itemData":{"DOI":"10.1111/j.0309-7013.2004.00121.x","ISSN":"0309-7013","author":[{"dropping-particle":"","family":"Wright","given":"Crispin","non-dropping-particle":"","parse-names":false,"suffix":""}],"container-title":"Aristotelian Society Supplementary Volume","id":"ITEM-1","issue":"1","issued":{"date-parts":[["2004","7","1"]]},"page":"167-212","title":"&lt;i&gt;I—Crispin Wright&lt;/i&gt; : Warrant for Nothing (and Foundations for Free)?","type":"article-journal","volume":"78"},"uris":["http://www.mendeley.com/documents/?uuid=e4ba47b5-f682-3e70-99a6-3b7bd8466c98"]}],"mendeley":{"formattedCitation":"(Wright 2004)","manualFormatting":"(Wright 2004, p. 190; 2014, pp. 216-17, 221)","plainTextFormattedCitation":"(Wright 2004)","previouslyFormattedCitation":"(Wright 2004)"},"properties":{"noteIndex":0},"schema":"https://github.com/citation-style-language/schema/raw/master/csl-citation.json"}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(Wright 2004, p. 190; 2014, pp. 216-17, 221)</w:t>
      </w:r>
      <w:r w:rsidRPr="006C7784">
        <w:rPr>
          <w:rFonts w:cs="Times New Roman"/>
          <w:color w:val="000000" w:themeColor="text1"/>
        </w:rPr>
        <w:fldChar w:fldCharType="end"/>
      </w:r>
      <w:r w:rsidRPr="00860DA2">
        <w:rPr>
          <w:rFonts w:cs="Times New Roman"/>
          <w:color w:val="000000" w:themeColor="text1"/>
        </w:rPr>
        <w:t>.</w:t>
      </w:r>
      <w:r w:rsidRPr="00860DA2">
        <w:rPr>
          <w:rStyle w:val="FootnoteReference"/>
          <w:rFonts w:cs="Times New Roman"/>
          <w:color w:val="000000" w:themeColor="text1"/>
        </w:rPr>
        <w:footnoteReference w:id="15"/>
      </w:r>
      <w:r w:rsidRPr="00860DA2">
        <w:rPr>
          <w:rFonts w:cs="Times New Roman"/>
          <w:color w:val="000000" w:themeColor="text1"/>
        </w:rPr>
        <w:t xml:space="preserve"> Example</w:t>
      </w:r>
      <w:r w:rsidRPr="006C7784">
        <w:rPr>
          <w:rFonts w:cs="Times New Roman"/>
          <w:color w:val="000000" w:themeColor="text1"/>
        </w:rPr>
        <w:t>s include:</w:t>
      </w:r>
    </w:p>
    <w:p w14:paraId="13E15504" w14:textId="77777777" w:rsidR="00E53339" w:rsidRPr="006C7784" w:rsidRDefault="00E53339" w:rsidP="00E53339">
      <w:pPr>
        <w:spacing w:line="276" w:lineRule="auto"/>
        <w:ind w:firstLine="360"/>
        <w:rPr>
          <w:rFonts w:cs="Times New Roman"/>
          <w:color w:val="000000" w:themeColor="text1"/>
        </w:rPr>
      </w:pPr>
    </w:p>
    <w:p w14:paraId="468742C2" w14:textId="77777777" w:rsidR="00E53339" w:rsidRPr="00DA4CEF" w:rsidRDefault="00E53339" w:rsidP="00E53339">
      <w:pPr>
        <w:pStyle w:val="ListParagraph"/>
        <w:numPr>
          <w:ilvl w:val="0"/>
          <w:numId w:val="27"/>
        </w:numPr>
        <w:spacing w:line="276" w:lineRule="auto"/>
        <w:rPr>
          <w:rFonts w:cs="Times New Roman"/>
          <w:color w:val="000000" w:themeColor="text1"/>
        </w:rPr>
      </w:pPr>
      <w:r w:rsidRPr="00DA4CEF">
        <w:rPr>
          <w:rFonts w:cs="Times New Roman"/>
          <w:color w:val="000000" w:themeColor="text1"/>
        </w:rPr>
        <w:t>There is an external world that sense-experience informs us about.</w:t>
      </w:r>
    </w:p>
    <w:p w14:paraId="4E18F12E" w14:textId="77777777" w:rsidR="00E53339" w:rsidRPr="00DA4CEF" w:rsidRDefault="00E53339" w:rsidP="00E53339">
      <w:pPr>
        <w:pStyle w:val="ListParagraph"/>
        <w:numPr>
          <w:ilvl w:val="0"/>
          <w:numId w:val="27"/>
        </w:numPr>
        <w:spacing w:line="276" w:lineRule="auto"/>
        <w:rPr>
          <w:rFonts w:cs="Times New Roman"/>
          <w:color w:val="000000" w:themeColor="text1"/>
        </w:rPr>
      </w:pPr>
      <w:r w:rsidRPr="00DA4CEF">
        <w:rPr>
          <w:rFonts w:cs="Times New Roman"/>
          <w:color w:val="000000" w:themeColor="text1"/>
        </w:rPr>
        <w:t>Nature is pretty uniform; we learn about nature through induction and abduction.</w:t>
      </w:r>
    </w:p>
    <w:p w14:paraId="2DE95059" w14:textId="77777777" w:rsidR="00E53339" w:rsidRPr="00DA4CEF" w:rsidRDefault="00E53339" w:rsidP="00E53339">
      <w:pPr>
        <w:pStyle w:val="ListParagraph"/>
        <w:numPr>
          <w:ilvl w:val="0"/>
          <w:numId w:val="27"/>
        </w:numPr>
        <w:spacing w:line="276" w:lineRule="auto"/>
        <w:rPr>
          <w:rFonts w:cs="Times New Roman"/>
          <w:color w:val="000000" w:themeColor="text1"/>
        </w:rPr>
      </w:pPr>
      <w:r w:rsidRPr="00DA4CEF">
        <w:rPr>
          <w:rFonts w:cs="Times New Roman"/>
          <w:color w:val="000000" w:themeColor="text1"/>
        </w:rPr>
        <w:t>Other people have minds we learn about through observing their behavior.</w:t>
      </w:r>
    </w:p>
    <w:p w14:paraId="6ABC299E" w14:textId="77777777" w:rsidR="00E53339" w:rsidRPr="00DA4CEF" w:rsidRDefault="00E53339" w:rsidP="00E53339">
      <w:pPr>
        <w:spacing w:line="276" w:lineRule="auto"/>
        <w:ind w:firstLine="360"/>
        <w:rPr>
          <w:rFonts w:cs="Times New Roman"/>
          <w:color w:val="000000" w:themeColor="text1"/>
        </w:rPr>
      </w:pPr>
    </w:p>
    <w:p w14:paraId="4F957095" w14:textId="77777777" w:rsidR="00E53339" w:rsidRPr="00DA4CEF" w:rsidRDefault="00E53339" w:rsidP="00E53339">
      <w:pPr>
        <w:spacing w:line="276" w:lineRule="auto"/>
        <w:rPr>
          <w:rFonts w:cs="Times New Roman"/>
          <w:color w:val="000000" w:themeColor="text1"/>
        </w:rPr>
      </w:pPr>
      <w:r w:rsidRPr="00DA4CEF">
        <w:rPr>
          <w:rFonts w:cs="Times New Roman"/>
          <w:color w:val="000000" w:themeColor="text1"/>
        </w:rPr>
        <w:t xml:space="preserve">When we form beliefs through perception, induction, observation, and so on, we </w:t>
      </w:r>
      <w:r w:rsidRPr="00DA4CEF">
        <w:rPr>
          <w:rFonts w:cs="Times New Roman"/>
          <w:i/>
          <w:color w:val="000000" w:themeColor="text1"/>
        </w:rPr>
        <w:t>take for granted</w:t>
      </w:r>
      <w:r w:rsidRPr="00DA4CEF">
        <w:rPr>
          <w:rFonts w:cs="Times New Roman"/>
          <w:color w:val="000000" w:themeColor="text1"/>
        </w:rPr>
        <w:t xml:space="preserve">, </w:t>
      </w:r>
      <w:r w:rsidRPr="00DA4CEF">
        <w:rPr>
          <w:rFonts w:cs="Times New Roman"/>
          <w:i/>
          <w:color w:val="000000" w:themeColor="text1"/>
        </w:rPr>
        <w:t>presuppose</w:t>
      </w:r>
      <w:r w:rsidRPr="00DA4CEF">
        <w:rPr>
          <w:rFonts w:cs="Times New Roman"/>
          <w:color w:val="000000" w:themeColor="text1"/>
        </w:rPr>
        <w:t xml:space="preserve">, </w:t>
      </w:r>
      <w:r w:rsidRPr="00DA4CEF">
        <w:rPr>
          <w:rFonts w:cs="Times New Roman"/>
          <w:i/>
          <w:color w:val="000000" w:themeColor="text1"/>
        </w:rPr>
        <w:t>assume</w:t>
      </w:r>
      <w:r w:rsidRPr="00DA4CEF">
        <w:rPr>
          <w:rFonts w:cs="Times New Roman"/>
          <w:color w:val="000000" w:themeColor="text1"/>
        </w:rPr>
        <w:t xml:space="preserve"> or </w:t>
      </w:r>
      <w:r w:rsidRPr="00DA4CEF">
        <w:rPr>
          <w:rFonts w:cs="Times New Roman"/>
          <w:i/>
          <w:color w:val="000000" w:themeColor="text1"/>
        </w:rPr>
        <w:t>accept</w:t>
      </w:r>
      <w:r w:rsidRPr="00DA4CEF">
        <w:rPr>
          <w:rFonts w:cs="Times New Roman"/>
          <w:color w:val="000000" w:themeColor="text1"/>
        </w:rPr>
        <w:t xml:space="preserve"> cornerstone propositions. When we reflectively </w:t>
      </w:r>
      <w:r w:rsidRPr="00DA4CEF">
        <w:rPr>
          <w:rFonts w:cs="Times New Roman"/>
          <w:i/>
          <w:color w:val="000000" w:themeColor="text1"/>
        </w:rPr>
        <w:t>claim</w:t>
      </w:r>
      <w:r w:rsidRPr="00DA4CEF">
        <w:rPr>
          <w:rFonts w:cs="Times New Roman"/>
          <w:color w:val="000000" w:themeColor="text1"/>
        </w:rPr>
        <w:t xml:space="preserve"> knowledge, we </w:t>
      </w:r>
      <w:r w:rsidRPr="00DA4CEF">
        <w:rPr>
          <w:rFonts w:cs="Times New Roman"/>
          <w:i/>
          <w:color w:val="000000" w:themeColor="text1"/>
        </w:rPr>
        <w:t>claim</w:t>
      </w:r>
      <w:r w:rsidRPr="00DA4CEF">
        <w:rPr>
          <w:rFonts w:cs="Times New Roman"/>
          <w:color w:val="000000" w:themeColor="text1"/>
        </w:rPr>
        <w:t xml:space="preserve"> cornerstones. Doubt these, and game over.</w:t>
      </w:r>
    </w:p>
    <w:p w14:paraId="3BCF1E20" w14:textId="2035A178" w:rsidR="00E53339" w:rsidRPr="00860DA2" w:rsidRDefault="00E53339" w:rsidP="00E53339">
      <w:pPr>
        <w:spacing w:line="276" w:lineRule="auto"/>
        <w:ind w:firstLine="360"/>
        <w:rPr>
          <w:rFonts w:cs="Times New Roman"/>
          <w:color w:val="000000" w:themeColor="text1"/>
        </w:rPr>
      </w:pPr>
      <w:r w:rsidRPr="00DA4CEF">
        <w:rPr>
          <w:rFonts w:cs="Times New Roman"/>
          <w:color w:val="000000" w:themeColor="text1"/>
        </w:rPr>
        <w:t>Wright credits Wittgenstein with several? insights about inquiry and authenticity-conditions.</w:t>
      </w:r>
      <w:r w:rsidRPr="00860DA2">
        <w:rPr>
          <w:rStyle w:val="FootnoteReference"/>
          <w:rFonts w:cs="Times New Roman"/>
          <w:color w:val="000000" w:themeColor="text1"/>
        </w:rPr>
        <w:footnoteReference w:id="16"/>
      </w:r>
      <w:r w:rsidRPr="00860DA2">
        <w:rPr>
          <w:rFonts w:cs="Times New Roman"/>
          <w:color w:val="000000" w:themeColor="text1"/>
        </w:rPr>
        <w:t xml:space="preserve"> </w:t>
      </w:r>
      <w:r w:rsidRPr="006C7784">
        <w:rPr>
          <w:rFonts w:cs="Times New Roman"/>
          <w:color w:val="000000" w:themeColor="text1"/>
        </w:rPr>
        <w:t xml:space="preserve"> First, at the level of “reflective inquiry</w:t>
      </w:r>
      <w:r>
        <w:rPr>
          <w:rFonts w:cs="Times New Roman"/>
          <w:color w:val="000000" w:themeColor="text1"/>
        </w:rPr>
        <w:t>,</w:t>
      </w:r>
      <w:r w:rsidRPr="006C7784">
        <w:rPr>
          <w:rFonts w:cs="Times New Roman"/>
          <w:color w:val="000000" w:themeColor="text1"/>
        </w:rPr>
        <w:t xml:space="preserve">” </w:t>
      </w:r>
      <w:r>
        <w:rPr>
          <w:rFonts w:cs="Times New Roman"/>
          <w:color w:val="000000" w:themeColor="text1"/>
        </w:rPr>
        <w:t xml:space="preserve">in so far as </w:t>
      </w:r>
      <w:r w:rsidRPr="006C7784">
        <w:rPr>
          <w:rFonts w:cs="Times New Roman"/>
          <w:color w:val="000000" w:themeColor="text1"/>
        </w:rPr>
        <w:t>we</w:t>
      </w:r>
      <w:r>
        <w:rPr>
          <w:rFonts w:cs="Times New Roman"/>
          <w:color w:val="000000" w:themeColor="text1"/>
        </w:rPr>
        <w:t xml:space="preserve"> are rational and understand the issue, we</w:t>
      </w:r>
      <w:r w:rsidRPr="006C7784">
        <w:rPr>
          <w:rFonts w:cs="Times New Roman"/>
          <w:color w:val="000000" w:themeColor="text1"/>
        </w:rPr>
        <w:t xml:space="preserve"> cannot avoid </w:t>
      </w:r>
      <w:r w:rsidRPr="00860DA2">
        <w:rPr>
          <w:rFonts w:cs="Times New Roman"/>
          <w:color w:val="000000" w:themeColor="text1"/>
        </w:rPr>
        <w:t>acknowledging our commitment to authenticity-</w:t>
      </w:r>
      <w:r w:rsidRPr="006C7784">
        <w:rPr>
          <w:rFonts w:cs="Times New Roman"/>
          <w:color w:val="000000" w:themeColor="text1"/>
        </w:rPr>
        <w:t xml:space="preserve">conditions. Second, to rely on the evidence </w:t>
      </w:r>
      <w:r w:rsidRPr="006C7784">
        <w:rPr>
          <w:rFonts w:cs="Times New Roman"/>
          <w:i/>
          <w:color w:val="000000" w:themeColor="text1"/>
        </w:rPr>
        <w:t>provided by a method</w:t>
      </w:r>
      <w:r w:rsidRPr="006C7784">
        <w:rPr>
          <w:rFonts w:cs="Times New Roman"/>
          <w:color w:val="000000" w:themeColor="text1"/>
        </w:rPr>
        <w:t xml:space="preserve"> is </w:t>
      </w:r>
      <w:r w:rsidRPr="006C7784">
        <w:rPr>
          <w:rFonts w:cs="Times New Roman"/>
          <w:i/>
          <w:color w:val="000000" w:themeColor="text1"/>
        </w:rPr>
        <w:t>not</w:t>
      </w:r>
      <w:r w:rsidRPr="00DA4CEF">
        <w:rPr>
          <w:rFonts w:cs="Times New Roman"/>
          <w:color w:val="000000" w:themeColor="text1"/>
        </w:rPr>
        <w:t xml:space="preserve"> to have evidence that their authenticity-conditions obtain. Our methods tell us about their </w:t>
      </w:r>
      <w:r w:rsidRPr="00860DA2">
        <w:rPr>
          <w:rFonts w:cs="Times New Roman"/>
          <w:color w:val="000000" w:themeColor="text1"/>
        </w:rPr>
        <w:t>subject-matter, not about themselves. Third, investigating authenticity-conditions of a cognitive project starts a new cognitive-project (a new question/method pair) with its own authenticity-conditions. We hereby reach the fourth point: investigating authenticity-conditions, though possible, invites an infinite regress, if we require investigation in every case.</w:t>
      </w:r>
    </w:p>
    <w:p w14:paraId="13C39309" w14:textId="7777777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Putting this altogether, when we claim knowledge, we accept—and often explicitly avow—that our authenticity-conditions obtain. We also take our commitment to be in good order (Wright 2002, p. 342). We do not doubt—absent specific reasons to doubt—our situational provenance.</w:t>
      </w:r>
    </w:p>
    <w:p w14:paraId="50EC78D7" w14:textId="1E1C07AA"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But our </w:t>
      </w:r>
      <w:r w:rsidRPr="00860DA2">
        <w:rPr>
          <w:rFonts w:cs="Times New Roman"/>
          <w:i/>
          <w:color w:val="000000" w:themeColor="text1"/>
        </w:rPr>
        <w:t>method</w:t>
      </w:r>
      <w:r w:rsidRPr="00860DA2">
        <w:rPr>
          <w:rFonts w:cs="Times New Roman"/>
          <w:color w:val="000000" w:themeColor="text1"/>
        </w:rPr>
        <w:t xml:space="preserve"> provides no evidence that our commitments obtain. We thereby make a commitment we take to be in good order, but without any evidence backing our commitment, at least not from the method used. And if we were to seek evidence for </w:t>
      </w:r>
      <w:r w:rsidRPr="00860DA2">
        <w:rPr>
          <w:rFonts w:cs="Times New Roman"/>
          <w:i/>
          <w:color w:val="000000" w:themeColor="text1"/>
        </w:rPr>
        <w:t>its</w:t>
      </w:r>
      <w:r w:rsidRPr="00860DA2">
        <w:rPr>
          <w:rFonts w:cs="Times New Roman"/>
          <w:color w:val="000000" w:themeColor="text1"/>
        </w:rPr>
        <w:t xml:space="preserve"> truth, we’d start a snowball rolling that might turn into an avalanche, for once we do, we are starting a new project with new commitments without evidence for </w:t>
      </w:r>
      <w:r w:rsidRPr="00860DA2">
        <w:rPr>
          <w:rFonts w:cs="Times New Roman"/>
          <w:i/>
          <w:color w:val="000000" w:themeColor="text1"/>
        </w:rPr>
        <w:t>them</w:t>
      </w:r>
      <w:r w:rsidRPr="00860DA2">
        <w:rPr>
          <w:rFonts w:cs="Times New Roman"/>
          <w:color w:val="000000" w:themeColor="text1"/>
        </w:rPr>
        <w:t>.</w:t>
      </w:r>
    </w:p>
    <w:p w14:paraId="52249167" w14:textId="359A103F" w:rsidR="00E53339" w:rsidRPr="006C7784"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We now arrive at Wright’s notion of </w:t>
      </w:r>
      <w:r w:rsidRPr="00860DA2">
        <w:rPr>
          <w:rFonts w:cs="Times New Roman"/>
          <w:i/>
          <w:color w:val="000000" w:themeColor="text1"/>
        </w:rPr>
        <w:t>transmission failure</w:t>
      </w:r>
      <w:r w:rsidRPr="00860DA2">
        <w:rPr>
          <w:rFonts w:cs="Times New Roman"/>
          <w:color w:val="000000" w:themeColor="text1"/>
        </w:rPr>
        <w:t xml:space="preserve">. In some arguments, the warrant for a premise(s) transmits to the conclusion: the warrant for the premise(s) is the warrant for the conclusion. But in other cases, the warrant does </w:t>
      </w:r>
      <w:r w:rsidRPr="00860DA2">
        <w:rPr>
          <w:rFonts w:cs="Times New Roman"/>
          <w:i/>
          <w:color w:val="000000" w:themeColor="text1"/>
        </w:rPr>
        <w:t>not</w:t>
      </w:r>
      <w:r w:rsidRPr="00860DA2">
        <w:rPr>
          <w:rFonts w:cs="Times New Roman"/>
          <w:color w:val="000000" w:themeColor="text1"/>
        </w:rPr>
        <w:t xml:space="preserve"> transmit from the premise to the conclusion. That’s when transmission </w:t>
      </w:r>
      <w:r w:rsidRPr="00860DA2">
        <w:rPr>
          <w:rFonts w:cs="Times New Roman"/>
          <w:i/>
          <w:color w:val="000000" w:themeColor="text1"/>
        </w:rPr>
        <w:t>fails</w:t>
      </w:r>
      <w:r w:rsidRPr="00860DA2">
        <w:rPr>
          <w:rFonts w:cs="Times New Roman"/>
          <w:color w:val="000000" w:themeColor="text1"/>
        </w:rPr>
        <w:t xml:space="preserve">.  In this latter case, if the conclusion is warranted, then the warrant for the conclusion comes from some other source, not from the warrant for the premise(s)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{"citationItems":[{"id":"ITEM-1","itemData":{"DOI":"10.1111/j.1933-1592.2002.tb00205.x","ISSN":"0031-8205","author":[{"dropping-particle":"","family":"Wright","given":"Crispin","non-dropping-particle":"","parse-names":false,"suffix":""}],"container-title":"Philosophy and Phenomenological Research","id":"ITEM-1","issue":"2","issued":{"date-parts":[["2002","9"]]},"page":"330-348","title":"(Anti-)Sceptics Simple and Subtle: G.E. Moore and John McDowell","type":"article-journal","volume":"65"},"uris":["http://www.mendeley.com/documents/?uuid=b88ed02b-bb47-3310-8a0e-79e2cf297a6f"]}],"mendeley":{"formattedCitation":"(Wright 2002)","manualFormatting":"(Wright 2002, pp. 331-2)","plainTextFormattedCitation":"(Wright 2002)","previouslyFormattedCitation":"(Wright 2002)"},"properties":{"noteIndex":0},"schema":"https://github.com/citation-style-language/schema/raw/master/csl-citation.json"}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(Wright 2002, pp. 331-2)</w:t>
      </w:r>
      <w:r w:rsidRPr="006C7784">
        <w:rPr>
          <w:rFonts w:cs="Times New Roman"/>
          <w:color w:val="000000" w:themeColor="text1"/>
        </w:rPr>
        <w:fldChar w:fldCharType="end"/>
      </w:r>
      <w:r w:rsidRPr="00860DA2">
        <w:rPr>
          <w:rFonts w:cs="Times New Roman"/>
          <w:i/>
          <w:color w:val="000000" w:themeColor="text1"/>
        </w:rPr>
        <w:t>.</w:t>
      </w:r>
    </w:p>
    <w:p w14:paraId="5FEB041E" w14:textId="77777777" w:rsidR="00E53339" w:rsidRPr="006C7784" w:rsidRDefault="00E53339" w:rsidP="00E53339">
      <w:pPr>
        <w:spacing w:line="276" w:lineRule="auto"/>
        <w:ind w:firstLine="360"/>
        <w:rPr>
          <w:rFonts w:cs="Times New Roman"/>
          <w:color w:val="000000" w:themeColor="text1"/>
        </w:rPr>
      </w:pPr>
      <w:r w:rsidRPr="006C7784">
        <w:rPr>
          <w:rFonts w:cs="Times New Roman"/>
          <w:color w:val="000000" w:themeColor="text1"/>
        </w:rPr>
        <w:t>When does warrant fail to transmit? When the conclusion is the authenticity-condition(s) for the method used to generate the warrant for the premise:</w:t>
      </w:r>
    </w:p>
    <w:p w14:paraId="5609DBB9" w14:textId="77777777" w:rsidR="00E53339" w:rsidRPr="006C7784" w:rsidRDefault="00E53339" w:rsidP="00E53339">
      <w:pPr>
        <w:spacing w:line="276" w:lineRule="auto"/>
        <w:ind w:firstLine="360"/>
        <w:rPr>
          <w:rFonts w:cs="Times New Roman"/>
          <w:color w:val="000000" w:themeColor="text1"/>
        </w:rPr>
      </w:pPr>
    </w:p>
    <w:p w14:paraId="533F2677" w14:textId="77777777" w:rsidR="00E53339" w:rsidRPr="00860DA2" w:rsidRDefault="00E53339" w:rsidP="00E53339">
      <w:pPr>
        <w:spacing w:line="276" w:lineRule="auto"/>
        <w:ind w:left="360"/>
        <w:rPr>
          <w:rFonts w:cs="Times New Roman"/>
          <w:color w:val="000000" w:themeColor="text1"/>
        </w:rPr>
      </w:pPr>
      <w:r w:rsidRPr="00860DA2">
        <w:rPr>
          <w:rFonts w:cs="Times New Roman"/>
          <w:color w:val="000000" w:themeColor="text1"/>
        </w:rPr>
        <w:t>[I]f the animals are zebras, then it follows that they are not mules painstakingly and skillfully disguised as zebras. Does one’s warrant transmit to the latter claim? There is a strong intuition that it does not. Did one examine the animals closely enough to detect such a fraud? Almost certainly not. The grounds one has for “those animals are zebras”—essentially, the look of the beasts—have no bearing on this possibility (Wright 2002, p. 342).</w:t>
      </w:r>
      <w:r w:rsidRPr="00860DA2">
        <w:rPr>
          <w:rStyle w:val="FootnoteReference"/>
          <w:rFonts w:cs="Times New Roman"/>
          <w:color w:val="000000" w:themeColor="text1"/>
        </w:rPr>
        <w:footnoteReference w:id="17"/>
      </w:r>
    </w:p>
    <w:p w14:paraId="38B39067" w14:textId="77777777" w:rsidR="00E53339" w:rsidRPr="006C7784" w:rsidRDefault="00E53339" w:rsidP="00E53339">
      <w:pPr>
        <w:spacing w:line="276" w:lineRule="auto"/>
        <w:rPr>
          <w:rFonts w:cs="Times New Roman"/>
          <w:color w:val="000000" w:themeColor="text1"/>
        </w:rPr>
      </w:pPr>
    </w:p>
    <w:p w14:paraId="5BB78BD8" w14:textId="51901651" w:rsidR="00E53339" w:rsidRPr="00860DA2" w:rsidRDefault="00E53339" w:rsidP="00E53339">
      <w:pPr>
        <w:spacing w:line="276" w:lineRule="auto"/>
        <w:rPr>
          <w:rFonts w:cs="Times New Roman"/>
          <w:color w:val="000000" w:themeColor="text1"/>
        </w:rPr>
      </w:pPr>
      <w:r w:rsidRPr="006C7784">
        <w:rPr>
          <w:rFonts w:cs="Times New Roman"/>
          <w:color w:val="000000" w:themeColor="text1"/>
        </w:rPr>
        <w:t>In such</w:t>
      </w:r>
      <w:r w:rsidRPr="00DA4CEF">
        <w:rPr>
          <w:rFonts w:cs="Times New Roman"/>
          <w:color w:val="000000" w:themeColor="text1"/>
        </w:rPr>
        <w:t xml:space="preserve"> a case, t</w:t>
      </w:r>
      <w:r w:rsidRPr="00860DA2">
        <w:rPr>
          <w:rFonts w:cs="Times New Roman"/>
          <w:color w:val="000000" w:themeColor="text1"/>
        </w:rPr>
        <w:t>he warrant for one’s premise does not warrant one’s claim that authenticity-conditions obtain. Hence, transmission fails.</w:t>
      </w:r>
    </w:p>
    <w:p w14:paraId="2B7CC1CD" w14:textId="77777777" w:rsidR="00E53339" w:rsidRPr="00860DA2" w:rsidRDefault="00E53339" w:rsidP="00E53339">
      <w:pPr>
        <w:spacing w:line="276" w:lineRule="auto"/>
        <w:rPr>
          <w:rFonts w:cs="Times New Roman"/>
          <w:color w:val="000000" w:themeColor="text1"/>
        </w:rPr>
      </w:pPr>
    </w:p>
    <w:p w14:paraId="6C239143" w14:textId="77777777" w:rsidR="00E53339" w:rsidRPr="006C7784" w:rsidRDefault="00E53339" w:rsidP="00E53339">
      <w:pPr>
        <w:spacing w:line="276" w:lineRule="auto"/>
        <w:ind w:left="360"/>
        <w:rPr>
          <w:rFonts w:cs="Times New Roman"/>
          <w:color w:val="000000" w:themeColor="text1"/>
        </w:rPr>
      </w:pPr>
      <w:r w:rsidRPr="00860DA2">
        <w:rPr>
          <w:rFonts w:cs="Times New Roman"/>
          <w:color w:val="000000" w:themeColor="text1"/>
        </w:rPr>
        <w:t xml:space="preserve">[Y]ou cannot, merely by looking at animal, or the wall, get in position to rationally claim that conditions are suitable for the identification of animal species, or surface colours, just on the basis of unaided vision </w:t>
      </w:r>
      <w:r w:rsidRPr="006C7784">
        <w:rPr>
          <w:rFonts w:cs="Times New Roman"/>
          <w:color w:val="000000" w:themeColor="text1"/>
        </w:rPr>
        <w:fldChar w:fldCharType="begin" w:fldLock="1"/>
      </w:r>
      <w:r w:rsidRPr="00860DA2">
        <w:rPr>
          <w:rFonts w:cs="Times New Roman"/>
          <w:color w:val="000000" w:themeColor="text1"/>
        </w:rPr>
        <w:instrText>ADDIN CSL_CITATION {"citationItems":[{"id":"ITEM-1","itemData":{"DOI":"10.1093/acprof:oso/9780199278053.003.0018","author":[{"dropping-particle":"","family":"Wright","given":"Crispin","non-dropping-particle":"","parse-names":false,"suffix":""}],"container-title":"Mind, Meaning, and Knowledge","id":"ITEM-1","issued":{"date-parts":[["2012","10","4"]]},"page":"451-486","publisher":"Oxford University Press","title":"Replies Part IV: Warrant Transmission and Entitlement","type":"chapter"},"uris":["http://www.mendeley.com/documents/?uuid=43b59035-f5ec-35f8-8a39-1e149ee83529"]}],"mendeley":{"formattedCitation":"(Wright 2012)","manualFormatting":"(Wright 2012, p. 468)","plainTextFormattedCitation":"(Wright 2012)","previouslyFormattedCitation":"(Wright 2012)"},"properties":{"noteIndex":0},"schema":"https://github.com/citation-style-language/schema/raw/master/csl-citation.json"}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(Wright 2012, p. 468)</w:t>
      </w:r>
      <w:r w:rsidRPr="006C7784">
        <w:rPr>
          <w:rFonts w:cs="Times New Roman"/>
          <w:color w:val="000000" w:themeColor="text1"/>
        </w:rPr>
        <w:fldChar w:fldCharType="end"/>
      </w:r>
      <w:r w:rsidRPr="00860DA2">
        <w:rPr>
          <w:rFonts w:cs="Times New Roman"/>
          <w:color w:val="000000" w:themeColor="text1"/>
        </w:rPr>
        <w:t>.</w:t>
      </w:r>
    </w:p>
    <w:p w14:paraId="2B88B598" w14:textId="77777777" w:rsidR="00E53339" w:rsidRPr="006C7784" w:rsidRDefault="00E53339" w:rsidP="00E53339">
      <w:pPr>
        <w:spacing w:line="276" w:lineRule="auto"/>
        <w:rPr>
          <w:rFonts w:cs="Times New Roman"/>
          <w:color w:val="000000" w:themeColor="text1"/>
        </w:rPr>
      </w:pPr>
    </w:p>
    <w:p w14:paraId="36AB649B" w14:textId="437F6533" w:rsidR="00E53339" w:rsidRPr="00860DA2" w:rsidRDefault="00E53339" w:rsidP="00E53339">
      <w:pPr>
        <w:spacing w:line="276" w:lineRule="auto"/>
        <w:ind w:firstLine="360"/>
        <w:rPr>
          <w:rFonts w:cs="Times New Roman"/>
          <w:color w:val="000000" w:themeColor="text1"/>
        </w:rPr>
      </w:pPr>
      <w:r w:rsidRPr="006C7784">
        <w:rPr>
          <w:rFonts w:cs="Times New Roman"/>
          <w:color w:val="000000" w:themeColor="text1"/>
        </w:rPr>
        <w:t xml:space="preserve">This is Wittgenstein’s point: using a method that gives </w:t>
      </w:r>
      <w:r w:rsidRPr="00DA4CEF">
        <w:rPr>
          <w:rFonts w:cs="Times New Roman"/>
          <w:color w:val="000000" w:themeColor="text1"/>
        </w:rPr>
        <w:t>evidence</w:t>
      </w:r>
      <w:r w:rsidRPr="00860DA2">
        <w:rPr>
          <w:rFonts w:cs="Times New Roman"/>
          <w:color w:val="000000" w:themeColor="text1"/>
        </w:rPr>
        <w:t xml:space="preserve"> does not give evidence that the method works. That’s why you can’t infer that the method works as a conclusion from the evidence it provides; there’s no evidence that the method works within the evidence that it provides.</w:t>
      </w:r>
    </w:p>
    <w:p w14:paraId="683F66B9" w14:textId="77777777" w:rsidR="00E53339" w:rsidRPr="00860DA2" w:rsidRDefault="00E53339" w:rsidP="00E53339">
      <w:pPr>
        <w:spacing w:line="276" w:lineRule="auto"/>
        <w:rPr>
          <w:rFonts w:cs="Times New Roman"/>
          <w:color w:val="000000" w:themeColor="text1"/>
        </w:rPr>
      </w:pPr>
    </w:p>
    <w:p w14:paraId="6354ADEF" w14:textId="5EE6731B" w:rsidR="00E53339" w:rsidRPr="00860DA2" w:rsidRDefault="00E53339" w:rsidP="00E53339">
      <w:pPr>
        <w:spacing w:line="276" w:lineRule="auto"/>
        <w:ind w:left="360"/>
        <w:rPr>
          <w:rFonts w:cs="Times New Roman"/>
          <w:color w:val="000000" w:themeColor="text1"/>
        </w:rPr>
      </w:pPr>
      <w:r w:rsidRPr="00860DA2">
        <w:rPr>
          <w:rFonts w:cs="Times New Roman"/>
          <w:color w:val="000000" w:themeColor="text1"/>
        </w:rPr>
        <w:t xml:space="preserve">My basic suggestion about transmission failure, in the most general (somewhat overstated terms), is this: </w:t>
      </w:r>
      <w:r w:rsidRPr="00860DA2">
        <w:rPr>
          <w:rFonts w:cs="Times New Roman"/>
          <w:i/>
          <w:color w:val="000000" w:themeColor="text1"/>
        </w:rPr>
        <w:t xml:space="preserve">that you cannot rationally transmit a claim to warrant for certain premises across an entailment to anything that is an authenticity-condition for (any among) the very cognitive projects(s) which purportedly generate(s) that claim to warrant </w:t>
      </w:r>
      <w:r w:rsidRPr="00860DA2">
        <w:rPr>
          <w:rFonts w:cs="Times New Roman"/>
          <w:color w:val="000000" w:themeColor="text1"/>
        </w:rPr>
        <w:t>(Wright 2012, pp. 467-8, emphasis in original).</w:t>
      </w:r>
      <w:r w:rsidRPr="00860DA2">
        <w:rPr>
          <w:rStyle w:val="FootnoteReference"/>
          <w:rFonts w:cs="Times New Roman"/>
          <w:color w:val="000000" w:themeColor="text1"/>
        </w:rPr>
        <w:footnoteReference w:id="18"/>
      </w:r>
    </w:p>
    <w:p w14:paraId="42A184CA" w14:textId="51F642D8" w:rsidR="00E53339" w:rsidRPr="006C7784" w:rsidRDefault="00E53339" w:rsidP="00E53339">
      <w:pPr>
        <w:spacing w:line="276" w:lineRule="auto"/>
        <w:rPr>
          <w:rFonts w:cs="Times New Roman"/>
          <w:color w:val="000000" w:themeColor="text1"/>
        </w:rPr>
      </w:pPr>
    </w:p>
    <w:p w14:paraId="4BA3216E" w14:textId="095A3BE2" w:rsidR="00E53339" w:rsidRPr="00860DA2" w:rsidRDefault="00E53339" w:rsidP="00E53339">
      <w:pPr>
        <w:spacing w:line="276" w:lineRule="auto"/>
        <w:rPr>
          <w:rFonts w:cs="Times New Roman"/>
          <w:color w:val="000000" w:themeColor="text1"/>
        </w:rPr>
      </w:pPr>
      <w:r w:rsidRPr="006C7784">
        <w:rPr>
          <w:rFonts w:cs="Times New Roman"/>
          <w:color w:val="000000" w:themeColor="text1"/>
        </w:rPr>
        <w:t>We’ve entered the ter</w:t>
      </w:r>
      <w:r w:rsidRPr="00DA4CEF">
        <w:rPr>
          <w:rFonts w:cs="Times New Roman"/>
          <w:color w:val="000000" w:themeColor="text1"/>
        </w:rPr>
        <w:t>rain of epistemic circularity</w:t>
      </w:r>
      <w:r w:rsidRPr="00860DA2">
        <w:rPr>
          <w:rFonts w:cs="Times New Roman"/>
          <w:color w:val="000000" w:themeColor="text1"/>
        </w:rPr>
        <w:t xml:space="preserve">. If we are trying to establish the cornerstones, then we can’t assume they are true when looking for evidence they are true. Even so, Wright insists that we </w:t>
      </w:r>
      <w:r w:rsidRPr="00860DA2">
        <w:rPr>
          <w:rFonts w:cs="Times New Roman"/>
          <w:i/>
          <w:color w:val="000000" w:themeColor="text1"/>
        </w:rPr>
        <w:t>do</w:t>
      </w:r>
      <w:r w:rsidRPr="00860DA2">
        <w:rPr>
          <w:rFonts w:cs="Times New Roman"/>
          <w:color w:val="000000" w:themeColor="text1"/>
        </w:rPr>
        <w:t xml:space="preserve"> have warrant—an epistemic right—to claim cornerstones. We have a right to claim our most based methods work. But because of transmission failure, the right to claim cornerstones does not transmit </w:t>
      </w:r>
      <w:r w:rsidRPr="00860DA2">
        <w:rPr>
          <w:rFonts w:cs="Times New Roman"/>
          <w:i/>
          <w:color w:val="000000" w:themeColor="text1"/>
        </w:rPr>
        <w:t>from</w:t>
      </w:r>
      <w:r w:rsidRPr="00860DA2">
        <w:rPr>
          <w:rFonts w:cs="Times New Roman"/>
          <w:color w:val="000000" w:themeColor="text1"/>
        </w:rPr>
        <w:t xml:space="preserve"> the evidence that our methods provide. </w:t>
      </w:r>
    </w:p>
    <w:p w14:paraId="68CFA3B5" w14:textId="1333EA4D"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But if not from the evidence provided by our methods, then where?  Classical foundationalists hoped we could come up with independent evidence from </w:t>
      </w:r>
      <w:r w:rsidRPr="00860DA2">
        <w:rPr>
          <w:rFonts w:cs="Times New Roman"/>
          <w:i/>
          <w:color w:val="000000" w:themeColor="text1"/>
        </w:rPr>
        <w:t>a priori</w:t>
      </w:r>
      <w:r w:rsidRPr="00860DA2">
        <w:rPr>
          <w:rFonts w:cs="Times New Roman"/>
          <w:color w:val="000000" w:themeColor="text1"/>
        </w:rPr>
        <w:t xml:space="preserve"> understanding, self-knowledge and reasoning to evidentially warrant cornerstones. If Wittgenstein is our guide, that’s impossible. There’s no independent evidential warrant supporting our entire cognitive enterprise. This is the failure of classical foundationalism that matters for Wright.</w:t>
      </w:r>
    </w:p>
    <w:p w14:paraId="1FD6D106" w14:textId="0B3C7C68"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We have arrived at the skeptical paradox as Wright sees it. When we claim knowledge, we claim cornerstones. We are warranted in so doing. But there’s no </w:t>
      </w:r>
      <w:r w:rsidRPr="00860DA2">
        <w:rPr>
          <w:rFonts w:cs="Times New Roman"/>
          <w:i/>
          <w:color w:val="000000" w:themeColor="text1"/>
        </w:rPr>
        <w:t>evidential</w:t>
      </w:r>
      <w:r w:rsidRPr="00860DA2">
        <w:rPr>
          <w:rFonts w:cs="Times New Roman"/>
          <w:color w:val="000000" w:themeColor="text1"/>
        </w:rPr>
        <w:t xml:space="preserve"> warrant to claim </w:t>
      </w:r>
      <w:r w:rsidRPr="00860DA2">
        <w:rPr>
          <w:rFonts w:cs="Times New Roman"/>
          <w:color w:val="000000" w:themeColor="text1"/>
        </w:rPr>
        <w:lastRenderedPageBreak/>
        <w:t xml:space="preserve">cornerstones. So how could we be warranted in so doing? The skeptic concludes we cannot, in good conscience, rationally claim cornerstones. To shake off the skeptic, Wright introduces </w:t>
      </w:r>
      <w:r w:rsidRPr="00860DA2">
        <w:rPr>
          <w:rFonts w:cs="Times New Roman"/>
          <w:i/>
          <w:color w:val="000000" w:themeColor="text1"/>
        </w:rPr>
        <w:t>entitlement</w:t>
      </w:r>
      <w:r w:rsidRPr="00860DA2">
        <w:rPr>
          <w:rFonts w:cs="Times New Roman"/>
          <w:color w:val="000000" w:themeColor="text1"/>
        </w:rPr>
        <w:t>.</w:t>
      </w:r>
    </w:p>
    <w:p w14:paraId="0F1D9CFD" w14:textId="272DE04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Take the widely shared idea of evidential warrant—our perceptual experiences, memories, other beliefs, and so on—and call it </w:t>
      </w:r>
      <w:r w:rsidRPr="00860DA2">
        <w:rPr>
          <w:rFonts w:cs="Times New Roman"/>
          <w:i/>
          <w:color w:val="000000" w:themeColor="text1"/>
        </w:rPr>
        <w:t>justification</w:t>
      </w:r>
      <w:r w:rsidRPr="00860DA2">
        <w:rPr>
          <w:rFonts w:cs="Times New Roman"/>
          <w:color w:val="000000" w:themeColor="text1"/>
        </w:rPr>
        <w:t xml:space="preserve">. Justification is </w:t>
      </w:r>
      <w:r w:rsidRPr="00860DA2">
        <w:rPr>
          <w:rFonts w:cs="Times New Roman"/>
          <w:i/>
          <w:color w:val="000000" w:themeColor="text1"/>
        </w:rPr>
        <w:t>evidential</w:t>
      </w:r>
      <w:r w:rsidRPr="00860DA2">
        <w:rPr>
          <w:rFonts w:cs="Times New Roman"/>
          <w:color w:val="000000" w:themeColor="text1"/>
        </w:rPr>
        <w:t xml:space="preserve"> epistemic warrant to</w:t>
      </w:r>
      <w:r w:rsidRPr="00860DA2">
        <w:rPr>
          <w:rFonts w:cs="Times New Roman"/>
          <w:i/>
          <w:color w:val="000000" w:themeColor="text1"/>
        </w:rPr>
        <w:t xml:space="preserve"> believe</w:t>
      </w:r>
      <w:r w:rsidRPr="00860DA2">
        <w:rPr>
          <w:rFonts w:cs="Times New Roman"/>
          <w:color w:val="000000" w:themeColor="text1"/>
        </w:rPr>
        <w:t xml:space="preserve"> a proposition. Then introduce another kind of epistemic warrant that is </w:t>
      </w:r>
      <w:r w:rsidRPr="00860DA2">
        <w:rPr>
          <w:rFonts w:cs="Times New Roman"/>
          <w:i/>
          <w:color w:val="000000" w:themeColor="text1"/>
        </w:rPr>
        <w:t>non</w:t>
      </w:r>
      <w:r w:rsidRPr="00860DA2">
        <w:rPr>
          <w:rFonts w:cs="Times New Roman"/>
          <w:color w:val="000000" w:themeColor="text1"/>
        </w:rPr>
        <w:t xml:space="preserve">-evidential. Unlike justification, it is not a right to </w:t>
      </w:r>
      <w:r w:rsidRPr="00860DA2">
        <w:rPr>
          <w:rFonts w:cs="Times New Roman"/>
          <w:i/>
          <w:color w:val="000000" w:themeColor="text1"/>
        </w:rPr>
        <w:t>believe</w:t>
      </w:r>
      <w:r w:rsidRPr="00860DA2">
        <w:rPr>
          <w:rFonts w:cs="Times New Roman"/>
          <w:color w:val="000000" w:themeColor="text1"/>
        </w:rPr>
        <w:t xml:space="preserve"> a proposition, but rather a right to </w:t>
      </w:r>
      <w:r w:rsidRPr="00860DA2">
        <w:rPr>
          <w:rFonts w:cs="Times New Roman"/>
          <w:i/>
          <w:color w:val="000000" w:themeColor="text1"/>
        </w:rPr>
        <w:t>accept</w:t>
      </w:r>
      <w:r w:rsidRPr="00860DA2">
        <w:rPr>
          <w:rFonts w:cs="Times New Roman"/>
          <w:color w:val="000000" w:themeColor="text1"/>
        </w:rPr>
        <w:t xml:space="preserve"> a proposition. Accepting a proposition isn’t believing it. It is rather to act for all purposes as if one believes it (without any evidence for it, but also without any grounds to doubt it).</w:t>
      </w:r>
      <w:r w:rsidRPr="00860DA2">
        <w:rPr>
          <w:rStyle w:val="FootnoteReference"/>
          <w:rFonts w:cs="Times New Roman"/>
          <w:color w:val="000000" w:themeColor="text1"/>
        </w:rPr>
        <w:footnoteReference w:id="19"/>
      </w:r>
      <w:r w:rsidRPr="00860DA2">
        <w:rPr>
          <w:rFonts w:cs="Times New Roman"/>
          <w:color w:val="000000" w:themeColor="text1"/>
        </w:rPr>
        <w:t xml:space="preserve"> Call this kind </w:t>
      </w:r>
      <w:r w:rsidRPr="006C7784">
        <w:rPr>
          <w:rFonts w:cs="Times New Roman"/>
          <w:i/>
          <w:color w:val="000000" w:themeColor="text1"/>
        </w:rPr>
        <w:t>entitlement</w:t>
      </w:r>
      <w:r w:rsidRPr="006C7784">
        <w:rPr>
          <w:rFonts w:cs="Times New Roman"/>
          <w:color w:val="000000" w:themeColor="text1"/>
        </w:rPr>
        <w:t xml:space="preserve">. </w:t>
      </w:r>
      <w:r w:rsidRPr="006C7784">
        <w:rPr>
          <w:rFonts w:cs="Times New Roman"/>
          <w:b/>
          <w:color w:val="000000" w:themeColor="text1"/>
        </w:rPr>
        <w:t>Justification</w:t>
      </w:r>
      <w:r w:rsidRPr="006C7784">
        <w:rPr>
          <w:rFonts w:cs="Times New Roman"/>
          <w:color w:val="000000" w:themeColor="text1"/>
        </w:rPr>
        <w:t xml:space="preserve"> is </w:t>
      </w:r>
      <w:r w:rsidRPr="00DA4CEF">
        <w:rPr>
          <w:rFonts w:cs="Times New Roman"/>
          <w:i/>
          <w:color w:val="000000" w:themeColor="text1"/>
        </w:rPr>
        <w:t>evidential</w:t>
      </w:r>
      <w:r w:rsidRPr="00DA4CEF">
        <w:rPr>
          <w:rFonts w:cs="Times New Roman"/>
          <w:color w:val="000000" w:themeColor="text1"/>
        </w:rPr>
        <w:t xml:space="preserve"> epistemic warrant to </w:t>
      </w:r>
      <w:r w:rsidRPr="00DA4CEF">
        <w:rPr>
          <w:rFonts w:cs="Times New Roman"/>
          <w:i/>
          <w:color w:val="000000" w:themeColor="text1"/>
        </w:rPr>
        <w:t>believe</w:t>
      </w:r>
      <w:r w:rsidRPr="00DA4CEF">
        <w:rPr>
          <w:rFonts w:cs="Times New Roman"/>
          <w:color w:val="000000" w:themeColor="text1"/>
        </w:rPr>
        <w:t xml:space="preserve"> a proposition. </w:t>
      </w:r>
      <w:r w:rsidRPr="00DA4CEF">
        <w:rPr>
          <w:rFonts w:cs="Times New Roman"/>
          <w:b/>
          <w:color w:val="000000" w:themeColor="text1"/>
        </w:rPr>
        <w:t>Entitlement</w:t>
      </w:r>
      <w:r w:rsidRPr="00DA4CEF">
        <w:rPr>
          <w:rFonts w:cs="Times New Roman"/>
          <w:color w:val="000000" w:themeColor="text1"/>
        </w:rPr>
        <w:t xml:space="preserve"> is </w:t>
      </w:r>
      <w:r w:rsidRPr="00860DA2">
        <w:rPr>
          <w:rFonts w:cs="Times New Roman"/>
          <w:i/>
          <w:color w:val="000000" w:themeColor="text1"/>
        </w:rPr>
        <w:t>non</w:t>
      </w:r>
      <w:r w:rsidRPr="00860DA2">
        <w:rPr>
          <w:rFonts w:cs="Times New Roman"/>
          <w:color w:val="000000" w:themeColor="text1"/>
        </w:rPr>
        <w:t xml:space="preserve">-evidential epistemic warrant to </w:t>
      </w:r>
      <w:r w:rsidRPr="00860DA2">
        <w:rPr>
          <w:rFonts w:cs="Times New Roman"/>
          <w:i/>
          <w:color w:val="000000" w:themeColor="text1"/>
        </w:rPr>
        <w:t>accept</w:t>
      </w:r>
      <w:r w:rsidRPr="00860DA2">
        <w:rPr>
          <w:rFonts w:cs="Times New Roman"/>
          <w:color w:val="000000" w:themeColor="text1"/>
        </w:rPr>
        <w:t xml:space="preserve"> a proposition. That’s Wright’s distinction.</w:t>
      </w:r>
    </w:p>
    <w:p w14:paraId="7E1C51A9" w14:textId="0FF17D99" w:rsidR="00E53339" w:rsidRPr="00DA4CEF"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Why then do we have an epistemic right to claim cornerstones? Not because we have an evidential right—a justification—to </w:t>
      </w:r>
      <w:r w:rsidRPr="00860DA2">
        <w:rPr>
          <w:rFonts w:cs="Times New Roman"/>
          <w:i/>
          <w:color w:val="000000" w:themeColor="text1"/>
        </w:rPr>
        <w:t>believe</w:t>
      </w:r>
      <w:r w:rsidRPr="00860DA2">
        <w:rPr>
          <w:rFonts w:cs="Times New Roman"/>
          <w:color w:val="000000" w:themeColor="text1"/>
        </w:rPr>
        <w:t xml:space="preserve"> cornerstones. It is because we have a </w:t>
      </w:r>
      <w:r w:rsidRPr="00860DA2">
        <w:rPr>
          <w:rFonts w:cs="Times New Roman"/>
          <w:i/>
          <w:color w:val="000000" w:themeColor="text1"/>
        </w:rPr>
        <w:t>non</w:t>
      </w:r>
      <w:r w:rsidRPr="00860DA2">
        <w:rPr>
          <w:rFonts w:cs="Times New Roman"/>
          <w:color w:val="000000" w:themeColor="text1"/>
        </w:rPr>
        <w:t xml:space="preserve">-evidential right—an entitlement—to </w:t>
      </w:r>
      <w:r w:rsidRPr="00860DA2">
        <w:rPr>
          <w:rFonts w:cs="Times New Roman"/>
          <w:i/>
          <w:color w:val="000000" w:themeColor="text1"/>
        </w:rPr>
        <w:t>accept</w:t>
      </w:r>
      <w:r w:rsidRPr="00860DA2">
        <w:rPr>
          <w:rFonts w:cs="Times New Roman"/>
          <w:color w:val="000000" w:themeColor="text1"/>
        </w:rPr>
        <w:t xml:space="preserve"> cornerstones. Entitlement is the independent epistemic warrant for cornerstones we were looking for. That’s why we are in ratio</w:t>
      </w:r>
      <w:r w:rsidRPr="00DA4CEF">
        <w:rPr>
          <w:rFonts w:cs="Times New Roman"/>
          <w:color w:val="000000" w:themeColor="text1"/>
        </w:rPr>
        <w:t>nal good order when we claim</w:t>
      </w:r>
      <w:r w:rsidRPr="00860DA2">
        <w:rPr>
          <w:rFonts w:cs="Times New Roman"/>
          <w:color w:val="000000" w:themeColor="text1"/>
        </w:rPr>
        <w:t xml:space="preserve"> </w:t>
      </w:r>
      <w:r w:rsidRPr="006C7784">
        <w:rPr>
          <w:rFonts w:cs="Times New Roman"/>
          <w:color w:val="000000" w:themeColor="text1"/>
        </w:rPr>
        <w:t>knowledge and cornerstones. The skeptic wins provided that only justifications can warrant claims to cornerstones. But if entitlement can fill that gap, we retain our right to claim provenance “on the grand scale we customa</w:t>
      </w:r>
      <w:r w:rsidRPr="00DA4CEF">
        <w:rPr>
          <w:rFonts w:cs="Times New Roman"/>
          <w:color w:val="000000" w:themeColor="text1"/>
        </w:rPr>
        <w:t>rily assume.” That’s Wright’s idea.</w:t>
      </w:r>
    </w:p>
    <w:p w14:paraId="1F75CE59" w14:textId="0ACF393D" w:rsidR="00E53339" w:rsidRPr="00DA4CEF" w:rsidRDefault="00E53339" w:rsidP="00E53339">
      <w:pPr>
        <w:spacing w:line="276" w:lineRule="auto"/>
        <w:rPr>
          <w:rFonts w:cs="Times New Roman"/>
          <w:color w:val="000000" w:themeColor="text1"/>
        </w:rPr>
      </w:pPr>
      <w:r w:rsidRPr="00DA4CEF">
        <w:rPr>
          <w:rFonts w:cs="Times New Roman"/>
          <w:color w:val="000000" w:themeColor="text1"/>
        </w:rPr>
        <w:tab/>
        <w:t>Before we turn to Wright’s reasons for thinking there are entitlements in this sense, we should ask why he doesn’t simply settle for reliabilism.</w:t>
      </w:r>
      <w:r w:rsidRPr="00860DA2">
        <w:rPr>
          <w:rFonts w:cs="Times New Roman"/>
          <w:color w:val="000000" w:themeColor="text1"/>
        </w:rPr>
        <w:t xml:space="preserve"> The skeptic’s mistake, according to reliabilism, is to assume that the </w:t>
      </w:r>
      <w:r w:rsidRPr="006C7784">
        <w:rPr>
          <w:rFonts w:cs="Times New Roman"/>
          <w:color w:val="000000" w:themeColor="text1"/>
        </w:rPr>
        <w:t xml:space="preserve">only way to have </w:t>
      </w:r>
      <w:r w:rsidRPr="00DA4CEF">
        <w:rPr>
          <w:rFonts w:cs="Times New Roman"/>
          <w:color w:val="000000" w:themeColor="text1"/>
        </w:rPr>
        <w:t>knowledge is through arguments that rely only on resources available from the internal point of view. Instead, our knowledge that we have hands—our perceptual knowledge—comes from our situational provenance (Greco 2000). So why not reliabilism?</w:t>
      </w:r>
    </w:p>
    <w:p w14:paraId="331DF0BF" w14:textId="60CF5426"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 xml:space="preserve">Wright’s reply is partly concessive. According to textbook skepticism, the skeptic denies knowledge of the external world, the past, the unobserved, other minds, and so on. If the textbook skeptic is right, knowledge in these domains is impossible. But if the externalist-reliabilist is right, then (for creatures like us, suitably situated, contingently so, in good circumstances) knowledge in these domains is actual, hence possible. How could the skeptic, from the armchair, show we’re not in good conditions? The skeptic can’t threaten our situational provenance </w:t>
      </w:r>
      <w:r w:rsidRPr="006C7784">
        <w:rPr>
          <w:rFonts w:cs="Times New Roman"/>
          <w:color w:val="000000" w:themeColor="text1"/>
        </w:rPr>
        <w:fldChar w:fldCharType="begin" w:fldLock="1"/>
      </w:r>
      <w:r w:rsidRPr="00DA4CEF">
        <w:rPr>
          <w:rFonts w:cs="Times New Roman"/>
          <w:color w:val="000000" w:themeColor="text1"/>
        </w:rPr>
        <w:instrText>ADDIN CSL_CITATION {"citationItems":[{"id":"ITEM-1","itemData":{"DOI":"10.1111/j.0309-7013.2004.00121.x","ISSN":"0309-7013","author":[{"dropping-particle":"","family":"Wright","given":"Crispin","non-dropping-particle":"","parse-names":false,"suffix":""}],"container-title":"Aristotelian Society Supplementary Volume","id":"ITEM-1","issue":"1","issued":{"date-parts":[["2004","7","1"]]},"page":"167-212","title":"&lt;i&gt;I—Crispin Wright&lt;/i&gt; : Warrant for Nothing (and Foundations for Free)?","type":"article-journal","volume":"78"},"uris":["http://www.mendeley.com/documents/?uuid=e4ba47b5-f682-3e70-99a6-3b7bd8466c98"]},{"id":"ITEM-2","itemData":{"ISBN":"9780199281725","author":[{"dropping-particle":"","family":"Wright","given":"Crispin","non-dropping-particle":"","parse-names":false,"suffix":""}],"container-title":"Themes from G.E. Moore","editor":[{"dropping-particle":"","family":"Nuccetelli","given":"Susana","non-dropping-particle":"","parse-names":false,"suffix":""},{"dropping-particle":"","family":"Seay","given":"Gary","non-dropping-particle":"","parse-names":false,"suffix":""}],"id":"ITEM-2","issued":{"date-parts":[["2007"]]},"page":"360","title":"The Perils of Dogmatism","type":"chapter"},"uris":["http://www.mendeley.com/documents/?uuid=f6315ef8-4a51-410b-bc63-055994da358c"]}],"mendeley":{"formattedCitation":"(Wright 2004, 2007)","manualFormatting":"(Wright 2004, pp. 209-211; 2007, pp. 30-1)","plainTextFormattedCitation":"(Wright 2004, 2007)","previouslyFormattedCitation":"(Wright 2004, 2007)"},"properties":{"noteIndex":0},"schema":"https://github.com/citation-style-language/schema/raw/master/csl-citation.json"}</w:instrText>
      </w:r>
      <w:r w:rsidRPr="006C7784">
        <w:rPr>
          <w:rFonts w:cs="Times New Roman"/>
          <w:color w:val="000000" w:themeColor="text1"/>
        </w:rPr>
        <w:fldChar w:fldCharType="separate"/>
      </w:r>
      <w:r w:rsidRPr="006C7784">
        <w:rPr>
          <w:rFonts w:cs="Times New Roman"/>
          <w:noProof/>
          <w:color w:val="000000" w:themeColor="text1"/>
        </w:rPr>
        <w:t>(Wright 2004, pp. 209-211; 2007, pp. 30-1)</w:t>
      </w:r>
      <w:r w:rsidRPr="006C7784">
        <w:rPr>
          <w:rFonts w:cs="Times New Roman"/>
          <w:color w:val="000000" w:themeColor="text1"/>
        </w:rPr>
        <w:fldChar w:fldCharType="end"/>
      </w:r>
      <w:r w:rsidRPr="00860DA2">
        <w:rPr>
          <w:rFonts w:cs="Times New Roman"/>
          <w:color w:val="000000" w:themeColor="text1"/>
        </w:rPr>
        <w:t xml:space="preserve">. Wright then agrees </w:t>
      </w:r>
      <w:r w:rsidRPr="006C7784">
        <w:rPr>
          <w:rFonts w:cs="Times New Roman"/>
          <w:color w:val="000000" w:themeColor="text1"/>
        </w:rPr>
        <w:t>with reliabilists that a lack of evid</w:t>
      </w:r>
      <w:r w:rsidRPr="00DA4CEF">
        <w:rPr>
          <w:rFonts w:cs="Times New Roman"/>
          <w:color w:val="000000" w:themeColor="text1"/>
        </w:rPr>
        <w:t xml:space="preserve">ential warrant for cornerstones does not entail lack of knoweldge in these domains.  Furthermore, Wright thinks externalist-reliabilist warrants transmit from premises to </w:t>
      </w:r>
      <w:r w:rsidRPr="00DA4CEF">
        <w:rPr>
          <w:rFonts w:cs="Times New Roman"/>
          <w:color w:val="000000" w:themeColor="text1"/>
        </w:rPr>
        <w:lastRenderedPageBreak/>
        <w:t>conclusions. So, Wright thinks, on an externalist-reading, we know we have hands, that there is an external world, and we can even know we know these things (2012, pp. 455-6, 458, 471).</w:t>
      </w:r>
    </w:p>
    <w:p w14:paraId="1EA9A2A2" w14:textId="0CDC0F0C"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But Wright doesn’t think this answers skepticism. Wright distinguishes two tasks for epistemology: examining the situational provenance and truth-conduciveness of our belief-forming mechanisms, on the one hand, and examining considerations of intellectual integrity, on the other. Both tasks are, he says, “indispensable”— neither reduces to or “trumps” the other (2004, p. 210-11).</w:t>
      </w:r>
    </w:p>
    <w:p w14:paraId="6CD0F31F" w14:textId="77777777"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 xml:space="preserve">What intellectual integrity wants, but skepticism threatens, is “good conscience” for the claim that good conditions—circumstantial providence—are realized “on the grand scale we customarily assume” (2004, p. 211). ‘Sure, if you are in good conditions, then good for you’ the skeptic says. ‘But what reason can you provide—a reason that does not assume that you are in good conditions—for claiming you are in good conditions? Our canons of intellectual integrity require an answer. Since any reason from perception would assume that you are in good conditions, you’ll have to retreat to the internal point of view to find such a reason. But you can’t find one there. When you reflect on the claims for cornerstones ordinary people so readily make, you’ll see they are, in the end, without a rational foundation. Your cornerstones may be true, and maybe even known by reliabilist lights, but even so, you have no right to claim cornerstones. I challenge the epistemic </w:t>
      </w:r>
      <w:r w:rsidRPr="00DA4CEF">
        <w:rPr>
          <w:rFonts w:cs="Times New Roman"/>
          <w:i/>
          <w:color w:val="000000" w:themeColor="text1"/>
        </w:rPr>
        <w:t>right to claim</w:t>
      </w:r>
      <w:r w:rsidRPr="00DA4CEF">
        <w:rPr>
          <w:rFonts w:cs="Times New Roman"/>
          <w:color w:val="000000" w:themeColor="text1"/>
        </w:rPr>
        <w:t xml:space="preserve"> cornerstones, not our </w:t>
      </w:r>
      <w:r w:rsidRPr="00DA4CEF">
        <w:rPr>
          <w:rFonts w:cs="Times New Roman"/>
          <w:i/>
          <w:color w:val="000000" w:themeColor="text1"/>
        </w:rPr>
        <w:t>knowledge</w:t>
      </w:r>
      <w:r w:rsidRPr="00DA4CEF">
        <w:rPr>
          <w:rFonts w:cs="Times New Roman"/>
          <w:color w:val="000000" w:themeColor="text1"/>
        </w:rPr>
        <w:t xml:space="preserve"> of cornerstones.’</w:t>
      </w:r>
    </w:p>
    <w:p w14:paraId="270BD709" w14:textId="7139FFA5"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 xml:space="preserve">For Wright, it’s at the “level of claims to warrant”—not the “level of knowledge”—where we find the “most worrying sceptical challenges” (2014, p. 220). For the skeptic’s challenge is to be “understood in terms of—and to be settled by—canons of intellectual integrity. The paradoxes of skepticism are paradoxes for the attempt at a systematic respect of those canons” (2004, p. 211). When we respect those </w:t>
      </w:r>
      <w:proofErr w:type="gramStart"/>
      <w:r w:rsidRPr="00DA4CEF">
        <w:rPr>
          <w:rFonts w:cs="Times New Roman"/>
          <w:color w:val="000000" w:themeColor="text1"/>
        </w:rPr>
        <w:t>canons</w:t>
      </w:r>
      <w:proofErr w:type="gramEnd"/>
      <w:r w:rsidRPr="00DA4CEF">
        <w:rPr>
          <w:rFonts w:cs="Times New Roman"/>
          <w:color w:val="000000" w:themeColor="text1"/>
        </w:rPr>
        <w:t xml:space="preserve"> we work from the armchair, using “just the resources of a priori reflection, deductive inference, and ordinary self-knowledge…of our own beliefs, desires, experiences, appearances, and passion” (2008, p. 507). Appeals to situational provenance occur outside of the armchair. The task of discovering our warrant to claim cornerstones is then a task “for the internalist”. Skepticism is then “the nemesis of internalism” (2014, p. 220) that externalism is “impotent” to address (2004, p. 210). That’s why </w:t>
      </w:r>
      <w:r w:rsidRPr="00DA4CEF">
        <w:rPr>
          <w:rFonts w:cs="Times New Roman"/>
          <w:i/>
          <w:color w:val="000000" w:themeColor="text1"/>
        </w:rPr>
        <w:t>not</w:t>
      </w:r>
      <w:r w:rsidRPr="00DA4CEF">
        <w:rPr>
          <w:rFonts w:cs="Times New Roman"/>
          <w:color w:val="000000" w:themeColor="text1"/>
        </w:rPr>
        <w:t xml:space="preserve"> reliabilism. Question asked, question answered.</w:t>
      </w:r>
    </w:p>
    <w:p w14:paraId="0C4547F8" w14:textId="77777777" w:rsidR="00E53339" w:rsidRPr="00DA4CEF" w:rsidRDefault="00E53339" w:rsidP="00E53339">
      <w:pPr>
        <w:spacing w:line="276" w:lineRule="auto"/>
        <w:ind w:firstLine="360"/>
        <w:rPr>
          <w:rFonts w:cs="Times New Roman"/>
          <w:color w:val="000000" w:themeColor="text1"/>
        </w:rPr>
      </w:pPr>
      <w:r w:rsidRPr="00DA4CEF">
        <w:rPr>
          <w:rFonts w:cs="Times New Roman"/>
          <w:color w:val="000000" w:themeColor="text1"/>
        </w:rPr>
        <w:t>Entitlement so far is a name for a role: armchair non-evidential warrant to claim cornerstones. Why think anything occupies that role?</w:t>
      </w:r>
      <w:r w:rsidRPr="00860DA2">
        <w:rPr>
          <w:rFonts w:cs="Times New Roman"/>
          <w:color w:val="000000" w:themeColor="text1"/>
        </w:rPr>
        <w:t xml:space="preserve"> Wright explores four “paths”: </w:t>
      </w:r>
      <w:r w:rsidRPr="006C7784">
        <w:rPr>
          <w:rFonts w:cs="Times New Roman"/>
          <w:color w:val="000000" w:themeColor="text1"/>
        </w:rPr>
        <w:t xml:space="preserve">strategic entitlement, entitlement to cognitive project, entitlement of rational deliberation, and </w:t>
      </w:r>
      <w:r w:rsidRPr="00DA4CEF">
        <w:rPr>
          <w:rFonts w:cs="Times New Roman"/>
          <w:color w:val="000000" w:themeColor="text1"/>
        </w:rPr>
        <w:t>entitlement of substance.</w:t>
      </w:r>
    </w:p>
    <w:p w14:paraId="58E6A472" w14:textId="5BABFBD1" w:rsidR="00E53339" w:rsidRPr="00860DA2" w:rsidRDefault="00E53339" w:rsidP="00E53339">
      <w:pPr>
        <w:spacing w:line="276" w:lineRule="auto"/>
        <w:ind w:firstLine="360"/>
        <w:rPr>
          <w:rFonts w:cs="Times New Roman"/>
          <w:color w:val="000000" w:themeColor="text1"/>
        </w:rPr>
      </w:pPr>
      <w:r w:rsidRPr="00DA4CEF">
        <w:rPr>
          <w:rFonts w:cs="Times New Roman"/>
          <w:i/>
          <w:color w:val="000000" w:themeColor="text1"/>
        </w:rPr>
        <w:t>Strategic entitlement</w:t>
      </w:r>
      <w:r w:rsidRPr="00DA4CEF">
        <w:rPr>
          <w:rFonts w:cs="Times New Roman"/>
          <w:color w:val="000000" w:themeColor="text1"/>
        </w:rPr>
        <w:t xml:space="preserve"> follows Reichenbach’s case for the rationality of relying on induction. Just as it can be rational when living on a deserted island to eat the available fruit without evidence that it is edible—one’s best bet is to eat it, even if it turns out to be inedible—it can be rational to rely on induction. Relying on induction can’t bring about a worse result than other strategies, but in some </w:t>
      </w:r>
      <w:proofErr w:type="gramStart"/>
      <w:r w:rsidRPr="00DA4CEF">
        <w:rPr>
          <w:rFonts w:cs="Times New Roman"/>
          <w:color w:val="000000" w:themeColor="text1"/>
        </w:rPr>
        <w:t>cases</w:t>
      </w:r>
      <w:proofErr w:type="gramEnd"/>
      <w:r w:rsidRPr="00DA4CEF">
        <w:rPr>
          <w:rFonts w:cs="Times New Roman"/>
          <w:color w:val="000000" w:themeColor="text1"/>
        </w:rPr>
        <w:t xml:space="preserve"> it bring about a better result.  Relying on induction is then the dominant strategy. Similarly, one may not know that perception is reliable, but if any way of finding out about the eternal world works, perception works. In neither case do we have armchair </w:t>
      </w:r>
      <w:r w:rsidRPr="00DA4CEF">
        <w:rPr>
          <w:rFonts w:cs="Times New Roman"/>
          <w:color w:val="000000" w:themeColor="text1"/>
        </w:rPr>
        <w:lastRenderedPageBreak/>
        <w:t>evidential warrant to believe a cornerstone. Instead we have an armchair case for rationally trusting a cornerstone for it's the dominant strategy, given epistemic goals (2004, pp. 178-188).</w:t>
      </w:r>
      <w:r w:rsidRPr="00860DA2">
        <w:rPr>
          <w:rStyle w:val="FootnoteReference"/>
          <w:rFonts w:cs="Times New Roman"/>
          <w:color w:val="000000" w:themeColor="text1"/>
        </w:rPr>
        <w:footnoteReference w:id="20"/>
      </w:r>
    </w:p>
    <w:p w14:paraId="233FA1D3" w14:textId="02A6EBAE" w:rsidR="00E53339" w:rsidRPr="00DA4CEF" w:rsidRDefault="00E53339" w:rsidP="00E53339">
      <w:pPr>
        <w:spacing w:line="276" w:lineRule="auto"/>
        <w:rPr>
          <w:rFonts w:cs="Times New Roman"/>
          <w:color w:val="000000" w:themeColor="text1"/>
        </w:rPr>
      </w:pPr>
      <w:r w:rsidRPr="00DA4CEF">
        <w:rPr>
          <w:rFonts w:cs="Times New Roman"/>
          <w:color w:val="000000" w:themeColor="text1"/>
        </w:rPr>
        <w:tab/>
      </w:r>
      <w:r w:rsidRPr="00DA4CEF">
        <w:rPr>
          <w:rFonts w:cs="Times New Roman"/>
          <w:i/>
          <w:color w:val="000000" w:themeColor="text1"/>
        </w:rPr>
        <w:t>Entitlement to cognitive project</w:t>
      </w:r>
      <w:r w:rsidRPr="00DA4CEF">
        <w:rPr>
          <w:rFonts w:cs="Times New Roman"/>
          <w:color w:val="000000" w:themeColor="text1"/>
        </w:rPr>
        <w:t xml:space="preserve"> builds on what we’ve learned from Wittgenstein: taking authenticity-conditions for granted is inescapable in any cognitive project. If we were to investigate those, that would be a new cognitive project, with new authenticity-conditions, and on we go. Epistemic responsibility couldn’t require us to do this forever; we can’t be required to do something we couldn’t ever do. And if not forever, then not at the first step. The alternative is cognitive paralysis. Hence, if (i) we have no sufficient reason to believe a proposition expressing an authenticity-condition is untrue, and (ii) attempting to justify that proposition would lead to justifying new authenticity-conditions without limit, then we have a rational right to trust the authenticity-condition we started with. We’re entitled to claim authenticity-conditions, provided we have no sufficient reason to believe they’re false (2004, pp. 188-197).</w:t>
      </w:r>
    </w:p>
    <w:p w14:paraId="5B2FF185" w14:textId="0B622B3E" w:rsidR="00E53339" w:rsidRPr="006C7784" w:rsidRDefault="00E53339" w:rsidP="00E53339">
      <w:pPr>
        <w:spacing w:line="276" w:lineRule="auto"/>
        <w:ind w:firstLine="360"/>
        <w:rPr>
          <w:rFonts w:cs="Times New Roman"/>
          <w:color w:val="000000" w:themeColor="text1"/>
        </w:rPr>
      </w:pPr>
      <w:r w:rsidRPr="00DA4CEF">
        <w:rPr>
          <w:rFonts w:cs="Times New Roman"/>
          <w:color w:val="000000" w:themeColor="text1"/>
        </w:rPr>
        <w:t>A standard objection to this path is that it’s too permissive—too relativist (my crystal ball doesn’t tell me about its authenticity-conditions…so I’m entitled to rely on it?).</w:t>
      </w:r>
      <w:r w:rsidRPr="00860DA2">
        <w:rPr>
          <w:rStyle w:val="FootnoteReference"/>
          <w:rFonts w:cs="Times New Roman"/>
          <w:color w:val="000000" w:themeColor="text1"/>
        </w:rPr>
        <w:footnoteReference w:id="21"/>
      </w:r>
      <w:r w:rsidRPr="00860DA2">
        <w:rPr>
          <w:rFonts w:cs="Times New Roman"/>
          <w:color w:val="000000" w:themeColor="text1"/>
        </w:rPr>
        <w:t xml:space="preserve"> Wright doubts the force of this object</w:t>
      </w:r>
      <w:r w:rsidRPr="006C7784">
        <w:rPr>
          <w:rFonts w:cs="Times New Roman"/>
          <w:color w:val="000000" w:themeColor="text1"/>
        </w:rPr>
        <w:t>ion, for we either have plenty of evidence it doesn’t work to begin with, or if we tried justifying its reliability, we’d find independent evidence either for or against. Even so, one can construct</w:t>
      </w:r>
      <w:r>
        <w:rPr>
          <w:rFonts w:cs="Times New Roman"/>
          <w:color w:val="000000" w:themeColor="text1"/>
        </w:rPr>
        <w:t xml:space="preserve"> permissive</w:t>
      </w:r>
      <w:r w:rsidRPr="006C7784">
        <w:rPr>
          <w:rFonts w:cs="Times New Roman"/>
          <w:color w:val="000000" w:themeColor="text1"/>
        </w:rPr>
        <w:t xml:space="preserve"> cases where </w:t>
      </w:r>
      <w:r>
        <w:rPr>
          <w:rFonts w:cs="Times New Roman"/>
          <w:color w:val="000000" w:themeColor="text1"/>
        </w:rPr>
        <w:t>Wright’s</w:t>
      </w:r>
      <w:r w:rsidRPr="00DA4CEF">
        <w:rPr>
          <w:rFonts w:cs="Times New Roman"/>
          <w:color w:val="000000" w:themeColor="text1"/>
        </w:rPr>
        <w:t xml:space="preserve"> conditions are met.</w:t>
      </w:r>
      <w:r w:rsidRPr="00860DA2">
        <w:rPr>
          <w:rStyle w:val="FootnoteReference"/>
          <w:rFonts w:cs="Times New Roman"/>
          <w:color w:val="000000" w:themeColor="text1"/>
        </w:rPr>
        <w:footnoteReference w:id="22"/>
      </w:r>
      <w:r w:rsidRPr="00860DA2">
        <w:rPr>
          <w:rFonts w:cs="Times New Roman"/>
          <w:color w:val="000000" w:themeColor="text1"/>
        </w:rPr>
        <w:t xml:space="preserve"> </w:t>
      </w:r>
    </w:p>
    <w:p w14:paraId="59515B4C" w14:textId="4338876F" w:rsidR="00E53339" w:rsidRPr="00860DA2" w:rsidRDefault="00E53339" w:rsidP="00E53339">
      <w:pPr>
        <w:spacing w:line="276" w:lineRule="auto"/>
        <w:rPr>
          <w:rFonts w:cs="Times New Roman"/>
          <w:color w:val="000000" w:themeColor="text1"/>
        </w:rPr>
      </w:pPr>
      <w:r w:rsidRPr="00DA4CEF">
        <w:rPr>
          <w:rFonts w:cs="Times New Roman"/>
          <w:color w:val="000000" w:themeColor="text1"/>
        </w:rPr>
        <w:tab/>
      </w:r>
      <w:r w:rsidRPr="00DA4CEF">
        <w:rPr>
          <w:rFonts w:cs="Times New Roman"/>
          <w:i/>
          <w:color w:val="000000" w:themeColor="text1"/>
        </w:rPr>
        <w:t>Entitlement to rational deliberation</w:t>
      </w:r>
      <w:r w:rsidRPr="00DA4CEF">
        <w:rPr>
          <w:rFonts w:cs="Times New Roman"/>
          <w:color w:val="000000" w:themeColor="text1"/>
        </w:rPr>
        <w:t xml:space="preserve"> says that since we are rational agents who must deliberate about what to do, and since such deliberation depends on nomic regularities, rational deliberators must trust in induction. Since accepting</w:t>
      </w:r>
      <w:r w:rsidRPr="00860DA2">
        <w:rPr>
          <w:rFonts w:cs="Times New Roman"/>
          <w:color w:val="000000" w:themeColor="text1"/>
        </w:rPr>
        <w:t xml:space="preserve"> the Uniformity Thesis partly constitutes rational agency—we can’t play the deliberation game without deploying induction—we’re entitled to accept it. (2004, pp. 197-200).</w:t>
      </w:r>
    </w:p>
    <w:p w14:paraId="2128669A" w14:textId="77777777"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r>
      <w:r w:rsidRPr="00860DA2">
        <w:rPr>
          <w:rFonts w:cs="Times New Roman"/>
          <w:i/>
          <w:color w:val="000000" w:themeColor="text1"/>
        </w:rPr>
        <w:t>Entitlement to substance</w:t>
      </w:r>
      <w:r w:rsidRPr="00860DA2">
        <w:rPr>
          <w:rFonts w:cs="Times New Roman"/>
          <w:color w:val="000000" w:themeColor="text1"/>
        </w:rPr>
        <w:t xml:space="preserve"> turns from </w:t>
      </w:r>
      <w:r w:rsidRPr="00860DA2">
        <w:rPr>
          <w:rFonts w:cs="Times New Roman"/>
          <w:i/>
          <w:color w:val="000000" w:themeColor="text1"/>
        </w:rPr>
        <w:t>methods</w:t>
      </w:r>
      <w:r w:rsidRPr="00860DA2">
        <w:rPr>
          <w:rFonts w:cs="Times New Roman"/>
          <w:color w:val="000000" w:themeColor="text1"/>
        </w:rPr>
        <w:t xml:space="preserve">—induction, perception, etc.—to </w:t>
      </w:r>
      <w:r w:rsidRPr="00860DA2">
        <w:rPr>
          <w:rFonts w:cs="Times New Roman"/>
          <w:i/>
          <w:color w:val="000000" w:themeColor="text1"/>
        </w:rPr>
        <w:t>ontology</w:t>
      </w:r>
      <w:r w:rsidRPr="00860DA2">
        <w:rPr>
          <w:rFonts w:cs="Times New Roman"/>
          <w:color w:val="000000" w:themeColor="text1"/>
        </w:rPr>
        <w:t xml:space="preserve">. Following a famous Kantian line of reasoning from Strawson and Evans, if we have a conception of our own experiences and our own cognitive locality, we must have a conception of objective entities in space distinct from ourselves, unobserved. We’re so constituted that we can’t have one without the other. Given the first, we’re then rationally entitled to trust that there are </w:t>
      </w:r>
      <w:r w:rsidRPr="00860DA2">
        <w:rPr>
          <w:rFonts w:cs="Times New Roman"/>
          <w:i/>
          <w:color w:val="000000" w:themeColor="text1"/>
        </w:rPr>
        <w:t>substances</w:t>
      </w:r>
      <w:r w:rsidRPr="00860DA2">
        <w:rPr>
          <w:rFonts w:cs="Times New Roman"/>
          <w:color w:val="000000" w:themeColor="text1"/>
        </w:rPr>
        <w:t xml:space="preserve"> distinct from ourselves (2004, pp. 200-203).</w:t>
      </w:r>
    </w:p>
    <w:p w14:paraId="25F4DC51" w14:textId="348B0B77"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t xml:space="preserve">In each case, Wright aims to provide an </w:t>
      </w:r>
      <w:r w:rsidRPr="00860DA2">
        <w:rPr>
          <w:rFonts w:cs="Times New Roman"/>
          <w:i/>
          <w:color w:val="000000" w:themeColor="text1"/>
        </w:rPr>
        <w:t>a priori</w:t>
      </w:r>
      <w:r w:rsidRPr="00860DA2">
        <w:rPr>
          <w:rFonts w:cs="Times New Roman"/>
          <w:color w:val="000000" w:themeColor="text1"/>
        </w:rPr>
        <w:t>, non-evidential but rational basis to accept cornerstones. We can then explain why we have a right to claim cornerstones, despite the absence of evidence for believing they are true.</w:t>
      </w:r>
    </w:p>
    <w:p w14:paraId="5D82E89C" w14:textId="63A79888" w:rsidR="00E53339" w:rsidRPr="00860DA2" w:rsidRDefault="00E53339" w:rsidP="00E53339">
      <w:pPr>
        <w:spacing w:line="276" w:lineRule="auto"/>
        <w:ind w:firstLine="360"/>
        <w:rPr>
          <w:rFonts w:cs="Times New Roman"/>
          <w:color w:val="000000" w:themeColor="text1"/>
        </w:rPr>
      </w:pPr>
      <w:r w:rsidRPr="005E091B">
        <w:rPr>
          <w:rFonts w:cs="Times New Roman"/>
          <w:color w:val="000000" w:themeColor="text1"/>
        </w:rPr>
        <w:t>Entitlements also play a role in Wright’s account of the architecture of propositional warrant</w:t>
      </w:r>
      <w:r w:rsidRPr="00860DA2">
        <w:rPr>
          <w:rFonts w:cs="Times New Roman"/>
          <w:color w:val="000000" w:themeColor="text1"/>
        </w:rPr>
        <w:t xml:space="preserve">. </w:t>
      </w:r>
      <w:r w:rsidRPr="006C7784">
        <w:rPr>
          <w:rFonts w:cs="Times New Roman"/>
          <w:color w:val="000000" w:themeColor="text1"/>
        </w:rPr>
        <w:t>One prominent account is Pryor’s “Dogmatism” (2004, 2012), a version of internalist m</w:t>
      </w:r>
      <w:r w:rsidRPr="00DA4CEF">
        <w:rPr>
          <w:rFonts w:cs="Times New Roman"/>
          <w:color w:val="000000" w:themeColor="text1"/>
        </w:rPr>
        <w:t>odest foundationalism: perceptual experiences provide propositional justification for perceptual beliefs, absent grounds for doubt. Moore’s perceptual experience as of hands</w:t>
      </w:r>
      <w:r w:rsidRPr="00860DA2">
        <w:rPr>
          <w:rFonts w:cs="Times New Roman"/>
          <w:color w:val="000000" w:themeColor="text1"/>
        </w:rPr>
        <w:t xml:space="preserve"> provides propositional justification to believe he has hands. Because Moore knows a </w:t>
      </w:r>
      <w:r w:rsidRPr="00860DA2">
        <w:rPr>
          <w:rFonts w:cs="Times New Roman"/>
          <w:i/>
          <w:color w:val="000000" w:themeColor="text1"/>
        </w:rPr>
        <w:t>priori</w:t>
      </w:r>
      <w:r w:rsidRPr="00860DA2">
        <w:rPr>
          <w:rFonts w:cs="Times New Roman"/>
          <w:color w:val="000000" w:themeColor="text1"/>
        </w:rPr>
        <w:t xml:space="preserve"> that hands are external objects, Moore then also has justification to infer there is an external world. Pryor thinks </w:t>
      </w:r>
      <w:r w:rsidRPr="00860DA2">
        <w:rPr>
          <w:rFonts w:cs="Times New Roman"/>
          <w:color w:val="000000" w:themeColor="text1"/>
        </w:rPr>
        <w:lastRenderedPageBreak/>
        <w:t>the evidential warrant provided by the experience transmits to conclusion. What about transmission failure? Pryor denies that occurs. Instead the argument is merely dialectically ineffective against a skeptic.</w:t>
      </w:r>
      <w:r w:rsidRPr="00860DA2">
        <w:rPr>
          <w:rStyle w:val="FootnoteReference"/>
          <w:rFonts w:cs="Times New Roman"/>
          <w:color w:val="000000" w:themeColor="text1"/>
        </w:rPr>
        <w:footnoteReference w:id="23"/>
      </w:r>
    </w:p>
    <w:p w14:paraId="0222995E" w14:textId="1C9174DB" w:rsidR="00E53339" w:rsidRPr="006C7784" w:rsidRDefault="00E53339" w:rsidP="00E53339">
      <w:pPr>
        <w:spacing w:line="276" w:lineRule="auto"/>
        <w:rPr>
          <w:rFonts w:cs="Times New Roman"/>
          <w:color w:val="000000" w:themeColor="text1"/>
        </w:rPr>
      </w:pPr>
      <w:r w:rsidRPr="006C7784">
        <w:rPr>
          <w:rFonts w:cs="Times New Roman"/>
          <w:color w:val="000000" w:themeColor="text1"/>
        </w:rPr>
        <w:tab/>
        <w:t>Wright rejects this view. Perceptual experiences alone do not provide warrant for perceptual beliefs. There must also be a warrant to accept—an entitlement—the cornerstone that there is an external world that sense-perceptual experience reliably reveals. The experience as of hands (an evidential warrant), plus the entitlement (a non-evidential w</w:t>
      </w:r>
      <w:r w:rsidRPr="00DA4CEF">
        <w:rPr>
          <w:rFonts w:cs="Times New Roman"/>
          <w:color w:val="000000" w:themeColor="text1"/>
        </w:rPr>
        <w:t>arr</w:t>
      </w:r>
      <w:r w:rsidRPr="00860DA2">
        <w:rPr>
          <w:rFonts w:cs="Times New Roman"/>
          <w:color w:val="000000" w:themeColor="text1"/>
        </w:rPr>
        <w:t>ant) combine to explain Moore’s propositional warrant to believe that he has hands.</w:t>
      </w:r>
      <w:r w:rsidRPr="00860DA2">
        <w:rPr>
          <w:rStyle w:val="FootnoteReference"/>
          <w:rFonts w:cs="Times New Roman"/>
          <w:color w:val="000000" w:themeColor="text1"/>
        </w:rPr>
        <w:footnoteReference w:id="24"/>
      </w:r>
      <w:r w:rsidRPr="00860DA2">
        <w:rPr>
          <w:rFonts w:cs="Times New Roman"/>
          <w:color w:val="000000" w:themeColor="text1"/>
        </w:rPr>
        <w:t xml:space="preserve"> Perceptual experiences require entitlements as supplements to secure their warranting force</w:t>
      </w:r>
      <w:r w:rsidRPr="005E091B">
        <w:rPr>
          <w:rFonts w:cs="Times New Roman"/>
          <w:color w:val="000000" w:themeColor="text1"/>
        </w:rPr>
        <w:t>. Small children do not have to be able to conceive of the cornerstone to have an entitlement to the cornerstone, and so to have propositional warrants for perceptual beliefs. But reflective adults must be able to conceive of the cornerstone (authenticity-conditions), claim the cornerstone when the issue arises, and police their reliance on authenticity-conditions when doubt arise</w:t>
      </w:r>
      <w:r w:rsidRPr="00860DA2">
        <w:rPr>
          <w:rFonts w:cs="Times New Roman"/>
          <w:color w:val="000000" w:themeColor="text1"/>
        </w:rPr>
        <w:t>s (Wright 2012, pp. 477-8, 2014, pp. 223, 244).</w:t>
      </w:r>
    </w:p>
    <w:p w14:paraId="4DE8E562" w14:textId="133CB986" w:rsidR="00E53339" w:rsidRPr="00860DA2" w:rsidRDefault="00E53339" w:rsidP="00E53339">
      <w:pPr>
        <w:spacing w:line="276" w:lineRule="auto"/>
        <w:rPr>
          <w:rFonts w:cs="Times New Roman"/>
          <w:color w:val="000000" w:themeColor="text1"/>
        </w:rPr>
      </w:pPr>
      <w:r w:rsidRPr="006C7784">
        <w:rPr>
          <w:rFonts w:cs="Times New Roman"/>
          <w:color w:val="000000" w:themeColor="text1"/>
        </w:rPr>
        <w:tab/>
        <w:t>Following labels introduced by Pryor, Pryor’s view is called a “Liberal” view about propositional warrant for perceptual belief, while Wright’s is called a “Conservative” view.</w:t>
      </w:r>
      <w:r w:rsidRPr="00DA4CEF">
        <w:rPr>
          <w:rFonts w:cs="Times New Roman"/>
          <w:color w:val="000000" w:themeColor="text1"/>
        </w:rPr>
        <w:t xml:space="preserve">  </w:t>
      </w:r>
      <w:r w:rsidRPr="00860DA2">
        <w:rPr>
          <w:rFonts w:cs="Times New Roman"/>
          <w:color w:val="000000" w:themeColor="text1"/>
        </w:rPr>
        <w:t xml:space="preserve">Annalisa Coliva offers a “Moderate” view. She agrees with Wright that the Liberal view is incorrect. But she disagrees with Wright that a non-evidential entitlement—a strategic entitlement or an entitlement to a cognitive project—plays the supplemental role. Instead she says that assuming cornerstones is constitutive of epistemic rationality; assuming cornerstones is what rationality consists in (Coliva 2012, 2015, in-press; cf. Schecther and Enoch 2006, Enoch and Schecter 2008). The supplement is provided by the nature of rationality itself, not further </w:t>
      </w:r>
      <w:r w:rsidRPr="00860DA2">
        <w:rPr>
          <w:rFonts w:cs="Times New Roman"/>
          <w:i/>
          <w:color w:val="000000" w:themeColor="text1"/>
        </w:rPr>
        <w:t xml:space="preserve">a priori </w:t>
      </w:r>
      <w:r w:rsidRPr="00860DA2">
        <w:rPr>
          <w:rFonts w:cs="Times New Roman"/>
          <w:color w:val="000000" w:themeColor="text1"/>
        </w:rPr>
        <w:t>arguments that purport to show or explain the rationality of accepting cornerstones. Given assumed cornerstones, perceptual experiences then provide evidential warrant for perceptual beliefs. Coliva’s approach seems to privilege the third path to entitlement.</w:t>
      </w:r>
    </w:p>
    <w:p w14:paraId="7AB4C4FE" w14:textId="7777777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Wright replies that if Coliva were correct, “there should be a kind of unintelligibility about” the skeptic’s challenge. He doubts that Coliva’s view provides an “intellectually satisfying” response. The skeptic can agree that forming perceptual beliefs commits us to assuming that there is an external world. But the skeptic can intelligibly ask what independent reason we have for believing that our cornerstones are true (2012, pp. 478-80). Wright’s paths to entitlement are efforts to at least provide independent reasons to accept cornerstones, though his response seems to undermine the third path. This should come as no surprise, for in his (2012) and (2014) he prioritizes the first and second.</w:t>
      </w:r>
    </w:p>
    <w:p w14:paraId="03F6447B" w14:textId="17E1FF2A" w:rsidR="00E53339" w:rsidRPr="00860DA2" w:rsidRDefault="00E53339" w:rsidP="00E53339">
      <w:pPr>
        <w:spacing w:line="276" w:lineRule="auto"/>
        <w:rPr>
          <w:rFonts w:cs="Times New Roman"/>
          <w:color w:val="000000" w:themeColor="text1"/>
        </w:rPr>
      </w:pPr>
      <w:r w:rsidRPr="00860DA2">
        <w:rPr>
          <w:rFonts w:cs="Times New Roman"/>
          <w:color w:val="000000" w:themeColor="text1"/>
        </w:rPr>
        <w:lastRenderedPageBreak/>
        <w:tab/>
        <w:t>Given a Conservative view, two puzzles arise. Suppose someone infers from a perceptual experience that they have hands, and then that there is an external world. Does that experience—an evidential warrant—which depends on the non-evidential warrant for the cornerstone—then provide evidential warrant for the conclusion (a cornerstone)? Have we transmuted a non-evidential warrant into an evidential warrant? This is the “alchemy problem.” Now look at the issue from the other direction. Suppose again someone makes the same inference. How then could the perceptual experience provide an evidential warrant—a warrant that contributes to knowledge—if its “foundation” is but a non-evidential warrant? This is the “leaching problem.”</w:t>
      </w:r>
      <w:r w:rsidRPr="00860DA2">
        <w:rPr>
          <w:rStyle w:val="FootnoteReference"/>
          <w:rFonts w:cs="Times New Roman"/>
          <w:color w:val="000000" w:themeColor="text1"/>
        </w:rPr>
        <w:footnoteReference w:id="25"/>
      </w:r>
      <w:r w:rsidRPr="00860DA2">
        <w:rPr>
          <w:rFonts w:cs="Times New Roman"/>
          <w:color w:val="000000" w:themeColor="text1"/>
        </w:rPr>
        <w:t xml:space="preserve"> Trying to solve these problems under pressure from McGlynn (201</w:t>
      </w:r>
      <w:r w:rsidRPr="006C7784">
        <w:rPr>
          <w:rFonts w:cs="Times New Roman"/>
          <w:color w:val="000000" w:themeColor="text1"/>
        </w:rPr>
        <w:t>4, cf. McGlynn 2017) led Wright to suggest he should reformulate his higher-order formulation of transmission failure (2014, pp</w:t>
      </w:r>
      <w:r w:rsidRPr="00860DA2">
        <w:rPr>
          <w:rFonts w:cs="Times New Roman"/>
          <w:color w:val="000000" w:themeColor="text1"/>
        </w:rPr>
        <w:t>. 231-235). We shall not pursue this issue.</w:t>
      </w:r>
    </w:p>
    <w:p w14:paraId="19ADCE12" w14:textId="576A6D94"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We now turn to the standard objection to Wright’s project (in particular to the first two paths): Wright-entitlement only presents pragmatic, consequentialist reason to accept cornerstones, not epistemic reasons, for only evidential reasons to believe qualify as epistemic reasons. The first pat</w:t>
      </w:r>
      <w:r>
        <w:rPr>
          <w:rFonts w:cs="Times New Roman"/>
          <w:color w:val="000000" w:themeColor="text1"/>
        </w:rPr>
        <w:t>h—strategic entitlement--</w:t>
      </w:r>
      <w:r w:rsidRPr="00860DA2">
        <w:rPr>
          <w:rFonts w:cs="Times New Roman"/>
          <w:color w:val="000000" w:themeColor="text1"/>
        </w:rPr>
        <w:t>emphasizes maximizing expected epistemic consequences; the secon</w:t>
      </w:r>
      <w:r>
        <w:rPr>
          <w:rFonts w:cs="Times New Roman"/>
          <w:color w:val="000000" w:themeColor="text1"/>
        </w:rPr>
        <w:t>d—entitlement to a cognitive project--emphasizes</w:t>
      </w:r>
      <w:r w:rsidRPr="00860DA2">
        <w:rPr>
          <w:rFonts w:cs="Times New Roman"/>
          <w:color w:val="000000" w:themeColor="text1"/>
        </w:rPr>
        <w:t xml:space="preserve"> cognitive paralysis</w:t>
      </w:r>
      <w:r>
        <w:rPr>
          <w:rFonts w:cs="Times New Roman"/>
          <w:color w:val="000000" w:themeColor="text1"/>
        </w:rPr>
        <w:t>.</w:t>
      </w:r>
      <w:r w:rsidRPr="00860DA2">
        <w:rPr>
          <w:rFonts w:cs="Times New Roman"/>
          <w:color w:val="000000" w:themeColor="text1"/>
        </w:rPr>
        <w:t xml:space="preserve"> We’ll focus on the first. The objection </w:t>
      </w:r>
      <w:r w:rsidRPr="006C7784">
        <w:rPr>
          <w:rFonts w:cs="Times New Roman"/>
          <w:color w:val="000000" w:themeColor="text1"/>
        </w:rPr>
        <w:t>is that this strategy at best provides a pragmatic reason to bet</w:t>
      </w:r>
      <w:r w:rsidRPr="00860DA2">
        <w:rPr>
          <w:rFonts w:cs="Times New Roman"/>
          <w:color w:val="000000" w:themeColor="text1"/>
        </w:rPr>
        <w:t xml:space="preserve"> that cornerstones are true, not an epistemic reason to believe they are true. The Reichenbach strategy is like Pascal’s wager: choose the path with the best shot at good consequences; “epistemic expected utility” rationalizes cornerstone acceptance. But even if the consequences are true beliefs (or other “epistemic” goods) the rationality of the bet isn’t an epistemic reason to believe a cornerstone. “Epistemic” entitlement isn’t a kind of epistemic warrant after all.</w:t>
      </w:r>
      <w:r w:rsidRPr="00860DA2">
        <w:rPr>
          <w:rStyle w:val="FootnoteReference"/>
          <w:rFonts w:cs="Times New Roman"/>
          <w:color w:val="000000" w:themeColor="text1"/>
        </w:rPr>
        <w:footnoteReference w:id="26"/>
      </w:r>
    </w:p>
    <w:p w14:paraId="3BC74289" w14:textId="77777777"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t xml:space="preserve">Wright replies in three steps. First, instrumental, pragmatic reasons can advance any number of ends, whether self-interested, moral or epistemic. If a pragmatic reason to accept a cornerstone advances epistemic values—the maximizing of true and useful belief, among other goods—then it is also an epistemic reason. True, evidence motivates belief in a way that a pragmatic reason that advances epistemic ends does not. But that just shows there are two kinds of epistemic reasons. </w:t>
      </w:r>
      <w:proofErr w:type="gramStart"/>
      <w:r w:rsidRPr="00860DA2">
        <w:rPr>
          <w:rFonts w:cs="Times New Roman"/>
          <w:color w:val="000000" w:themeColor="text1"/>
        </w:rPr>
        <w:t>So</w:t>
      </w:r>
      <w:proofErr w:type="gramEnd"/>
      <w:r w:rsidRPr="00860DA2">
        <w:rPr>
          <w:rFonts w:cs="Times New Roman"/>
          <w:color w:val="000000" w:themeColor="text1"/>
        </w:rPr>
        <w:t xml:space="preserve"> the real issue is not whether “epistemic” entitlement is a kind of epistemic warrant. The real issue is whether having only an epistemic warrant of the non-evidential kind should be a “cause for dismay” (2014, pp. 239-40).</w:t>
      </w:r>
    </w:p>
    <w:p w14:paraId="66504BDF" w14:textId="7777777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 xml:space="preserve">Wright’s second step is then to isolate this cause for dismay. Wright replies (2014) that the force behind the objection is the idea that Reichenbachian reasoning compromises on our standing epistemic value of believing only on the evidence. Call this the “Evidential Ideal,” </w:t>
      </w:r>
      <w:r w:rsidRPr="00860DA2">
        <w:rPr>
          <w:rFonts w:cs="Times New Roman"/>
          <w:color w:val="000000" w:themeColor="text1"/>
        </w:rPr>
        <w:lastRenderedPageBreak/>
        <w:t xml:space="preserve">“tugged at when we confront skeptical paradoxes.” If the Reichenbachian path provides a reason to take the bet and trust the cornerstone, then that reason would have to overpower this opposing “basic, orthodox reason, supplied by our lack of evidence…for not believing it” (2014, p. 241). And that is exactly what the Reichenbachian reason does not do. The skeptic demands </w:t>
      </w:r>
      <w:r w:rsidRPr="00860DA2">
        <w:rPr>
          <w:rFonts w:cs="Times New Roman"/>
          <w:i/>
          <w:color w:val="000000" w:themeColor="text1"/>
        </w:rPr>
        <w:t>evidence</w:t>
      </w:r>
      <w:r w:rsidRPr="00860DA2">
        <w:rPr>
          <w:rFonts w:cs="Times New Roman"/>
          <w:color w:val="000000" w:themeColor="text1"/>
        </w:rPr>
        <w:t xml:space="preserve"> for cornerstones. No matter how pragmatically rational trusting cornerstones might be, that rationality doesn’t rest on evidence for believing they are true.</w:t>
      </w:r>
    </w:p>
    <w:p w14:paraId="317B9C81" w14:textId="77777777" w:rsidR="00E53339" w:rsidRPr="00860DA2" w:rsidRDefault="00E53339" w:rsidP="00E53339">
      <w:pPr>
        <w:spacing w:line="276" w:lineRule="auto"/>
        <w:ind w:firstLine="360"/>
        <w:rPr>
          <w:rFonts w:cs="Times New Roman"/>
          <w:color w:val="000000" w:themeColor="text1"/>
        </w:rPr>
      </w:pPr>
      <w:r w:rsidRPr="00860DA2">
        <w:rPr>
          <w:rFonts w:cs="Times New Roman"/>
          <w:color w:val="000000" w:themeColor="text1"/>
        </w:rPr>
        <w:t>Wright’s third step is to undermine the cause for dismay: this “obstructive thought is exactly what needs to be dislodged.”</w:t>
      </w:r>
    </w:p>
    <w:p w14:paraId="6E2FC951" w14:textId="77777777" w:rsidR="00E53339" w:rsidRPr="00860DA2" w:rsidRDefault="00E53339" w:rsidP="00E53339">
      <w:pPr>
        <w:spacing w:line="276" w:lineRule="auto"/>
        <w:ind w:firstLine="360"/>
        <w:rPr>
          <w:rFonts w:cs="Times New Roman"/>
          <w:color w:val="000000" w:themeColor="text1"/>
        </w:rPr>
      </w:pPr>
    </w:p>
    <w:p w14:paraId="3A4B1B11" w14:textId="487AE9E3" w:rsidR="00E53339" w:rsidRPr="00860DA2" w:rsidRDefault="00E53339" w:rsidP="00E53339">
      <w:pPr>
        <w:spacing w:line="276" w:lineRule="auto"/>
        <w:ind w:left="360"/>
        <w:rPr>
          <w:rFonts w:cs="Times New Roman"/>
          <w:color w:val="000000" w:themeColor="text1"/>
        </w:rPr>
      </w:pPr>
      <w:r w:rsidRPr="00860DA2">
        <w:rPr>
          <w:rFonts w:cs="Times New Roman"/>
          <w:color w:val="000000" w:themeColor="text1"/>
        </w:rPr>
        <w:t xml:space="preserve">The basic insight [of </w:t>
      </w:r>
      <w:proofErr w:type="gramStart"/>
      <w:r w:rsidRPr="00860DA2">
        <w:rPr>
          <w:rFonts w:cs="Times New Roman"/>
          <w:color w:val="000000" w:themeColor="text1"/>
        </w:rPr>
        <w:t>Wittgenstein]…</w:t>
      </w:r>
      <w:proofErr w:type="gramEnd"/>
      <w:r w:rsidRPr="00860DA2">
        <w:rPr>
          <w:rFonts w:cs="Times New Roman"/>
          <w:color w:val="000000" w:themeColor="text1"/>
        </w:rPr>
        <w:t xml:space="preserve"> is that all enquiry is essentially situated in some acceptances…for which we lack evidence. This is not a shortcoming... It is in the nature of enquiry that this should be so. There is…no…epistemically clean slate…no…dawn of enquiry... The accumulation of evidential reason to believe is possible only within the framework set by trusting acceptances…without trusting, there is no rational enquiry… There is no such thing as apportioning one’s beliefs to the evidence unless some things are accepted without evidence…To lament the fact that reflective enquiry rests upon a repository of trust is thus a bit like lamenting that not everyone can be at the front of the queue……[The] Evidential Ideal is incoherent” (2014, pp. 242-44).</w:t>
      </w:r>
      <w:r w:rsidRPr="00860DA2">
        <w:rPr>
          <w:rStyle w:val="FootnoteReference"/>
          <w:rFonts w:cs="Times New Roman"/>
          <w:color w:val="000000" w:themeColor="text1"/>
        </w:rPr>
        <w:footnoteReference w:id="27"/>
      </w:r>
    </w:p>
    <w:p w14:paraId="6E5A31B7" w14:textId="77777777" w:rsidR="00E53339" w:rsidRPr="006C7784" w:rsidRDefault="00E53339" w:rsidP="00E53339">
      <w:pPr>
        <w:spacing w:line="276" w:lineRule="auto"/>
        <w:ind w:firstLine="360"/>
        <w:rPr>
          <w:rFonts w:cs="Times New Roman"/>
          <w:color w:val="000000" w:themeColor="text1"/>
        </w:rPr>
      </w:pPr>
    </w:p>
    <w:p w14:paraId="153231D1" w14:textId="77777777" w:rsidR="00E53339" w:rsidRPr="00860DA2" w:rsidRDefault="00E53339" w:rsidP="00E53339">
      <w:pPr>
        <w:spacing w:line="276" w:lineRule="auto"/>
        <w:rPr>
          <w:rFonts w:cs="Times New Roman"/>
          <w:color w:val="000000" w:themeColor="text1"/>
        </w:rPr>
      </w:pPr>
      <w:r w:rsidRPr="006C7784">
        <w:rPr>
          <w:rFonts w:cs="Times New Roman"/>
          <w:color w:val="000000" w:themeColor="text1"/>
        </w:rPr>
        <w:t xml:space="preserve">The force behind the standard objection then rests on an incoherent ideal. Epistemic entitlement, even if </w:t>
      </w:r>
      <w:r w:rsidRPr="00860DA2">
        <w:rPr>
          <w:rFonts w:cs="Times New Roman"/>
          <w:color w:val="000000" w:themeColor="text1"/>
        </w:rPr>
        <w:t xml:space="preserve">pragmatic, reveals the </w:t>
      </w:r>
      <w:r w:rsidRPr="00860DA2">
        <w:rPr>
          <w:rFonts w:cs="Times New Roman"/>
          <w:i/>
          <w:color w:val="000000" w:themeColor="text1"/>
        </w:rPr>
        <w:t xml:space="preserve">epistemic </w:t>
      </w:r>
      <w:r w:rsidRPr="00860DA2">
        <w:rPr>
          <w:rFonts w:cs="Times New Roman"/>
          <w:color w:val="000000" w:themeColor="text1"/>
        </w:rPr>
        <w:t>rationality of accepting cornerstone propositions.</w:t>
      </w:r>
    </w:p>
    <w:p w14:paraId="41ADEDFA" w14:textId="77777777" w:rsidR="00E53339" w:rsidRPr="006C7784" w:rsidRDefault="00E53339" w:rsidP="00E53339">
      <w:pPr>
        <w:spacing w:line="276" w:lineRule="auto"/>
        <w:ind w:firstLine="360"/>
        <w:rPr>
          <w:rFonts w:eastAsia="Times New Roman" w:cs="Times New Roman"/>
          <w:color w:val="000000" w:themeColor="text1"/>
          <w:shd w:val="clear" w:color="auto" w:fill="FFFFFF"/>
          <w:lang w:eastAsia="ko-KR"/>
        </w:rPr>
      </w:pPr>
      <w:r w:rsidRPr="00860DA2">
        <w:rPr>
          <w:rFonts w:eastAsia="Times New Roman" w:cs="Times New Roman"/>
          <w:color w:val="000000" w:themeColor="text1"/>
          <w:shd w:val="clear" w:color="auto" w:fill="FFFFFF"/>
          <w:lang w:eastAsia="ko-KR"/>
        </w:rPr>
        <w:t>But now that we’ve taken an instrumentalist route, why not go all the way? Pedersen (2019) proposes a form of epistemic consequentialism to account for epistemic warrant, rationality, and reasons in relation to cornerstone acceptance. However, instead of being of help to the friend of entitlement, Pedersen argues that the success of a consequentialist account of cornerstone acceptance would </w:t>
      </w:r>
      <w:r w:rsidRPr="00860DA2">
        <w:rPr>
          <w:rFonts w:eastAsia="Times New Roman" w:cs="Times New Roman"/>
          <w:iCs/>
          <w:color w:val="000000" w:themeColor="text1"/>
          <w:shd w:val="clear" w:color="auto" w:fill="FFFFFF"/>
          <w:lang w:eastAsia="ko-KR"/>
        </w:rPr>
        <w:t>undermine</w:t>
      </w:r>
      <w:r w:rsidRPr="00860DA2">
        <w:rPr>
          <w:rFonts w:eastAsia="Times New Roman" w:cs="Times New Roman"/>
          <w:color w:val="000000" w:themeColor="text1"/>
          <w:shd w:val="clear" w:color="auto" w:fill="FFFFFF"/>
          <w:lang w:eastAsia="ko-KR"/>
        </w:rPr>
        <w:t> the need for entitlement. For, if epistemic warrant, rationality, and reasons for cornerstone acceptance are accounted for in consequentialist terms, this just shows that </w:t>
      </w:r>
      <w:r w:rsidRPr="00860DA2">
        <w:rPr>
          <w:rFonts w:eastAsia="Times New Roman" w:cs="Times New Roman"/>
          <w:iCs/>
          <w:color w:val="000000" w:themeColor="text1"/>
          <w:shd w:val="clear" w:color="auto" w:fill="FFFFFF"/>
          <w:lang w:eastAsia="ko-KR"/>
        </w:rPr>
        <w:t>epistemic consequentialism</w:t>
      </w:r>
      <w:r w:rsidRPr="00860DA2">
        <w:rPr>
          <w:rFonts w:eastAsia="Times New Roman" w:cs="Times New Roman"/>
          <w:color w:val="000000" w:themeColor="text1"/>
          <w:shd w:val="clear" w:color="auto" w:fill="FFFFFF"/>
          <w:lang w:eastAsia="ko-KR"/>
        </w:rPr>
        <w:t>—rather non-evidential entitlement—does the epistemic work. In contrast to Pedersen, Elstein and Jenkins (in-press) develops a consequentialist framework meant to be friendly to entitlement.</w:t>
      </w:r>
      <w:r w:rsidRPr="00860DA2">
        <w:rPr>
          <w:rStyle w:val="FootnoteReference"/>
          <w:rFonts w:eastAsia="Times New Roman" w:cs="Times New Roman"/>
          <w:color w:val="000000" w:themeColor="text1"/>
          <w:shd w:val="clear" w:color="auto" w:fill="FFFFFF"/>
          <w:lang w:eastAsia="ko-KR"/>
        </w:rPr>
        <w:footnoteReference w:id="28"/>
      </w:r>
      <w:r w:rsidRPr="00860DA2">
        <w:rPr>
          <w:rFonts w:eastAsia="Times New Roman" w:cs="Times New Roman"/>
          <w:color w:val="000000" w:themeColor="text1"/>
          <w:shd w:val="clear" w:color="auto" w:fill="FFFFFF"/>
          <w:lang w:eastAsia="ko-KR"/>
        </w:rPr>
        <w:t xml:space="preserve"> </w:t>
      </w:r>
    </w:p>
    <w:p w14:paraId="7685FD74" w14:textId="77777777" w:rsidR="00E53339" w:rsidRPr="006C7784" w:rsidRDefault="00E53339" w:rsidP="00E53339">
      <w:pPr>
        <w:spacing w:line="276" w:lineRule="auto"/>
        <w:ind w:firstLine="360"/>
        <w:rPr>
          <w:rFonts w:eastAsia="Times New Roman" w:cs="Times New Roman"/>
          <w:color w:val="000000" w:themeColor="text1"/>
          <w:shd w:val="clear" w:color="auto" w:fill="FFFFFF"/>
          <w:lang w:eastAsia="ko-KR"/>
        </w:rPr>
      </w:pPr>
    </w:p>
    <w:p w14:paraId="3EB60282" w14:textId="1380502C" w:rsidR="00E53339" w:rsidRPr="00860DA2" w:rsidRDefault="00E53339" w:rsidP="00E53339">
      <w:pPr>
        <w:spacing w:line="276" w:lineRule="auto"/>
        <w:rPr>
          <w:rFonts w:cs="Times New Roman"/>
          <w:b/>
          <w:color w:val="000000" w:themeColor="text1"/>
        </w:rPr>
      </w:pPr>
      <w:r w:rsidRPr="006C7784">
        <w:rPr>
          <w:rFonts w:cs="Times New Roman"/>
          <w:b/>
          <w:color w:val="000000" w:themeColor="text1"/>
        </w:rPr>
        <w:t xml:space="preserve">3. </w:t>
      </w:r>
      <w:r w:rsidRPr="00860DA2">
        <w:rPr>
          <w:rFonts w:cs="Times New Roman"/>
          <w:b/>
          <w:color w:val="000000" w:themeColor="text1"/>
        </w:rPr>
        <w:t>Conclusion</w:t>
      </w:r>
    </w:p>
    <w:p w14:paraId="678B1A3A" w14:textId="77777777" w:rsidR="00E53339" w:rsidRPr="00860DA2" w:rsidRDefault="00E53339" w:rsidP="00E53339">
      <w:pPr>
        <w:spacing w:line="276" w:lineRule="auto"/>
        <w:rPr>
          <w:rFonts w:cs="Times New Roman"/>
          <w:color w:val="000000" w:themeColor="text1"/>
        </w:rPr>
      </w:pPr>
    </w:p>
    <w:p w14:paraId="5E7A1D94" w14:textId="77777777" w:rsidR="00E53339" w:rsidRPr="00860DA2" w:rsidRDefault="00E53339" w:rsidP="00E53339">
      <w:pPr>
        <w:spacing w:line="276" w:lineRule="auto"/>
        <w:rPr>
          <w:rFonts w:cs="Times New Roman"/>
          <w:color w:val="000000" w:themeColor="text1"/>
        </w:rPr>
      </w:pPr>
      <w:r w:rsidRPr="00860DA2">
        <w:rPr>
          <w:rFonts w:cs="Times New Roman"/>
          <w:color w:val="000000" w:themeColor="text1"/>
        </w:rPr>
        <w:t xml:space="preserve">Burge responds to classical foundationalism’s failure to secure starting points. Wright responds to the failure to find secure bridges from the starting points to the external world. They agree the failure shows the need for </w:t>
      </w:r>
      <w:r w:rsidRPr="00860DA2">
        <w:rPr>
          <w:rFonts w:cs="Times New Roman"/>
          <w:i/>
          <w:color w:val="000000" w:themeColor="text1"/>
        </w:rPr>
        <w:t>entitlement</w:t>
      </w:r>
      <w:r w:rsidRPr="00860DA2">
        <w:rPr>
          <w:rFonts w:cs="Times New Roman"/>
          <w:color w:val="000000" w:themeColor="text1"/>
        </w:rPr>
        <w:t>. For Burge, that means warrant without reasons. “Burge-entitlements” are (externalist-reliablist) warrants without reasons. The rational body of empirical warrant is not a closed system. For Wright, that means non-evidential warrant to accept cornerstones. “Wright-entitlements” are armchair non-evidential (pragmatic but epistemic) reasons to accept cornerstone propositions. From 30,000 feet in the air it may seem they are both using ‘entitlement’ to play the same role. But once we descend just a little closer, it becomes apparent that they use the word in very different ways indeed.</w:t>
      </w:r>
    </w:p>
    <w:p w14:paraId="0A3C54CE" w14:textId="79B98F10"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t>Our review should dispel three errors. First, Burge and Wright are not talking about the same thing. They are not engaged in the same “entitlement” project. Citing them together as if they were is a mistake.  Second, when they are talking about entitlement, they are not talking about some entirely new branch of epistemology. Burge is analyzing the structure and kinds of warrant and knowledge. Wright is responding to the skeptic. Third, Burge is routinely cited as showing that there are two kinds of warrant and knowledge, one for the externalist and one for the internalist. This is entirely mistaken. He is not declaring peace between these two sides but rather declaring victory for externalism.</w:t>
      </w:r>
    </w:p>
    <w:p w14:paraId="478E27FF" w14:textId="7AB1C456" w:rsidR="00E53339" w:rsidRPr="00860DA2" w:rsidRDefault="00E53339" w:rsidP="00E53339">
      <w:pPr>
        <w:spacing w:line="276" w:lineRule="auto"/>
        <w:rPr>
          <w:rFonts w:cs="Times New Roman"/>
          <w:color w:val="000000" w:themeColor="text1"/>
        </w:rPr>
      </w:pPr>
      <w:r w:rsidRPr="00860DA2">
        <w:rPr>
          <w:rFonts w:cs="Times New Roman"/>
          <w:color w:val="000000" w:themeColor="text1"/>
        </w:rPr>
        <w:tab/>
        <w:t xml:space="preserve">Wright sees room for a peace accord. Recall his concession to reliabilism. Whether we </w:t>
      </w:r>
      <w:r w:rsidRPr="00860DA2">
        <w:rPr>
          <w:rFonts w:cs="Times New Roman"/>
          <w:i/>
          <w:color w:val="000000" w:themeColor="text1"/>
        </w:rPr>
        <w:t>know</w:t>
      </w:r>
      <w:r w:rsidRPr="00860DA2">
        <w:rPr>
          <w:rFonts w:cs="Times New Roman"/>
          <w:color w:val="000000" w:themeColor="text1"/>
        </w:rPr>
        <w:t xml:space="preserve"> is “external”; whether we have a </w:t>
      </w:r>
      <w:r w:rsidRPr="00860DA2">
        <w:rPr>
          <w:rFonts w:cs="Times New Roman"/>
          <w:i/>
          <w:color w:val="000000" w:themeColor="text1"/>
        </w:rPr>
        <w:t>right to claim</w:t>
      </w:r>
      <w:r w:rsidRPr="00860DA2">
        <w:rPr>
          <w:rFonts w:cs="Times New Roman"/>
          <w:color w:val="000000" w:themeColor="text1"/>
        </w:rPr>
        <w:t xml:space="preserve"> knowledge is “internal.” Maybe we are wrong to think there is just one fundamental epistemic value that underwrites all the rest, and that just one camp in the internalism/externalism wars has got to be right about it.  Instead “there are various kinds of truth-relevant epistemic good standing that a belief may enjoy.” Epistemologists are then “dealing with a plurality of values, or modes of good standing of…belief, some of which may be best construed…externally and others…internally” (Wright 2002, n. 2) One camp for knowledge; another for the right to claim knowledge. On this point, Burge is free to agree.</w:t>
      </w:r>
    </w:p>
    <w:p w14:paraId="33A12E37" w14:textId="77777777" w:rsidR="00F70D35" w:rsidRPr="00860DA2" w:rsidRDefault="00E53339" w:rsidP="00E53339">
      <w:pPr>
        <w:spacing w:line="276" w:lineRule="auto"/>
        <w:rPr>
          <w:rFonts w:cs="Times New Roman"/>
          <w:color w:val="000000" w:themeColor="text1"/>
        </w:rPr>
      </w:pPr>
      <w:r w:rsidRPr="00860DA2">
        <w:rPr>
          <w:rFonts w:cs="Times New Roman"/>
          <w:color w:val="000000" w:themeColor="text1"/>
        </w:rPr>
        <w:tab/>
        <w:t>In Wright’s sense justification is internalist, as we noted. But what about entitlement? Since one role entitlement plays is to secure rights to claim to know, rights that can only be secured from the “internal” point of view (from the armchair), one might think entitlement is internalist. But since only the philosopher needs to make the case for the existence of non-evidential warrants to claim cornerstones, it turns out that possessing an entitlement to claim a cornerstone—or for a cornerstone to be a piece in the structure of one’s warrant to believe a proposition—does not require access by the individual.</w:t>
      </w:r>
      <w:r w:rsidRPr="00860DA2">
        <w:rPr>
          <w:rStyle w:val="FootnoteReference"/>
          <w:rFonts w:cs="Times New Roman"/>
          <w:color w:val="000000" w:themeColor="text1"/>
        </w:rPr>
        <w:footnoteReference w:id="29"/>
      </w:r>
      <w:r w:rsidRPr="00860DA2">
        <w:rPr>
          <w:rFonts w:cs="Times New Roman"/>
          <w:color w:val="000000" w:themeColor="text1"/>
        </w:rPr>
        <w:t xml:space="preserve"> </w:t>
      </w:r>
      <w:r w:rsidR="002F007A" w:rsidRPr="006C7784">
        <w:rPr>
          <w:rFonts w:cs="Times New Roman"/>
          <w:color w:val="000000" w:themeColor="text1"/>
        </w:rPr>
        <w:t>That’s the point of Wright’s title ‘Welfare-State Epistemology’. That’s why</w:t>
      </w:r>
      <w:r w:rsidR="00F70D35" w:rsidRPr="006C7784">
        <w:rPr>
          <w:rFonts w:cs="Times New Roman"/>
          <w:color w:val="000000" w:themeColor="text1"/>
        </w:rPr>
        <w:t xml:space="preserve"> </w:t>
      </w:r>
      <w:r w:rsidR="002F007A" w:rsidRPr="006C7784">
        <w:rPr>
          <w:rFonts w:cs="Times New Roman"/>
          <w:color w:val="000000" w:themeColor="text1"/>
        </w:rPr>
        <w:t>e</w:t>
      </w:r>
      <w:r w:rsidR="00F70D35" w:rsidRPr="006C7784">
        <w:rPr>
          <w:rFonts w:cs="Times New Roman"/>
          <w:color w:val="000000" w:themeColor="text1"/>
        </w:rPr>
        <w:t xml:space="preserve">ntitlement is </w:t>
      </w:r>
      <w:r w:rsidR="00F70D35" w:rsidRPr="00860DA2">
        <w:rPr>
          <w:rFonts w:cs="Times New Roman"/>
          <w:color w:val="000000" w:themeColor="text1"/>
        </w:rPr>
        <w:t xml:space="preserve">warrant for nothing. </w:t>
      </w:r>
    </w:p>
    <w:p w14:paraId="4976BFE2" w14:textId="77777777" w:rsidR="00F70D35" w:rsidRPr="00860DA2" w:rsidRDefault="00F70D35" w:rsidP="00E53339">
      <w:pPr>
        <w:spacing w:line="276" w:lineRule="auto"/>
        <w:rPr>
          <w:rFonts w:cs="Times New Roman"/>
          <w:color w:val="000000" w:themeColor="text1"/>
        </w:rPr>
      </w:pPr>
      <w:r w:rsidRPr="00860DA2">
        <w:rPr>
          <w:rFonts w:cs="Times New Roman"/>
          <w:color w:val="000000" w:themeColor="text1"/>
        </w:rPr>
        <w:lastRenderedPageBreak/>
        <w:tab/>
        <w:t>We then find a piece of common ground between Wright and Burge to conclude our review. We’ll let Wright have the last word:</w:t>
      </w:r>
    </w:p>
    <w:p w14:paraId="6BAC1B03" w14:textId="77777777" w:rsidR="00E67BD8" w:rsidRPr="00860DA2" w:rsidRDefault="00E67BD8" w:rsidP="00E53339">
      <w:pPr>
        <w:spacing w:line="276" w:lineRule="auto"/>
        <w:rPr>
          <w:rFonts w:cs="Times New Roman"/>
          <w:color w:val="000000" w:themeColor="text1"/>
        </w:rPr>
      </w:pPr>
    </w:p>
    <w:p w14:paraId="44954118" w14:textId="35CFDF5D" w:rsidR="007A0716" w:rsidRDefault="00E67BD8" w:rsidP="00E53339">
      <w:pPr>
        <w:spacing w:line="276" w:lineRule="auto"/>
        <w:ind w:left="360"/>
        <w:rPr>
          <w:rFonts w:cs="Times New Roman"/>
          <w:color w:val="000000" w:themeColor="text1"/>
        </w:rPr>
      </w:pPr>
      <w:r w:rsidRPr="00860DA2">
        <w:rPr>
          <w:rFonts w:cs="Times New Roman"/>
          <w:color w:val="000000" w:themeColor="text1"/>
        </w:rPr>
        <w:t>The major point of similarity between the Burgean notion and min</w:t>
      </w:r>
      <w:r w:rsidR="002F007A" w:rsidRPr="00860DA2">
        <w:rPr>
          <w:rFonts w:cs="Times New Roman"/>
          <w:color w:val="000000" w:themeColor="text1"/>
        </w:rPr>
        <w:t>e</w:t>
      </w:r>
      <w:r w:rsidRPr="00860DA2">
        <w:rPr>
          <w:rFonts w:cs="Times New Roman"/>
          <w:color w:val="000000" w:themeColor="text1"/>
        </w:rPr>
        <w:t xml:space="preserve"> remains, of course, the ‘welfare state’ aspect: for both of us, the epistemically entitled subject has no epistemic work to do to benefit from the entitlement—indeed, need have no inkling of his entitlement. It is his epistemic right to believe the propositions to which he is entitled, or which are generated by cognitive capacities on which he is entitled to rely, even if he has no conception of entitlement, or his epistemic rights. </w:t>
      </w:r>
      <w:r w:rsidR="00E32AF6" w:rsidRPr="00860DA2">
        <w:rPr>
          <w:rFonts w:cs="Times New Roman"/>
          <w:color w:val="000000" w:themeColor="text1"/>
        </w:rPr>
        <w:t>(2014, p. 224)</w:t>
      </w:r>
      <w:r w:rsidRPr="00860DA2">
        <w:rPr>
          <w:rFonts w:cs="Times New Roman"/>
          <w:color w:val="000000" w:themeColor="text1"/>
        </w:rPr>
        <w:t xml:space="preserve">. </w:t>
      </w:r>
    </w:p>
    <w:p w14:paraId="18FC9CA0" w14:textId="2E116C8F" w:rsidR="008B3E58" w:rsidRDefault="008B3E58" w:rsidP="00E53339">
      <w:pPr>
        <w:spacing w:line="276" w:lineRule="auto"/>
        <w:rPr>
          <w:rFonts w:cs="Times New Roman"/>
          <w:color w:val="000000" w:themeColor="text1"/>
        </w:rPr>
      </w:pPr>
    </w:p>
    <w:p w14:paraId="6D7E79E5" w14:textId="78489EB5" w:rsidR="008B3E58" w:rsidRPr="00860DA2" w:rsidRDefault="008B3E58" w:rsidP="00E53339">
      <w:pPr>
        <w:spacing w:line="276" w:lineRule="auto"/>
        <w:rPr>
          <w:rFonts w:cs="Times New Roman"/>
          <w:color w:val="000000" w:themeColor="text1"/>
        </w:rPr>
      </w:pPr>
      <w:r>
        <w:rPr>
          <w:rFonts w:cs="Times New Roman"/>
          <w:color w:val="000000" w:themeColor="text1"/>
        </w:rPr>
        <w:t xml:space="preserve">“In this respect,” Wright concludes, </w:t>
      </w:r>
      <w:r w:rsidRPr="00860DA2">
        <w:rPr>
          <w:rFonts w:cs="Times New Roman"/>
          <w:color w:val="000000" w:themeColor="text1"/>
        </w:rPr>
        <w:t>Burge and Wright coincide</w:t>
      </w:r>
      <w:r>
        <w:rPr>
          <w:rFonts w:cs="Times New Roman"/>
          <w:color w:val="000000" w:themeColor="text1"/>
        </w:rPr>
        <w:t>” (2014, p. 224).</w:t>
      </w:r>
    </w:p>
    <w:p w14:paraId="2CEF0B10" w14:textId="77777777" w:rsidR="007A0716" w:rsidRPr="00860DA2" w:rsidRDefault="007A0716" w:rsidP="00E53339">
      <w:pPr>
        <w:spacing w:line="276" w:lineRule="auto"/>
        <w:rPr>
          <w:rFonts w:cs="Times New Roman"/>
          <w:color w:val="000000" w:themeColor="text1"/>
        </w:rPr>
      </w:pPr>
    </w:p>
    <w:p w14:paraId="69883A61" w14:textId="0D59346B" w:rsidR="007A0716" w:rsidRPr="00860DA2" w:rsidRDefault="007A0716" w:rsidP="00E53339">
      <w:pPr>
        <w:spacing w:line="276" w:lineRule="auto"/>
        <w:rPr>
          <w:rFonts w:cs="Times New Roman"/>
          <w:color w:val="000000" w:themeColor="text1"/>
        </w:rPr>
      </w:pPr>
    </w:p>
    <w:p w14:paraId="323CA84A" w14:textId="203DAF20" w:rsidR="003B3D56" w:rsidRDefault="003B3D56" w:rsidP="00E53339">
      <w:pPr>
        <w:spacing w:line="276" w:lineRule="auto"/>
        <w:rPr>
          <w:rFonts w:cs="Times New Roman"/>
          <w:color w:val="000000" w:themeColor="text1"/>
        </w:rPr>
      </w:pPr>
    </w:p>
    <w:p w14:paraId="7974310B" w14:textId="798A6BB4" w:rsidR="00E53339" w:rsidRDefault="00E53339" w:rsidP="00E53339">
      <w:pPr>
        <w:spacing w:line="276" w:lineRule="auto"/>
        <w:rPr>
          <w:rFonts w:cs="Times New Roman"/>
          <w:color w:val="000000" w:themeColor="text1"/>
        </w:rPr>
      </w:pPr>
    </w:p>
    <w:p w14:paraId="4E52CA35" w14:textId="592429CB" w:rsidR="00E53339" w:rsidRDefault="00E53339" w:rsidP="00E53339">
      <w:pPr>
        <w:spacing w:line="276" w:lineRule="auto"/>
        <w:rPr>
          <w:rFonts w:cs="Times New Roman"/>
          <w:color w:val="000000" w:themeColor="text1"/>
        </w:rPr>
      </w:pPr>
    </w:p>
    <w:p w14:paraId="5B644914" w14:textId="31547988" w:rsidR="00E53339" w:rsidRDefault="00E53339" w:rsidP="00E53339">
      <w:pPr>
        <w:spacing w:line="276" w:lineRule="auto"/>
        <w:rPr>
          <w:rFonts w:cs="Times New Roman"/>
          <w:color w:val="000000" w:themeColor="text1"/>
        </w:rPr>
      </w:pPr>
    </w:p>
    <w:p w14:paraId="10C71426" w14:textId="405CC30E" w:rsidR="00E53339" w:rsidRDefault="00E53339" w:rsidP="00E53339">
      <w:pPr>
        <w:spacing w:line="276" w:lineRule="auto"/>
        <w:rPr>
          <w:rFonts w:cs="Times New Roman"/>
          <w:color w:val="000000" w:themeColor="text1"/>
        </w:rPr>
      </w:pPr>
    </w:p>
    <w:p w14:paraId="41B3D457" w14:textId="77777777" w:rsidR="00E53339" w:rsidRPr="00860DA2" w:rsidRDefault="00E53339" w:rsidP="00E53339">
      <w:pPr>
        <w:spacing w:line="276" w:lineRule="auto"/>
        <w:rPr>
          <w:rFonts w:cs="Times New Roman"/>
          <w:color w:val="000000" w:themeColor="text1"/>
        </w:rPr>
      </w:pPr>
    </w:p>
    <w:p w14:paraId="5831D092" w14:textId="006928AC" w:rsidR="00EF72F3" w:rsidRPr="00860DA2" w:rsidRDefault="00EF72F3" w:rsidP="00E53339">
      <w:pPr>
        <w:spacing w:line="276" w:lineRule="auto"/>
        <w:rPr>
          <w:rFonts w:cs="Times New Roman"/>
          <w:color w:val="000000" w:themeColor="text1"/>
        </w:rPr>
      </w:pPr>
      <w:r w:rsidRPr="00860DA2">
        <w:rPr>
          <w:rFonts w:cs="Times New Roman"/>
          <w:color w:val="000000" w:themeColor="text1"/>
        </w:rPr>
        <w:t>Peter J. Graham</w:t>
      </w:r>
    </w:p>
    <w:p w14:paraId="5D4A0614" w14:textId="4224447B" w:rsidR="00EF72F3" w:rsidRPr="00860DA2" w:rsidRDefault="00EF72F3" w:rsidP="00E53339">
      <w:pPr>
        <w:spacing w:line="276" w:lineRule="auto"/>
        <w:rPr>
          <w:rFonts w:cs="Times New Roman"/>
          <w:color w:val="000000" w:themeColor="text1"/>
        </w:rPr>
      </w:pPr>
      <w:r w:rsidRPr="00860DA2">
        <w:rPr>
          <w:rFonts w:cs="Times New Roman"/>
          <w:color w:val="000000" w:themeColor="text1"/>
        </w:rPr>
        <w:t>University of California, Riverside</w:t>
      </w:r>
    </w:p>
    <w:p w14:paraId="0463FC27" w14:textId="6ADD5AD1" w:rsidR="00EF72F3" w:rsidRPr="00860DA2" w:rsidRDefault="00EF72F3" w:rsidP="00E53339">
      <w:pPr>
        <w:spacing w:line="276" w:lineRule="auto"/>
        <w:rPr>
          <w:rFonts w:cs="Times New Roman"/>
          <w:color w:val="000000" w:themeColor="text1"/>
        </w:rPr>
      </w:pPr>
      <w:r w:rsidRPr="00860DA2">
        <w:rPr>
          <w:rFonts w:cs="Times New Roman"/>
          <w:color w:val="000000" w:themeColor="text1"/>
        </w:rPr>
        <w:t>Institute for Advanced Study in the Humanities, University of Edinburgh</w:t>
      </w:r>
    </w:p>
    <w:p w14:paraId="125F002B" w14:textId="77777777" w:rsidR="003B3D56" w:rsidRPr="00860DA2" w:rsidRDefault="003B3D56" w:rsidP="00E53339">
      <w:pPr>
        <w:spacing w:line="276" w:lineRule="auto"/>
        <w:rPr>
          <w:rFonts w:cs="Times New Roman"/>
          <w:color w:val="000000" w:themeColor="text1"/>
        </w:rPr>
      </w:pPr>
    </w:p>
    <w:p w14:paraId="48F1FBD0" w14:textId="5C10FA4B" w:rsidR="00EF72F3" w:rsidRPr="00860DA2" w:rsidRDefault="00EF72F3" w:rsidP="00E53339">
      <w:pPr>
        <w:spacing w:line="276" w:lineRule="auto"/>
        <w:rPr>
          <w:rFonts w:cs="Times New Roman"/>
          <w:color w:val="000000" w:themeColor="text1"/>
        </w:rPr>
      </w:pPr>
      <w:r w:rsidRPr="00860DA2">
        <w:rPr>
          <w:rFonts w:cs="Times New Roman"/>
          <w:color w:val="000000" w:themeColor="text1"/>
        </w:rPr>
        <w:t>Nikolaj Jang Lee Linding Pedersen</w:t>
      </w:r>
    </w:p>
    <w:p w14:paraId="22BCF6CD" w14:textId="78C58CEC" w:rsidR="00EF72F3" w:rsidRPr="00860DA2" w:rsidRDefault="00EF72F3" w:rsidP="00E53339">
      <w:pPr>
        <w:spacing w:line="276" w:lineRule="auto"/>
        <w:rPr>
          <w:rFonts w:cs="Times New Roman"/>
          <w:color w:val="000000" w:themeColor="text1"/>
        </w:rPr>
      </w:pPr>
      <w:r w:rsidRPr="00860DA2">
        <w:rPr>
          <w:rFonts w:cs="Times New Roman"/>
          <w:color w:val="000000" w:themeColor="text1"/>
        </w:rPr>
        <w:t>Underwood International College, Yonsei University</w:t>
      </w:r>
    </w:p>
    <w:p w14:paraId="2A3485B7" w14:textId="0137EACB" w:rsidR="003155DB" w:rsidRPr="00860DA2" w:rsidRDefault="003155DB" w:rsidP="00E53339">
      <w:pPr>
        <w:spacing w:line="276" w:lineRule="auto"/>
        <w:rPr>
          <w:rFonts w:cs="Times New Roman"/>
          <w:color w:val="000000" w:themeColor="text1"/>
        </w:rPr>
      </w:pPr>
      <w:r w:rsidRPr="00860DA2">
        <w:rPr>
          <w:rFonts w:cs="Times New Roman"/>
          <w:color w:val="000000" w:themeColor="text1"/>
        </w:rPr>
        <w:br w:type="page"/>
      </w:r>
    </w:p>
    <w:p w14:paraId="6DDB83A8" w14:textId="7BAF18C6" w:rsidR="003155DB" w:rsidRPr="00860DA2" w:rsidRDefault="003155DB" w:rsidP="00E53339">
      <w:pPr>
        <w:spacing w:line="276" w:lineRule="auto"/>
        <w:rPr>
          <w:rFonts w:cs="Times New Roman"/>
          <w:color w:val="000000" w:themeColor="text1"/>
        </w:rPr>
      </w:pPr>
      <w:r w:rsidRPr="00860DA2">
        <w:rPr>
          <w:rFonts w:cs="Times New Roman"/>
          <w:color w:val="000000" w:themeColor="text1"/>
        </w:rPr>
        <w:lastRenderedPageBreak/>
        <w:t>References</w:t>
      </w:r>
    </w:p>
    <w:p w14:paraId="07566B7B" w14:textId="77777777" w:rsidR="003155DB" w:rsidRPr="00860DA2" w:rsidRDefault="003155DB" w:rsidP="00E53339">
      <w:pPr>
        <w:spacing w:line="276" w:lineRule="auto"/>
        <w:rPr>
          <w:rFonts w:cs="Times New Roman"/>
          <w:color w:val="000000" w:themeColor="text1"/>
        </w:rPr>
      </w:pPr>
    </w:p>
    <w:p w14:paraId="1956C00A" w14:textId="46E6F860" w:rsidR="003155DB" w:rsidRPr="00860DA2" w:rsidRDefault="003155DB" w:rsidP="00E53339">
      <w:pPr>
        <w:widowControl w:val="0"/>
        <w:autoSpaceDE w:val="0"/>
        <w:autoSpaceDN w:val="0"/>
        <w:adjustRightInd w:val="0"/>
        <w:spacing w:line="276" w:lineRule="auto"/>
        <w:ind w:left="480" w:hanging="480"/>
      </w:pPr>
      <w:r w:rsidRPr="00860DA2">
        <w:t xml:space="preserve">Ahlstrom-Vij, Kristoffer and Jeff Dunn. 2018. </w:t>
      </w:r>
      <w:r w:rsidRPr="00860DA2">
        <w:rPr>
          <w:u w:val="single"/>
        </w:rPr>
        <w:t>Epistemic Consequentialism</w:t>
      </w:r>
      <w:r w:rsidR="00951183" w:rsidRPr="00860DA2">
        <w:t xml:space="preserve"> (</w:t>
      </w:r>
      <w:r w:rsidRPr="00860DA2">
        <w:t>Oxford, UK: Oxford University Press</w:t>
      </w:r>
      <w:r w:rsidR="00951183" w:rsidRPr="00860DA2">
        <w:t>)</w:t>
      </w:r>
      <w:r w:rsidRPr="00860DA2">
        <w:t>.</w:t>
      </w:r>
    </w:p>
    <w:p w14:paraId="30120ACA" w14:textId="25D358C3" w:rsidR="003155DB" w:rsidRPr="006C7784" w:rsidRDefault="003155DB" w:rsidP="00E53339">
      <w:pPr>
        <w:widowControl w:val="0"/>
        <w:autoSpaceDE w:val="0"/>
        <w:autoSpaceDN w:val="0"/>
        <w:adjustRightInd w:val="0"/>
        <w:spacing w:line="276" w:lineRule="auto"/>
        <w:ind w:left="480" w:hanging="480"/>
      </w:pPr>
      <w:r w:rsidRPr="00860DA2">
        <w:t>Altschul, Jon. n.d. “Epistemic Entitlement</w:t>
      </w:r>
      <w:r w:rsidR="00940047" w:rsidRPr="00860DA2">
        <w:t>,</w:t>
      </w:r>
      <w:r w:rsidRPr="00860DA2">
        <w:t xml:space="preserve">” </w:t>
      </w:r>
      <w:r w:rsidRPr="00860DA2">
        <w:rPr>
          <w:u w:val="single"/>
        </w:rPr>
        <w:t>Internet Encyclopedia of Philosophy</w:t>
      </w:r>
      <w:r w:rsidRPr="00860DA2">
        <w:t xml:space="preserve">. </w:t>
      </w:r>
      <w:hyperlink r:id="rId8" w:history="1">
        <w:r w:rsidRPr="006C7784">
          <w:rPr>
            <w:rStyle w:val="Hyperlink"/>
          </w:rPr>
          <w:t>http://www.iep.utm.edu/ep-en/</w:t>
        </w:r>
      </w:hyperlink>
      <w:r w:rsidRPr="00860DA2">
        <w:t>.</w:t>
      </w:r>
    </w:p>
    <w:p w14:paraId="3F34A1FA" w14:textId="4FCB723F" w:rsidR="003155DB" w:rsidRDefault="003155DB" w:rsidP="00E53339">
      <w:pPr>
        <w:widowControl w:val="0"/>
        <w:autoSpaceDE w:val="0"/>
        <w:autoSpaceDN w:val="0"/>
        <w:adjustRightInd w:val="0"/>
        <w:spacing w:line="276" w:lineRule="auto"/>
        <w:ind w:left="480" w:hanging="480"/>
      </w:pPr>
      <w:r w:rsidRPr="006C7784">
        <w:t xml:space="preserve">Alston, William. 2005. </w:t>
      </w:r>
      <w:r w:rsidRPr="006C7784">
        <w:rPr>
          <w:u w:val="single"/>
        </w:rPr>
        <w:t>Beyond Justification: Dimensions of Epistemi</w:t>
      </w:r>
      <w:r w:rsidRPr="00860DA2">
        <w:rPr>
          <w:u w:val="single"/>
        </w:rPr>
        <w:t>c Evaluation</w:t>
      </w:r>
      <w:r w:rsidRPr="00860DA2">
        <w:t xml:space="preserve"> </w:t>
      </w:r>
      <w:r w:rsidR="00951183" w:rsidRPr="00860DA2">
        <w:t>(</w:t>
      </w:r>
      <w:r w:rsidRPr="00860DA2">
        <w:t>Ithaca, N</w:t>
      </w:r>
      <w:r w:rsidR="00951183" w:rsidRPr="00860DA2">
        <w:t>Y</w:t>
      </w:r>
      <w:r w:rsidRPr="00860DA2">
        <w:t>: Cornell University Press</w:t>
      </w:r>
      <w:r w:rsidR="00951183" w:rsidRPr="00860DA2">
        <w:t>)</w:t>
      </w:r>
      <w:r w:rsidRPr="00860DA2">
        <w:t>.</w:t>
      </w:r>
    </w:p>
    <w:p w14:paraId="4AEACBE1" w14:textId="503E6365" w:rsidR="000019DC" w:rsidRPr="00860DA2" w:rsidRDefault="000019DC" w:rsidP="00E53339">
      <w:pPr>
        <w:widowControl w:val="0"/>
        <w:autoSpaceDE w:val="0"/>
        <w:autoSpaceDN w:val="0"/>
        <w:adjustRightInd w:val="0"/>
        <w:spacing w:line="276" w:lineRule="auto"/>
        <w:ind w:left="480" w:hanging="480"/>
      </w:pPr>
      <w:r>
        <w:t xml:space="preserve">Audi, Robert. 1993. </w:t>
      </w:r>
      <w:r w:rsidRPr="005E091B">
        <w:rPr>
          <w:u w:val="single"/>
        </w:rPr>
        <w:t>The Structure of Justification</w:t>
      </w:r>
      <w:r>
        <w:t xml:space="preserve"> (New York: Cambridge University Press).</w:t>
      </w:r>
    </w:p>
    <w:p w14:paraId="6136CF4E" w14:textId="466AC620" w:rsidR="003155DB" w:rsidRPr="00860DA2" w:rsidRDefault="003155DB" w:rsidP="00E53339">
      <w:pPr>
        <w:widowControl w:val="0"/>
        <w:autoSpaceDE w:val="0"/>
        <w:autoSpaceDN w:val="0"/>
        <w:adjustRightInd w:val="0"/>
        <w:spacing w:line="276" w:lineRule="auto"/>
        <w:ind w:left="480" w:hanging="480"/>
      </w:pPr>
      <w:r w:rsidRPr="00860DA2">
        <w:t>Audi, Robert. 2018. “Understanding, Self-Evidence, and Justification</w:t>
      </w:r>
      <w:r w:rsidR="00940047" w:rsidRPr="00860DA2">
        <w:t>,</w:t>
      </w:r>
      <w:r w:rsidRPr="00860DA2">
        <w:t xml:space="preserve">” </w:t>
      </w:r>
      <w:r w:rsidRPr="00860DA2">
        <w:rPr>
          <w:u w:val="single"/>
        </w:rPr>
        <w:t>Philosophy and Phenomenological Research</w:t>
      </w:r>
      <w:r w:rsidRPr="00860DA2">
        <w:t>. Published online 23 February 2018.</w:t>
      </w:r>
    </w:p>
    <w:p w14:paraId="0EBBDB39" w14:textId="652BE35E" w:rsidR="003155DB" w:rsidRPr="00860DA2" w:rsidRDefault="003155DB" w:rsidP="00E53339">
      <w:pPr>
        <w:widowControl w:val="0"/>
        <w:autoSpaceDE w:val="0"/>
        <w:autoSpaceDN w:val="0"/>
        <w:adjustRightInd w:val="0"/>
        <w:spacing w:line="276" w:lineRule="auto"/>
        <w:ind w:left="480" w:hanging="480"/>
      </w:pPr>
      <w:r w:rsidRPr="00860DA2">
        <w:t>Avnur, Yuval. 2012. “Mere Faith and Entitlement</w:t>
      </w:r>
      <w:r w:rsidR="00940047" w:rsidRPr="00860DA2">
        <w:t>,</w:t>
      </w:r>
      <w:r w:rsidRPr="00860DA2">
        <w:t xml:space="preserve">” </w:t>
      </w:r>
      <w:r w:rsidRPr="00860DA2">
        <w:rPr>
          <w:u w:val="single"/>
        </w:rPr>
        <w:t>Synthese</w:t>
      </w:r>
      <w:r w:rsidR="003F4035" w:rsidRPr="00860DA2">
        <w:t>, vol.</w:t>
      </w:r>
      <w:r w:rsidRPr="00860DA2">
        <w:t xml:space="preserve"> 189</w:t>
      </w:r>
      <w:r w:rsidR="00415F8D" w:rsidRPr="00860DA2">
        <w:t>, no. 2,</w:t>
      </w:r>
      <w:r w:rsidRPr="00860DA2">
        <w:t xml:space="preserve"> </w:t>
      </w:r>
      <w:r w:rsidR="00415F8D" w:rsidRPr="00860DA2">
        <w:t>pp.</w:t>
      </w:r>
      <w:r w:rsidRPr="00860DA2">
        <w:t xml:space="preserve"> 297</w:t>
      </w:r>
      <w:r w:rsidRPr="00860DA2">
        <w:rPr>
          <w:noProof/>
        </w:rPr>
        <w:t>–</w:t>
      </w:r>
      <w:r w:rsidRPr="00860DA2">
        <w:t>315.</w:t>
      </w:r>
    </w:p>
    <w:p w14:paraId="57D5E529" w14:textId="5FBE8675" w:rsidR="003155DB" w:rsidRPr="00860DA2" w:rsidRDefault="003155DB" w:rsidP="00E53339">
      <w:pPr>
        <w:widowControl w:val="0"/>
        <w:autoSpaceDE w:val="0"/>
        <w:autoSpaceDN w:val="0"/>
        <w:adjustRightInd w:val="0"/>
        <w:spacing w:line="276" w:lineRule="auto"/>
        <w:ind w:left="480" w:hanging="480"/>
        <w:rPr>
          <w:noProof/>
        </w:rPr>
      </w:pPr>
      <w:r w:rsidRPr="00860DA2">
        <w:fldChar w:fldCharType="begin" w:fldLock="1"/>
      </w:r>
      <w:r w:rsidRPr="00860DA2">
        <w:instrText xml:space="preserve">ADDIN Mendeley Bibliography CSL_BIBLIOGRAPHY </w:instrText>
      </w:r>
      <w:r w:rsidRPr="00860DA2">
        <w:fldChar w:fldCharType="separate"/>
      </w:r>
      <w:r w:rsidRPr="006C7784">
        <w:rPr>
          <w:noProof/>
        </w:rPr>
        <w:t xml:space="preserve">Balcerak Jackson, Magdalena, and Brendon Balcerak Jackson, eds. 2019. </w:t>
      </w:r>
      <w:r w:rsidRPr="00860DA2">
        <w:rPr>
          <w:iCs/>
          <w:noProof/>
          <w:u w:val="single"/>
        </w:rPr>
        <w:t>Reasoning: New Essays on Theoretical and Practical Thinking</w:t>
      </w:r>
      <w:r w:rsidRPr="00860DA2">
        <w:rPr>
          <w:noProof/>
        </w:rPr>
        <w:t xml:space="preserve"> </w:t>
      </w:r>
      <w:r w:rsidR="00951183" w:rsidRPr="00860DA2">
        <w:rPr>
          <w:noProof/>
        </w:rPr>
        <w:t>(</w:t>
      </w:r>
      <w:r w:rsidRPr="00860DA2">
        <w:rPr>
          <w:noProof/>
        </w:rPr>
        <w:t>Oxford, UK</w:t>
      </w:r>
      <w:r w:rsidR="00951183" w:rsidRPr="00860DA2">
        <w:rPr>
          <w:noProof/>
        </w:rPr>
        <w:t>: Oxford University Press)</w:t>
      </w:r>
      <w:r w:rsidRPr="00860DA2">
        <w:rPr>
          <w:noProof/>
        </w:rPr>
        <w:t>.</w:t>
      </w:r>
    </w:p>
    <w:p w14:paraId="43C52C5D" w14:textId="4B17CD63" w:rsidR="003155DB" w:rsidRPr="00860DA2" w:rsidRDefault="003155DB" w:rsidP="00E53339">
      <w:pPr>
        <w:widowControl w:val="0"/>
        <w:autoSpaceDE w:val="0"/>
        <w:autoSpaceDN w:val="0"/>
        <w:adjustRightInd w:val="0"/>
        <w:spacing w:line="276" w:lineRule="auto"/>
        <w:ind w:left="480" w:hanging="480"/>
        <w:rPr>
          <w:noProof/>
        </w:rPr>
      </w:pPr>
      <w:r w:rsidRPr="00860DA2">
        <w:rPr>
          <w:noProof/>
        </w:rPr>
        <w:t>Bergmann, Michael. 2004. “Epistemic Circularity: Malignant and Benign</w:t>
      </w:r>
      <w:r w:rsidR="00940047" w:rsidRPr="00860DA2">
        <w:rPr>
          <w:noProof/>
        </w:rPr>
        <w:t>,</w:t>
      </w:r>
      <w:r w:rsidRPr="00860DA2">
        <w:rPr>
          <w:noProof/>
        </w:rPr>
        <w:t xml:space="preserve">” </w:t>
      </w:r>
      <w:r w:rsidRPr="00860DA2">
        <w:rPr>
          <w:noProof/>
          <w:u w:val="single"/>
        </w:rPr>
        <w:t>Philosophy and Phenomenological Research</w:t>
      </w:r>
      <w:r w:rsidR="003F4035" w:rsidRPr="00860DA2">
        <w:rPr>
          <w:noProof/>
        </w:rPr>
        <w:t xml:space="preserve">, </w:t>
      </w:r>
      <w:r w:rsidR="003F4035" w:rsidRPr="00860DA2">
        <w:t>vol.</w:t>
      </w:r>
      <w:r w:rsidR="00D125C6" w:rsidRPr="00860DA2">
        <w:t xml:space="preserve"> </w:t>
      </w:r>
      <w:r w:rsidRPr="00860DA2">
        <w:rPr>
          <w:noProof/>
        </w:rPr>
        <w:t>69</w:t>
      </w:r>
      <w:r w:rsidR="00415F8D" w:rsidRPr="00860DA2">
        <w:rPr>
          <w:noProof/>
        </w:rPr>
        <w:t xml:space="preserve">, no. 3, </w:t>
      </w:r>
      <w:r w:rsidR="00415F8D" w:rsidRPr="00860DA2">
        <w:t>pp.</w:t>
      </w:r>
      <w:r w:rsidRPr="00860DA2">
        <w:rPr>
          <w:noProof/>
        </w:rPr>
        <w:t xml:space="preserve"> 709–727.</w:t>
      </w:r>
    </w:p>
    <w:p w14:paraId="7E43B6C9" w14:textId="5C37853A" w:rsidR="003155DB" w:rsidRPr="00860DA2" w:rsidRDefault="003155DB" w:rsidP="00E53339">
      <w:pPr>
        <w:widowControl w:val="0"/>
        <w:autoSpaceDE w:val="0"/>
        <w:autoSpaceDN w:val="0"/>
        <w:adjustRightInd w:val="0"/>
        <w:spacing w:line="276" w:lineRule="auto"/>
        <w:ind w:left="480" w:hanging="480"/>
        <w:rPr>
          <w:noProof/>
        </w:rPr>
      </w:pPr>
      <w:r w:rsidRPr="00860DA2">
        <w:rPr>
          <w:noProof/>
        </w:rPr>
        <w:t>Berker, Selim. 2013a. “Epistemic Teleology and the Separateness of Propositions</w:t>
      </w:r>
      <w:r w:rsidR="00940047" w:rsidRPr="00860DA2">
        <w:rPr>
          <w:noProof/>
        </w:rPr>
        <w:t>,</w:t>
      </w:r>
      <w:r w:rsidRPr="00860DA2">
        <w:rPr>
          <w:noProof/>
        </w:rPr>
        <w:t xml:space="preserve">” </w:t>
      </w:r>
      <w:r w:rsidRPr="00860DA2">
        <w:rPr>
          <w:noProof/>
          <w:u w:val="single"/>
        </w:rPr>
        <w:t>The Philosophical Review</w:t>
      </w:r>
      <w:r w:rsidRPr="00860DA2">
        <w:rPr>
          <w:noProof/>
        </w:rPr>
        <w:t xml:space="preserve">, </w:t>
      </w:r>
      <w:r w:rsidR="003F4035" w:rsidRPr="00860DA2">
        <w:t xml:space="preserve">vol. </w:t>
      </w:r>
      <w:r w:rsidRPr="00860DA2">
        <w:rPr>
          <w:noProof/>
        </w:rPr>
        <w:t>122</w:t>
      </w:r>
      <w:r w:rsidR="00980AB4" w:rsidRPr="00860DA2">
        <w:rPr>
          <w:noProof/>
        </w:rPr>
        <w:t xml:space="preserve">, no. 3, </w:t>
      </w:r>
      <w:r w:rsidR="00980AB4" w:rsidRPr="00860DA2">
        <w:t>pp.</w:t>
      </w:r>
      <w:r w:rsidRPr="00860DA2">
        <w:rPr>
          <w:noProof/>
        </w:rPr>
        <w:t xml:space="preserve"> 337–393.</w:t>
      </w:r>
    </w:p>
    <w:p w14:paraId="06C83668" w14:textId="4494E7D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2013b. “The Rejection of Epistemic Consequentialism</w:t>
      </w:r>
      <w:r w:rsidR="00940047" w:rsidRPr="00860DA2">
        <w:rPr>
          <w:noProof/>
        </w:rPr>
        <w:t>,</w:t>
      </w:r>
      <w:r w:rsidRPr="00860DA2">
        <w:rPr>
          <w:noProof/>
        </w:rPr>
        <w:t xml:space="preserve">” </w:t>
      </w:r>
      <w:r w:rsidRPr="00860DA2">
        <w:rPr>
          <w:noProof/>
          <w:u w:val="single"/>
        </w:rPr>
        <w:t>Philosophical Issues</w:t>
      </w:r>
      <w:r w:rsidRPr="00860DA2">
        <w:rPr>
          <w:noProof/>
        </w:rPr>
        <w:t xml:space="preserve">, </w:t>
      </w:r>
      <w:r w:rsidR="003F4035" w:rsidRPr="00860DA2">
        <w:t xml:space="preserve">vol. </w:t>
      </w:r>
      <w:r w:rsidRPr="00860DA2">
        <w:rPr>
          <w:noProof/>
        </w:rPr>
        <w:t>23</w:t>
      </w:r>
      <w:r w:rsidR="00BF3E1A" w:rsidRPr="00860DA2">
        <w:rPr>
          <w:noProof/>
        </w:rPr>
        <w:t>, no. 1,</w:t>
      </w:r>
      <w:r w:rsidRPr="00860DA2">
        <w:rPr>
          <w:noProof/>
        </w:rPr>
        <w:t xml:space="preserve"> </w:t>
      </w:r>
      <w:r w:rsidR="00DD60AC" w:rsidRPr="00860DA2">
        <w:t>pp.</w:t>
      </w:r>
      <w:r w:rsidRPr="00860DA2">
        <w:rPr>
          <w:noProof/>
        </w:rPr>
        <w:t xml:space="preserve"> 363–387. </w:t>
      </w:r>
    </w:p>
    <w:p w14:paraId="49DBF126" w14:textId="350D04A0"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Brandom, Robert. 1994. </w:t>
      </w:r>
      <w:r w:rsidRPr="00860DA2">
        <w:rPr>
          <w:iCs/>
          <w:noProof/>
          <w:u w:val="single"/>
        </w:rPr>
        <w:t>Making It Explicit : Reasoning, Representing, and Discursive Commitment</w:t>
      </w:r>
      <w:r w:rsidRPr="00860DA2">
        <w:rPr>
          <w:noProof/>
        </w:rPr>
        <w:t xml:space="preserve"> </w:t>
      </w:r>
      <w:r w:rsidR="00951183" w:rsidRPr="00860DA2">
        <w:rPr>
          <w:noProof/>
        </w:rPr>
        <w:t>(</w:t>
      </w:r>
      <w:r w:rsidRPr="00860DA2">
        <w:rPr>
          <w:noProof/>
        </w:rPr>
        <w:t>Cambridge, M</w:t>
      </w:r>
      <w:r w:rsidR="00951183" w:rsidRPr="00860DA2">
        <w:rPr>
          <w:noProof/>
        </w:rPr>
        <w:t>A</w:t>
      </w:r>
      <w:r w:rsidRPr="00860DA2">
        <w:rPr>
          <w:noProof/>
        </w:rPr>
        <w:t>: Harvard University Press</w:t>
      </w:r>
      <w:r w:rsidR="00951183" w:rsidRPr="00860DA2">
        <w:rPr>
          <w:noProof/>
        </w:rPr>
        <w:t>)</w:t>
      </w:r>
      <w:r w:rsidRPr="00860DA2">
        <w:rPr>
          <w:noProof/>
        </w:rPr>
        <w:t>.</w:t>
      </w:r>
    </w:p>
    <w:p w14:paraId="15BF0F95" w14:textId="2EF3B630" w:rsidR="003155DB" w:rsidRPr="00860DA2" w:rsidRDefault="003155DB" w:rsidP="00E53339">
      <w:pPr>
        <w:widowControl w:val="0"/>
        <w:autoSpaceDE w:val="0"/>
        <w:autoSpaceDN w:val="0"/>
        <w:adjustRightInd w:val="0"/>
        <w:spacing w:line="276" w:lineRule="auto"/>
        <w:ind w:left="480" w:hanging="480"/>
        <w:rPr>
          <w:noProof/>
        </w:rPr>
      </w:pPr>
      <w:r w:rsidRPr="00860DA2">
        <w:rPr>
          <w:noProof/>
        </w:rPr>
        <w:t>Bratman, Michael. 1992. “Practical Reasoning and Acceptance in a Context</w:t>
      </w:r>
      <w:r w:rsidR="00940047" w:rsidRPr="00860DA2">
        <w:rPr>
          <w:noProof/>
        </w:rPr>
        <w:t>,</w:t>
      </w:r>
      <w:r w:rsidRPr="00860DA2">
        <w:rPr>
          <w:noProof/>
        </w:rPr>
        <w:t xml:space="preserve">” </w:t>
      </w:r>
      <w:r w:rsidRPr="00860DA2">
        <w:rPr>
          <w:noProof/>
          <w:u w:val="single"/>
        </w:rPr>
        <w:t>Mind</w:t>
      </w:r>
      <w:r w:rsidR="003F4035" w:rsidRPr="00860DA2">
        <w:rPr>
          <w:noProof/>
        </w:rPr>
        <w:t xml:space="preserve">, </w:t>
      </w:r>
      <w:r w:rsidR="003F4035" w:rsidRPr="00860DA2">
        <w:t xml:space="preserve">vol. </w:t>
      </w:r>
      <w:r w:rsidRPr="00860DA2">
        <w:rPr>
          <w:noProof/>
        </w:rPr>
        <w:t>101</w:t>
      </w:r>
      <w:r w:rsidR="00DD60AC" w:rsidRPr="00860DA2">
        <w:rPr>
          <w:noProof/>
        </w:rPr>
        <w:t xml:space="preserve">, no. 401, </w:t>
      </w:r>
      <w:r w:rsidR="00DD60AC" w:rsidRPr="00860DA2">
        <w:t>pp.</w:t>
      </w:r>
      <w:r w:rsidRPr="00860DA2">
        <w:rPr>
          <w:noProof/>
        </w:rPr>
        <w:t xml:space="preserve"> 1–16.</w:t>
      </w:r>
    </w:p>
    <w:p w14:paraId="5DC57343" w14:textId="5B95DC7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Brogaard, Berit. 2008. </w:t>
      </w:r>
      <w:r w:rsidR="003F4035" w:rsidRPr="00860DA2">
        <w:rPr>
          <w:noProof/>
        </w:rPr>
        <w:t>"</w:t>
      </w:r>
      <w:r w:rsidRPr="00860DA2">
        <w:rPr>
          <w:noProof/>
        </w:rPr>
        <w:t>The Trivial Argument for Epistemic Value Pluralism: Or How I Learned to Stop Caring About Truth</w:t>
      </w:r>
      <w:r w:rsidR="00940047" w:rsidRPr="00860DA2">
        <w:rPr>
          <w:noProof/>
        </w:rPr>
        <w:t>,</w:t>
      </w:r>
      <w:r w:rsidR="003F4035" w:rsidRPr="00860DA2">
        <w:rPr>
          <w:noProof/>
        </w:rPr>
        <w:t>"</w:t>
      </w:r>
      <w:r w:rsidRPr="00860DA2">
        <w:rPr>
          <w:noProof/>
        </w:rPr>
        <w:t xml:space="preserve"> </w:t>
      </w:r>
      <w:r w:rsidR="00B17D05" w:rsidRPr="00860DA2">
        <w:rPr>
          <w:noProof/>
        </w:rPr>
        <w:t>i</w:t>
      </w:r>
      <w:r w:rsidRPr="00860DA2">
        <w:rPr>
          <w:noProof/>
        </w:rPr>
        <w:t xml:space="preserve">n </w:t>
      </w:r>
      <w:r w:rsidRPr="00860DA2">
        <w:rPr>
          <w:noProof/>
          <w:u w:val="single"/>
        </w:rPr>
        <w:t>Epistemic Value</w:t>
      </w:r>
      <w:r w:rsidRPr="00860DA2">
        <w:rPr>
          <w:noProof/>
        </w:rPr>
        <w:t xml:space="preserve">, </w:t>
      </w:r>
      <w:r w:rsidR="0042293C" w:rsidRPr="00860DA2">
        <w:rPr>
          <w:noProof/>
        </w:rPr>
        <w:t>ed.</w:t>
      </w:r>
      <w:r w:rsidRPr="00860DA2">
        <w:rPr>
          <w:noProof/>
        </w:rPr>
        <w:t xml:space="preserve"> Adrian Haddock, Alan Millar, and Duncan Pritchar</w:t>
      </w:r>
      <w:r w:rsidR="00B17D05" w:rsidRPr="00860DA2">
        <w:rPr>
          <w:noProof/>
        </w:rPr>
        <w:t>d</w:t>
      </w:r>
      <w:r w:rsidRPr="00860DA2">
        <w:rPr>
          <w:noProof/>
        </w:rPr>
        <w:t xml:space="preserve"> </w:t>
      </w:r>
      <w:r w:rsidR="00B17D05" w:rsidRPr="00860DA2">
        <w:rPr>
          <w:noProof/>
        </w:rPr>
        <w:t>(</w:t>
      </w:r>
      <w:r w:rsidRPr="00860DA2">
        <w:rPr>
          <w:noProof/>
        </w:rPr>
        <w:t>Oxford UK: Oxford University Press</w:t>
      </w:r>
      <w:r w:rsidR="00B17D05" w:rsidRPr="00860DA2">
        <w:rPr>
          <w:noProof/>
        </w:rPr>
        <w:t>), pp. 284-307</w:t>
      </w:r>
      <w:r w:rsidRPr="00860DA2">
        <w:rPr>
          <w:noProof/>
        </w:rPr>
        <w:t>.</w:t>
      </w:r>
    </w:p>
    <w:p w14:paraId="7AE3AAA7" w14:textId="1F3707C3" w:rsidR="003155DB" w:rsidRPr="00860DA2" w:rsidRDefault="003155DB" w:rsidP="00E53339">
      <w:pPr>
        <w:widowControl w:val="0"/>
        <w:autoSpaceDE w:val="0"/>
        <w:autoSpaceDN w:val="0"/>
        <w:adjustRightInd w:val="0"/>
        <w:spacing w:line="276" w:lineRule="auto"/>
        <w:ind w:left="480" w:hanging="480"/>
        <w:rPr>
          <w:noProof/>
        </w:rPr>
      </w:pPr>
      <w:r w:rsidRPr="00860DA2">
        <w:rPr>
          <w:noProof/>
        </w:rPr>
        <w:t>Burge, Tyler. 1993. “Content Preservation</w:t>
      </w:r>
      <w:r w:rsidR="00940047" w:rsidRPr="00860DA2">
        <w:rPr>
          <w:noProof/>
        </w:rPr>
        <w:t>,</w:t>
      </w:r>
      <w:r w:rsidRPr="00860DA2">
        <w:rPr>
          <w:noProof/>
        </w:rPr>
        <w:t xml:space="preserve">” </w:t>
      </w:r>
      <w:r w:rsidRPr="00860DA2">
        <w:rPr>
          <w:iCs/>
          <w:noProof/>
          <w:u w:val="single"/>
        </w:rPr>
        <w:t>The Philosophical Review</w:t>
      </w:r>
      <w:r w:rsidR="003F4035" w:rsidRPr="00860DA2">
        <w:rPr>
          <w:noProof/>
        </w:rPr>
        <w:t xml:space="preserve">, </w:t>
      </w:r>
      <w:r w:rsidR="003F4035" w:rsidRPr="00860DA2">
        <w:t xml:space="preserve">vol. </w:t>
      </w:r>
      <w:r w:rsidRPr="00860DA2">
        <w:rPr>
          <w:noProof/>
        </w:rPr>
        <w:t>102</w:t>
      </w:r>
      <w:r w:rsidR="0017146B" w:rsidRPr="00860DA2">
        <w:rPr>
          <w:noProof/>
        </w:rPr>
        <w:t>, no. 4, pp.</w:t>
      </w:r>
      <w:r w:rsidRPr="00860DA2">
        <w:rPr>
          <w:noProof/>
        </w:rPr>
        <w:t xml:space="preserve"> 457–488.</w:t>
      </w:r>
    </w:p>
    <w:p w14:paraId="0B16B64B" w14:textId="6B2F2B59"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2003a. “Perceptual Entitlement</w:t>
      </w:r>
      <w:r w:rsidR="00940047" w:rsidRPr="00860DA2">
        <w:rPr>
          <w:noProof/>
        </w:rPr>
        <w:t>,</w:t>
      </w:r>
      <w:r w:rsidRPr="00860DA2">
        <w:rPr>
          <w:noProof/>
        </w:rPr>
        <w:t xml:space="preserve">” </w:t>
      </w:r>
      <w:r w:rsidRPr="00860DA2">
        <w:rPr>
          <w:iCs/>
          <w:noProof/>
          <w:u w:val="single"/>
        </w:rPr>
        <w:t>Philosophy and Phenomenological Research</w:t>
      </w:r>
      <w:r w:rsidR="00FE3E72" w:rsidRPr="00860DA2">
        <w:rPr>
          <w:iCs/>
          <w:noProof/>
        </w:rPr>
        <w:t xml:space="preserve">, </w:t>
      </w:r>
      <w:r w:rsidR="00FE3E72" w:rsidRPr="00860DA2">
        <w:t>vol.</w:t>
      </w:r>
      <w:r w:rsidRPr="00860DA2">
        <w:rPr>
          <w:noProof/>
        </w:rPr>
        <w:t xml:space="preserve"> 67</w:t>
      </w:r>
      <w:r w:rsidR="0017146B" w:rsidRPr="00860DA2">
        <w:rPr>
          <w:noProof/>
        </w:rPr>
        <w:t xml:space="preserve">, no. 3, pp. </w:t>
      </w:r>
      <w:r w:rsidRPr="00860DA2">
        <w:rPr>
          <w:noProof/>
        </w:rPr>
        <w:t>503–</w:t>
      </w:r>
      <w:r w:rsidR="00D125C6" w:rsidRPr="00860DA2">
        <w:rPr>
          <w:noProof/>
        </w:rPr>
        <w:t>5</w:t>
      </w:r>
      <w:r w:rsidRPr="00860DA2">
        <w:rPr>
          <w:noProof/>
        </w:rPr>
        <w:t>48.</w:t>
      </w:r>
    </w:p>
    <w:p w14:paraId="015C04D6" w14:textId="11A662F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2003b. “Logic and Analyticity</w:t>
      </w:r>
      <w:r w:rsidR="00940047" w:rsidRPr="00860DA2">
        <w:rPr>
          <w:noProof/>
        </w:rPr>
        <w:t>,</w:t>
      </w:r>
      <w:r w:rsidRPr="00860DA2">
        <w:rPr>
          <w:noProof/>
        </w:rPr>
        <w:t xml:space="preserve">” </w:t>
      </w:r>
      <w:r w:rsidRPr="00860DA2">
        <w:rPr>
          <w:noProof/>
          <w:u w:val="single"/>
        </w:rPr>
        <w:t>Grazer Philosophische Studien</w:t>
      </w:r>
      <w:r w:rsidR="00FE3E72" w:rsidRPr="00860DA2">
        <w:rPr>
          <w:noProof/>
        </w:rPr>
        <w:t xml:space="preserve">, </w:t>
      </w:r>
      <w:r w:rsidR="00FE3E72" w:rsidRPr="00860DA2">
        <w:t>vol.</w:t>
      </w:r>
      <w:r w:rsidRPr="00860DA2">
        <w:rPr>
          <w:noProof/>
        </w:rPr>
        <w:t xml:space="preserve"> 66</w:t>
      </w:r>
      <w:r w:rsidR="0017146B" w:rsidRPr="00860DA2">
        <w:rPr>
          <w:noProof/>
        </w:rPr>
        <w:t>, pp.</w:t>
      </w:r>
      <w:r w:rsidRPr="00860DA2">
        <w:rPr>
          <w:noProof/>
        </w:rPr>
        <w:t xml:space="preserve"> 199–249.</w:t>
      </w:r>
    </w:p>
    <w:p w14:paraId="423231F3" w14:textId="7777777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2010a. </w:t>
      </w:r>
      <w:r w:rsidRPr="00860DA2">
        <w:rPr>
          <w:iCs/>
          <w:noProof/>
          <w:u w:val="single"/>
        </w:rPr>
        <w:t>Origins of Objectivity</w:t>
      </w:r>
      <w:r w:rsidRPr="00860DA2">
        <w:rPr>
          <w:i/>
          <w:iCs/>
          <w:noProof/>
        </w:rPr>
        <w:t>.</w:t>
      </w:r>
      <w:r w:rsidRPr="00860DA2">
        <w:rPr>
          <w:noProof/>
        </w:rPr>
        <w:t xml:space="preserve"> Oxford, UK: Oxford University Press. </w:t>
      </w:r>
    </w:p>
    <w:p w14:paraId="1AB31790" w14:textId="30282EF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2010b. “Steps Towards Origins of Propositional Though</w:t>
      </w:r>
      <w:r w:rsidR="0017146B" w:rsidRPr="00860DA2">
        <w:rPr>
          <w:noProof/>
        </w:rPr>
        <w:t>t</w:t>
      </w:r>
      <w:r w:rsidR="00940047" w:rsidRPr="00860DA2">
        <w:rPr>
          <w:noProof/>
        </w:rPr>
        <w:t>,</w:t>
      </w:r>
      <w:r w:rsidRPr="00860DA2">
        <w:rPr>
          <w:noProof/>
        </w:rPr>
        <w:t xml:space="preserve">” </w:t>
      </w:r>
      <w:r w:rsidRPr="00860DA2">
        <w:rPr>
          <w:iCs/>
          <w:noProof/>
          <w:u w:val="single"/>
        </w:rPr>
        <w:t>Disputatio</w:t>
      </w:r>
      <w:r w:rsidR="00FE3E72" w:rsidRPr="00860DA2">
        <w:rPr>
          <w:iCs/>
          <w:noProof/>
        </w:rPr>
        <w:t xml:space="preserve">, </w:t>
      </w:r>
      <w:r w:rsidR="00FE3E72" w:rsidRPr="00860DA2">
        <w:t>vol.</w:t>
      </w:r>
      <w:r w:rsidRPr="00860DA2">
        <w:rPr>
          <w:noProof/>
        </w:rPr>
        <w:t xml:space="preserve"> IV</w:t>
      </w:r>
      <w:r w:rsidR="0017146B" w:rsidRPr="00860DA2">
        <w:rPr>
          <w:noProof/>
        </w:rPr>
        <w:t>, no.</w:t>
      </w:r>
      <w:r w:rsidRPr="00860DA2">
        <w:rPr>
          <w:noProof/>
        </w:rPr>
        <w:t xml:space="preserve"> 29</w:t>
      </w:r>
      <w:r w:rsidR="0017146B" w:rsidRPr="00860DA2">
        <w:rPr>
          <w:noProof/>
        </w:rPr>
        <w:t>, pp.</w:t>
      </w:r>
      <w:r w:rsidRPr="00860DA2">
        <w:rPr>
          <w:noProof/>
        </w:rPr>
        <w:t xml:space="preserve"> 39–67.</w:t>
      </w:r>
    </w:p>
    <w:p w14:paraId="639BBDE9" w14:textId="109DEA9C"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2011. “Disjunctivism Again</w:t>
      </w:r>
      <w:r w:rsidR="00940047" w:rsidRPr="00860DA2">
        <w:rPr>
          <w:noProof/>
        </w:rPr>
        <w:t>,</w:t>
      </w:r>
      <w:r w:rsidRPr="00860DA2">
        <w:rPr>
          <w:noProof/>
        </w:rPr>
        <w:t xml:space="preserve">” </w:t>
      </w:r>
      <w:r w:rsidRPr="00860DA2">
        <w:rPr>
          <w:iCs/>
          <w:noProof/>
          <w:u w:val="single"/>
        </w:rPr>
        <w:t>Philosophical Explorations</w:t>
      </w:r>
      <w:r w:rsidR="00FE3E72" w:rsidRPr="00860DA2">
        <w:rPr>
          <w:iCs/>
          <w:noProof/>
        </w:rPr>
        <w:t xml:space="preserve">, </w:t>
      </w:r>
      <w:r w:rsidR="00FE3E72" w:rsidRPr="00860DA2">
        <w:t>vol.</w:t>
      </w:r>
      <w:r w:rsidRPr="00860DA2">
        <w:rPr>
          <w:noProof/>
        </w:rPr>
        <w:t xml:space="preserve"> 14</w:t>
      </w:r>
      <w:r w:rsidR="0017146B" w:rsidRPr="00860DA2">
        <w:rPr>
          <w:noProof/>
        </w:rPr>
        <w:t>, no. 1, pp.</w:t>
      </w:r>
      <w:r w:rsidRPr="00860DA2">
        <w:rPr>
          <w:noProof/>
        </w:rPr>
        <w:t xml:space="preserve"> 43–80. </w:t>
      </w:r>
    </w:p>
    <w:p w14:paraId="68D1823D" w14:textId="153E1D5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2013a. </w:t>
      </w:r>
      <w:r w:rsidRPr="00860DA2">
        <w:rPr>
          <w:iCs/>
          <w:noProof/>
          <w:u w:val="single"/>
        </w:rPr>
        <w:t>Cognition Through Understanding</w:t>
      </w:r>
      <w:r w:rsidRPr="00860DA2">
        <w:rPr>
          <w:noProof/>
        </w:rPr>
        <w:t xml:space="preserve"> </w:t>
      </w:r>
      <w:r w:rsidR="0017146B" w:rsidRPr="00860DA2">
        <w:rPr>
          <w:noProof/>
        </w:rPr>
        <w:t>(</w:t>
      </w:r>
      <w:r w:rsidRPr="00860DA2">
        <w:rPr>
          <w:noProof/>
        </w:rPr>
        <w:t>Oxford, UK: Oxford University Press</w:t>
      </w:r>
      <w:r w:rsidR="0017146B" w:rsidRPr="00860DA2">
        <w:rPr>
          <w:noProof/>
        </w:rPr>
        <w:t>)</w:t>
      </w:r>
      <w:r w:rsidRPr="00860DA2">
        <w:rPr>
          <w:noProof/>
        </w:rPr>
        <w:t>.</w:t>
      </w:r>
    </w:p>
    <w:p w14:paraId="487E3BE5" w14:textId="0FBE913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2013b. </w:t>
      </w:r>
      <w:r w:rsidR="0017146B" w:rsidRPr="00860DA2">
        <w:rPr>
          <w:noProof/>
        </w:rPr>
        <w:t>Introduction to Tyler Burge,</w:t>
      </w:r>
      <w:r w:rsidRPr="00860DA2">
        <w:rPr>
          <w:noProof/>
        </w:rPr>
        <w:t xml:space="preserve"> </w:t>
      </w:r>
      <w:r w:rsidRPr="00860DA2">
        <w:rPr>
          <w:iCs/>
          <w:noProof/>
          <w:u w:val="single"/>
        </w:rPr>
        <w:t>Cognition Through Understanding</w:t>
      </w:r>
      <w:r w:rsidRPr="00860DA2">
        <w:rPr>
          <w:noProof/>
        </w:rPr>
        <w:t xml:space="preserve"> </w:t>
      </w:r>
      <w:r w:rsidR="0017146B" w:rsidRPr="00860DA2">
        <w:rPr>
          <w:noProof/>
        </w:rPr>
        <w:t>(</w:t>
      </w:r>
      <w:r w:rsidRPr="00860DA2">
        <w:rPr>
          <w:noProof/>
        </w:rPr>
        <w:t>Oxford, UK: Oxford University Press</w:t>
      </w:r>
      <w:r w:rsidR="0017146B" w:rsidRPr="00860DA2">
        <w:rPr>
          <w:noProof/>
        </w:rPr>
        <w:t>), pp. 1-52</w:t>
      </w:r>
      <w:r w:rsidRPr="00860DA2">
        <w:rPr>
          <w:noProof/>
        </w:rPr>
        <w:t>.</w:t>
      </w:r>
    </w:p>
    <w:p w14:paraId="2DCCA2F3" w14:textId="516ACCC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2019. “Entitlement: The Basis of Empirical Warrant</w:t>
      </w:r>
      <w:r w:rsidR="00940047" w:rsidRPr="00860DA2">
        <w:rPr>
          <w:noProof/>
        </w:rPr>
        <w:t>,</w:t>
      </w:r>
      <w:r w:rsidRPr="00860DA2">
        <w:rPr>
          <w:noProof/>
        </w:rPr>
        <w:t xml:space="preserve">” </w:t>
      </w:r>
      <w:r w:rsidR="00B17D05"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w:t>
      </w:r>
      <w:r w:rsidRPr="00860DA2">
        <w:rPr>
          <w:noProof/>
        </w:rPr>
        <w:lastRenderedPageBreak/>
        <w:t xml:space="preserve">Peter J. Graham and Nikolaj Jang Lee Linding Pedersen </w:t>
      </w:r>
      <w:r w:rsidR="00B17D05" w:rsidRPr="00860DA2">
        <w:rPr>
          <w:noProof/>
        </w:rPr>
        <w:t>(</w:t>
      </w:r>
      <w:r w:rsidRPr="00860DA2">
        <w:rPr>
          <w:noProof/>
        </w:rPr>
        <w:t>Oxford, UK: Oxford University Press</w:t>
      </w:r>
      <w:r w:rsidR="00B17D05" w:rsidRPr="00860DA2">
        <w:rPr>
          <w:noProof/>
        </w:rPr>
        <w:t>)</w:t>
      </w:r>
      <w:r w:rsidRPr="00860DA2">
        <w:rPr>
          <w:noProof/>
        </w:rPr>
        <w:t>.</w:t>
      </w:r>
    </w:p>
    <w:p w14:paraId="1E940731" w14:textId="093E2338" w:rsidR="003155DB" w:rsidRPr="00860DA2" w:rsidRDefault="003155DB" w:rsidP="00E53339">
      <w:pPr>
        <w:widowControl w:val="0"/>
        <w:autoSpaceDE w:val="0"/>
        <w:autoSpaceDN w:val="0"/>
        <w:adjustRightInd w:val="0"/>
        <w:spacing w:line="276" w:lineRule="auto"/>
        <w:ind w:left="480" w:hanging="480"/>
        <w:rPr>
          <w:noProof/>
        </w:rPr>
      </w:pPr>
      <w:r w:rsidRPr="00860DA2">
        <w:rPr>
          <w:noProof/>
        </w:rPr>
        <w:t>Carter, J. Adam. 2017. “Epistemic Pluralism, Epistemic Relativism, and 'Hinge' Epistemology</w:t>
      </w:r>
      <w:r w:rsidR="00940047" w:rsidRPr="00860DA2">
        <w:rPr>
          <w:noProof/>
        </w:rPr>
        <w:t>,</w:t>
      </w:r>
      <w:r w:rsidRPr="00860DA2">
        <w:rPr>
          <w:noProof/>
        </w:rPr>
        <w:t xml:space="preserve">” </w:t>
      </w:r>
      <w:r w:rsidR="00B17D05" w:rsidRPr="00860DA2">
        <w:rPr>
          <w:noProof/>
        </w:rPr>
        <w:t>i</w:t>
      </w:r>
      <w:r w:rsidRPr="00860DA2">
        <w:rPr>
          <w:noProof/>
        </w:rPr>
        <w:t xml:space="preserve">n </w:t>
      </w:r>
      <w:r w:rsidRPr="00860DA2">
        <w:rPr>
          <w:iCs/>
          <w:noProof/>
          <w:u w:val="single"/>
        </w:rPr>
        <w:t>Epistemic Pluralism</w:t>
      </w:r>
      <w:r w:rsidRPr="00860DA2">
        <w:rPr>
          <w:noProof/>
        </w:rPr>
        <w:t xml:space="preserve">, </w:t>
      </w:r>
      <w:r w:rsidR="0042293C" w:rsidRPr="00860DA2">
        <w:rPr>
          <w:noProof/>
        </w:rPr>
        <w:t>ed.</w:t>
      </w:r>
      <w:r w:rsidRPr="00860DA2">
        <w:rPr>
          <w:noProof/>
        </w:rPr>
        <w:t xml:space="preserve"> Annalisa Coliva and Nikolaj Jang Lee Linding Pedersen</w:t>
      </w:r>
      <w:r w:rsidR="00B17D05" w:rsidRPr="00860DA2">
        <w:rPr>
          <w:noProof/>
        </w:rPr>
        <w:t xml:space="preserve"> </w:t>
      </w:r>
      <w:r w:rsidRPr="00860DA2">
        <w:rPr>
          <w:noProof/>
        </w:rPr>
        <w:t xml:space="preserve"> </w:t>
      </w:r>
      <w:r w:rsidR="00B17D05" w:rsidRPr="00860DA2">
        <w:rPr>
          <w:noProof/>
        </w:rPr>
        <w:t xml:space="preserve">(London: </w:t>
      </w:r>
      <w:r w:rsidRPr="00860DA2">
        <w:rPr>
          <w:noProof/>
        </w:rPr>
        <w:t>Palgrave Macmillan</w:t>
      </w:r>
      <w:r w:rsidR="00B17D05" w:rsidRPr="00860DA2">
        <w:rPr>
          <w:noProof/>
        </w:rPr>
        <w:t>)</w:t>
      </w:r>
      <w:r w:rsidR="005605FD" w:rsidRPr="00860DA2">
        <w:rPr>
          <w:noProof/>
        </w:rPr>
        <w:t>,</w:t>
      </w:r>
      <w:r w:rsidR="00B17D05" w:rsidRPr="00860DA2">
        <w:rPr>
          <w:noProof/>
        </w:rPr>
        <w:t xml:space="preserve"> pp. 229-252</w:t>
      </w:r>
      <w:r w:rsidRPr="00860DA2">
        <w:rPr>
          <w:noProof/>
        </w:rPr>
        <w:t>.</w:t>
      </w:r>
    </w:p>
    <w:p w14:paraId="2FE49E25" w14:textId="2FD9CEAC"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Casullo, Albert. 2007. “What Is Entitlement?” </w:t>
      </w:r>
      <w:r w:rsidRPr="00860DA2">
        <w:rPr>
          <w:iCs/>
          <w:noProof/>
          <w:u w:val="single"/>
        </w:rPr>
        <w:t>Acta Analytica</w:t>
      </w:r>
      <w:r w:rsidR="00FE3E72" w:rsidRPr="00860DA2">
        <w:rPr>
          <w:iCs/>
          <w:noProof/>
        </w:rPr>
        <w:t xml:space="preserve">, </w:t>
      </w:r>
      <w:r w:rsidR="00FE3E72" w:rsidRPr="00860DA2">
        <w:t>vol.</w:t>
      </w:r>
      <w:r w:rsidRPr="00860DA2">
        <w:rPr>
          <w:noProof/>
        </w:rPr>
        <w:t xml:space="preserve"> 22</w:t>
      </w:r>
      <w:r w:rsidR="00BF7CC5" w:rsidRPr="00860DA2">
        <w:rPr>
          <w:noProof/>
        </w:rPr>
        <w:t xml:space="preserve">, no. 4, pp. </w:t>
      </w:r>
      <w:r w:rsidRPr="00860DA2">
        <w:rPr>
          <w:noProof/>
        </w:rPr>
        <w:t xml:space="preserve">267–79. </w:t>
      </w:r>
    </w:p>
    <w:p w14:paraId="7093C5E2" w14:textId="51DA6038" w:rsidR="003155DB" w:rsidRPr="00860DA2" w:rsidRDefault="003155DB" w:rsidP="00E53339">
      <w:pPr>
        <w:widowControl w:val="0"/>
        <w:autoSpaceDE w:val="0"/>
        <w:autoSpaceDN w:val="0"/>
        <w:adjustRightInd w:val="0"/>
        <w:spacing w:line="276" w:lineRule="auto"/>
        <w:ind w:left="480" w:hanging="480"/>
        <w:rPr>
          <w:noProof/>
        </w:rPr>
      </w:pPr>
      <w:r w:rsidRPr="00860DA2">
        <w:rPr>
          <w:noProof/>
        </w:rPr>
        <w:t>Cohen, L. Jonathan. 1989. “Belief and Acceptance</w:t>
      </w:r>
      <w:r w:rsidR="00940047" w:rsidRPr="00860DA2">
        <w:rPr>
          <w:noProof/>
        </w:rPr>
        <w:t>,</w:t>
      </w:r>
      <w:r w:rsidRPr="00860DA2">
        <w:rPr>
          <w:noProof/>
        </w:rPr>
        <w:t xml:space="preserve">” </w:t>
      </w:r>
      <w:r w:rsidRPr="00860DA2">
        <w:rPr>
          <w:noProof/>
          <w:u w:val="single"/>
        </w:rPr>
        <w:t>Mind</w:t>
      </w:r>
      <w:r w:rsidR="00FE3E72" w:rsidRPr="00860DA2">
        <w:rPr>
          <w:noProof/>
        </w:rPr>
        <w:t xml:space="preserve">, </w:t>
      </w:r>
      <w:r w:rsidR="00FE3E72" w:rsidRPr="00860DA2">
        <w:t>vol.</w:t>
      </w:r>
      <w:r w:rsidRPr="00860DA2">
        <w:rPr>
          <w:noProof/>
        </w:rPr>
        <w:t xml:space="preserve"> 98</w:t>
      </w:r>
      <w:r w:rsidR="00BF7CC5" w:rsidRPr="00860DA2">
        <w:rPr>
          <w:noProof/>
        </w:rPr>
        <w:t>, no. 391, pp.</w:t>
      </w:r>
      <w:r w:rsidRPr="00860DA2">
        <w:rPr>
          <w:noProof/>
        </w:rPr>
        <w:t xml:space="preserve"> 367–389.</w:t>
      </w:r>
    </w:p>
    <w:p w14:paraId="701B6423" w14:textId="519D0660" w:rsidR="003155DB" w:rsidRPr="00860DA2" w:rsidRDefault="003155DB" w:rsidP="00E53339">
      <w:pPr>
        <w:widowControl w:val="0"/>
        <w:autoSpaceDE w:val="0"/>
        <w:autoSpaceDN w:val="0"/>
        <w:adjustRightInd w:val="0"/>
        <w:spacing w:line="276" w:lineRule="auto"/>
        <w:ind w:left="480" w:hanging="480"/>
        <w:rPr>
          <w:noProof/>
        </w:rPr>
      </w:pPr>
      <w:r w:rsidRPr="00860DA2">
        <w:rPr>
          <w:noProof/>
        </w:rPr>
        <w:t>Coliva, Annalisa</w:t>
      </w:r>
      <w:r w:rsidR="00BF7CC5" w:rsidRPr="00860DA2">
        <w:rPr>
          <w:noProof/>
        </w:rPr>
        <w:t>, ed</w:t>
      </w:r>
      <w:r w:rsidRPr="00860DA2">
        <w:rPr>
          <w:noProof/>
        </w:rPr>
        <w:t xml:space="preserve">. 2012a. </w:t>
      </w:r>
      <w:r w:rsidRPr="00860DA2">
        <w:rPr>
          <w:iCs/>
          <w:noProof/>
          <w:u w:val="single"/>
        </w:rPr>
        <w:t>Mind, Meaning, and Knowledge: Themes from the Philosophy of Crispin Wright</w:t>
      </w:r>
      <w:r w:rsidR="00B17D05" w:rsidRPr="00860DA2">
        <w:rPr>
          <w:noProof/>
        </w:rPr>
        <w:t xml:space="preserve"> (Oxford, UK: </w:t>
      </w:r>
      <w:r w:rsidRPr="00860DA2">
        <w:rPr>
          <w:noProof/>
        </w:rPr>
        <w:t>Oxford University Press</w:t>
      </w:r>
      <w:r w:rsidR="00B17D05" w:rsidRPr="00860DA2">
        <w:rPr>
          <w:noProof/>
        </w:rPr>
        <w:t>)</w:t>
      </w:r>
      <w:r w:rsidRPr="00860DA2">
        <w:rPr>
          <w:noProof/>
        </w:rPr>
        <w:t>.</w:t>
      </w:r>
    </w:p>
    <w:p w14:paraId="65DD886D" w14:textId="4945835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2012b. “Moore’s Proof, Liberals, and Conservatives - Is There a (Wittgensteinian) Third Way?” </w:t>
      </w:r>
      <w:r w:rsidR="00B17D05" w:rsidRPr="00860DA2">
        <w:rPr>
          <w:noProof/>
        </w:rPr>
        <w:t>i</w:t>
      </w:r>
      <w:r w:rsidRPr="00860DA2">
        <w:rPr>
          <w:noProof/>
        </w:rPr>
        <w:t xml:space="preserve">n </w:t>
      </w:r>
      <w:r w:rsidRPr="00860DA2">
        <w:rPr>
          <w:iCs/>
          <w:noProof/>
          <w:u w:val="single"/>
        </w:rPr>
        <w:t>Mind, Meaning, and Knowledge: Themes from the Philosophy of Crispin Wright</w:t>
      </w:r>
      <w:r w:rsidRPr="00860DA2">
        <w:rPr>
          <w:noProof/>
        </w:rPr>
        <w:t xml:space="preserve">, </w:t>
      </w:r>
      <w:r w:rsidR="0042293C" w:rsidRPr="00860DA2">
        <w:rPr>
          <w:noProof/>
        </w:rPr>
        <w:t>ed.</w:t>
      </w:r>
      <w:r w:rsidRPr="00860DA2">
        <w:rPr>
          <w:noProof/>
        </w:rPr>
        <w:t xml:space="preserve"> Annalisa Coliva</w:t>
      </w:r>
      <w:r w:rsidR="00B17D05" w:rsidRPr="00860DA2">
        <w:rPr>
          <w:noProof/>
        </w:rPr>
        <w:t xml:space="preserve"> (</w:t>
      </w:r>
      <w:r w:rsidRPr="00860DA2">
        <w:rPr>
          <w:noProof/>
        </w:rPr>
        <w:t>Oxford, UK: Oxford University Press</w:t>
      </w:r>
      <w:r w:rsidR="00B17D05" w:rsidRPr="00860DA2">
        <w:rPr>
          <w:noProof/>
        </w:rPr>
        <w:t>)</w:t>
      </w:r>
      <w:r w:rsidR="00422D7F" w:rsidRPr="00860DA2">
        <w:rPr>
          <w:noProof/>
        </w:rPr>
        <w:t>, pp. 323-351</w:t>
      </w:r>
      <w:r w:rsidRPr="00860DA2">
        <w:rPr>
          <w:noProof/>
        </w:rPr>
        <w:t>.</w:t>
      </w:r>
    </w:p>
    <w:p w14:paraId="7EC7A538" w14:textId="0ACC7F52"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2015. </w:t>
      </w:r>
      <w:r w:rsidRPr="00860DA2">
        <w:rPr>
          <w:noProof/>
          <w:u w:val="single"/>
        </w:rPr>
        <w:t>Extended Rationality: A Hinge Epistemology</w:t>
      </w:r>
      <w:r w:rsidRPr="00860DA2">
        <w:rPr>
          <w:noProof/>
        </w:rPr>
        <w:t xml:space="preserve"> </w:t>
      </w:r>
      <w:r w:rsidR="00422D7F" w:rsidRPr="00860DA2">
        <w:rPr>
          <w:noProof/>
        </w:rPr>
        <w:t>(</w:t>
      </w:r>
      <w:r w:rsidRPr="00860DA2">
        <w:rPr>
          <w:noProof/>
        </w:rPr>
        <w:t>London: Palgrave MacMillan</w:t>
      </w:r>
      <w:r w:rsidR="00422D7F" w:rsidRPr="00860DA2">
        <w:rPr>
          <w:noProof/>
        </w:rPr>
        <w:t>)</w:t>
      </w:r>
      <w:r w:rsidRPr="00860DA2">
        <w:rPr>
          <w:noProof/>
        </w:rPr>
        <w:t>.</w:t>
      </w:r>
    </w:p>
    <w:p w14:paraId="4C1A5D90" w14:textId="41AA25F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2019. “Against neo-Wittgensteinian Entitlements</w:t>
      </w:r>
      <w:r w:rsidR="00940047" w:rsidRPr="00860DA2">
        <w:rPr>
          <w:noProof/>
        </w:rPr>
        <w:t>,</w:t>
      </w:r>
      <w:r w:rsidRPr="00860DA2">
        <w:rPr>
          <w:noProof/>
        </w:rPr>
        <w:t xml:space="preserve">” </w:t>
      </w:r>
      <w:r w:rsidR="00422D7F"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w:t>
      </w:r>
      <w:r w:rsidR="00422D7F" w:rsidRPr="00860DA2">
        <w:rPr>
          <w:noProof/>
        </w:rPr>
        <w:t xml:space="preserve"> (</w:t>
      </w:r>
      <w:r w:rsidRPr="00860DA2">
        <w:rPr>
          <w:noProof/>
        </w:rPr>
        <w:t>Oxford, UK: Oxford University Press</w:t>
      </w:r>
      <w:r w:rsidR="00422D7F" w:rsidRPr="00860DA2">
        <w:rPr>
          <w:noProof/>
        </w:rPr>
        <w:t>)</w:t>
      </w:r>
      <w:r w:rsidRPr="00860DA2">
        <w:rPr>
          <w:noProof/>
        </w:rPr>
        <w:t>.</w:t>
      </w:r>
    </w:p>
    <w:p w14:paraId="2A843FD8" w14:textId="377FB54C" w:rsidR="003155DB" w:rsidRPr="00860DA2" w:rsidRDefault="003155DB" w:rsidP="00E53339">
      <w:pPr>
        <w:widowControl w:val="0"/>
        <w:autoSpaceDE w:val="0"/>
        <w:autoSpaceDN w:val="0"/>
        <w:adjustRightInd w:val="0"/>
        <w:spacing w:line="276" w:lineRule="auto"/>
        <w:ind w:left="480" w:hanging="480"/>
        <w:rPr>
          <w:noProof/>
        </w:rPr>
      </w:pPr>
      <w:r w:rsidRPr="00860DA2">
        <w:rPr>
          <w:noProof/>
        </w:rPr>
        <w:t>Coliva, Annalisa, and Nikolaj Jang Lee Linding Pedersen</w:t>
      </w:r>
      <w:r w:rsidR="00422D7F" w:rsidRPr="00860DA2">
        <w:rPr>
          <w:noProof/>
        </w:rPr>
        <w:t>, ed</w:t>
      </w:r>
      <w:r w:rsidRPr="00860DA2">
        <w:rPr>
          <w:noProof/>
        </w:rPr>
        <w:t xml:space="preserve">. 2017. </w:t>
      </w:r>
      <w:r w:rsidRPr="00860DA2">
        <w:rPr>
          <w:iCs/>
          <w:noProof/>
          <w:u w:val="single"/>
        </w:rPr>
        <w:t>Epistemic Pluralism</w:t>
      </w:r>
      <w:r w:rsidRPr="00860DA2">
        <w:rPr>
          <w:noProof/>
        </w:rPr>
        <w:t xml:space="preserve"> </w:t>
      </w:r>
      <w:r w:rsidR="00422D7F" w:rsidRPr="00860DA2">
        <w:rPr>
          <w:noProof/>
        </w:rPr>
        <w:t xml:space="preserve">(London: </w:t>
      </w:r>
      <w:r w:rsidRPr="00860DA2">
        <w:rPr>
          <w:noProof/>
        </w:rPr>
        <w:t>Palgrave Macmillan</w:t>
      </w:r>
      <w:r w:rsidR="00422D7F" w:rsidRPr="00860DA2">
        <w:rPr>
          <w:noProof/>
        </w:rPr>
        <w:t>)</w:t>
      </w:r>
      <w:r w:rsidRPr="00860DA2">
        <w:rPr>
          <w:noProof/>
        </w:rPr>
        <w:t>.</w:t>
      </w:r>
    </w:p>
    <w:p w14:paraId="2E9215D7" w14:textId="14FD6C69" w:rsidR="003155DB" w:rsidRDefault="003155DB" w:rsidP="00E53339">
      <w:pPr>
        <w:widowControl w:val="0"/>
        <w:autoSpaceDE w:val="0"/>
        <w:autoSpaceDN w:val="0"/>
        <w:adjustRightInd w:val="0"/>
        <w:spacing w:line="276" w:lineRule="auto"/>
        <w:ind w:left="480" w:hanging="480"/>
        <w:rPr>
          <w:noProof/>
        </w:rPr>
      </w:pPr>
      <w:r w:rsidRPr="00860DA2">
        <w:rPr>
          <w:noProof/>
        </w:rPr>
        <w:t>Comesaña, Juan and Matthew McGrath. 2016. “Perceptual Reasons</w:t>
      </w:r>
      <w:r w:rsidR="00940047" w:rsidRPr="00860DA2">
        <w:rPr>
          <w:noProof/>
        </w:rPr>
        <w:t>,</w:t>
      </w:r>
      <w:r w:rsidRPr="00860DA2">
        <w:rPr>
          <w:noProof/>
        </w:rPr>
        <w:t xml:space="preserve">” </w:t>
      </w:r>
      <w:r w:rsidRPr="00860DA2">
        <w:rPr>
          <w:noProof/>
          <w:u w:val="single"/>
        </w:rPr>
        <w:t>Philosophical Studies</w:t>
      </w:r>
      <w:r w:rsidR="00FE3E72" w:rsidRPr="00860DA2">
        <w:rPr>
          <w:noProof/>
        </w:rPr>
        <w:t xml:space="preserve">, </w:t>
      </w:r>
      <w:r w:rsidR="00FE3E72" w:rsidRPr="00860DA2">
        <w:t>vol.</w:t>
      </w:r>
      <w:r w:rsidRPr="00860DA2">
        <w:rPr>
          <w:noProof/>
        </w:rPr>
        <w:t xml:space="preserve"> 173</w:t>
      </w:r>
      <w:r w:rsidR="008F4B54" w:rsidRPr="00860DA2">
        <w:rPr>
          <w:noProof/>
        </w:rPr>
        <w:t>, no. 4, pp.</w:t>
      </w:r>
      <w:r w:rsidRPr="00860DA2">
        <w:rPr>
          <w:noProof/>
        </w:rPr>
        <w:t xml:space="preserve"> 991–1006.</w:t>
      </w:r>
    </w:p>
    <w:p w14:paraId="5934A5ED" w14:textId="45B38E94" w:rsidR="008B3E58" w:rsidRPr="00860DA2" w:rsidRDefault="008B3E58" w:rsidP="00E53339">
      <w:pPr>
        <w:widowControl w:val="0"/>
        <w:autoSpaceDE w:val="0"/>
        <w:autoSpaceDN w:val="0"/>
        <w:adjustRightInd w:val="0"/>
        <w:spacing w:line="276" w:lineRule="auto"/>
        <w:ind w:left="480" w:hanging="480"/>
        <w:rPr>
          <w:noProof/>
        </w:rPr>
      </w:pPr>
      <w:r>
        <w:rPr>
          <w:noProof/>
        </w:rPr>
        <w:t xml:space="preserve">Conee, Earl and Richard Feldman. 2004. </w:t>
      </w:r>
      <w:r w:rsidRPr="005E091B">
        <w:rPr>
          <w:noProof/>
          <w:u w:val="single"/>
        </w:rPr>
        <w:t>Evidentialism: Essays in Epistemology</w:t>
      </w:r>
      <w:r>
        <w:rPr>
          <w:noProof/>
        </w:rPr>
        <w:t xml:space="preserve"> (Oxford, UK: Oxford University Press).</w:t>
      </w:r>
    </w:p>
    <w:p w14:paraId="355CA0D0" w14:textId="17FDC19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David, Marian. 2001. “Truth as the Epistemic Goal.” </w:t>
      </w:r>
      <w:r w:rsidR="00422D7F" w:rsidRPr="00860DA2">
        <w:rPr>
          <w:noProof/>
        </w:rPr>
        <w:t>i</w:t>
      </w:r>
      <w:r w:rsidRPr="00860DA2">
        <w:rPr>
          <w:noProof/>
        </w:rPr>
        <w:t xml:space="preserve">n </w:t>
      </w:r>
      <w:r w:rsidRPr="00860DA2">
        <w:rPr>
          <w:noProof/>
          <w:u w:val="single"/>
        </w:rPr>
        <w:t>Knowledge, Truth, and Duty</w:t>
      </w:r>
      <w:r w:rsidRPr="00860DA2">
        <w:rPr>
          <w:noProof/>
        </w:rPr>
        <w:t xml:space="preserve">, </w:t>
      </w:r>
      <w:r w:rsidR="0042293C" w:rsidRPr="00860DA2">
        <w:rPr>
          <w:noProof/>
        </w:rPr>
        <w:t>ed.</w:t>
      </w:r>
      <w:r w:rsidRPr="00860DA2">
        <w:rPr>
          <w:noProof/>
        </w:rPr>
        <w:t xml:space="preserve"> Matthias Steup </w:t>
      </w:r>
      <w:r w:rsidR="00422D7F" w:rsidRPr="00860DA2">
        <w:rPr>
          <w:noProof/>
        </w:rPr>
        <w:t>(</w:t>
      </w:r>
      <w:r w:rsidRPr="00860DA2">
        <w:rPr>
          <w:noProof/>
        </w:rPr>
        <w:t>Oxford, UK: Oxford University Press</w:t>
      </w:r>
      <w:r w:rsidR="00422D7F" w:rsidRPr="00860DA2">
        <w:rPr>
          <w:noProof/>
        </w:rPr>
        <w:t>)</w:t>
      </w:r>
      <w:r w:rsidR="005605FD" w:rsidRPr="00860DA2">
        <w:rPr>
          <w:noProof/>
        </w:rPr>
        <w:t>,</w:t>
      </w:r>
      <w:r w:rsidR="00422D7F" w:rsidRPr="00860DA2">
        <w:rPr>
          <w:noProof/>
        </w:rPr>
        <w:t xml:space="preserve"> pp. 151-169</w:t>
      </w:r>
      <w:r w:rsidRPr="00860DA2">
        <w:rPr>
          <w:noProof/>
        </w:rPr>
        <w:t xml:space="preserve">.  </w:t>
      </w:r>
    </w:p>
    <w:p w14:paraId="3D921EE2" w14:textId="0B9EF41D" w:rsidR="003155DB" w:rsidRPr="00860DA2" w:rsidRDefault="003155DB" w:rsidP="00E53339">
      <w:pPr>
        <w:widowControl w:val="0"/>
        <w:autoSpaceDE w:val="0"/>
        <w:autoSpaceDN w:val="0"/>
        <w:adjustRightInd w:val="0"/>
        <w:spacing w:line="276" w:lineRule="auto"/>
        <w:ind w:left="480" w:hanging="480"/>
        <w:rPr>
          <w:noProof/>
        </w:rPr>
      </w:pPr>
      <w:r w:rsidRPr="00860DA2">
        <w:rPr>
          <w:noProof/>
        </w:rPr>
        <w:t>Davies, Martin. 2004. “Epistemic Entitlement, Warrant Transmission and Easy Knowledge</w:t>
      </w:r>
      <w:r w:rsidR="00940047" w:rsidRPr="00860DA2">
        <w:rPr>
          <w:noProof/>
        </w:rPr>
        <w:t>,</w:t>
      </w:r>
      <w:r w:rsidRPr="00860DA2">
        <w:rPr>
          <w:noProof/>
        </w:rPr>
        <w:t xml:space="preserve">” </w:t>
      </w:r>
      <w:r w:rsidRPr="00860DA2">
        <w:rPr>
          <w:iCs/>
          <w:noProof/>
          <w:u w:val="single"/>
        </w:rPr>
        <w:t>Aristotelian Society Supplementary Volume</w:t>
      </w:r>
      <w:r w:rsidR="00FE3E72" w:rsidRPr="00860DA2">
        <w:rPr>
          <w:iCs/>
          <w:noProof/>
        </w:rPr>
        <w:t xml:space="preserve">, </w:t>
      </w:r>
      <w:r w:rsidR="00FE3E72" w:rsidRPr="00860DA2">
        <w:t>vol.</w:t>
      </w:r>
      <w:r w:rsidRPr="00860DA2">
        <w:rPr>
          <w:noProof/>
        </w:rPr>
        <w:t xml:space="preserve"> 78</w:t>
      </w:r>
      <w:r w:rsidR="008F4B54" w:rsidRPr="00860DA2">
        <w:rPr>
          <w:noProof/>
        </w:rPr>
        <w:t>, no. 1, pp.</w:t>
      </w:r>
      <w:r w:rsidRPr="00860DA2">
        <w:rPr>
          <w:noProof/>
        </w:rPr>
        <w:t xml:space="preserve"> 213–</w:t>
      </w:r>
      <w:r w:rsidR="00D125C6" w:rsidRPr="00860DA2">
        <w:rPr>
          <w:noProof/>
        </w:rPr>
        <w:t>2</w:t>
      </w:r>
      <w:r w:rsidRPr="00860DA2">
        <w:rPr>
          <w:noProof/>
        </w:rPr>
        <w:t xml:space="preserve">45. </w:t>
      </w:r>
    </w:p>
    <w:p w14:paraId="29B79D58" w14:textId="728198DC"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Dretske, Fred. 2000. “Entitlement: Epistemic Rights without Epistemic Duties?” </w:t>
      </w:r>
      <w:r w:rsidRPr="00860DA2">
        <w:rPr>
          <w:iCs/>
          <w:noProof/>
          <w:u w:val="single"/>
        </w:rPr>
        <w:t>Philosophy and Phenomenological Research</w:t>
      </w:r>
      <w:r w:rsidR="00FE3E72" w:rsidRPr="00860DA2">
        <w:rPr>
          <w:iCs/>
          <w:noProof/>
        </w:rPr>
        <w:t xml:space="preserve">, </w:t>
      </w:r>
      <w:r w:rsidR="00FE3E72" w:rsidRPr="00860DA2">
        <w:t>vol.</w:t>
      </w:r>
      <w:r w:rsidRPr="00860DA2">
        <w:rPr>
          <w:noProof/>
        </w:rPr>
        <w:t xml:space="preserve"> 60</w:t>
      </w:r>
      <w:r w:rsidR="008F4B54" w:rsidRPr="00860DA2">
        <w:rPr>
          <w:noProof/>
        </w:rPr>
        <w:t>, no. 3,</w:t>
      </w:r>
      <w:r w:rsidRPr="00860DA2">
        <w:rPr>
          <w:noProof/>
        </w:rPr>
        <w:t xml:space="preserve"> </w:t>
      </w:r>
      <w:r w:rsidR="008F4B54" w:rsidRPr="00860DA2">
        <w:rPr>
          <w:noProof/>
        </w:rPr>
        <w:t>pp.</w:t>
      </w:r>
      <w:r w:rsidRPr="00860DA2">
        <w:rPr>
          <w:noProof/>
        </w:rPr>
        <w:t xml:space="preserve"> 59</w:t>
      </w:r>
      <w:r w:rsidR="00233F55" w:rsidRPr="00860DA2">
        <w:rPr>
          <w:noProof/>
        </w:rPr>
        <w:t>1-606</w:t>
      </w:r>
      <w:r w:rsidRPr="00860DA2">
        <w:rPr>
          <w:noProof/>
        </w:rPr>
        <w:t xml:space="preserve">. </w:t>
      </w:r>
    </w:p>
    <w:p w14:paraId="041BF943" w14:textId="70D21AC4" w:rsidR="003155DB" w:rsidRPr="00860DA2" w:rsidRDefault="003155DB" w:rsidP="00E53339">
      <w:pPr>
        <w:widowControl w:val="0"/>
        <w:autoSpaceDE w:val="0"/>
        <w:autoSpaceDN w:val="0"/>
        <w:adjustRightInd w:val="0"/>
        <w:spacing w:line="276" w:lineRule="auto"/>
        <w:ind w:left="480" w:hanging="480"/>
        <w:rPr>
          <w:noProof/>
        </w:rPr>
      </w:pPr>
      <w:r w:rsidRPr="00860DA2">
        <w:rPr>
          <w:noProof/>
        </w:rPr>
        <w:t>Elstein, Daniel and C.S.I. Jenkins. 2019. “The Truth Fairy and the Indirect Epistemic Consequentialist</w:t>
      </w:r>
      <w:r w:rsidR="00940047" w:rsidRPr="00860DA2">
        <w:rPr>
          <w:noProof/>
        </w:rPr>
        <w:t>,</w:t>
      </w:r>
      <w:r w:rsidRPr="00860DA2">
        <w:rPr>
          <w:noProof/>
        </w:rPr>
        <w:t xml:space="preserve">” </w:t>
      </w:r>
      <w:r w:rsidR="00422D7F"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w:t>
      </w:r>
      <w:r w:rsidR="00422D7F" w:rsidRPr="00860DA2">
        <w:rPr>
          <w:noProof/>
        </w:rPr>
        <w:t xml:space="preserve"> (</w:t>
      </w:r>
      <w:r w:rsidRPr="00860DA2">
        <w:rPr>
          <w:noProof/>
        </w:rPr>
        <w:t>Oxford, UK: Oxford University Press</w:t>
      </w:r>
      <w:r w:rsidR="00422D7F" w:rsidRPr="00860DA2">
        <w:rPr>
          <w:noProof/>
        </w:rPr>
        <w:t>)</w:t>
      </w:r>
      <w:r w:rsidRPr="00860DA2">
        <w:rPr>
          <w:noProof/>
        </w:rPr>
        <w:t>.</w:t>
      </w:r>
    </w:p>
    <w:p w14:paraId="40362CF9" w14:textId="5BE5D2F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Enoch, David and Joshua Schecther. 2008. “How Are Basic Belief-Forming Methods Justified?” </w:t>
      </w:r>
      <w:r w:rsidRPr="00860DA2">
        <w:rPr>
          <w:iCs/>
          <w:noProof/>
          <w:u w:val="single"/>
        </w:rPr>
        <w:t>Philosophy and Phenomenological Research</w:t>
      </w:r>
      <w:r w:rsidR="00FE3E72" w:rsidRPr="00860DA2">
        <w:rPr>
          <w:iCs/>
          <w:noProof/>
        </w:rPr>
        <w:t xml:space="preserve">, </w:t>
      </w:r>
      <w:r w:rsidR="00FE3E72" w:rsidRPr="00860DA2">
        <w:t>vol.</w:t>
      </w:r>
      <w:r w:rsidRPr="00860DA2">
        <w:rPr>
          <w:i/>
          <w:iCs/>
          <w:noProof/>
        </w:rPr>
        <w:t xml:space="preserve"> </w:t>
      </w:r>
      <w:r w:rsidRPr="00860DA2">
        <w:rPr>
          <w:iCs/>
          <w:noProof/>
        </w:rPr>
        <w:t>76</w:t>
      </w:r>
      <w:r w:rsidR="008F4B54" w:rsidRPr="00860DA2">
        <w:rPr>
          <w:iCs/>
          <w:noProof/>
        </w:rPr>
        <w:t>, no. 3, pp.</w:t>
      </w:r>
      <w:r w:rsidRPr="00860DA2">
        <w:rPr>
          <w:iCs/>
          <w:noProof/>
        </w:rPr>
        <w:t xml:space="preserve"> </w:t>
      </w:r>
      <w:r w:rsidRPr="00860DA2">
        <w:rPr>
          <w:noProof/>
        </w:rPr>
        <w:t xml:space="preserve">547–579. </w:t>
      </w:r>
    </w:p>
    <w:p w14:paraId="796817AF" w14:textId="7519BEF4" w:rsidR="003155DB" w:rsidRPr="00860DA2" w:rsidRDefault="003155DB" w:rsidP="00E53339">
      <w:pPr>
        <w:widowControl w:val="0"/>
        <w:autoSpaceDE w:val="0"/>
        <w:autoSpaceDN w:val="0"/>
        <w:adjustRightInd w:val="0"/>
        <w:spacing w:line="276" w:lineRule="auto"/>
        <w:ind w:left="480" w:hanging="480"/>
        <w:rPr>
          <w:noProof/>
        </w:rPr>
      </w:pPr>
      <w:r w:rsidRPr="00860DA2">
        <w:rPr>
          <w:noProof/>
        </w:rPr>
        <w:t>Fricker, Elizabeth. 2006. “Second-Hand Knowledge</w:t>
      </w:r>
      <w:r w:rsidR="00940047" w:rsidRPr="00860DA2">
        <w:rPr>
          <w:noProof/>
        </w:rPr>
        <w:t>,</w:t>
      </w:r>
      <w:r w:rsidRPr="00860DA2">
        <w:rPr>
          <w:noProof/>
        </w:rPr>
        <w:t xml:space="preserve">” </w:t>
      </w:r>
      <w:r w:rsidRPr="00860DA2">
        <w:rPr>
          <w:iCs/>
          <w:noProof/>
          <w:u w:val="single"/>
        </w:rPr>
        <w:t>Philosophy and Phenomenological Research</w:t>
      </w:r>
      <w:r w:rsidR="00FE3E72" w:rsidRPr="00860DA2">
        <w:rPr>
          <w:noProof/>
        </w:rPr>
        <w:t xml:space="preserve">, </w:t>
      </w:r>
      <w:r w:rsidR="00FE3E72" w:rsidRPr="00860DA2">
        <w:t xml:space="preserve">vol. </w:t>
      </w:r>
      <w:r w:rsidRPr="00860DA2">
        <w:rPr>
          <w:noProof/>
        </w:rPr>
        <w:t>73</w:t>
      </w:r>
      <w:r w:rsidR="008F4B54" w:rsidRPr="00860DA2">
        <w:rPr>
          <w:noProof/>
        </w:rPr>
        <w:t>, no. 3, pp.</w:t>
      </w:r>
      <w:r w:rsidRPr="00860DA2">
        <w:rPr>
          <w:noProof/>
        </w:rPr>
        <w:t xml:space="preserve"> 592–618.</w:t>
      </w:r>
    </w:p>
    <w:p w14:paraId="29617C80" w14:textId="6C07BCE5" w:rsidR="003155DB" w:rsidRPr="00860DA2" w:rsidRDefault="003155DB" w:rsidP="00E53339">
      <w:pPr>
        <w:widowControl w:val="0"/>
        <w:autoSpaceDE w:val="0"/>
        <w:autoSpaceDN w:val="0"/>
        <w:adjustRightInd w:val="0"/>
        <w:spacing w:line="276" w:lineRule="auto"/>
        <w:ind w:left="480" w:hanging="480"/>
        <w:rPr>
          <w:noProof/>
        </w:rPr>
      </w:pPr>
      <w:r w:rsidRPr="00860DA2">
        <w:rPr>
          <w:noProof/>
        </w:rPr>
        <w:t>Gerken, Mikkel. 2012. “Discursive Justification and Skepticism</w:t>
      </w:r>
      <w:r w:rsidR="00940047" w:rsidRPr="00860DA2">
        <w:rPr>
          <w:noProof/>
        </w:rPr>
        <w:t>,</w:t>
      </w:r>
      <w:r w:rsidRPr="00860DA2">
        <w:rPr>
          <w:noProof/>
        </w:rPr>
        <w:t xml:space="preserve">” </w:t>
      </w:r>
      <w:r w:rsidRPr="00860DA2">
        <w:rPr>
          <w:iCs/>
          <w:noProof/>
          <w:u w:val="single"/>
        </w:rPr>
        <w:t>Synthese</w:t>
      </w:r>
      <w:r w:rsidR="00FE3E72" w:rsidRPr="00860DA2">
        <w:rPr>
          <w:iCs/>
          <w:noProof/>
        </w:rPr>
        <w:t xml:space="preserve">, </w:t>
      </w:r>
      <w:r w:rsidR="00FE3E72" w:rsidRPr="00860DA2">
        <w:t>vol.</w:t>
      </w:r>
      <w:r w:rsidRPr="00860DA2">
        <w:rPr>
          <w:noProof/>
        </w:rPr>
        <w:t xml:space="preserve"> 189</w:t>
      </w:r>
      <w:r w:rsidR="008F4B54" w:rsidRPr="00860DA2">
        <w:rPr>
          <w:noProof/>
        </w:rPr>
        <w:t>, no. 2, pp.</w:t>
      </w:r>
      <w:r w:rsidRPr="00860DA2">
        <w:rPr>
          <w:noProof/>
        </w:rPr>
        <w:t xml:space="preserve"> 373–</w:t>
      </w:r>
      <w:r w:rsidR="00D125C6" w:rsidRPr="00860DA2">
        <w:rPr>
          <w:noProof/>
        </w:rPr>
        <w:t>3</w:t>
      </w:r>
      <w:r w:rsidRPr="00860DA2">
        <w:rPr>
          <w:noProof/>
        </w:rPr>
        <w:t xml:space="preserve">94. </w:t>
      </w:r>
    </w:p>
    <w:p w14:paraId="1BF211F2" w14:textId="7FE69E84"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2013. “Internalism and Externalism in the Epistemology of Testimony</w:t>
      </w:r>
      <w:r w:rsidR="00940047" w:rsidRPr="00860DA2">
        <w:rPr>
          <w:noProof/>
        </w:rPr>
        <w:t>,</w:t>
      </w:r>
      <w:r w:rsidRPr="00860DA2">
        <w:rPr>
          <w:noProof/>
        </w:rPr>
        <w:t xml:space="preserve">” </w:t>
      </w:r>
      <w:r w:rsidRPr="00860DA2">
        <w:rPr>
          <w:iCs/>
          <w:noProof/>
          <w:u w:val="single"/>
        </w:rPr>
        <w:t>Philosophy and Phenomenological Research</w:t>
      </w:r>
      <w:r w:rsidR="00FE3E72" w:rsidRPr="00860DA2">
        <w:rPr>
          <w:noProof/>
        </w:rPr>
        <w:t xml:space="preserve">, </w:t>
      </w:r>
      <w:r w:rsidR="00FE3E72" w:rsidRPr="00860DA2">
        <w:t xml:space="preserve">vol. </w:t>
      </w:r>
      <w:r w:rsidRPr="00860DA2">
        <w:rPr>
          <w:noProof/>
        </w:rPr>
        <w:t>87</w:t>
      </w:r>
      <w:r w:rsidR="008F4B54" w:rsidRPr="00860DA2">
        <w:rPr>
          <w:noProof/>
        </w:rPr>
        <w:t>, no. 3, pp.</w:t>
      </w:r>
      <w:r w:rsidRPr="00860DA2">
        <w:rPr>
          <w:noProof/>
        </w:rPr>
        <w:t xml:space="preserve"> 532–</w:t>
      </w:r>
      <w:r w:rsidR="00D125C6" w:rsidRPr="00860DA2">
        <w:rPr>
          <w:noProof/>
        </w:rPr>
        <w:t>5</w:t>
      </w:r>
      <w:r w:rsidRPr="00860DA2">
        <w:rPr>
          <w:noProof/>
        </w:rPr>
        <w:t>57.</w:t>
      </w:r>
    </w:p>
    <w:p w14:paraId="30A7236B" w14:textId="4D5C1B9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2015. “The Epistemic Norms of Intra-Scientific Testimony</w:t>
      </w:r>
      <w:r w:rsidR="00940047" w:rsidRPr="00860DA2">
        <w:rPr>
          <w:noProof/>
        </w:rPr>
        <w:t>,</w:t>
      </w:r>
      <w:r w:rsidRPr="00860DA2">
        <w:rPr>
          <w:noProof/>
        </w:rPr>
        <w:t xml:space="preserve">” </w:t>
      </w:r>
      <w:r w:rsidRPr="00860DA2">
        <w:rPr>
          <w:iCs/>
          <w:noProof/>
          <w:u w:val="single"/>
        </w:rPr>
        <w:t>Philosophy of the Social Sciences</w:t>
      </w:r>
      <w:r w:rsidR="00FE3E72" w:rsidRPr="00860DA2">
        <w:rPr>
          <w:noProof/>
        </w:rPr>
        <w:t xml:space="preserve">, </w:t>
      </w:r>
      <w:r w:rsidR="00FE3E72" w:rsidRPr="00860DA2">
        <w:t xml:space="preserve">vol. </w:t>
      </w:r>
      <w:r w:rsidRPr="00860DA2">
        <w:rPr>
          <w:noProof/>
        </w:rPr>
        <w:t>45</w:t>
      </w:r>
      <w:r w:rsidR="008F4B54" w:rsidRPr="00860DA2">
        <w:rPr>
          <w:noProof/>
        </w:rPr>
        <w:t>, no. 6, pp.</w:t>
      </w:r>
      <w:r w:rsidRPr="00860DA2">
        <w:rPr>
          <w:noProof/>
        </w:rPr>
        <w:t xml:space="preserve"> 568–</w:t>
      </w:r>
      <w:r w:rsidR="00D125C6" w:rsidRPr="00860DA2">
        <w:rPr>
          <w:noProof/>
        </w:rPr>
        <w:t>5</w:t>
      </w:r>
      <w:r w:rsidRPr="00860DA2">
        <w:rPr>
          <w:noProof/>
        </w:rPr>
        <w:t>95.</w:t>
      </w:r>
    </w:p>
    <w:p w14:paraId="170683AF" w14:textId="17C7C6C4" w:rsidR="003155DB" w:rsidRPr="00860DA2" w:rsidRDefault="003155DB" w:rsidP="00E53339">
      <w:pPr>
        <w:widowControl w:val="0"/>
        <w:autoSpaceDE w:val="0"/>
        <w:autoSpaceDN w:val="0"/>
        <w:adjustRightInd w:val="0"/>
        <w:spacing w:line="276" w:lineRule="auto"/>
        <w:ind w:left="480" w:hanging="480"/>
        <w:rPr>
          <w:noProof/>
        </w:rPr>
      </w:pPr>
      <w:r w:rsidRPr="00860DA2">
        <w:rPr>
          <w:noProof/>
        </w:rPr>
        <w:lastRenderedPageBreak/>
        <w:t>———. 2019. “Epistemic Entitlement – Its Scope and Limits</w:t>
      </w:r>
      <w:r w:rsidR="00940047" w:rsidRPr="00860DA2">
        <w:rPr>
          <w:noProof/>
        </w:rPr>
        <w:t>,</w:t>
      </w:r>
      <w:r w:rsidRPr="00860DA2">
        <w:rPr>
          <w:noProof/>
        </w:rPr>
        <w:t xml:space="preserve">” </w:t>
      </w:r>
      <w:r w:rsidR="00422D7F"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eds.</w:t>
      </w:r>
      <w:r w:rsidRPr="00860DA2">
        <w:rPr>
          <w:noProof/>
        </w:rPr>
        <w:t xml:space="preserve"> Peter J. Graham and Nikolaj Jang Lee Linding Pedersen </w:t>
      </w:r>
      <w:r w:rsidR="00422D7F" w:rsidRPr="00860DA2">
        <w:rPr>
          <w:noProof/>
        </w:rPr>
        <w:t>(</w:t>
      </w:r>
      <w:r w:rsidRPr="00860DA2">
        <w:rPr>
          <w:noProof/>
        </w:rPr>
        <w:t>Oxford, UK: Oxford University Press</w:t>
      </w:r>
      <w:r w:rsidR="00422D7F" w:rsidRPr="00860DA2">
        <w:rPr>
          <w:noProof/>
        </w:rPr>
        <w:t>)</w:t>
      </w:r>
      <w:r w:rsidRPr="00860DA2">
        <w:rPr>
          <w:noProof/>
        </w:rPr>
        <w:t>.</w:t>
      </w:r>
    </w:p>
    <w:p w14:paraId="6FF692CF" w14:textId="1EBCF440"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Gerken, Mikkel and Katherine Dunlop. 2018. “Burge, Tyler (1946-).” </w:t>
      </w:r>
      <w:r w:rsidRPr="00860DA2">
        <w:rPr>
          <w:noProof/>
          <w:u w:val="single"/>
        </w:rPr>
        <w:t>Routledge Encyclopedia of Philosophy</w:t>
      </w:r>
      <w:r w:rsidRPr="00860DA2">
        <w:rPr>
          <w:noProof/>
        </w:rPr>
        <w:t xml:space="preserve">. </w:t>
      </w:r>
    </w:p>
    <w:p w14:paraId="616AFEEA" w14:textId="66211DAD"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Goldberg, Sanford. 2018. </w:t>
      </w:r>
      <w:r w:rsidRPr="00860DA2">
        <w:rPr>
          <w:iCs/>
          <w:noProof/>
          <w:u w:val="single"/>
        </w:rPr>
        <w:t>To the Best of Our Knowledge : Social Expectations and Epistemic Normativity</w:t>
      </w:r>
      <w:r w:rsidRPr="00860DA2">
        <w:rPr>
          <w:noProof/>
        </w:rPr>
        <w:t xml:space="preserve"> </w:t>
      </w:r>
      <w:r w:rsidR="00422D7F" w:rsidRPr="00860DA2">
        <w:rPr>
          <w:noProof/>
        </w:rPr>
        <w:t>(</w:t>
      </w:r>
      <w:r w:rsidRPr="00860DA2">
        <w:rPr>
          <w:noProof/>
        </w:rPr>
        <w:t>Oxford: Oxford University Press</w:t>
      </w:r>
      <w:r w:rsidR="00422D7F" w:rsidRPr="00860DA2">
        <w:rPr>
          <w:noProof/>
        </w:rPr>
        <w:t>)</w:t>
      </w:r>
      <w:r w:rsidRPr="00860DA2">
        <w:rPr>
          <w:noProof/>
        </w:rPr>
        <w:t xml:space="preserve">. </w:t>
      </w:r>
    </w:p>
    <w:p w14:paraId="59CAA713" w14:textId="2495721E" w:rsidR="008B3E58" w:rsidRDefault="003155DB" w:rsidP="00E53339">
      <w:pPr>
        <w:widowControl w:val="0"/>
        <w:autoSpaceDE w:val="0"/>
        <w:autoSpaceDN w:val="0"/>
        <w:adjustRightInd w:val="0"/>
        <w:spacing w:line="276" w:lineRule="auto"/>
        <w:ind w:left="480" w:hanging="480"/>
        <w:rPr>
          <w:noProof/>
        </w:rPr>
      </w:pPr>
      <w:r w:rsidRPr="00860DA2">
        <w:rPr>
          <w:noProof/>
        </w:rPr>
        <w:t>Goldman, Alvin.</w:t>
      </w:r>
      <w:r w:rsidR="008B3E58">
        <w:rPr>
          <w:noProof/>
        </w:rPr>
        <w:t xml:space="preserve"> 1986. </w:t>
      </w:r>
      <w:r w:rsidR="008B3E58" w:rsidRPr="005E091B">
        <w:rPr>
          <w:noProof/>
          <w:u w:val="single"/>
        </w:rPr>
        <w:t>Epistemology and Cognition</w:t>
      </w:r>
      <w:r w:rsidR="008B3E58">
        <w:rPr>
          <w:noProof/>
        </w:rPr>
        <w:t xml:space="preserve"> (Cambridge, MA: Harvard University Press).</w:t>
      </w:r>
    </w:p>
    <w:p w14:paraId="60C2509D" w14:textId="02B8C9DB" w:rsidR="003155DB" w:rsidRPr="00860DA2" w:rsidRDefault="008B3E58" w:rsidP="00E53339">
      <w:pPr>
        <w:widowControl w:val="0"/>
        <w:autoSpaceDE w:val="0"/>
        <w:autoSpaceDN w:val="0"/>
        <w:adjustRightInd w:val="0"/>
        <w:spacing w:line="276" w:lineRule="auto"/>
        <w:ind w:left="480" w:hanging="480"/>
        <w:rPr>
          <w:noProof/>
        </w:rPr>
      </w:pPr>
      <w:r w:rsidRPr="00860DA2">
        <w:rPr>
          <w:noProof/>
        </w:rPr>
        <w:t>———.</w:t>
      </w:r>
      <w:r>
        <w:rPr>
          <w:noProof/>
        </w:rPr>
        <w:t xml:space="preserve"> </w:t>
      </w:r>
      <w:r w:rsidR="003155DB" w:rsidRPr="00860DA2">
        <w:rPr>
          <w:noProof/>
        </w:rPr>
        <w:t>2001. “The Unity of the Epistemic Virtues</w:t>
      </w:r>
      <w:r w:rsidR="00940047" w:rsidRPr="00860DA2">
        <w:rPr>
          <w:noProof/>
        </w:rPr>
        <w:t>,</w:t>
      </w:r>
      <w:r w:rsidR="003155DB" w:rsidRPr="00860DA2">
        <w:rPr>
          <w:noProof/>
        </w:rPr>
        <w:t xml:space="preserve">” </w:t>
      </w:r>
      <w:r w:rsidR="00422D7F" w:rsidRPr="00860DA2">
        <w:rPr>
          <w:noProof/>
        </w:rPr>
        <w:t>i</w:t>
      </w:r>
      <w:r w:rsidR="003155DB" w:rsidRPr="00860DA2">
        <w:rPr>
          <w:noProof/>
        </w:rPr>
        <w:t xml:space="preserve">n </w:t>
      </w:r>
      <w:r w:rsidR="003155DB" w:rsidRPr="00860DA2">
        <w:rPr>
          <w:noProof/>
          <w:u w:val="single"/>
        </w:rPr>
        <w:t>Virtue Epistemology: Essays on Epistemic Virtue and Responsibility</w:t>
      </w:r>
      <w:r w:rsidR="003155DB" w:rsidRPr="00860DA2">
        <w:rPr>
          <w:i/>
          <w:noProof/>
        </w:rPr>
        <w:t>,</w:t>
      </w:r>
      <w:r w:rsidR="003155DB" w:rsidRPr="00860DA2">
        <w:rPr>
          <w:noProof/>
        </w:rPr>
        <w:t xml:space="preserve"> </w:t>
      </w:r>
      <w:r w:rsidR="0042293C" w:rsidRPr="00860DA2">
        <w:rPr>
          <w:noProof/>
        </w:rPr>
        <w:t>eds.</w:t>
      </w:r>
      <w:r w:rsidR="003155DB" w:rsidRPr="00860DA2">
        <w:rPr>
          <w:noProof/>
        </w:rPr>
        <w:t xml:space="preserve"> Abrol Fairweather and Linda Zagzebski</w:t>
      </w:r>
      <w:r w:rsidR="00422D7F" w:rsidRPr="00860DA2">
        <w:rPr>
          <w:noProof/>
        </w:rPr>
        <w:t xml:space="preserve"> (</w:t>
      </w:r>
      <w:r w:rsidR="003155DB" w:rsidRPr="00860DA2">
        <w:rPr>
          <w:noProof/>
        </w:rPr>
        <w:t>Oxford, UK: Oxford University Press</w:t>
      </w:r>
      <w:r w:rsidR="00422D7F" w:rsidRPr="00860DA2">
        <w:rPr>
          <w:noProof/>
        </w:rPr>
        <w:t>)</w:t>
      </w:r>
      <w:r w:rsidR="005605FD" w:rsidRPr="00860DA2">
        <w:rPr>
          <w:noProof/>
        </w:rPr>
        <w:t>,</w:t>
      </w:r>
      <w:r w:rsidR="00422D7F" w:rsidRPr="00860DA2">
        <w:rPr>
          <w:noProof/>
        </w:rPr>
        <w:t xml:space="preserve"> pp. 30-49</w:t>
      </w:r>
      <w:r w:rsidR="003155DB" w:rsidRPr="00860DA2">
        <w:rPr>
          <w:noProof/>
        </w:rPr>
        <w:t>.</w:t>
      </w:r>
    </w:p>
    <w:p w14:paraId="199B8FAC" w14:textId="5910133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2015. “Reliabilism, Veritism, and Epistemic Consequentialism</w:t>
      </w:r>
      <w:r w:rsidR="00940047" w:rsidRPr="00860DA2">
        <w:rPr>
          <w:noProof/>
        </w:rPr>
        <w:t>,</w:t>
      </w:r>
      <w:r w:rsidRPr="00860DA2">
        <w:rPr>
          <w:noProof/>
        </w:rPr>
        <w:t xml:space="preserve">” </w:t>
      </w:r>
      <w:r w:rsidRPr="00860DA2">
        <w:rPr>
          <w:noProof/>
          <w:u w:val="single"/>
        </w:rPr>
        <w:t>Episteme</w:t>
      </w:r>
      <w:r w:rsidR="001967B4" w:rsidRPr="00860DA2">
        <w:rPr>
          <w:noProof/>
        </w:rPr>
        <w:t xml:space="preserve">, </w:t>
      </w:r>
      <w:r w:rsidR="001967B4" w:rsidRPr="00860DA2">
        <w:t>vol.</w:t>
      </w:r>
      <w:r w:rsidRPr="00860DA2">
        <w:rPr>
          <w:noProof/>
        </w:rPr>
        <w:t xml:space="preserve"> 12</w:t>
      </w:r>
      <w:r w:rsidR="008F4B54" w:rsidRPr="00860DA2">
        <w:rPr>
          <w:noProof/>
        </w:rPr>
        <w:t>, no. 2, pp.</w:t>
      </w:r>
      <w:r w:rsidRPr="00860DA2">
        <w:rPr>
          <w:noProof/>
        </w:rPr>
        <w:t xml:space="preserve"> 131–143.</w:t>
      </w:r>
    </w:p>
    <w:p w14:paraId="475325DA" w14:textId="2AED3CFC" w:rsidR="004627EA" w:rsidRPr="00860DA2" w:rsidRDefault="004627EA" w:rsidP="00E53339">
      <w:pPr>
        <w:widowControl w:val="0"/>
        <w:autoSpaceDE w:val="0"/>
        <w:autoSpaceDN w:val="0"/>
        <w:adjustRightInd w:val="0"/>
        <w:spacing w:line="276" w:lineRule="auto"/>
        <w:ind w:left="480" w:hanging="480"/>
        <w:rPr>
          <w:noProof/>
        </w:rPr>
      </w:pPr>
      <w:r w:rsidRPr="00860DA2">
        <w:rPr>
          <w:noProof/>
        </w:rPr>
        <w:t xml:space="preserve">Greco, John. 2000. </w:t>
      </w:r>
      <w:r w:rsidRPr="00860DA2">
        <w:rPr>
          <w:noProof/>
          <w:u w:val="single"/>
        </w:rPr>
        <w:t>Putting Skeptics in their Place</w:t>
      </w:r>
      <w:r w:rsidRPr="00860DA2">
        <w:rPr>
          <w:noProof/>
        </w:rPr>
        <w:t xml:space="preserve"> </w:t>
      </w:r>
      <w:r w:rsidR="005605FD" w:rsidRPr="00860DA2">
        <w:rPr>
          <w:noProof/>
        </w:rPr>
        <w:t>(</w:t>
      </w:r>
      <w:r w:rsidRPr="00860DA2">
        <w:rPr>
          <w:noProof/>
        </w:rPr>
        <w:t>New York: Cambridge University Press</w:t>
      </w:r>
      <w:r w:rsidR="005605FD" w:rsidRPr="00860DA2">
        <w:rPr>
          <w:noProof/>
        </w:rPr>
        <w:t>)</w:t>
      </w:r>
      <w:r w:rsidRPr="00860DA2">
        <w:rPr>
          <w:noProof/>
        </w:rPr>
        <w:t>.</w:t>
      </w:r>
    </w:p>
    <w:p w14:paraId="7FE37DE4" w14:textId="3136BB1A" w:rsidR="003155DB" w:rsidRPr="00860DA2" w:rsidRDefault="003155DB" w:rsidP="00E53339">
      <w:pPr>
        <w:widowControl w:val="0"/>
        <w:autoSpaceDE w:val="0"/>
        <w:autoSpaceDN w:val="0"/>
        <w:adjustRightInd w:val="0"/>
        <w:spacing w:line="276" w:lineRule="auto"/>
        <w:ind w:left="480" w:hanging="480"/>
        <w:rPr>
          <w:noProof/>
        </w:rPr>
      </w:pPr>
      <w:r w:rsidRPr="00860DA2">
        <w:rPr>
          <w:noProof/>
        </w:rPr>
        <w:t>Graham, Peter J. 2012. “Epistemic Entitlement</w:t>
      </w:r>
      <w:r w:rsidR="00940047" w:rsidRPr="00860DA2">
        <w:rPr>
          <w:noProof/>
        </w:rPr>
        <w:t>,</w:t>
      </w:r>
      <w:r w:rsidRPr="00860DA2">
        <w:rPr>
          <w:noProof/>
        </w:rPr>
        <w:t xml:space="preserve">” </w:t>
      </w:r>
      <w:r w:rsidR="002C38D2" w:rsidRPr="00860DA2">
        <w:rPr>
          <w:color w:val="000000"/>
          <w:u w:val="single"/>
        </w:rPr>
        <w:t>Noûs</w:t>
      </w:r>
      <w:r w:rsidR="001967B4" w:rsidRPr="00860DA2">
        <w:rPr>
          <w:color w:val="000000"/>
        </w:rPr>
        <w:t xml:space="preserve">, </w:t>
      </w:r>
      <w:r w:rsidR="001967B4" w:rsidRPr="00860DA2">
        <w:t>vol.</w:t>
      </w:r>
      <w:r w:rsidR="002C38D2" w:rsidRPr="00860DA2" w:rsidDel="002C38D2">
        <w:rPr>
          <w:i/>
          <w:iCs/>
          <w:noProof/>
        </w:rPr>
        <w:t xml:space="preserve"> </w:t>
      </w:r>
      <w:r w:rsidRPr="00860DA2">
        <w:rPr>
          <w:noProof/>
        </w:rPr>
        <w:t>46</w:t>
      </w:r>
      <w:r w:rsidR="008F4B54" w:rsidRPr="00860DA2">
        <w:rPr>
          <w:noProof/>
        </w:rPr>
        <w:t>, no. 3, pp.</w:t>
      </w:r>
      <w:r w:rsidRPr="00860DA2">
        <w:rPr>
          <w:noProof/>
        </w:rPr>
        <w:t xml:space="preserve"> 449–482. </w:t>
      </w:r>
    </w:p>
    <w:p w14:paraId="55618DCF" w14:textId="4F206BB5"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2014. “The Function of Perception</w:t>
      </w:r>
      <w:r w:rsidR="00940047" w:rsidRPr="00860DA2">
        <w:rPr>
          <w:noProof/>
        </w:rPr>
        <w:t>,</w:t>
      </w:r>
      <w:r w:rsidRPr="00860DA2">
        <w:rPr>
          <w:noProof/>
        </w:rPr>
        <w:t xml:space="preserve">” In </w:t>
      </w:r>
      <w:r w:rsidRPr="00860DA2">
        <w:rPr>
          <w:iCs/>
          <w:noProof/>
          <w:u w:val="single"/>
        </w:rPr>
        <w:t>Virtue Epistemology Naturalized</w:t>
      </w:r>
      <w:r w:rsidR="002C38D2" w:rsidRPr="00860DA2">
        <w:rPr>
          <w:iCs/>
          <w:noProof/>
          <w:u w:val="single"/>
        </w:rPr>
        <w:t>: Bridges Between Virtue Epistemology and Philosophy of Science</w:t>
      </w:r>
      <w:r w:rsidRPr="00860DA2">
        <w:rPr>
          <w:noProof/>
        </w:rPr>
        <w:t xml:space="preserve">, </w:t>
      </w:r>
      <w:r w:rsidR="0042293C" w:rsidRPr="00860DA2">
        <w:rPr>
          <w:noProof/>
        </w:rPr>
        <w:t>ed</w:t>
      </w:r>
      <w:r w:rsidR="005605FD" w:rsidRPr="00860DA2">
        <w:rPr>
          <w:noProof/>
        </w:rPr>
        <w:t>.</w:t>
      </w:r>
      <w:r w:rsidR="002C38D2" w:rsidRPr="00860DA2">
        <w:rPr>
          <w:noProof/>
        </w:rPr>
        <w:t xml:space="preserve"> Abrol Fairweather</w:t>
      </w:r>
      <w:r w:rsidRPr="00860DA2">
        <w:rPr>
          <w:noProof/>
        </w:rPr>
        <w:t xml:space="preserve"> </w:t>
      </w:r>
      <w:r w:rsidR="005605FD" w:rsidRPr="00860DA2">
        <w:rPr>
          <w:noProof/>
        </w:rPr>
        <w:t>(</w:t>
      </w:r>
      <w:r w:rsidR="002C38D2" w:rsidRPr="00860DA2">
        <w:rPr>
          <w:noProof/>
        </w:rPr>
        <w:t>Dordrecht</w:t>
      </w:r>
      <w:r w:rsidRPr="00860DA2">
        <w:rPr>
          <w:noProof/>
        </w:rPr>
        <w:t>: Springer International Publishing</w:t>
      </w:r>
      <w:r w:rsidR="005605FD" w:rsidRPr="00860DA2">
        <w:rPr>
          <w:noProof/>
        </w:rPr>
        <w:t>) pp. 13-31</w:t>
      </w:r>
      <w:r w:rsidRPr="00860DA2">
        <w:rPr>
          <w:noProof/>
        </w:rPr>
        <w:t>.</w:t>
      </w:r>
    </w:p>
    <w:p w14:paraId="1A8A3351" w14:textId="1BB4AFEF"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2017. “Normal Circumstances Reliabilism: Goldman on Reliability and Justified Belief</w:t>
      </w:r>
      <w:r w:rsidR="00940047" w:rsidRPr="00860DA2">
        <w:rPr>
          <w:noProof/>
        </w:rPr>
        <w:t>,</w:t>
      </w:r>
      <w:r w:rsidR="002C38D2" w:rsidRPr="00860DA2">
        <w:rPr>
          <w:noProof/>
        </w:rPr>
        <w:t>"</w:t>
      </w:r>
      <w:r w:rsidRPr="00860DA2">
        <w:rPr>
          <w:noProof/>
        </w:rPr>
        <w:t xml:space="preserve"> </w:t>
      </w:r>
      <w:r w:rsidRPr="00860DA2">
        <w:rPr>
          <w:noProof/>
          <w:u w:val="single"/>
        </w:rPr>
        <w:t>Philosophical Topics</w:t>
      </w:r>
      <w:r w:rsidR="001967B4" w:rsidRPr="00860DA2">
        <w:rPr>
          <w:noProof/>
        </w:rPr>
        <w:t xml:space="preserve">, </w:t>
      </w:r>
      <w:r w:rsidR="001967B4" w:rsidRPr="00860DA2">
        <w:t>vol.</w:t>
      </w:r>
      <w:r w:rsidRPr="00860DA2">
        <w:rPr>
          <w:noProof/>
        </w:rPr>
        <w:t xml:space="preserve"> 25</w:t>
      </w:r>
      <w:r w:rsidR="008F4B54" w:rsidRPr="00860DA2">
        <w:rPr>
          <w:noProof/>
        </w:rPr>
        <w:t xml:space="preserve">, pp. </w:t>
      </w:r>
      <w:r w:rsidRPr="00860DA2">
        <w:rPr>
          <w:noProof/>
        </w:rPr>
        <w:t>33–61.</w:t>
      </w:r>
    </w:p>
    <w:p w14:paraId="42DF5A3B" w14:textId="63978F8F"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2018. “Sincerity and the Reliability of Testimony: Burge on the A Priori Basis of Testimonial Warrant</w:t>
      </w:r>
      <w:r w:rsidR="00940047" w:rsidRPr="00860DA2">
        <w:rPr>
          <w:noProof/>
        </w:rPr>
        <w:t>,</w:t>
      </w:r>
      <w:r w:rsidRPr="00860DA2">
        <w:rPr>
          <w:noProof/>
        </w:rPr>
        <w:t xml:space="preserve">” </w:t>
      </w:r>
      <w:r w:rsidR="008F4B54" w:rsidRPr="00860DA2">
        <w:rPr>
          <w:noProof/>
        </w:rPr>
        <w:t>i</w:t>
      </w:r>
      <w:r w:rsidRPr="00860DA2">
        <w:rPr>
          <w:noProof/>
        </w:rPr>
        <w:t xml:space="preserve">n </w:t>
      </w:r>
      <w:r w:rsidRPr="00860DA2">
        <w:rPr>
          <w:iCs/>
          <w:noProof/>
          <w:u w:val="single"/>
        </w:rPr>
        <w:t>Lying: Knowledge, Language, Ethics, Politics</w:t>
      </w:r>
      <w:r w:rsidRPr="00860DA2">
        <w:rPr>
          <w:noProof/>
        </w:rPr>
        <w:t xml:space="preserve">, </w:t>
      </w:r>
      <w:r w:rsidR="0042293C" w:rsidRPr="00860DA2">
        <w:rPr>
          <w:noProof/>
        </w:rPr>
        <w:t>ed.</w:t>
      </w:r>
      <w:r w:rsidRPr="00860DA2">
        <w:rPr>
          <w:noProof/>
        </w:rPr>
        <w:t xml:space="preserve"> Eliot Michaelson and Andreas Stokke </w:t>
      </w:r>
      <w:r w:rsidR="008F4B54" w:rsidRPr="00860DA2">
        <w:rPr>
          <w:noProof/>
        </w:rPr>
        <w:t>(</w:t>
      </w:r>
      <w:r w:rsidRPr="00860DA2">
        <w:rPr>
          <w:noProof/>
        </w:rPr>
        <w:t>Oxford, UK: Oxford University Press</w:t>
      </w:r>
      <w:r w:rsidR="008F4B54" w:rsidRPr="00860DA2">
        <w:rPr>
          <w:noProof/>
        </w:rPr>
        <w:t>), pp. 85-112</w:t>
      </w:r>
      <w:r w:rsidRPr="00860DA2">
        <w:rPr>
          <w:noProof/>
        </w:rPr>
        <w:t>.</w:t>
      </w:r>
    </w:p>
    <w:p w14:paraId="0D955EEE" w14:textId="6B5B9ADD"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2019. “Why Should Warrant Persist in Demon Worlds?” </w:t>
      </w:r>
      <w:r w:rsidR="00A914CF"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 </w:t>
      </w:r>
      <w:r w:rsidR="00A914CF" w:rsidRPr="00860DA2">
        <w:rPr>
          <w:noProof/>
        </w:rPr>
        <w:t>(</w:t>
      </w:r>
      <w:r w:rsidRPr="00860DA2">
        <w:rPr>
          <w:noProof/>
        </w:rPr>
        <w:t>Oxford, UK: Oxford University Press</w:t>
      </w:r>
      <w:r w:rsidR="00A914CF" w:rsidRPr="00860DA2">
        <w:rPr>
          <w:noProof/>
        </w:rPr>
        <w:t>)</w:t>
      </w:r>
      <w:r w:rsidRPr="00860DA2">
        <w:rPr>
          <w:noProof/>
        </w:rPr>
        <w:t>.</w:t>
      </w:r>
    </w:p>
    <w:p w14:paraId="36678D9A" w14:textId="41DBEE9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in-press a. “Testimony and the Scope of the A Priori</w:t>
      </w:r>
      <w:r w:rsidR="00940047" w:rsidRPr="00860DA2">
        <w:rPr>
          <w:noProof/>
        </w:rPr>
        <w:t>,</w:t>
      </w:r>
      <w:r w:rsidRPr="00860DA2">
        <w:rPr>
          <w:noProof/>
        </w:rPr>
        <w:t xml:space="preserve">” </w:t>
      </w:r>
      <w:r w:rsidR="00A914CF" w:rsidRPr="00860DA2">
        <w:rPr>
          <w:noProof/>
        </w:rPr>
        <w:t>i</w:t>
      </w:r>
      <w:r w:rsidRPr="00860DA2">
        <w:rPr>
          <w:noProof/>
        </w:rPr>
        <w:t xml:space="preserve">n </w:t>
      </w:r>
      <w:r w:rsidRPr="00860DA2">
        <w:rPr>
          <w:iCs/>
          <w:noProof/>
          <w:u w:val="single"/>
        </w:rPr>
        <w:t>Beyond Sense? New Essays on the Significance, Grounds, and Extent of the A Priori</w:t>
      </w:r>
      <w:r w:rsidRPr="00860DA2">
        <w:rPr>
          <w:noProof/>
        </w:rPr>
        <w:t xml:space="preserve">, </w:t>
      </w:r>
      <w:r w:rsidR="00A914CF" w:rsidRPr="00860DA2">
        <w:rPr>
          <w:noProof/>
        </w:rPr>
        <w:t>e</w:t>
      </w:r>
      <w:r w:rsidR="0042293C" w:rsidRPr="00860DA2">
        <w:rPr>
          <w:noProof/>
        </w:rPr>
        <w:t>d.</w:t>
      </w:r>
      <w:r w:rsidRPr="00860DA2">
        <w:rPr>
          <w:noProof/>
        </w:rPr>
        <w:t xml:space="preserve"> </w:t>
      </w:r>
      <w:r w:rsidR="00A914CF" w:rsidRPr="00860DA2">
        <w:rPr>
          <w:noProof/>
        </w:rPr>
        <w:t>D</w:t>
      </w:r>
      <w:r w:rsidRPr="00860DA2">
        <w:rPr>
          <w:noProof/>
        </w:rPr>
        <w:t xml:space="preserve">ylan Dodd and Elia Zardini </w:t>
      </w:r>
      <w:r w:rsidR="00A914CF" w:rsidRPr="00860DA2">
        <w:rPr>
          <w:noProof/>
        </w:rPr>
        <w:t>(</w:t>
      </w:r>
      <w:r w:rsidRPr="00860DA2">
        <w:rPr>
          <w:noProof/>
        </w:rPr>
        <w:t>Oxford, UK: Oxford University Press</w:t>
      </w:r>
      <w:r w:rsidR="00A914CF" w:rsidRPr="00860DA2">
        <w:rPr>
          <w:noProof/>
        </w:rPr>
        <w:t>)</w:t>
      </w:r>
      <w:r w:rsidRPr="00860DA2">
        <w:rPr>
          <w:noProof/>
        </w:rPr>
        <w:t>.</w:t>
      </w:r>
    </w:p>
    <w:p w14:paraId="3DB02F2D" w14:textId="2D5D6AFB" w:rsidR="003155DB" w:rsidRPr="00860DA2" w:rsidRDefault="003155DB" w:rsidP="00E53339">
      <w:pPr>
        <w:widowControl w:val="0"/>
        <w:autoSpaceDE w:val="0"/>
        <w:autoSpaceDN w:val="0"/>
        <w:adjustRightInd w:val="0"/>
        <w:spacing w:line="276" w:lineRule="auto"/>
        <w:ind w:left="480" w:hanging="480"/>
        <w:rPr>
          <w:noProof/>
        </w:rPr>
      </w:pPr>
      <w:r w:rsidRPr="00860DA2">
        <w:rPr>
          <w:noProof/>
        </w:rPr>
        <w:t>———. in-press b. “What Is Entitlement? Competence, Reasons, Inference, Access</w:t>
      </w:r>
      <w:r w:rsidR="00940047" w:rsidRPr="00860DA2">
        <w:rPr>
          <w:noProof/>
        </w:rPr>
        <w:t>,</w:t>
      </w:r>
      <w:r w:rsidRPr="00860DA2">
        <w:rPr>
          <w:noProof/>
        </w:rPr>
        <w:t xml:space="preserve">” </w:t>
      </w:r>
      <w:r w:rsidR="005605FD" w:rsidRPr="00860DA2">
        <w:rPr>
          <w:noProof/>
        </w:rPr>
        <w:t>i</w:t>
      </w:r>
      <w:r w:rsidRPr="00860DA2">
        <w:rPr>
          <w:noProof/>
        </w:rPr>
        <w:t xml:space="preserve">n </w:t>
      </w:r>
      <w:r w:rsidRPr="00860DA2">
        <w:rPr>
          <w:iCs/>
          <w:noProof/>
          <w:u w:val="single"/>
        </w:rPr>
        <w:t>Virtue Theoretic Epistemology</w:t>
      </w:r>
      <w:r w:rsidRPr="00860DA2">
        <w:rPr>
          <w:noProof/>
        </w:rPr>
        <w:t xml:space="preserve">, </w:t>
      </w:r>
      <w:r w:rsidR="0042293C" w:rsidRPr="00860DA2">
        <w:rPr>
          <w:noProof/>
        </w:rPr>
        <w:t>ed.</w:t>
      </w:r>
      <w:r w:rsidRPr="00860DA2">
        <w:rPr>
          <w:noProof/>
        </w:rPr>
        <w:t xml:space="preserve"> John Greco and Christoph Kelp</w:t>
      </w:r>
      <w:r w:rsidR="005605FD" w:rsidRPr="00860DA2">
        <w:rPr>
          <w:noProof/>
        </w:rPr>
        <w:t xml:space="preserve"> (</w:t>
      </w:r>
      <w:r w:rsidRPr="00860DA2">
        <w:rPr>
          <w:noProof/>
        </w:rPr>
        <w:t>New York: Cambridge University Press</w:t>
      </w:r>
      <w:r w:rsidR="005605FD" w:rsidRPr="00860DA2">
        <w:rPr>
          <w:noProof/>
        </w:rPr>
        <w:t>)</w:t>
      </w:r>
      <w:r w:rsidRPr="00860DA2">
        <w:rPr>
          <w:noProof/>
        </w:rPr>
        <w:t>.</w:t>
      </w:r>
    </w:p>
    <w:p w14:paraId="2B0EB035" w14:textId="21320032" w:rsidR="003155DB" w:rsidRPr="00860DA2" w:rsidRDefault="003155DB" w:rsidP="00E53339">
      <w:pPr>
        <w:widowControl w:val="0"/>
        <w:autoSpaceDE w:val="0"/>
        <w:autoSpaceDN w:val="0"/>
        <w:adjustRightInd w:val="0"/>
        <w:spacing w:line="276" w:lineRule="auto"/>
        <w:ind w:left="480" w:hanging="480"/>
        <w:rPr>
          <w:noProof/>
        </w:rPr>
      </w:pPr>
      <w:r w:rsidRPr="00860DA2">
        <w:rPr>
          <w:noProof/>
        </w:rPr>
        <w:t>Graham, Peter J., and Nikolaj Jang Lee Linding Pedersen</w:t>
      </w:r>
      <w:r w:rsidR="005605FD" w:rsidRPr="00860DA2">
        <w:rPr>
          <w:noProof/>
        </w:rPr>
        <w:t>, ed</w:t>
      </w:r>
      <w:r w:rsidRPr="00860DA2">
        <w:rPr>
          <w:noProof/>
        </w:rPr>
        <w:t xml:space="preserve">. 2019. </w:t>
      </w:r>
      <w:r w:rsidRPr="00860DA2">
        <w:rPr>
          <w:iCs/>
          <w:noProof/>
          <w:u w:val="single"/>
        </w:rPr>
        <w:t>Epistemic Entitlement</w:t>
      </w:r>
      <w:r w:rsidRPr="00860DA2">
        <w:rPr>
          <w:noProof/>
        </w:rPr>
        <w:t xml:space="preserve"> </w:t>
      </w:r>
      <w:r w:rsidR="005605FD" w:rsidRPr="00860DA2">
        <w:rPr>
          <w:noProof/>
        </w:rPr>
        <w:t>(</w:t>
      </w:r>
      <w:r w:rsidRPr="00860DA2">
        <w:rPr>
          <w:noProof/>
        </w:rPr>
        <w:t>Oxford, UK: Oxford University Press</w:t>
      </w:r>
      <w:r w:rsidR="005605FD" w:rsidRPr="00860DA2">
        <w:rPr>
          <w:noProof/>
        </w:rPr>
        <w:t>)</w:t>
      </w:r>
      <w:r w:rsidRPr="00860DA2">
        <w:rPr>
          <w:noProof/>
        </w:rPr>
        <w:t>.</w:t>
      </w:r>
    </w:p>
    <w:p w14:paraId="6D8AB971" w14:textId="298675FB" w:rsidR="003155DB" w:rsidRPr="00860DA2" w:rsidRDefault="003155DB" w:rsidP="00E53339">
      <w:pPr>
        <w:widowControl w:val="0"/>
        <w:autoSpaceDE w:val="0"/>
        <w:autoSpaceDN w:val="0"/>
        <w:adjustRightInd w:val="0"/>
        <w:spacing w:line="276" w:lineRule="auto"/>
        <w:ind w:left="480" w:hanging="480"/>
        <w:rPr>
          <w:noProof/>
        </w:rPr>
      </w:pPr>
      <w:r w:rsidRPr="00860DA2">
        <w:rPr>
          <w:noProof/>
        </w:rPr>
        <w:t>Greenough, Patrick. 2019. “Knowledge for Nothing</w:t>
      </w:r>
      <w:r w:rsidR="00940047" w:rsidRPr="00860DA2">
        <w:rPr>
          <w:noProof/>
        </w:rPr>
        <w:t>,</w:t>
      </w:r>
      <w:r w:rsidRPr="00860DA2">
        <w:rPr>
          <w:noProof/>
        </w:rPr>
        <w:t xml:space="preserve">” </w:t>
      </w:r>
      <w:r w:rsidR="0032784B"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w:t>
      </w:r>
      <w:r w:rsidR="0032784B" w:rsidRPr="00860DA2">
        <w:rPr>
          <w:noProof/>
        </w:rPr>
        <w:t xml:space="preserve"> (</w:t>
      </w:r>
      <w:r w:rsidRPr="00860DA2">
        <w:rPr>
          <w:noProof/>
        </w:rPr>
        <w:t>Oxford, UK: Oxford University Press</w:t>
      </w:r>
      <w:r w:rsidR="0032784B" w:rsidRPr="00860DA2">
        <w:rPr>
          <w:noProof/>
        </w:rPr>
        <w:t>)</w:t>
      </w:r>
      <w:r w:rsidRPr="00860DA2">
        <w:rPr>
          <w:noProof/>
        </w:rPr>
        <w:t>.</w:t>
      </w:r>
    </w:p>
    <w:p w14:paraId="7DF91C3B" w14:textId="2668F3C1" w:rsidR="003155DB" w:rsidRPr="00860DA2" w:rsidRDefault="003155DB" w:rsidP="00E53339">
      <w:pPr>
        <w:widowControl w:val="0"/>
        <w:autoSpaceDE w:val="0"/>
        <w:autoSpaceDN w:val="0"/>
        <w:adjustRightInd w:val="0"/>
        <w:spacing w:line="276" w:lineRule="auto"/>
        <w:ind w:left="480" w:hanging="480"/>
        <w:rPr>
          <w:noProof/>
        </w:rPr>
      </w:pPr>
      <w:r w:rsidRPr="00860DA2">
        <w:rPr>
          <w:noProof/>
        </w:rPr>
        <w:t>Jenkins, C. S. 2007. “Entitlement and Rationality</w:t>
      </w:r>
      <w:r w:rsidR="00940047" w:rsidRPr="00860DA2">
        <w:rPr>
          <w:noProof/>
        </w:rPr>
        <w:t>,</w:t>
      </w:r>
      <w:r w:rsidRPr="00860DA2">
        <w:rPr>
          <w:noProof/>
        </w:rPr>
        <w:t xml:space="preserve">” </w:t>
      </w:r>
      <w:r w:rsidRPr="00860DA2">
        <w:rPr>
          <w:iCs/>
          <w:noProof/>
          <w:u w:val="single"/>
        </w:rPr>
        <w:t>Synthese</w:t>
      </w:r>
      <w:r w:rsidR="001967B4" w:rsidRPr="00860DA2">
        <w:rPr>
          <w:iCs/>
          <w:noProof/>
        </w:rPr>
        <w:t xml:space="preserve">, </w:t>
      </w:r>
      <w:r w:rsidR="001967B4" w:rsidRPr="00860DA2">
        <w:t>vol.</w:t>
      </w:r>
      <w:r w:rsidRPr="00860DA2">
        <w:rPr>
          <w:noProof/>
        </w:rPr>
        <w:t xml:space="preserve"> 157</w:t>
      </w:r>
      <w:r w:rsidR="00531F18" w:rsidRPr="00860DA2">
        <w:rPr>
          <w:noProof/>
        </w:rPr>
        <w:t>, no. 1, pp.</w:t>
      </w:r>
      <w:r w:rsidRPr="00860DA2">
        <w:rPr>
          <w:noProof/>
        </w:rPr>
        <w:t xml:space="preserve"> 25–45.</w:t>
      </w:r>
    </w:p>
    <w:p w14:paraId="58BD111F" w14:textId="51C14190" w:rsidR="003155DB" w:rsidRPr="00860DA2" w:rsidRDefault="003155DB" w:rsidP="00E53339">
      <w:pPr>
        <w:widowControl w:val="0"/>
        <w:autoSpaceDE w:val="0"/>
        <w:autoSpaceDN w:val="0"/>
        <w:adjustRightInd w:val="0"/>
        <w:spacing w:line="276" w:lineRule="auto"/>
        <w:ind w:left="480" w:hanging="480"/>
        <w:rPr>
          <w:noProof/>
        </w:rPr>
      </w:pPr>
      <w:r w:rsidRPr="00860DA2">
        <w:rPr>
          <w:noProof/>
        </w:rPr>
        <w:t>Kornblith, Hilary. 2015. “The Role of Reasons in Epistemology</w:t>
      </w:r>
      <w:r w:rsidR="00940047" w:rsidRPr="00860DA2">
        <w:rPr>
          <w:noProof/>
        </w:rPr>
        <w:t>,</w:t>
      </w:r>
      <w:r w:rsidRPr="00860DA2">
        <w:rPr>
          <w:noProof/>
        </w:rPr>
        <w:t xml:space="preserve">” </w:t>
      </w:r>
      <w:r w:rsidRPr="00860DA2">
        <w:rPr>
          <w:iCs/>
          <w:noProof/>
          <w:u w:val="single"/>
        </w:rPr>
        <w:t>Episteme</w:t>
      </w:r>
      <w:r w:rsidR="001967B4" w:rsidRPr="00860DA2">
        <w:rPr>
          <w:iCs/>
          <w:noProof/>
        </w:rPr>
        <w:t xml:space="preserve">, </w:t>
      </w:r>
      <w:r w:rsidR="001967B4" w:rsidRPr="00860DA2">
        <w:t>vol.</w:t>
      </w:r>
      <w:r w:rsidRPr="00860DA2">
        <w:rPr>
          <w:noProof/>
        </w:rPr>
        <w:t xml:space="preserve"> 12</w:t>
      </w:r>
      <w:r w:rsidR="00531F18" w:rsidRPr="00860DA2">
        <w:rPr>
          <w:noProof/>
        </w:rPr>
        <w:t>, no. 2, pp.</w:t>
      </w:r>
      <w:r w:rsidRPr="00860DA2">
        <w:rPr>
          <w:noProof/>
        </w:rPr>
        <w:t xml:space="preserve"> 225–</w:t>
      </w:r>
      <w:r w:rsidR="001A0E40" w:rsidRPr="00860DA2">
        <w:rPr>
          <w:noProof/>
        </w:rPr>
        <w:t>2</w:t>
      </w:r>
      <w:r w:rsidRPr="00860DA2">
        <w:rPr>
          <w:noProof/>
        </w:rPr>
        <w:t>39.</w:t>
      </w:r>
    </w:p>
    <w:p w14:paraId="6846BEAE" w14:textId="7DFD14E4" w:rsidR="003155DB" w:rsidRPr="00860DA2" w:rsidRDefault="003155DB" w:rsidP="00E53339">
      <w:pPr>
        <w:widowControl w:val="0"/>
        <w:autoSpaceDE w:val="0"/>
        <w:autoSpaceDN w:val="0"/>
        <w:adjustRightInd w:val="0"/>
        <w:spacing w:line="276" w:lineRule="auto"/>
        <w:ind w:left="480" w:hanging="480"/>
        <w:rPr>
          <w:noProof/>
        </w:rPr>
      </w:pPr>
      <w:r w:rsidRPr="00860DA2">
        <w:rPr>
          <w:noProof/>
        </w:rPr>
        <w:lastRenderedPageBreak/>
        <w:t>Kusch, Martin. 2017. “Epistemic Pluralism and Relativism</w:t>
      </w:r>
      <w:r w:rsidR="00940047" w:rsidRPr="00860DA2">
        <w:rPr>
          <w:noProof/>
        </w:rPr>
        <w:t>,</w:t>
      </w:r>
      <w:r w:rsidRPr="00860DA2">
        <w:rPr>
          <w:noProof/>
        </w:rPr>
        <w:t xml:space="preserve">” </w:t>
      </w:r>
      <w:r w:rsidR="005605FD" w:rsidRPr="00860DA2">
        <w:rPr>
          <w:noProof/>
        </w:rPr>
        <w:t>i</w:t>
      </w:r>
      <w:r w:rsidRPr="00860DA2">
        <w:rPr>
          <w:noProof/>
        </w:rPr>
        <w:t xml:space="preserve">n </w:t>
      </w:r>
      <w:r w:rsidRPr="00860DA2">
        <w:rPr>
          <w:iCs/>
          <w:noProof/>
          <w:u w:val="single"/>
        </w:rPr>
        <w:t>Epistemic Pluralism</w:t>
      </w:r>
      <w:r w:rsidRPr="00860DA2">
        <w:rPr>
          <w:noProof/>
        </w:rPr>
        <w:t xml:space="preserve">, </w:t>
      </w:r>
      <w:r w:rsidR="0042293C" w:rsidRPr="00860DA2">
        <w:rPr>
          <w:noProof/>
        </w:rPr>
        <w:t>ed.</w:t>
      </w:r>
      <w:r w:rsidRPr="00860DA2">
        <w:rPr>
          <w:noProof/>
        </w:rPr>
        <w:t xml:space="preserve"> Annalisa Coliva and Nikolaj Jang Lee Linding Pedersen </w:t>
      </w:r>
      <w:r w:rsidR="005605FD" w:rsidRPr="00860DA2">
        <w:rPr>
          <w:noProof/>
        </w:rPr>
        <w:t xml:space="preserve">(London: </w:t>
      </w:r>
      <w:r w:rsidRPr="00860DA2">
        <w:rPr>
          <w:noProof/>
        </w:rPr>
        <w:t>Palgrave Macmillan</w:t>
      </w:r>
      <w:r w:rsidR="005605FD" w:rsidRPr="00860DA2">
        <w:rPr>
          <w:noProof/>
        </w:rPr>
        <w:t>), pp. 203-228</w:t>
      </w:r>
      <w:r w:rsidRPr="00860DA2">
        <w:rPr>
          <w:noProof/>
        </w:rPr>
        <w:t>.</w:t>
      </w:r>
    </w:p>
    <w:p w14:paraId="7D0E130A" w14:textId="147190F2" w:rsidR="003155DB" w:rsidRDefault="003155DB" w:rsidP="00E53339">
      <w:pPr>
        <w:widowControl w:val="0"/>
        <w:autoSpaceDE w:val="0"/>
        <w:autoSpaceDN w:val="0"/>
        <w:adjustRightInd w:val="0"/>
        <w:spacing w:line="276" w:lineRule="auto"/>
        <w:ind w:left="480" w:hanging="480"/>
        <w:rPr>
          <w:noProof/>
        </w:rPr>
      </w:pPr>
      <w:r w:rsidRPr="00860DA2">
        <w:rPr>
          <w:noProof/>
        </w:rPr>
        <w:t>Littlejohn, Clayton. 2013. “The Russellian Retreat</w:t>
      </w:r>
      <w:r w:rsidR="00940047" w:rsidRPr="00860DA2">
        <w:rPr>
          <w:noProof/>
        </w:rPr>
        <w:t>,</w:t>
      </w:r>
      <w:r w:rsidRPr="00860DA2">
        <w:rPr>
          <w:noProof/>
        </w:rPr>
        <w:t xml:space="preserve">” </w:t>
      </w:r>
      <w:r w:rsidRPr="00860DA2">
        <w:rPr>
          <w:iCs/>
          <w:noProof/>
          <w:u w:val="single"/>
        </w:rPr>
        <w:t>Proceedings of the Aristotelian Society</w:t>
      </w:r>
      <w:r w:rsidR="001967B4" w:rsidRPr="00860DA2">
        <w:rPr>
          <w:iCs/>
          <w:noProof/>
        </w:rPr>
        <w:t xml:space="preserve">, </w:t>
      </w:r>
      <w:r w:rsidR="001967B4" w:rsidRPr="00860DA2">
        <w:t>vol.</w:t>
      </w:r>
      <w:r w:rsidRPr="00860DA2">
        <w:rPr>
          <w:noProof/>
        </w:rPr>
        <w:t xml:space="preserve"> 113</w:t>
      </w:r>
      <w:r w:rsidR="001A0E40" w:rsidRPr="00860DA2">
        <w:rPr>
          <w:noProof/>
        </w:rPr>
        <w:t>, pp.</w:t>
      </w:r>
      <w:r w:rsidRPr="00860DA2">
        <w:rPr>
          <w:noProof/>
        </w:rPr>
        <w:t xml:space="preserve"> 293–320. </w:t>
      </w:r>
    </w:p>
    <w:p w14:paraId="63D24AD6" w14:textId="77C2E920" w:rsidR="008B3E58" w:rsidRPr="00860DA2" w:rsidRDefault="008B3E58" w:rsidP="00E53339">
      <w:pPr>
        <w:widowControl w:val="0"/>
        <w:autoSpaceDE w:val="0"/>
        <w:autoSpaceDN w:val="0"/>
        <w:adjustRightInd w:val="0"/>
        <w:spacing w:line="276" w:lineRule="auto"/>
        <w:ind w:left="480" w:hanging="480"/>
        <w:rPr>
          <w:noProof/>
        </w:rPr>
      </w:pPr>
      <w:r>
        <w:rPr>
          <w:noProof/>
        </w:rPr>
        <w:t xml:space="preserve">Lyons, Jack. 2009. </w:t>
      </w:r>
      <w:r w:rsidRPr="005E091B">
        <w:rPr>
          <w:noProof/>
          <w:u w:val="single"/>
        </w:rPr>
        <w:t>Perception and Basic Beliefs</w:t>
      </w:r>
      <w:r>
        <w:rPr>
          <w:noProof/>
        </w:rPr>
        <w:t xml:space="preserve"> (Oxford, UK: Oxford University Press).</w:t>
      </w:r>
    </w:p>
    <w:p w14:paraId="1FFD742D" w14:textId="2798DF48" w:rsidR="003155DB" w:rsidRPr="00860DA2" w:rsidRDefault="003155DB" w:rsidP="00E53339">
      <w:pPr>
        <w:widowControl w:val="0"/>
        <w:autoSpaceDE w:val="0"/>
        <w:autoSpaceDN w:val="0"/>
        <w:adjustRightInd w:val="0"/>
        <w:spacing w:line="276" w:lineRule="auto"/>
        <w:ind w:left="480" w:hanging="480"/>
        <w:rPr>
          <w:noProof/>
        </w:rPr>
      </w:pPr>
      <w:r w:rsidRPr="00860DA2">
        <w:rPr>
          <w:noProof/>
        </w:rPr>
        <w:t>Majors, Brad. 2015. “What Entitlement Is</w:t>
      </w:r>
      <w:r w:rsidR="00940047" w:rsidRPr="00860DA2">
        <w:rPr>
          <w:noProof/>
        </w:rPr>
        <w:t>,</w:t>
      </w:r>
      <w:r w:rsidRPr="00860DA2">
        <w:rPr>
          <w:noProof/>
        </w:rPr>
        <w:t xml:space="preserve">” </w:t>
      </w:r>
      <w:r w:rsidRPr="00860DA2">
        <w:rPr>
          <w:iCs/>
          <w:noProof/>
          <w:u w:val="single"/>
        </w:rPr>
        <w:t>Acta Analytica</w:t>
      </w:r>
      <w:r w:rsidR="001967B4" w:rsidRPr="00860DA2">
        <w:rPr>
          <w:iCs/>
          <w:noProof/>
        </w:rPr>
        <w:t xml:space="preserve">, </w:t>
      </w:r>
      <w:r w:rsidR="001967B4" w:rsidRPr="00860DA2">
        <w:t>vol.</w:t>
      </w:r>
      <w:r w:rsidRPr="00860DA2">
        <w:rPr>
          <w:noProof/>
        </w:rPr>
        <w:t xml:space="preserve"> 30</w:t>
      </w:r>
      <w:r w:rsidR="001A0E40" w:rsidRPr="00860DA2">
        <w:rPr>
          <w:noProof/>
        </w:rPr>
        <w:t>, no. 4, pp.</w:t>
      </w:r>
      <w:r w:rsidRPr="00860DA2">
        <w:rPr>
          <w:noProof/>
        </w:rPr>
        <w:t xml:space="preserve"> 363–</w:t>
      </w:r>
      <w:r w:rsidR="001A0E40" w:rsidRPr="00860DA2">
        <w:rPr>
          <w:noProof/>
        </w:rPr>
        <w:t>3</w:t>
      </w:r>
      <w:r w:rsidRPr="00860DA2">
        <w:rPr>
          <w:noProof/>
        </w:rPr>
        <w:t xml:space="preserve">87. </w:t>
      </w:r>
    </w:p>
    <w:p w14:paraId="595E9A78" w14:textId="7777777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Majors, Brad. in-preparation. </w:t>
      </w:r>
      <w:r w:rsidRPr="00860DA2">
        <w:rPr>
          <w:noProof/>
          <w:u w:val="single"/>
        </w:rPr>
        <w:t>Representation, Intellection, and Natural Norms: The Philosophy of Tyler Burge</w:t>
      </w:r>
      <w:r w:rsidRPr="00860DA2">
        <w:rPr>
          <w:noProof/>
        </w:rPr>
        <w:t>.</w:t>
      </w:r>
    </w:p>
    <w:p w14:paraId="1D58C94F" w14:textId="316CC078" w:rsidR="003155DB" w:rsidRPr="00860DA2" w:rsidRDefault="003155DB" w:rsidP="00E53339">
      <w:pPr>
        <w:widowControl w:val="0"/>
        <w:autoSpaceDE w:val="0"/>
        <w:autoSpaceDN w:val="0"/>
        <w:adjustRightInd w:val="0"/>
        <w:spacing w:line="276" w:lineRule="auto"/>
        <w:ind w:left="480" w:hanging="480"/>
        <w:rPr>
          <w:noProof/>
        </w:rPr>
      </w:pPr>
      <w:r w:rsidRPr="00860DA2">
        <w:rPr>
          <w:noProof/>
        </w:rPr>
        <w:t>Malmgren, Anna-Sara. 2013. “A Priori Testimony Revisited</w:t>
      </w:r>
      <w:r w:rsidR="00940047" w:rsidRPr="00860DA2">
        <w:rPr>
          <w:noProof/>
        </w:rPr>
        <w:t>,</w:t>
      </w:r>
      <w:r w:rsidRPr="00860DA2">
        <w:rPr>
          <w:noProof/>
        </w:rPr>
        <w:t xml:space="preserve">” </w:t>
      </w:r>
      <w:r w:rsidR="005605FD" w:rsidRPr="00860DA2">
        <w:rPr>
          <w:noProof/>
        </w:rPr>
        <w:t>i</w:t>
      </w:r>
      <w:r w:rsidRPr="00860DA2">
        <w:rPr>
          <w:noProof/>
        </w:rPr>
        <w:t xml:space="preserve">n </w:t>
      </w:r>
      <w:r w:rsidRPr="00860DA2">
        <w:rPr>
          <w:iCs/>
          <w:noProof/>
          <w:u w:val="single"/>
        </w:rPr>
        <w:t>The A Priori in Philosophy</w:t>
      </w:r>
      <w:r w:rsidRPr="00860DA2">
        <w:rPr>
          <w:noProof/>
        </w:rPr>
        <w:t xml:space="preserve">, </w:t>
      </w:r>
      <w:r w:rsidR="0042293C" w:rsidRPr="00860DA2">
        <w:rPr>
          <w:noProof/>
        </w:rPr>
        <w:t>eds.</w:t>
      </w:r>
      <w:r w:rsidRPr="00860DA2">
        <w:rPr>
          <w:noProof/>
        </w:rPr>
        <w:t xml:space="preserve"> Joshua Thurlow and Albert Casullo</w:t>
      </w:r>
      <w:r w:rsidR="005605FD" w:rsidRPr="00860DA2">
        <w:rPr>
          <w:noProof/>
        </w:rPr>
        <w:t xml:space="preserve"> (Oxford, UK: Oxford University Press), pp. 158-185.</w:t>
      </w:r>
    </w:p>
    <w:p w14:paraId="722F9BC3" w14:textId="2A3EE82C"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2018. “Varities of Inference?” </w:t>
      </w:r>
      <w:r w:rsidRPr="00860DA2">
        <w:rPr>
          <w:iCs/>
          <w:noProof/>
          <w:u w:val="single"/>
        </w:rPr>
        <w:t>Philosophical Issues</w:t>
      </w:r>
      <w:r w:rsidR="001967B4" w:rsidRPr="00860DA2">
        <w:rPr>
          <w:iCs/>
          <w:noProof/>
        </w:rPr>
        <w:t xml:space="preserve">, </w:t>
      </w:r>
      <w:r w:rsidR="001967B4" w:rsidRPr="00860DA2">
        <w:t>vol.</w:t>
      </w:r>
      <w:r w:rsidRPr="00860DA2">
        <w:rPr>
          <w:noProof/>
        </w:rPr>
        <w:t xml:space="preserve"> 28</w:t>
      </w:r>
      <w:r w:rsidR="00D125C6" w:rsidRPr="00860DA2">
        <w:rPr>
          <w:noProof/>
        </w:rPr>
        <w:t>, no. 1, pp.</w:t>
      </w:r>
      <w:r w:rsidRPr="00860DA2">
        <w:rPr>
          <w:noProof/>
        </w:rPr>
        <w:t xml:space="preserve"> 221–</w:t>
      </w:r>
      <w:r w:rsidR="00D125C6" w:rsidRPr="00860DA2">
        <w:rPr>
          <w:noProof/>
        </w:rPr>
        <w:t>2</w:t>
      </w:r>
      <w:r w:rsidRPr="00860DA2">
        <w:rPr>
          <w:noProof/>
        </w:rPr>
        <w:t xml:space="preserve">54. </w:t>
      </w:r>
    </w:p>
    <w:p w14:paraId="27776D4B" w14:textId="4A5DB879" w:rsidR="003155DB" w:rsidRPr="00860DA2" w:rsidRDefault="003155DB" w:rsidP="00E53339">
      <w:pPr>
        <w:widowControl w:val="0"/>
        <w:autoSpaceDE w:val="0"/>
        <w:autoSpaceDN w:val="0"/>
        <w:adjustRightInd w:val="0"/>
        <w:spacing w:line="276" w:lineRule="auto"/>
        <w:ind w:left="480" w:hanging="480"/>
        <w:rPr>
          <w:noProof/>
        </w:rPr>
      </w:pPr>
      <w:r w:rsidRPr="00860DA2">
        <w:rPr>
          <w:noProof/>
        </w:rPr>
        <w:t>Matheson, David. 2011. “How to Be an Epistemic Pluralist</w:t>
      </w:r>
      <w:r w:rsidR="00940047" w:rsidRPr="00860DA2">
        <w:rPr>
          <w:noProof/>
        </w:rPr>
        <w:t>,</w:t>
      </w:r>
      <w:r w:rsidRPr="00860DA2">
        <w:rPr>
          <w:noProof/>
        </w:rPr>
        <w:t xml:space="preserve">”  </w:t>
      </w:r>
      <w:r w:rsidRPr="00860DA2">
        <w:rPr>
          <w:noProof/>
          <w:u w:val="single"/>
        </w:rPr>
        <w:t>Dialogue</w:t>
      </w:r>
      <w:r w:rsidR="001967B4" w:rsidRPr="00860DA2">
        <w:rPr>
          <w:noProof/>
        </w:rPr>
        <w:t xml:space="preserve">, </w:t>
      </w:r>
      <w:r w:rsidR="001967B4" w:rsidRPr="00860DA2">
        <w:t>vol.</w:t>
      </w:r>
      <w:r w:rsidRPr="00860DA2">
        <w:rPr>
          <w:noProof/>
        </w:rPr>
        <w:t xml:space="preserve"> 5</w:t>
      </w:r>
      <w:r w:rsidR="00D125C6" w:rsidRPr="00860DA2">
        <w:rPr>
          <w:noProof/>
        </w:rPr>
        <w:t>0, no. 2, pp.</w:t>
      </w:r>
      <w:r w:rsidRPr="00860DA2">
        <w:rPr>
          <w:noProof/>
        </w:rPr>
        <w:t xml:space="preserve"> 391-405.</w:t>
      </w:r>
    </w:p>
    <w:p w14:paraId="2BA8ADFD" w14:textId="2EF5DD57" w:rsidR="003155DB" w:rsidRPr="00860DA2" w:rsidRDefault="003155DB" w:rsidP="00E53339">
      <w:pPr>
        <w:widowControl w:val="0"/>
        <w:autoSpaceDE w:val="0"/>
        <w:autoSpaceDN w:val="0"/>
        <w:adjustRightInd w:val="0"/>
        <w:spacing w:line="276" w:lineRule="auto"/>
        <w:ind w:left="480" w:hanging="480"/>
        <w:rPr>
          <w:noProof/>
        </w:rPr>
      </w:pPr>
      <w:r w:rsidRPr="00860DA2">
        <w:rPr>
          <w:noProof/>
        </w:rPr>
        <w:t>McDowell, John. 2008. “Avoiding the Myth of the Given</w:t>
      </w:r>
      <w:r w:rsidR="00940047" w:rsidRPr="00860DA2">
        <w:rPr>
          <w:noProof/>
        </w:rPr>
        <w:t>,</w:t>
      </w:r>
      <w:r w:rsidRPr="00860DA2">
        <w:rPr>
          <w:noProof/>
        </w:rPr>
        <w:t xml:space="preserve">” </w:t>
      </w:r>
      <w:r w:rsidR="005605FD" w:rsidRPr="00860DA2">
        <w:rPr>
          <w:noProof/>
        </w:rPr>
        <w:t>i</w:t>
      </w:r>
      <w:r w:rsidRPr="00860DA2">
        <w:rPr>
          <w:noProof/>
        </w:rPr>
        <w:t xml:space="preserve">n his </w:t>
      </w:r>
      <w:r w:rsidRPr="00860DA2">
        <w:rPr>
          <w:noProof/>
          <w:u w:val="single"/>
        </w:rPr>
        <w:t>Having the World in View: Essays on Kant, Hegel, and Sellars</w:t>
      </w:r>
      <w:r w:rsidR="005605FD" w:rsidRPr="00860DA2">
        <w:rPr>
          <w:noProof/>
        </w:rPr>
        <w:t xml:space="preserve"> (</w:t>
      </w:r>
      <w:r w:rsidRPr="00860DA2">
        <w:rPr>
          <w:noProof/>
        </w:rPr>
        <w:t xml:space="preserve">Cambridge, </w:t>
      </w:r>
      <w:r w:rsidR="005605FD" w:rsidRPr="00860DA2">
        <w:rPr>
          <w:noProof/>
        </w:rPr>
        <w:t>MA</w:t>
      </w:r>
      <w:r w:rsidRPr="00860DA2">
        <w:rPr>
          <w:noProof/>
        </w:rPr>
        <w:t>: Harvard University Press</w:t>
      </w:r>
      <w:r w:rsidR="005605FD" w:rsidRPr="00860DA2">
        <w:rPr>
          <w:noProof/>
        </w:rPr>
        <w:t>) pp</w:t>
      </w:r>
      <w:r w:rsidRPr="00860DA2">
        <w:rPr>
          <w:noProof/>
        </w:rPr>
        <w:t>.</w:t>
      </w:r>
      <w:r w:rsidR="005605FD" w:rsidRPr="00860DA2">
        <w:rPr>
          <w:noProof/>
        </w:rPr>
        <w:t xml:space="preserve"> 256–273.</w:t>
      </w:r>
    </w:p>
    <w:p w14:paraId="0127914A" w14:textId="3EC9EB82"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2011. </w:t>
      </w:r>
      <w:r w:rsidRPr="00860DA2">
        <w:rPr>
          <w:noProof/>
          <w:u w:val="single"/>
        </w:rPr>
        <w:t>Perception as a Capacity for Knowledge</w:t>
      </w:r>
      <w:r w:rsidR="005605FD" w:rsidRPr="00860DA2">
        <w:rPr>
          <w:noProof/>
        </w:rPr>
        <w:t xml:space="preserve"> (</w:t>
      </w:r>
      <w:r w:rsidRPr="00860DA2">
        <w:rPr>
          <w:noProof/>
        </w:rPr>
        <w:t xml:space="preserve">Milwaukee, </w:t>
      </w:r>
      <w:r w:rsidR="005605FD" w:rsidRPr="00860DA2">
        <w:rPr>
          <w:noProof/>
        </w:rPr>
        <w:t>WI</w:t>
      </w:r>
      <w:r w:rsidRPr="00860DA2">
        <w:rPr>
          <w:noProof/>
        </w:rPr>
        <w:t>: Marquette University Press</w:t>
      </w:r>
      <w:r w:rsidR="005605FD" w:rsidRPr="00860DA2">
        <w:rPr>
          <w:noProof/>
        </w:rPr>
        <w:t>)</w:t>
      </w:r>
      <w:r w:rsidRPr="00860DA2">
        <w:rPr>
          <w:noProof/>
        </w:rPr>
        <w:t>.</w:t>
      </w:r>
    </w:p>
    <w:p w14:paraId="65FD7735" w14:textId="757B1B46"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2013. “Tyler Burge on Disjunctivism (II)</w:t>
      </w:r>
      <w:r w:rsidR="00940047" w:rsidRPr="00860DA2">
        <w:rPr>
          <w:noProof/>
        </w:rPr>
        <w:t>,</w:t>
      </w:r>
      <w:r w:rsidRPr="00860DA2">
        <w:rPr>
          <w:noProof/>
        </w:rPr>
        <w:t xml:space="preserve">” </w:t>
      </w:r>
      <w:r w:rsidRPr="00860DA2">
        <w:rPr>
          <w:iCs/>
          <w:noProof/>
          <w:u w:val="single"/>
        </w:rPr>
        <w:t>Philosophical Explorations</w:t>
      </w:r>
      <w:r w:rsidR="001967B4" w:rsidRPr="00860DA2">
        <w:rPr>
          <w:iCs/>
          <w:noProof/>
        </w:rPr>
        <w:t xml:space="preserve">, </w:t>
      </w:r>
      <w:r w:rsidR="001967B4" w:rsidRPr="00860DA2">
        <w:t>vol.</w:t>
      </w:r>
      <w:r w:rsidRPr="00860DA2">
        <w:rPr>
          <w:noProof/>
        </w:rPr>
        <w:t xml:space="preserve"> 16</w:t>
      </w:r>
      <w:r w:rsidR="006276FD" w:rsidRPr="00860DA2">
        <w:rPr>
          <w:noProof/>
        </w:rPr>
        <w:t>, no. 3, pp.</w:t>
      </w:r>
      <w:r w:rsidRPr="00860DA2">
        <w:rPr>
          <w:noProof/>
        </w:rPr>
        <w:t xml:space="preserve"> 259–</w:t>
      </w:r>
      <w:r w:rsidR="00D125C6" w:rsidRPr="00860DA2">
        <w:rPr>
          <w:noProof/>
        </w:rPr>
        <w:t>2</w:t>
      </w:r>
      <w:r w:rsidRPr="00860DA2">
        <w:rPr>
          <w:noProof/>
        </w:rPr>
        <w:t xml:space="preserve">79. </w:t>
      </w:r>
    </w:p>
    <w:p w14:paraId="47D3165A" w14:textId="49775861"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2018. “Perceptual Experience and Empirical Rationality</w:t>
      </w:r>
      <w:r w:rsidR="00940047" w:rsidRPr="00860DA2">
        <w:rPr>
          <w:noProof/>
        </w:rPr>
        <w:t>,</w:t>
      </w:r>
      <w:r w:rsidRPr="00860DA2">
        <w:rPr>
          <w:noProof/>
        </w:rPr>
        <w:t xml:space="preserve">” </w:t>
      </w:r>
      <w:r w:rsidRPr="00860DA2">
        <w:rPr>
          <w:iCs/>
          <w:noProof/>
          <w:u w:val="single"/>
        </w:rPr>
        <w:t>Analytic Philosophy</w:t>
      </w:r>
      <w:r w:rsidR="001967B4" w:rsidRPr="00860DA2">
        <w:rPr>
          <w:iCs/>
          <w:noProof/>
        </w:rPr>
        <w:t xml:space="preserve">, </w:t>
      </w:r>
      <w:r w:rsidR="001967B4" w:rsidRPr="00860DA2">
        <w:t>vol.</w:t>
      </w:r>
      <w:r w:rsidRPr="00860DA2">
        <w:rPr>
          <w:noProof/>
        </w:rPr>
        <w:t xml:space="preserve"> 59</w:t>
      </w:r>
      <w:r w:rsidR="006276FD" w:rsidRPr="00860DA2">
        <w:rPr>
          <w:noProof/>
        </w:rPr>
        <w:t>, no. 1, pp.</w:t>
      </w:r>
      <w:r w:rsidRPr="00860DA2">
        <w:rPr>
          <w:noProof/>
        </w:rPr>
        <w:t xml:space="preserve"> 89–98.</w:t>
      </w:r>
    </w:p>
    <w:p w14:paraId="080D67CB" w14:textId="02864FD8" w:rsidR="003155DB" w:rsidRPr="00860DA2" w:rsidRDefault="003155DB" w:rsidP="00E53339">
      <w:pPr>
        <w:widowControl w:val="0"/>
        <w:autoSpaceDE w:val="0"/>
        <w:autoSpaceDN w:val="0"/>
        <w:adjustRightInd w:val="0"/>
        <w:spacing w:line="276" w:lineRule="auto"/>
        <w:ind w:left="480" w:hanging="480"/>
        <w:rPr>
          <w:noProof/>
        </w:rPr>
      </w:pPr>
      <w:r w:rsidRPr="00860DA2">
        <w:rPr>
          <w:noProof/>
        </w:rPr>
        <w:t>McGlynn, Aidan. 2014. “On Epistemic Alchemy</w:t>
      </w:r>
      <w:r w:rsidR="00940047" w:rsidRPr="00860DA2">
        <w:rPr>
          <w:noProof/>
        </w:rPr>
        <w:t>,</w:t>
      </w:r>
      <w:r w:rsidRPr="00860DA2">
        <w:rPr>
          <w:noProof/>
        </w:rPr>
        <w:t xml:space="preserve">” </w:t>
      </w:r>
      <w:r w:rsidR="005605FD" w:rsidRPr="00860DA2">
        <w:rPr>
          <w:noProof/>
        </w:rPr>
        <w:t>i</w:t>
      </w:r>
      <w:r w:rsidRPr="00860DA2">
        <w:rPr>
          <w:noProof/>
        </w:rPr>
        <w:t xml:space="preserve">n </w:t>
      </w:r>
      <w:r w:rsidRPr="00860DA2">
        <w:rPr>
          <w:iCs/>
          <w:noProof/>
          <w:u w:val="single"/>
        </w:rPr>
        <w:t>Scepticism and Perceptual Justification</w:t>
      </w:r>
      <w:r w:rsidRPr="00860DA2">
        <w:rPr>
          <w:noProof/>
        </w:rPr>
        <w:t xml:space="preserve">, </w:t>
      </w:r>
      <w:r w:rsidR="0042293C" w:rsidRPr="00860DA2">
        <w:rPr>
          <w:noProof/>
        </w:rPr>
        <w:t>ed.</w:t>
      </w:r>
      <w:r w:rsidRPr="00860DA2">
        <w:rPr>
          <w:noProof/>
        </w:rPr>
        <w:t xml:space="preserve"> Dylan Dodd and Elia Zardin</w:t>
      </w:r>
      <w:r w:rsidR="005605FD" w:rsidRPr="00860DA2">
        <w:rPr>
          <w:noProof/>
        </w:rPr>
        <w:t>i (</w:t>
      </w:r>
      <w:r w:rsidRPr="00860DA2">
        <w:rPr>
          <w:noProof/>
        </w:rPr>
        <w:t>Oxford, UK: Oxford University Press</w:t>
      </w:r>
      <w:r w:rsidR="005605FD" w:rsidRPr="00860DA2">
        <w:rPr>
          <w:noProof/>
        </w:rPr>
        <w:t>), pp. 213-247.</w:t>
      </w:r>
    </w:p>
    <w:p w14:paraId="05539C35" w14:textId="75B1B355"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2017. “Epistemic Entitlement and the Leaching Problem</w:t>
      </w:r>
      <w:r w:rsidR="00940047" w:rsidRPr="00860DA2">
        <w:rPr>
          <w:noProof/>
        </w:rPr>
        <w:t>,</w:t>
      </w:r>
      <w:r w:rsidRPr="00860DA2">
        <w:rPr>
          <w:noProof/>
        </w:rPr>
        <w:t xml:space="preserve">” </w:t>
      </w:r>
      <w:r w:rsidRPr="00860DA2">
        <w:rPr>
          <w:iCs/>
          <w:noProof/>
          <w:u w:val="single"/>
        </w:rPr>
        <w:t>Episteme</w:t>
      </w:r>
      <w:r w:rsidR="001967B4" w:rsidRPr="00860DA2">
        <w:rPr>
          <w:iCs/>
          <w:noProof/>
        </w:rPr>
        <w:t xml:space="preserve">, </w:t>
      </w:r>
      <w:r w:rsidR="001967B4" w:rsidRPr="00860DA2">
        <w:t>vol.</w:t>
      </w:r>
      <w:r w:rsidRPr="00860DA2">
        <w:rPr>
          <w:noProof/>
        </w:rPr>
        <w:t xml:space="preserve"> 14</w:t>
      </w:r>
      <w:r w:rsidR="006276FD" w:rsidRPr="00860DA2">
        <w:rPr>
          <w:noProof/>
        </w:rPr>
        <w:t>, no. 1, pp.</w:t>
      </w:r>
      <w:r w:rsidRPr="00860DA2">
        <w:rPr>
          <w:noProof/>
        </w:rPr>
        <w:t xml:space="preserve"> 89–102. </w:t>
      </w:r>
    </w:p>
    <w:p w14:paraId="739C5F56" w14:textId="3D39C7FB"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2018. “‘This Is the Bad Case’: What Brains in Vats Can Know</w:t>
      </w:r>
      <w:r w:rsidR="00940047" w:rsidRPr="00860DA2">
        <w:rPr>
          <w:noProof/>
        </w:rPr>
        <w:t>,</w:t>
      </w:r>
      <w:r w:rsidRPr="00860DA2">
        <w:rPr>
          <w:noProof/>
        </w:rPr>
        <w:t xml:space="preserve">” </w:t>
      </w:r>
      <w:r w:rsidRPr="00860DA2">
        <w:rPr>
          <w:iCs/>
          <w:noProof/>
          <w:u w:val="single"/>
        </w:rPr>
        <w:t>Aristotelian Society Supplementary Volume</w:t>
      </w:r>
      <w:r w:rsidR="001967B4" w:rsidRPr="00860DA2">
        <w:rPr>
          <w:iCs/>
          <w:noProof/>
        </w:rPr>
        <w:t xml:space="preserve">, </w:t>
      </w:r>
      <w:r w:rsidR="001967B4" w:rsidRPr="00860DA2">
        <w:t>vol.</w:t>
      </w:r>
      <w:r w:rsidRPr="00860DA2">
        <w:rPr>
          <w:noProof/>
        </w:rPr>
        <w:t xml:space="preserve"> 92</w:t>
      </w:r>
      <w:r w:rsidR="006276FD" w:rsidRPr="00860DA2">
        <w:rPr>
          <w:noProof/>
        </w:rPr>
        <w:t>, no. 1, pp.</w:t>
      </w:r>
      <w:r w:rsidRPr="00860DA2">
        <w:rPr>
          <w:noProof/>
        </w:rPr>
        <w:t xml:space="preserve"> 183–205.</w:t>
      </w:r>
    </w:p>
    <w:p w14:paraId="51026E63" w14:textId="6CB9BB94"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Mercier, Hugo, and Dan Sperber. 2017. </w:t>
      </w:r>
      <w:r w:rsidRPr="00860DA2">
        <w:rPr>
          <w:iCs/>
          <w:noProof/>
          <w:u w:val="single"/>
        </w:rPr>
        <w:t>The Enigma of Reason</w:t>
      </w:r>
      <w:r w:rsidR="002C0EA5" w:rsidRPr="00860DA2">
        <w:rPr>
          <w:noProof/>
          <w:u w:val="single"/>
        </w:rPr>
        <w:t>: A New Theory of Human Understanding</w:t>
      </w:r>
      <w:r w:rsidR="006276FD" w:rsidRPr="00860DA2">
        <w:rPr>
          <w:noProof/>
          <w:u w:val="single"/>
        </w:rPr>
        <w:t xml:space="preserve"> (</w:t>
      </w:r>
      <w:r w:rsidRPr="00860DA2">
        <w:rPr>
          <w:noProof/>
        </w:rPr>
        <w:t>Cambridge, Massachusetts: Harvard University Press</w:t>
      </w:r>
      <w:r w:rsidR="006276FD" w:rsidRPr="00860DA2">
        <w:rPr>
          <w:noProof/>
        </w:rPr>
        <w:t>)</w:t>
      </w:r>
      <w:r w:rsidRPr="00860DA2">
        <w:rPr>
          <w:noProof/>
        </w:rPr>
        <w:t>.</w:t>
      </w:r>
    </w:p>
    <w:p w14:paraId="6551A773" w14:textId="41737121" w:rsidR="003155DB" w:rsidRPr="00860DA2" w:rsidRDefault="003155DB" w:rsidP="00E53339">
      <w:pPr>
        <w:widowControl w:val="0"/>
        <w:autoSpaceDE w:val="0"/>
        <w:autoSpaceDN w:val="0"/>
        <w:adjustRightInd w:val="0"/>
        <w:spacing w:line="276" w:lineRule="auto"/>
        <w:ind w:left="480" w:hanging="480"/>
        <w:rPr>
          <w:noProof/>
        </w:rPr>
      </w:pPr>
      <w:r w:rsidRPr="00860DA2">
        <w:rPr>
          <w:noProof/>
        </w:rPr>
        <w:t>Moretti, Luca. in-press. “Problems of Wright's Entitlement Theory</w:t>
      </w:r>
      <w:r w:rsidR="00940047" w:rsidRPr="00860DA2">
        <w:rPr>
          <w:noProof/>
        </w:rPr>
        <w:t>,</w:t>
      </w:r>
      <w:r w:rsidRPr="00860DA2">
        <w:rPr>
          <w:noProof/>
        </w:rPr>
        <w:t xml:space="preserve">” </w:t>
      </w:r>
      <w:r w:rsidR="00C47F80" w:rsidRPr="00860DA2">
        <w:rPr>
          <w:noProof/>
        </w:rPr>
        <w:t>i</w:t>
      </w:r>
      <w:r w:rsidRPr="00860DA2">
        <w:rPr>
          <w:noProof/>
        </w:rPr>
        <w:t xml:space="preserve">n </w:t>
      </w:r>
      <w:r w:rsidRPr="00860DA2">
        <w:rPr>
          <w:noProof/>
          <w:u w:val="single"/>
        </w:rPr>
        <w:t>Non-Evidentialist Epistemology</w:t>
      </w:r>
      <w:r w:rsidRPr="00860DA2">
        <w:rPr>
          <w:i/>
          <w:noProof/>
        </w:rPr>
        <w:t xml:space="preserve">, </w:t>
      </w:r>
      <w:r w:rsidR="0042293C" w:rsidRPr="00860DA2">
        <w:rPr>
          <w:noProof/>
        </w:rPr>
        <w:t>ed.</w:t>
      </w:r>
      <w:r w:rsidRPr="00860DA2">
        <w:rPr>
          <w:i/>
          <w:noProof/>
        </w:rPr>
        <w:t xml:space="preserve"> </w:t>
      </w:r>
      <w:r w:rsidRPr="00860DA2">
        <w:rPr>
          <w:noProof/>
        </w:rPr>
        <w:t xml:space="preserve">Luca Moretti and Nikolaj Jang Lee Linding Pedersen. </w:t>
      </w:r>
      <w:r w:rsidR="00D125C6" w:rsidRPr="00860DA2">
        <w:rPr>
          <w:noProof/>
        </w:rPr>
        <w:t xml:space="preserve">(Leiden: </w:t>
      </w:r>
      <w:r w:rsidRPr="00860DA2">
        <w:rPr>
          <w:noProof/>
        </w:rPr>
        <w:t>Brill Publishers</w:t>
      </w:r>
      <w:r w:rsidR="00D125C6" w:rsidRPr="00860DA2">
        <w:rPr>
          <w:noProof/>
        </w:rPr>
        <w:t>)</w:t>
      </w:r>
      <w:r w:rsidRPr="00860DA2">
        <w:rPr>
          <w:noProof/>
        </w:rPr>
        <w:t>.</w:t>
      </w:r>
    </w:p>
    <w:p w14:paraId="0891DEAB" w14:textId="2CBEBEFD" w:rsidR="003155DB" w:rsidRPr="00860DA2" w:rsidRDefault="003155DB" w:rsidP="00E53339">
      <w:pPr>
        <w:widowControl w:val="0"/>
        <w:autoSpaceDE w:val="0"/>
        <w:autoSpaceDN w:val="0"/>
        <w:adjustRightInd w:val="0"/>
        <w:spacing w:line="276" w:lineRule="auto"/>
        <w:ind w:left="480" w:hanging="480"/>
        <w:rPr>
          <w:noProof/>
        </w:rPr>
      </w:pPr>
      <w:r w:rsidRPr="00860DA2">
        <w:rPr>
          <w:noProof/>
        </w:rPr>
        <w:t>Moretti, Luca, and Nikolaj Jang Lee Linding Pedersen</w:t>
      </w:r>
      <w:r w:rsidR="00583B97" w:rsidRPr="00860DA2">
        <w:rPr>
          <w:noProof/>
        </w:rPr>
        <w:t>, ed</w:t>
      </w:r>
      <w:r w:rsidRPr="00860DA2">
        <w:rPr>
          <w:noProof/>
        </w:rPr>
        <w:t xml:space="preserve">. in-press. </w:t>
      </w:r>
      <w:r w:rsidRPr="00860DA2">
        <w:rPr>
          <w:noProof/>
          <w:u w:val="single"/>
        </w:rPr>
        <w:t>Non-Evidentialist Epistemology</w:t>
      </w:r>
      <w:r w:rsidRPr="00860DA2">
        <w:rPr>
          <w:noProof/>
        </w:rPr>
        <w:t xml:space="preserve"> </w:t>
      </w:r>
      <w:r w:rsidR="00583B97" w:rsidRPr="00860DA2">
        <w:rPr>
          <w:noProof/>
        </w:rPr>
        <w:t xml:space="preserve">(Leiden: </w:t>
      </w:r>
      <w:r w:rsidRPr="00860DA2">
        <w:rPr>
          <w:noProof/>
        </w:rPr>
        <w:t>Brill Publishers</w:t>
      </w:r>
      <w:r w:rsidR="00583B97" w:rsidRPr="00860DA2">
        <w:rPr>
          <w:noProof/>
        </w:rPr>
        <w:t>)</w:t>
      </w:r>
      <w:r w:rsidRPr="00860DA2">
        <w:rPr>
          <w:noProof/>
        </w:rPr>
        <w:t>.</w:t>
      </w:r>
    </w:p>
    <w:p w14:paraId="5F17EB36" w14:textId="2CB1C448" w:rsidR="003155DB" w:rsidRPr="00860DA2" w:rsidRDefault="003155DB" w:rsidP="00E53339">
      <w:pPr>
        <w:widowControl w:val="0"/>
        <w:autoSpaceDE w:val="0"/>
        <w:autoSpaceDN w:val="0"/>
        <w:adjustRightInd w:val="0"/>
        <w:spacing w:line="276" w:lineRule="auto"/>
        <w:ind w:left="480" w:hanging="480"/>
        <w:rPr>
          <w:noProof/>
        </w:rPr>
      </w:pPr>
      <w:r w:rsidRPr="00860DA2">
        <w:rPr>
          <w:noProof/>
        </w:rPr>
        <w:t>Neta, Ram. 2009. “Mature Human Knowledge as a Standing in the Space of Reasons</w:t>
      </w:r>
      <w:r w:rsidR="00940047" w:rsidRPr="00860DA2">
        <w:rPr>
          <w:noProof/>
        </w:rPr>
        <w:t>,</w:t>
      </w:r>
      <w:r w:rsidRPr="00860DA2">
        <w:rPr>
          <w:noProof/>
        </w:rPr>
        <w:t xml:space="preserve">” </w:t>
      </w:r>
      <w:r w:rsidRPr="00860DA2">
        <w:rPr>
          <w:iCs/>
          <w:noProof/>
          <w:u w:val="single"/>
        </w:rPr>
        <w:t>Philosophical Topics</w:t>
      </w:r>
      <w:r w:rsidR="001967B4" w:rsidRPr="00860DA2">
        <w:rPr>
          <w:noProof/>
        </w:rPr>
        <w:t xml:space="preserve">, </w:t>
      </w:r>
      <w:r w:rsidR="001967B4" w:rsidRPr="00860DA2">
        <w:t>vol.</w:t>
      </w:r>
      <w:r w:rsidR="000D537F" w:rsidRPr="00860DA2">
        <w:t xml:space="preserve"> </w:t>
      </w:r>
      <w:r w:rsidRPr="00860DA2">
        <w:rPr>
          <w:noProof/>
        </w:rPr>
        <w:t>37</w:t>
      </w:r>
      <w:r w:rsidR="006276FD" w:rsidRPr="00860DA2">
        <w:rPr>
          <w:noProof/>
        </w:rPr>
        <w:t>, no. 1, pp.</w:t>
      </w:r>
      <w:r w:rsidRPr="00860DA2">
        <w:rPr>
          <w:noProof/>
        </w:rPr>
        <w:t xml:space="preserve"> 115–</w:t>
      </w:r>
      <w:r w:rsidR="006276FD" w:rsidRPr="00860DA2">
        <w:rPr>
          <w:noProof/>
        </w:rPr>
        <w:t>1</w:t>
      </w:r>
      <w:r w:rsidRPr="00860DA2">
        <w:rPr>
          <w:noProof/>
        </w:rPr>
        <w:t xml:space="preserve">32. </w:t>
      </w:r>
    </w:p>
    <w:p w14:paraId="33A74D16" w14:textId="3AC3C5DD"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2010. “Can A Priori Entitlement Be Preserved by Testimony?” </w:t>
      </w:r>
      <w:r w:rsidR="00EC52B1" w:rsidRPr="00860DA2">
        <w:rPr>
          <w:noProof/>
        </w:rPr>
        <w:t>i</w:t>
      </w:r>
      <w:r w:rsidRPr="00860DA2">
        <w:rPr>
          <w:noProof/>
        </w:rPr>
        <w:t xml:space="preserve">n </w:t>
      </w:r>
      <w:r w:rsidRPr="00860DA2">
        <w:rPr>
          <w:iCs/>
          <w:noProof/>
          <w:u w:val="single"/>
        </w:rPr>
        <w:t>Social Epistemology</w:t>
      </w:r>
      <w:r w:rsidRPr="00860DA2">
        <w:rPr>
          <w:noProof/>
        </w:rPr>
        <w:t xml:space="preserve">, </w:t>
      </w:r>
      <w:r w:rsidR="0042293C" w:rsidRPr="00860DA2">
        <w:rPr>
          <w:noProof/>
        </w:rPr>
        <w:lastRenderedPageBreak/>
        <w:t>ed.</w:t>
      </w:r>
      <w:r w:rsidRPr="00860DA2">
        <w:rPr>
          <w:noProof/>
        </w:rPr>
        <w:t xml:space="preserve"> Adrian Haddock, Alan Millar, and Duncan Pritchard </w:t>
      </w:r>
      <w:r w:rsidR="00EC52B1" w:rsidRPr="00860DA2">
        <w:rPr>
          <w:noProof/>
        </w:rPr>
        <w:t>(</w:t>
      </w:r>
      <w:r w:rsidRPr="00860DA2">
        <w:rPr>
          <w:noProof/>
        </w:rPr>
        <w:t>Oxford, UK: Oxford University Press</w:t>
      </w:r>
      <w:r w:rsidR="00EC52B1" w:rsidRPr="00860DA2">
        <w:rPr>
          <w:noProof/>
        </w:rPr>
        <w:t>), pp. 194-215</w:t>
      </w:r>
      <w:r w:rsidRPr="00860DA2">
        <w:rPr>
          <w:noProof/>
        </w:rPr>
        <w:t>.</w:t>
      </w:r>
    </w:p>
    <w:p w14:paraId="34450FFF" w14:textId="04C7D323"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Peacocke, Christopher. 2004. “Explaining Perceptual Entitlement</w:t>
      </w:r>
      <w:r w:rsidR="00940047" w:rsidRPr="00860DA2">
        <w:rPr>
          <w:noProof/>
        </w:rPr>
        <w:t>,</w:t>
      </w:r>
      <w:r w:rsidRPr="00860DA2">
        <w:rPr>
          <w:noProof/>
        </w:rPr>
        <w:t xml:space="preserve">” </w:t>
      </w:r>
      <w:r w:rsidR="00EC52B1" w:rsidRPr="00860DA2">
        <w:rPr>
          <w:noProof/>
        </w:rPr>
        <w:t>i</w:t>
      </w:r>
      <w:r w:rsidRPr="00860DA2">
        <w:rPr>
          <w:noProof/>
        </w:rPr>
        <w:t xml:space="preserve">n </w:t>
      </w:r>
      <w:r w:rsidRPr="00860DA2">
        <w:rPr>
          <w:iCs/>
          <w:noProof/>
          <w:u w:val="single"/>
        </w:rPr>
        <w:t>The Externalist Challenge</w:t>
      </w:r>
      <w:r w:rsidRPr="00860DA2">
        <w:rPr>
          <w:noProof/>
        </w:rPr>
        <w:t xml:space="preserve">, </w:t>
      </w:r>
      <w:r w:rsidR="0042293C" w:rsidRPr="00860DA2">
        <w:rPr>
          <w:noProof/>
        </w:rPr>
        <w:t>ed.</w:t>
      </w:r>
      <w:r w:rsidRPr="00860DA2">
        <w:rPr>
          <w:noProof/>
        </w:rPr>
        <w:t xml:space="preserve"> Richard Schantz</w:t>
      </w:r>
      <w:r w:rsidR="00EC52B1" w:rsidRPr="00860DA2">
        <w:rPr>
          <w:noProof/>
        </w:rPr>
        <w:t xml:space="preserve"> (</w:t>
      </w:r>
      <w:r w:rsidRPr="00860DA2">
        <w:rPr>
          <w:noProof/>
        </w:rPr>
        <w:t>Berlin: Walter de Gruyter</w:t>
      </w:r>
      <w:r w:rsidR="00EC52B1" w:rsidRPr="00860DA2">
        <w:rPr>
          <w:noProof/>
        </w:rPr>
        <w:t>), pp. 441-</w:t>
      </w:r>
      <w:r w:rsidR="00D125C6" w:rsidRPr="00860DA2">
        <w:rPr>
          <w:noProof/>
        </w:rPr>
        <w:t>4</w:t>
      </w:r>
      <w:r w:rsidR="00EC52B1" w:rsidRPr="00860DA2">
        <w:rPr>
          <w:noProof/>
        </w:rPr>
        <w:t>80</w:t>
      </w:r>
      <w:r w:rsidRPr="00860DA2">
        <w:rPr>
          <w:noProof/>
        </w:rPr>
        <w:t>.</w:t>
      </w:r>
    </w:p>
    <w:p w14:paraId="58837CA8" w14:textId="038A829C"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Pedersen, Nikolaj Jang. 2006. “Entitlements: Good and Bad</w:t>
      </w:r>
      <w:r w:rsidR="00940047" w:rsidRPr="00860DA2">
        <w:rPr>
          <w:noProof/>
        </w:rPr>
        <w:t>,</w:t>
      </w:r>
      <w:r w:rsidRPr="00860DA2">
        <w:rPr>
          <w:noProof/>
        </w:rPr>
        <w:t xml:space="preserve">” </w:t>
      </w:r>
      <w:r w:rsidRPr="00860DA2">
        <w:rPr>
          <w:noProof/>
          <w:u w:val="single"/>
        </w:rPr>
        <w:t>Sats</w:t>
      </w:r>
      <w:r w:rsidR="001967B4" w:rsidRPr="00860DA2">
        <w:rPr>
          <w:noProof/>
        </w:rPr>
        <w:t xml:space="preserve">, </w:t>
      </w:r>
      <w:r w:rsidR="001967B4" w:rsidRPr="00860DA2">
        <w:t>vol.</w:t>
      </w:r>
      <w:r w:rsidRPr="00860DA2">
        <w:rPr>
          <w:noProof/>
        </w:rPr>
        <w:t xml:space="preserve"> 7</w:t>
      </w:r>
      <w:r w:rsidR="00F56509" w:rsidRPr="00860DA2">
        <w:rPr>
          <w:noProof/>
        </w:rPr>
        <w:t>, no. 1, pp.</w:t>
      </w:r>
      <w:r w:rsidRPr="00860DA2">
        <w:rPr>
          <w:noProof/>
        </w:rPr>
        <w:t xml:space="preserve"> 58–82.</w:t>
      </w:r>
    </w:p>
    <w:p w14:paraId="47521CC3" w14:textId="73C14D8C"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2009. “Entitlement, Value and Rationality</w:t>
      </w:r>
      <w:r w:rsidR="00940047" w:rsidRPr="00860DA2">
        <w:rPr>
          <w:noProof/>
        </w:rPr>
        <w:t>,</w:t>
      </w:r>
      <w:r w:rsidRPr="00860DA2">
        <w:rPr>
          <w:noProof/>
        </w:rPr>
        <w:t xml:space="preserve">” </w:t>
      </w:r>
      <w:r w:rsidRPr="00860DA2">
        <w:rPr>
          <w:iCs/>
          <w:noProof/>
          <w:u w:val="single"/>
        </w:rPr>
        <w:t>Synthese</w:t>
      </w:r>
      <w:r w:rsidR="001967B4" w:rsidRPr="00860DA2">
        <w:rPr>
          <w:iCs/>
          <w:noProof/>
        </w:rPr>
        <w:t xml:space="preserve">, </w:t>
      </w:r>
      <w:r w:rsidR="001967B4" w:rsidRPr="00860DA2">
        <w:t>vol.</w:t>
      </w:r>
      <w:r w:rsidRPr="00860DA2">
        <w:rPr>
          <w:noProof/>
        </w:rPr>
        <w:t xml:space="preserve"> 17</w:t>
      </w:r>
      <w:r w:rsidR="00F56509" w:rsidRPr="00860DA2">
        <w:rPr>
          <w:noProof/>
        </w:rPr>
        <w:t>1, no. 3, pp.</w:t>
      </w:r>
      <w:r w:rsidRPr="00860DA2">
        <w:rPr>
          <w:noProof/>
        </w:rPr>
        <w:t xml:space="preserve"> 443–57. </w:t>
      </w:r>
    </w:p>
    <w:p w14:paraId="3426359D" w14:textId="59C8DA8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2016. “Hume's Principle and Entitlement: On the Epistemology of the Neo-Fregean Programme</w:t>
      </w:r>
      <w:r w:rsidR="00940047" w:rsidRPr="00860DA2">
        <w:rPr>
          <w:noProof/>
        </w:rPr>
        <w:t>,</w:t>
      </w:r>
      <w:r w:rsidRPr="00860DA2">
        <w:rPr>
          <w:noProof/>
        </w:rPr>
        <w:t xml:space="preserve">” </w:t>
      </w:r>
      <w:r w:rsidR="00EC52B1" w:rsidRPr="00860DA2">
        <w:rPr>
          <w:noProof/>
        </w:rPr>
        <w:t>i</w:t>
      </w:r>
      <w:r w:rsidRPr="00860DA2">
        <w:rPr>
          <w:noProof/>
        </w:rPr>
        <w:t xml:space="preserve">n </w:t>
      </w:r>
      <w:r w:rsidRPr="00860DA2">
        <w:rPr>
          <w:noProof/>
          <w:u w:val="single"/>
        </w:rPr>
        <w:t>Abstractionism: Essays in Philosophy of Mathematics</w:t>
      </w:r>
      <w:r w:rsidRPr="00860DA2">
        <w:rPr>
          <w:noProof/>
        </w:rPr>
        <w:t xml:space="preserve">, </w:t>
      </w:r>
      <w:r w:rsidR="0042293C" w:rsidRPr="00860DA2">
        <w:rPr>
          <w:noProof/>
        </w:rPr>
        <w:t>ed.</w:t>
      </w:r>
      <w:r w:rsidRPr="00860DA2">
        <w:rPr>
          <w:noProof/>
        </w:rPr>
        <w:t xml:space="preserve"> Philip Ebert and Marcus Rossberg</w:t>
      </w:r>
      <w:r w:rsidR="00EC52B1" w:rsidRPr="00860DA2">
        <w:rPr>
          <w:noProof/>
        </w:rPr>
        <w:t xml:space="preserve"> (</w:t>
      </w:r>
      <w:r w:rsidRPr="00860DA2">
        <w:rPr>
          <w:noProof/>
        </w:rPr>
        <w:t>Oxford, UK: Oxford University Press</w:t>
      </w:r>
      <w:r w:rsidR="00EC52B1" w:rsidRPr="00860DA2">
        <w:rPr>
          <w:noProof/>
        </w:rPr>
        <w:t>), pp. 185-201</w:t>
      </w:r>
      <w:r w:rsidRPr="00860DA2">
        <w:rPr>
          <w:noProof/>
        </w:rPr>
        <w:t>.</w:t>
      </w:r>
    </w:p>
    <w:p w14:paraId="38E39A88" w14:textId="0973A7BD"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2017. “Pure Epistemic Pluralism</w:t>
      </w:r>
      <w:r w:rsidR="005D4E28" w:rsidRPr="00860DA2">
        <w:rPr>
          <w:noProof/>
        </w:rPr>
        <w:t>,</w:t>
      </w:r>
      <w:r w:rsidRPr="00860DA2">
        <w:rPr>
          <w:noProof/>
        </w:rPr>
        <w:t xml:space="preserve">” </w:t>
      </w:r>
      <w:r w:rsidR="00EC52B1" w:rsidRPr="00860DA2">
        <w:rPr>
          <w:noProof/>
        </w:rPr>
        <w:t>i</w:t>
      </w:r>
      <w:r w:rsidRPr="00860DA2">
        <w:rPr>
          <w:noProof/>
        </w:rPr>
        <w:t xml:space="preserve">n </w:t>
      </w:r>
      <w:r w:rsidRPr="00860DA2">
        <w:rPr>
          <w:iCs/>
          <w:noProof/>
          <w:u w:val="single"/>
        </w:rPr>
        <w:t>Epistemic Pluralism</w:t>
      </w:r>
      <w:r w:rsidRPr="00860DA2">
        <w:rPr>
          <w:noProof/>
        </w:rPr>
        <w:t xml:space="preserve">, </w:t>
      </w:r>
      <w:r w:rsidR="0042293C" w:rsidRPr="00860DA2">
        <w:rPr>
          <w:noProof/>
        </w:rPr>
        <w:t>ed.</w:t>
      </w:r>
      <w:r w:rsidRPr="00860DA2">
        <w:rPr>
          <w:noProof/>
        </w:rPr>
        <w:t xml:space="preserve"> Annalisa Coliva and Nikolaj Jang Lee Linding Pedersen </w:t>
      </w:r>
      <w:r w:rsidR="00EC52B1" w:rsidRPr="00860DA2">
        <w:rPr>
          <w:noProof/>
        </w:rPr>
        <w:t xml:space="preserve">(London: </w:t>
      </w:r>
      <w:r w:rsidRPr="00860DA2">
        <w:rPr>
          <w:noProof/>
        </w:rPr>
        <w:t>Palgrave Macmillan</w:t>
      </w:r>
      <w:r w:rsidR="00EC52B1" w:rsidRPr="00860DA2">
        <w:rPr>
          <w:noProof/>
        </w:rPr>
        <w:t>), pp. 47-92</w:t>
      </w:r>
      <w:r w:rsidRPr="00860DA2">
        <w:rPr>
          <w:noProof/>
        </w:rPr>
        <w:t>.</w:t>
      </w:r>
    </w:p>
    <w:p w14:paraId="0EAC2CB9" w14:textId="34F6B076"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Pedersen, Nikolaj Jang Lee Linding. 2019. “Pluralist Consequentialist Anti-Scepticism</w:t>
      </w:r>
      <w:r w:rsidR="005D4E28" w:rsidRPr="00860DA2">
        <w:rPr>
          <w:noProof/>
        </w:rPr>
        <w:t>,</w:t>
      </w:r>
      <w:r w:rsidRPr="00860DA2">
        <w:rPr>
          <w:noProof/>
        </w:rPr>
        <w:t xml:space="preserve">” </w:t>
      </w:r>
      <w:r w:rsidR="00EC52B1"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 </w:t>
      </w:r>
      <w:r w:rsidR="00EC52B1" w:rsidRPr="00860DA2">
        <w:rPr>
          <w:noProof/>
        </w:rPr>
        <w:t>(</w:t>
      </w:r>
      <w:r w:rsidRPr="00860DA2">
        <w:rPr>
          <w:noProof/>
        </w:rPr>
        <w:t>Oxford, UK: Oxford University Press</w:t>
      </w:r>
      <w:r w:rsidR="00EC52B1" w:rsidRPr="00860DA2">
        <w:rPr>
          <w:noProof/>
        </w:rPr>
        <w:t>)</w:t>
      </w:r>
      <w:r w:rsidRPr="00860DA2">
        <w:rPr>
          <w:noProof/>
        </w:rPr>
        <w:t>.</w:t>
      </w:r>
    </w:p>
    <w:p w14:paraId="7E3C7C76" w14:textId="168948F3"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Peels, Rik. 2010. “Epistemic Desiderata and Epistemic Pluralism</w:t>
      </w:r>
      <w:r w:rsidR="005D4E28" w:rsidRPr="00860DA2">
        <w:rPr>
          <w:noProof/>
        </w:rPr>
        <w:t>,</w:t>
      </w:r>
      <w:r w:rsidRPr="00860DA2">
        <w:rPr>
          <w:noProof/>
        </w:rPr>
        <w:t xml:space="preserve">” </w:t>
      </w:r>
      <w:r w:rsidRPr="00860DA2">
        <w:rPr>
          <w:noProof/>
          <w:u w:val="single"/>
        </w:rPr>
        <w:t>Journal of Philosophical Research</w:t>
      </w:r>
      <w:r w:rsidR="001967B4" w:rsidRPr="00860DA2">
        <w:rPr>
          <w:noProof/>
        </w:rPr>
        <w:t xml:space="preserve">, </w:t>
      </w:r>
      <w:r w:rsidR="001967B4" w:rsidRPr="00860DA2">
        <w:t>vol.</w:t>
      </w:r>
      <w:r w:rsidRPr="00860DA2">
        <w:rPr>
          <w:noProof/>
        </w:rPr>
        <w:t xml:space="preserve"> 35</w:t>
      </w:r>
      <w:r w:rsidR="005D4E28" w:rsidRPr="00860DA2">
        <w:rPr>
          <w:noProof/>
        </w:rPr>
        <w:t>, pp.</w:t>
      </w:r>
      <w:r w:rsidRPr="00860DA2">
        <w:rPr>
          <w:noProof/>
        </w:rPr>
        <w:t xml:space="preserve"> 193–207. </w:t>
      </w:r>
    </w:p>
    <w:p w14:paraId="717FB11A" w14:textId="76DC7E8C"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Peet, Andrew. 2018. “Etiology, Understanding, and Testimonial Belief</w:t>
      </w:r>
      <w:r w:rsidR="005D4E28" w:rsidRPr="00860DA2">
        <w:rPr>
          <w:noProof/>
        </w:rPr>
        <w:t>,</w:t>
      </w:r>
      <w:r w:rsidRPr="00860DA2">
        <w:rPr>
          <w:noProof/>
        </w:rPr>
        <w:t xml:space="preserve">” </w:t>
      </w:r>
      <w:r w:rsidRPr="00860DA2">
        <w:rPr>
          <w:iCs/>
          <w:noProof/>
          <w:u w:val="single"/>
        </w:rPr>
        <w:t>Synthese</w:t>
      </w:r>
      <w:r w:rsidR="001967B4" w:rsidRPr="00860DA2">
        <w:rPr>
          <w:iCs/>
          <w:noProof/>
        </w:rPr>
        <w:t xml:space="preserve">, </w:t>
      </w:r>
      <w:r w:rsidR="001967B4" w:rsidRPr="00860DA2">
        <w:t>vol.</w:t>
      </w:r>
      <w:r w:rsidRPr="00860DA2">
        <w:rPr>
          <w:noProof/>
        </w:rPr>
        <w:t xml:space="preserve"> 195</w:t>
      </w:r>
      <w:r w:rsidR="00F56509" w:rsidRPr="00860DA2">
        <w:rPr>
          <w:noProof/>
        </w:rPr>
        <w:t>, no. 4, pp.</w:t>
      </w:r>
      <w:r w:rsidRPr="00860DA2">
        <w:rPr>
          <w:noProof/>
        </w:rPr>
        <w:t xml:space="preserve"> 1547–</w:t>
      </w:r>
      <w:r w:rsidR="00F56509" w:rsidRPr="00860DA2">
        <w:rPr>
          <w:noProof/>
        </w:rPr>
        <w:t>15</w:t>
      </w:r>
      <w:r w:rsidRPr="00860DA2">
        <w:rPr>
          <w:noProof/>
        </w:rPr>
        <w:t xml:space="preserve">67. </w:t>
      </w:r>
    </w:p>
    <w:p w14:paraId="4ABA2490" w14:textId="03EFBF58" w:rsidR="003155DB" w:rsidRPr="00860DA2" w:rsidRDefault="003155DB" w:rsidP="00E53339">
      <w:pPr>
        <w:widowControl w:val="0"/>
        <w:autoSpaceDE w:val="0"/>
        <w:autoSpaceDN w:val="0"/>
        <w:adjustRightInd w:val="0"/>
        <w:spacing w:line="276" w:lineRule="auto"/>
        <w:ind w:left="480" w:hanging="480"/>
        <w:rPr>
          <w:noProof/>
        </w:rPr>
      </w:pPr>
      <w:r w:rsidRPr="00860DA2">
        <w:rPr>
          <w:noProof/>
        </w:rPr>
        <w:t>Percival, Philip. 2002. “Epistemic Consequentialism</w:t>
      </w:r>
      <w:r w:rsidR="005D4E28" w:rsidRPr="00860DA2">
        <w:rPr>
          <w:noProof/>
        </w:rPr>
        <w:t>,</w:t>
      </w:r>
      <w:r w:rsidRPr="00860DA2">
        <w:rPr>
          <w:noProof/>
        </w:rPr>
        <w:t xml:space="preserve">” </w:t>
      </w:r>
      <w:r w:rsidRPr="00860DA2">
        <w:rPr>
          <w:noProof/>
          <w:u w:val="single"/>
        </w:rPr>
        <w:t>Aristotelian Society Supplemental Volume</w:t>
      </w:r>
      <w:r w:rsidR="00F15F2C" w:rsidRPr="00860DA2">
        <w:rPr>
          <w:noProof/>
        </w:rPr>
        <w:t xml:space="preserve">, </w:t>
      </w:r>
      <w:r w:rsidR="00F15F2C" w:rsidRPr="00860DA2">
        <w:t>vol.</w:t>
      </w:r>
      <w:r w:rsidRPr="00860DA2">
        <w:rPr>
          <w:i/>
          <w:noProof/>
        </w:rPr>
        <w:t xml:space="preserve"> </w:t>
      </w:r>
      <w:r w:rsidRPr="00860DA2">
        <w:rPr>
          <w:noProof/>
        </w:rPr>
        <w:t>76</w:t>
      </w:r>
      <w:r w:rsidR="00F56509" w:rsidRPr="00860DA2">
        <w:rPr>
          <w:noProof/>
        </w:rPr>
        <w:t>, no. 1, pp.</w:t>
      </w:r>
      <w:r w:rsidRPr="00860DA2">
        <w:rPr>
          <w:noProof/>
        </w:rPr>
        <w:t xml:space="preserve"> 121-151. </w:t>
      </w:r>
    </w:p>
    <w:p w14:paraId="6219745D" w14:textId="18189440"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Pollock, John. 1974. </w:t>
      </w:r>
      <w:r w:rsidRPr="00860DA2">
        <w:rPr>
          <w:noProof/>
          <w:u w:val="single"/>
        </w:rPr>
        <w:t>Knowledge and Justification</w:t>
      </w:r>
      <w:r w:rsidRPr="00860DA2">
        <w:rPr>
          <w:noProof/>
        </w:rPr>
        <w:t xml:space="preserve"> </w:t>
      </w:r>
      <w:r w:rsidR="00EC52B1" w:rsidRPr="00860DA2">
        <w:rPr>
          <w:noProof/>
        </w:rPr>
        <w:t>(</w:t>
      </w:r>
      <w:r w:rsidRPr="00860DA2">
        <w:rPr>
          <w:noProof/>
        </w:rPr>
        <w:t xml:space="preserve">Princeton, </w:t>
      </w:r>
      <w:r w:rsidR="00EC52B1" w:rsidRPr="00860DA2">
        <w:rPr>
          <w:noProof/>
        </w:rPr>
        <w:t>NJ</w:t>
      </w:r>
      <w:r w:rsidRPr="00860DA2">
        <w:rPr>
          <w:noProof/>
        </w:rPr>
        <w:t>: Princeton University Press</w:t>
      </w:r>
      <w:r w:rsidR="00EC52B1" w:rsidRPr="00860DA2">
        <w:rPr>
          <w:noProof/>
        </w:rPr>
        <w:t>)</w:t>
      </w:r>
      <w:r w:rsidRPr="00860DA2">
        <w:rPr>
          <w:noProof/>
        </w:rPr>
        <w:t>.</w:t>
      </w:r>
    </w:p>
    <w:p w14:paraId="0591FBA4" w14:textId="144F6B6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Pollock, John. 1986. </w:t>
      </w:r>
      <w:r w:rsidRPr="00860DA2">
        <w:rPr>
          <w:noProof/>
          <w:u w:val="single"/>
        </w:rPr>
        <w:t>Contemporary Theories of Knowledge</w:t>
      </w:r>
      <w:r w:rsidRPr="00860DA2">
        <w:rPr>
          <w:noProof/>
        </w:rPr>
        <w:t xml:space="preserve"> </w:t>
      </w:r>
      <w:r w:rsidR="00EC52B1" w:rsidRPr="00860DA2">
        <w:rPr>
          <w:noProof/>
        </w:rPr>
        <w:t>(</w:t>
      </w:r>
      <w:r w:rsidRPr="00860DA2">
        <w:rPr>
          <w:noProof/>
        </w:rPr>
        <w:t xml:space="preserve">Lanham, </w:t>
      </w:r>
      <w:r w:rsidR="00EC52B1" w:rsidRPr="00860DA2">
        <w:rPr>
          <w:noProof/>
        </w:rPr>
        <w:t>MD</w:t>
      </w:r>
      <w:r w:rsidRPr="00860DA2">
        <w:rPr>
          <w:noProof/>
        </w:rPr>
        <w:t>: Rowman &amp; Littlefied</w:t>
      </w:r>
      <w:r w:rsidR="00EC52B1" w:rsidRPr="00860DA2">
        <w:rPr>
          <w:noProof/>
        </w:rPr>
        <w:t>)</w:t>
      </w:r>
      <w:r w:rsidRPr="00860DA2">
        <w:rPr>
          <w:noProof/>
        </w:rPr>
        <w:t>.</w:t>
      </w:r>
    </w:p>
    <w:p w14:paraId="4C6F6C9D" w14:textId="087AE7A8" w:rsidR="003155DB" w:rsidRPr="00860DA2" w:rsidRDefault="003155DB" w:rsidP="00E53339">
      <w:pPr>
        <w:widowControl w:val="0"/>
        <w:autoSpaceDE w:val="0"/>
        <w:autoSpaceDN w:val="0"/>
        <w:adjustRightInd w:val="0"/>
        <w:spacing w:line="276" w:lineRule="auto"/>
        <w:ind w:left="480" w:hanging="480"/>
        <w:rPr>
          <w:noProof/>
        </w:rPr>
      </w:pPr>
      <w:r w:rsidRPr="00860DA2">
        <w:rPr>
          <w:noProof/>
        </w:rPr>
        <w:t>Pritchard, Duncan. 2007. “Wittgenstein's On Certainty and Contemporary Anti-Scepticism</w:t>
      </w:r>
      <w:r w:rsidR="005D4E28" w:rsidRPr="00860DA2">
        <w:rPr>
          <w:noProof/>
        </w:rPr>
        <w:t>,</w:t>
      </w:r>
      <w:r w:rsidRPr="00860DA2">
        <w:rPr>
          <w:noProof/>
        </w:rPr>
        <w:t xml:space="preserve">” </w:t>
      </w:r>
      <w:r w:rsidR="00EC52B1" w:rsidRPr="00860DA2">
        <w:rPr>
          <w:noProof/>
        </w:rPr>
        <w:t>i</w:t>
      </w:r>
      <w:r w:rsidRPr="00860DA2">
        <w:rPr>
          <w:noProof/>
        </w:rPr>
        <w:t xml:space="preserve">n </w:t>
      </w:r>
      <w:r w:rsidRPr="00860DA2">
        <w:rPr>
          <w:noProof/>
          <w:u w:val="single"/>
        </w:rPr>
        <w:t>Readings of Wittgenstein's On Certainty</w:t>
      </w:r>
      <w:r w:rsidRPr="00860DA2">
        <w:rPr>
          <w:noProof/>
        </w:rPr>
        <w:t xml:space="preserve">, </w:t>
      </w:r>
      <w:r w:rsidR="0042293C" w:rsidRPr="00860DA2">
        <w:rPr>
          <w:noProof/>
        </w:rPr>
        <w:t>ed.</w:t>
      </w:r>
      <w:r w:rsidRPr="00860DA2">
        <w:rPr>
          <w:noProof/>
        </w:rPr>
        <w:t xml:space="preserve"> D</w:t>
      </w:r>
      <w:r w:rsidR="00EC52B1" w:rsidRPr="00860DA2">
        <w:rPr>
          <w:noProof/>
        </w:rPr>
        <w:t>anielle</w:t>
      </w:r>
      <w:r w:rsidRPr="00860DA2">
        <w:rPr>
          <w:noProof/>
        </w:rPr>
        <w:t xml:space="preserve"> Moyal-Sharrock and W</w:t>
      </w:r>
      <w:r w:rsidR="00EC52B1" w:rsidRPr="00860DA2">
        <w:rPr>
          <w:noProof/>
        </w:rPr>
        <w:t>illliam</w:t>
      </w:r>
      <w:r w:rsidRPr="00860DA2">
        <w:rPr>
          <w:noProof/>
        </w:rPr>
        <w:t xml:space="preserve"> H. Brenner </w:t>
      </w:r>
      <w:r w:rsidR="00EC52B1" w:rsidRPr="00860DA2">
        <w:rPr>
          <w:noProof/>
        </w:rPr>
        <w:t>(London</w:t>
      </w:r>
      <w:r w:rsidRPr="00860DA2">
        <w:rPr>
          <w:noProof/>
        </w:rPr>
        <w:t>: Palgrave Macmillan</w:t>
      </w:r>
      <w:r w:rsidR="00EC52B1" w:rsidRPr="00860DA2">
        <w:rPr>
          <w:noProof/>
        </w:rPr>
        <w:t xml:space="preserve">), pp. </w:t>
      </w:r>
      <w:r w:rsidR="00D125C6" w:rsidRPr="00860DA2">
        <w:rPr>
          <w:noProof/>
        </w:rPr>
        <w:t>1</w:t>
      </w:r>
      <w:r w:rsidR="00EC52B1" w:rsidRPr="00860DA2">
        <w:rPr>
          <w:noProof/>
        </w:rPr>
        <w:t>89-224</w:t>
      </w:r>
      <w:r w:rsidRPr="00860DA2">
        <w:rPr>
          <w:noProof/>
        </w:rPr>
        <w:t>.</w:t>
      </w:r>
    </w:p>
    <w:p w14:paraId="69A6990D" w14:textId="61386EF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2009. “Scepticism and the Possibility of Knowledge</w:t>
      </w:r>
      <w:r w:rsidR="005D4E28" w:rsidRPr="00860DA2">
        <w:rPr>
          <w:noProof/>
        </w:rPr>
        <w:t>,</w:t>
      </w:r>
      <w:r w:rsidRPr="00860DA2">
        <w:rPr>
          <w:noProof/>
        </w:rPr>
        <w:t xml:space="preserve">” </w:t>
      </w:r>
      <w:r w:rsidRPr="00860DA2">
        <w:rPr>
          <w:iCs/>
          <w:noProof/>
          <w:u w:val="single"/>
        </w:rPr>
        <w:t>Analysis</w:t>
      </w:r>
      <w:r w:rsidR="00F15F2C" w:rsidRPr="00860DA2">
        <w:rPr>
          <w:iCs/>
          <w:noProof/>
        </w:rPr>
        <w:t xml:space="preserve">, </w:t>
      </w:r>
      <w:r w:rsidR="00F15F2C" w:rsidRPr="00860DA2">
        <w:t>vol.</w:t>
      </w:r>
      <w:r w:rsidRPr="00860DA2">
        <w:rPr>
          <w:noProof/>
        </w:rPr>
        <w:t xml:space="preserve"> 69</w:t>
      </w:r>
      <w:r w:rsidR="00F56509" w:rsidRPr="00860DA2">
        <w:rPr>
          <w:noProof/>
        </w:rPr>
        <w:t>, no. 2, pp.</w:t>
      </w:r>
      <w:r w:rsidRPr="00860DA2">
        <w:rPr>
          <w:noProof/>
        </w:rPr>
        <w:t xml:space="preserve"> 317–</w:t>
      </w:r>
      <w:r w:rsidR="00F56509" w:rsidRPr="00860DA2">
        <w:rPr>
          <w:noProof/>
        </w:rPr>
        <w:t>3</w:t>
      </w:r>
      <w:r w:rsidRPr="00860DA2">
        <w:rPr>
          <w:noProof/>
        </w:rPr>
        <w:t>25.</w:t>
      </w:r>
    </w:p>
    <w:p w14:paraId="374A75A5" w14:textId="4D054C40"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2014. “Truth as the Fundamental Epistemic Good</w:t>
      </w:r>
      <w:r w:rsidR="005D4E28" w:rsidRPr="00860DA2">
        <w:rPr>
          <w:noProof/>
        </w:rPr>
        <w:t>,</w:t>
      </w:r>
      <w:r w:rsidRPr="00860DA2">
        <w:rPr>
          <w:noProof/>
        </w:rPr>
        <w:t xml:space="preserve">”  </w:t>
      </w:r>
      <w:r w:rsidR="00EC52B1" w:rsidRPr="00860DA2">
        <w:rPr>
          <w:noProof/>
        </w:rPr>
        <w:t>i</w:t>
      </w:r>
      <w:r w:rsidRPr="00860DA2">
        <w:rPr>
          <w:noProof/>
        </w:rPr>
        <w:t xml:space="preserve">n </w:t>
      </w:r>
      <w:r w:rsidRPr="00860DA2">
        <w:rPr>
          <w:noProof/>
          <w:u w:val="single"/>
        </w:rPr>
        <w:t>The Ethics of Belief</w:t>
      </w:r>
      <w:r w:rsidRPr="00860DA2">
        <w:rPr>
          <w:noProof/>
        </w:rPr>
        <w:t xml:space="preserve">, </w:t>
      </w:r>
      <w:r w:rsidR="0042293C" w:rsidRPr="00860DA2">
        <w:rPr>
          <w:noProof/>
        </w:rPr>
        <w:t>ed.</w:t>
      </w:r>
      <w:r w:rsidRPr="00860DA2">
        <w:rPr>
          <w:noProof/>
        </w:rPr>
        <w:t xml:space="preserve"> John Matheson and Rico Vitz</w:t>
      </w:r>
      <w:r w:rsidR="007912FD" w:rsidRPr="00860DA2">
        <w:rPr>
          <w:noProof/>
        </w:rPr>
        <w:t xml:space="preserve"> (</w:t>
      </w:r>
      <w:r w:rsidRPr="00860DA2">
        <w:rPr>
          <w:noProof/>
        </w:rPr>
        <w:t>Oxford, UK: Oxford University Press</w:t>
      </w:r>
      <w:r w:rsidR="007912FD" w:rsidRPr="00860DA2">
        <w:rPr>
          <w:noProof/>
        </w:rPr>
        <w:t>), pp. 112-129</w:t>
      </w:r>
      <w:r w:rsidRPr="00860DA2">
        <w:rPr>
          <w:noProof/>
        </w:rPr>
        <w:t>.</w:t>
      </w:r>
    </w:p>
    <w:p w14:paraId="3E900053" w14:textId="5BC96DF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2016. </w:t>
      </w:r>
      <w:r w:rsidRPr="00860DA2">
        <w:rPr>
          <w:noProof/>
          <w:u w:val="single"/>
        </w:rPr>
        <w:t>Epistemic Angst: Radical Skepticism and the Groundlessness of Our Believing</w:t>
      </w:r>
      <w:r w:rsidRPr="00860DA2">
        <w:rPr>
          <w:noProof/>
        </w:rPr>
        <w:t xml:space="preserve"> </w:t>
      </w:r>
      <w:r w:rsidR="007912FD" w:rsidRPr="00860DA2">
        <w:rPr>
          <w:noProof/>
        </w:rPr>
        <w:t>(</w:t>
      </w:r>
      <w:r w:rsidRPr="00860DA2">
        <w:rPr>
          <w:noProof/>
        </w:rPr>
        <w:t>Princeton, N</w:t>
      </w:r>
      <w:r w:rsidR="007912FD" w:rsidRPr="00860DA2">
        <w:rPr>
          <w:noProof/>
        </w:rPr>
        <w:t>J</w:t>
      </w:r>
      <w:r w:rsidRPr="00860DA2">
        <w:rPr>
          <w:noProof/>
        </w:rPr>
        <w:t>: Princeton University Press</w:t>
      </w:r>
      <w:r w:rsidR="007912FD" w:rsidRPr="00860DA2">
        <w:rPr>
          <w:noProof/>
        </w:rPr>
        <w:t>)</w:t>
      </w:r>
      <w:r w:rsidRPr="00860DA2">
        <w:rPr>
          <w:noProof/>
        </w:rPr>
        <w:t>.</w:t>
      </w:r>
    </w:p>
    <w:p w14:paraId="356951A3" w14:textId="0AB7690C" w:rsidR="003155DB" w:rsidRPr="00860DA2" w:rsidRDefault="003155DB" w:rsidP="00E53339">
      <w:pPr>
        <w:widowControl w:val="0"/>
        <w:autoSpaceDE w:val="0"/>
        <w:autoSpaceDN w:val="0"/>
        <w:adjustRightInd w:val="0"/>
        <w:spacing w:line="276" w:lineRule="auto"/>
        <w:ind w:left="480" w:hanging="480"/>
        <w:rPr>
          <w:noProof/>
        </w:rPr>
      </w:pPr>
      <w:r w:rsidRPr="00860DA2">
        <w:rPr>
          <w:noProof/>
        </w:rPr>
        <w:t>Pryor, James. 2000. “The Skeptic and the Dogmatist</w:t>
      </w:r>
      <w:r w:rsidR="005D4E28" w:rsidRPr="00860DA2">
        <w:rPr>
          <w:noProof/>
        </w:rPr>
        <w:t>,</w:t>
      </w:r>
      <w:r w:rsidRPr="00860DA2">
        <w:rPr>
          <w:noProof/>
        </w:rPr>
        <w:t xml:space="preserve">” </w:t>
      </w:r>
      <w:r w:rsidRPr="00860DA2">
        <w:rPr>
          <w:color w:val="000000"/>
          <w:u w:val="single"/>
        </w:rPr>
        <w:t>Noûs</w:t>
      </w:r>
      <w:r w:rsidR="00F15F2C" w:rsidRPr="00860DA2">
        <w:rPr>
          <w:color w:val="000000"/>
        </w:rPr>
        <w:t xml:space="preserve">, </w:t>
      </w:r>
      <w:r w:rsidR="00F15F2C" w:rsidRPr="00860DA2">
        <w:t>vol.</w:t>
      </w:r>
      <w:r w:rsidRPr="00860DA2">
        <w:rPr>
          <w:i/>
          <w:color w:val="000000"/>
        </w:rPr>
        <w:t xml:space="preserve"> </w:t>
      </w:r>
      <w:r w:rsidRPr="00860DA2">
        <w:rPr>
          <w:color w:val="000000"/>
        </w:rPr>
        <w:t>34</w:t>
      </w:r>
      <w:r w:rsidR="005D4E28" w:rsidRPr="00860DA2">
        <w:rPr>
          <w:color w:val="000000"/>
        </w:rPr>
        <w:t>, no. 4, pp.</w:t>
      </w:r>
      <w:r w:rsidRPr="00860DA2">
        <w:rPr>
          <w:i/>
          <w:color w:val="000000"/>
        </w:rPr>
        <w:t xml:space="preserve"> </w:t>
      </w:r>
      <w:r w:rsidRPr="00860DA2">
        <w:rPr>
          <w:color w:val="000000"/>
        </w:rPr>
        <w:t>517–549</w:t>
      </w:r>
    </w:p>
    <w:p w14:paraId="246D99C2" w14:textId="598C9F41"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2004. “What’s Wrong with Moore’s Argument?” </w:t>
      </w:r>
      <w:r w:rsidRPr="00860DA2">
        <w:rPr>
          <w:iCs/>
          <w:noProof/>
          <w:u w:val="single"/>
        </w:rPr>
        <w:t>Philosophical Issues</w:t>
      </w:r>
      <w:r w:rsidR="00F15F2C" w:rsidRPr="00860DA2">
        <w:rPr>
          <w:iCs/>
          <w:noProof/>
        </w:rPr>
        <w:t xml:space="preserve">, </w:t>
      </w:r>
      <w:r w:rsidR="00F15F2C" w:rsidRPr="00860DA2">
        <w:t>vol.</w:t>
      </w:r>
      <w:r w:rsidRPr="00860DA2">
        <w:rPr>
          <w:noProof/>
        </w:rPr>
        <w:t xml:space="preserve"> 14</w:t>
      </w:r>
      <w:r w:rsidR="00A7772F" w:rsidRPr="00860DA2">
        <w:rPr>
          <w:noProof/>
        </w:rPr>
        <w:t>, no. 1, pp.</w:t>
      </w:r>
      <w:r w:rsidRPr="00860DA2">
        <w:rPr>
          <w:noProof/>
        </w:rPr>
        <w:t xml:space="preserve"> 349–</w:t>
      </w:r>
      <w:r w:rsidR="00A7772F" w:rsidRPr="00860DA2">
        <w:rPr>
          <w:noProof/>
        </w:rPr>
        <w:t>3</w:t>
      </w:r>
      <w:r w:rsidRPr="00860DA2">
        <w:rPr>
          <w:noProof/>
        </w:rPr>
        <w:t>78.</w:t>
      </w:r>
    </w:p>
    <w:p w14:paraId="1BB05C27" w14:textId="37C82B9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2012. “When Warrant Transmits</w:t>
      </w:r>
      <w:r w:rsidR="005D4E28" w:rsidRPr="00860DA2">
        <w:rPr>
          <w:noProof/>
        </w:rPr>
        <w:t>,</w:t>
      </w:r>
      <w:r w:rsidRPr="00860DA2">
        <w:rPr>
          <w:noProof/>
        </w:rPr>
        <w:t xml:space="preserve">” </w:t>
      </w:r>
      <w:r w:rsidR="007912FD" w:rsidRPr="00860DA2">
        <w:rPr>
          <w:noProof/>
        </w:rPr>
        <w:t>i</w:t>
      </w:r>
      <w:r w:rsidRPr="00860DA2">
        <w:rPr>
          <w:noProof/>
        </w:rPr>
        <w:t xml:space="preserve">n </w:t>
      </w:r>
      <w:r w:rsidRPr="00860DA2">
        <w:rPr>
          <w:iCs/>
          <w:noProof/>
          <w:u w:val="single"/>
        </w:rPr>
        <w:t>Mind, Meaning, and Knowledge: Themes from the Philosophy of Crispin Wright</w:t>
      </w:r>
      <w:r w:rsidRPr="00860DA2">
        <w:rPr>
          <w:noProof/>
          <w:u w:val="single"/>
        </w:rPr>
        <w:t>,</w:t>
      </w:r>
      <w:r w:rsidRPr="00860DA2">
        <w:rPr>
          <w:noProof/>
        </w:rPr>
        <w:t xml:space="preserve"> </w:t>
      </w:r>
      <w:r w:rsidR="0042293C" w:rsidRPr="00860DA2">
        <w:rPr>
          <w:noProof/>
        </w:rPr>
        <w:t>ed.</w:t>
      </w:r>
      <w:r w:rsidRPr="00860DA2">
        <w:rPr>
          <w:noProof/>
        </w:rPr>
        <w:t xml:space="preserve"> Annalisa Coliva</w:t>
      </w:r>
      <w:r w:rsidR="007912FD" w:rsidRPr="00860DA2">
        <w:rPr>
          <w:noProof/>
        </w:rPr>
        <w:t xml:space="preserve"> (</w:t>
      </w:r>
      <w:r w:rsidRPr="00860DA2">
        <w:rPr>
          <w:noProof/>
        </w:rPr>
        <w:t>Oxford, UK: Oxford University Press</w:t>
      </w:r>
      <w:r w:rsidR="007912FD" w:rsidRPr="00860DA2">
        <w:rPr>
          <w:noProof/>
        </w:rPr>
        <w:t>), pp. 269-303</w:t>
      </w:r>
      <w:r w:rsidRPr="00860DA2">
        <w:rPr>
          <w:noProof/>
        </w:rPr>
        <w:t>.</w:t>
      </w:r>
    </w:p>
    <w:p w14:paraId="57CC123E" w14:textId="695C2B9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Reichenbach, Hans. 1938. </w:t>
      </w:r>
      <w:r w:rsidRPr="00860DA2">
        <w:rPr>
          <w:noProof/>
          <w:u w:val="single"/>
        </w:rPr>
        <w:t>Experience and Prediction</w:t>
      </w:r>
      <w:r w:rsidR="007912FD" w:rsidRPr="00860DA2">
        <w:rPr>
          <w:noProof/>
        </w:rPr>
        <w:t xml:space="preserve"> (</w:t>
      </w:r>
      <w:r w:rsidRPr="00860DA2">
        <w:rPr>
          <w:noProof/>
        </w:rPr>
        <w:t>Chicago</w:t>
      </w:r>
      <w:r w:rsidR="007912FD" w:rsidRPr="00860DA2">
        <w:rPr>
          <w:noProof/>
        </w:rPr>
        <w:t>:</w:t>
      </w:r>
      <w:r w:rsidRPr="00860DA2">
        <w:rPr>
          <w:noProof/>
        </w:rPr>
        <w:t xml:space="preserve"> University of Chicago Press</w:t>
      </w:r>
      <w:r w:rsidR="007912FD" w:rsidRPr="00860DA2">
        <w:rPr>
          <w:noProof/>
        </w:rPr>
        <w:t>)</w:t>
      </w:r>
      <w:r w:rsidRPr="00860DA2">
        <w:rPr>
          <w:noProof/>
        </w:rPr>
        <w:t>.</w:t>
      </w:r>
    </w:p>
    <w:p w14:paraId="4AE4B8B4" w14:textId="10686977"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1949. </w:t>
      </w:r>
      <w:r w:rsidRPr="00860DA2">
        <w:rPr>
          <w:noProof/>
          <w:u w:val="single"/>
        </w:rPr>
        <w:t>The Theory of Probability</w:t>
      </w:r>
      <w:r w:rsidRPr="00860DA2">
        <w:rPr>
          <w:noProof/>
        </w:rPr>
        <w:t xml:space="preserve"> </w:t>
      </w:r>
      <w:r w:rsidR="00A07C41" w:rsidRPr="00860DA2">
        <w:rPr>
          <w:noProof/>
        </w:rPr>
        <w:t>(</w:t>
      </w:r>
      <w:r w:rsidRPr="00860DA2">
        <w:rPr>
          <w:noProof/>
        </w:rPr>
        <w:t>2</w:t>
      </w:r>
      <w:r w:rsidRPr="00860DA2">
        <w:rPr>
          <w:noProof/>
          <w:vertAlign w:val="superscript"/>
        </w:rPr>
        <w:t>nd</w:t>
      </w:r>
      <w:r w:rsidRPr="00860DA2">
        <w:rPr>
          <w:noProof/>
        </w:rPr>
        <w:t xml:space="preserve"> edition</w:t>
      </w:r>
      <w:r w:rsidR="00A07C41" w:rsidRPr="00860DA2">
        <w:rPr>
          <w:noProof/>
        </w:rPr>
        <w:t xml:space="preserve">, </w:t>
      </w:r>
      <w:r w:rsidRPr="00860DA2">
        <w:rPr>
          <w:noProof/>
        </w:rPr>
        <w:t>Berkeley: University of California Press</w:t>
      </w:r>
      <w:r w:rsidR="00A07C41" w:rsidRPr="00860DA2">
        <w:rPr>
          <w:noProof/>
        </w:rPr>
        <w:t>)</w:t>
      </w:r>
      <w:r w:rsidRPr="00860DA2">
        <w:rPr>
          <w:noProof/>
        </w:rPr>
        <w:t>.</w:t>
      </w:r>
    </w:p>
    <w:p w14:paraId="438EA59C" w14:textId="4B539169" w:rsidR="003155DB" w:rsidRPr="00860DA2" w:rsidRDefault="003155DB" w:rsidP="00E53339">
      <w:pPr>
        <w:widowControl w:val="0"/>
        <w:autoSpaceDE w:val="0"/>
        <w:autoSpaceDN w:val="0"/>
        <w:adjustRightInd w:val="0"/>
        <w:spacing w:line="276" w:lineRule="auto"/>
        <w:ind w:left="480" w:hanging="480"/>
        <w:rPr>
          <w:noProof/>
        </w:rPr>
      </w:pPr>
      <w:r w:rsidRPr="00860DA2">
        <w:rPr>
          <w:noProof/>
        </w:rPr>
        <w:lastRenderedPageBreak/>
        <w:t xml:space="preserve">———. 1968. </w:t>
      </w:r>
      <w:r w:rsidRPr="00860DA2">
        <w:rPr>
          <w:noProof/>
          <w:u w:val="single"/>
        </w:rPr>
        <w:t>The Rise of Scientific Philosophy</w:t>
      </w:r>
      <w:r w:rsidRPr="00860DA2">
        <w:rPr>
          <w:noProof/>
        </w:rPr>
        <w:t xml:space="preserve"> </w:t>
      </w:r>
      <w:r w:rsidR="00A07C41" w:rsidRPr="00860DA2">
        <w:rPr>
          <w:noProof/>
        </w:rPr>
        <w:t>(</w:t>
      </w:r>
      <w:r w:rsidRPr="00860DA2">
        <w:rPr>
          <w:noProof/>
        </w:rPr>
        <w:t>Berkeley: University of California Press</w:t>
      </w:r>
      <w:r w:rsidR="00A07C41" w:rsidRPr="00860DA2">
        <w:rPr>
          <w:noProof/>
        </w:rPr>
        <w:t>)</w:t>
      </w:r>
      <w:r w:rsidRPr="00860DA2">
        <w:rPr>
          <w:noProof/>
        </w:rPr>
        <w:t>.</w:t>
      </w:r>
    </w:p>
    <w:p w14:paraId="527431CE" w14:textId="02C66A7E" w:rsidR="003155DB" w:rsidRPr="00860DA2" w:rsidRDefault="003155DB" w:rsidP="00E53339">
      <w:pPr>
        <w:widowControl w:val="0"/>
        <w:autoSpaceDE w:val="0"/>
        <w:autoSpaceDN w:val="0"/>
        <w:adjustRightInd w:val="0"/>
        <w:spacing w:line="276" w:lineRule="auto"/>
        <w:ind w:left="480" w:hanging="480"/>
        <w:rPr>
          <w:noProof/>
        </w:rPr>
      </w:pPr>
      <w:r w:rsidRPr="00860DA2">
        <w:rPr>
          <w:noProof/>
        </w:rPr>
        <w:t>Salmon, Wesley. 1991. “Hans Reichenbach's Vindication of Induction</w:t>
      </w:r>
      <w:r w:rsidR="005D4E28" w:rsidRPr="00860DA2">
        <w:rPr>
          <w:noProof/>
        </w:rPr>
        <w:t>,</w:t>
      </w:r>
      <w:r w:rsidRPr="00860DA2">
        <w:rPr>
          <w:noProof/>
        </w:rPr>
        <w:t xml:space="preserve">” </w:t>
      </w:r>
      <w:r w:rsidRPr="00860DA2">
        <w:rPr>
          <w:noProof/>
          <w:u w:val="single"/>
        </w:rPr>
        <w:t>Erkenntnis</w:t>
      </w:r>
      <w:r w:rsidR="00F15F2C" w:rsidRPr="00860DA2">
        <w:rPr>
          <w:noProof/>
        </w:rPr>
        <w:t xml:space="preserve">, </w:t>
      </w:r>
      <w:r w:rsidR="00F15F2C" w:rsidRPr="00860DA2">
        <w:t>vol.</w:t>
      </w:r>
      <w:r w:rsidRPr="00860DA2">
        <w:rPr>
          <w:noProof/>
        </w:rPr>
        <w:t xml:space="preserve"> 35</w:t>
      </w:r>
      <w:r w:rsidR="00A7772F" w:rsidRPr="00860DA2">
        <w:rPr>
          <w:noProof/>
        </w:rPr>
        <w:t xml:space="preserve">, no. 1-3, pp. </w:t>
      </w:r>
      <w:r w:rsidRPr="00860DA2">
        <w:rPr>
          <w:noProof/>
        </w:rPr>
        <w:t>99–122.</w:t>
      </w:r>
    </w:p>
    <w:p w14:paraId="4EA78766" w14:textId="10F00A24" w:rsidR="003155DB" w:rsidRPr="00860DA2" w:rsidRDefault="003155DB" w:rsidP="00E53339">
      <w:pPr>
        <w:widowControl w:val="0"/>
        <w:autoSpaceDE w:val="0"/>
        <w:autoSpaceDN w:val="0"/>
        <w:adjustRightInd w:val="0"/>
        <w:spacing w:line="276" w:lineRule="auto"/>
        <w:ind w:left="480" w:hanging="480"/>
        <w:rPr>
          <w:noProof/>
        </w:rPr>
      </w:pPr>
      <w:r w:rsidRPr="00860DA2">
        <w:rPr>
          <w:noProof/>
        </w:rPr>
        <w:t>Schecter, Joshua and David Enoch. 2006. “Meaning and Justification: The Case of Modus Ponens</w:t>
      </w:r>
      <w:r w:rsidR="005D4E28" w:rsidRPr="00860DA2">
        <w:rPr>
          <w:noProof/>
        </w:rPr>
        <w:t>,</w:t>
      </w:r>
      <w:r w:rsidRPr="00860DA2">
        <w:rPr>
          <w:noProof/>
        </w:rPr>
        <w:t xml:space="preserve">” </w:t>
      </w:r>
      <w:r w:rsidR="008164E6" w:rsidRPr="00860DA2">
        <w:rPr>
          <w:color w:val="000000"/>
          <w:u w:val="single"/>
        </w:rPr>
        <w:t>Noûs</w:t>
      </w:r>
      <w:r w:rsidR="00F15F2C" w:rsidRPr="00860DA2">
        <w:rPr>
          <w:color w:val="000000"/>
        </w:rPr>
        <w:t xml:space="preserve">, </w:t>
      </w:r>
      <w:r w:rsidR="00F15F2C" w:rsidRPr="00860DA2">
        <w:t>vol.</w:t>
      </w:r>
      <w:r w:rsidRPr="00860DA2">
        <w:rPr>
          <w:noProof/>
        </w:rPr>
        <w:t xml:space="preserve"> 40</w:t>
      </w:r>
      <w:r w:rsidR="00A7772F" w:rsidRPr="00860DA2">
        <w:rPr>
          <w:noProof/>
        </w:rPr>
        <w:t>, no. 4, pp.</w:t>
      </w:r>
      <w:r w:rsidRPr="00860DA2">
        <w:rPr>
          <w:noProof/>
        </w:rPr>
        <w:t xml:space="preserve"> 687–715. </w:t>
      </w:r>
    </w:p>
    <w:p w14:paraId="0C022C8C" w14:textId="37261D30" w:rsidR="003155DB" w:rsidRPr="00860DA2" w:rsidRDefault="003155DB" w:rsidP="00E53339">
      <w:pPr>
        <w:widowControl w:val="0"/>
        <w:autoSpaceDE w:val="0"/>
        <w:autoSpaceDN w:val="0"/>
        <w:adjustRightInd w:val="0"/>
        <w:spacing w:line="276" w:lineRule="auto"/>
        <w:ind w:left="480" w:hanging="480"/>
        <w:rPr>
          <w:noProof/>
        </w:rPr>
      </w:pPr>
      <w:r w:rsidRPr="00860DA2">
        <w:rPr>
          <w:noProof/>
        </w:rPr>
        <w:t>Schmechtig, Pedro and Martin Grajner</w:t>
      </w:r>
      <w:r w:rsidR="00A07C41" w:rsidRPr="00860DA2">
        <w:rPr>
          <w:noProof/>
        </w:rPr>
        <w:t>, ed</w:t>
      </w:r>
      <w:r w:rsidRPr="00860DA2">
        <w:rPr>
          <w:noProof/>
        </w:rPr>
        <w:t xml:space="preserve">. 2016. </w:t>
      </w:r>
      <w:r w:rsidRPr="00860DA2">
        <w:rPr>
          <w:noProof/>
          <w:u w:val="single"/>
        </w:rPr>
        <w:t>Epistemic Reasons, Norms and Goals</w:t>
      </w:r>
      <w:r w:rsidR="00A07C41" w:rsidRPr="00860DA2">
        <w:rPr>
          <w:noProof/>
        </w:rPr>
        <w:t xml:space="preserve"> (</w:t>
      </w:r>
      <w:r w:rsidRPr="00860DA2">
        <w:rPr>
          <w:noProof/>
        </w:rPr>
        <w:t>Berlin: De Gruyter</w:t>
      </w:r>
      <w:r w:rsidR="00A07C41" w:rsidRPr="00860DA2">
        <w:rPr>
          <w:noProof/>
        </w:rPr>
        <w:t>)</w:t>
      </w:r>
      <w:r w:rsidRPr="00860DA2">
        <w:rPr>
          <w:noProof/>
        </w:rPr>
        <w:t>.</w:t>
      </w:r>
    </w:p>
    <w:p w14:paraId="4A73BE31" w14:textId="63C1BA8E" w:rsidR="003155DB" w:rsidRPr="00860DA2" w:rsidRDefault="003155DB" w:rsidP="00E53339">
      <w:pPr>
        <w:widowControl w:val="0"/>
        <w:autoSpaceDE w:val="0"/>
        <w:autoSpaceDN w:val="0"/>
        <w:adjustRightInd w:val="0"/>
        <w:spacing w:line="276" w:lineRule="auto"/>
        <w:ind w:left="480" w:hanging="480"/>
        <w:rPr>
          <w:noProof/>
        </w:rPr>
      </w:pPr>
      <w:r w:rsidRPr="00860DA2">
        <w:rPr>
          <w:noProof/>
        </w:rPr>
        <w:t>Schnee, Ian. 2015. “There Is No Knowledge from Falsehood</w:t>
      </w:r>
      <w:r w:rsidR="005D4E28" w:rsidRPr="00860DA2">
        <w:rPr>
          <w:noProof/>
        </w:rPr>
        <w:t>,</w:t>
      </w:r>
      <w:r w:rsidRPr="00860DA2">
        <w:rPr>
          <w:noProof/>
        </w:rPr>
        <w:t xml:space="preserve">” </w:t>
      </w:r>
      <w:r w:rsidRPr="00860DA2">
        <w:rPr>
          <w:iCs/>
          <w:noProof/>
          <w:u w:val="single"/>
        </w:rPr>
        <w:t>Episteme</w:t>
      </w:r>
      <w:r w:rsidR="00F15F2C" w:rsidRPr="00860DA2">
        <w:rPr>
          <w:iCs/>
          <w:noProof/>
        </w:rPr>
        <w:t xml:space="preserve">, </w:t>
      </w:r>
      <w:r w:rsidR="00F15F2C" w:rsidRPr="00860DA2">
        <w:t>vol.</w:t>
      </w:r>
      <w:r w:rsidRPr="00860DA2">
        <w:rPr>
          <w:noProof/>
        </w:rPr>
        <w:t xml:space="preserve"> 12</w:t>
      </w:r>
      <w:r w:rsidR="003A11F8" w:rsidRPr="00860DA2">
        <w:rPr>
          <w:noProof/>
        </w:rPr>
        <w:t>, no. 1, pp.</w:t>
      </w:r>
      <w:r w:rsidRPr="00860DA2">
        <w:rPr>
          <w:noProof/>
        </w:rPr>
        <w:t xml:space="preserve"> 53–74.</w:t>
      </w:r>
    </w:p>
    <w:p w14:paraId="555434A4" w14:textId="1A1EC243"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2016. “Basic Factive Perceptual Reasons</w:t>
      </w:r>
      <w:r w:rsidR="005D4E28" w:rsidRPr="00860DA2">
        <w:rPr>
          <w:noProof/>
        </w:rPr>
        <w:t>,</w:t>
      </w:r>
      <w:r w:rsidRPr="00860DA2">
        <w:rPr>
          <w:noProof/>
        </w:rPr>
        <w:t xml:space="preserve">” </w:t>
      </w:r>
      <w:r w:rsidRPr="00860DA2">
        <w:rPr>
          <w:iCs/>
          <w:noProof/>
          <w:u w:val="single"/>
        </w:rPr>
        <w:t>Philosophical Studies</w:t>
      </w:r>
      <w:r w:rsidR="00F15F2C" w:rsidRPr="00860DA2">
        <w:rPr>
          <w:iCs/>
          <w:noProof/>
        </w:rPr>
        <w:t xml:space="preserve">, </w:t>
      </w:r>
      <w:r w:rsidR="00F15F2C" w:rsidRPr="00860DA2">
        <w:t>vol.</w:t>
      </w:r>
      <w:r w:rsidRPr="00860DA2">
        <w:rPr>
          <w:noProof/>
        </w:rPr>
        <w:t xml:space="preserve"> 173</w:t>
      </w:r>
      <w:r w:rsidR="009A21D6" w:rsidRPr="00860DA2">
        <w:rPr>
          <w:noProof/>
        </w:rPr>
        <w:t>, no. 4, pp.</w:t>
      </w:r>
      <w:r w:rsidRPr="00860DA2">
        <w:rPr>
          <w:noProof/>
        </w:rPr>
        <w:t xml:space="preserve"> 1103–</w:t>
      </w:r>
      <w:r w:rsidR="009A21D6" w:rsidRPr="00860DA2">
        <w:rPr>
          <w:noProof/>
        </w:rPr>
        <w:t>11</w:t>
      </w:r>
      <w:r w:rsidRPr="00860DA2">
        <w:rPr>
          <w:noProof/>
        </w:rPr>
        <w:t>18.</w:t>
      </w:r>
    </w:p>
    <w:p w14:paraId="1A74656D" w14:textId="290F54AA" w:rsidR="003155DB" w:rsidRPr="00860DA2" w:rsidRDefault="003155DB" w:rsidP="00E53339">
      <w:pPr>
        <w:widowControl w:val="0"/>
        <w:autoSpaceDE w:val="0"/>
        <w:autoSpaceDN w:val="0"/>
        <w:adjustRightInd w:val="0"/>
        <w:spacing w:line="276" w:lineRule="auto"/>
        <w:ind w:left="480" w:hanging="480"/>
        <w:rPr>
          <w:noProof/>
        </w:rPr>
      </w:pPr>
      <w:r w:rsidRPr="00860DA2">
        <w:rPr>
          <w:noProof/>
        </w:rPr>
        <w:t>Schönbaumsfeld, Genia. 2016. “'Hinge Propositions' and the 'Logical' Exclusion of Doubt</w:t>
      </w:r>
      <w:r w:rsidR="005D4E28" w:rsidRPr="00860DA2">
        <w:rPr>
          <w:noProof/>
        </w:rPr>
        <w:t>,</w:t>
      </w:r>
      <w:r w:rsidRPr="00860DA2">
        <w:rPr>
          <w:noProof/>
        </w:rPr>
        <w:t xml:space="preserve">” </w:t>
      </w:r>
      <w:r w:rsidRPr="00860DA2">
        <w:rPr>
          <w:noProof/>
          <w:u w:val="single"/>
        </w:rPr>
        <w:t>International Journal for the Study of Skepticism</w:t>
      </w:r>
      <w:r w:rsidR="00F15F2C" w:rsidRPr="00860DA2">
        <w:rPr>
          <w:noProof/>
        </w:rPr>
        <w:t xml:space="preserve">, </w:t>
      </w:r>
      <w:r w:rsidR="00F15F2C" w:rsidRPr="00860DA2">
        <w:t>vol.</w:t>
      </w:r>
      <w:r w:rsidRPr="00860DA2">
        <w:rPr>
          <w:noProof/>
        </w:rPr>
        <w:t xml:space="preserve"> 6</w:t>
      </w:r>
      <w:r w:rsidR="009A21D6" w:rsidRPr="00860DA2">
        <w:rPr>
          <w:noProof/>
        </w:rPr>
        <w:t>, no. 2-3, pp.</w:t>
      </w:r>
      <w:r w:rsidRPr="00860DA2">
        <w:rPr>
          <w:noProof/>
        </w:rPr>
        <w:t xml:space="preserve"> 165–181. </w:t>
      </w:r>
    </w:p>
    <w:p w14:paraId="7E63C502" w14:textId="4C2FCCCF" w:rsidR="003155DB" w:rsidRPr="00860DA2" w:rsidRDefault="003155DB" w:rsidP="00E53339">
      <w:pPr>
        <w:widowControl w:val="0"/>
        <w:autoSpaceDE w:val="0"/>
        <w:autoSpaceDN w:val="0"/>
        <w:adjustRightInd w:val="0"/>
        <w:spacing w:line="276" w:lineRule="auto"/>
        <w:ind w:left="480" w:hanging="480"/>
        <w:rPr>
          <w:noProof/>
        </w:rPr>
      </w:pPr>
      <w:r w:rsidRPr="00860DA2">
        <w:rPr>
          <w:noProof/>
        </w:rPr>
        <w:t>Silins, Nicholas. 2012. “Explaining Perceptual Entitlement</w:t>
      </w:r>
      <w:r w:rsidR="005D4E28" w:rsidRPr="00860DA2">
        <w:rPr>
          <w:noProof/>
        </w:rPr>
        <w:t>,</w:t>
      </w:r>
      <w:r w:rsidRPr="00860DA2">
        <w:rPr>
          <w:noProof/>
        </w:rPr>
        <w:t xml:space="preserve">” </w:t>
      </w:r>
      <w:r w:rsidRPr="00860DA2">
        <w:rPr>
          <w:iCs/>
          <w:noProof/>
          <w:u w:val="single"/>
        </w:rPr>
        <w:t>Erkenntnis</w:t>
      </w:r>
      <w:r w:rsidR="00F15F2C" w:rsidRPr="00860DA2">
        <w:rPr>
          <w:iCs/>
          <w:noProof/>
        </w:rPr>
        <w:t xml:space="preserve">, </w:t>
      </w:r>
      <w:r w:rsidR="00F15F2C" w:rsidRPr="00860DA2">
        <w:t>vol.</w:t>
      </w:r>
      <w:r w:rsidRPr="00860DA2">
        <w:rPr>
          <w:noProof/>
        </w:rPr>
        <w:t xml:space="preserve"> 76</w:t>
      </w:r>
      <w:r w:rsidR="009A21D6" w:rsidRPr="00860DA2">
        <w:rPr>
          <w:noProof/>
        </w:rPr>
        <w:t>, no. 2, pp.</w:t>
      </w:r>
      <w:r w:rsidRPr="00860DA2">
        <w:rPr>
          <w:noProof/>
        </w:rPr>
        <w:t xml:space="preserve"> 243–</w:t>
      </w:r>
      <w:r w:rsidR="009A21D6" w:rsidRPr="00860DA2">
        <w:rPr>
          <w:noProof/>
        </w:rPr>
        <w:t>2</w:t>
      </w:r>
      <w:r w:rsidRPr="00860DA2">
        <w:rPr>
          <w:noProof/>
        </w:rPr>
        <w:t>61.</w:t>
      </w:r>
    </w:p>
    <w:p w14:paraId="5489E9B1" w14:textId="13FAD871" w:rsidR="003155DB" w:rsidRPr="00860DA2" w:rsidRDefault="003155DB" w:rsidP="00E53339">
      <w:pPr>
        <w:widowControl w:val="0"/>
        <w:autoSpaceDE w:val="0"/>
        <w:autoSpaceDN w:val="0"/>
        <w:adjustRightInd w:val="0"/>
        <w:spacing w:line="276" w:lineRule="auto"/>
        <w:ind w:left="480" w:hanging="480"/>
        <w:rPr>
          <w:noProof/>
        </w:rPr>
      </w:pPr>
      <w:r w:rsidRPr="00860DA2">
        <w:rPr>
          <w:noProof/>
        </w:rPr>
        <w:t>Silva, Paul. 2013. “How to be Conservative: A Partial Defense of Epistemic Conservativism</w:t>
      </w:r>
      <w:r w:rsidR="005D4E28" w:rsidRPr="00860DA2">
        <w:rPr>
          <w:noProof/>
        </w:rPr>
        <w:t>,</w:t>
      </w:r>
      <w:r w:rsidRPr="00860DA2">
        <w:rPr>
          <w:noProof/>
        </w:rPr>
        <w:t xml:space="preserve">” </w:t>
      </w:r>
      <w:r w:rsidRPr="00860DA2">
        <w:rPr>
          <w:noProof/>
          <w:u w:val="single"/>
        </w:rPr>
        <w:t>Australasian Journal of Philosophy</w:t>
      </w:r>
      <w:r w:rsidR="00F15F2C" w:rsidRPr="00860DA2">
        <w:rPr>
          <w:noProof/>
        </w:rPr>
        <w:t xml:space="preserve">, </w:t>
      </w:r>
      <w:r w:rsidR="00F15F2C" w:rsidRPr="00860DA2">
        <w:t>vol.</w:t>
      </w:r>
      <w:r w:rsidRPr="00860DA2">
        <w:rPr>
          <w:noProof/>
        </w:rPr>
        <w:t xml:space="preserve"> 9</w:t>
      </w:r>
      <w:r w:rsidR="005D4E28" w:rsidRPr="00860DA2">
        <w:rPr>
          <w:noProof/>
        </w:rPr>
        <w:t>1, no. 3, pp.</w:t>
      </w:r>
      <w:r w:rsidRPr="00860DA2">
        <w:rPr>
          <w:noProof/>
        </w:rPr>
        <w:t xml:space="preserve"> 501–</w:t>
      </w:r>
      <w:r w:rsidR="008C20EE" w:rsidRPr="00860DA2">
        <w:rPr>
          <w:noProof/>
        </w:rPr>
        <w:t>5</w:t>
      </w:r>
      <w:r w:rsidRPr="00860DA2">
        <w:rPr>
          <w:noProof/>
        </w:rPr>
        <w:t>14.</w:t>
      </w:r>
    </w:p>
    <w:p w14:paraId="49D710D4" w14:textId="4D782CB5" w:rsidR="003155DB" w:rsidRPr="00860DA2" w:rsidRDefault="003155DB" w:rsidP="00E53339">
      <w:pPr>
        <w:widowControl w:val="0"/>
        <w:autoSpaceDE w:val="0"/>
        <w:autoSpaceDN w:val="0"/>
        <w:adjustRightInd w:val="0"/>
        <w:spacing w:line="276" w:lineRule="auto"/>
        <w:ind w:left="480" w:hanging="480"/>
        <w:rPr>
          <w:noProof/>
        </w:rPr>
      </w:pPr>
      <w:r w:rsidRPr="00860DA2">
        <w:rPr>
          <w:noProof/>
        </w:rPr>
        <w:t>Simion, Mona, and Christoph Kelp. 2018. “How to Be an Anti-Reductionist</w:t>
      </w:r>
      <w:r w:rsidR="005D4E28" w:rsidRPr="00860DA2">
        <w:rPr>
          <w:noProof/>
        </w:rPr>
        <w:t>,</w:t>
      </w:r>
      <w:r w:rsidRPr="00860DA2">
        <w:rPr>
          <w:noProof/>
        </w:rPr>
        <w:t xml:space="preserve">” </w:t>
      </w:r>
      <w:r w:rsidRPr="00860DA2">
        <w:rPr>
          <w:iCs/>
          <w:noProof/>
          <w:u w:val="single"/>
        </w:rPr>
        <w:t>Synthese</w:t>
      </w:r>
      <w:r w:rsidRPr="00860DA2">
        <w:rPr>
          <w:noProof/>
        </w:rPr>
        <w:t>, March.</w:t>
      </w:r>
    </w:p>
    <w:p w14:paraId="5AAD7393" w14:textId="194E107D" w:rsidR="003155DB" w:rsidRPr="00860DA2" w:rsidRDefault="003155DB" w:rsidP="00E53339">
      <w:pPr>
        <w:widowControl w:val="0"/>
        <w:autoSpaceDE w:val="0"/>
        <w:autoSpaceDN w:val="0"/>
        <w:adjustRightInd w:val="0"/>
        <w:spacing w:line="276" w:lineRule="auto"/>
        <w:ind w:left="480" w:hanging="480"/>
        <w:rPr>
          <w:noProof/>
        </w:rPr>
      </w:pPr>
      <w:r w:rsidRPr="00860DA2">
        <w:rPr>
          <w:noProof/>
        </w:rPr>
        <w:t>Smith, Martin. 2013. “Entitlement and Evidence</w:t>
      </w:r>
      <w:r w:rsidR="005D4E28" w:rsidRPr="00860DA2">
        <w:rPr>
          <w:noProof/>
        </w:rPr>
        <w:t>,</w:t>
      </w:r>
      <w:r w:rsidRPr="00860DA2">
        <w:rPr>
          <w:noProof/>
        </w:rPr>
        <w:t xml:space="preserve">” </w:t>
      </w:r>
      <w:r w:rsidRPr="00860DA2">
        <w:rPr>
          <w:iCs/>
          <w:noProof/>
          <w:u w:val="single"/>
        </w:rPr>
        <w:t>Australasian Journal of Philosophy</w:t>
      </w:r>
      <w:r w:rsidR="00F15F2C" w:rsidRPr="00860DA2">
        <w:rPr>
          <w:iCs/>
          <w:noProof/>
        </w:rPr>
        <w:t xml:space="preserve">, </w:t>
      </w:r>
      <w:r w:rsidR="00F15F2C" w:rsidRPr="00860DA2">
        <w:t>vol.</w:t>
      </w:r>
      <w:r w:rsidRPr="00860DA2">
        <w:rPr>
          <w:noProof/>
        </w:rPr>
        <w:t xml:space="preserve"> 91</w:t>
      </w:r>
      <w:r w:rsidR="009A21D6" w:rsidRPr="00860DA2">
        <w:rPr>
          <w:noProof/>
        </w:rPr>
        <w:t>, no. 4, pp.</w:t>
      </w:r>
      <w:r w:rsidRPr="00860DA2">
        <w:rPr>
          <w:noProof/>
        </w:rPr>
        <w:t xml:space="preserve"> 735–</w:t>
      </w:r>
      <w:r w:rsidR="008C20EE" w:rsidRPr="00860DA2">
        <w:rPr>
          <w:noProof/>
        </w:rPr>
        <w:t>7</w:t>
      </w:r>
      <w:r w:rsidRPr="00860DA2">
        <w:rPr>
          <w:noProof/>
        </w:rPr>
        <w:t xml:space="preserve">53. </w:t>
      </w:r>
    </w:p>
    <w:p w14:paraId="4B37B115" w14:textId="6CFD2DA6"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2019. “Full Blooded Entitlement</w:t>
      </w:r>
      <w:r w:rsidR="005D4E28" w:rsidRPr="00860DA2">
        <w:rPr>
          <w:noProof/>
        </w:rPr>
        <w:t>,</w:t>
      </w:r>
      <w:r w:rsidRPr="00860DA2">
        <w:rPr>
          <w:noProof/>
        </w:rPr>
        <w:t xml:space="preserve">” </w:t>
      </w:r>
      <w:r w:rsidR="00C66DA0" w:rsidRPr="00860DA2">
        <w:rPr>
          <w:noProof/>
        </w:rPr>
        <w:t>i</w:t>
      </w:r>
      <w:r w:rsidRPr="00860DA2">
        <w:rPr>
          <w:noProof/>
        </w:rPr>
        <w:t xml:space="preserve">n </w:t>
      </w:r>
      <w:r w:rsidRPr="00860DA2">
        <w:rPr>
          <w:iCs/>
          <w:noProof/>
          <w:u w:val="single"/>
        </w:rPr>
        <w:t>Epistemic Entitlement</w:t>
      </w:r>
      <w:r w:rsidRPr="00860DA2">
        <w:rPr>
          <w:noProof/>
        </w:rPr>
        <w:t xml:space="preserve">, </w:t>
      </w:r>
      <w:r w:rsidR="0042293C" w:rsidRPr="00860DA2">
        <w:rPr>
          <w:noProof/>
        </w:rPr>
        <w:t>ed.</w:t>
      </w:r>
      <w:r w:rsidRPr="00860DA2">
        <w:rPr>
          <w:noProof/>
        </w:rPr>
        <w:t xml:space="preserve"> Peter J. Graham and Nikolaj Jang Lee Linding Pedersen</w:t>
      </w:r>
      <w:r w:rsidR="00C66DA0" w:rsidRPr="00860DA2">
        <w:rPr>
          <w:noProof/>
        </w:rPr>
        <w:t xml:space="preserve"> (</w:t>
      </w:r>
      <w:r w:rsidRPr="00860DA2">
        <w:rPr>
          <w:noProof/>
        </w:rPr>
        <w:t>Oxford, UK: Oxford University Press</w:t>
      </w:r>
      <w:r w:rsidR="00C66DA0" w:rsidRPr="00860DA2">
        <w:rPr>
          <w:noProof/>
        </w:rPr>
        <w:t>)</w:t>
      </w:r>
      <w:r w:rsidRPr="00860DA2">
        <w:rPr>
          <w:noProof/>
        </w:rPr>
        <w:t>.</w:t>
      </w:r>
    </w:p>
    <w:p w14:paraId="329154F0" w14:textId="55AA7F94" w:rsidR="003155DB" w:rsidRPr="00860DA2" w:rsidRDefault="003155DB" w:rsidP="00E53339">
      <w:pPr>
        <w:widowControl w:val="0"/>
        <w:autoSpaceDE w:val="0"/>
        <w:autoSpaceDN w:val="0"/>
        <w:adjustRightInd w:val="0"/>
        <w:spacing w:line="276" w:lineRule="auto"/>
        <w:ind w:left="480" w:hanging="480"/>
        <w:rPr>
          <w:noProof/>
        </w:rPr>
      </w:pPr>
      <w:r w:rsidRPr="00860DA2">
        <w:rPr>
          <w:noProof/>
        </w:rPr>
        <w:t>Smithies, Declan. 2018. “Perception and Reasons</w:t>
      </w:r>
      <w:r w:rsidR="005D4E28" w:rsidRPr="00860DA2">
        <w:rPr>
          <w:noProof/>
        </w:rPr>
        <w:t>,</w:t>
      </w:r>
      <w:r w:rsidRPr="00860DA2">
        <w:rPr>
          <w:noProof/>
        </w:rPr>
        <w:t xml:space="preserve">” </w:t>
      </w:r>
      <w:r w:rsidR="00C66DA0" w:rsidRPr="00860DA2">
        <w:rPr>
          <w:noProof/>
        </w:rPr>
        <w:t>i</w:t>
      </w:r>
      <w:r w:rsidRPr="00860DA2">
        <w:rPr>
          <w:noProof/>
        </w:rPr>
        <w:t xml:space="preserve">n </w:t>
      </w:r>
      <w:r w:rsidRPr="00860DA2">
        <w:rPr>
          <w:noProof/>
          <w:u w:val="single"/>
        </w:rPr>
        <w:t>The Oxford Handbook of Reasons and Normativity</w:t>
      </w:r>
      <w:r w:rsidRPr="00860DA2">
        <w:rPr>
          <w:noProof/>
        </w:rPr>
        <w:t xml:space="preserve">, </w:t>
      </w:r>
      <w:r w:rsidR="0042293C" w:rsidRPr="00860DA2">
        <w:rPr>
          <w:noProof/>
        </w:rPr>
        <w:t>ed.</w:t>
      </w:r>
      <w:r w:rsidRPr="00860DA2">
        <w:rPr>
          <w:noProof/>
        </w:rPr>
        <w:t xml:space="preserve"> Daniel Star</w:t>
      </w:r>
      <w:r w:rsidR="00C66DA0" w:rsidRPr="00860DA2">
        <w:rPr>
          <w:noProof/>
        </w:rPr>
        <w:t xml:space="preserve"> (</w:t>
      </w:r>
      <w:r w:rsidRPr="00860DA2">
        <w:rPr>
          <w:noProof/>
        </w:rPr>
        <w:t>Oxford, UK: Oxford University Press</w:t>
      </w:r>
      <w:r w:rsidR="00C66DA0" w:rsidRPr="00860DA2">
        <w:rPr>
          <w:noProof/>
        </w:rPr>
        <w:t>), pp. 631-630</w:t>
      </w:r>
      <w:r w:rsidRPr="00860DA2">
        <w:rPr>
          <w:noProof/>
        </w:rPr>
        <w:t>.</w:t>
      </w:r>
    </w:p>
    <w:p w14:paraId="0C743AA8" w14:textId="62DB500B" w:rsidR="003155DB" w:rsidRPr="00860DA2" w:rsidRDefault="003155DB" w:rsidP="00E53339">
      <w:pPr>
        <w:widowControl w:val="0"/>
        <w:autoSpaceDE w:val="0"/>
        <w:autoSpaceDN w:val="0"/>
        <w:adjustRightInd w:val="0"/>
        <w:spacing w:line="276" w:lineRule="auto"/>
        <w:ind w:left="480" w:hanging="480"/>
        <w:rPr>
          <w:noProof/>
        </w:rPr>
      </w:pPr>
      <w:r w:rsidRPr="00860DA2">
        <w:rPr>
          <w:noProof/>
        </w:rPr>
        <w:t>Sosa, Ernest. 1994. “Philosophical Scepticism and Epistemic Circularity</w:t>
      </w:r>
      <w:r w:rsidR="005D4E28" w:rsidRPr="00860DA2">
        <w:rPr>
          <w:noProof/>
        </w:rPr>
        <w:t>,</w:t>
      </w:r>
      <w:r w:rsidRPr="00860DA2">
        <w:rPr>
          <w:noProof/>
        </w:rPr>
        <w:t xml:space="preserve">” </w:t>
      </w:r>
      <w:r w:rsidRPr="00860DA2">
        <w:rPr>
          <w:iCs/>
          <w:noProof/>
          <w:u w:val="single"/>
        </w:rPr>
        <w:t>Proceedings of the Aristotelian Society</w:t>
      </w:r>
      <w:r w:rsidR="00F15F2C" w:rsidRPr="00860DA2">
        <w:rPr>
          <w:iCs/>
          <w:noProof/>
        </w:rPr>
        <w:t xml:space="preserve">, </w:t>
      </w:r>
      <w:r w:rsidR="00F15F2C" w:rsidRPr="00860DA2">
        <w:t>vol.</w:t>
      </w:r>
      <w:r w:rsidRPr="00860DA2">
        <w:rPr>
          <w:noProof/>
        </w:rPr>
        <w:t xml:space="preserve"> 68</w:t>
      </w:r>
      <w:r w:rsidR="009A21D6" w:rsidRPr="00860DA2">
        <w:rPr>
          <w:noProof/>
        </w:rPr>
        <w:t>, pp.</w:t>
      </w:r>
      <w:r w:rsidRPr="00860DA2">
        <w:rPr>
          <w:noProof/>
        </w:rPr>
        <w:t xml:space="preserve"> 263–</w:t>
      </w:r>
      <w:r w:rsidR="008C20EE" w:rsidRPr="00860DA2">
        <w:rPr>
          <w:noProof/>
        </w:rPr>
        <w:t>2</w:t>
      </w:r>
      <w:r w:rsidRPr="00860DA2">
        <w:rPr>
          <w:noProof/>
        </w:rPr>
        <w:t>90.</w:t>
      </w:r>
    </w:p>
    <w:p w14:paraId="61FAECBC" w14:textId="37B9DC64" w:rsidR="003155DB" w:rsidRPr="00860DA2" w:rsidRDefault="003155DB" w:rsidP="00E53339">
      <w:pPr>
        <w:widowControl w:val="0"/>
        <w:autoSpaceDE w:val="0"/>
        <w:autoSpaceDN w:val="0"/>
        <w:adjustRightInd w:val="0"/>
        <w:spacing w:line="276" w:lineRule="auto"/>
        <w:ind w:left="480" w:hanging="480"/>
        <w:rPr>
          <w:noProof/>
        </w:rPr>
      </w:pPr>
      <w:r w:rsidRPr="00860DA2">
        <w:rPr>
          <w:noProof/>
        </w:rPr>
        <w:t>Stalnaker, Robert. 2002. “Epistemic Consequentialism</w:t>
      </w:r>
      <w:r w:rsidR="005D4E28" w:rsidRPr="00860DA2">
        <w:rPr>
          <w:noProof/>
        </w:rPr>
        <w:t>,</w:t>
      </w:r>
      <w:r w:rsidRPr="00860DA2">
        <w:rPr>
          <w:noProof/>
        </w:rPr>
        <w:t xml:space="preserve">” </w:t>
      </w:r>
      <w:r w:rsidRPr="00860DA2">
        <w:rPr>
          <w:noProof/>
          <w:u w:val="single"/>
        </w:rPr>
        <w:t>Aristotelian Society Supplemental Volume</w:t>
      </w:r>
      <w:r w:rsidR="00F15F2C" w:rsidRPr="00860DA2">
        <w:rPr>
          <w:noProof/>
        </w:rPr>
        <w:t xml:space="preserve">, </w:t>
      </w:r>
      <w:r w:rsidR="00F15F2C" w:rsidRPr="00860DA2">
        <w:t>vol.</w:t>
      </w:r>
      <w:r w:rsidRPr="00860DA2">
        <w:rPr>
          <w:i/>
          <w:noProof/>
        </w:rPr>
        <w:t xml:space="preserve"> </w:t>
      </w:r>
      <w:r w:rsidRPr="00860DA2">
        <w:rPr>
          <w:noProof/>
        </w:rPr>
        <w:t>76</w:t>
      </w:r>
      <w:r w:rsidR="009A21D6" w:rsidRPr="00860DA2">
        <w:rPr>
          <w:noProof/>
        </w:rPr>
        <w:t>, no. 1, pp.</w:t>
      </w:r>
      <w:r w:rsidRPr="00860DA2">
        <w:rPr>
          <w:noProof/>
        </w:rPr>
        <w:t xml:space="preserve"> 153-168. </w:t>
      </w:r>
    </w:p>
    <w:p w14:paraId="7258E0DB" w14:textId="7048BC78" w:rsidR="003155DB" w:rsidRPr="00860DA2" w:rsidRDefault="003155DB" w:rsidP="00E53339">
      <w:pPr>
        <w:widowControl w:val="0"/>
        <w:autoSpaceDE w:val="0"/>
        <w:autoSpaceDN w:val="0"/>
        <w:adjustRightInd w:val="0"/>
        <w:spacing w:line="276" w:lineRule="auto"/>
        <w:ind w:left="480" w:hanging="480"/>
        <w:rPr>
          <w:noProof/>
        </w:rPr>
      </w:pPr>
      <w:r w:rsidRPr="00860DA2">
        <w:rPr>
          <w:noProof/>
        </w:rPr>
        <w:t>Stroud, Barry. 1994. “Scepticism, ‘Externalism’, and the Goal of Epistemology</w:t>
      </w:r>
      <w:r w:rsidR="005D4E28" w:rsidRPr="00860DA2">
        <w:rPr>
          <w:noProof/>
        </w:rPr>
        <w:t>,</w:t>
      </w:r>
      <w:r w:rsidRPr="00860DA2">
        <w:rPr>
          <w:noProof/>
        </w:rPr>
        <w:t xml:space="preserve">” </w:t>
      </w:r>
      <w:r w:rsidRPr="00860DA2">
        <w:rPr>
          <w:iCs/>
          <w:noProof/>
          <w:u w:val="single"/>
        </w:rPr>
        <w:t>Proceedings of the Aristotelian Society</w:t>
      </w:r>
      <w:r w:rsidR="00F15F2C" w:rsidRPr="00860DA2">
        <w:rPr>
          <w:iCs/>
          <w:noProof/>
        </w:rPr>
        <w:t xml:space="preserve">, </w:t>
      </w:r>
      <w:r w:rsidR="00F15F2C" w:rsidRPr="00860DA2">
        <w:t>vol.</w:t>
      </w:r>
      <w:r w:rsidRPr="00860DA2">
        <w:rPr>
          <w:noProof/>
        </w:rPr>
        <w:t xml:space="preserve"> 68</w:t>
      </w:r>
      <w:r w:rsidR="009A21D6" w:rsidRPr="00860DA2">
        <w:rPr>
          <w:noProof/>
        </w:rPr>
        <w:t>, pp.</w:t>
      </w:r>
      <w:r w:rsidRPr="00860DA2">
        <w:rPr>
          <w:noProof/>
        </w:rPr>
        <w:t xml:space="preserve"> 291–307.</w:t>
      </w:r>
    </w:p>
    <w:p w14:paraId="56B7155D" w14:textId="72198EC5" w:rsidR="003155DB" w:rsidRPr="00860DA2" w:rsidRDefault="003155DB" w:rsidP="00E53339">
      <w:pPr>
        <w:widowControl w:val="0"/>
        <w:autoSpaceDE w:val="0"/>
        <w:autoSpaceDN w:val="0"/>
        <w:adjustRightInd w:val="0"/>
        <w:spacing w:line="276" w:lineRule="auto"/>
        <w:ind w:left="480" w:hanging="480"/>
        <w:rPr>
          <w:noProof/>
        </w:rPr>
      </w:pPr>
      <w:r w:rsidRPr="00860DA2">
        <w:rPr>
          <w:noProof/>
        </w:rPr>
        <w:t>Sylvan, Kurt. 2016a. “Epistemic Reasons I: Normativity</w:t>
      </w:r>
      <w:r w:rsidR="001F35FE" w:rsidRPr="00860DA2">
        <w:rPr>
          <w:noProof/>
        </w:rPr>
        <w:t>,</w:t>
      </w:r>
      <w:r w:rsidRPr="00860DA2">
        <w:rPr>
          <w:noProof/>
        </w:rPr>
        <w:t xml:space="preserve">” </w:t>
      </w:r>
      <w:r w:rsidRPr="00860DA2">
        <w:rPr>
          <w:iCs/>
          <w:noProof/>
          <w:u w:val="single"/>
        </w:rPr>
        <w:t>Philosophy Compass</w:t>
      </w:r>
      <w:r w:rsidR="00F15F2C" w:rsidRPr="00860DA2">
        <w:rPr>
          <w:iCs/>
          <w:noProof/>
        </w:rPr>
        <w:t xml:space="preserve">, </w:t>
      </w:r>
      <w:r w:rsidR="00F15F2C" w:rsidRPr="00860DA2">
        <w:t>vol.</w:t>
      </w:r>
      <w:r w:rsidRPr="00860DA2">
        <w:rPr>
          <w:noProof/>
        </w:rPr>
        <w:t xml:space="preserve"> 11</w:t>
      </w:r>
      <w:r w:rsidR="009A21D6" w:rsidRPr="00860DA2">
        <w:rPr>
          <w:noProof/>
        </w:rPr>
        <w:t xml:space="preserve">, no. 4, pp. </w:t>
      </w:r>
      <w:r w:rsidRPr="00860DA2">
        <w:rPr>
          <w:noProof/>
        </w:rPr>
        <w:t xml:space="preserve"> 364–</w:t>
      </w:r>
      <w:r w:rsidR="009A21D6" w:rsidRPr="00860DA2">
        <w:rPr>
          <w:noProof/>
        </w:rPr>
        <w:t>3</w:t>
      </w:r>
      <w:r w:rsidRPr="00860DA2">
        <w:rPr>
          <w:noProof/>
        </w:rPr>
        <w:t xml:space="preserve">76. </w:t>
      </w:r>
    </w:p>
    <w:p w14:paraId="48BB6887" w14:textId="5987048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2016b. “Epistemic Reasons II: Basing</w:t>
      </w:r>
      <w:r w:rsidR="001F35FE" w:rsidRPr="00860DA2">
        <w:rPr>
          <w:noProof/>
        </w:rPr>
        <w:t>,</w:t>
      </w:r>
      <w:r w:rsidRPr="00860DA2">
        <w:rPr>
          <w:noProof/>
        </w:rPr>
        <w:t xml:space="preserve">” </w:t>
      </w:r>
      <w:r w:rsidRPr="00860DA2">
        <w:rPr>
          <w:iCs/>
          <w:noProof/>
          <w:u w:val="single"/>
        </w:rPr>
        <w:t>Philosophy Compass</w:t>
      </w:r>
      <w:r w:rsidR="00F15F2C" w:rsidRPr="00860DA2">
        <w:rPr>
          <w:iCs/>
          <w:noProof/>
        </w:rPr>
        <w:t xml:space="preserve">, </w:t>
      </w:r>
      <w:r w:rsidR="00F15F2C" w:rsidRPr="00860DA2">
        <w:t>vol.</w:t>
      </w:r>
      <w:r w:rsidRPr="00860DA2">
        <w:rPr>
          <w:noProof/>
        </w:rPr>
        <w:t xml:space="preserve"> 11</w:t>
      </w:r>
      <w:r w:rsidR="009A21D6" w:rsidRPr="00860DA2">
        <w:rPr>
          <w:noProof/>
        </w:rPr>
        <w:t>, no. 7, pp.</w:t>
      </w:r>
      <w:r w:rsidRPr="00860DA2">
        <w:rPr>
          <w:noProof/>
        </w:rPr>
        <w:t xml:space="preserve"> 377–</w:t>
      </w:r>
      <w:r w:rsidR="009A21D6" w:rsidRPr="00860DA2">
        <w:rPr>
          <w:noProof/>
        </w:rPr>
        <w:t>3</w:t>
      </w:r>
      <w:r w:rsidRPr="00860DA2">
        <w:rPr>
          <w:noProof/>
        </w:rPr>
        <w:t xml:space="preserve">89. </w:t>
      </w:r>
    </w:p>
    <w:p w14:paraId="58A5D16B" w14:textId="68C56550" w:rsidR="003155DB" w:rsidRPr="00860DA2" w:rsidRDefault="003155DB" w:rsidP="00E53339">
      <w:pPr>
        <w:widowControl w:val="0"/>
        <w:autoSpaceDE w:val="0"/>
        <w:autoSpaceDN w:val="0"/>
        <w:adjustRightInd w:val="0"/>
        <w:spacing w:line="276" w:lineRule="auto"/>
        <w:ind w:left="480" w:hanging="480"/>
        <w:rPr>
          <w:noProof/>
        </w:rPr>
      </w:pPr>
      <w:r w:rsidRPr="00860DA2">
        <w:rPr>
          <w:noProof/>
        </w:rPr>
        <w:t>Sylvan, Kurt and Ernest Sosa. “The Place of Reasons in Epistemology</w:t>
      </w:r>
      <w:r w:rsidR="001F35FE" w:rsidRPr="00860DA2">
        <w:rPr>
          <w:noProof/>
        </w:rPr>
        <w:t>,</w:t>
      </w:r>
      <w:r w:rsidRPr="00860DA2">
        <w:rPr>
          <w:noProof/>
        </w:rPr>
        <w:t xml:space="preserve">” </w:t>
      </w:r>
      <w:r w:rsidR="00C66DA0" w:rsidRPr="00860DA2">
        <w:rPr>
          <w:noProof/>
        </w:rPr>
        <w:t>i</w:t>
      </w:r>
      <w:r w:rsidRPr="00860DA2">
        <w:rPr>
          <w:noProof/>
        </w:rPr>
        <w:t xml:space="preserve">n </w:t>
      </w:r>
      <w:r w:rsidRPr="00860DA2">
        <w:rPr>
          <w:noProof/>
          <w:u w:val="single"/>
        </w:rPr>
        <w:t>The Oxford Handbook of Reasons and Normativity</w:t>
      </w:r>
      <w:r w:rsidRPr="00860DA2">
        <w:rPr>
          <w:noProof/>
        </w:rPr>
        <w:t xml:space="preserve">, </w:t>
      </w:r>
      <w:r w:rsidR="0042293C" w:rsidRPr="00860DA2">
        <w:rPr>
          <w:noProof/>
        </w:rPr>
        <w:t>ed.</w:t>
      </w:r>
      <w:r w:rsidRPr="00860DA2">
        <w:rPr>
          <w:noProof/>
        </w:rPr>
        <w:t xml:space="preserve"> Daniel Star</w:t>
      </w:r>
      <w:r w:rsidR="00C66DA0" w:rsidRPr="00860DA2">
        <w:rPr>
          <w:noProof/>
        </w:rPr>
        <w:t xml:space="preserve"> (</w:t>
      </w:r>
      <w:r w:rsidRPr="00860DA2">
        <w:rPr>
          <w:noProof/>
        </w:rPr>
        <w:t>Oxford, UK: Oxford University Press</w:t>
      </w:r>
      <w:r w:rsidR="00C66DA0" w:rsidRPr="00860DA2">
        <w:rPr>
          <w:noProof/>
        </w:rPr>
        <w:t>), pp. 555-574</w:t>
      </w:r>
      <w:r w:rsidRPr="00860DA2">
        <w:rPr>
          <w:noProof/>
        </w:rPr>
        <w:t>.</w:t>
      </w:r>
    </w:p>
    <w:p w14:paraId="6C5FCF8F" w14:textId="2BC60E68" w:rsidR="003155DB" w:rsidRPr="00860DA2" w:rsidRDefault="003155DB" w:rsidP="00E53339">
      <w:pPr>
        <w:widowControl w:val="0"/>
        <w:autoSpaceDE w:val="0"/>
        <w:autoSpaceDN w:val="0"/>
        <w:adjustRightInd w:val="0"/>
        <w:spacing w:line="276" w:lineRule="auto"/>
        <w:ind w:left="480" w:hanging="480"/>
        <w:rPr>
          <w:noProof/>
        </w:rPr>
      </w:pPr>
      <w:r w:rsidRPr="00860DA2">
        <w:rPr>
          <w:noProof/>
        </w:rPr>
        <w:t>Tucker, Chris. 2009. “Perceptual Justification and Warrant by Default</w:t>
      </w:r>
      <w:r w:rsidR="001F35FE" w:rsidRPr="00860DA2">
        <w:rPr>
          <w:noProof/>
        </w:rPr>
        <w:t>,</w:t>
      </w:r>
      <w:r w:rsidRPr="00860DA2">
        <w:rPr>
          <w:noProof/>
        </w:rPr>
        <w:t xml:space="preserve">” </w:t>
      </w:r>
      <w:r w:rsidRPr="00860DA2">
        <w:rPr>
          <w:iCs/>
          <w:noProof/>
          <w:u w:val="single"/>
        </w:rPr>
        <w:t>Australasian Journal of Philosophy</w:t>
      </w:r>
      <w:r w:rsidR="00F15F2C" w:rsidRPr="00860DA2">
        <w:rPr>
          <w:iCs/>
          <w:noProof/>
        </w:rPr>
        <w:t xml:space="preserve">, </w:t>
      </w:r>
      <w:r w:rsidR="00F15F2C" w:rsidRPr="00860DA2">
        <w:t>vol.</w:t>
      </w:r>
      <w:r w:rsidRPr="00860DA2">
        <w:rPr>
          <w:noProof/>
        </w:rPr>
        <w:t xml:space="preserve"> 87</w:t>
      </w:r>
      <w:r w:rsidR="009A21D6" w:rsidRPr="00860DA2">
        <w:rPr>
          <w:noProof/>
        </w:rPr>
        <w:t>, no. 3, pp.</w:t>
      </w:r>
      <w:r w:rsidRPr="00860DA2">
        <w:rPr>
          <w:noProof/>
        </w:rPr>
        <w:t xml:space="preserve"> 445–</w:t>
      </w:r>
      <w:r w:rsidR="009A21D6" w:rsidRPr="00860DA2">
        <w:rPr>
          <w:noProof/>
        </w:rPr>
        <w:t>4</w:t>
      </w:r>
      <w:r w:rsidRPr="00860DA2">
        <w:rPr>
          <w:noProof/>
        </w:rPr>
        <w:t>63.</w:t>
      </w:r>
    </w:p>
    <w:p w14:paraId="32AA8B0C" w14:textId="68237150" w:rsidR="003155DB" w:rsidRPr="00860DA2" w:rsidRDefault="003155DB" w:rsidP="00E53339">
      <w:pPr>
        <w:widowControl w:val="0"/>
        <w:autoSpaceDE w:val="0"/>
        <w:autoSpaceDN w:val="0"/>
        <w:adjustRightInd w:val="0"/>
        <w:spacing w:line="276" w:lineRule="auto"/>
        <w:ind w:left="480" w:hanging="480"/>
        <w:rPr>
          <w:noProof/>
        </w:rPr>
      </w:pPr>
      <w:r w:rsidRPr="00860DA2">
        <w:rPr>
          <w:noProof/>
        </w:rPr>
        <w:t>Vahid, Hamid. 2011. “The Concept of Entitlement and its Epistemic Relevance</w:t>
      </w:r>
      <w:r w:rsidR="001F35FE" w:rsidRPr="00860DA2">
        <w:rPr>
          <w:noProof/>
        </w:rPr>
        <w:t>,</w:t>
      </w:r>
      <w:r w:rsidRPr="00860DA2">
        <w:rPr>
          <w:noProof/>
        </w:rPr>
        <w:t xml:space="preserve">” </w:t>
      </w:r>
      <w:r w:rsidRPr="00860DA2">
        <w:rPr>
          <w:iCs/>
          <w:noProof/>
          <w:u w:val="single"/>
        </w:rPr>
        <w:t xml:space="preserve">Pacific </w:t>
      </w:r>
      <w:r w:rsidRPr="00860DA2">
        <w:rPr>
          <w:iCs/>
          <w:noProof/>
          <w:u w:val="single"/>
        </w:rPr>
        <w:lastRenderedPageBreak/>
        <w:t>Philosophical Quarterly</w:t>
      </w:r>
      <w:r w:rsidR="00F15F2C" w:rsidRPr="00860DA2">
        <w:rPr>
          <w:iCs/>
          <w:noProof/>
        </w:rPr>
        <w:t xml:space="preserve">, </w:t>
      </w:r>
      <w:r w:rsidR="00F15F2C" w:rsidRPr="00860DA2">
        <w:t>vol.</w:t>
      </w:r>
      <w:r w:rsidRPr="00860DA2">
        <w:rPr>
          <w:noProof/>
        </w:rPr>
        <w:t xml:space="preserve"> 92</w:t>
      </w:r>
      <w:r w:rsidR="009A21D6" w:rsidRPr="00860DA2">
        <w:rPr>
          <w:noProof/>
        </w:rPr>
        <w:t>, no. 3, pp.</w:t>
      </w:r>
      <w:r w:rsidRPr="00860DA2">
        <w:rPr>
          <w:noProof/>
        </w:rPr>
        <w:t xml:space="preserve"> 380–</w:t>
      </w:r>
      <w:r w:rsidR="009A21D6" w:rsidRPr="00860DA2">
        <w:rPr>
          <w:noProof/>
        </w:rPr>
        <w:t>3</w:t>
      </w:r>
      <w:r w:rsidRPr="00860DA2">
        <w:rPr>
          <w:noProof/>
        </w:rPr>
        <w:t>99.</w:t>
      </w:r>
    </w:p>
    <w:p w14:paraId="53A52CFD" w14:textId="32BEF97B"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2012. “Burge on Perceptual Entitlement</w:t>
      </w:r>
      <w:r w:rsidR="001F35FE" w:rsidRPr="00860DA2">
        <w:rPr>
          <w:noProof/>
        </w:rPr>
        <w:t>,</w:t>
      </w:r>
      <w:r w:rsidRPr="00860DA2">
        <w:rPr>
          <w:noProof/>
        </w:rPr>
        <w:t xml:space="preserve">” </w:t>
      </w:r>
      <w:r w:rsidRPr="00860DA2">
        <w:rPr>
          <w:iCs/>
          <w:noProof/>
          <w:u w:val="single"/>
        </w:rPr>
        <w:t>Metaphilosophy</w:t>
      </w:r>
      <w:r w:rsidR="00F15F2C" w:rsidRPr="00860DA2">
        <w:rPr>
          <w:iCs/>
          <w:noProof/>
        </w:rPr>
        <w:t xml:space="preserve">, </w:t>
      </w:r>
      <w:r w:rsidR="00F15F2C" w:rsidRPr="00860DA2">
        <w:t>vol.</w:t>
      </w:r>
      <w:r w:rsidRPr="00860DA2">
        <w:rPr>
          <w:noProof/>
        </w:rPr>
        <w:t xml:space="preserve"> 43</w:t>
      </w:r>
      <w:r w:rsidR="009A21D6" w:rsidRPr="00860DA2">
        <w:rPr>
          <w:noProof/>
        </w:rPr>
        <w:t>, no. 3, pp.</w:t>
      </w:r>
      <w:r w:rsidRPr="00860DA2">
        <w:rPr>
          <w:noProof/>
        </w:rPr>
        <w:t xml:space="preserve"> 187–203.</w:t>
      </w:r>
    </w:p>
    <w:p w14:paraId="02BBD9C1" w14:textId="378728C2"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2017. “Entitlement and the Epistemic Status of Cornerstone Beliefs</w:t>
      </w:r>
      <w:r w:rsidR="001F35FE" w:rsidRPr="00860DA2">
        <w:rPr>
          <w:noProof/>
        </w:rPr>
        <w:t>,</w:t>
      </w:r>
      <w:r w:rsidRPr="00860DA2">
        <w:rPr>
          <w:noProof/>
        </w:rPr>
        <w:t xml:space="preserve">” </w:t>
      </w:r>
      <w:r w:rsidRPr="00860DA2">
        <w:rPr>
          <w:iCs/>
          <w:noProof/>
          <w:u w:val="single"/>
        </w:rPr>
        <w:t>Grazer Philosophische Studien</w:t>
      </w:r>
      <w:r w:rsidR="00F15F2C" w:rsidRPr="00860DA2">
        <w:rPr>
          <w:noProof/>
        </w:rPr>
        <w:t xml:space="preserve">, </w:t>
      </w:r>
      <w:r w:rsidR="00F15F2C" w:rsidRPr="00860DA2">
        <w:t>vol.</w:t>
      </w:r>
      <w:r w:rsidR="00EC707D" w:rsidRPr="00860DA2">
        <w:t xml:space="preserve"> </w:t>
      </w:r>
      <w:r w:rsidRPr="00860DA2">
        <w:rPr>
          <w:noProof/>
        </w:rPr>
        <w:t>94</w:t>
      </w:r>
      <w:r w:rsidR="009A21D6" w:rsidRPr="00860DA2">
        <w:rPr>
          <w:noProof/>
        </w:rPr>
        <w:t>, no. 1-2, pp.</w:t>
      </w:r>
      <w:r w:rsidRPr="00860DA2">
        <w:rPr>
          <w:noProof/>
        </w:rPr>
        <w:t xml:space="preserve"> 126–</w:t>
      </w:r>
      <w:r w:rsidR="009A21D6" w:rsidRPr="00860DA2">
        <w:rPr>
          <w:noProof/>
        </w:rPr>
        <w:t>1</w:t>
      </w:r>
      <w:r w:rsidRPr="00860DA2">
        <w:rPr>
          <w:noProof/>
        </w:rPr>
        <w:t>37.</w:t>
      </w:r>
    </w:p>
    <w:p w14:paraId="7B9D6D8B" w14:textId="6930998E" w:rsidR="003155DB" w:rsidRPr="00860DA2" w:rsidRDefault="003155DB" w:rsidP="00E53339">
      <w:pPr>
        <w:widowControl w:val="0"/>
        <w:autoSpaceDE w:val="0"/>
        <w:autoSpaceDN w:val="0"/>
        <w:adjustRightInd w:val="0"/>
        <w:spacing w:line="276" w:lineRule="auto"/>
        <w:ind w:left="480" w:hanging="480"/>
        <w:rPr>
          <w:noProof/>
        </w:rPr>
      </w:pPr>
      <w:r w:rsidRPr="00860DA2">
        <w:rPr>
          <w:noProof/>
        </w:rPr>
        <w:t>Volpe, Giorgio. 2012. “Cornerstones: You’d Better Believe Them</w:t>
      </w:r>
      <w:r w:rsidR="001F35FE" w:rsidRPr="00860DA2">
        <w:rPr>
          <w:noProof/>
        </w:rPr>
        <w:t>,</w:t>
      </w:r>
      <w:r w:rsidRPr="00860DA2">
        <w:rPr>
          <w:noProof/>
        </w:rPr>
        <w:t xml:space="preserve">” </w:t>
      </w:r>
      <w:r w:rsidRPr="00860DA2">
        <w:rPr>
          <w:iCs/>
          <w:noProof/>
          <w:u w:val="single"/>
        </w:rPr>
        <w:t>Synthese</w:t>
      </w:r>
      <w:r w:rsidR="00F15F2C" w:rsidRPr="00860DA2">
        <w:rPr>
          <w:iCs/>
          <w:noProof/>
        </w:rPr>
        <w:t xml:space="preserve">, </w:t>
      </w:r>
      <w:r w:rsidR="00F15F2C" w:rsidRPr="00860DA2">
        <w:t>vol.</w:t>
      </w:r>
      <w:r w:rsidRPr="00860DA2">
        <w:rPr>
          <w:noProof/>
        </w:rPr>
        <w:t xml:space="preserve"> 189</w:t>
      </w:r>
      <w:r w:rsidR="00FA786E" w:rsidRPr="00860DA2">
        <w:rPr>
          <w:noProof/>
        </w:rPr>
        <w:t xml:space="preserve">, no. 2, pp. </w:t>
      </w:r>
      <w:r w:rsidRPr="00860DA2">
        <w:rPr>
          <w:noProof/>
        </w:rPr>
        <w:t xml:space="preserve"> 317–3</w:t>
      </w:r>
      <w:r w:rsidR="00FA786E" w:rsidRPr="00860DA2">
        <w:rPr>
          <w:noProof/>
        </w:rPr>
        <w:t>3</w:t>
      </w:r>
      <w:r w:rsidRPr="00860DA2">
        <w:rPr>
          <w:noProof/>
        </w:rPr>
        <w:t>6.</w:t>
      </w:r>
    </w:p>
    <w:p w14:paraId="618062AF" w14:textId="30118EF9" w:rsidR="003155DB" w:rsidRPr="00860DA2" w:rsidRDefault="003155DB" w:rsidP="00E53339">
      <w:pPr>
        <w:widowControl w:val="0"/>
        <w:autoSpaceDE w:val="0"/>
        <w:autoSpaceDN w:val="0"/>
        <w:adjustRightInd w:val="0"/>
        <w:spacing w:line="276" w:lineRule="auto"/>
        <w:ind w:left="480" w:hanging="480"/>
        <w:rPr>
          <w:noProof/>
        </w:rPr>
      </w:pPr>
      <w:r w:rsidRPr="00860DA2">
        <w:rPr>
          <w:noProof/>
        </w:rPr>
        <w:t>Williams, Michael. 2012. “Wright Against the Sceptics</w:t>
      </w:r>
      <w:r w:rsidR="001F35FE" w:rsidRPr="00860DA2">
        <w:rPr>
          <w:noProof/>
        </w:rPr>
        <w:t>,</w:t>
      </w:r>
      <w:r w:rsidRPr="00860DA2">
        <w:rPr>
          <w:noProof/>
        </w:rPr>
        <w:t xml:space="preserve">” </w:t>
      </w:r>
      <w:r w:rsidR="00C66DA0" w:rsidRPr="00860DA2">
        <w:rPr>
          <w:noProof/>
        </w:rPr>
        <w:t>i</w:t>
      </w:r>
      <w:r w:rsidRPr="00860DA2">
        <w:rPr>
          <w:noProof/>
        </w:rPr>
        <w:t xml:space="preserve">n </w:t>
      </w:r>
      <w:r w:rsidRPr="00860DA2">
        <w:rPr>
          <w:iCs/>
          <w:noProof/>
          <w:u w:val="single"/>
        </w:rPr>
        <w:t>Mind, Meaning, and Knowledge: Themes from the Philosophy of Crispin Wright</w:t>
      </w:r>
      <w:r w:rsidRPr="00860DA2">
        <w:rPr>
          <w:noProof/>
        </w:rPr>
        <w:t xml:space="preserve">, </w:t>
      </w:r>
      <w:r w:rsidR="0042293C" w:rsidRPr="00860DA2">
        <w:rPr>
          <w:noProof/>
        </w:rPr>
        <w:t>ed.</w:t>
      </w:r>
      <w:r w:rsidRPr="00860DA2">
        <w:rPr>
          <w:noProof/>
        </w:rPr>
        <w:t xml:space="preserve"> Annalisa Coliva</w:t>
      </w:r>
      <w:r w:rsidR="00C66DA0" w:rsidRPr="00860DA2">
        <w:rPr>
          <w:noProof/>
        </w:rPr>
        <w:t xml:space="preserve"> (</w:t>
      </w:r>
      <w:r w:rsidRPr="00860DA2">
        <w:rPr>
          <w:noProof/>
        </w:rPr>
        <w:t>Oxford, UK: Oxford University Press</w:t>
      </w:r>
      <w:r w:rsidR="00C66DA0" w:rsidRPr="00860DA2">
        <w:rPr>
          <w:noProof/>
        </w:rPr>
        <w:t>), pp. 352-376</w:t>
      </w:r>
      <w:r w:rsidRPr="00860DA2">
        <w:rPr>
          <w:noProof/>
        </w:rPr>
        <w:t>.</w:t>
      </w:r>
    </w:p>
    <w:p w14:paraId="1556C7CA" w14:textId="087FDAEB" w:rsidR="003155DB" w:rsidRPr="00860DA2" w:rsidRDefault="003155DB" w:rsidP="00E53339">
      <w:pPr>
        <w:widowControl w:val="0"/>
        <w:autoSpaceDE w:val="0"/>
        <w:autoSpaceDN w:val="0"/>
        <w:adjustRightInd w:val="0"/>
        <w:spacing w:line="276" w:lineRule="auto"/>
        <w:ind w:left="480" w:hanging="480"/>
        <w:rPr>
          <w:noProof/>
        </w:rPr>
      </w:pPr>
      <w:r w:rsidRPr="00860DA2">
        <w:rPr>
          <w:noProof/>
        </w:rPr>
        <w:t>Wright, Crispin. 1985. "Facts and Certainty</w:t>
      </w:r>
      <w:r w:rsidR="001F35FE" w:rsidRPr="00860DA2">
        <w:rPr>
          <w:noProof/>
        </w:rPr>
        <w:t>,</w:t>
      </w:r>
      <w:r w:rsidRPr="00860DA2">
        <w:rPr>
          <w:noProof/>
        </w:rPr>
        <w:t xml:space="preserve">" </w:t>
      </w:r>
      <w:r w:rsidRPr="00860DA2">
        <w:rPr>
          <w:noProof/>
          <w:u w:val="single"/>
        </w:rPr>
        <w:t>Proceedings of the British Academy</w:t>
      </w:r>
      <w:r w:rsidR="00F15F2C" w:rsidRPr="00860DA2">
        <w:rPr>
          <w:noProof/>
        </w:rPr>
        <w:t xml:space="preserve">, </w:t>
      </w:r>
      <w:r w:rsidR="00F15F2C" w:rsidRPr="00860DA2">
        <w:t>vol.</w:t>
      </w:r>
      <w:r w:rsidRPr="00860DA2">
        <w:rPr>
          <w:noProof/>
        </w:rPr>
        <w:t xml:space="preserve"> 71</w:t>
      </w:r>
      <w:r w:rsidR="00FA786E" w:rsidRPr="00860DA2">
        <w:rPr>
          <w:noProof/>
        </w:rPr>
        <w:t>, pp.</w:t>
      </w:r>
      <w:r w:rsidRPr="00860DA2">
        <w:rPr>
          <w:noProof/>
        </w:rPr>
        <w:t xml:space="preserve"> 429–472.</w:t>
      </w:r>
    </w:p>
    <w:p w14:paraId="3D3B5FA8" w14:textId="2BFE264A"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2002. “(Anti-)Sceptics Simple and Subtle: G.E. Moore and John McDowell</w:t>
      </w:r>
      <w:r w:rsidR="001F35FE" w:rsidRPr="00860DA2">
        <w:rPr>
          <w:noProof/>
        </w:rPr>
        <w:t>,</w:t>
      </w:r>
      <w:r w:rsidRPr="00860DA2">
        <w:rPr>
          <w:noProof/>
        </w:rPr>
        <w:t xml:space="preserve">” </w:t>
      </w:r>
      <w:r w:rsidRPr="00860DA2">
        <w:rPr>
          <w:iCs/>
          <w:noProof/>
          <w:u w:val="single"/>
        </w:rPr>
        <w:t>Philosophy and Phenomenological Research</w:t>
      </w:r>
      <w:r w:rsidR="00F15F2C" w:rsidRPr="00860DA2">
        <w:rPr>
          <w:iCs/>
          <w:noProof/>
        </w:rPr>
        <w:t xml:space="preserve">, </w:t>
      </w:r>
      <w:r w:rsidR="00F15F2C" w:rsidRPr="00860DA2">
        <w:t>vol.</w:t>
      </w:r>
      <w:r w:rsidRPr="00860DA2">
        <w:rPr>
          <w:noProof/>
        </w:rPr>
        <w:t xml:space="preserve"> 65</w:t>
      </w:r>
      <w:r w:rsidR="00FA786E" w:rsidRPr="00860DA2">
        <w:rPr>
          <w:noProof/>
        </w:rPr>
        <w:t>, no. 2, pp.</w:t>
      </w:r>
      <w:r w:rsidRPr="00860DA2">
        <w:rPr>
          <w:noProof/>
        </w:rPr>
        <w:t xml:space="preserve"> 330–</w:t>
      </w:r>
      <w:r w:rsidR="00FA786E" w:rsidRPr="00860DA2">
        <w:rPr>
          <w:noProof/>
        </w:rPr>
        <w:t>3</w:t>
      </w:r>
      <w:r w:rsidRPr="00860DA2">
        <w:rPr>
          <w:noProof/>
        </w:rPr>
        <w:t xml:space="preserve">48. </w:t>
      </w:r>
    </w:p>
    <w:p w14:paraId="29D1909E" w14:textId="500FB235" w:rsidR="003155DB" w:rsidRPr="00860DA2" w:rsidRDefault="003155DB" w:rsidP="00E53339">
      <w:pPr>
        <w:widowControl w:val="0"/>
        <w:autoSpaceDE w:val="0"/>
        <w:autoSpaceDN w:val="0"/>
        <w:adjustRightInd w:val="0"/>
        <w:spacing w:line="276" w:lineRule="auto"/>
        <w:ind w:left="480" w:hanging="480"/>
        <w:rPr>
          <w:noProof/>
        </w:rPr>
      </w:pPr>
      <w:r w:rsidRPr="00860DA2">
        <w:rPr>
          <w:noProof/>
        </w:rPr>
        <w:t xml:space="preserve">———. 2004. “Warrant for Nothing (and Foundations for Free)?” </w:t>
      </w:r>
      <w:r w:rsidRPr="00860DA2">
        <w:rPr>
          <w:iCs/>
          <w:noProof/>
          <w:u w:val="single"/>
        </w:rPr>
        <w:t>Aristotelian Society Supplementary Volume</w:t>
      </w:r>
      <w:r w:rsidR="00F15F2C" w:rsidRPr="00860DA2">
        <w:rPr>
          <w:iCs/>
          <w:noProof/>
        </w:rPr>
        <w:t xml:space="preserve">, </w:t>
      </w:r>
      <w:r w:rsidR="00F15F2C" w:rsidRPr="00860DA2">
        <w:t>vol.</w:t>
      </w:r>
      <w:r w:rsidRPr="00860DA2">
        <w:rPr>
          <w:noProof/>
        </w:rPr>
        <w:t xml:space="preserve"> 78</w:t>
      </w:r>
      <w:r w:rsidR="00FA786E" w:rsidRPr="00860DA2">
        <w:rPr>
          <w:noProof/>
        </w:rPr>
        <w:t>, no. 1, pp.</w:t>
      </w:r>
      <w:r w:rsidRPr="00860DA2">
        <w:rPr>
          <w:noProof/>
        </w:rPr>
        <w:t xml:space="preserve"> 167–212. </w:t>
      </w:r>
    </w:p>
    <w:p w14:paraId="67A5B60B" w14:textId="29643405"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2007. “The Perils of Dogmatism</w:t>
      </w:r>
      <w:r w:rsidR="001F35FE" w:rsidRPr="00860DA2">
        <w:rPr>
          <w:noProof/>
        </w:rPr>
        <w:t>,</w:t>
      </w:r>
      <w:r w:rsidRPr="00860DA2">
        <w:rPr>
          <w:noProof/>
        </w:rPr>
        <w:t xml:space="preserve">” </w:t>
      </w:r>
      <w:r w:rsidR="00C66DA0" w:rsidRPr="00860DA2">
        <w:rPr>
          <w:noProof/>
        </w:rPr>
        <w:t>i</w:t>
      </w:r>
      <w:r w:rsidRPr="00860DA2">
        <w:rPr>
          <w:noProof/>
        </w:rPr>
        <w:t xml:space="preserve">n </w:t>
      </w:r>
      <w:r w:rsidRPr="00860DA2">
        <w:rPr>
          <w:iCs/>
          <w:noProof/>
          <w:u w:val="single"/>
        </w:rPr>
        <w:t>Themes from G.E. Moore: New Essays in Epistemology</w:t>
      </w:r>
      <w:r w:rsidRPr="00860DA2">
        <w:rPr>
          <w:noProof/>
        </w:rPr>
        <w:t xml:space="preserve">, </w:t>
      </w:r>
      <w:r w:rsidR="0042293C" w:rsidRPr="00860DA2">
        <w:rPr>
          <w:noProof/>
        </w:rPr>
        <w:t>ed.</w:t>
      </w:r>
      <w:r w:rsidRPr="00860DA2">
        <w:rPr>
          <w:noProof/>
        </w:rPr>
        <w:t xml:space="preserve"> Susana Nuccetelli and Gary Seay</w:t>
      </w:r>
      <w:r w:rsidR="00C66DA0" w:rsidRPr="00860DA2">
        <w:rPr>
          <w:noProof/>
        </w:rPr>
        <w:t xml:space="preserve"> (</w:t>
      </w:r>
      <w:r w:rsidRPr="00860DA2">
        <w:rPr>
          <w:noProof/>
        </w:rPr>
        <w:t>Oxford, UK: Oxford University Press</w:t>
      </w:r>
      <w:r w:rsidR="00C66DA0" w:rsidRPr="00860DA2">
        <w:rPr>
          <w:noProof/>
        </w:rPr>
        <w:t>), pp. 25-48</w:t>
      </w:r>
      <w:r w:rsidRPr="00860DA2">
        <w:rPr>
          <w:noProof/>
        </w:rPr>
        <w:t>.</w:t>
      </w:r>
    </w:p>
    <w:p w14:paraId="5B45AA1F" w14:textId="0534867B"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2008. “Internal-External: Doxastic Norms and the Defusing of the Sceptical Paradox</w:t>
      </w:r>
      <w:r w:rsidR="001F35FE" w:rsidRPr="00860DA2">
        <w:rPr>
          <w:noProof/>
        </w:rPr>
        <w:t>,</w:t>
      </w:r>
      <w:r w:rsidRPr="00860DA2">
        <w:rPr>
          <w:noProof/>
        </w:rPr>
        <w:t xml:space="preserve">” </w:t>
      </w:r>
      <w:r w:rsidRPr="00860DA2">
        <w:rPr>
          <w:noProof/>
          <w:u w:val="single"/>
        </w:rPr>
        <w:t>Journal of Philosophy</w:t>
      </w:r>
      <w:r w:rsidR="00F15F2C" w:rsidRPr="00860DA2">
        <w:rPr>
          <w:noProof/>
        </w:rPr>
        <w:t xml:space="preserve">, </w:t>
      </w:r>
      <w:r w:rsidR="00F15F2C" w:rsidRPr="00860DA2">
        <w:t>vol.</w:t>
      </w:r>
      <w:r w:rsidRPr="00860DA2">
        <w:rPr>
          <w:noProof/>
        </w:rPr>
        <w:t xml:space="preserve"> 105</w:t>
      </w:r>
      <w:r w:rsidR="00FA786E" w:rsidRPr="00860DA2">
        <w:rPr>
          <w:noProof/>
        </w:rPr>
        <w:t>, no. 9, pp.</w:t>
      </w:r>
      <w:r w:rsidRPr="00860DA2">
        <w:rPr>
          <w:noProof/>
        </w:rPr>
        <w:t xml:space="preserve"> 501–517.</w:t>
      </w:r>
    </w:p>
    <w:p w14:paraId="1A9C5735" w14:textId="7638CD0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2012. “Replies Part IV: Warrant Transmission and Entitlement</w:t>
      </w:r>
      <w:r w:rsidR="001F35FE" w:rsidRPr="00860DA2">
        <w:rPr>
          <w:noProof/>
        </w:rPr>
        <w:t>,</w:t>
      </w:r>
      <w:r w:rsidRPr="00860DA2">
        <w:rPr>
          <w:noProof/>
        </w:rPr>
        <w:t xml:space="preserve">” </w:t>
      </w:r>
      <w:r w:rsidR="00C66DA0" w:rsidRPr="00860DA2">
        <w:rPr>
          <w:noProof/>
        </w:rPr>
        <w:t>i</w:t>
      </w:r>
      <w:r w:rsidRPr="00860DA2">
        <w:rPr>
          <w:noProof/>
        </w:rPr>
        <w:t xml:space="preserve">n </w:t>
      </w:r>
      <w:r w:rsidRPr="00860DA2">
        <w:rPr>
          <w:iCs/>
          <w:noProof/>
          <w:u w:val="single"/>
        </w:rPr>
        <w:t>Mind, Meaning, and Knowledge: Themes from the Philosophy of Crispin Wright</w:t>
      </w:r>
      <w:r w:rsidRPr="00860DA2">
        <w:rPr>
          <w:noProof/>
        </w:rPr>
        <w:t xml:space="preserve">, </w:t>
      </w:r>
      <w:r w:rsidR="0042293C" w:rsidRPr="00860DA2">
        <w:rPr>
          <w:noProof/>
        </w:rPr>
        <w:t>eds.</w:t>
      </w:r>
      <w:r w:rsidRPr="00860DA2">
        <w:rPr>
          <w:noProof/>
        </w:rPr>
        <w:t xml:space="preserve"> Annalisa Coliva</w:t>
      </w:r>
      <w:r w:rsidR="00C66DA0" w:rsidRPr="00860DA2">
        <w:rPr>
          <w:noProof/>
        </w:rPr>
        <w:t xml:space="preserve"> (</w:t>
      </w:r>
      <w:r w:rsidRPr="00860DA2">
        <w:rPr>
          <w:noProof/>
        </w:rPr>
        <w:t>Oxford, UK: Oxford University Press</w:t>
      </w:r>
      <w:r w:rsidR="00C66DA0" w:rsidRPr="00860DA2">
        <w:rPr>
          <w:noProof/>
        </w:rPr>
        <w:t>), pp. 451-486</w:t>
      </w:r>
      <w:r w:rsidRPr="00860DA2">
        <w:rPr>
          <w:noProof/>
        </w:rPr>
        <w:t xml:space="preserve">. </w:t>
      </w:r>
    </w:p>
    <w:p w14:paraId="7ACA4DF6" w14:textId="72451668" w:rsidR="003155DB" w:rsidRPr="00860DA2" w:rsidRDefault="003155DB" w:rsidP="00E53339">
      <w:pPr>
        <w:widowControl w:val="0"/>
        <w:autoSpaceDE w:val="0"/>
        <w:autoSpaceDN w:val="0"/>
        <w:adjustRightInd w:val="0"/>
        <w:spacing w:line="276" w:lineRule="auto"/>
        <w:ind w:left="480" w:hanging="480"/>
        <w:rPr>
          <w:noProof/>
        </w:rPr>
      </w:pPr>
      <w:r w:rsidRPr="00860DA2">
        <w:rPr>
          <w:noProof/>
        </w:rPr>
        <w:t>———. 2014. “On Epistemic Entitlement (II): Welfare-State Epistemology</w:t>
      </w:r>
      <w:r w:rsidR="001F35FE" w:rsidRPr="00860DA2">
        <w:rPr>
          <w:noProof/>
        </w:rPr>
        <w:t>,</w:t>
      </w:r>
      <w:r w:rsidRPr="00860DA2">
        <w:rPr>
          <w:noProof/>
        </w:rPr>
        <w:t xml:space="preserve">” </w:t>
      </w:r>
      <w:r w:rsidR="00C66DA0" w:rsidRPr="00860DA2">
        <w:rPr>
          <w:noProof/>
        </w:rPr>
        <w:t>i</w:t>
      </w:r>
      <w:r w:rsidRPr="00860DA2">
        <w:rPr>
          <w:noProof/>
        </w:rPr>
        <w:t xml:space="preserve">n </w:t>
      </w:r>
      <w:r w:rsidRPr="00860DA2">
        <w:rPr>
          <w:iCs/>
          <w:noProof/>
          <w:u w:val="single"/>
        </w:rPr>
        <w:t>Scepticism and Perceptual Justification</w:t>
      </w:r>
      <w:r w:rsidRPr="00860DA2">
        <w:rPr>
          <w:noProof/>
        </w:rPr>
        <w:t xml:space="preserve">, </w:t>
      </w:r>
      <w:r w:rsidR="0042293C" w:rsidRPr="00860DA2">
        <w:rPr>
          <w:noProof/>
        </w:rPr>
        <w:t>ed.</w:t>
      </w:r>
      <w:r w:rsidRPr="00860DA2">
        <w:rPr>
          <w:noProof/>
        </w:rPr>
        <w:t xml:space="preserve"> Dylan Dodd and Elia Zardini</w:t>
      </w:r>
      <w:r w:rsidR="00C66DA0" w:rsidRPr="00860DA2">
        <w:rPr>
          <w:noProof/>
        </w:rPr>
        <w:t xml:space="preserve"> (</w:t>
      </w:r>
      <w:r w:rsidRPr="00860DA2">
        <w:rPr>
          <w:noProof/>
        </w:rPr>
        <w:t>Oxford, UK: Oxford University Press</w:t>
      </w:r>
      <w:r w:rsidR="00C66DA0" w:rsidRPr="00860DA2">
        <w:rPr>
          <w:noProof/>
        </w:rPr>
        <w:t>), pp. 213-247</w:t>
      </w:r>
      <w:r w:rsidRPr="00860DA2">
        <w:rPr>
          <w:noProof/>
        </w:rPr>
        <w:t xml:space="preserve">. </w:t>
      </w:r>
    </w:p>
    <w:p w14:paraId="3E1DE209" w14:textId="77777777" w:rsidR="003155DB" w:rsidRDefault="003155DB" w:rsidP="00E53339">
      <w:pPr>
        <w:spacing w:line="276" w:lineRule="auto"/>
      </w:pPr>
      <w:r w:rsidRPr="00860DA2">
        <w:fldChar w:fldCharType="end"/>
      </w:r>
    </w:p>
    <w:p w14:paraId="44F0FA88" w14:textId="4FC075BD" w:rsidR="003155DB" w:rsidRDefault="003155DB" w:rsidP="00E53339">
      <w:pPr>
        <w:spacing w:line="276" w:lineRule="auto"/>
        <w:rPr>
          <w:rFonts w:cs="Times New Roman"/>
          <w:color w:val="000000" w:themeColor="text1"/>
        </w:rPr>
      </w:pPr>
    </w:p>
    <w:p w14:paraId="753DD538" w14:textId="77777777" w:rsidR="003155DB" w:rsidRPr="00FD615F" w:rsidRDefault="003155DB" w:rsidP="00E53339">
      <w:pPr>
        <w:tabs>
          <w:tab w:val="left" w:pos="787"/>
        </w:tabs>
        <w:spacing w:line="276" w:lineRule="auto"/>
        <w:rPr>
          <w:rFonts w:cs="Times New Roman"/>
          <w:color w:val="000000" w:themeColor="text1"/>
        </w:rPr>
      </w:pPr>
    </w:p>
    <w:p w14:paraId="662D0DD3" w14:textId="77777777" w:rsidR="005C1E65" w:rsidRPr="00FD615F" w:rsidRDefault="005C1E65" w:rsidP="00E53339">
      <w:pPr>
        <w:spacing w:line="276" w:lineRule="auto"/>
        <w:rPr>
          <w:rFonts w:cs="Times New Roman"/>
          <w:color w:val="000000" w:themeColor="text1"/>
        </w:rPr>
      </w:pPr>
    </w:p>
    <w:sectPr w:rsidR="005C1E65" w:rsidRPr="00FD615F" w:rsidSect="0061496C">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7579" w14:textId="77777777" w:rsidR="00C40CFA" w:rsidRDefault="00C40CFA" w:rsidP="00EB30FA">
      <w:r>
        <w:separator/>
      </w:r>
    </w:p>
  </w:endnote>
  <w:endnote w:type="continuationSeparator" w:id="0">
    <w:p w14:paraId="329BC2AA" w14:textId="77777777" w:rsidR="00C40CFA" w:rsidRDefault="00C40CFA" w:rsidP="00EB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altName w:val="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4821651"/>
      <w:docPartObj>
        <w:docPartGallery w:val="Page Numbers (Bottom of Page)"/>
        <w:docPartUnique/>
      </w:docPartObj>
    </w:sdtPr>
    <w:sdtEndPr>
      <w:rPr>
        <w:rStyle w:val="PageNumber"/>
      </w:rPr>
    </w:sdtEndPr>
    <w:sdtContent>
      <w:p w14:paraId="4DE7FA0A" w14:textId="77777777" w:rsidR="00767D24" w:rsidRDefault="00767D24" w:rsidP="00C43E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7023AE" w14:textId="77777777" w:rsidR="00767D24" w:rsidRDefault="0076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Times New Roman"/>
      </w:rPr>
      <w:id w:val="-565259977"/>
      <w:docPartObj>
        <w:docPartGallery w:val="Page Numbers (Bottom of Page)"/>
        <w:docPartUnique/>
      </w:docPartObj>
    </w:sdtPr>
    <w:sdtEndPr>
      <w:rPr>
        <w:rStyle w:val="PageNumber"/>
      </w:rPr>
    </w:sdtEndPr>
    <w:sdtContent>
      <w:p w14:paraId="4CAAFF40" w14:textId="77777777" w:rsidR="00767D24" w:rsidRPr="00EB30FA" w:rsidRDefault="00767D24" w:rsidP="00C43E13">
        <w:pPr>
          <w:pStyle w:val="Footer"/>
          <w:framePr w:wrap="none" w:vAnchor="text" w:hAnchor="margin" w:xAlign="center" w:y="1"/>
          <w:rPr>
            <w:rStyle w:val="PageNumber"/>
            <w:rFonts w:cs="Times New Roman"/>
          </w:rPr>
        </w:pPr>
        <w:r w:rsidRPr="00EB30FA">
          <w:rPr>
            <w:rStyle w:val="PageNumber"/>
            <w:rFonts w:cs="Times New Roman"/>
          </w:rPr>
          <w:fldChar w:fldCharType="begin"/>
        </w:r>
        <w:r w:rsidRPr="00EB30FA">
          <w:rPr>
            <w:rStyle w:val="PageNumber"/>
            <w:rFonts w:cs="Times New Roman"/>
          </w:rPr>
          <w:instrText xml:space="preserve"> PAGE </w:instrText>
        </w:r>
        <w:r w:rsidRPr="00EB30FA">
          <w:rPr>
            <w:rStyle w:val="PageNumber"/>
            <w:rFonts w:cs="Times New Roman"/>
          </w:rPr>
          <w:fldChar w:fldCharType="separate"/>
        </w:r>
        <w:r>
          <w:rPr>
            <w:rStyle w:val="PageNumber"/>
            <w:rFonts w:cs="Times New Roman"/>
            <w:noProof/>
          </w:rPr>
          <w:t>37</w:t>
        </w:r>
        <w:r w:rsidRPr="00EB30FA">
          <w:rPr>
            <w:rStyle w:val="PageNumber"/>
            <w:rFonts w:cs="Times New Roman"/>
          </w:rPr>
          <w:fldChar w:fldCharType="end"/>
        </w:r>
      </w:p>
    </w:sdtContent>
  </w:sdt>
  <w:p w14:paraId="570F07E0" w14:textId="77777777" w:rsidR="00767D24" w:rsidRPr="00EB30FA" w:rsidRDefault="00767D24">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D296" w14:textId="77777777" w:rsidR="00C40CFA" w:rsidRDefault="00C40CFA" w:rsidP="00EB30FA">
      <w:r>
        <w:separator/>
      </w:r>
    </w:p>
  </w:footnote>
  <w:footnote w:type="continuationSeparator" w:id="0">
    <w:p w14:paraId="22CBF579" w14:textId="77777777" w:rsidR="00C40CFA" w:rsidRDefault="00C40CFA" w:rsidP="00EB30FA">
      <w:r>
        <w:continuationSeparator/>
      </w:r>
    </w:p>
  </w:footnote>
  <w:footnote w:id="1">
    <w:p w14:paraId="4B24AC54" w14:textId="340386DE" w:rsidR="00E53339" w:rsidRPr="00E53339" w:rsidRDefault="00E53339" w:rsidP="00E53339">
      <w:pPr>
        <w:pStyle w:val="FootnoteText"/>
        <w:rPr>
          <w:rFonts w:cs="Times New Roman"/>
          <w:color w:val="000000" w:themeColor="text1"/>
          <w:sz w:val="22"/>
          <w:szCs w:val="22"/>
        </w:rPr>
      </w:pPr>
      <w:r w:rsidRPr="00E53339">
        <w:rPr>
          <w:rFonts w:cs="Times New Roman"/>
          <w:color w:val="000000" w:themeColor="text1"/>
          <w:sz w:val="22"/>
          <w:szCs w:val="22"/>
        </w:rPr>
        <w:t xml:space="preserve">We are grateful to support from the Yonsei Frontier Lab at Yonsei University, helpful discussion of an earlier draft at a meeting of the Korean Society for Analytic Philosophy in December 2018 at Seoul National University, and comments from the editor. </w:t>
      </w:r>
    </w:p>
    <w:p w14:paraId="22268091" w14:textId="0659BCFB"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Three new volumes include essays on entitlement and related issues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{"citationItems":[{"id":"ITEM-1","itemData":{"ISBN":"978-3319654591","author":[{"dropping-particle":"","family":"Coliva","given":"Annalisa","non-dropping-particle":"","parse-names":false,"suffix":""},{"dropping-particle":"","family":"Pedersen","given":"Nikolaj Jang Lee Linding","non-dropping-particle":"","parse-names":false,"suffix":""}],"id":"ITEM-1","issued":{"date-parts":[["2017"]]},"number-of-pages":"347","publisher":"Palgrave Macmillan UK","title":"Epistemic Pluralism","type":"book"},"uris":["http://www.mendeley.com/documents/?uuid=c3f90604-46c9-4ccb-84f5-7dd5885d85a2"]},{"id":"ITEM-2","itemData":{"author":[{"dropping-particle":"","family":"Graham","given":"Peter J.","non-dropping-particle":"","parse-names":false,"suffix":""},{"dropping-particle":"","family":"Pedersen","given":"Nikolaj Jang Lee Linding","non-dropping-particle":"","parse-names":false,"suffix":""}],"id":"ITEM-2","issued":{"date-parts":[["0"]]},"publisher":"Oxford University Press","publisher-place":"Oxford, UK","title":"Epistemic Entitlement","type":"book"},"uris":["http://www.mendeley.com/documents/?uuid=37bb450e-ce51-4a4b-83cd-e74d8dcb7329"]}],"mendeley":{"formattedCitation":"(Coliva and Pedersen 2017; Graham and Pedersen, n.d.)","manualFormatting":"(Coliva and Pedersen 2017; Graham and Pedersen in-press)","plainTextFormattedCitation":"(Coliva and Pedersen 2017; Graham and Pedersen, n.d.)","previouslyFormattedCitation":"(Coliva and Pedersen 2017; Graham and Pedersen, n.d.)"},"properties":{"noteIndex":0},"schema":"https://github.com/citation-style-language/schema/raw/master/csl-citation.json"}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(Coliva and Pedersen 2017); (Graham and Pedersen 2019); and (Moretti and Pedersen forthcoming)</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The surrounding literature continues to grow. Recent work engaging Burge on entitlement includes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{"citationItems":[{"id":"ITEM-1","itemData":{"DOI":"10.1007/s12136-007-0012-y","ISSN":"0353-5150","author":[{"dropping-particle":"","family":"Casullo","given":"Albert","non-dropping-particle":"","parse-names":false,"suffix":""}],"container-title":"Acta Analytica","id":"ITEM-1","issue":"4","issued":{"date-parts":[["2007","12","28"]]},"page":"267-279","publisher":"Springer Netherlands","title":"What Is Entitlement?","type":"article-journal","volume":"22"},"uris":["http://www.mendeley.com/documents/?uuid=5380ae32-c56e-3c00-b8cc-2ddc170710a3"]}],"mendeley":{"formattedCitation":"(Casullo 2007)","plainTextFormattedCitation":"(Casullo 2007)","previouslyFormattedCitation":"(Casullo 2007)"},"properties":{"noteIndex":0},"schema":"https://github.com/citation-style-language/schema/raw/master/csl-citation.json"}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(Casullo 2007)</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{"citationItems":[{"id":"ITEM-1","itemData":{"ISBN":"9780199577477","author":[{"dropping-particle":"","family":"Neta","given":"Ram","non-dropping-particle":"","parse-names":false,"suffix":""}],"container-title":"Social Epistemology","editor":[{"dropping-particle":"","family":"Haddock","given":"Adrian","non-dropping-particle":"","parse-names":false,"suffix":""},{"dropping-particle":"","family":"Millar","given":"Alan","non-dropping-particle":"","parse-names":false,"suffix":""},{"dropping-particle":"","family":"Pritchard","given":"Duncan","non-dropping-particle":"","parse-names":false,"suffix":""}],"id":"ITEM-1","issued":{"date-parts":[["2010"]]},"page":"370","title":"Can A Priori Entitlement be Preserved by Testimony?","type":"chapter"},"uris":["http://www.mendeley.com/documents/?uuid=edbd828a-f488-4c27-a8b6-73af8fb8c2cd"]}],"mendeley":{"formattedCitation":"(Neta 2010)","plainTextFormattedCitation":"(Neta 2010)","previouslyFormattedCitation":"(Neta 2010)"},"properties":{"noteIndex":0},"schema":"https://github.com/citation-style-language/schema/raw/master/csl-citation.json"}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(Neta 2010)</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10670-011-9304-0","ISSN":"0165-0106","author":[{"dropping-particle":"","family":"Silins","given":"Nicholas","non-dropping-particle":"","parse-names":false,"suffix":""}],"container-title":"Erkenntnis","id":"ITEM-1","issue":"2","issued":{"date-parts":[["2012","3","10"]]},"page":"243-261","publisher":"Springer Netherlands","title":"Explaining Perceptual Entitlement","type":"article-journal","volume":"76"},"uris":["http://www.mendeley.com/documents/?uuid=56ecd44e-6ef5-3227-b17a-01e2d3631ed8"]}],"mendeley":{"formattedCitation":"(Silins 2012)","plainTextFormattedCitation":"(Silins 2012)","previouslyFormattedCitation":"(Silins 2012)"},"properties":{"noteIndex":0},"schema":"https://github.com/citation-style-language/schema/raw/master/csl-citation.json"}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(Silins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1467-9973.2012.01744.x","ISSN":"00261068","author":[{"dropping-particle":"","family":"Vahid","given":"Hamid","non-dropping-particle":"","parse-names":false,"suffix":""}],"container-title":"Metaphilosophy","id":"ITEM-1","issue":"3","issued":{"date-parts":[["2012","4","1"]]},"page":"187-203","publisher":"John Wiley &amp; Sons, Ltd (10.1111)","title":"Burge on Perceptual Entitlement","type":"article-journal","volume":"43"},"uris":["http://www.mendeley.com/documents/?uuid=08a17825-9189-37f4-9b6f-c27aa17c19d4"]}],"mendeley":{"formattedCitation":"(Vahid 2012)","plainTextFormattedCitation":"(Vahid 2012)","previouslyFormattedCitation":"(Vahid 2012)"},"properties":{"noteIndex":0},"schema":"https://github.com/citation-style-language/schema/raw/master/csl-citation.json"}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(Vahid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{"citationItems":[{"id":"ITEM-1","itemData":{"author":[{"dropping-particle":"","family":"Malmgren","given":"Anna-Sara","non-dropping-particle":"","parse-names":false,"suffix":""}],"container-title":"The A Priori in Philosophy","editor":[{"dropping-particle":"","family":"Thurlow","given":"Joshua","non-dropping-particle":"","parse-names":false,"suffix":""},{"dropping-particle":"","family":"Casullo","given":"Albert","non-dropping-particle":"","parse-names":false,"suffix":""}],"id":"ITEM-1","issued":{"date-parts":[["2013"]]},"publisher-place":"Oxford, UK","title":"A Priori Testimony Revisited","type":"chapter"},"uris":["http://www.mendeley.com/documents/?uuid=ccb5ab87-4509-4fda-8a15-bb82ca3614e5"]}],"mendeley":{"formattedCitation":"(Malmgren 2013)","plainTextFormattedCitation":"(Malmgren 2013)","previouslyFormattedCitation":"(Malmgren 2013)"},"properties":{"noteIndex":0},"schema":"https://github.com/citation-style-language/schema/raw/master/csl-citation.json"}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(Malmgren 2013)</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{"citationItems":[{"id":"ITEM-1","itemData":{"DOI":"10.1007/978-3-319-04672-3_2","author":[{"dropping-particle":"","family":"Graham","given":"Peter J.","non-dropping-particle":"","parse-names":false,"suffix":""}],"container-title":"Virtue Epistemology Naturalized","id":"ITEM-1","issued":{"date-parts":[["2014"]]},"page":"13-31","publisher":"Springer International Publishing","publisher-place":"Cham","title":"The Function of Perception","type":"chapter"},"uris":["http://www.mendeley.com/documents/?uuid=dcef11e4-c85d-3de4-a49a-95740390d95e"]},{"id":"ITEM-2","itemData":{"author":[{"dropping-particle":"","family":"Graham","given":"Peter J.","non-dropping-particle":"","parse-names":false,"suffix":""}],"container-title":"Lying: Knowledge, Language, Ethics, Politics","editor":[{"dropping-particle":"","family":"Michaelson","given":"Eliot","non-dropping-particle":"","parse-names":false,"suffix":""},{"dropping-particle":"","family":"Stokke","given":"Andreas","non-dropping-particle":"","parse-names":false,"suffix":""}],"id":"ITEM-2","issued":{"date-parts":[["2018"]]},"page":"85-112","publisher":"Oxford University Press","publisher-place":"Oxford","title":"Sincerity and the Reliability of Testimony: Burge on the A Priori Basis of Testimonial Warrant","type":"chapter"},"uris":["http://www.mendeley.com/documents/?uuid=e7cb21d4-6359-4735-882e-b41ffdb0de20"]},{"id":"ITEM-3","itemData":{"author":[{"dropping-particle":"","family":"Graham","given":"Peter J.","non-dropping-particle":"","parse-names":false,"suffix":""}],"container-title":"Beyond Sense? New Essays on the Significance, Grounds, and Extent of the A Priori","editor":[{"dropping-particle":"","family":"Dodd","given":"Dylan","non-dropping-particle":"","parse-names":false,"suffix":""},{"dropping-particle":"","family":"Zardini","given":"Elia","non-dropping-particle":"","parse-names":false,"suffix":""}],"id":"ITEM-3","issued":{"date-parts":[["0"]]},"publisher":"Oxford University Press","publisher-place":"Oxford, UK","title":"Testimony and the Scope of the A Priori","type":"chapter"},"uris":["http://www.mendeley.com/documents/?uuid=7b517970-dd67-4b71-b67e-d7bc8fcb6341"]},{"id":"ITEM-4","itemData":{"author":[{"dropping-particle":"","family":"Graham","given":"Peter J.","non-dropping-particle":"","parse-names":false,"suffix":""}],"container-title":"Virtue Theoretic Epistemology","editor":[{"dropping-particle":"","family":"Greco","given":"John","non-dropping-particle":"","parse-names":false,"suffix":""},{"dropping-particle":"","family":"Kelp","given":"Christoph","non-dropping-particle":"","parse-names":false,"suffix":""}],"id":"ITEM-4","issued":{"date-parts":[["0"]]},"publisher":"Cambridge University Press","publisher-place":"New York","title":"What is Entitlement? Competence, Reasons, Inference, Access","type":"chapter"},"uris":["http://www.mendeley.com/documents/?uuid=c8c4a26e-da59-46d2-9b59-e202706335fd"]}],"mendeley":{"formattedCitation":"(Graham 2014, 2018, n.d., n.d.)","manualFormatting":"(Graham 2014a, 2018, in-press a,b,c)","plainTextFormattedCitation":"(Graham 2014, 2018, n.d., n.d.)","previouslyFormattedCitation":"(Graham 2014, 2018, n.d., n.d.)"},"properties":{"noteIndex":0},"schema":"https://github.com/citation-style-language/schema/raw/master/csl-citation.json"}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(Graham 2014a, 2018, in-press a,b,c)</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{"citationItems":[{"id":"ITEM-1","itemData":{"DOI":"10.1007/s12136-015-0252-1","ISSN":"0353-5150","author":[{"dropping-particle":"","family":"Majors","given":"Brad","non-dropping-particle":"","parse-names":false,"suffix":""}],"container-title":"Acta Analytica","id":"ITEM-1","issue":"4","issued":{"date-parts":[["2015","12","18"]]},"page":"363-387","publisher":"Springer Netherlands","title":"What Entitlement Is","type":"article-journal","volume":"30"},"uris":["http://www.mendeley.com/documents/?uuid=485ce4f0-f38d-3fc2-8639-1cc30a479970"]}],"mendeley":{"formattedCitation":"(Majors 2015)","manualFormatting":"(Majors 2015, in-preparation)","plainTextFormattedCitation":"(Majors 2015)","previouslyFormattedCitation":"(Majors 2015)"},"properties":{"noteIndex":0},"schema":"https://github.com/citation-style-language/schema/raw/master/csl-citation.json"}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(Majors 2015, in-preparation)</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-016-1281-z","ISSN":"0039-7857","author":[{"dropping-particle":"","family":"Peet","given":"Andrew","non-dropping-particle":"","parse-names":false,"suffix":""}],"container-title":"Synthese","id":"ITEM-1","issue":"4","issued":{"date-parts":[["2018","4","1"]]},"page":"1547-1567","publisher":"Springer Netherlands","title":"Etiology, understanding, and testimonial belief","type":"article-journal","volume":"195"},"uris":["http://www.mendeley.com/documents/?uuid=564f9e3d-fdee-3064-8931-9db0ed152b07"]}],"mendeley":{"formattedCitation":"(Peet 2018)","plainTextFormattedCitation":"(Peet 2018)","previouslyFormattedCitation":"(Peet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(Peet 2018)</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(Gerken and Dunlop 2018),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{"citationItems":[{"id":"ITEM-1","itemData":{"DOI":"10.1093/arisup/aky011","ISSN":"0309-7013","author":[{"dropping-particle":"","family":"McGlynn","given":"Aidan","non-dropping-particle":"","parse-names":false,"suffix":""}],"container-title":"Aristotelian Society Supplementary Volume","id":"ITEM-1","issue":"1","issued":{"date-parts":[["2018","6","1"]]},"page":"183-205","publisher":"Oxford University Press","title":"II—‘This Is the Bad Case’: What Brains in Vats Can Know","type":"article-journal","volume":"92"},"uris":["http://www.mendeley.com/documents/?uuid=61dcf1b9-b207-3517-a209-ecef5d7a10df"]}],"mendeley":{"formattedCitation":"(McGlynn 2018)","plainTextFormattedCitation":"(McGlynn 2018)","previouslyFormattedCitation":"(McGlynn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(McGlynn 2018)</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-018-1722-y","ISSN":"0039-7857","author":[{"dropping-particle":"","family":"Simion","given":"Mona","non-dropping-particle":"","parse-names":false,"suffix":""},{"dropping-particle":"","family":"Kelp","given":"Christoph","non-dropping-particle":"","parse-names":false,"suffix":""}],"container-title":"Synthese","id":"ITEM-1","issued":{"date-parts":[["2018","3","1"]]},"title":"How to be an anti-reductionist","type":"article-journal"},"uris":["http://www.mendeley.com/documents/?uuid=f6e85bb8-46d5-3f58-ba28-477d46dac070"]}],"mendeley":{"formattedCitation":"(Simion and Kelp 2018)","plainTextFormattedCitation":"(Simion and Kelp 2018)","previouslyFormattedCitation":"(Simion and Kelp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(Simion and Kelp 2018)</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and (Gerken 2019). Some recent work engaging Wright on entitlement includes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{"citationItems":[{"id":"ITEM-1","itemData":{"DOI":"10.1111/j.1533-6077.2004.00034.x","ISSN":"15336077","author":[{"dropping-particle":"","family":"Pryor","given":"James","non-dropping-particle":"","parse-names":false,"suffix":""}],"container-title":"Philosophical Issues","id":"ITEM-1","issue":"1","issued":{"date-parts":[["2004","10"]]},"page":"349-378","title":"What's Wrong with Moore's Argument?","type":"article-journal","volume":"14"},"uris":["http://www.mendeley.com/documents/?uuid=9d9665fd-e09d-3831-99fc-976fbe853276"]}],"mendeley":{"formattedCitation":"(Pryor 2004)","manualFormatting":"(Pryor 2004, 2012)","plainTextFormattedCitation":"(Pryor 2004)","previouslyFormattedCitation":"(Pryor 2004)"},"properties":{"noteIndex":0},"schema":"https://github.com/citation-style-language/schema/raw/master/csl-citation.json"}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(Pryor 2004,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{"citationItems":[{"id":"ITEM-1","itemData":{"DOI":"10.1007/s11229-006-0012-2","ISSN":"0039-7857","author":[{"dropping-particle":"","family":"Jenkins","given":"C. S.","non-dropping-particle":"","parse-names":false,"suffix":""}],"container-title":"Synthese","id":"ITEM-1","issue":"1","issued":{"date-parts":[["2007","5","24"]]},"page":"25-45","title":"Entitlement and rationality","type":"article-journal","volume":"157"},"uris":["http://www.mendeley.com/documents/?uuid=8889ebfa-f53a-36e2-8a60-b1100f2c91bd"]}],"mendeley":{"formattedCitation":"(Jenkins 2007)","plainTextFormattedCitation":"(Jenkins 2007)","previouslyFormattedCitation":"(Jenkins 2007)"},"properties":{"noteIndex":0},"schema":"https://github.com/citation-style-language/schema/raw/master/csl-citation.json"}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(Jenkins 2007)</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(McGlynn 2014, 2017),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{"citationItems":[{"id":"ITEM-1","itemData":{"DOI":"10.1007/s11229-008-9330-x","ISSN":"0039-7857","author":[{"dropping-particle":"","family":"Pedersen","given":"Nikolaj Jang","non-dropping-particle":"","parse-names":false,"suffix":""}],"container-title":"Synthese","id":"ITEM-1","issue":"3","issued":{"date-parts":[["2009","12","26"]]},"page":"443-457","title":"Entitlement, value and rationality","type":"article-journal","volume":"171"},"uris":["http://www.mendeley.com/documents/?uuid=29771b3d-b631-33ef-8892-f15917fd85d2"]}],"mendeley":{"formattedCitation":"(Pedersen 2009)","manualFormatting":"(Pedersen 2009, in-press)","plainTextFormattedCitation":"(Pedersen 2009)","previouslyFormattedCitation":"(Pedersen 2009)"},"properties":{"noteIndex":0},"schema":"https://github.com/citation-style-language/schema/raw/master/csl-citation.json"}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(Pedersen 2006, 2009, 2016, 2017, 2019)</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analys/anp043","ISSN":"0003-2638","author":[{"dropping-particle":"","family":"Pritchard","given":"D.","non-dropping-particle":"","parse-names":false,"suffix":""}],"container-title":"Analysis","id":"ITEM-1","issue":"2","issued":{"date-parts":[["2009","4","1"]]},"page":"317-325","title":"Scepticism and the Possibility of Knowledge","type":"article-journal","volume":"69"},"uris":["http://www.mendeley.com/documents/?uuid=5c1342c0-e7fa-3bf9-85e9-649f07211de6"]}],"mendeley":{"formattedCitation":"(Pritchard 2009)","manualFormatting":"(Pritchard 2009, 2014, 2016)","plainTextFormattedCitation":"(Pritchard 2009)","previouslyFormattedCitation":"(Pritchard 2009)"},"properties":{"noteIndex":0},"schema":"https://github.com/citation-style-language/schema/raw/master/csl-citation.json"}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(Pritchard 2009, 2014, 2016)</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{"citationItems":[{"id":"ITEM-1","itemData":{"DOI":"10.1080/00048400802587416","ISSN":"0004-8402","author":[{"dropping-particle":"","family":"Tucker","given":"Chris","non-dropping-particle":"","parse-names":false,"suffix":""}],"container-title":"Australasian Journal of Philosophy","id":"ITEM-1","issue":"3","issued":{"date-parts":[["2009","9"]]},"page":"445-463","title":"Perceptual Justification and Warrant by Default","type":"article-journal","volume":"87"},"uris":["http://www.mendeley.com/documents/?uuid=230006b1-f8cb-3d66-81d7-68ac3d72e7f5"]}],"mendeley":{"formattedCitation":"(Tucker 2009)","plainTextFormattedCitation":"(Tucker 2009)","previouslyFormattedCitation":"(Tucker 2009)"},"properties":{"noteIndex":0},"schema":"https://github.com/citation-style-language/schema/raw/master/csl-citation.json"}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(Tucker 2009)</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{"citationItems":[{"id":"ITEM-1","itemData":{"DOI":"10.1111/j.1468-0114.2011.01402.x","ISSN":"02790750","author":[{"dropping-particle":"","family":"Vahid","given":"Hamid","non-dropping-particle":"","parse-names":false,"suffix":""}],"container-title":"Pacific Philosophical Quarterly","id":"ITEM-1","issue":"3","issued":{"date-parts":[["2011","9","1"]]},"page":"380-399","publisher":"John Wiley &amp; Sons, Ltd (10.1111)","title":"THE CONCEPT OF ENTITLEMENT AND ITS EPISTEMIC RELEVANCE","type":"article-journal","volume":"92"},"uris":["http://www.mendeley.com/documents/?uuid=81f94e90-68e1-329a-b5c0-332aa8162f9e"]},{"id":"ITEM-2","itemData":{"DOI":"10.1163/18756735-000002","ISSN":"0165-9227","abstract":"&lt;p&gt; In a series of papers, Crispin Wright has proposed a number of arguments to show that what makes one’s perceptual experience confer justification on the beliefs it gives rise to includes having independent, non-evidential warrant (entitlement) to believe the kind of presuppositions (or ‘cornerstones’) that the skeptic highlights. It has been objected that such arguments at most show that entitlement has a pragmatic character. While sympathizing with this objection, I will argue in this paper that the kind of considerations that Wright adduces in support of the entitlement thesis can nevertheless bear on the epistemic status of cornerstone beliefs, though not in the way envisaged by Wright himself. To show this, I shall make use of the thesis of pragmatic encroachment arguing that, in addition to its practical stakes, the epistemic stakes of a belief are also relevant to its epistemic status. The consequences of the claim will then be explored for the question of the epistemic status of cornerstone beliefs which seem to show that, &lt;italic&gt;pace&lt;/italic&gt; Wright, such beliefs can, after all, be evidentially warranted. &lt;/p&gt;","author":[{"dropping-particle":"","family":"Vahid","given":"Hamid","non-dropping-particle":"","parse-names":false,"suffix":""}],"container-title":"Grazer Philosophische Studien","id":"ITEM-2","issue":"1-2","issued":{"date-parts":[["2017","6","14"]]},"page":"126-137","title":"Entitlement and the Epistemic Status of Cornerstone Beliefs","type":"article-journal","volume":"94"},"uris":["http://www.mendeley.com/documents/?uuid=8a805065-e0e6-3b03-90e6-a99d5982c463"]}],"mendeley":{"formattedCitation":"(Vahid 2011, 2017)","plainTextFormattedCitation":"(Vahid 2011, 2017)","previouslyFormattedCitation":"(Vahid 2011, 2017)"},"properties":{"noteIndex":0},"schema":"https://github.com/citation-style-language/schema/raw/master/csl-citation.json"}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(Vahid 2011, 2017)</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(Avnur 2012),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{"citationItems":[{"id":"ITEM-1","itemData":{"ISBN":"9780199278053","author":[{"dropping-particle":"","family":"Coliva","given":"Annalisa","non-dropping-particle":"","parse-names":false,"suffix":""}],"container-title":"Mind, Meaning, and Knowledge: Themes from the Philosophy of Crispin Wright","editor":[{"dropping-particle":"","family":"Coliva","given":"Annalisa","non-dropping-particle":"","parse-names":false,"suffix":""}],"id":"ITEM-1","issued":{"date-parts":[["2012"]]},"publisher":"Oxford University Press","publisher-place":"Oxford, UK","title":"Moore's Proof, Liberals, and Conservatives - is there a (Wittgensteinian) Third Way?","type":"chapter"},"uris":["http://www.mendeley.com/documents/?uuid=8ddb6cde-c550-4465-b302-6a44d2df2dee"]}],"mendeley":{"formattedCitation":"(Coliva 2012b)","plainTextFormattedCitation":"(Coliva 2012b)","previouslyFormattedCitation":"(Coliva 2012b)"},"properties":{"noteIndex":0},"schema":"https://github.com/citation-style-language/schema/raw/master/csl-citation.json"}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(Coliva 2012b)</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(Williams 2012),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-011-0051-1","ISSN":"0039-7857","author":[{"dropping-particle":"","family":"Volpe","given":"Giorgio","non-dropping-particle":"","parse-names":false,"suffix":""}],"container-title":"Synthese","id":"ITEM-1","issue":"2","issued":{"date-parts":[["2012","11","1"]]},"page":"317-336","publisher":"Springer Netherlands","title":"Cornerstones: You’d better believe them","type":"article-journal","volume":"189"},"uris":["http://www.mendeley.com/documents/?uuid=9ce1449d-10f4-36b9-872c-11da7f135f43"]}],"mendeley":{"formattedCitation":"(Volpe 2012)","plainTextFormattedCitation":"(Volpe 2012)","previouslyFormattedCitation":"(Volpe 2012)"},"properties":{"noteIndex":0},"schema":"https://github.com/citation-style-language/schema/raw/master/csl-citation.json"}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(Volpe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(Silva 2013),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{"citationItems":[{"id":"ITEM-1","itemData":{"DOI":"10.1080/00048402.2012.732094","ISSN":"0004-8402","author":[{"dropping-particle":"","family":"Smith","given":"Martin","non-dropping-particle":"","parse-names":false,"suffix":""}],"container-title":"Australasian Journal of Philosophy","id":"ITEM-1","issue":"4","issued":{"date-parts":[["2013","12"]]},"page":"735-753","title":"Entitlement and Evidence","type":"article-journal","volume":"91"},"uris":["http://www.mendeley.com/documents/?uuid=6a0aa9ad-7c04-302f-8d54-1f53ef964927"]}],"mendeley":{"formattedCitation":"(Smith 2013)","plainTextFormattedCitation":"(Smith 2013)","previouslyFormattedCitation":"(Smith 2013)"},"properties":{"noteIndex":0},"schema":"https://github.com/citation-style-language/schema/raw/master/csl-citation.json"}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(Smith 2013)</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{"citationItems":[{"id":"ITEM-1","itemData":{"DOI":"10.1093/acprof:oso/9780199658343.003.0009","author":[{"dropping-particle":"","family":"McGlynn","given":"Aidan","non-dropping-particle":"","parse-names":false,"suffix":""}],"container-title":"Scepticism and Perceptual Justification","id":"ITEM-1","issued":{"date-parts":[["2014","5","1"]]},"page":"173-189","publisher":"Oxford University Press","title":"On Epistemic Alchemy*","type":"chapter"},"uris":["http://www.mendeley.com/documents/?uuid=59be9506-53d6-3600-a8c4-c03fab7db2d3"]},{"id":"ITEM-2","itemData":{"DOI":"10.1017/epi.2015.63","ISSN":"1742-3600","abstract":"Crispin Wright has explored and defended the proposal that we are rational in accepting certain ‘cornerstone’ propositions that play an epistemically foundational role on the basis of non-evidential warrants – entitlements – rather than on the basis of evidential justifications. One of the principal objections to this proposal, formulated by Wright himself, is the leaching problem. Put metaphorically, the problem is that it's hard to see how a superstructure of justified belief and knowledge could have something less epistemically secure lying at its foundations. In this paper I discuss how to best formulate the objection behind the metaphor, and I argue that it remains a live worry despite Wright's attempts to neutralize it. I also aim to clarify Wright's conservatism in light of some conflicting remarks he has made about whether he takes acquiring (as opposed to claiming to possess) justification or knowledge to be subject to the conservative requirement that one must have antecedent warrant for accepting the relevant cornerstone propositions. A major theme of the paper is that these two issues are intimately linked – that formulating Wright's conservatism in the most stable and motivated way leaves him without a response to the leaching problem considered in its strongest form.","author":[{"dropping-particle":"","family":"McGlynn","given":"Aidan","non-dropping-particle":"","parse-names":false,"suffix":""}],"container-title":"Episteme","id":"ITEM-2","issue":"01","issued":{"date-parts":[["2017","3","20"]]},"page":"89-102","publisher":"Cambridge University Press","title":"Epistemic Entitlement and the Leaching Problem","type":"article-journal","volume":"14"},"uris":["http://www.mendeley.com/documents/?uuid=9cc204fb-c589-346f-8368-32d7b7f84b9c"]}],"mendeley":{"formattedCitation":"(McGlynn 2014, 2017)","plainTextFormattedCitation":"(McGlynn 2014, 2017)","previouslyFormattedCitation":"(McGlynn 2014, 2017)"},"properties":{"noteIndex":0},"schema":"https://github.com/citation-style-language/schema/raw/master/csl-citation.json"}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(McGlynn 2014, 2017)</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{"citationItems":[{"id":"ITEM-1","itemData":{"DOI":"10.1111/phis.12123","ISSN":"15336077","author":[{"dropping-particle":"","family":"Malmgren","given":"Anna-Sara","non-dropping-particle":"","parse-names":false,"suffix":""}],"container-title":"Philosophical Issues","id":"ITEM-1","issue":"1","issued":{"date-parts":[["2018","10"]]},"page":"221-254","title":"Varities of Inference?","type":"article-journal","volume":"28"},"uris":["http://www.mendeley.com/documents/?uuid=2cfbf0df-9565-39f0-a780-4578cbe49bd2"]}],"mendeley":{"formattedCitation":"(Malmgren 2018)","plainTextFormattedCitation":"(Malmgren 2018)","previouslyFormattedCitation":"(Malmgren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(Malmgren 2018)</w:t>
      </w:r>
      <w:r w:rsidRPr="00E53339">
        <w:rPr>
          <w:rFonts w:cs="Times New Roman"/>
          <w:color w:val="000000" w:themeColor="text1"/>
          <w:sz w:val="22"/>
          <w:szCs w:val="22"/>
        </w:rPr>
        <w:fldChar w:fldCharType="end"/>
      </w:r>
      <w:r w:rsidRPr="00E53339">
        <w:rPr>
          <w:rFonts w:cs="Times New Roman"/>
          <w:color w:val="000000" w:themeColor="text1"/>
          <w:sz w:val="22"/>
          <w:szCs w:val="22"/>
        </w:rPr>
        <w:t>, (Elstein and Jenkins 2019), (Greenough 2019),  and (Smith 2019).</w:t>
      </w:r>
    </w:p>
  </w:footnote>
  <w:footnote w:id="2">
    <w:p w14:paraId="529F5404" w14:textId="3BB3A3DA" w:rsidR="00E53339" w:rsidRPr="00E53339" w:rsidRDefault="00E53339" w:rsidP="00E53339">
      <w:pPr>
        <w:pStyle w:val="FootnoteText"/>
        <w:ind w:firstLine="360"/>
        <w:rPr>
          <w:sz w:val="22"/>
          <w:szCs w:val="22"/>
        </w:rPr>
      </w:pPr>
      <w:r w:rsidRPr="00E53339">
        <w:rPr>
          <w:rStyle w:val="FootnoteReference"/>
          <w:sz w:val="22"/>
          <w:szCs w:val="22"/>
        </w:rPr>
        <w:footnoteRef/>
      </w:r>
      <w:r w:rsidRPr="00E53339">
        <w:rPr>
          <w:sz w:val="22"/>
          <w:szCs w:val="22"/>
        </w:rPr>
        <w:t xml:space="preserve"> Reliabilist-externalist foundationalists include (Goldman 1986), (Greco 2000), (Burge 2003), (Lyons 2009), and (Graham 2012), among many others. Internalist foundationalists include (Audi 1993) and (Feldman and Conee 2004), among many others.</w:t>
      </w:r>
    </w:p>
  </w:footnote>
  <w:footnote w:id="3">
    <w:p w14:paraId="52DC1AB9" w14:textId="75A1C4A6"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Others who use the word ‘entitlement’ include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{"citationItems":[{"id":"ITEM-1","itemData":{"ISBN":"0674543300","abstract":"Making it Explicit is an investigation into the nature of language - the social practices that distinguish us as rational, logical creatures - that revises the very terms of this inquiry. Where accounts of the relation between language and mind have traditionally rested on the concept of representation, this book sets out an alternate approach based on inference, and on a conception of certain kinds of implicit assessment that become explicit in language. Making It Explicit is the first attempt to work out in detail a theory that renders linguistic meaning in terms of use - in short, to explain how semantic content can be conferred on expressions and attitudes that are suitably caught up in social practices. 1. Toward a Normative Pragmatics -- 2. Toward an Inferential Semantics -- 3. Linguistic Practice and Discursive Commitment -- 4. Perception and Action: The Conferral of Empirical and Practical Conceptual Content -- 5. The Expressive Role of Traditional Semantic Vocabulary: 'True' and 'Refers' -- 6. Substitution: What Are Singular Terms, and Why Are There Any? -- 7. Anaphora: The Structure of Token Repeatables -- 8. Ascribing Propositional Attitudes: The Social Route from Reasoning to Representing -- 9. Conclusion.","author":[{"dropping-particle":"","family":"Brandom","given":"Robert.","non-dropping-particle":"","parse-names":false,"suffix":""}],"id":"ITEM-1","issued":{"date-parts":[["1994"]]},"number-of-pages":"741","publisher":"Harvard University Press","title":"Making it explicit : reasoning, representing, and discursive commitment","type":"book"},"uris":["http://www.mendeley.com/documents/?uuid=c32d5560-883b-31d3-97c1-391f53afbfd7"]}],"mendeley":{"formattedCitation":"(Brandom 1994)","plainTextFormattedCitation":"(Brandom 1994)","previouslyFormattedCitation":"(Brandom 1994)"},"properties":{"noteIndex":0},"schema":"https://github.com/citation-style-language/schema/raw/master/csl-citation.json"}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(Brandom 1994)</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{"citationItems":[{"id":"ITEM-1","itemData":{"DOI":"10.2307/2653817","ISSN":"00318205","author":[{"dropping-particle":"","family":"Dretske","given":"Fred","non-dropping-particle":"","parse-names":false,"suffix":""}],"container-title":"Philosophy and Phenomenological Research","id":"ITEM-1","issue":"3","issued":{"date-parts":[["2000","5"]]},"page":"591","title":"Entitlement: Epistemic Rights without Epistemic Duties?","type":"article-journal","volume":"60"},"uris":["http://www.mendeley.com/documents/?uuid=88050b88-eead-363e-850f-f75f910cebc8"]}],"mendeley":{"formattedCitation":"(Dretske 2000)","plainTextFormattedCitation":"(Dretske 2000)","previouslyFormattedCitation":"(Dretske 2000)"},"properties":{"noteIndex":0},"schema":"https://github.com/citation-style-language/schema/raw/master/csl-citation.json"}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(Dretske 2000)</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{"citationItems":[{"id":"ITEM-1","itemData":{"DOI":"10.1111/j.0309-7013.2004.00122.x","ISSN":"0309-7013","author":[{"dropping-particle":"","family":"Davies","given":"Martin","non-dropping-particle":"","parse-names":false,"suffix":""}],"container-title":"Aristotelian Society Supplementary Volume","id":"ITEM-1","issue":"1","issued":{"date-parts":[["2004","7","1"]]},"page":"213-245","title":"Epistemic Entitlement, Warrant Transmission and Easy Knowledge","type":"article-journal","volume":"78"},"uris":["http://www.mendeley.com/documents/?uuid=3c988fbe-08b9-3cd9-9190-fded7f3c98fe"]}],"mendeley":{"formattedCitation":"(Davies 2004)","plainTextFormattedCitation":"(Davies 2004)","previouslyFormattedCitation":"(Davies 2004)"},"properties":{"noteIndex":0},"schema":"https://github.com/citation-style-language/schema/raw/master/csl-citation.json"}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(Davies 2004)</w:t>
      </w:r>
      <w:r w:rsidRPr="00E53339">
        <w:rPr>
          <w:rFonts w:cs="Times New Roman"/>
          <w:color w:val="000000" w:themeColor="text1"/>
          <w:sz w:val="22"/>
          <w:szCs w:val="22"/>
        </w:rPr>
        <w:fldChar w:fldCharType="end"/>
      </w:r>
      <w:r w:rsidRPr="00E53339">
        <w:rPr>
          <w:rFonts w:cs="Times New Roman"/>
          <w:color w:val="000000" w:themeColor="text1"/>
          <w:sz w:val="22"/>
          <w:szCs w:val="22"/>
        </w:rPr>
        <w:t>,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{"citationItems":[{"id":"ITEM-1","itemData":{"ISBN":"9783110183061","author":[{"dropping-particle":"","family":"Peacocke","given":"Christopher","non-dropping-particle":"","parse-names":false,"suffix":""}],"container-title":"The Externalist Challenge","id":"ITEM-1","issued":{"date-parts":[["2004"]]},"publisher":"Walter de Gruyter","publisher-place":"Berlin","title":"Explaining Perceptual Entitlement","type":"chapter"},"uris":["http://www.mendeley.com/documents/?uuid=6a1d925c-e8f9-3953-93d4-e6abd0f4ea3f"]}],"mendeley":{"formattedCitation":"(Peacocke 2004)","manualFormatting":"Peacocke 2004)","plainTextFormattedCitation":"(Peacocke 2004)","previouslyFormattedCitation":"(Peacocke 2004)"},"properties":{"noteIndex":0},"schema":"https://github.com/citation-style-language/schema/raw/master/csl-citation.json"}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Peacocke 2004)</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{"citationItems":[{"id":"ITEM-1","itemData":{"DOI":"10.1111/j.1933-1592.2006.tb00550.x","author":[{"dropping-particle":"","family":"Fricker","given":"Elizabeth","non-dropping-particle":"","parse-names":false,"suffix":""}],"container-title":"Philosophy and Phenomenological Research","id":"ITEM-1","issue":"3","issued":{"date-parts":[["2006","11","1"]]},"page":"592-618","publisher":"John Wiley &amp; Sons, Ltd (10.1111)","title":"Second-Hand Knowledge","type":"article-journal","volume":"73"},"uris":["http://www.mendeley.com/documents/?uuid=780f47c6-f43c-3a4b-a9f7-e9ba092ae342"]}],"mendeley":{"formattedCitation":"(Fricker 2006)","plainTextFormattedCitation":"(Fricker 2006)","previouslyFormattedCitation":"(Fricker 2006)"},"properties":{"noteIndex":0},"schema":"https://github.com/citation-style-language/schema/raw/master/csl-citation.json"}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(Fricker 2006)</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{"citationItems":[{"id":"ITEM-1","itemData":{"DOI":"10.1111/j.1468-0068.2010.00815.x","ISSN":"00294624","author":[{"dropping-particle":"","family":"Graham","given":"Peter J.","non-dropping-particle":"","parse-names":false,"suffix":""}],"container-title":"Nous","id":"ITEM-1","issue":"3","issued":{"date-parts":[["2012"]]},"title":"Epistemic entitlement","type":"article-journal","volume":"46"},"uris":["http://www.mendeley.com/documents/?uuid=1131a5e5-6e04-35f7-a596-f8c7d524d60f"]}],"mendeley":{"formattedCitation":"(Graham 2012)","plainTextFormattedCitation":"(Graham 2012)","previouslyFormattedCitation":"(Graham 2012)"},"properties":{"noteIndex":0},"schema":"https://github.com/citation-style-language/schema/raw/master/csl-citation.json"}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(Graham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{"citationItems":[{"id":"ITEM-1","itemData":{"DOI":"10.1093/acprof:oso/9780199278053.003.0014","author":[{"dropping-particle":"","family":"Williams","given":"Michael","non-dropping-particle":"","parse-names":false,"suffix":""}],"container-title":"Mind, Meaning, and Knowledge","id":"ITEM-1","issued":{"date-parts":[["2012","10","4"]]},"page":"352-376","publisher":"Oxford University Press","title":"Wright Against the Sceptics","type":"chapter"},"uris":["http://www.mendeley.com/documents/?uuid=3b2f700b-6cdb-3e60-9f08-0a7e5d3bafb2"]}],"mendeley":{"formattedCitation":"(Williams 2012)","plainTextFormattedCitation":"(Williams 2012)","previouslyFormattedCitation":"(Williams 2012)"},"properties":{"noteIndex":0},"schema":"https://github.com/citation-style-language/schema/raw/master/csl-citation.json"}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(Williams 2012)</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and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{"citationItems":[{"id":"ITEM-1","itemData":{"ISBN":"9780198793670","abstract":"Sanford C. Goldberg argues in this volume that epistemic normativity - the sort of normativity implicated in assessments of whether a belief amounts to knowledge - is grounded in the things we properly expect of one another as epistemic subjects. In developing this claim Goldberg argues that epistemic norms and standards themselves are generated by the expectations that arise out of our profound and ineliminable dependence on one another for what we know of the world. The expectations in question are those through which we hold each other accountable to standards of both (epistemic) reliability and (epistemic) responsibility. In arguing for this Goldberg aims to honor the insights of both internalist and externalist approaches to epistemic justification. The resulting theory has far-reaching implications not only for the theory of epistemic normativity, but also for the nature of epistemic assessment itself, as well as for our understanding of epistemic defeat, epistemic justification, epistemic responsibility, and the various social dimensions of knowledge. Introduction : the aim of this project -- Epistemically proper belief : the very idea -- Epistemic assessment : core criteria and general expectations -- Core criteria I : permissions to rely on cognitive processes -- Core criteria II : coherence-infused reliabilism (CIR) -- General expectations I : entitlements to expect and social epistemic responsibility -- General expectations II : normative defeat and ultima facie espistemic propriety -- Epistemic repsonsibility in social context.","author":[{"dropping-particle":"","family":"Goldberg","given":"Sanford","non-dropping-particle":"","parse-names":false,"suffix":""}],"id":"ITEM-1","issued":{"date-parts":[["2018"]]},"publisher":"Oxford University Press","publisher-place":"Oxford","title":"To the Best of Our Knowledge : Social Expectations and Epistemic Normativity","type":"book"},"uris":["http://www.mendeley.com/documents/?uuid=5af643ae-a5bc-347d-b9aa-179d7e05ad03"]}],"mendeley":{"formattedCitation":"(Goldberg 2018)","plainTextFormattedCitation":"(Goldberg 2018)","previouslyFormattedCitation":"(Goldberg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(Goldberg 2018)</w:t>
      </w:r>
      <w:r w:rsidRPr="00E53339">
        <w:rPr>
          <w:rFonts w:cs="Times New Roman"/>
          <w:color w:val="000000" w:themeColor="text1"/>
          <w:sz w:val="22"/>
          <w:szCs w:val="22"/>
        </w:rPr>
        <w:fldChar w:fldCharType="end"/>
      </w:r>
      <w:r w:rsidRPr="00E53339">
        <w:rPr>
          <w:rFonts w:cs="Times New Roman"/>
          <w:color w:val="000000" w:themeColor="text1"/>
          <w:sz w:val="22"/>
          <w:szCs w:val="22"/>
        </w:rPr>
        <w:t>, among others. See (Altschul, n.d.) for discussion.</w:t>
      </w:r>
    </w:p>
  </w:footnote>
  <w:footnote w:id="4">
    <w:p w14:paraId="7389448E" w14:textId="5A020811"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Majors (2015, cf. Graham in-press b) noted Burge systematically uses ‘entitlement’ in two senses, a </w:t>
      </w:r>
      <w:r w:rsidRPr="00E53339">
        <w:rPr>
          <w:rFonts w:cs="Times New Roman"/>
          <w:i/>
          <w:color w:val="000000" w:themeColor="text1"/>
          <w:sz w:val="22"/>
          <w:szCs w:val="22"/>
        </w:rPr>
        <w:t>general</w:t>
      </w:r>
      <w:r w:rsidRPr="00E53339">
        <w:rPr>
          <w:rFonts w:cs="Times New Roman"/>
          <w:color w:val="000000" w:themeColor="text1"/>
          <w:sz w:val="22"/>
          <w:szCs w:val="22"/>
        </w:rPr>
        <w:t xml:space="preserve"> and a </w:t>
      </w:r>
      <w:r w:rsidRPr="00E53339">
        <w:rPr>
          <w:rFonts w:cs="Times New Roman"/>
          <w:i/>
          <w:color w:val="000000" w:themeColor="text1"/>
          <w:sz w:val="22"/>
          <w:szCs w:val="22"/>
        </w:rPr>
        <w:t>specific</w:t>
      </w:r>
      <w:r w:rsidRPr="00E53339">
        <w:rPr>
          <w:rFonts w:cs="Times New Roman"/>
          <w:color w:val="000000" w:themeColor="text1"/>
          <w:sz w:val="22"/>
          <w:szCs w:val="22"/>
        </w:rPr>
        <w:t xml:space="preserve"> sense. In the </w:t>
      </w:r>
      <w:r w:rsidRPr="00E53339">
        <w:rPr>
          <w:rFonts w:cs="Times New Roman"/>
          <w:i/>
          <w:color w:val="000000" w:themeColor="text1"/>
          <w:sz w:val="22"/>
          <w:szCs w:val="22"/>
        </w:rPr>
        <w:t>general</w:t>
      </w:r>
      <w:r w:rsidRPr="00E53339">
        <w:rPr>
          <w:rFonts w:cs="Times New Roman"/>
          <w:color w:val="000000" w:themeColor="text1"/>
          <w:sz w:val="22"/>
          <w:szCs w:val="22"/>
        </w:rPr>
        <w:t xml:space="preserve"> sense, to say we have an entitlement to rely on a belief-forming competence is to say we do not need a meta-justification of its reliability to enjoy knowledge and warrant through its exercise. Burge’s “general” entitlement is a then </w:t>
      </w:r>
      <w:r w:rsidRPr="00E53339">
        <w:rPr>
          <w:rFonts w:cs="Times New Roman"/>
          <w:i/>
          <w:color w:val="000000" w:themeColor="text1"/>
          <w:sz w:val="22"/>
          <w:szCs w:val="22"/>
        </w:rPr>
        <w:t>negative</w:t>
      </w:r>
      <w:r w:rsidRPr="00E53339">
        <w:rPr>
          <w:rFonts w:cs="Times New Roman"/>
          <w:color w:val="000000" w:themeColor="text1"/>
          <w:sz w:val="22"/>
          <w:szCs w:val="22"/>
        </w:rPr>
        <w:t xml:space="preserve"> point about what warrant does </w:t>
      </w:r>
      <w:r w:rsidRPr="00E53339">
        <w:rPr>
          <w:rFonts w:cs="Times New Roman"/>
          <w:i/>
          <w:color w:val="000000" w:themeColor="text1"/>
          <w:sz w:val="22"/>
          <w:szCs w:val="22"/>
        </w:rPr>
        <w:t>not</w:t>
      </w:r>
      <w:r w:rsidRPr="00E53339">
        <w:rPr>
          <w:rFonts w:cs="Times New Roman"/>
          <w:color w:val="000000" w:themeColor="text1"/>
          <w:sz w:val="22"/>
          <w:szCs w:val="22"/>
        </w:rPr>
        <w:t xml:space="preserve"> require—a meta-justification of reliability—</w:t>
      </w:r>
      <w:r w:rsidRPr="00E53339">
        <w:rPr>
          <w:rFonts w:cs="Times New Roman"/>
          <w:i/>
          <w:color w:val="000000" w:themeColor="text1"/>
          <w:sz w:val="22"/>
          <w:szCs w:val="22"/>
        </w:rPr>
        <w:t>and</w:t>
      </w:r>
      <w:r w:rsidRPr="00E53339">
        <w:rPr>
          <w:rFonts w:cs="Times New Roman"/>
          <w:color w:val="000000" w:themeColor="text1"/>
          <w:sz w:val="22"/>
          <w:szCs w:val="22"/>
        </w:rPr>
        <w:t xml:space="preserve"> a </w:t>
      </w:r>
      <w:r w:rsidRPr="00E53339">
        <w:rPr>
          <w:rFonts w:cs="Times New Roman"/>
          <w:i/>
          <w:color w:val="000000" w:themeColor="text1"/>
          <w:sz w:val="22"/>
          <w:szCs w:val="22"/>
        </w:rPr>
        <w:t>positive</w:t>
      </w:r>
      <w:r w:rsidRPr="00E53339">
        <w:rPr>
          <w:rFonts w:cs="Times New Roman"/>
          <w:color w:val="000000" w:themeColor="text1"/>
          <w:sz w:val="22"/>
          <w:szCs w:val="22"/>
        </w:rPr>
        <w:t xml:space="preserve"> point about the </w:t>
      </w:r>
      <w:r w:rsidRPr="00E53339">
        <w:rPr>
          <w:rFonts w:cs="Times New Roman"/>
          <w:i/>
          <w:color w:val="000000" w:themeColor="text1"/>
          <w:sz w:val="22"/>
          <w:szCs w:val="22"/>
        </w:rPr>
        <w:t>source</w:t>
      </w:r>
      <w:r w:rsidRPr="00E53339">
        <w:rPr>
          <w:rFonts w:cs="Times New Roman"/>
          <w:color w:val="000000" w:themeColor="text1"/>
          <w:sz w:val="22"/>
          <w:szCs w:val="22"/>
        </w:rPr>
        <w:t xml:space="preserve"> of warrant—it “resides in” or “rests on” reliable competence. Burge’s distinction between justification and entitlement involves the specific sense. Entitlements in the specific sense are kinds of warrant for belief.</w:t>
      </w:r>
    </w:p>
  </w:footnote>
  <w:footnote w:id="5">
    <w:p w14:paraId="7F9A502F" w14:textId="1AFC6672"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Recent work on reasons in epistemology includes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{"citationItems":[{"id":"ITEM-1","itemData":{"DOI":"10.1111/j.1467-9264.2013.00356.x","ISSN":"00667374","author":[{"dropping-particle":"","family":"Littlejohn","given":"Clayton","non-dropping-particle":"","parse-names":false,"suffix":""}],"container-title":"Proceedings of the Aristotelian Society (Hardback)","id":"ITEM-1","issue":"3pt3","issued":{"date-parts":[["2013","10"]]},"page":"293-320","title":"XV-The Russellian Retreat","type":"article-journal","volume":"113"},"uris":["http://www.mendeley.com/documents/?uuid=6969831b-4e38-36da-84aa-3080d5cf3d61"]}],"mendeley":{"formattedCitation":"(Littlejohn 2013)","plainTextFormattedCitation":"(Littlejohn 2013)","previouslyFormattedCitation":"(Littlejohn 2013)"},"properties":{"noteIndex":0},"schema":"https://github.com/citation-style-language/schema/raw/master/csl-citation.json"}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(Littlejohn 2013)</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(Kornblith 2015), (Comesaña and McGrath 2016),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{"citationItems":[{"id":"ITEM-1","itemData":{"DOI":"10.1007/s11098-015-0532-z","ISSN":"0031-8116","author":[{"dropping-particle":"","family":"Schnee","given":"Ian","non-dropping-particle":"","parse-names":false,"suffix":""}],"container-title":"Philosophical Studies","id":"ITEM-1","issue":"4","issued":{"date-parts":[["2016","4","23"]]},"page":"1103-1118","title":"Basic factive perceptual reasons","type":"article-journal","volume":"173"},"uris":["http://www.mendeley.com/documents/?uuid=3ac200e0-262a-3d57-932e-ef4f36d4f70a"]}],"mendeley":{"formattedCitation":"(Schnee 2016)","plainTextFormattedCitation":"(Schnee 2016)","previouslyFormattedCitation":"(Schnee 2016)"},"properties":{"noteIndex":0},"schema":"https://github.com/citation-style-language/schema/raw/master/csl-citation.json"}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(Schnee 2016)</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{"citationItems":[{"id":"ITEM-1","itemData":{"DOI":"10.1111/phc3.12327","ISSN":"17479991","author":[{"dropping-particle":"","family":"Sylvan","given":"Kurt","non-dropping-particle":"","parse-names":false,"suffix":""}],"container-title":"Philosophy Compass","id":"ITEM-1","issue":"7","issued":{"date-parts":[["2016","7","1"]]},"page":"364-376","publisher":"John Wiley &amp; Sons, Ltd (10.1111)","title":"Epistemic Reasons I: Normativity","type":"article-journal","volume":"11"},"uris":["http://www.mendeley.com/documents/?uuid=2235b837-9a4b-3035-8b7e-946f4cfc642b"]},{"id":"ITEM-2","itemData":{"DOI":"10.1111/phc3.12329","ISSN":"17479991","author":[{"dropping-particle":"","family":"Sylvan","given":"Kurt","non-dropping-particle":"","parse-names":false,"suffix":""}],"container-title":"Philosophy Compass","id":"ITEM-2","issue":"7","issued":{"date-parts":[["2016","7","1"]]},"page":"377-389","publisher":"John Wiley &amp; Sons, Ltd (10.1111)","title":"Epistemic Reasons II: Basing","type":"article-journal","volume":"11"},"uris":["http://www.mendeley.com/documents/?uuid=db454b01-7a7c-31f7-a0d0-96ec80f23fd4"]}],"mendeley":{"formattedCitation":"(Sylvan 2016a, 2016b)","plainTextFormattedCitation":"(Sylvan 2016a, 2016b)","previouslyFormattedCitation":"(Sylvan 2016a, 2016b)"},"properties":{"noteIndex":0},"schema":"https://github.com/citation-style-language/schema/raw/master/csl-citation.json"}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(Sylvan 2016a, 2016b)</w:t>
      </w:r>
      <w:r w:rsidRPr="00E53339">
        <w:rPr>
          <w:rFonts w:cs="Times New Roman"/>
          <w:color w:val="000000" w:themeColor="text1"/>
          <w:sz w:val="22"/>
          <w:szCs w:val="22"/>
        </w:rPr>
        <w:fldChar w:fldCharType="end"/>
      </w:r>
      <w:r w:rsidRPr="00E53339">
        <w:rPr>
          <w:rFonts w:cs="Times New Roman"/>
          <w:color w:val="000000" w:themeColor="text1"/>
          <w:sz w:val="22"/>
          <w:szCs w:val="22"/>
        </w:rPr>
        <w:t>, (Smithies 2018), and (Sylvan and Sosa 2018).</w:t>
      </w:r>
    </w:p>
  </w:footnote>
  <w:footnote w:id="6">
    <w:p w14:paraId="66ABFB85" w14:textId="2A8803C8"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Burge’s distinction also does not line up with Sosa’s between animal and reflective knowledge. Even animals, for Burge, have reasons; some “animal” warrants are justifications. Furthermore, even in “reflection” warrants for self-knowledge are often entitlements. The “with-reasons” and “without-reasons” distinction cuts across the first-order versus higher-order warrant distinction. For more on inference, reasoning, and the difference between them, see (Graham in-press b), (Mercier and Sperber 2017), and (Balcerak and Balcerak 2019)</w:t>
      </w:r>
      <w:r>
        <w:rPr>
          <w:rFonts w:cs="Times New Roman"/>
          <w:color w:val="000000" w:themeColor="text1"/>
          <w:sz w:val="22"/>
          <w:szCs w:val="22"/>
        </w:rPr>
        <w:t>.</w:t>
      </w:r>
    </w:p>
  </w:footnote>
  <w:footnote w:id="7">
    <w:p w14:paraId="66B6159B" w14:textId="3F05DE42"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Pollock’s (1985) sense of access is even weaker. A mental state is accessible iff it is the input to another cognitive process. In other words, if a cognitive process can “access” it, it is “accessible.” It may be modular, unconscious. </w:t>
      </w:r>
    </w:p>
  </w:footnote>
  <w:footnote w:id="8">
    <w:p w14:paraId="618B03A5" w14:textId="7B03C5E1" w:rsidR="00E53339" w:rsidRPr="00E53339" w:rsidRDefault="00E53339" w:rsidP="00E53339">
      <w:pPr>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Normal exercises of reliable competencies involve many elements, representational as well as non-representational, conscious as well as unconscious, and transitions among those elements. Elements that are not accessible reasons Burge calls </w:t>
      </w:r>
      <w:r w:rsidRPr="00E53339">
        <w:rPr>
          <w:rFonts w:cs="Times New Roman"/>
          <w:i/>
          <w:color w:val="000000" w:themeColor="text1"/>
          <w:sz w:val="22"/>
          <w:szCs w:val="22"/>
        </w:rPr>
        <w:t>contributions</w:t>
      </w:r>
      <w:r w:rsidRPr="00E53339">
        <w:rPr>
          <w:rFonts w:cs="Times New Roman"/>
          <w:color w:val="000000" w:themeColor="text1"/>
          <w:sz w:val="22"/>
          <w:szCs w:val="22"/>
        </w:rPr>
        <w:t xml:space="preserve"> </w:t>
      </w:r>
      <w:r w:rsidRPr="00E53339">
        <w:rPr>
          <w:rFonts w:cs="Times New Roman"/>
          <w:i/>
          <w:color w:val="000000" w:themeColor="text1"/>
          <w:sz w:val="22"/>
          <w:szCs w:val="22"/>
        </w:rPr>
        <w:t>to an entitlement</w:t>
      </w:r>
      <w:r w:rsidRPr="00E53339">
        <w:rPr>
          <w:rFonts w:cs="Times New Roman"/>
          <w:color w:val="000000" w:themeColor="text1"/>
          <w:sz w:val="22"/>
          <w:szCs w:val="22"/>
        </w:rPr>
        <w:t xml:space="preserve">. When there are no accessible reasons involved in the formation of a belief, the warrant is an entitlement. When an accessible reason is involved, though there are often also many </w:t>
      </w:r>
      <w:r w:rsidRPr="00E53339">
        <w:rPr>
          <w:rFonts w:cs="Times New Roman"/>
          <w:i/>
          <w:color w:val="000000" w:themeColor="text1"/>
          <w:sz w:val="22"/>
          <w:szCs w:val="22"/>
        </w:rPr>
        <w:t>contributions to an entitlement</w:t>
      </w:r>
      <w:r w:rsidRPr="00E53339">
        <w:rPr>
          <w:rFonts w:cs="Times New Roman"/>
          <w:color w:val="000000" w:themeColor="text1"/>
          <w:sz w:val="22"/>
          <w:szCs w:val="22"/>
        </w:rPr>
        <w:t xml:space="preserve"> involved as well, the warrant is a justification. Warrants often involve a “mix” of reasons and contributions to entitlements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acprof:oso/9780199672028.001.0001","ISBN":"9780199672028","author":[{"dropping-particle":"","family":"Burge","given":"Tyler","non-dropping-particle":"","parse-names":false,"suffix":""}],"id":"ITEM-1","issued":{"date-parts":[["2013","3","28"]]},"publisher":"Oxford University Press","title":"Cognition Through Understanding","type":"book"},"uris":["http://www.mendeley.com/documents/?uuid=504dc3f1-4f64-350d-9544-f9f70ee4d9b6"]}],"mendeley":{"formattedCitation":"(Burge 2013b)","manualFormatting":"(Burge 2013d, pp. 42, 196, 275, 492)","plainTextFormattedCitation":"(Burge 2013b)","previouslyFormattedCitation":"(Burge 2013b)"},"properties":{"noteIndex":0},"schema":"https://github.com/citation-style-language/schema/raw/master/csl-citation.json"}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(Burge 2013a, pp. 42, 196, 275, 492)</w:t>
      </w:r>
      <w:r w:rsidRPr="00E53339">
        <w:rPr>
          <w:rFonts w:cs="Times New Roman"/>
          <w:color w:val="000000" w:themeColor="text1"/>
          <w:sz w:val="22"/>
          <w:szCs w:val="22"/>
        </w:rPr>
        <w:fldChar w:fldCharType="end"/>
      </w:r>
      <w:r w:rsidRPr="00E53339">
        <w:rPr>
          <w:rFonts w:cs="Times New Roman"/>
          <w:color w:val="000000" w:themeColor="text1"/>
          <w:sz w:val="22"/>
          <w:szCs w:val="22"/>
        </w:rPr>
        <w:t>.</w:t>
      </w:r>
    </w:p>
    <w:p w14:paraId="04D95477" w14:textId="5F2C6935" w:rsidR="00E53339" w:rsidRPr="00E53339" w:rsidRDefault="00E53339" w:rsidP="00E53339">
      <w:pPr>
        <w:ind w:firstLine="360"/>
        <w:rPr>
          <w:rFonts w:cs="Times New Roman"/>
          <w:color w:val="000000" w:themeColor="text1"/>
          <w:sz w:val="22"/>
          <w:szCs w:val="22"/>
        </w:rPr>
      </w:pPr>
      <w:r w:rsidRPr="00E53339">
        <w:rPr>
          <w:rFonts w:cs="Times New Roman"/>
          <w:color w:val="000000" w:themeColor="text1"/>
          <w:sz w:val="22"/>
          <w:szCs w:val="22"/>
        </w:rPr>
        <w:t xml:space="preserve">On Burge’s view, do perceptual states </w:t>
      </w:r>
      <w:r w:rsidRPr="00E53339">
        <w:rPr>
          <w:rFonts w:cs="Times New Roman"/>
          <w:i/>
          <w:color w:val="000000" w:themeColor="text1"/>
          <w:sz w:val="22"/>
          <w:szCs w:val="22"/>
        </w:rPr>
        <w:t>entitle</w:t>
      </w:r>
      <w:r w:rsidRPr="00E53339">
        <w:rPr>
          <w:rFonts w:cs="Times New Roman"/>
          <w:color w:val="000000" w:themeColor="text1"/>
          <w:sz w:val="22"/>
          <w:szCs w:val="22"/>
        </w:rPr>
        <w:t xml:space="preserve"> perceptual beliefs? Are perceptual states </w:t>
      </w:r>
      <w:r w:rsidRPr="00E53339">
        <w:rPr>
          <w:rFonts w:cs="Times New Roman"/>
          <w:i/>
          <w:color w:val="000000" w:themeColor="text1"/>
          <w:sz w:val="22"/>
          <w:szCs w:val="22"/>
        </w:rPr>
        <w:t>entitlements</w:t>
      </w:r>
      <w:r w:rsidRPr="00E53339">
        <w:rPr>
          <w:rFonts w:cs="Times New Roman"/>
          <w:color w:val="000000" w:themeColor="text1"/>
          <w:sz w:val="22"/>
          <w:szCs w:val="22"/>
        </w:rPr>
        <w:t xml:space="preserve">? As Majors pointed out, the answer is no (2015, §2). For Burge, the warrant for a perceptual belief consists in </w:t>
      </w:r>
      <w:r w:rsidRPr="00E53339">
        <w:rPr>
          <w:rFonts w:cs="Times New Roman"/>
          <w:i/>
          <w:color w:val="000000" w:themeColor="text1"/>
          <w:sz w:val="22"/>
          <w:szCs w:val="22"/>
        </w:rPr>
        <w:t>the entire sequence</w:t>
      </w:r>
      <w:r w:rsidRPr="00E53339">
        <w:rPr>
          <w:rFonts w:cs="Times New Roman"/>
          <w:color w:val="000000" w:themeColor="text1"/>
          <w:sz w:val="22"/>
          <w:szCs w:val="22"/>
        </w:rPr>
        <w:t xml:space="preserve"> of transitions that constitutes the normal functioning of the perceptual belief-forming competence. Perceptual states are one element in the entire sequence. </w:t>
      </w:r>
      <w:r w:rsidRPr="00E53339">
        <w:rPr>
          <w:rFonts w:cs="Times New Roman"/>
          <w:i/>
          <w:color w:val="000000" w:themeColor="text1"/>
          <w:sz w:val="22"/>
          <w:szCs w:val="22"/>
        </w:rPr>
        <w:t>On their own</w:t>
      </w:r>
      <w:r w:rsidRPr="00E53339">
        <w:rPr>
          <w:rFonts w:cs="Times New Roman"/>
          <w:color w:val="000000" w:themeColor="text1"/>
          <w:sz w:val="22"/>
          <w:szCs w:val="22"/>
        </w:rPr>
        <w:t xml:space="preserve">, they don’t </w:t>
      </w:r>
      <w:r w:rsidRPr="00E53339">
        <w:rPr>
          <w:rFonts w:cs="Times New Roman"/>
          <w:i/>
          <w:color w:val="000000" w:themeColor="text1"/>
          <w:sz w:val="22"/>
          <w:szCs w:val="22"/>
        </w:rPr>
        <w:t>entitle</w:t>
      </w:r>
      <w:r w:rsidRPr="00E53339">
        <w:rPr>
          <w:rFonts w:cs="Times New Roman"/>
          <w:color w:val="000000" w:themeColor="text1"/>
          <w:sz w:val="22"/>
          <w:szCs w:val="22"/>
        </w:rPr>
        <w:t xml:space="preserve"> anything. Only the whole sequence can do that. Perceptual states, like every other element and transition in the normal exercise of the competence, </w:t>
      </w:r>
      <w:r w:rsidRPr="00E53339">
        <w:rPr>
          <w:rFonts w:cs="Times New Roman"/>
          <w:i/>
          <w:color w:val="000000" w:themeColor="text1"/>
          <w:sz w:val="22"/>
          <w:szCs w:val="22"/>
        </w:rPr>
        <w:t>contribute</w:t>
      </w:r>
      <w:r w:rsidRPr="00E53339">
        <w:rPr>
          <w:rFonts w:cs="Times New Roman"/>
          <w:color w:val="000000" w:themeColor="text1"/>
          <w:sz w:val="22"/>
          <w:szCs w:val="22"/>
        </w:rPr>
        <w:t xml:space="preserve"> to an entitlement.</w:t>
      </w:r>
    </w:p>
  </w:footnote>
  <w:footnote w:id="9">
    <w:p w14:paraId="020A76D3" w14:textId="45CD1149" w:rsidR="00E53339" w:rsidRPr="00E53339" w:rsidRDefault="00E53339" w:rsidP="00E53339">
      <w:pPr>
        <w:pStyle w:val="FootnoteText"/>
        <w:ind w:firstLine="360"/>
        <w:rPr>
          <w:rFonts w:cs="Times New Roman"/>
          <w:sz w:val="22"/>
          <w:szCs w:val="22"/>
        </w:rPr>
      </w:pPr>
      <w:r w:rsidRPr="00E53339">
        <w:rPr>
          <w:rStyle w:val="FootnoteReference"/>
          <w:rFonts w:cs="Times New Roman"/>
          <w:sz w:val="22"/>
          <w:szCs w:val="22"/>
        </w:rPr>
        <w:footnoteRef/>
      </w:r>
      <w:r w:rsidRPr="00E53339">
        <w:rPr>
          <w:rFonts w:cs="Times New Roman"/>
          <w:sz w:val="22"/>
          <w:szCs w:val="22"/>
        </w:rPr>
        <w:t xml:space="preserve"> See for example Smithies (2018), who only discusses the hyper-intellectualization argument.</w:t>
      </w:r>
    </w:p>
  </w:footnote>
  <w:footnote w:id="10">
    <w:p w14:paraId="4658DEFD" w14:textId="671D0119"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See McDowell (2008, 2011, 2013, 2018). See also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{"citationItems":[{"id":"ITEM-1","itemData":{"DOI":"10.5840/philtopics200937119","author":[{"dropping-particle":"","family":"Neta","given":"Ram","non-dropping-particle":"","parse-names":false,"suffix":""}],"container-title":"Philosophical Topics","id":"ITEM-1","issue":"1","issued":{"date-parts":[["2009"]]},"page":"115-132","title":"Mature Human Knowledge as a Standing in the Space of Reasons","type":"article-journal","volume":"37"},"uris":["http://www.mendeley.com/documents/?uuid=85b9bc00-17c7-43c6-8cfc-3e6d60ed460c"]}],"mendeley":{"formattedCitation":"(Neta 2009)","plainTextFormattedCitation":"(Neta 2009)","previouslyFormattedCitation":"(Neta 2009)"},"properties":{"noteIndex":0},"schema":"https://github.com/citation-style-language/schema/raw/master/csl-citation.json"}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Neta (2009)</w:t>
      </w:r>
      <w:r w:rsidRPr="00E53339">
        <w:rPr>
          <w:rFonts w:cs="Times New Roman"/>
          <w:color w:val="000000" w:themeColor="text1"/>
          <w:sz w:val="22"/>
          <w:szCs w:val="22"/>
        </w:rPr>
        <w:fldChar w:fldCharType="end"/>
      </w:r>
      <w:r w:rsidRPr="00E53339">
        <w:rPr>
          <w:rFonts w:cs="Times New Roman"/>
          <w:color w:val="000000" w:themeColor="text1"/>
          <w:sz w:val="22"/>
          <w:szCs w:val="22"/>
        </w:rPr>
        <w:t>.</w:t>
      </w:r>
    </w:p>
  </w:footnote>
  <w:footnote w:id="11">
    <w:p w14:paraId="22C8A363" w14:textId="5EC00548"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Smithies (2018) misses the entirety of Burge’s hyper-intellectualization argument. He takes Burge to only consider requiring critical reason. He misses that Burge is arguing that requiring </w:t>
      </w:r>
      <w:r w:rsidRPr="00E53339">
        <w:rPr>
          <w:rFonts w:cs="Times New Roman"/>
          <w:i/>
          <w:color w:val="000000" w:themeColor="text1"/>
          <w:sz w:val="22"/>
          <w:szCs w:val="22"/>
        </w:rPr>
        <w:t>any reason at all</w:t>
      </w:r>
      <w:r w:rsidRPr="00E53339">
        <w:rPr>
          <w:rFonts w:cs="Times New Roman"/>
          <w:color w:val="000000" w:themeColor="text1"/>
          <w:sz w:val="22"/>
          <w:szCs w:val="22"/>
        </w:rPr>
        <w:t xml:space="preserve"> for prima facie, default perceptual warrant, not just critical reasons, hyper-intellectualizes perceptual warrant, for animals and children, and not even all adults, can reason in support of their perceptual beliefs.</w:t>
      </w:r>
    </w:p>
  </w:footnote>
  <w:footnote w:id="12">
    <w:p w14:paraId="1AD17881" w14:textId="079775E6"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We should point out that McDowell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{"citationItems":[{"id":"ITEM-1","itemData":{"DOI":"10.1080/13869795.2013.808693","ISSN":"1386-9795","abstract":"In McDowell (2010), I responded to Burge's attack (2005) on disjunctivism. In Burge (2011) Burge rejects my response. He stands by his main claim that disjunctivism is incompatible with the science of perception, and in a supplementary spirit he argues against the detail of my attempt to defend disjunctivism. Here I explain how disjunctivism is compatible with the science, and I respond to some of Burge's supplementary arguments.","author":[{"dropping-particle":"","family":"McDowell","given":"John","non-dropping-particle":"","parse-names":false,"suffix":""}],"container-title":"Philosophical Explorations","id":"ITEM-1","issue":"3","issued":{"date-parts":[["2013","9","11"]]},"page":"259-279","publisher":" Routledge ","title":"Tyler Burge on disjunctivism (II)","type":"article-journal","volume":"16"},"uris":["http://www.mendeley.com/documents/?uuid=6d147eb7-2ff7-339a-9184-d2bfda321fd6"]},{"id":"ITEM-2","itemData":{"author":[{"dropping-particle":"","family":"McDowell","given":"John","non-dropping-particle":"","parse-names":false,"suffix":""}],"container-title":"Analytic Philosophy","id":"ITEM-2","issue":"1","issued":{"date-parts":[["2018"]]},"page":"89-98","title":"Perceptual Experience and Empirical Rationality","type":"article-journal","volume":"59"},"uris":["http://www.mendeley.com/documents/?uuid=6dcce22e-18e5-4e1a-a29b-d78aec49460e"]}],"mendeley":{"formattedCitation":"(McDowell 2013, 2018)","manualFormatting":"(2013, 2018)","plainTextFormattedCitation":"(McDowell 2013, 2018)","previouslyFormattedCitation":"(McDowell 2013, 2018)"},"properties":{"noteIndex":0},"schema":"https://github.com/citation-style-language/schema/raw/master/csl-citation.json"}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(2008, 2013, 2018)</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has a different view of reasons. Burge reads McDowell as agreeing that reasons are necessarily propositional. But McDowell does not agree. He has even abandoned his view from </w:t>
      </w:r>
      <w:r w:rsidRPr="00E53339">
        <w:rPr>
          <w:rFonts w:cs="Times New Roman"/>
          <w:i/>
          <w:color w:val="000000" w:themeColor="text1"/>
          <w:sz w:val="22"/>
          <w:szCs w:val="22"/>
        </w:rPr>
        <w:t>Mind and World</w:t>
      </w:r>
      <w:r w:rsidRPr="00E53339">
        <w:rPr>
          <w:rFonts w:cs="Times New Roman"/>
          <w:color w:val="000000" w:themeColor="text1"/>
          <w:sz w:val="22"/>
          <w:szCs w:val="22"/>
        </w:rPr>
        <w:t xml:space="preserve"> that perceptions are propositional and involve all the concepts of the perceptual belief they support (2008). But even so, he says perceptions are reasons. Like the moderate foundationalist, he seems to equate reasons with whatever provides warrant. </w:t>
      </w:r>
      <w:proofErr w:type="gramStart"/>
      <w:r w:rsidRPr="00E53339">
        <w:rPr>
          <w:rFonts w:cs="Times New Roman"/>
          <w:color w:val="000000" w:themeColor="text1"/>
          <w:sz w:val="22"/>
          <w:szCs w:val="22"/>
        </w:rPr>
        <w:t>So</w:t>
      </w:r>
      <w:proofErr w:type="gramEnd"/>
      <w:r w:rsidRPr="00E53339">
        <w:rPr>
          <w:rFonts w:cs="Times New Roman"/>
          <w:color w:val="000000" w:themeColor="text1"/>
          <w:sz w:val="22"/>
          <w:szCs w:val="22"/>
        </w:rPr>
        <w:t xml:space="preserve"> for visual perceptual belief, perceptual reasons for McDowell are non-defective exercises to know that one knows through seeing.</w:t>
      </w:r>
    </w:p>
  </w:footnote>
  <w:footnote w:id="13">
    <w:p w14:paraId="7651B4DD" w14:textId="5892AAC1" w:rsidR="00E53339" w:rsidRPr="00E53339" w:rsidRDefault="00E53339" w:rsidP="00E53339">
      <w:pPr>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Gerken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{"citationItems":[{"id":"ITEM-1","itemData":{"author":[{"dropping-particle":"","family":"Gerken","given":"Mikkel","non-dropping-particle":"","parse-names":false,"suffix":""}],"container-title":"Epistemic Entitlement","editor":[{"dropping-particle":"","family":"Graham","given":"Peter J.","non-dropping-particle":"","parse-names":false,"suffix":""},{"dropping-particle":"","family":"Pedersen","given":"Nikolaj Jang Lee Linding","non-dropping-particle":"","parse-names":false,"suffix":""}],"id":"ITEM-1","issued":{"date-parts":[["2019"]]},"publisher":"Oxford University Press","publisher-place":"Oxford, UK","title":"Epistemic Entitlement -- Its Scope and Limits","type":"chapter"},"uris":["http://www.mendeley.com/documents/?uuid=63751061-7ef3-4f06-a598-000d9895b1c1"]}],"mendeley":{"formattedCitation":"(Gerken 2019)","manualFormatting":"(2019)","plainTextFormattedCitation":"(Gerken 2019)","previouslyFormattedCitation":"(Gerken 2019)"},"properties":{"noteIndex":0},"schema":"https://github.com/citation-style-language/schema/raw/master/csl-citation.json"}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(2019)</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proposes an alternative to Burge’s Operative Reasons criterion, the Reason criterion. For Gerken, justifications involve the exercise of the faculty of reason, entitlements do not. What is reason, according to Gerken? He </w:t>
      </w:r>
      <w:r w:rsidRPr="00E53339">
        <w:rPr>
          <w:rFonts w:cs="Times New Roman"/>
          <w:i/>
          <w:color w:val="000000" w:themeColor="text1"/>
          <w:sz w:val="22"/>
          <w:szCs w:val="22"/>
        </w:rPr>
        <w:t>seems</w:t>
      </w:r>
      <w:r w:rsidRPr="00E53339">
        <w:rPr>
          <w:rFonts w:cs="Times New Roman"/>
          <w:color w:val="000000" w:themeColor="text1"/>
          <w:sz w:val="22"/>
          <w:szCs w:val="22"/>
        </w:rPr>
        <w:t xml:space="preserve"> to have in mind the idea that reason is </w:t>
      </w:r>
      <w:r w:rsidRPr="00E53339">
        <w:rPr>
          <w:rFonts w:cs="Times New Roman"/>
          <w:i/>
          <w:color w:val="000000" w:themeColor="text1"/>
          <w:sz w:val="22"/>
          <w:szCs w:val="22"/>
        </w:rPr>
        <w:t>any</w:t>
      </w:r>
      <w:r w:rsidRPr="00E53339">
        <w:rPr>
          <w:rFonts w:cs="Times New Roman"/>
          <w:color w:val="000000" w:themeColor="text1"/>
          <w:sz w:val="22"/>
          <w:szCs w:val="22"/>
        </w:rPr>
        <w:t xml:space="preserve"> individual-level, propositional competence. Justifications then arise from individual-level propositional competence. Entitlements then seem to arise only from sub-individual computations by non-personal sub-systems of the individual. He then draws an internalism vs. externalism distinction along these lines.</w:t>
      </w:r>
    </w:p>
  </w:footnote>
  <w:footnote w:id="14">
    <w:p w14:paraId="379485C9" w14:textId="0FF90DD6" w:rsidR="00E53339" w:rsidRPr="00E53339" w:rsidRDefault="00E53339" w:rsidP="00E53339">
      <w:pPr>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Burge even claims that some warrants “from the internal point of view”—warrants for self-knowledge—are entitlements, not justifications. “…a judgment that </w:t>
      </w:r>
      <w:r w:rsidRPr="00E53339">
        <w:rPr>
          <w:rFonts w:cs="Times New Roman"/>
          <w:color w:val="000000" w:themeColor="text1"/>
          <w:sz w:val="22"/>
          <w:szCs w:val="22"/>
          <w:u w:val="single"/>
        </w:rPr>
        <w:t>I believe that I am older than my sister</w:t>
      </w:r>
      <w:r w:rsidRPr="00E53339">
        <w:rPr>
          <w:rFonts w:cs="Times New Roman"/>
          <w:color w:val="000000" w:themeColor="text1"/>
          <w:sz w:val="22"/>
          <w:szCs w:val="22"/>
        </w:rPr>
        <w:t xml:space="preserve"> is not in any sense a reason for itself…The warrants for these cases of self-knowledge” are entitlements, not justifications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{"citationItems":[{"id":"ITEM-1","itemData":{"author":[{"dropping-particle":"","family":"Burge","given":"Tyler","non-dropping-particle":"","parse-names":false,"suffix":""}],"container-title":"Cognition Through Understanding","id":"ITEM-1","issued":{"date-parts":[["2013"]]},"publisher":"Oxford University Press","publisher-place":"Oxford, UK","title":"Introduction","type":"chapter"},"uris":["http://www.mendeley.com/documents/?uuid=f6f95936-075b-484e-aae8-9034afb16b25"]}],"mendeley":{"formattedCitation":"(Burge 2013a)","manualFormatting":"(Burge 2013b, p. 18)","plainTextFormattedCitation":"(Burge 2013a)","previouslyFormattedCitation":"(Burge 2013a)"},"properties":{"noteIndex":0},"schema":"https://github.com/citation-style-language/schema/raw/master/csl-citation.json"}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(Burge 2013b, p. 18)</w:t>
      </w:r>
      <w:r w:rsidRPr="00E53339">
        <w:rPr>
          <w:rFonts w:cs="Times New Roman"/>
          <w:color w:val="000000" w:themeColor="text1"/>
          <w:sz w:val="22"/>
          <w:szCs w:val="22"/>
        </w:rPr>
        <w:fldChar w:fldCharType="end"/>
      </w:r>
    </w:p>
    <w:p w14:paraId="1A41A028" w14:textId="0DADA2C8" w:rsidR="00E53339" w:rsidRPr="00E53339" w:rsidRDefault="00E53339" w:rsidP="00E53339">
      <w:pPr>
        <w:ind w:firstLine="360"/>
        <w:rPr>
          <w:rFonts w:cs="Times New Roman"/>
          <w:color w:val="000000" w:themeColor="text1"/>
          <w:sz w:val="22"/>
          <w:szCs w:val="22"/>
        </w:rPr>
      </w:pPr>
      <w:r w:rsidRPr="00E53339">
        <w:rPr>
          <w:rFonts w:cs="Times New Roman"/>
          <w:color w:val="000000" w:themeColor="text1"/>
          <w:sz w:val="22"/>
          <w:szCs w:val="22"/>
        </w:rPr>
        <w:t xml:space="preserve">On the other hand, Burge allows for “access” constrained </w:t>
      </w:r>
      <w:r w:rsidRPr="00E53339">
        <w:rPr>
          <w:rFonts w:cs="Times New Roman"/>
          <w:i/>
          <w:color w:val="000000" w:themeColor="text1"/>
          <w:sz w:val="22"/>
          <w:szCs w:val="22"/>
        </w:rPr>
        <w:t>sub</w:t>
      </w:r>
      <w:r w:rsidRPr="00E53339">
        <w:rPr>
          <w:rFonts w:cs="Times New Roman"/>
          <w:color w:val="000000" w:themeColor="text1"/>
          <w:sz w:val="22"/>
          <w:szCs w:val="22"/>
        </w:rPr>
        <w:t>-species of justification.</w:t>
      </w:r>
      <w:r w:rsidRPr="00E53339">
        <w:rPr>
          <w:rStyle w:val="FootnoteReference"/>
          <w:rFonts w:cs="Times New Roman"/>
          <w:color w:val="000000" w:themeColor="text1"/>
          <w:sz w:val="22"/>
          <w:szCs w:val="22"/>
        </w:rPr>
        <w:t xml:space="preserve"> </w:t>
      </w:r>
      <w:r w:rsidRPr="00E53339">
        <w:rPr>
          <w:rFonts w:cs="Times New Roman"/>
          <w:color w:val="000000" w:themeColor="text1"/>
          <w:sz w:val="22"/>
          <w:szCs w:val="22"/>
        </w:rPr>
        <w:t xml:space="preserve"> Gerken, for example, distinguishes </w:t>
      </w:r>
      <w:r w:rsidRPr="00E53339">
        <w:rPr>
          <w:rFonts w:cs="Times New Roman"/>
          <w:i/>
          <w:color w:val="000000" w:themeColor="text1"/>
          <w:sz w:val="22"/>
          <w:szCs w:val="22"/>
        </w:rPr>
        <w:t>discursive</w:t>
      </w:r>
      <w:r w:rsidRPr="00E53339">
        <w:rPr>
          <w:rFonts w:cs="Times New Roman"/>
          <w:color w:val="000000" w:themeColor="text1"/>
          <w:sz w:val="22"/>
          <w:szCs w:val="22"/>
        </w:rPr>
        <w:t xml:space="preserve"> justifications as a sub-species of justification, which require not only access but critical reason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10.1007/s11229-012-0076-0","ISSN":"0039-7857","author":[{"dropping-particle":"","family":"Gerken","given":"Mikkel","non-dropping-particle":"","parse-names":false,"suffix":""}],"container-title":"Synthese","id":"ITEM-1","issue":"2","issued":{"date-parts":[["2012","11","7"]]},"page":"373-394","publisher":"Springer Netherlands","title":"Discursive justification and skepticism","type":"article-journal","volume":"189"},"uris":["http://www.mendeley.com/documents/?uuid=a78e8776-1829-3887-ba47-0475c0d7f284"]},{"id":"ITEM-2","itemData":{"DOI":"10.1111/j.1933-1592.2011.00532.x","ISSN":"00318205","author":[{"dropping-particle":"","family":"Gerken","given":"Mikkel","non-dropping-particle":"","parse-names":false,"suffix":""}],"container-title":"Philosophy and Phenomenological Research","id":"ITEM-2","issue":"3","issued":{"date-parts":[["2013","11"]]},"page":"532-557","title":"Internalism and Externalism in the Epistemology of Testimony","type":"article-journal","volume":"87"},"uris":["http://www.mendeley.com/documents/?uuid=c167d361-cbe8-3c31-871d-fb6bf657e6a3"]},{"id":"ITEM-3","itemData":{"DOI":"10.1177/0048393115600527","ISSN":"0048-3931","author":[{"dropping-particle":"","family":"Gerken","given":"Mikkel","non-dropping-particle":"","parse-names":false,"suffix":""}],"container-title":"Philosophy of the Social Sciences","id":"ITEM-3","issue":"6","issued":{"date-parts":[["2015","12","24"]]},"page":"568-595","title":"The Epistemic Norms of Intra-Scientific Testimony","type":"article-journal","volume":"45"},"uris":["http://www.mendeley.com/documents/?uuid=b6b77d4a-a56c-34aa-844b-dbe0c3e3452f"]},{"id":"ITEM-4","itemData":{"author":[{"dropping-particle":"","family":"Gerken","given":"Mikkel","non-dropping-particle":"","parse-names":false,"suffix":""}],"container-title":"Epistemic Entitlement","editor":[{"dropping-particle":"","family":"Graham","given":"Peter J.","non-dropping-particle":"","parse-names":false,"suffix":""},{"dropping-particle":"","family":"Pedersen","given":"Nikolaj Jang Lee Linding","non-dropping-particle":"","parse-names":false,"suffix":""}],"id":"ITEM-4","issued":{"date-parts":[["2019"]]},"publisher":"Oxford University Press","publisher-place":"Oxford, UK","title":"Epistemic Entitlement -- Its Scope and Limits","type":"chapter"},"uris":["http://www.mendeley.com/documents/?uuid=63751061-7ef3-4f06-a598-000d9895b1c1"]}],"mendeley":{"formattedCitation":"(Gerken 2012, 2013, 2015, 2019)","plainTextFormattedCitation":"(Gerken 2012, 2013, 2015, 2019)","previouslyFormattedCitation":"(Gerken 2012, 2013, 2015, 2019)"},"properties":{"noteIndex":0},"schema":"https://github.com/citation-style-language/schema/raw/master/csl-citation.json"}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(Gerken 2012, 2013, 2015, 2019)</w:t>
      </w:r>
      <w:r w:rsidRPr="00E53339">
        <w:rPr>
          <w:rFonts w:cs="Times New Roman"/>
          <w:color w:val="000000" w:themeColor="text1"/>
          <w:sz w:val="22"/>
          <w:szCs w:val="22"/>
        </w:rPr>
        <w:fldChar w:fldCharType="end"/>
      </w:r>
      <w:r w:rsidRPr="00E53339">
        <w:rPr>
          <w:rFonts w:cs="Times New Roman"/>
          <w:color w:val="000000" w:themeColor="text1"/>
          <w:sz w:val="22"/>
          <w:szCs w:val="22"/>
        </w:rPr>
        <w:t xml:space="preserve">. This notion is closer to the ordinary notion of reasons and justification examined by Mercier and Sperber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{"citationItems":[{"id":"ITEM-1","itemData":{"ISBN":"0674368304","abstract":"Reason, we are told, is what makes us human, the source of our knowledge and wisdom. If reason is so useful, why didn't it also evolve in other animals? If reason is that reliable, why do we produce so much thoroughly reasoned nonsense? In their groundbreaking account of the evolution and workings of reason, Hugo Mercier and Dan Sperber set out to solve this double enigma. Reason, they argue with a compelling mix of real-life and experimental evidence, is not geared to solitary use, to arriving at better beliefs and decisions on our own. What reason does, rather, is help us justify our beliefs and actions to others, convince them through argumentation, and evaluate the justifications and arguments that others address to us. In other words, reason helps humans better exploit their uniquely rich social environment. This interactionist interpretation explains why reason may have evolved and how it fits with other cognitive mechanisms. It makes sense of strengths and weaknesses that have long puzzled philosophers and psychologists--why reason is biased in favor of what we already believe, why it may lead to terrible ideas and yet is indispensable to spreading good ones.-- Introduction: A double enigma -- Part I. Shaking dogma: Reason on trial -- Psychologists' travails -- Part II. Understanding inference: From unconscious inferences to intuitions -- Modularity -- Cognitive opportunism -- Metarepresentations -- Part III. Rethinking reason: How we use reasons -- Could reason be a module? -- Reasoning: intuition and reflection -- Reason: what is it for? -- Part IV. What reason can and cannot do -- Why is reasoning biased? -- Quality control: how we evaluate arguments -- The dark side of reason -- A reason for everything -- The bright side of reasoning -- Part V. Reason in the wild: Is human reason universal? -- Reasoning about moral and political topics -- Solitary geniuses? -- Conclusion: In praise of reason after all.","author":[{"dropping-particle":"","family":"Mercier","given":"Hugo","non-dropping-particle":"","parse-names":false,"suffix":""},{"dropping-particle":"","family":"Sperber","given":"Dan","non-dropping-particle":"","parse-names":false,"suffix":""}],"id":"ITEM-1","issued":{"date-parts":[["2017"]]},"number-of-pages":"396","publisher":"Harvard University Press","title":"The enigma of reason","type":"book"},"uris":["http://www.mendeley.com/documents/?uuid=956a5522-a494-3f26-9432-39969cbe119f"]}],"mendeley":{"formattedCitation":"(Mercier and Sperber 2017)","manualFormatting":"(2017)","plainTextFormattedCitation":"(Mercier and Sperber 2017)","previouslyFormattedCitation":"(Mercier and Sperber 2017)"},"properties":{"noteIndex":0},"schema":"https://github.com/citation-style-language/schema/raw/master/csl-citation.json"}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(2017)</w:t>
      </w:r>
      <w:r w:rsidRPr="00E53339">
        <w:rPr>
          <w:rFonts w:cs="Times New Roman"/>
          <w:color w:val="000000" w:themeColor="text1"/>
          <w:sz w:val="22"/>
          <w:szCs w:val="22"/>
        </w:rPr>
        <w:fldChar w:fldCharType="end"/>
      </w:r>
      <w:r w:rsidRPr="00E53339">
        <w:rPr>
          <w:rFonts w:cs="Times New Roman"/>
          <w:color w:val="000000" w:themeColor="text1"/>
          <w:sz w:val="22"/>
          <w:szCs w:val="22"/>
        </w:rPr>
        <w:t>, where reasoning is connected to explaining and justifying. When Sellarsians talk about the game of giving and asking for reasons, they are working at this higher-level.</w:t>
      </w:r>
    </w:p>
  </w:footnote>
  <w:footnote w:id="15">
    <w:p w14:paraId="2C067911" w14:textId="594A7F03"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For more on ‘hinges’, see (Coliva 2012, 2015, 2019), (Pritchard 2016), (Schoenbaumfeld 2016).</w:t>
      </w:r>
    </w:p>
  </w:footnote>
  <w:footnote w:id="16">
    <w:p w14:paraId="0F5F4E6E" w14:textId="77777777"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Wright (2004) cites </w:t>
      </w:r>
      <w:r w:rsidRPr="00E53339">
        <w:rPr>
          <w:rFonts w:cs="Times New Roman"/>
          <w:i/>
          <w:color w:val="000000" w:themeColor="text1"/>
          <w:sz w:val="22"/>
          <w:szCs w:val="22"/>
        </w:rPr>
        <w:t>On Certainty</w:t>
      </w:r>
      <w:r w:rsidRPr="00E53339">
        <w:rPr>
          <w:rFonts w:cs="Times New Roman"/>
          <w:color w:val="000000" w:themeColor="text1"/>
          <w:sz w:val="22"/>
          <w:szCs w:val="22"/>
        </w:rPr>
        <w:t>, §§163, 253, 337.</w:t>
      </w:r>
    </w:p>
    <w:p w14:paraId="56508FDA" w14:textId="77777777" w:rsidR="00E53339" w:rsidRPr="00E53339" w:rsidRDefault="00E53339" w:rsidP="00E53339">
      <w:pPr>
        <w:pStyle w:val="FootnoteText"/>
        <w:ind w:firstLine="360"/>
        <w:rPr>
          <w:rFonts w:cs="Times New Roman"/>
          <w:color w:val="000000" w:themeColor="text1"/>
          <w:sz w:val="22"/>
          <w:szCs w:val="22"/>
        </w:rPr>
      </w:pPr>
    </w:p>
  </w:footnote>
  <w:footnote w:id="17">
    <w:p w14:paraId="2C5C809D" w14:textId="19F78450"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Wright continues: “Again: one looks at a red wall and sees that it is painted red. </w:t>
      </w:r>
      <w:proofErr w:type="gramStart"/>
      <w:r w:rsidRPr="00E53339">
        <w:rPr>
          <w:rFonts w:cs="Times New Roman"/>
          <w:color w:val="000000" w:themeColor="text1"/>
          <w:sz w:val="22"/>
          <w:szCs w:val="22"/>
        </w:rPr>
        <w:t>So</w:t>
      </w:r>
      <w:proofErr w:type="gramEnd"/>
      <w:r w:rsidRPr="00E53339">
        <w:rPr>
          <w:rFonts w:cs="Times New Roman"/>
          <w:color w:val="000000" w:themeColor="text1"/>
          <w:sz w:val="22"/>
          <w:szCs w:val="22"/>
        </w:rPr>
        <w:t xml:space="preserve"> one acquires a warrant for thinking that it is red. But its being red entails that it is not white cleverly illuminated by concealed lighting to look as if it is red. Has one thereby acquired a warrant for thinking </w:t>
      </w:r>
      <w:r w:rsidRPr="00E53339">
        <w:rPr>
          <w:rFonts w:cs="Times New Roman"/>
          <w:i/>
          <w:color w:val="000000" w:themeColor="text1"/>
          <w:sz w:val="22"/>
          <w:szCs w:val="22"/>
        </w:rPr>
        <w:t>that</w:t>
      </w:r>
      <w:r w:rsidRPr="00E53339">
        <w:rPr>
          <w:rFonts w:cs="Times New Roman"/>
          <w:color w:val="000000" w:themeColor="text1"/>
          <w:sz w:val="22"/>
          <w:szCs w:val="22"/>
        </w:rPr>
        <w:t>? Again, the strong intuition is no” (2002, p. 342).</w:t>
      </w:r>
    </w:p>
  </w:footnote>
  <w:footnote w:id="18">
    <w:p w14:paraId="7D163F6C" w14:textId="479BABF5" w:rsidR="00E53339" w:rsidRPr="00E53339" w:rsidRDefault="00E53339" w:rsidP="00E53339">
      <w:pPr>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Wright calls the hands, zebra, red wall, and other arguments of the same form, “I-II-III” arguments: For example: I. It looks like those animals are zebras.</w:t>
      </w:r>
      <w:r w:rsidRPr="00E53339">
        <w:rPr>
          <w:rFonts w:cs="Times New Roman"/>
          <w:i/>
          <w:color w:val="000000" w:themeColor="text1"/>
          <w:sz w:val="22"/>
          <w:szCs w:val="22"/>
        </w:rPr>
        <w:t xml:space="preserve"> </w:t>
      </w:r>
      <w:r w:rsidRPr="00E53339">
        <w:rPr>
          <w:rFonts w:cs="Times New Roman"/>
          <w:color w:val="000000" w:themeColor="text1"/>
          <w:sz w:val="22"/>
          <w:szCs w:val="22"/>
        </w:rPr>
        <w:t>II. So they are zebras.</w:t>
      </w:r>
      <w:r w:rsidRPr="00E53339">
        <w:rPr>
          <w:rFonts w:cs="Times New Roman"/>
          <w:i/>
          <w:color w:val="000000" w:themeColor="text1"/>
          <w:sz w:val="22"/>
          <w:szCs w:val="22"/>
        </w:rPr>
        <w:t xml:space="preserve"> </w:t>
      </w:r>
      <w:r w:rsidRPr="00E53339">
        <w:rPr>
          <w:rFonts w:cs="Times New Roman"/>
          <w:color w:val="000000" w:themeColor="text1"/>
          <w:sz w:val="22"/>
          <w:szCs w:val="22"/>
        </w:rPr>
        <w:t>III. So they are not cleverly disguised mules.</w:t>
      </w:r>
      <w:r w:rsidRPr="00E53339">
        <w:rPr>
          <w:rFonts w:cs="Times New Roman"/>
          <w:i/>
          <w:color w:val="000000" w:themeColor="text1"/>
          <w:sz w:val="22"/>
          <w:szCs w:val="22"/>
        </w:rPr>
        <w:t xml:space="preserve"> </w:t>
      </w:r>
      <w:r w:rsidRPr="00E53339">
        <w:rPr>
          <w:rFonts w:cs="Times New Roman"/>
          <w:color w:val="000000" w:themeColor="text1"/>
          <w:sz w:val="22"/>
          <w:szCs w:val="22"/>
        </w:rPr>
        <w:t>This argument has the following form (Wright 2012, p. 467, 2014, pp. 214-15):</w:t>
      </w:r>
      <w:r w:rsidRPr="00E53339">
        <w:rPr>
          <w:rFonts w:cs="Times New Roman"/>
          <w:i/>
          <w:color w:val="000000" w:themeColor="text1"/>
          <w:sz w:val="22"/>
          <w:szCs w:val="22"/>
        </w:rPr>
        <w:t xml:space="preserve"> </w:t>
      </w:r>
      <w:r w:rsidRPr="00E53339">
        <w:rPr>
          <w:rFonts w:cs="Times New Roman"/>
          <w:color w:val="000000" w:themeColor="text1"/>
          <w:sz w:val="22"/>
          <w:szCs w:val="22"/>
        </w:rPr>
        <w:t>I. A kind of evidence for P.</w:t>
      </w:r>
      <w:r w:rsidRPr="00E53339">
        <w:rPr>
          <w:rFonts w:cs="Times New Roman"/>
          <w:i/>
          <w:color w:val="000000" w:themeColor="text1"/>
          <w:sz w:val="22"/>
          <w:szCs w:val="22"/>
        </w:rPr>
        <w:t xml:space="preserve"> </w:t>
      </w:r>
      <w:r w:rsidRPr="00E53339">
        <w:rPr>
          <w:rFonts w:cs="Times New Roman"/>
          <w:color w:val="000000" w:themeColor="text1"/>
          <w:sz w:val="22"/>
          <w:szCs w:val="22"/>
        </w:rPr>
        <w:t>II. The proposition P itself.</w:t>
      </w:r>
      <w:r w:rsidRPr="00E53339">
        <w:rPr>
          <w:rFonts w:cs="Times New Roman"/>
          <w:i/>
          <w:color w:val="000000" w:themeColor="text1"/>
          <w:sz w:val="22"/>
          <w:szCs w:val="22"/>
        </w:rPr>
        <w:t xml:space="preserve"> </w:t>
      </w:r>
      <w:r w:rsidRPr="00E53339">
        <w:rPr>
          <w:rFonts w:cs="Times New Roman"/>
          <w:color w:val="000000" w:themeColor="text1"/>
          <w:sz w:val="22"/>
          <w:szCs w:val="22"/>
        </w:rPr>
        <w:t>III. An authenticity-condition for the method used to move from I to II.</w:t>
      </w:r>
      <w:r w:rsidRPr="00E53339">
        <w:rPr>
          <w:rFonts w:cs="Times New Roman"/>
          <w:i/>
          <w:color w:val="000000" w:themeColor="text1"/>
          <w:sz w:val="22"/>
          <w:szCs w:val="22"/>
        </w:rPr>
        <w:t xml:space="preserve"> </w:t>
      </w:r>
      <w:r w:rsidRPr="00E53339">
        <w:rPr>
          <w:rFonts w:cs="Times New Roman"/>
          <w:color w:val="000000" w:themeColor="text1"/>
          <w:sz w:val="22"/>
          <w:szCs w:val="22"/>
        </w:rPr>
        <w:t xml:space="preserve">Wright claims it’s </w:t>
      </w:r>
      <w:r w:rsidRPr="00E53339">
        <w:rPr>
          <w:rFonts w:cs="Times New Roman"/>
          <w:i/>
          <w:color w:val="000000" w:themeColor="text1"/>
          <w:sz w:val="22"/>
          <w:szCs w:val="22"/>
        </w:rPr>
        <w:t>intuitive</w:t>
      </w:r>
      <w:r w:rsidRPr="00E53339">
        <w:rPr>
          <w:rFonts w:cs="Times New Roman"/>
          <w:color w:val="000000" w:themeColor="text1"/>
          <w:sz w:val="22"/>
          <w:szCs w:val="22"/>
        </w:rPr>
        <w:t xml:space="preserve"> that warrant to claim II from I fails to provide a warrant to claim III. When one </w:t>
      </w:r>
      <w:r w:rsidRPr="00E53339">
        <w:rPr>
          <w:rFonts w:cs="Times New Roman"/>
          <w:i/>
          <w:color w:val="000000" w:themeColor="text1"/>
          <w:sz w:val="22"/>
          <w:szCs w:val="22"/>
        </w:rPr>
        <w:t>claims a warrant</w:t>
      </w:r>
      <w:r w:rsidRPr="00E53339">
        <w:rPr>
          <w:rFonts w:cs="Times New Roman"/>
          <w:color w:val="000000" w:themeColor="text1"/>
          <w:sz w:val="22"/>
          <w:szCs w:val="22"/>
        </w:rPr>
        <w:t xml:space="preserve"> for II from I, and then claims a warrant for III, so the idea goes, the warrant for II does </w:t>
      </w:r>
      <w:r w:rsidRPr="00E53339">
        <w:rPr>
          <w:rFonts w:cs="Times New Roman"/>
          <w:i/>
          <w:color w:val="000000" w:themeColor="text1"/>
          <w:sz w:val="22"/>
          <w:szCs w:val="22"/>
        </w:rPr>
        <w:t>not</w:t>
      </w:r>
      <w:r w:rsidRPr="00E53339">
        <w:rPr>
          <w:rFonts w:cs="Times New Roman"/>
          <w:color w:val="000000" w:themeColor="text1"/>
          <w:sz w:val="22"/>
          <w:szCs w:val="22"/>
        </w:rPr>
        <w:t xml:space="preserve"> transmit to III. </w:t>
      </w:r>
      <w:r w:rsidRPr="00E53339">
        <w:rPr>
          <w:rFonts w:cs="Times New Roman"/>
          <w:i/>
          <w:color w:val="000000" w:themeColor="text1"/>
          <w:sz w:val="22"/>
          <w:szCs w:val="22"/>
        </w:rPr>
        <w:t>If</w:t>
      </w:r>
      <w:r w:rsidRPr="00E53339">
        <w:rPr>
          <w:rFonts w:cs="Times New Roman"/>
          <w:color w:val="000000" w:themeColor="text1"/>
          <w:sz w:val="22"/>
          <w:szCs w:val="22"/>
        </w:rPr>
        <w:t xml:space="preserve"> there is a warrant to claim III, it must come from </w:t>
      </w:r>
      <w:r w:rsidRPr="00E53339">
        <w:rPr>
          <w:rFonts w:cs="Times New Roman"/>
          <w:i/>
          <w:color w:val="000000" w:themeColor="text1"/>
          <w:sz w:val="22"/>
          <w:szCs w:val="22"/>
        </w:rPr>
        <w:t>another source</w:t>
      </w:r>
      <w:r w:rsidRPr="00E53339">
        <w:rPr>
          <w:rFonts w:cs="Times New Roman"/>
          <w:color w:val="000000" w:themeColor="text1"/>
          <w:sz w:val="22"/>
          <w:szCs w:val="22"/>
        </w:rPr>
        <w:t>.</w:t>
      </w:r>
    </w:p>
  </w:footnote>
  <w:footnote w:id="19">
    <w:p w14:paraId="6D952577" w14:textId="3A20A701"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Beyond what we’ve just said, what does it mean to accept a proposition? Good question. For Wright’s discussion, see Wright (2004, pp. 175-184). Wright’s notion differs from Cohen’s and Bratman’s (related though differing) distinctions between belief and acceptance (Cohen 1989, Bratman 1992). Wright does not allow disbelief in P if you accept that P; for Wright, you can’t rationally accept or trust </w:t>
      </w:r>
      <w:r w:rsidRPr="00E53339">
        <w:rPr>
          <w:rFonts w:cs="Times New Roman"/>
          <w:i/>
          <w:color w:val="000000" w:themeColor="text1"/>
          <w:sz w:val="22"/>
          <w:szCs w:val="22"/>
        </w:rPr>
        <w:t>against</w:t>
      </w:r>
      <w:r w:rsidRPr="00E53339">
        <w:rPr>
          <w:rFonts w:cs="Times New Roman"/>
          <w:color w:val="000000" w:themeColor="text1"/>
          <w:sz w:val="22"/>
          <w:szCs w:val="22"/>
        </w:rPr>
        <w:t xml:space="preserve"> the evidence—you can only do it </w:t>
      </w:r>
      <w:r w:rsidRPr="00E53339">
        <w:rPr>
          <w:rFonts w:cs="Times New Roman"/>
          <w:i/>
          <w:color w:val="000000" w:themeColor="text1"/>
          <w:sz w:val="22"/>
          <w:szCs w:val="22"/>
        </w:rPr>
        <w:t>without</w:t>
      </w:r>
      <w:r w:rsidRPr="00E53339">
        <w:rPr>
          <w:rFonts w:cs="Times New Roman"/>
          <w:color w:val="000000" w:themeColor="text1"/>
          <w:sz w:val="22"/>
          <w:szCs w:val="22"/>
        </w:rPr>
        <w:t xml:space="preserve"> evidence. Furthermore, Wright’s notion of rational trust implies a lack of agnosticism or open-mindedness; rational trust in a cornerstone is a kind of rational </w:t>
      </w:r>
      <w:r w:rsidRPr="00E53339">
        <w:rPr>
          <w:rFonts w:cs="Times New Roman"/>
          <w:i/>
          <w:color w:val="000000" w:themeColor="text1"/>
          <w:sz w:val="22"/>
          <w:szCs w:val="22"/>
        </w:rPr>
        <w:t>confidence</w:t>
      </w:r>
      <w:r w:rsidRPr="00E53339">
        <w:rPr>
          <w:rFonts w:cs="Times New Roman"/>
          <w:color w:val="000000" w:themeColor="text1"/>
          <w:sz w:val="22"/>
          <w:szCs w:val="22"/>
        </w:rPr>
        <w:t xml:space="preserve"> (2014, p. 227). </w:t>
      </w:r>
    </w:p>
  </w:footnote>
  <w:footnote w:id="20">
    <w:p w14:paraId="4A850035" w14:textId="11B39267"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Wright (2014) cites (Reichenbach 1938, 1949, 1968), and (Salmon 1991).</w:t>
      </w:r>
    </w:p>
  </w:footnote>
  <w:footnote w:id="21">
    <w:p w14:paraId="39AEDA97" w14:textId="3104465F"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See (Williams 2012) and (Wright 2012, pp. 481-82).</w:t>
      </w:r>
    </w:p>
  </w:footnote>
  <w:footnote w:id="22">
    <w:p w14:paraId="4A2D891B" w14:textId="0C0C72E5" w:rsidR="00E53339" w:rsidRPr="00E53339" w:rsidRDefault="00E53339" w:rsidP="00E53339">
      <w:pPr>
        <w:ind w:firstLine="360"/>
        <w:rPr>
          <w:rFonts w:cs="Times New Roman"/>
          <w:color w:val="000000" w:themeColor="text1"/>
          <w:sz w:val="22"/>
          <w:szCs w:val="22"/>
        </w:rPr>
      </w:pPr>
      <w:r w:rsidRPr="00E53339">
        <w:rPr>
          <w:rStyle w:val="FootnoteReference"/>
          <w:sz w:val="22"/>
          <w:szCs w:val="22"/>
        </w:rPr>
        <w:footnoteRef/>
      </w:r>
      <w:r w:rsidRPr="00E53339">
        <w:rPr>
          <w:sz w:val="22"/>
          <w:szCs w:val="22"/>
        </w:rPr>
        <w:t xml:space="preserve"> </w:t>
      </w:r>
      <w:r w:rsidRPr="00E53339">
        <w:rPr>
          <w:rFonts w:cs="Times New Roman"/>
          <w:color w:val="000000" w:themeColor="text1"/>
          <w:sz w:val="22"/>
          <w:szCs w:val="22"/>
        </w:rPr>
        <w:t>See (Pedersen 2006) for extensive discussion.</w:t>
      </w:r>
    </w:p>
  </w:footnote>
  <w:footnote w:id="23">
    <w:p w14:paraId="43FA27F9" w14:textId="54A08080"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Cf.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DOI":"10.1093/0199275742.001.0001","ISBN":"9780199275748","author":[{"dropping-particle":"","family":"Bergmann","given":"Michael","non-dropping-particle":"","parse-names":false,"suffix":""}],"id":"ITEM-1","issued":{"date-parts":[["2006","5","18"]]},"publisher":"Oxford University Press","title":"Justification without Awareness","type":"book"},"uris":["http://www.mendeley.com/documents/?uuid=1fa1e784-a9a1-37d1-b135-b9b0bb52f52f"]}],"mendeley":{"formattedCitation":"(Bergmann 2006)","manualFormatting":"(Bergmann 2006b)","plainTextFormattedCitation":"(Bergmann 2006)","previouslyFormattedCitation":"(Bergmann 2006)"},"properties":{"noteIndex":0},"schema":"https://github.com/citation-style-language/schema/raw/master/csl-citation.json"}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Bergmann 2004)</w:t>
      </w:r>
      <w:r w:rsidRPr="00E53339">
        <w:rPr>
          <w:rFonts w:cs="Times New Roman"/>
          <w:color w:val="000000" w:themeColor="text1"/>
          <w:sz w:val="22"/>
          <w:szCs w:val="22"/>
        </w:rPr>
        <w:fldChar w:fldCharType="end"/>
      </w:r>
      <w:r w:rsidRPr="00E53339">
        <w:rPr>
          <w:rFonts w:cs="Times New Roman"/>
          <w:color w:val="000000" w:themeColor="text1"/>
          <w:sz w:val="22"/>
          <w:szCs w:val="22"/>
        </w:rPr>
        <w:t>.</w:t>
      </w:r>
    </w:p>
  </w:footnote>
  <w:footnote w:id="24">
    <w:p w14:paraId="143A27DF" w14:textId="2C6E8904"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Notice the parallel with process-reliabilism. On the reliabilist view, a perceptual representation as such does not confer warrant. The cornerstone (the authenticity-condition for perception) must also be true. In Burge-speak, perceptual representations contribute to an entitlement because the perceptual system is a reliable competence, functioning normally in normal conditions. “Reliabilist-externalist” warrant do not require non-evidential warrants to accept cornerstones. Instead they require the truth of cornerstones; they require situational provenance. The reliabilist then also rejects the “Liberal” “Dogmatist” view. The reliabilist also allows for the intelligibility of the skeptic’s question.</w:t>
      </w:r>
    </w:p>
  </w:footnote>
  <w:footnote w:id="25">
    <w:p w14:paraId="403D6A40" w14:textId="278B221D"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See (Davies 2004), (Wright 2004, pp. 207-9, 2012, pp. 231-35), (Smith 2013, 2019), (McGlynn 2014, 2017) and (Moretti in-press).</w:t>
      </w:r>
    </w:p>
  </w:footnote>
  <w:footnote w:id="26">
    <w:p w14:paraId="0F21EF59" w14:textId="46BCFB4F"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See (Pritchard 2007) and (Jenkins 2007) for early statements of the objection. Pritchard (2016, pp. 80-2) takes the pragmatic character of the case for entitlements and develops a different objection. He says because the warrants are prudential, they are compatible with agnositicm about the truth of the cornerstone. Wright’s answer (2014, pp. 226-7) that if the strategy is defined as trusting the cornerstone—where trust excludes open-mindedness about the cornerstone—then agnosticism is ruled out.</w:t>
      </w:r>
    </w:p>
    <w:p w14:paraId="23E7D17F" w14:textId="77777777" w:rsidR="00E53339" w:rsidRPr="00E53339" w:rsidRDefault="00E53339" w:rsidP="00E53339">
      <w:pPr>
        <w:pStyle w:val="FootnoteText"/>
        <w:ind w:firstLine="360"/>
        <w:rPr>
          <w:rFonts w:cs="Times New Roman"/>
          <w:color w:val="000000" w:themeColor="text1"/>
          <w:sz w:val="22"/>
          <w:szCs w:val="22"/>
        </w:rPr>
      </w:pPr>
    </w:p>
  </w:footnote>
  <w:footnote w:id="27">
    <w:p w14:paraId="72CE48E9" w14:textId="1FA88D33"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Compare the Sosa-Stroud exchange on skepticism </w:t>
      </w:r>
      <w:r w:rsidRPr="00E53339">
        <w:rPr>
          <w:rFonts w:cs="Times New Roman"/>
          <w:color w:val="000000" w:themeColor="text1"/>
          <w:sz w:val="22"/>
          <w:szCs w:val="22"/>
        </w:rPr>
        <w:fldChar w:fldCharType="begin" w:fldLock="1"/>
      </w:r>
      <w:r w:rsidRPr="00E53339">
        <w:rPr>
          <w:rFonts w:cs="Times New Roman"/>
          <w:color w:val="000000" w:themeColor="text1"/>
          <w:sz w:val="22"/>
          <w:szCs w:val="22"/>
        </w:rPr>
        <w:instrText>ADDIN CSL_CITATION {"citationItems":[{"id":"ITEM-1","itemData":{"author":[{"dropping-particle":"","family":"Sosa","given":"Ernest","non-dropping-particle":"","parse-names":false,"suffix":""}],"container-title":"Proceedings of the Aristotelian Society","id":"ITEM-1","issued":{"date-parts":[["1994"]]},"page":"263-290","title":"Philosophical Scepticism and Epistemic Circularity","type":"article-journal","volume":"68"},"uris":["http://www.mendeley.com/documents/?uuid=4a376422-f579-47b1-9238-967a71649cbb"]},{"id":"ITEM-2","itemData":{"author":[{"dropping-particle":"","family":"Stroud","given":"Barry","non-dropping-particle":"","parse-names":false,"suffix":""}],"container-title":"Proceedings of the Aristotelian Society","id":"ITEM-2","issued":{"date-parts":[["1994"]]},"page":"291-307","title":"Scepticism, 'Externalism', and the Goal of Epistemology","type":"article-journal","volume":"68"},"uris":["http://www.mendeley.com/documents/?uuid=794541e6-c49a-4f9d-bea9-6d260332fed1"]}],"mendeley":{"formattedCitation":"(Sosa 1994; Stroud 1994)","plainTextFormattedCitation":"(Sosa 1994; Stroud 1994)","previouslyFormattedCitation":"(Sosa 1994; Stroud 1994)"},"properties":{"noteIndex":0},"schema":"https://github.com/citation-style-language/schema/raw/master/csl-citation.json"}</w:instrText>
      </w:r>
      <w:r w:rsidRPr="00E53339">
        <w:rPr>
          <w:rFonts w:cs="Times New Roman"/>
          <w:color w:val="000000" w:themeColor="text1"/>
          <w:sz w:val="22"/>
          <w:szCs w:val="22"/>
        </w:rPr>
        <w:fldChar w:fldCharType="separate"/>
      </w:r>
      <w:r w:rsidRPr="00E53339">
        <w:rPr>
          <w:rFonts w:cs="Times New Roman"/>
          <w:noProof/>
          <w:color w:val="000000" w:themeColor="text1"/>
          <w:sz w:val="22"/>
          <w:szCs w:val="22"/>
        </w:rPr>
        <w:t>(Sosa 1994; Stroud 1994)</w:t>
      </w:r>
      <w:r w:rsidRPr="00E53339">
        <w:rPr>
          <w:rFonts w:cs="Times New Roman"/>
          <w:color w:val="000000" w:themeColor="text1"/>
          <w:sz w:val="22"/>
          <w:szCs w:val="22"/>
        </w:rPr>
        <w:fldChar w:fldCharType="end"/>
      </w:r>
      <w:r w:rsidRPr="00E53339">
        <w:rPr>
          <w:rFonts w:cs="Times New Roman"/>
          <w:color w:val="000000" w:themeColor="text1"/>
          <w:sz w:val="22"/>
          <w:szCs w:val="22"/>
        </w:rPr>
        <w:t>.</w:t>
      </w:r>
    </w:p>
  </w:footnote>
  <w:footnote w:id="28">
    <w:p w14:paraId="6ECFF506" w14:textId="7175A5D3"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w:t>
      </w:r>
      <w:r w:rsidRPr="00E53339">
        <w:rPr>
          <w:rFonts w:eastAsia="Times New Roman" w:cs="Times New Roman"/>
          <w:color w:val="000000" w:themeColor="text1"/>
          <w:sz w:val="22"/>
          <w:szCs w:val="22"/>
          <w:shd w:val="clear" w:color="auto" w:fill="FFFFFF"/>
          <w:lang w:eastAsia="ko-KR"/>
        </w:rPr>
        <w:t xml:space="preserve">For recent work on epistemic consequentialism, see </w:t>
      </w:r>
      <w:r w:rsidRPr="00E53339">
        <w:rPr>
          <w:rFonts w:cs="Times New Roman"/>
          <w:color w:val="000000" w:themeColor="text1"/>
          <w:sz w:val="22"/>
          <w:szCs w:val="22"/>
        </w:rPr>
        <w:t>Some recent work on epistemic consequentialism includes (Percival 2002), (Stalnaker 2002), (Berker 2013, 2015), (Goldman 2015), (Schmechtig and Grajner 2016), and (Alstrom-Vij and Dunn 2018). Pedersen (2009, 2017, 2019) also shows how the epistemic utility approach invites a broader range of epistemic values to consider, including especially meta-cognitive coherence. Some recent work on epistemic pluralism includes (Brogaard 2008), (Peels 2010), (Matheson 2011), (Carter 2017), (Kusch 2017), and (Coliva and Pedersen 2017).</w:t>
      </w:r>
    </w:p>
    <w:p w14:paraId="3AF7D40D" w14:textId="77777777" w:rsidR="00E53339" w:rsidRPr="00E53339" w:rsidRDefault="00E53339" w:rsidP="00E53339">
      <w:pPr>
        <w:pStyle w:val="FootnoteText"/>
        <w:ind w:firstLine="360"/>
        <w:rPr>
          <w:rFonts w:cs="Times New Roman"/>
          <w:color w:val="000000" w:themeColor="text1"/>
          <w:sz w:val="22"/>
          <w:szCs w:val="22"/>
        </w:rPr>
      </w:pPr>
    </w:p>
  </w:footnote>
  <w:footnote w:id="29">
    <w:p w14:paraId="508ECDB7" w14:textId="77777777" w:rsidR="00E53339" w:rsidRPr="00E53339" w:rsidRDefault="00E53339" w:rsidP="00E53339">
      <w:pPr>
        <w:pStyle w:val="FootnoteText"/>
        <w:ind w:firstLine="360"/>
        <w:rPr>
          <w:rFonts w:cs="Times New Roman"/>
          <w:color w:val="000000" w:themeColor="text1"/>
          <w:sz w:val="22"/>
          <w:szCs w:val="22"/>
        </w:rPr>
      </w:pPr>
      <w:r w:rsidRPr="00E53339">
        <w:rPr>
          <w:rStyle w:val="FootnoteReference"/>
          <w:rFonts w:cs="Times New Roman"/>
          <w:color w:val="000000" w:themeColor="text1"/>
          <w:sz w:val="22"/>
          <w:szCs w:val="22"/>
        </w:rPr>
        <w:footnoteRef/>
      </w:r>
      <w:r w:rsidRPr="00E53339">
        <w:rPr>
          <w:rFonts w:cs="Times New Roman"/>
          <w:color w:val="000000" w:themeColor="text1"/>
          <w:sz w:val="22"/>
          <w:szCs w:val="22"/>
        </w:rPr>
        <w:t xml:space="preserve"> Entitlements, for Wright, are internalist in the sense that, if they exist, they must be recognizable “by means of traditional internalist resources” if they are “to be used to respond to seminar-room challenges to philosophical scepticism.” Philosophers </w:t>
      </w:r>
      <w:r w:rsidRPr="00E53339">
        <w:rPr>
          <w:rFonts w:cs="Times New Roman"/>
          <w:i/>
          <w:color w:val="000000" w:themeColor="text1"/>
          <w:sz w:val="22"/>
          <w:szCs w:val="22"/>
        </w:rPr>
        <w:t>explain</w:t>
      </w:r>
      <w:r w:rsidRPr="00E53339">
        <w:rPr>
          <w:rFonts w:cs="Times New Roman"/>
          <w:color w:val="000000" w:themeColor="text1"/>
          <w:sz w:val="22"/>
          <w:szCs w:val="22"/>
        </w:rPr>
        <w:t xml:space="preserve"> our right to claims to knowledge (our rational right to accept the authenticity-conditions of our knowledge claims) threatened by skeptical paradox by beating the skeptic in the seminar room. Though it’s the job of philosophers to explain our entitlements—no easy task—it’s no duty that falls on anyone else (Wright 2004, pp. 205, 209-10; 2007, n. 6; 2014, p. 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F92"/>
    <w:multiLevelType w:val="hybridMultilevel"/>
    <w:tmpl w:val="B726C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6A48"/>
    <w:multiLevelType w:val="hybridMultilevel"/>
    <w:tmpl w:val="2F2CF9B4"/>
    <w:lvl w:ilvl="0" w:tplc="EC948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1969"/>
    <w:multiLevelType w:val="hybridMultilevel"/>
    <w:tmpl w:val="1BDC0DA2"/>
    <w:lvl w:ilvl="0" w:tplc="C4A2F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989"/>
    <w:multiLevelType w:val="multilevel"/>
    <w:tmpl w:val="2CC60CB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A446B8C"/>
    <w:multiLevelType w:val="hybridMultilevel"/>
    <w:tmpl w:val="B5C017B4"/>
    <w:lvl w:ilvl="0" w:tplc="2304C70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537D5"/>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FE4F26"/>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5A4F84"/>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4D5785"/>
    <w:multiLevelType w:val="hybridMultilevel"/>
    <w:tmpl w:val="F3800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36FC1"/>
    <w:multiLevelType w:val="hybridMultilevel"/>
    <w:tmpl w:val="5B5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706C"/>
    <w:multiLevelType w:val="multilevel"/>
    <w:tmpl w:val="36F822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5F180B"/>
    <w:multiLevelType w:val="hybridMultilevel"/>
    <w:tmpl w:val="0914A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CD0A9F"/>
    <w:multiLevelType w:val="hybridMultilevel"/>
    <w:tmpl w:val="C9C28DC2"/>
    <w:lvl w:ilvl="0" w:tplc="4608F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73D9E"/>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9C465D"/>
    <w:multiLevelType w:val="hybridMultilevel"/>
    <w:tmpl w:val="6756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05D0C"/>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4036A2"/>
    <w:multiLevelType w:val="multilevel"/>
    <w:tmpl w:val="3A043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BD74F2"/>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630D0B"/>
    <w:multiLevelType w:val="multilevel"/>
    <w:tmpl w:val="36F822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AE2BA9"/>
    <w:multiLevelType w:val="hybridMultilevel"/>
    <w:tmpl w:val="2F36B270"/>
    <w:lvl w:ilvl="0" w:tplc="D4FA0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B6FDC"/>
    <w:multiLevelType w:val="hybridMultilevel"/>
    <w:tmpl w:val="F090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C1A6C"/>
    <w:multiLevelType w:val="hybridMultilevel"/>
    <w:tmpl w:val="8420397C"/>
    <w:lvl w:ilvl="0" w:tplc="5DFCE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B741A"/>
    <w:multiLevelType w:val="hybridMultilevel"/>
    <w:tmpl w:val="973C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2252A"/>
    <w:multiLevelType w:val="hybridMultilevel"/>
    <w:tmpl w:val="C9AC6562"/>
    <w:lvl w:ilvl="0" w:tplc="B3C04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300A4"/>
    <w:multiLevelType w:val="hybridMultilevel"/>
    <w:tmpl w:val="9094EF7A"/>
    <w:lvl w:ilvl="0" w:tplc="D47E8E2A">
      <w:start w:val="1"/>
      <w:numFmt w:val="decimal"/>
      <w:lvlText w:val="(%1)"/>
      <w:lvlJc w:val="left"/>
      <w:pPr>
        <w:ind w:left="1280" w:hanging="340"/>
      </w:pPr>
      <w:rPr>
        <w:rFonts w:ascii="Times New Roman" w:eastAsia="Times New Roman" w:hAnsi="Times New Roman" w:cs="Times New Roman" w:hint="default"/>
        <w:spacing w:val="-8"/>
        <w:w w:val="99"/>
        <w:sz w:val="24"/>
        <w:szCs w:val="24"/>
      </w:rPr>
    </w:lvl>
    <w:lvl w:ilvl="1" w:tplc="6F1E58CA">
      <w:numFmt w:val="bullet"/>
      <w:lvlText w:val="•"/>
      <w:lvlJc w:val="left"/>
      <w:pPr>
        <w:ind w:left="2120" w:hanging="340"/>
      </w:pPr>
      <w:rPr>
        <w:rFonts w:hint="default"/>
      </w:rPr>
    </w:lvl>
    <w:lvl w:ilvl="2" w:tplc="D85CF06C">
      <w:numFmt w:val="bullet"/>
      <w:lvlText w:val="•"/>
      <w:lvlJc w:val="left"/>
      <w:pPr>
        <w:ind w:left="2960" w:hanging="340"/>
      </w:pPr>
      <w:rPr>
        <w:rFonts w:hint="default"/>
      </w:rPr>
    </w:lvl>
    <w:lvl w:ilvl="3" w:tplc="F2AAF8AE">
      <w:numFmt w:val="bullet"/>
      <w:lvlText w:val="•"/>
      <w:lvlJc w:val="left"/>
      <w:pPr>
        <w:ind w:left="3800" w:hanging="340"/>
      </w:pPr>
      <w:rPr>
        <w:rFonts w:hint="default"/>
      </w:rPr>
    </w:lvl>
    <w:lvl w:ilvl="4" w:tplc="E6CA8C4E">
      <w:numFmt w:val="bullet"/>
      <w:lvlText w:val="•"/>
      <w:lvlJc w:val="left"/>
      <w:pPr>
        <w:ind w:left="4640" w:hanging="340"/>
      </w:pPr>
      <w:rPr>
        <w:rFonts w:hint="default"/>
      </w:rPr>
    </w:lvl>
    <w:lvl w:ilvl="5" w:tplc="123E3300">
      <w:numFmt w:val="bullet"/>
      <w:lvlText w:val="•"/>
      <w:lvlJc w:val="left"/>
      <w:pPr>
        <w:ind w:left="5480" w:hanging="340"/>
      </w:pPr>
      <w:rPr>
        <w:rFonts w:hint="default"/>
      </w:rPr>
    </w:lvl>
    <w:lvl w:ilvl="6" w:tplc="EFEA7268">
      <w:numFmt w:val="bullet"/>
      <w:lvlText w:val="•"/>
      <w:lvlJc w:val="left"/>
      <w:pPr>
        <w:ind w:left="6320" w:hanging="340"/>
      </w:pPr>
      <w:rPr>
        <w:rFonts w:hint="default"/>
      </w:rPr>
    </w:lvl>
    <w:lvl w:ilvl="7" w:tplc="5C78E452">
      <w:numFmt w:val="bullet"/>
      <w:lvlText w:val="•"/>
      <w:lvlJc w:val="left"/>
      <w:pPr>
        <w:ind w:left="7160" w:hanging="340"/>
      </w:pPr>
      <w:rPr>
        <w:rFonts w:hint="default"/>
      </w:rPr>
    </w:lvl>
    <w:lvl w:ilvl="8" w:tplc="E084D702">
      <w:numFmt w:val="bullet"/>
      <w:lvlText w:val="•"/>
      <w:lvlJc w:val="left"/>
      <w:pPr>
        <w:ind w:left="8000" w:hanging="340"/>
      </w:pPr>
      <w:rPr>
        <w:rFonts w:hint="default"/>
      </w:rPr>
    </w:lvl>
  </w:abstractNum>
  <w:abstractNum w:abstractNumId="25" w15:restartNumberingAfterBreak="0">
    <w:nsid w:val="6A0F2254"/>
    <w:multiLevelType w:val="multilevel"/>
    <w:tmpl w:val="2CC60CB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B0D2B95"/>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4E499D"/>
    <w:multiLevelType w:val="hybridMultilevel"/>
    <w:tmpl w:val="26260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324B0D"/>
    <w:multiLevelType w:val="hybridMultilevel"/>
    <w:tmpl w:val="6F56A6C0"/>
    <w:lvl w:ilvl="0" w:tplc="14729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63AFF"/>
    <w:multiLevelType w:val="hybridMultilevel"/>
    <w:tmpl w:val="F38E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058B3"/>
    <w:multiLevelType w:val="hybridMultilevel"/>
    <w:tmpl w:val="365E3B6A"/>
    <w:lvl w:ilvl="0" w:tplc="F504287A">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3547"/>
    <w:multiLevelType w:val="multilevel"/>
    <w:tmpl w:val="D8409F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9"/>
  </w:num>
  <w:num w:numId="3">
    <w:abstractNumId w:val="8"/>
  </w:num>
  <w:num w:numId="4">
    <w:abstractNumId w:val="15"/>
  </w:num>
  <w:num w:numId="5">
    <w:abstractNumId w:val="18"/>
  </w:num>
  <w:num w:numId="6">
    <w:abstractNumId w:val="10"/>
  </w:num>
  <w:num w:numId="7">
    <w:abstractNumId w:val="17"/>
  </w:num>
  <w:num w:numId="8">
    <w:abstractNumId w:val="25"/>
  </w:num>
  <w:num w:numId="9">
    <w:abstractNumId w:val="26"/>
  </w:num>
  <w:num w:numId="10">
    <w:abstractNumId w:val="3"/>
  </w:num>
  <w:num w:numId="11">
    <w:abstractNumId w:val="22"/>
  </w:num>
  <w:num w:numId="12">
    <w:abstractNumId w:val="24"/>
  </w:num>
  <w:num w:numId="13">
    <w:abstractNumId w:val="6"/>
  </w:num>
  <w:num w:numId="14">
    <w:abstractNumId w:val="7"/>
  </w:num>
  <w:num w:numId="15">
    <w:abstractNumId w:val="5"/>
  </w:num>
  <w:num w:numId="16">
    <w:abstractNumId w:val="13"/>
  </w:num>
  <w:num w:numId="17">
    <w:abstractNumId w:val="31"/>
  </w:num>
  <w:num w:numId="18">
    <w:abstractNumId w:val="30"/>
  </w:num>
  <w:num w:numId="19">
    <w:abstractNumId w:val="4"/>
  </w:num>
  <w:num w:numId="20">
    <w:abstractNumId w:val="2"/>
  </w:num>
  <w:num w:numId="21">
    <w:abstractNumId w:val="0"/>
  </w:num>
  <w:num w:numId="22">
    <w:abstractNumId w:val="9"/>
  </w:num>
  <w:num w:numId="23">
    <w:abstractNumId w:val="23"/>
  </w:num>
  <w:num w:numId="24">
    <w:abstractNumId w:val="1"/>
  </w:num>
  <w:num w:numId="25">
    <w:abstractNumId w:val="19"/>
  </w:num>
  <w:num w:numId="26">
    <w:abstractNumId w:val="16"/>
  </w:num>
  <w:num w:numId="27">
    <w:abstractNumId w:val="11"/>
  </w:num>
  <w:num w:numId="28">
    <w:abstractNumId w:val="12"/>
  </w:num>
  <w:num w:numId="29">
    <w:abstractNumId w:val="14"/>
  </w:num>
  <w:num w:numId="30">
    <w:abstractNumId w:val="21"/>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36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D9"/>
    <w:rsid w:val="00000076"/>
    <w:rsid w:val="00000FF4"/>
    <w:rsid w:val="000018E0"/>
    <w:rsid w:val="000019DC"/>
    <w:rsid w:val="00001DC5"/>
    <w:rsid w:val="00002C44"/>
    <w:rsid w:val="00004220"/>
    <w:rsid w:val="0000666F"/>
    <w:rsid w:val="00010AC7"/>
    <w:rsid w:val="00010F54"/>
    <w:rsid w:val="00011934"/>
    <w:rsid w:val="000123DC"/>
    <w:rsid w:val="000128C9"/>
    <w:rsid w:val="00012F2F"/>
    <w:rsid w:val="0001304C"/>
    <w:rsid w:val="000137A5"/>
    <w:rsid w:val="0001398D"/>
    <w:rsid w:val="00013C0D"/>
    <w:rsid w:val="00013D6A"/>
    <w:rsid w:val="00014B56"/>
    <w:rsid w:val="00015EB5"/>
    <w:rsid w:val="00016755"/>
    <w:rsid w:val="00021522"/>
    <w:rsid w:val="00022A80"/>
    <w:rsid w:val="00023496"/>
    <w:rsid w:val="000265C1"/>
    <w:rsid w:val="00026F8F"/>
    <w:rsid w:val="000306E7"/>
    <w:rsid w:val="00030A82"/>
    <w:rsid w:val="0003186B"/>
    <w:rsid w:val="00031C0E"/>
    <w:rsid w:val="00031D90"/>
    <w:rsid w:val="0003347D"/>
    <w:rsid w:val="00034417"/>
    <w:rsid w:val="000348F7"/>
    <w:rsid w:val="00034910"/>
    <w:rsid w:val="00036BEA"/>
    <w:rsid w:val="0003746D"/>
    <w:rsid w:val="0004159B"/>
    <w:rsid w:val="0004446A"/>
    <w:rsid w:val="00044C32"/>
    <w:rsid w:val="00050D8F"/>
    <w:rsid w:val="00052BF5"/>
    <w:rsid w:val="00053C65"/>
    <w:rsid w:val="00055C1E"/>
    <w:rsid w:val="00055F77"/>
    <w:rsid w:val="00056441"/>
    <w:rsid w:val="00060E4E"/>
    <w:rsid w:val="0006240A"/>
    <w:rsid w:val="000625E2"/>
    <w:rsid w:val="000641D1"/>
    <w:rsid w:val="0006425B"/>
    <w:rsid w:val="00064564"/>
    <w:rsid w:val="00064F3B"/>
    <w:rsid w:val="000655CD"/>
    <w:rsid w:val="00066AC6"/>
    <w:rsid w:val="000715C7"/>
    <w:rsid w:val="000716DF"/>
    <w:rsid w:val="00072709"/>
    <w:rsid w:val="00072D04"/>
    <w:rsid w:val="00073A39"/>
    <w:rsid w:val="00073AE5"/>
    <w:rsid w:val="00073DC6"/>
    <w:rsid w:val="00073E18"/>
    <w:rsid w:val="00074E95"/>
    <w:rsid w:val="0007734B"/>
    <w:rsid w:val="00077357"/>
    <w:rsid w:val="00077F6D"/>
    <w:rsid w:val="000800B4"/>
    <w:rsid w:val="00081C22"/>
    <w:rsid w:val="000820C9"/>
    <w:rsid w:val="00083EC8"/>
    <w:rsid w:val="000843E9"/>
    <w:rsid w:val="00084748"/>
    <w:rsid w:val="00084B4A"/>
    <w:rsid w:val="00085734"/>
    <w:rsid w:val="00086067"/>
    <w:rsid w:val="000907F9"/>
    <w:rsid w:val="00093DDA"/>
    <w:rsid w:val="00094F2D"/>
    <w:rsid w:val="00095721"/>
    <w:rsid w:val="00095CED"/>
    <w:rsid w:val="00097C59"/>
    <w:rsid w:val="00097D0F"/>
    <w:rsid w:val="000A0AC5"/>
    <w:rsid w:val="000A379E"/>
    <w:rsid w:val="000A694C"/>
    <w:rsid w:val="000A7112"/>
    <w:rsid w:val="000A75D9"/>
    <w:rsid w:val="000B0850"/>
    <w:rsid w:val="000B0C67"/>
    <w:rsid w:val="000B100C"/>
    <w:rsid w:val="000B115D"/>
    <w:rsid w:val="000B119F"/>
    <w:rsid w:val="000B1A30"/>
    <w:rsid w:val="000B23AE"/>
    <w:rsid w:val="000B28C2"/>
    <w:rsid w:val="000B308A"/>
    <w:rsid w:val="000B3334"/>
    <w:rsid w:val="000B3C7B"/>
    <w:rsid w:val="000B5B65"/>
    <w:rsid w:val="000B5CC2"/>
    <w:rsid w:val="000B6C39"/>
    <w:rsid w:val="000B788C"/>
    <w:rsid w:val="000C0B7F"/>
    <w:rsid w:val="000C277F"/>
    <w:rsid w:val="000C3032"/>
    <w:rsid w:val="000C30EC"/>
    <w:rsid w:val="000C3193"/>
    <w:rsid w:val="000C41B9"/>
    <w:rsid w:val="000C4689"/>
    <w:rsid w:val="000C6DB3"/>
    <w:rsid w:val="000C777D"/>
    <w:rsid w:val="000C7BB7"/>
    <w:rsid w:val="000D0963"/>
    <w:rsid w:val="000D244B"/>
    <w:rsid w:val="000D24AD"/>
    <w:rsid w:val="000D38C5"/>
    <w:rsid w:val="000D46AC"/>
    <w:rsid w:val="000D4DDA"/>
    <w:rsid w:val="000D537F"/>
    <w:rsid w:val="000D575E"/>
    <w:rsid w:val="000D6148"/>
    <w:rsid w:val="000D62E5"/>
    <w:rsid w:val="000D6700"/>
    <w:rsid w:val="000D6D3A"/>
    <w:rsid w:val="000D7706"/>
    <w:rsid w:val="000E1A15"/>
    <w:rsid w:val="000E290A"/>
    <w:rsid w:val="000E2D9B"/>
    <w:rsid w:val="000E4EFC"/>
    <w:rsid w:val="000E502E"/>
    <w:rsid w:val="000E720E"/>
    <w:rsid w:val="000F1EF0"/>
    <w:rsid w:val="000F22F9"/>
    <w:rsid w:val="000F3B27"/>
    <w:rsid w:val="000F418B"/>
    <w:rsid w:val="000F76AD"/>
    <w:rsid w:val="000F79AC"/>
    <w:rsid w:val="00101D8E"/>
    <w:rsid w:val="00102D73"/>
    <w:rsid w:val="00103127"/>
    <w:rsid w:val="0010391E"/>
    <w:rsid w:val="001039A3"/>
    <w:rsid w:val="00105B94"/>
    <w:rsid w:val="00106D18"/>
    <w:rsid w:val="001101FA"/>
    <w:rsid w:val="001114FB"/>
    <w:rsid w:val="00111BAC"/>
    <w:rsid w:val="00112037"/>
    <w:rsid w:val="0011379E"/>
    <w:rsid w:val="00120404"/>
    <w:rsid w:val="00121A0E"/>
    <w:rsid w:val="00121A60"/>
    <w:rsid w:val="00121F48"/>
    <w:rsid w:val="00123005"/>
    <w:rsid w:val="001238DF"/>
    <w:rsid w:val="00123F55"/>
    <w:rsid w:val="0012464C"/>
    <w:rsid w:val="001248B1"/>
    <w:rsid w:val="00124DF8"/>
    <w:rsid w:val="001251E8"/>
    <w:rsid w:val="00126501"/>
    <w:rsid w:val="00127395"/>
    <w:rsid w:val="00133B47"/>
    <w:rsid w:val="00133FFD"/>
    <w:rsid w:val="0013491D"/>
    <w:rsid w:val="00134B2C"/>
    <w:rsid w:val="00137007"/>
    <w:rsid w:val="001416D9"/>
    <w:rsid w:val="00141991"/>
    <w:rsid w:val="00142A8E"/>
    <w:rsid w:val="00144297"/>
    <w:rsid w:val="00144938"/>
    <w:rsid w:val="00145E14"/>
    <w:rsid w:val="001462AF"/>
    <w:rsid w:val="00146938"/>
    <w:rsid w:val="00146E9C"/>
    <w:rsid w:val="00147412"/>
    <w:rsid w:val="001503DD"/>
    <w:rsid w:val="0015158D"/>
    <w:rsid w:val="00154803"/>
    <w:rsid w:val="00157CAA"/>
    <w:rsid w:val="00160111"/>
    <w:rsid w:val="00162911"/>
    <w:rsid w:val="0016439A"/>
    <w:rsid w:val="00164D95"/>
    <w:rsid w:val="0016664C"/>
    <w:rsid w:val="0017146B"/>
    <w:rsid w:val="00172E03"/>
    <w:rsid w:val="00175813"/>
    <w:rsid w:val="001767A3"/>
    <w:rsid w:val="001774C6"/>
    <w:rsid w:val="00177D6C"/>
    <w:rsid w:val="00177F95"/>
    <w:rsid w:val="00180178"/>
    <w:rsid w:val="001802AE"/>
    <w:rsid w:val="00180497"/>
    <w:rsid w:val="001806A8"/>
    <w:rsid w:val="001823BA"/>
    <w:rsid w:val="0018676A"/>
    <w:rsid w:val="00186794"/>
    <w:rsid w:val="00187737"/>
    <w:rsid w:val="00187DBA"/>
    <w:rsid w:val="001916BE"/>
    <w:rsid w:val="0019281F"/>
    <w:rsid w:val="00192FD1"/>
    <w:rsid w:val="00196252"/>
    <w:rsid w:val="001967B4"/>
    <w:rsid w:val="00196E64"/>
    <w:rsid w:val="00197068"/>
    <w:rsid w:val="001A0E40"/>
    <w:rsid w:val="001A23D1"/>
    <w:rsid w:val="001A255B"/>
    <w:rsid w:val="001A4BC6"/>
    <w:rsid w:val="001A768E"/>
    <w:rsid w:val="001B02A3"/>
    <w:rsid w:val="001B02C3"/>
    <w:rsid w:val="001B13BB"/>
    <w:rsid w:val="001B4F9C"/>
    <w:rsid w:val="001B5C1A"/>
    <w:rsid w:val="001B74D8"/>
    <w:rsid w:val="001C1708"/>
    <w:rsid w:val="001C1744"/>
    <w:rsid w:val="001C36F1"/>
    <w:rsid w:val="001C4C6F"/>
    <w:rsid w:val="001C5AB1"/>
    <w:rsid w:val="001C5B50"/>
    <w:rsid w:val="001D298A"/>
    <w:rsid w:val="001D5134"/>
    <w:rsid w:val="001E02DF"/>
    <w:rsid w:val="001E1603"/>
    <w:rsid w:val="001E3091"/>
    <w:rsid w:val="001E3B04"/>
    <w:rsid w:val="001E4728"/>
    <w:rsid w:val="001E4763"/>
    <w:rsid w:val="001E48D5"/>
    <w:rsid w:val="001E4BDB"/>
    <w:rsid w:val="001E5CFF"/>
    <w:rsid w:val="001E67F0"/>
    <w:rsid w:val="001E6A1D"/>
    <w:rsid w:val="001E7BA4"/>
    <w:rsid w:val="001E7E94"/>
    <w:rsid w:val="001F32D7"/>
    <w:rsid w:val="001F35FE"/>
    <w:rsid w:val="001F4F4E"/>
    <w:rsid w:val="001F5442"/>
    <w:rsid w:val="001F6B71"/>
    <w:rsid w:val="001F7D57"/>
    <w:rsid w:val="00202C6E"/>
    <w:rsid w:val="0020414F"/>
    <w:rsid w:val="002059AF"/>
    <w:rsid w:val="00205F00"/>
    <w:rsid w:val="0020610B"/>
    <w:rsid w:val="00206DC0"/>
    <w:rsid w:val="00207F5E"/>
    <w:rsid w:val="002109D2"/>
    <w:rsid w:val="00211FA7"/>
    <w:rsid w:val="0021377B"/>
    <w:rsid w:val="00213F31"/>
    <w:rsid w:val="00215D58"/>
    <w:rsid w:val="00216269"/>
    <w:rsid w:val="002167B3"/>
    <w:rsid w:val="00216F38"/>
    <w:rsid w:val="002174C1"/>
    <w:rsid w:val="0021776F"/>
    <w:rsid w:val="002203F3"/>
    <w:rsid w:val="00221584"/>
    <w:rsid w:val="002220D6"/>
    <w:rsid w:val="00223A3D"/>
    <w:rsid w:val="00224203"/>
    <w:rsid w:val="002246BB"/>
    <w:rsid w:val="00224E4B"/>
    <w:rsid w:val="00224FC5"/>
    <w:rsid w:val="002254B0"/>
    <w:rsid w:val="002271F0"/>
    <w:rsid w:val="0022747C"/>
    <w:rsid w:val="00227F05"/>
    <w:rsid w:val="00231B7D"/>
    <w:rsid w:val="00233790"/>
    <w:rsid w:val="00233F55"/>
    <w:rsid w:val="00234447"/>
    <w:rsid w:val="00235D95"/>
    <w:rsid w:val="00235F8E"/>
    <w:rsid w:val="002362E3"/>
    <w:rsid w:val="00237555"/>
    <w:rsid w:val="00237D99"/>
    <w:rsid w:val="00240625"/>
    <w:rsid w:val="00242CAA"/>
    <w:rsid w:val="00244BB2"/>
    <w:rsid w:val="00246117"/>
    <w:rsid w:val="002463E1"/>
    <w:rsid w:val="002503B4"/>
    <w:rsid w:val="00251B9B"/>
    <w:rsid w:val="00251C48"/>
    <w:rsid w:val="002525B6"/>
    <w:rsid w:val="002534F4"/>
    <w:rsid w:val="002538BD"/>
    <w:rsid w:val="00253CBE"/>
    <w:rsid w:val="00255318"/>
    <w:rsid w:val="00255C3C"/>
    <w:rsid w:val="00256553"/>
    <w:rsid w:val="00257586"/>
    <w:rsid w:val="00260426"/>
    <w:rsid w:val="00260879"/>
    <w:rsid w:val="002608E1"/>
    <w:rsid w:val="00261225"/>
    <w:rsid w:val="00261F68"/>
    <w:rsid w:val="0026257A"/>
    <w:rsid w:val="00264CF8"/>
    <w:rsid w:val="002650B7"/>
    <w:rsid w:val="00267009"/>
    <w:rsid w:val="0026778A"/>
    <w:rsid w:val="0027057A"/>
    <w:rsid w:val="00271DEB"/>
    <w:rsid w:val="00272689"/>
    <w:rsid w:val="00272C14"/>
    <w:rsid w:val="00273016"/>
    <w:rsid w:val="00273BF8"/>
    <w:rsid w:val="002746D0"/>
    <w:rsid w:val="0027524C"/>
    <w:rsid w:val="002773F5"/>
    <w:rsid w:val="00277F00"/>
    <w:rsid w:val="00280053"/>
    <w:rsid w:val="0028182C"/>
    <w:rsid w:val="00282F3C"/>
    <w:rsid w:val="00284189"/>
    <w:rsid w:val="00284547"/>
    <w:rsid w:val="00284968"/>
    <w:rsid w:val="00286F41"/>
    <w:rsid w:val="00291E5E"/>
    <w:rsid w:val="0029216C"/>
    <w:rsid w:val="00293EF1"/>
    <w:rsid w:val="0029486B"/>
    <w:rsid w:val="00295317"/>
    <w:rsid w:val="002A0D37"/>
    <w:rsid w:val="002A3E2E"/>
    <w:rsid w:val="002A3EDD"/>
    <w:rsid w:val="002A4EDA"/>
    <w:rsid w:val="002A5238"/>
    <w:rsid w:val="002A5655"/>
    <w:rsid w:val="002A5685"/>
    <w:rsid w:val="002A6542"/>
    <w:rsid w:val="002B02DB"/>
    <w:rsid w:val="002B061A"/>
    <w:rsid w:val="002B1A86"/>
    <w:rsid w:val="002B1B85"/>
    <w:rsid w:val="002B5539"/>
    <w:rsid w:val="002B793A"/>
    <w:rsid w:val="002C08A7"/>
    <w:rsid w:val="002C0EA5"/>
    <w:rsid w:val="002C0F05"/>
    <w:rsid w:val="002C2AE3"/>
    <w:rsid w:val="002C2F6C"/>
    <w:rsid w:val="002C38D2"/>
    <w:rsid w:val="002C48A9"/>
    <w:rsid w:val="002C4E82"/>
    <w:rsid w:val="002C4FFF"/>
    <w:rsid w:val="002C6157"/>
    <w:rsid w:val="002C6829"/>
    <w:rsid w:val="002C703E"/>
    <w:rsid w:val="002C7520"/>
    <w:rsid w:val="002D10BF"/>
    <w:rsid w:val="002D1381"/>
    <w:rsid w:val="002D37C9"/>
    <w:rsid w:val="002D7AA7"/>
    <w:rsid w:val="002D7C38"/>
    <w:rsid w:val="002E0234"/>
    <w:rsid w:val="002E2949"/>
    <w:rsid w:val="002E43A5"/>
    <w:rsid w:val="002E7DFE"/>
    <w:rsid w:val="002F007A"/>
    <w:rsid w:val="002F04BE"/>
    <w:rsid w:val="002F13E0"/>
    <w:rsid w:val="002F24BD"/>
    <w:rsid w:val="002F26E5"/>
    <w:rsid w:val="002F27E3"/>
    <w:rsid w:val="002F2BAD"/>
    <w:rsid w:val="002F2E2F"/>
    <w:rsid w:val="002F355E"/>
    <w:rsid w:val="002F41A0"/>
    <w:rsid w:val="002F4859"/>
    <w:rsid w:val="002F4AA7"/>
    <w:rsid w:val="002F7A5E"/>
    <w:rsid w:val="00300048"/>
    <w:rsid w:val="00302F8F"/>
    <w:rsid w:val="00303B91"/>
    <w:rsid w:val="003069C0"/>
    <w:rsid w:val="00306DCA"/>
    <w:rsid w:val="00306E54"/>
    <w:rsid w:val="00311710"/>
    <w:rsid w:val="00312CD7"/>
    <w:rsid w:val="003155DB"/>
    <w:rsid w:val="00315EA8"/>
    <w:rsid w:val="003161FB"/>
    <w:rsid w:val="00320603"/>
    <w:rsid w:val="00320A15"/>
    <w:rsid w:val="00320F1A"/>
    <w:rsid w:val="0032231D"/>
    <w:rsid w:val="003224D0"/>
    <w:rsid w:val="00322827"/>
    <w:rsid w:val="00322E15"/>
    <w:rsid w:val="0032400F"/>
    <w:rsid w:val="003244F6"/>
    <w:rsid w:val="00325006"/>
    <w:rsid w:val="0032589D"/>
    <w:rsid w:val="0032784B"/>
    <w:rsid w:val="00330C2C"/>
    <w:rsid w:val="00330D58"/>
    <w:rsid w:val="003321DB"/>
    <w:rsid w:val="00333596"/>
    <w:rsid w:val="00333D5B"/>
    <w:rsid w:val="003341C0"/>
    <w:rsid w:val="00334F68"/>
    <w:rsid w:val="003350BB"/>
    <w:rsid w:val="00337336"/>
    <w:rsid w:val="00337659"/>
    <w:rsid w:val="00337721"/>
    <w:rsid w:val="003377B4"/>
    <w:rsid w:val="00337C79"/>
    <w:rsid w:val="0034070E"/>
    <w:rsid w:val="00340B56"/>
    <w:rsid w:val="00340FB0"/>
    <w:rsid w:val="003411A7"/>
    <w:rsid w:val="003439E9"/>
    <w:rsid w:val="00343D65"/>
    <w:rsid w:val="00344D28"/>
    <w:rsid w:val="00344F42"/>
    <w:rsid w:val="0034783B"/>
    <w:rsid w:val="0034797B"/>
    <w:rsid w:val="00351096"/>
    <w:rsid w:val="003518AD"/>
    <w:rsid w:val="003522E2"/>
    <w:rsid w:val="00353F00"/>
    <w:rsid w:val="00355D8B"/>
    <w:rsid w:val="00356341"/>
    <w:rsid w:val="00360F79"/>
    <w:rsid w:val="003611E0"/>
    <w:rsid w:val="00361EF9"/>
    <w:rsid w:val="00362323"/>
    <w:rsid w:val="00362524"/>
    <w:rsid w:val="00363276"/>
    <w:rsid w:val="0036474E"/>
    <w:rsid w:val="00365CAF"/>
    <w:rsid w:val="003669C4"/>
    <w:rsid w:val="0037164C"/>
    <w:rsid w:val="003738A2"/>
    <w:rsid w:val="00375FA9"/>
    <w:rsid w:val="00380526"/>
    <w:rsid w:val="00380AF1"/>
    <w:rsid w:val="00382902"/>
    <w:rsid w:val="00382FC7"/>
    <w:rsid w:val="00383607"/>
    <w:rsid w:val="00384063"/>
    <w:rsid w:val="00384317"/>
    <w:rsid w:val="003845BA"/>
    <w:rsid w:val="00384A77"/>
    <w:rsid w:val="00384EF0"/>
    <w:rsid w:val="00384FA2"/>
    <w:rsid w:val="0038597B"/>
    <w:rsid w:val="00385E76"/>
    <w:rsid w:val="00386184"/>
    <w:rsid w:val="00386528"/>
    <w:rsid w:val="0039307C"/>
    <w:rsid w:val="00393AB6"/>
    <w:rsid w:val="00397590"/>
    <w:rsid w:val="003A0EF0"/>
    <w:rsid w:val="003A11F8"/>
    <w:rsid w:val="003A1672"/>
    <w:rsid w:val="003A2920"/>
    <w:rsid w:val="003A526F"/>
    <w:rsid w:val="003A5D3E"/>
    <w:rsid w:val="003B0D35"/>
    <w:rsid w:val="003B3D56"/>
    <w:rsid w:val="003B445E"/>
    <w:rsid w:val="003B52F7"/>
    <w:rsid w:val="003B54EF"/>
    <w:rsid w:val="003B5C10"/>
    <w:rsid w:val="003B7549"/>
    <w:rsid w:val="003C0AAE"/>
    <w:rsid w:val="003C0D64"/>
    <w:rsid w:val="003C2CAD"/>
    <w:rsid w:val="003C33A4"/>
    <w:rsid w:val="003C5180"/>
    <w:rsid w:val="003C64A7"/>
    <w:rsid w:val="003C6528"/>
    <w:rsid w:val="003C6849"/>
    <w:rsid w:val="003C6BF4"/>
    <w:rsid w:val="003C7069"/>
    <w:rsid w:val="003D0E12"/>
    <w:rsid w:val="003D1661"/>
    <w:rsid w:val="003D3037"/>
    <w:rsid w:val="003D30C0"/>
    <w:rsid w:val="003D5E1D"/>
    <w:rsid w:val="003D641F"/>
    <w:rsid w:val="003D6C22"/>
    <w:rsid w:val="003D6D63"/>
    <w:rsid w:val="003D7D74"/>
    <w:rsid w:val="003D7E1B"/>
    <w:rsid w:val="003E0544"/>
    <w:rsid w:val="003E0C6F"/>
    <w:rsid w:val="003E29E1"/>
    <w:rsid w:val="003E32A7"/>
    <w:rsid w:val="003E3506"/>
    <w:rsid w:val="003E3AF9"/>
    <w:rsid w:val="003E53AF"/>
    <w:rsid w:val="003F0E14"/>
    <w:rsid w:val="003F1863"/>
    <w:rsid w:val="003F297F"/>
    <w:rsid w:val="003F4035"/>
    <w:rsid w:val="003F5271"/>
    <w:rsid w:val="003F7330"/>
    <w:rsid w:val="00400055"/>
    <w:rsid w:val="004015FC"/>
    <w:rsid w:val="00401E0C"/>
    <w:rsid w:val="00402843"/>
    <w:rsid w:val="00402B4E"/>
    <w:rsid w:val="004064D6"/>
    <w:rsid w:val="00406741"/>
    <w:rsid w:val="00410925"/>
    <w:rsid w:val="00410F52"/>
    <w:rsid w:val="004111D3"/>
    <w:rsid w:val="00411C11"/>
    <w:rsid w:val="00412BD6"/>
    <w:rsid w:val="00413190"/>
    <w:rsid w:val="00413A44"/>
    <w:rsid w:val="0041556F"/>
    <w:rsid w:val="00415F8D"/>
    <w:rsid w:val="00416B40"/>
    <w:rsid w:val="004176F4"/>
    <w:rsid w:val="0042083A"/>
    <w:rsid w:val="004225DA"/>
    <w:rsid w:val="0042293C"/>
    <w:rsid w:val="00422D7F"/>
    <w:rsid w:val="00425153"/>
    <w:rsid w:val="00425BC9"/>
    <w:rsid w:val="00426051"/>
    <w:rsid w:val="004270D7"/>
    <w:rsid w:val="004275EA"/>
    <w:rsid w:val="00427688"/>
    <w:rsid w:val="00427ED4"/>
    <w:rsid w:val="00431137"/>
    <w:rsid w:val="00432238"/>
    <w:rsid w:val="00433078"/>
    <w:rsid w:val="004333D3"/>
    <w:rsid w:val="00434BCB"/>
    <w:rsid w:val="0043707F"/>
    <w:rsid w:val="00437B98"/>
    <w:rsid w:val="004400BC"/>
    <w:rsid w:val="00441060"/>
    <w:rsid w:val="004413C7"/>
    <w:rsid w:val="004419CA"/>
    <w:rsid w:val="0044269D"/>
    <w:rsid w:val="00443684"/>
    <w:rsid w:val="0044445E"/>
    <w:rsid w:val="004447B7"/>
    <w:rsid w:val="00444F2C"/>
    <w:rsid w:val="00445071"/>
    <w:rsid w:val="00445966"/>
    <w:rsid w:val="00445B95"/>
    <w:rsid w:val="00447813"/>
    <w:rsid w:val="004504C7"/>
    <w:rsid w:val="00451D58"/>
    <w:rsid w:val="0045243D"/>
    <w:rsid w:val="004525E7"/>
    <w:rsid w:val="00453FEA"/>
    <w:rsid w:val="00455776"/>
    <w:rsid w:val="0045667B"/>
    <w:rsid w:val="004603B5"/>
    <w:rsid w:val="00462377"/>
    <w:rsid w:val="004627EA"/>
    <w:rsid w:val="00463A9D"/>
    <w:rsid w:val="004661E5"/>
    <w:rsid w:val="00466C05"/>
    <w:rsid w:val="004676F7"/>
    <w:rsid w:val="00467F77"/>
    <w:rsid w:val="00470AE0"/>
    <w:rsid w:val="004711E8"/>
    <w:rsid w:val="00471359"/>
    <w:rsid w:val="00471A95"/>
    <w:rsid w:val="00473F7F"/>
    <w:rsid w:val="00474A65"/>
    <w:rsid w:val="00476362"/>
    <w:rsid w:val="00476943"/>
    <w:rsid w:val="00481016"/>
    <w:rsid w:val="004816C7"/>
    <w:rsid w:val="00482814"/>
    <w:rsid w:val="004839B7"/>
    <w:rsid w:val="00486D35"/>
    <w:rsid w:val="00487053"/>
    <w:rsid w:val="004878D6"/>
    <w:rsid w:val="00487982"/>
    <w:rsid w:val="0049222A"/>
    <w:rsid w:val="00493FB7"/>
    <w:rsid w:val="00494884"/>
    <w:rsid w:val="00495A0C"/>
    <w:rsid w:val="004970A1"/>
    <w:rsid w:val="004A1FF9"/>
    <w:rsid w:val="004A25A0"/>
    <w:rsid w:val="004A59F7"/>
    <w:rsid w:val="004A66F4"/>
    <w:rsid w:val="004B1420"/>
    <w:rsid w:val="004B2318"/>
    <w:rsid w:val="004B3A2B"/>
    <w:rsid w:val="004B435C"/>
    <w:rsid w:val="004B4815"/>
    <w:rsid w:val="004B4DDE"/>
    <w:rsid w:val="004B529C"/>
    <w:rsid w:val="004B576B"/>
    <w:rsid w:val="004B5E0A"/>
    <w:rsid w:val="004B6275"/>
    <w:rsid w:val="004C0957"/>
    <w:rsid w:val="004C28BB"/>
    <w:rsid w:val="004C322E"/>
    <w:rsid w:val="004C3270"/>
    <w:rsid w:val="004C3CFB"/>
    <w:rsid w:val="004C42CF"/>
    <w:rsid w:val="004C4A6C"/>
    <w:rsid w:val="004C4C31"/>
    <w:rsid w:val="004C57AC"/>
    <w:rsid w:val="004C7396"/>
    <w:rsid w:val="004C7760"/>
    <w:rsid w:val="004D045C"/>
    <w:rsid w:val="004D1179"/>
    <w:rsid w:val="004D1A51"/>
    <w:rsid w:val="004D2451"/>
    <w:rsid w:val="004D6D86"/>
    <w:rsid w:val="004D7E6D"/>
    <w:rsid w:val="004E0775"/>
    <w:rsid w:val="004E19C5"/>
    <w:rsid w:val="004E3404"/>
    <w:rsid w:val="004E7BC6"/>
    <w:rsid w:val="004F2B41"/>
    <w:rsid w:val="004F49D4"/>
    <w:rsid w:val="004F6972"/>
    <w:rsid w:val="004F7B09"/>
    <w:rsid w:val="0050439B"/>
    <w:rsid w:val="00505D9D"/>
    <w:rsid w:val="00506934"/>
    <w:rsid w:val="00507AED"/>
    <w:rsid w:val="005102F9"/>
    <w:rsid w:val="00512807"/>
    <w:rsid w:val="00512C56"/>
    <w:rsid w:val="00513475"/>
    <w:rsid w:val="00513692"/>
    <w:rsid w:val="005148C1"/>
    <w:rsid w:val="0051562E"/>
    <w:rsid w:val="0051622A"/>
    <w:rsid w:val="00520D5D"/>
    <w:rsid w:val="005215DB"/>
    <w:rsid w:val="005223AE"/>
    <w:rsid w:val="005231DA"/>
    <w:rsid w:val="0052368C"/>
    <w:rsid w:val="00523E2A"/>
    <w:rsid w:val="00524C30"/>
    <w:rsid w:val="0052668C"/>
    <w:rsid w:val="00526DF8"/>
    <w:rsid w:val="00531F18"/>
    <w:rsid w:val="0053339C"/>
    <w:rsid w:val="00534648"/>
    <w:rsid w:val="00534997"/>
    <w:rsid w:val="00534BC8"/>
    <w:rsid w:val="00535C42"/>
    <w:rsid w:val="0054040D"/>
    <w:rsid w:val="0054046C"/>
    <w:rsid w:val="00540EAC"/>
    <w:rsid w:val="005410A4"/>
    <w:rsid w:val="005412E7"/>
    <w:rsid w:val="005427CB"/>
    <w:rsid w:val="00543295"/>
    <w:rsid w:val="00543A75"/>
    <w:rsid w:val="00544D2A"/>
    <w:rsid w:val="005470DA"/>
    <w:rsid w:val="00547ACA"/>
    <w:rsid w:val="00551114"/>
    <w:rsid w:val="00553FDC"/>
    <w:rsid w:val="0055600A"/>
    <w:rsid w:val="00556370"/>
    <w:rsid w:val="00556410"/>
    <w:rsid w:val="00557194"/>
    <w:rsid w:val="005605FD"/>
    <w:rsid w:val="005646C0"/>
    <w:rsid w:val="005649F5"/>
    <w:rsid w:val="00565616"/>
    <w:rsid w:val="00566F91"/>
    <w:rsid w:val="00570E91"/>
    <w:rsid w:val="00570FFF"/>
    <w:rsid w:val="00571388"/>
    <w:rsid w:val="00572900"/>
    <w:rsid w:val="00572B04"/>
    <w:rsid w:val="00572F0E"/>
    <w:rsid w:val="005738E1"/>
    <w:rsid w:val="00574822"/>
    <w:rsid w:val="00574AB4"/>
    <w:rsid w:val="00574B48"/>
    <w:rsid w:val="0057540C"/>
    <w:rsid w:val="00575A31"/>
    <w:rsid w:val="00575DFD"/>
    <w:rsid w:val="0057694B"/>
    <w:rsid w:val="005809F7"/>
    <w:rsid w:val="0058330D"/>
    <w:rsid w:val="00583798"/>
    <w:rsid w:val="00583A43"/>
    <w:rsid w:val="00583B97"/>
    <w:rsid w:val="005850F2"/>
    <w:rsid w:val="00585492"/>
    <w:rsid w:val="00585504"/>
    <w:rsid w:val="00595654"/>
    <w:rsid w:val="00595A58"/>
    <w:rsid w:val="005967AB"/>
    <w:rsid w:val="00597322"/>
    <w:rsid w:val="00597662"/>
    <w:rsid w:val="00597A73"/>
    <w:rsid w:val="005A09DE"/>
    <w:rsid w:val="005A0FA9"/>
    <w:rsid w:val="005A222E"/>
    <w:rsid w:val="005A2875"/>
    <w:rsid w:val="005A36DC"/>
    <w:rsid w:val="005A3A53"/>
    <w:rsid w:val="005A4239"/>
    <w:rsid w:val="005A59EC"/>
    <w:rsid w:val="005B6D7A"/>
    <w:rsid w:val="005B6F0C"/>
    <w:rsid w:val="005B7E4A"/>
    <w:rsid w:val="005C0971"/>
    <w:rsid w:val="005C1E65"/>
    <w:rsid w:val="005C429E"/>
    <w:rsid w:val="005C55B4"/>
    <w:rsid w:val="005C6BA1"/>
    <w:rsid w:val="005D14C8"/>
    <w:rsid w:val="005D1AD2"/>
    <w:rsid w:val="005D4E28"/>
    <w:rsid w:val="005D54F4"/>
    <w:rsid w:val="005D583C"/>
    <w:rsid w:val="005D67F1"/>
    <w:rsid w:val="005E091B"/>
    <w:rsid w:val="005E19FC"/>
    <w:rsid w:val="005E2232"/>
    <w:rsid w:val="005E2827"/>
    <w:rsid w:val="005E2E9F"/>
    <w:rsid w:val="005E3392"/>
    <w:rsid w:val="005E6984"/>
    <w:rsid w:val="005F3997"/>
    <w:rsid w:val="005F3D53"/>
    <w:rsid w:val="005F4DC3"/>
    <w:rsid w:val="005F5906"/>
    <w:rsid w:val="005F6A5E"/>
    <w:rsid w:val="005F6F0B"/>
    <w:rsid w:val="005F6FA0"/>
    <w:rsid w:val="006004E2"/>
    <w:rsid w:val="00600FF9"/>
    <w:rsid w:val="00601ED3"/>
    <w:rsid w:val="00602F63"/>
    <w:rsid w:val="00603A35"/>
    <w:rsid w:val="00604D43"/>
    <w:rsid w:val="0060649B"/>
    <w:rsid w:val="00606EE7"/>
    <w:rsid w:val="006111C2"/>
    <w:rsid w:val="0061121A"/>
    <w:rsid w:val="00611B25"/>
    <w:rsid w:val="00612ACA"/>
    <w:rsid w:val="00612E5C"/>
    <w:rsid w:val="00613C23"/>
    <w:rsid w:val="00613D1C"/>
    <w:rsid w:val="006146B6"/>
    <w:rsid w:val="0061496C"/>
    <w:rsid w:val="00614B42"/>
    <w:rsid w:val="00616456"/>
    <w:rsid w:val="00616D97"/>
    <w:rsid w:val="00621289"/>
    <w:rsid w:val="006231E0"/>
    <w:rsid w:val="006235CF"/>
    <w:rsid w:val="006242FD"/>
    <w:rsid w:val="006248AE"/>
    <w:rsid w:val="006249E1"/>
    <w:rsid w:val="00625091"/>
    <w:rsid w:val="00625378"/>
    <w:rsid w:val="006276FD"/>
    <w:rsid w:val="006306CB"/>
    <w:rsid w:val="00632020"/>
    <w:rsid w:val="00634ACE"/>
    <w:rsid w:val="00635BB5"/>
    <w:rsid w:val="006368F8"/>
    <w:rsid w:val="00637C1B"/>
    <w:rsid w:val="006413E7"/>
    <w:rsid w:val="006416EA"/>
    <w:rsid w:val="00641EDA"/>
    <w:rsid w:val="006420B2"/>
    <w:rsid w:val="00643A1B"/>
    <w:rsid w:val="00644A0F"/>
    <w:rsid w:val="00645071"/>
    <w:rsid w:val="006462B4"/>
    <w:rsid w:val="00646419"/>
    <w:rsid w:val="0064766C"/>
    <w:rsid w:val="0065032D"/>
    <w:rsid w:val="006509FE"/>
    <w:rsid w:val="00651B0E"/>
    <w:rsid w:val="00652086"/>
    <w:rsid w:val="00652BB1"/>
    <w:rsid w:val="00663A71"/>
    <w:rsid w:val="00664538"/>
    <w:rsid w:val="0066527A"/>
    <w:rsid w:val="00665DF1"/>
    <w:rsid w:val="00667BAF"/>
    <w:rsid w:val="006720EC"/>
    <w:rsid w:val="0067285D"/>
    <w:rsid w:val="00674882"/>
    <w:rsid w:val="006765FB"/>
    <w:rsid w:val="00680036"/>
    <w:rsid w:val="00682C7C"/>
    <w:rsid w:val="00684B0B"/>
    <w:rsid w:val="0068576B"/>
    <w:rsid w:val="00691A44"/>
    <w:rsid w:val="006950AB"/>
    <w:rsid w:val="0069557B"/>
    <w:rsid w:val="00697308"/>
    <w:rsid w:val="00697C0F"/>
    <w:rsid w:val="006A1121"/>
    <w:rsid w:val="006A23B9"/>
    <w:rsid w:val="006A41B8"/>
    <w:rsid w:val="006A4507"/>
    <w:rsid w:val="006A5645"/>
    <w:rsid w:val="006A5FC2"/>
    <w:rsid w:val="006A6C35"/>
    <w:rsid w:val="006B14CF"/>
    <w:rsid w:val="006B1D5B"/>
    <w:rsid w:val="006B2941"/>
    <w:rsid w:val="006B3736"/>
    <w:rsid w:val="006B4962"/>
    <w:rsid w:val="006B5DB8"/>
    <w:rsid w:val="006B5DC9"/>
    <w:rsid w:val="006B5E5E"/>
    <w:rsid w:val="006B7491"/>
    <w:rsid w:val="006C04BB"/>
    <w:rsid w:val="006C137D"/>
    <w:rsid w:val="006C2B71"/>
    <w:rsid w:val="006C2D0E"/>
    <w:rsid w:val="006C60BA"/>
    <w:rsid w:val="006C7784"/>
    <w:rsid w:val="006D07A7"/>
    <w:rsid w:val="006D1420"/>
    <w:rsid w:val="006D1FAD"/>
    <w:rsid w:val="006D209C"/>
    <w:rsid w:val="006D42F0"/>
    <w:rsid w:val="006D4391"/>
    <w:rsid w:val="006D49E1"/>
    <w:rsid w:val="006D68E3"/>
    <w:rsid w:val="006E1BA8"/>
    <w:rsid w:val="006E2614"/>
    <w:rsid w:val="006E3DB9"/>
    <w:rsid w:val="006E469E"/>
    <w:rsid w:val="006E4D54"/>
    <w:rsid w:val="006E5FEC"/>
    <w:rsid w:val="006E7A2B"/>
    <w:rsid w:val="006E7ABD"/>
    <w:rsid w:val="006F0AC9"/>
    <w:rsid w:val="006F13DC"/>
    <w:rsid w:val="006F168A"/>
    <w:rsid w:val="006F20D1"/>
    <w:rsid w:val="006F273A"/>
    <w:rsid w:val="006F5D6E"/>
    <w:rsid w:val="006F62CD"/>
    <w:rsid w:val="006F689E"/>
    <w:rsid w:val="00701C87"/>
    <w:rsid w:val="00702C01"/>
    <w:rsid w:val="00705929"/>
    <w:rsid w:val="007063D6"/>
    <w:rsid w:val="007069EC"/>
    <w:rsid w:val="00707907"/>
    <w:rsid w:val="007103B5"/>
    <w:rsid w:val="00710F76"/>
    <w:rsid w:val="00711487"/>
    <w:rsid w:val="007115B0"/>
    <w:rsid w:val="007120B2"/>
    <w:rsid w:val="00712425"/>
    <w:rsid w:val="00712933"/>
    <w:rsid w:val="00712D6C"/>
    <w:rsid w:val="00713939"/>
    <w:rsid w:val="00713AD3"/>
    <w:rsid w:val="00715F72"/>
    <w:rsid w:val="00716269"/>
    <w:rsid w:val="00717DCF"/>
    <w:rsid w:val="00720699"/>
    <w:rsid w:val="007228BC"/>
    <w:rsid w:val="00723A9A"/>
    <w:rsid w:val="007241A6"/>
    <w:rsid w:val="007248C8"/>
    <w:rsid w:val="00725131"/>
    <w:rsid w:val="0072607E"/>
    <w:rsid w:val="007303BB"/>
    <w:rsid w:val="0073154D"/>
    <w:rsid w:val="00731BB0"/>
    <w:rsid w:val="007321E9"/>
    <w:rsid w:val="00732ED0"/>
    <w:rsid w:val="00734A06"/>
    <w:rsid w:val="0073623C"/>
    <w:rsid w:val="007415FA"/>
    <w:rsid w:val="00742907"/>
    <w:rsid w:val="0074325F"/>
    <w:rsid w:val="00743FC4"/>
    <w:rsid w:val="0074400B"/>
    <w:rsid w:val="00744282"/>
    <w:rsid w:val="00747029"/>
    <w:rsid w:val="00747AF3"/>
    <w:rsid w:val="007518F7"/>
    <w:rsid w:val="00753E73"/>
    <w:rsid w:val="007556D7"/>
    <w:rsid w:val="00755CC6"/>
    <w:rsid w:val="00756028"/>
    <w:rsid w:val="00757303"/>
    <w:rsid w:val="00761763"/>
    <w:rsid w:val="00764042"/>
    <w:rsid w:val="007641DD"/>
    <w:rsid w:val="007648EA"/>
    <w:rsid w:val="00766091"/>
    <w:rsid w:val="00766B07"/>
    <w:rsid w:val="00766BBD"/>
    <w:rsid w:val="00767018"/>
    <w:rsid w:val="007675D7"/>
    <w:rsid w:val="00767D24"/>
    <w:rsid w:val="007737FD"/>
    <w:rsid w:val="007777EF"/>
    <w:rsid w:val="00777807"/>
    <w:rsid w:val="0078007C"/>
    <w:rsid w:val="00781639"/>
    <w:rsid w:val="007835CC"/>
    <w:rsid w:val="00784AC7"/>
    <w:rsid w:val="007853AA"/>
    <w:rsid w:val="007854B0"/>
    <w:rsid w:val="007861D6"/>
    <w:rsid w:val="00787962"/>
    <w:rsid w:val="007903D6"/>
    <w:rsid w:val="0079075B"/>
    <w:rsid w:val="007912FD"/>
    <w:rsid w:val="00791F85"/>
    <w:rsid w:val="00792367"/>
    <w:rsid w:val="00793C48"/>
    <w:rsid w:val="00794D04"/>
    <w:rsid w:val="007959DA"/>
    <w:rsid w:val="00796725"/>
    <w:rsid w:val="00796EA1"/>
    <w:rsid w:val="007A00CE"/>
    <w:rsid w:val="007A0716"/>
    <w:rsid w:val="007A0F41"/>
    <w:rsid w:val="007A1D70"/>
    <w:rsid w:val="007A21D6"/>
    <w:rsid w:val="007A2ED9"/>
    <w:rsid w:val="007A33FB"/>
    <w:rsid w:val="007A3CA7"/>
    <w:rsid w:val="007A4249"/>
    <w:rsid w:val="007A5984"/>
    <w:rsid w:val="007A64DF"/>
    <w:rsid w:val="007A7A9A"/>
    <w:rsid w:val="007A7AD5"/>
    <w:rsid w:val="007B1C7F"/>
    <w:rsid w:val="007B2D5D"/>
    <w:rsid w:val="007B3697"/>
    <w:rsid w:val="007B3842"/>
    <w:rsid w:val="007B3F7E"/>
    <w:rsid w:val="007B46D4"/>
    <w:rsid w:val="007B61E2"/>
    <w:rsid w:val="007B734A"/>
    <w:rsid w:val="007C262B"/>
    <w:rsid w:val="007C30EE"/>
    <w:rsid w:val="007C33A7"/>
    <w:rsid w:val="007C5CFC"/>
    <w:rsid w:val="007C6B84"/>
    <w:rsid w:val="007C7212"/>
    <w:rsid w:val="007C72E3"/>
    <w:rsid w:val="007C7652"/>
    <w:rsid w:val="007C7A50"/>
    <w:rsid w:val="007C7AB5"/>
    <w:rsid w:val="007D13A9"/>
    <w:rsid w:val="007D16FD"/>
    <w:rsid w:val="007D1E12"/>
    <w:rsid w:val="007D3EEB"/>
    <w:rsid w:val="007D44BB"/>
    <w:rsid w:val="007D5670"/>
    <w:rsid w:val="007D5D50"/>
    <w:rsid w:val="007D603E"/>
    <w:rsid w:val="007D6DEA"/>
    <w:rsid w:val="007D6E11"/>
    <w:rsid w:val="007D6FBE"/>
    <w:rsid w:val="007E3284"/>
    <w:rsid w:val="007E4FC3"/>
    <w:rsid w:val="007E667B"/>
    <w:rsid w:val="00800495"/>
    <w:rsid w:val="00803558"/>
    <w:rsid w:val="00804B16"/>
    <w:rsid w:val="00805053"/>
    <w:rsid w:val="00805769"/>
    <w:rsid w:val="008059EE"/>
    <w:rsid w:val="00805D59"/>
    <w:rsid w:val="00807A04"/>
    <w:rsid w:val="00807C4E"/>
    <w:rsid w:val="008119C7"/>
    <w:rsid w:val="00811BD2"/>
    <w:rsid w:val="008122AF"/>
    <w:rsid w:val="00812589"/>
    <w:rsid w:val="00813E91"/>
    <w:rsid w:val="008164E6"/>
    <w:rsid w:val="00816C19"/>
    <w:rsid w:val="00816CB6"/>
    <w:rsid w:val="0081705A"/>
    <w:rsid w:val="0081724A"/>
    <w:rsid w:val="00817754"/>
    <w:rsid w:val="00821821"/>
    <w:rsid w:val="008230A5"/>
    <w:rsid w:val="008257FB"/>
    <w:rsid w:val="0082674B"/>
    <w:rsid w:val="00832334"/>
    <w:rsid w:val="00833147"/>
    <w:rsid w:val="00833F77"/>
    <w:rsid w:val="00834944"/>
    <w:rsid w:val="00834B4E"/>
    <w:rsid w:val="0083502F"/>
    <w:rsid w:val="00835E28"/>
    <w:rsid w:val="00836EE8"/>
    <w:rsid w:val="00837D08"/>
    <w:rsid w:val="008432E4"/>
    <w:rsid w:val="00843BEF"/>
    <w:rsid w:val="0084426A"/>
    <w:rsid w:val="008445EB"/>
    <w:rsid w:val="00844DDC"/>
    <w:rsid w:val="00845FBA"/>
    <w:rsid w:val="00846183"/>
    <w:rsid w:val="008465D0"/>
    <w:rsid w:val="008465EA"/>
    <w:rsid w:val="008475F6"/>
    <w:rsid w:val="00847A17"/>
    <w:rsid w:val="00851C8A"/>
    <w:rsid w:val="00851CF3"/>
    <w:rsid w:val="00852756"/>
    <w:rsid w:val="00852D92"/>
    <w:rsid w:val="008535DA"/>
    <w:rsid w:val="00855C9C"/>
    <w:rsid w:val="00855E07"/>
    <w:rsid w:val="008604EC"/>
    <w:rsid w:val="00860DA2"/>
    <w:rsid w:val="008610BE"/>
    <w:rsid w:val="00862537"/>
    <w:rsid w:val="0086271E"/>
    <w:rsid w:val="008630F3"/>
    <w:rsid w:val="00863175"/>
    <w:rsid w:val="008631FA"/>
    <w:rsid w:val="00865B85"/>
    <w:rsid w:val="00870558"/>
    <w:rsid w:val="0087078B"/>
    <w:rsid w:val="00870B1C"/>
    <w:rsid w:val="0087171F"/>
    <w:rsid w:val="00871B19"/>
    <w:rsid w:val="0087236E"/>
    <w:rsid w:val="00872CD9"/>
    <w:rsid w:val="00873070"/>
    <w:rsid w:val="008735D0"/>
    <w:rsid w:val="00873903"/>
    <w:rsid w:val="00874306"/>
    <w:rsid w:val="008743C7"/>
    <w:rsid w:val="00875C16"/>
    <w:rsid w:val="00875D9F"/>
    <w:rsid w:val="00877B9E"/>
    <w:rsid w:val="0088059B"/>
    <w:rsid w:val="00880EF5"/>
    <w:rsid w:val="00883CB4"/>
    <w:rsid w:val="00885167"/>
    <w:rsid w:val="00885619"/>
    <w:rsid w:val="0088563B"/>
    <w:rsid w:val="00886462"/>
    <w:rsid w:val="008923E3"/>
    <w:rsid w:val="0089284C"/>
    <w:rsid w:val="00893115"/>
    <w:rsid w:val="008932DC"/>
    <w:rsid w:val="008960B1"/>
    <w:rsid w:val="00896286"/>
    <w:rsid w:val="008971A7"/>
    <w:rsid w:val="008973C8"/>
    <w:rsid w:val="00897893"/>
    <w:rsid w:val="008A39A4"/>
    <w:rsid w:val="008A4365"/>
    <w:rsid w:val="008A52F7"/>
    <w:rsid w:val="008A57E0"/>
    <w:rsid w:val="008A7E1F"/>
    <w:rsid w:val="008B276D"/>
    <w:rsid w:val="008B3737"/>
    <w:rsid w:val="008B3E58"/>
    <w:rsid w:val="008B58D2"/>
    <w:rsid w:val="008B61E6"/>
    <w:rsid w:val="008B7BDE"/>
    <w:rsid w:val="008C1CE2"/>
    <w:rsid w:val="008C20EE"/>
    <w:rsid w:val="008C2194"/>
    <w:rsid w:val="008C3249"/>
    <w:rsid w:val="008C38FA"/>
    <w:rsid w:val="008C5A76"/>
    <w:rsid w:val="008C6590"/>
    <w:rsid w:val="008C6E5F"/>
    <w:rsid w:val="008D0687"/>
    <w:rsid w:val="008D3ED4"/>
    <w:rsid w:val="008D548E"/>
    <w:rsid w:val="008D5551"/>
    <w:rsid w:val="008D67F4"/>
    <w:rsid w:val="008E1AA4"/>
    <w:rsid w:val="008E1D61"/>
    <w:rsid w:val="008E2F44"/>
    <w:rsid w:val="008E3278"/>
    <w:rsid w:val="008F140F"/>
    <w:rsid w:val="008F34EE"/>
    <w:rsid w:val="008F3674"/>
    <w:rsid w:val="008F4B54"/>
    <w:rsid w:val="008F4B58"/>
    <w:rsid w:val="008F4EF4"/>
    <w:rsid w:val="008F59F5"/>
    <w:rsid w:val="008F7EDA"/>
    <w:rsid w:val="009010C5"/>
    <w:rsid w:val="009013B5"/>
    <w:rsid w:val="00901DC5"/>
    <w:rsid w:val="00902238"/>
    <w:rsid w:val="00902482"/>
    <w:rsid w:val="0090249C"/>
    <w:rsid w:val="009033E9"/>
    <w:rsid w:val="0090529C"/>
    <w:rsid w:val="00910CD2"/>
    <w:rsid w:val="009127ED"/>
    <w:rsid w:val="00912C0B"/>
    <w:rsid w:val="00912C54"/>
    <w:rsid w:val="0091466D"/>
    <w:rsid w:val="009158B8"/>
    <w:rsid w:val="0091709B"/>
    <w:rsid w:val="009203D8"/>
    <w:rsid w:val="00922AE1"/>
    <w:rsid w:val="009236D9"/>
    <w:rsid w:val="00925E0B"/>
    <w:rsid w:val="00927424"/>
    <w:rsid w:val="009333C7"/>
    <w:rsid w:val="00935DAA"/>
    <w:rsid w:val="009367AF"/>
    <w:rsid w:val="0093696D"/>
    <w:rsid w:val="009374FE"/>
    <w:rsid w:val="00940047"/>
    <w:rsid w:val="00940378"/>
    <w:rsid w:val="0094073C"/>
    <w:rsid w:val="00941169"/>
    <w:rsid w:val="00941680"/>
    <w:rsid w:val="00941AB1"/>
    <w:rsid w:val="00941C98"/>
    <w:rsid w:val="00942CC4"/>
    <w:rsid w:val="00944B08"/>
    <w:rsid w:val="009450FD"/>
    <w:rsid w:val="009452AF"/>
    <w:rsid w:val="009453F5"/>
    <w:rsid w:val="0094566F"/>
    <w:rsid w:val="00945DE0"/>
    <w:rsid w:val="00946790"/>
    <w:rsid w:val="00947003"/>
    <w:rsid w:val="00947CD3"/>
    <w:rsid w:val="00950290"/>
    <w:rsid w:val="00951183"/>
    <w:rsid w:val="00951BA0"/>
    <w:rsid w:val="0095316C"/>
    <w:rsid w:val="0095438D"/>
    <w:rsid w:val="00954884"/>
    <w:rsid w:val="0095498D"/>
    <w:rsid w:val="00954BA5"/>
    <w:rsid w:val="0095549B"/>
    <w:rsid w:val="00956DFF"/>
    <w:rsid w:val="00957805"/>
    <w:rsid w:val="00960529"/>
    <w:rsid w:val="0096096F"/>
    <w:rsid w:val="00960B30"/>
    <w:rsid w:val="00961FC8"/>
    <w:rsid w:val="00962913"/>
    <w:rsid w:val="00962C61"/>
    <w:rsid w:val="00962CB1"/>
    <w:rsid w:val="009631AF"/>
    <w:rsid w:val="009641C4"/>
    <w:rsid w:val="00964811"/>
    <w:rsid w:val="00964C91"/>
    <w:rsid w:val="00965D6B"/>
    <w:rsid w:val="00966F3C"/>
    <w:rsid w:val="009706C0"/>
    <w:rsid w:val="00971738"/>
    <w:rsid w:val="00971F62"/>
    <w:rsid w:val="00975342"/>
    <w:rsid w:val="00975814"/>
    <w:rsid w:val="009761BC"/>
    <w:rsid w:val="00977737"/>
    <w:rsid w:val="00980981"/>
    <w:rsid w:val="00980AB4"/>
    <w:rsid w:val="00983626"/>
    <w:rsid w:val="0098556E"/>
    <w:rsid w:val="009855F0"/>
    <w:rsid w:val="00991A6E"/>
    <w:rsid w:val="00993E96"/>
    <w:rsid w:val="00994A50"/>
    <w:rsid w:val="00995D1F"/>
    <w:rsid w:val="00995D92"/>
    <w:rsid w:val="009A21D6"/>
    <w:rsid w:val="009A2B9F"/>
    <w:rsid w:val="009A31C6"/>
    <w:rsid w:val="009A551E"/>
    <w:rsid w:val="009A6106"/>
    <w:rsid w:val="009A66BD"/>
    <w:rsid w:val="009A69B8"/>
    <w:rsid w:val="009B0384"/>
    <w:rsid w:val="009B2021"/>
    <w:rsid w:val="009B2D72"/>
    <w:rsid w:val="009B3574"/>
    <w:rsid w:val="009B37BD"/>
    <w:rsid w:val="009B3D34"/>
    <w:rsid w:val="009B42AB"/>
    <w:rsid w:val="009B4834"/>
    <w:rsid w:val="009B60F7"/>
    <w:rsid w:val="009B656E"/>
    <w:rsid w:val="009B7545"/>
    <w:rsid w:val="009C180B"/>
    <w:rsid w:val="009C1AA5"/>
    <w:rsid w:val="009C2583"/>
    <w:rsid w:val="009C5A85"/>
    <w:rsid w:val="009C667E"/>
    <w:rsid w:val="009C6894"/>
    <w:rsid w:val="009C70B5"/>
    <w:rsid w:val="009D06F4"/>
    <w:rsid w:val="009D3125"/>
    <w:rsid w:val="009D3499"/>
    <w:rsid w:val="009D3C8D"/>
    <w:rsid w:val="009D5137"/>
    <w:rsid w:val="009D5522"/>
    <w:rsid w:val="009D6C56"/>
    <w:rsid w:val="009D7DBF"/>
    <w:rsid w:val="009E0474"/>
    <w:rsid w:val="009E2C8C"/>
    <w:rsid w:val="009E3573"/>
    <w:rsid w:val="009E364B"/>
    <w:rsid w:val="009E3907"/>
    <w:rsid w:val="009E5C66"/>
    <w:rsid w:val="009E5E93"/>
    <w:rsid w:val="009E6466"/>
    <w:rsid w:val="009E67F0"/>
    <w:rsid w:val="009F10FE"/>
    <w:rsid w:val="009F1501"/>
    <w:rsid w:val="009F1AD8"/>
    <w:rsid w:val="009F3691"/>
    <w:rsid w:val="009F394C"/>
    <w:rsid w:val="009F3A8E"/>
    <w:rsid w:val="009F4C65"/>
    <w:rsid w:val="009F647A"/>
    <w:rsid w:val="00A029A2"/>
    <w:rsid w:val="00A047F8"/>
    <w:rsid w:val="00A070B9"/>
    <w:rsid w:val="00A07C41"/>
    <w:rsid w:val="00A10E4D"/>
    <w:rsid w:val="00A11BA2"/>
    <w:rsid w:val="00A13A30"/>
    <w:rsid w:val="00A1433C"/>
    <w:rsid w:val="00A20FBE"/>
    <w:rsid w:val="00A231FE"/>
    <w:rsid w:val="00A25560"/>
    <w:rsid w:val="00A25902"/>
    <w:rsid w:val="00A27337"/>
    <w:rsid w:val="00A30CE1"/>
    <w:rsid w:val="00A31626"/>
    <w:rsid w:val="00A32526"/>
    <w:rsid w:val="00A32E32"/>
    <w:rsid w:val="00A33A56"/>
    <w:rsid w:val="00A37B3E"/>
    <w:rsid w:val="00A416DF"/>
    <w:rsid w:val="00A421EE"/>
    <w:rsid w:val="00A42451"/>
    <w:rsid w:val="00A42DE0"/>
    <w:rsid w:val="00A46A49"/>
    <w:rsid w:val="00A474E9"/>
    <w:rsid w:val="00A5228D"/>
    <w:rsid w:val="00A52D87"/>
    <w:rsid w:val="00A54417"/>
    <w:rsid w:val="00A545D9"/>
    <w:rsid w:val="00A5497C"/>
    <w:rsid w:val="00A54BCA"/>
    <w:rsid w:val="00A55E08"/>
    <w:rsid w:val="00A55E54"/>
    <w:rsid w:val="00A578D6"/>
    <w:rsid w:val="00A63580"/>
    <w:rsid w:val="00A65CD4"/>
    <w:rsid w:val="00A66D23"/>
    <w:rsid w:val="00A66FDF"/>
    <w:rsid w:val="00A7097B"/>
    <w:rsid w:val="00A70A49"/>
    <w:rsid w:val="00A70C7F"/>
    <w:rsid w:val="00A7155B"/>
    <w:rsid w:val="00A718FB"/>
    <w:rsid w:val="00A71EAF"/>
    <w:rsid w:val="00A72A55"/>
    <w:rsid w:val="00A747EF"/>
    <w:rsid w:val="00A7772F"/>
    <w:rsid w:val="00A80759"/>
    <w:rsid w:val="00A80B8F"/>
    <w:rsid w:val="00A816DA"/>
    <w:rsid w:val="00A8203C"/>
    <w:rsid w:val="00A82E1F"/>
    <w:rsid w:val="00A84208"/>
    <w:rsid w:val="00A85A41"/>
    <w:rsid w:val="00A8740C"/>
    <w:rsid w:val="00A87D16"/>
    <w:rsid w:val="00A906DC"/>
    <w:rsid w:val="00A906E7"/>
    <w:rsid w:val="00A914CF"/>
    <w:rsid w:val="00A91AF7"/>
    <w:rsid w:val="00A95C58"/>
    <w:rsid w:val="00A97F68"/>
    <w:rsid w:val="00AA3839"/>
    <w:rsid w:val="00AA39CA"/>
    <w:rsid w:val="00AA40DE"/>
    <w:rsid w:val="00AA5275"/>
    <w:rsid w:val="00AA538F"/>
    <w:rsid w:val="00AA55B7"/>
    <w:rsid w:val="00AA65E8"/>
    <w:rsid w:val="00AA695C"/>
    <w:rsid w:val="00AA76A6"/>
    <w:rsid w:val="00AA7E65"/>
    <w:rsid w:val="00AB19EC"/>
    <w:rsid w:val="00AB1E60"/>
    <w:rsid w:val="00AB2568"/>
    <w:rsid w:val="00AB3942"/>
    <w:rsid w:val="00AB4667"/>
    <w:rsid w:val="00AB4C79"/>
    <w:rsid w:val="00AB5B2D"/>
    <w:rsid w:val="00AB6159"/>
    <w:rsid w:val="00AB6420"/>
    <w:rsid w:val="00AB76A2"/>
    <w:rsid w:val="00AC25B4"/>
    <w:rsid w:val="00AC2C2E"/>
    <w:rsid w:val="00AC4647"/>
    <w:rsid w:val="00AC66C8"/>
    <w:rsid w:val="00AC712C"/>
    <w:rsid w:val="00AC73D1"/>
    <w:rsid w:val="00AC7A5F"/>
    <w:rsid w:val="00AC7DCD"/>
    <w:rsid w:val="00AD007A"/>
    <w:rsid w:val="00AD03EF"/>
    <w:rsid w:val="00AD085B"/>
    <w:rsid w:val="00AD0E4F"/>
    <w:rsid w:val="00AD1AC4"/>
    <w:rsid w:val="00AD3A6A"/>
    <w:rsid w:val="00AD402C"/>
    <w:rsid w:val="00AD5405"/>
    <w:rsid w:val="00AD6171"/>
    <w:rsid w:val="00AE046A"/>
    <w:rsid w:val="00AE0E8A"/>
    <w:rsid w:val="00AE14AF"/>
    <w:rsid w:val="00AE1950"/>
    <w:rsid w:val="00AE2B9D"/>
    <w:rsid w:val="00AE53C2"/>
    <w:rsid w:val="00AE57BC"/>
    <w:rsid w:val="00AE5C02"/>
    <w:rsid w:val="00AE68BD"/>
    <w:rsid w:val="00AE7119"/>
    <w:rsid w:val="00AF19CE"/>
    <w:rsid w:val="00AF3829"/>
    <w:rsid w:val="00AF4115"/>
    <w:rsid w:val="00AF4751"/>
    <w:rsid w:val="00AF53AC"/>
    <w:rsid w:val="00AF7422"/>
    <w:rsid w:val="00B000A9"/>
    <w:rsid w:val="00B0010C"/>
    <w:rsid w:val="00B01135"/>
    <w:rsid w:val="00B01255"/>
    <w:rsid w:val="00B0254D"/>
    <w:rsid w:val="00B02BE8"/>
    <w:rsid w:val="00B076C5"/>
    <w:rsid w:val="00B07A79"/>
    <w:rsid w:val="00B106F4"/>
    <w:rsid w:val="00B10CAF"/>
    <w:rsid w:val="00B114CE"/>
    <w:rsid w:val="00B1359A"/>
    <w:rsid w:val="00B157B9"/>
    <w:rsid w:val="00B15E74"/>
    <w:rsid w:val="00B17D05"/>
    <w:rsid w:val="00B17ED2"/>
    <w:rsid w:val="00B22D78"/>
    <w:rsid w:val="00B22E9E"/>
    <w:rsid w:val="00B23550"/>
    <w:rsid w:val="00B24587"/>
    <w:rsid w:val="00B27EB2"/>
    <w:rsid w:val="00B30F5B"/>
    <w:rsid w:val="00B311FC"/>
    <w:rsid w:val="00B323E1"/>
    <w:rsid w:val="00B3280F"/>
    <w:rsid w:val="00B342D7"/>
    <w:rsid w:val="00B349EC"/>
    <w:rsid w:val="00B34A86"/>
    <w:rsid w:val="00B360A5"/>
    <w:rsid w:val="00B36282"/>
    <w:rsid w:val="00B405FE"/>
    <w:rsid w:val="00B4073A"/>
    <w:rsid w:val="00B4199F"/>
    <w:rsid w:val="00B41E12"/>
    <w:rsid w:val="00B43FDD"/>
    <w:rsid w:val="00B44607"/>
    <w:rsid w:val="00B4548B"/>
    <w:rsid w:val="00B462ED"/>
    <w:rsid w:val="00B46377"/>
    <w:rsid w:val="00B467A6"/>
    <w:rsid w:val="00B46C5C"/>
    <w:rsid w:val="00B474FA"/>
    <w:rsid w:val="00B50648"/>
    <w:rsid w:val="00B53011"/>
    <w:rsid w:val="00B53103"/>
    <w:rsid w:val="00B53682"/>
    <w:rsid w:val="00B53C37"/>
    <w:rsid w:val="00B546DD"/>
    <w:rsid w:val="00B57952"/>
    <w:rsid w:val="00B57964"/>
    <w:rsid w:val="00B57FF2"/>
    <w:rsid w:val="00B60121"/>
    <w:rsid w:val="00B60CFB"/>
    <w:rsid w:val="00B63699"/>
    <w:rsid w:val="00B63710"/>
    <w:rsid w:val="00B66A9E"/>
    <w:rsid w:val="00B67A24"/>
    <w:rsid w:val="00B70975"/>
    <w:rsid w:val="00B70BE5"/>
    <w:rsid w:val="00B722C8"/>
    <w:rsid w:val="00B73581"/>
    <w:rsid w:val="00B746AB"/>
    <w:rsid w:val="00B75FB7"/>
    <w:rsid w:val="00B7706C"/>
    <w:rsid w:val="00B77B21"/>
    <w:rsid w:val="00B80190"/>
    <w:rsid w:val="00B8201A"/>
    <w:rsid w:val="00B832A8"/>
    <w:rsid w:val="00B83B38"/>
    <w:rsid w:val="00B84CA5"/>
    <w:rsid w:val="00B86645"/>
    <w:rsid w:val="00B86931"/>
    <w:rsid w:val="00B86CEC"/>
    <w:rsid w:val="00B86F14"/>
    <w:rsid w:val="00B91B31"/>
    <w:rsid w:val="00B925C5"/>
    <w:rsid w:val="00B92F6B"/>
    <w:rsid w:val="00B936B3"/>
    <w:rsid w:val="00B93AC1"/>
    <w:rsid w:val="00B93C0C"/>
    <w:rsid w:val="00B93D4A"/>
    <w:rsid w:val="00B9445D"/>
    <w:rsid w:val="00B95C1A"/>
    <w:rsid w:val="00B95F6A"/>
    <w:rsid w:val="00B962B3"/>
    <w:rsid w:val="00B965DC"/>
    <w:rsid w:val="00B9688A"/>
    <w:rsid w:val="00B96991"/>
    <w:rsid w:val="00B96E2B"/>
    <w:rsid w:val="00B97768"/>
    <w:rsid w:val="00B97A2E"/>
    <w:rsid w:val="00BA23E5"/>
    <w:rsid w:val="00BA26A6"/>
    <w:rsid w:val="00BA2F7B"/>
    <w:rsid w:val="00BA342E"/>
    <w:rsid w:val="00BA3B68"/>
    <w:rsid w:val="00BA4918"/>
    <w:rsid w:val="00BA5539"/>
    <w:rsid w:val="00BA5F04"/>
    <w:rsid w:val="00BA609B"/>
    <w:rsid w:val="00BA6B8C"/>
    <w:rsid w:val="00BA71A7"/>
    <w:rsid w:val="00BA7A4D"/>
    <w:rsid w:val="00BA7CD5"/>
    <w:rsid w:val="00BB1903"/>
    <w:rsid w:val="00BB1DDB"/>
    <w:rsid w:val="00BB35A7"/>
    <w:rsid w:val="00BB4ED5"/>
    <w:rsid w:val="00BB5486"/>
    <w:rsid w:val="00BB5948"/>
    <w:rsid w:val="00BB5C93"/>
    <w:rsid w:val="00BB637D"/>
    <w:rsid w:val="00BB7A4F"/>
    <w:rsid w:val="00BC0E0F"/>
    <w:rsid w:val="00BC1335"/>
    <w:rsid w:val="00BC14B2"/>
    <w:rsid w:val="00BC188C"/>
    <w:rsid w:val="00BC1A84"/>
    <w:rsid w:val="00BC31C2"/>
    <w:rsid w:val="00BC3D83"/>
    <w:rsid w:val="00BC6AEA"/>
    <w:rsid w:val="00BD062C"/>
    <w:rsid w:val="00BD127B"/>
    <w:rsid w:val="00BD1ED2"/>
    <w:rsid w:val="00BD305C"/>
    <w:rsid w:val="00BD6A02"/>
    <w:rsid w:val="00BD726F"/>
    <w:rsid w:val="00BE056A"/>
    <w:rsid w:val="00BE1D91"/>
    <w:rsid w:val="00BE6503"/>
    <w:rsid w:val="00BE67A8"/>
    <w:rsid w:val="00BE7679"/>
    <w:rsid w:val="00BF1937"/>
    <w:rsid w:val="00BF1D3D"/>
    <w:rsid w:val="00BF23FE"/>
    <w:rsid w:val="00BF387D"/>
    <w:rsid w:val="00BF3BB8"/>
    <w:rsid w:val="00BF3E1A"/>
    <w:rsid w:val="00BF5011"/>
    <w:rsid w:val="00BF5BBA"/>
    <w:rsid w:val="00BF6EEA"/>
    <w:rsid w:val="00BF75B2"/>
    <w:rsid w:val="00BF7CC5"/>
    <w:rsid w:val="00C00877"/>
    <w:rsid w:val="00C00961"/>
    <w:rsid w:val="00C015B7"/>
    <w:rsid w:val="00C0317B"/>
    <w:rsid w:val="00C04ADB"/>
    <w:rsid w:val="00C04D3A"/>
    <w:rsid w:val="00C05721"/>
    <w:rsid w:val="00C05F25"/>
    <w:rsid w:val="00C07B58"/>
    <w:rsid w:val="00C07C33"/>
    <w:rsid w:val="00C10B11"/>
    <w:rsid w:val="00C10FB5"/>
    <w:rsid w:val="00C11431"/>
    <w:rsid w:val="00C13B84"/>
    <w:rsid w:val="00C1440B"/>
    <w:rsid w:val="00C1519F"/>
    <w:rsid w:val="00C15266"/>
    <w:rsid w:val="00C1566F"/>
    <w:rsid w:val="00C15F64"/>
    <w:rsid w:val="00C17111"/>
    <w:rsid w:val="00C2307E"/>
    <w:rsid w:val="00C23D31"/>
    <w:rsid w:val="00C268C2"/>
    <w:rsid w:val="00C273F7"/>
    <w:rsid w:val="00C2786C"/>
    <w:rsid w:val="00C30654"/>
    <w:rsid w:val="00C308D9"/>
    <w:rsid w:val="00C31355"/>
    <w:rsid w:val="00C3144C"/>
    <w:rsid w:val="00C32A3F"/>
    <w:rsid w:val="00C3524F"/>
    <w:rsid w:val="00C353B6"/>
    <w:rsid w:val="00C362E9"/>
    <w:rsid w:val="00C36DAD"/>
    <w:rsid w:val="00C370B2"/>
    <w:rsid w:val="00C40CFA"/>
    <w:rsid w:val="00C41569"/>
    <w:rsid w:val="00C417BE"/>
    <w:rsid w:val="00C41DEE"/>
    <w:rsid w:val="00C42ABA"/>
    <w:rsid w:val="00C431AF"/>
    <w:rsid w:val="00C43E13"/>
    <w:rsid w:val="00C45344"/>
    <w:rsid w:val="00C457B3"/>
    <w:rsid w:val="00C46873"/>
    <w:rsid w:val="00C46E7A"/>
    <w:rsid w:val="00C47796"/>
    <w:rsid w:val="00C47F80"/>
    <w:rsid w:val="00C50977"/>
    <w:rsid w:val="00C51F9E"/>
    <w:rsid w:val="00C51FF1"/>
    <w:rsid w:val="00C526CB"/>
    <w:rsid w:val="00C52C5D"/>
    <w:rsid w:val="00C605E5"/>
    <w:rsid w:val="00C62F45"/>
    <w:rsid w:val="00C635BF"/>
    <w:rsid w:val="00C63AB5"/>
    <w:rsid w:val="00C64048"/>
    <w:rsid w:val="00C641CD"/>
    <w:rsid w:val="00C66DA0"/>
    <w:rsid w:val="00C66DCE"/>
    <w:rsid w:val="00C66E80"/>
    <w:rsid w:val="00C677C8"/>
    <w:rsid w:val="00C708AB"/>
    <w:rsid w:val="00C70CD4"/>
    <w:rsid w:val="00C71503"/>
    <w:rsid w:val="00C7350D"/>
    <w:rsid w:val="00C73ED2"/>
    <w:rsid w:val="00C74D76"/>
    <w:rsid w:val="00C809C9"/>
    <w:rsid w:val="00C8193A"/>
    <w:rsid w:val="00C832C1"/>
    <w:rsid w:val="00C84791"/>
    <w:rsid w:val="00C8679B"/>
    <w:rsid w:val="00C93568"/>
    <w:rsid w:val="00C93C7D"/>
    <w:rsid w:val="00CA019B"/>
    <w:rsid w:val="00CA0855"/>
    <w:rsid w:val="00CA3FDA"/>
    <w:rsid w:val="00CA41FF"/>
    <w:rsid w:val="00CA44B5"/>
    <w:rsid w:val="00CA746E"/>
    <w:rsid w:val="00CB12BB"/>
    <w:rsid w:val="00CB21C3"/>
    <w:rsid w:val="00CB2A93"/>
    <w:rsid w:val="00CB39B1"/>
    <w:rsid w:val="00CB3D1B"/>
    <w:rsid w:val="00CC1C7D"/>
    <w:rsid w:val="00CC5985"/>
    <w:rsid w:val="00CC6778"/>
    <w:rsid w:val="00CC6ECE"/>
    <w:rsid w:val="00CC77CB"/>
    <w:rsid w:val="00CC7ECC"/>
    <w:rsid w:val="00CC7F06"/>
    <w:rsid w:val="00CD197E"/>
    <w:rsid w:val="00CD6047"/>
    <w:rsid w:val="00CD705B"/>
    <w:rsid w:val="00CD736A"/>
    <w:rsid w:val="00CD76B4"/>
    <w:rsid w:val="00CD7856"/>
    <w:rsid w:val="00CE085A"/>
    <w:rsid w:val="00CE1A93"/>
    <w:rsid w:val="00CE5A16"/>
    <w:rsid w:val="00CE5B1F"/>
    <w:rsid w:val="00CE6080"/>
    <w:rsid w:val="00CE6DC2"/>
    <w:rsid w:val="00CF0755"/>
    <w:rsid w:val="00CF1BC3"/>
    <w:rsid w:val="00CF2B8C"/>
    <w:rsid w:val="00CF3F3C"/>
    <w:rsid w:val="00CF402A"/>
    <w:rsid w:val="00CF7888"/>
    <w:rsid w:val="00CF7A13"/>
    <w:rsid w:val="00D0084B"/>
    <w:rsid w:val="00D01069"/>
    <w:rsid w:val="00D0232E"/>
    <w:rsid w:val="00D02BAA"/>
    <w:rsid w:val="00D05579"/>
    <w:rsid w:val="00D05CE8"/>
    <w:rsid w:val="00D07013"/>
    <w:rsid w:val="00D07783"/>
    <w:rsid w:val="00D07A14"/>
    <w:rsid w:val="00D100DE"/>
    <w:rsid w:val="00D105B4"/>
    <w:rsid w:val="00D10E16"/>
    <w:rsid w:val="00D125C6"/>
    <w:rsid w:val="00D13324"/>
    <w:rsid w:val="00D13FAC"/>
    <w:rsid w:val="00D1482D"/>
    <w:rsid w:val="00D1698A"/>
    <w:rsid w:val="00D17917"/>
    <w:rsid w:val="00D240F2"/>
    <w:rsid w:val="00D25653"/>
    <w:rsid w:val="00D257BE"/>
    <w:rsid w:val="00D25AF4"/>
    <w:rsid w:val="00D27C57"/>
    <w:rsid w:val="00D27D47"/>
    <w:rsid w:val="00D3027A"/>
    <w:rsid w:val="00D3049F"/>
    <w:rsid w:val="00D30A30"/>
    <w:rsid w:val="00D33125"/>
    <w:rsid w:val="00D334C9"/>
    <w:rsid w:val="00D338E5"/>
    <w:rsid w:val="00D34451"/>
    <w:rsid w:val="00D35439"/>
    <w:rsid w:val="00D355ED"/>
    <w:rsid w:val="00D3731A"/>
    <w:rsid w:val="00D37439"/>
    <w:rsid w:val="00D41769"/>
    <w:rsid w:val="00D41B27"/>
    <w:rsid w:val="00D41B31"/>
    <w:rsid w:val="00D41D27"/>
    <w:rsid w:val="00D43288"/>
    <w:rsid w:val="00D4362F"/>
    <w:rsid w:val="00D4395C"/>
    <w:rsid w:val="00D43CCC"/>
    <w:rsid w:val="00D442D9"/>
    <w:rsid w:val="00D45812"/>
    <w:rsid w:val="00D46A46"/>
    <w:rsid w:val="00D47116"/>
    <w:rsid w:val="00D473B8"/>
    <w:rsid w:val="00D51184"/>
    <w:rsid w:val="00D52965"/>
    <w:rsid w:val="00D543BE"/>
    <w:rsid w:val="00D54F97"/>
    <w:rsid w:val="00D553E3"/>
    <w:rsid w:val="00D564C4"/>
    <w:rsid w:val="00D574D2"/>
    <w:rsid w:val="00D57C8D"/>
    <w:rsid w:val="00D60C52"/>
    <w:rsid w:val="00D6327B"/>
    <w:rsid w:val="00D67D4D"/>
    <w:rsid w:val="00D73133"/>
    <w:rsid w:val="00D73C13"/>
    <w:rsid w:val="00D76EB4"/>
    <w:rsid w:val="00D7779D"/>
    <w:rsid w:val="00D77DD4"/>
    <w:rsid w:val="00D77EA7"/>
    <w:rsid w:val="00D815FE"/>
    <w:rsid w:val="00D83C36"/>
    <w:rsid w:val="00D8563E"/>
    <w:rsid w:val="00D87FC5"/>
    <w:rsid w:val="00D91828"/>
    <w:rsid w:val="00D92BE3"/>
    <w:rsid w:val="00D957B8"/>
    <w:rsid w:val="00D969A2"/>
    <w:rsid w:val="00D977D7"/>
    <w:rsid w:val="00DA08E2"/>
    <w:rsid w:val="00DA42CE"/>
    <w:rsid w:val="00DA4B2F"/>
    <w:rsid w:val="00DA4CEF"/>
    <w:rsid w:val="00DA5131"/>
    <w:rsid w:val="00DA559A"/>
    <w:rsid w:val="00DA6767"/>
    <w:rsid w:val="00DA68BA"/>
    <w:rsid w:val="00DA6A57"/>
    <w:rsid w:val="00DA6F45"/>
    <w:rsid w:val="00DB0016"/>
    <w:rsid w:val="00DB02D2"/>
    <w:rsid w:val="00DB0639"/>
    <w:rsid w:val="00DB09B4"/>
    <w:rsid w:val="00DB2343"/>
    <w:rsid w:val="00DB24E2"/>
    <w:rsid w:val="00DB26E2"/>
    <w:rsid w:val="00DB307B"/>
    <w:rsid w:val="00DB32A2"/>
    <w:rsid w:val="00DB3B19"/>
    <w:rsid w:val="00DC1527"/>
    <w:rsid w:val="00DC19D2"/>
    <w:rsid w:val="00DC30BC"/>
    <w:rsid w:val="00DC589D"/>
    <w:rsid w:val="00DC7212"/>
    <w:rsid w:val="00DD0CAD"/>
    <w:rsid w:val="00DD3BBF"/>
    <w:rsid w:val="00DD432E"/>
    <w:rsid w:val="00DD4FB0"/>
    <w:rsid w:val="00DD5303"/>
    <w:rsid w:val="00DD56A7"/>
    <w:rsid w:val="00DD5FA4"/>
    <w:rsid w:val="00DD5FE1"/>
    <w:rsid w:val="00DD60AC"/>
    <w:rsid w:val="00DD64C6"/>
    <w:rsid w:val="00DD7112"/>
    <w:rsid w:val="00DD7ECE"/>
    <w:rsid w:val="00DE010A"/>
    <w:rsid w:val="00DE018D"/>
    <w:rsid w:val="00DE2EFB"/>
    <w:rsid w:val="00DE5896"/>
    <w:rsid w:val="00DE5AAD"/>
    <w:rsid w:val="00DF1B1F"/>
    <w:rsid w:val="00DF1ECA"/>
    <w:rsid w:val="00DF2580"/>
    <w:rsid w:val="00DF2F64"/>
    <w:rsid w:val="00DF3C6B"/>
    <w:rsid w:val="00DF48D3"/>
    <w:rsid w:val="00DF4B5B"/>
    <w:rsid w:val="00DF4DF6"/>
    <w:rsid w:val="00DF4F4A"/>
    <w:rsid w:val="00DF5F22"/>
    <w:rsid w:val="00DF6074"/>
    <w:rsid w:val="00E02401"/>
    <w:rsid w:val="00E03AAC"/>
    <w:rsid w:val="00E044C1"/>
    <w:rsid w:val="00E044D0"/>
    <w:rsid w:val="00E0539E"/>
    <w:rsid w:val="00E05867"/>
    <w:rsid w:val="00E07882"/>
    <w:rsid w:val="00E10477"/>
    <w:rsid w:val="00E11CD6"/>
    <w:rsid w:val="00E131F3"/>
    <w:rsid w:val="00E13C0F"/>
    <w:rsid w:val="00E14B3F"/>
    <w:rsid w:val="00E14F5A"/>
    <w:rsid w:val="00E1737A"/>
    <w:rsid w:val="00E2218E"/>
    <w:rsid w:val="00E22592"/>
    <w:rsid w:val="00E30301"/>
    <w:rsid w:val="00E304D1"/>
    <w:rsid w:val="00E3077F"/>
    <w:rsid w:val="00E31260"/>
    <w:rsid w:val="00E3208F"/>
    <w:rsid w:val="00E32AF6"/>
    <w:rsid w:val="00E32EA1"/>
    <w:rsid w:val="00E34063"/>
    <w:rsid w:val="00E34279"/>
    <w:rsid w:val="00E34A39"/>
    <w:rsid w:val="00E376C7"/>
    <w:rsid w:val="00E40F09"/>
    <w:rsid w:val="00E41002"/>
    <w:rsid w:val="00E447D2"/>
    <w:rsid w:val="00E46AD1"/>
    <w:rsid w:val="00E471AB"/>
    <w:rsid w:val="00E47595"/>
    <w:rsid w:val="00E47B05"/>
    <w:rsid w:val="00E53339"/>
    <w:rsid w:val="00E54CD1"/>
    <w:rsid w:val="00E5510A"/>
    <w:rsid w:val="00E552C2"/>
    <w:rsid w:val="00E55564"/>
    <w:rsid w:val="00E56856"/>
    <w:rsid w:val="00E56B94"/>
    <w:rsid w:val="00E57CFF"/>
    <w:rsid w:val="00E619C9"/>
    <w:rsid w:val="00E61E07"/>
    <w:rsid w:val="00E630A4"/>
    <w:rsid w:val="00E637E9"/>
    <w:rsid w:val="00E63861"/>
    <w:rsid w:val="00E63A63"/>
    <w:rsid w:val="00E66997"/>
    <w:rsid w:val="00E67BB9"/>
    <w:rsid w:val="00E67BD8"/>
    <w:rsid w:val="00E703D7"/>
    <w:rsid w:val="00E70BDD"/>
    <w:rsid w:val="00E727E6"/>
    <w:rsid w:val="00E734BE"/>
    <w:rsid w:val="00E7396B"/>
    <w:rsid w:val="00E7457C"/>
    <w:rsid w:val="00E74A95"/>
    <w:rsid w:val="00E76D61"/>
    <w:rsid w:val="00E77395"/>
    <w:rsid w:val="00E77ED3"/>
    <w:rsid w:val="00E804A0"/>
    <w:rsid w:val="00E80A9C"/>
    <w:rsid w:val="00E80F0E"/>
    <w:rsid w:val="00E81025"/>
    <w:rsid w:val="00E81D51"/>
    <w:rsid w:val="00E81DDA"/>
    <w:rsid w:val="00E81FA0"/>
    <w:rsid w:val="00E8355D"/>
    <w:rsid w:val="00E85A8B"/>
    <w:rsid w:val="00E85AEC"/>
    <w:rsid w:val="00E87B78"/>
    <w:rsid w:val="00E90ED3"/>
    <w:rsid w:val="00E9161E"/>
    <w:rsid w:val="00E91F94"/>
    <w:rsid w:val="00E9217D"/>
    <w:rsid w:val="00E933CC"/>
    <w:rsid w:val="00E93740"/>
    <w:rsid w:val="00E94AAD"/>
    <w:rsid w:val="00E95935"/>
    <w:rsid w:val="00E96A5F"/>
    <w:rsid w:val="00E96CAC"/>
    <w:rsid w:val="00E97E4F"/>
    <w:rsid w:val="00E97F47"/>
    <w:rsid w:val="00EA011B"/>
    <w:rsid w:val="00EA1435"/>
    <w:rsid w:val="00EA1CED"/>
    <w:rsid w:val="00EA2421"/>
    <w:rsid w:val="00EA336A"/>
    <w:rsid w:val="00EA40E2"/>
    <w:rsid w:val="00EA56B3"/>
    <w:rsid w:val="00EB005F"/>
    <w:rsid w:val="00EB2F3B"/>
    <w:rsid w:val="00EB30FA"/>
    <w:rsid w:val="00EB57DB"/>
    <w:rsid w:val="00EB68BF"/>
    <w:rsid w:val="00EB6A4E"/>
    <w:rsid w:val="00EB76FB"/>
    <w:rsid w:val="00EB78F0"/>
    <w:rsid w:val="00EC120B"/>
    <w:rsid w:val="00EC134F"/>
    <w:rsid w:val="00EC2239"/>
    <w:rsid w:val="00EC2AB2"/>
    <w:rsid w:val="00EC34D8"/>
    <w:rsid w:val="00EC4161"/>
    <w:rsid w:val="00EC48C2"/>
    <w:rsid w:val="00EC52B1"/>
    <w:rsid w:val="00EC707D"/>
    <w:rsid w:val="00ED1082"/>
    <w:rsid w:val="00ED1DD1"/>
    <w:rsid w:val="00ED26B7"/>
    <w:rsid w:val="00ED31CC"/>
    <w:rsid w:val="00ED32E0"/>
    <w:rsid w:val="00ED50E0"/>
    <w:rsid w:val="00ED519F"/>
    <w:rsid w:val="00EE0345"/>
    <w:rsid w:val="00EE0424"/>
    <w:rsid w:val="00EE080E"/>
    <w:rsid w:val="00EE2292"/>
    <w:rsid w:val="00EE2C15"/>
    <w:rsid w:val="00EE309D"/>
    <w:rsid w:val="00EE60FD"/>
    <w:rsid w:val="00EF01CC"/>
    <w:rsid w:val="00EF2087"/>
    <w:rsid w:val="00EF2337"/>
    <w:rsid w:val="00EF3248"/>
    <w:rsid w:val="00EF41BC"/>
    <w:rsid w:val="00EF4E91"/>
    <w:rsid w:val="00EF6849"/>
    <w:rsid w:val="00EF6EFA"/>
    <w:rsid w:val="00EF704E"/>
    <w:rsid w:val="00EF72F3"/>
    <w:rsid w:val="00EF7405"/>
    <w:rsid w:val="00F0095D"/>
    <w:rsid w:val="00F02643"/>
    <w:rsid w:val="00F03186"/>
    <w:rsid w:val="00F04413"/>
    <w:rsid w:val="00F05D97"/>
    <w:rsid w:val="00F06C9F"/>
    <w:rsid w:val="00F10205"/>
    <w:rsid w:val="00F1119F"/>
    <w:rsid w:val="00F11970"/>
    <w:rsid w:val="00F120FF"/>
    <w:rsid w:val="00F12FB2"/>
    <w:rsid w:val="00F131C4"/>
    <w:rsid w:val="00F140AB"/>
    <w:rsid w:val="00F14317"/>
    <w:rsid w:val="00F1546D"/>
    <w:rsid w:val="00F15CD1"/>
    <w:rsid w:val="00F15F2C"/>
    <w:rsid w:val="00F2182E"/>
    <w:rsid w:val="00F2423F"/>
    <w:rsid w:val="00F24BA9"/>
    <w:rsid w:val="00F25B92"/>
    <w:rsid w:val="00F272D6"/>
    <w:rsid w:val="00F30E43"/>
    <w:rsid w:val="00F327E5"/>
    <w:rsid w:val="00F33509"/>
    <w:rsid w:val="00F33FC4"/>
    <w:rsid w:val="00F3555E"/>
    <w:rsid w:val="00F3570A"/>
    <w:rsid w:val="00F36D69"/>
    <w:rsid w:val="00F408AC"/>
    <w:rsid w:val="00F42D8C"/>
    <w:rsid w:val="00F42FFD"/>
    <w:rsid w:val="00F45220"/>
    <w:rsid w:val="00F50900"/>
    <w:rsid w:val="00F512B2"/>
    <w:rsid w:val="00F51B3C"/>
    <w:rsid w:val="00F51BA2"/>
    <w:rsid w:val="00F51DAF"/>
    <w:rsid w:val="00F520D9"/>
    <w:rsid w:val="00F523F4"/>
    <w:rsid w:val="00F52B65"/>
    <w:rsid w:val="00F53C39"/>
    <w:rsid w:val="00F53CE3"/>
    <w:rsid w:val="00F54052"/>
    <w:rsid w:val="00F54674"/>
    <w:rsid w:val="00F55940"/>
    <w:rsid w:val="00F55994"/>
    <w:rsid w:val="00F56509"/>
    <w:rsid w:val="00F56D49"/>
    <w:rsid w:val="00F56EBC"/>
    <w:rsid w:val="00F61EE9"/>
    <w:rsid w:val="00F64A80"/>
    <w:rsid w:val="00F64C7C"/>
    <w:rsid w:val="00F64CDA"/>
    <w:rsid w:val="00F65536"/>
    <w:rsid w:val="00F65650"/>
    <w:rsid w:val="00F6598A"/>
    <w:rsid w:val="00F67626"/>
    <w:rsid w:val="00F677E5"/>
    <w:rsid w:val="00F70D35"/>
    <w:rsid w:val="00F70D47"/>
    <w:rsid w:val="00F7162B"/>
    <w:rsid w:val="00F71638"/>
    <w:rsid w:val="00F71731"/>
    <w:rsid w:val="00F72EE4"/>
    <w:rsid w:val="00F736B0"/>
    <w:rsid w:val="00F77194"/>
    <w:rsid w:val="00F776C0"/>
    <w:rsid w:val="00F8155A"/>
    <w:rsid w:val="00F83460"/>
    <w:rsid w:val="00F83A89"/>
    <w:rsid w:val="00F83BCB"/>
    <w:rsid w:val="00F842B8"/>
    <w:rsid w:val="00F85533"/>
    <w:rsid w:val="00F86921"/>
    <w:rsid w:val="00F86B1B"/>
    <w:rsid w:val="00F87F5D"/>
    <w:rsid w:val="00F906AD"/>
    <w:rsid w:val="00F9072F"/>
    <w:rsid w:val="00F91F96"/>
    <w:rsid w:val="00F939B9"/>
    <w:rsid w:val="00F94160"/>
    <w:rsid w:val="00F946C5"/>
    <w:rsid w:val="00F95E0F"/>
    <w:rsid w:val="00F96121"/>
    <w:rsid w:val="00F973BC"/>
    <w:rsid w:val="00F97797"/>
    <w:rsid w:val="00F97F49"/>
    <w:rsid w:val="00FA1187"/>
    <w:rsid w:val="00FA228B"/>
    <w:rsid w:val="00FA2AB7"/>
    <w:rsid w:val="00FA33E6"/>
    <w:rsid w:val="00FA348D"/>
    <w:rsid w:val="00FA59A5"/>
    <w:rsid w:val="00FA59D2"/>
    <w:rsid w:val="00FA600F"/>
    <w:rsid w:val="00FA6EA3"/>
    <w:rsid w:val="00FA786E"/>
    <w:rsid w:val="00FB05C6"/>
    <w:rsid w:val="00FB0D8B"/>
    <w:rsid w:val="00FB1270"/>
    <w:rsid w:val="00FB19DD"/>
    <w:rsid w:val="00FB1C56"/>
    <w:rsid w:val="00FB2CD4"/>
    <w:rsid w:val="00FB3479"/>
    <w:rsid w:val="00FB3E5C"/>
    <w:rsid w:val="00FB7007"/>
    <w:rsid w:val="00FB743B"/>
    <w:rsid w:val="00FB76E5"/>
    <w:rsid w:val="00FC33F0"/>
    <w:rsid w:val="00FC4E00"/>
    <w:rsid w:val="00FC5108"/>
    <w:rsid w:val="00FC623B"/>
    <w:rsid w:val="00FC66E2"/>
    <w:rsid w:val="00FC6899"/>
    <w:rsid w:val="00FC6C03"/>
    <w:rsid w:val="00FD0056"/>
    <w:rsid w:val="00FD3BE8"/>
    <w:rsid w:val="00FD3F18"/>
    <w:rsid w:val="00FD525B"/>
    <w:rsid w:val="00FD54C0"/>
    <w:rsid w:val="00FD56A6"/>
    <w:rsid w:val="00FD5838"/>
    <w:rsid w:val="00FD615F"/>
    <w:rsid w:val="00FD6C3D"/>
    <w:rsid w:val="00FD73C3"/>
    <w:rsid w:val="00FD7A55"/>
    <w:rsid w:val="00FE1FC2"/>
    <w:rsid w:val="00FE3638"/>
    <w:rsid w:val="00FE3E72"/>
    <w:rsid w:val="00FE6311"/>
    <w:rsid w:val="00FE740E"/>
    <w:rsid w:val="00FE754B"/>
    <w:rsid w:val="00FF0E22"/>
    <w:rsid w:val="00FF163F"/>
    <w:rsid w:val="00FF1991"/>
    <w:rsid w:val="00FF1B54"/>
    <w:rsid w:val="00FF33A1"/>
    <w:rsid w:val="00FF3590"/>
    <w:rsid w:val="00FF39AC"/>
    <w:rsid w:val="00FF4C50"/>
    <w:rsid w:val="00FF4CDC"/>
    <w:rsid w:val="00FF5554"/>
    <w:rsid w:val="00FF5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3E6B6"/>
  <w15:chartTrackingRefBased/>
  <w15:docId w15:val="{D16F046C-3217-604B-94D8-26E8AC85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7E4F"/>
    <w:rPr>
      <w:rFonts w:ascii="Times New Roman" w:hAnsi="Times New Roman"/>
      <w:lang w:eastAsia="en-US"/>
    </w:rPr>
  </w:style>
  <w:style w:type="paragraph" w:styleId="Heading1">
    <w:name w:val="heading 1"/>
    <w:basedOn w:val="Normal"/>
    <w:next w:val="Normal"/>
    <w:link w:val="Heading1Char"/>
    <w:uiPriority w:val="9"/>
    <w:qFormat/>
    <w:rsid w:val="00E97E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BB9"/>
    <w:rPr>
      <w:i/>
      <w:iCs/>
    </w:rPr>
  </w:style>
  <w:style w:type="paragraph" w:styleId="ListParagraph">
    <w:name w:val="List Paragraph"/>
    <w:basedOn w:val="Normal"/>
    <w:uiPriority w:val="34"/>
    <w:qFormat/>
    <w:rsid w:val="00E67BB9"/>
    <w:pPr>
      <w:ind w:left="720"/>
      <w:contextualSpacing/>
    </w:pPr>
    <w:rPr>
      <w:lang w:eastAsia="ko-KR"/>
    </w:rPr>
  </w:style>
  <w:style w:type="paragraph" w:customStyle="1" w:styleId="ALTER">
    <w:name w:val=":ALTER"/>
    <w:basedOn w:val="Normal"/>
    <w:rsid w:val="00846183"/>
    <w:pPr>
      <w:spacing w:line="400" w:lineRule="exact"/>
    </w:pPr>
    <w:rPr>
      <w:rFonts w:eastAsia="Times New Roman" w:cs="Times New Roman"/>
    </w:rPr>
  </w:style>
  <w:style w:type="paragraph" w:customStyle="1" w:styleId="ONLINE">
    <w:name w:val=":ONLINE"/>
    <w:basedOn w:val="Normal"/>
    <w:rsid w:val="00846183"/>
    <w:pPr>
      <w:spacing w:line="400" w:lineRule="exact"/>
    </w:pPr>
    <w:rPr>
      <w:rFonts w:eastAsia="Times New Roman" w:cs="Times New Roman"/>
    </w:rPr>
  </w:style>
  <w:style w:type="paragraph" w:customStyle="1" w:styleId="PRINT">
    <w:name w:val=":PRINT"/>
    <w:basedOn w:val="Normal"/>
    <w:rsid w:val="00846183"/>
    <w:pPr>
      <w:spacing w:line="400" w:lineRule="exact"/>
    </w:pPr>
    <w:rPr>
      <w:rFonts w:eastAsia="Times New Roman" w:cs="Times New Roman"/>
    </w:rPr>
  </w:style>
  <w:style w:type="paragraph" w:customStyle="1" w:styleId="blank">
    <w:name w:val="&lt;blank&gt;"/>
    <w:rsid w:val="00846183"/>
    <w:rPr>
      <w:rFonts w:ascii="Times New Roman" w:eastAsia="Times New Roman" w:hAnsi="Times New Roman" w:cs="Times New Roman"/>
      <w:lang w:eastAsia="en-US"/>
    </w:rPr>
  </w:style>
  <w:style w:type="paragraph" w:customStyle="1" w:styleId="line">
    <w:name w:val="&lt;line#&gt;"/>
    <w:rsid w:val="00846183"/>
    <w:pPr>
      <w:spacing w:line="480" w:lineRule="auto"/>
    </w:pPr>
    <w:rPr>
      <w:rFonts w:ascii="Times New Roman" w:eastAsia="Times New Roman" w:hAnsi="Times New Roman" w:cs="Times New Roman"/>
      <w:lang w:eastAsia="en-US"/>
    </w:rPr>
  </w:style>
  <w:style w:type="paragraph" w:customStyle="1" w:styleId="recto">
    <w:name w:val="&lt;recto&gt;"/>
    <w:basedOn w:val="Normal"/>
    <w:rsid w:val="00846183"/>
    <w:pPr>
      <w:spacing w:line="400" w:lineRule="exact"/>
    </w:pPr>
    <w:rPr>
      <w:rFonts w:eastAsia="Times New Roman" w:cs="Times New Roman"/>
    </w:rPr>
  </w:style>
  <w:style w:type="paragraph" w:customStyle="1" w:styleId="verso">
    <w:name w:val="&lt;verso&gt;"/>
    <w:basedOn w:val="Normal"/>
    <w:rsid w:val="00846183"/>
    <w:pPr>
      <w:spacing w:line="400" w:lineRule="exact"/>
    </w:pPr>
    <w:rPr>
      <w:rFonts w:eastAsia="Times New Roman" w:cs="Times New Roman"/>
    </w:rPr>
  </w:style>
  <w:style w:type="paragraph" w:styleId="Footer">
    <w:name w:val="footer"/>
    <w:basedOn w:val="Normal"/>
    <w:link w:val="FooterChar"/>
    <w:uiPriority w:val="99"/>
    <w:unhideWhenUsed/>
    <w:rsid w:val="00EB30FA"/>
    <w:pPr>
      <w:tabs>
        <w:tab w:val="center" w:pos="4680"/>
        <w:tab w:val="right" w:pos="9360"/>
      </w:tabs>
    </w:pPr>
  </w:style>
  <w:style w:type="character" w:customStyle="1" w:styleId="FooterChar">
    <w:name w:val="Footer Char"/>
    <w:basedOn w:val="DefaultParagraphFont"/>
    <w:link w:val="Footer"/>
    <w:uiPriority w:val="99"/>
    <w:rsid w:val="00EB30FA"/>
    <w:rPr>
      <w:rFonts w:eastAsiaTheme="minorHAnsi"/>
      <w:lang w:eastAsia="en-US"/>
    </w:rPr>
  </w:style>
  <w:style w:type="character" w:styleId="PageNumber">
    <w:name w:val="page number"/>
    <w:basedOn w:val="DefaultParagraphFont"/>
    <w:uiPriority w:val="99"/>
    <w:semiHidden/>
    <w:unhideWhenUsed/>
    <w:rsid w:val="00EB30FA"/>
  </w:style>
  <w:style w:type="paragraph" w:styleId="Header">
    <w:name w:val="header"/>
    <w:basedOn w:val="Normal"/>
    <w:link w:val="HeaderChar"/>
    <w:uiPriority w:val="99"/>
    <w:unhideWhenUsed/>
    <w:rsid w:val="00EB30FA"/>
    <w:pPr>
      <w:tabs>
        <w:tab w:val="center" w:pos="4680"/>
        <w:tab w:val="right" w:pos="9360"/>
      </w:tabs>
    </w:pPr>
  </w:style>
  <w:style w:type="character" w:customStyle="1" w:styleId="HeaderChar">
    <w:name w:val="Header Char"/>
    <w:basedOn w:val="DefaultParagraphFont"/>
    <w:link w:val="Header"/>
    <w:uiPriority w:val="99"/>
    <w:rsid w:val="00EB30FA"/>
    <w:rPr>
      <w:rFonts w:eastAsiaTheme="minorHAnsi"/>
      <w:lang w:eastAsia="en-US"/>
    </w:rPr>
  </w:style>
  <w:style w:type="paragraph" w:styleId="FootnoteText">
    <w:name w:val="footnote text"/>
    <w:basedOn w:val="Normal"/>
    <w:link w:val="FootnoteTextChar"/>
    <w:uiPriority w:val="99"/>
    <w:unhideWhenUsed/>
    <w:rsid w:val="00595654"/>
    <w:rPr>
      <w:sz w:val="20"/>
      <w:szCs w:val="20"/>
    </w:rPr>
  </w:style>
  <w:style w:type="character" w:customStyle="1" w:styleId="FootnoteTextChar">
    <w:name w:val="Footnote Text Char"/>
    <w:basedOn w:val="DefaultParagraphFont"/>
    <w:link w:val="FootnoteText"/>
    <w:uiPriority w:val="99"/>
    <w:rsid w:val="00595654"/>
    <w:rPr>
      <w:rFonts w:eastAsiaTheme="minorHAnsi"/>
      <w:sz w:val="20"/>
      <w:szCs w:val="20"/>
      <w:lang w:eastAsia="en-US"/>
    </w:rPr>
  </w:style>
  <w:style w:type="character" w:styleId="FootnoteReference">
    <w:name w:val="footnote reference"/>
    <w:basedOn w:val="DefaultParagraphFont"/>
    <w:uiPriority w:val="99"/>
    <w:semiHidden/>
    <w:unhideWhenUsed/>
    <w:rsid w:val="00595654"/>
    <w:rPr>
      <w:vertAlign w:val="superscript"/>
    </w:rPr>
  </w:style>
  <w:style w:type="paragraph" w:styleId="EndnoteText">
    <w:name w:val="endnote text"/>
    <w:basedOn w:val="Normal"/>
    <w:link w:val="EndnoteTextChar"/>
    <w:unhideWhenUsed/>
    <w:rsid w:val="00C51FF1"/>
    <w:rPr>
      <w:sz w:val="20"/>
      <w:szCs w:val="20"/>
    </w:rPr>
  </w:style>
  <w:style w:type="character" w:customStyle="1" w:styleId="EndnoteTextChar">
    <w:name w:val="Endnote Text Char"/>
    <w:basedOn w:val="DefaultParagraphFont"/>
    <w:link w:val="EndnoteText"/>
    <w:rsid w:val="00C51FF1"/>
    <w:rPr>
      <w:rFonts w:eastAsiaTheme="minorHAnsi"/>
      <w:sz w:val="20"/>
      <w:szCs w:val="20"/>
      <w:lang w:eastAsia="en-US"/>
    </w:rPr>
  </w:style>
  <w:style w:type="character" w:styleId="EndnoteReference">
    <w:name w:val="endnote reference"/>
    <w:basedOn w:val="DefaultParagraphFont"/>
    <w:unhideWhenUsed/>
    <w:rsid w:val="00C51FF1"/>
    <w:rPr>
      <w:vertAlign w:val="superscript"/>
    </w:rPr>
  </w:style>
  <w:style w:type="paragraph" w:styleId="BodyText">
    <w:name w:val="Body Text"/>
    <w:basedOn w:val="Normal"/>
    <w:link w:val="BodyTextChar"/>
    <w:uiPriority w:val="1"/>
    <w:qFormat/>
    <w:rsid w:val="00255C3C"/>
    <w:pPr>
      <w:widowControl w:val="0"/>
      <w:autoSpaceDE w:val="0"/>
      <w:autoSpaceDN w:val="0"/>
      <w:ind w:left="200"/>
    </w:pPr>
    <w:rPr>
      <w:rFonts w:eastAsia="Times New Roman" w:cs="Times New Roman"/>
    </w:rPr>
  </w:style>
  <w:style w:type="character" w:customStyle="1" w:styleId="BodyTextChar">
    <w:name w:val="Body Text Char"/>
    <w:basedOn w:val="DefaultParagraphFont"/>
    <w:link w:val="BodyText"/>
    <w:uiPriority w:val="1"/>
    <w:rsid w:val="00255C3C"/>
    <w:rPr>
      <w:rFonts w:ascii="Times New Roman" w:eastAsia="Times New Roman" w:hAnsi="Times New Roman" w:cs="Times New Roman"/>
      <w:lang w:eastAsia="en-US"/>
    </w:rPr>
  </w:style>
  <w:style w:type="paragraph" w:customStyle="1" w:styleId="xmsonormal">
    <w:name w:val="x_msonormal"/>
    <w:basedOn w:val="Normal"/>
    <w:rsid w:val="005F3D53"/>
    <w:pPr>
      <w:spacing w:before="100" w:beforeAutospacing="1" w:after="100" w:afterAutospacing="1"/>
    </w:pPr>
    <w:rPr>
      <w:rFonts w:eastAsia="Times New Roman" w:cs="Times New Roman"/>
      <w:lang w:eastAsia="ko-KR"/>
    </w:rPr>
  </w:style>
  <w:style w:type="character" w:customStyle="1" w:styleId="Heading1Char">
    <w:name w:val="Heading 1 Char"/>
    <w:basedOn w:val="DefaultParagraphFont"/>
    <w:link w:val="Heading1"/>
    <w:uiPriority w:val="9"/>
    <w:rsid w:val="00E97E4F"/>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744282"/>
    <w:rPr>
      <w:rFonts w:cs="Times New Roman"/>
      <w:sz w:val="18"/>
      <w:szCs w:val="18"/>
    </w:rPr>
  </w:style>
  <w:style w:type="character" w:customStyle="1" w:styleId="BalloonTextChar">
    <w:name w:val="Balloon Text Char"/>
    <w:basedOn w:val="DefaultParagraphFont"/>
    <w:link w:val="BalloonText"/>
    <w:uiPriority w:val="99"/>
    <w:semiHidden/>
    <w:rsid w:val="00744282"/>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744282"/>
    <w:rPr>
      <w:sz w:val="18"/>
      <w:szCs w:val="18"/>
    </w:rPr>
  </w:style>
  <w:style w:type="paragraph" w:styleId="CommentText">
    <w:name w:val="annotation text"/>
    <w:basedOn w:val="Normal"/>
    <w:link w:val="CommentTextChar"/>
    <w:uiPriority w:val="99"/>
    <w:semiHidden/>
    <w:unhideWhenUsed/>
    <w:rsid w:val="00744282"/>
  </w:style>
  <w:style w:type="character" w:customStyle="1" w:styleId="CommentTextChar">
    <w:name w:val="Comment Text Char"/>
    <w:basedOn w:val="DefaultParagraphFont"/>
    <w:link w:val="CommentText"/>
    <w:uiPriority w:val="99"/>
    <w:semiHidden/>
    <w:rsid w:val="00744282"/>
    <w:rPr>
      <w:rFonts w:ascii="Times New Roman" w:eastAsiaTheme="minorHAnsi" w:hAnsi="Times New Roman"/>
      <w:lang w:eastAsia="en-US"/>
    </w:rPr>
  </w:style>
  <w:style w:type="paragraph" w:styleId="CommentSubject">
    <w:name w:val="annotation subject"/>
    <w:basedOn w:val="CommentText"/>
    <w:next w:val="CommentText"/>
    <w:link w:val="CommentSubjectChar"/>
    <w:uiPriority w:val="99"/>
    <w:semiHidden/>
    <w:unhideWhenUsed/>
    <w:rsid w:val="00744282"/>
    <w:rPr>
      <w:b/>
      <w:bCs/>
      <w:sz w:val="20"/>
      <w:szCs w:val="20"/>
    </w:rPr>
  </w:style>
  <w:style w:type="character" w:customStyle="1" w:styleId="CommentSubjectChar">
    <w:name w:val="Comment Subject Char"/>
    <w:basedOn w:val="CommentTextChar"/>
    <w:link w:val="CommentSubject"/>
    <w:uiPriority w:val="99"/>
    <w:semiHidden/>
    <w:rsid w:val="00744282"/>
    <w:rPr>
      <w:rFonts w:ascii="Times New Roman" w:eastAsiaTheme="minorHAnsi" w:hAnsi="Times New Roman"/>
      <w:b/>
      <w:bCs/>
      <w:sz w:val="20"/>
      <w:szCs w:val="20"/>
      <w:lang w:eastAsia="en-US"/>
    </w:rPr>
  </w:style>
  <w:style w:type="character" w:styleId="Hyperlink">
    <w:name w:val="Hyperlink"/>
    <w:basedOn w:val="DefaultParagraphFont"/>
    <w:uiPriority w:val="99"/>
    <w:unhideWhenUsed/>
    <w:rsid w:val="00315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24299">
      <w:bodyDiv w:val="1"/>
      <w:marLeft w:val="0"/>
      <w:marRight w:val="0"/>
      <w:marTop w:val="0"/>
      <w:marBottom w:val="0"/>
      <w:divBdr>
        <w:top w:val="none" w:sz="0" w:space="0" w:color="auto"/>
        <w:left w:val="none" w:sz="0" w:space="0" w:color="auto"/>
        <w:bottom w:val="none" w:sz="0" w:space="0" w:color="auto"/>
        <w:right w:val="none" w:sz="0" w:space="0" w:color="auto"/>
      </w:divBdr>
    </w:div>
    <w:div w:id="950011287">
      <w:bodyDiv w:val="1"/>
      <w:marLeft w:val="0"/>
      <w:marRight w:val="0"/>
      <w:marTop w:val="0"/>
      <w:marBottom w:val="0"/>
      <w:divBdr>
        <w:top w:val="none" w:sz="0" w:space="0" w:color="auto"/>
        <w:left w:val="none" w:sz="0" w:space="0" w:color="auto"/>
        <w:bottom w:val="none" w:sz="0" w:space="0" w:color="auto"/>
        <w:right w:val="none" w:sz="0" w:space="0" w:color="auto"/>
      </w:divBdr>
      <w:divsChild>
        <w:div w:id="421801391">
          <w:marLeft w:val="0"/>
          <w:marRight w:val="0"/>
          <w:marTop w:val="0"/>
          <w:marBottom w:val="0"/>
          <w:divBdr>
            <w:top w:val="none" w:sz="0" w:space="0" w:color="auto"/>
            <w:left w:val="none" w:sz="0" w:space="0" w:color="auto"/>
            <w:bottom w:val="none" w:sz="0" w:space="0" w:color="auto"/>
            <w:right w:val="none" w:sz="0" w:space="0" w:color="auto"/>
          </w:divBdr>
        </w:div>
      </w:divsChild>
    </w:div>
    <w:div w:id="1139147759">
      <w:bodyDiv w:val="1"/>
      <w:marLeft w:val="0"/>
      <w:marRight w:val="0"/>
      <w:marTop w:val="0"/>
      <w:marBottom w:val="0"/>
      <w:divBdr>
        <w:top w:val="none" w:sz="0" w:space="0" w:color="auto"/>
        <w:left w:val="none" w:sz="0" w:space="0" w:color="auto"/>
        <w:bottom w:val="none" w:sz="0" w:space="0" w:color="auto"/>
        <w:right w:val="none" w:sz="0" w:space="0" w:color="auto"/>
      </w:divBdr>
    </w:div>
    <w:div w:id="18910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e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U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5DF5-5C33-0749-BDD2-F27D56FD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14023</Words>
  <Characters>79935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Graham</dc:creator>
  <cp:keywords/>
  <dc:description/>
  <cp:lastModifiedBy>Peter Graham</cp:lastModifiedBy>
  <cp:revision>3</cp:revision>
  <cp:lastPrinted>2019-04-03T10:47:00Z</cp:lastPrinted>
  <dcterms:created xsi:type="dcterms:W3CDTF">2019-10-14T22:49:00Z</dcterms:created>
  <dcterms:modified xsi:type="dcterms:W3CDTF">2019-10-14T22:50:00Z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0fa799f2-43a7-337e-a0cb-f4ff0e29c827</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