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A41453" w14:textId="6B67106D" w:rsidR="00A21CC0" w:rsidRPr="00F7247D" w:rsidRDefault="00A21CC0" w:rsidP="00A21CC0">
      <w:pPr>
        <w:spacing w:after="0" w:line="240" w:lineRule="auto"/>
        <w:jc w:val="center"/>
        <w:rPr>
          <w:rFonts w:ascii="Garamond" w:hAnsi="Garamond"/>
          <w:sz w:val="22"/>
          <w:szCs w:val="22"/>
        </w:rPr>
      </w:pPr>
      <w:r w:rsidRPr="00F7247D">
        <w:rPr>
          <w:rFonts w:ascii="Garamond" w:hAnsi="Garamond"/>
          <w:b/>
          <w:bCs/>
          <w:sz w:val="22"/>
          <w:szCs w:val="22"/>
        </w:rPr>
        <w:t>What of the World in Worldlessnes</w:t>
      </w:r>
      <w:r>
        <w:rPr>
          <w:rFonts w:ascii="Garamond" w:hAnsi="Garamond"/>
          <w:b/>
          <w:bCs/>
          <w:sz w:val="22"/>
          <w:szCs w:val="22"/>
        </w:rPr>
        <w:t>s: An Arendtian Concept</w:t>
      </w:r>
    </w:p>
    <w:p w14:paraId="03ACA4B3" w14:textId="77777777" w:rsidR="00A21CC0" w:rsidRDefault="00A21CC0" w:rsidP="00A21CC0">
      <w:pPr>
        <w:spacing w:after="0" w:line="240" w:lineRule="auto"/>
        <w:rPr>
          <w:rFonts w:ascii="Garamond" w:hAnsi="Garamond"/>
        </w:rPr>
      </w:pPr>
      <w:r>
        <w:rPr>
          <w:rFonts w:ascii="Garamond" w:hAnsi="Garamond"/>
        </w:rPr>
        <w:tab/>
      </w:r>
    </w:p>
    <w:p w14:paraId="113713C3" w14:textId="77777777" w:rsidR="00A21CC0" w:rsidRDefault="00A21CC0" w:rsidP="00A21CC0">
      <w:pPr>
        <w:spacing w:after="0" w:line="240" w:lineRule="auto"/>
        <w:rPr>
          <w:rFonts w:ascii="Garamond" w:hAnsi="Garamond"/>
        </w:rPr>
      </w:pPr>
    </w:p>
    <w:p w14:paraId="747455DE" w14:textId="5CE9C581" w:rsidR="00A21CC0" w:rsidRPr="00A21CC0" w:rsidRDefault="00A21CC0" w:rsidP="00A21CC0">
      <w:pPr>
        <w:spacing w:after="0" w:line="240" w:lineRule="auto"/>
        <w:rPr>
          <w:rFonts w:ascii="Garamond" w:hAnsi="Garamond"/>
        </w:rPr>
      </w:pPr>
      <w:r>
        <w:rPr>
          <w:rFonts w:ascii="Garamond" w:hAnsi="Garamond"/>
        </w:rPr>
        <w:tab/>
      </w:r>
      <w:r>
        <w:rPr>
          <w:rFonts w:ascii="Garamond" w:hAnsi="Garamond"/>
        </w:rPr>
        <w:tab/>
      </w:r>
      <w:r>
        <w:rPr>
          <w:rFonts w:ascii="Garamond" w:hAnsi="Garamond"/>
        </w:rPr>
        <w:tab/>
      </w:r>
      <w:r>
        <w:rPr>
          <w:rFonts w:ascii="Garamond" w:hAnsi="Garamond"/>
        </w:rPr>
        <w:tab/>
      </w:r>
      <w:r>
        <w:rPr>
          <w:rFonts w:ascii="Garamond" w:hAnsi="Garamond"/>
        </w:rPr>
        <w:tab/>
      </w:r>
      <w:r>
        <w:rPr>
          <w:rFonts w:ascii="Garamond" w:hAnsi="Garamond"/>
        </w:rPr>
        <w:tab/>
      </w:r>
      <w:r>
        <w:rPr>
          <w:rFonts w:ascii="Garamond" w:hAnsi="Garamond"/>
        </w:rPr>
        <w:tab/>
      </w:r>
      <w:r>
        <w:rPr>
          <w:rFonts w:ascii="Garamond" w:hAnsi="Garamond"/>
        </w:rPr>
        <w:tab/>
      </w:r>
      <w:r>
        <w:rPr>
          <w:rFonts w:ascii="Garamond" w:hAnsi="Garamond"/>
        </w:rPr>
        <w:tab/>
      </w:r>
      <w:r>
        <w:rPr>
          <w:rFonts w:ascii="Garamond" w:hAnsi="Garamond"/>
        </w:rPr>
        <w:tab/>
      </w:r>
    </w:p>
    <w:p w14:paraId="2E0F21CE" w14:textId="77777777" w:rsidR="00A21CC0" w:rsidRDefault="00A21CC0" w:rsidP="00A21CC0">
      <w:pPr>
        <w:spacing w:line="360" w:lineRule="auto"/>
        <w:rPr>
          <w:rFonts w:ascii="Garamond" w:hAnsi="Garamond"/>
        </w:rPr>
      </w:pPr>
      <w:r w:rsidRPr="00A21CC0">
        <w:rPr>
          <w:rFonts w:ascii="Garamond" w:hAnsi="Garamond"/>
          <w:b/>
          <w:bCs/>
        </w:rPr>
        <w:tab/>
      </w:r>
      <w:r>
        <w:rPr>
          <w:rFonts w:ascii="Garamond" w:hAnsi="Garamond"/>
        </w:rPr>
        <w:t xml:space="preserve">I have come to the realization that we cannot regulate what we cannot define. However, the public sphere should be a place where dialogue is readily stated even if it makes someone uncomfortable, and this is not </w:t>
      </w:r>
      <w:proofErr w:type="gramStart"/>
      <w:r>
        <w:rPr>
          <w:rFonts w:ascii="Garamond" w:hAnsi="Garamond"/>
        </w:rPr>
        <w:t>hate</w:t>
      </w:r>
      <w:proofErr w:type="gramEnd"/>
      <w:r>
        <w:rPr>
          <w:rFonts w:ascii="Garamond" w:hAnsi="Garamond"/>
        </w:rPr>
        <w:t xml:space="preserve"> speech. Otherwise, we begin to stop talking about difficult things, and secondly there is not anything I can say that is not going to offend someone if the crowd is large enough.</w:t>
      </w:r>
      <w:r w:rsidRPr="00B829BC">
        <w:rPr>
          <w:rFonts w:ascii="Garamond" w:hAnsi="Garamond"/>
        </w:rPr>
        <w:t xml:space="preserve"> </w:t>
      </w:r>
      <w:r>
        <w:rPr>
          <w:rFonts w:ascii="Garamond" w:hAnsi="Garamond"/>
        </w:rPr>
        <w:t>Who defines hate? This is an insoluble problem; thus, it should not be regulated. That is why we need the public sphere so desperately so that those with an invested advantage do not make our decisions for us.</w:t>
      </w:r>
    </w:p>
    <w:p w14:paraId="1590B4EE" w14:textId="77777777" w:rsidR="00A21CC0" w:rsidRPr="008044AC" w:rsidRDefault="00A21CC0" w:rsidP="00A21CC0">
      <w:pPr>
        <w:spacing w:line="360" w:lineRule="auto"/>
        <w:rPr>
          <w:rFonts w:ascii="Garamond" w:hAnsi="Garamond"/>
        </w:rPr>
      </w:pPr>
      <w:r>
        <w:rPr>
          <w:rFonts w:ascii="Garamond" w:hAnsi="Garamond"/>
        </w:rPr>
        <w:tab/>
        <w:t>Western society lives in worldless times. The salvation of worldlessness is firstly, a world that is based in continuity and permanence, even though human beings require the unpredictability and uncertainty of a controlled outcome, and secondly, thinking that is driven by meaning making, reason, and wonder, rather than the reverence of sciences and technology and lastly an education that provides c</w:t>
      </w:r>
      <w:r w:rsidRPr="00BD43F6">
        <w:rPr>
          <w:rFonts w:ascii="Garamond" w:hAnsi="Garamond"/>
        </w:rPr>
        <w:t xml:space="preserve">hildren deployment of trust from the world </w:t>
      </w:r>
      <w:r>
        <w:rPr>
          <w:rFonts w:ascii="Garamond" w:hAnsi="Garamond"/>
        </w:rPr>
        <w:t xml:space="preserve">in order to </w:t>
      </w:r>
      <w:r w:rsidRPr="00BD43F6">
        <w:rPr>
          <w:rFonts w:ascii="Garamond" w:hAnsi="Garamond"/>
        </w:rPr>
        <w:t>reproduce</w:t>
      </w:r>
      <w:r>
        <w:rPr>
          <w:rFonts w:ascii="Garamond" w:hAnsi="Garamond"/>
        </w:rPr>
        <w:t xml:space="preserve">. </w:t>
      </w:r>
      <w:r>
        <w:rPr>
          <w:rFonts w:ascii="Garamond" w:hAnsi="Garamond"/>
        </w:rPr>
        <w:tab/>
      </w:r>
      <w:r>
        <w:rPr>
          <w:rFonts w:ascii="Garamond" w:hAnsi="Garamond"/>
        </w:rPr>
        <w:tab/>
      </w:r>
      <w:r>
        <w:rPr>
          <w:rFonts w:ascii="Garamond" w:hAnsi="Garamond"/>
        </w:rPr>
        <w:tab/>
      </w:r>
      <w:r>
        <w:rPr>
          <w:rFonts w:ascii="Garamond" w:hAnsi="Garamond"/>
        </w:rPr>
        <w:tab/>
      </w:r>
      <w:r>
        <w:rPr>
          <w:rFonts w:ascii="Garamond" w:hAnsi="Garamond"/>
        </w:rPr>
        <w:tab/>
        <w:t xml:space="preserve">I will begin by defining the intricacies of worldlessness an Arendtian term, defining what thinking is, and how worldlessness relates to thinking. I will then demonstrate how various forms of thinking can be detrimental to society, and the public sphere. Additionally, I will investigate the prolific use of technology and sciences as an affecting mechanism in the way human beings think. Finally, I will be taking a closer look at how culture is formed or deformed through worldlessness and what the model of education needs to be </w:t>
      </w:r>
      <w:proofErr w:type="gramStart"/>
      <w:r>
        <w:rPr>
          <w:rFonts w:ascii="Garamond" w:hAnsi="Garamond"/>
        </w:rPr>
        <w:t>in order for</w:t>
      </w:r>
      <w:proofErr w:type="gramEnd"/>
      <w:r>
        <w:rPr>
          <w:rFonts w:ascii="Garamond" w:hAnsi="Garamond"/>
        </w:rPr>
        <w:t xml:space="preserve"> future generations to become more thoughtful thinking adults. </w:t>
      </w:r>
    </w:p>
    <w:p w14:paraId="6B79C0CF" w14:textId="77777777" w:rsidR="00A21CC0" w:rsidRDefault="00A21CC0" w:rsidP="00A21CC0">
      <w:pPr>
        <w:spacing w:line="360" w:lineRule="auto"/>
        <w:rPr>
          <w:rFonts w:ascii="Garamond" w:hAnsi="Garamond"/>
          <w:b/>
          <w:bCs/>
        </w:rPr>
      </w:pPr>
    </w:p>
    <w:p w14:paraId="38E6C7CD" w14:textId="77777777" w:rsidR="00A21CC0" w:rsidRDefault="00A21CC0" w:rsidP="00A21CC0">
      <w:pPr>
        <w:spacing w:line="360" w:lineRule="auto"/>
        <w:rPr>
          <w:rFonts w:ascii="Garamond" w:hAnsi="Garamond"/>
          <w:b/>
          <w:bCs/>
        </w:rPr>
      </w:pPr>
      <w:r w:rsidRPr="00FB0C7E">
        <w:rPr>
          <w:rFonts w:ascii="Garamond" w:hAnsi="Garamond"/>
          <w:b/>
          <w:bCs/>
        </w:rPr>
        <w:t>What is Worldlessness</w:t>
      </w:r>
    </w:p>
    <w:p w14:paraId="088BCE08" w14:textId="34C0E89D" w:rsidR="00A21CC0" w:rsidRDefault="00A21CC0" w:rsidP="00A21CC0">
      <w:pPr>
        <w:spacing w:line="360" w:lineRule="auto"/>
        <w:rPr>
          <w:rFonts w:ascii="Garamond" w:hAnsi="Garamond"/>
        </w:rPr>
      </w:pPr>
      <w:r>
        <w:rPr>
          <w:rFonts w:ascii="Garamond" w:hAnsi="Garamond"/>
        </w:rPr>
        <w:tab/>
        <w:t>Arendt defines “worldlessness”</w:t>
      </w:r>
      <w:r w:rsidRPr="00A816D7">
        <w:rPr>
          <w:rStyle w:val="FootnoteReference"/>
        </w:rPr>
        <w:footnoteReference w:id="1"/>
      </w:r>
      <w:r>
        <w:rPr>
          <w:rFonts w:ascii="Garamond" w:hAnsi="Garamond"/>
        </w:rPr>
        <w:t xml:space="preserve"> as a world </w:t>
      </w:r>
      <w:r w:rsidRPr="00D44B4D">
        <w:rPr>
          <w:rFonts w:ascii="Garamond" w:hAnsi="Garamond"/>
        </w:rPr>
        <w:t>withou</w:t>
      </w:r>
      <w:r>
        <w:rPr>
          <w:rFonts w:ascii="Garamond" w:hAnsi="Garamond"/>
        </w:rPr>
        <w:t xml:space="preserve">t meaning, transparency, reality, and senses. A world in which standards and tradition are replaced with unrest and doubt. Worldlessness </w:t>
      </w:r>
      <w:r>
        <w:rPr>
          <w:rFonts w:ascii="Garamond" w:hAnsi="Garamond"/>
        </w:rPr>
        <w:lastRenderedPageBreak/>
        <w:t xml:space="preserve">is a world without a public sphere, the “public” signifies the world itself in so far as it is common to all of us and distinguished from our privately owned place in it </w:t>
      </w:r>
      <w:r>
        <w:rPr>
          <w:rFonts w:ascii="Garamond" w:hAnsi="Garamond"/>
        </w:rPr>
        <w:fldChar w:fldCharType="begin"/>
      </w:r>
      <w:r>
        <w:rPr>
          <w:rFonts w:ascii="Garamond" w:hAnsi="Garamond"/>
        </w:rPr>
        <w:instrText xml:space="preserve"> ADDIN ZOTERO_ITEM CSL_CITATION {"citationID":"fgAmtFjo","properties":{"formattedCitation":"(Arendt 1998)","plainCitation":"(Arendt 1998)","dontUpdate":true,"noteIndex":0},"citationItems":[{"id":388,"uris":["http://zotero.org/users/7261813/items/NRS7A7B4"],"itemData":{"id":388,"type":"book","call-number":"HM211 .A7 1998","edition":"2nd ed","event-place":"Chicago","ISBN":"978-0-226-02599-5","language":"en","number-of-pages":"349","publisher":"University of Chicago Press","publisher-place":"Chicago","source":"Library of Congress ISBN","title":"The human condition","author":[{"family":"Arendt","given":"Hannah"}],"issued":{"date-parts":[["1998"]]}}}],"schema":"https://github.com/citation-style-language/schema/raw/master/csl-citation.json"} </w:instrText>
      </w:r>
      <w:r>
        <w:rPr>
          <w:rFonts w:ascii="Garamond" w:hAnsi="Garamond"/>
        </w:rPr>
        <w:fldChar w:fldCharType="separate"/>
      </w:r>
      <w:r>
        <w:rPr>
          <w:rFonts w:ascii="Garamond" w:hAnsi="Garamond"/>
          <w:noProof/>
        </w:rPr>
        <w:t>(Arendt 1998, p.52)</w:t>
      </w:r>
      <w:r>
        <w:rPr>
          <w:rFonts w:ascii="Garamond" w:hAnsi="Garamond"/>
        </w:rPr>
        <w:fldChar w:fldCharType="end"/>
      </w:r>
      <w:r>
        <w:rPr>
          <w:rFonts w:ascii="Garamond" w:hAnsi="Garamond"/>
        </w:rPr>
        <w:t>. In this world of the “public” everything that appears in the public can be seen</w:t>
      </w:r>
      <w:r w:rsidRPr="00A816D7">
        <w:rPr>
          <w:rStyle w:val="FootnoteReference"/>
        </w:rPr>
        <w:footnoteReference w:id="2"/>
      </w:r>
      <w:r>
        <w:rPr>
          <w:rFonts w:ascii="Garamond" w:hAnsi="Garamond"/>
        </w:rPr>
        <w:t xml:space="preserve"> and heard by everyone. “The presence of others who see what we see and hear what we hear assures us of the reality of the world and ourselves” </w:t>
      </w:r>
      <w:r>
        <w:rPr>
          <w:rFonts w:ascii="Garamond" w:hAnsi="Garamond"/>
        </w:rPr>
        <w:fldChar w:fldCharType="begin"/>
      </w:r>
      <w:r>
        <w:rPr>
          <w:rFonts w:ascii="Garamond" w:hAnsi="Garamond"/>
        </w:rPr>
        <w:instrText xml:space="preserve"> ADDIN ZOTERO_ITEM CSL_CITATION {"citationID":"0Hj9rpdm","properties":{"formattedCitation":"(Arendt 1998)","plainCitation":"(Arendt 1998)","dontUpdate":true,"noteIndex":0},"citationItems":[{"id":388,"uris":["http://zotero.org/users/7261813/items/NRS7A7B4"],"itemData":{"id":388,"type":"book","call-number":"HM211 .A7 1998","edition":"2nd ed","event-place":"Chicago","ISBN":"978-0-226-02599-5","language":"en","number-of-pages":"349","publisher":"University of Chicago Press","publisher-place":"Chicago","source":"Library of Congress ISBN","title":"The human condition","author":[{"family":"Arendt","given":"Hannah"}],"issued":{"date-parts":[["1998"]]}}}],"schema":"https://github.com/citation-style-language/schema/raw/master/csl-citation.json"} </w:instrText>
      </w:r>
      <w:r>
        <w:rPr>
          <w:rFonts w:ascii="Garamond" w:hAnsi="Garamond"/>
        </w:rPr>
        <w:fldChar w:fldCharType="separate"/>
      </w:r>
      <w:r>
        <w:rPr>
          <w:rFonts w:ascii="Garamond" w:hAnsi="Garamond"/>
          <w:noProof/>
        </w:rPr>
        <w:t>(Arendt 1998, p.50)</w:t>
      </w:r>
      <w:r>
        <w:rPr>
          <w:rFonts w:ascii="Garamond" w:hAnsi="Garamond"/>
        </w:rPr>
        <w:fldChar w:fldCharType="end"/>
      </w:r>
      <w:r>
        <w:rPr>
          <w:rFonts w:ascii="Garamond" w:hAnsi="Garamond"/>
        </w:rPr>
        <w:t>. This assurance of reality of the world intensifies our convictions within the private realm of human affairs and yet it is dependent on appearance, meaning that without seeing or hearing it does not exist, without the public world, the private world is incomplete. In this sense the public sphere as the world requires a form of freedom to be whom we are. Thus, the public sphere is the world of autonomy, of liberation, of revolution, of respect, and of being respected. The public sphere is the world as a community where all human beings are brought together by artifacts</w:t>
      </w:r>
      <w:r w:rsidRPr="00A816D7">
        <w:rPr>
          <w:rStyle w:val="FootnoteReference"/>
        </w:rPr>
        <w:footnoteReference w:id="3"/>
      </w:r>
      <w:r>
        <w:rPr>
          <w:rFonts w:ascii="Garamond" w:hAnsi="Garamond"/>
        </w:rPr>
        <w:t xml:space="preserve"> which are creations of human hands relating them and separating them at the same time </w:t>
      </w:r>
      <w:r>
        <w:rPr>
          <w:rFonts w:ascii="Garamond" w:hAnsi="Garamond"/>
        </w:rPr>
        <w:fldChar w:fldCharType="begin"/>
      </w:r>
      <w:r>
        <w:rPr>
          <w:rFonts w:ascii="Garamond" w:hAnsi="Garamond"/>
        </w:rPr>
        <w:instrText xml:space="preserve"> ADDIN ZOTERO_ITEM CSL_CITATION {"citationID":"fi3YLjkP","properties":{"formattedCitation":"(Arendt 1998)","plainCitation":"(Arendt 1998)","dontUpdate":true,"noteIndex":0},"citationItems":[{"id":388,"uris":["http://zotero.org/users/7261813/items/NRS7A7B4"],"itemData":{"id":388,"type":"book","call-number":"HM211 .A7 1998","edition":"2nd ed","event-place":"Chicago","ISBN":"978-0-226-02599-5","language":"en","number-of-pages":"349","publisher":"University of Chicago Press","publisher-place":"Chicago","source":"Library of Congress ISBN","title":"The human condition","author":[{"family":"Arendt","given":"Hannah"}],"issued":{"date-parts":[["1998"]]}}}],"schema":"https://github.com/citation-style-language/schema/raw/master/csl-citation.json"} </w:instrText>
      </w:r>
      <w:r>
        <w:rPr>
          <w:rFonts w:ascii="Garamond" w:hAnsi="Garamond"/>
        </w:rPr>
        <w:fldChar w:fldCharType="separate"/>
      </w:r>
      <w:r>
        <w:rPr>
          <w:rFonts w:ascii="Garamond" w:hAnsi="Garamond"/>
          <w:noProof/>
        </w:rPr>
        <w:t>(Arendt 1998, p.52)</w:t>
      </w:r>
      <w:r>
        <w:rPr>
          <w:rFonts w:ascii="Garamond" w:hAnsi="Garamond"/>
        </w:rPr>
        <w:fldChar w:fldCharType="end"/>
      </w:r>
      <w:r>
        <w:rPr>
          <w:rFonts w:ascii="Garamond" w:hAnsi="Garamond"/>
        </w:rPr>
        <w:t xml:space="preserve">. This is because to live together in the world means that a world of artifacts is between those who have it in common and those who it comes in between. The world here is the in between which relates and separates human beings at the same time. However, Arendt argues that, this world, the public realm as the common world which gathers human beings together has now lost its power to gather, to relate and to separate </w:t>
      </w:r>
      <w:r>
        <w:rPr>
          <w:rFonts w:ascii="Garamond" w:hAnsi="Garamond"/>
        </w:rPr>
        <w:fldChar w:fldCharType="begin"/>
      </w:r>
      <w:r>
        <w:rPr>
          <w:rFonts w:ascii="Garamond" w:hAnsi="Garamond"/>
        </w:rPr>
        <w:instrText xml:space="preserve"> ADDIN ZOTERO_ITEM CSL_CITATION {"citationID":"9UvyE5sh","properties":{"formattedCitation":"(Arendt 1998)","plainCitation":"(Arendt 1998)","dontUpdate":true,"noteIndex":0},"citationItems":[{"id":388,"uris":["http://zotero.org/users/7261813/items/NRS7A7B4"],"itemData":{"id":388,"type":"book","call-number":"HM211 .A7 1998","edition":"2nd ed","event-place":"Chicago","ISBN":"978-0-226-02599-5","language":"en","number-of-pages":"349","publisher":"University of Chicago Press","publisher-place":"Chicago","source":"Library of Congress ISBN","title":"The human condition","author":[{"family":"Arendt","given":"Hannah"}],"issued":{"date-parts":[["1998"]]}}}],"schema":"https://github.com/citation-style-language/schema/raw/master/csl-citation.json"} </w:instrText>
      </w:r>
      <w:r>
        <w:rPr>
          <w:rFonts w:ascii="Garamond" w:hAnsi="Garamond"/>
        </w:rPr>
        <w:fldChar w:fldCharType="separate"/>
      </w:r>
      <w:r>
        <w:rPr>
          <w:rFonts w:ascii="Garamond" w:hAnsi="Garamond"/>
          <w:noProof/>
        </w:rPr>
        <w:t>(Arendt 1998, p.53)</w:t>
      </w:r>
      <w:r>
        <w:rPr>
          <w:rFonts w:ascii="Garamond" w:hAnsi="Garamond"/>
        </w:rPr>
        <w:fldChar w:fldCharType="end"/>
      </w:r>
      <w:r>
        <w:rPr>
          <w:rFonts w:ascii="Garamond" w:hAnsi="Garamond"/>
        </w:rPr>
        <w:t xml:space="preserve">. Humanity loses this inbetweeness, this connection, this commonwealth. Arendt states that this is a loss that has been emerging since the rise of liberalism as liberalism is a retreat from community that should be shared. Human beings are a collection of prejudices that can be caught up in impartiality, not objectivity and universality. Yet, humanity and the definition of the public sphere encompasses human beings coming together even though there are disagreements and no solution but impartiality against others partiality. This is because through arguing and discoursing with others human beings within the public sphere human beings find commonalities amongst the disagreements rather than erasing one another’s differences. When human beings fundamentally disagree with each other only then do they have a real relationship to the world. In disagreement, there is deliberation. Meaningful issues require deliberation and human beings seen as diverse, who are of the world are then acting in concert </w:t>
      </w:r>
      <w:r>
        <w:rPr>
          <w:rFonts w:ascii="Garamond" w:hAnsi="Garamond"/>
        </w:rPr>
        <w:lastRenderedPageBreak/>
        <w:t xml:space="preserve">together to relay their ideas against one another, in so doing acting upon the world and the future of how it will unfold regardless of their vast differences. This disagreement in deliberation is human beings’ passions, as the passions reveal the real world, making human beings more conscious of their existence. Passions make us feel more real. In contrast to what Arendtian scholar Mackler (2010) differentiates as intellect, which is tied to cognition as the knowing of what can be verified, and searching for the truth in a controlled, man-made environment, thus expecting the same prognosis each time as the outcome. This form of thinking is similar to scientific experiments in that a particular outcome is always expected. Thus, against this cold objectivity or rationality, passions are at the core for Arendt of what it means to be a real human being. Art is an example of passions because it acts. There is a form of </w:t>
      </w:r>
      <w:r w:rsidRPr="006461BF">
        <w:rPr>
          <w:rFonts w:ascii="Garamond" w:hAnsi="Garamond"/>
          <w:i/>
          <w:iCs/>
        </w:rPr>
        <w:t>doing</w:t>
      </w:r>
      <w:r>
        <w:rPr>
          <w:rFonts w:ascii="Garamond" w:hAnsi="Garamond"/>
        </w:rPr>
        <w:t xml:space="preserve"> which comes from art and its main purpose is that it </w:t>
      </w:r>
      <w:proofErr w:type="gramStart"/>
      <w:r>
        <w:rPr>
          <w:rFonts w:ascii="Garamond" w:hAnsi="Garamond"/>
        </w:rPr>
        <w:t xml:space="preserve">has an </w:t>
      </w:r>
      <w:r>
        <w:rPr>
          <w:rFonts w:ascii="Garamond" w:hAnsi="Garamond"/>
        </w:rPr>
        <w:t>effect</w:t>
      </w:r>
      <w:r>
        <w:rPr>
          <w:rFonts w:ascii="Garamond" w:hAnsi="Garamond"/>
        </w:rPr>
        <w:t xml:space="preserve"> on</w:t>
      </w:r>
      <w:proofErr w:type="gramEnd"/>
      <w:r>
        <w:rPr>
          <w:rFonts w:ascii="Garamond" w:hAnsi="Garamond"/>
        </w:rPr>
        <w:t xml:space="preserve"> the spectator, the one who “sees,” or who, as it were, represents the world. The artist puts something in the world that </w:t>
      </w:r>
      <w:proofErr w:type="gramStart"/>
      <w:r>
        <w:rPr>
          <w:rFonts w:ascii="Garamond" w:hAnsi="Garamond"/>
        </w:rPr>
        <w:t xml:space="preserve">has an </w:t>
      </w:r>
      <w:r>
        <w:rPr>
          <w:rFonts w:ascii="Garamond" w:hAnsi="Garamond"/>
        </w:rPr>
        <w:t>effect</w:t>
      </w:r>
      <w:r>
        <w:rPr>
          <w:rFonts w:ascii="Garamond" w:hAnsi="Garamond"/>
        </w:rPr>
        <w:t xml:space="preserve"> on</w:t>
      </w:r>
      <w:proofErr w:type="gramEnd"/>
      <w:r>
        <w:rPr>
          <w:rFonts w:ascii="Garamond" w:hAnsi="Garamond"/>
        </w:rPr>
        <w:t xml:space="preserve"> the spectator. It acts in the spectator, as the art within the world stands out and draws a public around it. And in so doing, in acting, people are drawn out of their private and social existence into the public world which reconnects people to the world in between. </w:t>
      </w:r>
      <w:r>
        <w:rPr>
          <w:rFonts w:ascii="Garamond" w:hAnsi="Garamond"/>
        </w:rPr>
        <w:fldChar w:fldCharType="begin"/>
      </w:r>
      <w:r>
        <w:rPr>
          <w:rFonts w:ascii="Garamond" w:hAnsi="Garamond"/>
        </w:rPr>
        <w:instrText xml:space="preserve"> ADDIN ZOTERO_ITEM CSL_CITATION {"citationID":"OjpWTwqr","properties":{"formattedCitation":"(Arendt 1968)","plainCitation":"(Arendt 1968)","noteIndex":0},"citationItems":[{"id":478,"uris":["http://zotero.org/users/7261813/items/R7998NMZ"],"itemData":{"id":478,"type":"book","abstract":"\"Dark times\" is Brecht's phrase, and Hannah Arendt uses it not to suggest that those she writes about are \"mouthpieces of the Zeitgeist\" (none in fact fit such roles), but, rather, that the routine repetitive horrors of our century form the substance of the dark against which their lives of illumination were lived. All the essays, written over a period of years, are concerned with persons--writers who (except Lessing) share the first half of the twentieth century--and only implicitly with issues. Dr. Arendt believes that \"Even in the darkest of times we have the right to expect some illumination, and that such illumination may come less from theories and concepts than from the uncertain, flickering, and often weak light that some men and women, in their lives and works, will kindle under almost all circumstances and shed over the time-span that was given them on earth.\"--Publisher description.","ISBN":"978-0-15-658890-4","language":"en","note":"Google-Books-ID: _Bt9OWQlke8C","number-of-pages":"292","publisher":"Houghton Mifflin Harcourt","source":"Google Books","title":"Men in Dark Times","author":[{"family":"Arendt","given":"Hannah"}],"issued":{"date-parts":[["1968"]]}}}],"schema":"https://github.com/citation-style-language/schema/raw/master/csl-citation.json"} </w:instrText>
      </w:r>
      <w:r>
        <w:rPr>
          <w:rFonts w:ascii="Garamond" w:hAnsi="Garamond"/>
        </w:rPr>
        <w:fldChar w:fldCharType="separate"/>
      </w:r>
      <w:r>
        <w:rPr>
          <w:rFonts w:ascii="Garamond" w:hAnsi="Garamond"/>
          <w:noProof/>
        </w:rPr>
        <w:t>(Arendt 1968, p.6-7)</w:t>
      </w:r>
      <w:r>
        <w:rPr>
          <w:rFonts w:ascii="Garamond" w:hAnsi="Garamond"/>
        </w:rPr>
        <w:fldChar w:fldCharType="end"/>
      </w:r>
      <w:r>
        <w:rPr>
          <w:rFonts w:ascii="Garamond" w:hAnsi="Garamond"/>
        </w:rPr>
        <w:t xml:space="preserve">. </w:t>
      </w:r>
    </w:p>
    <w:p w14:paraId="766BB21D" w14:textId="77777777" w:rsidR="00A21CC0" w:rsidRDefault="00A21CC0" w:rsidP="00A21CC0">
      <w:pPr>
        <w:spacing w:line="360" w:lineRule="auto"/>
        <w:rPr>
          <w:rFonts w:ascii="Garamond" w:hAnsi="Garamond"/>
        </w:rPr>
      </w:pPr>
      <w:r>
        <w:rPr>
          <w:rFonts w:ascii="Garamond" w:hAnsi="Garamond"/>
        </w:rPr>
        <w:tab/>
        <w:t xml:space="preserve">This form of in between men and the world, through the public sphere is formed through </w:t>
      </w:r>
      <w:r w:rsidRPr="00F506D1">
        <w:rPr>
          <w:rFonts w:ascii="Garamond" w:hAnsi="Garamond"/>
          <w:i/>
          <w:iCs/>
        </w:rPr>
        <w:t>thinking</w:t>
      </w:r>
      <w:r>
        <w:rPr>
          <w:rFonts w:ascii="Garamond" w:hAnsi="Garamond"/>
        </w:rPr>
        <w:t xml:space="preserve">. A form of thinking that is differentiated by Mackler’s (2010) intellect, which is verifiable prognosis’s thinking, as well as what philosopher and educational scholar Mario Di </w:t>
      </w:r>
      <w:proofErr w:type="spellStart"/>
      <w:r>
        <w:rPr>
          <w:rFonts w:ascii="Garamond" w:hAnsi="Garamond"/>
        </w:rPr>
        <w:t>Paolantonio</w:t>
      </w:r>
      <w:proofErr w:type="spellEnd"/>
      <w:r>
        <w:rPr>
          <w:rFonts w:ascii="Garamond" w:hAnsi="Garamond"/>
        </w:rPr>
        <w:t xml:space="preserve"> (2018) distinguishes as “contemplative wonderment” (p.215). For Mackler (2010), as stated above, intellectual thinking is always set in the verifiable truths, negating any unpredictability, and using artificial environments which have been man-made to reproduce the same outcome and thus, sterilizing the notion of “wonder”. Meaning that through intellect and constant reproduction of the same outcome, human beings become fearful of trusting their senses, as wonder is one of our most innate senses. This wonder that has been with all of us since childhood. Each one of us experienced becoming in a world which was foreign to us and yet we had endless love and delight for it, even though we were beginners. Arendt’s rendition of “amor mundi”</w:t>
      </w:r>
      <w:r w:rsidRPr="00A816D7">
        <w:rPr>
          <w:rStyle w:val="FootnoteReference"/>
        </w:rPr>
        <w:footnoteReference w:id="4"/>
      </w:r>
      <w:r>
        <w:rPr>
          <w:rFonts w:ascii="Garamond" w:hAnsi="Garamond"/>
        </w:rPr>
        <w:t xml:space="preserve">. However, wonder firstly, should not be confused with curiosity as curiosity is the frantic paced, reckless grasping, and carelessness towards the world as an individual self-activity which is rooted in one’s own benefits </w:t>
      </w:r>
      <w:r>
        <w:rPr>
          <w:rFonts w:ascii="Garamond" w:hAnsi="Garamond"/>
        </w:rPr>
        <w:fldChar w:fldCharType="begin"/>
      </w:r>
      <w:r>
        <w:rPr>
          <w:rFonts w:ascii="Garamond" w:hAnsi="Garamond"/>
        </w:rPr>
        <w:instrText xml:space="preserve"> ADDIN ZOTERO_ITEM CSL_CITATION {"citationID":"3kCo5OCL","properties":{"formattedCitation":"(Di Paolantonio 2019)","plainCitation":"(Di Paolantonio 2019)","noteIndex":0},"citationItems":[{"id":480,"uris":["http://zotero.org/users/7261813/items/K3Z6WE5N"],"itemData":{"id":480,"type":"article-journal","abstract":"Hannah Arendt has a particular notion of thinking that both is and is not (in her sense of the term) philosophical. While not guided by the search for meta principles, nor concerned with establishing logical systems, her notion of thinking as the examination of “whatever happens to come to pass,” and its significance for saving our world from thoughtlessness, retains and is motivated by the fundamental pathos at the heart of philosophy—wonder. In this paper, I consider the limiting and enabling sense in which Arendt invokes “wonder” for the possibility of thinking. I do so, in turn, to explore what the pathos of wonderment might offer education—an institution charged with cultivating “thinking” and, yet, constantly susceptible to the thoughtless trappings of technocratic jargon and the mechanical logic of assessment, learning processes and social reproduction. Can wonder—the very pathos of philosophy—cultivate a thinking that helps us retain an “unclouded attentiveness” to what is educational in education? Might wonder help us to overcome the thoughtlessness that dulls our attention to what we do to each other through education?","container-title":"Studies in Philosophy and Education","DOI":"10.1007/s11217-018-9626-3","ISSN":"1573-191X","issue":"3","journalAbbreviation":"Stud Philos Educ","language":"en","license":"2018 Springer Nature B.V.","note":"Company: Springer\nDistributor: Springer\nInstitution: Springer\nLabel: Springer\nnumber: 3\npublisher: Springer Netherlands","page":"213-228","source":"link-springer-com.ezproxy.library.yorku.ca","title":"Wonder, Guarding Against Thoughtlessness in Education","URL":"https://link.springer.com/article/10.1007/s11217-018-9626-3","volume":"38","author":[{"family":"Di Paolantonio","given":"Mario"}],"accessed":{"date-parts":[["2024",5,2]]},"issued":{"date-parts":[["2019",5,1]]}}}],"schema":"https://github.com/citation-style-language/schema/raw/master/csl-citation.json"} </w:instrText>
      </w:r>
      <w:r>
        <w:rPr>
          <w:rFonts w:ascii="Garamond" w:hAnsi="Garamond"/>
        </w:rPr>
        <w:fldChar w:fldCharType="separate"/>
      </w:r>
      <w:r>
        <w:rPr>
          <w:rFonts w:ascii="Garamond" w:hAnsi="Garamond"/>
          <w:noProof/>
        </w:rPr>
        <w:t>(Di Paolantonio 2019, p.218)</w:t>
      </w:r>
      <w:r>
        <w:rPr>
          <w:rFonts w:ascii="Garamond" w:hAnsi="Garamond"/>
        </w:rPr>
        <w:fldChar w:fldCharType="end"/>
      </w:r>
      <w:r>
        <w:rPr>
          <w:rFonts w:ascii="Garamond" w:hAnsi="Garamond"/>
        </w:rPr>
        <w:t xml:space="preserve">. Curiosity pushes us to approach the world as a problem-solving activity for which no boundaries are respected. Additionally, curiosity is always in pursuit of the next best </w:t>
      </w:r>
      <w:r>
        <w:rPr>
          <w:rFonts w:ascii="Garamond" w:hAnsi="Garamond"/>
        </w:rPr>
        <w:lastRenderedPageBreak/>
        <w:t xml:space="preserve">thing as its devotion to understanding is temporal at best, and malicious at worst. Firstly, it looks inwardly to what benefits the self and secondly, it is fleeting onto the next before trying to comprehend the prior </w:t>
      </w:r>
      <w:r>
        <w:rPr>
          <w:rFonts w:ascii="Garamond" w:hAnsi="Garamond"/>
          <w:noProof/>
        </w:rPr>
        <w:t>(Di Paolantonio 2019, p.21</w:t>
      </w:r>
      <w:r>
        <w:rPr>
          <w:rFonts w:ascii="Garamond" w:hAnsi="Garamond"/>
        </w:rPr>
        <w:t xml:space="preserve">7). Curiosity in this sense, hungers for novelty perhaps to spring from it to the next, this is a form of thinking that can be reckless as it feeds on continual excitement of novelty, a constant form of distraction, </w:t>
      </w:r>
      <w:proofErr w:type="gramStart"/>
      <w:r>
        <w:rPr>
          <w:rFonts w:ascii="Garamond" w:hAnsi="Garamond"/>
        </w:rPr>
        <w:t>similar to</w:t>
      </w:r>
      <w:proofErr w:type="gramEnd"/>
      <w:r>
        <w:rPr>
          <w:rFonts w:ascii="Garamond" w:hAnsi="Garamond"/>
        </w:rPr>
        <w:t xml:space="preserve"> that of our modern era. In this era, worldlessness has become prevalent via science and technology which proliferates instant gratification over prolonged procurement. Curiosity is not interested in awe nor the wonder of not understanding something and yet remaining faithful in its endeavours to find meaning making within it. It rather concerns itself with a kind of knowing to have just known, and moving onto the next, a distraction of newer possibilities to come like an unfaithful lover. It is everywhere within the energy vibrations of the subconscious mind, letting down the ego and yet nowhere to be seen in the physical world, as the translation is lost from the incorporeal to the material world.</w:t>
      </w:r>
    </w:p>
    <w:p w14:paraId="1C9CFEFE" w14:textId="77777777" w:rsidR="00A21CC0" w:rsidRDefault="00A21CC0" w:rsidP="00A21CC0">
      <w:pPr>
        <w:spacing w:line="360" w:lineRule="auto"/>
        <w:rPr>
          <w:rFonts w:ascii="Garamond" w:hAnsi="Garamond"/>
        </w:rPr>
      </w:pPr>
      <w:r>
        <w:rPr>
          <w:rFonts w:ascii="Garamond" w:hAnsi="Garamond"/>
        </w:rPr>
        <w:tab/>
        <w:t xml:space="preserve">Secondly, wonder should also not be confused with contemplative wonder which Arendt deems as falling under the study of philosophy in which she is suspicious about as it can lead to “paralysis analysis.” This is what Arendt terms as the overindulgence in contemplative wonderment inevitably leading the mind to take residence in a state “beyond thought and beyond speech” </w:t>
      </w:r>
      <w:r>
        <w:rPr>
          <w:rFonts w:ascii="Garamond" w:hAnsi="Garamond"/>
          <w:noProof/>
        </w:rPr>
        <w:t>(Di Paolantonio 2019, p.21</w:t>
      </w:r>
      <w:r>
        <w:rPr>
          <w:rFonts w:ascii="Garamond" w:hAnsi="Garamond"/>
        </w:rPr>
        <w:t xml:space="preserve">5). Contemplative wonder is problematic here as this form of thinking abandons the world of speech and action which is the world of human affairs in so far as it is obsessed with “otherworldly sense of perfection” </w:t>
      </w:r>
      <w:r>
        <w:rPr>
          <w:rFonts w:ascii="Garamond" w:hAnsi="Garamond"/>
          <w:noProof/>
        </w:rPr>
        <w:t>(Di Paolantonio 2019, p.21</w:t>
      </w:r>
      <w:r>
        <w:rPr>
          <w:rFonts w:ascii="Garamond" w:hAnsi="Garamond"/>
        </w:rPr>
        <w:t xml:space="preserve">5). Contemplative wonder is too immersed with discerning ideas in the sky to seriously engage with the everydayness of the world and its seemingly “so-called” trivialities that make up a large part of human affairs. Aristotle (384-322BC) once stated that we are that which we repeatedly do. We are the everyday activities we practice, endure, and continue progressing in which become habits; thus, excellence is not an act but a habit. In this sense, the contemplative wonderer is practicing a form of thinking that is beyond that which human beings repeatedly need to do, </w:t>
      </w:r>
      <w:proofErr w:type="gramStart"/>
      <w:r>
        <w:rPr>
          <w:rFonts w:ascii="Garamond" w:hAnsi="Garamond"/>
        </w:rPr>
        <w:t>in order to</w:t>
      </w:r>
      <w:proofErr w:type="gramEnd"/>
      <w:r>
        <w:rPr>
          <w:rFonts w:ascii="Garamond" w:hAnsi="Garamond"/>
        </w:rPr>
        <w:t xml:space="preserve"> recreate in the material world anew. This form of thinking not only divides everyday human beings but also disconnects and isolates them from the rest as the contemplative wonderer has little connection to the plurality of the world. Furthermore, since the contemplative wonderer is not grounded on the worldly affairs of everyday life it can be easier to sit on a high-horse or see oneself as above the rest and thus judge those below themselves, which can in the severest cases turn into evil, if thoughtlessness is perpetuated </w:t>
      </w:r>
      <w:r>
        <w:rPr>
          <w:rFonts w:ascii="Garamond" w:hAnsi="Garamond"/>
          <w:noProof/>
        </w:rPr>
        <w:t>(Di Paolantonio 2019)</w:t>
      </w:r>
      <w:r>
        <w:rPr>
          <w:rFonts w:ascii="Garamond" w:hAnsi="Garamond"/>
        </w:rPr>
        <w:t xml:space="preserve">. It is ironic to note here that contemplative wonder can </w:t>
      </w:r>
      <w:r>
        <w:rPr>
          <w:rFonts w:ascii="Garamond" w:hAnsi="Garamond"/>
        </w:rPr>
        <w:lastRenderedPageBreak/>
        <w:t xml:space="preserve">contradict itself into thoughtlessness, however, it demonstrates the utility of thinking and its functionality within humanity. </w:t>
      </w:r>
    </w:p>
    <w:p w14:paraId="4DEF24DF" w14:textId="77777777" w:rsidR="00A21CC0" w:rsidRDefault="00A21CC0" w:rsidP="00A21CC0">
      <w:pPr>
        <w:spacing w:line="360" w:lineRule="auto"/>
        <w:rPr>
          <w:rFonts w:ascii="Garamond" w:hAnsi="Garamond"/>
        </w:rPr>
      </w:pPr>
      <w:r>
        <w:rPr>
          <w:rFonts w:ascii="Garamond" w:hAnsi="Garamond"/>
        </w:rPr>
        <w:tab/>
        <w:t xml:space="preserve">Dissimilarly, wonder is the “un-mastery and inoperative relation with what might turn up in the world...” as wonder remains spellbound to “attentiveness and care beyond knowingness and purpose...” Wonder in this sense goes “beyond oneself (leading outwards) without closure or final destination” </w:t>
      </w:r>
      <w:r>
        <w:rPr>
          <w:rFonts w:ascii="Garamond" w:hAnsi="Garamond"/>
          <w:noProof/>
        </w:rPr>
        <w:t>(Di Paolantonio 2019, p.21</w:t>
      </w:r>
      <w:r>
        <w:rPr>
          <w:rFonts w:ascii="Garamond" w:hAnsi="Garamond"/>
        </w:rPr>
        <w:t xml:space="preserve">8). Wonder is similar to Mackler’s (2010) definition of “reason” as it responds to non-controlled environments of thinking that cannot be verified, thinking as an activity on its own terms, producing meaning making, the never-ending process of always searching for what </w:t>
      </w:r>
      <w:r w:rsidRPr="00F506D1">
        <w:rPr>
          <w:rFonts w:ascii="Garamond" w:hAnsi="Garamond"/>
          <w:i/>
          <w:iCs/>
        </w:rPr>
        <w:t>cannot</w:t>
      </w:r>
      <w:r>
        <w:rPr>
          <w:rFonts w:ascii="Garamond" w:hAnsi="Garamond"/>
        </w:rPr>
        <w:t xml:space="preserve"> be grasped, mastered, possessed, nor “seeking to understand everything by objectifying everything” </w:t>
      </w:r>
      <w:r>
        <w:rPr>
          <w:rFonts w:ascii="Garamond" w:hAnsi="Garamond"/>
          <w:noProof/>
        </w:rPr>
        <w:t>(Di Paolantonio 2019, p.21</w:t>
      </w:r>
      <w:r>
        <w:rPr>
          <w:rFonts w:ascii="Garamond" w:hAnsi="Garamond"/>
        </w:rPr>
        <w:t xml:space="preserve">7). Though it is noteworthy to state that this form of thinking as wonder, however much it may be a more down-to-earth approach that is not rushed, can blossom into self-discovery as human beings come to know themselves through their interactions with others. And yet wonder “without closure or [a] final destination” </w:t>
      </w:r>
      <w:r>
        <w:rPr>
          <w:rFonts w:ascii="Garamond" w:hAnsi="Garamond"/>
          <w:noProof/>
        </w:rPr>
        <w:t>(Di Paolantonio 2019, p.21</w:t>
      </w:r>
      <w:r>
        <w:rPr>
          <w:rFonts w:ascii="Garamond" w:hAnsi="Garamond"/>
        </w:rPr>
        <w:t xml:space="preserve">8) and thus, no end point is an unsettlement of remaining in the </w:t>
      </w:r>
      <w:proofErr w:type="spellStart"/>
      <w:r>
        <w:rPr>
          <w:rFonts w:ascii="Garamond" w:hAnsi="Garamond"/>
        </w:rPr>
        <w:t>unknowness</w:t>
      </w:r>
      <w:proofErr w:type="spellEnd"/>
      <w:r>
        <w:rPr>
          <w:rFonts w:ascii="Garamond" w:hAnsi="Garamond"/>
        </w:rPr>
        <w:t xml:space="preserve"> of life but also an obsessive yearning which may also compel one’s trajectory into a life beyond what is, and perhaps that is the purpose of wonder, as it allows us to think freely. </w:t>
      </w:r>
    </w:p>
    <w:p w14:paraId="6A666D9B" w14:textId="77777777" w:rsidR="00A21CC0" w:rsidRDefault="00A21CC0" w:rsidP="00A21CC0">
      <w:pPr>
        <w:spacing w:line="360" w:lineRule="auto"/>
        <w:rPr>
          <w:rFonts w:ascii="Garamond" w:hAnsi="Garamond"/>
        </w:rPr>
      </w:pPr>
      <w:r>
        <w:rPr>
          <w:rFonts w:ascii="Garamond" w:hAnsi="Garamond"/>
        </w:rPr>
        <w:tab/>
        <w:t xml:space="preserve">Free thinking requires courage to include contradictions and defend those who are not consistent, what Arendt elaborates on within </w:t>
      </w:r>
      <w:r w:rsidRPr="00D63524">
        <w:rPr>
          <w:rFonts w:ascii="Garamond" w:hAnsi="Garamond"/>
          <w:i/>
          <w:iCs/>
        </w:rPr>
        <w:t>Men in Dark Times</w:t>
      </w:r>
      <w:r>
        <w:rPr>
          <w:rFonts w:ascii="Garamond" w:hAnsi="Garamond"/>
          <w:i/>
          <w:iCs/>
        </w:rPr>
        <w:t xml:space="preserve"> </w:t>
      </w:r>
      <w:r>
        <w:rPr>
          <w:rFonts w:ascii="Garamond" w:hAnsi="Garamond"/>
        </w:rPr>
        <w:t xml:space="preserve">(1968) as she uses German philosopher, publicist, art critic, and Enlightenment representative </w:t>
      </w:r>
      <w:proofErr w:type="spellStart"/>
      <w:r w:rsidRPr="00D63524">
        <w:rPr>
          <w:rFonts w:ascii="Garamond" w:hAnsi="Garamond"/>
        </w:rPr>
        <w:t>Gotthold</w:t>
      </w:r>
      <w:proofErr w:type="spellEnd"/>
      <w:r w:rsidRPr="00D63524">
        <w:rPr>
          <w:rFonts w:ascii="Garamond" w:hAnsi="Garamond"/>
        </w:rPr>
        <w:t xml:space="preserve"> Ephraim Lessing</w:t>
      </w:r>
      <w:r>
        <w:rPr>
          <w:rFonts w:ascii="Garamond" w:hAnsi="Garamond"/>
        </w:rPr>
        <w:t xml:space="preserve"> (1729- 1781) term “</w:t>
      </w:r>
      <w:proofErr w:type="spellStart"/>
      <w:r>
        <w:rPr>
          <w:rFonts w:ascii="Garamond" w:hAnsi="Garamond"/>
        </w:rPr>
        <w:t>fermenta</w:t>
      </w:r>
      <w:proofErr w:type="spellEnd"/>
      <w:r>
        <w:rPr>
          <w:rFonts w:ascii="Garamond" w:hAnsi="Garamond"/>
        </w:rPr>
        <w:t xml:space="preserve"> </w:t>
      </w:r>
      <w:proofErr w:type="spellStart"/>
      <w:r>
        <w:rPr>
          <w:rFonts w:ascii="Garamond" w:hAnsi="Garamond"/>
        </w:rPr>
        <w:t>cognitionis</w:t>
      </w:r>
      <w:proofErr w:type="spellEnd"/>
      <w:r>
        <w:rPr>
          <w:rFonts w:ascii="Garamond" w:hAnsi="Garamond"/>
        </w:rPr>
        <w:t xml:space="preserve">” </w:t>
      </w:r>
      <w:r>
        <w:rPr>
          <w:rFonts w:ascii="Garamond" w:hAnsi="Garamond"/>
        </w:rPr>
        <w:fldChar w:fldCharType="begin"/>
      </w:r>
      <w:r>
        <w:rPr>
          <w:rFonts w:ascii="Garamond" w:hAnsi="Garamond"/>
        </w:rPr>
        <w:instrText xml:space="preserve"> ADDIN ZOTERO_ITEM CSL_CITATION {"citationID":"qSS9tPQx","properties":{"formattedCitation":"(Arendt 1968)","plainCitation":"(Arendt 1968)","noteIndex":0},"citationItems":[{"id":478,"uris":["http://zotero.org/users/7261813/items/R7998NMZ"],"itemData":{"id":478,"type":"book","abstract":"\"Dark times\" is Brecht's phrase, and Hannah Arendt uses it not to suggest that those she writes about are \"mouthpieces of the Zeitgeist\" (none in fact fit such roles), but, rather, that the routine repetitive horrors of our century form the substance of the dark against which their lives of illumination were lived. All the essays, written over a period of years, are concerned with persons--writers who (except Lessing) share the first half of the twentieth century--and only implicitly with issues. Dr. Arendt believes that \"Even in the darkest of times we have the right to expect some illumination, and that such illumination may come less from theories and concepts than from the uncertain, flickering, and often weak light that some men and women, in their lives and works, will kindle under almost all circumstances and shed over the time-span that was given them on earth.\"--Publisher description.","ISBN":"978-0-15-658890-4","language":"en","note":"Google-Books-ID: _Bt9OWQlke8C","number-of-pages":"292","publisher":"Houghton Mifflin Harcourt","source":"Google Books","title":"Men in Dark Times","author":[{"family":"Arendt","given":"Hannah"}],"issued":{"date-parts":[["1968"]]}}}],"schema":"https://github.com/citation-style-language/schema/raw/master/csl-citation.json"} </w:instrText>
      </w:r>
      <w:r>
        <w:rPr>
          <w:rFonts w:ascii="Garamond" w:hAnsi="Garamond"/>
        </w:rPr>
        <w:fldChar w:fldCharType="separate"/>
      </w:r>
      <w:r>
        <w:rPr>
          <w:rFonts w:ascii="Garamond" w:hAnsi="Garamond"/>
          <w:noProof/>
        </w:rPr>
        <w:t>(Arendt 1968, p.8)</w:t>
      </w:r>
      <w:r>
        <w:rPr>
          <w:rFonts w:ascii="Garamond" w:hAnsi="Garamond"/>
        </w:rPr>
        <w:fldChar w:fldCharType="end"/>
      </w:r>
      <w:r>
        <w:rPr>
          <w:rFonts w:ascii="Garamond" w:hAnsi="Garamond"/>
        </w:rPr>
        <w:t xml:space="preserve">, the self-thinking, as the individual is “created for action, not ratiocination” (p.9). Here self-thinking is moving in the world and freedom. Freedom of movement and free action is how we experience freedom, and so from the deprived public space men retreat into what is freedom of thought. However, it is not contemplative wonderment which is a Stoic sense of inner thought independent of the world but thinking that is never bound to results but relinquished </w:t>
      </w:r>
      <w:r>
        <w:rPr>
          <w:rFonts w:ascii="Garamond" w:hAnsi="Garamond"/>
          <w:noProof/>
        </w:rPr>
        <w:t>(Arendt 1968, p.</w:t>
      </w:r>
      <w:r>
        <w:rPr>
          <w:rFonts w:ascii="Garamond" w:hAnsi="Garamond"/>
        </w:rPr>
        <w:t xml:space="preserve">10) </w:t>
      </w:r>
      <w:proofErr w:type="gramStart"/>
      <w:r>
        <w:rPr>
          <w:rFonts w:ascii="Garamond" w:hAnsi="Garamond"/>
        </w:rPr>
        <w:t>similar to</w:t>
      </w:r>
      <w:proofErr w:type="gramEnd"/>
      <w:r>
        <w:rPr>
          <w:rFonts w:ascii="Garamond" w:hAnsi="Garamond"/>
        </w:rPr>
        <w:t xml:space="preserve"> </w:t>
      </w:r>
      <w:r>
        <w:rPr>
          <w:rFonts w:ascii="Garamond" w:hAnsi="Garamond"/>
          <w:noProof/>
        </w:rPr>
        <w:t>Di Paolantonio’s</w:t>
      </w:r>
      <w:r>
        <w:rPr>
          <w:rFonts w:ascii="Garamond" w:hAnsi="Garamond"/>
        </w:rPr>
        <w:t xml:space="preserve"> conception of wonder as it is not independent from the world but of the world. This form of thinking is a thinking that is not dependent on the truth, as “every truth that is the result of a thought process necessarily puts an end to the movement of thinking” </w:t>
      </w:r>
      <w:r>
        <w:rPr>
          <w:rFonts w:ascii="Garamond" w:hAnsi="Garamond"/>
          <w:noProof/>
        </w:rPr>
        <w:t>(Arendt 1968, p.</w:t>
      </w:r>
      <w:r>
        <w:rPr>
          <w:rFonts w:ascii="Garamond" w:hAnsi="Garamond"/>
        </w:rPr>
        <w:t xml:space="preserve">10). The notion of never concluding a thought by assigning it an answer is always the formation of more thoughts which gathers more minds and thus discourse amongst thinkers. However, in our modern time, in what is now worldlessness, Arendt states that the “pillars of the best-known truths” (p.10) keeping with </w:t>
      </w:r>
      <w:r>
        <w:rPr>
          <w:rFonts w:ascii="Garamond" w:hAnsi="Garamond"/>
        </w:rPr>
        <w:lastRenderedPageBreak/>
        <w:t xml:space="preserve">Lessing’s metaphor, have been shattered to rubble. The pillars being of tradition and authority, of free thinking, and respect for the public sphere- the world. Though Arendt states that prompting a new kind of thinking that needs no pillars “no standards and traditions” (p.10) can be advantageous, history tells us differently as in contrast to the people who inhibit the world and move within it freely such pillars are needed </w:t>
      </w:r>
      <w:proofErr w:type="gramStart"/>
      <w:r>
        <w:rPr>
          <w:rFonts w:ascii="Garamond" w:hAnsi="Garamond"/>
        </w:rPr>
        <w:t>in order to</w:t>
      </w:r>
      <w:proofErr w:type="gramEnd"/>
      <w:r>
        <w:rPr>
          <w:rFonts w:ascii="Garamond" w:hAnsi="Garamond"/>
        </w:rPr>
        <w:t xml:space="preserve"> “guarantee continuity and permanence, (p.11). Apprehensively, Arendt warns that the pillars of truth, the standards and traditions upheld in the past were needed to guarantee continuity and permanence, without which mortal men are home-less, in the sense that they have no security, no stability, no place of tranquility, and thus, no means of being able to think freely as free thought comes from stability, security, and tranquility. Even if these “new truths” such as materialism replace the pillars of truth, Arendt states that it is not so for the world. The world unlike men becomes “inhumane, inhospitable to human needs- which are the needs of mortals- when it is violently wrenched into a movement in which there is no longer any sort of permeance” (p.11). It is as if to state that we are as human beings in modern times thinking without pillars. And though this form of thinking can be new and enticing thinking without pillars without standards and traditions is very difficult. As the pillars of truth give the world a kind of political order. </w:t>
      </w:r>
    </w:p>
    <w:p w14:paraId="7687B10A" w14:textId="77777777" w:rsidR="00A21CC0" w:rsidRDefault="00A21CC0" w:rsidP="00A21CC0">
      <w:pPr>
        <w:spacing w:line="360" w:lineRule="auto"/>
        <w:rPr>
          <w:rFonts w:ascii="Garamond" w:hAnsi="Garamond"/>
        </w:rPr>
      </w:pPr>
      <w:r>
        <w:rPr>
          <w:rFonts w:ascii="Garamond" w:hAnsi="Garamond"/>
        </w:rPr>
        <w:tab/>
        <w:t xml:space="preserve">Human beings live in a world today where the common truths have been shattered and every time we try and rebuild the lost pillars we fail and then we fall back onto old truths, and every time we fall back onto old truths we lose faith in them and believe them less and less and yet are scared of not having them and so human beings hold onto them even harder </w:t>
      </w:r>
      <w:r>
        <w:rPr>
          <w:rFonts w:ascii="Garamond" w:hAnsi="Garamond"/>
          <w:noProof/>
        </w:rPr>
        <w:t>(Arendt 1968, p.</w:t>
      </w:r>
      <w:r>
        <w:rPr>
          <w:rFonts w:ascii="Garamond" w:hAnsi="Garamond"/>
        </w:rPr>
        <w:t xml:space="preserve">11). And thus, the truths of that public world become less and less meaningful, whether it be democracy, freedom, Christianity, Judaism, or Islam. They are there and we know that we need to believe in something but we do not really believe in them and so we increasingly turn to Liberalism, live amongst ourselves and retreat into our private lives. We substitute the public world and turn to the private world. We retreat, into a fraternity a worldlessness humanity, especially during dark times, when specific groups of people are persecuted with no power or any standing in the public world. This notion of fraternity is rooted in the French Revolution which “leaned upon </w:t>
      </w:r>
      <w:r w:rsidRPr="0005148A">
        <w:rPr>
          <w:rFonts w:ascii="Garamond" w:hAnsi="Garamond"/>
          <w:i/>
          <w:iCs/>
        </w:rPr>
        <w:t>fraternité</w:t>
      </w:r>
      <w:r>
        <w:rPr>
          <w:rFonts w:ascii="Garamond" w:hAnsi="Garamond"/>
          <w:i/>
          <w:iCs/>
        </w:rPr>
        <w:t xml:space="preserve"> </w:t>
      </w:r>
      <w:r>
        <w:rPr>
          <w:rFonts w:ascii="Garamond" w:hAnsi="Garamond"/>
        </w:rPr>
        <w:t xml:space="preserve">as the fulfillment of humanity” </w:t>
      </w:r>
      <w:r>
        <w:rPr>
          <w:rFonts w:ascii="Garamond" w:hAnsi="Garamond"/>
          <w:noProof/>
        </w:rPr>
        <w:t>(Arendt 1968, p.</w:t>
      </w:r>
      <w:r>
        <w:rPr>
          <w:rFonts w:ascii="Garamond" w:hAnsi="Garamond"/>
        </w:rPr>
        <w:t xml:space="preserve">12) as a way of demonstrating compassion for the other as there was a common brotherly attachment for other human beings who had gone through similar dispossessions. Arendt states that humanity must manifest itself in brotherhood during such “dark times” (p.13) as it allows for the survival of those who have been “repressed and persecuted, the </w:t>
      </w:r>
      <w:r>
        <w:rPr>
          <w:rFonts w:ascii="Garamond" w:hAnsi="Garamond"/>
        </w:rPr>
        <w:lastRenderedPageBreak/>
        <w:t xml:space="preserve">exploited and humiliated” (p.14) which can no longer have voice within the public sphere. Compassion’s desire to create a fraternal closeness to the dispossessed groups allows for such groups to celebrate and love their powerlessness together as a fraternity, yet to celebrate one’s stereotypical demeanours and eccentricities no matter how powerful the bounds of humanitarianism still render them invisible to the larger world. We replace the commonality of the world with the idea of common nature or compassion, and we state that all people are equal, and we celebrate our equality in common things like music and dance, but we lose a larger idea of what holds us together in a public sense </w:t>
      </w:r>
      <w:r>
        <w:rPr>
          <w:rFonts w:ascii="Garamond" w:hAnsi="Garamond"/>
          <w:noProof/>
        </w:rPr>
        <w:t>(p.</w:t>
      </w:r>
      <w:r>
        <w:rPr>
          <w:rFonts w:ascii="Garamond" w:hAnsi="Garamond"/>
        </w:rPr>
        <w:t xml:space="preserve">13). And worldlessness, alas, is always a form of barbarism as it strips people deemed other of their right to the common world and the common senses of beauty, taste, touch, sound, and the persistence of it is the real worldlessness. “And wordlessness, alas, is always a form of barbarism” (p.13). </w:t>
      </w:r>
    </w:p>
    <w:p w14:paraId="4E9FD5C0" w14:textId="77777777" w:rsidR="00A21CC0" w:rsidRDefault="00A21CC0" w:rsidP="00A21CC0">
      <w:pPr>
        <w:spacing w:line="360" w:lineRule="auto"/>
        <w:rPr>
          <w:rFonts w:ascii="Garamond" w:hAnsi="Garamond"/>
        </w:rPr>
      </w:pPr>
      <w:r>
        <w:rPr>
          <w:rFonts w:ascii="Garamond" w:hAnsi="Garamond"/>
        </w:rPr>
        <w:tab/>
        <w:t xml:space="preserve">Does the question then become how invested in the world should those who have been dispossessed from it really be? Firstly, who are the dispossessed in our modern era? I believe they are people who have been uprooted from their land, traditions, and standards of living, that at one point assured a general sense of stability in the uncertainties of their actions within the public sphere. Thus, the dispossessed are almost if not all of humanity within some point in time and continue to be as the worldlessness of the world continues uprooting humanity from that which grounded it in a past of permanence being the world. Arendt speaks of finding humanity in an inner emigration which she defines as “the flight from the world to concealment, from the public life to anonymity” </w:t>
      </w:r>
      <w:r>
        <w:rPr>
          <w:rFonts w:ascii="Garamond" w:hAnsi="Garamond"/>
          <w:noProof/>
        </w:rPr>
        <w:t>(Arendt 1968, p.</w:t>
      </w:r>
      <w:r>
        <w:rPr>
          <w:rFonts w:ascii="Garamond" w:hAnsi="Garamond"/>
        </w:rPr>
        <w:t>22). Here Arendt states that fleeing from the world in dark times of impotence is justifiable if so as “long as reality is not ignored but is constantly acknowledged as the thing that must be escaped” (p.22). In our modern times of worldlessness does not the escapism of our subconscious not manifest in almost every aspect of our daily lives? Do we not constantly run from difficult discussions as we do not want to confront our emotions at the most basic levels, hence, one of the many reasons relationships deteriorate so quickly as if as human beings we are disposable to one another regardless of whether they be professional, platonic, or romantic. Here is where Arendt would emphasize friendship rather than love</w:t>
      </w:r>
      <w:r w:rsidRPr="00A816D7">
        <w:rPr>
          <w:rStyle w:val="FootnoteReference"/>
        </w:rPr>
        <w:footnoteReference w:id="5"/>
      </w:r>
      <w:r>
        <w:rPr>
          <w:rFonts w:ascii="Garamond" w:hAnsi="Garamond"/>
        </w:rPr>
        <w:t xml:space="preserve"> as a form of being with another in purity meaning </w:t>
      </w:r>
      <w:r>
        <w:rPr>
          <w:rFonts w:ascii="Garamond" w:hAnsi="Garamond"/>
        </w:rPr>
        <w:lastRenderedPageBreak/>
        <w:t xml:space="preserve">without false superiority or inferiority complexes which for Arendt exemplified hope in humanness in a world becoming inhumane </w:t>
      </w:r>
      <w:r>
        <w:rPr>
          <w:rFonts w:ascii="Garamond" w:hAnsi="Garamond"/>
          <w:noProof/>
        </w:rPr>
        <w:t>(Arendt 1968, p.</w:t>
      </w:r>
      <w:r>
        <w:rPr>
          <w:rFonts w:ascii="Garamond" w:hAnsi="Garamond"/>
        </w:rPr>
        <w:t xml:space="preserve">23). Yet, it is significant to speak of friendship here as an antidote to alienation in that friendship in the political sense is that of discourse with one another in public spheres rather than in the privacy of isolated dwellings where the common world may be expunged and instead the self is idolized only between one another. Therefore, friendship is of the worldliness in that the essence of friendship is rooted in discourse with others, because it is not enough to just be humans and think of the world as humane, this is not how the world works </w:t>
      </w:r>
      <w:r>
        <w:rPr>
          <w:rFonts w:ascii="Garamond" w:hAnsi="Garamond"/>
          <w:noProof/>
        </w:rPr>
        <w:t>(Arendt 1968)</w:t>
      </w:r>
      <w:r>
        <w:rPr>
          <w:rFonts w:ascii="Garamond" w:hAnsi="Garamond"/>
        </w:rPr>
        <w:t xml:space="preserve">. The past atrocities are a testament and should be a constant reminder of how inhumane a worldless world is, and again, can become. Thus, worldlessness needs dialogue in the public sphere in order to become human, the more we idolize, contemplate in philosophical wonder, rationalize, close our ears, eyes, and lips to the horrors that are happening in the everydayness of our lives because we are separated from it by distance, and the mysterious unsettlements of things and people we cannot relate to, the more we become inhumane. </w:t>
      </w:r>
    </w:p>
    <w:p w14:paraId="64D81006" w14:textId="77777777" w:rsidR="00A21CC0" w:rsidRDefault="00A21CC0" w:rsidP="00A21CC0">
      <w:pPr>
        <w:spacing w:line="360" w:lineRule="auto"/>
        <w:rPr>
          <w:rFonts w:ascii="Garamond" w:hAnsi="Garamond"/>
        </w:rPr>
      </w:pPr>
      <w:r>
        <w:rPr>
          <w:rFonts w:ascii="Garamond" w:hAnsi="Garamond"/>
        </w:rPr>
        <w:tab/>
        <w:t xml:space="preserve">Inhumanity also rests in our inability to trust firstly ourselves and secondly other human beings as we begin to put science and technology on a sort of pedestal and allow such sterility to dictate the most basic decisions of our lives which have the most profound </w:t>
      </w:r>
      <w:proofErr w:type="spellStart"/>
      <w:proofErr w:type="gramStart"/>
      <w:r>
        <w:rPr>
          <w:rFonts w:ascii="Garamond" w:hAnsi="Garamond"/>
        </w:rPr>
        <w:t>affect</w:t>
      </w:r>
      <w:proofErr w:type="spellEnd"/>
      <w:proofErr w:type="gramEnd"/>
      <w:r>
        <w:rPr>
          <w:rFonts w:ascii="Garamond" w:hAnsi="Garamond"/>
        </w:rPr>
        <w:t xml:space="preserve"> on our well-being and thus mentality. For example, the thought of being unable to </w:t>
      </w:r>
      <w:proofErr w:type="gramStart"/>
      <w:r>
        <w:rPr>
          <w:rFonts w:ascii="Garamond" w:hAnsi="Garamond"/>
        </w:rPr>
        <w:t>make a decision</w:t>
      </w:r>
      <w:proofErr w:type="gramEnd"/>
      <w:r>
        <w:rPr>
          <w:rFonts w:ascii="Garamond" w:hAnsi="Garamond"/>
        </w:rPr>
        <w:t xml:space="preserve">, or unable to commit to another human being, even the indecisiveness of committing to a passion, or taking on a responsibility, even in the most basic senses the inability of when to eat, what to eat, when to move our bodies are all part of being unable to decide for oneself. This can cause a lot of inner turmoil and lack of confidence in knowing how to navigate life. It is no wonder prominent scholars such as Mark Fisher (1968-2017), Franco </w:t>
      </w:r>
      <w:proofErr w:type="spellStart"/>
      <w:r>
        <w:rPr>
          <w:rFonts w:ascii="Garamond" w:hAnsi="Garamond"/>
        </w:rPr>
        <w:t>Bifo</w:t>
      </w:r>
      <w:proofErr w:type="spellEnd"/>
      <w:r>
        <w:rPr>
          <w:rFonts w:ascii="Garamond" w:hAnsi="Garamond"/>
        </w:rPr>
        <w:t xml:space="preserve"> </w:t>
      </w:r>
      <w:proofErr w:type="spellStart"/>
      <w:r>
        <w:rPr>
          <w:rFonts w:ascii="Garamond" w:hAnsi="Garamond"/>
        </w:rPr>
        <w:t>Betardi</w:t>
      </w:r>
      <w:proofErr w:type="spellEnd"/>
      <w:r>
        <w:rPr>
          <w:rFonts w:ascii="Garamond" w:hAnsi="Garamond"/>
        </w:rPr>
        <w:t xml:space="preserve"> (2009), and Byung-Chul Han 2022) warn against the sick and maliciousness of rapid technological and scientific expansion. Ironically, in the pursuit of happiness and comfort, human beings have readily given their mind, bodies, and emotions up voluntarily to such technological and scientific experiments rendering the aftermath of sicker youth whom as Fisher (2009) and </w:t>
      </w:r>
      <w:proofErr w:type="spellStart"/>
      <w:r>
        <w:rPr>
          <w:rFonts w:ascii="Garamond" w:hAnsi="Garamond"/>
        </w:rPr>
        <w:t>Betardi</w:t>
      </w:r>
      <w:proofErr w:type="spellEnd"/>
      <w:r>
        <w:rPr>
          <w:rFonts w:ascii="Garamond" w:hAnsi="Garamond"/>
        </w:rPr>
        <w:t xml:space="preserve"> (2009) alarmingly stated have become impotent and may not reproduce. What would Arendt think of this modernity that expunges natality and recreating anew? If the children in our modern world are not protected from the public sphere as it has been disintegrated, and instead has been replaced by the perversion of science, technology, and the private </w:t>
      </w:r>
      <w:r>
        <w:rPr>
          <w:rFonts w:ascii="Garamond" w:hAnsi="Garamond"/>
        </w:rPr>
        <w:lastRenderedPageBreak/>
        <w:t xml:space="preserve">sphere becoming the public in which no respect and authority is upheld, what then becomes of the children? Of the Youth? </w:t>
      </w:r>
    </w:p>
    <w:p w14:paraId="4FEB97E3" w14:textId="77777777" w:rsidR="00A21CC0" w:rsidRDefault="00A21CC0" w:rsidP="00A21CC0">
      <w:pPr>
        <w:spacing w:line="360" w:lineRule="auto"/>
        <w:rPr>
          <w:rFonts w:ascii="Garamond" w:hAnsi="Garamond"/>
        </w:rPr>
      </w:pPr>
      <w:r>
        <w:rPr>
          <w:rFonts w:ascii="Garamond" w:hAnsi="Garamond"/>
        </w:rPr>
        <w:tab/>
        <w:t xml:space="preserve">Does education have any say in how human beings must pass on a worldless world? Do we not trust more in the science and technology of modernity than in our own common senses, in which we have come to doubt and be mistrusting of, further stripping our humaneness to feel, think, act, and recreate? </w:t>
      </w:r>
    </w:p>
    <w:p w14:paraId="1C2EB3E9" w14:textId="764A04D4" w:rsidR="00A21CC0" w:rsidRPr="009601F5" w:rsidRDefault="00A21CC0" w:rsidP="00A21CC0">
      <w:pPr>
        <w:spacing w:line="360" w:lineRule="auto"/>
        <w:rPr>
          <w:rFonts w:ascii="Garamond" w:hAnsi="Garamond"/>
        </w:rPr>
      </w:pPr>
      <w:r>
        <w:rPr>
          <w:rFonts w:ascii="Garamond" w:hAnsi="Garamond"/>
        </w:rPr>
        <w:tab/>
        <w:t xml:space="preserve">And yet something more sinister has caught my attention as I look for patterns in understanding the decline of wonder and reason within thinking. Could the inextricable use of technology, and science be interlinked to our population? When Fisher (2009), </w:t>
      </w:r>
      <w:proofErr w:type="spellStart"/>
      <w:r>
        <w:rPr>
          <w:rFonts w:ascii="Garamond" w:hAnsi="Garamond"/>
        </w:rPr>
        <w:t>Betardi</w:t>
      </w:r>
      <w:proofErr w:type="spellEnd"/>
      <w:r>
        <w:rPr>
          <w:rFonts w:ascii="Garamond" w:hAnsi="Garamond"/>
        </w:rPr>
        <w:t xml:space="preserve"> (2009), and Byung-Chul Han (2022) state that there is an impotence of future generations recreating new ideas, can it be literally an impotence due to technology and science that has decreased the birthrate of newborns in the world, and continues to do so? The phenomenon is called “population-lag effect” </w:t>
      </w:r>
      <w:r>
        <w:rPr>
          <w:rFonts w:ascii="Garamond" w:hAnsi="Garamond"/>
        </w:rPr>
        <w:fldChar w:fldCharType="begin"/>
      </w:r>
      <w:r>
        <w:rPr>
          <w:rFonts w:ascii="Garamond" w:hAnsi="Garamond"/>
        </w:rPr>
        <w:instrText xml:space="preserve"> ADDIN ZOTERO_ITEM CSL_CITATION {"citationID":"qMNMwKSQ","properties":{"formattedCitation":"(Nargund 2009)","plainCitation":"(Nargund 2009)","noteIndex":0},"citationItems":[{"id":466,"uris":["http://zotero.org/users/7261813/items/RRYH64SV"],"itemData":{"id":466,"type":"article-journal","container-title":"Facts, Views &amp; Vision in ObGyn","ISSN":"2032-0418","issue":"3","journalAbbreviation":"Facts Views Vis Obgyn","note":"PMID: 25489464\nPMCID: PMC4255510","page":"191-193","source":"PubMed Central","title":"Declining birth rate in Developed Countries: A radical policy re-think is required","title-short":"Declining birth rate in Developed Countries","URL":"https://www.ncbi.nlm.nih.gov/pmc/articles/PMC4255510/","volume":"1","author":[{"family":"Nargund","given":"G."}],"accessed":{"date-parts":[["2024",4,30]]},"issued":{"date-parts":[["2009"]]}}}],"schema":"https://github.com/citation-style-language/schema/raw/master/csl-citation.json"} </w:instrText>
      </w:r>
      <w:r>
        <w:rPr>
          <w:rFonts w:ascii="Garamond" w:hAnsi="Garamond"/>
        </w:rPr>
        <w:fldChar w:fldCharType="separate"/>
      </w:r>
      <w:r>
        <w:rPr>
          <w:rFonts w:ascii="Garamond" w:hAnsi="Garamond"/>
          <w:noProof/>
        </w:rPr>
        <w:t>(Nargund 2009)</w:t>
      </w:r>
      <w:r>
        <w:rPr>
          <w:rFonts w:ascii="Garamond" w:hAnsi="Garamond"/>
        </w:rPr>
        <w:fldChar w:fldCharType="end"/>
      </w:r>
      <w:r>
        <w:rPr>
          <w:rFonts w:ascii="Garamond" w:hAnsi="Garamond"/>
        </w:rPr>
        <w:t xml:space="preserve"> </w:t>
      </w:r>
      <w:r>
        <w:rPr>
          <w:rFonts w:ascii="Garamond" w:hAnsi="Garamond"/>
        </w:rPr>
        <w:fldChar w:fldCharType="begin"/>
      </w:r>
      <w:r>
        <w:rPr>
          <w:rFonts w:ascii="Garamond" w:hAnsi="Garamond"/>
        </w:rPr>
        <w:instrText xml:space="preserve"> ADDIN ZOTERO_ITEM CSL_CITATION {"citationID":"SSoHtRQh","properties":{"formattedCitation":"(\\uc0\\u8220{}World: Fertility Rate 1950-2100,\\uc0\\u8221{} n.d.)","plainCitation":"(“World: Fertility Rate 1950-2100,” n.d.)","noteIndex":0},"citationItems":[{"id":486,"uris":["http://zotero.org/users/7261813/items/6JDGX6ZQ"],"itemData":{"id":486,"type":"webpage","abstract":"Today, globally, the average woman of childbearing is expected to give birth to approximately 2.3 children over the course of their lifetime.","container-title":"Statista","language":"en","title":"World: fertility rate 1950-2100","title-short":"World","URL":"https://www.statista.com/statistics/805064/fertility-rate-worldwide/","accessed":{"date-parts":[["2024",5,3]]}}}],"schema":"https://github.com/citation-style-language/schema/raw/master/csl-citation.json"} </w:instrText>
      </w:r>
      <w:r>
        <w:rPr>
          <w:rFonts w:ascii="Garamond" w:hAnsi="Garamond"/>
        </w:rPr>
        <w:fldChar w:fldCharType="separate"/>
      </w:r>
      <w:r w:rsidRPr="00F62306">
        <w:rPr>
          <w:rFonts w:ascii="Garamond" w:hAnsi="Garamond" w:cs="Times New Roman"/>
          <w:kern w:val="0"/>
          <w:lang w:val="en-US"/>
        </w:rPr>
        <w:t>(“World: Fertility Rate 1950-2100,” n.d.)</w:t>
      </w:r>
      <w:r>
        <w:rPr>
          <w:rFonts w:ascii="Garamond" w:hAnsi="Garamond"/>
        </w:rPr>
        <w:fldChar w:fldCharType="end"/>
      </w:r>
      <w:r>
        <w:rPr>
          <w:rFonts w:ascii="Garamond" w:hAnsi="Garamond"/>
        </w:rPr>
        <w:t xml:space="preserve"> in which the population continues to grow even through the fertility rate declines, this is because recent high fertility produced large numbers of young couples who would now be in their childbearing years and yet are not bearing children. Is this perhaps due to the liberation of female contraceptives in which no responsibility needs to be taken on either side anymore as hook-up culture is readily available with no requirement of men courting, nor women taking responsibility for how many partners they engage with intimately? What becomes of motivation for sex if it is readily available whether via online pornography or online hook-up sites? This hook-up culture exempts reproduction and commitment, via science and technology with the innovations of female contraceptives and the vast choices of global online </w:t>
      </w:r>
      <w:proofErr w:type="gramStart"/>
      <w:r>
        <w:rPr>
          <w:rFonts w:ascii="Garamond" w:hAnsi="Garamond"/>
        </w:rPr>
        <w:t>dating, and</w:t>
      </w:r>
      <w:proofErr w:type="gramEnd"/>
      <w:r>
        <w:rPr>
          <w:rFonts w:ascii="Garamond" w:hAnsi="Garamond"/>
        </w:rPr>
        <w:t xml:space="preserve"> even cheating on one’s spouse or partner as Ashley Madison</w:t>
      </w:r>
      <w:r w:rsidRPr="00A816D7">
        <w:rPr>
          <w:rStyle w:val="FootnoteReference"/>
        </w:rPr>
        <w:footnoteReference w:id="6"/>
      </w:r>
      <w:r>
        <w:rPr>
          <w:rFonts w:ascii="Garamond" w:hAnsi="Garamond"/>
        </w:rPr>
        <w:t xml:space="preserve"> is so infamously known for with the opening page quoting “Life is short. Have an affair” </w:t>
      </w:r>
      <w:r>
        <w:rPr>
          <w:rFonts w:ascii="Garamond" w:hAnsi="Garamond"/>
        </w:rPr>
        <w:fldChar w:fldCharType="begin"/>
      </w:r>
      <w:r>
        <w:rPr>
          <w:rFonts w:ascii="Garamond" w:hAnsi="Garamond"/>
        </w:rPr>
        <w:instrText xml:space="preserve"> ADDIN ZOTERO_ITEM CSL_CITATION {"citationID":"vW6XrH7q","properties":{"formattedCitation":"(\\uc0\\u8220{}Affairs &amp; Discreet Married Dating\\uc0\\u8239{}:: Ashley Madison\\uc0\\u174{},\\uc0\\u8221{} n.d.)","plainCitation":"(“Affairs &amp; Discreet Married Dating</w:instrText>
      </w:r>
      <w:r>
        <w:rPr>
          <w:rFonts w:ascii="Times New Roman" w:hAnsi="Times New Roman" w:cs="Times New Roman"/>
        </w:rPr>
        <w:instrText> </w:instrText>
      </w:r>
      <w:r>
        <w:rPr>
          <w:rFonts w:ascii="Garamond" w:hAnsi="Garamond"/>
        </w:rPr>
        <w:instrText xml:space="preserve">:: Ashley Madison®,” n.d.)","noteIndex":0},"citationItems":[{"id":476,"uris":["http://zotero.org/users/7261813/items/EUG8HA6J"],"itemData":{"id":476,"type":"webpage","abstract":"Meet bored men &amp; lonely housewives. Define your experience, and live life to the fullest! Life is short. Have an affair.®","language":"en","title":"Affairs &amp; Discreet Married Dating :: Ashley Madison®","title-short":"Affairs &amp; Discreet Married Dating","URL":"https://www.ashleymadison.com/en-us/","accessed":{"date-parts":[["2024",4,30]]}}}],"schema":"https://github.com/citation-style-language/schema/raw/master/csl-citation.json"} </w:instrText>
      </w:r>
      <w:r>
        <w:rPr>
          <w:rFonts w:ascii="Garamond" w:hAnsi="Garamond"/>
        </w:rPr>
        <w:fldChar w:fldCharType="separate"/>
      </w:r>
      <w:r w:rsidRPr="00F62306">
        <w:rPr>
          <w:rFonts w:ascii="Garamond" w:hAnsi="Garamond" w:cs="Times New Roman"/>
          <w:kern w:val="0"/>
          <w:lang w:val="en-US"/>
        </w:rPr>
        <w:t>(“Affairs &amp; Discreet Married Dating</w:t>
      </w:r>
      <w:r w:rsidRPr="00F62306">
        <w:rPr>
          <w:rFonts w:ascii="Times New Roman" w:hAnsi="Times New Roman" w:cs="Times New Roman"/>
          <w:kern w:val="0"/>
          <w:lang w:val="en-US"/>
        </w:rPr>
        <w:t> </w:t>
      </w:r>
      <w:r w:rsidRPr="00F62306">
        <w:rPr>
          <w:rFonts w:ascii="Garamond" w:hAnsi="Garamond" w:cs="Times New Roman"/>
          <w:kern w:val="0"/>
          <w:lang w:val="en-US"/>
        </w:rPr>
        <w:t>:: Ashley Madison®,” n.d.)</w:t>
      </w:r>
      <w:r>
        <w:rPr>
          <w:rFonts w:ascii="Garamond" w:hAnsi="Garamond"/>
        </w:rPr>
        <w:fldChar w:fldCharType="end"/>
      </w:r>
      <w:r>
        <w:rPr>
          <w:rFonts w:ascii="Garamond" w:hAnsi="Garamond"/>
        </w:rPr>
        <w:t>. I will not delve into the social media, and political culture of female promiscuity as masquerading for female individualist autonomy</w:t>
      </w:r>
      <w:r w:rsidRPr="00A816D7">
        <w:rPr>
          <w:rStyle w:val="FootnoteReference"/>
        </w:rPr>
        <w:footnoteReference w:id="7"/>
      </w:r>
      <w:r>
        <w:rPr>
          <w:rFonts w:ascii="Garamond" w:hAnsi="Garamond"/>
        </w:rPr>
        <w:t xml:space="preserve"> here but I will state that more so than AI, sciences, and technology the world should be concerned with lack of thinking and brilliance, lack of </w:t>
      </w:r>
      <w:r>
        <w:rPr>
          <w:rFonts w:ascii="Garamond" w:hAnsi="Garamond"/>
        </w:rPr>
        <w:lastRenderedPageBreak/>
        <w:t xml:space="preserve">Arendt’s “pillars of truth” standards and traditions as new birth rates are in decline. This is significant as </w:t>
      </w:r>
      <w:r>
        <w:rPr>
          <w:rFonts w:ascii="Garamond" w:hAnsi="Garamond"/>
        </w:rPr>
        <w:t>its</w:t>
      </w:r>
      <w:r>
        <w:rPr>
          <w:rFonts w:ascii="Garamond" w:hAnsi="Garamond"/>
        </w:rPr>
        <w:t xml:space="preserve"> prophecies more conservative groups reproducing children, meaning that for example, the Amish people may at some point take over more responsibilities of our country or the United States. There will not be enough brilliant young minds to help Elon Musk get to Mars if we need these new engineers to continue running our electricity as we will not have access nor excess human capital as we once did. These are truly worldless times and </w:t>
      </w:r>
      <w:proofErr w:type="gramStart"/>
      <w:r>
        <w:rPr>
          <w:rFonts w:ascii="Garamond" w:hAnsi="Garamond"/>
        </w:rPr>
        <w:t>in order to</w:t>
      </w:r>
      <w:proofErr w:type="gramEnd"/>
      <w:r>
        <w:rPr>
          <w:rFonts w:ascii="Garamond" w:hAnsi="Garamond"/>
        </w:rPr>
        <w:t xml:space="preserve"> get a better understanding of what society and educators need to consciously compete against this meaninglessness within our lives there needs to be a conception of culture, not a falsity of equality via compassion which can excuse an evildoers sinisterism’s.</w:t>
      </w:r>
    </w:p>
    <w:p w14:paraId="46B8C052" w14:textId="77777777" w:rsidR="00A21CC0" w:rsidRDefault="00A21CC0" w:rsidP="00A21CC0">
      <w:pPr>
        <w:spacing w:line="360" w:lineRule="auto"/>
        <w:rPr>
          <w:rFonts w:ascii="Garamond" w:hAnsi="Garamond"/>
          <w:b/>
          <w:bCs/>
          <w:u w:val="single"/>
        </w:rPr>
      </w:pPr>
      <w:r w:rsidRPr="00927C96">
        <w:rPr>
          <w:rFonts w:ascii="Garamond" w:hAnsi="Garamond"/>
          <w:b/>
          <w:bCs/>
          <w:u w:val="single"/>
        </w:rPr>
        <w:t>Understanding the Culture</w:t>
      </w:r>
    </w:p>
    <w:p w14:paraId="38B6D8FD" w14:textId="1DA2ADCF" w:rsidR="00A21CC0" w:rsidRPr="002A32E4" w:rsidRDefault="00A21CC0" w:rsidP="00A21CC0">
      <w:pPr>
        <w:spacing w:line="360" w:lineRule="auto"/>
        <w:rPr>
          <w:rFonts w:ascii="Garamond" w:hAnsi="Garamond"/>
          <w:color w:val="000000" w:themeColor="text1"/>
        </w:rPr>
      </w:pPr>
      <w:r>
        <w:rPr>
          <w:rFonts w:ascii="Garamond" w:hAnsi="Garamond"/>
        </w:rPr>
        <w:tab/>
        <w:t xml:space="preserve">What if it is about understanding the culture of our times rather than these ideologies about race, gender, socioeconomic status, or political identity? Socially constructed ideas about western society that justify peoples’ actions are about culture, and in this case a culture of worldlessness. Like a movie that feels off because the characters do not represent the culture of the time within the movie, many people within our societies are not able to think with reason, they are not able to wonder. They have become cultureless and in so becoming stagnant they have lost their cultural authenticity which bonds them to other human beings in a respectful manner. The newer generations erase the past of tradition and standards, they erase the richness of diversity, of culture, and commonality, they are not grounded in cultural authenticity, and there needs to be cultural familiarity something that has become sterile through the education system, through the social system. How can a group of individuals come together if they are unable to have respectful dialogue about what all human beings </w:t>
      </w:r>
      <w:proofErr w:type="gramStart"/>
      <w:r>
        <w:rPr>
          <w:rFonts w:ascii="Garamond" w:hAnsi="Garamond"/>
        </w:rPr>
        <w:t>share in common</w:t>
      </w:r>
      <w:proofErr w:type="gramEnd"/>
      <w:r>
        <w:rPr>
          <w:rFonts w:ascii="Garamond" w:hAnsi="Garamond"/>
        </w:rPr>
        <w:t xml:space="preserve">- the world. Therefore, it is not about our present day checking off boxes to appease one another’s differences, it is about understanding the culture of the groups of </w:t>
      </w:r>
      <w:r>
        <w:rPr>
          <w:rFonts w:ascii="Garamond" w:hAnsi="Garamond"/>
        </w:rPr>
        <w:t>people and</w:t>
      </w:r>
      <w:r>
        <w:rPr>
          <w:rFonts w:ascii="Garamond" w:hAnsi="Garamond"/>
        </w:rPr>
        <w:t xml:space="preserve"> bringing stories to life in a way that resonates with other human beings. Yet, not taking responsibility and playing the victim of sympathy to what has happened to a certain group. For, example Oxford University located in the UK just this pass month (April 23</w:t>
      </w:r>
      <w:r>
        <w:rPr>
          <w:rFonts w:ascii="Garamond" w:hAnsi="Garamond"/>
          <w:vertAlign w:val="superscript"/>
        </w:rPr>
        <w:t>rd</w:t>
      </w:r>
      <w:r>
        <w:rPr>
          <w:rFonts w:ascii="Garamond" w:hAnsi="Garamond"/>
        </w:rPr>
        <w:t>, 2024) cancelled the St. Georges Day event, a cultural holiday recognized as England’s national day which pays tribute to the patron saint of England, and yet they had an Eid dinner celebration commemorating the end of Ramadan, a month in which Muslims fast abstaining from food and drink between dawn to sunset. Ironically, because of the Muslim customs even the meat was halal and there was no alcohol served</w:t>
      </w:r>
      <w:r w:rsidRPr="002A32E4">
        <w:rPr>
          <w:rFonts w:ascii="Garamond" w:hAnsi="Garamond"/>
          <w:color w:val="000000" w:themeColor="text1"/>
        </w:rPr>
        <w:t xml:space="preserve">. </w:t>
      </w:r>
      <w:r>
        <w:rPr>
          <w:rFonts w:ascii="Garamond" w:hAnsi="Garamond"/>
          <w:color w:val="000000" w:themeColor="text1"/>
          <w:lang w:val="en-US"/>
        </w:rPr>
        <w:t>W</w:t>
      </w:r>
      <w:r w:rsidRPr="002A32E4">
        <w:rPr>
          <w:rFonts w:ascii="Garamond" w:hAnsi="Garamond"/>
          <w:color w:val="000000" w:themeColor="text1"/>
          <w:lang w:val="en-US"/>
        </w:rPr>
        <w:t xml:space="preserve">hen modern people of English heritage acknowledge the </w:t>
      </w:r>
      <w:r w:rsidRPr="002A32E4">
        <w:rPr>
          <w:rFonts w:ascii="Garamond" w:hAnsi="Garamond"/>
          <w:color w:val="000000" w:themeColor="text1"/>
          <w:lang w:val="en-US"/>
        </w:rPr>
        <w:lastRenderedPageBreak/>
        <w:t xml:space="preserve">misdeeds of their ancestors and take on responsibility now for those </w:t>
      </w:r>
      <w:r>
        <w:rPr>
          <w:rFonts w:ascii="Garamond" w:hAnsi="Garamond"/>
          <w:color w:val="000000" w:themeColor="text1"/>
          <w:lang w:val="en-US"/>
        </w:rPr>
        <w:t xml:space="preserve">past </w:t>
      </w:r>
      <w:r w:rsidRPr="002A32E4">
        <w:rPr>
          <w:rFonts w:ascii="Garamond" w:hAnsi="Garamond"/>
          <w:color w:val="000000" w:themeColor="text1"/>
          <w:lang w:val="en-US"/>
        </w:rPr>
        <w:t>actions – they are disempowering themselves</w:t>
      </w:r>
      <w:r>
        <w:rPr>
          <w:rFonts w:ascii="Garamond" w:hAnsi="Garamond"/>
          <w:color w:val="000000" w:themeColor="text1"/>
          <w:lang w:val="en-US"/>
        </w:rPr>
        <w:t xml:space="preserve">, and becoming the victims even though they may not have been the ones who committed the crimes of for example colonizing India, and partitioning Pakistan. </w:t>
      </w:r>
      <w:r>
        <w:rPr>
          <w:rFonts w:ascii="Garamond" w:hAnsi="Garamond"/>
          <w:color w:val="000000" w:themeColor="text1"/>
          <w:lang w:val="en-US"/>
        </w:rPr>
        <w:fldChar w:fldCharType="begin"/>
      </w:r>
      <w:r>
        <w:rPr>
          <w:rFonts w:ascii="Garamond" w:hAnsi="Garamond"/>
          <w:color w:val="000000" w:themeColor="text1"/>
          <w:lang w:val="en-US"/>
        </w:rPr>
        <w:instrText xml:space="preserve"> ADDIN ZOTERO_ITEM CSL_CITATION {"citationID":"ALoW7XGG","properties":{"formattedCitation":"(Somerville 2023)","plainCitation":"(Somerville 2023)","noteIndex":0},"citationItems":[{"id":469,"uris":["http://zotero.org/users/7261813/items/7J7MQYLM"],"itemData":{"id":469,"type":"article-newspaper","abstract":"Magdalen College’s St George’s Day banquet has been replaced by a formal dinner for Eid, the Islamic festival marking the end of Ramadan","container-title":"The Telegraph","ISSN":"0307-1235","language":"en-GB","source":"www.telegraph.co.uk","title":"Oxford College accused of ‘cancelling’ St George’s Day after row over Eid dinner on April 23","URL":"https://www.telegraph.co.uk/news/2023/04/04/magdalen-college-oxford-st-georges-day-eid-dinner/","author":[{"family":"Somerville","given":"Ewan"}],"accessed":{"date-parts":[["2024",4,30]]},"issued":{"date-parts":[["2023",4,4]]}}}],"schema":"https://github.com/citation-style-language/schema/raw/master/csl-citation.json"} </w:instrText>
      </w:r>
      <w:r>
        <w:rPr>
          <w:rFonts w:ascii="Garamond" w:hAnsi="Garamond"/>
          <w:color w:val="000000" w:themeColor="text1"/>
          <w:lang w:val="en-US"/>
        </w:rPr>
        <w:fldChar w:fldCharType="separate"/>
      </w:r>
      <w:r>
        <w:rPr>
          <w:rFonts w:ascii="Garamond" w:hAnsi="Garamond"/>
          <w:noProof/>
          <w:color w:val="000000" w:themeColor="text1"/>
          <w:lang w:val="en-US"/>
        </w:rPr>
        <w:t>(Somerville 2023)</w:t>
      </w:r>
      <w:r>
        <w:rPr>
          <w:rFonts w:ascii="Garamond" w:hAnsi="Garamond"/>
          <w:color w:val="000000" w:themeColor="text1"/>
          <w:lang w:val="en-US"/>
        </w:rPr>
        <w:fldChar w:fldCharType="end"/>
      </w:r>
    </w:p>
    <w:p w14:paraId="59AF3B86" w14:textId="5BB9C004" w:rsidR="00A21CC0" w:rsidRDefault="00A21CC0" w:rsidP="00A21CC0">
      <w:pPr>
        <w:spacing w:line="360" w:lineRule="auto"/>
        <w:rPr>
          <w:rFonts w:ascii="Garamond" w:hAnsi="Garamond"/>
        </w:rPr>
      </w:pPr>
      <w:r>
        <w:rPr>
          <w:rFonts w:ascii="Garamond" w:hAnsi="Garamond"/>
        </w:rPr>
        <w:tab/>
        <w:t>However, to play the victim takes one’s power and respect away, what rights do the English have in making anything better? To state that colonizers must give every country back to their rightful owners is a naive and irresponsible statement that has dire consequences on the world for which country has not been in some extremity unaffected? Rather the St. George celebrations which are part of the English tradition should have commemorated at Oxford University beside the Eid dinner celebration, alcohol and meat that was unacceptable to non-Muslims should have been included on the table for whomever chose to drink and eat within their culture. It is about inauthentic appeasement that conjures up resentment behind the closed doors of the private sphere which has now become the public through a separation of race, gender, politics, religion, and education, it is about better consideration of culture. Just as there is an understanding of Islamic devotion there should also be an understanding of Christian forgiveness in similar circumstance. This is the world of commonality, accepting others’ differences, trying to understand what cannot be understood, remaining uncomfortable in the uncertainty yet through dialogue coming to an agreement. It is about understanding equally one another’s cultures and respecting them rather than expecting one group to erase themselves for the other.</w:t>
      </w:r>
      <w:r>
        <w:rPr>
          <w:rFonts w:ascii="Garamond" w:hAnsi="Garamond"/>
        </w:rPr>
        <w:tab/>
      </w:r>
      <w:r>
        <w:rPr>
          <w:rFonts w:ascii="Garamond" w:hAnsi="Garamond"/>
        </w:rPr>
        <w:tab/>
      </w:r>
      <w:r>
        <w:rPr>
          <w:rFonts w:ascii="Garamond" w:hAnsi="Garamond"/>
        </w:rPr>
        <w:tab/>
      </w:r>
      <w:r>
        <w:rPr>
          <w:rFonts w:ascii="Garamond" w:hAnsi="Garamond"/>
        </w:rPr>
        <w:tab/>
      </w:r>
      <w:r>
        <w:rPr>
          <w:rFonts w:ascii="Garamond" w:hAnsi="Garamond"/>
        </w:rPr>
        <w:tab/>
      </w:r>
      <w:r>
        <w:rPr>
          <w:rFonts w:ascii="Garamond" w:hAnsi="Garamond"/>
        </w:rPr>
        <w:tab/>
      </w:r>
      <w:r>
        <w:rPr>
          <w:rFonts w:ascii="Garamond" w:hAnsi="Garamond"/>
        </w:rPr>
        <w:tab/>
        <w:t xml:space="preserve"> In thinking about culture, I reflect on the classic movies that captured the western </w:t>
      </w:r>
      <w:r>
        <w:rPr>
          <w:rFonts w:ascii="Garamond" w:hAnsi="Garamond"/>
        </w:rPr>
        <w:t>world’s</w:t>
      </w:r>
      <w:r>
        <w:rPr>
          <w:rFonts w:ascii="Garamond" w:hAnsi="Garamond"/>
        </w:rPr>
        <w:t xml:space="preserve"> </w:t>
      </w:r>
      <w:proofErr w:type="gramStart"/>
      <w:r>
        <w:rPr>
          <w:rFonts w:ascii="Garamond" w:hAnsi="Garamond"/>
        </w:rPr>
        <w:t>imaginations</w:t>
      </w:r>
      <w:proofErr w:type="gramEnd"/>
      <w:r>
        <w:rPr>
          <w:rFonts w:ascii="Garamond" w:hAnsi="Garamond"/>
        </w:rPr>
        <w:t xml:space="preserve"> and it was because the directors exceptionally captured the culture. Steven Spielberg did </w:t>
      </w:r>
      <w:r w:rsidRPr="006235EB">
        <w:rPr>
          <w:rFonts w:ascii="Garamond" w:hAnsi="Garamond"/>
          <w:i/>
          <w:iCs/>
        </w:rPr>
        <w:t>Schindler’s List</w:t>
      </w:r>
      <w:r>
        <w:rPr>
          <w:rFonts w:ascii="Garamond" w:hAnsi="Garamond"/>
        </w:rPr>
        <w:t xml:space="preserve"> (1993), and to this day anyone who has seen this movie can understand the breadth and depth of what it meant to be a Jew during World War II and Martin Scorsese did </w:t>
      </w:r>
      <w:r w:rsidRPr="006235EB">
        <w:rPr>
          <w:rFonts w:ascii="Garamond" w:hAnsi="Garamond"/>
          <w:i/>
          <w:iCs/>
        </w:rPr>
        <w:t>Goodfellas</w:t>
      </w:r>
      <w:r>
        <w:rPr>
          <w:rFonts w:ascii="Garamond" w:hAnsi="Garamond"/>
        </w:rPr>
        <w:t xml:space="preserve"> (1990), in which people came to understand what took place behind closed doors within Italian Mafias. Steven Spielberg could have directed </w:t>
      </w:r>
      <w:r w:rsidRPr="006235EB">
        <w:rPr>
          <w:rFonts w:ascii="Garamond" w:hAnsi="Garamond"/>
          <w:i/>
          <w:iCs/>
        </w:rPr>
        <w:t>Goodfellas</w:t>
      </w:r>
      <w:r>
        <w:rPr>
          <w:rFonts w:ascii="Garamond" w:hAnsi="Garamond"/>
        </w:rPr>
        <w:t xml:space="preserve">, but it would not have been the same as there are cultural differences, an unspoken phenomenological experience of one group’s traditions, understandings, followings, rights and wrongs, </w:t>
      </w:r>
      <w:r w:rsidRPr="00927C96">
        <w:rPr>
          <w:rFonts w:ascii="Garamond" w:hAnsi="Garamond"/>
          <w:i/>
          <w:iCs/>
        </w:rPr>
        <w:t>culture</w:t>
      </w:r>
      <w:r>
        <w:rPr>
          <w:rFonts w:ascii="Garamond" w:hAnsi="Garamond"/>
        </w:rPr>
        <w:t xml:space="preserve"> that other groups just cannot get unless there is a public sphere a permeance and continuity of the world, pillars of truth that can guide people rather than main stream bait which just like the sciences and technology has in many cases bamboozled people against one another to hide or erase their dislike further isolating them and festering subconscious hatred. </w:t>
      </w:r>
    </w:p>
    <w:p w14:paraId="328B66D0" w14:textId="77777777" w:rsidR="00A21CC0" w:rsidRDefault="00A21CC0" w:rsidP="00A21CC0">
      <w:pPr>
        <w:spacing w:line="360" w:lineRule="auto"/>
        <w:rPr>
          <w:rFonts w:ascii="Garamond" w:hAnsi="Garamond"/>
        </w:rPr>
      </w:pPr>
    </w:p>
    <w:p w14:paraId="28F3F8F4" w14:textId="77777777" w:rsidR="00A21CC0" w:rsidRDefault="00A21CC0" w:rsidP="00A21CC0">
      <w:pPr>
        <w:spacing w:line="360" w:lineRule="auto"/>
        <w:rPr>
          <w:rFonts w:ascii="Garamond" w:hAnsi="Garamond"/>
        </w:rPr>
      </w:pPr>
    </w:p>
    <w:p w14:paraId="32A275BE" w14:textId="77777777" w:rsidR="00A21CC0" w:rsidRDefault="00A21CC0" w:rsidP="00A21CC0">
      <w:pPr>
        <w:spacing w:line="360" w:lineRule="auto"/>
        <w:rPr>
          <w:rFonts w:ascii="Garamond" w:hAnsi="Garamond"/>
          <w:b/>
          <w:bCs/>
          <w:u w:val="single"/>
        </w:rPr>
      </w:pPr>
      <w:r>
        <w:rPr>
          <w:rFonts w:ascii="Garamond" w:hAnsi="Garamond"/>
          <w:b/>
          <w:bCs/>
          <w:u w:val="single"/>
        </w:rPr>
        <w:t xml:space="preserve">Education </w:t>
      </w:r>
    </w:p>
    <w:p w14:paraId="1D8BD058" w14:textId="77777777" w:rsidR="00A21CC0" w:rsidRDefault="00A21CC0" w:rsidP="00A21CC0">
      <w:pPr>
        <w:spacing w:line="360" w:lineRule="auto"/>
        <w:rPr>
          <w:rFonts w:ascii="Garamond" w:hAnsi="Garamond"/>
        </w:rPr>
      </w:pPr>
      <w:r>
        <w:rPr>
          <w:rFonts w:ascii="Garamond" w:hAnsi="Garamond"/>
        </w:rPr>
        <w:tab/>
        <w:t xml:space="preserve">In alignment with culture, education plays a pivotal role in cultivating the next generation of thinkers, yet the current </w:t>
      </w:r>
      <w:proofErr w:type="gramStart"/>
      <w:r>
        <w:rPr>
          <w:rFonts w:ascii="Garamond" w:hAnsi="Garamond"/>
        </w:rPr>
        <w:t>state of affairs</w:t>
      </w:r>
      <w:proofErr w:type="gramEnd"/>
      <w:r>
        <w:rPr>
          <w:rFonts w:ascii="Garamond" w:hAnsi="Garamond"/>
        </w:rPr>
        <w:t xml:space="preserve"> with the private becoming the public, children are very early on expected to take a side. Why is it that if students are being taught about liberalism ideals it is looked as educating for equality, empathy, racism, genderism and yet if students are being taught how to become thinkers it is frowned upon. Katharine Moana </w:t>
      </w:r>
      <w:proofErr w:type="spellStart"/>
      <w:r>
        <w:rPr>
          <w:rFonts w:ascii="Garamond" w:hAnsi="Garamond"/>
        </w:rPr>
        <w:t>Birbalsingh</w:t>
      </w:r>
      <w:proofErr w:type="spellEnd"/>
      <w:r>
        <w:rPr>
          <w:rFonts w:ascii="Garamond" w:hAnsi="Garamond"/>
        </w:rPr>
        <w:t xml:space="preserve"> a British teacher and education reform advocate is the founder and head teacher at Michaela Community School located in Wembley Park, London. She is a former Alma mater of Oxford University where she obtained her BA in French and Philosophy. Since establishing Michaela Community School in 2014 a free school</w:t>
      </w:r>
      <w:r w:rsidRPr="00A816D7">
        <w:rPr>
          <w:rStyle w:val="FootnoteReference"/>
        </w:rPr>
        <w:footnoteReference w:id="8"/>
      </w:r>
      <w:r>
        <w:rPr>
          <w:rFonts w:ascii="Garamond" w:hAnsi="Garamond"/>
        </w:rPr>
        <w:t xml:space="preserve"> she has been taking on a lot of heat for her title as UK’s strictest headteacher, and yet she has achieved the most remarkable academic results for her students, many of these students come from the most disadvantaged and deprived socioeconomic circumstances, and yet she has been relentlessly attacked for her triumph and outperformance of any other school within the country </w:t>
      </w:r>
      <w:r>
        <w:rPr>
          <w:rFonts w:ascii="Garamond" w:hAnsi="Garamond"/>
        </w:rPr>
        <w:fldChar w:fldCharType="begin"/>
      </w:r>
      <w:r>
        <w:rPr>
          <w:rFonts w:ascii="Garamond" w:hAnsi="Garamond"/>
        </w:rPr>
        <w:instrText xml:space="preserve"> ADDIN ZOTERO_ITEM CSL_CITATION {"citationID":"44sF7kBf","properties":{"formattedCitation":"(\\uc0\\u8220{}Katharine Birbalsingh CBE,\\uc0\\u8221{} n.d.)","plainCitation":"(“Katharine Birbalsingh CBE,” n.d.)","noteIndex":0},"citationItems":[{"id":472,"uris":["http://zotero.org/users/7261813/items/GYFVTXY3"],"itemData":{"id":472,"type":"webpage","abstract":"Katharine Birbalsingh is the Chair of the Social Mobility Commission and Headmistress and co-founder of Michaela Community School in Wembley, London. Michaela is known for its tough-love behaviour systems, knowledge curriculum and teaching of kindness and gratitude. In 2017, Ofsted graded the school as ‘Outstanding’ in every category. In 2022, almost 75% of all GCSEs were graded 9 to 7 (A* to A). 98% of pupils achieved a 4+ (C or above) in both English and Maths, with 99% of all pupils achieving grade 9 to 4 (A* to C) in at least 5 subjects. Katharine read Philosophy and Modern Languages at the University of Oxford and has always taught in inner London. She has made numerous appearances on television and radio and has written for several UK publications. Katharine has written 2 books and edited 2 more, including The Power of Culture (published in June 2020). Katharine was appointed Commander of the Order of the British Empire (CBE) in the 2020 Birthday Honours by the Queen.","container-title":"GOV.UK","language":"en","title":"Katharine Birbalsingh CBE","URL":"https://www.gov.uk/government/people/katharine-birbalsingh","accessed":{"date-parts":[["2024",4,30]]}}}],"schema":"https://github.com/citation-style-language/schema/raw/master/csl-citation.json"} </w:instrText>
      </w:r>
      <w:r>
        <w:rPr>
          <w:rFonts w:ascii="Garamond" w:hAnsi="Garamond"/>
        </w:rPr>
        <w:fldChar w:fldCharType="separate"/>
      </w:r>
      <w:r w:rsidRPr="009601F5">
        <w:rPr>
          <w:rFonts w:ascii="Garamond" w:hAnsi="Garamond" w:cs="Times New Roman"/>
          <w:kern w:val="0"/>
          <w:lang w:val="en-US"/>
        </w:rPr>
        <w:t xml:space="preserve">(“Katharine </w:t>
      </w:r>
      <w:proofErr w:type="spellStart"/>
      <w:r w:rsidRPr="009601F5">
        <w:rPr>
          <w:rFonts w:ascii="Garamond" w:hAnsi="Garamond" w:cs="Times New Roman"/>
          <w:kern w:val="0"/>
          <w:lang w:val="en-US"/>
        </w:rPr>
        <w:t>Birbalsingh</w:t>
      </w:r>
      <w:proofErr w:type="spellEnd"/>
      <w:r w:rsidRPr="009601F5">
        <w:rPr>
          <w:rFonts w:ascii="Garamond" w:hAnsi="Garamond" w:cs="Times New Roman"/>
          <w:kern w:val="0"/>
          <w:lang w:val="en-US"/>
        </w:rPr>
        <w:t xml:space="preserve"> CBE,” n.d.)</w:t>
      </w:r>
      <w:r>
        <w:rPr>
          <w:rFonts w:ascii="Garamond" w:hAnsi="Garamond"/>
        </w:rPr>
        <w:fldChar w:fldCharType="end"/>
      </w:r>
      <w:r>
        <w:rPr>
          <w:rFonts w:ascii="Garamond" w:hAnsi="Garamond"/>
        </w:rPr>
        <w:t xml:space="preserve">. Katharine </w:t>
      </w:r>
      <w:proofErr w:type="spellStart"/>
      <w:r>
        <w:rPr>
          <w:rFonts w:ascii="Garamond" w:hAnsi="Garamond"/>
        </w:rPr>
        <w:t>Birbalsingh</w:t>
      </w:r>
      <w:proofErr w:type="spellEnd"/>
      <w:r>
        <w:rPr>
          <w:rFonts w:ascii="Garamond" w:hAnsi="Garamond"/>
        </w:rPr>
        <w:t xml:space="preserve"> has shown that you do not need a lot of money to improve education since this institution is less advantaged than the average school within the UK. However, what is needed is discipline, dedicated educators, and teaching the fundamentals of character formation via thinking </w:t>
      </w:r>
      <w:r>
        <w:rPr>
          <w:rFonts w:ascii="Garamond" w:hAnsi="Garamond"/>
        </w:rPr>
        <w:fldChar w:fldCharType="begin"/>
      </w:r>
      <w:r>
        <w:rPr>
          <w:rFonts w:ascii="Garamond" w:hAnsi="Garamond"/>
        </w:rPr>
        <w:instrText xml:space="preserve"> ADDIN ZOTERO_ITEM CSL_CITATION {"citationID":"ezMM45bP","properties":{"formattedCitation":"(Murray 2024)","plainCitation":"(Murray 2024)","noteIndex":0},"citationItems":[{"id":474,"uris":["http://zotero.org/users/7261813/items/CPWAQT3V"],"itemData":{"id":474,"type":"webpage","abstract":"There are two questions that need to be asked of any society: what is it that is going wrong; and what is it that’s going right that should be done more? It’s only natural to focus on the first question – not least because it is easier. But it is the second question that should","container-title":"The Spectator","language":"en-US","title":"The triumph of Katharine Birbalsingh","URL":"https://www.spectator.co.uk/article/the-triumph-of-katharine-birbalsingh/","author":[{"family":"Murray","given":"Douglas"}],"accessed":{"date-parts":[["2024",4,30]]},"issued":{"date-parts":[["2024",4,17]]}}}],"schema":"https://github.com/citation-style-language/schema/raw/master/csl-citation.json"} </w:instrText>
      </w:r>
      <w:r>
        <w:rPr>
          <w:rFonts w:ascii="Garamond" w:hAnsi="Garamond"/>
        </w:rPr>
        <w:fldChar w:fldCharType="separate"/>
      </w:r>
      <w:r>
        <w:rPr>
          <w:rFonts w:ascii="Garamond" w:hAnsi="Garamond"/>
          <w:noProof/>
        </w:rPr>
        <w:t>(Murray 2024)</w:t>
      </w:r>
      <w:r>
        <w:rPr>
          <w:rFonts w:ascii="Garamond" w:hAnsi="Garamond"/>
        </w:rPr>
        <w:fldChar w:fldCharType="end"/>
      </w:r>
      <w:r>
        <w:rPr>
          <w:rFonts w:ascii="Garamond" w:hAnsi="Garamond"/>
        </w:rPr>
        <w:t xml:space="preserve">. The school prides itself on disciple and a traditional style of teaching in which there is a zero-tolerance policy regarding poor behaviour. Pupils within this school write several essays a year, memorize poetry and read Shakespearian plays, the school teaches a culture of kindness and etiquette and the educators put it on themselves to expose children to ideas that do not stigmatize some learning as white and some as black such as black children not being able to engage with for example, Mozart or Shakespeare, as that is deem white education </w:t>
      </w:r>
      <w:r>
        <w:rPr>
          <w:rFonts w:ascii="Garamond" w:hAnsi="Garamond"/>
        </w:rPr>
        <w:fldChar w:fldCharType="begin"/>
      </w:r>
      <w:r>
        <w:rPr>
          <w:rFonts w:ascii="Garamond" w:hAnsi="Garamond"/>
        </w:rPr>
        <w:instrText xml:space="preserve"> ADDIN ZOTERO_ITEM CSL_CITATION {"citationID":"lfzjrd1e","properties":{"formattedCitation":"(Birbalsingh 2020)","plainCitation":"(Birbalsingh 2020)","noteIndex":0},"citationItems":[{"id":462,"uris":["http://zotero.org/users/7261813/items/BU54AYNG"],"itemData":{"id":462,"type":"book","abstract":"Michaela Community School in Brent, London is one of the most talked-about schools in the UK. In this follow-up to the best-selling book Battle Hymn of the Tiger Teachers, their teachers further explain how their relentlessly high expectations are helping young people to get great results and be successful. Since opening in 2014, Michaela Community School has blazed a trail and defied many of the received notions about what works best in schools. In Tiger Teachers Take Two, staff explore some of the things they have learned since the publication of the original book and further develop the ideology that lies beyond the headlines and social media arguments. Chapters include: Don't be squeamish about scripture - why we teach religion at Michaela; Relationships and systems; National Citizenship and Identity; Teaching National History; Digital Detox; Authority; Original Sin &amp; Christian beliefs at Michaela; Telling kids the truth/teaching personal responsibility; Assessment at Michaela; Loving the difficult kids; The baby in the progressive bathwater; The culture of feedback at Michaela; Why is teaching gratitude important?; Parenting the Michaela way","ISBN":"978-1-912906-21-5","language":"en","note":"Google-Books-ID: OUaewgEACAAJ","number-of-pages":"408","publisher":"John Catt","source":"Google Books","title":"The Power of Culture:  the Michaela Way","title-short":"The Power of Culture","author":[{"family":"Birbalsingh","given":"Katharine"}],"issued":{"date-parts":[["2020"]]}}}],"schema":"https://github.com/citation-style-language/schema/raw/master/csl-citation.json"} </w:instrText>
      </w:r>
      <w:r>
        <w:rPr>
          <w:rFonts w:ascii="Garamond" w:hAnsi="Garamond"/>
        </w:rPr>
        <w:fldChar w:fldCharType="separate"/>
      </w:r>
      <w:r>
        <w:rPr>
          <w:rFonts w:ascii="Garamond" w:hAnsi="Garamond"/>
          <w:noProof/>
        </w:rPr>
        <w:t>(Birbalsingh 2020)</w:t>
      </w:r>
      <w:r>
        <w:rPr>
          <w:rFonts w:ascii="Garamond" w:hAnsi="Garamond"/>
        </w:rPr>
        <w:fldChar w:fldCharType="end"/>
      </w:r>
      <w:r>
        <w:rPr>
          <w:rFonts w:ascii="Garamond" w:hAnsi="Garamond"/>
        </w:rPr>
        <w:t xml:space="preserve">. </w:t>
      </w:r>
      <w:proofErr w:type="spellStart"/>
      <w:r>
        <w:rPr>
          <w:rFonts w:ascii="Garamond" w:hAnsi="Garamond"/>
        </w:rPr>
        <w:t>Birbalsingh</w:t>
      </w:r>
      <w:proofErr w:type="spellEnd"/>
      <w:r>
        <w:rPr>
          <w:rFonts w:ascii="Garamond" w:hAnsi="Garamond"/>
        </w:rPr>
        <w:t xml:space="preserve"> and Michaela Community school believe that all children regardless of their background can access anything if it is taught well, thus this is a teacher led institution, with radical thoughts for the future generations of disadvantaged children </w:t>
      </w:r>
      <w:r>
        <w:rPr>
          <w:rFonts w:ascii="Garamond" w:hAnsi="Garamond"/>
        </w:rPr>
        <w:fldChar w:fldCharType="begin"/>
      </w:r>
      <w:r>
        <w:rPr>
          <w:rFonts w:ascii="Garamond" w:hAnsi="Garamond"/>
        </w:rPr>
        <w:instrText xml:space="preserve"> ADDIN ZOTERO_ITEM CSL_CITATION {"citationID":"4itu0CV6","properties":{"formattedCitation":"(Birbalsingh 2020)","plainCitation":"(Birbalsingh 2020)","noteIndex":0},"citationItems":[{"id":462,"uris":["http://zotero.org/users/7261813/items/BU54AYNG"],"itemData":{"id":462,"type":"book","abstract":"Michaela Community School in Brent, London is one of the most talked-about schools in the UK. In this follow-up to the best-selling book Battle Hymn of the Tiger Teachers, their teachers further explain how their relentlessly high expectations are helping young people to get great results and be successful. Since opening in 2014, Michaela Community School has blazed a trail and defied many of the received notions about what works best in schools. In Tiger Teachers Take Two, staff explore some of the things they have learned since the publication of the original book and further develop the ideology that lies beyond the headlines and social media arguments. Chapters include: Don't be squeamish about scripture - why we teach religion at Michaela; Relationships and systems; National Citizenship and Identity; Teaching National History; Digital Detox; Authority; Original Sin &amp; Christian beliefs at Michaela; Telling kids the truth/teaching personal responsibility; Assessment at Michaela; Loving the difficult kids; The baby in the progressive bathwater; The culture of feedback at Michaela; Why is teaching gratitude important?; Parenting the Michaela way","ISBN":"978-1-912906-21-5","language":"en","note":"Google-Books-ID: OUaewgEACAAJ","number-of-pages":"408","publisher":"John Catt","source":"Google Books","title":"The Power of Culture:  the Michaela Way","title-short":"The Power of Culture","author":[{"family":"Birbalsingh","given":"Katharine"}],"issued":{"date-parts":[["2020"]]}}}],"schema":"https://github.com/citation-style-language/schema/raw/master/csl-citation.json"} </w:instrText>
      </w:r>
      <w:r>
        <w:rPr>
          <w:rFonts w:ascii="Garamond" w:hAnsi="Garamond"/>
        </w:rPr>
        <w:fldChar w:fldCharType="separate"/>
      </w:r>
      <w:r>
        <w:rPr>
          <w:rFonts w:ascii="Garamond" w:hAnsi="Garamond"/>
          <w:noProof/>
        </w:rPr>
        <w:t>(Birbalsingh 2020)</w:t>
      </w:r>
      <w:r>
        <w:rPr>
          <w:rFonts w:ascii="Garamond" w:hAnsi="Garamond"/>
        </w:rPr>
        <w:fldChar w:fldCharType="end"/>
      </w:r>
      <w:r>
        <w:rPr>
          <w:rFonts w:ascii="Garamond" w:hAnsi="Garamond"/>
        </w:rPr>
        <w:t xml:space="preserve">. This is the power of culture within education. The educators are </w:t>
      </w:r>
      <w:proofErr w:type="gramStart"/>
      <w:r>
        <w:rPr>
          <w:rFonts w:ascii="Garamond" w:hAnsi="Garamond"/>
        </w:rPr>
        <w:t>well aware</w:t>
      </w:r>
      <w:proofErr w:type="gramEnd"/>
      <w:r>
        <w:rPr>
          <w:rFonts w:ascii="Garamond" w:hAnsi="Garamond"/>
        </w:rPr>
        <w:t xml:space="preserve"> of </w:t>
      </w:r>
      <w:r>
        <w:rPr>
          <w:rFonts w:ascii="Garamond" w:hAnsi="Garamond"/>
        </w:rPr>
        <w:lastRenderedPageBreak/>
        <w:t xml:space="preserve">the current culture of worldlessness and are equipping the children for the future within politics. My question becomes then why so much backlash? Why should it be that a school which demonstrates so much excellence, has a very clear guiding policy, that demonstrates exceptionality is attacked by Leftists, the teaching unions, labour parties and others. </w:t>
      </w:r>
      <w:r>
        <w:rPr>
          <w:rFonts w:ascii="Garamond" w:hAnsi="Garamond"/>
        </w:rPr>
        <w:fldChar w:fldCharType="begin"/>
      </w:r>
      <w:r>
        <w:rPr>
          <w:rFonts w:ascii="Garamond" w:hAnsi="Garamond"/>
        </w:rPr>
        <w:instrText xml:space="preserve"> ADDIN ZOTERO_ITEM CSL_CITATION {"citationID":"W9VvSobZ","properties":{"formattedCitation":"(Lloyd 2024)","plainCitation":"(Lloyd 2024)","noteIndex":0},"citationItems":[{"id":514,"uris":["http://zotero.org/users/7261813/items/VJB65V65"],"itemData":{"id":514,"type":"post-weblog","abstract":"Britain’s strictest headteacher is preparing children for a society that no longer exists.","container-title":"New Statesman","language":"en-US","title":"The lesson Katharine Birbalsingh can’t teach","URL":"https://www.newstatesman.com/comment/2024/01/katherine-birbalsingh-lesson-cant-teach","author":[{"family":"Lloyd","given":"Will"}],"accessed":{"date-parts":[["2024",5,3]]},"issued":{"date-parts":[["2024",1,24]]}}}],"schema":"https://github.com/citation-style-language/schema/raw/master/csl-citation.json"} </w:instrText>
      </w:r>
      <w:r>
        <w:rPr>
          <w:rFonts w:ascii="Garamond" w:hAnsi="Garamond"/>
        </w:rPr>
        <w:fldChar w:fldCharType="separate"/>
      </w:r>
      <w:r>
        <w:rPr>
          <w:rFonts w:ascii="Garamond" w:hAnsi="Garamond"/>
          <w:noProof/>
        </w:rPr>
        <w:t>(Lloyd 2024)</w:t>
      </w:r>
      <w:r>
        <w:rPr>
          <w:rFonts w:ascii="Garamond" w:hAnsi="Garamond"/>
        </w:rPr>
        <w:fldChar w:fldCharType="end"/>
      </w:r>
      <w:r>
        <w:rPr>
          <w:rFonts w:ascii="Garamond" w:hAnsi="Garamond"/>
        </w:rPr>
        <w:t xml:space="preserve"> </w:t>
      </w:r>
      <w:r>
        <w:rPr>
          <w:rFonts w:ascii="Garamond" w:hAnsi="Garamond"/>
        </w:rPr>
        <w:fldChar w:fldCharType="begin"/>
      </w:r>
      <w:r>
        <w:rPr>
          <w:rFonts w:ascii="Garamond" w:hAnsi="Garamond"/>
        </w:rPr>
        <w:instrText xml:space="preserve"> ADDIN ZOTERO_ITEM CSL_CITATION {"citationID":"rjxkMCY7","properties":{"formattedCitation":"(Guyoncourt 2024)","plainCitation":"(Guyoncourt 2024)","noteIndex":0},"citationItems":[{"id":507,"uris":["http://zotero.org/users/7261813/items/X4AZMNBB"],"itemData":{"id":507,"type":"webpage","abstract":"The headteacher and former social mobility tsar has hailed the High Court ruling as a 'victory for all schools'","container-title":"inews.co.uk","language":"en","title":"Who is Katharine Birbalsingh? Michaela School headteacher who banned prayer","title-short":"Who is Katharine Birbalsingh?","URL":"https://inews.co.uk/news/katharine-birbalsingh-michaela-school-3009663","author":[{"family":"Guyoncourt","given":"Sally"}],"accessed":{"date-parts":[["2024",5,3]]},"issued":{"date-parts":[["2024",4,16]]}}}],"schema":"https://github.com/citation-style-language/schema/raw/master/csl-citation.json"} </w:instrText>
      </w:r>
      <w:r>
        <w:rPr>
          <w:rFonts w:ascii="Garamond" w:hAnsi="Garamond"/>
        </w:rPr>
        <w:fldChar w:fldCharType="separate"/>
      </w:r>
      <w:r>
        <w:rPr>
          <w:rFonts w:ascii="Garamond" w:hAnsi="Garamond"/>
          <w:noProof/>
        </w:rPr>
        <w:t>(Guyoncourt 2024)</w:t>
      </w:r>
      <w:r>
        <w:rPr>
          <w:rFonts w:ascii="Garamond" w:hAnsi="Garamond"/>
        </w:rPr>
        <w:fldChar w:fldCharType="end"/>
      </w:r>
      <w:r>
        <w:rPr>
          <w:rFonts w:ascii="Garamond" w:hAnsi="Garamond"/>
        </w:rPr>
        <w:t xml:space="preserve"> </w:t>
      </w:r>
      <w:r>
        <w:rPr>
          <w:rFonts w:ascii="Garamond" w:hAnsi="Garamond"/>
        </w:rPr>
        <w:fldChar w:fldCharType="begin"/>
      </w:r>
      <w:r>
        <w:rPr>
          <w:rFonts w:ascii="Garamond" w:hAnsi="Garamond"/>
        </w:rPr>
        <w:instrText xml:space="preserve"> ADDIN ZOTERO_ITEM CSL_CITATION {"citationID":"hUzT4CSV","properties":{"formattedCitation":"(\\uc0\\u8220{}Katharine Birbalsingh: Girls Dislike Hard Maths, Says Education Adviser\\uc0\\u8221{} 2022)","plainCitation":"(“Katharine Birbalsingh: Girls Dislike Hard Maths, Says Education Adviser” 2022)","noteIndex":0},"citationItems":[{"id":516,"uris":["http://zotero.org/users/7261813/items/U4VIXV7A"],"itemData":{"id":516,"type":"article-newspaper","abstract":"Katharine Birbalsingh faces criticism for suggesting \"hard maths\" leads girls not to choose physics A-level.","language":"en-GB","source":"www.bbc.com","title":"Katharine Birbalsingh: Girls dislike hard maths, says education adviser","title-short":"Katharine Birbalsingh","URL":"https://www.bbc.com/news/uk-politics-61247374","accessed":{"date-parts":[["2024",5,3]]},"issued":{"date-parts":[["2022",4,27]]}}}],"schema":"https://github.com/citation-style-language/schema/raw/master/csl-citation.json"} </w:instrText>
      </w:r>
      <w:r>
        <w:rPr>
          <w:rFonts w:ascii="Garamond" w:hAnsi="Garamond"/>
        </w:rPr>
        <w:fldChar w:fldCharType="separate"/>
      </w:r>
      <w:r w:rsidRPr="009601F5">
        <w:rPr>
          <w:rFonts w:ascii="Garamond" w:hAnsi="Garamond" w:cs="Times New Roman"/>
          <w:kern w:val="0"/>
          <w:lang w:val="en-US"/>
        </w:rPr>
        <w:t xml:space="preserve">(“Katharine </w:t>
      </w:r>
      <w:proofErr w:type="spellStart"/>
      <w:r w:rsidRPr="009601F5">
        <w:rPr>
          <w:rFonts w:ascii="Garamond" w:hAnsi="Garamond" w:cs="Times New Roman"/>
          <w:kern w:val="0"/>
          <w:lang w:val="en-US"/>
        </w:rPr>
        <w:t>Birbalsingh</w:t>
      </w:r>
      <w:proofErr w:type="spellEnd"/>
      <w:r w:rsidRPr="009601F5">
        <w:rPr>
          <w:rFonts w:ascii="Garamond" w:hAnsi="Garamond" w:cs="Times New Roman"/>
          <w:kern w:val="0"/>
          <w:lang w:val="en-US"/>
        </w:rPr>
        <w:t xml:space="preserve">: Girls Dislike Hard </w:t>
      </w:r>
      <w:proofErr w:type="spellStart"/>
      <w:r w:rsidRPr="009601F5">
        <w:rPr>
          <w:rFonts w:ascii="Garamond" w:hAnsi="Garamond" w:cs="Times New Roman"/>
          <w:kern w:val="0"/>
          <w:lang w:val="en-US"/>
        </w:rPr>
        <w:t>Maths</w:t>
      </w:r>
      <w:proofErr w:type="spellEnd"/>
      <w:r w:rsidRPr="009601F5">
        <w:rPr>
          <w:rFonts w:ascii="Garamond" w:hAnsi="Garamond" w:cs="Times New Roman"/>
          <w:kern w:val="0"/>
          <w:lang w:val="en-US"/>
        </w:rPr>
        <w:t>, Says Education Adviser” 2022)</w:t>
      </w:r>
      <w:r>
        <w:rPr>
          <w:rFonts w:ascii="Garamond" w:hAnsi="Garamond"/>
        </w:rPr>
        <w:fldChar w:fldCharType="end"/>
      </w:r>
      <w:r>
        <w:rPr>
          <w:rFonts w:ascii="Garamond" w:hAnsi="Garamond"/>
        </w:rPr>
        <w:t xml:space="preserve">. Why do the critiques attack this school rather than saying that other schools should perhaps follow. Is it perhaps that the success of Katharine </w:t>
      </w:r>
      <w:proofErr w:type="spellStart"/>
      <w:r>
        <w:rPr>
          <w:rFonts w:ascii="Garamond" w:hAnsi="Garamond"/>
        </w:rPr>
        <w:t>Birbalsign</w:t>
      </w:r>
      <w:proofErr w:type="spellEnd"/>
      <w:r>
        <w:rPr>
          <w:rFonts w:ascii="Garamond" w:hAnsi="Garamond"/>
        </w:rPr>
        <w:t xml:space="preserve"> shows the failures of her critics, that maybe a Left-wing approach to education is not as conducive for learning minds that need discipline in the very crucial and beginning stages of children’s lives in a world where materialism has perversely deteriorated tradition and standards. Could disciple, authority, and respect, be of value for small children’s wondering minds that need a sense of structure and safety from this vast world of meaninglessness? It is about the ethos of the school, of the education, and of </w:t>
      </w:r>
      <w:proofErr w:type="spellStart"/>
      <w:r>
        <w:rPr>
          <w:rFonts w:ascii="Garamond" w:hAnsi="Garamond"/>
        </w:rPr>
        <w:t>Birbalsign’s</w:t>
      </w:r>
      <w:proofErr w:type="spellEnd"/>
      <w:r>
        <w:rPr>
          <w:rFonts w:ascii="Garamond" w:hAnsi="Garamond"/>
        </w:rPr>
        <w:t xml:space="preserve"> passion as she has been continuously faced with challenges right from the beginning of constructing this school, and yet continues on triumphantly </w:t>
      </w:r>
      <w:r>
        <w:rPr>
          <w:rFonts w:ascii="Garamond" w:hAnsi="Garamond"/>
        </w:rPr>
        <w:fldChar w:fldCharType="begin"/>
      </w:r>
      <w:r>
        <w:rPr>
          <w:rFonts w:ascii="Garamond" w:hAnsi="Garamond"/>
        </w:rPr>
        <w:instrText xml:space="preserve"> ADDIN ZOTERO_ITEM CSL_CITATION {"citationID":"AgoTcWWg","properties":{"formattedCitation":"(\\uc0\\u8220{}\\uc0\\u8216{}I Am Fighting for My School\\uc0\\u8217{}s Survival,\\uc0\\u8217{}\\uc0\\u8221{} n.d.)","plainCitation":"(“‘I Am Fighting for My School’s Survival,’” n.d.)","noteIndex":0},"citationItems":[{"id":511,"uris":["http://zotero.org/users/7261813/items/9JJUYE45"],"itemData":{"id":511,"type":"webpage","abstract":"Katharine Birbalsingh on why she won’t back down on her school’s prayer ban.","language":"en-GB","title":"‘I am fighting for my school’s survival’","URL":"https://www.spiked-online.com/2024/02/14/i-am-fighting-for-my-schools-survival/","accessed":{"date-parts":[["2024",5,3]]}}}],"schema":"https://github.com/citation-style-language/schema/raw/master/csl-citation.json"} </w:instrText>
      </w:r>
      <w:r>
        <w:rPr>
          <w:rFonts w:ascii="Garamond" w:hAnsi="Garamond"/>
        </w:rPr>
        <w:fldChar w:fldCharType="separate"/>
      </w:r>
      <w:r w:rsidRPr="009601F5">
        <w:rPr>
          <w:rFonts w:ascii="Garamond" w:hAnsi="Garamond" w:cs="Times New Roman"/>
          <w:kern w:val="0"/>
          <w:lang w:val="en-US"/>
        </w:rPr>
        <w:t>(“‘I Am Fighting for My School’s Survival,’” n.d.)</w:t>
      </w:r>
      <w:r>
        <w:rPr>
          <w:rFonts w:ascii="Garamond" w:hAnsi="Garamond"/>
        </w:rPr>
        <w:fldChar w:fldCharType="end"/>
      </w:r>
      <w:r>
        <w:rPr>
          <w:rFonts w:ascii="Garamond" w:hAnsi="Garamond"/>
        </w:rPr>
        <w:t xml:space="preserve">. </w:t>
      </w:r>
    </w:p>
    <w:p w14:paraId="17C47D0A" w14:textId="77777777" w:rsidR="00A21CC0" w:rsidRDefault="00A21CC0" w:rsidP="00A21CC0">
      <w:pPr>
        <w:spacing w:line="360" w:lineRule="auto"/>
        <w:rPr>
          <w:rFonts w:ascii="Garamond" w:hAnsi="Garamond"/>
          <w:b/>
          <w:bCs/>
        </w:rPr>
      </w:pPr>
      <w:r>
        <w:rPr>
          <w:rFonts w:ascii="Garamond" w:hAnsi="Garamond"/>
          <w:b/>
          <w:bCs/>
        </w:rPr>
        <w:t>Conclusion</w:t>
      </w:r>
    </w:p>
    <w:p w14:paraId="67FD9D88" w14:textId="77777777" w:rsidR="00A21CC0" w:rsidRPr="00B11311" w:rsidRDefault="00A21CC0" w:rsidP="00A21CC0">
      <w:pPr>
        <w:spacing w:line="360" w:lineRule="auto"/>
        <w:rPr>
          <w:rFonts w:ascii="Garamond" w:hAnsi="Garamond"/>
        </w:rPr>
      </w:pPr>
      <w:r>
        <w:rPr>
          <w:rFonts w:ascii="Garamond" w:hAnsi="Garamond"/>
        </w:rPr>
        <w:tab/>
        <w:t xml:space="preserve">I think about children and what they will inherit once we the adults have left this world. Educators such as the passionate Katharine </w:t>
      </w:r>
      <w:proofErr w:type="spellStart"/>
      <w:r>
        <w:rPr>
          <w:rFonts w:ascii="Garamond" w:hAnsi="Garamond"/>
        </w:rPr>
        <w:t>Birbalsign</w:t>
      </w:r>
      <w:proofErr w:type="spellEnd"/>
      <w:r>
        <w:rPr>
          <w:rFonts w:ascii="Garamond" w:hAnsi="Garamond"/>
        </w:rPr>
        <w:t xml:space="preserve">, who fights for the future of our children, is vilified for giving children exactly what adults may not require. Children need protection from the public world of intricate problems till they </w:t>
      </w:r>
      <w:proofErr w:type="gramStart"/>
      <w:r>
        <w:rPr>
          <w:rFonts w:ascii="Garamond" w:hAnsi="Garamond"/>
        </w:rPr>
        <w:t>are able to</w:t>
      </w:r>
      <w:proofErr w:type="gramEnd"/>
      <w:r>
        <w:rPr>
          <w:rFonts w:ascii="Garamond" w:hAnsi="Garamond"/>
        </w:rPr>
        <w:t xml:space="preserve"> think freely, yet that requires discipline at a young age, a schedule and routine which instills stability, respect for oneself and others, and develops moral character traits, these are the fundamental basics, and the teaching must be teacher centered. The private sphere of which human beings create a secure place for children is a “shield against the world” </w:t>
      </w:r>
      <w:r>
        <w:rPr>
          <w:rFonts w:ascii="Garamond" w:hAnsi="Garamond"/>
        </w:rPr>
        <w:fldChar w:fldCharType="begin"/>
      </w:r>
      <w:r>
        <w:rPr>
          <w:rFonts w:ascii="Garamond" w:hAnsi="Garamond"/>
        </w:rPr>
        <w:instrText xml:space="preserve"> ADDIN ZOTERO_ITEM CSL_CITATION {"citationID":"HW8q6Qe9","properties":{"formattedCitation":"(Arendt and Kohn 2006)","plainCitation":"(Arendt and Kohn 2006)","noteIndex":0},"citationItems":[{"id":352,"uris":["http://zotero.org/users/7261813/items/RZFUKZXD"],"itemData":{"id":352,"type":"book","abstract":"From the author of Eichmann in Jerusalem and The Origins of Totalitarianism, “a book to think with through the political impasses and cultural confusions of our day” (Harper’s Magazine)   Hannah Arendt’s insightful observations of the modern world, based on a profound knowledge of the past, constitute an impassioned contribution to political philosophy. In Between Past and Future Arendt describes the perplexing crises modern society faces as a result of the loss of meaning of the traditional key words of politics: justice, reason, responsibility, virtue, and glory. Through a series of eight exercises, she shows how we can redistill the vital essence of these concepts and use them to regain a frame of reference for the future. To participate in these exercises is to associate, in action, with one of the most original and fruitful minds of the twentieth century.","ISBN":"978-1-101-66265-6","language":"en","note":"Google-Books-ID: VZrpAgAAQBAJ","number-of-pages":"322","publisher":"Penguin","source":"Google Books","title":"Between Past and Future","author":[{"family":"Arendt","given":"Hannah"},{"family":"Kohn","given":"Jerome"}],"issued":{"date-parts":[["2006",9,26]]}}}],"schema":"https://github.com/citation-style-language/schema/raw/master/csl-citation.json"} </w:instrText>
      </w:r>
      <w:r>
        <w:rPr>
          <w:rFonts w:ascii="Garamond" w:hAnsi="Garamond"/>
        </w:rPr>
        <w:fldChar w:fldCharType="separate"/>
      </w:r>
      <w:r>
        <w:rPr>
          <w:rFonts w:ascii="Garamond" w:hAnsi="Garamond"/>
          <w:noProof/>
        </w:rPr>
        <w:t>(Arendt and Kohn 2006, p.183)</w:t>
      </w:r>
      <w:r>
        <w:rPr>
          <w:rFonts w:ascii="Garamond" w:hAnsi="Garamond"/>
        </w:rPr>
        <w:fldChar w:fldCharType="end"/>
      </w:r>
      <w:r>
        <w:rPr>
          <w:rFonts w:ascii="Garamond" w:hAnsi="Garamond"/>
        </w:rPr>
        <w:t xml:space="preserve">. The four walls are deemed as vital to the protection and privacy of what makes the private and the public quality valuable. Arendt states that the merging of the private into public and vice versa destroys its unreplaceable quality and what it stands for. The private in our present day has become the public causing confusion, and uncertainty in the young people which further perpetuates anxiety as they try to develop their sense of self. Yes, free thinking and meaning making requires uncertainty and unpredictability however, in a world of permanence and guaranteed continuity, not in a world of worldlessness, and escapism. </w:t>
      </w:r>
      <w:r w:rsidRPr="00BD43F6">
        <w:rPr>
          <w:rFonts w:ascii="Garamond" w:hAnsi="Garamond"/>
        </w:rPr>
        <w:t xml:space="preserve">Children need the deployment of trust from the world </w:t>
      </w:r>
      <w:proofErr w:type="gramStart"/>
      <w:r w:rsidRPr="00BD43F6">
        <w:rPr>
          <w:rFonts w:ascii="Garamond" w:hAnsi="Garamond"/>
        </w:rPr>
        <w:t>in order to</w:t>
      </w:r>
      <w:proofErr w:type="gramEnd"/>
      <w:r w:rsidRPr="00BD43F6">
        <w:rPr>
          <w:rFonts w:ascii="Garamond" w:hAnsi="Garamond"/>
        </w:rPr>
        <w:t xml:space="preserve"> reproduce</w:t>
      </w:r>
      <w:r>
        <w:rPr>
          <w:rFonts w:ascii="Garamond" w:hAnsi="Garamond"/>
        </w:rPr>
        <w:t xml:space="preserve">. I wonder what Arendt would say to the liberal ideologies that are burdening the mental capacity for wonder in children in our </w:t>
      </w:r>
      <w:r>
        <w:rPr>
          <w:rFonts w:ascii="Garamond" w:hAnsi="Garamond"/>
        </w:rPr>
        <w:lastRenderedPageBreak/>
        <w:t xml:space="preserve">present times, for </w:t>
      </w:r>
      <w:proofErr w:type="gramStart"/>
      <w:r>
        <w:rPr>
          <w:rFonts w:ascii="Garamond" w:hAnsi="Garamond"/>
        </w:rPr>
        <w:t>I myself</w:t>
      </w:r>
      <w:proofErr w:type="gramEnd"/>
      <w:r>
        <w:rPr>
          <w:rFonts w:ascii="Garamond" w:hAnsi="Garamond"/>
        </w:rPr>
        <w:t xml:space="preserve"> am burdened with such conceptions. How then can children fathom such immensity and not be forever incomplete? Where can the formation of identity in children blossom if it is asked to conform, without ever being given the chance to become? </w:t>
      </w:r>
    </w:p>
    <w:p w14:paraId="50FE8548" w14:textId="11F6003B" w:rsidR="00A21CC0" w:rsidRDefault="00A21CC0" w:rsidP="00A21CC0">
      <w:pPr>
        <w:spacing w:line="360" w:lineRule="auto"/>
        <w:jc w:val="center"/>
        <w:rPr>
          <w:rFonts w:ascii="Garamond" w:hAnsi="Garamond"/>
        </w:rPr>
      </w:pPr>
    </w:p>
    <w:p w14:paraId="4F4C0C99" w14:textId="77777777" w:rsidR="00A21CC0" w:rsidRPr="00FB0C7E" w:rsidRDefault="00A21CC0" w:rsidP="00A21CC0">
      <w:pPr>
        <w:spacing w:line="360" w:lineRule="auto"/>
        <w:rPr>
          <w:rFonts w:ascii="Garamond" w:hAnsi="Garamond"/>
        </w:rPr>
      </w:pPr>
    </w:p>
    <w:p w14:paraId="2B7901DF" w14:textId="77777777" w:rsidR="00A21CC0" w:rsidRDefault="00A21CC0"/>
    <w:sectPr w:rsidR="00A21CC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A9430A" w14:textId="77777777" w:rsidR="00B36F8F" w:rsidRDefault="00B36F8F" w:rsidP="00A21CC0">
      <w:pPr>
        <w:spacing w:after="0" w:line="240" w:lineRule="auto"/>
      </w:pPr>
      <w:r>
        <w:separator/>
      </w:r>
    </w:p>
  </w:endnote>
  <w:endnote w:type="continuationSeparator" w:id="0">
    <w:p w14:paraId="232BDB8B" w14:textId="77777777" w:rsidR="00B36F8F" w:rsidRDefault="00B36F8F" w:rsidP="00A21C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8F9BFA" w14:textId="77777777" w:rsidR="00B36F8F" w:rsidRDefault="00B36F8F" w:rsidP="00A21CC0">
      <w:pPr>
        <w:spacing w:after="0" w:line="240" w:lineRule="auto"/>
      </w:pPr>
      <w:r>
        <w:separator/>
      </w:r>
    </w:p>
  </w:footnote>
  <w:footnote w:type="continuationSeparator" w:id="0">
    <w:p w14:paraId="3E01D028" w14:textId="77777777" w:rsidR="00B36F8F" w:rsidRDefault="00B36F8F" w:rsidP="00A21CC0">
      <w:pPr>
        <w:spacing w:after="0" w:line="240" w:lineRule="auto"/>
      </w:pPr>
      <w:r>
        <w:continuationSeparator/>
      </w:r>
    </w:p>
  </w:footnote>
  <w:footnote w:id="1">
    <w:p w14:paraId="338C2392" w14:textId="77777777" w:rsidR="00A21CC0" w:rsidRPr="008044AC" w:rsidRDefault="00A21CC0" w:rsidP="00A21CC0">
      <w:pPr>
        <w:pStyle w:val="FootnoteText"/>
        <w:rPr>
          <w:rFonts w:asciiTheme="majorBidi" w:hAnsiTheme="majorBidi" w:cstheme="majorBidi"/>
        </w:rPr>
      </w:pPr>
      <w:r w:rsidRPr="00A816D7">
        <w:rPr>
          <w:rStyle w:val="FootnoteReference"/>
        </w:rPr>
        <w:footnoteRef/>
      </w:r>
      <w:r w:rsidRPr="008044AC">
        <w:rPr>
          <w:rFonts w:asciiTheme="majorBidi" w:hAnsiTheme="majorBidi" w:cstheme="majorBidi"/>
        </w:rPr>
        <w:t xml:space="preserve"> Within The Human Condition love is defined as inherently “worldless” as it can become false and perverted (p.52). It is significant to understand that love for Arendt is always “killed or extinguished” (p.50) when displayed in public as if to state that love is a fragile emotion that cannot take the scrutiny of others judgement as we may in our professional lives and academic endeavours be politically correct, yet the heart is a different matter, and the heart always irrational motivated mostly by the senses and feelings that one gets when with the other. Therefore, unlike love, friendship can be with more than one individual and if so it is more objective rather than subjective, love cannot and thus remains in the private sphere and something that for Arendt is always part of worldlessness </w:t>
      </w:r>
      <w:r w:rsidRPr="008044AC">
        <w:rPr>
          <w:rFonts w:asciiTheme="majorBidi" w:hAnsiTheme="majorBidi" w:cstheme="majorBidi"/>
        </w:rPr>
        <w:fldChar w:fldCharType="begin"/>
      </w:r>
      <w:r>
        <w:rPr>
          <w:rFonts w:asciiTheme="majorBidi" w:hAnsiTheme="majorBidi" w:cstheme="majorBidi"/>
        </w:rPr>
        <w:instrText xml:space="preserve"> ADDIN ZOTERO_ITEM CSL_CITATION {"citationID":"KjizMU40","properties":{"formattedCitation":"(Arendt 1998)","plainCitation":"(Arendt 1998)","dontUpdate":true,"noteIndex":1},"citationItems":[{"id":388,"uris":["http://zotero.org/users/7261813/items/NRS7A7B4"],"itemData":{"id":388,"type":"book","call-number":"HM211 .A7 1998","edition":"2nd ed","event-place":"Chicago","ISBN":"978-0-226-02599-5","language":"en","number-of-pages":"349","publisher":"University of Chicago Press","publisher-place":"Chicago","source":"Library of Congress ISBN","title":"The human condition","author":[{"family":"Arendt","given":"Hannah"}],"issued":{"date-parts":[["1998"]]}}}],"schema":"https://github.com/citation-style-language/schema/raw/master/csl-citation.json"} </w:instrText>
      </w:r>
      <w:r w:rsidRPr="008044AC">
        <w:rPr>
          <w:rFonts w:asciiTheme="majorBidi" w:hAnsiTheme="majorBidi" w:cstheme="majorBidi"/>
        </w:rPr>
        <w:fldChar w:fldCharType="separate"/>
      </w:r>
      <w:r w:rsidRPr="008044AC">
        <w:rPr>
          <w:rFonts w:asciiTheme="majorBidi" w:hAnsiTheme="majorBidi" w:cstheme="majorBidi"/>
          <w:noProof/>
        </w:rPr>
        <w:t>(Arendt 1998, p.52)</w:t>
      </w:r>
      <w:r w:rsidRPr="008044AC">
        <w:rPr>
          <w:rFonts w:asciiTheme="majorBidi" w:hAnsiTheme="majorBidi" w:cstheme="majorBidi"/>
        </w:rPr>
        <w:fldChar w:fldCharType="end"/>
      </w:r>
      <w:r w:rsidRPr="008044AC">
        <w:rPr>
          <w:rFonts w:asciiTheme="majorBidi" w:hAnsiTheme="majorBidi" w:cstheme="majorBidi"/>
        </w:rPr>
        <w:t xml:space="preserve">. </w:t>
      </w:r>
    </w:p>
  </w:footnote>
  <w:footnote w:id="2">
    <w:p w14:paraId="223D77A6" w14:textId="77777777" w:rsidR="00A21CC0" w:rsidRPr="008044AC" w:rsidRDefault="00A21CC0" w:rsidP="00A21CC0">
      <w:pPr>
        <w:pStyle w:val="FootnoteText"/>
        <w:rPr>
          <w:rFonts w:asciiTheme="majorBidi" w:hAnsiTheme="majorBidi" w:cstheme="majorBidi"/>
        </w:rPr>
      </w:pPr>
      <w:r w:rsidRPr="00A816D7">
        <w:rPr>
          <w:rStyle w:val="FootnoteReference"/>
        </w:rPr>
        <w:footnoteRef/>
      </w:r>
      <w:r w:rsidRPr="008044AC">
        <w:rPr>
          <w:rFonts w:asciiTheme="majorBidi" w:hAnsiTheme="majorBidi" w:cstheme="majorBidi"/>
        </w:rPr>
        <w:t xml:space="preserve"> Without the eyes there is no spectator</w:t>
      </w:r>
      <w:r>
        <w:rPr>
          <w:rFonts w:asciiTheme="majorBidi" w:hAnsiTheme="majorBidi" w:cstheme="majorBidi"/>
        </w:rPr>
        <w:t xml:space="preserve">, it does not exist therefore, it must be seen by all </w:t>
      </w:r>
      <w:proofErr w:type="gramStart"/>
      <w:r>
        <w:rPr>
          <w:rFonts w:asciiTheme="majorBidi" w:hAnsiTheme="majorBidi" w:cstheme="majorBidi"/>
        </w:rPr>
        <w:t>in order to</w:t>
      </w:r>
      <w:proofErr w:type="gramEnd"/>
      <w:r>
        <w:rPr>
          <w:rFonts w:asciiTheme="majorBidi" w:hAnsiTheme="majorBidi" w:cstheme="majorBidi"/>
        </w:rPr>
        <w:t xml:space="preserve"> be acknowledged.</w:t>
      </w:r>
    </w:p>
  </w:footnote>
  <w:footnote w:id="3">
    <w:p w14:paraId="2B23EC74" w14:textId="77777777" w:rsidR="00A21CC0" w:rsidRDefault="00A21CC0" w:rsidP="00A21CC0">
      <w:pPr>
        <w:pStyle w:val="FootnoteText"/>
      </w:pPr>
      <w:r w:rsidRPr="00A816D7">
        <w:rPr>
          <w:rStyle w:val="FootnoteReference"/>
        </w:rPr>
        <w:footnoteRef/>
      </w:r>
      <w:r w:rsidRPr="008044AC">
        <w:rPr>
          <w:rFonts w:asciiTheme="majorBidi" w:hAnsiTheme="majorBidi" w:cstheme="majorBidi"/>
        </w:rPr>
        <w:t xml:space="preserve"> Artifacts are man-made cultural tools that have distinguished human beings as rich beings who carry tradition, knowledge and meaning from within. Demonstrated through centuries of usage and existence. The workmanship of artifacts is a testament of human thinking taken into the realm of work through human plurality because creation and recreation continue before us and after our passing </w:t>
      </w:r>
      <w:r w:rsidRPr="008044AC">
        <w:rPr>
          <w:rFonts w:asciiTheme="majorBidi" w:hAnsiTheme="majorBidi" w:cstheme="majorBidi"/>
        </w:rPr>
        <w:fldChar w:fldCharType="begin"/>
      </w:r>
      <w:r>
        <w:rPr>
          <w:rFonts w:asciiTheme="majorBidi" w:hAnsiTheme="majorBidi" w:cstheme="majorBidi"/>
        </w:rPr>
        <w:instrText xml:space="preserve"> ADDIN ZOTERO_ITEM CSL_CITATION {"citationID":"3DFDLFwo","properties":{"formattedCitation":"(Arendt 1998)","plainCitation":"(Arendt 1998)","dontUpdate":true,"noteIndex":3},"citationItems":[{"id":388,"uris":["http://zotero.org/users/7261813/items/NRS7A7B4"],"itemData":{"id":388,"type":"book","call-number":"HM211 .A7 1998","edition":"2nd ed","event-place":"Chicago","ISBN":"978-0-226-02599-5","language":"en","number-of-pages":"349","publisher":"University of Chicago Press","publisher-place":"Chicago","source":"Library of Congress ISBN","title":"The human condition","author":[{"family":"Arendt","given":"Hannah"}],"issued":{"date-parts":[["1998"]]}}}],"schema":"https://github.com/citation-style-language/schema/raw/master/csl-citation.json"} </w:instrText>
      </w:r>
      <w:r w:rsidRPr="008044AC">
        <w:rPr>
          <w:rFonts w:asciiTheme="majorBidi" w:hAnsiTheme="majorBidi" w:cstheme="majorBidi"/>
        </w:rPr>
        <w:fldChar w:fldCharType="separate"/>
      </w:r>
      <w:r w:rsidRPr="008044AC">
        <w:rPr>
          <w:rFonts w:asciiTheme="majorBidi" w:hAnsiTheme="majorBidi" w:cstheme="majorBidi"/>
          <w:noProof/>
        </w:rPr>
        <w:t>(Arendt 1998, p.52)</w:t>
      </w:r>
      <w:r w:rsidRPr="008044AC">
        <w:rPr>
          <w:rFonts w:asciiTheme="majorBidi" w:hAnsiTheme="majorBidi" w:cstheme="majorBidi"/>
        </w:rPr>
        <w:fldChar w:fldCharType="end"/>
      </w:r>
      <w:r w:rsidRPr="008044AC">
        <w:rPr>
          <w:rFonts w:asciiTheme="majorBidi" w:hAnsiTheme="majorBidi" w:cstheme="majorBidi"/>
        </w:rPr>
        <w:t>.</w:t>
      </w:r>
    </w:p>
  </w:footnote>
  <w:footnote w:id="4">
    <w:p w14:paraId="1C32ED1E" w14:textId="77777777" w:rsidR="00A21CC0" w:rsidRPr="009601F5" w:rsidRDefault="00A21CC0" w:rsidP="00A21CC0">
      <w:pPr>
        <w:pStyle w:val="FootnoteText"/>
        <w:rPr>
          <w:rFonts w:asciiTheme="majorBidi" w:hAnsiTheme="majorBidi" w:cstheme="majorBidi"/>
        </w:rPr>
      </w:pPr>
      <w:r w:rsidRPr="00A816D7">
        <w:rPr>
          <w:rStyle w:val="FootnoteReference"/>
        </w:rPr>
        <w:footnoteRef/>
      </w:r>
      <w:r w:rsidRPr="009601F5">
        <w:rPr>
          <w:rFonts w:asciiTheme="majorBidi" w:hAnsiTheme="majorBidi" w:cstheme="majorBidi"/>
        </w:rPr>
        <w:t xml:space="preserve"> A love of the world, which is exemplified within our senses, especially through our passions.</w:t>
      </w:r>
    </w:p>
  </w:footnote>
  <w:footnote w:id="5">
    <w:p w14:paraId="68BF5C9B" w14:textId="77777777" w:rsidR="00A21CC0" w:rsidRPr="009601F5" w:rsidRDefault="00A21CC0" w:rsidP="00A21CC0">
      <w:pPr>
        <w:pStyle w:val="FootnoteText"/>
        <w:rPr>
          <w:rFonts w:asciiTheme="majorBidi" w:hAnsiTheme="majorBidi" w:cstheme="majorBidi"/>
        </w:rPr>
      </w:pPr>
      <w:r w:rsidRPr="00A816D7">
        <w:rPr>
          <w:rStyle w:val="FootnoteReference"/>
        </w:rPr>
        <w:footnoteRef/>
      </w:r>
      <w:r w:rsidRPr="009601F5">
        <w:rPr>
          <w:rFonts w:asciiTheme="majorBidi" w:hAnsiTheme="majorBidi" w:cstheme="majorBidi"/>
        </w:rPr>
        <w:t xml:space="preserve"> Within The Human Condition love is defined as inherently “worldless” as it can become false and perverted (p.52). It is significant to understand that love for Arendt is always “killed or extinguished” (p.50) when displayed in public as if to state that love is a fragile emotion that cannot take the scrutiny of others judgement as we may in our professional lives and academic endeavours be politically correct, yet the heart is a different matter, and the heart always irrational motivated mostly by the senses and feelings that one gets when with the other. Therefore, unlike love, friendship can be with more than one individual and if so it is more objective rather than subjective, love cannot and thus remains in the private sphere and something that for Arendt is always part of worldlessness </w:t>
      </w:r>
      <w:r w:rsidRPr="009601F5">
        <w:rPr>
          <w:rFonts w:asciiTheme="majorBidi" w:hAnsiTheme="majorBidi" w:cstheme="majorBidi"/>
        </w:rPr>
        <w:fldChar w:fldCharType="begin"/>
      </w:r>
      <w:r>
        <w:rPr>
          <w:rFonts w:asciiTheme="majorBidi" w:hAnsiTheme="majorBidi" w:cstheme="majorBidi"/>
        </w:rPr>
        <w:instrText xml:space="preserve"> ADDIN ZOTERO_ITEM CSL_CITATION {"citationID":"lG6HfxBH","properties":{"formattedCitation":"(Arendt 1998)","plainCitation":"(Arendt 1998)","dontUpdate":true,"noteIndex":5},"citationItems":[{"id":388,"uris":["http://zotero.org/users/7261813/items/NRS7A7B4"],"itemData":{"id":388,"type":"book","call-number":"HM211 .A7 1998","edition":"2nd ed","event-place":"Chicago","ISBN":"978-0-226-02599-5","language":"en","number-of-pages":"349","publisher":"University of Chicago Press","publisher-place":"Chicago","source":"Library of Congress ISBN","title":"The human condition","author":[{"family":"Arendt","given":"Hannah"}],"issued":{"date-parts":[["1998"]]}}}],"schema":"https://github.com/citation-style-language/schema/raw/master/csl-citation.json"} </w:instrText>
      </w:r>
      <w:r w:rsidRPr="009601F5">
        <w:rPr>
          <w:rFonts w:asciiTheme="majorBidi" w:hAnsiTheme="majorBidi" w:cstheme="majorBidi"/>
        </w:rPr>
        <w:fldChar w:fldCharType="separate"/>
      </w:r>
      <w:r w:rsidRPr="009601F5">
        <w:rPr>
          <w:rFonts w:asciiTheme="majorBidi" w:hAnsiTheme="majorBidi" w:cstheme="majorBidi"/>
          <w:noProof/>
        </w:rPr>
        <w:t>(Arendt 1998, p.52)</w:t>
      </w:r>
      <w:r w:rsidRPr="009601F5">
        <w:rPr>
          <w:rFonts w:asciiTheme="majorBidi" w:hAnsiTheme="majorBidi" w:cstheme="majorBidi"/>
        </w:rPr>
        <w:fldChar w:fldCharType="end"/>
      </w:r>
      <w:r w:rsidRPr="009601F5">
        <w:rPr>
          <w:rFonts w:asciiTheme="majorBidi" w:hAnsiTheme="majorBidi" w:cstheme="majorBidi"/>
        </w:rPr>
        <w:t xml:space="preserve">. </w:t>
      </w:r>
    </w:p>
    <w:p w14:paraId="105095CE" w14:textId="77777777" w:rsidR="00A21CC0" w:rsidRDefault="00A21CC0" w:rsidP="00A21CC0">
      <w:pPr>
        <w:pStyle w:val="FootnoteText"/>
      </w:pPr>
    </w:p>
  </w:footnote>
  <w:footnote w:id="6">
    <w:p w14:paraId="7E8FBE19" w14:textId="77777777" w:rsidR="00A21CC0" w:rsidRPr="00F62306" w:rsidRDefault="00A21CC0" w:rsidP="00A21CC0">
      <w:pPr>
        <w:pStyle w:val="FootnoteText"/>
        <w:rPr>
          <w:rFonts w:asciiTheme="majorBidi" w:hAnsiTheme="majorBidi" w:cstheme="majorBidi"/>
        </w:rPr>
      </w:pPr>
      <w:r w:rsidRPr="00A816D7">
        <w:rPr>
          <w:rStyle w:val="FootnoteReference"/>
        </w:rPr>
        <w:footnoteRef/>
      </w:r>
      <w:r w:rsidRPr="00F62306">
        <w:rPr>
          <w:rFonts w:asciiTheme="majorBidi" w:hAnsiTheme="majorBidi" w:cstheme="majorBidi"/>
        </w:rPr>
        <w:t xml:space="preserve"> Though Ashley Madison has in recent years rebranded its platform to individual</w:t>
      </w:r>
      <w:r>
        <w:rPr>
          <w:rFonts w:asciiTheme="majorBidi" w:hAnsiTheme="majorBidi" w:cstheme="majorBidi"/>
        </w:rPr>
        <w:t>s</w:t>
      </w:r>
      <w:r w:rsidRPr="00F62306">
        <w:rPr>
          <w:rFonts w:asciiTheme="majorBidi" w:hAnsiTheme="majorBidi" w:cstheme="majorBidi"/>
        </w:rPr>
        <w:t xml:space="preserve"> looking for discreet relationships the message is clear, why would you want a discreet relationship if there is nothing to hide? </w:t>
      </w:r>
    </w:p>
  </w:footnote>
  <w:footnote w:id="7">
    <w:p w14:paraId="6B7CC31C" w14:textId="77777777" w:rsidR="00A21CC0" w:rsidRPr="009601F5" w:rsidRDefault="00A21CC0" w:rsidP="00A21CC0">
      <w:pPr>
        <w:pStyle w:val="FootnoteText"/>
        <w:rPr>
          <w:rFonts w:asciiTheme="majorBidi" w:hAnsiTheme="majorBidi" w:cstheme="majorBidi"/>
        </w:rPr>
      </w:pPr>
      <w:r w:rsidRPr="00A816D7">
        <w:rPr>
          <w:rStyle w:val="FootnoteReference"/>
        </w:rPr>
        <w:footnoteRef/>
      </w:r>
      <w:r w:rsidRPr="009601F5">
        <w:rPr>
          <w:rFonts w:asciiTheme="majorBidi" w:hAnsiTheme="majorBidi" w:cstheme="majorBidi"/>
        </w:rPr>
        <w:t xml:space="preserve"> Women use to set the cultural standards and the perimeters for intimate activity now men wheeled more power over intimacy, </w:t>
      </w:r>
      <w:r>
        <w:rPr>
          <w:rFonts w:asciiTheme="majorBidi" w:hAnsiTheme="majorBidi" w:cstheme="majorBidi"/>
        </w:rPr>
        <w:t>and</w:t>
      </w:r>
      <w:r w:rsidRPr="009601F5">
        <w:rPr>
          <w:rFonts w:asciiTheme="majorBidi" w:hAnsiTheme="majorBidi" w:cstheme="majorBidi"/>
        </w:rPr>
        <w:t xml:space="preserve"> women are </w:t>
      </w:r>
      <w:r>
        <w:rPr>
          <w:rFonts w:asciiTheme="majorBidi" w:hAnsiTheme="majorBidi" w:cstheme="majorBidi"/>
        </w:rPr>
        <w:t>overworking themselves</w:t>
      </w:r>
      <w:r w:rsidRPr="009601F5">
        <w:rPr>
          <w:rFonts w:asciiTheme="majorBidi" w:hAnsiTheme="majorBidi" w:cstheme="majorBidi"/>
        </w:rPr>
        <w:t>, way too soon with no reciprocity. More widely hook</w:t>
      </w:r>
      <w:r>
        <w:rPr>
          <w:rFonts w:asciiTheme="majorBidi" w:hAnsiTheme="majorBidi" w:cstheme="majorBidi"/>
        </w:rPr>
        <w:t xml:space="preserve">-ups </w:t>
      </w:r>
      <w:r w:rsidRPr="009601F5">
        <w:rPr>
          <w:rFonts w:asciiTheme="majorBidi" w:hAnsiTheme="majorBidi" w:cstheme="majorBidi"/>
        </w:rPr>
        <w:t>have made men less likely to commit and taken away women’s power</w:t>
      </w:r>
      <w:r>
        <w:rPr>
          <w:rFonts w:asciiTheme="majorBidi" w:hAnsiTheme="majorBidi" w:cstheme="majorBidi"/>
        </w:rPr>
        <w:t>, the very same power that was supposed to bring about “equality” has now landed on the other side of the pendulum.</w:t>
      </w:r>
      <w:r w:rsidRPr="009601F5">
        <w:rPr>
          <w:rFonts w:asciiTheme="majorBidi" w:hAnsiTheme="majorBidi" w:cstheme="majorBidi"/>
        </w:rPr>
        <w:t xml:space="preserve"> </w:t>
      </w:r>
    </w:p>
  </w:footnote>
  <w:footnote w:id="8">
    <w:p w14:paraId="2C55F6F1" w14:textId="77777777" w:rsidR="00A21CC0" w:rsidRPr="006A39EA" w:rsidRDefault="00A21CC0" w:rsidP="00A21CC0">
      <w:pPr>
        <w:pStyle w:val="FootnoteText"/>
        <w:rPr>
          <w:rFonts w:asciiTheme="majorBidi" w:hAnsiTheme="majorBidi" w:cstheme="majorBidi"/>
        </w:rPr>
      </w:pPr>
      <w:r w:rsidRPr="00A816D7">
        <w:rPr>
          <w:rStyle w:val="FootnoteReference"/>
        </w:rPr>
        <w:footnoteRef/>
      </w:r>
      <w:r w:rsidRPr="006A39EA">
        <w:rPr>
          <w:rFonts w:asciiTheme="majorBidi" w:hAnsiTheme="majorBidi" w:cstheme="majorBidi"/>
        </w:rPr>
        <w:t xml:space="preserve"> A free school in England means it is non-profitmaking, state funded school which is free to attend but which is mostly independent of the local authority.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4"/>
  <w:proofState w:spelling="clean" w:grammar="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1CC0"/>
    <w:rsid w:val="004F5EFF"/>
    <w:rsid w:val="00A21CC0"/>
    <w:rsid w:val="00B36F8F"/>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6D195C63"/>
  <w15:chartTrackingRefBased/>
  <w15:docId w15:val="{315FC2DA-BE9C-104A-89B9-3928FE8280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CA"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1CC0"/>
  </w:style>
  <w:style w:type="paragraph" w:styleId="Heading1">
    <w:name w:val="heading 1"/>
    <w:basedOn w:val="Normal"/>
    <w:next w:val="Normal"/>
    <w:link w:val="Heading1Char"/>
    <w:uiPriority w:val="9"/>
    <w:qFormat/>
    <w:rsid w:val="00A21CC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21CC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21CC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21CC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21CC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21CC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21CC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21CC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21CC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1CC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21CC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21CC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21CC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21CC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21CC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21CC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21CC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21CC0"/>
    <w:rPr>
      <w:rFonts w:eastAsiaTheme="majorEastAsia" w:cstheme="majorBidi"/>
      <w:color w:val="272727" w:themeColor="text1" w:themeTint="D8"/>
    </w:rPr>
  </w:style>
  <w:style w:type="paragraph" w:styleId="Title">
    <w:name w:val="Title"/>
    <w:basedOn w:val="Normal"/>
    <w:next w:val="Normal"/>
    <w:link w:val="TitleChar"/>
    <w:uiPriority w:val="10"/>
    <w:qFormat/>
    <w:rsid w:val="00A21CC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21CC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21CC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21CC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21CC0"/>
    <w:pPr>
      <w:spacing w:before="160"/>
      <w:jc w:val="center"/>
    </w:pPr>
    <w:rPr>
      <w:i/>
      <w:iCs/>
      <w:color w:val="404040" w:themeColor="text1" w:themeTint="BF"/>
    </w:rPr>
  </w:style>
  <w:style w:type="character" w:customStyle="1" w:styleId="QuoteChar">
    <w:name w:val="Quote Char"/>
    <w:basedOn w:val="DefaultParagraphFont"/>
    <w:link w:val="Quote"/>
    <w:uiPriority w:val="29"/>
    <w:rsid w:val="00A21CC0"/>
    <w:rPr>
      <w:i/>
      <w:iCs/>
      <w:color w:val="404040" w:themeColor="text1" w:themeTint="BF"/>
    </w:rPr>
  </w:style>
  <w:style w:type="paragraph" w:styleId="ListParagraph">
    <w:name w:val="List Paragraph"/>
    <w:basedOn w:val="Normal"/>
    <w:uiPriority w:val="34"/>
    <w:qFormat/>
    <w:rsid w:val="00A21CC0"/>
    <w:pPr>
      <w:ind w:left="720"/>
      <w:contextualSpacing/>
    </w:pPr>
  </w:style>
  <w:style w:type="character" w:styleId="IntenseEmphasis">
    <w:name w:val="Intense Emphasis"/>
    <w:basedOn w:val="DefaultParagraphFont"/>
    <w:uiPriority w:val="21"/>
    <w:qFormat/>
    <w:rsid w:val="00A21CC0"/>
    <w:rPr>
      <w:i/>
      <w:iCs/>
      <w:color w:val="0F4761" w:themeColor="accent1" w:themeShade="BF"/>
    </w:rPr>
  </w:style>
  <w:style w:type="paragraph" w:styleId="IntenseQuote">
    <w:name w:val="Intense Quote"/>
    <w:basedOn w:val="Normal"/>
    <w:next w:val="Normal"/>
    <w:link w:val="IntenseQuoteChar"/>
    <w:uiPriority w:val="30"/>
    <w:qFormat/>
    <w:rsid w:val="00A21CC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21CC0"/>
    <w:rPr>
      <w:i/>
      <w:iCs/>
      <w:color w:val="0F4761" w:themeColor="accent1" w:themeShade="BF"/>
    </w:rPr>
  </w:style>
  <w:style w:type="character" w:styleId="IntenseReference">
    <w:name w:val="Intense Reference"/>
    <w:basedOn w:val="DefaultParagraphFont"/>
    <w:uiPriority w:val="32"/>
    <w:qFormat/>
    <w:rsid w:val="00A21CC0"/>
    <w:rPr>
      <w:b/>
      <w:bCs/>
      <w:smallCaps/>
      <w:color w:val="0F4761" w:themeColor="accent1" w:themeShade="BF"/>
      <w:spacing w:val="5"/>
    </w:rPr>
  </w:style>
  <w:style w:type="paragraph" w:styleId="FootnoteText">
    <w:name w:val="footnote text"/>
    <w:basedOn w:val="Normal"/>
    <w:link w:val="FootnoteTextChar"/>
    <w:uiPriority w:val="99"/>
    <w:semiHidden/>
    <w:unhideWhenUsed/>
    <w:rsid w:val="00A21CC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21CC0"/>
    <w:rPr>
      <w:sz w:val="20"/>
      <w:szCs w:val="20"/>
    </w:rPr>
  </w:style>
  <w:style w:type="character" w:styleId="FootnoteReference">
    <w:name w:val="footnote reference"/>
    <w:basedOn w:val="DefaultParagraphFont"/>
    <w:uiPriority w:val="99"/>
    <w:semiHidden/>
    <w:unhideWhenUsed/>
    <w:rsid w:val="00A21CC0"/>
    <w:rPr>
      <w:vertAlign w:val="superscript"/>
    </w:rPr>
  </w:style>
  <w:style w:type="paragraph" w:styleId="Bibliography">
    <w:name w:val="Bibliography"/>
    <w:basedOn w:val="Normal"/>
    <w:next w:val="Normal"/>
    <w:uiPriority w:val="37"/>
    <w:unhideWhenUsed/>
    <w:rsid w:val="00A21CC0"/>
    <w:pPr>
      <w:spacing w:after="0" w:line="240" w:lineRule="auto"/>
      <w:ind w:left="720" w:hanging="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7</TotalTime>
  <Pages>14</Pages>
  <Words>8782</Words>
  <Characters>50063</Characters>
  <Application>Microsoft Office Word</Application>
  <DocSecurity>0</DocSecurity>
  <Lines>417</Lines>
  <Paragraphs>117</Paragraphs>
  <ScaleCrop>false</ScaleCrop>
  <Company/>
  <LinksUpToDate>false</LinksUpToDate>
  <CharactersWithSpaces>58728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Laila Haghbayan</dc:creator>
  <cp:keywords/>
  <dc:description/>
  <cp:lastModifiedBy>Laila Haghbayan</cp:lastModifiedBy>
  <cp:revision>1</cp:revision>
  <dcterms:created xsi:type="dcterms:W3CDTF">2025-02-25T01:38:00Z</dcterms:created>
  <dcterms:modified xsi:type="dcterms:W3CDTF">2025-02-25T01:47:00Z</dcterms:modified>
</cp:coreProperties>
</file>